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A5E" w:rsidRPr="008B71D4" w:rsidRDefault="002A5A5E">
      <w:pPr>
        <w:jc w:val="center"/>
        <w:rPr>
          <w:rFonts w:eastAsiaTheme="minorEastAsia"/>
          <w:sz w:val="32"/>
        </w:rPr>
      </w:pPr>
    </w:p>
    <w:p w:rsidR="002A5A5E" w:rsidRPr="008B71D4" w:rsidRDefault="002A5A5E">
      <w:pPr>
        <w:jc w:val="center"/>
        <w:rPr>
          <w:rFonts w:eastAsiaTheme="minorEastAsia"/>
          <w:sz w:val="36"/>
        </w:rPr>
      </w:pPr>
    </w:p>
    <w:p w:rsidR="002A5A5E" w:rsidRDefault="002A5A5E">
      <w:pPr>
        <w:jc w:val="center"/>
        <w:rPr>
          <w:rFonts w:eastAsiaTheme="minorEastAsia"/>
          <w:sz w:val="36"/>
        </w:rPr>
      </w:pPr>
    </w:p>
    <w:p w:rsidR="00587CC3" w:rsidRPr="008B71D4" w:rsidRDefault="00587CC3">
      <w:pPr>
        <w:jc w:val="center"/>
        <w:rPr>
          <w:rFonts w:eastAsiaTheme="minorEastAsia"/>
          <w:sz w:val="36"/>
        </w:rPr>
      </w:pPr>
    </w:p>
    <w:p w:rsidR="002A5A5E" w:rsidRPr="008B71D4" w:rsidRDefault="002A5A5E">
      <w:pPr>
        <w:jc w:val="center"/>
        <w:rPr>
          <w:rFonts w:eastAsiaTheme="minorEastAsia"/>
          <w:sz w:val="36"/>
        </w:rPr>
      </w:pPr>
    </w:p>
    <w:p w:rsidR="002A5A5E" w:rsidRPr="00FC1444" w:rsidRDefault="00AE168C">
      <w:pPr>
        <w:jc w:val="center"/>
        <w:rPr>
          <w:rFonts w:eastAsia="黑体"/>
          <w:b/>
          <w:sz w:val="36"/>
          <w:szCs w:val="36"/>
        </w:rPr>
      </w:pPr>
      <w:r w:rsidRPr="00FC1444">
        <w:rPr>
          <w:rFonts w:eastAsia="黑体"/>
          <w:b/>
          <w:sz w:val="36"/>
          <w:szCs w:val="36"/>
        </w:rPr>
        <w:t>北林区</w:t>
      </w:r>
      <w:r w:rsidRPr="00FC1444">
        <w:rPr>
          <w:rFonts w:eastAsia="黑体"/>
          <w:b/>
          <w:sz w:val="36"/>
          <w:szCs w:val="36"/>
        </w:rPr>
        <w:t>2026</w:t>
      </w:r>
      <w:r w:rsidRPr="00FC1444">
        <w:rPr>
          <w:rFonts w:eastAsia="黑体"/>
          <w:b/>
          <w:sz w:val="36"/>
          <w:szCs w:val="36"/>
        </w:rPr>
        <w:t>年高标准农田建设项目</w:t>
      </w:r>
    </w:p>
    <w:p w:rsidR="002A5A5E" w:rsidRPr="00FC1444" w:rsidRDefault="00713B73">
      <w:pPr>
        <w:spacing w:line="720" w:lineRule="auto"/>
        <w:jc w:val="center"/>
        <w:rPr>
          <w:rFonts w:eastAsia="方正小标宋简体"/>
          <w:bCs/>
          <w:spacing w:val="36"/>
          <w:sz w:val="84"/>
        </w:rPr>
      </w:pPr>
      <w:r w:rsidRPr="00FC1444">
        <w:rPr>
          <w:rFonts w:eastAsia="方正小标宋简体"/>
          <w:bCs/>
          <w:spacing w:val="36"/>
          <w:sz w:val="84"/>
        </w:rPr>
        <w:t>生态</w:t>
      </w:r>
      <w:r w:rsidR="00611CBA" w:rsidRPr="00FC1444">
        <w:rPr>
          <w:rFonts w:eastAsia="方正小标宋简体"/>
          <w:bCs/>
          <w:spacing w:val="36"/>
          <w:sz w:val="84"/>
        </w:rPr>
        <w:t>环境影响报告书</w:t>
      </w:r>
    </w:p>
    <w:p w:rsidR="002A5A5E" w:rsidRPr="00FC1444" w:rsidRDefault="002A5A5E">
      <w:pPr>
        <w:spacing w:line="360" w:lineRule="auto"/>
        <w:jc w:val="center"/>
        <w:rPr>
          <w:rFonts w:eastAsiaTheme="minorEastAsia"/>
          <w:b/>
          <w:bCs/>
          <w:sz w:val="30"/>
          <w:szCs w:val="30"/>
        </w:rPr>
      </w:pPr>
    </w:p>
    <w:p w:rsidR="002A5A5E" w:rsidRPr="00FC1444" w:rsidRDefault="002A5A5E">
      <w:pPr>
        <w:jc w:val="center"/>
        <w:rPr>
          <w:rFonts w:eastAsiaTheme="minorEastAsia"/>
          <w:sz w:val="30"/>
        </w:rPr>
      </w:pPr>
    </w:p>
    <w:p w:rsidR="002A5A5E" w:rsidRPr="00FC1444" w:rsidRDefault="002A5A5E">
      <w:pPr>
        <w:jc w:val="center"/>
        <w:rPr>
          <w:rFonts w:eastAsiaTheme="minorEastAsia"/>
          <w:b/>
          <w:sz w:val="36"/>
          <w:szCs w:val="36"/>
        </w:rPr>
      </w:pPr>
    </w:p>
    <w:p w:rsidR="002A5A5E" w:rsidRPr="00FC1444" w:rsidRDefault="002A5A5E">
      <w:pPr>
        <w:jc w:val="center"/>
        <w:rPr>
          <w:rFonts w:eastAsiaTheme="minorEastAsia"/>
          <w:sz w:val="28"/>
        </w:rPr>
      </w:pPr>
    </w:p>
    <w:p w:rsidR="002A5A5E" w:rsidRPr="00FC1444" w:rsidRDefault="002A5A5E">
      <w:pPr>
        <w:jc w:val="center"/>
        <w:rPr>
          <w:rFonts w:eastAsiaTheme="minorEastAsia"/>
          <w:sz w:val="28"/>
        </w:rPr>
      </w:pPr>
    </w:p>
    <w:p w:rsidR="002A5A5E" w:rsidRPr="00FC1444" w:rsidRDefault="002A5A5E">
      <w:pPr>
        <w:jc w:val="center"/>
        <w:rPr>
          <w:rFonts w:eastAsiaTheme="minorEastAsia"/>
          <w:sz w:val="28"/>
        </w:rPr>
      </w:pPr>
    </w:p>
    <w:p w:rsidR="002A5A5E" w:rsidRPr="00FC1444" w:rsidRDefault="002A5A5E">
      <w:pPr>
        <w:jc w:val="center"/>
        <w:rPr>
          <w:rFonts w:eastAsiaTheme="minorEastAsia"/>
          <w:sz w:val="28"/>
        </w:rPr>
      </w:pPr>
    </w:p>
    <w:p w:rsidR="002A5A5E" w:rsidRPr="00FC1444" w:rsidRDefault="002A5A5E">
      <w:pPr>
        <w:jc w:val="center"/>
        <w:rPr>
          <w:rFonts w:eastAsiaTheme="minorEastAsia"/>
          <w:sz w:val="28"/>
        </w:rPr>
      </w:pPr>
    </w:p>
    <w:p w:rsidR="002A5A5E" w:rsidRPr="00FC1444" w:rsidRDefault="002A5A5E">
      <w:pPr>
        <w:jc w:val="center"/>
        <w:rPr>
          <w:rFonts w:eastAsiaTheme="minorEastAsia"/>
          <w:sz w:val="28"/>
        </w:rPr>
      </w:pPr>
    </w:p>
    <w:p w:rsidR="002A5A5E" w:rsidRPr="00FC1444" w:rsidRDefault="002A5A5E">
      <w:pPr>
        <w:jc w:val="center"/>
        <w:rPr>
          <w:rFonts w:eastAsiaTheme="minorEastAsia"/>
          <w:sz w:val="28"/>
        </w:rPr>
      </w:pPr>
    </w:p>
    <w:p w:rsidR="002A5A5E" w:rsidRPr="00FC1444" w:rsidRDefault="00611CBA">
      <w:pPr>
        <w:jc w:val="center"/>
        <w:rPr>
          <w:rFonts w:eastAsia="黑体"/>
          <w:b/>
          <w:snapToGrid w:val="0"/>
          <w:kern w:val="0"/>
          <w:sz w:val="32"/>
          <w:szCs w:val="32"/>
        </w:rPr>
      </w:pPr>
      <w:r w:rsidRPr="00FC1444">
        <w:rPr>
          <w:rFonts w:eastAsia="黑体"/>
          <w:b/>
          <w:snapToGrid w:val="0"/>
          <w:kern w:val="0"/>
          <w:sz w:val="32"/>
          <w:szCs w:val="32"/>
        </w:rPr>
        <w:t>建设单位：</w:t>
      </w:r>
      <w:r w:rsidR="00C1636B" w:rsidRPr="00FC1444">
        <w:rPr>
          <w:rFonts w:eastAsia="黑体"/>
          <w:b/>
          <w:snapToGrid w:val="0"/>
          <w:kern w:val="0"/>
          <w:sz w:val="32"/>
          <w:szCs w:val="32"/>
        </w:rPr>
        <w:t>绥化市</w:t>
      </w:r>
      <w:r w:rsidR="00AE168C" w:rsidRPr="00FC1444">
        <w:rPr>
          <w:rFonts w:eastAsia="黑体"/>
          <w:b/>
          <w:snapToGrid w:val="0"/>
          <w:kern w:val="0"/>
          <w:sz w:val="32"/>
          <w:szCs w:val="32"/>
        </w:rPr>
        <w:t>北林区农业农村局</w:t>
      </w:r>
    </w:p>
    <w:p w:rsidR="002A5A5E" w:rsidRPr="00FC1444" w:rsidRDefault="00611CBA">
      <w:pPr>
        <w:jc w:val="center"/>
        <w:rPr>
          <w:rFonts w:eastAsia="黑体"/>
          <w:b/>
          <w:snapToGrid w:val="0"/>
          <w:kern w:val="0"/>
          <w:sz w:val="32"/>
          <w:szCs w:val="32"/>
        </w:rPr>
      </w:pPr>
      <w:r w:rsidRPr="00FC1444">
        <w:rPr>
          <w:rFonts w:eastAsia="黑体"/>
          <w:b/>
          <w:snapToGrid w:val="0"/>
          <w:kern w:val="0"/>
          <w:sz w:val="32"/>
          <w:szCs w:val="32"/>
        </w:rPr>
        <w:t>编制单位：哈尔滨茸昌环保科技有限公司</w:t>
      </w:r>
    </w:p>
    <w:p w:rsidR="002A5A5E" w:rsidRPr="00FC1444" w:rsidRDefault="00611CBA">
      <w:pPr>
        <w:jc w:val="center"/>
        <w:rPr>
          <w:rFonts w:eastAsia="黑体"/>
          <w:b/>
          <w:sz w:val="28"/>
        </w:rPr>
      </w:pPr>
      <w:r w:rsidRPr="00FC1444">
        <w:rPr>
          <w:rFonts w:eastAsia="黑体"/>
          <w:b/>
          <w:sz w:val="28"/>
        </w:rPr>
        <w:t>编制日期：二〇二</w:t>
      </w:r>
      <w:r w:rsidR="00DC2530" w:rsidRPr="00FC1444">
        <w:rPr>
          <w:rFonts w:eastAsia="黑体"/>
          <w:b/>
          <w:sz w:val="28"/>
        </w:rPr>
        <w:t>六</w:t>
      </w:r>
      <w:r w:rsidRPr="00FC1444">
        <w:rPr>
          <w:rFonts w:eastAsia="黑体"/>
          <w:b/>
          <w:sz w:val="28"/>
        </w:rPr>
        <w:t>年</w:t>
      </w:r>
      <w:r w:rsidR="007E48A2" w:rsidRPr="00FC1444">
        <w:rPr>
          <w:rFonts w:eastAsia="黑体"/>
          <w:b/>
          <w:sz w:val="28"/>
        </w:rPr>
        <w:t>九</w:t>
      </w:r>
      <w:r w:rsidRPr="00FC1444">
        <w:rPr>
          <w:rFonts w:eastAsia="黑体"/>
          <w:b/>
          <w:sz w:val="28"/>
        </w:rPr>
        <w:t>月</w:t>
      </w:r>
    </w:p>
    <w:p w:rsidR="002A5A5E" w:rsidRPr="00FC1444" w:rsidRDefault="002A5A5E">
      <w:pPr>
        <w:jc w:val="center"/>
        <w:rPr>
          <w:rFonts w:eastAsiaTheme="minorEastAsia"/>
          <w:b/>
          <w:sz w:val="28"/>
        </w:rPr>
      </w:pPr>
    </w:p>
    <w:p w:rsidR="005B7A33" w:rsidRPr="00FC1444" w:rsidRDefault="005B7A33">
      <w:pPr>
        <w:jc w:val="center"/>
        <w:rPr>
          <w:rFonts w:eastAsiaTheme="minorEastAsia"/>
          <w:b/>
          <w:sz w:val="28"/>
        </w:rPr>
      </w:pPr>
    </w:p>
    <w:p w:rsidR="002A5A5E" w:rsidRPr="00FC1444" w:rsidRDefault="002A5A5E">
      <w:pPr>
        <w:jc w:val="center"/>
        <w:rPr>
          <w:rFonts w:eastAsiaTheme="minorEastAsia"/>
          <w:b/>
          <w:sz w:val="28"/>
        </w:rPr>
      </w:pPr>
    </w:p>
    <w:p w:rsidR="002A5A5E" w:rsidRPr="00FC1444" w:rsidRDefault="002A5A5E">
      <w:pPr>
        <w:jc w:val="center"/>
        <w:rPr>
          <w:rFonts w:eastAsiaTheme="minorEastAsia"/>
          <w:b/>
          <w:sz w:val="28"/>
        </w:rPr>
        <w:sectPr w:rsidR="002A5A5E" w:rsidRPr="00FC1444">
          <w:pgSz w:w="11906" w:h="16838"/>
          <w:pgMar w:top="1440" w:right="1800" w:bottom="1440" w:left="1800" w:header="851" w:footer="992" w:gutter="0"/>
          <w:pgNumType w:fmt="upperRoman" w:start="1"/>
          <w:cols w:space="425"/>
          <w:docGrid w:type="lines" w:linePitch="312"/>
        </w:sectPr>
      </w:pPr>
    </w:p>
    <w:p w:rsidR="002A5A5E" w:rsidRPr="00FC1444" w:rsidRDefault="00611CBA">
      <w:pPr>
        <w:pStyle w:val="11"/>
      </w:pPr>
      <w:bookmarkStart w:id="0" w:name="_Toc479252796"/>
      <w:r w:rsidRPr="00FC1444">
        <w:lastRenderedPageBreak/>
        <w:t>目</w:t>
      </w:r>
      <w:r w:rsidRPr="00FC1444">
        <w:t xml:space="preserve">  </w:t>
      </w:r>
      <w:r w:rsidRPr="00FC1444">
        <w:t>录</w:t>
      </w:r>
    </w:p>
    <w:p w:rsidR="002A5A5E" w:rsidRPr="00FC1444" w:rsidRDefault="009840DD">
      <w:pPr>
        <w:pStyle w:val="11"/>
        <w:spacing w:line="240" w:lineRule="auto"/>
        <w:jc w:val="both"/>
        <w:rPr>
          <w:b w:val="0"/>
          <w:bCs w:val="0"/>
          <w:iCs w:val="0"/>
          <w:noProof/>
          <w:kern w:val="2"/>
          <w:sz w:val="24"/>
          <w:szCs w:val="24"/>
        </w:rPr>
      </w:pPr>
      <w:r w:rsidRPr="00FC1444">
        <w:rPr>
          <w:sz w:val="24"/>
          <w:szCs w:val="24"/>
        </w:rPr>
        <w:fldChar w:fldCharType="begin"/>
      </w:r>
      <w:r w:rsidR="00611CBA" w:rsidRPr="00FC1444">
        <w:rPr>
          <w:sz w:val="24"/>
          <w:szCs w:val="24"/>
        </w:rPr>
        <w:instrText xml:space="preserve"> TOC \o "1-2" \h \z \u </w:instrText>
      </w:r>
      <w:r w:rsidRPr="00FC1444">
        <w:rPr>
          <w:sz w:val="24"/>
          <w:szCs w:val="24"/>
        </w:rPr>
        <w:fldChar w:fldCharType="separate"/>
      </w:r>
      <w:hyperlink w:anchor="_Toc208906216" w:history="1">
        <w:r w:rsidR="00611CBA" w:rsidRPr="00FC1444">
          <w:rPr>
            <w:rStyle w:val="aff2"/>
            <w:b w:val="0"/>
            <w:noProof/>
            <w:color w:val="auto"/>
            <w:sz w:val="24"/>
            <w:szCs w:val="24"/>
          </w:rPr>
          <w:t>1</w:t>
        </w:r>
        <w:r w:rsidR="00611CBA" w:rsidRPr="00FC1444">
          <w:rPr>
            <w:rStyle w:val="aff2"/>
            <w:b w:val="0"/>
            <w:noProof/>
            <w:color w:val="auto"/>
            <w:sz w:val="24"/>
            <w:szCs w:val="24"/>
          </w:rPr>
          <w:t>概述</w:t>
        </w:r>
        <w:r w:rsidR="00611CBA" w:rsidRPr="00FC1444">
          <w:rPr>
            <w:b w:val="0"/>
            <w:noProof/>
            <w:sz w:val="24"/>
            <w:szCs w:val="24"/>
          </w:rPr>
          <w:tab/>
        </w:r>
        <w:r w:rsidRPr="00FC1444">
          <w:rPr>
            <w:b w:val="0"/>
            <w:noProof/>
            <w:sz w:val="24"/>
            <w:szCs w:val="24"/>
          </w:rPr>
          <w:fldChar w:fldCharType="begin"/>
        </w:r>
        <w:r w:rsidR="00611CBA" w:rsidRPr="00FC1444">
          <w:rPr>
            <w:b w:val="0"/>
            <w:noProof/>
            <w:sz w:val="24"/>
            <w:szCs w:val="24"/>
          </w:rPr>
          <w:instrText xml:space="preserve"> PAGEREF _Toc208906216 \h </w:instrText>
        </w:r>
        <w:r w:rsidRPr="00FC1444">
          <w:rPr>
            <w:b w:val="0"/>
            <w:noProof/>
            <w:sz w:val="24"/>
            <w:szCs w:val="24"/>
          </w:rPr>
        </w:r>
        <w:r w:rsidRPr="00FC1444">
          <w:rPr>
            <w:b w:val="0"/>
            <w:noProof/>
            <w:sz w:val="24"/>
            <w:szCs w:val="24"/>
          </w:rPr>
          <w:fldChar w:fldCharType="separate"/>
        </w:r>
        <w:r w:rsidR="00FC1444">
          <w:rPr>
            <w:b w:val="0"/>
            <w:noProof/>
            <w:sz w:val="24"/>
            <w:szCs w:val="24"/>
          </w:rPr>
          <w:t>1</w:t>
        </w:r>
        <w:r w:rsidRPr="00FC1444">
          <w:rPr>
            <w:b w:val="0"/>
            <w:noProof/>
            <w:sz w:val="24"/>
            <w:szCs w:val="24"/>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17" w:history="1">
        <w:r w:rsidR="00611CBA" w:rsidRPr="00FC1444">
          <w:rPr>
            <w:rStyle w:val="aff2"/>
            <w:rFonts w:eastAsiaTheme="minorEastAsia"/>
            <w:b w:val="0"/>
            <w:noProof/>
            <w:color w:val="auto"/>
            <w:kern w:val="44"/>
          </w:rPr>
          <w:t>1.1</w:t>
        </w:r>
        <w:r w:rsidR="00611CBA" w:rsidRPr="00FC1444">
          <w:rPr>
            <w:rStyle w:val="aff2"/>
            <w:rFonts w:eastAsiaTheme="minorEastAsia"/>
            <w:b w:val="0"/>
            <w:noProof/>
            <w:color w:val="auto"/>
            <w:kern w:val="44"/>
          </w:rPr>
          <w:t>项目由来</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_Toc208906217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1</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Style w:val="aff2"/>
          <w:rFonts w:eastAsiaTheme="minorEastAsia"/>
          <w:b w:val="0"/>
          <w:noProof/>
          <w:color w:val="auto"/>
          <w:kern w:val="44"/>
        </w:rPr>
      </w:pPr>
      <w:hyperlink w:anchor="_Toc208906218" w:history="1">
        <w:r w:rsidR="00611CBA" w:rsidRPr="00FC1444">
          <w:rPr>
            <w:rStyle w:val="aff2"/>
            <w:rFonts w:eastAsiaTheme="minorEastAsia"/>
            <w:b w:val="0"/>
            <w:noProof/>
            <w:color w:val="auto"/>
            <w:kern w:val="44"/>
          </w:rPr>
          <w:t>1.2</w:t>
        </w:r>
        <w:r w:rsidR="00611CBA" w:rsidRPr="00FC1444">
          <w:rPr>
            <w:rStyle w:val="aff2"/>
            <w:rFonts w:eastAsiaTheme="minorEastAsia"/>
            <w:b w:val="0"/>
            <w:noProof/>
            <w:color w:val="auto"/>
            <w:kern w:val="44"/>
          </w:rPr>
          <w:t>项目特点</w:t>
        </w:r>
        <w:r w:rsidR="00611CBA" w:rsidRPr="00FC1444">
          <w:rPr>
            <w:rStyle w:val="aff2"/>
            <w:rFonts w:eastAsiaTheme="minorEastAsia"/>
            <w:b w:val="0"/>
            <w:noProof/>
            <w:color w:val="auto"/>
            <w:kern w:val="44"/>
          </w:rPr>
          <w:tab/>
        </w:r>
        <w:r w:rsidRPr="00FC1444">
          <w:rPr>
            <w:rStyle w:val="aff2"/>
            <w:rFonts w:eastAsiaTheme="minorEastAsia"/>
            <w:b w:val="0"/>
            <w:noProof/>
            <w:color w:val="auto"/>
            <w:kern w:val="44"/>
          </w:rPr>
          <w:fldChar w:fldCharType="begin"/>
        </w:r>
        <w:r w:rsidR="00611CBA" w:rsidRPr="00FC1444">
          <w:rPr>
            <w:rStyle w:val="aff2"/>
            <w:rFonts w:eastAsiaTheme="minorEastAsia"/>
            <w:b w:val="0"/>
            <w:noProof/>
            <w:color w:val="auto"/>
            <w:kern w:val="44"/>
          </w:rPr>
          <w:instrText xml:space="preserve"> PAGEREF _Toc208906218 \h </w:instrText>
        </w:r>
        <w:r w:rsidRPr="00FC1444">
          <w:rPr>
            <w:rStyle w:val="aff2"/>
            <w:rFonts w:eastAsiaTheme="minorEastAsia"/>
            <w:b w:val="0"/>
            <w:noProof/>
            <w:color w:val="auto"/>
            <w:kern w:val="44"/>
          </w:rPr>
        </w:r>
        <w:r w:rsidRPr="00FC1444">
          <w:rPr>
            <w:rStyle w:val="aff2"/>
            <w:rFonts w:eastAsiaTheme="minorEastAsia"/>
            <w:b w:val="0"/>
            <w:noProof/>
            <w:color w:val="auto"/>
            <w:kern w:val="44"/>
          </w:rPr>
          <w:fldChar w:fldCharType="separate"/>
        </w:r>
        <w:r w:rsidR="00FC1444">
          <w:rPr>
            <w:rStyle w:val="aff2"/>
            <w:rFonts w:eastAsiaTheme="minorEastAsia"/>
            <w:b w:val="0"/>
            <w:noProof/>
            <w:color w:val="auto"/>
            <w:kern w:val="44"/>
          </w:rPr>
          <w:t>2</w:t>
        </w:r>
        <w:r w:rsidRPr="00FC1444">
          <w:rPr>
            <w:rStyle w:val="aff2"/>
            <w:rFonts w:eastAsiaTheme="minorEastAsia"/>
            <w:b w:val="0"/>
            <w:noProof/>
            <w:color w:val="auto"/>
            <w:kern w:val="44"/>
          </w:rPr>
          <w:fldChar w:fldCharType="end"/>
        </w:r>
      </w:hyperlink>
    </w:p>
    <w:p w:rsidR="002A5A5E" w:rsidRPr="00FC1444" w:rsidRDefault="009840DD">
      <w:pPr>
        <w:pStyle w:val="23"/>
        <w:tabs>
          <w:tab w:val="right" w:leader="dot" w:pos="8296"/>
        </w:tabs>
        <w:spacing w:before="0" w:line="240" w:lineRule="auto"/>
        <w:ind w:left="0" w:firstLine="426"/>
        <w:rPr>
          <w:rStyle w:val="aff2"/>
          <w:rFonts w:eastAsiaTheme="minorEastAsia"/>
          <w:b w:val="0"/>
          <w:noProof/>
          <w:color w:val="auto"/>
          <w:kern w:val="44"/>
        </w:rPr>
      </w:pPr>
      <w:hyperlink w:anchor="_Toc208906219" w:history="1">
        <w:r w:rsidR="00611CBA" w:rsidRPr="00FC1444">
          <w:rPr>
            <w:rStyle w:val="aff2"/>
            <w:rFonts w:eastAsiaTheme="minorEastAsia"/>
            <w:b w:val="0"/>
            <w:noProof/>
            <w:color w:val="auto"/>
            <w:kern w:val="44"/>
          </w:rPr>
          <w:t>1.3</w:t>
        </w:r>
        <w:r w:rsidR="00FC1444" w:rsidRPr="00FC1444">
          <w:rPr>
            <w:rStyle w:val="aff2"/>
            <w:rFonts w:eastAsiaTheme="minorEastAsia"/>
            <w:b w:val="0"/>
            <w:noProof/>
            <w:color w:val="auto"/>
            <w:kern w:val="44"/>
          </w:rPr>
          <w:t>生态</w:t>
        </w:r>
        <w:r w:rsidR="00611CBA" w:rsidRPr="00FC1444">
          <w:rPr>
            <w:rStyle w:val="aff2"/>
            <w:rFonts w:eastAsiaTheme="minorEastAsia"/>
            <w:b w:val="0"/>
            <w:noProof/>
            <w:color w:val="auto"/>
            <w:kern w:val="44"/>
          </w:rPr>
          <w:t>环境影响评价工作过程</w:t>
        </w:r>
        <w:r w:rsidR="00611CBA" w:rsidRPr="00FC1444">
          <w:rPr>
            <w:rStyle w:val="aff2"/>
            <w:rFonts w:eastAsiaTheme="minorEastAsia"/>
            <w:b w:val="0"/>
            <w:noProof/>
            <w:color w:val="auto"/>
            <w:kern w:val="44"/>
          </w:rPr>
          <w:tab/>
        </w:r>
        <w:r w:rsidRPr="00FC1444">
          <w:rPr>
            <w:rStyle w:val="aff2"/>
            <w:rFonts w:eastAsiaTheme="minorEastAsia"/>
            <w:b w:val="0"/>
            <w:noProof/>
            <w:color w:val="auto"/>
            <w:kern w:val="44"/>
          </w:rPr>
          <w:fldChar w:fldCharType="begin"/>
        </w:r>
        <w:r w:rsidR="00611CBA" w:rsidRPr="00FC1444">
          <w:rPr>
            <w:rStyle w:val="aff2"/>
            <w:rFonts w:eastAsiaTheme="minorEastAsia"/>
            <w:b w:val="0"/>
            <w:noProof/>
            <w:color w:val="auto"/>
            <w:kern w:val="44"/>
          </w:rPr>
          <w:instrText xml:space="preserve"> PAGEREF _Toc208906219 \h </w:instrText>
        </w:r>
        <w:r w:rsidRPr="00FC1444">
          <w:rPr>
            <w:rStyle w:val="aff2"/>
            <w:rFonts w:eastAsiaTheme="minorEastAsia"/>
            <w:b w:val="0"/>
            <w:noProof/>
            <w:color w:val="auto"/>
            <w:kern w:val="44"/>
          </w:rPr>
        </w:r>
        <w:r w:rsidRPr="00FC1444">
          <w:rPr>
            <w:rStyle w:val="aff2"/>
            <w:rFonts w:eastAsiaTheme="minorEastAsia"/>
            <w:b w:val="0"/>
            <w:noProof/>
            <w:color w:val="auto"/>
            <w:kern w:val="44"/>
          </w:rPr>
          <w:fldChar w:fldCharType="separate"/>
        </w:r>
        <w:r w:rsidR="00FC1444">
          <w:rPr>
            <w:rStyle w:val="aff2"/>
            <w:rFonts w:eastAsiaTheme="minorEastAsia"/>
            <w:b w:val="0"/>
            <w:noProof/>
            <w:color w:val="auto"/>
            <w:kern w:val="44"/>
          </w:rPr>
          <w:t>6</w:t>
        </w:r>
        <w:r w:rsidRPr="00FC1444">
          <w:rPr>
            <w:rStyle w:val="aff2"/>
            <w:rFonts w:eastAsiaTheme="minorEastAsia"/>
            <w:b w:val="0"/>
            <w:noProof/>
            <w:color w:val="auto"/>
            <w:kern w:val="44"/>
          </w:rPr>
          <w:fldChar w:fldCharType="end"/>
        </w:r>
      </w:hyperlink>
    </w:p>
    <w:p w:rsidR="002A5A5E" w:rsidRPr="00FC1444" w:rsidRDefault="009840DD">
      <w:pPr>
        <w:pStyle w:val="23"/>
        <w:tabs>
          <w:tab w:val="right" w:leader="dot" w:pos="8296"/>
        </w:tabs>
        <w:spacing w:before="0" w:line="240" w:lineRule="auto"/>
        <w:ind w:left="0" w:firstLine="426"/>
        <w:rPr>
          <w:rStyle w:val="aff2"/>
          <w:rFonts w:eastAsiaTheme="minorEastAsia"/>
          <w:b w:val="0"/>
          <w:noProof/>
          <w:color w:val="auto"/>
          <w:kern w:val="44"/>
        </w:rPr>
      </w:pPr>
      <w:hyperlink w:anchor="_Toc208906220" w:history="1">
        <w:r w:rsidR="00611CBA" w:rsidRPr="00FC1444">
          <w:rPr>
            <w:rStyle w:val="aff2"/>
            <w:rFonts w:eastAsiaTheme="minorEastAsia"/>
            <w:b w:val="0"/>
            <w:noProof/>
            <w:color w:val="auto"/>
            <w:kern w:val="44"/>
          </w:rPr>
          <w:t>1.4</w:t>
        </w:r>
        <w:r w:rsidR="00611CBA" w:rsidRPr="00FC1444">
          <w:rPr>
            <w:rStyle w:val="aff2"/>
            <w:rFonts w:eastAsiaTheme="minorEastAsia"/>
            <w:b w:val="0"/>
            <w:noProof/>
            <w:color w:val="auto"/>
            <w:kern w:val="44"/>
          </w:rPr>
          <w:t>分析判定相关情况</w:t>
        </w:r>
        <w:r w:rsidR="00611CBA" w:rsidRPr="00FC1444">
          <w:rPr>
            <w:rStyle w:val="aff2"/>
            <w:rFonts w:eastAsiaTheme="minorEastAsia"/>
            <w:b w:val="0"/>
            <w:noProof/>
            <w:color w:val="auto"/>
            <w:kern w:val="44"/>
          </w:rPr>
          <w:tab/>
        </w:r>
        <w:r w:rsidRPr="00FC1444">
          <w:rPr>
            <w:rStyle w:val="aff2"/>
            <w:rFonts w:eastAsiaTheme="minorEastAsia"/>
            <w:b w:val="0"/>
            <w:noProof/>
            <w:color w:val="auto"/>
            <w:kern w:val="44"/>
          </w:rPr>
          <w:fldChar w:fldCharType="begin"/>
        </w:r>
        <w:r w:rsidR="00611CBA" w:rsidRPr="00FC1444">
          <w:rPr>
            <w:rStyle w:val="aff2"/>
            <w:rFonts w:eastAsiaTheme="minorEastAsia"/>
            <w:b w:val="0"/>
            <w:noProof/>
            <w:color w:val="auto"/>
            <w:kern w:val="44"/>
          </w:rPr>
          <w:instrText xml:space="preserve"> PAGEREF _Toc208906220 \h </w:instrText>
        </w:r>
        <w:r w:rsidRPr="00FC1444">
          <w:rPr>
            <w:rStyle w:val="aff2"/>
            <w:rFonts w:eastAsiaTheme="minorEastAsia"/>
            <w:b w:val="0"/>
            <w:noProof/>
            <w:color w:val="auto"/>
            <w:kern w:val="44"/>
          </w:rPr>
        </w:r>
        <w:r w:rsidRPr="00FC1444">
          <w:rPr>
            <w:rStyle w:val="aff2"/>
            <w:rFonts w:eastAsiaTheme="minorEastAsia"/>
            <w:b w:val="0"/>
            <w:noProof/>
            <w:color w:val="auto"/>
            <w:kern w:val="44"/>
          </w:rPr>
          <w:fldChar w:fldCharType="separate"/>
        </w:r>
        <w:r w:rsidR="00FC1444">
          <w:rPr>
            <w:rStyle w:val="aff2"/>
            <w:rFonts w:eastAsiaTheme="minorEastAsia"/>
            <w:b w:val="0"/>
            <w:noProof/>
            <w:color w:val="auto"/>
            <w:kern w:val="44"/>
          </w:rPr>
          <w:t>7</w:t>
        </w:r>
        <w:r w:rsidRPr="00FC1444">
          <w:rPr>
            <w:rStyle w:val="aff2"/>
            <w:rFonts w:eastAsiaTheme="minorEastAsia"/>
            <w:b w:val="0"/>
            <w:noProof/>
            <w:color w:val="auto"/>
            <w:kern w:val="44"/>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21" w:history="1">
        <w:r w:rsidR="00611CBA" w:rsidRPr="00FC1444">
          <w:rPr>
            <w:rStyle w:val="aff2"/>
            <w:rFonts w:eastAsiaTheme="minorEastAsia"/>
            <w:b w:val="0"/>
            <w:noProof/>
            <w:color w:val="auto"/>
            <w:kern w:val="44"/>
          </w:rPr>
          <w:t>1.5</w:t>
        </w:r>
        <w:r w:rsidR="00611CBA" w:rsidRPr="00FC1444">
          <w:rPr>
            <w:rStyle w:val="aff2"/>
            <w:rFonts w:eastAsiaTheme="minorEastAsia"/>
            <w:b w:val="0"/>
            <w:noProof/>
            <w:color w:val="auto"/>
            <w:kern w:val="44"/>
          </w:rPr>
          <w:t>关注的主要</w:t>
        </w:r>
        <w:r w:rsidR="00FC1444" w:rsidRPr="00FC1444">
          <w:rPr>
            <w:rStyle w:val="aff2"/>
            <w:rFonts w:eastAsiaTheme="minorEastAsia"/>
            <w:b w:val="0"/>
            <w:noProof/>
            <w:color w:val="auto"/>
            <w:kern w:val="44"/>
          </w:rPr>
          <w:t>生态</w:t>
        </w:r>
        <w:r w:rsidR="00611CBA" w:rsidRPr="00FC1444">
          <w:rPr>
            <w:rStyle w:val="aff2"/>
            <w:rFonts w:eastAsiaTheme="minorEastAsia"/>
            <w:b w:val="0"/>
            <w:noProof/>
            <w:color w:val="auto"/>
            <w:kern w:val="44"/>
          </w:rPr>
          <w:t>环境问题及环境影响</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_Toc208906221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41</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22" w:history="1">
        <w:r w:rsidR="00611CBA" w:rsidRPr="00FC1444">
          <w:rPr>
            <w:rStyle w:val="aff2"/>
            <w:rFonts w:eastAsiaTheme="minorEastAsia"/>
            <w:b w:val="0"/>
            <w:noProof/>
            <w:color w:val="auto"/>
            <w:kern w:val="44"/>
          </w:rPr>
          <w:t>1.6</w:t>
        </w:r>
        <w:r w:rsidR="00FC1444" w:rsidRPr="00FC1444">
          <w:rPr>
            <w:rStyle w:val="aff2"/>
            <w:rFonts w:eastAsiaTheme="minorEastAsia"/>
            <w:b w:val="0"/>
            <w:noProof/>
            <w:color w:val="auto"/>
            <w:kern w:val="44"/>
          </w:rPr>
          <w:t>生态</w:t>
        </w:r>
        <w:r w:rsidR="00611CBA" w:rsidRPr="00FC1444">
          <w:rPr>
            <w:rStyle w:val="aff2"/>
            <w:rFonts w:eastAsiaTheme="minorEastAsia"/>
            <w:b w:val="0"/>
            <w:noProof/>
            <w:color w:val="auto"/>
            <w:kern w:val="44"/>
          </w:rPr>
          <w:t>环境影响评价主要结论</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_Toc208906222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43</w:t>
        </w:r>
        <w:r w:rsidRPr="00FC1444">
          <w:rPr>
            <w:rFonts w:eastAsiaTheme="minorEastAsia"/>
            <w:b w:val="0"/>
            <w:noProof/>
            <w:color w:val="auto"/>
          </w:rPr>
          <w:fldChar w:fldCharType="end"/>
        </w:r>
      </w:hyperlink>
    </w:p>
    <w:p w:rsidR="002A5A5E" w:rsidRPr="00FC1444" w:rsidRDefault="009840DD">
      <w:pPr>
        <w:pStyle w:val="11"/>
        <w:spacing w:line="240" w:lineRule="auto"/>
        <w:rPr>
          <w:b w:val="0"/>
          <w:bCs w:val="0"/>
          <w:iCs w:val="0"/>
          <w:noProof/>
          <w:kern w:val="2"/>
          <w:sz w:val="24"/>
          <w:szCs w:val="24"/>
        </w:rPr>
      </w:pPr>
      <w:hyperlink w:anchor="_Toc208906223" w:history="1">
        <w:r w:rsidR="00611CBA" w:rsidRPr="00FC1444">
          <w:rPr>
            <w:rStyle w:val="aff2"/>
            <w:b w:val="0"/>
            <w:noProof/>
            <w:color w:val="auto"/>
            <w:sz w:val="24"/>
            <w:szCs w:val="24"/>
          </w:rPr>
          <w:t>2</w:t>
        </w:r>
        <w:r w:rsidR="00611CBA" w:rsidRPr="00FC1444">
          <w:rPr>
            <w:rStyle w:val="aff2"/>
            <w:b w:val="0"/>
            <w:noProof/>
            <w:color w:val="auto"/>
            <w:sz w:val="24"/>
            <w:szCs w:val="24"/>
          </w:rPr>
          <w:t>总则</w:t>
        </w:r>
        <w:r w:rsidR="00611CBA" w:rsidRPr="00FC1444">
          <w:rPr>
            <w:b w:val="0"/>
            <w:noProof/>
            <w:sz w:val="24"/>
            <w:szCs w:val="24"/>
          </w:rPr>
          <w:tab/>
        </w:r>
        <w:r w:rsidRPr="00FC1444">
          <w:rPr>
            <w:b w:val="0"/>
            <w:noProof/>
            <w:sz w:val="24"/>
            <w:szCs w:val="24"/>
          </w:rPr>
          <w:fldChar w:fldCharType="begin"/>
        </w:r>
        <w:r w:rsidR="00611CBA" w:rsidRPr="00FC1444">
          <w:rPr>
            <w:b w:val="0"/>
            <w:noProof/>
            <w:sz w:val="24"/>
            <w:szCs w:val="24"/>
          </w:rPr>
          <w:instrText xml:space="preserve"> PAGEREF _Toc208906223 \h </w:instrText>
        </w:r>
        <w:r w:rsidRPr="00FC1444">
          <w:rPr>
            <w:b w:val="0"/>
            <w:noProof/>
            <w:sz w:val="24"/>
            <w:szCs w:val="24"/>
          </w:rPr>
        </w:r>
        <w:r w:rsidRPr="00FC1444">
          <w:rPr>
            <w:b w:val="0"/>
            <w:noProof/>
            <w:sz w:val="24"/>
            <w:szCs w:val="24"/>
          </w:rPr>
          <w:fldChar w:fldCharType="separate"/>
        </w:r>
        <w:r w:rsidR="00FC1444">
          <w:rPr>
            <w:b w:val="0"/>
            <w:noProof/>
            <w:sz w:val="24"/>
            <w:szCs w:val="24"/>
          </w:rPr>
          <w:t>44</w:t>
        </w:r>
        <w:r w:rsidRPr="00FC1444">
          <w:rPr>
            <w:b w:val="0"/>
            <w:noProof/>
            <w:sz w:val="24"/>
            <w:szCs w:val="24"/>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24" w:history="1">
        <w:r w:rsidR="00611CBA" w:rsidRPr="00FC1444">
          <w:rPr>
            <w:rStyle w:val="aff2"/>
            <w:rFonts w:eastAsiaTheme="minorEastAsia"/>
            <w:b w:val="0"/>
            <w:noProof/>
            <w:color w:val="auto"/>
            <w:kern w:val="44"/>
          </w:rPr>
          <w:t>2.1</w:t>
        </w:r>
        <w:r w:rsidR="00611CBA" w:rsidRPr="00FC1444">
          <w:rPr>
            <w:rStyle w:val="aff2"/>
            <w:rFonts w:eastAsiaTheme="minorEastAsia"/>
            <w:b w:val="0"/>
            <w:noProof/>
            <w:color w:val="auto"/>
            <w:kern w:val="44"/>
          </w:rPr>
          <w:t>编制依据</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_Toc208906224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44</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25" w:history="1">
        <w:r w:rsidR="00611CBA" w:rsidRPr="00FC1444">
          <w:rPr>
            <w:rStyle w:val="aff2"/>
            <w:rFonts w:eastAsiaTheme="minorEastAsia"/>
            <w:b w:val="0"/>
            <w:noProof/>
            <w:color w:val="auto"/>
            <w:kern w:val="44"/>
          </w:rPr>
          <w:t>2.2</w:t>
        </w:r>
        <w:r w:rsidR="00611CBA" w:rsidRPr="00FC1444">
          <w:rPr>
            <w:rStyle w:val="aff2"/>
            <w:rFonts w:eastAsiaTheme="minorEastAsia"/>
            <w:b w:val="0"/>
            <w:noProof/>
            <w:color w:val="auto"/>
            <w:kern w:val="44"/>
          </w:rPr>
          <w:t>评价目的与原则</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_Toc208906225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46</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26" w:history="1">
        <w:r w:rsidR="00611CBA" w:rsidRPr="00FC1444">
          <w:rPr>
            <w:rStyle w:val="aff2"/>
            <w:rFonts w:eastAsiaTheme="minorEastAsia"/>
            <w:b w:val="0"/>
            <w:noProof/>
            <w:color w:val="auto"/>
            <w:kern w:val="44"/>
          </w:rPr>
          <w:t>2.3</w:t>
        </w:r>
        <w:r w:rsidR="00611CBA" w:rsidRPr="00FC1444">
          <w:rPr>
            <w:rStyle w:val="aff2"/>
            <w:rFonts w:eastAsiaTheme="minorEastAsia"/>
            <w:b w:val="0"/>
            <w:noProof/>
            <w:color w:val="auto"/>
            <w:kern w:val="44"/>
          </w:rPr>
          <w:t>评价内容及评价重点</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_Toc208906226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47</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27" w:history="1">
        <w:r w:rsidR="00611CBA" w:rsidRPr="00FC1444">
          <w:rPr>
            <w:rStyle w:val="aff2"/>
            <w:rFonts w:eastAsiaTheme="minorEastAsia"/>
            <w:b w:val="0"/>
            <w:noProof/>
            <w:color w:val="auto"/>
            <w:kern w:val="44"/>
          </w:rPr>
          <w:t>2.4</w:t>
        </w:r>
        <w:r w:rsidR="00FC1444" w:rsidRPr="00FC1444">
          <w:rPr>
            <w:rStyle w:val="aff2"/>
            <w:rFonts w:eastAsiaTheme="minorEastAsia"/>
            <w:b w:val="0"/>
            <w:noProof/>
            <w:color w:val="auto"/>
            <w:kern w:val="44"/>
          </w:rPr>
          <w:t>生态</w:t>
        </w:r>
        <w:r w:rsidR="00611CBA" w:rsidRPr="00FC1444">
          <w:rPr>
            <w:rStyle w:val="aff2"/>
            <w:rFonts w:eastAsiaTheme="minorEastAsia"/>
            <w:b w:val="0"/>
            <w:noProof/>
            <w:color w:val="auto"/>
            <w:kern w:val="44"/>
          </w:rPr>
          <w:t>环境影响因素识别与评价因子筛选</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_Toc208906227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48</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28" w:history="1">
        <w:r w:rsidR="00611CBA" w:rsidRPr="00FC1444">
          <w:rPr>
            <w:rStyle w:val="aff2"/>
            <w:rFonts w:eastAsiaTheme="minorEastAsia"/>
            <w:b w:val="0"/>
            <w:noProof/>
            <w:color w:val="auto"/>
            <w:kern w:val="44"/>
          </w:rPr>
          <w:t>2.5</w:t>
        </w:r>
        <w:r w:rsidR="00611CBA" w:rsidRPr="00FC1444">
          <w:rPr>
            <w:rStyle w:val="aff2"/>
            <w:rFonts w:eastAsiaTheme="minorEastAsia"/>
            <w:b w:val="0"/>
            <w:noProof/>
            <w:color w:val="auto"/>
            <w:kern w:val="44"/>
          </w:rPr>
          <w:t>环境功能区划及评价标准</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_Toc208906228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52</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29" w:history="1">
        <w:r w:rsidR="00611CBA" w:rsidRPr="00FC1444">
          <w:rPr>
            <w:rStyle w:val="aff2"/>
            <w:rFonts w:eastAsiaTheme="minorEastAsia"/>
            <w:b w:val="0"/>
            <w:noProof/>
            <w:color w:val="auto"/>
            <w:kern w:val="44"/>
          </w:rPr>
          <w:t>2.6</w:t>
        </w:r>
        <w:r w:rsidR="00611CBA" w:rsidRPr="00FC1444">
          <w:rPr>
            <w:rStyle w:val="aff2"/>
            <w:rFonts w:eastAsiaTheme="minorEastAsia"/>
            <w:b w:val="0"/>
            <w:noProof/>
            <w:color w:val="auto"/>
            <w:kern w:val="44"/>
          </w:rPr>
          <w:t>评价工作等级</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_Toc208906229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56</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30" w:history="1">
        <w:r w:rsidR="00611CBA" w:rsidRPr="00FC1444">
          <w:rPr>
            <w:rStyle w:val="aff2"/>
            <w:rFonts w:eastAsiaTheme="minorEastAsia"/>
            <w:b w:val="0"/>
            <w:noProof/>
            <w:color w:val="auto"/>
            <w:kern w:val="44"/>
          </w:rPr>
          <w:t>2.7</w:t>
        </w:r>
        <w:r w:rsidR="00611CBA" w:rsidRPr="00FC1444">
          <w:rPr>
            <w:rStyle w:val="aff2"/>
            <w:rFonts w:eastAsiaTheme="minorEastAsia"/>
            <w:b w:val="0"/>
            <w:noProof/>
            <w:color w:val="auto"/>
            <w:kern w:val="44"/>
          </w:rPr>
          <w:t>评价范围及评价时段</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_Toc208906230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67</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31" w:history="1">
        <w:r w:rsidR="00611CBA" w:rsidRPr="00FC1444">
          <w:rPr>
            <w:rStyle w:val="aff2"/>
            <w:rFonts w:eastAsiaTheme="minorEastAsia"/>
            <w:b w:val="0"/>
            <w:noProof/>
            <w:color w:val="auto"/>
            <w:kern w:val="44"/>
          </w:rPr>
          <w:t>2.8</w:t>
        </w:r>
        <w:r w:rsidR="00611CBA" w:rsidRPr="00FC1444">
          <w:rPr>
            <w:rStyle w:val="aff2"/>
            <w:rFonts w:eastAsiaTheme="minorEastAsia"/>
            <w:b w:val="0"/>
            <w:noProof/>
            <w:color w:val="auto"/>
            <w:kern w:val="44"/>
          </w:rPr>
          <w:t>污染控制与环境保护目标</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_Toc208906231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71</w:t>
        </w:r>
        <w:r w:rsidRPr="00FC1444">
          <w:rPr>
            <w:rFonts w:eastAsiaTheme="minorEastAsia"/>
            <w:b w:val="0"/>
            <w:noProof/>
            <w:color w:val="auto"/>
          </w:rPr>
          <w:fldChar w:fldCharType="end"/>
        </w:r>
      </w:hyperlink>
    </w:p>
    <w:p w:rsidR="002A5A5E" w:rsidRPr="00FC1444" w:rsidRDefault="009840DD">
      <w:pPr>
        <w:pStyle w:val="11"/>
        <w:spacing w:line="240" w:lineRule="auto"/>
        <w:rPr>
          <w:b w:val="0"/>
          <w:bCs w:val="0"/>
          <w:iCs w:val="0"/>
          <w:noProof/>
          <w:kern w:val="2"/>
          <w:sz w:val="24"/>
          <w:szCs w:val="24"/>
        </w:rPr>
      </w:pPr>
      <w:hyperlink w:anchor="_Toc208906232" w:history="1">
        <w:r w:rsidR="00611CBA" w:rsidRPr="00FC1444">
          <w:rPr>
            <w:rStyle w:val="aff2"/>
            <w:b w:val="0"/>
            <w:noProof/>
            <w:color w:val="auto"/>
            <w:sz w:val="24"/>
            <w:szCs w:val="24"/>
          </w:rPr>
          <w:t>3</w:t>
        </w:r>
        <w:r w:rsidR="00611CBA" w:rsidRPr="00FC1444">
          <w:rPr>
            <w:rStyle w:val="aff2"/>
            <w:b w:val="0"/>
            <w:noProof/>
            <w:color w:val="auto"/>
            <w:sz w:val="24"/>
            <w:szCs w:val="24"/>
          </w:rPr>
          <w:t>建设项目工程分析</w:t>
        </w:r>
        <w:r w:rsidR="00611CBA" w:rsidRPr="00FC1444">
          <w:rPr>
            <w:b w:val="0"/>
            <w:noProof/>
            <w:sz w:val="24"/>
            <w:szCs w:val="24"/>
          </w:rPr>
          <w:tab/>
        </w:r>
        <w:r w:rsidRPr="00FC1444">
          <w:rPr>
            <w:b w:val="0"/>
            <w:noProof/>
            <w:sz w:val="24"/>
            <w:szCs w:val="24"/>
          </w:rPr>
          <w:fldChar w:fldCharType="begin"/>
        </w:r>
        <w:r w:rsidR="00611CBA" w:rsidRPr="00FC1444">
          <w:rPr>
            <w:b w:val="0"/>
            <w:noProof/>
            <w:sz w:val="24"/>
            <w:szCs w:val="24"/>
          </w:rPr>
          <w:instrText xml:space="preserve"> PAGEREF _Toc208906232 \h </w:instrText>
        </w:r>
        <w:r w:rsidRPr="00FC1444">
          <w:rPr>
            <w:b w:val="0"/>
            <w:noProof/>
            <w:sz w:val="24"/>
            <w:szCs w:val="24"/>
          </w:rPr>
        </w:r>
        <w:r w:rsidRPr="00FC1444">
          <w:rPr>
            <w:b w:val="0"/>
            <w:noProof/>
            <w:sz w:val="24"/>
            <w:szCs w:val="24"/>
          </w:rPr>
          <w:fldChar w:fldCharType="separate"/>
        </w:r>
        <w:r w:rsidR="00FC1444">
          <w:rPr>
            <w:b w:val="0"/>
            <w:noProof/>
            <w:sz w:val="24"/>
            <w:szCs w:val="24"/>
          </w:rPr>
          <w:t>82</w:t>
        </w:r>
        <w:r w:rsidRPr="00FC1444">
          <w:rPr>
            <w:b w:val="0"/>
            <w:noProof/>
            <w:sz w:val="24"/>
            <w:szCs w:val="24"/>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33" w:history="1">
        <w:r w:rsidR="00611CBA" w:rsidRPr="00FC1444">
          <w:rPr>
            <w:rStyle w:val="aff2"/>
            <w:rFonts w:eastAsiaTheme="minorEastAsia"/>
            <w:b w:val="0"/>
            <w:noProof/>
            <w:color w:val="auto"/>
            <w:kern w:val="44"/>
          </w:rPr>
          <w:t>3.1</w:t>
        </w:r>
        <w:r w:rsidR="00611CBA" w:rsidRPr="00FC1444">
          <w:rPr>
            <w:rStyle w:val="aff2"/>
            <w:rFonts w:eastAsiaTheme="minorEastAsia"/>
            <w:b w:val="0"/>
            <w:noProof/>
            <w:color w:val="auto"/>
            <w:kern w:val="44"/>
          </w:rPr>
          <w:t>原有工程回顾性分析</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_Toc208906233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82</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34" w:history="1">
        <w:r w:rsidR="00611CBA" w:rsidRPr="00FC1444">
          <w:rPr>
            <w:rStyle w:val="aff2"/>
            <w:rFonts w:eastAsiaTheme="minorEastAsia"/>
            <w:b w:val="0"/>
            <w:noProof/>
            <w:color w:val="auto"/>
            <w:kern w:val="44"/>
          </w:rPr>
          <w:t>3.2</w:t>
        </w:r>
        <w:r w:rsidR="00611CBA" w:rsidRPr="00FC1444">
          <w:rPr>
            <w:rStyle w:val="aff2"/>
            <w:rFonts w:eastAsiaTheme="minorEastAsia"/>
            <w:b w:val="0"/>
            <w:noProof/>
            <w:color w:val="auto"/>
            <w:kern w:val="44"/>
          </w:rPr>
          <w:t>影响因素分析</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_Toc208906234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119</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35" w:history="1">
        <w:r w:rsidR="00611CBA" w:rsidRPr="00FC1444">
          <w:rPr>
            <w:rStyle w:val="aff2"/>
            <w:rFonts w:eastAsiaTheme="minorEastAsia"/>
            <w:b w:val="0"/>
            <w:noProof/>
            <w:color w:val="auto"/>
            <w:kern w:val="44"/>
          </w:rPr>
          <w:t>3.3</w:t>
        </w:r>
        <w:r w:rsidR="00611CBA" w:rsidRPr="00FC1444">
          <w:rPr>
            <w:rStyle w:val="aff2"/>
            <w:rFonts w:eastAsiaTheme="minorEastAsia"/>
            <w:b w:val="0"/>
            <w:noProof/>
            <w:color w:val="auto"/>
            <w:kern w:val="44"/>
          </w:rPr>
          <w:t>污染源源强核算</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_Toc208906235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129</w:t>
        </w:r>
        <w:r w:rsidRPr="00FC1444">
          <w:rPr>
            <w:rFonts w:eastAsiaTheme="minorEastAsia"/>
            <w:b w:val="0"/>
            <w:noProof/>
            <w:color w:val="auto"/>
          </w:rPr>
          <w:fldChar w:fldCharType="end"/>
        </w:r>
      </w:hyperlink>
    </w:p>
    <w:p w:rsidR="002A5A5E" w:rsidRPr="00FC1444" w:rsidRDefault="009840DD">
      <w:pPr>
        <w:pStyle w:val="11"/>
        <w:spacing w:line="240" w:lineRule="auto"/>
        <w:rPr>
          <w:b w:val="0"/>
          <w:bCs w:val="0"/>
          <w:iCs w:val="0"/>
          <w:noProof/>
          <w:kern w:val="2"/>
          <w:sz w:val="24"/>
          <w:szCs w:val="24"/>
        </w:rPr>
      </w:pPr>
      <w:hyperlink w:anchor="_Toc208906236" w:history="1">
        <w:r w:rsidR="00611CBA" w:rsidRPr="00FC1444">
          <w:rPr>
            <w:rStyle w:val="aff2"/>
            <w:b w:val="0"/>
            <w:noProof/>
            <w:color w:val="auto"/>
            <w:sz w:val="24"/>
            <w:szCs w:val="24"/>
          </w:rPr>
          <w:t>4</w:t>
        </w:r>
        <w:r w:rsidR="00611CBA" w:rsidRPr="00FC1444">
          <w:rPr>
            <w:rStyle w:val="aff2"/>
            <w:b w:val="0"/>
            <w:noProof/>
            <w:color w:val="auto"/>
            <w:sz w:val="24"/>
            <w:szCs w:val="24"/>
          </w:rPr>
          <w:t>环境现状调查与评价</w:t>
        </w:r>
        <w:r w:rsidR="00611CBA" w:rsidRPr="00FC1444">
          <w:rPr>
            <w:b w:val="0"/>
            <w:noProof/>
            <w:sz w:val="24"/>
            <w:szCs w:val="24"/>
          </w:rPr>
          <w:tab/>
        </w:r>
        <w:r w:rsidRPr="00FC1444">
          <w:rPr>
            <w:b w:val="0"/>
            <w:noProof/>
            <w:sz w:val="24"/>
            <w:szCs w:val="24"/>
          </w:rPr>
          <w:fldChar w:fldCharType="begin"/>
        </w:r>
        <w:r w:rsidR="00611CBA" w:rsidRPr="00FC1444">
          <w:rPr>
            <w:b w:val="0"/>
            <w:noProof/>
            <w:sz w:val="24"/>
            <w:szCs w:val="24"/>
          </w:rPr>
          <w:instrText xml:space="preserve"> PAGEREF _Toc208906236 \h </w:instrText>
        </w:r>
        <w:r w:rsidRPr="00FC1444">
          <w:rPr>
            <w:b w:val="0"/>
            <w:noProof/>
            <w:sz w:val="24"/>
            <w:szCs w:val="24"/>
          </w:rPr>
        </w:r>
        <w:r w:rsidRPr="00FC1444">
          <w:rPr>
            <w:b w:val="0"/>
            <w:noProof/>
            <w:sz w:val="24"/>
            <w:szCs w:val="24"/>
          </w:rPr>
          <w:fldChar w:fldCharType="separate"/>
        </w:r>
        <w:r w:rsidR="00FC1444">
          <w:rPr>
            <w:b w:val="0"/>
            <w:noProof/>
            <w:sz w:val="24"/>
            <w:szCs w:val="24"/>
          </w:rPr>
          <w:t>145</w:t>
        </w:r>
        <w:r w:rsidRPr="00FC1444">
          <w:rPr>
            <w:b w:val="0"/>
            <w:noProof/>
            <w:sz w:val="24"/>
            <w:szCs w:val="24"/>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37" w:history="1">
        <w:r w:rsidR="00611CBA" w:rsidRPr="00FC1444">
          <w:rPr>
            <w:rStyle w:val="aff2"/>
            <w:rFonts w:eastAsiaTheme="minorEastAsia"/>
            <w:b w:val="0"/>
            <w:noProof/>
            <w:color w:val="auto"/>
            <w:kern w:val="44"/>
          </w:rPr>
          <w:t>4.1</w:t>
        </w:r>
        <w:r w:rsidR="00611CBA" w:rsidRPr="00FC1444">
          <w:rPr>
            <w:rStyle w:val="aff2"/>
            <w:rFonts w:eastAsiaTheme="minorEastAsia"/>
            <w:b w:val="0"/>
            <w:noProof/>
            <w:color w:val="auto"/>
            <w:kern w:val="44"/>
          </w:rPr>
          <w:t>自然环境概况</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_Toc208906237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145</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38" w:history="1">
        <w:r w:rsidR="00611CBA" w:rsidRPr="00FC1444">
          <w:rPr>
            <w:rStyle w:val="aff2"/>
            <w:rFonts w:eastAsiaTheme="minorEastAsia"/>
            <w:b w:val="0"/>
            <w:noProof/>
            <w:color w:val="auto"/>
            <w:kern w:val="44"/>
          </w:rPr>
          <w:t>4.2</w:t>
        </w:r>
        <w:r w:rsidR="00611CBA" w:rsidRPr="00FC1444">
          <w:rPr>
            <w:rStyle w:val="aff2"/>
            <w:rFonts w:eastAsiaTheme="minorEastAsia"/>
            <w:b w:val="0"/>
            <w:noProof/>
            <w:color w:val="auto"/>
            <w:kern w:val="44"/>
          </w:rPr>
          <w:t>环境质量现状调查</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_Toc208906238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151</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39" w:history="1">
        <w:r w:rsidR="00611CBA" w:rsidRPr="00FC1444">
          <w:rPr>
            <w:rStyle w:val="aff2"/>
            <w:rFonts w:eastAsiaTheme="minorEastAsia"/>
            <w:b w:val="0"/>
            <w:noProof/>
            <w:color w:val="auto"/>
            <w:kern w:val="44"/>
          </w:rPr>
          <w:t>4.3</w:t>
        </w:r>
        <w:r w:rsidR="00611CBA" w:rsidRPr="00FC1444">
          <w:rPr>
            <w:rStyle w:val="aff2"/>
            <w:rFonts w:eastAsiaTheme="minorEastAsia"/>
            <w:b w:val="0"/>
            <w:noProof/>
            <w:color w:val="auto"/>
            <w:kern w:val="44"/>
          </w:rPr>
          <w:t>区域污染源调查</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_Toc208906239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177</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40" w:history="1">
        <w:r w:rsidR="00611CBA" w:rsidRPr="00FC1444">
          <w:rPr>
            <w:rStyle w:val="aff2"/>
            <w:rFonts w:eastAsiaTheme="minorEastAsia"/>
            <w:b w:val="0"/>
            <w:noProof/>
            <w:color w:val="auto"/>
            <w:kern w:val="44"/>
          </w:rPr>
          <w:t>4.4</w:t>
        </w:r>
        <w:r w:rsidR="00611CBA" w:rsidRPr="00FC1444">
          <w:rPr>
            <w:rStyle w:val="aff2"/>
            <w:rFonts w:eastAsiaTheme="minorEastAsia"/>
            <w:b w:val="0"/>
            <w:noProof/>
            <w:color w:val="auto"/>
            <w:kern w:val="44"/>
          </w:rPr>
          <w:t>环境保护目标调查</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_Toc208906240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178</w:t>
        </w:r>
        <w:r w:rsidRPr="00FC1444">
          <w:rPr>
            <w:rFonts w:eastAsiaTheme="minorEastAsia"/>
            <w:b w:val="0"/>
            <w:noProof/>
            <w:color w:val="auto"/>
          </w:rPr>
          <w:fldChar w:fldCharType="end"/>
        </w:r>
      </w:hyperlink>
    </w:p>
    <w:p w:rsidR="002A5A5E" w:rsidRPr="00FC1444" w:rsidRDefault="009840DD">
      <w:pPr>
        <w:pStyle w:val="11"/>
        <w:spacing w:line="240" w:lineRule="auto"/>
        <w:rPr>
          <w:b w:val="0"/>
          <w:bCs w:val="0"/>
          <w:iCs w:val="0"/>
          <w:noProof/>
          <w:kern w:val="2"/>
          <w:sz w:val="24"/>
          <w:szCs w:val="24"/>
        </w:rPr>
      </w:pPr>
      <w:hyperlink w:anchor="_Toc208906241" w:history="1">
        <w:r w:rsidR="00611CBA" w:rsidRPr="00FC1444">
          <w:rPr>
            <w:rStyle w:val="aff2"/>
            <w:b w:val="0"/>
            <w:noProof/>
            <w:color w:val="auto"/>
            <w:sz w:val="24"/>
            <w:szCs w:val="24"/>
          </w:rPr>
          <w:t>5</w:t>
        </w:r>
        <w:r w:rsidR="00FC1444" w:rsidRPr="00FC1444">
          <w:rPr>
            <w:rStyle w:val="aff2"/>
            <w:b w:val="0"/>
            <w:noProof/>
            <w:color w:val="auto"/>
            <w:sz w:val="24"/>
            <w:szCs w:val="24"/>
          </w:rPr>
          <w:t>生态</w:t>
        </w:r>
        <w:r w:rsidR="00611CBA" w:rsidRPr="00FC1444">
          <w:rPr>
            <w:rStyle w:val="aff2"/>
            <w:b w:val="0"/>
            <w:noProof/>
            <w:color w:val="auto"/>
            <w:sz w:val="24"/>
            <w:szCs w:val="24"/>
          </w:rPr>
          <w:t>环境影响预测与评价</w:t>
        </w:r>
        <w:r w:rsidR="00611CBA" w:rsidRPr="00FC1444">
          <w:rPr>
            <w:b w:val="0"/>
            <w:noProof/>
            <w:sz w:val="24"/>
            <w:szCs w:val="24"/>
          </w:rPr>
          <w:tab/>
        </w:r>
        <w:r w:rsidRPr="00FC1444">
          <w:rPr>
            <w:b w:val="0"/>
            <w:noProof/>
            <w:sz w:val="24"/>
            <w:szCs w:val="24"/>
          </w:rPr>
          <w:fldChar w:fldCharType="begin"/>
        </w:r>
        <w:r w:rsidR="00611CBA" w:rsidRPr="00FC1444">
          <w:rPr>
            <w:b w:val="0"/>
            <w:noProof/>
            <w:sz w:val="24"/>
            <w:szCs w:val="24"/>
          </w:rPr>
          <w:instrText xml:space="preserve"> PAGEREF _Toc208906241 \h </w:instrText>
        </w:r>
        <w:r w:rsidRPr="00FC1444">
          <w:rPr>
            <w:b w:val="0"/>
            <w:noProof/>
            <w:sz w:val="24"/>
            <w:szCs w:val="24"/>
          </w:rPr>
        </w:r>
        <w:r w:rsidRPr="00FC1444">
          <w:rPr>
            <w:b w:val="0"/>
            <w:noProof/>
            <w:sz w:val="24"/>
            <w:szCs w:val="24"/>
          </w:rPr>
          <w:fldChar w:fldCharType="separate"/>
        </w:r>
        <w:r w:rsidR="00FC1444">
          <w:rPr>
            <w:b w:val="0"/>
            <w:noProof/>
            <w:sz w:val="24"/>
            <w:szCs w:val="24"/>
          </w:rPr>
          <w:t>186</w:t>
        </w:r>
        <w:r w:rsidRPr="00FC1444">
          <w:rPr>
            <w:b w:val="0"/>
            <w:noProof/>
            <w:sz w:val="24"/>
            <w:szCs w:val="24"/>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42" w:history="1">
        <w:r w:rsidR="00611CBA" w:rsidRPr="00FC1444">
          <w:rPr>
            <w:rStyle w:val="aff2"/>
            <w:rFonts w:eastAsiaTheme="minorEastAsia"/>
            <w:b w:val="0"/>
            <w:noProof/>
            <w:color w:val="auto"/>
            <w:kern w:val="44"/>
          </w:rPr>
          <w:t>5.1</w:t>
        </w:r>
        <w:r w:rsidR="00611CBA" w:rsidRPr="00FC1444">
          <w:rPr>
            <w:rStyle w:val="aff2"/>
            <w:rFonts w:eastAsiaTheme="minorEastAsia"/>
            <w:b w:val="0"/>
            <w:noProof/>
            <w:color w:val="auto"/>
            <w:kern w:val="44"/>
          </w:rPr>
          <w:t>施工期</w:t>
        </w:r>
        <w:r w:rsidR="00FC1444" w:rsidRPr="00FC1444">
          <w:rPr>
            <w:rStyle w:val="aff2"/>
            <w:rFonts w:eastAsiaTheme="minorEastAsia"/>
            <w:b w:val="0"/>
            <w:noProof/>
            <w:color w:val="auto"/>
            <w:kern w:val="44"/>
          </w:rPr>
          <w:t>生态</w:t>
        </w:r>
        <w:r w:rsidR="00611CBA" w:rsidRPr="00FC1444">
          <w:rPr>
            <w:rStyle w:val="aff2"/>
            <w:rFonts w:eastAsiaTheme="minorEastAsia"/>
            <w:b w:val="0"/>
            <w:noProof/>
            <w:color w:val="auto"/>
            <w:kern w:val="44"/>
          </w:rPr>
          <w:t>环境影响分析</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_Toc208906242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186</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43" w:history="1">
        <w:r w:rsidR="00611CBA" w:rsidRPr="00FC1444">
          <w:rPr>
            <w:rStyle w:val="aff2"/>
            <w:rFonts w:eastAsiaTheme="minorEastAsia"/>
            <w:b w:val="0"/>
            <w:noProof/>
            <w:color w:val="auto"/>
            <w:kern w:val="44"/>
          </w:rPr>
          <w:t>5.2</w:t>
        </w:r>
        <w:r w:rsidR="00611CBA" w:rsidRPr="00FC1444">
          <w:rPr>
            <w:rStyle w:val="aff2"/>
            <w:rFonts w:eastAsiaTheme="minorEastAsia"/>
            <w:b w:val="0"/>
            <w:noProof/>
            <w:color w:val="auto"/>
            <w:kern w:val="44"/>
          </w:rPr>
          <w:t>运营期</w:t>
        </w:r>
        <w:r w:rsidR="00FC1444" w:rsidRPr="00FC1444">
          <w:rPr>
            <w:rStyle w:val="aff2"/>
            <w:rFonts w:eastAsiaTheme="minorEastAsia"/>
            <w:b w:val="0"/>
            <w:noProof/>
            <w:color w:val="auto"/>
            <w:kern w:val="44"/>
          </w:rPr>
          <w:t>生态</w:t>
        </w:r>
        <w:r w:rsidR="00611CBA" w:rsidRPr="00FC1444">
          <w:rPr>
            <w:rStyle w:val="aff2"/>
            <w:rFonts w:eastAsiaTheme="minorEastAsia"/>
            <w:b w:val="0"/>
            <w:noProof/>
            <w:color w:val="auto"/>
            <w:kern w:val="44"/>
          </w:rPr>
          <w:t>环境影响预测与评价</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_Toc208906243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204</w:t>
        </w:r>
        <w:r w:rsidRPr="00FC1444">
          <w:rPr>
            <w:rFonts w:eastAsiaTheme="minorEastAsia"/>
            <w:b w:val="0"/>
            <w:noProof/>
            <w:color w:val="auto"/>
          </w:rPr>
          <w:fldChar w:fldCharType="end"/>
        </w:r>
      </w:hyperlink>
    </w:p>
    <w:p w:rsidR="002A5A5E" w:rsidRPr="00FC1444" w:rsidRDefault="009840DD">
      <w:pPr>
        <w:pStyle w:val="11"/>
        <w:spacing w:line="240" w:lineRule="auto"/>
        <w:rPr>
          <w:b w:val="0"/>
          <w:bCs w:val="0"/>
          <w:iCs w:val="0"/>
          <w:noProof/>
          <w:kern w:val="2"/>
          <w:sz w:val="24"/>
          <w:szCs w:val="24"/>
        </w:rPr>
      </w:pPr>
      <w:hyperlink w:anchor="_Toc208906244" w:history="1">
        <w:r w:rsidR="00611CBA" w:rsidRPr="00FC1444">
          <w:rPr>
            <w:rStyle w:val="aff2"/>
            <w:b w:val="0"/>
            <w:noProof/>
            <w:color w:val="auto"/>
            <w:sz w:val="24"/>
            <w:szCs w:val="24"/>
          </w:rPr>
          <w:t>6</w:t>
        </w:r>
        <w:r w:rsidR="00611CBA" w:rsidRPr="00FC1444">
          <w:rPr>
            <w:rStyle w:val="aff2"/>
            <w:b w:val="0"/>
            <w:noProof/>
            <w:color w:val="auto"/>
            <w:sz w:val="24"/>
            <w:szCs w:val="24"/>
          </w:rPr>
          <w:t>环境保护措施及其可行性论证</w:t>
        </w:r>
        <w:r w:rsidR="00611CBA" w:rsidRPr="00FC1444">
          <w:rPr>
            <w:b w:val="0"/>
            <w:noProof/>
            <w:sz w:val="24"/>
            <w:szCs w:val="24"/>
          </w:rPr>
          <w:tab/>
        </w:r>
        <w:r w:rsidRPr="00FC1444">
          <w:rPr>
            <w:b w:val="0"/>
            <w:noProof/>
            <w:sz w:val="24"/>
            <w:szCs w:val="24"/>
          </w:rPr>
          <w:fldChar w:fldCharType="begin"/>
        </w:r>
        <w:r w:rsidR="00611CBA" w:rsidRPr="00FC1444">
          <w:rPr>
            <w:b w:val="0"/>
            <w:noProof/>
            <w:sz w:val="24"/>
            <w:szCs w:val="24"/>
          </w:rPr>
          <w:instrText xml:space="preserve"> PAGEREF _Toc208906244 \h </w:instrText>
        </w:r>
        <w:r w:rsidRPr="00FC1444">
          <w:rPr>
            <w:b w:val="0"/>
            <w:noProof/>
            <w:sz w:val="24"/>
            <w:szCs w:val="24"/>
          </w:rPr>
        </w:r>
        <w:r w:rsidRPr="00FC1444">
          <w:rPr>
            <w:b w:val="0"/>
            <w:noProof/>
            <w:sz w:val="24"/>
            <w:szCs w:val="24"/>
          </w:rPr>
          <w:fldChar w:fldCharType="separate"/>
        </w:r>
        <w:r w:rsidR="00FC1444">
          <w:rPr>
            <w:b w:val="0"/>
            <w:noProof/>
            <w:sz w:val="24"/>
            <w:szCs w:val="24"/>
          </w:rPr>
          <w:t>228</w:t>
        </w:r>
        <w:r w:rsidRPr="00FC1444">
          <w:rPr>
            <w:b w:val="0"/>
            <w:noProof/>
            <w:sz w:val="24"/>
            <w:szCs w:val="24"/>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45" w:history="1">
        <w:r w:rsidR="00611CBA" w:rsidRPr="00FC1444">
          <w:rPr>
            <w:rStyle w:val="aff2"/>
            <w:rFonts w:eastAsiaTheme="minorEastAsia"/>
            <w:b w:val="0"/>
            <w:noProof/>
            <w:color w:val="auto"/>
          </w:rPr>
          <w:t>6.1</w:t>
        </w:r>
        <w:r w:rsidR="00611CBA" w:rsidRPr="00FC1444">
          <w:rPr>
            <w:rStyle w:val="aff2"/>
            <w:rFonts w:eastAsiaTheme="minorEastAsia"/>
            <w:b w:val="0"/>
            <w:noProof/>
            <w:color w:val="auto"/>
          </w:rPr>
          <w:t>施工期环境保护措施及其可行性论证</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_Toc208906245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228</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46" w:history="1">
        <w:r w:rsidR="00611CBA" w:rsidRPr="00FC1444">
          <w:rPr>
            <w:rStyle w:val="aff2"/>
            <w:rFonts w:eastAsiaTheme="minorEastAsia"/>
            <w:b w:val="0"/>
            <w:noProof/>
            <w:color w:val="auto"/>
            <w:kern w:val="44"/>
          </w:rPr>
          <w:t>6.2</w:t>
        </w:r>
        <w:r w:rsidR="00611CBA" w:rsidRPr="00FC1444">
          <w:rPr>
            <w:rStyle w:val="aff2"/>
            <w:rFonts w:eastAsiaTheme="minorEastAsia"/>
            <w:b w:val="0"/>
            <w:noProof/>
            <w:color w:val="auto"/>
            <w:kern w:val="44"/>
          </w:rPr>
          <w:t>运营期环境保护措施及其可行性论证</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_Toc208906246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236</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47" w:history="1">
        <w:r w:rsidR="00611CBA" w:rsidRPr="00FC1444">
          <w:rPr>
            <w:rStyle w:val="aff2"/>
            <w:rFonts w:eastAsiaTheme="minorEastAsia"/>
            <w:b w:val="0"/>
            <w:noProof/>
            <w:color w:val="auto"/>
          </w:rPr>
          <w:t>6.3</w:t>
        </w:r>
        <w:r w:rsidR="00611CBA" w:rsidRPr="00FC1444">
          <w:rPr>
            <w:rStyle w:val="aff2"/>
            <w:rFonts w:eastAsiaTheme="minorEastAsia"/>
            <w:b w:val="0"/>
            <w:noProof/>
            <w:color w:val="auto"/>
          </w:rPr>
          <w:t>环境保护投资估算</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_Toc208906247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240</w:t>
        </w:r>
        <w:r w:rsidRPr="00FC1444">
          <w:rPr>
            <w:rFonts w:eastAsiaTheme="minorEastAsia"/>
            <w:b w:val="0"/>
            <w:noProof/>
            <w:color w:val="auto"/>
          </w:rPr>
          <w:fldChar w:fldCharType="end"/>
        </w:r>
      </w:hyperlink>
    </w:p>
    <w:p w:rsidR="002A5A5E" w:rsidRPr="00FC1444" w:rsidRDefault="009840DD">
      <w:pPr>
        <w:pStyle w:val="11"/>
        <w:spacing w:line="240" w:lineRule="auto"/>
        <w:rPr>
          <w:b w:val="0"/>
          <w:bCs w:val="0"/>
          <w:iCs w:val="0"/>
          <w:noProof/>
          <w:kern w:val="2"/>
          <w:sz w:val="24"/>
          <w:szCs w:val="24"/>
        </w:rPr>
      </w:pPr>
      <w:hyperlink w:anchor="_Toc208906248" w:history="1">
        <w:r w:rsidR="00611CBA" w:rsidRPr="00FC1444">
          <w:rPr>
            <w:rStyle w:val="aff2"/>
            <w:b w:val="0"/>
            <w:noProof/>
            <w:color w:val="auto"/>
            <w:sz w:val="24"/>
            <w:szCs w:val="24"/>
          </w:rPr>
          <w:t>7</w:t>
        </w:r>
        <w:r w:rsidR="00FC1444" w:rsidRPr="00FC1444">
          <w:rPr>
            <w:rStyle w:val="aff2"/>
            <w:b w:val="0"/>
            <w:noProof/>
            <w:color w:val="auto"/>
            <w:sz w:val="24"/>
            <w:szCs w:val="24"/>
          </w:rPr>
          <w:t>生态</w:t>
        </w:r>
        <w:r w:rsidR="00611CBA" w:rsidRPr="00FC1444">
          <w:rPr>
            <w:rStyle w:val="aff2"/>
            <w:b w:val="0"/>
            <w:noProof/>
            <w:color w:val="auto"/>
            <w:sz w:val="24"/>
            <w:szCs w:val="24"/>
          </w:rPr>
          <w:t>环境影响经济损益分析</w:t>
        </w:r>
        <w:r w:rsidR="00611CBA" w:rsidRPr="00FC1444">
          <w:rPr>
            <w:b w:val="0"/>
            <w:noProof/>
            <w:sz w:val="24"/>
            <w:szCs w:val="24"/>
          </w:rPr>
          <w:tab/>
        </w:r>
        <w:r w:rsidRPr="00FC1444">
          <w:rPr>
            <w:b w:val="0"/>
            <w:noProof/>
            <w:sz w:val="24"/>
            <w:szCs w:val="24"/>
          </w:rPr>
          <w:fldChar w:fldCharType="begin"/>
        </w:r>
        <w:r w:rsidR="00611CBA" w:rsidRPr="00FC1444">
          <w:rPr>
            <w:b w:val="0"/>
            <w:noProof/>
            <w:sz w:val="24"/>
            <w:szCs w:val="24"/>
          </w:rPr>
          <w:instrText xml:space="preserve"> PAGEREF _Toc208906248 \h </w:instrText>
        </w:r>
        <w:r w:rsidRPr="00FC1444">
          <w:rPr>
            <w:b w:val="0"/>
            <w:noProof/>
            <w:sz w:val="24"/>
            <w:szCs w:val="24"/>
          </w:rPr>
        </w:r>
        <w:r w:rsidRPr="00FC1444">
          <w:rPr>
            <w:b w:val="0"/>
            <w:noProof/>
            <w:sz w:val="24"/>
            <w:szCs w:val="24"/>
          </w:rPr>
          <w:fldChar w:fldCharType="separate"/>
        </w:r>
        <w:r w:rsidR="00FC1444">
          <w:rPr>
            <w:b w:val="0"/>
            <w:noProof/>
            <w:sz w:val="24"/>
            <w:szCs w:val="24"/>
          </w:rPr>
          <w:t>243</w:t>
        </w:r>
        <w:r w:rsidRPr="00FC1444">
          <w:rPr>
            <w:b w:val="0"/>
            <w:noProof/>
            <w:sz w:val="24"/>
            <w:szCs w:val="24"/>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49" w:history="1">
        <w:r w:rsidR="00611CBA" w:rsidRPr="00FC1444">
          <w:rPr>
            <w:rStyle w:val="aff2"/>
            <w:rFonts w:eastAsiaTheme="minorEastAsia"/>
            <w:b w:val="0"/>
            <w:noProof/>
            <w:color w:val="auto"/>
            <w:kern w:val="44"/>
          </w:rPr>
          <w:t>7.1</w:t>
        </w:r>
        <w:r w:rsidR="00611CBA" w:rsidRPr="00FC1444">
          <w:rPr>
            <w:rStyle w:val="aff2"/>
            <w:rFonts w:eastAsiaTheme="minorEastAsia"/>
            <w:b w:val="0"/>
            <w:noProof/>
            <w:color w:val="auto"/>
            <w:kern w:val="44"/>
          </w:rPr>
          <w:t>社会经济效益分析</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_Toc208906249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243</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50" w:history="1">
        <w:r w:rsidR="00611CBA" w:rsidRPr="00FC1444">
          <w:rPr>
            <w:rStyle w:val="aff2"/>
            <w:rFonts w:eastAsiaTheme="minorEastAsia"/>
            <w:b w:val="0"/>
            <w:noProof/>
            <w:color w:val="auto"/>
            <w:kern w:val="44"/>
          </w:rPr>
          <w:t>7.2</w:t>
        </w:r>
        <w:r w:rsidR="00611CBA" w:rsidRPr="00FC1444">
          <w:rPr>
            <w:rStyle w:val="aff2"/>
            <w:rFonts w:eastAsiaTheme="minorEastAsia"/>
            <w:b w:val="0"/>
            <w:noProof/>
            <w:color w:val="auto"/>
            <w:kern w:val="44"/>
          </w:rPr>
          <w:t>环境效益分析</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_Toc208906250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243</w:t>
        </w:r>
        <w:r w:rsidRPr="00FC1444">
          <w:rPr>
            <w:rFonts w:eastAsiaTheme="minorEastAsia"/>
            <w:b w:val="0"/>
            <w:noProof/>
            <w:color w:val="auto"/>
          </w:rPr>
          <w:fldChar w:fldCharType="end"/>
        </w:r>
      </w:hyperlink>
    </w:p>
    <w:p w:rsidR="002A5A5E" w:rsidRPr="00FC1444" w:rsidRDefault="009840DD">
      <w:pPr>
        <w:pStyle w:val="11"/>
        <w:spacing w:line="240" w:lineRule="auto"/>
        <w:rPr>
          <w:b w:val="0"/>
          <w:bCs w:val="0"/>
          <w:iCs w:val="0"/>
          <w:noProof/>
          <w:kern w:val="2"/>
          <w:sz w:val="24"/>
          <w:szCs w:val="24"/>
        </w:rPr>
      </w:pPr>
      <w:hyperlink w:anchor="_Toc208906251" w:history="1">
        <w:r w:rsidR="00611CBA" w:rsidRPr="00FC1444">
          <w:rPr>
            <w:rStyle w:val="aff2"/>
            <w:b w:val="0"/>
            <w:noProof/>
            <w:color w:val="auto"/>
            <w:sz w:val="24"/>
            <w:szCs w:val="24"/>
          </w:rPr>
          <w:t>8</w:t>
        </w:r>
        <w:r w:rsidR="00611CBA" w:rsidRPr="00FC1444">
          <w:rPr>
            <w:rStyle w:val="aff2"/>
            <w:b w:val="0"/>
            <w:noProof/>
            <w:color w:val="auto"/>
            <w:sz w:val="24"/>
            <w:szCs w:val="24"/>
          </w:rPr>
          <w:t>环境管理与监测计划</w:t>
        </w:r>
        <w:r w:rsidR="00611CBA" w:rsidRPr="00FC1444">
          <w:rPr>
            <w:b w:val="0"/>
            <w:noProof/>
            <w:sz w:val="24"/>
            <w:szCs w:val="24"/>
          </w:rPr>
          <w:tab/>
        </w:r>
        <w:r w:rsidRPr="00FC1444">
          <w:rPr>
            <w:b w:val="0"/>
            <w:noProof/>
            <w:sz w:val="24"/>
            <w:szCs w:val="24"/>
          </w:rPr>
          <w:fldChar w:fldCharType="begin"/>
        </w:r>
        <w:r w:rsidR="00611CBA" w:rsidRPr="00FC1444">
          <w:rPr>
            <w:b w:val="0"/>
            <w:noProof/>
            <w:sz w:val="24"/>
            <w:szCs w:val="24"/>
          </w:rPr>
          <w:instrText xml:space="preserve"> PAGEREF _Toc208906251 \h </w:instrText>
        </w:r>
        <w:r w:rsidRPr="00FC1444">
          <w:rPr>
            <w:b w:val="0"/>
            <w:noProof/>
            <w:sz w:val="24"/>
            <w:szCs w:val="24"/>
          </w:rPr>
        </w:r>
        <w:r w:rsidRPr="00FC1444">
          <w:rPr>
            <w:b w:val="0"/>
            <w:noProof/>
            <w:sz w:val="24"/>
            <w:szCs w:val="24"/>
          </w:rPr>
          <w:fldChar w:fldCharType="separate"/>
        </w:r>
        <w:r w:rsidR="00FC1444">
          <w:rPr>
            <w:b w:val="0"/>
            <w:noProof/>
            <w:sz w:val="24"/>
            <w:szCs w:val="24"/>
          </w:rPr>
          <w:t>245</w:t>
        </w:r>
        <w:r w:rsidRPr="00FC1444">
          <w:rPr>
            <w:b w:val="0"/>
            <w:noProof/>
            <w:sz w:val="24"/>
            <w:szCs w:val="24"/>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52" w:history="1">
        <w:r w:rsidR="00611CBA" w:rsidRPr="00FC1444">
          <w:rPr>
            <w:rStyle w:val="aff2"/>
            <w:rFonts w:eastAsiaTheme="minorEastAsia"/>
            <w:b w:val="0"/>
            <w:noProof/>
            <w:color w:val="auto"/>
            <w:kern w:val="44"/>
          </w:rPr>
          <w:t>8.1</w:t>
        </w:r>
        <w:r w:rsidR="00611CBA" w:rsidRPr="00FC1444">
          <w:rPr>
            <w:rStyle w:val="aff2"/>
            <w:rFonts w:eastAsiaTheme="minorEastAsia"/>
            <w:b w:val="0"/>
            <w:noProof/>
            <w:color w:val="auto"/>
            <w:kern w:val="44"/>
          </w:rPr>
          <w:t>环境管理</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_Toc208906252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245</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53" w:history="1">
        <w:r w:rsidR="00611CBA" w:rsidRPr="00FC1444">
          <w:rPr>
            <w:rStyle w:val="aff2"/>
            <w:rFonts w:eastAsiaTheme="minorEastAsia"/>
            <w:b w:val="0"/>
            <w:noProof/>
            <w:color w:val="auto"/>
            <w:kern w:val="44"/>
          </w:rPr>
          <w:t>8.2</w:t>
        </w:r>
        <w:r w:rsidR="00611CBA" w:rsidRPr="00FC1444">
          <w:rPr>
            <w:rStyle w:val="aff2"/>
            <w:rFonts w:eastAsiaTheme="minorEastAsia"/>
            <w:b w:val="0"/>
            <w:noProof/>
            <w:color w:val="auto"/>
            <w:kern w:val="44"/>
          </w:rPr>
          <w:t>环境监测</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_Toc208906253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251</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54" w:history="1">
        <w:r w:rsidR="00611CBA" w:rsidRPr="00FC1444">
          <w:rPr>
            <w:rStyle w:val="aff2"/>
            <w:rFonts w:eastAsiaTheme="minorEastAsia"/>
            <w:b w:val="0"/>
            <w:noProof/>
            <w:color w:val="auto"/>
            <w:kern w:val="44"/>
          </w:rPr>
          <w:t>8.3</w:t>
        </w:r>
        <w:r w:rsidR="00611CBA" w:rsidRPr="00FC1444">
          <w:rPr>
            <w:rStyle w:val="aff2"/>
            <w:rFonts w:eastAsiaTheme="minorEastAsia"/>
            <w:b w:val="0"/>
            <w:noProof/>
            <w:color w:val="auto"/>
            <w:kern w:val="44"/>
          </w:rPr>
          <w:t>环境保护竣工验收</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_Toc208906254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256</w:t>
        </w:r>
        <w:r w:rsidRPr="00FC1444">
          <w:rPr>
            <w:rFonts w:eastAsiaTheme="minorEastAsia"/>
            <w:b w:val="0"/>
            <w:noProof/>
            <w:color w:val="auto"/>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rPr>
      </w:pPr>
      <w:hyperlink w:anchor="_Toc208906255" w:history="1">
        <w:r w:rsidR="00611CBA" w:rsidRPr="00FC1444">
          <w:rPr>
            <w:rStyle w:val="aff2"/>
            <w:rFonts w:eastAsiaTheme="minorEastAsia"/>
            <w:b w:val="0"/>
            <w:noProof/>
            <w:color w:val="auto"/>
            <w:kern w:val="44"/>
          </w:rPr>
          <w:t>8.4</w:t>
        </w:r>
        <w:r w:rsidR="00611CBA" w:rsidRPr="00FC1444">
          <w:rPr>
            <w:rStyle w:val="aff2"/>
            <w:rFonts w:eastAsiaTheme="minorEastAsia"/>
            <w:b w:val="0"/>
            <w:noProof/>
            <w:color w:val="auto"/>
            <w:kern w:val="44"/>
          </w:rPr>
          <w:t>总量控制</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_Toc208906255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260</w:t>
        </w:r>
        <w:r w:rsidRPr="00FC1444">
          <w:rPr>
            <w:rFonts w:eastAsiaTheme="minorEastAsia"/>
            <w:b w:val="0"/>
            <w:noProof/>
            <w:color w:val="auto"/>
          </w:rPr>
          <w:fldChar w:fldCharType="end"/>
        </w:r>
      </w:hyperlink>
    </w:p>
    <w:p w:rsidR="002A5A5E" w:rsidRPr="00FC1444" w:rsidRDefault="009840DD">
      <w:pPr>
        <w:pStyle w:val="11"/>
        <w:spacing w:line="240" w:lineRule="auto"/>
        <w:rPr>
          <w:b w:val="0"/>
          <w:bCs w:val="0"/>
          <w:iCs w:val="0"/>
          <w:noProof/>
          <w:kern w:val="2"/>
          <w:sz w:val="24"/>
          <w:szCs w:val="24"/>
        </w:rPr>
      </w:pPr>
      <w:hyperlink w:anchor="_Toc208906256" w:history="1">
        <w:r w:rsidR="00611CBA" w:rsidRPr="00FC1444">
          <w:rPr>
            <w:rStyle w:val="aff2"/>
            <w:b w:val="0"/>
            <w:noProof/>
            <w:color w:val="auto"/>
            <w:sz w:val="24"/>
            <w:szCs w:val="24"/>
          </w:rPr>
          <w:t>9</w:t>
        </w:r>
        <w:r w:rsidR="00FC1444" w:rsidRPr="00FC1444">
          <w:rPr>
            <w:rStyle w:val="aff2"/>
            <w:b w:val="0"/>
            <w:noProof/>
            <w:color w:val="auto"/>
            <w:sz w:val="24"/>
            <w:szCs w:val="24"/>
          </w:rPr>
          <w:t>生态</w:t>
        </w:r>
        <w:r w:rsidR="00611CBA" w:rsidRPr="00FC1444">
          <w:rPr>
            <w:rStyle w:val="aff2"/>
            <w:b w:val="0"/>
            <w:noProof/>
            <w:color w:val="auto"/>
            <w:sz w:val="24"/>
            <w:szCs w:val="24"/>
          </w:rPr>
          <w:t>环境影响评价结论</w:t>
        </w:r>
        <w:r w:rsidR="00611CBA" w:rsidRPr="00FC1444">
          <w:rPr>
            <w:b w:val="0"/>
            <w:noProof/>
            <w:sz w:val="24"/>
            <w:szCs w:val="24"/>
          </w:rPr>
          <w:tab/>
        </w:r>
        <w:r w:rsidRPr="00FC1444">
          <w:rPr>
            <w:b w:val="0"/>
            <w:noProof/>
            <w:sz w:val="24"/>
            <w:szCs w:val="24"/>
          </w:rPr>
          <w:fldChar w:fldCharType="begin"/>
        </w:r>
        <w:r w:rsidR="00611CBA" w:rsidRPr="00FC1444">
          <w:rPr>
            <w:b w:val="0"/>
            <w:noProof/>
            <w:sz w:val="24"/>
            <w:szCs w:val="24"/>
          </w:rPr>
          <w:instrText xml:space="preserve"> PAGEREF _Toc208906256 \h </w:instrText>
        </w:r>
        <w:r w:rsidRPr="00FC1444">
          <w:rPr>
            <w:b w:val="0"/>
            <w:noProof/>
            <w:sz w:val="24"/>
            <w:szCs w:val="24"/>
          </w:rPr>
        </w:r>
        <w:r w:rsidRPr="00FC1444">
          <w:rPr>
            <w:b w:val="0"/>
            <w:noProof/>
            <w:sz w:val="24"/>
            <w:szCs w:val="24"/>
          </w:rPr>
          <w:fldChar w:fldCharType="separate"/>
        </w:r>
        <w:r w:rsidR="00FC1444">
          <w:rPr>
            <w:b w:val="0"/>
            <w:noProof/>
            <w:sz w:val="24"/>
            <w:szCs w:val="24"/>
          </w:rPr>
          <w:t>261</w:t>
        </w:r>
        <w:r w:rsidRPr="00FC1444">
          <w:rPr>
            <w:b w:val="0"/>
            <w:noProof/>
            <w:sz w:val="24"/>
            <w:szCs w:val="24"/>
          </w:rPr>
          <w:fldChar w:fldCharType="end"/>
        </w:r>
      </w:hyperlink>
    </w:p>
    <w:p w:rsidR="002A5A5E" w:rsidRPr="00FC1444" w:rsidRDefault="009840DD">
      <w:pPr>
        <w:pStyle w:val="23"/>
        <w:tabs>
          <w:tab w:val="right" w:leader="dot" w:pos="8296"/>
        </w:tabs>
        <w:spacing w:before="0" w:line="240" w:lineRule="auto"/>
        <w:ind w:left="0" w:firstLine="426"/>
        <w:rPr>
          <w:rFonts w:eastAsiaTheme="minorEastAsia"/>
          <w:b w:val="0"/>
          <w:bCs w:val="0"/>
          <w:noProof/>
          <w:color w:val="auto"/>
          <w:sz w:val="21"/>
          <w:szCs w:val="22"/>
        </w:rPr>
      </w:pPr>
      <w:hyperlink w:anchor="_Toc208906257" w:history="1">
        <w:r w:rsidR="00611CBA" w:rsidRPr="00FC1444">
          <w:rPr>
            <w:rStyle w:val="aff2"/>
            <w:rFonts w:eastAsiaTheme="minorEastAsia"/>
            <w:b w:val="0"/>
            <w:noProof/>
            <w:color w:val="auto"/>
            <w:kern w:val="44"/>
          </w:rPr>
          <w:t>9.1</w:t>
        </w:r>
        <w:r w:rsidR="00611CBA" w:rsidRPr="00FC1444">
          <w:rPr>
            <w:rStyle w:val="aff2"/>
            <w:rFonts w:eastAsiaTheme="minorEastAsia"/>
            <w:b w:val="0"/>
            <w:noProof/>
            <w:color w:val="auto"/>
            <w:kern w:val="44"/>
          </w:rPr>
          <w:t>评价结论</w:t>
        </w:r>
        <w:r w:rsidR="00611CBA" w:rsidRPr="00FC1444">
          <w:rPr>
            <w:rFonts w:eastAsiaTheme="minorEastAsia"/>
            <w:b w:val="0"/>
            <w:noProof/>
            <w:color w:val="auto"/>
          </w:rPr>
          <w:tab/>
        </w:r>
        <w:r w:rsidRPr="00FC1444">
          <w:rPr>
            <w:rFonts w:eastAsiaTheme="minorEastAsia"/>
            <w:b w:val="0"/>
            <w:noProof/>
            <w:color w:val="auto"/>
          </w:rPr>
          <w:fldChar w:fldCharType="begin"/>
        </w:r>
        <w:r w:rsidR="00611CBA" w:rsidRPr="00FC1444">
          <w:rPr>
            <w:rFonts w:eastAsiaTheme="minorEastAsia"/>
            <w:b w:val="0"/>
            <w:noProof/>
            <w:color w:val="auto"/>
          </w:rPr>
          <w:instrText xml:space="preserve"> PAGEREF _Toc208906257 \h </w:instrText>
        </w:r>
        <w:r w:rsidRPr="00FC1444">
          <w:rPr>
            <w:rFonts w:eastAsiaTheme="minorEastAsia"/>
            <w:b w:val="0"/>
            <w:noProof/>
            <w:color w:val="auto"/>
          </w:rPr>
        </w:r>
        <w:r w:rsidRPr="00FC1444">
          <w:rPr>
            <w:rFonts w:eastAsiaTheme="minorEastAsia"/>
            <w:b w:val="0"/>
            <w:noProof/>
            <w:color w:val="auto"/>
          </w:rPr>
          <w:fldChar w:fldCharType="separate"/>
        </w:r>
        <w:r w:rsidR="00FC1444">
          <w:rPr>
            <w:rFonts w:eastAsiaTheme="minorEastAsia"/>
            <w:b w:val="0"/>
            <w:noProof/>
            <w:color w:val="auto"/>
          </w:rPr>
          <w:t>261</w:t>
        </w:r>
        <w:r w:rsidRPr="00FC1444">
          <w:rPr>
            <w:rFonts w:eastAsiaTheme="minorEastAsia"/>
            <w:b w:val="0"/>
            <w:noProof/>
            <w:color w:val="auto"/>
          </w:rPr>
          <w:fldChar w:fldCharType="end"/>
        </w:r>
      </w:hyperlink>
    </w:p>
    <w:p w:rsidR="002A5A5E" w:rsidRPr="00FC1444" w:rsidRDefault="009840DD">
      <w:pPr>
        <w:rPr>
          <w:rFonts w:eastAsiaTheme="minorEastAsia"/>
          <w:sz w:val="24"/>
        </w:rPr>
      </w:pPr>
      <w:r w:rsidRPr="00FC1444">
        <w:rPr>
          <w:rFonts w:eastAsiaTheme="minorEastAsia"/>
          <w:sz w:val="24"/>
        </w:rPr>
        <w:lastRenderedPageBreak/>
        <w:fldChar w:fldCharType="end"/>
      </w:r>
      <w:r w:rsidR="00611CBA" w:rsidRPr="00FC1444">
        <w:rPr>
          <w:rFonts w:eastAsiaTheme="minorEastAsia"/>
          <w:sz w:val="24"/>
        </w:rPr>
        <w:t>附件：</w:t>
      </w:r>
    </w:p>
    <w:p w:rsidR="002A5A5E" w:rsidRPr="00FC1444" w:rsidRDefault="00611CBA">
      <w:pPr>
        <w:ind w:firstLineChars="200" w:firstLine="480"/>
        <w:rPr>
          <w:rFonts w:eastAsiaTheme="minorEastAsia"/>
          <w:sz w:val="24"/>
        </w:rPr>
      </w:pPr>
      <w:r w:rsidRPr="00FC1444">
        <w:rPr>
          <w:rFonts w:eastAsiaTheme="minorEastAsia"/>
          <w:sz w:val="24"/>
        </w:rPr>
        <w:t>附件</w:t>
      </w:r>
      <w:r w:rsidRPr="00FC1444">
        <w:rPr>
          <w:rFonts w:eastAsiaTheme="minorEastAsia"/>
          <w:sz w:val="24"/>
        </w:rPr>
        <w:t>1</w:t>
      </w:r>
      <w:r w:rsidRPr="00FC1444">
        <w:rPr>
          <w:rFonts w:eastAsiaTheme="minorEastAsia"/>
          <w:sz w:val="24"/>
        </w:rPr>
        <w:t>：</w:t>
      </w:r>
      <w:r w:rsidR="00F0277F" w:rsidRPr="00FC1444">
        <w:rPr>
          <w:rFonts w:eastAsiaTheme="minorEastAsia" w:hint="eastAsia"/>
          <w:sz w:val="24"/>
        </w:rPr>
        <w:t>统一社会信用代码证书</w:t>
      </w:r>
    </w:p>
    <w:p w:rsidR="002A5A5E" w:rsidRPr="00FC1444" w:rsidRDefault="00611CBA">
      <w:pPr>
        <w:ind w:firstLineChars="200" w:firstLine="480"/>
        <w:rPr>
          <w:rFonts w:eastAsiaTheme="minorEastAsia"/>
          <w:sz w:val="24"/>
        </w:rPr>
      </w:pPr>
      <w:r w:rsidRPr="00FC1444">
        <w:rPr>
          <w:rFonts w:eastAsiaTheme="minorEastAsia"/>
          <w:sz w:val="24"/>
        </w:rPr>
        <w:t>附件</w:t>
      </w:r>
      <w:r w:rsidRPr="00FC1444">
        <w:rPr>
          <w:rFonts w:eastAsiaTheme="minorEastAsia"/>
          <w:sz w:val="24"/>
        </w:rPr>
        <w:t>2</w:t>
      </w:r>
      <w:r w:rsidRPr="00FC1444">
        <w:rPr>
          <w:rFonts w:eastAsiaTheme="minorEastAsia"/>
          <w:sz w:val="24"/>
        </w:rPr>
        <w:t>：现状监测报告</w:t>
      </w:r>
    </w:p>
    <w:p w:rsidR="002A5A5E" w:rsidRPr="00FC1444" w:rsidRDefault="00611CBA">
      <w:pPr>
        <w:ind w:firstLineChars="200" w:firstLine="480"/>
        <w:rPr>
          <w:rFonts w:eastAsiaTheme="minorEastAsia"/>
          <w:sz w:val="24"/>
        </w:rPr>
      </w:pPr>
      <w:r w:rsidRPr="00FC1444">
        <w:rPr>
          <w:rFonts w:eastAsiaTheme="minorEastAsia"/>
          <w:sz w:val="24"/>
        </w:rPr>
        <w:t>附件</w:t>
      </w:r>
      <w:r w:rsidRPr="00FC1444">
        <w:rPr>
          <w:rFonts w:eastAsiaTheme="minorEastAsia"/>
          <w:sz w:val="24"/>
        </w:rPr>
        <w:t>3</w:t>
      </w:r>
      <w:r w:rsidRPr="00FC1444">
        <w:rPr>
          <w:rFonts w:eastAsiaTheme="minorEastAsia"/>
          <w:sz w:val="24"/>
        </w:rPr>
        <w:t>：初设批复</w:t>
      </w:r>
    </w:p>
    <w:p w:rsidR="002A5A5E" w:rsidRPr="00FC1444" w:rsidRDefault="00611CBA">
      <w:pPr>
        <w:ind w:firstLineChars="200" w:firstLine="480"/>
        <w:rPr>
          <w:rFonts w:eastAsiaTheme="minorEastAsia"/>
          <w:sz w:val="24"/>
        </w:rPr>
      </w:pPr>
      <w:r w:rsidRPr="00FC1444">
        <w:rPr>
          <w:rFonts w:eastAsiaTheme="minorEastAsia"/>
          <w:sz w:val="24"/>
        </w:rPr>
        <w:t>附件</w:t>
      </w:r>
      <w:r w:rsidR="00BE2F69" w:rsidRPr="00FC1444">
        <w:rPr>
          <w:rFonts w:eastAsiaTheme="minorEastAsia"/>
          <w:sz w:val="24"/>
        </w:rPr>
        <w:t>4</w:t>
      </w:r>
      <w:r w:rsidRPr="00FC1444">
        <w:rPr>
          <w:rFonts w:eastAsiaTheme="minorEastAsia"/>
          <w:sz w:val="24"/>
        </w:rPr>
        <w:t>：项目取水许可批复</w:t>
      </w:r>
      <w:r w:rsidR="0008339D" w:rsidRPr="00FC1444">
        <w:rPr>
          <w:rFonts w:eastAsiaTheme="minorEastAsia"/>
          <w:sz w:val="24"/>
        </w:rPr>
        <w:t>及水资源论证专家评审意见</w:t>
      </w:r>
    </w:p>
    <w:p w:rsidR="002A5A5E" w:rsidRPr="00FC1444" w:rsidRDefault="00611CBA">
      <w:pPr>
        <w:ind w:leftChars="228" w:left="1319" w:hangingChars="350" w:hanging="840"/>
        <w:rPr>
          <w:rFonts w:eastAsiaTheme="minorEastAsia"/>
          <w:sz w:val="24"/>
        </w:rPr>
      </w:pPr>
      <w:r w:rsidRPr="00FC1444">
        <w:rPr>
          <w:rFonts w:eastAsiaTheme="minorEastAsia"/>
          <w:sz w:val="24"/>
        </w:rPr>
        <w:t>附件</w:t>
      </w:r>
      <w:r w:rsidR="00BE2F69" w:rsidRPr="00FC1444">
        <w:rPr>
          <w:rFonts w:eastAsiaTheme="minorEastAsia"/>
          <w:sz w:val="24"/>
        </w:rPr>
        <w:t>5</w:t>
      </w:r>
      <w:r w:rsidRPr="00FC1444">
        <w:rPr>
          <w:rFonts w:eastAsiaTheme="minorEastAsia"/>
          <w:sz w:val="24"/>
        </w:rPr>
        <w:t>：《</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生态环境分区管控分析报告》</w:t>
      </w:r>
    </w:p>
    <w:p w:rsidR="002A5A5E" w:rsidRPr="00FC1444" w:rsidRDefault="00611CBA">
      <w:pPr>
        <w:rPr>
          <w:rFonts w:eastAsiaTheme="minorEastAsia"/>
          <w:sz w:val="24"/>
        </w:rPr>
      </w:pPr>
      <w:r w:rsidRPr="00FC1444">
        <w:rPr>
          <w:rFonts w:eastAsiaTheme="minorEastAsia"/>
          <w:sz w:val="24"/>
        </w:rPr>
        <w:t>附图：</w:t>
      </w:r>
    </w:p>
    <w:p w:rsidR="002A5A5E" w:rsidRPr="00FC1444" w:rsidRDefault="00611CBA">
      <w:pPr>
        <w:ind w:firstLineChars="200" w:firstLine="480"/>
        <w:rPr>
          <w:rFonts w:eastAsiaTheme="minorEastAsia"/>
          <w:sz w:val="24"/>
        </w:rPr>
      </w:pPr>
      <w:r w:rsidRPr="00FC1444">
        <w:rPr>
          <w:rFonts w:eastAsiaTheme="minorEastAsia"/>
          <w:sz w:val="24"/>
        </w:rPr>
        <w:t>附图</w:t>
      </w:r>
      <w:r w:rsidRPr="00FC1444">
        <w:rPr>
          <w:rFonts w:eastAsiaTheme="minorEastAsia"/>
          <w:sz w:val="24"/>
        </w:rPr>
        <w:t>1</w:t>
      </w:r>
      <w:r w:rsidRPr="00FC1444">
        <w:rPr>
          <w:rFonts w:eastAsiaTheme="minorEastAsia"/>
          <w:sz w:val="24"/>
        </w:rPr>
        <w:t>：项目地理位置图</w:t>
      </w:r>
    </w:p>
    <w:p w:rsidR="002A5A5E" w:rsidRPr="00FC1444" w:rsidRDefault="00611CBA">
      <w:pPr>
        <w:ind w:firstLineChars="200" w:firstLine="480"/>
        <w:rPr>
          <w:rFonts w:eastAsiaTheme="minorEastAsia"/>
          <w:sz w:val="24"/>
        </w:rPr>
      </w:pPr>
      <w:r w:rsidRPr="00FC1444">
        <w:rPr>
          <w:rFonts w:eastAsiaTheme="minorEastAsia"/>
          <w:sz w:val="24"/>
        </w:rPr>
        <w:t>附图</w:t>
      </w:r>
      <w:r w:rsidRPr="00FC1444">
        <w:rPr>
          <w:rFonts w:eastAsiaTheme="minorEastAsia"/>
          <w:sz w:val="24"/>
        </w:rPr>
        <w:t>2</w:t>
      </w:r>
      <w:r w:rsidRPr="00FC1444">
        <w:rPr>
          <w:rFonts w:eastAsiaTheme="minorEastAsia"/>
          <w:sz w:val="24"/>
        </w:rPr>
        <w:t>：项目生态及地下水评价范围</w:t>
      </w:r>
    </w:p>
    <w:p w:rsidR="002A5A5E" w:rsidRPr="00FC1444" w:rsidRDefault="00611CBA">
      <w:pPr>
        <w:ind w:firstLineChars="200" w:firstLine="480"/>
        <w:rPr>
          <w:rFonts w:eastAsiaTheme="minorEastAsia"/>
          <w:sz w:val="24"/>
        </w:rPr>
      </w:pPr>
      <w:r w:rsidRPr="00FC1444">
        <w:rPr>
          <w:rFonts w:eastAsiaTheme="minorEastAsia"/>
          <w:sz w:val="24"/>
        </w:rPr>
        <w:t>附图</w:t>
      </w:r>
      <w:r w:rsidRPr="00FC1444">
        <w:rPr>
          <w:rFonts w:eastAsiaTheme="minorEastAsia"/>
          <w:sz w:val="24"/>
        </w:rPr>
        <w:t>3</w:t>
      </w:r>
      <w:r w:rsidRPr="00FC1444">
        <w:rPr>
          <w:rFonts w:eastAsiaTheme="minorEastAsia"/>
          <w:sz w:val="24"/>
        </w:rPr>
        <w:t>：</w:t>
      </w:r>
      <w:r w:rsidRPr="00FC1444">
        <w:rPr>
          <w:rFonts w:eastAsiaTheme="minorEastAsia"/>
          <w:bCs/>
          <w:sz w:val="24"/>
        </w:rPr>
        <w:t>生态恢复措施平面布置示意图</w:t>
      </w:r>
    </w:p>
    <w:p w:rsidR="002A5A5E" w:rsidRPr="00FC1444" w:rsidRDefault="00611CBA">
      <w:pPr>
        <w:ind w:firstLineChars="200" w:firstLine="480"/>
        <w:rPr>
          <w:rFonts w:eastAsiaTheme="minorEastAsia"/>
          <w:bCs/>
          <w:sz w:val="24"/>
        </w:rPr>
      </w:pPr>
      <w:r w:rsidRPr="00FC1444">
        <w:rPr>
          <w:rFonts w:eastAsiaTheme="minorEastAsia"/>
          <w:sz w:val="24"/>
        </w:rPr>
        <w:t>附图</w:t>
      </w:r>
      <w:r w:rsidRPr="00FC1444">
        <w:rPr>
          <w:rFonts w:eastAsiaTheme="minorEastAsia"/>
          <w:sz w:val="24"/>
        </w:rPr>
        <w:t>4</w:t>
      </w:r>
      <w:r w:rsidRPr="00FC1444">
        <w:rPr>
          <w:rFonts w:eastAsiaTheme="minorEastAsia"/>
          <w:sz w:val="24"/>
        </w:rPr>
        <w:t>：</w:t>
      </w:r>
      <w:r w:rsidRPr="00FC1444">
        <w:rPr>
          <w:rFonts w:eastAsiaTheme="minorEastAsia"/>
          <w:bCs/>
          <w:sz w:val="24"/>
        </w:rPr>
        <w:t>典型生态污染防治措施图</w:t>
      </w:r>
    </w:p>
    <w:p w:rsidR="002A5A5E" w:rsidRPr="00FC1444" w:rsidRDefault="00611CBA">
      <w:pPr>
        <w:ind w:firstLineChars="200" w:firstLine="480"/>
        <w:rPr>
          <w:rFonts w:eastAsiaTheme="minorEastAsia"/>
          <w:bCs/>
          <w:sz w:val="24"/>
        </w:rPr>
      </w:pPr>
      <w:r w:rsidRPr="00FC1444">
        <w:rPr>
          <w:rFonts w:eastAsiaTheme="minorEastAsia"/>
          <w:bCs/>
          <w:sz w:val="24"/>
        </w:rPr>
        <w:t>附图</w:t>
      </w:r>
      <w:r w:rsidRPr="00FC1444">
        <w:rPr>
          <w:rFonts w:eastAsiaTheme="minorEastAsia"/>
          <w:bCs/>
          <w:sz w:val="24"/>
        </w:rPr>
        <w:t>5</w:t>
      </w:r>
      <w:r w:rsidRPr="00FC1444">
        <w:rPr>
          <w:rFonts w:eastAsiaTheme="minorEastAsia"/>
          <w:bCs/>
          <w:sz w:val="24"/>
        </w:rPr>
        <w:t>：生态监测布点图</w:t>
      </w:r>
    </w:p>
    <w:p w:rsidR="002A5A5E" w:rsidRPr="00FC1444" w:rsidRDefault="00611CBA">
      <w:pPr>
        <w:ind w:firstLineChars="200" w:firstLine="480"/>
        <w:rPr>
          <w:rFonts w:eastAsiaTheme="minorEastAsia"/>
          <w:bCs/>
          <w:sz w:val="24"/>
        </w:rPr>
      </w:pPr>
      <w:r w:rsidRPr="00FC1444">
        <w:rPr>
          <w:rFonts w:eastAsiaTheme="minorEastAsia"/>
          <w:bCs/>
          <w:sz w:val="24"/>
        </w:rPr>
        <w:t>附图</w:t>
      </w:r>
      <w:r w:rsidRPr="00FC1444">
        <w:rPr>
          <w:rFonts w:eastAsiaTheme="minorEastAsia"/>
          <w:bCs/>
          <w:sz w:val="24"/>
        </w:rPr>
        <w:t>6</w:t>
      </w:r>
      <w:r w:rsidRPr="00FC1444">
        <w:rPr>
          <w:rFonts w:eastAsiaTheme="minorEastAsia"/>
          <w:bCs/>
          <w:sz w:val="24"/>
        </w:rPr>
        <w:t>：植被类型图</w:t>
      </w:r>
    </w:p>
    <w:p w:rsidR="002A5A5E" w:rsidRPr="00FC1444" w:rsidRDefault="00611CBA">
      <w:pPr>
        <w:ind w:firstLineChars="200" w:firstLine="480"/>
        <w:rPr>
          <w:rFonts w:eastAsiaTheme="minorEastAsia"/>
          <w:sz w:val="24"/>
        </w:rPr>
      </w:pPr>
      <w:r w:rsidRPr="00FC1444">
        <w:rPr>
          <w:rFonts w:eastAsiaTheme="minorEastAsia"/>
          <w:sz w:val="24"/>
        </w:rPr>
        <w:t>附图</w:t>
      </w:r>
      <w:r w:rsidR="00407C5E" w:rsidRPr="00FC1444">
        <w:rPr>
          <w:rFonts w:eastAsiaTheme="minorEastAsia"/>
          <w:sz w:val="24"/>
        </w:rPr>
        <w:t>7-1~7-</w:t>
      </w:r>
      <w:r w:rsidR="00407C5E" w:rsidRPr="00FC1444">
        <w:rPr>
          <w:rFonts w:eastAsiaTheme="minorEastAsia" w:hint="eastAsia"/>
          <w:sz w:val="24"/>
        </w:rPr>
        <w:t>3</w:t>
      </w:r>
      <w:r w:rsidRPr="00FC1444">
        <w:rPr>
          <w:rFonts w:eastAsiaTheme="minorEastAsia"/>
          <w:sz w:val="24"/>
        </w:rPr>
        <w:t>：环境空气及声环境敏感目标分布图</w:t>
      </w:r>
    </w:p>
    <w:p w:rsidR="002A5A5E" w:rsidRPr="00FC1444" w:rsidRDefault="00611CBA">
      <w:pPr>
        <w:ind w:firstLineChars="200" w:firstLine="480"/>
        <w:rPr>
          <w:rFonts w:eastAsiaTheme="minorEastAsia"/>
          <w:sz w:val="24"/>
        </w:rPr>
      </w:pPr>
      <w:r w:rsidRPr="00FC1444">
        <w:rPr>
          <w:rFonts w:eastAsiaTheme="minorEastAsia"/>
          <w:sz w:val="24"/>
        </w:rPr>
        <w:t>附图</w:t>
      </w:r>
      <w:r w:rsidRPr="00FC1444">
        <w:rPr>
          <w:rFonts w:eastAsiaTheme="minorEastAsia"/>
          <w:sz w:val="24"/>
        </w:rPr>
        <w:t>8</w:t>
      </w:r>
      <w:r w:rsidRPr="00FC1444">
        <w:rPr>
          <w:rFonts w:eastAsiaTheme="minorEastAsia"/>
          <w:sz w:val="24"/>
        </w:rPr>
        <w:t>：土地利用现状图</w:t>
      </w:r>
    </w:p>
    <w:p w:rsidR="002A5A5E" w:rsidRPr="00FC1444" w:rsidRDefault="00611CBA">
      <w:pPr>
        <w:ind w:firstLineChars="200" w:firstLine="480"/>
        <w:rPr>
          <w:rFonts w:eastAsiaTheme="minorEastAsia"/>
          <w:sz w:val="24"/>
        </w:rPr>
        <w:sectPr w:rsidR="002A5A5E" w:rsidRPr="00FC1444">
          <w:footerReference w:type="default" r:id="rId9"/>
          <w:pgSz w:w="11906" w:h="16838"/>
          <w:pgMar w:top="1440" w:right="1800" w:bottom="1440" w:left="1800" w:header="851" w:footer="992" w:gutter="0"/>
          <w:pgNumType w:fmt="upperRoman" w:start="1"/>
          <w:cols w:space="425"/>
          <w:docGrid w:type="lines" w:linePitch="312"/>
        </w:sectPr>
      </w:pPr>
      <w:r w:rsidRPr="00FC1444">
        <w:rPr>
          <w:rFonts w:eastAsiaTheme="minorEastAsia"/>
          <w:sz w:val="24"/>
        </w:rPr>
        <w:t>附图</w:t>
      </w:r>
      <w:r w:rsidRPr="00FC1444">
        <w:rPr>
          <w:rFonts w:eastAsiaTheme="minorEastAsia"/>
          <w:sz w:val="24"/>
        </w:rPr>
        <w:t>9</w:t>
      </w:r>
      <w:r w:rsidR="00F0277F" w:rsidRPr="00FC1444">
        <w:rPr>
          <w:rFonts w:eastAsiaTheme="minorEastAsia" w:hint="eastAsia"/>
          <w:sz w:val="24"/>
        </w:rPr>
        <w:t>-1~9-2</w:t>
      </w:r>
      <w:r w:rsidRPr="00FC1444">
        <w:rPr>
          <w:rFonts w:eastAsiaTheme="minorEastAsia"/>
          <w:sz w:val="24"/>
        </w:rPr>
        <w:t>：项目</w:t>
      </w:r>
      <w:r w:rsidRPr="00FC1444">
        <w:rPr>
          <w:rFonts w:eastAsiaTheme="minorEastAsia"/>
          <w:bCs/>
          <w:sz w:val="24"/>
        </w:rPr>
        <w:t>工程及施工总平面布置</w:t>
      </w:r>
      <w:r w:rsidRPr="00FC1444">
        <w:rPr>
          <w:rFonts w:eastAsiaTheme="minorEastAsia"/>
          <w:sz w:val="24"/>
        </w:rPr>
        <w:t>、退水路线及水系图</w:t>
      </w:r>
      <w:r w:rsidRPr="00FC1444">
        <w:rPr>
          <w:rFonts w:eastAsiaTheme="minorEastAsia"/>
          <w:sz w:val="24"/>
        </w:rPr>
        <w:t xml:space="preserve">  </w:t>
      </w:r>
    </w:p>
    <w:p w:rsidR="002A5A5E" w:rsidRPr="00FC1444"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 w:name="_Toc208906216"/>
      <w:r w:rsidRPr="00FC1444">
        <w:rPr>
          <w:rFonts w:eastAsiaTheme="minorEastAsia"/>
          <w:b/>
          <w:kern w:val="0"/>
          <w:sz w:val="32"/>
          <w:szCs w:val="32"/>
        </w:rPr>
        <w:lastRenderedPageBreak/>
        <w:t>1</w:t>
      </w:r>
      <w:r w:rsidRPr="00FC1444">
        <w:rPr>
          <w:rFonts w:eastAsiaTheme="minorEastAsia"/>
          <w:b/>
          <w:kern w:val="0"/>
          <w:sz w:val="32"/>
          <w:szCs w:val="32"/>
        </w:rPr>
        <w:t>概述</w:t>
      </w:r>
      <w:bookmarkEnd w:id="0"/>
      <w:bookmarkEnd w:id="1"/>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2" w:name="_Toc208906217"/>
      <w:r w:rsidRPr="00FC1444">
        <w:rPr>
          <w:rFonts w:eastAsiaTheme="minorEastAsia"/>
          <w:b/>
          <w:bCs/>
          <w:kern w:val="44"/>
          <w:sz w:val="30"/>
          <w:szCs w:val="30"/>
        </w:rPr>
        <w:t>1.1</w:t>
      </w:r>
      <w:r w:rsidRPr="00FC1444">
        <w:rPr>
          <w:rFonts w:eastAsiaTheme="minorEastAsia"/>
          <w:b/>
          <w:bCs/>
          <w:kern w:val="44"/>
          <w:sz w:val="30"/>
          <w:szCs w:val="30"/>
        </w:rPr>
        <w:t>项目由来</w:t>
      </w:r>
      <w:bookmarkEnd w:id="2"/>
    </w:p>
    <w:p w:rsidR="002A5A5E" w:rsidRPr="00FC1444" w:rsidRDefault="00611CBA">
      <w:pPr>
        <w:spacing w:line="360" w:lineRule="auto"/>
        <w:ind w:firstLineChars="200" w:firstLine="480"/>
        <w:rPr>
          <w:rFonts w:eastAsiaTheme="minorEastAsia"/>
          <w:snapToGrid w:val="0"/>
          <w:kern w:val="0"/>
          <w:sz w:val="24"/>
        </w:rPr>
      </w:pPr>
      <w:bookmarkStart w:id="3" w:name="_Toc479252798"/>
      <w:r w:rsidRPr="00FC1444">
        <w:rPr>
          <w:rFonts w:eastAsiaTheme="minorEastAsia"/>
          <w:snapToGrid w:val="0"/>
          <w:kern w:val="0"/>
          <w:sz w:val="24"/>
        </w:rPr>
        <w:t>耕地是粮食生产的第一资源，解决我国粮食问题必须立足于国内基本自给的方针。随着人口增长和生活水平的提高，我国粮食需求将继续增加，保护耕地、确保国家粮食安全的压力将日益加重。要切实做到有效控制耕地减少过多的状况，确保粮食安全，必须稳定一定数量和质量的耕地，特别是基本农田，这是建设高标准农田工作首要的目标和任务，是加强基本农田基础设施建设、提高基本农田质量、改善基本农田生产条件的主要手段。</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根据黑龙江省农业农村厅和</w:t>
      </w:r>
      <w:r w:rsidR="00CA729B" w:rsidRPr="00FC1444">
        <w:rPr>
          <w:rFonts w:eastAsiaTheme="minorEastAsia"/>
          <w:snapToGrid w:val="0"/>
          <w:kern w:val="0"/>
          <w:sz w:val="24"/>
        </w:rPr>
        <w:t>黑龙江省发展和改革委员会</w:t>
      </w:r>
      <w:r w:rsidRPr="00FC1444">
        <w:rPr>
          <w:rFonts w:eastAsiaTheme="minorEastAsia"/>
          <w:snapToGrid w:val="0"/>
          <w:kern w:val="0"/>
          <w:sz w:val="24"/>
        </w:rPr>
        <w:t>联合印发的《</w:t>
      </w:r>
      <w:r w:rsidRPr="00FC1444">
        <w:rPr>
          <w:rFonts w:eastAsiaTheme="minorEastAsia"/>
          <w:snapToGrid w:val="0"/>
          <w:kern w:val="0"/>
          <w:sz w:val="24"/>
        </w:rPr>
        <w:t>2025</w:t>
      </w:r>
      <w:r w:rsidRPr="00FC1444">
        <w:rPr>
          <w:rFonts w:eastAsiaTheme="minorEastAsia"/>
          <w:snapToGrid w:val="0"/>
          <w:kern w:val="0"/>
          <w:sz w:val="24"/>
        </w:rPr>
        <w:t>年全省高标准农田建设工作实施方案》（黑农厅联发〔</w:t>
      </w:r>
      <w:r w:rsidRPr="00FC1444">
        <w:rPr>
          <w:rFonts w:eastAsiaTheme="minorEastAsia"/>
          <w:snapToGrid w:val="0"/>
          <w:kern w:val="0"/>
          <w:sz w:val="24"/>
        </w:rPr>
        <w:t>2025</w:t>
      </w:r>
      <w:r w:rsidRPr="00FC1444">
        <w:rPr>
          <w:rFonts w:eastAsiaTheme="minorEastAsia"/>
          <w:snapToGrid w:val="0"/>
          <w:kern w:val="0"/>
          <w:sz w:val="24"/>
        </w:rPr>
        <w:t>〕</w:t>
      </w:r>
      <w:r w:rsidRPr="00FC1444">
        <w:rPr>
          <w:rFonts w:eastAsiaTheme="minorEastAsia"/>
          <w:snapToGrid w:val="0"/>
          <w:kern w:val="0"/>
          <w:sz w:val="24"/>
        </w:rPr>
        <w:t>38</w:t>
      </w:r>
      <w:r w:rsidRPr="00FC1444">
        <w:rPr>
          <w:rFonts w:eastAsiaTheme="minorEastAsia"/>
          <w:snapToGrid w:val="0"/>
          <w:kern w:val="0"/>
          <w:sz w:val="24"/>
        </w:rPr>
        <w:t>号）的总体要求，深入实施</w:t>
      </w:r>
      <w:r w:rsidRPr="00FC1444">
        <w:rPr>
          <w:rFonts w:eastAsiaTheme="minorEastAsia"/>
          <w:snapToGrid w:val="0"/>
          <w:kern w:val="0"/>
          <w:sz w:val="24"/>
        </w:rPr>
        <w:t>“</w:t>
      </w:r>
      <w:r w:rsidRPr="00FC1444">
        <w:rPr>
          <w:rFonts w:eastAsiaTheme="minorEastAsia"/>
          <w:snapToGrid w:val="0"/>
          <w:kern w:val="0"/>
          <w:sz w:val="24"/>
        </w:rPr>
        <w:t>藏粮于地、藏粮于技</w:t>
      </w:r>
      <w:r w:rsidRPr="00FC1444">
        <w:rPr>
          <w:rFonts w:eastAsiaTheme="minorEastAsia"/>
          <w:snapToGrid w:val="0"/>
          <w:kern w:val="0"/>
          <w:sz w:val="24"/>
        </w:rPr>
        <w:t>”</w:t>
      </w:r>
      <w:r w:rsidRPr="00FC1444">
        <w:rPr>
          <w:rFonts w:eastAsiaTheme="minorEastAsia"/>
          <w:snapToGrid w:val="0"/>
          <w:kern w:val="0"/>
          <w:sz w:val="24"/>
        </w:rPr>
        <w:t>战略，以提高粮食和重要农产品生产能力为首要任务，以</w:t>
      </w:r>
      <w:r w:rsidRPr="00FC1444">
        <w:rPr>
          <w:rFonts w:eastAsiaTheme="minorEastAsia"/>
          <w:snapToGrid w:val="0"/>
          <w:kern w:val="0"/>
          <w:sz w:val="24"/>
        </w:rPr>
        <w:t>“</w:t>
      </w:r>
      <w:r w:rsidRPr="00FC1444">
        <w:rPr>
          <w:rFonts w:eastAsiaTheme="minorEastAsia"/>
          <w:snapToGrid w:val="0"/>
          <w:kern w:val="0"/>
          <w:sz w:val="24"/>
        </w:rPr>
        <w:t>一平（田块平整）、两通（通水通路）、三提升（提升地力、产量、效益）</w:t>
      </w:r>
      <w:r w:rsidRPr="00FC1444">
        <w:rPr>
          <w:rFonts w:eastAsiaTheme="minorEastAsia"/>
          <w:snapToGrid w:val="0"/>
          <w:kern w:val="0"/>
          <w:sz w:val="24"/>
        </w:rPr>
        <w:t>”</w:t>
      </w:r>
      <w:r w:rsidRPr="00FC1444">
        <w:rPr>
          <w:rFonts w:eastAsiaTheme="minorEastAsia"/>
          <w:snapToGrid w:val="0"/>
          <w:kern w:val="0"/>
          <w:sz w:val="24"/>
        </w:rPr>
        <w:t>为基本标准，紧扣田块整治、灌溉与排水、田间道路、农田防护与生态环境、农田输配电、农田地力提升等建设工程，坚持新增建设和改造提升并重、建设数量和建设质量并重、工程建设和建后管护并重、产能提升和绿色发展相协调，切实把耕地特别是永久基本农田建成适宜耕作、旱涝保收、高产稳产的现代化良田，为保障国家粮食安全和重要农产品有效供给奠定坚实基础，确定</w:t>
      </w:r>
      <w:r w:rsidR="00AE168C" w:rsidRPr="00FC1444">
        <w:rPr>
          <w:rFonts w:eastAsiaTheme="minorEastAsia"/>
          <w:snapToGrid w:val="0"/>
          <w:kern w:val="0"/>
          <w:sz w:val="24"/>
        </w:rPr>
        <w:t>北林区</w:t>
      </w:r>
      <w:r w:rsidR="00AE168C" w:rsidRPr="00FC1444">
        <w:rPr>
          <w:rFonts w:eastAsiaTheme="minorEastAsia"/>
          <w:snapToGrid w:val="0"/>
          <w:kern w:val="0"/>
          <w:sz w:val="24"/>
        </w:rPr>
        <w:t>2026</w:t>
      </w:r>
      <w:r w:rsidR="00AE168C" w:rsidRPr="00FC1444">
        <w:rPr>
          <w:rFonts w:eastAsiaTheme="minorEastAsia"/>
          <w:snapToGrid w:val="0"/>
          <w:kern w:val="0"/>
          <w:sz w:val="24"/>
        </w:rPr>
        <w:t>年高标准农田建设项目</w:t>
      </w:r>
      <w:r w:rsidRPr="00FC1444">
        <w:rPr>
          <w:rFonts w:eastAsiaTheme="minorEastAsia"/>
          <w:snapToGrid w:val="0"/>
          <w:kern w:val="0"/>
          <w:sz w:val="24"/>
        </w:rPr>
        <w:t>建设规模</w:t>
      </w:r>
      <w:r w:rsidR="00433F49" w:rsidRPr="00FC1444">
        <w:rPr>
          <w:rFonts w:eastAsiaTheme="minorEastAsia"/>
          <w:snapToGrid w:val="0"/>
          <w:kern w:val="0"/>
          <w:sz w:val="24"/>
        </w:rPr>
        <w:t>21</w:t>
      </w:r>
      <w:r w:rsidRPr="00FC1444">
        <w:rPr>
          <w:rFonts w:eastAsiaTheme="minorEastAsia"/>
          <w:snapToGrid w:val="0"/>
          <w:kern w:val="0"/>
          <w:sz w:val="24"/>
        </w:rPr>
        <w:t>万亩。</w:t>
      </w:r>
    </w:p>
    <w:p w:rsidR="002A5A5E" w:rsidRPr="00FC1444" w:rsidRDefault="00611CBA">
      <w:pPr>
        <w:spacing w:line="360" w:lineRule="auto"/>
        <w:ind w:firstLineChars="200" w:firstLine="480"/>
        <w:rPr>
          <w:smallCaps/>
          <w:sz w:val="24"/>
        </w:rPr>
      </w:pPr>
      <w:r w:rsidRPr="00FC1444">
        <w:rPr>
          <w:sz w:val="24"/>
        </w:rPr>
        <w:t>本项目为改扩建项目。</w:t>
      </w:r>
      <w:r w:rsidR="00AE168C" w:rsidRPr="00FC1444">
        <w:rPr>
          <w:rFonts w:eastAsiaTheme="minorEastAsia"/>
          <w:snapToGrid w:val="0"/>
          <w:kern w:val="0"/>
          <w:sz w:val="24"/>
        </w:rPr>
        <w:t>北林区</w:t>
      </w:r>
      <w:r w:rsidR="00AE168C" w:rsidRPr="00FC1444">
        <w:rPr>
          <w:rFonts w:eastAsiaTheme="minorEastAsia"/>
          <w:snapToGrid w:val="0"/>
          <w:kern w:val="0"/>
          <w:sz w:val="24"/>
        </w:rPr>
        <w:t>2026</w:t>
      </w:r>
      <w:r w:rsidR="00AE168C" w:rsidRPr="00FC1444">
        <w:rPr>
          <w:rFonts w:eastAsiaTheme="minorEastAsia"/>
          <w:snapToGrid w:val="0"/>
          <w:kern w:val="0"/>
          <w:sz w:val="24"/>
        </w:rPr>
        <w:t>年高标准农田建设项目</w:t>
      </w:r>
      <w:r w:rsidRPr="00FC1444">
        <w:rPr>
          <w:rFonts w:eastAsiaTheme="minorEastAsia"/>
          <w:snapToGrid w:val="0"/>
          <w:kern w:val="0"/>
          <w:sz w:val="24"/>
        </w:rPr>
        <w:t>涉及</w:t>
      </w:r>
      <w:r w:rsidR="00433F49" w:rsidRPr="00FC1444">
        <w:rPr>
          <w:rFonts w:eastAsiaTheme="minorEastAsia"/>
          <w:snapToGrid w:val="0"/>
          <w:kern w:val="0"/>
          <w:sz w:val="24"/>
        </w:rPr>
        <w:t>4</w:t>
      </w:r>
      <w:r w:rsidR="00433F49" w:rsidRPr="00FC1444">
        <w:rPr>
          <w:rFonts w:eastAsiaTheme="minorEastAsia"/>
          <w:snapToGrid w:val="0"/>
          <w:kern w:val="0"/>
          <w:sz w:val="24"/>
        </w:rPr>
        <w:t>个乡镇</w:t>
      </w:r>
      <w:r w:rsidR="00433F49" w:rsidRPr="00FC1444">
        <w:rPr>
          <w:rFonts w:eastAsiaTheme="minorEastAsia"/>
          <w:snapToGrid w:val="0"/>
          <w:kern w:val="0"/>
          <w:sz w:val="24"/>
        </w:rPr>
        <w:t>11</w:t>
      </w:r>
      <w:r w:rsidR="00433F49" w:rsidRPr="00FC1444">
        <w:rPr>
          <w:rFonts w:eastAsiaTheme="minorEastAsia"/>
          <w:snapToGrid w:val="0"/>
          <w:kern w:val="0"/>
          <w:sz w:val="24"/>
        </w:rPr>
        <w:t>个行政村</w:t>
      </w:r>
      <w:r w:rsidRPr="00FC1444">
        <w:rPr>
          <w:rFonts w:eastAsiaTheme="minorEastAsia"/>
          <w:snapToGrid w:val="0"/>
          <w:kern w:val="0"/>
          <w:sz w:val="24"/>
        </w:rPr>
        <w:t>：</w:t>
      </w:r>
      <w:r w:rsidR="00433F49" w:rsidRPr="00FC1444">
        <w:rPr>
          <w:rFonts w:eastAsiaTheme="minorEastAsia"/>
          <w:bCs/>
          <w:sz w:val="24"/>
        </w:rPr>
        <w:t>黑龙江省绥化市北林区绥胜镇富强村、胜利二村；津河镇民胜村、津河村、靠河村；五营乡互相村、东围村、金伏村；三河镇太安村、永德村、合作村</w:t>
      </w:r>
      <w:r w:rsidRPr="00FC1444">
        <w:rPr>
          <w:rFonts w:eastAsiaTheme="minorEastAsia"/>
          <w:snapToGrid w:val="0"/>
          <w:kern w:val="0"/>
          <w:sz w:val="24"/>
        </w:rPr>
        <w:t>。总投资</w:t>
      </w:r>
      <w:r w:rsidR="00D622BA" w:rsidRPr="00FC1444">
        <w:rPr>
          <w:rFonts w:eastAsiaTheme="minorEastAsia"/>
          <w:snapToGrid w:val="0"/>
          <w:kern w:val="0"/>
          <w:sz w:val="24"/>
        </w:rPr>
        <w:t>51585</w:t>
      </w:r>
      <w:r w:rsidR="00D622BA" w:rsidRPr="00FC1444">
        <w:rPr>
          <w:rFonts w:eastAsiaTheme="minorEastAsia"/>
          <w:snapToGrid w:val="0"/>
          <w:kern w:val="0"/>
          <w:sz w:val="24"/>
        </w:rPr>
        <w:t>万元</w:t>
      </w:r>
      <w:r w:rsidRPr="00FC1444">
        <w:rPr>
          <w:rFonts w:eastAsiaTheme="minorEastAsia"/>
          <w:snapToGrid w:val="0"/>
          <w:kern w:val="0"/>
          <w:sz w:val="24"/>
        </w:rPr>
        <w:t>。本项目不占用生态</w:t>
      </w:r>
      <w:r w:rsidR="00CA729B" w:rsidRPr="00FC1444">
        <w:rPr>
          <w:rFonts w:eastAsiaTheme="minorEastAsia"/>
          <w:snapToGrid w:val="0"/>
          <w:kern w:val="0"/>
          <w:sz w:val="24"/>
        </w:rPr>
        <w:t>保护</w:t>
      </w:r>
      <w:r w:rsidRPr="00FC1444">
        <w:rPr>
          <w:rFonts w:eastAsiaTheme="minorEastAsia"/>
          <w:snapToGrid w:val="0"/>
          <w:kern w:val="0"/>
          <w:sz w:val="24"/>
        </w:rPr>
        <w:t>红线，</w:t>
      </w:r>
      <w:r w:rsidR="00D622BA" w:rsidRPr="00FC1444">
        <w:rPr>
          <w:rFonts w:eastAsiaTheme="minorEastAsia"/>
          <w:bCs/>
          <w:sz w:val="24"/>
        </w:rPr>
        <w:t>建设</w:t>
      </w:r>
      <w:r w:rsidR="00D622BA" w:rsidRPr="00FC1444">
        <w:rPr>
          <w:rFonts w:eastAsiaTheme="minorEastAsia"/>
          <w:bCs/>
          <w:sz w:val="24"/>
        </w:rPr>
        <w:t>21</w:t>
      </w:r>
      <w:r w:rsidR="00D622BA" w:rsidRPr="00FC1444">
        <w:rPr>
          <w:rFonts w:eastAsiaTheme="minorEastAsia"/>
          <w:bCs/>
          <w:sz w:val="24"/>
        </w:rPr>
        <w:t>万亩高标准农田（旱田</w:t>
      </w:r>
      <w:r w:rsidR="00D622BA" w:rsidRPr="00FC1444">
        <w:rPr>
          <w:rFonts w:eastAsiaTheme="minorEastAsia"/>
          <w:bCs/>
          <w:sz w:val="24"/>
        </w:rPr>
        <w:t>11.84</w:t>
      </w:r>
      <w:r w:rsidR="00D622BA" w:rsidRPr="00FC1444">
        <w:rPr>
          <w:rFonts w:eastAsiaTheme="minorEastAsia"/>
          <w:bCs/>
          <w:sz w:val="24"/>
        </w:rPr>
        <w:t>万亩，水田</w:t>
      </w:r>
      <w:r w:rsidR="00D622BA" w:rsidRPr="00FC1444">
        <w:rPr>
          <w:rFonts w:eastAsiaTheme="minorEastAsia"/>
          <w:bCs/>
          <w:sz w:val="24"/>
        </w:rPr>
        <w:t>9.16</w:t>
      </w:r>
      <w:r w:rsidR="00D622BA" w:rsidRPr="00FC1444">
        <w:rPr>
          <w:rFonts w:eastAsiaTheme="minorEastAsia"/>
          <w:bCs/>
          <w:sz w:val="24"/>
        </w:rPr>
        <w:t>万亩）</w:t>
      </w:r>
      <w:r w:rsidRPr="00FC1444">
        <w:rPr>
          <w:rFonts w:eastAsiaTheme="minorEastAsia"/>
          <w:bCs/>
          <w:snapToGrid w:val="0"/>
          <w:kern w:val="0"/>
          <w:sz w:val="24"/>
        </w:rPr>
        <w:t>。具体建设内容见项目概况，</w:t>
      </w:r>
      <w:r w:rsidRPr="00FC1444">
        <w:rPr>
          <w:rFonts w:eastAsiaTheme="minorEastAsia"/>
          <w:sz w:val="24"/>
        </w:rPr>
        <w:t>本项目</w:t>
      </w:r>
      <w:r w:rsidRPr="00FC1444">
        <w:rPr>
          <w:rFonts w:eastAsiaTheme="minorEastAsia"/>
          <w:bCs/>
          <w:sz w:val="24"/>
        </w:rPr>
        <w:t>新建机电井</w:t>
      </w:r>
      <w:r w:rsidR="00DD3A44" w:rsidRPr="00FC1444">
        <w:rPr>
          <w:rFonts w:eastAsiaTheme="minorEastAsia"/>
          <w:bCs/>
          <w:sz w:val="24"/>
        </w:rPr>
        <w:t>156</w:t>
      </w:r>
      <w:r w:rsidR="00DD3A44" w:rsidRPr="00FC1444">
        <w:rPr>
          <w:rFonts w:eastAsiaTheme="minorEastAsia"/>
          <w:bCs/>
          <w:sz w:val="24"/>
        </w:rPr>
        <w:t>眼</w:t>
      </w:r>
      <w:r w:rsidRPr="00FC1444">
        <w:rPr>
          <w:rFonts w:eastAsiaTheme="minorEastAsia"/>
          <w:bCs/>
          <w:sz w:val="24"/>
        </w:rPr>
        <w:t>，</w:t>
      </w:r>
      <w:r w:rsidRPr="00FC1444">
        <w:rPr>
          <w:rFonts w:eastAsiaTheme="minorEastAsia"/>
          <w:sz w:val="24"/>
        </w:rPr>
        <w:t>项目区取水量为</w:t>
      </w:r>
      <w:r w:rsidR="00371E5B" w:rsidRPr="00FC1444">
        <w:rPr>
          <w:rFonts w:eastAsiaTheme="minorEastAsia"/>
          <w:sz w:val="24"/>
        </w:rPr>
        <w:t>92.83</w:t>
      </w:r>
      <w:r w:rsidR="00371E5B" w:rsidRPr="00FC1444">
        <w:rPr>
          <w:rFonts w:eastAsiaTheme="minorEastAsia"/>
          <w:sz w:val="24"/>
        </w:rPr>
        <w:t>万</w:t>
      </w:r>
      <w:r w:rsidRPr="00FC1444">
        <w:rPr>
          <w:rFonts w:eastAsiaTheme="minorEastAsia"/>
          <w:sz w:val="24"/>
        </w:rPr>
        <w:t>m³/a</w:t>
      </w:r>
      <w:r w:rsidRPr="00FC1444">
        <w:rPr>
          <w:rFonts w:eastAsiaTheme="minorEastAsia"/>
          <w:sz w:val="24"/>
        </w:rPr>
        <w:t>。</w:t>
      </w:r>
      <w:r w:rsidR="00E008D1" w:rsidRPr="00FC1444">
        <w:rPr>
          <w:rFonts w:eastAsiaTheme="minorEastAsia"/>
          <w:sz w:val="24"/>
        </w:rPr>
        <w:t>项目建成后灌区年退水量与现状相比减少</w:t>
      </w:r>
      <w:r w:rsidR="00E008D1" w:rsidRPr="00FC1444">
        <w:rPr>
          <w:rFonts w:eastAsiaTheme="minorEastAsia"/>
          <w:sz w:val="24"/>
        </w:rPr>
        <w:t>431</w:t>
      </w:r>
      <w:r w:rsidR="00E008D1" w:rsidRPr="00FC1444">
        <w:rPr>
          <w:rFonts w:eastAsiaTheme="minorEastAsia"/>
          <w:sz w:val="24"/>
        </w:rPr>
        <w:t>万</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w:t>
      </w:r>
      <w:r w:rsidR="00C341EA" w:rsidRPr="00FC1444">
        <w:rPr>
          <w:rFonts w:eastAsiaTheme="minorEastAsia"/>
          <w:bCs/>
          <w:sz w:val="24"/>
        </w:rPr>
        <w:t>COD</w:t>
      </w:r>
      <w:r w:rsidR="00C341EA" w:rsidRPr="00FC1444">
        <w:rPr>
          <w:rFonts w:eastAsiaTheme="minorEastAsia"/>
          <w:bCs/>
          <w:sz w:val="24"/>
        </w:rPr>
        <w:t>、氨氮、总磷及总氮排放量分别减少</w:t>
      </w:r>
      <w:r w:rsidR="00C341EA" w:rsidRPr="00FC1444">
        <w:rPr>
          <w:rFonts w:eastAsiaTheme="minorEastAsia"/>
          <w:bCs/>
          <w:sz w:val="24"/>
        </w:rPr>
        <w:t>227.137t/a</w:t>
      </w:r>
      <w:r w:rsidR="00C341EA" w:rsidRPr="00FC1444">
        <w:rPr>
          <w:rFonts w:eastAsiaTheme="minorEastAsia"/>
          <w:bCs/>
          <w:sz w:val="24"/>
        </w:rPr>
        <w:t>、</w:t>
      </w:r>
      <w:r w:rsidR="00C341EA" w:rsidRPr="00FC1444">
        <w:rPr>
          <w:rFonts w:eastAsiaTheme="minorEastAsia"/>
          <w:bCs/>
          <w:sz w:val="24"/>
        </w:rPr>
        <w:t>5.431t/a</w:t>
      </w:r>
      <w:r w:rsidR="00C341EA" w:rsidRPr="00FC1444">
        <w:rPr>
          <w:rFonts w:eastAsiaTheme="minorEastAsia"/>
          <w:bCs/>
          <w:sz w:val="24"/>
        </w:rPr>
        <w:t>、</w:t>
      </w:r>
      <w:r w:rsidR="00C341EA" w:rsidRPr="00FC1444">
        <w:rPr>
          <w:rFonts w:eastAsiaTheme="minorEastAsia"/>
          <w:bCs/>
          <w:sz w:val="24"/>
        </w:rPr>
        <w:t>7.93t/a</w:t>
      </w:r>
      <w:r w:rsidR="00C341EA" w:rsidRPr="00FC1444">
        <w:rPr>
          <w:rFonts w:eastAsiaTheme="minorEastAsia"/>
          <w:bCs/>
          <w:sz w:val="24"/>
        </w:rPr>
        <w:t>、</w:t>
      </w:r>
      <w:r w:rsidR="00C341EA" w:rsidRPr="00FC1444">
        <w:rPr>
          <w:rFonts w:eastAsiaTheme="minorEastAsia"/>
          <w:bCs/>
          <w:sz w:val="24"/>
        </w:rPr>
        <w:t>18.102t/a</w:t>
      </w:r>
      <w:r w:rsidR="00C341EA" w:rsidRPr="00FC1444">
        <w:rPr>
          <w:rFonts w:eastAsiaTheme="minorEastAsia"/>
          <w:bCs/>
          <w:sz w:val="24"/>
        </w:rPr>
        <w:t>。</w:t>
      </w:r>
      <w:r w:rsidR="00AC69F4" w:rsidRPr="00FC1444">
        <w:rPr>
          <w:bCs/>
          <w:sz w:val="24"/>
        </w:rPr>
        <w:t>排水承泄区为津河、呼兰河、努敏河</w:t>
      </w:r>
      <w:r w:rsidRPr="00FC1444">
        <w:rPr>
          <w:smallCaps/>
          <w:sz w:val="24"/>
        </w:rPr>
        <w:t>。本项目施工期</w:t>
      </w:r>
      <w:r w:rsidR="00FC1444" w:rsidRPr="00FC1444">
        <w:rPr>
          <w:smallCaps/>
          <w:sz w:val="24"/>
        </w:rPr>
        <w:t>生态</w:t>
      </w:r>
      <w:r w:rsidRPr="00FC1444">
        <w:rPr>
          <w:smallCaps/>
          <w:sz w:val="24"/>
        </w:rPr>
        <w:t>环境影响途径主要为田块整治工程、灌溉与排水工程、田间道路工程、农田输配电工程建设过程中产生的扬尘、施工期机械设备、淤泥恶臭及汽车尾气对周围环境空气的影响，施工废水对地表水、地下水环境的影响，各施工机械噪声对周围声</w:t>
      </w:r>
      <w:r w:rsidRPr="00FC1444">
        <w:rPr>
          <w:smallCaps/>
          <w:sz w:val="24"/>
        </w:rPr>
        <w:lastRenderedPageBreak/>
        <w:t>环境的影响，施工固体废物对周围环境的影响，表土剥离对黑土地及基本农田的影响及对生态环境的影响；运营期</w:t>
      </w:r>
      <w:r w:rsidR="00FC1444" w:rsidRPr="00FC1444">
        <w:rPr>
          <w:smallCaps/>
          <w:sz w:val="24"/>
        </w:rPr>
        <w:t>生态</w:t>
      </w:r>
      <w:r w:rsidRPr="00FC1444">
        <w:rPr>
          <w:smallCaps/>
          <w:sz w:val="24"/>
        </w:rPr>
        <w:t>环境影响途径主要为对地下水的影响，柴油机移动泵车、道路车辆尾气对周围环境的影响，固体废物对周围环境的影响，设备噪声对周围环保目标的影响以及对生态环境的影响。</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rPr>
        <w:t>按照《</w:t>
      </w:r>
      <w:r w:rsidR="006B5CB5" w:rsidRPr="00FC1444">
        <w:rPr>
          <w:rFonts w:ascii="Times New Roman" w:hAnsi="Times New Roman" w:cs="Times New Roman"/>
        </w:rPr>
        <w:t>中华人民共和国生态环境法典</w:t>
      </w:r>
      <w:r w:rsidRPr="00FC1444">
        <w:rPr>
          <w:rFonts w:ascii="Times New Roman" w:hAnsi="Times New Roman" w:cs="Times New Roman"/>
        </w:rPr>
        <w:t>》和《建设项目环境保护管理条例》等环保法规和条例中的有关规定，需对该项目进行</w:t>
      </w:r>
      <w:r w:rsidR="00FC1444" w:rsidRPr="00FC1444">
        <w:rPr>
          <w:rFonts w:ascii="Times New Roman" w:hAnsi="Times New Roman" w:cs="Times New Roman"/>
        </w:rPr>
        <w:t>生态</w:t>
      </w:r>
      <w:r w:rsidRPr="00FC1444">
        <w:rPr>
          <w:rFonts w:ascii="Times New Roman" w:hAnsi="Times New Roman" w:cs="Times New Roman"/>
        </w:rPr>
        <w:t>环境影响评价，受</w:t>
      </w:r>
      <w:r w:rsidR="00EE4022" w:rsidRPr="00FC1444">
        <w:rPr>
          <w:rFonts w:ascii="Times New Roman" w:hAnsi="Times New Roman" w:cs="Times New Roman"/>
        </w:rPr>
        <w:t>绥化市</w:t>
      </w:r>
      <w:r w:rsidR="00AE168C" w:rsidRPr="00FC1444">
        <w:rPr>
          <w:rFonts w:ascii="Times New Roman" w:hAnsi="Times New Roman" w:cs="Times New Roman"/>
        </w:rPr>
        <w:t>北林区农业农村局</w:t>
      </w:r>
      <w:r w:rsidRPr="00FC1444">
        <w:rPr>
          <w:rFonts w:ascii="Times New Roman" w:hAnsi="Times New Roman" w:cs="Times New Roman"/>
        </w:rPr>
        <w:t>委托，哈尔滨茸昌环保科技有限公司承担了本项目的</w:t>
      </w:r>
      <w:r w:rsidR="00FC1444" w:rsidRPr="00FC1444">
        <w:rPr>
          <w:rFonts w:ascii="Times New Roman" w:hAnsi="Times New Roman" w:cs="Times New Roman"/>
        </w:rPr>
        <w:t>生态</w:t>
      </w:r>
      <w:r w:rsidRPr="00FC1444">
        <w:rPr>
          <w:rFonts w:ascii="Times New Roman" w:hAnsi="Times New Roman" w:cs="Times New Roman"/>
        </w:rPr>
        <w:t>环境影响评价工作，对</w:t>
      </w:r>
      <w:r w:rsidR="00AE168C" w:rsidRPr="00FC1444">
        <w:rPr>
          <w:rFonts w:ascii="Times New Roman" w:hAnsi="Times New Roman" w:cs="Times New Roman"/>
        </w:rPr>
        <w:t>北林区</w:t>
      </w:r>
      <w:r w:rsidR="00AE168C" w:rsidRPr="00FC1444">
        <w:rPr>
          <w:rFonts w:ascii="Times New Roman" w:hAnsi="Times New Roman" w:cs="Times New Roman"/>
        </w:rPr>
        <w:t>2026</w:t>
      </w:r>
      <w:r w:rsidR="00AE168C" w:rsidRPr="00FC1444">
        <w:rPr>
          <w:rFonts w:ascii="Times New Roman" w:hAnsi="Times New Roman" w:cs="Times New Roman"/>
        </w:rPr>
        <w:t>年高标准农田建设项目</w:t>
      </w:r>
      <w:r w:rsidRPr="00FC1444">
        <w:rPr>
          <w:rFonts w:ascii="Times New Roman" w:hAnsi="Times New Roman" w:cs="Times New Roman"/>
        </w:rPr>
        <w:t>的建设与运营可能产生的</w:t>
      </w:r>
      <w:r w:rsidR="00FC1444" w:rsidRPr="00FC1444">
        <w:rPr>
          <w:rFonts w:ascii="Times New Roman" w:hAnsi="Times New Roman" w:cs="Times New Roman"/>
        </w:rPr>
        <w:t>生态</w:t>
      </w:r>
      <w:r w:rsidRPr="00FC1444">
        <w:rPr>
          <w:rFonts w:ascii="Times New Roman" w:hAnsi="Times New Roman" w:cs="Times New Roman"/>
        </w:rPr>
        <w:t>环境影响进行分析、预测与评估，提出减缓不利</w:t>
      </w:r>
      <w:r w:rsidR="00FC1444" w:rsidRPr="00FC1444">
        <w:rPr>
          <w:rFonts w:ascii="Times New Roman" w:hAnsi="Times New Roman" w:cs="Times New Roman"/>
        </w:rPr>
        <w:t>生态</w:t>
      </w:r>
      <w:r w:rsidRPr="00FC1444">
        <w:rPr>
          <w:rFonts w:ascii="Times New Roman" w:hAnsi="Times New Roman" w:cs="Times New Roman"/>
        </w:rPr>
        <w:t>环境影响的对策与措施，从环境保护角度论证项目建设的可行性，给出明确的</w:t>
      </w:r>
      <w:r w:rsidR="00FC1444" w:rsidRPr="00FC1444">
        <w:rPr>
          <w:rFonts w:ascii="Times New Roman" w:hAnsi="Times New Roman" w:cs="Times New Roman"/>
        </w:rPr>
        <w:t>生态</w:t>
      </w:r>
      <w:r w:rsidRPr="00FC1444">
        <w:rPr>
          <w:rFonts w:ascii="Times New Roman" w:hAnsi="Times New Roman" w:cs="Times New Roman"/>
        </w:rPr>
        <w:t>环境影响评价结论。</w:t>
      </w:r>
    </w:p>
    <w:p w:rsidR="002A5A5E" w:rsidRPr="00FC1444"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4" w:name="_Toc208906218"/>
      <w:bookmarkStart w:id="5" w:name="_Toc15991611"/>
      <w:bookmarkStart w:id="6" w:name="_Toc524431260"/>
      <w:bookmarkEnd w:id="3"/>
      <w:r w:rsidRPr="00FC1444">
        <w:rPr>
          <w:rFonts w:eastAsiaTheme="minorEastAsia"/>
          <w:b/>
          <w:kern w:val="0"/>
          <w:sz w:val="32"/>
          <w:szCs w:val="32"/>
        </w:rPr>
        <w:t>1.2</w:t>
      </w:r>
      <w:r w:rsidRPr="00FC1444">
        <w:rPr>
          <w:rFonts w:eastAsiaTheme="minorEastAsia"/>
          <w:b/>
          <w:kern w:val="0"/>
          <w:sz w:val="32"/>
          <w:szCs w:val="32"/>
        </w:rPr>
        <w:t>项目特点</w:t>
      </w:r>
      <w:bookmarkEnd w:id="4"/>
      <w:bookmarkEnd w:id="5"/>
      <w:bookmarkEnd w:id="6"/>
    </w:p>
    <w:p w:rsidR="002A5A5E" w:rsidRPr="00FC1444" w:rsidRDefault="00611CBA">
      <w:pPr>
        <w:spacing w:before="100" w:beforeAutospacing="1" w:after="100" w:afterAutospacing="1"/>
        <w:contextualSpacing/>
        <w:jc w:val="left"/>
        <w:outlineLvl w:val="2"/>
        <w:rPr>
          <w:rFonts w:eastAsiaTheme="minorEastAsia"/>
          <w:b/>
          <w:bCs/>
          <w:kern w:val="44"/>
          <w:sz w:val="28"/>
          <w:szCs w:val="28"/>
        </w:rPr>
      </w:pPr>
      <w:bookmarkStart w:id="7" w:name="_Toc524431261"/>
      <w:bookmarkStart w:id="8" w:name="_Toc15991612"/>
      <w:bookmarkStart w:id="9" w:name="_Toc184823186"/>
      <w:r w:rsidRPr="00FC1444">
        <w:rPr>
          <w:rFonts w:eastAsiaTheme="minorEastAsia"/>
          <w:b/>
          <w:bCs/>
          <w:kern w:val="44"/>
          <w:sz w:val="28"/>
          <w:szCs w:val="28"/>
        </w:rPr>
        <w:t>1.2.1</w:t>
      </w:r>
      <w:r w:rsidRPr="00FC1444">
        <w:rPr>
          <w:rFonts w:eastAsiaTheme="minorEastAsia"/>
          <w:b/>
          <w:bCs/>
          <w:kern w:val="44"/>
          <w:sz w:val="28"/>
          <w:szCs w:val="28"/>
        </w:rPr>
        <w:t>项目概况</w:t>
      </w:r>
      <w:bookmarkEnd w:id="7"/>
      <w:bookmarkEnd w:id="8"/>
      <w:bookmarkEnd w:id="9"/>
    </w:p>
    <w:p w:rsidR="002A5A5E" w:rsidRPr="00FC1444" w:rsidRDefault="00611CBA">
      <w:pPr>
        <w:spacing w:line="360" w:lineRule="auto"/>
        <w:ind w:firstLineChars="200" w:firstLine="480"/>
        <w:contextualSpacing/>
        <w:rPr>
          <w:rFonts w:eastAsiaTheme="minorEastAsia"/>
          <w:bCs/>
          <w:sz w:val="24"/>
        </w:rPr>
      </w:pPr>
      <w:r w:rsidRPr="00FC1444">
        <w:rPr>
          <w:rFonts w:eastAsiaTheme="minorEastAsia"/>
          <w:bCs/>
          <w:sz w:val="24"/>
        </w:rPr>
        <w:t>本项目为</w:t>
      </w:r>
      <w:r w:rsidR="00AE168C" w:rsidRPr="00FC1444">
        <w:rPr>
          <w:rFonts w:eastAsiaTheme="minorEastAsia"/>
          <w:bCs/>
          <w:sz w:val="24"/>
        </w:rPr>
        <w:t>北林区</w:t>
      </w:r>
      <w:r w:rsidR="00AE168C" w:rsidRPr="00FC1444">
        <w:rPr>
          <w:rFonts w:eastAsiaTheme="minorEastAsia"/>
          <w:bCs/>
          <w:sz w:val="24"/>
        </w:rPr>
        <w:t>2026</w:t>
      </w:r>
      <w:r w:rsidR="00AE168C" w:rsidRPr="00FC1444">
        <w:rPr>
          <w:rFonts w:eastAsiaTheme="minorEastAsia"/>
          <w:bCs/>
          <w:sz w:val="24"/>
        </w:rPr>
        <w:t>年高标准农田建设项目</w:t>
      </w:r>
      <w:r w:rsidRPr="00FC1444">
        <w:rPr>
          <w:rFonts w:eastAsiaTheme="minorEastAsia"/>
          <w:bCs/>
          <w:sz w:val="24"/>
        </w:rPr>
        <w:t>，</w:t>
      </w:r>
      <w:r w:rsidR="00140B49" w:rsidRPr="00FC1444">
        <w:rPr>
          <w:rFonts w:eastAsiaTheme="minorEastAsia"/>
          <w:bCs/>
          <w:sz w:val="24"/>
        </w:rPr>
        <w:t>涉及</w:t>
      </w:r>
      <w:r w:rsidR="00433F49" w:rsidRPr="00FC1444">
        <w:rPr>
          <w:rFonts w:eastAsiaTheme="minorEastAsia"/>
          <w:bCs/>
          <w:sz w:val="24"/>
        </w:rPr>
        <w:t>4</w:t>
      </w:r>
      <w:r w:rsidR="00433F49" w:rsidRPr="00FC1444">
        <w:rPr>
          <w:rFonts w:eastAsiaTheme="minorEastAsia"/>
          <w:bCs/>
          <w:sz w:val="24"/>
        </w:rPr>
        <w:t>个乡镇</w:t>
      </w:r>
      <w:r w:rsidR="00433F49" w:rsidRPr="00FC1444">
        <w:rPr>
          <w:rFonts w:eastAsiaTheme="minorEastAsia"/>
          <w:bCs/>
          <w:sz w:val="24"/>
        </w:rPr>
        <w:t>11</w:t>
      </w:r>
      <w:r w:rsidR="00433F49" w:rsidRPr="00FC1444">
        <w:rPr>
          <w:rFonts w:eastAsiaTheme="minorEastAsia"/>
          <w:bCs/>
          <w:sz w:val="24"/>
        </w:rPr>
        <w:t>个行政村</w:t>
      </w:r>
      <w:r w:rsidR="00140B49" w:rsidRPr="00FC1444">
        <w:rPr>
          <w:rFonts w:eastAsiaTheme="minorEastAsia"/>
          <w:bCs/>
          <w:sz w:val="24"/>
        </w:rPr>
        <w:t>：</w:t>
      </w:r>
      <w:r w:rsidR="00433F49" w:rsidRPr="00FC1444">
        <w:rPr>
          <w:rFonts w:eastAsiaTheme="minorEastAsia"/>
          <w:bCs/>
          <w:sz w:val="24"/>
        </w:rPr>
        <w:t>黑龙江省绥化市北林区绥胜镇富强村、胜利二村；津河镇民胜村、津河村、靠河村；五营乡互相村、东围村、金伏村；三河镇太安村、永德村、合作村</w:t>
      </w:r>
      <w:r w:rsidRPr="00FC1444">
        <w:rPr>
          <w:rFonts w:eastAsiaTheme="minorEastAsia"/>
          <w:bCs/>
          <w:sz w:val="24"/>
        </w:rPr>
        <w:t>。</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bCs/>
          <w:sz w:val="24"/>
        </w:rPr>
        <w:t>主要建</w:t>
      </w:r>
      <w:r w:rsidRPr="00FC1444">
        <w:rPr>
          <w:rFonts w:eastAsiaTheme="minorEastAsia"/>
          <w:sz w:val="24"/>
        </w:rPr>
        <w:t>设内容：</w:t>
      </w:r>
    </w:p>
    <w:p w:rsidR="002A5A5E" w:rsidRPr="00FC1444" w:rsidRDefault="00611CBA">
      <w:pPr>
        <w:spacing w:line="360" w:lineRule="auto"/>
        <w:ind w:firstLineChars="200" w:firstLine="480"/>
        <w:contextualSpacing/>
        <w:rPr>
          <w:rFonts w:eastAsiaTheme="minorEastAsia"/>
          <w:bCs/>
          <w:sz w:val="24"/>
        </w:rPr>
      </w:pPr>
      <w:r w:rsidRPr="00FC1444">
        <w:rPr>
          <w:rFonts w:eastAsiaTheme="minorEastAsia"/>
          <w:bCs/>
          <w:sz w:val="24"/>
        </w:rPr>
        <w:t>田块整治工程：</w:t>
      </w:r>
      <w:r w:rsidR="00591495" w:rsidRPr="00FC1444">
        <w:rPr>
          <w:rFonts w:eastAsiaTheme="minorEastAsia"/>
          <w:bCs/>
          <w:sz w:val="24"/>
        </w:rPr>
        <w:t>旱田土地平整面积</w:t>
      </w:r>
      <w:r w:rsidR="00591495" w:rsidRPr="00FC1444">
        <w:rPr>
          <w:rFonts w:eastAsiaTheme="minorEastAsia"/>
          <w:bCs/>
          <w:sz w:val="24"/>
        </w:rPr>
        <w:t>1298.97</w:t>
      </w:r>
      <w:r w:rsidR="00591495" w:rsidRPr="00FC1444">
        <w:rPr>
          <w:rFonts w:eastAsiaTheme="minorEastAsia"/>
          <w:bCs/>
          <w:sz w:val="24"/>
        </w:rPr>
        <w:t>亩</w:t>
      </w:r>
      <w:r w:rsidR="00FD2A15" w:rsidRPr="00FC1444">
        <w:rPr>
          <w:rFonts w:eastAsiaTheme="minorEastAsia"/>
          <w:bCs/>
          <w:sz w:val="24"/>
        </w:rPr>
        <w:t>，</w:t>
      </w:r>
      <w:r w:rsidR="00591495" w:rsidRPr="00FC1444">
        <w:rPr>
          <w:rFonts w:eastAsiaTheme="minorEastAsia"/>
          <w:bCs/>
          <w:sz w:val="24"/>
        </w:rPr>
        <w:t>低洼地土地平整面积</w:t>
      </w:r>
      <w:r w:rsidR="00591495" w:rsidRPr="00FC1444">
        <w:rPr>
          <w:rFonts w:eastAsiaTheme="minorEastAsia"/>
          <w:bCs/>
          <w:sz w:val="24"/>
        </w:rPr>
        <w:t>2032.55</w:t>
      </w:r>
      <w:r w:rsidR="00591495" w:rsidRPr="00FC1444">
        <w:rPr>
          <w:rFonts w:eastAsiaTheme="minorEastAsia"/>
          <w:bCs/>
          <w:sz w:val="24"/>
        </w:rPr>
        <w:t>亩</w:t>
      </w:r>
      <w:r w:rsidR="00FD2A15" w:rsidRPr="00FC1444">
        <w:rPr>
          <w:rFonts w:eastAsiaTheme="minorEastAsia"/>
          <w:bCs/>
          <w:sz w:val="24"/>
        </w:rPr>
        <w:t>；</w:t>
      </w:r>
      <w:r w:rsidR="00591495" w:rsidRPr="00FC1444">
        <w:rPr>
          <w:rFonts w:eastAsiaTheme="minorEastAsia"/>
          <w:bCs/>
          <w:sz w:val="24"/>
        </w:rPr>
        <w:t>水田格田改造面积</w:t>
      </w:r>
      <w:r w:rsidR="00591495" w:rsidRPr="00FC1444">
        <w:rPr>
          <w:rFonts w:eastAsiaTheme="minorEastAsia"/>
          <w:bCs/>
          <w:sz w:val="24"/>
        </w:rPr>
        <w:t>17212.82</w:t>
      </w:r>
      <w:r w:rsidR="00591495" w:rsidRPr="00FC1444">
        <w:rPr>
          <w:rFonts w:eastAsiaTheme="minorEastAsia"/>
          <w:bCs/>
          <w:sz w:val="24"/>
        </w:rPr>
        <w:t>亩</w:t>
      </w:r>
      <w:r w:rsidR="00FD2A15" w:rsidRPr="00FC1444">
        <w:rPr>
          <w:rFonts w:eastAsiaTheme="minorEastAsia"/>
          <w:bCs/>
          <w:sz w:val="24"/>
        </w:rPr>
        <w:t>；</w:t>
      </w:r>
      <w:r w:rsidR="00591495" w:rsidRPr="00FC1444">
        <w:rPr>
          <w:rFonts w:eastAsiaTheme="minorEastAsia"/>
          <w:bCs/>
          <w:sz w:val="24"/>
        </w:rPr>
        <w:t>坑塘回填</w:t>
      </w:r>
      <w:r w:rsidR="00591495" w:rsidRPr="00FC1444">
        <w:rPr>
          <w:rFonts w:eastAsiaTheme="minorEastAsia"/>
          <w:bCs/>
          <w:sz w:val="24"/>
        </w:rPr>
        <w:t>5.21</w:t>
      </w:r>
      <w:r w:rsidR="00591495" w:rsidRPr="00FC1444">
        <w:rPr>
          <w:rFonts w:eastAsiaTheme="minorEastAsia"/>
          <w:bCs/>
          <w:sz w:val="24"/>
        </w:rPr>
        <w:t>亩</w:t>
      </w:r>
      <w:r w:rsidR="00216445" w:rsidRPr="00FC1444">
        <w:rPr>
          <w:rFonts w:eastAsiaTheme="minorEastAsia"/>
          <w:bCs/>
          <w:sz w:val="24"/>
        </w:rPr>
        <w:t>；土地深松、深翻及抛洒有机肥总面积</w:t>
      </w:r>
      <w:r w:rsidR="00216445" w:rsidRPr="00FC1444">
        <w:rPr>
          <w:rFonts w:eastAsiaTheme="minorEastAsia"/>
          <w:bCs/>
          <w:sz w:val="24"/>
        </w:rPr>
        <w:t>84626</w:t>
      </w:r>
      <w:r w:rsidR="00216445" w:rsidRPr="00FC1444">
        <w:rPr>
          <w:rFonts w:eastAsiaTheme="minorEastAsia"/>
          <w:bCs/>
          <w:sz w:val="24"/>
        </w:rPr>
        <w:t>亩</w:t>
      </w:r>
      <w:r w:rsidRPr="00FC1444">
        <w:rPr>
          <w:rFonts w:eastAsiaTheme="minorEastAsia"/>
          <w:bCs/>
          <w:sz w:val="24"/>
        </w:rPr>
        <w:t>。</w:t>
      </w:r>
    </w:p>
    <w:p w:rsidR="002A5A5E" w:rsidRPr="00FC1444" w:rsidRDefault="00611CBA">
      <w:pPr>
        <w:spacing w:line="360" w:lineRule="auto"/>
        <w:ind w:firstLineChars="200" w:firstLine="480"/>
        <w:contextualSpacing/>
        <w:rPr>
          <w:rFonts w:eastAsiaTheme="minorEastAsia"/>
          <w:bCs/>
          <w:sz w:val="24"/>
        </w:rPr>
      </w:pPr>
      <w:r w:rsidRPr="00FC1444">
        <w:rPr>
          <w:rFonts w:eastAsiaTheme="minorEastAsia"/>
          <w:bCs/>
          <w:sz w:val="24"/>
        </w:rPr>
        <w:t>灌溉与排水工程：新打机电井</w:t>
      </w:r>
      <w:r w:rsidR="00DD3A44" w:rsidRPr="00FC1444">
        <w:rPr>
          <w:rFonts w:eastAsiaTheme="minorEastAsia"/>
          <w:bCs/>
          <w:sz w:val="24"/>
        </w:rPr>
        <w:t>156</w:t>
      </w:r>
      <w:r w:rsidR="00DD3A44" w:rsidRPr="00FC1444">
        <w:rPr>
          <w:rFonts w:eastAsiaTheme="minorEastAsia"/>
          <w:bCs/>
          <w:sz w:val="24"/>
        </w:rPr>
        <w:t>眼</w:t>
      </w:r>
      <w:r w:rsidRPr="00FC1444">
        <w:rPr>
          <w:rFonts w:eastAsiaTheme="minorEastAsia"/>
          <w:bCs/>
          <w:sz w:val="24"/>
        </w:rPr>
        <w:t>，</w:t>
      </w:r>
      <w:r w:rsidR="00B13464" w:rsidRPr="00FC1444">
        <w:rPr>
          <w:rFonts w:eastAsiaTheme="minorEastAsia"/>
          <w:bCs/>
          <w:sz w:val="24"/>
        </w:rPr>
        <w:t>配套井房</w:t>
      </w:r>
      <w:r w:rsidR="00B13464" w:rsidRPr="00FC1444">
        <w:rPr>
          <w:rFonts w:eastAsiaTheme="minorEastAsia"/>
          <w:bCs/>
          <w:sz w:val="24"/>
        </w:rPr>
        <w:t>156</w:t>
      </w:r>
      <w:r w:rsidR="00B13464" w:rsidRPr="00FC1444">
        <w:rPr>
          <w:rFonts w:eastAsiaTheme="minorEastAsia"/>
          <w:bCs/>
          <w:sz w:val="24"/>
        </w:rPr>
        <w:t>座、井泵</w:t>
      </w:r>
      <w:r w:rsidR="00B13464" w:rsidRPr="00FC1444">
        <w:rPr>
          <w:rFonts w:eastAsiaTheme="minorEastAsia"/>
          <w:bCs/>
          <w:sz w:val="24"/>
        </w:rPr>
        <w:t>156</w:t>
      </w:r>
      <w:r w:rsidR="00B13464" w:rsidRPr="00FC1444">
        <w:rPr>
          <w:rFonts w:eastAsiaTheme="minorEastAsia"/>
          <w:bCs/>
          <w:sz w:val="24"/>
        </w:rPr>
        <w:t>台</w:t>
      </w:r>
      <w:r w:rsidR="00FD2A15" w:rsidRPr="00FC1444">
        <w:rPr>
          <w:rFonts w:eastAsiaTheme="minorEastAsia"/>
          <w:bCs/>
          <w:sz w:val="24"/>
        </w:rPr>
        <w:t>，</w:t>
      </w:r>
      <w:r w:rsidR="00B13464" w:rsidRPr="00FC1444">
        <w:rPr>
          <w:rFonts w:eastAsiaTheme="minorEastAsia"/>
          <w:bCs/>
          <w:sz w:val="24"/>
        </w:rPr>
        <w:t>水肥一体灌溉面积</w:t>
      </w:r>
      <w:r w:rsidR="00B13464" w:rsidRPr="00FC1444">
        <w:rPr>
          <w:rFonts w:eastAsiaTheme="minorEastAsia"/>
          <w:bCs/>
          <w:sz w:val="24"/>
        </w:rPr>
        <w:t>11285</w:t>
      </w:r>
      <w:r w:rsidR="00B13464" w:rsidRPr="00FC1444">
        <w:rPr>
          <w:rFonts w:eastAsiaTheme="minorEastAsia"/>
          <w:bCs/>
          <w:sz w:val="24"/>
        </w:rPr>
        <w:t>亩</w:t>
      </w:r>
      <w:r w:rsidRPr="00FC1444">
        <w:rPr>
          <w:rFonts w:eastAsiaTheme="minorEastAsia"/>
          <w:bCs/>
          <w:sz w:val="24"/>
        </w:rPr>
        <w:t>；</w:t>
      </w:r>
      <w:r w:rsidR="00B13464" w:rsidRPr="00FC1444">
        <w:rPr>
          <w:rFonts w:eastAsiaTheme="minorEastAsia"/>
          <w:bCs/>
          <w:sz w:val="24"/>
        </w:rPr>
        <w:t>渠道衬砌</w:t>
      </w:r>
      <w:r w:rsidR="00B13464" w:rsidRPr="00FC1444">
        <w:rPr>
          <w:rFonts w:eastAsiaTheme="minorEastAsia"/>
          <w:bCs/>
          <w:sz w:val="24"/>
        </w:rPr>
        <w:t>35.19km</w:t>
      </w:r>
      <w:r w:rsidRPr="00FC1444">
        <w:rPr>
          <w:rFonts w:eastAsiaTheme="minorEastAsia"/>
          <w:bCs/>
          <w:sz w:val="24"/>
        </w:rPr>
        <w:t>；购置移动泵车</w:t>
      </w:r>
      <w:r w:rsidR="007D6514" w:rsidRPr="00FC1444">
        <w:rPr>
          <w:rFonts w:eastAsiaTheme="minorEastAsia"/>
          <w:bCs/>
          <w:sz w:val="24"/>
        </w:rPr>
        <w:t>15</w:t>
      </w:r>
      <w:r w:rsidR="007D6514" w:rsidRPr="00FC1444">
        <w:rPr>
          <w:rFonts w:eastAsiaTheme="minorEastAsia"/>
          <w:bCs/>
          <w:sz w:val="24"/>
        </w:rPr>
        <w:t>台</w:t>
      </w:r>
      <w:r w:rsidRPr="00FC1444">
        <w:rPr>
          <w:rFonts w:eastAsiaTheme="minorEastAsia"/>
          <w:bCs/>
          <w:sz w:val="24"/>
        </w:rPr>
        <w:t>；</w:t>
      </w:r>
      <w:r w:rsidR="001E1C9B" w:rsidRPr="00FC1444">
        <w:rPr>
          <w:rFonts w:eastAsiaTheme="minorEastAsia"/>
          <w:bCs/>
          <w:sz w:val="24"/>
        </w:rPr>
        <w:t>排水沟清淤</w:t>
      </w:r>
      <w:r w:rsidR="001E1C9B" w:rsidRPr="00FC1444">
        <w:rPr>
          <w:rFonts w:eastAsiaTheme="minorEastAsia"/>
          <w:bCs/>
          <w:sz w:val="24"/>
        </w:rPr>
        <w:t>69.926km</w:t>
      </w:r>
      <w:r w:rsidRPr="00FC1444">
        <w:rPr>
          <w:rFonts w:eastAsiaTheme="minorEastAsia"/>
          <w:bCs/>
          <w:sz w:val="24"/>
        </w:rPr>
        <w:t>，</w:t>
      </w:r>
      <w:r w:rsidR="00B13464" w:rsidRPr="00FC1444">
        <w:rPr>
          <w:rFonts w:eastAsiaTheme="minorEastAsia"/>
          <w:bCs/>
          <w:sz w:val="24"/>
        </w:rPr>
        <w:t>排水沟护砌</w:t>
      </w:r>
      <w:r w:rsidR="00B13464" w:rsidRPr="00FC1444">
        <w:rPr>
          <w:rFonts w:eastAsiaTheme="minorEastAsia"/>
          <w:bCs/>
          <w:sz w:val="24"/>
        </w:rPr>
        <w:t>69.926km</w:t>
      </w:r>
      <w:r w:rsidRPr="00FC1444">
        <w:rPr>
          <w:rFonts w:eastAsiaTheme="minorEastAsia"/>
          <w:bCs/>
          <w:sz w:val="24"/>
        </w:rPr>
        <w:t>；</w:t>
      </w:r>
      <w:r w:rsidR="00B13464" w:rsidRPr="00FC1444">
        <w:rPr>
          <w:rFonts w:eastAsiaTheme="minorEastAsia"/>
          <w:bCs/>
          <w:sz w:val="24"/>
        </w:rPr>
        <w:t>新建建筑物</w:t>
      </w:r>
      <w:r w:rsidR="00B13464" w:rsidRPr="00FC1444">
        <w:rPr>
          <w:rFonts w:eastAsiaTheme="minorEastAsia"/>
          <w:bCs/>
          <w:sz w:val="24"/>
        </w:rPr>
        <w:t>2530</w:t>
      </w:r>
      <w:r w:rsidR="00B13464" w:rsidRPr="00FC1444">
        <w:rPr>
          <w:rFonts w:eastAsiaTheme="minorEastAsia"/>
          <w:bCs/>
          <w:sz w:val="24"/>
        </w:rPr>
        <w:t>座，其中：涵洞</w:t>
      </w:r>
      <w:r w:rsidR="00B13464" w:rsidRPr="00FC1444">
        <w:rPr>
          <w:rFonts w:eastAsiaTheme="minorEastAsia"/>
          <w:bCs/>
          <w:sz w:val="24"/>
        </w:rPr>
        <w:t>691</w:t>
      </w:r>
      <w:r w:rsidR="00B13464" w:rsidRPr="00FC1444">
        <w:rPr>
          <w:rFonts w:eastAsiaTheme="minorEastAsia"/>
          <w:bCs/>
          <w:sz w:val="24"/>
        </w:rPr>
        <w:t>座，过水路面</w:t>
      </w:r>
      <w:r w:rsidR="00B13464" w:rsidRPr="00FC1444">
        <w:rPr>
          <w:rFonts w:eastAsiaTheme="minorEastAsia"/>
          <w:bCs/>
          <w:sz w:val="24"/>
        </w:rPr>
        <w:t>19</w:t>
      </w:r>
      <w:r w:rsidR="00B13464" w:rsidRPr="00FC1444">
        <w:rPr>
          <w:rFonts w:eastAsiaTheme="minorEastAsia"/>
          <w:bCs/>
          <w:sz w:val="24"/>
        </w:rPr>
        <w:t>座，毛门</w:t>
      </w:r>
      <w:r w:rsidR="00B13464" w:rsidRPr="00FC1444">
        <w:rPr>
          <w:rFonts w:eastAsiaTheme="minorEastAsia"/>
          <w:bCs/>
          <w:sz w:val="24"/>
        </w:rPr>
        <w:t>708</w:t>
      </w:r>
      <w:r w:rsidR="00B13464" w:rsidRPr="00FC1444">
        <w:rPr>
          <w:rFonts w:eastAsiaTheme="minorEastAsia"/>
          <w:bCs/>
          <w:sz w:val="24"/>
        </w:rPr>
        <w:t>座、排水管</w:t>
      </w:r>
      <w:r w:rsidR="00B13464" w:rsidRPr="00FC1444">
        <w:rPr>
          <w:rFonts w:eastAsiaTheme="minorEastAsia"/>
          <w:bCs/>
          <w:sz w:val="24"/>
        </w:rPr>
        <w:t>708</w:t>
      </w:r>
      <w:r w:rsidR="00B13464" w:rsidRPr="00FC1444">
        <w:rPr>
          <w:rFonts w:eastAsiaTheme="minorEastAsia"/>
          <w:bCs/>
          <w:sz w:val="24"/>
        </w:rPr>
        <w:t>座、农门</w:t>
      </w:r>
      <w:r w:rsidR="00B13464" w:rsidRPr="00FC1444">
        <w:rPr>
          <w:rFonts w:eastAsiaTheme="minorEastAsia"/>
          <w:bCs/>
          <w:sz w:val="24"/>
        </w:rPr>
        <w:t>47</w:t>
      </w:r>
      <w:r w:rsidR="00B13464" w:rsidRPr="00FC1444">
        <w:rPr>
          <w:rFonts w:eastAsiaTheme="minorEastAsia"/>
          <w:bCs/>
          <w:sz w:val="24"/>
        </w:rPr>
        <w:t>座、节制闸</w:t>
      </w:r>
      <w:r w:rsidR="00B13464" w:rsidRPr="00FC1444">
        <w:rPr>
          <w:rFonts w:eastAsiaTheme="minorEastAsia"/>
          <w:bCs/>
          <w:sz w:val="24"/>
        </w:rPr>
        <w:t>354</w:t>
      </w:r>
      <w:r w:rsidR="00B13464" w:rsidRPr="00FC1444">
        <w:rPr>
          <w:rFonts w:eastAsiaTheme="minorEastAsia"/>
          <w:bCs/>
          <w:sz w:val="24"/>
        </w:rPr>
        <w:t>座、农桥</w:t>
      </w:r>
      <w:r w:rsidR="00B13464" w:rsidRPr="00FC1444">
        <w:rPr>
          <w:rFonts w:eastAsiaTheme="minorEastAsia"/>
          <w:bCs/>
          <w:sz w:val="24"/>
        </w:rPr>
        <w:t>1</w:t>
      </w:r>
      <w:r w:rsidR="00B13464" w:rsidRPr="00FC1444">
        <w:rPr>
          <w:rFonts w:eastAsiaTheme="minorEastAsia"/>
          <w:bCs/>
          <w:sz w:val="24"/>
        </w:rPr>
        <w:t>座、退水闸</w:t>
      </w:r>
      <w:r w:rsidR="00B13464" w:rsidRPr="00FC1444">
        <w:rPr>
          <w:rFonts w:eastAsiaTheme="minorEastAsia"/>
          <w:bCs/>
          <w:sz w:val="24"/>
        </w:rPr>
        <w:t>2</w:t>
      </w:r>
      <w:r w:rsidR="00B13464" w:rsidRPr="00FC1444">
        <w:rPr>
          <w:rFonts w:eastAsiaTheme="minorEastAsia"/>
          <w:bCs/>
          <w:sz w:val="24"/>
        </w:rPr>
        <w:t>座</w:t>
      </w:r>
      <w:r w:rsidRPr="00FC1444">
        <w:rPr>
          <w:rFonts w:eastAsiaTheme="minorEastAsia"/>
          <w:bCs/>
          <w:sz w:val="24"/>
        </w:rPr>
        <w:t>。</w:t>
      </w:r>
    </w:p>
    <w:p w:rsidR="002A5A5E" w:rsidRPr="00FC1444" w:rsidRDefault="00611CBA">
      <w:pPr>
        <w:spacing w:line="360" w:lineRule="auto"/>
        <w:ind w:firstLineChars="200" w:firstLine="480"/>
        <w:contextualSpacing/>
        <w:rPr>
          <w:rFonts w:eastAsiaTheme="minorEastAsia"/>
          <w:bCs/>
          <w:sz w:val="24"/>
        </w:rPr>
      </w:pPr>
      <w:r w:rsidRPr="00FC1444">
        <w:rPr>
          <w:rFonts w:eastAsiaTheme="minorEastAsia"/>
          <w:bCs/>
          <w:sz w:val="24"/>
        </w:rPr>
        <w:t>田间道路工程：</w:t>
      </w:r>
      <w:r w:rsidR="00B13464" w:rsidRPr="00FC1444">
        <w:rPr>
          <w:rFonts w:eastAsiaTheme="minorEastAsia"/>
          <w:bCs/>
          <w:sz w:val="24"/>
        </w:rPr>
        <w:t>修缮道路</w:t>
      </w:r>
      <w:r w:rsidR="00B13464" w:rsidRPr="00FC1444">
        <w:rPr>
          <w:rFonts w:eastAsiaTheme="minorEastAsia"/>
          <w:bCs/>
          <w:sz w:val="24"/>
        </w:rPr>
        <w:t>184</w:t>
      </w:r>
      <w:r w:rsidR="00B13464" w:rsidRPr="00FC1444">
        <w:rPr>
          <w:rFonts w:eastAsiaTheme="minorEastAsia"/>
          <w:bCs/>
          <w:sz w:val="24"/>
        </w:rPr>
        <w:t>条，共</w:t>
      </w:r>
      <w:r w:rsidR="00B13464" w:rsidRPr="00FC1444">
        <w:rPr>
          <w:rFonts w:eastAsiaTheme="minorEastAsia"/>
          <w:bCs/>
          <w:sz w:val="24"/>
        </w:rPr>
        <w:t>145.33km</w:t>
      </w:r>
      <w:r w:rsidRPr="00FC1444">
        <w:rPr>
          <w:rFonts w:eastAsiaTheme="minorEastAsia"/>
          <w:bCs/>
          <w:sz w:val="24"/>
        </w:rPr>
        <w:t>，其中：</w:t>
      </w:r>
      <w:r w:rsidR="00B13464" w:rsidRPr="00FC1444">
        <w:rPr>
          <w:rFonts w:eastAsiaTheme="minorEastAsia"/>
          <w:bCs/>
          <w:sz w:val="24"/>
        </w:rPr>
        <w:t>机耕路（混凝土路面）</w:t>
      </w:r>
      <w:r w:rsidR="00B13464" w:rsidRPr="00FC1444">
        <w:rPr>
          <w:rFonts w:eastAsiaTheme="minorEastAsia"/>
          <w:bCs/>
          <w:sz w:val="24"/>
        </w:rPr>
        <w:t>67</w:t>
      </w:r>
      <w:r w:rsidR="00B13464" w:rsidRPr="00FC1444">
        <w:rPr>
          <w:rFonts w:eastAsiaTheme="minorEastAsia"/>
          <w:bCs/>
          <w:sz w:val="24"/>
        </w:rPr>
        <w:t>条，共</w:t>
      </w:r>
      <w:r w:rsidR="00B13464" w:rsidRPr="00FC1444">
        <w:rPr>
          <w:rFonts w:eastAsiaTheme="minorEastAsia"/>
          <w:bCs/>
          <w:sz w:val="24"/>
        </w:rPr>
        <w:t>54.083km</w:t>
      </w:r>
      <w:r w:rsidR="00B13464" w:rsidRPr="00FC1444">
        <w:rPr>
          <w:rFonts w:eastAsiaTheme="minorEastAsia"/>
          <w:bCs/>
          <w:sz w:val="24"/>
        </w:rPr>
        <w:t>；生产路（砂石路面）</w:t>
      </w:r>
      <w:r w:rsidR="00B13464" w:rsidRPr="00FC1444">
        <w:rPr>
          <w:rFonts w:eastAsiaTheme="minorEastAsia"/>
          <w:bCs/>
          <w:sz w:val="24"/>
        </w:rPr>
        <w:t>117</w:t>
      </w:r>
      <w:r w:rsidR="00B13464" w:rsidRPr="00FC1444">
        <w:rPr>
          <w:rFonts w:eastAsiaTheme="minorEastAsia"/>
          <w:bCs/>
          <w:sz w:val="24"/>
        </w:rPr>
        <w:t>条，共</w:t>
      </w:r>
      <w:r w:rsidR="00B13464" w:rsidRPr="00FC1444">
        <w:rPr>
          <w:rFonts w:eastAsiaTheme="minorEastAsia"/>
          <w:bCs/>
          <w:sz w:val="24"/>
        </w:rPr>
        <w:t>91.248km</w:t>
      </w:r>
      <w:r w:rsidRPr="00FC1444">
        <w:rPr>
          <w:rFonts w:eastAsiaTheme="minorEastAsia"/>
          <w:bCs/>
          <w:sz w:val="24"/>
        </w:rPr>
        <w:t>。</w:t>
      </w:r>
    </w:p>
    <w:p w:rsidR="002A5A5E" w:rsidRPr="00FC1444" w:rsidRDefault="00611CBA">
      <w:pPr>
        <w:spacing w:line="360" w:lineRule="auto"/>
        <w:ind w:firstLineChars="200" w:firstLine="480"/>
        <w:contextualSpacing/>
        <w:rPr>
          <w:rFonts w:eastAsiaTheme="minorEastAsia"/>
          <w:bCs/>
          <w:sz w:val="24"/>
        </w:rPr>
      </w:pPr>
      <w:r w:rsidRPr="00FC1444">
        <w:rPr>
          <w:rFonts w:eastAsiaTheme="minorEastAsia"/>
          <w:bCs/>
          <w:sz w:val="24"/>
        </w:rPr>
        <w:t>农田输配电工程：</w:t>
      </w:r>
      <w:r w:rsidR="00141045" w:rsidRPr="00FC1444">
        <w:rPr>
          <w:rFonts w:eastAsiaTheme="minorEastAsia"/>
          <w:bCs/>
          <w:sz w:val="24"/>
        </w:rPr>
        <w:t>新建</w:t>
      </w:r>
      <w:r w:rsidR="00141045" w:rsidRPr="00FC1444">
        <w:rPr>
          <w:rFonts w:eastAsiaTheme="minorEastAsia"/>
          <w:bCs/>
          <w:sz w:val="24"/>
        </w:rPr>
        <w:t>10kV</w:t>
      </w:r>
      <w:r w:rsidR="00141045" w:rsidRPr="00FC1444">
        <w:rPr>
          <w:rFonts w:eastAsiaTheme="minorEastAsia"/>
          <w:bCs/>
          <w:sz w:val="24"/>
        </w:rPr>
        <w:t>高压线路</w:t>
      </w:r>
      <w:r w:rsidR="00141045" w:rsidRPr="00FC1444">
        <w:rPr>
          <w:rFonts w:eastAsiaTheme="minorEastAsia"/>
          <w:bCs/>
          <w:sz w:val="24"/>
        </w:rPr>
        <w:t>111.836km</w:t>
      </w:r>
      <w:r w:rsidR="00141045" w:rsidRPr="00FC1444">
        <w:rPr>
          <w:rFonts w:eastAsiaTheme="minorEastAsia"/>
          <w:bCs/>
          <w:sz w:val="24"/>
        </w:rPr>
        <w:t>；新建</w:t>
      </w:r>
      <w:r w:rsidR="00141045" w:rsidRPr="00FC1444">
        <w:rPr>
          <w:rFonts w:eastAsiaTheme="minorEastAsia"/>
          <w:bCs/>
          <w:sz w:val="24"/>
        </w:rPr>
        <w:t>0.4kV</w:t>
      </w:r>
      <w:r w:rsidR="00141045" w:rsidRPr="00FC1444">
        <w:rPr>
          <w:rFonts w:eastAsiaTheme="minorEastAsia"/>
          <w:bCs/>
          <w:sz w:val="24"/>
        </w:rPr>
        <w:t>低压线路</w:t>
      </w:r>
      <w:r w:rsidR="00141045" w:rsidRPr="00FC1444">
        <w:rPr>
          <w:rFonts w:eastAsiaTheme="minorEastAsia"/>
          <w:bCs/>
          <w:sz w:val="24"/>
        </w:rPr>
        <w:t>21.73km</w:t>
      </w:r>
      <w:r w:rsidRPr="00FC1444">
        <w:rPr>
          <w:rFonts w:eastAsiaTheme="minorEastAsia"/>
          <w:bCs/>
          <w:sz w:val="24"/>
        </w:rPr>
        <w:t>。配套变压器</w:t>
      </w:r>
      <w:r w:rsidR="00DF0EB9" w:rsidRPr="00FC1444">
        <w:rPr>
          <w:rFonts w:eastAsiaTheme="minorEastAsia"/>
          <w:bCs/>
          <w:sz w:val="24"/>
        </w:rPr>
        <w:t>97</w:t>
      </w:r>
      <w:r w:rsidR="00DF0EB9" w:rsidRPr="00FC1444">
        <w:rPr>
          <w:rFonts w:eastAsiaTheme="minorEastAsia"/>
          <w:bCs/>
          <w:sz w:val="24"/>
        </w:rPr>
        <w:t>台</w:t>
      </w:r>
      <w:r w:rsidRPr="00FC1444">
        <w:rPr>
          <w:rFonts w:eastAsiaTheme="minorEastAsia"/>
          <w:bCs/>
          <w:sz w:val="24"/>
        </w:rPr>
        <w:t>。</w:t>
      </w:r>
    </w:p>
    <w:p w:rsidR="00591495" w:rsidRPr="00FC1444" w:rsidRDefault="00591495">
      <w:pPr>
        <w:spacing w:line="360" w:lineRule="auto"/>
        <w:ind w:firstLineChars="200" w:firstLine="480"/>
        <w:contextualSpacing/>
        <w:rPr>
          <w:rFonts w:eastAsiaTheme="minorEastAsia"/>
          <w:bCs/>
          <w:sz w:val="24"/>
        </w:rPr>
      </w:pPr>
      <w:r w:rsidRPr="00FC1444">
        <w:rPr>
          <w:rFonts w:eastAsiaTheme="minorEastAsia"/>
          <w:sz w:val="24"/>
        </w:rPr>
        <w:lastRenderedPageBreak/>
        <w:t>农田防护及生态环境保护</w:t>
      </w:r>
      <w:r w:rsidR="00DE7DE3" w:rsidRPr="00FC1444">
        <w:rPr>
          <w:rFonts w:eastAsiaTheme="minorEastAsia"/>
          <w:bCs/>
          <w:sz w:val="24"/>
        </w:rPr>
        <w:t>工程</w:t>
      </w:r>
      <w:r w:rsidRPr="00FC1444">
        <w:rPr>
          <w:rFonts w:eastAsiaTheme="minorEastAsia"/>
          <w:bCs/>
          <w:sz w:val="24"/>
        </w:rPr>
        <w:t>：</w:t>
      </w:r>
      <w:r w:rsidR="00DE7DE3" w:rsidRPr="00FC1444">
        <w:rPr>
          <w:rFonts w:eastAsiaTheme="minorEastAsia"/>
          <w:sz w:val="24"/>
        </w:rPr>
        <w:t>规划农田防护林</w:t>
      </w:r>
      <w:r w:rsidR="00DE7DE3" w:rsidRPr="00FC1444">
        <w:rPr>
          <w:rFonts w:eastAsiaTheme="minorEastAsia"/>
          <w:sz w:val="24"/>
        </w:rPr>
        <w:t>2638</w:t>
      </w:r>
      <w:r w:rsidR="00DE7DE3" w:rsidRPr="00FC1444">
        <w:rPr>
          <w:rFonts w:eastAsiaTheme="minorEastAsia"/>
          <w:sz w:val="24"/>
        </w:rPr>
        <w:t>株，栽种樟子松</w:t>
      </w:r>
      <w:r w:rsidR="00DE7DE3" w:rsidRPr="00FC1444">
        <w:rPr>
          <w:rFonts w:eastAsiaTheme="minorEastAsia"/>
          <w:sz w:val="24"/>
        </w:rPr>
        <w:t>637</w:t>
      </w:r>
      <w:r w:rsidR="00DE7DE3" w:rsidRPr="00FC1444">
        <w:rPr>
          <w:rFonts w:eastAsiaTheme="minorEastAsia"/>
          <w:sz w:val="24"/>
        </w:rPr>
        <w:t>株，栽种杨树</w:t>
      </w:r>
      <w:r w:rsidR="00DE7DE3" w:rsidRPr="00FC1444">
        <w:rPr>
          <w:rFonts w:eastAsiaTheme="minorEastAsia"/>
          <w:sz w:val="24"/>
        </w:rPr>
        <w:t>2001</w:t>
      </w:r>
      <w:r w:rsidR="00DE7DE3" w:rsidRPr="00FC1444">
        <w:rPr>
          <w:rFonts w:eastAsiaTheme="minorEastAsia"/>
          <w:sz w:val="24"/>
        </w:rPr>
        <w:t>株；</w:t>
      </w:r>
      <w:r w:rsidRPr="00FC1444">
        <w:rPr>
          <w:rFonts w:eastAsiaTheme="minorEastAsia"/>
          <w:bCs/>
          <w:sz w:val="24"/>
        </w:rPr>
        <w:t>沟头防护</w:t>
      </w:r>
      <w:r w:rsidRPr="00FC1444">
        <w:rPr>
          <w:rFonts w:eastAsiaTheme="minorEastAsia"/>
          <w:bCs/>
          <w:sz w:val="24"/>
        </w:rPr>
        <w:t>1</w:t>
      </w:r>
      <w:r w:rsidRPr="00FC1444">
        <w:rPr>
          <w:rFonts w:eastAsiaTheme="minorEastAsia"/>
          <w:bCs/>
          <w:sz w:val="24"/>
        </w:rPr>
        <w:t>座；侵蚀沟治理</w:t>
      </w:r>
      <w:r w:rsidRPr="00FC1444">
        <w:rPr>
          <w:rFonts w:eastAsiaTheme="minorEastAsia"/>
          <w:bCs/>
          <w:sz w:val="24"/>
        </w:rPr>
        <w:t>0.063</w:t>
      </w:r>
      <w:r w:rsidRPr="00FC1444">
        <w:rPr>
          <w:rFonts w:eastAsiaTheme="minorEastAsia"/>
          <w:bCs/>
          <w:sz w:val="24"/>
        </w:rPr>
        <w:t>公里。</w:t>
      </w:r>
    </w:p>
    <w:p w:rsidR="002A5A5E" w:rsidRPr="00FC1444" w:rsidRDefault="00D622BA">
      <w:pPr>
        <w:spacing w:line="360" w:lineRule="auto"/>
        <w:ind w:firstLineChars="200" w:firstLine="480"/>
        <w:contextualSpacing/>
        <w:rPr>
          <w:rFonts w:eastAsiaTheme="minorEastAsia"/>
          <w:bCs/>
          <w:sz w:val="24"/>
        </w:rPr>
      </w:pPr>
      <w:r w:rsidRPr="00FC1444">
        <w:rPr>
          <w:rFonts w:eastAsiaTheme="minorEastAsia"/>
          <w:bCs/>
          <w:sz w:val="24"/>
        </w:rPr>
        <w:t>建设</w:t>
      </w:r>
      <w:r w:rsidRPr="00FC1444">
        <w:rPr>
          <w:rFonts w:eastAsiaTheme="minorEastAsia"/>
          <w:bCs/>
          <w:sz w:val="24"/>
        </w:rPr>
        <w:t>21</w:t>
      </w:r>
      <w:r w:rsidRPr="00FC1444">
        <w:rPr>
          <w:rFonts w:eastAsiaTheme="minorEastAsia"/>
          <w:bCs/>
          <w:sz w:val="24"/>
        </w:rPr>
        <w:t>万亩高标准农田（旱田</w:t>
      </w:r>
      <w:r w:rsidRPr="00FC1444">
        <w:rPr>
          <w:rFonts w:eastAsiaTheme="minorEastAsia"/>
          <w:bCs/>
          <w:sz w:val="24"/>
        </w:rPr>
        <w:t>11.84</w:t>
      </w:r>
      <w:r w:rsidRPr="00FC1444">
        <w:rPr>
          <w:rFonts w:eastAsiaTheme="minorEastAsia"/>
          <w:bCs/>
          <w:sz w:val="24"/>
        </w:rPr>
        <w:t>万亩，水田</w:t>
      </w:r>
      <w:r w:rsidRPr="00FC1444">
        <w:rPr>
          <w:rFonts w:eastAsiaTheme="minorEastAsia"/>
          <w:bCs/>
          <w:sz w:val="24"/>
        </w:rPr>
        <w:t>9.16</w:t>
      </w:r>
      <w:r w:rsidRPr="00FC1444">
        <w:rPr>
          <w:rFonts w:eastAsiaTheme="minorEastAsia"/>
          <w:bCs/>
          <w:sz w:val="24"/>
        </w:rPr>
        <w:t>万亩）</w:t>
      </w:r>
      <w:r w:rsidR="00611CBA" w:rsidRPr="00FC1444">
        <w:rPr>
          <w:rFonts w:eastAsiaTheme="minorEastAsia"/>
          <w:bCs/>
          <w:sz w:val="24"/>
        </w:rPr>
        <w:t>。</w:t>
      </w:r>
    </w:p>
    <w:p w:rsidR="002A5A5E" w:rsidRPr="00FC1444" w:rsidRDefault="00611CBA">
      <w:pPr>
        <w:spacing w:before="100" w:beforeAutospacing="1" w:after="100" w:afterAutospacing="1"/>
        <w:contextualSpacing/>
        <w:jc w:val="left"/>
        <w:outlineLvl w:val="2"/>
        <w:rPr>
          <w:rFonts w:eastAsiaTheme="minorEastAsia"/>
          <w:b/>
          <w:bCs/>
          <w:kern w:val="44"/>
          <w:sz w:val="28"/>
          <w:szCs w:val="28"/>
        </w:rPr>
      </w:pPr>
      <w:bookmarkStart w:id="10" w:name="_Toc184823187"/>
      <w:r w:rsidRPr="00FC1444">
        <w:rPr>
          <w:rFonts w:eastAsiaTheme="minorEastAsia"/>
          <w:b/>
          <w:bCs/>
          <w:kern w:val="44"/>
          <w:sz w:val="28"/>
          <w:szCs w:val="28"/>
        </w:rPr>
        <w:t>1.2.2</w:t>
      </w:r>
      <w:r w:rsidRPr="00FC1444">
        <w:rPr>
          <w:rFonts w:eastAsiaTheme="minorEastAsia"/>
          <w:b/>
          <w:bCs/>
          <w:kern w:val="44"/>
          <w:sz w:val="28"/>
          <w:szCs w:val="28"/>
        </w:rPr>
        <w:t>项目特点</w:t>
      </w:r>
      <w:bookmarkEnd w:id="10"/>
    </w:p>
    <w:p w:rsidR="002A5A5E" w:rsidRPr="00FC1444" w:rsidRDefault="00322DEE" w:rsidP="0036407E">
      <w:pPr>
        <w:pStyle w:val="1120"/>
        <w:spacing w:line="360" w:lineRule="auto"/>
        <w:ind w:firstLine="480"/>
        <w:rPr>
          <w:rFonts w:ascii="Times New Roman" w:eastAsiaTheme="minorEastAsia" w:hAnsi="Times New Roman" w:cs="Times New Roman"/>
          <w:color w:val="auto"/>
          <w:sz w:val="24"/>
          <w:szCs w:val="24"/>
        </w:rPr>
      </w:pPr>
      <w:r w:rsidRPr="00FC1444">
        <w:rPr>
          <w:rFonts w:ascii="Times New Roman" w:hAnsi="Times New Roman" w:cs="Times New Roman"/>
          <w:color w:val="auto"/>
          <w:sz w:val="24"/>
        </w:rPr>
        <w:t>（</w:t>
      </w:r>
      <w:r w:rsidRPr="00FC1444">
        <w:rPr>
          <w:rFonts w:ascii="Times New Roman" w:hAnsi="Times New Roman" w:cs="Times New Roman"/>
          <w:color w:val="auto"/>
          <w:sz w:val="24"/>
        </w:rPr>
        <w:t>1</w:t>
      </w:r>
      <w:r w:rsidRPr="00FC1444">
        <w:rPr>
          <w:rFonts w:ascii="Times New Roman" w:hAnsi="Times New Roman" w:cs="Times New Roman"/>
          <w:color w:val="auto"/>
          <w:sz w:val="24"/>
        </w:rPr>
        <w:t>）</w:t>
      </w:r>
      <w:r w:rsidR="00611CBA" w:rsidRPr="00FC1444">
        <w:rPr>
          <w:rFonts w:ascii="Times New Roman" w:hAnsi="Times New Roman" w:cs="Times New Roman"/>
          <w:color w:val="auto"/>
          <w:sz w:val="24"/>
        </w:rPr>
        <w:t>项目建设性质、工程内容</w:t>
      </w:r>
      <w:r w:rsidR="00C31029" w:rsidRPr="00FC1444">
        <w:rPr>
          <w:rFonts w:ascii="Times New Roman" w:hAnsi="Times New Roman" w:cs="Times New Roman"/>
          <w:color w:val="auto"/>
          <w:sz w:val="24"/>
        </w:rPr>
        <w:t>、前期工程实施进展情况</w:t>
      </w:r>
      <w:r w:rsidR="00611CBA" w:rsidRPr="00FC1444">
        <w:rPr>
          <w:rFonts w:ascii="Times New Roman" w:hAnsi="Times New Roman" w:cs="Times New Roman"/>
          <w:color w:val="auto"/>
          <w:sz w:val="24"/>
        </w:rPr>
        <w:t>：本项目为改扩建项目，</w:t>
      </w:r>
      <w:r w:rsidR="00611CBA" w:rsidRPr="00FC1444">
        <w:rPr>
          <w:rFonts w:ascii="Times New Roman" w:eastAsiaTheme="minorEastAsia" w:hAnsi="Times New Roman" w:cs="Times New Roman"/>
          <w:color w:val="auto"/>
          <w:sz w:val="24"/>
          <w:szCs w:val="24"/>
        </w:rPr>
        <w:t>为高标准农田建设项目，属于生态影响型项目，分布有田块整治工程、灌溉与排水工程、田间道路工程、农田输配电工程</w:t>
      </w:r>
      <w:r w:rsidR="00D622BA" w:rsidRPr="00FC1444">
        <w:rPr>
          <w:rFonts w:ascii="Times New Roman" w:eastAsiaTheme="minorEastAsia" w:hAnsi="Times New Roman" w:cs="Times New Roman"/>
          <w:color w:val="auto"/>
          <w:sz w:val="24"/>
          <w:szCs w:val="24"/>
        </w:rPr>
        <w:t>、农田防护及生态环境保护工程</w:t>
      </w:r>
      <w:r w:rsidR="00611CBA" w:rsidRPr="00FC1444">
        <w:rPr>
          <w:rFonts w:ascii="Times New Roman" w:eastAsiaTheme="minorEastAsia" w:hAnsi="Times New Roman" w:cs="Times New Roman"/>
          <w:color w:val="auto"/>
          <w:sz w:val="24"/>
          <w:szCs w:val="24"/>
        </w:rPr>
        <w:t>。</w:t>
      </w:r>
      <w:r w:rsidR="00D622BA" w:rsidRPr="00FC1444">
        <w:rPr>
          <w:rFonts w:ascii="Times New Roman" w:eastAsiaTheme="minorEastAsia" w:hAnsi="Times New Roman" w:cs="Times New Roman"/>
          <w:bCs/>
          <w:color w:val="auto"/>
          <w:sz w:val="24"/>
          <w:szCs w:val="24"/>
        </w:rPr>
        <w:t>建设</w:t>
      </w:r>
      <w:r w:rsidR="00D622BA" w:rsidRPr="00FC1444">
        <w:rPr>
          <w:rFonts w:ascii="Times New Roman" w:eastAsiaTheme="minorEastAsia" w:hAnsi="Times New Roman" w:cs="Times New Roman"/>
          <w:bCs/>
          <w:color w:val="auto"/>
          <w:sz w:val="24"/>
          <w:szCs w:val="24"/>
        </w:rPr>
        <w:t>21</w:t>
      </w:r>
      <w:r w:rsidR="00D622BA" w:rsidRPr="00FC1444">
        <w:rPr>
          <w:rFonts w:ascii="Times New Roman" w:eastAsiaTheme="minorEastAsia" w:hAnsi="Times New Roman" w:cs="Times New Roman"/>
          <w:bCs/>
          <w:color w:val="auto"/>
          <w:sz w:val="24"/>
          <w:szCs w:val="24"/>
        </w:rPr>
        <w:t>万亩高标准农田（旱田</w:t>
      </w:r>
      <w:r w:rsidR="00D622BA" w:rsidRPr="00FC1444">
        <w:rPr>
          <w:rFonts w:ascii="Times New Roman" w:eastAsiaTheme="minorEastAsia" w:hAnsi="Times New Roman" w:cs="Times New Roman"/>
          <w:bCs/>
          <w:color w:val="auto"/>
          <w:sz w:val="24"/>
          <w:szCs w:val="24"/>
        </w:rPr>
        <w:t>11.84</w:t>
      </w:r>
      <w:r w:rsidR="00D622BA" w:rsidRPr="00FC1444">
        <w:rPr>
          <w:rFonts w:ascii="Times New Roman" w:eastAsiaTheme="minorEastAsia" w:hAnsi="Times New Roman" w:cs="Times New Roman"/>
          <w:bCs/>
          <w:color w:val="auto"/>
          <w:sz w:val="24"/>
          <w:szCs w:val="24"/>
        </w:rPr>
        <w:t>万亩，水田</w:t>
      </w:r>
      <w:r w:rsidR="00D622BA" w:rsidRPr="00FC1444">
        <w:rPr>
          <w:rFonts w:ascii="Times New Roman" w:eastAsiaTheme="minorEastAsia" w:hAnsi="Times New Roman" w:cs="Times New Roman"/>
          <w:bCs/>
          <w:color w:val="auto"/>
          <w:sz w:val="24"/>
          <w:szCs w:val="24"/>
        </w:rPr>
        <w:t>9.16</w:t>
      </w:r>
      <w:r w:rsidR="00D622BA" w:rsidRPr="00FC1444">
        <w:rPr>
          <w:rFonts w:ascii="Times New Roman" w:eastAsiaTheme="minorEastAsia" w:hAnsi="Times New Roman" w:cs="Times New Roman"/>
          <w:bCs/>
          <w:color w:val="auto"/>
          <w:sz w:val="24"/>
          <w:szCs w:val="24"/>
        </w:rPr>
        <w:t>万亩）</w:t>
      </w:r>
      <w:r w:rsidR="00B359F7" w:rsidRPr="00FC1444">
        <w:rPr>
          <w:rFonts w:ascii="Times New Roman" w:eastAsiaTheme="minorEastAsia" w:hAnsi="Times New Roman" w:cs="Times New Roman"/>
          <w:bCs/>
          <w:color w:val="auto"/>
          <w:sz w:val="24"/>
          <w:szCs w:val="24"/>
        </w:rPr>
        <w:t>。</w:t>
      </w:r>
      <w:r w:rsidR="00B359F7" w:rsidRPr="00FC1444">
        <w:rPr>
          <w:rFonts w:ascii="Times New Roman" w:eastAsiaTheme="minorEastAsia" w:hAnsi="Times New Roman" w:cs="Times New Roman"/>
          <w:color w:val="auto"/>
          <w:sz w:val="24"/>
          <w:szCs w:val="24"/>
        </w:rPr>
        <w:t>符合</w:t>
      </w:r>
      <w:r w:rsidR="00B359F7" w:rsidRPr="00FC1444">
        <w:rPr>
          <w:rFonts w:ascii="Times New Roman" w:eastAsiaTheme="minorEastAsia" w:hAnsi="Times New Roman" w:cs="Times New Roman"/>
          <w:snapToGrid w:val="0"/>
          <w:color w:val="auto"/>
          <w:kern w:val="0"/>
          <w:sz w:val="24"/>
        </w:rPr>
        <w:t>黑龙江省农业农村厅和</w:t>
      </w:r>
      <w:r w:rsidR="00CA729B" w:rsidRPr="00FC1444">
        <w:rPr>
          <w:rFonts w:ascii="Times New Roman" w:eastAsiaTheme="minorEastAsia" w:hAnsi="Times New Roman" w:cs="Times New Roman"/>
          <w:snapToGrid w:val="0"/>
          <w:color w:val="auto"/>
          <w:kern w:val="0"/>
          <w:sz w:val="24"/>
        </w:rPr>
        <w:t>黑龙江省发展和改革委员会</w:t>
      </w:r>
      <w:r w:rsidR="00B359F7" w:rsidRPr="00FC1444">
        <w:rPr>
          <w:rFonts w:ascii="Times New Roman" w:eastAsiaTheme="minorEastAsia" w:hAnsi="Times New Roman" w:cs="Times New Roman"/>
          <w:snapToGrid w:val="0"/>
          <w:color w:val="auto"/>
          <w:kern w:val="0"/>
          <w:sz w:val="24"/>
        </w:rPr>
        <w:t>联合印发的《</w:t>
      </w:r>
      <w:r w:rsidR="00B359F7" w:rsidRPr="00FC1444">
        <w:rPr>
          <w:rFonts w:ascii="Times New Roman" w:eastAsiaTheme="minorEastAsia" w:hAnsi="Times New Roman" w:cs="Times New Roman"/>
          <w:snapToGrid w:val="0"/>
          <w:color w:val="auto"/>
          <w:kern w:val="0"/>
          <w:sz w:val="24"/>
        </w:rPr>
        <w:t>2025</w:t>
      </w:r>
      <w:r w:rsidR="00B359F7" w:rsidRPr="00FC1444">
        <w:rPr>
          <w:rFonts w:ascii="Times New Roman" w:eastAsiaTheme="minorEastAsia" w:hAnsi="Times New Roman" w:cs="Times New Roman"/>
          <w:snapToGrid w:val="0"/>
          <w:color w:val="auto"/>
          <w:kern w:val="0"/>
          <w:sz w:val="24"/>
        </w:rPr>
        <w:t>年全省高标准农田建设工作实施方案》（黑农厅联发〔</w:t>
      </w:r>
      <w:r w:rsidR="00B359F7" w:rsidRPr="00FC1444">
        <w:rPr>
          <w:rFonts w:ascii="Times New Roman" w:eastAsiaTheme="minorEastAsia" w:hAnsi="Times New Roman" w:cs="Times New Roman"/>
          <w:snapToGrid w:val="0"/>
          <w:color w:val="auto"/>
          <w:kern w:val="0"/>
          <w:sz w:val="24"/>
        </w:rPr>
        <w:t>2025</w:t>
      </w:r>
      <w:r w:rsidR="00B359F7" w:rsidRPr="00FC1444">
        <w:rPr>
          <w:rFonts w:ascii="Times New Roman" w:eastAsiaTheme="minorEastAsia" w:hAnsi="Times New Roman" w:cs="Times New Roman"/>
          <w:snapToGrid w:val="0"/>
          <w:color w:val="auto"/>
          <w:kern w:val="0"/>
          <w:sz w:val="24"/>
        </w:rPr>
        <w:t>〕</w:t>
      </w:r>
      <w:r w:rsidR="00B359F7" w:rsidRPr="00FC1444">
        <w:rPr>
          <w:rFonts w:ascii="Times New Roman" w:eastAsiaTheme="minorEastAsia" w:hAnsi="Times New Roman" w:cs="Times New Roman"/>
          <w:snapToGrid w:val="0"/>
          <w:color w:val="auto"/>
          <w:kern w:val="0"/>
          <w:sz w:val="24"/>
        </w:rPr>
        <w:t>38</w:t>
      </w:r>
      <w:r w:rsidR="00B359F7" w:rsidRPr="00FC1444">
        <w:rPr>
          <w:rFonts w:ascii="Times New Roman" w:eastAsiaTheme="minorEastAsia" w:hAnsi="Times New Roman" w:cs="Times New Roman"/>
          <w:snapToGrid w:val="0"/>
          <w:color w:val="auto"/>
          <w:kern w:val="0"/>
          <w:sz w:val="24"/>
        </w:rPr>
        <w:t>号）中</w:t>
      </w:r>
      <w:r w:rsidR="00B359F7" w:rsidRPr="00FC1444">
        <w:rPr>
          <w:rFonts w:ascii="Times New Roman" w:eastAsiaTheme="minorEastAsia" w:hAnsi="Times New Roman" w:cs="Times New Roman"/>
          <w:snapToGrid w:val="0"/>
          <w:color w:val="auto"/>
          <w:kern w:val="0"/>
          <w:sz w:val="24"/>
        </w:rPr>
        <w:t>“</w:t>
      </w:r>
      <w:r w:rsidR="00B359F7" w:rsidRPr="00FC1444">
        <w:rPr>
          <w:rFonts w:ascii="Times New Roman" w:eastAsiaTheme="minorEastAsia" w:hAnsi="Times New Roman" w:cs="Times New Roman"/>
          <w:snapToGrid w:val="0"/>
          <w:color w:val="auto"/>
          <w:kern w:val="0"/>
          <w:sz w:val="24"/>
        </w:rPr>
        <w:t>一平（田块平整）、两通（通水通路）、三提升（提升地力、产量、效益）</w:t>
      </w:r>
      <w:r w:rsidR="00B359F7" w:rsidRPr="00FC1444">
        <w:rPr>
          <w:rFonts w:ascii="Times New Roman" w:eastAsiaTheme="minorEastAsia" w:hAnsi="Times New Roman" w:cs="Times New Roman"/>
          <w:snapToGrid w:val="0"/>
          <w:color w:val="auto"/>
          <w:kern w:val="0"/>
          <w:sz w:val="24"/>
        </w:rPr>
        <w:t>”</w:t>
      </w:r>
      <w:r w:rsidR="00B359F7" w:rsidRPr="00FC1444">
        <w:rPr>
          <w:rFonts w:ascii="Times New Roman" w:eastAsiaTheme="minorEastAsia" w:hAnsi="Times New Roman" w:cs="Times New Roman"/>
          <w:snapToGrid w:val="0"/>
          <w:color w:val="auto"/>
          <w:kern w:val="0"/>
          <w:sz w:val="24"/>
        </w:rPr>
        <w:t>基本标准。</w:t>
      </w:r>
      <w:r w:rsidR="00C31029" w:rsidRPr="00FC1444">
        <w:rPr>
          <w:rFonts w:ascii="Times New Roman" w:eastAsiaTheme="minorEastAsia" w:hAnsi="Times New Roman" w:cs="Times New Roman"/>
          <w:snapToGrid w:val="0"/>
          <w:color w:val="auto"/>
          <w:kern w:val="0"/>
          <w:sz w:val="24"/>
        </w:rPr>
        <w:t>已取得《关于</w:t>
      </w:r>
      <w:r w:rsidR="00AE168C" w:rsidRPr="00FC1444">
        <w:rPr>
          <w:rFonts w:ascii="Times New Roman" w:eastAsiaTheme="minorEastAsia" w:hAnsi="Times New Roman" w:cs="Times New Roman"/>
          <w:snapToGrid w:val="0"/>
          <w:color w:val="auto"/>
          <w:kern w:val="0"/>
          <w:sz w:val="24"/>
        </w:rPr>
        <w:t>北林区</w:t>
      </w:r>
      <w:r w:rsidR="00AE168C" w:rsidRPr="00FC1444">
        <w:rPr>
          <w:rFonts w:ascii="Times New Roman" w:eastAsiaTheme="minorEastAsia" w:hAnsi="Times New Roman" w:cs="Times New Roman"/>
          <w:snapToGrid w:val="0"/>
          <w:color w:val="auto"/>
          <w:kern w:val="0"/>
          <w:sz w:val="24"/>
        </w:rPr>
        <w:t>2026</w:t>
      </w:r>
      <w:r w:rsidR="00AE168C" w:rsidRPr="00FC1444">
        <w:rPr>
          <w:rFonts w:ascii="Times New Roman" w:eastAsiaTheme="minorEastAsia" w:hAnsi="Times New Roman" w:cs="Times New Roman"/>
          <w:snapToGrid w:val="0"/>
          <w:color w:val="auto"/>
          <w:kern w:val="0"/>
          <w:sz w:val="24"/>
        </w:rPr>
        <w:t>年高标准农田建设项目</w:t>
      </w:r>
      <w:r w:rsidR="00371E5B" w:rsidRPr="00FC1444">
        <w:rPr>
          <w:rFonts w:ascii="Times New Roman" w:eastAsiaTheme="minorEastAsia" w:hAnsi="Times New Roman" w:cs="Times New Roman"/>
          <w:snapToGrid w:val="0"/>
          <w:color w:val="auto"/>
          <w:kern w:val="0"/>
          <w:sz w:val="24"/>
        </w:rPr>
        <w:t>初步</w:t>
      </w:r>
      <w:r w:rsidR="00C31029" w:rsidRPr="00FC1444">
        <w:rPr>
          <w:rFonts w:ascii="Times New Roman" w:eastAsiaTheme="minorEastAsia" w:hAnsi="Times New Roman" w:cs="Times New Roman"/>
          <w:snapToGrid w:val="0"/>
          <w:color w:val="auto"/>
          <w:kern w:val="0"/>
          <w:sz w:val="24"/>
        </w:rPr>
        <w:t>设计的批复》（</w:t>
      </w:r>
      <w:r w:rsidR="00371E5B" w:rsidRPr="00FC1444">
        <w:rPr>
          <w:rFonts w:ascii="Times New Roman" w:eastAsiaTheme="minorEastAsia" w:hAnsi="Times New Roman" w:cs="Times New Roman"/>
          <w:snapToGrid w:val="0"/>
          <w:color w:val="auto"/>
          <w:kern w:val="0"/>
          <w:sz w:val="24"/>
        </w:rPr>
        <w:t>绥农函发〔</w:t>
      </w:r>
      <w:r w:rsidR="00371E5B" w:rsidRPr="00FC1444">
        <w:rPr>
          <w:rFonts w:ascii="Times New Roman" w:eastAsiaTheme="minorEastAsia" w:hAnsi="Times New Roman" w:cs="Times New Roman"/>
          <w:snapToGrid w:val="0"/>
          <w:color w:val="auto"/>
          <w:kern w:val="0"/>
          <w:sz w:val="24"/>
        </w:rPr>
        <w:t>2026</w:t>
      </w:r>
      <w:r w:rsidR="00371E5B" w:rsidRPr="00FC1444">
        <w:rPr>
          <w:rFonts w:ascii="Times New Roman" w:eastAsiaTheme="minorEastAsia" w:hAnsi="Times New Roman" w:cs="Times New Roman"/>
          <w:snapToGrid w:val="0"/>
          <w:color w:val="auto"/>
          <w:kern w:val="0"/>
          <w:sz w:val="24"/>
        </w:rPr>
        <w:t>〕</w:t>
      </w:r>
      <w:r w:rsidR="00371E5B" w:rsidRPr="00FC1444">
        <w:rPr>
          <w:rFonts w:ascii="Times New Roman" w:eastAsiaTheme="minorEastAsia" w:hAnsi="Times New Roman" w:cs="Times New Roman"/>
          <w:snapToGrid w:val="0"/>
          <w:color w:val="auto"/>
          <w:kern w:val="0"/>
          <w:sz w:val="24"/>
        </w:rPr>
        <w:t>18</w:t>
      </w:r>
      <w:r w:rsidR="00371E5B" w:rsidRPr="00FC1444">
        <w:rPr>
          <w:rFonts w:ascii="Times New Roman" w:eastAsiaTheme="minorEastAsia" w:hAnsi="Times New Roman" w:cs="Times New Roman"/>
          <w:snapToGrid w:val="0"/>
          <w:color w:val="auto"/>
          <w:kern w:val="0"/>
          <w:sz w:val="24"/>
        </w:rPr>
        <w:t>号</w:t>
      </w:r>
      <w:r w:rsidR="00C31029" w:rsidRPr="00FC1444">
        <w:rPr>
          <w:rFonts w:ascii="Times New Roman" w:eastAsiaTheme="minorEastAsia" w:hAnsi="Times New Roman" w:cs="Times New Roman"/>
          <w:snapToGrid w:val="0"/>
          <w:color w:val="auto"/>
          <w:kern w:val="0"/>
          <w:sz w:val="24"/>
        </w:rPr>
        <w:t>）、</w:t>
      </w:r>
      <w:r w:rsidR="00DE0957" w:rsidRPr="00FC1444">
        <w:rPr>
          <w:rFonts w:ascii="Times New Roman" w:eastAsiaTheme="minorEastAsia" w:hAnsi="Times New Roman" w:cs="Times New Roman"/>
          <w:bCs/>
          <w:snapToGrid w:val="0"/>
          <w:color w:val="auto"/>
          <w:kern w:val="0"/>
          <w:sz w:val="24"/>
        </w:rPr>
        <w:t>《</w:t>
      </w:r>
      <w:r w:rsidR="00AE168C" w:rsidRPr="00FC1444">
        <w:rPr>
          <w:rFonts w:ascii="Times New Roman" w:eastAsiaTheme="minorEastAsia" w:hAnsi="Times New Roman" w:cs="Times New Roman"/>
          <w:bCs/>
          <w:snapToGrid w:val="0"/>
          <w:color w:val="auto"/>
          <w:kern w:val="0"/>
          <w:sz w:val="24"/>
        </w:rPr>
        <w:t>北林区</w:t>
      </w:r>
      <w:r w:rsidR="00AE168C" w:rsidRPr="00FC1444">
        <w:rPr>
          <w:rFonts w:ascii="Times New Roman" w:eastAsiaTheme="minorEastAsia" w:hAnsi="Times New Roman" w:cs="Times New Roman"/>
          <w:bCs/>
          <w:snapToGrid w:val="0"/>
          <w:color w:val="auto"/>
          <w:kern w:val="0"/>
          <w:sz w:val="24"/>
        </w:rPr>
        <w:t>2026</w:t>
      </w:r>
      <w:r w:rsidR="00AE168C" w:rsidRPr="00FC1444">
        <w:rPr>
          <w:rFonts w:ascii="Times New Roman" w:eastAsiaTheme="minorEastAsia" w:hAnsi="Times New Roman" w:cs="Times New Roman"/>
          <w:bCs/>
          <w:snapToGrid w:val="0"/>
          <w:color w:val="auto"/>
          <w:kern w:val="0"/>
          <w:sz w:val="24"/>
        </w:rPr>
        <w:t>年高标准农田建设项目</w:t>
      </w:r>
      <w:r w:rsidR="00DE0957" w:rsidRPr="00FC1444">
        <w:rPr>
          <w:rFonts w:ascii="Times New Roman" w:eastAsiaTheme="minorEastAsia" w:hAnsi="Times New Roman" w:cs="Times New Roman"/>
          <w:bCs/>
          <w:snapToGrid w:val="0"/>
          <w:color w:val="auto"/>
          <w:kern w:val="0"/>
          <w:sz w:val="24"/>
        </w:rPr>
        <w:t>水资源论证报告书</w:t>
      </w:r>
      <w:r w:rsidR="00DE0957" w:rsidRPr="00FC1444">
        <w:rPr>
          <w:rFonts w:ascii="Times New Roman" w:eastAsiaTheme="minorEastAsia" w:hAnsi="Times New Roman" w:cs="Times New Roman"/>
          <w:color w:val="auto"/>
          <w:sz w:val="24"/>
        </w:rPr>
        <w:t>专家评审意见</w:t>
      </w:r>
      <w:r w:rsidR="00DE0957" w:rsidRPr="00FC1444">
        <w:rPr>
          <w:rFonts w:ascii="Times New Roman" w:eastAsiaTheme="minorEastAsia" w:hAnsi="Times New Roman" w:cs="Times New Roman"/>
          <w:bCs/>
          <w:snapToGrid w:val="0"/>
          <w:color w:val="auto"/>
          <w:kern w:val="0"/>
          <w:sz w:val="24"/>
        </w:rPr>
        <w:t>》</w:t>
      </w:r>
      <w:r w:rsidR="00CA729B" w:rsidRPr="00FC1444">
        <w:rPr>
          <w:rFonts w:ascii="Times New Roman" w:eastAsiaTheme="minorEastAsia" w:hAnsi="Times New Roman" w:cs="Times New Roman"/>
          <w:snapToGrid w:val="0"/>
          <w:color w:val="auto"/>
          <w:kern w:val="0"/>
          <w:sz w:val="24"/>
        </w:rPr>
        <w:t>《准予取水许可决定书复》文号：</w:t>
      </w:r>
      <w:r w:rsidR="00DC2B3B" w:rsidRPr="00FC1444">
        <w:rPr>
          <w:rFonts w:ascii="Times New Roman" w:eastAsiaTheme="minorEastAsia" w:hAnsi="Times New Roman" w:cs="Times New Roman"/>
          <w:snapToGrid w:val="0"/>
          <w:color w:val="auto"/>
          <w:kern w:val="0"/>
          <w:sz w:val="24"/>
        </w:rPr>
        <w:t>取水（绥北水）准字〔</w:t>
      </w:r>
      <w:r w:rsidR="00DC2B3B" w:rsidRPr="00FC1444">
        <w:rPr>
          <w:rFonts w:ascii="Times New Roman" w:eastAsiaTheme="minorEastAsia" w:hAnsi="Times New Roman" w:cs="Times New Roman"/>
          <w:snapToGrid w:val="0"/>
          <w:color w:val="auto"/>
          <w:kern w:val="0"/>
          <w:sz w:val="24"/>
        </w:rPr>
        <w:t>2026</w:t>
      </w:r>
      <w:r w:rsidR="00DC2B3B" w:rsidRPr="00FC1444">
        <w:rPr>
          <w:rFonts w:ascii="Times New Roman" w:eastAsiaTheme="minorEastAsia" w:hAnsi="Times New Roman" w:cs="Times New Roman"/>
          <w:snapToGrid w:val="0"/>
          <w:color w:val="auto"/>
          <w:kern w:val="0"/>
          <w:sz w:val="24"/>
        </w:rPr>
        <w:t>〕第</w:t>
      </w:r>
      <w:r w:rsidR="00DC2B3B" w:rsidRPr="00FC1444">
        <w:rPr>
          <w:rFonts w:ascii="Times New Roman" w:eastAsiaTheme="minorEastAsia" w:hAnsi="Times New Roman" w:cs="Times New Roman"/>
          <w:snapToGrid w:val="0"/>
          <w:color w:val="auto"/>
          <w:kern w:val="0"/>
          <w:sz w:val="24"/>
        </w:rPr>
        <w:t>50</w:t>
      </w:r>
      <w:r w:rsidR="00CA729B" w:rsidRPr="00FC1444">
        <w:rPr>
          <w:rFonts w:ascii="Times New Roman" w:eastAsiaTheme="minorEastAsia" w:hAnsi="Times New Roman" w:cs="Times New Roman"/>
          <w:snapToGrid w:val="0"/>
          <w:color w:val="auto"/>
          <w:kern w:val="0"/>
          <w:sz w:val="24"/>
        </w:rPr>
        <w:t>号</w:t>
      </w:r>
      <w:r w:rsidR="00C31029" w:rsidRPr="00FC1444">
        <w:rPr>
          <w:rFonts w:ascii="Times New Roman" w:eastAsiaTheme="minorEastAsia" w:hAnsi="Times New Roman" w:cs="Times New Roman"/>
          <w:snapToGrid w:val="0"/>
          <w:color w:val="auto"/>
          <w:kern w:val="0"/>
          <w:sz w:val="24"/>
        </w:rPr>
        <w:t>。</w:t>
      </w:r>
    </w:p>
    <w:p w:rsidR="00322DEE" w:rsidRPr="00FC1444" w:rsidRDefault="00322DEE" w:rsidP="00322DEE">
      <w:pPr>
        <w:pStyle w:val="1120"/>
        <w:spacing w:line="360" w:lineRule="auto"/>
        <w:ind w:firstLine="480"/>
        <w:rPr>
          <w:rFonts w:ascii="Times New Roman" w:eastAsiaTheme="minorEastAsia" w:hAnsi="Times New Roman" w:cs="Times New Roman"/>
          <w:color w:val="auto"/>
          <w:sz w:val="24"/>
          <w:szCs w:val="24"/>
        </w:rPr>
      </w:pP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2</w:t>
      </w:r>
      <w:r w:rsidRPr="00FC1444">
        <w:rPr>
          <w:rFonts w:ascii="Times New Roman" w:eastAsiaTheme="minorEastAsia" w:hAnsi="Times New Roman" w:cs="Times New Roman"/>
          <w:color w:val="auto"/>
          <w:sz w:val="24"/>
          <w:szCs w:val="24"/>
        </w:rPr>
        <w:t>）</w:t>
      </w:r>
      <w:r w:rsidR="00611CBA" w:rsidRPr="00FC1444">
        <w:rPr>
          <w:rFonts w:ascii="Times New Roman" w:eastAsiaTheme="minorEastAsia" w:hAnsi="Times New Roman" w:cs="Times New Roman"/>
          <w:color w:val="auto"/>
          <w:sz w:val="24"/>
          <w:szCs w:val="24"/>
        </w:rPr>
        <w:t>运行方式：</w:t>
      </w:r>
      <w:r w:rsidRPr="00FC1444">
        <w:rPr>
          <w:rFonts w:ascii="Times New Roman" w:eastAsiaTheme="minorEastAsia" w:hAnsi="Times New Roman" w:cs="Times New Roman"/>
          <w:color w:val="auto"/>
          <w:sz w:val="24"/>
          <w:szCs w:val="24"/>
        </w:rPr>
        <w:t>项目区域共</w:t>
      </w:r>
      <w:r w:rsidR="00D622BA" w:rsidRPr="00FC1444">
        <w:rPr>
          <w:rFonts w:ascii="Times New Roman" w:eastAsiaTheme="minorEastAsia" w:hAnsi="Times New Roman" w:cs="Times New Roman"/>
          <w:bCs/>
          <w:color w:val="auto"/>
          <w:sz w:val="24"/>
          <w:szCs w:val="24"/>
        </w:rPr>
        <w:t>11.84</w:t>
      </w:r>
      <w:r w:rsidRPr="00FC1444">
        <w:rPr>
          <w:rFonts w:ascii="Times New Roman" w:eastAsiaTheme="minorEastAsia" w:hAnsi="Times New Roman" w:cs="Times New Roman"/>
          <w:bCs/>
          <w:color w:val="auto"/>
          <w:sz w:val="24"/>
          <w:szCs w:val="24"/>
        </w:rPr>
        <w:t>万亩旱田，</w:t>
      </w:r>
      <w:r w:rsidR="00D622BA" w:rsidRPr="00FC1444">
        <w:rPr>
          <w:rFonts w:ascii="Times New Roman" w:eastAsiaTheme="minorEastAsia" w:hAnsi="Times New Roman" w:cs="Times New Roman"/>
          <w:bCs/>
          <w:color w:val="auto"/>
          <w:sz w:val="24"/>
          <w:szCs w:val="24"/>
        </w:rPr>
        <w:t>均</w:t>
      </w:r>
      <w:r w:rsidRPr="00FC1444">
        <w:rPr>
          <w:rFonts w:ascii="Times New Roman" w:eastAsiaTheme="minorEastAsia" w:hAnsi="Times New Roman" w:cs="Times New Roman"/>
          <w:color w:val="auto"/>
          <w:sz w:val="24"/>
          <w:szCs w:val="24"/>
        </w:rPr>
        <w:t>依靠天然降水。本项目</w:t>
      </w:r>
      <w:r w:rsidR="006E3290" w:rsidRPr="00FC1444">
        <w:rPr>
          <w:rFonts w:ascii="Times New Roman" w:eastAsiaTheme="minorEastAsia" w:hAnsi="Times New Roman" w:cs="Times New Roman"/>
          <w:color w:val="auto"/>
          <w:kern w:val="0"/>
          <w:sz w:val="24"/>
        </w:rPr>
        <w:t>旱田</w:t>
      </w:r>
      <w:r w:rsidRPr="00FC1444">
        <w:rPr>
          <w:rFonts w:ascii="Times New Roman" w:eastAsiaTheme="minorEastAsia" w:hAnsi="Times New Roman" w:cs="Times New Roman"/>
          <w:bCs/>
          <w:color w:val="auto"/>
          <w:sz w:val="24"/>
          <w:szCs w:val="24"/>
        </w:rPr>
        <w:t>新建机电井</w:t>
      </w:r>
      <w:r w:rsidR="00DD3A44" w:rsidRPr="00FC1444">
        <w:rPr>
          <w:rFonts w:ascii="Times New Roman" w:eastAsiaTheme="minorEastAsia" w:hAnsi="Times New Roman" w:cs="Times New Roman"/>
          <w:bCs/>
          <w:color w:val="auto"/>
          <w:sz w:val="24"/>
          <w:szCs w:val="24"/>
        </w:rPr>
        <w:t>156</w:t>
      </w:r>
      <w:r w:rsidR="00DD3A44" w:rsidRPr="00FC1444">
        <w:rPr>
          <w:rFonts w:ascii="Times New Roman" w:eastAsiaTheme="minorEastAsia" w:hAnsi="Times New Roman" w:cs="Times New Roman"/>
          <w:bCs/>
          <w:color w:val="auto"/>
          <w:sz w:val="24"/>
          <w:szCs w:val="24"/>
        </w:rPr>
        <w:t>眼</w:t>
      </w:r>
      <w:r w:rsidRPr="00FC1444">
        <w:rPr>
          <w:rFonts w:ascii="Times New Roman" w:eastAsiaTheme="minorEastAsia" w:hAnsi="Times New Roman" w:cs="Times New Roman"/>
          <w:bCs/>
          <w:color w:val="auto"/>
          <w:sz w:val="24"/>
          <w:szCs w:val="24"/>
        </w:rPr>
        <w:t>，其中</w:t>
      </w:r>
      <w:r w:rsidR="00F24317" w:rsidRPr="00FC1444">
        <w:rPr>
          <w:rFonts w:ascii="Times New Roman" w:eastAsiaTheme="minorEastAsia" w:hAnsi="Times New Roman" w:cs="Times New Roman"/>
          <w:bCs/>
          <w:color w:val="auto"/>
          <w:sz w:val="24"/>
          <w:szCs w:val="24"/>
        </w:rPr>
        <w:t>35</w:t>
      </w:r>
      <w:r w:rsidRPr="00FC1444">
        <w:rPr>
          <w:rFonts w:ascii="Times New Roman" w:eastAsiaTheme="minorEastAsia" w:hAnsi="Times New Roman" w:cs="Times New Roman"/>
          <w:bCs/>
          <w:color w:val="auto"/>
          <w:sz w:val="24"/>
          <w:szCs w:val="24"/>
        </w:rPr>
        <w:t>口滴灌井</w:t>
      </w:r>
      <w:r w:rsidR="006E3290" w:rsidRPr="00FC1444">
        <w:rPr>
          <w:rFonts w:ascii="Times New Roman" w:eastAsiaTheme="minorEastAsia" w:hAnsi="Times New Roman" w:cs="Times New Roman"/>
          <w:bCs/>
          <w:color w:val="auto"/>
          <w:sz w:val="24"/>
          <w:szCs w:val="24"/>
        </w:rPr>
        <w:t>（水肥一体化）</w:t>
      </w:r>
      <w:r w:rsidRPr="00FC1444">
        <w:rPr>
          <w:rFonts w:ascii="Times New Roman" w:eastAsiaTheme="minorEastAsia" w:hAnsi="Times New Roman" w:cs="Times New Roman"/>
          <w:bCs/>
          <w:color w:val="auto"/>
          <w:sz w:val="24"/>
          <w:szCs w:val="24"/>
        </w:rPr>
        <w:t>，</w:t>
      </w:r>
      <w:r w:rsidR="00F24317" w:rsidRPr="00FC1444">
        <w:rPr>
          <w:rFonts w:ascii="Times New Roman" w:eastAsiaTheme="minorEastAsia" w:hAnsi="Times New Roman" w:cs="Times New Roman"/>
          <w:bCs/>
          <w:color w:val="auto"/>
          <w:sz w:val="24"/>
          <w:szCs w:val="24"/>
        </w:rPr>
        <w:t>121</w:t>
      </w:r>
      <w:r w:rsidRPr="00FC1444">
        <w:rPr>
          <w:rFonts w:ascii="Times New Roman" w:eastAsiaTheme="minorEastAsia" w:hAnsi="Times New Roman" w:cs="Times New Roman"/>
          <w:bCs/>
          <w:color w:val="auto"/>
          <w:sz w:val="24"/>
          <w:szCs w:val="24"/>
        </w:rPr>
        <w:t>口抗旱井（干旱时使用），</w:t>
      </w:r>
      <w:r w:rsidRPr="00FC1444">
        <w:rPr>
          <w:rFonts w:ascii="Times New Roman" w:eastAsiaTheme="minorEastAsia" w:hAnsi="Times New Roman" w:cs="Times New Roman"/>
          <w:color w:val="auto"/>
          <w:sz w:val="24"/>
          <w:szCs w:val="24"/>
        </w:rPr>
        <w:t>运营期设计</w:t>
      </w:r>
      <w:r w:rsidRPr="00FC1444">
        <w:rPr>
          <w:rFonts w:ascii="Times New Roman" w:eastAsiaTheme="minorEastAsia" w:hAnsi="Times New Roman" w:cs="Times New Roman"/>
          <w:bCs/>
          <w:color w:val="auto"/>
          <w:sz w:val="24"/>
          <w:szCs w:val="24"/>
        </w:rPr>
        <w:t>抗旱井</w:t>
      </w:r>
      <w:r w:rsidRPr="00FC1444">
        <w:rPr>
          <w:rFonts w:ascii="Times New Roman" w:eastAsiaTheme="minorEastAsia" w:hAnsi="Times New Roman" w:cs="Times New Roman"/>
          <w:color w:val="auto"/>
          <w:sz w:val="24"/>
          <w:szCs w:val="24"/>
        </w:rPr>
        <w:t>每年</w:t>
      </w:r>
      <w:r w:rsidR="006C5B28" w:rsidRPr="00FC1444">
        <w:rPr>
          <w:rFonts w:ascii="Times New Roman" w:eastAsiaTheme="minorEastAsia" w:hAnsi="Times New Roman" w:cs="Times New Roman"/>
          <w:color w:val="auto"/>
          <w:sz w:val="24"/>
          <w:szCs w:val="24"/>
        </w:rPr>
        <w:t>4</w:t>
      </w:r>
      <w:r w:rsidRPr="00FC1444">
        <w:rPr>
          <w:rFonts w:ascii="Times New Roman" w:eastAsiaTheme="minorEastAsia" w:hAnsi="Times New Roman" w:cs="Times New Roman"/>
          <w:color w:val="auto"/>
          <w:sz w:val="24"/>
          <w:szCs w:val="24"/>
        </w:rPr>
        <w:t>-7</w:t>
      </w:r>
      <w:r w:rsidRPr="00FC1444">
        <w:rPr>
          <w:rFonts w:ascii="Times New Roman" w:eastAsiaTheme="minorEastAsia" w:hAnsi="Times New Roman" w:cs="Times New Roman"/>
          <w:color w:val="auto"/>
          <w:sz w:val="24"/>
          <w:szCs w:val="24"/>
        </w:rPr>
        <w:t>月干旱时灌水</w:t>
      </w:r>
      <w:r w:rsidRPr="00FC1444">
        <w:rPr>
          <w:rFonts w:ascii="Times New Roman" w:eastAsiaTheme="minorEastAsia" w:hAnsi="Times New Roman" w:cs="Times New Roman"/>
          <w:color w:val="auto"/>
          <w:sz w:val="24"/>
          <w:szCs w:val="24"/>
        </w:rPr>
        <w:t>1</w:t>
      </w:r>
      <w:r w:rsidR="006C5B28" w:rsidRPr="00FC1444">
        <w:rPr>
          <w:rFonts w:ascii="Times New Roman" w:eastAsiaTheme="minorEastAsia" w:hAnsi="Times New Roman" w:cs="Times New Roman"/>
          <w:color w:val="auto"/>
          <w:sz w:val="24"/>
          <w:szCs w:val="24"/>
        </w:rPr>
        <w:t>0</w:t>
      </w:r>
      <w:r w:rsidRPr="00FC1444">
        <w:rPr>
          <w:rFonts w:ascii="Times New Roman" w:eastAsiaTheme="minorEastAsia" w:hAnsi="Times New Roman" w:cs="Times New Roman"/>
          <w:color w:val="auto"/>
          <w:sz w:val="24"/>
          <w:szCs w:val="24"/>
        </w:rPr>
        <w:t>d</w:t>
      </w:r>
      <w:r w:rsidRPr="00FC1444">
        <w:rPr>
          <w:rFonts w:ascii="Times New Roman" w:eastAsiaTheme="minorEastAsia" w:hAnsi="Times New Roman" w:cs="Times New Roman"/>
          <w:color w:val="auto"/>
          <w:sz w:val="24"/>
          <w:szCs w:val="24"/>
        </w:rPr>
        <w:t>，每天灌溉时间约为</w:t>
      </w:r>
      <w:r w:rsidR="006C5B28" w:rsidRPr="00FC1444">
        <w:rPr>
          <w:rFonts w:ascii="Times New Roman" w:eastAsiaTheme="minorEastAsia" w:hAnsi="Times New Roman" w:cs="Times New Roman"/>
          <w:color w:val="auto"/>
          <w:sz w:val="24"/>
          <w:szCs w:val="24"/>
        </w:rPr>
        <w:t>7</w:t>
      </w:r>
      <w:r w:rsidRPr="00FC1444">
        <w:rPr>
          <w:rFonts w:ascii="Times New Roman" w:eastAsiaTheme="minorEastAsia" w:hAnsi="Times New Roman" w:cs="Times New Roman"/>
          <w:color w:val="auto"/>
          <w:sz w:val="24"/>
          <w:szCs w:val="24"/>
        </w:rPr>
        <w:t>h</w:t>
      </w:r>
      <w:r w:rsidRPr="00FC1444">
        <w:rPr>
          <w:rFonts w:ascii="Times New Roman" w:eastAsiaTheme="minorEastAsia" w:hAnsi="Times New Roman" w:cs="Times New Roman"/>
          <w:color w:val="auto"/>
          <w:sz w:val="24"/>
          <w:szCs w:val="24"/>
        </w:rPr>
        <w:t>，总灌水时间约</w:t>
      </w:r>
      <w:r w:rsidR="006C5B28" w:rsidRPr="00FC1444">
        <w:rPr>
          <w:rFonts w:ascii="Times New Roman" w:eastAsiaTheme="minorEastAsia" w:hAnsi="Times New Roman" w:cs="Times New Roman"/>
          <w:color w:val="auto"/>
          <w:sz w:val="24"/>
          <w:szCs w:val="24"/>
        </w:rPr>
        <w:t>7</w:t>
      </w:r>
      <w:r w:rsidRPr="00FC1444">
        <w:rPr>
          <w:rFonts w:ascii="Times New Roman" w:eastAsiaTheme="minorEastAsia" w:hAnsi="Times New Roman" w:cs="Times New Roman"/>
          <w:color w:val="auto"/>
          <w:sz w:val="24"/>
          <w:szCs w:val="24"/>
        </w:rPr>
        <w:t>0h</w:t>
      </w:r>
      <w:r w:rsidRPr="00FC1444">
        <w:rPr>
          <w:rFonts w:ascii="Times New Roman" w:eastAsiaTheme="minorEastAsia" w:hAnsi="Times New Roman" w:cs="Times New Roman"/>
          <w:color w:val="auto"/>
          <w:sz w:val="24"/>
          <w:szCs w:val="24"/>
        </w:rPr>
        <w:t>，设计单井涌水量为</w:t>
      </w:r>
      <w:r w:rsidRPr="00FC1444">
        <w:rPr>
          <w:rFonts w:ascii="Times New Roman" w:eastAsiaTheme="minorEastAsia" w:hAnsi="Times New Roman" w:cs="Times New Roman"/>
          <w:color w:val="auto"/>
          <w:sz w:val="24"/>
          <w:szCs w:val="24"/>
        </w:rPr>
        <w:t>30m</w:t>
      </w:r>
      <w:r w:rsidRPr="00FC1444">
        <w:rPr>
          <w:rFonts w:ascii="Times New Roman" w:eastAsiaTheme="minorEastAsia" w:hAnsi="Times New Roman" w:cs="Times New Roman"/>
          <w:color w:val="auto"/>
          <w:sz w:val="24"/>
          <w:szCs w:val="24"/>
          <w:vertAlign w:val="superscript"/>
        </w:rPr>
        <w:t>3</w:t>
      </w:r>
      <w:r w:rsidRPr="00FC1444">
        <w:rPr>
          <w:rFonts w:ascii="Times New Roman" w:eastAsiaTheme="minorEastAsia" w:hAnsi="Times New Roman" w:cs="Times New Roman"/>
          <w:color w:val="auto"/>
          <w:sz w:val="24"/>
          <w:szCs w:val="24"/>
        </w:rPr>
        <w:t>/h</w:t>
      </w:r>
      <w:r w:rsidR="006C5B28"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bCs/>
          <w:color w:val="auto"/>
          <w:sz w:val="24"/>
          <w:szCs w:val="24"/>
        </w:rPr>
        <w:t>滴灌井</w:t>
      </w:r>
      <w:r w:rsidR="006C5B28" w:rsidRPr="00FC1444">
        <w:rPr>
          <w:rFonts w:ascii="Times New Roman" w:eastAsiaTheme="minorEastAsia" w:hAnsi="Times New Roman" w:cs="Times New Roman"/>
          <w:bCs/>
          <w:color w:val="auto"/>
          <w:sz w:val="24"/>
          <w:szCs w:val="24"/>
        </w:rPr>
        <w:t>全</w:t>
      </w:r>
      <w:r w:rsidRPr="00FC1444">
        <w:rPr>
          <w:rFonts w:ascii="Times New Roman" w:eastAsiaTheme="minorEastAsia" w:hAnsi="Times New Roman" w:cs="Times New Roman"/>
          <w:bCs/>
          <w:color w:val="auto"/>
          <w:sz w:val="24"/>
          <w:szCs w:val="24"/>
        </w:rPr>
        <w:t>生育</w:t>
      </w:r>
      <w:r w:rsidR="006C5B28" w:rsidRPr="00FC1444">
        <w:rPr>
          <w:rFonts w:ascii="Times New Roman" w:eastAsiaTheme="minorEastAsia" w:hAnsi="Times New Roman" w:cs="Times New Roman"/>
          <w:bCs/>
          <w:color w:val="auto"/>
          <w:sz w:val="24"/>
          <w:szCs w:val="24"/>
        </w:rPr>
        <w:t>周</w:t>
      </w:r>
      <w:r w:rsidRPr="00FC1444">
        <w:rPr>
          <w:rFonts w:ascii="Times New Roman" w:eastAsiaTheme="minorEastAsia" w:hAnsi="Times New Roman" w:cs="Times New Roman"/>
          <w:bCs/>
          <w:color w:val="auto"/>
          <w:sz w:val="24"/>
          <w:szCs w:val="24"/>
        </w:rPr>
        <w:t>期灌溉总天数</w:t>
      </w:r>
      <w:r w:rsidR="006C5B28" w:rsidRPr="00FC1444">
        <w:rPr>
          <w:rFonts w:ascii="Times New Roman" w:eastAsiaTheme="minorEastAsia" w:hAnsi="Times New Roman" w:cs="Times New Roman"/>
          <w:bCs/>
          <w:color w:val="auto"/>
          <w:sz w:val="24"/>
          <w:szCs w:val="24"/>
        </w:rPr>
        <w:t>32</w:t>
      </w:r>
      <w:r w:rsidRPr="00FC1444">
        <w:rPr>
          <w:rFonts w:ascii="Times New Roman" w:eastAsiaTheme="minorEastAsia" w:hAnsi="Times New Roman" w:cs="Times New Roman"/>
          <w:bCs/>
          <w:color w:val="auto"/>
          <w:sz w:val="24"/>
          <w:szCs w:val="24"/>
        </w:rPr>
        <w:t>d</w:t>
      </w:r>
      <w:r w:rsidRPr="00FC1444">
        <w:rPr>
          <w:rFonts w:ascii="Times New Roman" w:eastAsiaTheme="minorEastAsia" w:hAnsi="Times New Roman" w:cs="Times New Roman"/>
          <w:bCs/>
          <w:color w:val="auto"/>
          <w:sz w:val="24"/>
          <w:szCs w:val="24"/>
        </w:rPr>
        <w:t>，</w:t>
      </w:r>
      <w:r w:rsidRPr="00FC1444">
        <w:rPr>
          <w:rFonts w:ascii="Times New Roman" w:eastAsiaTheme="minorEastAsia" w:hAnsi="Times New Roman" w:cs="Times New Roman"/>
          <w:color w:val="auto"/>
          <w:sz w:val="24"/>
          <w:szCs w:val="24"/>
        </w:rPr>
        <w:t>每天灌溉时间约为</w:t>
      </w:r>
      <w:r w:rsidRPr="00FC1444">
        <w:rPr>
          <w:rFonts w:ascii="Times New Roman" w:eastAsiaTheme="minorEastAsia" w:hAnsi="Times New Roman" w:cs="Times New Roman"/>
          <w:color w:val="auto"/>
          <w:sz w:val="24"/>
          <w:szCs w:val="24"/>
        </w:rPr>
        <w:t>20h</w:t>
      </w:r>
      <w:r w:rsidRPr="00FC1444">
        <w:rPr>
          <w:rFonts w:ascii="Times New Roman" w:eastAsiaTheme="minorEastAsia" w:hAnsi="Times New Roman" w:cs="Times New Roman"/>
          <w:color w:val="auto"/>
          <w:sz w:val="24"/>
          <w:szCs w:val="24"/>
        </w:rPr>
        <w:t>，总灌水时间约</w:t>
      </w:r>
      <w:r w:rsidR="006C5B28" w:rsidRPr="00FC1444">
        <w:rPr>
          <w:rFonts w:ascii="Times New Roman" w:eastAsiaTheme="minorEastAsia" w:hAnsi="Times New Roman" w:cs="Times New Roman"/>
          <w:color w:val="auto"/>
          <w:sz w:val="24"/>
          <w:szCs w:val="24"/>
        </w:rPr>
        <w:t>640</w:t>
      </w:r>
      <w:r w:rsidRPr="00FC1444">
        <w:rPr>
          <w:rFonts w:ascii="Times New Roman" w:eastAsiaTheme="minorEastAsia" w:hAnsi="Times New Roman" w:cs="Times New Roman"/>
          <w:color w:val="auto"/>
          <w:sz w:val="24"/>
          <w:szCs w:val="24"/>
        </w:rPr>
        <w:t>h</w:t>
      </w:r>
      <w:r w:rsidRPr="00FC1444">
        <w:rPr>
          <w:rFonts w:ascii="Times New Roman" w:eastAsiaTheme="minorEastAsia" w:hAnsi="Times New Roman" w:cs="Times New Roman"/>
          <w:color w:val="auto"/>
          <w:sz w:val="24"/>
          <w:szCs w:val="24"/>
        </w:rPr>
        <w:t>，设计单井涌水量为</w:t>
      </w:r>
      <w:r w:rsidRPr="00FC1444">
        <w:rPr>
          <w:rFonts w:ascii="Times New Roman" w:eastAsiaTheme="minorEastAsia" w:hAnsi="Times New Roman" w:cs="Times New Roman"/>
          <w:color w:val="auto"/>
          <w:sz w:val="24"/>
          <w:szCs w:val="24"/>
        </w:rPr>
        <w:t>30m</w:t>
      </w:r>
      <w:r w:rsidRPr="00FC1444">
        <w:rPr>
          <w:rFonts w:ascii="Times New Roman" w:eastAsiaTheme="minorEastAsia" w:hAnsi="Times New Roman" w:cs="Times New Roman"/>
          <w:color w:val="auto"/>
          <w:sz w:val="24"/>
          <w:szCs w:val="24"/>
          <w:vertAlign w:val="superscript"/>
        </w:rPr>
        <w:t>3</w:t>
      </w:r>
      <w:r w:rsidRPr="00FC1444">
        <w:rPr>
          <w:rFonts w:ascii="Times New Roman" w:eastAsiaTheme="minorEastAsia" w:hAnsi="Times New Roman" w:cs="Times New Roman"/>
          <w:color w:val="auto"/>
          <w:sz w:val="24"/>
          <w:szCs w:val="24"/>
        </w:rPr>
        <w:t>/h</w:t>
      </w:r>
      <w:r w:rsidRPr="00FC1444">
        <w:rPr>
          <w:rFonts w:ascii="Times New Roman" w:eastAsiaTheme="minorEastAsia" w:hAnsi="Times New Roman" w:cs="Times New Roman"/>
          <w:color w:val="auto"/>
          <w:sz w:val="24"/>
          <w:szCs w:val="24"/>
        </w:rPr>
        <w:t>。根据项目区的灌溉定额和灌溉水利用系数，项目区</w:t>
      </w:r>
      <w:r w:rsidR="003F09B6" w:rsidRPr="00FC1444">
        <w:rPr>
          <w:rFonts w:ascii="Times New Roman" w:eastAsiaTheme="minorEastAsia" w:hAnsi="Times New Roman" w:cs="Times New Roman"/>
          <w:color w:val="auto"/>
          <w:sz w:val="24"/>
          <w:szCs w:val="24"/>
        </w:rPr>
        <w:t>地下水</w:t>
      </w:r>
      <w:r w:rsidRPr="00FC1444">
        <w:rPr>
          <w:rFonts w:ascii="Times New Roman" w:eastAsiaTheme="minorEastAsia" w:hAnsi="Times New Roman" w:cs="Times New Roman"/>
          <w:color w:val="auto"/>
          <w:sz w:val="24"/>
          <w:szCs w:val="24"/>
        </w:rPr>
        <w:t>取水量为</w:t>
      </w:r>
      <w:r w:rsidR="00371E5B" w:rsidRPr="00FC1444">
        <w:rPr>
          <w:rFonts w:ascii="Times New Roman" w:eastAsiaTheme="minorEastAsia" w:hAnsi="Times New Roman" w:cs="Times New Roman"/>
          <w:color w:val="auto"/>
          <w:sz w:val="24"/>
          <w:szCs w:val="24"/>
        </w:rPr>
        <w:t>92.83</w:t>
      </w:r>
      <w:r w:rsidR="00371E5B" w:rsidRPr="00FC1444">
        <w:rPr>
          <w:rFonts w:ascii="Times New Roman" w:eastAsiaTheme="minorEastAsia" w:hAnsi="Times New Roman" w:cs="Times New Roman"/>
          <w:color w:val="auto"/>
          <w:sz w:val="24"/>
          <w:szCs w:val="24"/>
        </w:rPr>
        <w:t>万</w:t>
      </w:r>
      <w:r w:rsidRPr="00FC1444">
        <w:rPr>
          <w:rFonts w:ascii="Times New Roman" w:eastAsiaTheme="minorEastAsia" w:hAnsi="Times New Roman" w:cs="Times New Roman"/>
          <w:color w:val="auto"/>
          <w:sz w:val="24"/>
          <w:szCs w:val="24"/>
        </w:rPr>
        <w:t>m³/a</w:t>
      </w:r>
      <w:r w:rsidRPr="00FC1444">
        <w:rPr>
          <w:rFonts w:ascii="Times New Roman" w:eastAsiaTheme="minorEastAsia" w:hAnsi="Times New Roman" w:cs="Times New Roman"/>
          <w:color w:val="auto"/>
          <w:sz w:val="24"/>
          <w:szCs w:val="24"/>
        </w:rPr>
        <w:t>（其中</w:t>
      </w:r>
      <w:r w:rsidRPr="00FC1444">
        <w:rPr>
          <w:rFonts w:ascii="Times New Roman" w:eastAsiaTheme="minorEastAsia" w:hAnsi="Times New Roman" w:cs="Times New Roman"/>
          <w:bCs/>
          <w:color w:val="auto"/>
          <w:sz w:val="24"/>
          <w:szCs w:val="24"/>
        </w:rPr>
        <w:t>抗旱井</w:t>
      </w:r>
      <w:r w:rsidR="006C5B28" w:rsidRPr="00FC1444">
        <w:rPr>
          <w:rFonts w:ascii="Times New Roman" w:eastAsiaTheme="minorEastAsia" w:hAnsi="Times New Roman" w:cs="Times New Roman"/>
          <w:bCs/>
          <w:color w:val="auto"/>
          <w:sz w:val="24"/>
          <w:szCs w:val="24"/>
        </w:rPr>
        <w:t>23.67</w:t>
      </w:r>
      <w:r w:rsidRPr="00FC1444">
        <w:rPr>
          <w:rFonts w:ascii="Times New Roman" w:eastAsiaTheme="minorEastAsia" w:hAnsi="Times New Roman" w:cs="Times New Roman"/>
          <w:bCs/>
          <w:color w:val="auto"/>
          <w:sz w:val="24"/>
          <w:szCs w:val="24"/>
        </w:rPr>
        <w:t>万</w:t>
      </w:r>
      <w:r w:rsidRPr="00FC1444">
        <w:rPr>
          <w:rFonts w:ascii="Times New Roman" w:eastAsiaTheme="minorEastAsia" w:hAnsi="Times New Roman" w:cs="Times New Roman"/>
          <w:color w:val="auto"/>
          <w:sz w:val="24"/>
          <w:szCs w:val="24"/>
        </w:rPr>
        <w:t>m³/a</w:t>
      </w: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bCs/>
          <w:color w:val="auto"/>
          <w:sz w:val="24"/>
          <w:szCs w:val="24"/>
        </w:rPr>
        <w:t>滴灌井</w:t>
      </w:r>
      <w:r w:rsidR="006C5B28" w:rsidRPr="00FC1444">
        <w:rPr>
          <w:rFonts w:ascii="Times New Roman" w:eastAsiaTheme="minorEastAsia" w:hAnsi="Times New Roman" w:cs="Times New Roman"/>
          <w:bCs/>
          <w:color w:val="auto"/>
          <w:sz w:val="24"/>
          <w:szCs w:val="24"/>
        </w:rPr>
        <w:t>69.16</w:t>
      </w:r>
      <w:r w:rsidRPr="00FC1444">
        <w:rPr>
          <w:rFonts w:ascii="Times New Roman" w:eastAsiaTheme="minorEastAsia" w:hAnsi="Times New Roman" w:cs="Times New Roman"/>
          <w:bCs/>
          <w:color w:val="auto"/>
          <w:sz w:val="24"/>
          <w:szCs w:val="24"/>
        </w:rPr>
        <w:t>万</w:t>
      </w:r>
      <w:r w:rsidRPr="00FC1444">
        <w:rPr>
          <w:rFonts w:ascii="Times New Roman" w:eastAsiaTheme="minorEastAsia" w:hAnsi="Times New Roman" w:cs="Times New Roman"/>
          <w:color w:val="auto"/>
          <w:sz w:val="24"/>
          <w:szCs w:val="24"/>
        </w:rPr>
        <w:t>m³/a</w:t>
      </w:r>
      <w:r w:rsidRPr="00FC1444">
        <w:rPr>
          <w:rFonts w:ascii="Times New Roman" w:eastAsiaTheme="minorEastAsia" w:hAnsi="Times New Roman" w:cs="Times New Roman"/>
          <w:color w:val="auto"/>
          <w:sz w:val="24"/>
          <w:szCs w:val="24"/>
        </w:rPr>
        <w:t>），日取水量约为</w:t>
      </w:r>
      <w:r w:rsidR="008B71D4" w:rsidRPr="00FC1444">
        <w:rPr>
          <w:rFonts w:ascii="Times New Roman" w:eastAsiaTheme="minorEastAsia" w:hAnsi="Times New Roman" w:cs="Times New Roman"/>
          <w:color w:val="auto"/>
          <w:sz w:val="24"/>
          <w:szCs w:val="24"/>
        </w:rPr>
        <w:t>45283</w:t>
      </w:r>
      <w:r w:rsidRPr="00FC1444">
        <w:rPr>
          <w:rFonts w:ascii="Times New Roman" w:eastAsiaTheme="minorEastAsia" w:hAnsi="Times New Roman" w:cs="Times New Roman"/>
          <w:color w:val="auto"/>
          <w:sz w:val="24"/>
          <w:szCs w:val="24"/>
        </w:rPr>
        <w:t>m</w:t>
      </w:r>
      <w:r w:rsidRPr="00FC1444">
        <w:rPr>
          <w:rFonts w:ascii="Times New Roman" w:eastAsiaTheme="minorEastAsia" w:hAnsi="Times New Roman" w:cs="Times New Roman"/>
          <w:color w:val="auto"/>
          <w:sz w:val="24"/>
          <w:szCs w:val="24"/>
          <w:vertAlign w:val="superscript"/>
        </w:rPr>
        <w:t>3</w:t>
      </w:r>
      <w:r w:rsidRPr="00FC1444">
        <w:rPr>
          <w:rFonts w:ascii="Times New Roman" w:eastAsiaTheme="minorEastAsia" w:hAnsi="Times New Roman" w:cs="Times New Roman"/>
          <w:color w:val="auto"/>
          <w:sz w:val="24"/>
          <w:szCs w:val="24"/>
        </w:rPr>
        <w:t>（其中</w:t>
      </w:r>
      <w:r w:rsidRPr="00FC1444">
        <w:rPr>
          <w:rFonts w:ascii="Times New Roman" w:eastAsiaTheme="minorEastAsia" w:hAnsi="Times New Roman" w:cs="Times New Roman"/>
          <w:bCs/>
          <w:color w:val="auto"/>
          <w:sz w:val="24"/>
          <w:szCs w:val="24"/>
        </w:rPr>
        <w:t>抗旱井</w:t>
      </w:r>
      <w:r w:rsidR="008B71D4" w:rsidRPr="00FC1444">
        <w:rPr>
          <w:rFonts w:ascii="Times New Roman" w:eastAsiaTheme="minorEastAsia" w:hAnsi="Times New Roman" w:cs="Times New Roman"/>
          <w:bCs/>
          <w:color w:val="auto"/>
          <w:sz w:val="24"/>
          <w:szCs w:val="24"/>
        </w:rPr>
        <w:t>23670</w:t>
      </w:r>
      <w:r w:rsidRPr="00FC1444">
        <w:rPr>
          <w:rFonts w:ascii="Times New Roman" w:eastAsiaTheme="minorEastAsia" w:hAnsi="Times New Roman" w:cs="Times New Roman"/>
          <w:color w:val="auto"/>
          <w:sz w:val="24"/>
          <w:szCs w:val="24"/>
        </w:rPr>
        <w:t>m³</w:t>
      </w: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bCs/>
          <w:color w:val="auto"/>
          <w:sz w:val="24"/>
          <w:szCs w:val="24"/>
        </w:rPr>
        <w:t>滴灌井</w:t>
      </w:r>
      <w:r w:rsidR="008B71D4" w:rsidRPr="00FC1444">
        <w:rPr>
          <w:rFonts w:ascii="Times New Roman" w:eastAsiaTheme="minorEastAsia" w:hAnsi="Times New Roman" w:cs="Times New Roman"/>
          <w:bCs/>
          <w:color w:val="auto"/>
          <w:sz w:val="24"/>
          <w:szCs w:val="24"/>
        </w:rPr>
        <w:t>21613</w:t>
      </w:r>
      <w:r w:rsidRPr="00FC1444">
        <w:rPr>
          <w:rFonts w:ascii="Times New Roman" w:eastAsiaTheme="minorEastAsia" w:hAnsi="Times New Roman" w:cs="Times New Roman"/>
          <w:color w:val="auto"/>
          <w:sz w:val="24"/>
          <w:szCs w:val="24"/>
        </w:rPr>
        <w:t>m³</w:t>
      </w:r>
      <w:r w:rsidRPr="00FC1444">
        <w:rPr>
          <w:rFonts w:ascii="Times New Roman" w:eastAsiaTheme="minorEastAsia" w:hAnsi="Times New Roman" w:cs="Times New Roman"/>
          <w:color w:val="auto"/>
          <w:sz w:val="24"/>
          <w:szCs w:val="24"/>
        </w:rPr>
        <w:t>）。</w:t>
      </w:r>
      <w:r w:rsidR="003F09B6" w:rsidRPr="00FC1444">
        <w:rPr>
          <w:rFonts w:ascii="Times New Roman" w:eastAsiaTheme="minorEastAsia" w:hAnsi="Times New Roman" w:cs="Times New Roman"/>
          <w:color w:val="auto"/>
          <w:kern w:val="0"/>
          <w:sz w:val="24"/>
        </w:rPr>
        <w:t>旱田</w:t>
      </w:r>
      <w:r w:rsidRPr="00FC1444">
        <w:rPr>
          <w:rFonts w:ascii="Times New Roman" w:eastAsiaTheme="minorEastAsia" w:hAnsi="Times New Roman" w:cs="Times New Roman"/>
          <w:color w:val="auto"/>
          <w:kern w:val="0"/>
          <w:sz w:val="24"/>
        </w:rPr>
        <w:t>灌溉面积</w:t>
      </w:r>
      <w:r w:rsidR="00C11725" w:rsidRPr="00FC1444">
        <w:rPr>
          <w:rFonts w:ascii="Times New Roman" w:eastAsiaTheme="minorEastAsia" w:hAnsi="Times New Roman" w:cs="Times New Roman"/>
          <w:color w:val="auto"/>
          <w:kern w:val="0"/>
          <w:sz w:val="24"/>
        </w:rPr>
        <w:t>44802</w:t>
      </w:r>
      <w:r w:rsidRPr="00FC1444">
        <w:rPr>
          <w:rFonts w:ascii="Times New Roman" w:eastAsiaTheme="minorEastAsia" w:hAnsi="Times New Roman" w:cs="Times New Roman"/>
          <w:color w:val="auto"/>
          <w:kern w:val="0"/>
          <w:sz w:val="24"/>
        </w:rPr>
        <w:t>亩，无水田。</w:t>
      </w:r>
      <w:r w:rsidRPr="00FC1444">
        <w:rPr>
          <w:rFonts w:ascii="Times New Roman" w:eastAsiaTheme="minorEastAsia" w:hAnsi="Times New Roman" w:cs="Times New Roman"/>
          <w:color w:val="auto"/>
          <w:sz w:val="24"/>
          <w:szCs w:val="24"/>
        </w:rPr>
        <w:t>建设完成后</w:t>
      </w:r>
      <w:r w:rsidR="003F09B6" w:rsidRPr="00FC1444">
        <w:rPr>
          <w:rFonts w:ascii="Times New Roman" w:eastAsiaTheme="minorEastAsia" w:hAnsi="Times New Roman" w:cs="Times New Roman"/>
          <w:color w:val="auto"/>
          <w:sz w:val="24"/>
          <w:szCs w:val="24"/>
        </w:rPr>
        <w:t>不新增旱田面积。</w:t>
      </w:r>
    </w:p>
    <w:p w:rsidR="002A5A5E" w:rsidRPr="00FC1444" w:rsidRDefault="00322DEE" w:rsidP="008A40AD">
      <w:pPr>
        <w:pStyle w:val="1120"/>
        <w:spacing w:line="360" w:lineRule="auto"/>
        <w:ind w:firstLine="480"/>
        <w:rPr>
          <w:rFonts w:ascii="Times New Roman" w:eastAsiaTheme="minorEastAsia" w:hAnsi="Times New Roman" w:cs="Times New Roman"/>
          <w:color w:val="auto"/>
          <w:sz w:val="24"/>
          <w:szCs w:val="24"/>
        </w:rPr>
      </w:pPr>
      <w:r w:rsidRPr="00FC1444">
        <w:rPr>
          <w:rFonts w:ascii="Times New Roman" w:eastAsiaTheme="minorEastAsia" w:hAnsi="Times New Roman" w:cs="Times New Roman"/>
          <w:color w:val="auto"/>
          <w:sz w:val="24"/>
          <w:szCs w:val="24"/>
        </w:rPr>
        <w:t>项目区域</w:t>
      </w:r>
      <w:r w:rsidRPr="00FC1444">
        <w:rPr>
          <w:rFonts w:ascii="Times New Roman" w:eastAsiaTheme="minorEastAsia" w:hAnsi="Times New Roman" w:cs="Times New Roman"/>
          <w:color w:val="auto"/>
          <w:kern w:val="0"/>
          <w:sz w:val="24"/>
        </w:rPr>
        <w:t>现有</w:t>
      </w:r>
      <w:r w:rsidR="00D622BA" w:rsidRPr="00FC1444">
        <w:rPr>
          <w:rFonts w:ascii="Times New Roman" w:eastAsiaTheme="minorEastAsia" w:hAnsi="Times New Roman" w:cs="Times New Roman"/>
          <w:color w:val="auto"/>
          <w:sz w:val="24"/>
          <w:szCs w:val="24"/>
        </w:rPr>
        <w:t>9.16</w:t>
      </w:r>
      <w:r w:rsidRPr="00FC1444">
        <w:rPr>
          <w:rFonts w:ascii="Times New Roman" w:eastAsiaTheme="minorEastAsia" w:hAnsi="Times New Roman" w:cs="Times New Roman"/>
          <w:color w:val="auto"/>
          <w:sz w:val="24"/>
          <w:szCs w:val="24"/>
        </w:rPr>
        <w:t>万亩水田，农户自行抽取</w:t>
      </w:r>
      <w:r w:rsidR="00D622BA" w:rsidRPr="00FC1444">
        <w:rPr>
          <w:rFonts w:ascii="Times New Roman" w:eastAsiaTheme="minorEastAsia" w:hAnsi="Times New Roman" w:cs="Times New Roman"/>
          <w:color w:val="auto"/>
          <w:sz w:val="24"/>
          <w:szCs w:val="24"/>
        </w:rPr>
        <w:t>501</w:t>
      </w:r>
      <w:r w:rsidRPr="00FC1444">
        <w:rPr>
          <w:rFonts w:ascii="Times New Roman" w:eastAsiaTheme="minorEastAsia" w:hAnsi="Times New Roman" w:cs="Times New Roman"/>
          <w:color w:val="auto"/>
          <w:sz w:val="24"/>
          <w:szCs w:val="24"/>
        </w:rPr>
        <w:t>眼机电井，</w:t>
      </w:r>
      <w:r w:rsidR="003F09B6" w:rsidRPr="00FC1444">
        <w:rPr>
          <w:rFonts w:ascii="Times New Roman" w:eastAsiaTheme="minorEastAsia" w:hAnsi="Times New Roman" w:cs="Times New Roman"/>
          <w:bCs/>
          <w:color w:val="auto"/>
          <w:sz w:val="24"/>
          <w:szCs w:val="24"/>
        </w:rPr>
        <w:t>灌溉方式为</w:t>
      </w:r>
      <w:r w:rsidRPr="00FC1444">
        <w:rPr>
          <w:rFonts w:ascii="Times New Roman" w:eastAsiaTheme="minorEastAsia" w:hAnsi="Times New Roman" w:cs="Times New Roman"/>
          <w:color w:val="auto"/>
          <w:sz w:val="24"/>
          <w:szCs w:val="24"/>
        </w:rPr>
        <w:t>地下水</w:t>
      </w:r>
      <w:r w:rsidRPr="00FC1444">
        <w:rPr>
          <w:rFonts w:ascii="Times New Roman" w:eastAsiaTheme="minorEastAsia" w:hAnsi="Times New Roman" w:cs="Times New Roman"/>
          <w:bCs/>
          <w:color w:val="auto"/>
          <w:sz w:val="24"/>
          <w:szCs w:val="24"/>
        </w:rPr>
        <w:t>井灌</w:t>
      </w:r>
      <w:r w:rsidR="003F09B6" w:rsidRPr="00FC1444">
        <w:rPr>
          <w:rFonts w:ascii="Times New Roman" w:eastAsiaTheme="minorEastAsia" w:hAnsi="Times New Roman" w:cs="Times New Roman"/>
          <w:color w:val="auto"/>
          <w:sz w:val="24"/>
          <w:szCs w:val="24"/>
        </w:rPr>
        <w:t>，多年运行下来基本能够满足</w:t>
      </w:r>
      <w:r w:rsidR="003F09B6" w:rsidRPr="00FC1444">
        <w:rPr>
          <w:rFonts w:ascii="Times New Roman" w:eastAsiaTheme="minorEastAsia" w:hAnsi="Times New Roman" w:cs="Times New Roman"/>
          <w:color w:val="auto"/>
          <w:kern w:val="0"/>
          <w:sz w:val="24"/>
        </w:rPr>
        <w:t>现有</w:t>
      </w:r>
      <w:r w:rsidR="003F09B6" w:rsidRPr="00FC1444">
        <w:rPr>
          <w:rFonts w:ascii="Times New Roman" w:eastAsiaTheme="minorEastAsia" w:hAnsi="Times New Roman" w:cs="Times New Roman"/>
          <w:color w:val="auto"/>
          <w:sz w:val="24"/>
          <w:szCs w:val="24"/>
        </w:rPr>
        <w:t>水田</w:t>
      </w:r>
      <w:r w:rsidRPr="00FC1444">
        <w:rPr>
          <w:rFonts w:ascii="Times New Roman" w:eastAsiaTheme="minorEastAsia" w:hAnsi="Times New Roman" w:cs="Times New Roman"/>
          <w:color w:val="auto"/>
          <w:sz w:val="24"/>
          <w:szCs w:val="24"/>
        </w:rPr>
        <w:t>生长需求。</w:t>
      </w:r>
      <w:r w:rsidRPr="00FC1444">
        <w:rPr>
          <w:rFonts w:ascii="Times New Roman" w:eastAsiaTheme="minorEastAsia" w:hAnsi="Times New Roman" w:cs="Times New Roman"/>
          <w:color w:val="auto"/>
          <w:kern w:val="0"/>
          <w:sz w:val="24"/>
        </w:rPr>
        <w:t>本项目建设后，</w:t>
      </w:r>
      <w:r w:rsidR="00611CBA" w:rsidRPr="00FC1444">
        <w:rPr>
          <w:rFonts w:ascii="Times New Roman" w:eastAsiaTheme="minorEastAsia" w:hAnsi="Times New Roman" w:cs="Times New Roman"/>
          <w:color w:val="auto"/>
          <w:kern w:val="0"/>
          <w:sz w:val="24"/>
        </w:rPr>
        <w:t>项目区</w:t>
      </w:r>
      <w:r w:rsidR="00B20E72" w:rsidRPr="00FC1444">
        <w:rPr>
          <w:rFonts w:ascii="Times New Roman" w:eastAsiaTheme="minorEastAsia" w:hAnsi="Times New Roman" w:cs="Times New Roman"/>
          <w:color w:val="auto"/>
          <w:kern w:val="0"/>
          <w:sz w:val="24"/>
        </w:rPr>
        <w:t>现有</w:t>
      </w:r>
      <w:r w:rsidR="00611CBA" w:rsidRPr="00FC1444">
        <w:rPr>
          <w:rFonts w:ascii="Times New Roman" w:eastAsiaTheme="minorEastAsia" w:hAnsi="Times New Roman" w:cs="Times New Roman"/>
          <w:color w:val="auto"/>
          <w:sz w:val="24"/>
        </w:rPr>
        <w:t>水田</w:t>
      </w:r>
      <w:r w:rsidR="00B20E72" w:rsidRPr="00FC1444">
        <w:rPr>
          <w:rFonts w:ascii="Times New Roman" w:eastAsiaTheme="minorEastAsia" w:hAnsi="Times New Roman" w:cs="Times New Roman"/>
          <w:color w:val="auto"/>
          <w:sz w:val="24"/>
        </w:rPr>
        <w:t>（</w:t>
      </w:r>
      <w:r w:rsidR="00D622BA" w:rsidRPr="00FC1444">
        <w:rPr>
          <w:rFonts w:ascii="Times New Roman" w:eastAsiaTheme="minorEastAsia" w:hAnsi="Times New Roman" w:cs="Times New Roman"/>
          <w:color w:val="auto"/>
          <w:sz w:val="24"/>
          <w:szCs w:val="21"/>
        </w:rPr>
        <w:t>9.16</w:t>
      </w:r>
      <w:r w:rsidR="00B20E72" w:rsidRPr="00FC1444">
        <w:rPr>
          <w:rFonts w:ascii="Times New Roman" w:eastAsiaTheme="minorEastAsia" w:hAnsi="Times New Roman" w:cs="Times New Roman"/>
          <w:color w:val="auto"/>
          <w:sz w:val="24"/>
          <w:szCs w:val="21"/>
        </w:rPr>
        <w:t>万亩</w:t>
      </w:r>
      <w:r w:rsidR="00B20E72" w:rsidRPr="00FC1444">
        <w:rPr>
          <w:rFonts w:ascii="Times New Roman" w:eastAsiaTheme="minorEastAsia" w:hAnsi="Times New Roman" w:cs="Times New Roman"/>
          <w:color w:val="auto"/>
          <w:sz w:val="24"/>
        </w:rPr>
        <w:t>）</w:t>
      </w:r>
      <w:r w:rsidRPr="00FC1444">
        <w:rPr>
          <w:rFonts w:ascii="Times New Roman" w:eastAsiaTheme="minorEastAsia" w:hAnsi="Times New Roman" w:cs="Times New Roman"/>
          <w:color w:val="auto"/>
          <w:sz w:val="24"/>
        </w:rPr>
        <w:t>仍</w:t>
      </w:r>
      <w:r w:rsidR="00611CBA" w:rsidRPr="00FC1444">
        <w:rPr>
          <w:rFonts w:ascii="Times New Roman" w:eastAsiaTheme="minorEastAsia" w:hAnsi="Times New Roman" w:cs="Times New Roman"/>
          <w:color w:val="auto"/>
          <w:sz w:val="24"/>
        </w:rPr>
        <w:t>利用现有地下水灌溉设施，无地表水取水口，退水口利用现有。</w:t>
      </w:r>
      <w:r w:rsidR="00611CBA" w:rsidRPr="00FC1444">
        <w:rPr>
          <w:rFonts w:ascii="Times New Roman" w:eastAsiaTheme="minorEastAsia" w:hAnsi="Times New Roman" w:cs="Times New Roman"/>
          <w:color w:val="auto"/>
          <w:sz w:val="24"/>
          <w:szCs w:val="21"/>
        </w:rPr>
        <w:t>不新增水田面积</w:t>
      </w:r>
      <w:r w:rsidR="00611CBA" w:rsidRPr="00FC1444">
        <w:rPr>
          <w:rFonts w:ascii="Times New Roman" w:eastAsiaTheme="minorEastAsia" w:hAnsi="Times New Roman" w:cs="Times New Roman"/>
          <w:color w:val="auto"/>
          <w:kern w:val="0"/>
          <w:sz w:val="24"/>
        </w:rPr>
        <w:t>。</w:t>
      </w:r>
      <w:r w:rsidR="00142C81" w:rsidRPr="00FC1444">
        <w:rPr>
          <w:rFonts w:ascii="Times New Roman" w:eastAsiaTheme="minorEastAsia" w:hAnsi="Times New Roman" w:cs="Times New Roman"/>
          <w:color w:val="auto"/>
          <w:sz w:val="24"/>
        </w:rPr>
        <w:t>项目区排水工程已基本形成规模，</w:t>
      </w:r>
      <w:r w:rsidR="00121AC1" w:rsidRPr="00FC1444">
        <w:rPr>
          <w:rFonts w:ascii="Times New Roman" w:eastAsiaTheme="minorEastAsia" w:hAnsi="Times New Roman" w:cs="Times New Roman" w:hint="eastAsia"/>
          <w:color w:val="auto"/>
          <w:sz w:val="24"/>
        </w:rPr>
        <w:t>绥胜片</w:t>
      </w:r>
      <w:r w:rsidR="00142C81" w:rsidRPr="00FC1444">
        <w:rPr>
          <w:rFonts w:ascii="Times New Roman" w:eastAsiaTheme="minorEastAsia" w:hAnsi="Times New Roman" w:cs="Times New Roman"/>
          <w:color w:val="auto"/>
          <w:sz w:val="24"/>
        </w:rPr>
        <w:t>区排水通过</w:t>
      </w:r>
      <w:r w:rsidR="00121AC1" w:rsidRPr="00FC1444">
        <w:rPr>
          <w:rFonts w:ascii="Times New Roman" w:eastAsiaTheme="minorEastAsia" w:hAnsi="Times New Roman" w:cs="Times New Roman" w:hint="eastAsia"/>
          <w:color w:val="auto"/>
          <w:sz w:val="24"/>
        </w:rPr>
        <w:t>绥胜</w:t>
      </w:r>
      <w:r w:rsidR="00121AC1" w:rsidRPr="00FC1444">
        <w:rPr>
          <w:rFonts w:ascii="Times New Roman" w:eastAsiaTheme="minorEastAsia" w:hAnsi="Times New Roman" w:cs="Times New Roman"/>
          <w:color w:val="auto"/>
          <w:sz w:val="24"/>
        </w:rPr>
        <w:t>干</w:t>
      </w:r>
      <w:r w:rsidR="00142C81" w:rsidRPr="00FC1444">
        <w:rPr>
          <w:rFonts w:ascii="Times New Roman" w:eastAsiaTheme="minorEastAsia" w:hAnsi="Times New Roman" w:cs="Times New Roman"/>
          <w:color w:val="auto"/>
          <w:sz w:val="24"/>
        </w:rPr>
        <w:t>沟汇入</w:t>
      </w:r>
      <w:r w:rsidR="00121AC1" w:rsidRPr="00FC1444">
        <w:rPr>
          <w:rFonts w:ascii="Times New Roman" w:eastAsiaTheme="minorEastAsia" w:hAnsi="Times New Roman" w:cs="Times New Roman" w:hint="eastAsia"/>
          <w:color w:val="auto"/>
          <w:sz w:val="24"/>
        </w:rPr>
        <w:t>永安</w:t>
      </w:r>
      <w:r w:rsidR="00121AC1" w:rsidRPr="00FC1444">
        <w:rPr>
          <w:rFonts w:ascii="Times New Roman" w:eastAsiaTheme="minorEastAsia" w:hAnsi="Times New Roman" w:cs="Times New Roman"/>
          <w:color w:val="auto"/>
          <w:sz w:val="24"/>
        </w:rPr>
        <w:t>大排水</w:t>
      </w:r>
      <w:r w:rsidR="00142C81" w:rsidRPr="00FC1444">
        <w:rPr>
          <w:rFonts w:ascii="Times New Roman" w:eastAsiaTheme="minorEastAsia" w:hAnsi="Times New Roman" w:cs="Times New Roman"/>
          <w:color w:val="auto"/>
          <w:sz w:val="24"/>
        </w:rPr>
        <w:t>，最终汇入</w:t>
      </w:r>
      <w:r w:rsidR="00121AC1" w:rsidRPr="00FC1444">
        <w:rPr>
          <w:rFonts w:ascii="Times New Roman" w:eastAsiaTheme="minorEastAsia" w:hAnsi="Times New Roman" w:cs="Times New Roman" w:hint="eastAsia"/>
          <w:color w:val="auto"/>
          <w:sz w:val="24"/>
        </w:rPr>
        <w:t>呼兰河</w:t>
      </w:r>
      <w:r w:rsidR="00142C81" w:rsidRPr="00FC1444">
        <w:rPr>
          <w:rFonts w:ascii="Times New Roman" w:eastAsiaTheme="minorEastAsia" w:hAnsi="Times New Roman" w:cs="Times New Roman"/>
          <w:color w:val="auto"/>
          <w:sz w:val="24"/>
        </w:rPr>
        <w:t>，承泄区为</w:t>
      </w:r>
      <w:r w:rsidR="00121AC1" w:rsidRPr="00FC1444">
        <w:rPr>
          <w:rFonts w:ascii="Times New Roman" w:eastAsiaTheme="minorEastAsia" w:hAnsi="Times New Roman" w:cs="Times New Roman" w:hint="eastAsia"/>
          <w:color w:val="auto"/>
          <w:sz w:val="24"/>
        </w:rPr>
        <w:t>呼兰河</w:t>
      </w:r>
      <w:r w:rsidR="00142C81" w:rsidRPr="00FC1444">
        <w:rPr>
          <w:rFonts w:ascii="Times New Roman" w:eastAsiaTheme="minorEastAsia" w:hAnsi="Times New Roman" w:cs="Times New Roman"/>
          <w:color w:val="auto"/>
          <w:sz w:val="24"/>
        </w:rPr>
        <w:t>。</w:t>
      </w:r>
      <w:r w:rsidR="00121AC1" w:rsidRPr="00FC1444">
        <w:rPr>
          <w:rFonts w:ascii="Times New Roman" w:eastAsiaTheme="minorEastAsia" w:hAnsi="Times New Roman" w:cs="Times New Roman"/>
          <w:color w:val="auto"/>
          <w:sz w:val="24"/>
        </w:rPr>
        <w:t>津河</w:t>
      </w:r>
      <w:r w:rsidR="00121AC1" w:rsidRPr="00FC1444">
        <w:rPr>
          <w:rFonts w:ascii="Times New Roman" w:eastAsiaTheme="minorEastAsia" w:hAnsi="Times New Roman" w:cs="Times New Roman" w:hint="eastAsia"/>
          <w:color w:val="auto"/>
          <w:sz w:val="24"/>
        </w:rPr>
        <w:t>片区</w:t>
      </w:r>
      <w:r w:rsidR="00142C81" w:rsidRPr="00FC1444">
        <w:rPr>
          <w:rFonts w:ascii="Times New Roman" w:eastAsiaTheme="minorEastAsia" w:hAnsi="Times New Roman" w:cs="Times New Roman"/>
          <w:color w:val="auto"/>
          <w:sz w:val="24"/>
        </w:rPr>
        <w:t>排水</w:t>
      </w:r>
      <w:r w:rsidR="009F26BB" w:rsidRPr="00FC1444">
        <w:rPr>
          <w:rFonts w:ascii="Times New Roman" w:eastAsiaTheme="minorEastAsia" w:hAnsi="Times New Roman" w:cs="Times New Roman"/>
          <w:color w:val="auto"/>
          <w:sz w:val="24"/>
        </w:rPr>
        <w:t>通过原有沟汇入</w:t>
      </w:r>
      <w:r w:rsidR="00121AC1" w:rsidRPr="00FC1444">
        <w:rPr>
          <w:rFonts w:ascii="Times New Roman" w:eastAsiaTheme="minorEastAsia" w:hAnsi="Times New Roman" w:cs="Times New Roman"/>
          <w:color w:val="auto"/>
          <w:sz w:val="24"/>
        </w:rPr>
        <w:t>津</w:t>
      </w:r>
      <w:r w:rsidR="009F26BB" w:rsidRPr="00FC1444">
        <w:rPr>
          <w:rFonts w:ascii="Times New Roman" w:eastAsiaTheme="minorEastAsia" w:hAnsi="Times New Roman" w:cs="Times New Roman"/>
          <w:color w:val="auto"/>
          <w:sz w:val="24"/>
        </w:rPr>
        <w:t>河</w:t>
      </w:r>
      <w:r w:rsidR="00142C81" w:rsidRPr="00FC1444">
        <w:rPr>
          <w:rFonts w:ascii="Times New Roman" w:eastAsiaTheme="minorEastAsia" w:hAnsi="Times New Roman" w:cs="Times New Roman"/>
          <w:color w:val="auto"/>
          <w:sz w:val="24"/>
        </w:rPr>
        <w:t>，最终承泄区为</w:t>
      </w:r>
      <w:r w:rsidR="00121AC1" w:rsidRPr="00FC1444">
        <w:rPr>
          <w:rFonts w:ascii="Times New Roman" w:eastAsiaTheme="minorEastAsia" w:hAnsi="Times New Roman" w:cs="Times New Roman"/>
          <w:color w:val="auto"/>
          <w:sz w:val="24"/>
        </w:rPr>
        <w:t>津</w:t>
      </w:r>
      <w:r w:rsidR="00142C81" w:rsidRPr="00FC1444">
        <w:rPr>
          <w:rFonts w:ascii="Times New Roman" w:eastAsiaTheme="minorEastAsia" w:hAnsi="Times New Roman" w:cs="Times New Roman"/>
          <w:color w:val="auto"/>
          <w:sz w:val="24"/>
        </w:rPr>
        <w:t>河。</w:t>
      </w:r>
      <w:r w:rsidR="00121AC1" w:rsidRPr="00FC1444">
        <w:rPr>
          <w:rFonts w:eastAsiaTheme="minorEastAsia"/>
          <w:bCs/>
          <w:color w:val="auto"/>
          <w:sz w:val="24"/>
        </w:rPr>
        <w:t>五营</w:t>
      </w:r>
      <w:r w:rsidR="00121AC1" w:rsidRPr="00FC1444">
        <w:rPr>
          <w:rFonts w:ascii="Times New Roman" w:eastAsiaTheme="minorEastAsia" w:hAnsi="Times New Roman" w:cs="Times New Roman" w:hint="eastAsia"/>
          <w:color w:val="auto"/>
          <w:sz w:val="24"/>
        </w:rPr>
        <w:t>片区</w:t>
      </w:r>
      <w:r w:rsidR="00121AC1" w:rsidRPr="00FC1444">
        <w:rPr>
          <w:rFonts w:ascii="Times New Roman" w:eastAsiaTheme="minorEastAsia" w:hAnsi="Times New Roman" w:cs="Times New Roman"/>
          <w:color w:val="auto"/>
          <w:sz w:val="24"/>
        </w:rPr>
        <w:t>排水通过原有沟汇入</w:t>
      </w:r>
      <w:r w:rsidR="00121AC1" w:rsidRPr="00FC1444">
        <w:rPr>
          <w:rFonts w:ascii="Times New Roman" w:eastAsiaTheme="minorEastAsia" w:hAnsi="Times New Roman" w:cs="Times New Roman" w:hint="eastAsia"/>
          <w:color w:val="auto"/>
          <w:sz w:val="24"/>
        </w:rPr>
        <w:t>呼兰</w:t>
      </w:r>
      <w:r w:rsidR="00121AC1" w:rsidRPr="00FC1444">
        <w:rPr>
          <w:rFonts w:ascii="Times New Roman" w:eastAsiaTheme="minorEastAsia" w:hAnsi="Times New Roman" w:cs="Times New Roman"/>
          <w:color w:val="auto"/>
          <w:sz w:val="24"/>
        </w:rPr>
        <w:t>河，</w:t>
      </w:r>
      <w:r w:rsidR="00121AC1" w:rsidRPr="00FC1444">
        <w:rPr>
          <w:rFonts w:ascii="Times New Roman" w:eastAsiaTheme="minorEastAsia" w:hAnsi="Times New Roman" w:cs="Times New Roman"/>
          <w:color w:val="auto"/>
          <w:sz w:val="24"/>
        </w:rPr>
        <w:lastRenderedPageBreak/>
        <w:t>最终承泄区为</w:t>
      </w:r>
      <w:r w:rsidR="00121AC1" w:rsidRPr="00FC1444">
        <w:rPr>
          <w:rFonts w:ascii="Times New Roman" w:eastAsiaTheme="minorEastAsia" w:hAnsi="Times New Roman" w:cs="Times New Roman" w:hint="eastAsia"/>
          <w:color w:val="auto"/>
          <w:sz w:val="24"/>
        </w:rPr>
        <w:t>呼兰</w:t>
      </w:r>
      <w:r w:rsidR="00121AC1" w:rsidRPr="00FC1444">
        <w:rPr>
          <w:rFonts w:ascii="Times New Roman" w:eastAsiaTheme="minorEastAsia" w:hAnsi="Times New Roman" w:cs="Times New Roman"/>
          <w:color w:val="auto"/>
          <w:sz w:val="24"/>
        </w:rPr>
        <w:t>河。三河</w:t>
      </w:r>
      <w:r w:rsidR="00121AC1" w:rsidRPr="00FC1444">
        <w:rPr>
          <w:rFonts w:ascii="Times New Roman" w:eastAsiaTheme="minorEastAsia" w:hAnsi="Times New Roman" w:cs="Times New Roman" w:hint="eastAsia"/>
          <w:color w:val="auto"/>
          <w:sz w:val="24"/>
        </w:rPr>
        <w:t>片区</w:t>
      </w:r>
      <w:r w:rsidR="00121AC1" w:rsidRPr="00FC1444">
        <w:rPr>
          <w:rFonts w:ascii="Times New Roman" w:eastAsiaTheme="minorEastAsia" w:hAnsi="Times New Roman" w:cs="Times New Roman"/>
          <w:color w:val="auto"/>
          <w:sz w:val="24"/>
        </w:rPr>
        <w:t>排水通过原有沟汇入</w:t>
      </w:r>
      <w:r w:rsidR="00121AC1" w:rsidRPr="00FC1444">
        <w:rPr>
          <w:rFonts w:ascii="Times New Roman" w:eastAsiaTheme="minorEastAsia" w:hAnsi="Times New Roman" w:cs="Times New Roman" w:hint="eastAsia"/>
          <w:color w:val="auto"/>
          <w:sz w:val="24"/>
        </w:rPr>
        <w:t>努敏</w:t>
      </w:r>
      <w:r w:rsidR="00121AC1" w:rsidRPr="00FC1444">
        <w:rPr>
          <w:rFonts w:ascii="Times New Roman" w:eastAsiaTheme="minorEastAsia" w:hAnsi="Times New Roman" w:cs="Times New Roman"/>
          <w:color w:val="auto"/>
          <w:sz w:val="24"/>
        </w:rPr>
        <w:t>河，最终承泄区为</w:t>
      </w:r>
      <w:r w:rsidR="00121AC1" w:rsidRPr="00FC1444">
        <w:rPr>
          <w:rFonts w:ascii="Times New Roman" w:eastAsiaTheme="minorEastAsia" w:hAnsi="Times New Roman" w:cs="Times New Roman" w:hint="eastAsia"/>
          <w:color w:val="auto"/>
          <w:sz w:val="24"/>
        </w:rPr>
        <w:t>努敏</w:t>
      </w:r>
      <w:r w:rsidR="00121AC1" w:rsidRPr="00FC1444">
        <w:rPr>
          <w:rFonts w:ascii="Times New Roman" w:eastAsiaTheme="minorEastAsia" w:hAnsi="Times New Roman" w:cs="Times New Roman"/>
          <w:color w:val="auto"/>
          <w:sz w:val="24"/>
        </w:rPr>
        <w:t>河。</w:t>
      </w:r>
      <w:r w:rsidR="00AC69F4" w:rsidRPr="00FC1444">
        <w:rPr>
          <w:rFonts w:ascii="Times New Roman" w:eastAsiaTheme="minorEastAsia" w:hAnsi="Times New Roman" w:cs="Times New Roman"/>
          <w:color w:val="auto"/>
          <w:sz w:val="24"/>
          <w:szCs w:val="24"/>
        </w:rPr>
        <w:t>现有退水口位于绥胜干沟、原有沟。</w:t>
      </w:r>
    </w:p>
    <w:p w:rsidR="008A40AD" w:rsidRPr="00FC1444" w:rsidRDefault="008A40AD" w:rsidP="008A40AD">
      <w:pPr>
        <w:pStyle w:val="1120"/>
        <w:spacing w:line="360" w:lineRule="auto"/>
        <w:ind w:firstLine="480"/>
        <w:rPr>
          <w:rFonts w:ascii="Times New Roman" w:eastAsiaTheme="minorEastAsia" w:hAnsi="Times New Roman" w:cs="Times New Roman"/>
          <w:color w:val="auto"/>
          <w:sz w:val="24"/>
          <w:szCs w:val="24"/>
        </w:rPr>
      </w:pPr>
      <w:r w:rsidRPr="00FC1444">
        <w:rPr>
          <w:rFonts w:ascii="Times New Roman" w:eastAsiaTheme="minorEastAsia" w:hAnsi="Times New Roman" w:cs="Times New Roman"/>
          <w:color w:val="auto"/>
          <w:sz w:val="24"/>
          <w:szCs w:val="24"/>
        </w:rPr>
        <w:t>本项目建设前，渠系渗漏、格田高低不平，灌水深浅不均，高处缺水脱肥、低处积水肥料随渗流</w:t>
      </w:r>
      <w:r w:rsidR="003F09B6"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退水流失，</w:t>
      </w:r>
      <w:r w:rsidR="003F09B6" w:rsidRPr="00FC1444">
        <w:rPr>
          <w:rFonts w:ascii="Times New Roman" w:eastAsiaTheme="minorEastAsia" w:hAnsi="Times New Roman" w:cs="Times New Roman"/>
          <w:color w:val="auto"/>
          <w:sz w:val="24"/>
          <w:szCs w:val="24"/>
        </w:rPr>
        <w:t>为保证作物长势，农户普遍超量追肥</w:t>
      </w:r>
      <w:r w:rsidRPr="00FC1444">
        <w:rPr>
          <w:rFonts w:ascii="Times New Roman" w:eastAsiaTheme="minorEastAsia" w:hAnsi="Times New Roman" w:cs="Times New Roman"/>
          <w:color w:val="auto"/>
          <w:sz w:val="24"/>
          <w:szCs w:val="24"/>
        </w:rPr>
        <w:t>弥补肥料流失。本项目建成后，采取</w:t>
      </w: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三减</w:t>
      </w: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措施，</w:t>
      </w:r>
      <w:r w:rsidR="003F09B6" w:rsidRPr="00FC1444">
        <w:rPr>
          <w:rFonts w:ascii="Times New Roman" w:eastAsiaTheme="minorEastAsia" w:hAnsi="Times New Roman" w:cs="Times New Roman"/>
          <w:color w:val="auto"/>
          <w:sz w:val="24"/>
          <w:szCs w:val="24"/>
        </w:rPr>
        <w:t>进行</w:t>
      </w:r>
      <w:r w:rsidRPr="00FC1444">
        <w:rPr>
          <w:rFonts w:ascii="Times New Roman" w:eastAsiaTheme="minorEastAsia" w:hAnsi="Times New Roman" w:cs="Times New Roman"/>
          <w:color w:val="auto"/>
          <w:sz w:val="24"/>
          <w:szCs w:val="24"/>
        </w:rPr>
        <w:t>土地平整，格田水深均匀，肥料在田间均匀分布，无局部脱肥，基础施肥量下调，防渗渠、配套闸阀减少输水渗漏，田间无大量冗余排水，田间排水量减少，化肥滞留土壤供作物吸收，氮磷利用率提升，氮磷随田间退水流失量大幅降低，保水能力增强，土壤水肥滞留时间延长，根系吸收利用率上升，同等产量下化肥总投入减少。</w:t>
      </w:r>
    </w:p>
    <w:p w:rsidR="002A5A5E" w:rsidRPr="00FC1444" w:rsidRDefault="008A40AD" w:rsidP="008A40AD">
      <w:pPr>
        <w:pStyle w:val="1120"/>
        <w:spacing w:line="360" w:lineRule="auto"/>
        <w:ind w:firstLine="480"/>
        <w:rPr>
          <w:rFonts w:ascii="Times New Roman" w:hAnsi="Times New Roman" w:cs="Times New Roman"/>
          <w:b/>
          <w:color w:val="auto"/>
        </w:rPr>
      </w:pPr>
      <w:r w:rsidRPr="00FC1444">
        <w:rPr>
          <w:rFonts w:ascii="Times New Roman" w:eastAsiaTheme="minorEastAsia" w:hAnsi="Times New Roman" w:cs="Times New Roman"/>
          <w:color w:val="auto"/>
          <w:sz w:val="24"/>
          <w:szCs w:val="24"/>
        </w:rPr>
        <w:t>本项目建设后现有水田灌溉方式不变</w:t>
      </w:r>
      <w:r w:rsidR="00936B77"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通过格田改造、土地平整等</w:t>
      </w:r>
      <w:r w:rsidR="003F09B6" w:rsidRPr="00FC1444">
        <w:rPr>
          <w:rFonts w:ascii="Times New Roman" w:eastAsiaTheme="minorEastAsia" w:hAnsi="Times New Roman" w:cs="Times New Roman"/>
          <w:color w:val="auto"/>
          <w:sz w:val="24"/>
          <w:szCs w:val="24"/>
        </w:rPr>
        <w:t>工程，</w:t>
      </w:r>
      <w:r w:rsidRPr="00FC1444">
        <w:rPr>
          <w:rFonts w:ascii="Times New Roman" w:eastAsiaTheme="minorEastAsia" w:hAnsi="Times New Roman" w:cs="Times New Roman"/>
          <w:color w:val="auto"/>
          <w:sz w:val="24"/>
          <w:szCs w:val="24"/>
        </w:rPr>
        <w:t>减少池埂占地面积，</w:t>
      </w:r>
      <w:r w:rsidR="00936B77" w:rsidRPr="00FC1444">
        <w:rPr>
          <w:rFonts w:ascii="Times New Roman" w:eastAsiaTheme="minorEastAsia" w:hAnsi="Times New Roman" w:cs="Times New Roman"/>
          <w:color w:val="auto"/>
          <w:sz w:val="24"/>
          <w:szCs w:val="24"/>
        </w:rPr>
        <w:t>减少田面不均补水，</w:t>
      </w:r>
      <w:r w:rsidRPr="00FC1444">
        <w:rPr>
          <w:rFonts w:ascii="Times New Roman" w:eastAsiaTheme="minorEastAsia" w:hAnsi="Times New Roman" w:cs="Times New Roman"/>
          <w:color w:val="auto"/>
          <w:sz w:val="24"/>
          <w:szCs w:val="24"/>
        </w:rPr>
        <w:t>提高农田保水能力，并且由于渠系配套完善，减少引水的跑冒滴漏，</w:t>
      </w:r>
      <w:r w:rsidR="00936B77" w:rsidRPr="00FC1444">
        <w:rPr>
          <w:rFonts w:ascii="Times New Roman" w:eastAsiaTheme="minorEastAsia" w:hAnsi="Times New Roman" w:cs="Times New Roman"/>
          <w:color w:val="auto"/>
          <w:sz w:val="24"/>
          <w:szCs w:val="24"/>
        </w:rPr>
        <w:t>消除高低不平造成的漫灌溢水、不均匀渗漏，减少田面弃水和无效深层渗漏。</w:t>
      </w:r>
      <w:r w:rsidRPr="00FC1444">
        <w:rPr>
          <w:rFonts w:ascii="Times New Roman" w:eastAsiaTheme="minorEastAsia" w:hAnsi="Times New Roman" w:cs="Times New Roman"/>
          <w:color w:val="auto"/>
          <w:sz w:val="24"/>
          <w:szCs w:val="24"/>
        </w:rPr>
        <w:t>水利用系数由</w:t>
      </w:r>
      <w:r w:rsidRPr="00FC1444">
        <w:rPr>
          <w:rFonts w:ascii="Times New Roman" w:eastAsiaTheme="minorEastAsia" w:hAnsi="Times New Roman" w:cs="Times New Roman"/>
          <w:color w:val="auto"/>
          <w:sz w:val="24"/>
          <w:szCs w:val="24"/>
        </w:rPr>
        <w:t>0.67</w:t>
      </w:r>
      <w:r w:rsidRPr="00FC1444">
        <w:rPr>
          <w:rFonts w:ascii="Times New Roman" w:eastAsiaTheme="minorEastAsia" w:hAnsi="Times New Roman" w:cs="Times New Roman"/>
          <w:color w:val="auto"/>
          <w:sz w:val="24"/>
          <w:szCs w:val="24"/>
        </w:rPr>
        <w:t>提升至</w:t>
      </w:r>
      <w:r w:rsidRPr="00FC1444">
        <w:rPr>
          <w:rFonts w:ascii="Times New Roman" w:eastAsiaTheme="minorEastAsia" w:hAnsi="Times New Roman" w:cs="Times New Roman"/>
          <w:color w:val="auto"/>
          <w:sz w:val="24"/>
          <w:szCs w:val="24"/>
        </w:rPr>
        <w:t>0.</w:t>
      </w:r>
      <w:r w:rsidR="00936B77" w:rsidRPr="00FC1444">
        <w:rPr>
          <w:rFonts w:ascii="Times New Roman" w:eastAsiaTheme="minorEastAsia" w:hAnsi="Times New Roman" w:cs="Times New Roman"/>
          <w:color w:val="auto"/>
          <w:sz w:val="24"/>
          <w:szCs w:val="24"/>
        </w:rPr>
        <w:t>7</w:t>
      </w:r>
      <w:r w:rsidRPr="00FC1444">
        <w:rPr>
          <w:rFonts w:ascii="Times New Roman" w:eastAsiaTheme="minorEastAsia" w:hAnsi="Times New Roman" w:cs="Times New Roman"/>
          <w:color w:val="auto"/>
          <w:sz w:val="24"/>
          <w:szCs w:val="24"/>
        </w:rPr>
        <w:t>，退水系数由</w:t>
      </w:r>
      <w:r w:rsidRPr="00FC1444">
        <w:rPr>
          <w:rFonts w:ascii="Times New Roman" w:eastAsiaTheme="minorEastAsia" w:hAnsi="Times New Roman" w:cs="Times New Roman"/>
          <w:color w:val="auto"/>
          <w:sz w:val="24"/>
          <w:szCs w:val="24"/>
        </w:rPr>
        <w:t>0.2</w:t>
      </w:r>
      <w:r w:rsidRPr="00FC1444">
        <w:rPr>
          <w:rFonts w:ascii="Times New Roman" w:eastAsiaTheme="minorEastAsia" w:hAnsi="Times New Roman" w:cs="Times New Roman"/>
          <w:color w:val="auto"/>
          <w:sz w:val="24"/>
          <w:szCs w:val="24"/>
        </w:rPr>
        <w:t>降至</w:t>
      </w:r>
      <w:r w:rsidRPr="00FC1444">
        <w:rPr>
          <w:rFonts w:ascii="Times New Roman" w:eastAsiaTheme="minorEastAsia" w:hAnsi="Times New Roman" w:cs="Times New Roman"/>
          <w:color w:val="auto"/>
          <w:sz w:val="24"/>
          <w:szCs w:val="24"/>
        </w:rPr>
        <w:t>0.15</w:t>
      </w:r>
      <w:r w:rsidRPr="00FC1444">
        <w:rPr>
          <w:rFonts w:ascii="Times New Roman" w:eastAsiaTheme="minorEastAsia" w:hAnsi="Times New Roman" w:cs="Times New Roman"/>
          <w:color w:val="auto"/>
          <w:sz w:val="24"/>
          <w:szCs w:val="24"/>
        </w:rPr>
        <w:t>，</w:t>
      </w:r>
      <w:r w:rsidR="00E008D1" w:rsidRPr="00FC1444">
        <w:rPr>
          <w:rFonts w:ascii="Times New Roman" w:eastAsiaTheme="minorEastAsia" w:hAnsi="Times New Roman" w:cs="Times New Roman"/>
          <w:color w:val="auto"/>
          <w:sz w:val="24"/>
          <w:szCs w:val="24"/>
        </w:rPr>
        <w:t>项目建成后灌区年退水量与现状相比减少</w:t>
      </w:r>
      <w:r w:rsidR="00E008D1" w:rsidRPr="00FC1444">
        <w:rPr>
          <w:rFonts w:ascii="Times New Roman" w:eastAsiaTheme="minorEastAsia" w:hAnsi="Times New Roman" w:cs="Times New Roman"/>
          <w:color w:val="auto"/>
          <w:sz w:val="24"/>
          <w:szCs w:val="24"/>
        </w:rPr>
        <w:t>431</w:t>
      </w:r>
      <w:r w:rsidR="00E008D1" w:rsidRPr="00FC1444">
        <w:rPr>
          <w:rFonts w:ascii="Times New Roman" w:eastAsiaTheme="minorEastAsia" w:hAnsi="Times New Roman" w:cs="Times New Roman"/>
          <w:color w:val="auto"/>
          <w:sz w:val="24"/>
          <w:szCs w:val="24"/>
        </w:rPr>
        <w:t>万</w:t>
      </w:r>
      <w:r w:rsidRPr="00FC1444">
        <w:rPr>
          <w:rFonts w:ascii="Times New Roman" w:eastAsiaTheme="minorEastAsia" w:hAnsi="Times New Roman" w:cs="Times New Roman"/>
          <w:color w:val="auto"/>
          <w:sz w:val="24"/>
          <w:szCs w:val="24"/>
        </w:rPr>
        <w:t>m</w:t>
      </w:r>
      <w:r w:rsidRPr="00FC1444">
        <w:rPr>
          <w:rFonts w:ascii="Times New Roman" w:eastAsiaTheme="minorEastAsia" w:hAnsi="Times New Roman" w:cs="Times New Roman"/>
          <w:color w:val="auto"/>
          <w:sz w:val="24"/>
          <w:szCs w:val="24"/>
          <w:vertAlign w:val="superscript"/>
        </w:rPr>
        <w:t>3</w:t>
      </w:r>
      <w:r w:rsidRPr="00FC1444">
        <w:rPr>
          <w:rFonts w:ascii="Times New Roman" w:eastAsiaTheme="minorEastAsia" w:hAnsi="Times New Roman" w:cs="Times New Roman"/>
          <w:color w:val="auto"/>
          <w:sz w:val="24"/>
          <w:szCs w:val="24"/>
        </w:rPr>
        <w:t>。</w:t>
      </w:r>
      <w:r w:rsidR="00611CBA" w:rsidRPr="00FC1444">
        <w:rPr>
          <w:rFonts w:ascii="Times New Roman" w:eastAsiaTheme="minorEastAsia" w:hAnsi="Times New Roman" w:cs="Times New Roman"/>
          <w:color w:val="auto"/>
          <w:sz w:val="24"/>
          <w:szCs w:val="24"/>
        </w:rPr>
        <w:t>相应污染物入河量与现状相比也有一定程度的削减，</w:t>
      </w:r>
      <w:r w:rsidR="00C341EA" w:rsidRPr="00FC1444">
        <w:rPr>
          <w:rFonts w:ascii="Times New Roman" w:eastAsiaTheme="minorEastAsia" w:hAnsi="Times New Roman" w:cs="Times New Roman"/>
          <w:bCs/>
          <w:color w:val="auto"/>
          <w:sz w:val="24"/>
          <w:szCs w:val="24"/>
        </w:rPr>
        <w:t>COD</w:t>
      </w:r>
      <w:r w:rsidR="00C341EA" w:rsidRPr="00FC1444">
        <w:rPr>
          <w:rFonts w:ascii="Times New Roman" w:eastAsiaTheme="minorEastAsia" w:hAnsi="Times New Roman" w:cs="Times New Roman"/>
          <w:bCs/>
          <w:color w:val="auto"/>
          <w:sz w:val="24"/>
          <w:szCs w:val="24"/>
        </w:rPr>
        <w:t>、氨氮、总磷及总氮排放量分别减少</w:t>
      </w:r>
      <w:r w:rsidR="00C341EA" w:rsidRPr="00FC1444">
        <w:rPr>
          <w:rFonts w:ascii="Times New Roman" w:eastAsiaTheme="minorEastAsia" w:hAnsi="Times New Roman" w:cs="Times New Roman"/>
          <w:bCs/>
          <w:color w:val="auto"/>
          <w:sz w:val="24"/>
          <w:szCs w:val="24"/>
        </w:rPr>
        <w:t>227.137t/a</w:t>
      </w:r>
      <w:r w:rsidR="00C341EA" w:rsidRPr="00FC1444">
        <w:rPr>
          <w:rFonts w:ascii="Times New Roman" w:eastAsiaTheme="minorEastAsia" w:hAnsi="Times New Roman" w:cs="Times New Roman"/>
          <w:bCs/>
          <w:color w:val="auto"/>
          <w:sz w:val="24"/>
          <w:szCs w:val="24"/>
        </w:rPr>
        <w:t>、</w:t>
      </w:r>
      <w:r w:rsidR="00C341EA" w:rsidRPr="00FC1444">
        <w:rPr>
          <w:rFonts w:ascii="Times New Roman" w:eastAsiaTheme="minorEastAsia" w:hAnsi="Times New Roman" w:cs="Times New Roman"/>
          <w:bCs/>
          <w:color w:val="auto"/>
          <w:sz w:val="24"/>
          <w:szCs w:val="24"/>
        </w:rPr>
        <w:t>5.431t/a</w:t>
      </w:r>
      <w:r w:rsidR="00C341EA" w:rsidRPr="00FC1444">
        <w:rPr>
          <w:rFonts w:ascii="Times New Roman" w:eastAsiaTheme="minorEastAsia" w:hAnsi="Times New Roman" w:cs="Times New Roman"/>
          <w:bCs/>
          <w:color w:val="auto"/>
          <w:sz w:val="24"/>
          <w:szCs w:val="24"/>
        </w:rPr>
        <w:t>、</w:t>
      </w:r>
      <w:r w:rsidR="00C341EA" w:rsidRPr="00FC1444">
        <w:rPr>
          <w:rFonts w:ascii="Times New Roman" w:eastAsiaTheme="minorEastAsia" w:hAnsi="Times New Roman" w:cs="Times New Roman"/>
          <w:bCs/>
          <w:color w:val="auto"/>
          <w:sz w:val="24"/>
          <w:szCs w:val="24"/>
        </w:rPr>
        <w:t>7.93t/a</w:t>
      </w:r>
      <w:r w:rsidR="00C341EA" w:rsidRPr="00FC1444">
        <w:rPr>
          <w:rFonts w:ascii="Times New Roman" w:eastAsiaTheme="minorEastAsia" w:hAnsi="Times New Roman" w:cs="Times New Roman"/>
          <w:bCs/>
          <w:color w:val="auto"/>
          <w:sz w:val="24"/>
          <w:szCs w:val="24"/>
        </w:rPr>
        <w:t>、</w:t>
      </w:r>
      <w:r w:rsidR="00C341EA" w:rsidRPr="00FC1444">
        <w:rPr>
          <w:rFonts w:ascii="Times New Roman" w:eastAsiaTheme="minorEastAsia" w:hAnsi="Times New Roman" w:cs="Times New Roman"/>
          <w:bCs/>
          <w:color w:val="auto"/>
          <w:sz w:val="24"/>
          <w:szCs w:val="24"/>
        </w:rPr>
        <w:t>18.102t/a</w:t>
      </w:r>
      <w:r w:rsidR="00C341EA" w:rsidRPr="00FC1444">
        <w:rPr>
          <w:rFonts w:ascii="Times New Roman" w:eastAsiaTheme="minorEastAsia" w:hAnsi="Times New Roman" w:cs="Times New Roman"/>
          <w:bCs/>
          <w:color w:val="auto"/>
          <w:sz w:val="24"/>
          <w:szCs w:val="24"/>
        </w:rPr>
        <w:t>。</w:t>
      </w:r>
      <w:r w:rsidR="00E456D6" w:rsidRPr="00FC1444">
        <w:rPr>
          <w:rFonts w:ascii="Times New Roman" w:eastAsiaTheme="minorEastAsia" w:hAnsi="Times New Roman" w:cs="Times New Roman"/>
          <w:color w:val="auto"/>
          <w:sz w:val="24"/>
        </w:rPr>
        <w:t>故工程实施后对呼兰河、津河及努敏河水质、水生生态环境起到一定改善作用</w:t>
      </w:r>
      <w:r w:rsidR="00611CBA" w:rsidRPr="00FC1444">
        <w:rPr>
          <w:rFonts w:ascii="Times New Roman" w:eastAsiaTheme="minorEastAsia" w:hAnsi="Times New Roman" w:cs="Times New Roman"/>
          <w:color w:val="auto"/>
          <w:sz w:val="24"/>
        </w:rPr>
        <w:t>。</w:t>
      </w:r>
    </w:p>
    <w:p w:rsidR="0036407E" w:rsidRPr="00FC1444" w:rsidRDefault="0036407E" w:rsidP="0036407E">
      <w:pPr>
        <w:spacing w:line="360" w:lineRule="auto"/>
        <w:ind w:firstLineChars="200" w:firstLine="480"/>
        <w:contextualSpacing/>
        <w:rPr>
          <w:rFonts w:eastAsiaTheme="minorEastAsia"/>
          <w:bCs/>
          <w:snapToGrid w:val="0"/>
          <w:kern w:val="0"/>
          <w:sz w:val="24"/>
        </w:rPr>
      </w:pPr>
      <w:r w:rsidRPr="00FC1444">
        <w:rPr>
          <w:rFonts w:eastAsiaTheme="minorEastAsia"/>
          <w:sz w:val="24"/>
        </w:rPr>
        <w:t>（</w:t>
      </w:r>
      <w:r w:rsidRPr="00FC1444">
        <w:rPr>
          <w:rFonts w:eastAsiaTheme="minorEastAsia"/>
          <w:sz w:val="24"/>
        </w:rPr>
        <w:t>3</w:t>
      </w:r>
      <w:r w:rsidRPr="00FC1444">
        <w:rPr>
          <w:rFonts w:eastAsiaTheme="minorEastAsia"/>
          <w:sz w:val="24"/>
        </w:rPr>
        <w:t>）</w:t>
      </w:r>
      <w:r w:rsidR="00611CBA" w:rsidRPr="00FC1444">
        <w:rPr>
          <w:rFonts w:eastAsiaTheme="minorEastAsia"/>
          <w:sz w:val="24"/>
        </w:rPr>
        <w:t>区域生态环境</w:t>
      </w:r>
      <w:r w:rsidRPr="00FC1444">
        <w:rPr>
          <w:rFonts w:eastAsiaTheme="minorEastAsia"/>
          <w:sz w:val="24"/>
        </w:rPr>
        <w:t>敏感程度</w:t>
      </w:r>
      <w:r w:rsidR="00611CBA" w:rsidRPr="00FC1444">
        <w:rPr>
          <w:rFonts w:eastAsiaTheme="minorEastAsia"/>
          <w:sz w:val="24"/>
        </w:rPr>
        <w:t>：根据黑龙江省生态环境分区管控数据应用平台出具的《</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00611CBA" w:rsidRPr="00FC1444">
        <w:rPr>
          <w:rFonts w:eastAsiaTheme="minorEastAsia"/>
          <w:sz w:val="24"/>
        </w:rPr>
        <w:t>生态环境分区管控分析报告》可见，本项目工程占地及评价区域内不涉及生态保护红线、</w:t>
      </w:r>
      <w:r w:rsidR="00611CBA" w:rsidRPr="00FC1444">
        <w:rPr>
          <w:rFonts w:eastAsiaTheme="minorEastAsia"/>
          <w:snapToGrid w:val="0"/>
          <w:sz w:val="24"/>
        </w:rPr>
        <w:t>国家、省、市重点保护文物、濒危珍稀动植物、森林公园、地质公园、天然林、公益林、重要湿地等生态保护目标。现有退水路线不涉及重要水生生物的自然产卵场、索饵场、越冬场和洄游通道。</w:t>
      </w:r>
    </w:p>
    <w:p w:rsidR="002A5A5E" w:rsidRPr="00FC1444" w:rsidRDefault="0036407E">
      <w:pPr>
        <w:spacing w:line="360" w:lineRule="auto"/>
        <w:ind w:firstLineChars="200" w:firstLine="480"/>
        <w:contextualSpacing/>
        <w:rPr>
          <w:rFonts w:eastAsiaTheme="minorEastAsia"/>
          <w:bCs/>
          <w:snapToGrid w:val="0"/>
          <w:kern w:val="0"/>
          <w:sz w:val="24"/>
        </w:rPr>
      </w:pPr>
      <w:r w:rsidRPr="00FC1444">
        <w:rPr>
          <w:rFonts w:eastAsiaTheme="minorEastAsia"/>
          <w:bCs/>
          <w:snapToGrid w:val="0"/>
          <w:kern w:val="0"/>
          <w:sz w:val="24"/>
        </w:rPr>
        <w:t>（</w:t>
      </w:r>
      <w:r w:rsidRPr="00FC1444">
        <w:rPr>
          <w:rFonts w:eastAsiaTheme="minorEastAsia"/>
          <w:bCs/>
          <w:snapToGrid w:val="0"/>
          <w:kern w:val="0"/>
          <w:sz w:val="24"/>
        </w:rPr>
        <w:t>4</w:t>
      </w:r>
      <w:r w:rsidRPr="00FC1444">
        <w:rPr>
          <w:rFonts w:eastAsiaTheme="minorEastAsia"/>
          <w:bCs/>
          <w:snapToGrid w:val="0"/>
          <w:kern w:val="0"/>
          <w:sz w:val="24"/>
        </w:rPr>
        <w:t>）</w:t>
      </w:r>
      <w:r w:rsidR="00611CBA" w:rsidRPr="00FC1444">
        <w:rPr>
          <w:rFonts w:eastAsiaTheme="minorEastAsia"/>
          <w:bCs/>
          <w:snapToGrid w:val="0"/>
          <w:kern w:val="0"/>
          <w:sz w:val="24"/>
        </w:rPr>
        <w:t>施工</w:t>
      </w:r>
      <w:r w:rsidR="00DF220A" w:rsidRPr="00FC1444">
        <w:rPr>
          <w:rFonts w:eastAsiaTheme="minorEastAsia"/>
          <w:bCs/>
          <w:snapToGrid w:val="0"/>
          <w:kern w:val="0"/>
          <w:sz w:val="24"/>
        </w:rPr>
        <w:t>工艺</w:t>
      </w:r>
      <w:r w:rsidR="00611CBA" w:rsidRPr="00FC1444">
        <w:rPr>
          <w:rFonts w:eastAsiaTheme="minorEastAsia"/>
          <w:bCs/>
          <w:snapToGrid w:val="0"/>
          <w:kern w:val="0"/>
          <w:sz w:val="24"/>
        </w:rPr>
        <w:t>：本项目各工程施工</w:t>
      </w:r>
      <w:r w:rsidR="00611CBA" w:rsidRPr="00FC1444">
        <w:rPr>
          <w:rFonts w:eastAsiaTheme="minorEastAsia"/>
          <w:sz w:val="24"/>
        </w:rPr>
        <w:t>方式为机械及人工相结合。</w:t>
      </w:r>
    </w:p>
    <w:p w:rsidR="002A5A5E" w:rsidRPr="00FC1444" w:rsidRDefault="0036407E">
      <w:pPr>
        <w:spacing w:line="360" w:lineRule="auto"/>
        <w:ind w:firstLineChars="200" w:firstLine="480"/>
        <w:contextualSpacing/>
        <w:rPr>
          <w:rFonts w:eastAsiaTheme="minorEastAsia"/>
          <w:snapToGrid w:val="0"/>
          <w:sz w:val="24"/>
        </w:rPr>
      </w:pPr>
      <w:r w:rsidRPr="00FC1444">
        <w:rPr>
          <w:rFonts w:eastAsiaTheme="minorEastAsia"/>
          <w:bCs/>
          <w:snapToGrid w:val="0"/>
          <w:kern w:val="0"/>
          <w:sz w:val="24"/>
        </w:rPr>
        <w:t>（</w:t>
      </w:r>
      <w:r w:rsidRPr="00FC1444">
        <w:rPr>
          <w:rFonts w:eastAsiaTheme="minorEastAsia"/>
          <w:bCs/>
          <w:snapToGrid w:val="0"/>
          <w:kern w:val="0"/>
          <w:sz w:val="24"/>
        </w:rPr>
        <w:t>5</w:t>
      </w:r>
      <w:r w:rsidRPr="00FC1444">
        <w:rPr>
          <w:rFonts w:eastAsiaTheme="minorEastAsia"/>
          <w:bCs/>
          <w:snapToGrid w:val="0"/>
          <w:kern w:val="0"/>
          <w:sz w:val="24"/>
        </w:rPr>
        <w:t>）</w:t>
      </w:r>
      <w:r w:rsidR="00611CBA" w:rsidRPr="00FC1444">
        <w:rPr>
          <w:rFonts w:eastAsiaTheme="minorEastAsia"/>
          <w:bCs/>
          <w:snapToGrid w:val="0"/>
          <w:kern w:val="0"/>
          <w:sz w:val="24"/>
        </w:rPr>
        <w:t>施工占地：</w:t>
      </w:r>
      <w:r w:rsidR="004E26F5" w:rsidRPr="00FC1444">
        <w:rPr>
          <w:rFonts w:eastAsiaTheme="minorEastAsia"/>
          <w:kern w:val="0"/>
          <w:sz w:val="24"/>
        </w:rPr>
        <w:t>本工程尽可能减少占地。</w:t>
      </w:r>
      <w:r w:rsidR="00611CBA" w:rsidRPr="00FC1444">
        <w:rPr>
          <w:rFonts w:eastAsiaTheme="minorEastAsia"/>
          <w:bCs/>
          <w:snapToGrid w:val="0"/>
          <w:kern w:val="0"/>
          <w:sz w:val="24"/>
        </w:rPr>
        <w:t>本项目永久占地主要</w:t>
      </w:r>
      <w:r w:rsidR="0097424D" w:rsidRPr="00FC1444">
        <w:rPr>
          <w:rFonts w:eastAsiaTheme="minorEastAsia"/>
          <w:bCs/>
          <w:snapToGrid w:val="0"/>
          <w:kern w:val="0"/>
          <w:sz w:val="24"/>
        </w:rPr>
        <w:t>包括田间道路工程、灌溉和排水工程、田块整治工程、农田输配电工程</w:t>
      </w:r>
      <w:r w:rsidR="00D622BA" w:rsidRPr="00FC1444">
        <w:rPr>
          <w:rFonts w:eastAsiaTheme="minorEastAsia"/>
          <w:bCs/>
          <w:snapToGrid w:val="0"/>
          <w:kern w:val="0"/>
          <w:sz w:val="24"/>
        </w:rPr>
        <w:t>、</w:t>
      </w:r>
      <w:r w:rsidR="00D622BA" w:rsidRPr="00FC1444">
        <w:rPr>
          <w:rFonts w:eastAsiaTheme="minorEastAsia"/>
          <w:sz w:val="24"/>
        </w:rPr>
        <w:t>农田防护及生态环境保护工程</w:t>
      </w:r>
      <w:r w:rsidR="00611CBA" w:rsidRPr="00FC1444">
        <w:rPr>
          <w:rFonts w:eastAsiaTheme="minorEastAsia"/>
          <w:bCs/>
          <w:snapToGrid w:val="0"/>
          <w:kern w:val="0"/>
          <w:sz w:val="24"/>
        </w:rPr>
        <w:t>占地。</w:t>
      </w:r>
      <w:r w:rsidR="00611CBA" w:rsidRPr="00FC1444">
        <w:rPr>
          <w:rFonts w:eastAsiaTheme="minorEastAsia"/>
          <w:kern w:val="0"/>
          <w:sz w:val="24"/>
        </w:rPr>
        <w:t>本项目为高标准农田建设项目，为农业建设项目，无法避让基本农田。</w:t>
      </w:r>
      <w:r w:rsidR="00611CBA" w:rsidRPr="00FC1444">
        <w:rPr>
          <w:rFonts w:eastAsiaTheme="minorEastAsia"/>
          <w:bCs/>
          <w:snapToGrid w:val="0"/>
          <w:kern w:val="0"/>
          <w:sz w:val="24"/>
        </w:rPr>
        <w:t>田间道路工程在原有道路上铺设，现有灌溉渠</w:t>
      </w:r>
      <w:r w:rsidR="00121DFD" w:rsidRPr="00FC1444">
        <w:rPr>
          <w:rFonts w:eastAsiaTheme="minorEastAsia"/>
          <w:bCs/>
          <w:snapToGrid w:val="0"/>
          <w:kern w:val="0"/>
          <w:sz w:val="24"/>
        </w:rPr>
        <w:t>道衬砌，现有</w:t>
      </w:r>
      <w:r w:rsidRPr="00FC1444">
        <w:rPr>
          <w:rFonts w:eastAsiaTheme="minorEastAsia"/>
          <w:bCs/>
          <w:snapToGrid w:val="0"/>
          <w:kern w:val="0"/>
          <w:sz w:val="24"/>
        </w:rPr>
        <w:t>排水沟（农沟）清淤长度</w:t>
      </w:r>
      <w:r w:rsidR="009A7624" w:rsidRPr="00FC1444">
        <w:rPr>
          <w:rFonts w:eastAsiaTheme="minorEastAsia"/>
          <w:bCs/>
          <w:snapToGrid w:val="0"/>
          <w:kern w:val="0"/>
          <w:sz w:val="24"/>
        </w:rPr>
        <w:t>40.638km</w:t>
      </w:r>
      <w:r w:rsidRPr="00FC1444">
        <w:rPr>
          <w:rFonts w:eastAsiaTheme="minorEastAsia"/>
          <w:bCs/>
          <w:snapToGrid w:val="0"/>
          <w:kern w:val="0"/>
          <w:sz w:val="24"/>
        </w:rPr>
        <w:t>；清淤深度约为</w:t>
      </w:r>
      <w:r w:rsidR="00F10409" w:rsidRPr="00FC1444">
        <w:rPr>
          <w:rFonts w:eastAsiaTheme="minorEastAsia" w:hint="eastAsia"/>
          <w:bCs/>
          <w:snapToGrid w:val="0"/>
          <w:kern w:val="0"/>
          <w:sz w:val="24"/>
        </w:rPr>
        <w:t>11</w:t>
      </w:r>
      <w:r w:rsidRPr="00FC1444">
        <w:rPr>
          <w:rFonts w:eastAsiaTheme="minorEastAsia"/>
          <w:bCs/>
          <w:snapToGrid w:val="0"/>
          <w:kern w:val="0"/>
          <w:sz w:val="24"/>
        </w:rPr>
        <w:t>cm</w:t>
      </w:r>
      <w:r w:rsidRPr="00FC1444">
        <w:rPr>
          <w:rFonts w:eastAsiaTheme="minorEastAsia"/>
          <w:bCs/>
          <w:snapToGrid w:val="0"/>
          <w:kern w:val="0"/>
          <w:sz w:val="24"/>
        </w:rPr>
        <w:t>，宽度约为</w:t>
      </w:r>
      <w:r w:rsidR="00F10409" w:rsidRPr="00FC1444">
        <w:rPr>
          <w:rFonts w:eastAsiaTheme="minorEastAsia" w:hint="eastAsia"/>
          <w:bCs/>
          <w:snapToGrid w:val="0"/>
          <w:kern w:val="0"/>
          <w:sz w:val="24"/>
        </w:rPr>
        <w:t>0.8</w:t>
      </w:r>
      <w:r w:rsidRPr="00FC1444">
        <w:rPr>
          <w:rFonts w:eastAsiaTheme="minorEastAsia"/>
          <w:bCs/>
          <w:snapToGrid w:val="0"/>
          <w:kern w:val="0"/>
          <w:sz w:val="24"/>
        </w:rPr>
        <w:t>m</w:t>
      </w:r>
      <w:r w:rsidRPr="00FC1444">
        <w:rPr>
          <w:rFonts w:eastAsiaTheme="minorEastAsia"/>
          <w:bCs/>
          <w:snapToGrid w:val="0"/>
          <w:kern w:val="0"/>
          <w:sz w:val="24"/>
        </w:rPr>
        <w:t>，总清淤量</w:t>
      </w:r>
      <w:r w:rsidR="00F10409" w:rsidRPr="00FC1444">
        <w:rPr>
          <w:rFonts w:eastAsiaTheme="minorEastAsia" w:hint="eastAsia"/>
          <w:bCs/>
          <w:snapToGrid w:val="0"/>
          <w:kern w:val="0"/>
          <w:sz w:val="24"/>
        </w:rPr>
        <w:t>3</w:t>
      </w:r>
      <w:r w:rsidRPr="00FC1444">
        <w:rPr>
          <w:rFonts w:eastAsiaTheme="minorEastAsia"/>
          <w:bCs/>
          <w:snapToGrid w:val="0"/>
          <w:kern w:val="0"/>
          <w:sz w:val="24"/>
        </w:rPr>
        <w:t>550m</w:t>
      </w:r>
      <w:r w:rsidRPr="00FC1444">
        <w:rPr>
          <w:rFonts w:eastAsiaTheme="minorEastAsia"/>
          <w:bCs/>
          <w:snapToGrid w:val="0"/>
          <w:kern w:val="0"/>
          <w:sz w:val="24"/>
          <w:vertAlign w:val="superscript"/>
        </w:rPr>
        <w:t>3</w:t>
      </w:r>
      <w:r w:rsidRPr="00FC1444">
        <w:rPr>
          <w:rFonts w:eastAsiaTheme="minorEastAsia"/>
          <w:bCs/>
          <w:snapToGrid w:val="0"/>
          <w:kern w:val="0"/>
          <w:sz w:val="24"/>
        </w:rPr>
        <w:t>，</w:t>
      </w:r>
      <w:r w:rsidRPr="00FC1444">
        <w:rPr>
          <w:rFonts w:eastAsiaTheme="minorEastAsia"/>
          <w:bCs/>
          <w:snapToGrid w:val="0"/>
          <w:kern w:val="0"/>
          <w:sz w:val="24"/>
        </w:rPr>
        <w:lastRenderedPageBreak/>
        <w:t>排水沟淤泥培至工程附近</w:t>
      </w:r>
      <w:r w:rsidRPr="00FC1444">
        <w:rPr>
          <w:rFonts w:eastAsiaTheme="minorEastAsia"/>
          <w:bCs/>
          <w:snapToGrid w:val="0"/>
          <w:kern w:val="0"/>
          <w:sz w:val="24"/>
        </w:rPr>
        <w:t>200</w:t>
      </w:r>
      <w:r w:rsidRPr="00FC1444">
        <w:rPr>
          <w:rFonts w:eastAsiaTheme="minorEastAsia"/>
          <w:bCs/>
          <w:snapToGrid w:val="0"/>
          <w:kern w:val="0"/>
          <w:sz w:val="24"/>
        </w:rPr>
        <w:t>米范围内无环境保护目标的排水沟两侧</w:t>
      </w:r>
      <w:r w:rsidR="00121DFD" w:rsidRPr="00FC1444">
        <w:rPr>
          <w:rFonts w:eastAsiaTheme="minorEastAsia"/>
          <w:bCs/>
          <w:snapToGrid w:val="0"/>
          <w:kern w:val="0"/>
          <w:sz w:val="24"/>
        </w:rPr>
        <w:t>，现有农田田块整治</w:t>
      </w:r>
      <w:r w:rsidR="00611CBA" w:rsidRPr="00FC1444">
        <w:rPr>
          <w:rFonts w:eastAsiaTheme="minorEastAsia"/>
          <w:bCs/>
          <w:snapToGrid w:val="0"/>
          <w:kern w:val="0"/>
          <w:sz w:val="24"/>
        </w:rPr>
        <w:t>。</w:t>
      </w:r>
      <w:r w:rsidR="00611CBA" w:rsidRPr="00FC1444">
        <w:rPr>
          <w:rFonts w:eastAsiaTheme="minorEastAsia"/>
          <w:kern w:val="0"/>
          <w:sz w:val="24"/>
        </w:rPr>
        <w:t>本项目新增永久占用草地、坑塘水面、</w:t>
      </w:r>
      <w:r w:rsidR="008249D3" w:rsidRPr="00FC1444">
        <w:rPr>
          <w:rFonts w:eastAsiaTheme="minorEastAsia"/>
          <w:bCs/>
          <w:kern w:val="0"/>
          <w:sz w:val="24"/>
        </w:rPr>
        <w:t>水利设施用地</w:t>
      </w:r>
      <w:r w:rsidR="00611CBA" w:rsidRPr="00FC1444">
        <w:rPr>
          <w:rFonts w:eastAsiaTheme="minorEastAsia"/>
          <w:bCs/>
          <w:kern w:val="0"/>
          <w:sz w:val="24"/>
        </w:rPr>
        <w:t>共</w:t>
      </w:r>
      <w:r w:rsidR="00C458B4" w:rsidRPr="00FC1444">
        <w:rPr>
          <w:rFonts w:eastAsiaTheme="minorEastAsia"/>
          <w:bCs/>
          <w:kern w:val="0"/>
          <w:sz w:val="24"/>
        </w:rPr>
        <w:t>22240</w:t>
      </w:r>
      <w:r w:rsidR="00611CBA" w:rsidRPr="00FC1444">
        <w:rPr>
          <w:rFonts w:eastAsiaTheme="minorEastAsia"/>
          <w:bCs/>
          <w:kern w:val="0"/>
          <w:sz w:val="24"/>
        </w:rPr>
        <w:t>m</w:t>
      </w:r>
      <w:r w:rsidR="00611CBA" w:rsidRPr="00FC1444">
        <w:rPr>
          <w:rFonts w:eastAsiaTheme="minorEastAsia"/>
          <w:kern w:val="0"/>
          <w:sz w:val="24"/>
          <w:vertAlign w:val="superscript"/>
        </w:rPr>
        <w:t>2</w:t>
      </w:r>
      <w:r w:rsidR="00611CBA" w:rsidRPr="00FC1444">
        <w:rPr>
          <w:rFonts w:eastAsiaTheme="minorEastAsia"/>
          <w:kern w:val="0"/>
          <w:sz w:val="24"/>
        </w:rPr>
        <w:t>，临时占用</w:t>
      </w:r>
      <w:r w:rsidR="00611CBA" w:rsidRPr="00FC1444">
        <w:rPr>
          <w:rFonts w:eastAsiaTheme="minorEastAsia"/>
          <w:sz w:val="24"/>
        </w:rPr>
        <w:t>旱地、草地</w:t>
      </w:r>
      <w:r w:rsidR="00611CBA" w:rsidRPr="00FC1444">
        <w:rPr>
          <w:rFonts w:eastAsiaTheme="minorEastAsia"/>
          <w:kern w:val="0"/>
          <w:sz w:val="24"/>
        </w:rPr>
        <w:t>共</w:t>
      </w:r>
      <w:r w:rsidR="008A02BD" w:rsidRPr="00FC1444">
        <w:rPr>
          <w:rFonts w:eastAsiaTheme="minorEastAsia"/>
          <w:kern w:val="0"/>
          <w:sz w:val="24"/>
        </w:rPr>
        <w:t>513022</w:t>
      </w:r>
      <w:r w:rsidR="00611CBA" w:rsidRPr="00FC1444">
        <w:rPr>
          <w:rFonts w:eastAsiaTheme="minorEastAsia"/>
          <w:kern w:val="0"/>
          <w:sz w:val="24"/>
        </w:rPr>
        <w:t>m</w:t>
      </w:r>
      <w:r w:rsidR="00611CBA" w:rsidRPr="00FC1444">
        <w:rPr>
          <w:rFonts w:eastAsiaTheme="minorEastAsia"/>
          <w:kern w:val="0"/>
          <w:sz w:val="24"/>
          <w:vertAlign w:val="superscript"/>
        </w:rPr>
        <w:t>2</w:t>
      </w:r>
      <w:r w:rsidR="004E26F5" w:rsidRPr="00FC1444">
        <w:rPr>
          <w:rFonts w:eastAsiaTheme="minorEastAsia"/>
          <w:kern w:val="0"/>
          <w:sz w:val="24"/>
        </w:rPr>
        <w:t>。</w:t>
      </w:r>
    </w:p>
    <w:p w:rsidR="002A5A5E" w:rsidRPr="00FC1444" w:rsidRDefault="0036407E">
      <w:pPr>
        <w:spacing w:line="360" w:lineRule="auto"/>
        <w:ind w:firstLineChars="200" w:firstLine="480"/>
        <w:rPr>
          <w:rFonts w:eastAsiaTheme="minorEastAsia"/>
          <w:bCs/>
          <w:smallCaps/>
          <w:sz w:val="24"/>
        </w:rPr>
      </w:pPr>
      <w:r w:rsidRPr="00FC1444">
        <w:rPr>
          <w:rFonts w:eastAsiaTheme="minorEastAsia"/>
          <w:sz w:val="24"/>
        </w:rPr>
        <w:t>（</w:t>
      </w:r>
      <w:r w:rsidRPr="00FC1444">
        <w:rPr>
          <w:rFonts w:eastAsiaTheme="minorEastAsia"/>
          <w:sz w:val="24"/>
        </w:rPr>
        <w:t>6</w:t>
      </w:r>
      <w:r w:rsidRPr="00FC1444">
        <w:rPr>
          <w:rFonts w:eastAsiaTheme="minorEastAsia"/>
          <w:sz w:val="24"/>
        </w:rPr>
        <w:t>）</w:t>
      </w:r>
      <w:r w:rsidR="00611CBA" w:rsidRPr="00FC1444">
        <w:rPr>
          <w:rFonts w:eastAsiaTheme="minorEastAsia"/>
          <w:sz w:val="24"/>
        </w:rPr>
        <w:t>施工时序：施工期严格控制施工范围，夜间不施工，</w:t>
      </w:r>
      <w:r w:rsidR="00611CBA" w:rsidRPr="00FC1444">
        <w:rPr>
          <w:rFonts w:eastAsiaTheme="minorEastAsia"/>
          <w:sz w:val="24"/>
          <w:szCs w:val="21"/>
        </w:rPr>
        <w:t>合理安排施工时序，选择</w:t>
      </w:r>
      <w:r w:rsidR="00611CBA" w:rsidRPr="00FC1444">
        <w:rPr>
          <w:rFonts w:eastAsiaTheme="minorEastAsia"/>
          <w:sz w:val="24"/>
          <w:szCs w:val="21"/>
        </w:rPr>
        <w:t>3</w:t>
      </w:r>
      <w:r w:rsidR="00611CBA" w:rsidRPr="00FC1444">
        <w:rPr>
          <w:rFonts w:eastAsiaTheme="minorEastAsia"/>
          <w:sz w:val="24"/>
          <w:szCs w:val="21"/>
        </w:rPr>
        <w:t>月至</w:t>
      </w:r>
      <w:r w:rsidR="00611CBA" w:rsidRPr="00FC1444">
        <w:rPr>
          <w:rFonts w:eastAsiaTheme="minorEastAsia"/>
          <w:sz w:val="24"/>
          <w:szCs w:val="21"/>
        </w:rPr>
        <w:t>4</w:t>
      </w:r>
      <w:r w:rsidR="00611CBA" w:rsidRPr="00FC1444">
        <w:rPr>
          <w:rFonts w:eastAsiaTheme="minorEastAsia"/>
          <w:sz w:val="24"/>
          <w:szCs w:val="21"/>
        </w:rPr>
        <w:t>月进行清淤及护砌等，</w:t>
      </w:r>
      <w:r w:rsidR="00611CBA" w:rsidRPr="00FC1444">
        <w:rPr>
          <w:rFonts w:eastAsiaTheme="minorEastAsia"/>
          <w:snapToGrid w:val="0"/>
          <w:kern w:val="0"/>
          <w:sz w:val="24"/>
        </w:rPr>
        <w:t>在枯水期进行，</w:t>
      </w:r>
      <w:r w:rsidR="00611CBA" w:rsidRPr="00FC1444">
        <w:rPr>
          <w:rFonts w:eastAsiaTheme="minorEastAsia"/>
          <w:sz w:val="24"/>
          <w:szCs w:val="21"/>
        </w:rPr>
        <w:t>沟</w:t>
      </w:r>
      <w:r w:rsidR="00611CBA" w:rsidRPr="00FC1444">
        <w:rPr>
          <w:rFonts w:eastAsiaTheme="minorEastAsia"/>
          <w:snapToGrid w:val="0"/>
          <w:kern w:val="0"/>
          <w:sz w:val="24"/>
        </w:rPr>
        <w:t>渠</w:t>
      </w:r>
      <w:r w:rsidR="00611CBA" w:rsidRPr="00FC1444">
        <w:rPr>
          <w:rFonts w:eastAsiaTheme="minorEastAsia"/>
          <w:sz w:val="24"/>
          <w:szCs w:val="21"/>
        </w:rPr>
        <w:t>干涸，不涉水，避免对地表水体的影响</w:t>
      </w:r>
      <w:r w:rsidR="00611CBA" w:rsidRPr="00FC1444">
        <w:rPr>
          <w:rFonts w:eastAsiaTheme="minorEastAsia"/>
          <w:bCs/>
          <w:smallCaps/>
          <w:sz w:val="24"/>
        </w:rPr>
        <w:t>。</w:t>
      </w:r>
    </w:p>
    <w:p w:rsidR="00FE25ED" w:rsidRPr="00FC1444" w:rsidRDefault="00FE25ED" w:rsidP="00DF220A">
      <w:pPr>
        <w:spacing w:line="360" w:lineRule="auto"/>
        <w:ind w:firstLineChars="200" w:firstLine="480"/>
        <w:contextualSpacing/>
        <w:rPr>
          <w:rFonts w:eastAsiaTheme="minorEastAsia"/>
          <w:kern w:val="0"/>
          <w:sz w:val="24"/>
          <w:szCs w:val="20"/>
        </w:rPr>
      </w:pPr>
      <w:r w:rsidRPr="00FC1444">
        <w:rPr>
          <w:rFonts w:eastAsiaTheme="minorEastAsia"/>
          <w:bCs/>
          <w:smallCaps/>
          <w:sz w:val="24"/>
        </w:rPr>
        <w:t>（</w:t>
      </w:r>
      <w:r w:rsidRPr="00FC1444">
        <w:rPr>
          <w:rFonts w:eastAsiaTheme="minorEastAsia"/>
          <w:bCs/>
          <w:smallCaps/>
          <w:sz w:val="24"/>
        </w:rPr>
        <w:t>7</w:t>
      </w:r>
      <w:r w:rsidRPr="00FC1444">
        <w:rPr>
          <w:rFonts w:eastAsiaTheme="minorEastAsia"/>
          <w:bCs/>
          <w:smallCaps/>
          <w:sz w:val="24"/>
        </w:rPr>
        <w:t>）</w:t>
      </w:r>
      <w:r w:rsidR="00DF220A" w:rsidRPr="00FC1444">
        <w:rPr>
          <w:sz w:val="24"/>
        </w:rPr>
        <w:t>表土剥离与利用方案：</w:t>
      </w:r>
      <w:r w:rsidR="00DF220A" w:rsidRPr="00FC1444">
        <w:rPr>
          <w:rFonts w:eastAsiaTheme="minorEastAsia"/>
          <w:kern w:val="0"/>
          <w:sz w:val="24"/>
          <w:szCs w:val="20"/>
        </w:rPr>
        <w:t>本项目灌溉井、</w:t>
      </w:r>
      <w:r w:rsidR="00DF220A" w:rsidRPr="00FC1444">
        <w:rPr>
          <w:rFonts w:eastAsiaTheme="minorEastAsia"/>
          <w:bCs/>
          <w:kern w:val="0"/>
          <w:sz w:val="24"/>
          <w:szCs w:val="20"/>
        </w:rPr>
        <w:t>建筑物等工程</w:t>
      </w:r>
      <w:r w:rsidR="00DF220A" w:rsidRPr="00FC1444">
        <w:rPr>
          <w:rFonts w:eastAsiaTheme="minorEastAsia"/>
          <w:kern w:val="0"/>
          <w:sz w:val="24"/>
          <w:szCs w:val="20"/>
        </w:rPr>
        <w:t>永久占地在工程建设前对表土进行剥离，剥离厚度约</w:t>
      </w:r>
      <w:r w:rsidR="00DF220A" w:rsidRPr="00FC1444">
        <w:rPr>
          <w:rFonts w:eastAsiaTheme="minorEastAsia"/>
          <w:kern w:val="0"/>
          <w:sz w:val="24"/>
          <w:szCs w:val="20"/>
        </w:rPr>
        <w:t>30cm</w:t>
      </w:r>
      <w:r w:rsidR="00DF220A" w:rsidRPr="00FC1444">
        <w:rPr>
          <w:rFonts w:eastAsiaTheme="minorEastAsia"/>
          <w:kern w:val="0"/>
          <w:sz w:val="24"/>
          <w:szCs w:val="20"/>
        </w:rPr>
        <w:t>。剥离后的表土在施工现场内贮存，作为表土暂存场，</w:t>
      </w:r>
      <w:r w:rsidR="00DF220A" w:rsidRPr="00FC1444">
        <w:rPr>
          <w:rFonts w:eastAsiaTheme="minorEastAsia"/>
          <w:snapToGrid w:val="0"/>
          <w:kern w:val="0"/>
          <w:sz w:val="24"/>
        </w:rPr>
        <w:t>设置临时拦挡并采用密目网苫盖</w:t>
      </w:r>
      <w:r w:rsidR="00DF220A" w:rsidRPr="00FC1444">
        <w:rPr>
          <w:rFonts w:eastAsiaTheme="minorEastAsia"/>
          <w:kern w:val="0"/>
          <w:sz w:val="24"/>
          <w:szCs w:val="20"/>
        </w:rPr>
        <w:t>，永久占地表土用于田块整治工程</w:t>
      </w:r>
      <w:r w:rsidR="00BC0DDF" w:rsidRPr="00FC1444">
        <w:rPr>
          <w:rFonts w:eastAsiaTheme="minorEastAsia"/>
          <w:kern w:val="0"/>
          <w:sz w:val="24"/>
          <w:szCs w:val="20"/>
        </w:rPr>
        <w:t>低洼地土地平整</w:t>
      </w:r>
      <w:r w:rsidR="00DF220A" w:rsidRPr="00FC1444">
        <w:rPr>
          <w:rFonts w:eastAsiaTheme="minorEastAsia"/>
          <w:kern w:val="0"/>
          <w:sz w:val="24"/>
          <w:szCs w:val="20"/>
        </w:rPr>
        <w:t>。田块整治工程</w:t>
      </w:r>
      <w:r w:rsidR="00DF220A" w:rsidRPr="00FC1444">
        <w:rPr>
          <w:rFonts w:eastAsiaTheme="minorEastAsia"/>
          <w:sz w:val="24"/>
        </w:rPr>
        <w:t>根据平整地块所在村的平均土壤厚度确定表土剥离厚度约</w:t>
      </w:r>
      <w:r w:rsidR="00DF220A" w:rsidRPr="00FC1444">
        <w:rPr>
          <w:rFonts w:eastAsiaTheme="minorEastAsia"/>
          <w:sz w:val="24"/>
        </w:rPr>
        <w:t>25cm</w:t>
      </w:r>
      <w:r w:rsidR="00DF220A" w:rsidRPr="00FC1444">
        <w:rPr>
          <w:rFonts w:eastAsiaTheme="minorEastAsia"/>
          <w:kern w:val="0"/>
          <w:sz w:val="24"/>
          <w:szCs w:val="20"/>
        </w:rPr>
        <w:t>，剥离后的表土在施工现场贮存，</w:t>
      </w:r>
      <w:r w:rsidR="00DF220A" w:rsidRPr="00FC1444">
        <w:rPr>
          <w:rFonts w:eastAsiaTheme="minorEastAsia"/>
          <w:snapToGrid w:val="0"/>
          <w:kern w:val="0"/>
          <w:sz w:val="24"/>
        </w:rPr>
        <w:t>设置临时拦挡并采用密目网苫盖</w:t>
      </w:r>
      <w:r w:rsidR="00DF220A" w:rsidRPr="00FC1444">
        <w:rPr>
          <w:rFonts w:eastAsiaTheme="minorEastAsia"/>
          <w:kern w:val="0"/>
          <w:sz w:val="24"/>
          <w:szCs w:val="20"/>
        </w:rPr>
        <w:t>，用于田块整治工程表土恢复。项目施工过程中会设置施工场地、施工道路，为临时占地，临时占地进行表土剥离，剥离厚度约</w:t>
      </w:r>
      <w:r w:rsidR="00DF220A" w:rsidRPr="00FC1444">
        <w:rPr>
          <w:rFonts w:eastAsiaTheme="minorEastAsia"/>
          <w:kern w:val="0"/>
          <w:sz w:val="24"/>
          <w:szCs w:val="20"/>
        </w:rPr>
        <w:t>30cm</w:t>
      </w:r>
      <w:r w:rsidR="00DF220A" w:rsidRPr="00FC1444">
        <w:rPr>
          <w:rFonts w:eastAsiaTheme="minorEastAsia"/>
          <w:kern w:val="0"/>
          <w:sz w:val="24"/>
          <w:szCs w:val="20"/>
        </w:rPr>
        <w:t>，堆放在施工场地内，</w:t>
      </w:r>
      <w:r w:rsidR="00DF220A" w:rsidRPr="00FC1444">
        <w:rPr>
          <w:rFonts w:eastAsiaTheme="minorEastAsia"/>
          <w:snapToGrid w:val="0"/>
          <w:kern w:val="0"/>
          <w:sz w:val="24"/>
        </w:rPr>
        <w:t>设置临时拦挡并采用密目网苫盖</w:t>
      </w:r>
      <w:r w:rsidR="00DF220A" w:rsidRPr="00FC1444">
        <w:rPr>
          <w:rFonts w:eastAsiaTheme="minorEastAsia"/>
          <w:kern w:val="0"/>
          <w:sz w:val="24"/>
          <w:szCs w:val="20"/>
        </w:rPr>
        <w:t>，施工结束后，进行表土分层回填，使其逐渐恢复其原有生态系统。</w:t>
      </w:r>
    </w:p>
    <w:p w:rsidR="002A5A5E" w:rsidRPr="00FC1444" w:rsidRDefault="0036407E">
      <w:pPr>
        <w:pStyle w:val="1120"/>
        <w:spacing w:line="360" w:lineRule="auto"/>
        <w:ind w:firstLine="480"/>
        <w:rPr>
          <w:rFonts w:ascii="Times New Roman" w:eastAsiaTheme="minorEastAsia" w:hAnsi="Times New Roman" w:cs="Times New Roman"/>
          <w:color w:val="auto"/>
          <w:sz w:val="24"/>
          <w:szCs w:val="24"/>
        </w:rPr>
      </w:pPr>
      <w:r w:rsidRPr="00FC1444">
        <w:rPr>
          <w:rFonts w:ascii="Times New Roman" w:eastAsiaTheme="minorEastAsia" w:hAnsi="Times New Roman" w:cs="Times New Roman"/>
          <w:color w:val="auto"/>
          <w:sz w:val="24"/>
          <w:szCs w:val="24"/>
        </w:rPr>
        <w:t>（</w:t>
      </w:r>
      <w:r w:rsidR="00FE25ED" w:rsidRPr="00FC1444">
        <w:rPr>
          <w:rFonts w:ascii="Times New Roman" w:eastAsiaTheme="minorEastAsia" w:hAnsi="Times New Roman" w:cs="Times New Roman"/>
          <w:color w:val="auto"/>
          <w:sz w:val="24"/>
          <w:szCs w:val="24"/>
        </w:rPr>
        <w:t>8</w:t>
      </w:r>
      <w:r w:rsidRPr="00FC1444">
        <w:rPr>
          <w:rFonts w:ascii="Times New Roman" w:eastAsiaTheme="minorEastAsia" w:hAnsi="Times New Roman" w:cs="Times New Roman"/>
          <w:color w:val="auto"/>
          <w:sz w:val="24"/>
          <w:szCs w:val="24"/>
        </w:rPr>
        <w:t>）</w:t>
      </w:r>
      <w:r w:rsidR="00611CBA" w:rsidRPr="00FC1444">
        <w:rPr>
          <w:rFonts w:ascii="Times New Roman" w:eastAsiaTheme="minorEastAsia" w:hAnsi="Times New Roman" w:cs="Times New Roman"/>
          <w:color w:val="auto"/>
          <w:sz w:val="24"/>
          <w:szCs w:val="24"/>
        </w:rPr>
        <w:t>现有工程存在的问题及</w:t>
      </w:r>
      <w:r w:rsidR="00611CBA" w:rsidRPr="00FC1444">
        <w:rPr>
          <w:rFonts w:ascii="Times New Roman" w:eastAsiaTheme="minorEastAsia" w:hAnsi="Times New Roman" w:cs="Times New Roman"/>
          <w:color w:val="auto"/>
          <w:sz w:val="24"/>
          <w:szCs w:val="24"/>
        </w:rPr>
        <w:t>“</w:t>
      </w:r>
      <w:r w:rsidR="00611CBA" w:rsidRPr="00FC1444">
        <w:rPr>
          <w:rFonts w:ascii="Times New Roman" w:eastAsiaTheme="minorEastAsia" w:hAnsi="Times New Roman" w:cs="Times New Roman"/>
          <w:color w:val="auto"/>
          <w:sz w:val="24"/>
          <w:szCs w:val="24"/>
        </w:rPr>
        <w:t>以新带老</w:t>
      </w:r>
      <w:r w:rsidR="00611CBA" w:rsidRPr="00FC1444">
        <w:rPr>
          <w:rFonts w:ascii="Times New Roman" w:eastAsiaTheme="minorEastAsia" w:hAnsi="Times New Roman" w:cs="Times New Roman"/>
          <w:color w:val="auto"/>
          <w:sz w:val="24"/>
          <w:szCs w:val="24"/>
        </w:rPr>
        <w:t>”</w:t>
      </w:r>
      <w:r w:rsidR="00611CBA" w:rsidRPr="00FC1444">
        <w:rPr>
          <w:rFonts w:ascii="Times New Roman" w:eastAsiaTheme="minorEastAsia" w:hAnsi="Times New Roman" w:cs="Times New Roman"/>
          <w:color w:val="auto"/>
          <w:sz w:val="24"/>
          <w:szCs w:val="24"/>
        </w:rPr>
        <w:t>措施：</w:t>
      </w:r>
    </w:p>
    <w:p w:rsidR="002A5A5E" w:rsidRPr="00FC1444" w:rsidRDefault="00611CBA">
      <w:pPr>
        <w:pStyle w:val="1120"/>
        <w:spacing w:line="360" w:lineRule="auto"/>
        <w:ind w:firstLine="480"/>
        <w:rPr>
          <w:rFonts w:ascii="Times New Roman" w:eastAsiaTheme="minorEastAsia" w:hAnsi="Times New Roman" w:cs="Times New Roman"/>
          <w:bCs/>
          <w:color w:val="auto"/>
          <w:sz w:val="24"/>
          <w:szCs w:val="24"/>
        </w:rPr>
      </w:pPr>
      <w:r w:rsidRPr="00FC1444">
        <w:rPr>
          <w:rFonts w:ascii="Times New Roman" w:eastAsiaTheme="minorEastAsia" w:hAnsi="Times New Roman" w:cs="Times New Roman"/>
          <w:bCs/>
          <w:color w:val="auto"/>
          <w:sz w:val="24"/>
          <w:szCs w:val="24"/>
        </w:rPr>
        <w:t>1</w:t>
      </w:r>
      <w:r w:rsidR="00760E2B" w:rsidRPr="00FC1444">
        <w:rPr>
          <w:rFonts w:ascii="Times New Roman" w:eastAsiaTheme="minorEastAsia" w:hAnsi="Times New Roman" w:cs="Times New Roman"/>
          <w:bCs/>
          <w:color w:val="auto"/>
          <w:sz w:val="24"/>
          <w:szCs w:val="24"/>
        </w:rPr>
        <w:t>.</w:t>
      </w:r>
      <w:r w:rsidRPr="00FC1444">
        <w:rPr>
          <w:rFonts w:ascii="Times New Roman" w:eastAsiaTheme="minorEastAsia" w:hAnsi="Times New Roman" w:cs="Times New Roman"/>
          <w:bCs/>
          <w:color w:val="auto"/>
          <w:sz w:val="24"/>
          <w:szCs w:val="24"/>
        </w:rPr>
        <w:t>灌区干渠上现有部分涵洞、过水路面等渠系建筑物部分已到达合理使用年限，老化破损严重，年久失修，无法继续满足基本灌溉需求；项目区部分排水沟淤积严重，排水不畅。</w:t>
      </w:r>
    </w:p>
    <w:p w:rsidR="002A5A5E" w:rsidRPr="00FC1444" w:rsidRDefault="00611CBA">
      <w:pPr>
        <w:pStyle w:val="1120"/>
        <w:spacing w:line="360" w:lineRule="auto"/>
        <w:ind w:firstLine="480"/>
        <w:rPr>
          <w:rFonts w:ascii="Times New Roman" w:eastAsiaTheme="minorEastAsia" w:hAnsi="Times New Roman" w:cs="Times New Roman"/>
          <w:bCs/>
          <w:color w:val="auto"/>
          <w:sz w:val="24"/>
          <w:szCs w:val="24"/>
        </w:rPr>
      </w:pP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以新带老</w:t>
      </w: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措施：</w:t>
      </w:r>
      <w:r w:rsidRPr="00FC1444">
        <w:rPr>
          <w:rFonts w:ascii="Times New Roman" w:eastAsiaTheme="minorEastAsia" w:hAnsi="Times New Roman" w:cs="Times New Roman"/>
          <w:bCs/>
          <w:color w:val="auto"/>
          <w:sz w:val="24"/>
          <w:szCs w:val="24"/>
        </w:rPr>
        <w:t>本项目对</w:t>
      </w:r>
      <w:r w:rsidR="003F09B6" w:rsidRPr="00FC1444">
        <w:rPr>
          <w:rFonts w:ascii="Times New Roman" w:eastAsiaTheme="minorEastAsia" w:hAnsi="Times New Roman" w:cs="Times New Roman"/>
          <w:bCs/>
          <w:color w:val="auto"/>
          <w:sz w:val="24"/>
          <w:szCs w:val="24"/>
        </w:rPr>
        <w:t>渠系</w:t>
      </w:r>
      <w:r w:rsidRPr="00FC1444">
        <w:rPr>
          <w:rFonts w:ascii="Times New Roman" w:eastAsiaTheme="minorEastAsia" w:hAnsi="Times New Roman" w:cs="Times New Roman"/>
          <w:bCs/>
          <w:color w:val="auto"/>
          <w:sz w:val="24"/>
          <w:szCs w:val="24"/>
        </w:rPr>
        <w:t>建筑物进行新建或拆除重建。对部分现有排水沟进行清淤、衬砌。</w:t>
      </w:r>
    </w:p>
    <w:p w:rsidR="002A5A5E" w:rsidRPr="00FC1444" w:rsidRDefault="00611CBA">
      <w:pPr>
        <w:pStyle w:val="1120"/>
        <w:spacing w:line="360" w:lineRule="auto"/>
        <w:ind w:firstLine="480"/>
        <w:rPr>
          <w:rFonts w:ascii="Times New Roman" w:eastAsiaTheme="minorEastAsia" w:hAnsi="Times New Roman" w:cs="Times New Roman"/>
          <w:bCs/>
          <w:color w:val="auto"/>
          <w:sz w:val="24"/>
          <w:szCs w:val="24"/>
        </w:rPr>
      </w:pPr>
      <w:r w:rsidRPr="00FC1444">
        <w:rPr>
          <w:rFonts w:ascii="Times New Roman" w:eastAsiaTheme="minorEastAsia" w:hAnsi="Times New Roman" w:cs="Times New Roman"/>
          <w:bCs/>
          <w:color w:val="auto"/>
          <w:sz w:val="24"/>
          <w:szCs w:val="24"/>
        </w:rPr>
        <w:t>2</w:t>
      </w:r>
      <w:r w:rsidR="00760E2B" w:rsidRPr="00FC1444">
        <w:rPr>
          <w:rFonts w:ascii="Times New Roman" w:eastAsiaTheme="minorEastAsia" w:hAnsi="Times New Roman" w:cs="Times New Roman"/>
          <w:bCs/>
          <w:color w:val="auto"/>
          <w:sz w:val="24"/>
          <w:szCs w:val="24"/>
        </w:rPr>
        <w:t>.</w:t>
      </w:r>
      <w:r w:rsidRPr="00FC1444">
        <w:rPr>
          <w:rFonts w:ascii="Times New Roman" w:eastAsiaTheme="minorEastAsia" w:hAnsi="Times New Roman" w:cs="Times New Roman"/>
          <w:bCs/>
          <w:color w:val="auto"/>
          <w:sz w:val="24"/>
          <w:szCs w:val="24"/>
        </w:rPr>
        <w:t>农田退水对水环境产生一定的影响。</w:t>
      </w:r>
    </w:p>
    <w:p w:rsidR="002A5A5E" w:rsidRPr="00FC1444" w:rsidRDefault="00611CBA">
      <w:pPr>
        <w:pStyle w:val="1120"/>
        <w:spacing w:line="360" w:lineRule="auto"/>
        <w:ind w:firstLine="480"/>
        <w:rPr>
          <w:rFonts w:ascii="Times New Roman" w:eastAsiaTheme="minorEastAsia" w:hAnsi="Times New Roman" w:cs="Times New Roman"/>
          <w:bCs/>
          <w:color w:val="auto"/>
          <w:sz w:val="24"/>
          <w:szCs w:val="24"/>
        </w:rPr>
      </w:pPr>
      <w:r w:rsidRPr="00FC1444">
        <w:rPr>
          <w:rFonts w:ascii="Times New Roman" w:eastAsiaTheme="minorEastAsia" w:hAnsi="Times New Roman" w:cs="Times New Roman"/>
          <w:color w:val="auto"/>
          <w:sz w:val="24"/>
          <w:szCs w:val="24"/>
        </w:rPr>
        <w:t xml:space="preserve"> “</w:t>
      </w:r>
      <w:r w:rsidRPr="00FC1444">
        <w:rPr>
          <w:rFonts w:ascii="Times New Roman" w:eastAsiaTheme="minorEastAsia" w:hAnsi="Times New Roman" w:cs="Times New Roman"/>
          <w:color w:val="auto"/>
          <w:sz w:val="24"/>
          <w:szCs w:val="24"/>
        </w:rPr>
        <w:t>以新带老</w:t>
      </w: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措施：</w:t>
      </w:r>
      <w:r w:rsidRPr="00FC1444">
        <w:rPr>
          <w:rFonts w:ascii="Times New Roman" w:eastAsiaTheme="minorEastAsia" w:hAnsi="Times New Roman" w:cs="Times New Roman"/>
          <w:bCs/>
          <w:color w:val="auto"/>
          <w:sz w:val="24"/>
          <w:szCs w:val="24"/>
        </w:rPr>
        <w:t>本项目运行期加强管理，科学、合理使用化肥，减少农药化肥的施用。</w:t>
      </w:r>
    </w:p>
    <w:p w:rsidR="002A5A5E" w:rsidRPr="00FC1444" w:rsidRDefault="00611CBA">
      <w:pPr>
        <w:pStyle w:val="1120"/>
        <w:spacing w:line="360" w:lineRule="auto"/>
        <w:ind w:firstLine="480"/>
        <w:rPr>
          <w:rFonts w:ascii="Times New Roman" w:eastAsiaTheme="minorEastAsia" w:hAnsi="Times New Roman" w:cs="Times New Roman"/>
          <w:bCs/>
          <w:color w:val="auto"/>
          <w:sz w:val="24"/>
          <w:szCs w:val="24"/>
        </w:rPr>
      </w:pPr>
      <w:r w:rsidRPr="00FC1444">
        <w:rPr>
          <w:rFonts w:ascii="Times New Roman" w:eastAsiaTheme="minorEastAsia" w:hAnsi="Times New Roman" w:cs="Times New Roman"/>
          <w:bCs/>
          <w:color w:val="auto"/>
          <w:sz w:val="24"/>
          <w:szCs w:val="24"/>
        </w:rPr>
        <w:t>3</w:t>
      </w:r>
      <w:r w:rsidR="00760E2B" w:rsidRPr="00FC1444">
        <w:rPr>
          <w:rFonts w:ascii="Times New Roman" w:eastAsiaTheme="minorEastAsia" w:hAnsi="Times New Roman" w:cs="Times New Roman"/>
          <w:bCs/>
          <w:color w:val="auto"/>
          <w:sz w:val="24"/>
          <w:szCs w:val="24"/>
        </w:rPr>
        <w:t>.</w:t>
      </w:r>
      <w:r w:rsidR="003F09B6" w:rsidRPr="00FC1444">
        <w:rPr>
          <w:rFonts w:ascii="Times New Roman" w:eastAsiaTheme="minorEastAsia" w:hAnsi="Times New Roman" w:cs="Times New Roman"/>
          <w:bCs/>
          <w:color w:val="auto"/>
          <w:sz w:val="24"/>
          <w:szCs w:val="24"/>
        </w:rPr>
        <w:t>渠道衬砌长度较短，渗漏损失大，导致渠道输水效率低，部分输水渠段跑、冒、漏严重，致使渠道沿程水损失较大，水资源浪费严重。</w:t>
      </w:r>
    </w:p>
    <w:p w:rsidR="002A5A5E" w:rsidRPr="00FC1444" w:rsidRDefault="00611CBA">
      <w:pPr>
        <w:pStyle w:val="1120"/>
        <w:spacing w:line="360" w:lineRule="auto"/>
        <w:ind w:firstLine="480"/>
        <w:rPr>
          <w:rFonts w:ascii="Times New Roman" w:eastAsiaTheme="minorEastAsia" w:hAnsi="Times New Roman" w:cs="Times New Roman"/>
          <w:bCs/>
          <w:color w:val="auto"/>
          <w:sz w:val="24"/>
          <w:szCs w:val="24"/>
        </w:rPr>
      </w:pP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以新带老</w:t>
      </w: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措施：</w:t>
      </w:r>
      <w:r w:rsidRPr="00FC1444">
        <w:rPr>
          <w:rFonts w:ascii="Times New Roman" w:eastAsiaTheme="minorEastAsia" w:hAnsi="Times New Roman" w:cs="Times New Roman"/>
          <w:bCs/>
          <w:color w:val="auto"/>
          <w:sz w:val="24"/>
          <w:szCs w:val="24"/>
        </w:rPr>
        <w:t>本工程</w:t>
      </w:r>
      <w:r w:rsidR="002424E6" w:rsidRPr="00FC1444">
        <w:rPr>
          <w:rFonts w:ascii="Times New Roman" w:eastAsiaTheme="minorEastAsia" w:hAnsi="Times New Roman" w:cs="Times New Roman"/>
          <w:bCs/>
          <w:color w:val="auto"/>
          <w:sz w:val="24"/>
          <w:szCs w:val="24"/>
        </w:rPr>
        <w:t>对现有渠道进行衬砌，减轻水土流失</w:t>
      </w:r>
      <w:r w:rsidRPr="00FC1444">
        <w:rPr>
          <w:rFonts w:ascii="Times New Roman" w:eastAsiaTheme="minorEastAsia" w:hAnsi="Times New Roman" w:cs="Times New Roman"/>
          <w:bCs/>
          <w:color w:val="auto"/>
          <w:sz w:val="24"/>
          <w:szCs w:val="24"/>
        </w:rPr>
        <w:t>。</w:t>
      </w:r>
    </w:p>
    <w:p w:rsidR="002A5A5E" w:rsidRPr="00FC1444" w:rsidRDefault="00DF220A">
      <w:pPr>
        <w:spacing w:line="360" w:lineRule="auto"/>
        <w:ind w:firstLineChars="200" w:firstLine="480"/>
        <w:rPr>
          <w:rFonts w:eastAsiaTheme="minorEastAsia"/>
          <w:sz w:val="24"/>
        </w:rPr>
      </w:pPr>
      <w:r w:rsidRPr="00FC1444">
        <w:rPr>
          <w:rFonts w:eastAsiaTheme="minorEastAsia"/>
          <w:sz w:val="24"/>
        </w:rPr>
        <w:t>本项目工程分散，</w:t>
      </w:r>
      <w:r w:rsidR="00FC1444" w:rsidRPr="00FC1444">
        <w:rPr>
          <w:rFonts w:eastAsiaTheme="minorEastAsia"/>
          <w:sz w:val="24"/>
        </w:rPr>
        <w:t>生态</w:t>
      </w:r>
      <w:r w:rsidRPr="00FC1444">
        <w:rPr>
          <w:rFonts w:eastAsiaTheme="minorEastAsia"/>
          <w:sz w:val="24"/>
        </w:rPr>
        <w:t>环境影响分为施工期及运营期。</w:t>
      </w:r>
      <w:r w:rsidR="00611CBA" w:rsidRPr="00FC1444">
        <w:rPr>
          <w:rFonts w:eastAsiaTheme="minorEastAsia"/>
          <w:sz w:val="24"/>
        </w:rPr>
        <w:t>施工期影响主</w:t>
      </w:r>
      <w:r w:rsidR="0097424D" w:rsidRPr="00FC1444">
        <w:rPr>
          <w:rFonts w:eastAsiaTheme="minorEastAsia"/>
          <w:sz w:val="24"/>
        </w:rPr>
        <w:t>要为田块整治工程、灌溉与排水工程、田间道路工程、农田输配电工程</w:t>
      </w:r>
      <w:r w:rsidR="00611CBA" w:rsidRPr="00FC1444">
        <w:rPr>
          <w:rFonts w:eastAsiaTheme="minorEastAsia"/>
          <w:sz w:val="24"/>
        </w:rPr>
        <w:t>建设过程中产生</w:t>
      </w:r>
      <w:r w:rsidR="00611CBA" w:rsidRPr="00FC1444">
        <w:rPr>
          <w:rFonts w:eastAsiaTheme="minorEastAsia"/>
          <w:sz w:val="24"/>
        </w:rPr>
        <w:lastRenderedPageBreak/>
        <w:t>的扬尘、</w:t>
      </w:r>
      <w:r w:rsidRPr="00FC1444">
        <w:rPr>
          <w:rFonts w:eastAsiaTheme="minorEastAsia"/>
          <w:sz w:val="24"/>
        </w:rPr>
        <w:t>清淤恶臭、</w:t>
      </w:r>
      <w:r w:rsidR="00611CBA" w:rsidRPr="00FC1444">
        <w:rPr>
          <w:rFonts w:eastAsiaTheme="minorEastAsia"/>
          <w:sz w:val="24"/>
        </w:rPr>
        <w:t>施工期机械设备及汽车尾气对周围环境空气的影响，施工废水对地表水、地下水环境的影响，各施工机械噪声对周围声环境的影响，施工固体废物对周围环境的影响，</w:t>
      </w:r>
      <w:r w:rsidRPr="00FC1444">
        <w:rPr>
          <w:rFonts w:eastAsiaTheme="minorEastAsia"/>
          <w:sz w:val="24"/>
        </w:rPr>
        <w:t>工程施工</w:t>
      </w:r>
      <w:r w:rsidR="00611CBA" w:rsidRPr="00FC1444">
        <w:rPr>
          <w:rFonts w:eastAsiaTheme="minorEastAsia"/>
          <w:sz w:val="24"/>
        </w:rPr>
        <w:t>对黑土地</w:t>
      </w:r>
      <w:r w:rsidRPr="00FC1444">
        <w:rPr>
          <w:rFonts w:eastAsiaTheme="minorEastAsia"/>
          <w:sz w:val="24"/>
        </w:rPr>
        <w:t>、</w:t>
      </w:r>
      <w:r w:rsidR="00611CBA" w:rsidRPr="00FC1444">
        <w:rPr>
          <w:rFonts w:eastAsiaTheme="minorEastAsia"/>
          <w:sz w:val="24"/>
        </w:rPr>
        <w:t>基本农田的影响及对生态环境的影响；运营期农田取水、退水对地下水、土壤、地表水、生态环境的影响，柴油机移动泵车、道路车辆尾气对周围环境的影响，设备噪声对周围环保目标的影响以及对生态环境的影响。</w:t>
      </w:r>
    </w:p>
    <w:p w:rsidR="002A5A5E" w:rsidRPr="00FC1444"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1" w:name="_Toc479252799"/>
      <w:bookmarkStart w:id="12" w:name="_Toc208906219"/>
      <w:r w:rsidRPr="00FC1444">
        <w:rPr>
          <w:rFonts w:eastAsiaTheme="minorEastAsia"/>
          <w:b/>
          <w:kern w:val="0"/>
          <w:sz w:val="32"/>
          <w:szCs w:val="32"/>
        </w:rPr>
        <w:t>1.3</w:t>
      </w:r>
      <w:bookmarkEnd w:id="11"/>
      <w:r w:rsidR="00FC1444" w:rsidRPr="00FC1444">
        <w:rPr>
          <w:rFonts w:eastAsiaTheme="minorEastAsia"/>
          <w:b/>
          <w:kern w:val="0"/>
          <w:sz w:val="32"/>
          <w:szCs w:val="32"/>
        </w:rPr>
        <w:t>生态</w:t>
      </w:r>
      <w:r w:rsidRPr="00FC1444">
        <w:rPr>
          <w:rFonts w:eastAsiaTheme="minorEastAsia"/>
          <w:b/>
          <w:kern w:val="0"/>
          <w:sz w:val="32"/>
          <w:szCs w:val="32"/>
        </w:rPr>
        <w:t>环境影响评价工作过程</w:t>
      </w:r>
      <w:bookmarkEnd w:id="12"/>
    </w:p>
    <w:p w:rsidR="002A5A5E" w:rsidRPr="00FC1444" w:rsidRDefault="00611CBA">
      <w:pPr>
        <w:spacing w:line="360" w:lineRule="auto"/>
        <w:ind w:firstLineChars="200" w:firstLine="480"/>
        <w:rPr>
          <w:rFonts w:eastAsiaTheme="minorEastAsia"/>
          <w:sz w:val="24"/>
        </w:rPr>
      </w:pPr>
      <w:r w:rsidRPr="00FC1444">
        <w:rPr>
          <w:rFonts w:eastAsiaTheme="minorEastAsia"/>
          <w:bCs/>
          <w:sz w:val="24"/>
        </w:rPr>
        <w:t>本项目为高标准农田建设项目。项目含灌溉工程，建设</w:t>
      </w:r>
      <w:r w:rsidR="00DD3A44" w:rsidRPr="00FC1444">
        <w:rPr>
          <w:rFonts w:eastAsiaTheme="minorEastAsia"/>
          <w:bCs/>
          <w:sz w:val="24"/>
        </w:rPr>
        <w:t>156</w:t>
      </w:r>
      <w:r w:rsidR="00DD3A44" w:rsidRPr="00FC1444">
        <w:rPr>
          <w:rFonts w:eastAsiaTheme="minorEastAsia"/>
          <w:bCs/>
          <w:sz w:val="24"/>
        </w:rPr>
        <w:t>口</w:t>
      </w:r>
      <w:r w:rsidRPr="00FC1444">
        <w:rPr>
          <w:rFonts w:eastAsiaTheme="minorEastAsia"/>
          <w:bCs/>
          <w:sz w:val="24"/>
        </w:rPr>
        <w:t>灌溉井，</w:t>
      </w:r>
      <w:r w:rsidRPr="00FC1444">
        <w:rPr>
          <w:rFonts w:eastAsiaTheme="minorEastAsia"/>
          <w:sz w:val="24"/>
        </w:rPr>
        <w:t>属于地下水开采</w:t>
      </w:r>
      <w:r w:rsidRPr="00FC1444">
        <w:rPr>
          <w:rFonts w:eastAsiaTheme="minorEastAsia"/>
          <w:bCs/>
          <w:sz w:val="24"/>
        </w:rPr>
        <w:t>，</w:t>
      </w:r>
      <w:r w:rsidRPr="00FC1444">
        <w:rPr>
          <w:rFonts w:eastAsiaTheme="minorEastAsia"/>
          <w:sz w:val="24"/>
        </w:rPr>
        <w:t>根据《建设项目环境影响评价分类管理名录》</w:t>
      </w:r>
      <w:r w:rsidRPr="00FC1444">
        <w:rPr>
          <w:rFonts w:eastAsiaTheme="minorEastAsia"/>
          <w:bCs/>
          <w:sz w:val="24"/>
        </w:rPr>
        <w:t>中</w:t>
      </w:r>
      <w:r w:rsidRPr="00FC1444">
        <w:rPr>
          <w:rFonts w:eastAsiaTheme="minorEastAsia"/>
          <w:bCs/>
          <w:sz w:val="24"/>
        </w:rPr>
        <w:t>“</w:t>
      </w:r>
      <w:r w:rsidRPr="00FC1444">
        <w:rPr>
          <w:rFonts w:eastAsiaTheme="minorEastAsia"/>
          <w:bCs/>
          <w:sz w:val="24"/>
        </w:rPr>
        <w:t>五十一、水利</w:t>
      </w:r>
      <w:r w:rsidRPr="00FC1444">
        <w:rPr>
          <w:rFonts w:eastAsiaTheme="minorEastAsia"/>
          <w:bCs/>
          <w:sz w:val="24"/>
        </w:rPr>
        <w:t>”</w:t>
      </w:r>
      <w:r w:rsidRPr="00FC1444">
        <w:rPr>
          <w:rFonts w:eastAsiaTheme="minorEastAsia"/>
          <w:bCs/>
          <w:sz w:val="24"/>
        </w:rPr>
        <w:t>中的</w:t>
      </w:r>
      <w:r w:rsidRPr="00FC1444">
        <w:rPr>
          <w:rFonts w:eastAsiaTheme="minorEastAsia"/>
          <w:bCs/>
          <w:sz w:val="24"/>
        </w:rPr>
        <w:t>“125</w:t>
      </w:r>
      <w:r w:rsidRPr="00FC1444">
        <w:rPr>
          <w:rFonts w:eastAsiaTheme="minorEastAsia"/>
          <w:bCs/>
          <w:sz w:val="24"/>
        </w:rPr>
        <w:t>、灌区工程（不含水源工程的），涉及环境敏感区的</w:t>
      </w:r>
      <w:r w:rsidRPr="00FC1444">
        <w:rPr>
          <w:rFonts w:eastAsiaTheme="minorEastAsia"/>
          <w:bCs/>
          <w:sz w:val="24"/>
        </w:rPr>
        <w:t>”</w:t>
      </w:r>
      <w:r w:rsidRPr="00FC1444">
        <w:rPr>
          <w:rFonts w:eastAsiaTheme="minorEastAsia"/>
          <w:sz w:val="24"/>
        </w:rPr>
        <w:t>，应做报告书，</w:t>
      </w:r>
      <w:r w:rsidRPr="00FC1444">
        <w:rPr>
          <w:rFonts w:eastAsiaTheme="minorEastAsia"/>
          <w:bCs/>
          <w:sz w:val="24"/>
        </w:rPr>
        <w:t>“</w:t>
      </w:r>
      <w:r w:rsidRPr="00FC1444">
        <w:rPr>
          <w:rFonts w:eastAsiaTheme="minorEastAsia"/>
          <w:sz w:val="24"/>
        </w:rPr>
        <w:t>其他（不含高标准农田、滴灌等节水改造工程）</w:t>
      </w:r>
      <w:r w:rsidRPr="00FC1444">
        <w:rPr>
          <w:rFonts w:eastAsiaTheme="minorEastAsia"/>
          <w:bCs/>
          <w:sz w:val="24"/>
        </w:rPr>
        <w:t>”</w:t>
      </w:r>
      <w:r w:rsidRPr="00FC1444">
        <w:rPr>
          <w:rFonts w:eastAsiaTheme="minorEastAsia"/>
          <w:sz w:val="24"/>
        </w:rPr>
        <w:t>，应做报告表。</w:t>
      </w:r>
      <w:r w:rsidRPr="00FC1444">
        <w:rPr>
          <w:rFonts w:eastAsiaTheme="minorEastAsia"/>
          <w:bCs/>
          <w:sz w:val="24"/>
        </w:rPr>
        <w:t>“129</w:t>
      </w:r>
      <w:r w:rsidRPr="00FC1444">
        <w:rPr>
          <w:rFonts w:eastAsiaTheme="minorEastAsia"/>
          <w:bCs/>
          <w:sz w:val="24"/>
        </w:rPr>
        <w:t>、地下水开采（农村分散式家庭生活自用水井除外）中的日取水量</w:t>
      </w:r>
      <w:r w:rsidRPr="00FC1444">
        <w:rPr>
          <w:rFonts w:eastAsiaTheme="minorEastAsia"/>
          <w:bCs/>
          <w:sz w:val="24"/>
        </w:rPr>
        <w:t>1</w:t>
      </w:r>
      <w:r w:rsidRPr="00FC1444">
        <w:rPr>
          <w:rFonts w:eastAsiaTheme="minorEastAsia"/>
          <w:bCs/>
          <w:sz w:val="24"/>
        </w:rPr>
        <w:t>万立方米及以上及涉及环境敏感区的（不新增供水规模，不改变供水对象的改建工程除外）</w:t>
      </w:r>
      <w:r w:rsidRPr="00FC1444">
        <w:rPr>
          <w:rFonts w:eastAsiaTheme="minorEastAsia"/>
          <w:bCs/>
          <w:sz w:val="24"/>
        </w:rPr>
        <w:t>”</w:t>
      </w:r>
      <w:r w:rsidRPr="00FC1444">
        <w:rPr>
          <w:rFonts w:eastAsiaTheme="minorEastAsia"/>
          <w:sz w:val="24"/>
        </w:rPr>
        <w:t>，应做报告书。本项目为</w:t>
      </w:r>
      <w:r w:rsidRPr="00FC1444">
        <w:rPr>
          <w:rFonts w:eastAsiaTheme="minorEastAsia"/>
          <w:bCs/>
          <w:sz w:val="24"/>
        </w:rPr>
        <w:t>高标准农田建设项目</w:t>
      </w:r>
      <w:r w:rsidRPr="00FC1444">
        <w:rPr>
          <w:rFonts w:eastAsiaTheme="minorEastAsia"/>
          <w:sz w:val="24"/>
        </w:rPr>
        <w:t>，</w:t>
      </w:r>
      <w:r w:rsidRPr="00FC1444">
        <w:rPr>
          <w:rFonts w:eastAsiaTheme="minorEastAsia"/>
          <w:bCs/>
          <w:sz w:val="24"/>
        </w:rPr>
        <w:t>根据已批复水资源论证报告可知，本项目灌溉井对</w:t>
      </w:r>
      <w:r w:rsidRPr="00FC1444">
        <w:rPr>
          <w:rFonts w:eastAsiaTheme="minorEastAsia"/>
          <w:sz w:val="24"/>
        </w:rPr>
        <w:t>地下水</w:t>
      </w:r>
      <w:r w:rsidRPr="00FC1444">
        <w:rPr>
          <w:rFonts w:eastAsiaTheme="minorEastAsia"/>
          <w:bCs/>
          <w:sz w:val="24"/>
        </w:rPr>
        <w:t>日最大</w:t>
      </w:r>
      <w:r w:rsidRPr="00FC1444">
        <w:rPr>
          <w:rFonts w:eastAsiaTheme="minorEastAsia"/>
          <w:sz w:val="24"/>
        </w:rPr>
        <w:t>取量</w:t>
      </w:r>
      <w:r w:rsidR="004E26F5" w:rsidRPr="00FC1444">
        <w:rPr>
          <w:rFonts w:eastAsiaTheme="minorEastAsia"/>
          <w:sz w:val="24"/>
        </w:rPr>
        <w:t>约</w:t>
      </w:r>
      <w:r w:rsidRPr="00FC1444">
        <w:rPr>
          <w:rFonts w:eastAsiaTheme="minorEastAsia"/>
          <w:sz w:val="24"/>
        </w:rPr>
        <w:t>为</w:t>
      </w:r>
      <w:r w:rsidR="008B71D4" w:rsidRPr="00FC1444">
        <w:rPr>
          <w:rFonts w:eastAsiaTheme="minorEastAsia" w:hint="eastAsia"/>
          <w:sz w:val="24"/>
        </w:rPr>
        <w:t>45283</w:t>
      </w:r>
      <w:r w:rsidRPr="00FC1444">
        <w:rPr>
          <w:rFonts w:eastAsiaTheme="minorEastAsia"/>
          <w:sz w:val="24"/>
        </w:rPr>
        <w:t>m</w:t>
      </w:r>
      <w:r w:rsidRPr="00FC1444">
        <w:rPr>
          <w:rFonts w:eastAsiaTheme="minorEastAsia"/>
          <w:sz w:val="24"/>
          <w:vertAlign w:val="superscript"/>
        </w:rPr>
        <w:t>3</w:t>
      </w:r>
      <w:r w:rsidRPr="00FC1444">
        <w:rPr>
          <w:rFonts w:eastAsiaTheme="minorEastAsia"/>
          <w:bCs/>
          <w:sz w:val="24"/>
        </w:rPr>
        <w:t>，属于</w:t>
      </w:r>
      <w:r w:rsidRPr="00FC1444">
        <w:rPr>
          <w:rFonts w:eastAsiaTheme="minorEastAsia"/>
          <w:bCs/>
          <w:sz w:val="24"/>
        </w:rPr>
        <w:t>129</w:t>
      </w:r>
      <w:r w:rsidRPr="00FC1444">
        <w:rPr>
          <w:rFonts w:eastAsiaTheme="minorEastAsia"/>
          <w:bCs/>
          <w:sz w:val="24"/>
        </w:rPr>
        <w:t>、地下水开采（农村分散式家庭生活自用水井除外）中的日取水量</w:t>
      </w:r>
      <w:r w:rsidRPr="00FC1444">
        <w:rPr>
          <w:rFonts w:eastAsiaTheme="minorEastAsia"/>
          <w:bCs/>
          <w:sz w:val="24"/>
        </w:rPr>
        <w:t>1</w:t>
      </w:r>
      <w:r w:rsidRPr="00FC1444">
        <w:rPr>
          <w:rFonts w:eastAsiaTheme="minorEastAsia"/>
          <w:bCs/>
          <w:sz w:val="24"/>
        </w:rPr>
        <w:t>万立方米及以上，</w:t>
      </w:r>
      <w:r w:rsidR="00AC69F4" w:rsidRPr="00FC1444">
        <w:rPr>
          <w:rFonts w:eastAsiaTheme="minorEastAsia"/>
          <w:bCs/>
          <w:sz w:val="24"/>
        </w:rPr>
        <w:t>不涉及环境敏感区，</w:t>
      </w:r>
      <w:r w:rsidRPr="00FC1444">
        <w:rPr>
          <w:rFonts w:eastAsiaTheme="minorEastAsia"/>
          <w:bCs/>
          <w:sz w:val="24"/>
        </w:rPr>
        <w:t>故应编制</w:t>
      </w:r>
      <w:r w:rsidR="00713B73" w:rsidRPr="00FC1444">
        <w:rPr>
          <w:rFonts w:eastAsiaTheme="minorEastAsia"/>
          <w:bCs/>
          <w:sz w:val="24"/>
        </w:rPr>
        <w:t>生态</w:t>
      </w:r>
      <w:r w:rsidRPr="00FC1444">
        <w:rPr>
          <w:rFonts w:eastAsiaTheme="minorEastAsia"/>
          <w:bCs/>
          <w:sz w:val="24"/>
        </w:rPr>
        <w:t>环境影响报告书</w:t>
      </w:r>
      <w:r w:rsidRPr="00FC1444">
        <w:rPr>
          <w:rFonts w:eastAsiaTheme="minorEastAsia"/>
          <w:spacing w:val="-32"/>
          <w:sz w:val="24"/>
        </w:rPr>
        <w:t>。</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评价单位</w:t>
      </w:r>
      <w:r w:rsidRPr="00FC1444">
        <w:rPr>
          <w:rFonts w:eastAsiaTheme="minorEastAsia"/>
          <w:sz w:val="24"/>
        </w:rPr>
        <w:t>根据</w:t>
      </w:r>
      <w:r w:rsidRPr="00FC1444">
        <w:rPr>
          <w:rFonts w:eastAsiaTheme="minorEastAsia"/>
          <w:kern w:val="0"/>
          <w:sz w:val="24"/>
        </w:rPr>
        <w:t>《建设项目环境影响评价技术导则</w:t>
      </w:r>
      <w:r w:rsidRPr="00FC1444">
        <w:rPr>
          <w:rFonts w:eastAsiaTheme="minorEastAsia"/>
          <w:kern w:val="0"/>
          <w:sz w:val="24"/>
        </w:rPr>
        <w:t xml:space="preserve"> </w:t>
      </w:r>
      <w:r w:rsidRPr="00FC1444">
        <w:rPr>
          <w:rFonts w:eastAsiaTheme="minorEastAsia"/>
          <w:kern w:val="0"/>
          <w:sz w:val="24"/>
        </w:rPr>
        <w:t>总纲》</w:t>
      </w:r>
      <w:r w:rsidRPr="00FC1444">
        <w:rPr>
          <w:rFonts w:eastAsiaTheme="minorEastAsia"/>
          <w:sz w:val="24"/>
        </w:rPr>
        <w:t>（</w:t>
      </w:r>
      <w:r w:rsidRPr="00FC1444">
        <w:rPr>
          <w:rFonts w:eastAsiaTheme="minorEastAsia"/>
          <w:sz w:val="24"/>
        </w:rPr>
        <w:t>HJ 2.1-2016</w:t>
      </w:r>
      <w:r w:rsidRPr="00FC1444">
        <w:rPr>
          <w:rFonts w:eastAsiaTheme="minorEastAsia"/>
          <w:sz w:val="24"/>
        </w:rPr>
        <w:t>）</w:t>
      </w:r>
      <w:r w:rsidRPr="00FC1444">
        <w:rPr>
          <w:rFonts w:eastAsiaTheme="minorEastAsia"/>
          <w:kern w:val="0"/>
          <w:sz w:val="24"/>
        </w:rPr>
        <w:t>的要求，分三个阶段展开</w:t>
      </w:r>
      <w:r w:rsidR="00FC1444" w:rsidRPr="00FC1444">
        <w:rPr>
          <w:rFonts w:eastAsiaTheme="minorEastAsia"/>
          <w:kern w:val="0"/>
          <w:sz w:val="24"/>
        </w:rPr>
        <w:t>生态</w:t>
      </w:r>
      <w:r w:rsidRPr="00FC1444">
        <w:rPr>
          <w:rFonts w:eastAsiaTheme="minorEastAsia"/>
          <w:kern w:val="0"/>
          <w:sz w:val="24"/>
        </w:rPr>
        <w:t>环境影响评价工作：</w:t>
      </w:r>
    </w:p>
    <w:p w:rsidR="002A5A5E" w:rsidRPr="00FC1444" w:rsidRDefault="00611CBA">
      <w:pPr>
        <w:widowControl/>
        <w:tabs>
          <w:tab w:val="right" w:leader="dot" w:pos="8505"/>
        </w:tabs>
        <w:spacing w:line="360" w:lineRule="auto"/>
        <w:ind w:firstLineChars="200" w:firstLine="480"/>
        <w:jc w:val="left"/>
        <w:rPr>
          <w:rFonts w:eastAsiaTheme="minorEastAsia"/>
          <w:kern w:val="0"/>
          <w:sz w:val="24"/>
        </w:rPr>
      </w:pPr>
      <w:r w:rsidRPr="00FC1444">
        <w:rPr>
          <w:rFonts w:eastAsiaTheme="minorEastAsia"/>
          <w:kern w:val="0"/>
          <w:sz w:val="24"/>
        </w:rPr>
        <w:t>第一阶段，首先依据相关规定确定</w:t>
      </w:r>
      <w:r w:rsidR="00FC1444" w:rsidRPr="00FC1444">
        <w:rPr>
          <w:rFonts w:eastAsiaTheme="minorEastAsia"/>
          <w:kern w:val="0"/>
          <w:sz w:val="24"/>
        </w:rPr>
        <w:t>生态</w:t>
      </w:r>
      <w:r w:rsidRPr="00FC1444">
        <w:rPr>
          <w:rFonts w:eastAsiaTheme="minorEastAsia"/>
          <w:kern w:val="0"/>
          <w:sz w:val="24"/>
        </w:rPr>
        <w:t>环境影响评价文件类型，之后研究相关技术文件和其他有关文件，进行初步工程分析，开展初步的环境现状调查，接着进行</w:t>
      </w:r>
      <w:r w:rsidR="00FC1444" w:rsidRPr="00FC1444">
        <w:rPr>
          <w:rFonts w:eastAsiaTheme="minorEastAsia"/>
          <w:kern w:val="0"/>
          <w:sz w:val="24"/>
        </w:rPr>
        <w:t>生态</w:t>
      </w:r>
      <w:r w:rsidRPr="00FC1444">
        <w:rPr>
          <w:rFonts w:eastAsiaTheme="minorEastAsia"/>
          <w:kern w:val="0"/>
          <w:sz w:val="24"/>
        </w:rPr>
        <w:t>环境影响识别和筛选评价因子，明确评价重点和环境保护目标，确定工作等级、评价范围和评价标准，最后制定工作方案。</w:t>
      </w:r>
    </w:p>
    <w:p w:rsidR="002A5A5E" w:rsidRPr="00FC1444" w:rsidRDefault="00611CBA">
      <w:pPr>
        <w:widowControl/>
        <w:tabs>
          <w:tab w:val="right" w:leader="dot" w:pos="8505"/>
        </w:tabs>
        <w:spacing w:line="360" w:lineRule="auto"/>
        <w:ind w:firstLineChars="200" w:firstLine="480"/>
        <w:jc w:val="left"/>
        <w:rPr>
          <w:rFonts w:eastAsiaTheme="minorEastAsia"/>
          <w:kern w:val="0"/>
          <w:sz w:val="24"/>
        </w:rPr>
      </w:pPr>
      <w:r w:rsidRPr="00FC1444">
        <w:rPr>
          <w:rFonts w:eastAsiaTheme="minorEastAsia"/>
          <w:kern w:val="0"/>
          <w:sz w:val="24"/>
        </w:rPr>
        <w:t>第二阶段，同步进行环境现状调查、监测与评价和建设项目工程分析，继而分别开展各环境要素和各专题</w:t>
      </w:r>
      <w:r w:rsidR="00FC1444" w:rsidRPr="00FC1444">
        <w:rPr>
          <w:rFonts w:eastAsiaTheme="minorEastAsia"/>
          <w:kern w:val="0"/>
          <w:sz w:val="24"/>
        </w:rPr>
        <w:t>生态</w:t>
      </w:r>
      <w:r w:rsidRPr="00FC1444">
        <w:rPr>
          <w:rFonts w:eastAsiaTheme="minorEastAsia"/>
          <w:kern w:val="0"/>
          <w:sz w:val="24"/>
        </w:rPr>
        <w:t>环境影响分析与评价。</w:t>
      </w:r>
    </w:p>
    <w:p w:rsidR="002A5A5E" w:rsidRPr="00FC1444" w:rsidRDefault="00611CBA">
      <w:pPr>
        <w:widowControl/>
        <w:tabs>
          <w:tab w:val="right" w:leader="dot" w:pos="8505"/>
        </w:tabs>
        <w:spacing w:line="360" w:lineRule="auto"/>
        <w:ind w:firstLineChars="200" w:firstLine="480"/>
        <w:jc w:val="left"/>
        <w:rPr>
          <w:rFonts w:eastAsiaTheme="minorEastAsia"/>
          <w:kern w:val="0"/>
          <w:sz w:val="24"/>
        </w:rPr>
      </w:pPr>
      <w:r w:rsidRPr="00FC1444">
        <w:rPr>
          <w:rFonts w:eastAsiaTheme="minorEastAsia"/>
          <w:kern w:val="0"/>
          <w:sz w:val="24"/>
        </w:rPr>
        <w:t>第三阶段，提出环境保护措施，进行技术经济论证，给出污染物排放清单，给出建设项目</w:t>
      </w:r>
      <w:r w:rsidR="00FC1444" w:rsidRPr="00FC1444">
        <w:rPr>
          <w:rFonts w:eastAsiaTheme="minorEastAsia"/>
          <w:kern w:val="0"/>
          <w:sz w:val="24"/>
        </w:rPr>
        <w:t>生态</w:t>
      </w:r>
      <w:r w:rsidRPr="00FC1444">
        <w:rPr>
          <w:rFonts w:eastAsiaTheme="minorEastAsia"/>
          <w:kern w:val="0"/>
          <w:sz w:val="24"/>
        </w:rPr>
        <w:t>环境影响评价结论，最后编制</w:t>
      </w:r>
      <w:r w:rsidR="00713B73" w:rsidRPr="00FC1444">
        <w:rPr>
          <w:rFonts w:eastAsiaTheme="minorEastAsia"/>
          <w:bCs/>
          <w:sz w:val="24"/>
        </w:rPr>
        <w:t>生态</w:t>
      </w:r>
      <w:r w:rsidRPr="00FC1444">
        <w:rPr>
          <w:rFonts w:eastAsiaTheme="minorEastAsia"/>
          <w:kern w:val="0"/>
          <w:sz w:val="24"/>
        </w:rPr>
        <w:t>环境影响报告书。</w:t>
      </w:r>
    </w:p>
    <w:p w:rsidR="00EE58F9" w:rsidRPr="00FC1444" w:rsidRDefault="00611CBA">
      <w:pPr>
        <w:jc w:val="center"/>
        <w:rPr>
          <w:rStyle w:val="Charf3"/>
          <w:rFonts w:ascii="Times New Roman" w:eastAsiaTheme="minorEastAsia" w:hAnsi="Times New Roman"/>
        </w:rPr>
      </w:pPr>
      <w:r w:rsidRPr="00FC1444">
        <w:rPr>
          <w:rFonts w:eastAsiaTheme="minorEastAsia"/>
          <w:noProof/>
          <w:kern w:val="0"/>
        </w:rPr>
        <w:lastRenderedPageBreak/>
        <w:drawing>
          <wp:inline distT="0" distB="0" distL="0" distR="0">
            <wp:extent cx="5014206" cy="4801724"/>
            <wp:effectExtent l="19050" t="0" r="0" b="0"/>
            <wp:docPr id="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6"/>
                    <pic:cNvPicPr>
                      <a:picLocks noChangeAspect="1" noChangeArrowheads="1"/>
                    </pic:cNvPicPr>
                  </pic:nvPicPr>
                  <pic:blipFill>
                    <a:blip r:embed="rId10" cstate="print"/>
                    <a:srcRect l="2990" t="2215" r="3015" b="3780"/>
                    <a:stretch>
                      <a:fillRect/>
                    </a:stretch>
                  </pic:blipFill>
                  <pic:spPr>
                    <a:xfrm>
                      <a:off x="0" y="0"/>
                      <a:ext cx="5016203" cy="4803636"/>
                    </a:xfrm>
                    <a:prstGeom prst="rect">
                      <a:avLst/>
                    </a:prstGeom>
                    <a:noFill/>
                    <a:ln w="9525">
                      <a:noFill/>
                      <a:miter lim="800000"/>
                      <a:headEnd/>
                      <a:tailEnd/>
                    </a:ln>
                  </pic:spPr>
                </pic:pic>
              </a:graphicData>
            </a:graphic>
          </wp:inline>
        </w:drawing>
      </w:r>
    </w:p>
    <w:p w:rsidR="002A5A5E" w:rsidRPr="00FC1444" w:rsidRDefault="00EE58F9">
      <w:pPr>
        <w:jc w:val="center"/>
        <w:rPr>
          <w:rStyle w:val="Charf3"/>
          <w:rFonts w:ascii="Times New Roman" w:eastAsiaTheme="minorEastAsia" w:hAnsi="Times New Roman"/>
        </w:rPr>
      </w:pPr>
      <w:r w:rsidRPr="00FC1444">
        <w:rPr>
          <w:rStyle w:val="Charf3"/>
          <w:rFonts w:ascii="Times New Roman" w:eastAsiaTheme="minorEastAsia" w:hAnsi="Times New Roman"/>
        </w:rPr>
        <w:t>图</w:t>
      </w:r>
      <w:r w:rsidR="00611CBA" w:rsidRPr="00FC1444">
        <w:rPr>
          <w:rStyle w:val="Charf3"/>
          <w:rFonts w:ascii="Times New Roman" w:eastAsiaTheme="minorEastAsia" w:hAnsi="Times New Roman"/>
        </w:rPr>
        <w:t>1-3-1</w:t>
      </w:r>
      <w:r w:rsidR="00FC1444" w:rsidRPr="00FC1444">
        <w:rPr>
          <w:rStyle w:val="Charf3"/>
          <w:rFonts w:ascii="Times New Roman" w:eastAsiaTheme="minorEastAsia" w:hAnsi="Times New Roman"/>
        </w:rPr>
        <w:t>生态</w:t>
      </w:r>
      <w:r w:rsidR="00611CBA" w:rsidRPr="00FC1444">
        <w:rPr>
          <w:rStyle w:val="Charf3"/>
          <w:rFonts w:ascii="Times New Roman" w:eastAsiaTheme="minorEastAsia" w:hAnsi="Times New Roman"/>
        </w:rPr>
        <w:t>环境影响评价工作程序</w:t>
      </w:r>
    </w:p>
    <w:p w:rsidR="002A5A5E" w:rsidRPr="00FC1444"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3" w:name="_Toc486932294"/>
      <w:bookmarkStart w:id="14" w:name="_Toc488072911"/>
      <w:bookmarkStart w:id="15" w:name="_Toc208906220"/>
      <w:r w:rsidRPr="00FC1444">
        <w:rPr>
          <w:rFonts w:eastAsiaTheme="minorEastAsia"/>
          <w:b/>
          <w:kern w:val="0"/>
          <w:sz w:val="32"/>
          <w:szCs w:val="32"/>
        </w:rPr>
        <w:t>1.4</w:t>
      </w:r>
      <w:r w:rsidRPr="00FC1444">
        <w:rPr>
          <w:rFonts w:eastAsiaTheme="minorEastAsia"/>
          <w:b/>
          <w:kern w:val="0"/>
          <w:sz w:val="32"/>
          <w:szCs w:val="32"/>
        </w:rPr>
        <w:t>分析判定相关情况</w:t>
      </w:r>
      <w:bookmarkEnd w:id="13"/>
      <w:bookmarkEnd w:id="14"/>
      <w:bookmarkEnd w:id="15"/>
    </w:p>
    <w:p w:rsidR="002A5A5E" w:rsidRPr="00FC1444"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1.4.1</w:t>
      </w:r>
      <w:r w:rsidRPr="00FC1444">
        <w:rPr>
          <w:rFonts w:ascii="Times New Roman" w:eastAsiaTheme="minorEastAsia" w:hAnsi="Times New Roman" w:cs="Times New Roman"/>
          <w:b/>
          <w:sz w:val="28"/>
          <w:szCs w:val="28"/>
        </w:rPr>
        <w:t>与产业政策规划符合性分析</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本项目为高标准农田建设项目，根据《产业结构调整指导目录（</w:t>
      </w:r>
      <w:r w:rsidRPr="00FC1444">
        <w:rPr>
          <w:rFonts w:ascii="Times New Roman" w:hAnsi="Times New Roman" w:cs="Times New Roman"/>
        </w:rPr>
        <w:t>2024</w:t>
      </w:r>
      <w:r w:rsidRPr="00FC1444">
        <w:rPr>
          <w:rFonts w:ascii="Times New Roman" w:hAnsi="Times New Roman" w:cs="Times New Roman"/>
        </w:rPr>
        <w:t>年本）》，本项目属于第一类鼓励类、第一项</w:t>
      </w:r>
      <w:r w:rsidRPr="00FC1444">
        <w:rPr>
          <w:rFonts w:ascii="Times New Roman" w:hAnsi="Times New Roman" w:cs="Times New Roman"/>
        </w:rPr>
        <w:t>“</w:t>
      </w:r>
      <w:r w:rsidRPr="00FC1444">
        <w:rPr>
          <w:rFonts w:ascii="Times New Roman" w:hAnsi="Times New Roman" w:cs="Times New Roman"/>
        </w:rPr>
        <w:t>农林业</w:t>
      </w:r>
      <w:r w:rsidRPr="00FC1444">
        <w:rPr>
          <w:rFonts w:ascii="Times New Roman" w:hAnsi="Times New Roman" w:cs="Times New Roman"/>
        </w:rPr>
        <w:t>”</w:t>
      </w:r>
      <w:r w:rsidRPr="00FC1444">
        <w:rPr>
          <w:rFonts w:ascii="Times New Roman" w:hAnsi="Times New Roman" w:cs="Times New Roman"/>
        </w:rPr>
        <w:t>中</w:t>
      </w:r>
      <w:r w:rsidRPr="00FC1444">
        <w:rPr>
          <w:rFonts w:ascii="Times New Roman" w:hAnsi="Times New Roman" w:cs="Times New Roman"/>
        </w:rPr>
        <w:t>“1</w:t>
      </w:r>
      <w:r w:rsidRPr="00FC1444">
        <w:rPr>
          <w:rFonts w:ascii="Times New Roman" w:hAnsi="Times New Roman" w:cs="Times New Roman"/>
        </w:rPr>
        <w:t>、农田建设与保护工程（含高标准农田建设、农田水利建设、高效节水灌溉、农田整治等），土地综合整治</w:t>
      </w:r>
      <w:r w:rsidRPr="00FC1444">
        <w:rPr>
          <w:rFonts w:ascii="Times New Roman" w:hAnsi="Times New Roman" w:cs="Times New Roman"/>
        </w:rPr>
        <w:t>”</w:t>
      </w:r>
      <w:r w:rsidRPr="00FC1444">
        <w:rPr>
          <w:rFonts w:ascii="Times New Roman" w:hAnsi="Times New Roman" w:cs="Times New Roman"/>
        </w:rPr>
        <w:t>及鼓励类二、水利中</w:t>
      </w:r>
      <w:r w:rsidRPr="00FC1444">
        <w:rPr>
          <w:rFonts w:ascii="Times New Roman" w:hAnsi="Times New Roman" w:cs="Times New Roman"/>
        </w:rPr>
        <w:t>2.</w:t>
      </w:r>
      <w:r w:rsidRPr="00FC1444">
        <w:rPr>
          <w:rFonts w:ascii="Times New Roman" w:hAnsi="Times New Roman" w:cs="Times New Roman"/>
        </w:rPr>
        <w:t>节水供水工程：灌区及配套设施建设、改造，属于鼓励类项目，符合国家现行产业政策要求。</w:t>
      </w:r>
    </w:p>
    <w:p w:rsidR="002A5A5E" w:rsidRPr="00FC1444"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1.4.2</w:t>
      </w:r>
      <w:r w:rsidRPr="00FC1444">
        <w:rPr>
          <w:rFonts w:ascii="Times New Roman" w:eastAsiaTheme="minorEastAsia" w:hAnsi="Times New Roman" w:cs="Times New Roman"/>
          <w:b/>
          <w:sz w:val="28"/>
          <w:szCs w:val="28"/>
        </w:rPr>
        <w:t>与相关法律、法规符合性分析</w:t>
      </w:r>
    </w:p>
    <w:p w:rsidR="002A5A5E" w:rsidRPr="00FC1444" w:rsidRDefault="00760E2B">
      <w:pPr>
        <w:spacing w:line="360" w:lineRule="auto"/>
        <w:ind w:firstLineChars="200" w:firstLine="480"/>
        <w:jc w:val="left"/>
        <w:rPr>
          <w:rFonts w:eastAsiaTheme="minorEastAsia"/>
        </w:rPr>
      </w:pPr>
      <w:r w:rsidRPr="00FC1444">
        <w:rPr>
          <w:rFonts w:eastAsiaTheme="minorEastAsia"/>
          <w:sz w:val="24"/>
          <w:shd w:val="clear" w:color="auto" w:fill="FFFFFF"/>
        </w:rPr>
        <w:t>（</w:t>
      </w:r>
      <w:r w:rsidR="006B5CB5" w:rsidRPr="00FC1444">
        <w:rPr>
          <w:rFonts w:eastAsiaTheme="minorEastAsia" w:hint="eastAsia"/>
          <w:sz w:val="24"/>
          <w:shd w:val="clear" w:color="auto" w:fill="FFFFFF"/>
        </w:rPr>
        <w:t>1</w:t>
      </w:r>
      <w:r w:rsidRPr="00FC1444">
        <w:rPr>
          <w:rFonts w:eastAsiaTheme="minorEastAsia"/>
          <w:sz w:val="24"/>
          <w:shd w:val="clear" w:color="auto" w:fill="FFFFFF"/>
        </w:rPr>
        <w:t>）</w:t>
      </w:r>
      <w:r w:rsidR="00611CBA" w:rsidRPr="00FC1444">
        <w:rPr>
          <w:rFonts w:eastAsiaTheme="minorEastAsia"/>
          <w:kern w:val="0"/>
          <w:sz w:val="24"/>
        </w:rPr>
        <w:t>与</w:t>
      </w:r>
      <w:r w:rsidR="00611CBA" w:rsidRPr="00FC1444">
        <w:rPr>
          <w:rFonts w:eastAsiaTheme="minorEastAsia"/>
          <w:snapToGrid w:val="0"/>
          <w:kern w:val="0"/>
          <w:sz w:val="24"/>
        </w:rPr>
        <w:t>《中华人民共和国水法》</w:t>
      </w:r>
      <w:r w:rsidR="00611CBA" w:rsidRPr="00FC1444">
        <w:rPr>
          <w:rFonts w:eastAsiaTheme="minorEastAsia"/>
          <w:kern w:val="0"/>
          <w:sz w:val="24"/>
        </w:rPr>
        <w:t>符合性分析</w:t>
      </w:r>
    </w:p>
    <w:p w:rsidR="002A5A5E" w:rsidRPr="00FC1444" w:rsidRDefault="00AC2BA4">
      <w:pPr>
        <w:spacing w:line="360" w:lineRule="auto"/>
        <w:ind w:firstLineChars="200" w:firstLine="480"/>
        <w:jc w:val="left"/>
        <w:rPr>
          <w:rFonts w:eastAsiaTheme="minorEastAsia"/>
          <w:kern w:val="0"/>
          <w:sz w:val="24"/>
        </w:rPr>
      </w:pPr>
      <w:r w:rsidRPr="00FC1444">
        <w:rPr>
          <w:rFonts w:eastAsiaTheme="minorEastAsia"/>
          <w:sz w:val="24"/>
        </w:rPr>
        <w:lastRenderedPageBreak/>
        <w:t>相关内容：</w:t>
      </w:r>
      <w:r w:rsidR="00611CBA" w:rsidRPr="00FC1444">
        <w:rPr>
          <w:rFonts w:eastAsiaTheme="minorEastAsia"/>
          <w:kern w:val="0"/>
          <w:sz w:val="24"/>
        </w:rPr>
        <w:t>《中华人民共和国水法》第五十条规定：</w:t>
      </w:r>
      <w:r w:rsidR="00611CBA" w:rsidRPr="00FC1444">
        <w:rPr>
          <w:rFonts w:eastAsiaTheme="minorEastAsia"/>
          <w:kern w:val="0"/>
          <w:sz w:val="24"/>
        </w:rPr>
        <w:t>“</w:t>
      </w:r>
      <w:r w:rsidR="00611CBA" w:rsidRPr="00FC1444">
        <w:rPr>
          <w:rFonts w:eastAsiaTheme="minorEastAsia"/>
          <w:kern w:val="0"/>
          <w:sz w:val="24"/>
        </w:rPr>
        <w:t>各级人民政府应当推行节水灌溉方式和节水技术，对农业蓄水、输水工程采取必要的防渗漏措施，提高农业用水效率。</w:t>
      </w:r>
      <w:r w:rsidR="00611CBA" w:rsidRPr="00FC1444">
        <w:rPr>
          <w:rFonts w:eastAsiaTheme="minorEastAsia"/>
          <w:kern w:val="0"/>
          <w:sz w:val="24"/>
        </w:rPr>
        <w:t>”</w:t>
      </w:r>
    </w:p>
    <w:p w:rsidR="002A5A5E" w:rsidRPr="00FC1444" w:rsidRDefault="00AC2BA4">
      <w:pPr>
        <w:spacing w:line="360" w:lineRule="auto"/>
        <w:ind w:firstLineChars="200" w:firstLine="480"/>
        <w:jc w:val="left"/>
        <w:rPr>
          <w:rFonts w:eastAsiaTheme="minorEastAsia"/>
          <w:kern w:val="0"/>
          <w:sz w:val="24"/>
        </w:rPr>
      </w:pPr>
      <w:r w:rsidRPr="00FC1444">
        <w:rPr>
          <w:rFonts w:eastAsiaTheme="minorEastAsia"/>
          <w:kern w:val="0"/>
          <w:sz w:val="24"/>
        </w:rPr>
        <w:t>符合性分析：</w:t>
      </w:r>
      <w:r w:rsidR="00611CBA" w:rsidRPr="00FC1444">
        <w:rPr>
          <w:rFonts w:eastAsiaTheme="minorEastAsia"/>
          <w:sz w:val="24"/>
        </w:rPr>
        <w:t>根据已批复《</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00611CBA" w:rsidRPr="00FC1444">
        <w:rPr>
          <w:rFonts w:eastAsiaTheme="minorEastAsia"/>
          <w:sz w:val="24"/>
        </w:rPr>
        <w:t>水资源论证报告书》，</w:t>
      </w:r>
      <w:r w:rsidR="00611CBA" w:rsidRPr="00FC1444">
        <w:rPr>
          <w:rFonts w:eastAsiaTheme="minorEastAsia"/>
          <w:sz w:val="24"/>
          <w:shd w:val="clear" w:color="auto" w:fill="FFFFFF"/>
        </w:rPr>
        <w:t>本项目</w:t>
      </w:r>
      <w:r w:rsidR="00611CBA" w:rsidRPr="00FC1444">
        <w:rPr>
          <w:rFonts w:eastAsiaTheme="minorEastAsia"/>
          <w:kern w:val="0"/>
          <w:sz w:val="24"/>
        </w:rPr>
        <w:t>设计灌溉保证率为</w:t>
      </w:r>
      <w:r w:rsidR="00611CBA" w:rsidRPr="00FC1444">
        <w:rPr>
          <w:rFonts w:eastAsiaTheme="minorEastAsia"/>
          <w:kern w:val="0"/>
          <w:sz w:val="24"/>
        </w:rPr>
        <w:t>90%</w:t>
      </w:r>
      <w:r w:rsidR="00611CBA" w:rsidRPr="00FC1444">
        <w:rPr>
          <w:rFonts w:eastAsiaTheme="minorEastAsia"/>
          <w:kern w:val="0"/>
          <w:sz w:val="24"/>
        </w:rPr>
        <w:t>，</w:t>
      </w:r>
      <w:r w:rsidR="00FD6E06" w:rsidRPr="00FC1444">
        <w:rPr>
          <w:rFonts w:eastAsiaTheme="minorEastAsia"/>
          <w:kern w:val="0"/>
          <w:sz w:val="24"/>
        </w:rPr>
        <w:t>坐水种灌溉水利用系数</w:t>
      </w:r>
      <w:r w:rsidR="00FD6E06" w:rsidRPr="00FC1444">
        <w:rPr>
          <w:rFonts w:eastAsiaTheme="minorEastAsia"/>
          <w:kern w:val="0"/>
          <w:sz w:val="24"/>
        </w:rPr>
        <w:t>0.85</w:t>
      </w:r>
      <w:r w:rsidR="00C44A54" w:rsidRPr="00FC1444">
        <w:rPr>
          <w:rFonts w:eastAsiaTheme="minorEastAsia"/>
          <w:kern w:val="0"/>
          <w:sz w:val="24"/>
        </w:rPr>
        <w:t>，滴灌灌溉水利用系数</w:t>
      </w:r>
      <w:r w:rsidR="00C44A54" w:rsidRPr="00FC1444">
        <w:rPr>
          <w:rFonts w:eastAsiaTheme="minorEastAsia"/>
          <w:kern w:val="0"/>
          <w:sz w:val="24"/>
        </w:rPr>
        <w:t>0.93</w:t>
      </w:r>
      <w:r w:rsidR="00611CBA" w:rsidRPr="00FC1444">
        <w:rPr>
          <w:rFonts w:eastAsiaTheme="minorEastAsia"/>
          <w:kern w:val="0"/>
          <w:sz w:val="24"/>
        </w:rPr>
        <w:t>，并采取节水措施。</w:t>
      </w:r>
      <w:r w:rsidR="00611CBA" w:rsidRPr="00FC1444">
        <w:rPr>
          <w:rFonts w:eastAsiaTheme="minorEastAsia"/>
          <w:sz w:val="24"/>
          <w:shd w:val="clear" w:color="auto" w:fill="FFFFFF"/>
        </w:rPr>
        <w:t>因此，项目</w:t>
      </w:r>
      <w:r w:rsidR="00611CBA" w:rsidRPr="00FC1444">
        <w:rPr>
          <w:rFonts w:eastAsiaTheme="minorEastAsia"/>
          <w:kern w:val="0"/>
          <w:sz w:val="24"/>
        </w:rPr>
        <w:t>与《中华人民共和国水法》相符合。</w:t>
      </w:r>
    </w:p>
    <w:p w:rsidR="002A5A5E" w:rsidRPr="00FC1444" w:rsidRDefault="00760E2B">
      <w:pPr>
        <w:spacing w:line="360" w:lineRule="auto"/>
        <w:ind w:firstLineChars="200" w:firstLine="480"/>
        <w:jc w:val="left"/>
        <w:rPr>
          <w:rFonts w:eastAsiaTheme="minorEastAsia"/>
          <w:kern w:val="0"/>
          <w:sz w:val="24"/>
        </w:rPr>
      </w:pPr>
      <w:r w:rsidRPr="00FC1444">
        <w:rPr>
          <w:rFonts w:eastAsiaTheme="minorEastAsia"/>
          <w:kern w:val="0"/>
          <w:sz w:val="24"/>
        </w:rPr>
        <w:t>（</w:t>
      </w:r>
      <w:r w:rsidR="006B5CB5" w:rsidRPr="00FC1444">
        <w:rPr>
          <w:rFonts w:eastAsiaTheme="minorEastAsia" w:hint="eastAsia"/>
          <w:kern w:val="0"/>
          <w:sz w:val="24"/>
        </w:rPr>
        <w:t>2</w:t>
      </w:r>
      <w:r w:rsidRPr="00FC1444">
        <w:rPr>
          <w:rFonts w:eastAsiaTheme="minorEastAsia"/>
          <w:kern w:val="0"/>
          <w:sz w:val="24"/>
        </w:rPr>
        <w:t>）</w:t>
      </w:r>
      <w:r w:rsidR="00611CBA" w:rsidRPr="00FC1444">
        <w:rPr>
          <w:rFonts w:eastAsiaTheme="minorEastAsia"/>
          <w:kern w:val="0"/>
          <w:sz w:val="24"/>
        </w:rPr>
        <w:t>与《中华人民共和国森林法》符合性分析</w:t>
      </w:r>
    </w:p>
    <w:p w:rsidR="002A5A5E" w:rsidRPr="00FC1444" w:rsidRDefault="00AC2BA4">
      <w:pPr>
        <w:spacing w:line="360" w:lineRule="auto"/>
        <w:ind w:firstLineChars="200" w:firstLine="480"/>
        <w:jc w:val="left"/>
        <w:rPr>
          <w:rFonts w:eastAsiaTheme="minorEastAsia"/>
          <w:kern w:val="0"/>
          <w:sz w:val="24"/>
        </w:rPr>
      </w:pPr>
      <w:r w:rsidRPr="00FC1444">
        <w:rPr>
          <w:rFonts w:eastAsiaTheme="minorEastAsia"/>
          <w:sz w:val="24"/>
        </w:rPr>
        <w:t>相关内容：</w:t>
      </w:r>
      <w:r w:rsidR="00611CBA" w:rsidRPr="00FC1444">
        <w:rPr>
          <w:rFonts w:eastAsiaTheme="minorEastAsia"/>
          <w:kern w:val="0"/>
          <w:sz w:val="24"/>
        </w:rPr>
        <w:t>《中华人民共和国森林法》第三十七条规定：</w:t>
      </w:r>
      <w:r w:rsidR="00611CBA" w:rsidRPr="00FC1444">
        <w:rPr>
          <w:rFonts w:eastAsiaTheme="minorEastAsia"/>
          <w:kern w:val="0"/>
          <w:sz w:val="24"/>
        </w:rPr>
        <w:t>“</w:t>
      </w:r>
      <w:r w:rsidR="00611CBA" w:rsidRPr="00FC1444">
        <w:rPr>
          <w:rFonts w:eastAsiaTheme="minorEastAsia"/>
          <w:kern w:val="0"/>
          <w:sz w:val="24"/>
        </w:rPr>
        <w:t>矿藏勘查、开采以及其他各类工程建设，应当不占或者少占林地；确需占用林地的，应当经县级以上人民政府林业主管部门审核同意，依法办理建设用地审批手续。占用林地的单位应当缴纳森林植被恢复费。森林植被恢复费征收使用管理办法由国务院财政部门会同林业主管部门制定。</w:t>
      </w:r>
      <w:r w:rsidR="00611CBA" w:rsidRPr="00FC1444">
        <w:rPr>
          <w:rFonts w:eastAsiaTheme="minorEastAsia"/>
          <w:kern w:val="0"/>
          <w:sz w:val="24"/>
        </w:rPr>
        <w:t>”</w:t>
      </w:r>
    </w:p>
    <w:p w:rsidR="002A5A5E" w:rsidRPr="00FC1444" w:rsidRDefault="00AC2BA4">
      <w:pPr>
        <w:spacing w:line="360" w:lineRule="auto"/>
        <w:ind w:firstLineChars="200" w:firstLine="480"/>
        <w:jc w:val="left"/>
        <w:rPr>
          <w:rFonts w:eastAsiaTheme="minorEastAsia"/>
          <w:kern w:val="0"/>
          <w:sz w:val="24"/>
        </w:rPr>
      </w:pPr>
      <w:r w:rsidRPr="00FC1444">
        <w:rPr>
          <w:rFonts w:eastAsiaTheme="minorEastAsia"/>
          <w:kern w:val="0"/>
          <w:sz w:val="24"/>
        </w:rPr>
        <w:t>符合性分析：</w:t>
      </w:r>
      <w:r w:rsidR="00611CBA" w:rsidRPr="00FC1444">
        <w:rPr>
          <w:rFonts w:eastAsiaTheme="minorEastAsia"/>
          <w:snapToGrid w:val="0"/>
          <w:kern w:val="0"/>
          <w:sz w:val="24"/>
        </w:rPr>
        <w:t>本项目田间道路工程在现有</w:t>
      </w:r>
      <w:r w:rsidR="0097424D" w:rsidRPr="00FC1444">
        <w:rPr>
          <w:rFonts w:eastAsiaTheme="minorEastAsia"/>
          <w:snapToGrid w:val="0"/>
          <w:kern w:val="0"/>
          <w:sz w:val="24"/>
        </w:rPr>
        <w:t>道路基础上修建，现有灌溉渠道衬砌，现有排水沟清淤，田块整治工程</w:t>
      </w:r>
      <w:r w:rsidR="00D622BA" w:rsidRPr="00FC1444">
        <w:rPr>
          <w:rFonts w:eastAsiaTheme="minorEastAsia"/>
          <w:snapToGrid w:val="0"/>
          <w:kern w:val="0"/>
          <w:sz w:val="24"/>
        </w:rPr>
        <w:t>、</w:t>
      </w:r>
      <w:r w:rsidR="007603A1" w:rsidRPr="00FC1444">
        <w:rPr>
          <w:rFonts w:eastAsiaTheme="minorEastAsia"/>
          <w:snapToGrid w:val="0"/>
          <w:kern w:val="0"/>
          <w:sz w:val="24"/>
        </w:rPr>
        <w:t>农田防护及生态环境保护工程</w:t>
      </w:r>
      <w:r w:rsidR="00611CBA" w:rsidRPr="00FC1444">
        <w:rPr>
          <w:rFonts w:eastAsiaTheme="minorEastAsia"/>
          <w:bCs/>
          <w:snapToGrid w:val="0"/>
          <w:kern w:val="0"/>
          <w:sz w:val="24"/>
        </w:rPr>
        <w:t>在永久占地范围内</w:t>
      </w:r>
      <w:r w:rsidR="00611CBA" w:rsidRPr="00FC1444">
        <w:rPr>
          <w:rFonts w:eastAsiaTheme="minorEastAsia"/>
          <w:snapToGrid w:val="0"/>
          <w:kern w:val="0"/>
          <w:sz w:val="24"/>
        </w:rPr>
        <w:t>，不新增临时占地</w:t>
      </w:r>
      <w:r w:rsidR="00611CBA" w:rsidRPr="00FC1444">
        <w:rPr>
          <w:rFonts w:eastAsiaTheme="minorEastAsia"/>
          <w:sz w:val="24"/>
        </w:rPr>
        <w:t>。临时占地类型为旱地、草地。不占用林地</w:t>
      </w:r>
      <w:r w:rsidR="00611CBA" w:rsidRPr="00FC1444">
        <w:rPr>
          <w:rFonts w:eastAsiaTheme="minorEastAsia"/>
          <w:kern w:val="0"/>
          <w:sz w:val="24"/>
        </w:rPr>
        <w:t>，因此，本项目的建设符合《中华人民共和国森林法》的有关规定。</w:t>
      </w:r>
    </w:p>
    <w:p w:rsidR="002A5A5E" w:rsidRPr="00FC1444" w:rsidRDefault="00760E2B">
      <w:pPr>
        <w:spacing w:line="360" w:lineRule="auto"/>
        <w:ind w:firstLineChars="200" w:firstLine="480"/>
        <w:jc w:val="left"/>
        <w:rPr>
          <w:rFonts w:eastAsiaTheme="minorEastAsia"/>
          <w:kern w:val="0"/>
          <w:sz w:val="24"/>
        </w:rPr>
      </w:pPr>
      <w:r w:rsidRPr="00FC1444">
        <w:rPr>
          <w:rFonts w:eastAsiaTheme="minorEastAsia"/>
          <w:kern w:val="0"/>
          <w:sz w:val="24"/>
        </w:rPr>
        <w:t>（</w:t>
      </w:r>
      <w:r w:rsidR="006B5CB5" w:rsidRPr="00FC1444">
        <w:rPr>
          <w:rFonts w:eastAsiaTheme="minorEastAsia" w:hint="eastAsia"/>
          <w:kern w:val="0"/>
          <w:sz w:val="24"/>
        </w:rPr>
        <w:t>3</w:t>
      </w:r>
      <w:r w:rsidRPr="00FC1444">
        <w:rPr>
          <w:rFonts w:eastAsiaTheme="minorEastAsia"/>
          <w:kern w:val="0"/>
          <w:sz w:val="24"/>
        </w:rPr>
        <w:t>）</w:t>
      </w:r>
      <w:r w:rsidR="00611CBA" w:rsidRPr="00FC1444">
        <w:rPr>
          <w:rFonts w:eastAsiaTheme="minorEastAsia"/>
          <w:kern w:val="0"/>
          <w:sz w:val="24"/>
        </w:rPr>
        <w:t>与《中华人民共和国土地管理法》符合性分析</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《中华人民共和国土地管理法》第十七条规定：严格保护永久基本农田，严格控制非农业建设占用农用地；保护和改善生态环境，保障土地的可持续利用。</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本项目为高标准农田建设项目，为农业建设项目，无法避让基本农田，</w:t>
      </w:r>
      <w:r w:rsidRPr="00FC1444">
        <w:rPr>
          <w:rFonts w:eastAsiaTheme="minorEastAsia"/>
          <w:snapToGrid w:val="0"/>
          <w:kern w:val="0"/>
          <w:sz w:val="24"/>
        </w:rPr>
        <w:t>本项目田间道路工程在现有</w:t>
      </w:r>
      <w:r w:rsidR="0097424D" w:rsidRPr="00FC1444">
        <w:rPr>
          <w:rFonts w:eastAsiaTheme="minorEastAsia"/>
          <w:snapToGrid w:val="0"/>
          <w:kern w:val="0"/>
          <w:sz w:val="24"/>
        </w:rPr>
        <w:t>道路基础上修建，现有灌溉渠道衬砌，现有排水沟清淤，田块整治工程</w:t>
      </w:r>
      <w:r w:rsidR="007603A1" w:rsidRPr="00FC1444">
        <w:rPr>
          <w:rFonts w:eastAsiaTheme="minorEastAsia"/>
          <w:snapToGrid w:val="0"/>
          <w:kern w:val="0"/>
          <w:sz w:val="24"/>
        </w:rPr>
        <w:t>、农田防护及生态环境保护工程</w:t>
      </w:r>
      <w:r w:rsidRPr="00FC1444">
        <w:rPr>
          <w:rFonts w:eastAsiaTheme="minorEastAsia"/>
          <w:bCs/>
          <w:snapToGrid w:val="0"/>
          <w:kern w:val="0"/>
          <w:sz w:val="24"/>
        </w:rPr>
        <w:t>在永久占地范围内</w:t>
      </w:r>
      <w:r w:rsidRPr="00FC1444">
        <w:rPr>
          <w:rFonts w:eastAsiaTheme="minorEastAsia"/>
          <w:snapToGrid w:val="0"/>
          <w:kern w:val="0"/>
          <w:sz w:val="24"/>
        </w:rPr>
        <w:t>，不新增临时占地</w:t>
      </w:r>
      <w:r w:rsidRPr="00FC1444">
        <w:rPr>
          <w:rFonts w:eastAsiaTheme="minorEastAsia"/>
          <w:bCs/>
          <w:kern w:val="0"/>
          <w:sz w:val="24"/>
        </w:rPr>
        <w:t>。</w:t>
      </w:r>
      <w:r w:rsidRPr="00FC1444">
        <w:rPr>
          <w:rFonts w:eastAsiaTheme="minorEastAsia"/>
          <w:kern w:val="0"/>
          <w:sz w:val="24"/>
        </w:rPr>
        <w:t>本项目新增永久占用草地、坑塘水面、</w:t>
      </w:r>
      <w:r w:rsidR="00EE58F9" w:rsidRPr="00FC1444">
        <w:rPr>
          <w:rFonts w:eastAsiaTheme="minorEastAsia"/>
          <w:bCs/>
          <w:kern w:val="0"/>
          <w:sz w:val="24"/>
        </w:rPr>
        <w:t>水利设施用地</w:t>
      </w:r>
      <w:r w:rsidRPr="00FC1444">
        <w:rPr>
          <w:rFonts w:eastAsiaTheme="minorEastAsia"/>
          <w:bCs/>
          <w:kern w:val="0"/>
          <w:sz w:val="24"/>
        </w:rPr>
        <w:t>共</w:t>
      </w:r>
      <w:r w:rsidR="00C458B4" w:rsidRPr="00FC1444">
        <w:rPr>
          <w:rFonts w:eastAsiaTheme="minorEastAsia"/>
          <w:bCs/>
          <w:kern w:val="0"/>
          <w:sz w:val="24"/>
        </w:rPr>
        <w:t>22240</w:t>
      </w:r>
      <w:r w:rsidRPr="00FC1444">
        <w:rPr>
          <w:rFonts w:eastAsiaTheme="minorEastAsia"/>
          <w:bCs/>
          <w:kern w:val="0"/>
          <w:sz w:val="24"/>
        </w:rPr>
        <w:t>m</w:t>
      </w:r>
      <w:r w:rsidRPr="00FC1444">
        <w:rPr>
          <w:rFonts w:eastAsiaTheme="minorEastAsia"/>
          <w:kern w:val="0"/>
          <w:sz w:val="24"/>
          <w:vertAlign w:val="superscript"/>
        </w:rPr>
        <w:t>2</w:t>
      </w:r>
      <w:r w:rsidRPr="00FC1444">
        <w:rPr>
          <w:rFonts w:eastAsiaTheme="minorEastAsia"/>
          <w:kern w:val="0"/>
          <w:sz w:val="24"/>
        </w:rPr>
        <w:t>，临时占用</w:t>
      </w:r>
      <w:r w:rsidRPr="00FC1444">
        <w:rPr>
          <w:rFonts w:eastAsiaTheme="minorEastAsia"/>
          <w:sz w:val="24"/>
        </w:rPr>
        <w:t>旱地、草地</w:t>
      </w:r>
      <w:r w:rsidRPr="00FC1444">
        <w:rPr>
          <w:rFonts w:eastAsiaTheme="minorEastAsia"/>
          <w:kern w:val="0"/>
          <w:sz w:val="24"/>
        </w:rPr>
        <w:t>共</w:t>
      </w:r>
      <w:r w:rsidR="008A02BD" w:rsidRPr="00FC1444">
        <w:rPr>
          <w:rFonts w:eastAsiaTheme="minorEastAsia"/>
          <w:kern w:val="0"/>
          <w:sz w:val="24"/>
        </w:rPr>
        <w:t>513022</w:t>
      </w:r>
      <w:r w:rsidRPr="00FC1444">
        <w:rPr>
          <w:rFonts w:eastAsiaTheme="minorEastAsia"/>
          <w:kern w:val="0"/>
          <w:sz w:val="24"/>
        </w:rPr>
        <w:t>m</w:t>
      </w:r>
      <w:r w:rsidRPr="00FC1444">
        <w:rPr>
          <w:rFonts w:eastAsiaTheme="minorEastAsia"/>
          <w:kern w:val="0"/>
          <w:sz w:val="24"/>
          <w:vertAlign w:val="superscript"/>
        </w:rPr>
        <w:t>2</w:t>
      </w:r>
      <w:r w:rsidRPr="00FC1444">
        <w:rPr>
          <w:rFonts w:eastAsiaTheme="minorEastAsia"/>
          <w:kern w:val="0"/>
          <w:sz w:val="24"/>
        </w:rPr>
        <w:t>，本工程尽可能减少占地。因此，本项目的建设符合《中华人民共和国土地管理法》的有关规定。</w:t>
      </w:r>
    </w:p>
    <w:p w:rsidR="002A5A5E" w:rsidRPr="00FC1444" w:rsidRDefault="00760E2B">
      <w:pPr>
        <w:spacing w:line="360" w:lineRule="auto"/>
        <w:ind w:firstLineChars="200" w:firstLine="480"/>
        <w:jc w:val="left"/>
        <w:rPr>
          <w:rFonts w:eastAsiaTheme="minorEastAsia"/>
          <w:kern w:val="0"/>
          <w:sz w:val="24"/>
        </w:rPr>
      </w:pPr>
      <w:r w:rsidRPr="00FC1444">
        <w:rPr>
          <w:rFonts w:eastAsiaTheme="minorEastAsia"/>
          <w:kern w:val="0"/>
          <w:sz w:val="24"/>
        </w:rPr>
        <w:t>（</w:t>
      </w:r>
      <w:r w:rsidR="006B5CB5" w:rsidRPr="00FC1444">
        <w:rPr>
          <w:rFonts w:eastAsiaTheme="minorEastAsia" w:hint="eastAsia"/>
          <w:kern w:val="0"/>
          <w:sz w:val="24"/>
        </w:rPr>
        <w:t>4</w:t>
      </w:r>
      <w:r w:rsidRPr="00FC1444">
        <w:rPr>
          <w:rFonts w:eastAsiaTheme="minorEastAsia"/>
          <w:kern w:val="0"/>
          <w:sz w:val="24"/>
        </w:rPr>
        <w:t>）</w:t>
      </w:r>
      <w:r w:rsidR="00611CBA" w:rsidRPr="00FC1444">
        <w:rPr>
          <w:rFonts w:eastAsiaTheme="minorEastAsia"/>
          <w:kern w:val="0"/>
          <w:sz w:val="24"/>
        </w:rPr>
        <w:t>与《中华人民共和国黑土地保护法》符合性分析</w:t>
      </w:r>
    </w:p>
    <w:p w:rsidR="002A5A5E" w:rsidRPr="00FC1444" w:rsidRDefault="00611CBA" w:rsidP="00760E2B">
      <w:pPr>
        <w:spacing w:line="360" w:lineRule="auto"/>
        <w:ind w:firstLineChars="200" w:firstLine="480"/>
        <w:jc w:val="left"/>
        <w:rPr>
          <w:rFonts w:eastAsiaTheme="minorEastAsia"/>
          <w:kern w:val="0"/>
          <w:sz w:val="24"/>
        </w:rPr>
      </w:pPr>
      <w:r w:rsidRPr="00FC1444">
        <w:rPr>
          <w:rFonts w:eastAsiaTheme="minorEastAsia"/>
          <w:kern w:val="0"/>
          <w:sz w:val="24"/>
        </w:rPr>
        <w:t>相关内容</w:t>
      </w:r>
      <w:r w:rsidR="00760E2B" w:rsidRPr="00FC1444">
        <w:rPr>
          <w:rFonts w:eastAsiaTheme="minorEastAsia"/>
          <w:kern w:val="0"/>
          <w:sz w:val="24"/>
        </w:rPr>
        <w:t>：</w:t>
      </w:r>
      <w:r w:rsidRPr="00FC1444">
        <w:rPr>
          <w:rFonts w:eastAsiaTheme="minorEastAsia"/>
          <w:kern w:val="0"/>
          <w:sz w:val="24"/>
        </w:rPr>
        <w:t>建设项目占用黑土地的，应当按照规定的标准对耕作层的土壤进行剥离。剥离的黑土应当就近用于新开垦耕地和劣质耕地改良、被污染耕地的治</w:t>
      </w:r>
      <w:r w:rsidRPr="00FC1444">
        <w:rPr>
          <w:rFonts w:eastAsiaTheme="minorEastAsia"/>
          <w:kern w:val="0"/>
          <w:sz w:val="24"/>
        </w:rPr>
        <w:lastRenderedPageBreak/>
        <w:t>理、高标准农田建设、土地复垦等。</w:t>
      </w:r>
    </w:p>
    <w:p w:rsidR="002A5A5E" w:rsidRPr="00FC1444" w:rsidRDefault="00611CBA" w:rsidP="00760E2B">
      <w:pPr>
        <w:spacing w:line="360" w:lineRule="auto"/>
        <w:ind w:firstLineChars="200" w:firstLine="480"/>
        <w:jc w:val="left"/>
        <w:rPr>
          <w:rFonts w:eastAsiaTheme="minorEastAsia"/>
          <w:kern w:val="0"/>
          <w:sz w:val="24"/>
        </w:rPr>
      </w:pPr>
      <w:r w:rsidRPr="00FC1444">
        <w:rPr>
          <w:rFonts w:eastAsiaTheme="minorEastAsia"/>
          <w:kern w:val="0"/>
          <w:sz w:val="24"/>
        </w:rPr>
        <w:t>符合性分析</w:t>
      </w:r>
      <w:r w:rsidR="00760E2B" w:rsidRPr="00FC1444">
        <w:rPr>
          <w:rFonts w:eastAsiaTheme="minorEastAsia"/>
          <w:kern w:val="0"/>
          <w:sz w:val="24"/>
        </w:rPr>
        <w:t>：</w:t>
      </w:r>
      <w:r w:rsidRPr="00FC1444">
        <w:rPr>
          <w:rFonts w:eastAsiaTheme="minorEastAsia"/>
          <w:kern w:val="0"/>
          <w:sz w:val="24"/>
        </w:rPr>
        <w:t>本项目按照《黑龙江省人民政府办公厅关于建设占用耕地耕作层土壤剥离利用工作的指导意见（试行）》黑政办规【</w:t>
      </w:r>
      <w:r w:rsidRPr="00FC1444">
        <w:rPr>
          <w:rFonts w:eastAsiaTheme="minorEastAsia"/>
          <w:kern w:val="0"/>
          <w:sz w:val="24"/>
        </w:rPr>
        <w:t>2021</w:t>
      </w:r>
      <w:r w:rsidRPr="00FC1444">
        <w:rPr>
          <w:rFonts w:eastAsiaTheme="minorEastAsia"/>
          <w:kern w:val="0"/>
          <w:sz w:val="24"/>
        </w:rPr>
        <w:t>】</w:t>
      </w:r>
      <w:r w:rsidRPr="00FC1444">
        <w:rPr>
          <w:rFonts w:eastAsiaTheme="minorEastAsia"/>
          <w:kern w:val="0"/>
          <w:sz w:val="24"/>
        </w:rPr>
        <w:t>18</w:t>
      </w:r>
      <w:r w:rsidRPr="00FC1444">
        <w:rPr>
          <w:rFonts w:eastAsiaTheme="minorEastAsia"/>
          <w:kern w:val="0"/>
          <w:sz w:val="24"/>
        </w:rPr>
        <w:t>号、黑龙江省地方标准《建设占用耕地耕作层土壤剥离利用技术规范》（</w:t>
      </w:r>
      <w:r w:rsidRPr="00FC1444">
        <w:rPr>
          <w:rFonts w:eastAsiaTheme="minorEastAsia"/>
          <w:kern w:val="0"/>
          <w:sz w:val="24"/>
        </w:rPr>
        <w:t>DB23/T2913-2021</w:t>
      </w:r>
      <w:r w:rsidRPr="00FC1444">
        <w:rPr>
          <w:rFonts w:eastAsiaTheme="minorEastAsia"/>
          <w:kern w:val="0"/>
          <w:sz w:val="24"/>
        </w:rPr>
        <w:t>）要求进行土壤剥离。根据剥离机械设备性能，确定每次剥离的宽度和轴线及适宜剥离厚度，机械的剥离宽度</w:t>
      </w:r>
      <w:r w:rsidRPr="00FC1444">
        <w:rPr>
          <w:rFonts w:eastAsiaTheme="minorEastAsia"/>
          <w:kern w:val="0"/>
          <w:sz w:val="24"/>
        </w:rPr>
        <w:t>2m-4m</w:t>
      </w:r>
      <w:r w:rsidRPr="00FC1444">
        <w:rPr>
          <w:rFonts w:eastAsiaTheme="minorEastAsia"/>
          <w:kern w:val="0"/>
          <w:sz w:val="24"/>
        </w:rPr>
        <w:t>为宜。耕作层土壤剥离厚度宜在</w:t>
      </w:r>
      <w:r w:rsidRPr="00FC1444">
        <w:rPr>
          <w:rFonts w:eastAsiaTheme="minorEastAsia"/>
          <w:kern w:val="0"/>
          <w:sz w:val="24"/>
        </w:rPr>
        <w:t>20cm~30cm</w:t>
      </w:r>
      <w:r w:rsidRPr="00FC1444">
        <w:rPr>
          <w:rFonts w:eastAsiaTheme="minorEastAsia"/>
          <w:kern w:val="0"/>
          <w:sz w:val="24"/>
        </w:rPr>
        <w:t>。单次土壤剥离厚度不宜大于</w:t>
      </w:r>
      <w:r w:rsidRPr="00FC1444">
        <w:rPr>
          <w:rFonts w:eastAsiaTheme="minorEastAsia"/>
          <w:kern w:val="0"/>
          <w:sz w:val="24"/>
        </w:rPr>
        <w:t>30cm</w:t>
      </w:r>
      <w:r w:rsidRPr="00FC1444">
        <w:rPr>
          <w:rFonts w:eastAsiaTheme="minorEastAsia"/>
          <w:kern w:val="0"/>
          <w:sz w:val="24"/>
        </w:rPr>
        <w:t>。耕作层较厚的区域可适当增加剥离厚度，原则上土壤剥离厚度不超过</w:t>
      </w:r>
      <w:r w:rsidRPr="00FC1444">
        <w:rPr>
          <w:rFonts w:eastAsiaTheme="minorEastAsia"/>
          <w:kern w:val="0"/>
          <w:sz w:val="24"/>
        </w:rPr>
        <w:t>50cm</w:t>
      </w:r>
      <w:r w:rsidRPr="00FC1444">
        <w:rPr>
          <w:rFonts w:eastAsiaTheme="minorEastAsia"/>
          <w:kern w:val="0"/>
          <w:sz w:val="24"/>
        </w:rPr>
        <w:t>。</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本项目除</w:t>
      </w:r>
      <w:r w:rsidRPr="00FC1444">
        <w:rPr>
          <w:rFonts w:eastAsiaTheme="minorEastAsia"/>
          <w:bCs/>
          <w:kern w:val="0"/>
          <w:sz w:val="24"/>
          <w:szCs w:val="20"/>
        </w:rPr>
        <w:t>田块整治工程外</w:t>
      </w:r>
      <w:r w:rsidRPr="00FC1444">
        <w:rPr>
          <w:rFonts w:eastAsiaTheme="minorEastAsia"/>
          <w:kern w:val="0"/>
          <w:sz w:val="24"/>
        </w:rPr>
        <w:t>占用的黑土地耕作层厚度，耕地剥离厚度为</w:t>
      </w:r>
      <w:r w:rsidRPr="00FC1444">
        <w:rPr>
          <w:rFonts w:eastAsiaTheme="minorEastAsia"/>
          <w:kern w:val="0"/>
          <w:sz w:val="24"/>
        </w:rPr>
        <w:t>30cm</w:t>
      </w:r>
      <w:r w:rsidRPr="00FC1444">
        <w:rPr>
          <w:rFonts w:eastAsiaTheme="minorEastAsia"/>
          <w:kern w:val="0"/>
          <w:sz w:val="24"/>
        </w:rPr>
        <w:t>，剥离的黑土除用于临时占地复垦外，其余用于本项目高标准农田建设。</w:t>
      </w:r>
      <w:r w:rsidRPr="00FC1444">
        <w:rPr>
          <w:rFonts w:eastAsiaTheme="minorEastAsia"/>
          <w:bCs/>
          <w:kern w:val="0"/>
          <w:sz w:val="24"/>
          <w:szCs w:val="20"/>
        </w:rPr>
        <w:t>田块整治工程</w:t>
      </w:r>
      <w:r w:rsidRPr="00FC1444">
        <w:rPr>
          <w:rFonts w:eastAsiaTheme="minorEastAsia"/>
          <w:sz w:val="24"/>
        </w:rPr>
        <w:t>根据平整地块所在村的平均土壤厚度确定表土剥离厚度约</w:t>
      </w:r>
      <w:r w:rsidRPr="00FC1444">
        <w:rPr>
          <w:rFonts w:eastAsiaTheme="minorEastAsia"/>
          <w:sz w:val="24"/>
        </w:rPr>
        <w:t>25cm</w:t>
      </w:r>
      <w:r w:rsidRPr="00FC1444">
        <w:rPr>
          <w:rFonts w:eastAsiaTheme="minorEastAsia"/>
          <w:bCs/>
          <w:kern w:val="0"/>
          <w:sz w:val="24"/>
          <w:szCs w:val="20"/>
        </w:rPr>
        <w:t>，</w:t>
      </w:r>
      <w:r w:rsidRPr="00FC1444">
        <w:rPr>
          <w:rFonts w:eastAsiaTheme="minorEastAsia"/>
          <w:kern w:val="0"/>
          <w:sz w:val="24"/>
          <w:szCs w:val="20"/>
        </w:rPr>
        <w:t>剥离后的表土在施工现场贮存，用于田块整治工程表土恢复</w:t>
      </w:r>
      <w:r w:rsidRPr="00FC1444">
        <w:rPr>
          <w:rFonts w:eastAsiaTheme="minorEastAsia"/>
          <w:bCs/>
          <w:kern w:val="0"/>
          <w:sz w:val="24"/>
          <w:szCs w:val="20"/>
        </w:rPr>
        <w:t>。</w:t>
      </w:r>
      <w:r w:rsidRPr="00FC1444">
        <w:rPr>
          <w:rFonts w:eastAsiaTheme="minorEastAsia"/>
          <w:kern w:val="0"/>
          <w:sz w:val="24"/>
        </w:rPr>
        <w:t>因此项目建设符合《中华人民共和国黑土地保护法》要求。</w:t>
      </w:r>
    </w:p>
    <w:p w:rsidR="002A5A5E" w:rsidRPr="00FC1444" w:rsidRDefault="00760E2B">
      <w:pPr>
        <w:spacing w:line="360" w:lineRule="auto"/>
        <w:ind w:firstLineChars="200" w:firstLine="480"/>
        <w:jc w:val="left"/>
        <w:rPr>
          <w:rFonts w:eastAsiaTheme="minorEastAsia"/>
          <w:kern w:val="0"/>
          <w:sz w:val="24"/>
        </w:rPr>
      </w:pPr>
      <w:r w:rsidRPr="00FC1444">
        <w:rPr>
          <w:rFonts w:eastAsiaTheme="minorEastAsia"/>
          <w:kern w:val="0"/>
          <w:sz w:val="24"/>
        </w:rPr>
        <w:t>（</w:t>
      </w:r>
      <w:r w:rsidR="006B5CB5" w:rsidRPr="00FC1444">
        <w:rPr>
          <w:rFonts w:eastAsiaTheme="minorEastAsia" w:hint="eastAsia"/>
          <w:kern w:val="0"/>
          <w:sz w:val="24"/>
        </w:rPr>
        <w:t>5</w:t>
      </w:r>
      <w:r w:rsidRPr="00FC1444">
        <w:rPr>
          <w:rFonts w:eastAsiaTheme="minorEastAsia"/>
          <w:kern w:val="0"/>
          <w:sz w:val="24"/>
        </w:rPr>
        <w:t>）</w:t>
      </w:r>
      <w:r w:rsidR="00611CBA" w:rsidRPr="00FC1444">
        <w:rPr>
          <w:rFonts w:eastAsiaTheme="minorEastAsia"/>
          <w:kern w:val="0"/>
          <w:sz w:val="24"/>
        </w:rPr>
        <w:t>与</w:t>
      </w:r>
      <w:r w:rsidR="00611CBA" w:rsidRPr="00FC1444">
        <w:rPr>
          <w:rFonts w:eastAsiaTheme="minorEastAsia"/>
          <w:bCs/>
          <w:snapToGrid w:val="0"/>
          <w:kern w:val="0"/>
          <w:sz w:val="24"/>
        </w:rPr>
        <w:t>《黑龙江省水污染防治条例》（</w:t>
      </w:r>
      <w:r w:rsidR="00D85D6B" w:rsidRPr="00FC1444">
        <w:rPr>
          <w:rFonts w:eastAsiaTheme="minorEastAsia"/>
          <w:bCs/>
          <w:snapToGrid w:val="0"/>
          <w:kern w:val="0"/>
          <w:sz w:val="24"/>
        </w:rPr>
        <w:t>202</w:t>
      </w:r>
      <w:r w:rsidR="00D85D6B" w:rsidRPr="00FC1444">
        <w:rPr>
          <w:rFonts w:eastAsiaTheme="minorEastAsia" w:hint="eastAsia"/>
          <w:bCs/>
          <w:snapToGrid w:val="0"/>
          <w:kern w:val="0"/>
          <w:sz w:val="24"/>
        </w:rPr>
        <w:t>6</w:t>
      </w:r>
      <w:r w:rsidR="00D85D6B" w:rsidRPr="00FC1444">
        <w:rPr>
          <w:rFonts w:eastAsiaTheme="minorEastAsia"/>
          <w:bCs/>
          <w:snapToGrid w:val="0"/>
          <w:kern w:val="0"/>
          <w:sz w:val="24"/>
        </w:rPr>
        <w:t>.</w:t>
      </w:r>
      <w:r w:rsidR="00D85D6B" w:rsidRPr="00FC1444">
        <w:rPr>
          <w:rFonts w:eastAsiaTheme="minorEastAsia" w:hint="eastAsia"/>
          <w:bCs/>
          <w:snapToGrid w:val="0"/>
          <w:kern w:val="0"/>
          <w:sz w:val="24"/>
        </w:rPr>
        <w:t>7</w:t>
      </w:r>
      <w:r w:rsidR="00D85D6B" w:rsidRPr="00FC1444">
        <w:rPr>
          <w:rFonts w:eastAsiaTheme="minorEastAsia"/>
          <w:bCs/>
          <w:snapToGrid w:val="0"/>
          <w:kern w:val="0"/>
          <w:sz w:val="24"/>
        </w:rPr>
        <w:t>.</w:t>
      </w:r>
      <w:r w:rsidR="00D85D6B" w:rsidRPr="00FC1444">
        <w:rPr>
          <w:rFonts w:eastAsiaTheme="minorEastAsia" w:hint="eastAsia"/>
          <w:bCs/>
          <w:snapToGrid w:val="0"/>
          <w:kern w:val="0"/>
          <w:sz w:val="24"/>
        </w:rPr>
        <w:t>30</w:t>
      </w:r>
      <w:r w:rsidR="00D85D6B" w:rsidRPr="00FC1444">
        <w:rPr>
          <w:rFonts w:eastAsiaTheme="minorEastAsia"/>
          <w:bCs/>
          <w:snapToGrid w:val="0"/>
          <w:kern w:val="0"/>
          <w:sz w:val="24"/>
        </w:rPr>
        <w:t>修正</w:t>
      </w:r>
      <w:r w:rsidR="00611CBA" w:rsidRPr="00FC1444">
        <w:rPr>
          <w:rFonts w:eastAsiaTheme="minorEastAsia"/>
          <w:bCs/>
          <w:snapToGrid w:val="0"/>
          <w:kern w:val="0"/>
          <w:sz w:val="24"/>
        </w:rPr>
        <w:t>）</w:t>
      </w:r>
      <w:r w:rsidR="00611CBA" w:rsidRPr="00FC1444">
        <w:rPr>
          <w:rFonts w:eastAsiaTheme="minorEastAsia"/>
          <w:kern w:val="0"/>
          <w:sz w:val="24"/>
        </w:rPr>
        <w:t>符合性分析</w:t>
      </w:r>
    </w:p>
    <w:p w:rsidR="002A5A5E" w:rsidRPr="00FC1444" w:rsidRDefault="00611CBA" w:rsidP="00760E2B">
      <w:pPr>
        <w:spacing w:line="360" w:lineRule="auto"/>
        <w:ind w:firstLineChars="200" w:firstLine="480"/>
        <w:rPr>
          <w:rFonts w:eastAsiaTheme="minorEastAsia"/>
          <w:sz w:val="24"/>
        </w:rPr>
      </w:pPr>
      <w:r w:rsidRPr="00FC1444">
        <w:rPr>
          <w:rFonts w:eastAsiaTheme="minorEastAsia"/>
          <w:sz w:val="24"/>
        </w:rPr>
        <w:t>相关内容</w:t>
      </w:r>
      <w:r w:rsidR="00760E2B" w:rsidRPr="00FC1444">
        <w:rPr>
          <w:rFonts w:eastAsiaTheme="minorEastAsia"/>
          <w:sz w:val="24"/>
        </w:rPr>
        <w:t>：</w:t>
      </w:r>
      <w:r w:rsidR="00500CB2" w:rsidRPr="00FC1444">
        <w:rPr>
          <w:rFonts w:eastAsiaTheme="minorEastAsia" w:hint="eastAsia"/>
          <w:sz w:val="24"/>
        </w:rPr>
        <w:t>新建、改建、扩建直接或者间接向水体排放污染物的建设项目和其他水上设施，应当依法进行生态环境影响评价，并符合国家、省、市（地）有关生态保护红线、环境质量底线、资源利用上线和生态环境准入清单的要求</w:t>
      </w:r>
      <w:r w:rsidRPr="00FC1444">
        <w:rPr>
          <w:rFonts w:eastAsiaTheme="minorEastAsia"/>
          <w:sz w:val="24"/>
        </w:rPr>
        <w:t>。</w:t>
      </w:r>
    </w:p>
    <w:p w:rsidR="002A5A5E" w:rsidRPr="00FC1444" w:rsidRDefault="00500CB2" w:rsidP="00500CB2">
      <w:pPr>
        <w:spacing w:line="360" w:lineRule="auto"/>
        <w:ind w:firstLineChars="200" w:firstLine="480"/>
        <w:rPr>
          <w:rFonts w:eastAsiaTheme="minorEastAsia"/>
          <w:sz w:val="24"/>
        </w:rPr>
      </w:pPr>
      <w:r w:rsidRPr="00FC1444">
        <w:rPr>
          <w:rFonts w:eastAsiaTheme="minorEastAsia" w:hint="eastAsia"/>
          <w:sz w:val="24"/>
        </w:rPr>
        <w:t>水污染防治应当优先保护饮用水水源，保障饮用水安全，严格控制工业污染、城镇生活污染，防治农业面源污染，加强入河排污口设置和管理，积极推进生态治理工程建设，预防、控制和减少水环境污染和生态破坏</w:t>
      </w:r>
      <w:r w:rsidR="00611CBA" w:rsidRPr="00FC1444">
        <w:rPr>
          <w:rFonts w:eastAsiaTheme="minorEastAsia"/>
          <w:sz w:val="24"/>
        </w:rPr>
        <w:t>。</w:t>
      </w:r>
    </w:p>
    <w:p w:rsidR="002A5A5E" w:rsidRPr="00FC1444" w:rsidRDefault="00611CBA" w:rsidP="00760E2B">
      <w:pPr>
        <w:spacing w:line="360" w:lineRule="auto"/>
        <w:ind w:firstLineChars="200" w:firstLine="480"/>
        <w:rPr>
          <w:rFonts w:eastAsiaTheme="minorEastAsia"/>
          <w:sz w:val="24"/>
        </w:rPr>
      </w:pPr>
      <w:r w:rsidRPr="00FC1444">
        <w:rPr>
          <w:rFonts w:eastAsiaTheme="minorEastAsia"/>
          <w:sz w:val="24"/>
        </w:rPr>
        <w:t>符合性分析</w:t>
      </w:r>
      <w:r w:rsidR="00760E2B" w:rsidRPr="00FC1444">
        <w:rPr>
          <w:rFonts w:eastAsiaTheme="minorEastAsia"/>
          <w:sz w:val="24"/>
        </w:rPr>
        <w:t>：</w:t>
      </w:r>
      <w:r w:rsidRPr="00FC1444">
        <w:rPr>
          <w:rFonts w:eastAsiaTheme="minorEastAsia"/>
          <w:kern w:val="0"/>
          <w:sz w:val="24"/>
        </w:rPr>
        <w:t>本项目为高标准农田建设项目，新增灌溉范围均为旱田，无水田，无退水产生。项目施行</w:t>
      </w:r>
      <w:r w:rsidRPr="00FC1444">
        <w:rPr>
          <w:rFonts w:eastAsiaTheme="minorEastAsia"/>
          <w:kern w:val="0"/>
          <w:sz w:val="24"/>
        </w:rPr>
        <w:t>“</w:t>
      </w:r>
      <w:r w:rsidRPr="00FC1444">
        <w:rPr>
          <w:rFonts w:eastAsiaTheme="minorEastAsia"/>
          <w:kern w:val="0"/>
          <w:sz w:val="24"/>
        </w:rPr>
        <w:t>三减</w:t>
      </w:r>
      <w:r w:rsidRPr="00FC1444">
        <w:rPr>
          <w:rFonts w:eastAsiaTheme="minorEastAsia"/>
          <w:kern w:val="0"/>
          <w:sz w:val="24"/>
        </w:rPr>
        <w:t>”</w:t>
      </w:r>
      <w:r w:rsidRPr="00FC1444">
        <w:rPr>
          <w:rFonts w:eastAsiaTheme="minorEastAsia"/>
          <w:kern w:val="0"/>
          <w:sz w:val="24"/>
        </w:rPr>
        <w:t>行动，即减化肥、减农药、减除草剂，提出测土配方施肥、水肥一体化、控制农药与化肥施用种类及数量措施，项目符合</w:t>
      </w:r>
      <w:r w:rsidRPr="00FC1444">
        <w:rPr>
          <w:rFonts w:eastAsiaTheme="minorEastAsia"/>
          <w:kern w:val="0"/>
          <w:sz w:val="24"/>
        </w:rPr>
        <w:t>“</w:t>
      </w:r>
      <w:r w:rsidRPr="00FC1444">
        <w:rPr>
          <w:rFonts w:eastAsiaTheme="minorEastAsia"/>
          <w:sz w:val="24"/>
        </w:rPr>
        <w:t>生态环境准入清单</w:t>
      </w:r>
      <w:r w:rsidRPr="00FC1444">
        <w:rPr>
          <w:rFonts w:eastAsiaTheme="minorEastAsia"/>
          <w:kern w:val="0"/>
          <w:sz w:val="24"/>
        </w:rPr>
        <w:t>”</w:t>
      </w:r>
      <w:r w:rsidRPr="00FC1444">
        <w:rPr>
          <w:rFonts w:eastAsiaTheme="minorEastAsia"/>
          <w:kern w:val="0"/>
          <w:sz w:val="24"/>
        </w:rPr>
        <w:t>管理要求。项目建设地点不在</w:t>
      </w:r>
      <w:r w:rsidRPr="00FC1444">
        <w:rPr>
          <w:rFonts w:eastAsiaTheme="minorEastAsia"/>
          <w:sz w:val="24"/>
        </w:rPr>
        <w:t>饮用水水源保护区内，故本项目</w:t>
      </w:r>
      <w:r w:rsidRPr="00FC1444">
        <w:rPr>
          <w:rFonts w:eastAsiaTheme="minorEastAsia"/>
          <w:kern w:val="0"/>
          <w:sz w:val="24"/>
        </w:rPr>
        <w:t>与</w:t>
      </w:r>
      <w:r w:rsidRPr="00FC1444">
        <w:rPr>
          <w:rFonts w:eastAsiaTheme="minorEastAsia"/>
          <w:bCs/>
          <w:snapToGrid w:val="0"/>
          <w:kern w:val="0"/>
          <w:sz w:val="24"/>
        </w:rPr>
        <w:t>《黑龙江省水污染防治条例》相</w:t>
      </w:r>
      <w:r w:rsidRPr="00FC1444">
        <w:rPr>
          <w:rFonts w:eastAsiaTheme="minorEastAsia"/>
          <w:kern w:val="0"/>
          <w:sz w:val="24"/>
        </w:rPr>
        <w:t>符合。</w:t>
      </w:r>
    </w:p>
    <w:p w:rsidR="002A5A5E" w:rsidRPr="00FC1444" w:rsidRDefault="00760E2B">
      <w:pPr>
        <w:spacing w:line="360" w:lineRule="auto"/>
        <w:ind w:firstLineChars="200" w:firstLine="480"/>
        <w:jc w:val="left"/>
        <w:rPr>
          <w:rFonts w:eastAsiaTheme="minorEastAsia"/>
          <w:kern w:val="0"/>
          <w:sz w:val="24"/>
        </w:rPr>
      </w:pPr>
      <w:r w:rsidRPr="00FC1444">
        <w:rPr>
          <w:rFonts w:eastAsiaTheme="minorEastAsia"/>
          <w:kern w:val="0"/>
          <w:sz w:val="24"/>
        </w:rPr>
        <w:t>（</w:t>
      </w:r>
      <w:r w:rsidR="006B5CB5" w:rsidRPr="00FC1444">
        <w:rPr>
          <w:rFonts w:eastAsiaTheme="minorEastAsia" w:hint="eastAsia"/>
          <w:kern w:val="0"/>
          <w:sz w:val="24"/>
        </w:rPr>
        <w:t>6</w:t>
      </w:r>
      <w:r w:rsidRPr="00FC1444">
        <w:rPr>
          <w:rFonts w:eastAsiaTheme="minorEastAsia"/>
          <w:kern w:val="0"/>
          <w:sz w:val="24"/>
        </w:rPr>
        <w:t>）</w:t>
      </w:r>
      <w:r w:rsidR="00611CBA" w:rsidRPr="00FC1444">
        <w:rPr>
          <w:rFonts w:eastAsiaTheme="minorEastAsia"/>
          <w:kern w:val="0"/>
          <w:sz w:val="24"/>
        </w:rPr>
        <w:t>与《</w:t>
      </w:r>
      <w:hyperlink r:id="rId11" w:tgtFrame="https://www.so.com/_blank" w:history="1">
        <w:r w:rsidR="00611CBA" w:rsidRPr="00FC1444">
          <w:rPr>
            <w:rFonts w:eastAsiaTheme="minorEastAsia"/>
            <w:kern w:val="0"/>
            <w:sz w:val="24"/>
          </w:rPr>
          <w:t>黑龙江省黑土地保护利用条例</w:t>
        </w:r>
      </w:hyperlink>
      <w:r w:rsidR="00611CBA" w:rsidRPr="00FC1444">
        <w:rPr>
          <w:rFonts w:eastAsiaTheme="minorEastAsia"/>
          <w:kern w:val="0"/>
          <w:sz w:val="24"/>
        </w:rPr>
        <w:t>》</w:t>
      </w:r>
      <w:r w:rsidR="00611CBA" w:rsidRPr="00FC1444">
        <w:rPr>
          <w:rFonts w:eastAsiaTheme="minorEastAsia"/>
          <w:bCs/>
          <w:kern w:val="0"/>
          <w:sz w:val="24"/>
        </w:rPr>
        <w:t>（</w:t>
      </w:r>
      <w:r w:rsidR="00611CBA" w:rsidRPr="00FC1444">
        <w:rPr>
          <w:rFonts w:eastAsiaTheme="minorEastAsia"/>
          <w:bCs/>
          <w:kern w:val="0"/>
          <w:sz w:val="24"/>
        </w:rPr>
        <w:t>2022.03.01</w:t>
      </w:r>
      <w:r w:rsidR="00611CBA" w:rsidRPr="00FC1444">
        <w:rPr>
          <w:rFonts w:eastAsiaTheme="minorEastAsia"/>
          <w:bCs/>
          <w:kern w:val="0"/>
          <w:sz w:val="24"/>
        </w:rPr>
        <w:t>施行）</w:t>
      </w:r>
      <w:r w:rsidR="00611CBA" w:rsidRPr="00FC1444">
        <w:rPr>
          <w:rFonts w:eastAsiaTheme="minorEastAsia"/>
          <w:kern w:val="0"/>
          <w:sz w:val="24"/>
        </w:rPr>
        <w:t>符合性分析</w:t>
      </w:r>
    </w:p>
    <w:p w:rsidR="002A5A5E" w:rsidRPr="00FC1444" w:rsidRDefault="00611CBA">
      <w:pPr>
        <w:spacing w:line="500" w:lineRule="exact"/>
        <w:ind w:firstLineChars="200" w:firstLine="480"/>
        <w:rPr>
          <w:rFonts w:eastAsiaTheme="minorEastAsia"/>
          <w:kern w:val="0"/>
          <w:sz w:val="24"/>
        </w:rPr>
      </w:pPr>
      <w:r w:rsidRPr="00FC1444">
        <w:rPr>
          <w:rFonts w:eastAsiaTheme="minorEastAsia"/>
          <w:kern w:val="0"/>
          <w:sz w:val="24"/>
        </w:rPr>
        <w:t>本项目与《黑龙江省黑土地保护利用条例》相关要求符合性分析详见表</w:t>
      </w:r>
      <w:r w:rsidRPr="00FC1444">
        <w:rPr>
          <w:rFonts w:eastAsiaTheme="minorEastAsia"/>
          <w:kern w:val="0"/>
          <w:sz w:val="24"/>
        </w:rPr>
        <w:t>1-4-1</w:t>
      </w:r>
      <w:r w:rsidRPr="00FC1444">
        <w:rPr>
          <w:rFonts w:eastAsiaTheme="minorEastAsia"/>
          <w:kern w:val="0"/>
          <w:sz w:val="24"/>
        </w:rPr>
        <w:t>。</w:t>
      </w:r>
    </w:p>
    <w:p w:rsidR="007603A1" w:rsidRPr="00FC1444" w:rsidRDefault="007603A1">
      <w:pPr>
        <w:jc w:val="center"/>
        <w:rPr>
          <w:rFonts w:eastAsiaTheme="minorEastAsia"/>
          <w:b/>
          <w:bCs/>
          <w:kern w:val="21"/>
          <w:szCs w:val="21"/>
        </w:rPr>
      </w:pPr>
    </w:p>
    <w:p w:rsidR="007603A1" w:rsidRPr="00FC1444" w:rsidRDefault="007603A1">
      <w:pPr>
        <w:jc w:val="center"/>
        <w:rPr>
          <w:rFonts w:eastAsiaTheme="minorEastAsia"/>
          <w:b/>
          <w:bCs/>
          <w:kern w:val="21"/>
          <w:szCs w:val="21"/>
        </w:rPr>
      </w:pPr>
    </w:p>
    <w:p w:rsidR="0044473D" w:rsidRPr="00FC1444" w:rsidRDefault="0044473D">
      <w:pPr>
        <w:jc w:val="center"/>
        <w:rPr>
          <w:rFonts w:eastAsiaTheme="minorEastAsia"/>
          <w:b/>
          <w:bCs/>
          <w:kern w:val="21"/>
          <w:szCs w:val="21"/>
        </w:rPr>
      </w:pPr>
    </w:p>
    <w:p w:rsidR="00500CB2" w:rsidRPr="00FC1444" w:rsidRDefault="00500CB2">
      <w:pPr>
        <w:jc w:val="center"/>
        <w:rPr>
          <w:rFonts w:eastAsiaTheme="minorEastAsia"/>
          <w:b/>
          <w:bCs/>
          <w:kern w:val="21"/>
          <w:szCs w:val="21"/>
        </w:rPr>
      </w:pPr>
    </w:p>
    <w:p w:rsidR="002A5A5E" w:rsidRPr="00FC1444" w:rsidRDefault="00611CBA">
      <w:pPr>
        <w:jc w:val="center"/>
        <w:rPr>
          <w:rFonts w:eastAsiaTheme="minorEastAsia"/>
          <w:b/>
          <w:bCs/>
          <w:kern w:val="21"/>
          <w:szCs w:val="21"/>
        </w:rPr>
      </w:pPr>
      <w:r w:rsidRPr="00FC1444">
        <w:rPr>
          <w:rFonts w:eastAsiaTheme="minorEastAsia"/>
          <w:b/>
          <w:bCs/>
          <w:kern w:val="21"/>
          <w:szCs w:val="21"/>
        </w:rPr>
        <w:lastRenderedPageBreak/>
        <w:t>表</w:t>
      </w:r>
      <w:r w:rsidRPr="00FC1444">
        <w:rPr>
          <w:rFonts w:eastAsiaTheme="minorEastAsia"/>
          <w:b/>
          <w:bCs/>
          <w:kern w:val="21"/>
          <w:szCs w:val="21"/>
        </w:rPr>
        <w:t>1-4-1</w:t>
      </w:r>
      <w:r w:rsidRPr="00FC1444">
        <w:rPr>
          <w:rFonts w:eastAsiaTheme="minorEastAsia"/>
          <w:b/>
          <w:bCs/>
          <w:kern w:val="21"/>
          <w:szCs w:val="21"/>
        </w:rPr>
        <w:t>本项目与</w:t>
      </w:r>
      <w:r w:rsidRPr="00FC1444">
        <w:rPr>
          <w:rFonts w:eastAsiaTheme="minorEastAsia"/>
          <w:b/>
          <w:bCs/>
          <w:szCs w:val="21"/>
        </w:rPr>
        <w:t>《黑龙江省黑土地保护利用条例》</w:t>
      </w:r>
      <w:r w:rsidRPr="00FC1444">
        <w:rPr>
          <w:rFonts w:eastAsiaTheme="minorEastAsia"/>
          <w:b/>
          <w:bCs/>
          <w:kern w:val="21"/>
          <w:szCs w:val="21"/>
        </w:rPr>
        <w:t>符合性分析</w:t>
      </w:r>
    </w:p>
    <w:tbl>
      <w:tblPr>
        <w:tblW w:w="4924"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80"/>
        <w:gridCol w:w="2765"/>
        <w:gridCol w:w="4196"/>
        <w:gridCol w:w="751"/>
      </w:tblGrid>
      <w:tr w:rsidR="002A5A5E" w:rsidRPr="00FC1444">
        <w:trPr>
          <w:trHeight w:val="325"/>
          <w:jc w:val="center"/>
        </w:trPr>
        <w:tc>
          <w:tcPr>
            <w:tcW w:w="680" w:type="dxa"/>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序号</w:t>
            </w:r>
          </w:p>
        </w:tc>
        <w:tc>
          <w:tcPr>
            <w:tcW w:w="2765" w:type="dxa"/>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相关要求</w:t>
            </w:r>
          </w:p>
        </w:tc>
        <w:tc>
          <w:tcPr>
            <w:tcW w:w="4196" w:type="dxa"/>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符合性分析</w:t>
            </w:r>
          </w:p>
        </w:tc>
        <w:tc>
          <w:tcPr>
            <w:tcW w:w="751" w:type="dxa"/>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结论</w:t>
            </w:r>
          </w:p>
        </w:tc>
      </w:tr>
      <w:tr w:rsidR="002A5A5E" w:rsidRPr="00FC1444">
        <w:trPr>
          <w:trHeight w:val="1672"/>
          <w:jc w:val="center"/>
        </w:trPr>
        <w:tc>
          <w:tcPr>
            <w:tcW w:w="680" w:type="dxa"/>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1</w:t>
            </w:r>
          </w:p>
        </w:tc>
        <w:tc>
          <w:tcPr>
            <w:tcW w:w="2765" w:type="dxa"/>
            <w:tcBorders>
              <w:bottom w:val="single" w:sz="4" w:space="0" w:color="auto"/>
              <w:tl2br w:val="nil"/>
              <w:tr2bl w:val="nil"/>
            </w:tcBorders>
            <w:vAlign w:val="center"/>
          </w:tcPr>
          <w:p w:rsidR="002A5A5E" w:rsidRPr="00FC1444" w:rsidRDefault="00611CBA">
            <w:pPr>
              <w:jc w:val="left"/>
              <w:rPr>
                <w:rFonts w:eastAsiaTheme="minorEastAsia"/>
                <w:kern w:val="0"/>
                <w:szCs w:val="21"/>
              </w:rPr>
            </w:pPr>
            <w:r w:rsidRPr="00FC1444">
              <w:rPr>
                <w:rFonts w:eastAsiaTheme="minorEastAsia"/>
                <w:kern w:val="0"/>
                <w:szCs w:val="21"/>
              </w:rPr>
              <w:t>黑土地保护利用实行土地用途管制制度。严格限制农用地转为建设用地，严格控制耕地转为非耕地，禁止违法占用耕地。</w:t>
            </w:r>
          </w:p>
        </w:tc>
        <w:tc>
          <w:tcPr>
            <w:tcW w:w="4196" w:type="dxa"/>
            <w:vMerge w:val="restart"/>
            <w:tcBorders>
              <w:tl2br w:val="nil"/>
              <w:tr2bl w:val="nil"/>
            </w:tcBorders>
            <w:vAlign w:val="center"/>
          </w:tcPr>
          <w:p w:rsidR="002A5A5E" w:rsidRPr="00FC1444" w:rsidRDefault="00611CBA" w:rsidP="0044473D">
            <w:pPr>
              <w:jc w:val="left"/>
              <w:rPr>
                <w:rFonts w:eastAsiaTheme="minorEastAsia"/>
                <w:kern w:val="0"/>
                <w:szCs w:val="21"/>
              </w:rPr>
            </w:pPr>
            <w:r w:rsidRPr="00FC1444">
              <w:rPr>
                <w:rFonts w:eastAsiaTheme="minorEastAsia"/>
                <w:kern w:val="0"/>
                <w:szCs w:val="21"/>
              </w:rPr>
              <w:t>本项目为高标准农田建设项目，无法避让耕地（黑土地），本工程尽可能减少占地。</w:t>
            </w:r>
            <w:r w:rsidRPr="00FC1444">
              <w:rPr>
                <w:rFonts w:eastAsiaTheme="minorEastAsia"/>
                <w:bCs/>
                <w:kern w:val="0"/>
                <w:szCs w:val="21"/>
              </w:rPr>
              <w:t>本项目田间道路工程在现有</w:t>
            </w:r>
            <w:r w:rsidR="0097424D" w:rsidRPr="00FC1444">
              <w:rPr>
                <w:rFonts w:eastAsiaTheme="minorEastAsia"/>
                <w:bCs/>
                <w:kern w:val="0"/>
                <w:szCs w:val="21"/>
              </w:rPr>
              <w:t>道路基础上修建，现有灌溉渠道衬砌，现有排水沟清淤，田块整治工程</w:t>
            </w:r>
            <w:r w:rsidR="007603A1" w:rsidRPr="00FC1444">
              <w:rPr>
                <w:rFonts w:eastAsiaTheme="minorEastAsia"/>
                <w:bCs/>
                <w:kern w:val="0"/>
                <w:szCs w:val="21"/>
              </w:rPr>
              <w:t>、农田防护及生态环境保护工程</w:t>
            </w:r>
            <w:r w:rsidRPr="00FC1444">
              <w:rPr>
                <w:rFonts w:eastAsiaTheme="minorEastAsia"/>
                <w:bCs/>
                <w:kern w:val="0"/>
                <w:szCs w:val="21"/>
              </w:rPr>
              <w:t>在永久占地范围内，不新增临时占地。施工临时占用</w:t>
            </w:r>
            <w:r w:rsidR="00772BB1" w:rsidRPr="00FC1444">
              <w:rPr>
                <w:rFonts w:eastAsiaTheme="minorEastAsia"/>
                <w:bCs/>
                <w:kern w:val="0"/>
                <w:szCs w:val="21"/>
              </w:rPr>
              <w:t>农田</w:t>
            </w:r>
            <w:r w:rsidRPr="00FC1444">
              <w:rPr>
                <w:rFonts w:eastAsiaTheme="minorEastAsia"/>
                <w:bCs/>
                <w:kern w:val="0"/>
                <w:szCs w:val="21"/>
              </w:rPr>
              <w:t>施工结束后恢复为旱地。由于项目属于农业生产设施配套服务项目，项目建设后抗旱效果明显，新建灌溉井及建筑物呈点状分布，单个占地面积较小，不涉及补偿问题</w:t>
            </w:r>
            <w:r w:rsidR="00772BB1" w:rsidRPr="00FC1444">
              <w:rPr>
                <w:rFonts w:eastAsiaTheme="minorEastAsia"/>
                <w:bCs/>
                <w:kern w:val="0"/>
                <w:szCs w:val="21"/>
              </w:rPr>
              <w:t>。</w:t>
            </w:r>
          </w:p>
        </w:tc>
        <w:tc>
          <w:tcPr>
            <w:tcW w:w="751" w:type="dxa"/>
            <w:tcBorders>
              <w:bottom w:val="single" w:sz="4" w:space="0" w:color="auto"/>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r w:rsidR="002A5A5E" w:rsidRPr="00FC1444">
        <w:trPr>
          <w:trHeight w:val="931"/>
          <w:jc w:val="center"/>
        </w:trPr>
        <w:tc>
          <w:tcPr>
            <w:tcW w:w="680" w:type="dxa"/>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2</w:t>
            </w:r>
          </w:p>
        </w:tc>
        <w:tc>
          <w:tcPr>
            <w:tcW w:w="2765" w:type="dxa"/>
            <w:tcBorders>
              <w:top w:val="single" w:sz="4" w:space="0" w:color="auto"/>
              <w:tl2br w:val="nil"/>
              <w:tr2bl w:val="nil"/>
            </w:tcBorders>
            <w:vAlign w:val="center"/>
          </w:tcPr>
          <w:p w:rsidR="002A5A5E" w:rsidRPr="00FC1444" w:rsidRDefault="00611CBA">
            <w:pPr>
              <w:jc w:val="left"/>
              <w:rPr>
                <w:rFonts w:eastAsiaTheme="minorEastAsia"/>
                <w:kern w:val="0"/>
                <w:szCs w:val="21"/>
              </w:rPr>
            </w:pPr>
            <w:r w:rsidRPr="00FC1444">
              <w:rPr>
                <w:rFonts w:eastAsiaTheme="minorEastAsia"/>
                <w:kern w:val="0"/>
                <w:szCs w:val="21"/>
              </w:rPr>
              <w:t> </w:t>
            </w:r>
            <w:r w:rsidRPr="00FC1444">
              <w:rPr>
                <w:rFonts w:eastAsiaTheme="minorEastAsia"/>
                <w:kern w:val="0"/>
                <w:szCs w:val="21"/>
              </w:rPr>
              <w:t>建立和完善建设用地增减挂钩机制。建设项目应当节约、集约使用黑土地，不占或者少占黑土地。</w:t>
            </w:r>
          </w:p>
        </w:tc>
        <w:tc>
          <w:tcPr>
            <w:tcW w:w="4196" w:type="dxa"/>
            <w:vMerge/>
            <w:tcBorders>
              <w:tl2br w:val="nil"/>
              <w:tr2bl w:val="nil"/>
            </w:tcBorders>
            <w:vAlign w:val="center"/>
          </w:tcPr>
          <w:p w:rsidR="002A5A5E" w:rsidRPr="00FC1444" w:rsidRDefault="002A5A5E">
            <w:pPr>
              <w:jc w:val="left"/>
              <w:rPr>
                <w:rFonts w:eastAsiaTheme="minorEastAsia"/>
                <w:kern w:val="0"/>
                <w:szCs w:val="21"/>
              </w:rPr>
            </w:pPr>
          </w:p>
        </w:tc>
        <w:tc>
          <w:tcPr>
            <w:tcW w:w="751" w:type="dxa"/>
            <w:tcBorders>
              <w:top w:val="single" w:sz="4" w:space="0" w:color="auto"/>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r w:rsidR="002A5A5E" w:rsidRPr="00FC1444">
        <w:trPr>
          <w:trHeight w:val="1942"/>
          <w:jc w:val="center"/>
        </w:trPr>
        <w:tc>
          <w:tcPr>
            <w:tcW w:w="680" w:type="dxa"/>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3</w:t>
            </w:r>
          </w:p>
        </w:tc>
        <w:tc>
          <w:tcPr>
            <w:tcW w:w="2765" w:type="dxa"/>
            <w:tcBorders>
              <w:tl2br w:val="nil"/>
              <w:tr2bl w:val="nil"/>
            </w:tcBorders>
            <w:vAlign w:val="center"/>
          </w:tcPr>
          <w:p w:rsidR="002A5A5E" w:rsidRPr="00FC1444" w:rsidRDefault="00611CBA">
            <w:pPr>
              <w:jc w:val="left"/>
              <w:rPr>
                <w:rFonts w:eastAsiaTheme="minorEastAsia"/>
                <w:kern w:val="0"/>
                <w:szCs w:val="21"/>
              </w:rPr>
            </w:pPr>
            <w:r w:rsidRPr="00FC1444">
              <w:rPr>
                <w:rFonts w:eastAsiaTheme="minorEastAsia"/>
                <w:kern w:val="0"/>
                <w:szCs w:val="21"/>
              </w:rPr>
              <w:t>生产建设活动占用黑土地的，应当按照有关标准、规范和管理规定剥离表土。</w:t>
            </w:r>
          </w:p>
        </w:tc>
        <w:tc>
          <w:tcPr>
            <w:tcW w:w="4196" w:type="dxa"/>
            <w:tcBorders>
              <w:tl2br w:val="nil"/>
              <w:tr2bl w:val="nil"/>
            </w:tcBorders>
            <w:vAlign w:val="center"/>
          </w:tcPr>
          <w:p w:rsidR="002A5A5E" w:rsidRPr="00FC1444" w:rsidRDefault="00611CBA">
            <w:pPr>
              <w:jc w:val="left"/>
              <w:rPr>
                <w:rFonts w:eastAsiaTheme="minorEastAsia"/>
                <w:kern w:val="0"/>
                <w:szCs w:val="21"/>
              </w:rPr>
            </w:pPr>
            <w:r w:rsidRPr="00FC1444">
              <w:rPr>
                <w:rFonts w:eastAsiaTheme="minorEastAsia"/>
                <w:kern w:val="0"/>
                <w:szCs w:val="21"/>
              </w:rPr>
              <w:t>本项目施工前对占用的土地进行表土剥离。在土壤剥离及运输过程中，采取水土保持和扬尘防治措施，</w:t>
            </w:r>
            <w:r w:rsidRPr="00FC1444">
              <w:rPr>
                <w:rFonts w:eastAsiaTheme="minorEastAsia"/>
              </w:rPr>
              <w:t>可有效防止</w:t>
            </w:r>
            <w:r w:rsidRPr="00FC1444">
              <w:rPr>
                <w:rFonts w:eastAsiaTheme="minorEastAsia"/>
                <w:kern w:val="0"/>
                <w:szCs w:val="21"/>
              </w:rPr>
              <w:t>土壤和环境污染。表土剥离后存储于项目施工场地表土堆场内。表土储存时</w:t>
            </w:r>
            <w:r w:rsidRPr="00FC1444">
              <w:rPr>
                <w:rFonts w:eastAsiaTheme="minorEastAsia"/>
                <w:bCs/>
                <w:kern w:val="0"/>
                <w:szCs w:val="21"/>
              </w:rPr>
              <w:t>表土堆场设置临时拦挡，采用密目网苫盖，</w:t>
            </w:r>
            <w:r w:rsidRPr="00FC1444">
              <w:rPr>
                <w:rFonts w:eastAsiaTheme="minorEastAsia"/>
                <w:kern w:val="0"/>
                <w:szCs w:val="21"/>
              </w:rPr>
              <w:t>在项目施工结束后，剥离的表土优先用于临时占地生态恢复，其余用于本项目高标准农田建设。</w:t>
            </w:r>
          </w:p>
        </w:tc>
        <w:tc>
          <w:tcPr>
            <w:tcW w:w="751" w:type="dxa"/>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bl>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在采取以上措施后，本项目符合《黑龙江省黑土地保护利用条例》要求。</w:t>
      </w:r>
    </w:p>
    <w:p w:rsidR="002A5A5E" w:rsidRPr="00FC1444" w:rsidRDefault="00760E2B">
      <w:pPr>
        <w:spacing w:line="360" w:lineRule="auto"/>
        <w:ind w:firstLineChars="200" w:firstLine="480"/>
        <w:jc w:val="left"/>
        <w:rPr>
          <w:rFonts w:eastAsiaTheme="minorEastAsia"/>
          <w:kern w:val="0"/>
          <w:sz w:val="24"/>
        </w:rPr>
      </w:pPr>
      <w:r w:rsidRPr="00FC1444">
        <w:rPr>
          <w:rFonts w:eastAsiaTheme="minorEastAsia"/>
          <w:kern w:val="0"/>
          <w:sz w:val="24"/>
        </w:rPr>
        <w:t>（</w:t>
      </w:r>
      <w:r w:rsidR="006B5CB5" w:rsidRPr="00FC1444">
        <w:rPr>
          <w:rFonts w:eastAsiaTheme="minorEastAsia" w:hint="eastAsia"/>
          <w:kern w:val="0"/>
          <w:sz w:val="24"/>
        </w:rPr>
        <w:t>7</w:t>
      </w:r>
      <w:r w:rsidRPr="00FC1444">
        <w:rPr>
          <w:rFonts w:eastAsiaTheme="minorEastAsia"/>
          <w:kern w:val="0"/>
          <w:sz w:val="24"/>
        </w:rPr>
        <w:t>）</w:t>
      </w:r>
      <w:r w:rsidR="00611CBA" w:rsidRPr="00FC1444">
        <w:rPr>
          <w:rFonts w:eastAsiaTheme="minorEastAsia"/>
          <w:kern w:val="0"/>
          <w:sz w:val="24"/>
        </w:rPr>
        <w:t>与《基本农田保护条例》（</w:t>
      </w:r>
      <w:r w:rsidR="00611CBA" w:rsidRPr="00FC1444">
        <w:rPr>
          <w:rFonts w:eastAsiaTheme="minorEastAsia"/>
          <w:kern w:val="0"/>
          <w:sz w:val="24"/>
        </w:rPr>
        <w:t>1999.01.01</w:t>
      </w:r>
      <w:r w:rsidR="00611CBA" w:rsidRPr="00FC1444">
        <w:rPr>
          <w:rFonts w:eastAsiaTheme="minorEastAsia"/>
          <w:kern w:val="0"/>
          <w:sz w:val="24"/>
        </w:rPr>
        <w:t>施行）符合性分析</w:t>
      </w:r>
    </w:p>
    <w:p w:rsidR="002A5A5E" w:rsidRPr="00FC1444" w:rsidRDefault="00AC2BA4">
      <w:pPr>
        <w:spacing w:line="360" w:lineRule="auto"/>
        <w:ind w:firstLineChars="200" w:firstLine="480"/>
        <w:jc w:val="left"/>
        <w:rPr>
          <w:rFonts w:eastAsiaTheme="minorEastAsia"/>
          <w:bCs/>
          <w:kern w:val="0"/>
          <w:sz w:val="24"/>
        </w:rPr>
      </w:pPr>
      <w:r w:rsidRPr="00FC1444">
        <w:rPr>
          <w:rFonts w:eastAsiaTheme="minorEastAsia"/>
          <w:sz w:val="24"/>
        </w:rPr>
        <w:t>相关内容：</w:t>
      </w:r>
      <w:r w:rsidR="00611CBA" w:rsidRPr="00FC1444">
        <w:rPr>
          <w:rFonts w:eastAsiaTheme="minorEastAsia"/>
          <w:bCs/>
          <w:kern w:val="0"/>
          <w:sz w:val="24"/>
        </w:rPr>
        <w:t>第十五条国家能源、交通、水利、军事设施等重点建设项目选址，需要占用基本农田，涉及农用地转用或者征用土地的，必须经国务院批准；</w:t>
      </w:r>
    </w:p>
    <w:p w:rsidR="002A5A5E" w:rsidRPr="00FC1444" w:rsidRDefault="00611CBA">
      <w:pPr>
        <w:spacing w:line="360" w:lineRule="auto"/>
        <w:ind w:firstLineChars="200" w:firstLine="480"/>
        <w:jc w:val="left"/>
        <w:rPr>
          <w:rFonts w:eastAsiaTheme="minorEastAsia"/>
          <w:bCs/>
          <w:kern w:val="0"/>
          <w:sz w:val="24"/>
        </w:rPr>
      </w:pPr>
      <w:r w:rsidRPr="00FC1444">
        <w:rPr>
          <w:rFonts w:eastAsiaTheme="minorEastAsia"/>
          <w:bCs/>
          <w:kern w:val="0"/>
          <w:sz w:val="24"/>
        </w:rPr>
        <w:t>第十六条经国务院批准占用基本农田的，当地人民政府应当按照国务院的批准文件修改土地利用总体规划，并补充划入数量和质量相当的基本农田。占用单位应当按照占多少、垦多少的原则，负责开垦与所占基本农田的数量与质量相当的耕地；没有条件开垦或者开垦的耕地不符合要求的，应当按照省、自治区、直辖市的规定缴纳耕地开垦费，专款用于开垦新的耕地。占用基本农田的单位应当按照县级以上地方人民政府的要求，将所占用基本农田耕作层的土壤用于新开垦耕地、劣质地或者其他耕地的土壤改良。</w:t>
      </w:r>
    </w:p>
    <w:p w:rsidR="002A5A5E" w:rsidRPr="00FC1444" w:rsidRDefault="00611CBA">
      <w:pPr>
        <w:spacing w:line="360" w:lineRule="auto"/>
        <w:ind w:firstLineChars="200" w:firstLine="480"/>
        <w:jc w:val="left"/>
        <w:rPr>
          <w:rFonts w:eastAsiaTheme="minorEastAsia"/>
          <w:bCs/>
          <w:kern w:val="0"/>
          <w:sz w:val="24"/>
        </w:rPr>
      </w:pPr>
      <w:r w:rsidRPr="00FC1444">
        <w:rPr>
          <w:rFonts w:eastAsiaTheme="minorEastAsia"/>
          <w:bCs/>
          <w:kern w:val="0"/>
          <w:sz w:val="24"/>
        </w:rPr>
        <w:t>第十七条</w:t>
      </w:r>
      <w:r w:rsidRPr="00FC1444">
        <w:rPr>
          <w:rFonts w:eastAsiaTheme="minorEastAsia"/>
          <w:bCs/>
          <w:kern w:val="0"/>
          <w:sz w:val="24"/>
        </w:rPr>
        <w:t xml:space="preserve"> </w:t>
      </w:r>
      <w:r w:rsidRPr="00FC1444">
        <w:rPr>
          <w:rFonts w:eastAsiaTheme="minorEastAsia"/>
          <w:bCs/>
          <w:kern w:val="0"/>
          <w:sz w:val="24"/>
        </w:rPr>
        <w:t>禁止任何单位和个人在基本农田保护区内建窑、建房、建坟、挖砂、采石、采矿、取土、堆放固体废弃物或者进行其他破坏基本农田的活动。禁止任何单位和个人占用基本农田发展林果业和挖塘养鱼。</w:t>
      </w:r>
    </w:p>
    <w:p w:rsidR="002A5A5E" w:rsidRPr="00FC1444" w:rsidRDefault="00AC2BA4">
      <w:pPr>
        <w:spacing w:line="360" w:lineRule="auto"/>
        <w:ind w:firstLineChars="200" w:firstLine="480"/>
        <w:jc w:val="left"/>
        <w:rPr>
          <w:rFonts w:eastAsiaTheme="minorEastAsia"/>
          <w:kern w:val="0"/>
          <w:sz w:val="24"/>
        </w:rPr>
      </w:pPr>
      <w:r w:rsidRPr="00FC1444">
        <w:rPr>
          <w:rFonts w:eastAsiaTheme="minorEastAsia"/>
          <w:kern w:val="0"/>
          <w:sz w:val="24"/>
        </w:rPr>
        <w:t>符合性分析：</w:t>
      </w:r>
      <w:r w:rsidR="00611CBA" w:rsidRPr="00FC1444">
        <w:rPr>
          <w:rFonts w:eastAsiaTheme="minorEastAsia"/>
          <w:bCs/>
          <w:kern w:val="0"/>
          <w:sz w:val="24"/>
        </w:rPr>
        <w:t>本项目为高标准农田建设项目，田块整治工程在现状农田上建</w:t>
      </w:r>
      <w:r w:rsidR="00611CBA" w:rsidRPr="00FC1444">
        <w:rPr>
          <w:rFonts w:eastAsiaTheme="minorEastAsia"/>
          <w:bCs/>
          <w:kern w:val="0"/>
          <w:sz w:val="24"/>
        </w:rPr>
        <w:lastRenderedPageBreak/>
        <w:t>设，不可避免</w:t>
      </w:r>
      <w:r w:rsidR="0018427B" w:rsidRPr="00FC1444">
        <w:rPr>
          <w:rFonts w:eastAsiaTheme="minorEastAsia"/>
          <w:bCs/>
          <w:kern w:val="0"/>
          <w:sz w:val="24"/>
        </w:rPr>
        <w:t>将占用基本农田</w:t>
      </w:r>
      <w:r w:rsidR="00611CBA" w:rsidRPr="00FC1444">
        <w:rPr>
          <w:rFonts w:eastAsiaTheme="minorEastAsia"/>
          <w:bCs/>
          <w:kern w:val="0"/>
          <w:sz w:val="24"/>
        </w:rPr>
        <w:t>，施工过程中不向农用地排放重金属或者其他有毒有害物质含量超标的污水、污泥，以及可能造成土壤污染的清淤底泥、尾矿、矿渣等，不会造成永久基本农田污染。</w:t>
      </w:r>
    </w:p>
    <w:p w:rsidR="002A5A5E" w:rsidRPr="00FC1444" w:rsidRDefault="00760E2B">
      <w:pPr>
        <w:spacing w:line="360" w:lineRule="auto"/>
        <w:ind w:firstLineChars="200" w:firstLine="480"/>
        <w:jc w:val="left"/>
        <w:rPr>
          <w:rFonts w:eastAsiaTheme="minorEastAsia"/>
          <w:kern w:val="0"/>
          <w:sz w:val="24"/>
        </w:rPr>
      </w:pPr>
      <w:r w:rsidRPr="00FC1444">
        <w:rPr>
          <w:rFonts w:eastAsiaTheme="minorEastAsia"/>
          <w:kern w:val="0"/>
          <w:sz w:val="24"/>
        </w:rPr>
        <w:t>（</w:t>
      </w:r>
      <w:r w:rsidR="006B5CB5" w:rsidRPr="00FC1444">
        <w:rPr>
          <w:rFonts w:eastAsiaTheme="minorEastAsia" w:hint="eastAsia"/>
          <w:kern w:val="0"/>
          <w:sz w:val="24"/>
        </w:rPr>
        <w:t>8</w:t>
      </w:r>
      <w:r w:rsidRPr="00FC1444">
        <w:rPr>
          <w:rFonts w:eastAsiaTheme="minorEastAsia"/>
          <w:kern w:val="0"/>
          <w:sz w:val="24"/>
        </w:rPr>
        <w:t>）</w:t>
      </w:r>
      <w:r w:rsidR="00611CBA" w:rsidRPr="00FC1444">
        <w:rPr>
          <w:rFonts w:eastAsiaTheme="minorEastAsia"/>
          <w:kern w:val="0"/>
          <w:sz w:val="24"/>
        </w:rPr>
        <w:t>与《黑龙江省耕地保护条例》（</w:t>
      </w:r>
      <w:r w:rsidR="00611CBA" w:rsidRPr="00FC1444">
        <w:rPr>
          <w:rFonts w:eastAsiaTheme="minorEastAsia"/>
          <w:kern w:val="0"/>
          <w:sz w:val="24"/>
        </w:rPr>
        <w:t>2016.07.01</w:t>
      </w:r>
      <w:r w:rsidR="00611CBA" w:rsidRPr="00FC1444">
        <w:rPr>
          <w:rFonts w:eastAsiaTheme="minorEastAsia"/>
          <w:kern w:val="0"/>
          <w:sz w:val="24"/>
        </w:rPr>
        <w:t>施行）符合性分析</w:t>
      </w:r>
    </w:p>
    <w:p w:rsidR="002A5A5E" w:rsidRPr="00FC1444" w:rsidRDefault="00AC2BA4">
      <w:pPr>
        <w:spacing w:line="360" w:lineRule="auto"/>
        <w:ind w:firstLineChars="200" w:firstLine="480"/>
        <w:jc w:val="left"/>
        <w:rPr>
          <w:rFonts w:eastAsiaTheme="minorEastAsia"/>
          <w:kern w:val="0"/>
          <w:sz w:val="24"/>
        </w:rPr>
      </w:pPr>
      <w:r w:rsidRPr="00FC1444">
        <w:rPr>
          <w:rFonts w:eastAsiaTheme="minorEastAsia"/>
          <w:sz w:val="24"/>
        </w:rPr>
        <w:t>相关内容：</w:t>
      </w:r>
      <w:r w:rsidR="00611CBA" w:rsidRPr="00FC1444">
        <w:rPr>
          <w:rFonts w:eastAsiaTheme="minorEastAsia"/>
          <w:kern w:val="0"/>
          <w:sz w:val="24"/>
        </w:rPr>
        <w:t>第十七条建设生态高产标准农田应当以平原区为重点；松嫩平原、三江平原以及中部粮食主产区的中、高产田，应当优先建设为生态高产标准农田。</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第二十条县级以上人民政府应当组织开展下列耕地基础设施建设：</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（一）农田水利以及水土保持设施；</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（二）田间道路；</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（三）田间用电设施；</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（四）农田监测设施；</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（五）植物保护设施；</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（六）农田机械临时存放设施；</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（七）其他有利于保护耕地和提高耕地质量的相关配套基础设施。</w:t>
      </w:r>
    </w:p>
    <w:p w:rsidR="002A5A5E" w:rsidRPr="00FC1444" w:rsidRDefault="00AC2BA4">
      <w:pPr>
        <w:spacing w:line="360" w:lineRule="auto"/>
        <w:ind w:firstLineChars="200" w:firstLine="480"/>
        <w:jc w:val="left"/>
        <w:rPr>
          <w:rFonts w:eastAsiaTheme="minorEastAsia"/>
          <w:kern w:val="0"/>
          <w:sz w:val="24"/>
        </w:rPr>
      </w:pPr>
      <w:r w:rsidRPr="00FC1444">
        <w:rPr>
          <w:rFonts w:eastAsiaTheme="minorEastAsia"/>
          <w:kern w:val="0"/>
          <w:sz w:val="24"/>
        </w:rPr>
        <w:t>符合性分析：</w:t>
      </w:r>
      <w:r w:rsidR="00611CBA" w:rsidRPr="00FC1444">
        <w:rPr>
          <w:rFonts w:eastAsiaTheme="minorEastAsia"/>
          <w:sz w:val="24"/>
        </w:rPr>
        <w:t>本项目为高标准农田建设项目，主要建设内容为</w:t>
      </w:r>
      <w:r w:rsidR="00D622BA" w:rsidRPr="00FC1444">
        <w:rPr>
          <w:rFonts w:eastAsiaTheme="minorEastAsia"/>
          <w:sz w:val="24"/>
        </w:rPr>
        <w:t>田块整治工程、</w:t>
      </w:r>
      <w:r w:rsidR="00611CBA" w:rsidRPr="00FC1444">
        <w:rPr>
          <w:rFonts w:eastAsiaTheme="minorEastAsia"/>
          <w:sz w:val="24"/>
        </w:rPr>
        <w:t>灌溉与排水工程、田间道路工程、农田输配电工程</w:t>
      </w:r>
      <w:r w:rsidR="00D622BA" w:rsidRPr="00FC1444">
        <w:rPr>
          <w:rFonts w:eastAsiaTheme="minorEastAsia"/>
          <w:sz w:val="24"/>
        </w:rPr>
        <w:t>、农田防护及生态环境保护工程</w:t>
      </w:r>
      <w:r w:rsidR="00611CBA" w:rsidRPr="00FC1444">
        <w:rPr>
          <w:rFonts w:eastAsiaTheme="minorEastAsia"/>
          <w:sz w:val="24"/>
        </w:rPr>
        <w:t>。本项目</w:t>
      </w:r>
      <w:r w:rsidR="00D622BA" w:rsidRPr="00FC1444">
        <w:rPr>
          <w:rFonts w:eastAsiaTheme="minorEastAsia"/>
          <w:bCs/>
          <w:sz w:val="24"/>
        </w:rPr>
        <w:t>建设</w:t>
      </w:r>
      <w:r w:rsidR="00D622BA" w:rsidRPr="00FC1444">
        <w:rPr>
          <w:rFonts w:eastAsiaTheme="minorEastAsia"/>
          <w:bCs/>
          <w:sz w:val="24"/>
        </w:rPr>
        <w:t>21</w:t>
      </w:r>
      <w:r w:rsidR="00D622BA" w:rsidRPr="00FC1444">
        <w:rPr>
          <w:rFonts w:eastAsiaTheme="minorEastAsia"/>
          <w:bCs/>
          <w:sz w:val="24"/>
        </w:rPr>
        <w:t>万亩高标准农田（旱田</w:t>
      </w:r>
      <w:r w:rsidR="00D622BA" w:rsidRPr="00FC1444">
        <w:rPr>
          <w:rFonts w:eastAsiaTheme="minorEastAsia"/>
          <w:bCs/>
          <w:sz w:val="24"/>
        </w:rPr>
        <w:t>11.84</w:t>
      </w:r>
      <w:r w:rsidR="00D622BA" w:rsidRPr="00FC1444">
        <w:rPr>
          <w:rFonts w:eastAsiaTheme="minorEastAsia"/>
          <w:bCs/>
          <w:sz w:val="24"/>
        </w:rPr>
        <w:t>万亩，水田</w:t>
      </w:r>
      <w:r w:rsidR="00D622BA" w:rsidRPr="00FC1444">
        <w:rPr>
          <w:rFonts w:eastAsiaTheme="minorEastAsia"/>
          <w:bCs/>
          <w:sz w:val="24"/>
        </w:rPr>
        <w:t>9.16</w:t>
      </w:r>
      <w:r w:rsidR="00D622BA" w:rsidRPr="00FC1444">
        <w:rPr>
          <w:rFonts w:eastAsiaTheme="minorEastAsia"/>
          <w:bCs/>
          <w:sz w:val="24"/>
        </w:rPr>
        <w:t>万亩）</w:t>
      </w:r>
      <w:r w:rsidR="00611CBA" w:rsidRPr="00FC1444">
        <w:rPr>
          <w:rFonts w:eastAsiaTheme="minorEastAsia"/>
          <w:sz w:val="24"/>
        </w:rPr>
        <w:t>，提高作物产量，促进当地经济发展，改善人民生活水平。临时占用耕地在施工结束后进行土地复垦。</w:t>
      </w:r>
      <w:r w:rsidR="00611CBA" w:rsidRPr="00FC1444">
        <w:rPr>
          <w:rFonts w:eastAsiaTheme="minorEastAsia"/>
          <w:bCs/>
          <w:sz w:val="24"/>
        </w:rPr>
        <w:t>因此，本项目符合</w:t>
      </w:r>
      <w:r w:rsidR="00611CBA" w:rsidRPr="00FC1444">
        <w:rPr>
          <w:rFonts w:eastAsiaTheme="minorEastAsia"/>
          <w:sz w:val="24"/>
        </w:rPr>
        <w:t>《黑龙江省耕地保护条例》中</w:t>
      </w:r>
      <w:r w:rsidR="00611CBA" w:rsidRPr="00FC1444">
        <w:rPr>
          <w:rFonts w:eastAsiaTheme="minorEastAsia"/>
          <w:sz w:val="24"/>
        </w:rPr>
        <w:t>“</w:t>
      </w:r>
      <w:r w:rsidR="00611CBA" w:rsidRPr="00FC1444">
        <w:rPr>
          <w:rFonts w:eastAsiaTheme="minorEastAsia"/>
          <w:sz w:val="24"/>
        </w:rPr>
        <w:t>建设生态高产标准农田</w:t>
      </w:r>
      <w:r w:rsidR="00611CBA" w:rsidRPr="00FC1444">
        <w:rPr>
          <w:rFonts w:eastAsiaTheme="minorEastAsia"/>
          <w:sz w:val="24"/>
        </w:rPr>
        <w:t>”</w:t>
      </w:r>
      <w:r w:rsidR="00611CBA" w:rsidRPr="00FC1444">
        <w:rPr>
          <w:rFonts w:eastAsiaTheme="minorEastAsia"/>
          <w:sz w:val="24"/>
        </w:rPr>
        <w:t>的要求。</w:t>
      </w:r>
    </w:p>
    <w:p w:rsidR="002A5A5E" w:rsidRPr="00FC1444" w:rsidRDefault="00760E2B" w:rsidP="0017557C">
      <w:pPr>
        <w:spacing w:line="360" w:lineRule="auto"/>
        <w:ind w:firstLineChars="200" w:firstLine="480"/>
        <w:jc w:val="left"/>
        <w:rPr>
          <w:rFonts w:eastAsiaTheme="minorEastAsia"/>
          <w:kern w:val="0"/>
          <w:sz w:val="24"/>
        </w:rPr>
      </w:pPr>
      <w:r w:rsidRPr="00FC1444">
        <w:rPr>
          <w:rFonts w:eastAsiaTheme="minorEastAsia"/>
          <w:kern w:val="0"/>
          <w:sz w:val="24"/>
        </w:rPr>
        <w:t>（</w:t>
      </w:r>
      <w:r w:rsidR="006B5CB5" w:rsidRPr="00FC1444">
        <w:rPr>
          <w:rFonts w:eastAsiaTheme="minorEastAsia" w:hint="eastAsia"/>
          <w:kern w:val="0"/>
          <w:sz w:val="24"/>
        </w:rPr>
        <w:t>9</w:t>
      </w:r>
      <w:r w:rsidRPr="00FC1444">
        <w:rPr>
          <w:rFonts w:eastAsiaTheme="minorEastAsia"/>
          <w:kern w:val="0"/>
          <w:sz w:val="24"/>
        </w:rPr>
        <w:t>）</w:t>
      </w:r>
      <w:r w:rsidR="00611CBA" w:rsidRPr="00FC1444">
        <w:rPr>
          <w:rFonts w:eastAsiaTheme="minorEastAsia"/>
          <w:kern w:val="0"/>
          <w:sz w:val="24"/>
        </w:rPr>
        <w:t>与</w:t>
      </w:r>
      <w:r w:rsidR="0017557C" w:rsidRPr="00FC1444">
        <w:rPr>
          <w:rFonts w:eastAsiaTheme="minorEastAsia"/>
          <w:kern w:val="0"/>
          <w:sz w:val="24"/>
        </w:rPr>
        <w:t>《国务院关于印发固体废物综合治理行动计划的通知》（国发〔</w:t>
      </w:r>
      <w:r w:rsidR="0017557C" w:rsidRPr="00FC1444">
        <w:rPr>
          <w:rFonts w:eastAsiaTheme="minorEastAsia"/>
          <w:kern w:val="0"/>
          <w:sz w:val="24"/>
        </w:rPr>
        <w:t>2025</w:t>
      </w:r>
      <w:r w:rsidR="0017557C" w:rsidRPr="00FC1444">
        <w:rPr>
          <w:rFonts w:eastAsiaTheme="minorEastAsia"/>
          <w:kern w:val="0"/>
          <w:sz w:val="24"/>
        </w:rPr>
        <w:t>〕</w:t>
      </w:r>
      <w:r w:rsidR="0017557C" w:rsidRPr="00FC1444">
        <w:rPr>
          <w:rFonts w:eastAsiaTheme="minorEastAsia"/>
          <w:kern w:val="0"/>
          <w:sz w:val="24"/>
        </w:rPr>
        <w:t>14</w:t>
      </w:r>
      <w:r w:rsidR="0017557C" w:rsidRPr="00FC1444">
        <w:rPr>
          <w:rFonts w:eastAsiaTheme="minorEastAsia"/>
          <w:kern w:val="0"/>
          <w:sz w:val="24"/>
        </w:rPr>
        <w:t>号）</w:t>
      </w:r>
      <w:r w:rsidR="00611CBA" w:rsidRPr="00FC1444">
        <w:rPr>
          <w:rFonts w:eastAsiaTheme="minorEastAsia"/>
          <w:kern w:val="0"/>
          <w:sz w:val="24"/>
        </w:rPr>
        <w:t>的符合性</w:t>
      </w:r>
    </w:p>
    <w:p w:rsidR="002A5A5E" w:rsidRPr="00FC1444" w:rsidRDefault="00AC2BA4" w:rsidP="00CC20E4">
      <w:pPr>
        <w:spacing w:line="360" w:lineRule="auto"/>
        <w:ind w:firstLineChars="200" w:firstLine="480"/>
        <w:jc w:val="left"/>
        <w:rPr>
          <w:rFonts w:eastAsiaTheme="minorEastAsia"/>
          <w:sz w:val="24"/>
        </w:rPr>
      </w:pPr>
      <w:r w:rsidRPr="00FC1444">
        <w:rPr>
          <w:rFonts w:eastAsiaTheme="minorEastAsia"/>
          <w:sz w:val="24"/>
        </w:rPr>
        <w:t>相关内容：</w:t>
      </w:r>
      <w:r w:rsidR="00CC20E4" w:rsidRPr="00FC1444">
        <w:rPr>
          <w:rFonts w:eastAsiaTheme="minorEastAsia"/>
          <w:sz w:val="24"/>
        </w:rPr>
        <w:t>加强工业固体废物源头减量。加强工业固体废物规范化管理。提高农林固体废物收集转运能力。加强大宗固体废弃物综合利用。</w:t>
      </w:r>
    </w:p>
    <w:p w:rsidR="002A5A5E" w:rsidRPr="00FC1444" w:rsidRDefault="00AC2BA4">
      <w:pPr>
        <w:spacing w:line="360" w:lineRule="auto"/>
        <w:ind w:firstLineChars="200" w:firstLine="480"/>
        <w:jc w:val="left"/>
        <w:rPr>
          <w:rFonts w:eastAsiaTheme="minorEastAsia"/>
          <w:kern w:val="0"/>
          <w:sz w:val="24"/>
        </w:rPr>
      </w:pPr>
      <w:r w:rsidRPr="00FC1444">
        <w:rPr>
          <w:rFonts w:eastAsiaTheme="minorEastAsia"/>
          <w:kern w:val="0"/>
          <w:sz w:val="24"/>
        </w:rPr>
        <w:t>符合性分析：</w:t>
      </w:r>
      <w:r w:rsidR="00611CBA" w:rsidRPr="00FC1444">
        <w:rPr>
          <w:rFonts w:eastAsiaTheme="minorEastAsia"/>
          <w:sz w:val="24"/>
        </w:rPr>
        <w:t>本项目为高标准农田建设项</w:t>
      </w:r>
      <w:r w:rsidR="0097424D" w:rsidRPr="00FC1444">
        <w:rPr>
          <w:rFonts w:eastAsiaTheme="minorEastAsia"/>
          <w:sz w:val="24"/>
        </w:rPr>
        <w:t>目，</w:t>
      </w:r>
      <w:r w:rsidR="00CC20E4" w:rsidRPr="00FC1444">
        <w:rPr>
          <w:rFonts w:eastAsiaTheme="minorEastAsia"/>
          <w:sz w:val="24"/>
        </w:rPr>
        <w:t>施工期建筑垃圾大部分用于田块整治工程，剩余送至建筑公司回用</w:t>
      </w:r>
      <w:r w:rsidR="00F9040C" w:rsidRPr="00FC1444">
        <w:rPr>
          <w:rFonts w:eastAsiaTheme="minorEastAsia"/>
          <w:sz w:val="24"/>
        </w:rPr>
        <w:t>，建筑垃圾进行堆填利用前应开展本底调查及风险评估</w:t>
      </w:r>
      <w:r w:rsidR="00CC20E4" w:rsidRPr="00FC1444">
        <w:rPr>
          <w:rFonts w:eastAsiaTheme="minorEastAsia"/>
          <w:sz w:val="24"/>
        </w:rPr>
        <w:t>；钻井泥浆循环利用，废泥浆暂存于施工场地移动式不锈钢沉淀池内，沉淀后上层清水用于洒水降尘，下层钻井</w:t>
      </w:r>
      <w:r w:rsidR="00CC20E4" w:rsidRPr="00FC1444">
        <w:rPr>
          <w:rFonts w:eastAsiaTheme="minorEastAsia"/>
          <w:bCs/>
          <w:sz w:val="24"/>
        </w:rPr>
        <w:t>泥浆自然干化后用于周围路面平整</w:t>
      </w:r>
      <w:r w:rsidR="00CC20E4" w:rsidRPr="00FC1444">
        <w:rPr>
          <w:rFonts w:eastAsiaTheme="minorEastAsia"/>
          <w:sz w:val="24"/>
        </w:rPr>
        <w:t>；表土全部用于临时工程土地恢复及田块整治工程；</w:t>
      </w:r>
      <w:r w:rsidR="00730492" w:rsidRPr="00FC1444">
        <w:rPr>
          <w:rFonts w:eastAsiaTheme="minorEastAsia"/>
          <w:bCs/>
          <w:sz w:val="24"/>
        </w:rPr>
        <w:t>排水沟淤泥培至工程附近</w:t>
      </w:r>
      <w:r w:rsidR="00730492" w:rsidRPr="00FC1444">
        <w:rPr>
          <w:rFonts w:eastAsiaTheme="minorEastAsia"/>
          <w:bCs/>
          <w:sz w:val="24"/>
        </w:rPr>
        <w:t>200</w:t>
      </w:r>
      <w:r w:rsidR="00730492" w:rsidRPr="00FC1444">
        <w:rPr>
          <w:rFonts w:eastAsiaTheme="minorEastAsia"/>
          <w:bCs/>
          <w:sz w:val="24"/>
        </w:rPr>
        <w:lastRenderedPageBreak/>
        <w:t>米范围内无环境保护目标的排水沟两侧</w:t>
      </w:r>
      <w:r w:rsidR="00CC20E4" w:rsidRPr="00FC1444">
        <w:rPr>
          <w:rFonts w:eastAsiaTheme="minorEastAsia"/>
          <w:sz w:val="24"/>
        </w:rPr>
        <w:t>；</w:t>
      </w:r>
      <w:r w:rsidR="00CC20E4" w:rsidRPr="00FC1444">
        <w:rPr>
          <w:rFonts w:eastAsiaTheme="minorEastAsia"/>
          <w:bCs/>
          <w:sz w:val="24"/>
        </w:rPr>
        <w:t>废肥料包装袋，外售废品收购站</w:t>
      </w:r>
      <w:r w:rsidR="00CC20E4" w:rsidRPr="00FC1444">
        <w:rPr>
          <w:rFonts w:eastAsiaTheme="minorEastAsia"/>
          <w:sz w:val="24"/>
        </w:rPr>
        <w:t>；运营期秸秆、</w:t>
      </w:r>
      <w:r w:rsidR="00CC20E4" w:rsidRPr="00FC1444">
        <w:rPr>
          <w:rFonts w:eastAsiaTheme="minorEastAsia"/>
          <w:bCs/>
          <w:sz w:val="24"/>
        </w:rPr>
        <w:t>废肥料包装</w:t>
      </w:r>
      <w:r w:rsidR="00A05A30" w:rsidRPr="00FC1444">
        <w:rPr>
          <w:rFonts w:eastAsiaTheme="minorEastAsia"/>
          <w:bCs/>
          <w:sz w:val="24"/>
        </w:rPr>
        <w:t>袋由当地农民负责外售综合利用；农业使用者及时收集农药包装物，</w:t>
      </w:r>
      <w:r w:rsidR="00CC20E4" w:rsidRPr="00FC1444">
        <w:rPr>
          <w:rFonts w:eastAsiaTheme="minorEastAsia"/>
          <w:bCs/>
          <w:sz w:val="24"/>
        </w:rPr>
        <w:t>交回农药经营者或回收站</w:t>
      </w:r>
      <w:r w:rsidR="00B40F06" w:rsidRPr="00FC1444">
        <w:rPr>
          <w:rFonts w:eastAsiaTheme="minorEastAsia"/>
          <w:sz w:val="24"/>
        </w:rPr>
        <w:t>，</w:t>
      </w:r>
      <w:r w:rsidR="00CC20E4" w:rsidRPr="00FC1444">
        <w:rPr>
          <w:rFonts w:eastAsiaTheme="minorEastAsia"/>
          <w:sz w:val="24"/>
        </w:rPr>
        <w:t>实现固体废物源头减量</w:t>
      </w:r>
      <w:r w:rsidR="00B40F06" w:rsidRPr="00FC1444">
        <w:rPr>
          <w:rFonts w:eastAsiaTheme="minorEastAsia"/>
          <w:sz w:val="24"/>
        </w:rPr>
        <w:t>，</w:t>
      </w:r>
      <w:r w:rsidR="00CC20E4" w:rsidRPr="00FC1444">
        <w:rPr>
          <w:rFonts w:eastAsiaTheme="minorEastAsia"/>
          <w:sz w:val="24"/>
        </w:rPr>
        <w:t>加强固体废弃物综合利用</w:t>
      </w:r>
      <w:r w:rsidR="00B40F06" w:rsidRPr="00FC1444">
        <w:rPr>
          <w:rFonts w:eastAsiaTheme="minorEastAsia"/>
          <w:sz w:val="24"/>
        </w:rPr>
        <w:t>。</w:t>
      </w:r>
      <w:r w:rsidR="00611CBA" w:rsidRPr="00FC1444">
        <w:rPr>
          <w:rFonts w:eastAsiaTheme="minorEastAsia"/>
          <w:bCs/>
          <w:sz w:val="24"/>
        </w:rPr>
        <w:t>因此，本项目符合</w:t>
      </w:r>
      <w:r w:rsidR="0017557C" w:rsidRPr="00FC1444">
        <w:rPr>
          <w:rFonts w:eastAsiaTheme="minorEastAsia"/>
          <w:kern w:val="0"/>
          <w:sz w:val="24"/>
        </w:rPr>
        <w:t>《国务院关于印发固体废物综合治理行动计划的通知》（国发〔</w:t>
      </w:r>
      <w:r w:rsidR="0017557C" w:rsidRPr="00FC1444">
        <w:rPr>
          <w:rFonts w:eastAsiaTheme="minorEastAsia"/>
          <w:kern w:val="0"/>
          <w:sz w:val="24"/>
        </w:rPr>
        <w:t>2025</w:t>
      </w:r>
      <w:r w:rsidR="0017557C" w:rsidRPr="00FC1444">
        <w:rPr>
          <w:rFonts w:eastAsiaTheme="minorEastAsia"/>
          <w:kern w:val="0"/>
          <w:sz w:val="24"/>
        </w:rPr>
        <w:t>〕</w:t>
      </w:r>
      <w:r w:rsidR="0017557C" w:rsidRPr="00FC1444">
        <w:rPr>
          <w:rFonts w:eastAsiaTheme="minorEastAsia"/>
          <w:kern w:val="0"/>
          <w:sz w:val="24"/>
        </w:rPr>
        <w:t>14</w:t>
      </w:r>
      <w:r w:rsidR="0017557C" w:rsidRPr="00FC1444">
        <w:rPr>
          <w:rFonts w:eastAsiaTheme="minorEastAsia"/>
          <w:kern w:val="0"/>
          <w:sz w:val="24"/>
        </w:rPr>
        <w:t>号）</w:t>
      </w:r>
      <w:r w:rsidR="00611CBA" w:rsidRPr="00FC1444">
        <w:rPr>
          <w:rFonts w:eastAsiaTheme="minorEastAsia"/>
          <w:sz w:val="24"/>
        </w:rPr>
        <w:t>要求。</w:t>
      </w:r>
    </w:p>
    <w:p w:rsidR="002A5A5E" w:rsidRPr="00FC1444" w:rsidRDefault="00760E2B">
      <w:pPr>
        <w:spacing w:line="360" w:lineRule="auto"/>
        <w:ind w:firstLineChars="200" w:firstLine="480"/>
        <w:jc w:val="left"/>
        <w:rPr>
          <w:rFonts w:eastAsiaTheme="minorEastAsia"/>
          <w:kern w:val="0"/>
          <w:sz w:val="24"/>
        </w:rPr>
      </w:pPr>
      <w:r w:rsidRPr="00FC1444">
        <w:rPr>
          <w:rFonts w:eastAsiaTheme="minorEastAsia"/>
          <w:kern w:val="0"/>
          <w:sz w:val="24"/>
        </w:rPr>
        <w:t>（</w:t>
      </w:r>
      <w:r w:rsidRPr="00FC1444">
        <w:rPr>
          <w:rFonts w:eastAsiaTheme="minorEastAsia"/>
          <w:kern w:val="0"/>
          <w:sz w:val="24"/>
        </w:rPr>
        <w:t>1</w:t>
      </w:r>
      <w:r w:rsidR="006B5CB5" w:rsidRPr="00FC1444">
        <w:rPr>
          <w:rFonts w:eastAsiaTheme="minorEastAsia" w:hint="eastAsia"/>
          <w:kern w:val="0"/>
          <w:sz w:val="24"/>
        </w:rPr>
        <w:t>0</w:t>
      </w:r>
      <w:r w:rsidRPr="00FC1444">
        <w:rPr>
          <w:rFonts w:eastAsiaTheme="minorEastAsia"/>
          <w:kern w:val="0"/>
          <w:sz w:val="24"/>
        </w:rPr>
        <w:t>）</w:t>
      </w:r>
      <w:r w:rsidR="00611CBA" w:rsidRPr="00FC1444">
        <w:rPr>
          <w:rFonts w:eastAsiaTheme="minorEastAsia"/>
          <w:kern w:val="0"/>
          <w:sz w:val="24"/>
        </w:rPr>
        <w:t>与《全国农业可持续发展规划（</w:t>
      </w:r>
      <w:r w:rsidR="00611CBA" w:rsidRPr="00FC1444">
        <w:rPr>
          <w:rFonts w:eastAsiaTheme="minorEastAsia"/>
          <w:kern w:val="0"/>
          <w:sz w:val="24"/>
        </w:rPr>
        <w:t>2015—2030</w:t>
      </w:r>
      <w:r w:rsidR="00611CBA" w:rsidRPr="00FC1444">
        <w:rPr>
          <w:rFonts w:eastAsiaTheme="minorEastAsia"/>
          <w:kern w:val="0"/>
          <w:sz w:val="24"/>
        </w:rPr>
        <w:t>年）》的符合性分析</w:t>
      </w:r>
    </w:p>
    <w:p w:rsidR="002A5A5E" w:rsidRPr="00FC1444" w:rsidRDefault="00AC2BA4">
      <w:pPr>
        <w:spacing w:line="360" w:lineRule="auto"/>
        <w:ind w:firstLineChars="200" w:firstLine="480"/>
        <w:jc w:val="left"/>
        <w:rPr>
          <w:rFonts w:eastAsiaTheme="minorEastAsia"/>
          <w:kern w:val="0"/>
          <w:sz w:val="24"/>
        </w:rPr>
      </w:pPr>
      <w:r w:rsidRPr="00FC1444">
        <w:rPr>
          <w:rFonts w:eastAsiaTheme="minorEastAsia"/>
          <w:sz w:val="24"/>
        </w:rPr>
        <w:t>相关内容：</w:t>
      </w:r>
      <w:r w:rsidR="00611CBA" w:rsidRPr="00FC1444">
        <w:rPr>
          <w:rFonts w:eastAsiaTheme="minorEastAsia"/>
          <w:kern w:val="0"/>
          <w:sz w:val="24"/>
        </w:rPr>
        <w:t>提升耕地质量。采取深耕深松、保护性耕作、秸秆还田、增施有机肥、种植绿肥等土壤改良方式，增加土壤有机质，提升土壤肥力。恢复和培育土壤微生物群落，构建养分健康循环通道，促进农业废弃物和环境有机物分解。加强东北黑土地保护，减缓黑土层流失。开展土地整治、中低产田改造、农田水利设施建设，</w:t>
      </w:r>
      <w:bookmarkStart w:id="16" w:name="_Hlk164416529"/>
      <w:r w:rsidR="00611CBA" w:rsidRPr="00FC1444">
        <w:rPr>
          <w:rFonts w:eastAsiaTheme="minorEastAsia"/>
          <w:kern w:val="0"/>
          <w:sz w:val="24"/>
        </w:rPr>
        <w:t>加大高标准农田建设力度</w:t>
      </w:r>
      <w:bookmarkEnd w:id="16"/>
      <w:r w:rsidR="00611CBA" w:rsidRPr="00FC1444">
        <w:rPr>
          <w:rFonts w:eastAsiaTheme="minorEastAsia"/>
          <w:kern w:val="0"/>
          <w:sz w:val="24"/>
        </w:rPr>
        <w:t>，到</w:t>
      </w:r>
      <w:r w:rsidR="00611CBA" w:rsidRPr="00FC1444">
        <w:rPr>
          <w:rFonts w:eastAsiaTheme="minorEastAsia"/>
          <w:kern w:val="0"/>
          <w:sz w:val="24"/>
        </w:rPr>
        <w:t>2020</w:t>
      </w:r>
      <w:r w:rsidR="00611CBA" w:rsidRPr="00FC1444">
        <w:rPr>
          <w:rFonts w:eastAsiaTheme="minorEastAsia"/>
          <w:kern w:val="0"/>
          <w:sz w:val="24"/>
        </w:rPr>
        <w:t>年建成集中连片、旱涝保收的</w:t>
      </w:r>
      <w:r w:rsidR="00611CBA" w:rsidRPr="00FC1444">
        <w:rPr>
          <w:rFonts w:eastAsiaTheme="minorEastAsia"/>
          <w:kern w:val="0"/>
          <w:sz w:val="24"/>
        </w:rPr>
        <w:t>8</w:t>
      </w:r>
      <w:r w:rsidR="00611CBA" w:rsidRPr="00FC1444">
        <w:rPr>
          <w:rFonts w:eastAsiaTheme="minorEastAsia"/>
          <w:kern w:val="0"/>
          <w:sz w:val="24"/>
        </w:rPr>
        <w:t>亿亩高标准农田。</w:t>
      </w:r>
    </w:p>
    <w:p w:rsidR="002A5A5E" w:rsidRPr="00FC1444" w:rsidRDefault="00AC2BA4">
      <w:pPr>
        <w:spacing w:line="360" w:lineRule="auto"/>
        <w:ind w:firstLineChars="200" w:firstLine="480"/>
        <w:jc w:val="left"/>
        <w:rPr>
          <w:rFonts w:eastAsiaTheme="minorEastAsia"/>
          <w:sz w:val="24"/>
        </w:rPr>
      </w:pPr>
      <w:r w:rsidRPr="00FC1444">
        <w:rPr>
          <w:rFonts w:eastAsiaTheme="minorEastAsia"/>
          <w:kern w:val="0"/>
          <w:sz w:val="24"/>
        </w:rPr>
        <w:t>符合性分析：</w:t>
      </w:r>
      <w:r w:rsidR="00611CBA" w:rsidRPr="00FC1444">
        <w:rPr>
          <w:rFonts w:eastAsiaTheme="minorEastAsia"/>
          <w:sz w:val="24"/>
        </w:rPr>
        <w:t>本项目为高标准农田建设项目，建设</w:t>
      </w:r>
      <w:r w:rsidR="00D61453" w:rsidRPr="00FC1444">
        <w:rPr>
          <w:rFonts w:eastAsiaTheme="minorEastAsia"/>
          <w:sz w:val="24"/>
        </w:rPr>
        <w:t>田块整治</w:t>
      </w:r>
      <w:r w:rsidR="00611CBA" w:rsidRPr="00FC1444">
        <w:rPr>
          <w:rFonts w:eastAsiaTheme="minorEastAsia"/>
          <w:sz w:val="24"/>
        </w:rPr>
        <w:t>工程，</w:t>
      </w:r>
      <w:r w:rsidR="00611CBA" w:rsidRPr="00FC1444">
        <w:rPr>
          <w:rFonts w:eastAsiaTheme="minorEastAsia"/>
          <w:kern w:val="0"/>
          <w:sz w:val="24"/>
        </w:rPr>
        <w:t>增施有机肥，增加土壤有机质，提升土壤肥力</w:t>
      </w:r>
      <w:r w:rsidR="00611CBA" w:rsidRPr="00FC1444">
        <w:rPr>
          <w:rFonts w:eastAsiaTheme="minorEastAsia"/>
          <w:sz w:val="24"/>
        </w:rPr>
        <w:t>。因此，本项目的建设符合《全国农业可持续发展规划（</w:t>
      </w:r>
      <w:r w:rsidR="00611CBA" w:rsidRPr="00FC1444">
        <w:rPr>
          <w:rFonts w:eastAsiaTheme="minorEastAsia"/>
          <w:sz w:val="24"/>
        </w:rPr>
        <w:t>2015—2030</w:t>
      </w:r>
      <w:r w:rsidR="00611CBA" w:rsidRPr="00FC1444">
        <w:rPr>
          <w:rFonts w:eastAsiaTheme="minorEastAsia"/>
          <w:sz w:val="24"/>
        </w:rPr>
        <w:t>年）》中</w:t>
      </w:r>
      <w:r w:rsidR="00611CBA" w:rsidRPr="00FC1444">
        <w:rPr>
          <w:rFonts w:eastAsiaTheme="minorEastAsia"/>
          <w:sz w:val="24"/>
        </w:rPr>
        <w:t>“</w:t>
      </w:r>
      <w:r w:rsidR="00611CBA" w:rsidRPr="00FC1444">
        <w:rPr>
          <w:rFonts w:eastAsiaTheme="minorEastAsia"/>
          <w:sz w:val="24"/>
        </w:rPr>
        <w:t>提升耕地质量</w:t>
      </w:r>
      <w:r w:rsidR="00611CBA" w:rsidRPr="00FC1444">
        <w:rPr>
          <w:rFonts w:eastAsiaTheme="minorEastAsia"/>
          <w:sz w:val="24"/>
        </w:rPr>
        <w:t>”</w:t>
      </w:r>
      <w:r w:rsidR="00611CBA" w:rsidRPr="00FC1444">
        <w:rPr>
          <w:rFonts w:eastAsiaTheme="minorEastAsia"/>
          <w:sz w:val="24"/>
        </w:rPr>
        <w:t>的要求。</w:t>
      </w:r>
    </w:p>
    <w:p w:rsidR="002A5A5E" w:rsidRPr="00FC1444" w:rsidRDefault="00760E2B">
      <w:pPr>
        <w:spacing w:line="360" w:lineRule="auto"/>
        <w:ind w:firstLineChars="200" w:firstLine="480"/>
        <w:jc w:val="left"/>
        <w:rPr>
          <w:rFonts w:eastAsiaTheme="minorEastAsia"/>
          <w:sz w:val="24"/>
        </w:rPr>
      </w:pPr>
      <w:r w:rsidRPr="00FC1444">
        <w:rPr>
          <w:rFonts w:eastAsiaTheme="minorEastAsia"/>
          <w:sz w:val="24"/>
        </w:rPr>
        <w:t>（</w:t>
      </w:r>
      <w:r w:rsidRPr="00FC1444">
        <w:rPr>
          <w:rFonts w:eastAsiaTheme="minorEastAsia"/>
          <w:sz w:val="24"/>
        </w:rPr>
        <w:t>1</w:t>
      </w:r>
      <w:r w:rsidR="006B5CB5" w:rsidRPr="00FC1444">
        <w:rPr>
          <w:rFonts w:eastAsiaTheme="minorEastAsia" w:hint="eastAsia"/>
          <w:sz w:val="24"/>
        </w:rPr>
        <w:t>1</w:t>
      </w:r>
      <w:r w:rsidRPr="00FC1444">
        <w:rPr>
          <w:rFonts w:eastAsiaTheme="minorEastAsia"/>
          <w:sz w:val="24"/>
        </w:rPr>
        <w:t>）</w:t>
      </w:r>
      <w:r w:rsidR="00611CBA" w:rsidRPr="00FC1444">
        <w:rPr>
          <w:rFonts w:eastAsiaTheme="minorEastAsia"/>
          <w:sz w:val="24"/>
        </w:rPr>
        <w:t>与《国务院办公厅关于加强入河入海排污口监督管理工作的实施意见》的符合性</w:t>
      </w:r>
    </w:p>
    <w:p w:rsidR="002A5A5E" w:rsidRPr="00FC1444" w:rsidRDefault="00AC2BA4">
      <w:pPr>
        <w:spacing w:line="360" w:lineRule="auto"/>
        <w:ind w:firstLineChars="200" w:firstLine="480"/>
        <w:jc w:val="left"/>
        <w:rPr>
          <w:rFonts w:eastAsiaTheme="minorEastAsia"/>
          <w:sz w:val="24"/>
        </w:rPr>
      </w:pPr>
      <w:r w:rsidRPr="00FC1444">
        <w:rPr>
          <w:rFonts w:eastAsiaTheme="minorEastAsia"/>
          <w:sz w:val="24"/>
        </w:rPr>
        <w:t>相关内容：</w:t>
      </w:r>
      <w:r w:rsidR="00611CBA" w:rsidRPr="00FC1444">
        <w:rPr>
          <w:rFonts w:eastAsiaTheme="minorEastAsia"/>
          <w:sz w:val="24"/>
        </w:rPr>
        <w:t>《国务院办公厅关于加强入河入海排污口监督管理工作的实施意见》（以下简称《意见》）一、总体要求中指出：明晰责任，严格监督。明确每个排污口责任主体，确保事有人管、责有人负。六、明确排污口分类。根据排污口责任主体所属行业及排放特征，将排污口分为工业排污口、城镇污水处理厂排污口、农业排口、其他排口等四种类型。其中，工业排污口包括工矿企业排污口和雨洪排口、工业及其他各类园区污水处理厂排污口和雨洪排口等。</w:t>
      </w:r>
    </w:p>
    <w:p w:rsidR="002A5A5E" w:rsidRPr="00FC1444" w:rsidRDefault="00AC2BA4">
      <w:pPr>
        <w:spacing w:line="360" w:lineRule="auto"/>
        <w:ind w:firstLineChars="200" w:firstLine="480"/>
        <w:jc w:val="left"/>
        <w:rPr>
          <w:rFonts w:eastAsiaTheme="minorEastAsia"/>
          <w:sz w:val="24"/>
        </w:rPr>
      </w:pPr>
      <w:r w:rsidRPr="00FC1444">
        <w:rPr>
          <w:rFonts w:eastAsiaTheme="minorEastAsia"/>
          <w:kern w:val="0"/>
          <w:sz w:val="24"/>
        </w:rPr>
        <w:t>符合性分析：</w:t>
      </w:r>
      <w:r w:rsidR="00E456D6" w:rsidRPr="00FC1444">
        <w:rPr>
          <w:rFonts w:eastAsiaTheme="minorEastAsia"/>
          <w:sz w:val="24"/>
        </w:rPr>
        <w:t>本项目现有水田排污口位于绥胜干沟及原有沟，属于自然沟渠</w:t>
      </w:r>
      <w:r w:rsidR="002837A5" w:rsidRPr="00FC1444">
        <w:rPr>
          <w:rFonts w:eastAsiaTheme="minorEastAsia"/>
          <w:sz w:val="24"/>
        </w:rPr>
        <w:t>，经咨询当地相关管理部门，无需进行审批登记管理，不进行管控</w:t>
      </w:r>
      <w:r w:rsidR="00611CBA" w:rsidRPr="00FC1444">
        <w:rPr>
          <w:rFonts w:eastAsiaTheme="minorEastAsia"/>
          <w:sz w:val="24"/>
        </w:rPr>
        <w:t>。</w:t>
      </w:r>
    </w:p>
    <w:p w:rsidR="002A5A5E" w:rsidRPr="00FC1444"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bookmarkStart w:id="17" w:name="_Toc11758453"/>
      <w:r w:rsidRPr="00FC1444">
        <w:rPr>
          <w:rFonts w:ascii="Times New Roman" w:eastAsiaTheme="minorEastAsia" w:hAnsi="Times New Roman" w:cs="Times New Roman"/>
          <w:b/>
          <w:sz w:val="28"/>
          <w:szCs w:val="28"/>
        </w:rPr>
        <w:t>1.4.</w:t>
      </w:r>
      <w:bookmarkEnd w:id="17"/>
      <w:r w:rsidRPr="00FC1444">
        <w:rPr>
          <w:rFonts w:ascii="Times New Roman" w:eastAsiaTheme="minorEastAsia" w:hAnsi="Times New Roman" w:cs="Times New Roman"/>
          <w:b/>
          <w:sz w:val="28"/>
          <w:szCs w:val="28"/>
        </w:rPr>
        <w:t>3</w:t>
      </w:r>
      <w:r w:rsidRPr="00FC1444">
        <w:rPr>
          <w:rFonts w:ascii="Times New Roman" w:eastAsiaTheme="minorEastAsia" w:hAnsi="Times New Roman" w:cs="Times New Roman"/>
          <w:b/>
          <w:sz w:val="28"/>
          <w:szCs w:val="28"/>
        </w:rPr>
        <w:t>与《地下水管理条例》符合性分析</w:t>
      </w:r>
    </w:p>
    <w:p w:rsidR="00F9080B" w:rsidRPr="00FC1444" w:rsidRDefault="00611CBA" w:rsidP="00F9080B">
      <w:pPr>
        <w:spacing w:line="360" w:lineRule="auto"/>
        <w:ind w:firstLineChars="200" w:firstLine="480"/>
        <w:rPr>
          <w:rFonts w:eastAsiaTheme="minorEastAsia"/>
          <w:sz w:val="24"/>
          <w:lang w:val="zh-CN"/>
        </w:rPr>
      </w:pPr>
      <w:r w:rsidRPr="00FC1444">
        <w:rPr>
          <w:rFonts w:eastAsiaTheme="minorEastAsia"/>
          <w:sz w:val="24"/>
        </w:rPr>
        <w:t>根据下表分析，本项目符合</w:t>
      </w:r>
      <w:r w:rsidRPr="00FC1444">
        <w:rPr>
          <w:rFonts w:eastAsiaTheme="minorEastAsia"/>
          <w:bCs/>
          <w:sz w:val="24"/>
        </w:rPr>
        <w:t>《地下水管理条例》（中华人民共和国国务院令第</w:t>
      </w:r>
      <w:r w:rsidRPr="00FC1444">
        <w:rPr>
          <w:rFonts w:eastAsiaTheme="minorEastAsia"/>
          <w:bCs/>
          <w:sz w:val="24"/>
        </w:rPr>
        <w:t>748</w:t>
      </w:r>
      <w:r w:rsidRPr="00FC1444">
        <w:rPr>
          <w:rFonts w:eastAsiaTheme="minorEastAsia"/>
          <w:bCs/>
          <w:sz w:val="24"/>
        </w:rPr>
        <w:t>号）</w:t>
      </w:r>
      <w:r w:rsidRPr="00FC1444">
        <w:rPr>
          <w:rFonts w:eastAsiaTheme="minorEastAsia"/>
          <w:sz w:val="24"/>
          <w:lang w:val="zh-CN"/>
        </w:rPr>
        <w:t>。</w:t>
      </w:r>
    </w:p>
    <w:p w:rsidR="002A5A5E" w:rsidRPr="00FC1444" w:rsidRDefault="00611CBA" w:rsidP="00F9080B">
      <w:pPr>
        <w:contextualSpacing/>
        <w:jc w:val="center"/>
        <w:rPr>
          <w:rFonts w:eastAsiaTheme="minorEastAsia"/>
          <w:b/>
          <w:bCs/>
          <w:szCs w:val="21"/>
        </w:rPr>
      </w:pPr>
      <w:r w:rsidRPr="00FC1444">
        <w:rPr>
          <w:rFonts w:eastAsiaTheme="minorEastAsia"/>
          <w:b/>
          <w:bCs/>
          <w:szCs w:val="21"/>
        </w:rPr>
        <w:lastRenderedPageBreak/>
        <w:t>表</w:t>
      </w:r>
      <w:r w:rsidRPr="00FC1444">
        <w:rPr>
          <w:rFonts w:eastAsiaTheme="minorEastAsia"/>
          <w:b/>
          <w:bCs/>
          <w:szCs w:val="21"/>
        </w:rPr>
        <w:t>1-4-2</w:t>
      </w:r>
      <w:r w:rsidRPr="00FC1444">
        <w:rPr>
          <w:rFonts w:eastAsiaTheme="minorEastAsia"/>
          <w:b/>
          <w:bCs/>
          <w:szCs w:val="21"/>
        </w:rPr>
        <w:t>符合性分析</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675"/>
        <w:gridCol w:w="4535"/>
        <w:gridCol w:w="3312"/>
      </w:tblGrid>
      <w:tr w:rsidR="002A5A5E" w:rsidRPr="00FC1444" w:rsidTr="0079178B">
        <w:trPr>
          <w:trHeight w:val="170"/>
        </w:trPr>
        <w:tc>
          <w:tcPr>
            <w:tcW w:w="396" w:type="pct"/>
            <w:vAlign w:val="center"/>
          </w:tcPr>
          <w:p w:rsidR="002A5A5E" w:rsidRPr="00FC1444" w:rsidRDefault="00611CBA">
            <w:pPr>
              <w:adjustRightInd w:val="0"/>
              <w:snapToGrid w:val="0"/>
              <w:jc w:val="center"/>
              <w:rPr>
                <w:rFonts w:eastAsiaTheme="minorEastAsia"/>
              </w:rPr>
            </w:pPr>
            <w:bookmarkStart w:id="18" w:name="_Toc11758454"/>
            <w:r w:rsidRPr="00FC1444">
              <w:rPr>
                <w:rFonts w:eastAsiaTheme="minorEastAsia"/>
              </w:rPr>
              <w:t>序号</w:t>
            </w:r>
          </w:p>
        </w:tc>
        <w:tc>
          <w:tcPr>
            <w:tcW w:w="2661" w:type="pct"/>
            <w:vAlign w:val="center"/>
          </w:tcPr>
          <w:p w:rsidR="002A5A5E" w:rsidRPr="00FC1444" w:rsidRDefault="00611CBA">
            <w:pPr>
              <w:adjustRightInd w:val="0"/>
              <w:snapToGrid w:val="0"/>
              <w:jc w:val="center"/>
              <w:rPr>
                <w:rFonts w:eastAsiaTheme="minorEastAsia"/>
              </w:rPr>
            </w:pPr>
            <w:r w:rsidRPr="00FC1444">
              <w:rPr>
                <w:rFonts w:eastAsiaTheme="minorEastAsia"/>
              </w:rPr>
              <w:t>条例要求</w:t>
            </w:r>
          </w:p>
        </w:tc>
        <w:tc>
          <w:tcPr>
            <w:tcW w:w="1943" w:type="pct"/>
            <w:vAlign w:val="center"/>
          </w:tcPr>
          <w:p w:rsidR="002A5A5E" w:rsidRPr="00FC1444" w:rsidRDefault="00611CBA">
            <w:pPr>
              <w:adjustRightInd w:val="0"/>
              <w:snapToGrid w:val="0"/>
              <w:jc w:val="center"/>
              <w:rPr>
                <w:rFonts w:eastAsiaTheme="minorEastAsia"/>
              </w:rPr>
            </w:pPr>
            <w:r w:rsidRPr="00FC1444">
              <w:rPr>
                <w:rFonts w:eastAsiaTheme="minorEastAsia"/>
              </w:rPr>
              <w:t>本项目符合性</w:t>
            </w:r>
          </w:p>
        </w:tc>
      </w:tr>
      <w:tr w:rsidR="002A5A5E" w:rsidRPr="00FC1444" w:rsidTr="0079178B">
        <w:trPr>
          <w:trHeight w:val="90"/>
        </w:trPr>
        <w:tc>
          <w:tcPr>
            <w:tcW w:w="396" w:type="pct"/>
            <w:vAlign w:val="center"/>
          </w:tcPr>
          <w:p w:rsidR="002A5A5E" w:rsidRPr="00FC1444" w:rsidRDefault="00611CBA">
            <w:pPr>
              <w:adjustRightInd w:val="0"/>
              <w:snapToGrid w:val="0"/>
              <w:jc w:val="center"/>
              <w:rPr>
                <w:rFonts w:eastAsiaTheme="minorEastAsia"/>
              </w:rPr>
            </w:pPr>
            <w:r w:rsidRPr="00FC1444">
              <w:rPr>
                <w:rFonts w:eastAsiaTheme="minorEastAsia"/>
              </w:rPr>
              <w:t>1</w:t>
            </w:r>
          </w:p>
        </w:tc>
        <w:tc>
          <w:tcPr>
            <w:tcW w:w="2661"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取用地下水的单位和个人应当遵守取水总量控制和定额管理要求，使用先进节约用水技术、工艺和设备，采取循环用水、综合利用及废水处理回用等措施，实施技术改造，降低用水消耗</w:t>
            </w:r>
          </w:p>
        </w:tc>
        <w:tc>
          <w:tcPr>
            <w:tcW w:w="1943"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本项目取用地下水为农田灌溉，采取节水灌溉方式，降低用水消耗，符合要求</w:t>
            </w:r>
          </w:p>
        </w:tc>
      </w:tr>
      <w:tr w:rsidR="002A5A5E" w:rsidRPr="00FC1444" w:rsidTr="0079178B">
        <w:trPr>
          <w:trHeight w:val="90"/>
        </w:trPr>
        <w:tc>
          <w:tcPr>
            <w:tcW w:w="396" w:type="pct"/>
            <w:vAlign w:val="center"/>
          </w:tcPr>
          <w:p w:rsidR="002A5A5E" w:rsidRPr="00FC1444" w:rsidRDefault="00611CBA">
            <w:pPr>
              <w:adjustRightInd w:val="0"/>
              <w:snapToGrid w:val="0"/>
              <w:jc w:val="center"/>
              <w:rPr>
                <w:rFonts w:eastAsiaTheme="minorEastAsia"/>
              </w:rPr>
            </w:pPr>
            <w:r w:rsidRPr="00FC1444">
              <w:rPr>
                <w:rFonts w:eastAsiaTheme="minorEastAsia"/>
              </w:rPr>
              <w:t>2</w:t>
            </w:r>
          </w:p>
        </w:tc>
        <w:tc>
          <w:tcPr>
            <w:tcW w:w="2661"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新建、改建、扩建地下水取水工程，应当同时安装计量设施</w:t>
            </w:r>
          </w:p>
        </w:tc>
        <w:tc>
          <w:tcPr>
            <w:tcW w:w="1943"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本项目地下水取水井配备计量设施，符合要求</w:t>
            </w:r>
          </w:p>
        </w:tc>
      </w:tr>
      <w:tr w:rsidR="002A5A5E" w:rsidRPr="00FC1444" w:rsidTr="0079178B">
        <w:trPr>
          <w:trHeight w:val="90"/>
        </w:trPr>
        <w:tc>
          <w:tcPr>
            <w:tcW w:w="396" w:type="pct"/>
            <w:vAlign w:val="center"/>
          </w:tcPr>
          <w:p w:rsidR="002A5A5E" w:rsidRPr="00FC1444" w:rsidRDefault="00611CBA">
            <w:pPr>
              <w:adjustRightInd w:val="0"/>
              <w:snapToGrid w:val="0"/>
              <w:jc w:val="center"/>
              <w:rPr>
                <w:rFonts w:eastAsiaTheme="minorEastAsia"/>
              </w:rPr>
            </w:pPr>
            <w:r w:rsidRPr="00FC1444">
              <w:rPr>
                <w:rFonts w:eastAsiaTheme="minorEastAsia"/>
              </w:rPr>
              <w:t>3</w:t>
            </w:r>
          </w:p>
        </w:tc>
        <w:tc>
          <w:tcPr>
            <w:tcW w:w="2661"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以地下水为灌溉水源的地区，县级以上地方人民政府应当采取保障建设投入、加大对企业信贷支持力度、建立健全基层水利服务体系等措施，鼓励发展节水农业，推广应用喷灌、微灌、管道输水灌溉、渠道防渗输水灌溉等节水灌溉技术，以及先进的农机、农艺和生物技术等，提高农业用水效率，节约农业用水</w:t>
            </w:r>
          </w:p>
        </w:tc>
        <w:tc>
          <w:tcPr>
            <w:tcW w:w="1943"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本项目采用节水灌溉模式，含滴灌井，提高农业用水效率，节约农业用水，符合要求</w:t>
            </w:r>
          </w:p>
        </w:tc>
      </w:tr>
      <w:tr w:rsidR="002A5A5E" w:rsidRPr="00FC1444" w:rsidTr="0079178B">
        <w:trPr>
          <w:trHeight w:val="90"/>
        </w:trPr>
        <w:tc>
          <w:tcPr>
            <w:tcW w:w="396" w:type="pct"/>
            <w:vAlign w:val="center"/>
          </w:tcPr>
          <w:p w:rsidR="002A5A5E" w:rsidRPr="00FC1444" w:rsidRDefault="00611CBA">
            <w:pPr>
              <w:adjustRightInd w:val="0"/>
              <w:snapToGrid w:val="0"/>
              <w:jc w:val="center"/>
              <w:rPr>
                <w:rFonts w:eastAsiaTheme="minorEastAsia"/>
              </w:rPr>
            </w:pPr>
            <w:r w:rsidRPr="00FC1444">
              <w:rPr>
                <w:rFonts w:eastAsiaTheme="minorEastAsia"/>
              </w:rPr>
              <w:t>4</w:t>
            </w:r>
          </w:p>
        </w:tc>
        <w:tc>
          <w:tcPr>
            <w:tcW w:w="2661"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建设单位和个人应当采取措施防止地下工程建设对地下水补给、径流、排泄等造成重大不利影响</w:t>
            </w:r>
          </w:p>
        </w:tc>
        <w:tc>
          <w:tcPr>
            <w:tcW w:w="1943"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本项目合理开采和利用地下水资源，严格执行灌溉制度，制定合理的用水计划，采取有效的地下水保护措施，不会造成重大影响，符合要求</w:t>
            </w:r>
          </w:p>
        </w:tc>
      </w:tr>
      <w:tr w:rsidR="002A5A5E" w:rsidRPr="00FC1444" w:rsidTr="0079178B">
        <w:trPr>
          <w:trHeight w:val="90"/>
        </w:trPr>
        <w:tc>
          <w:tcPr>
            <w:tcW w:w="396" w:type="pct"/>
            <w:vAlign w:val="center"/>
          </w:tcPr>
          <w:p w:rsidR="002A5A5E" w:rsidRPr="00FC1444" w:rsidRDefault="00611CBA">
            <w:pPr>
              <w:adjustRightInd w:val="0"/>
              <w:snapToGrid w:val="0"/>
              <w:jc w:val="center"/>
              <w:rPr>
                <w:rFonts w:eastAsiaTheme="minorEastAsia"/>
              </w:rPr>
            </w:pPr>
            <w:r w:rsidRPr="00FC1444">
              <w:rPr>
                <w:rFonts w:eastAsiaTheme="minorEastAsia"/>
              </w:rPr>
              <w:t>5</w:t>
            </w:r>
          </w:p>
        </w:tc>
        <w:tc>
          <w:tcPr>
            <w:tcW w:w="2661"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禁止下列污染或者可能污染地下水的行为：</w:t>
            </w:r>
            <w:r w:rsidRPr="00FC1444">
              <w:rPr>
                <w:rFonts w:ascii="宋体" w:hAnsi="宋体" w:cs="宋体" w:hint="eastAsia"/>
                <w:szCs w:val="21"/>
              </w:rPr>
              <w:t>①</w:t>
            </w:r>
            <w:r w:rsidRPr="00FC1444">
              <w:rPr>
                <w:rFonts w:eastAsiaTheme="minorEastAsia"/>
                <w:szCs w:val="21"/>
              </w:rPr>
              <w:t>利用渗井、渗坑、裂隙、溶洞以及私设暗管等逃避监管的方式排放水污染物，</w:t>
            </w:r>
            <w:r w:rsidRPr="00FC1444">
              <w:rPr>
                <w:rFonts w:ascii="宋体" w:hAnsi="宋体" w:cs="宋体" w:hint="eastAsia"/>
                <w:szCs w:val="21"/>
              </w:rPr>
              <w:t>②</w:t>
            </w:r>
            <w:r w:rsidRPr="00FC1444">
              <w:rPr>
                <w:rFonts w:eastAsiaTheme="minorEastAsia"/>
                <w:szCs w:val="21"/>
              </w:rPr>
              <w:t>利用岩层孔隙、裂隙、溶洞、废弃矿坑等贮存石化原料及产品、农药、危险废物、城镇污水处理设施产生的污泥和处理后的污泥或者其他有毒有害物质，</w:t>
            </w:r>
            <w:r w:rsidRPr="00FC1444">
              <w:rPr>
                <w:rFonts w:ascii="宋体" w:hAnsi="宋体" w:cs="宋体" w:hint="eastAsia"/>
                <w:szCs w:val="21"/>
              </w:rPr>
              <w:t>③</w:t>
            </w:r>
            <w:r w:rsidRPr="00FC1444">
              <w:rPr>
                <w:rFonts w:eastAsiaTheme="minorEastAsia"/>
                <w:szCs w:val="21"/>
              </w:rPr>
              <w:t>利用无防渗漏措施的沟渠、坑塘等输送或者贮存含有毒污染物的废水、含病原体的污水和其他废弃物，</w:t>
            </w:r>
            <w:r w:rsidRPr="00FC1444">
              <w:rPr>
                <w:rFonts w:ascii="宋体" w:hAnsi="宋体" w:cs="宋体" w:hint="eastAsia"/>
                <w:szCs w:val="21"/>
              </w:rPr>
              <w:t>④</w:t>
            </w:r>
            <w:r w:rsidRPr="00FC1444">
              <w:rPr>
                <w:rFonts w:eastAsiaTheme="minorEastAsia"/>
                <w:szCs w:val="21"/>
              </w:rPr>
              <w:t>法律、法规禁止的其他污染或者可能污染地下水的行为</w:t>
            </w:r>
          </w:p>
        </w:tc>
        <w:tc>
          <w:tcPr>
            <w:tcW w:w="1943"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本项目施工期</w:t>
            </w:r>
            <w:r w:rsidRPr="00FC1444">
              <w:rPr>
                <w:rFonts w:eastAsiaTheme="minorEastAsia"/>
                <w:bCs/>
                <w:szCs w:val="21"/>
              </w:rPr>
              <w:t>生活污水依托附近民房防渗旱厕，定期清掏，外运堆肥，不外排</w:t>
            </w:r>
            <w:r w:rsidRPr="00FC1444">
              <w:rPr>
                <w:rFonts w:eastAsiaTheme="minorEastAsia"/>
                <w:szCs w:val="21"/>
              </w:rPr>
              <w:t>。洗井废水用于洒水降尘，不外排，不会污染地下水，符合要求</w:t>
            </w:r>
          </w:p>
        </w:tc>
      </w:tr>
      <w:tr w:rsidR="002A5A5E" w:rsidRPr="00FC1444" w:rsidTr="0079178B">
        <w:trPr>
          <w:trHeight w:val="90"/>
        </w:trPr>
        <w:tc>
          <w:tcPr>
            <w:tcW w:w="396" w:type="pct"/>
            <w:vAlign w:val="center"/>
          </w:tcPr>
          <w:p w:rsidR="002A5A5E" w:rsidRPr="00FC1444" w:rsidRDefault="00611CBA">
            <w:pPr>
              <w:adjustRightInd w:val="0"/>
              <w:snapToGrid w:val="0"/>
              <w:jc w:val="center"/>
              <w:rPr>
                <w:rFonts w:eastAsiaTheme="minorEastAsia"/>
              </w:rPr>
            </w:pPr>
            <w:r w:rsidRPr="00FC1444">
              <w:rPr>
                <w:rFonts w:eastAsiaTheme="minorEastAsia"/>
              </w:rPr>
              <w:t>6</w:t>
            </w:r>
          </w:p>
        </w:tc>
        <w:tc>
          <w:tcPr>
            <w:tcW w:w="2661"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农业生产经营者等有关单位和个人应当科学、合理使用农药、肥料等农业投入品，农田灌溉用水应当符合相关水质标准，防止地下水污染</w:t>
            </w:r>
          </w:p>
        </w:tc>
        <w:tc>
          <w:tcPr>
            <w:tcW w:w="1943"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本项目运营期科学、合理使用农药、肥料，实行三减措施，实施测土配方施肥、水肥一体化等措施，控制农药、肥料施用种类及数量。根据本项目地下水监测报告数据可知，</w:t>
            </w:r>
            <w:r w:rsidR="0079178B" w:rsidRPr="00FC1444">
              <w:rPr>
                <w:rFonts w:eastAsiaTheme="minorEastAsia"/>
                <w:szCs w:val="21"/>
              </w:rPr>
              <w:t>项目区水质满足《农田灌溉水质标准》（</w:t>
            </w:r>
            <w:r w:rsidR="0079178B" w:rsidRPr="00FC1444">
              <w:rPr>
                <w:rFonts w:eastAsiaTheme="minorEastAsia"/>
                <w:szCs w:val="21"/>
              </w:rPr>
              <w:t>GB5048-2021</w:t>
            </w:r>
            <w:r w:rsidR="0079178B" w:rsidRPr="00FC1444">
              <w:rPr>
                <w:rFonts w:eastAsiaTheme="minorEastAsia"/>
                <w:szCs w:val="21"/>
              </w:rPr>
              <w:t>）中旱地作物及水田作物水质要求</w:t>
            </w:r>
          </w:p>
        </w:tc>
      </w:tr>
    </w:tbl>
    <w:p w:rsidR="008249D3" w:rsidRPr="00FC1444" w:rsidRDefault="008249D3"/>
    <w:p w:rsidR="008249D3" w:rsidRPr="00FC1444" w:rsidRDefault="008249D3"/>
    <w:p w:rsidR="008249D3" w:rsidRPr="00FC1444" w:rsidRDefault="008249D3"/>
    <w:p w:rsidR="008249D3" w:rsidRPr="00FC1444" w:rsidRDefault="008249D3"/>
    <w:p w:rsidR="008249D3" w:rsidRPr="00FC1444" w:rsidRDefault="008249D3"/>
    <w:p w:rsidR="008249D3" w:rsidRPr="00FC1444" w:rsidRDefault="008249D3"/>
    <w:p w:rsidR="008249D3" w:rsidRPr="00FC1444" w:rsidRDefault="008249D3"/>
    <w:p w:rsidR="008249D3" w:rsidRPr="00FC1444" w:rsidRDefault="008249D3"/>
    <w:p w:rsidR="008249D3" w:rsidRPr="00FC1444" w:rsidRDefault="008249D3"/>
    <w:p w:rsidR="008249D3" w:rsidRPr="00FC1444" w:rsidRDefault="008249D3"/>
    <w:p w:rsidR="008249D3" w:rsidRPr="00FC1444" w:rsidRDefault="008249D3"/>
    <w:p w:rsidR="008249D3" w:rsidRPr="00FC1444" w:rsidRDefault="008249D3" w:rsidP="008249D3">
      <w:pPr>
        <w:contextualSpacing/>
        <w:jc w:val="center"/>
        <w:rPr>
          <w:rFonts w:eastAsiaTheme="minorEastAsia"/>
          <w:b/>
          <w:bCs/>
          <w:szCs w:val="21"/>
        </w:rPr>
      </w:pPr>
      <w:r w:rsidRPr="00FC1444">
        <w:rPr>
          <w:rFonts w:eastAsiaTheme="minorEastAsia"/>
          <w:b/>
          <w:bCs/>
          <w:szCs w:val="21"/>
        </w:rPr>
        <w:lastRenderedPageBreak/>
        <w:t>续表</w:t>
      </w:r>
      <w:r w:rsidRPr="00FC1444">
        <w:rPr>
          <w:rFonts w:eastAsiaTheme="minorEastAsia"/>
          <w:b/>
          <w:bCs/>
          <w:szCs w:val="21"/>
        </w:rPr>
        <w:t>1-4-2</w:t>
      </w:r>
      <w:r w:rsidRPr="00FC1444">
        <w:rPr>
          <w:rFonts w:eastAsiaTheme="minorEastAsia"/>
          <w:b/>
          <w:bCs/>
          <w:szCs w:val="21"/>
        </w:rPr>
        <w:t>符合性分析</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675"/>
        <w:gridCol w:w="4535"/>
        <w:gridCol w:w="3312"/>
      </w:tblGrid>
      <w:tr w:rsidR="002A5A5E" w:rsidRPr="00FC1444" w:rsidTr="0079178B">
        <w:trPr>
          <w:trHeight w:val="90"/>
        </w:trPr>
        <w:tc>
          <w:tcPr>
            <w:tcW w:w="396" w:type="pct"/>
            <w:vAlign w:val="center"/>
          </w:tcPr>
          <w:p w:rsidR="002A5A5E" w:rsidRPr="00FC1444" w:rsidRDefault="00611CBA">
            <w:pPr>
              <w:adjustRightInd w:val="0"/>
              <w:snapToGrid w:val="0"/>
              <w:jc w:val="center"/>
              <w:rPr>
                <w:rFonts w:eastAsiaTheme="minorEastAsia"/>
              </w:rPr>
            </w:pPr>
            <w:r w:rsidRPr="00FC1444">
              <w:rPr>
                <w:rFonts w:eastAsiaTheme="minorEastAsia"/>
              </w:rPr>
              <w:t>7</w:t>
            </w:r>
          </w:p>
        </w:tc>
        <w:tc>
          <w:tcPr>
            <w:tcW w:w="2661" w:type="pct"/>
            <w:vAlign w:val="center"/>
          </w:tcPr>
          <w:p w:rsidR="002A5A5E" w:rsidRPr="00FC1444" w:rsidRDefault="00611CBA">
            <w:pPr>
              <w:jc w:val="left"/>
              <w:rPr>
                <w:rFonts w:eastAsiaTheme="minorEastAsia"/>
                <w:szCs w:val="21"/>
              </w:rPr>
            </w:pPr>
            <w:r w:rsidRPr="00FC1444">
              <w:rPr>
                <w:rFonts w:eastAsiaTheme="minorEastAsia"/>
                <w:szCs w:val="21"/>
              </w:rPr>
              <w:t>有下列情形之一的，应当划为地下水禁止开采区：</w:t>
            </w:r>
            <w:r w:rsidRPr="00FC1444">
              <w:rPr>
                <w:rFonts w:ascii="宋体" w:hAnsi="宋体" w:cs="宋体" w:hint="eastAsia"/>
                <w:szCs w:val="21"/>
              </w:rPr>
              <w:t>①</w:t>
            </w:r>
            <w:r w:rsidRPr="00FC1444">
              <w:rPr>
                <w:rFonts w:eastAsiaTheme="minorEastAsia"/>
                <w:szCs w:val="21"/>
              </w:rPr>
              <w:t>已发生严重的地面沉降、地裂缝、海（咸）水入侵、植被退化等地质灾害或者生态损害的区域，</w:t>
            </w:r>
            <w:r w:rsidRPr="00FC1444">
              <w:rPr>
                <w:rFonts w:ascii="宋体" w:hAnsi="宋体" w:cs="宋体" w:hint="eastAsia"/>
                <w:szCs w:val="21"/>
              </w:rPr>
              <w:t>②</w:t>
            </w:r>
            <w:r w:rsidRPr="00FC1444">
              <w:rPr>
                <w:rFonts w:eastAsiaTheme="minorEastAsia"/>
                <w:szCs w:val="21"/>
              </w:rPr>
              <w:t>地下水超采区内公共供水管网覆盖或者通过替代水源已经解决供水需求的区域，</w:t>
            </w:r>
            <w:r w:rsidRPr="00FC1444">
              <w:rPr>
                <w:rFonts w:ascii="宋体" w:hAnsi="宋体" w:cs="宋体" w:hint="eastAsia"/>
                <w:szCs w:val="21"/>
              </w:rPr>
              <w:t>③</w:t>
            </w:r>
            <w:r w:rsidRPr="00FC1444">
              <w:rPr>
                <w:rFonts w:eastAsiaTheme="minorEastAsia"/>
                <w:szCs w:val="21"/>
              </w:rPr>
              <w:t>法律、法规规定禁止开采地下水的其他区域</w:t>
            </w:r>
          </w:p>
        </w:tc>
        <w:tc>
          <w:tcPr>
            <w:tcW w:w="1943" w:type="pct"/>
            <w:vMerge w:val="restar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本项目所在区域不属于已发生严重的地面沉降、地裂缝、海（咸）水入侵、植被退化等地质灾害或者生态损害的区域。不属于地下水开采量接近可开采量的区域。不位于地下水开采重点管控区及超采区。不属于法律、法规规定禁止、限制开采地下水的其他区域。本项目开采地下水不会引发地质灾害或者生态损害，符合要求</w:t>
            </w:r>
          </w:p>
        </w:tc>
      </w:tr>
      <w:tr w:rsidR="002A5A5E" w:rsidRPr="00FC1444" w:rsidTr="0079178B">
        <w:trPr>
          <w:trHeight w:val="90"/>
        </w:trPr>
        <w:tc>
          <w:tcPr>
            <w:tcW w:w="396" w:type="pct"/>
            <w:vAlign w:val="center"/>
          </w:tcPr>
          <w:p w:rsidR="002A5A5E" w:rsidRPr="00FC1444" w:rsidRDefault="00611CBA">
            <w:pPr>
              <w:adjustRightInd w:val="0"/>
              <w:snapToGrid w:val="0"/>
              <w:jc w:val="center"/>
              <w:rPr>
                <w:rFonts w:eastAsiaTheme="minorEastAsia"/>
              </w:rPr>
            </w:pPr>
            <w:r w:rsidRPr="00FC1444">
              <w:rPr>
                <w:rFonts w:eastAsiaTheme="minorEastAsia"/>
              </w:rPr>
              <w:t>8</w:t>
            </w:r>
          </w:p>
        </w:tc>
        <w:tc>
          <w:tcPr>
            <w:tcW w:w="2661" w:type="pct"/>
            <w:vAlign w:val="center"/>
          </w:tcPr>
          <w:p w:rsidR="002A5A5E" w:rsidRPr="00FC1444" w:rsidRDefault="00611CBA">
            <w:pPr>
              <w:adjustRightInd w:val="0"/>
              <w:snapToGrid w:val="0"/>
              <w:jc w:val="left"/>
              <w:rPr>
                <w:rFonts w:eastAsiaTheme="minorEastAsia"/>
                <w:szCs w:val="21"/>
              </w:rPr>
            </w:pPr>
            <w:r w:rsidRPr="00FC1444">
              <w:rPr>
                <w:rFonts w:eastAsiaTheme="minorEastAsia"/>
                <w:szCs w:val="21"/>
              </w:rPr>
              <w:t>有下列情形之一的，应当划为地下水限制开采区：</w:t>
            </w:r>
            <w:r w:rsidRPr="00FC1444">
              <w:rPr>
                <w:rFonts w:ascii="宋体" w:hAnsi="宋体" w:cs="宋体" w:hint="eastAsia"/>
                <w:szCs w:val="21"/>
              </w:rPr>
              <w:t>①</w:t>
            </w:r>
            <w:r w:rsidRPr="00FC1444">
              <w:rPr>
                <w:rFonts w:eastAsiaTheme="minorEastAsia"/>
                <w:szCs w:val="21"/>
              </w:rPr>
              <w:t>地下水开采量接近可开采量的区域</w:t>
            </w:r>
            <w:r w:rsidRPr="00FC1444">
              <w:rPr>
                <w:rFonts w:ascii="宋体" w:hAnsi="宋体" w:cs="宋体" w:hint="eastAsia"/>
                <w:szCs w:val="21"/>
              </w:rPr>
              <w:t>②</w:t>
            </w:r>
            <w:r w:rsidRPr="00FC1444">
              <w:rPr>
                <w:rFonts w:eastAsiaTheme="minorEastAsia"/>
                <w:szCs w:val="21"/>
              </w:rPr>
              <w:t>开采地下水可能引发地质灾害或者生态损害的区域，</w:t>
            </w:r>
            <w:r w:rsidRPr="00FC1444">
              <w:rPr>
                <w:rFonts w:ascii="宋体" w:hAnsi="宋体" w:cs="宋体" w:hint="eastAsia"/>
                <w:szCs w:val="21"/>
              </w:rPr>
              <w:t>③</w:t>
            </w:r>
            <w:r w:rsidRPr="00FC1444">
              <w:rPr>
                <w:rFonts w:eastAsiaTheme="minorEastAsia"/>
                <w:szCs w:val="21"/>
              </w:rPr>
              <w:t>法律、法规规定限制开采地下水的其他区域</w:t>
            </w:r>
          </w:p>
        </w:tc>
        <w:tc>
          <w:tcPr>
            <w:tcW w:w="1943" w:type="pct"/>
            <w:vMerge/>
            <w:vAlign w:val="center"/>
          </w:tcPr>
          <w:p w:rsidR="002A5A5E" w:rsidRPr="00FC1444" w:rsidRDefault="002A5A5E">
            <w:pPr>
              <w:adjustRightInd w:val="0"/>
              <w:snapToGrid w:val="0"/>
              <w:rPr>
                <w:rFonts w:eastAsiaTheme="minorEastAsia"/>
                <w:szCs w:val="21"/>
              </w:rPr>
            </w:pPr>
          </w:p>
        </w:tc>
      </w:tr>
      <w:tr w:rsidR="00F9080B" w:rsidRPr="00FC1444" w:rsidTr="0079178B">
        <w:trPr>
          <w:trHeight w:val="90"/>
        </w:trPr>
        <w:tc>
          <w:tcPr>
            <w:tcW w:w="396" w:type="pct"/>
            <w:vAlign w:val="center"/>
          </w:tcPr>
          <w:p w:rsidR="00F9080B" w:rsidRPr="00FC1444" w:rsidRDefault="00F9080B">
            <w:pPr>
              <w:adjustRightInd w:val="0"/>
              <w:snapToGrid w:val="0"/>
              <w:jc w:val="center"/>
              <w:rPr>
                <w:rFonts w:eastAsiaTheme="minorEastAsia"/>
              </w:rPr>
            </w:pPr>
            <w:r w:rsidRPr="00FC1444">
              <w:rPr>
                <w:rFonts w:eastAsiaTheme="minorEastAsia"/>
              </w:rPr>
              <w:t>9</w:t>
            </w:r>
          </w:p>
        </w:tc>
        <w:tc>
          <w:tcPr>
            <w:tcW w:w="2661" w:type="pct"/>
            <w:vAlign w:val="center"/>
          </w:tcPr>
          <w:p w:rsidR="00F9080B" w:rsidRPr="00FC1444" w:rsidRDefault="00F9080B">
            <w:pPr>
              <w:adjustRightInd w:val="0"/>
              <w:snapToGrid w:val="0"/>
              <w:jc w:val="left"/>
              <w:rPr>
                <w:rFonts w:eastAsiaTheme="minorEastAsia"/>
                <w:szCs w:val="21"/>
              </w:rPr>
            </w:pPr>
            <w:r w:rsidRPr="00FC1444">
              <w:rPr>
                <w:rFonts w:eastAsiaTheme="minorEastAsia"/>
                <w:szCs w:val="21"/>
              </w:rPr>
              <w:t>多层地下水的含水层水质差异大的，应当分层开采；对已受污染的潜水和承压水，不得混合开采。</w:t>
            </w:r>
          </w:p>
        </w:tc>
        <w:tc>
          <w:tcPr>
            <w:tcW w:w="1943" w:type="pct"/>
            <w:vAlign w:val="center"/>
          </w:tcPr>
          <w:p w:rsidR="00F9080B" w:rsidRPr="00FC1444" w:rsidRDefault="00F9080B">
            <w:pPr>
              <w:adjustRightInd w:val="0"/>
              <w:snapToGrid w:val="0"/>
              <w:rPr>
                <w:rFonts w:eastAsiaTheme="minorEastAsia"/>
                <w:szCs w:val="21"/>
              </w:rPr>
            </w:pPr>
            <w:r w:rsidRPr="00FC1444">
              <w:rPr>
                <w:rFonts w:eastAsiaTheme="minorEastAsia"/>
                <w:szCs w:val="21"/>
              </w:rPr>
              <w:t>本项目灌溉井取水目的层为第四系松散岩类孔隙承压水，不进行混合开采。</w:t>
            </w:r>
          </w:p>
        </w:tc>
      </w:tr>
    </w:tbl>
    <w:p w:rsidR="002A5A5E" w:rsidRPr="00FC1444"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1.4.4</w:t>
      </w:r>
      <w:r w:rsidRPr="00FC1444">
        <w:rPr>
          <w:rFonts w:ascii="Times New Roman" w:eastAsiaTheme="minorEastAsia" w:hAnsi="Times New Roman" w:cs="Times New Roman"/>
          <w:b/>
          <w:sz w:val="28"/>
          <w:szCs w:val="28"/>
        </w:rPr>
        <w:t>与</w:t>
      </w:r>
      <w:r w:rsidRPr="00FC1444">
        <w:rPr>
          <w:rFonts w:ascii="Times New Roman" w:eastAsiaTheme="minorEastAsia" w:hAnsi="Times New Roman" w:cs="Times New Roman"/>
          <w:b/>
          <w:sz w:val="28"/>
          <w:szCs w:val="28"/>
        </w:rPr>
        <w:t>“</w:t>
      </w:r>
      <w:r w:rsidRPr="00FC1444">
        <w:rPr>
          <w:rFonts w:ascii="Times New Roman" w:eastAsiaTheme="minorEastAsia" w:hAnsi="Times New Roman" w:cs="Times New Roman"/>
          <w:b/>
          <w:sz w:val="28"/>
          <w:szCs w:val="28"/>
        </w:rPr>
        <w:t>黑龙江省生态环境分区管控</w:t>
      </w:r>
      <w:r w:rsidRPr="00FC1444">
        <w:rPr>
          <w:rFonts w:ascii="Times New Roman" w:eastAsiaTheme="minorEastAsia" w:hAnsi="Times New Roman" w:cs="Times New Roman"/>
          <w:b/>
          <w:sz w:val="28"/>
          <w:szCs w:val="28"/>
        </w:rPr>
        <w:t>”</w:t>
      </w:r>
      <w:r w:rsidRPr="00FC1444">
        <w:rPr>
          <w:rFonts w:ascii="Times New Roman" w:eastAsiaTheme="minorEastAsia" w:hAnsi="Times New Roman" w:cs="Times New Roman"/>
          <w:b/>
          <w:sz w:val="28"/>
          <w:szCs w:val="28"/>
        </w:rPr>
        <w:t>符合性分析</w:t>
      </w:r>
    </w:p>
    <w:p w:rsidR="002A5A5E" w:rsidRPr="00FC1444" w:rsidRDefault="00611CBA" w:rsidP="00432235">
      <w:pPr>
        <w:autoSpaceDE w:val="0"/>
        <w:autoSpaceDN w:val="0"/>
        <w:adjustRightInd w:val="0"/>
        <w:snapToGrid w:val="0"/>
        <w:spacing w:line="360" w:lineRule="auto"/>
        <w:ind w:firstLineChars="200" w:firstLine="480"/>
        <w:jc w:val="left"/>
        <w:rPr>
          <w:rFonts w:eastAsiaTheme="minorEastAsia"/>
          <w:sz w:val="24"/>
        </w:rPr>
      </w:pPr>
      <w:r w:rsidRPr="00FC1444">
        <w:rPr>
          <w:rFonts w:eastAsiaTheme="minorEastAsia"/>
          <w:sz w:val="24"/>
        </w:rPr>
        <w:t>根据</w:t>
      </w:r>
      <w:r w:rsidRPr="00FC1444">
        <w:rPr>
          <w:rFonts w:eastAsiaTheme="minorEastAsia"/>
          <w:sz w:val="24"/>
        </w:rPr>
        <w:t>“</w:t>
      </w:r>
      <w:r w:rsidRPr="00FC1444">
        <w:rPr>
          <w:rFonts w:eastAsiaTheme="minorEastAsia"/>
          <w:sz w:val="24"/>
        </w:rPr>
        <w:t>黑龙江省生态环境分区管控数据应用平台</w:t>
      </w:r>
      <w:r w:rsidRPr="00FC1444">
        <w:rPr>
          <w:rFonts w:eastAsiaTheme="minorEastAsia"/>
          <w:sz w:val="24"/>
        </w:rPr>
        <w:t>”</w:t>
      </w:r>
      <w:r w:rsidRPr="00FC1444">
        <w:rPr>
          <w:rFonts w:eastAsiaTheme="minorEastAsia"/>
          <w:sz w:val="24"/>
        </w:rPr>
        <w:t>出具的《</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生态环境分区管控分析报告》，本项目属于</w:t>
      </w:r>
      <w:r w:rsidR="005511F0" w:rsidRPr="00FC1444">
        <w:rPr>
          <w:rFonts w:eastAsiaTheme="minorEastAsia" w:hint="eastAsia"/>
          <w:sz w:val="24"/>
        </w:rPr>
        <w:t>北林</w:t>
      </w:r>
      <w:r w:rsidRPr="00FC1444">
        <w:rPr>
          <w:rFonts w:eastAsiaTheme="minorEastAsia"/>
          <w:sz w:val="24"/>
        </w:rPr>
        <w:t>区城镇空间（</w:t>
      </w:r>
      <w:r w:rsidR="00432235" w:rsidRPr="00FC1444">
        <w:rPr>
          <w:rFonts w:eastAsiaTheme="minorEastAsia"/>
          <w:sz w:val="24"/>
        </w:rPr>
        <w:t>重点管控单元）、</w:t>
      </w:r>
      <w:r w:rsidR="00FC7F50" w:rsidRPr="00FC1444">
        <w:rPr>
          <w:rFonts w:eastAsiaTheme="minorEastAsia"/>
          <w:sz w:val="24"/>
        </w:rPr>
        <w:t>北林区大气环境布局敏感重点管控区</w:t>
      </w:r>
      <w:r w:rsidR="00432235" w:rsidRPr="00FC1444">
        <w:rPr>
          <w:rFonts w:eastAsiaTheme="minorEastAsia"/>
          <w:sz w:val="24"/>
        </w:rPr>
        <w:t>（重点管控单元）</w:t>
      </w:r>
      <w:r w:rsidRPr="00FC1444">
        <w:rPr>
          <w:rFonts w:eastAsiaTheme="minorEastAsia"/>
          <w:sz w:val="24"/>
        </w:rPr>
        <w:t>、</w:t>
      </w:r>
      <w:r w:rsidR="005511F0" w:rsidRPr="00FC1444">
        <w:rPr>
          <w:rFonts w:eastAsiaTheme="minorEastAsia" w:hint="eastAsia"/>
          <w:sz w:val="24"/>
        </w:rPr>
        <w:t>北林</w:t>
      </w:r>
      <w:r w:rsidRPr="00FC1444">
        <w:rPr>
          <w:rFonts w:eastAsiaTheme="minorEastAsia"/>
          <w:sz w:val="24"/>
        </w:rPr>
        <w:t>区永久基本农田（一般管控单元）、</w:t>
      </w:r>
      <w:r w:rsidR="005511F0" w:rsidRPr="00FC1444">
        <w:rPr>
          <w:rFonts w:eastAsiaTheme="minorEastAsia" w:hint="eastAsia"/>
          <w:sz w:val="24"/>
        </w:rPr>
        <w:t>北林</w:t>
      </w:r>
      <w:r w:rsidRPr="00FC1444">
        <w:rPr>
          <w:rFonts w:eastAsiaTheme="minorEastAsia"/>
          <w:sz w:val="24"/>
        </w:rPr>
        <w:t>区其他区域（一般管控单元）。</w:t>
      </w:r>
    </w:p>
    <w:p w:rsidR="002A5A5E" w:rsidRPr="00FC1444" w:rsidRDefault="00611CBA">
      <w:pPr>
        <w:autoSpaceDE w:val="0"/>
        <w:autoSpaceDN w:val="0"/>
        <w:adjustRightInd w:val="0"/>
        <w:snapToGrid w:val="0"/>
        <w:spacing w:line="360" w:lineRule="auto"/>
        <w:ind w:firstLineChars="200" w:firstLine="480"/>
        <w:jc w:val="left"/>
        <w:rPr>
          <w:rFonts w:eastAsiaTheme="minorEastAsia"/>
          <w:sz w:val="24"/>
        </w:rPr>
      </w:pPr>
      <w:r w:rsidRPr="00FC1444">
        <w:rPr>
          <w:rFonts w:eastAsiaTheme="minorEastAsia"/>
          <w:sz w:val="24"/>
        </w:rPr>
        <w:t>结合本项目施工工艺、排污状况和区域环境及环境质量现状进行调查的基础上，本工程与</w:t>
      </w:r>
      <w:r w:rsidRPr="00FC1444">
        <w:rPr>
          <w:rFonts w:eastAsiaTheme="minorEastAsia"/>
          <w:sz w:val="24"/>
        </w:rPr>
        <w:t>“</w:t>
      </w:r>
      <w:r w:rsidRPr="00FC1444">
        <w:rPr>
          <w:rFonts w:eastAsiaTheme="minorEastAsia"/>
          <w:sz w:val="24"/>
        </w:rPr>
        <w:t>黑龙江省生态环境分区管控</w:t>
      </w:r>
      <w:r w:rsidRPr="00FC1444">
        <w:rPr>
          <w:rFonts w:eastAsiaTheme="minorEastAsia"/>
          <w:sz w:val="24"/>
        </w:rPr>
        <w:t>”</w:t>
      </w:r>
      <w:r w:rsidRPr="00FC1444">
        <w:rPr>
          <w:rFonts w:eastAsiaTheme="minorEastAsia"/>
          <w:sz w:val="24"/>
        </w:rPr>
        <w:t>符合情况如下：</w:t>
      </w:r>
    </w:p>
    <w:p w:rsidR="002A5A5E" w:rsidRPr="00FC1444" w:rsidRDefault="00611CBA">
      <w:pPr>
        <w:autoSpaceDE w:val="0"/>
        <w:autoSpaceDN w:val="0"/>
        <w:adjustRightInd w:val="0"/>
        <w:snapToGrid w:val="0"/>
        <w:spacing w:line="360" w:lineRule="auto"/>
        <w:ind w:firstLineChars="200" w:firstLine="480"/>
        <w:jc w:val="left"/>
        <w:rPr>
          <w:rFonts w:eastAsiaTheme="minorEastAsia"/>
          <w:sz w:val="24"/>
        </w:rPr>
      </w:pPr>
      <w:r w:rsidRPr="00FC1444">
        <w:rPr>
          <w:rFonts w:eastAsiaTheme="minorEastAsia"/>
          <w:sz w:val="24"/>
        </w:rPr>
        <w:t>本项目与黑龙江省生态环境分区管控成果数据相交情况汇总表见下表。</w:t>
      </w: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FC7F50" w:rsidRPr="00FC1444" w:rsidRDefault="00FC7F50">
      <w:pPr>
        <w:contextualSpacing/>
        <w:jc w:val="center"/>
        <w:rPr>
          <w:rFonts w:eastAsiaTheme="minorEastAsia"/>
          <w:b/>
          <w:bCs/>
          <w:szCs w:val="21"/>
        </w:rPr>
      </w:pPr>
    </w:p>
    <w:p w:rsidR="00FC7F50" w:rsidRPr="00FC1444" w:rsidRDefault="00FC7F50">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8249D3" w:rsidRPr="00FC1444" w:rsidRDefault="008249D3">
      <w:pPr>
        <w:contextualSpacing/>
        <w:jc w:val="center"/>
        <w:rPr>
          <w:rFonts w:eastAsiaTheme="minorEastAsia"/>
          <w:b/>
          <w:bCs/>
          <w:szCs w:val="21"/>
        </w:rPr>
      </w:pPr>
    </w:p>
    <w:p w:rsidR="002A5A5E" w:rsidRPr="00FC1444" w:rsidRDefault="00611CBA">
      <w:pPr>
        <w:contextualSpacing/>
        <w:jc w:val="center"/>
        <w:rPr>
          <w:rFonts w:eastAsiaTheme="minorEastAsia"/>
          <w:b/>
          <w:bCs/>
          <w:szCs w:val="21"/>
        </w:rPr>
      </w:pPr>
      <w:r w:rsidRPr="00FC1444">
        <w:rPr>
          <w:rFonts w:eastAsiaTheme="minorEastAsia"/>
          <w:b/>
          <w:bCs/>
          <w:szCs w:val="21"/>
        </w:rPr>
        <w:lastRenderedPageBreak/>
        <w:t>表</w:t>
      </w:r>
      <w:r w:rsidRPr="00FC1444">
        <w:rPr>
          <w:rFonts w:eastAsiaTheme="minorEastAsia"/>
          <w:b/>
          <w:bCs/>
          <w:szCs w:val="21"/>
        </w:rPr>
        <w:t xml:space="preserve">1-4-3 </w:t>
      </w:r>
      <w:r w:rsidRPr="00FC1444">
        <w:rPr>
          <w:rFonts w:eastAsiaTheme="minorEastAsia"/>
          <w:b/>
          <w:bCs/>
          <w:szCs w:val="21"/>
        </w:rPr>
        <w:t>本项目与黑龙江省生态环境分区管控成果相交情况一览表</w:t>
      </w:r>
    </w:p>
    <w:tbl>
      <w:tblPr>
        <w:tblW w:w="4933" w:type="pct"/>
        <w:jc w:val="center"/>
        <w:tblBorders>
          <w:top w:val="single" w:sz="12" w:space="0" w:color="auto"/>
          <w:bottom w:val="single" w:sz="12" w:space="0" w:color="auto"/>
          <w:insideH w:val="single" w:sz="4" w:space="0" w:color="auto"/>
          <w:insideV w:val="single" w:sz="4" w:space="0" w:color="auto"/>
        </w:tblBorders>
        <w:tblCellMar>
          <w:left w:w="23" w:type="dxa"/>
          <w:right w:w="23" w:type="dxa"/>
        </w:tblCellMar>
        <w:tblLook w:val="04A0"/>
      </w:tblPr>
      <w:tblGrid>
        <w:gridCol w:w="1185"/>
        <w:gridCol w:w="1561"/>
        <w:gridCol w:w="708"/>
        <w:gridCol w:w="994"/>
        <w:gridCol w:w="851"/>
        <w:gridCol w:w="3109"/>
      </w:tblGrid>
      <w:tr w:rsidR="002A5A5E" w:rsidRPr="00FC1444" w:rsidTr="00FC45EA">
        <w:trPr>
          <w:trHeight w:val="609"/>
          <w:tblHeader/>
          <w:jc w:val="center"/>
        </w:trPr>
        <w:tc>
          <w:tcPr>
            <w:tcW w:w="705" w:type="pct"/>
            <w:tcBorders>
              <w:tl2br w:val="nil"/>
              <w:tr2bl w:val="nil"/>
            </w:tcBorders>
            <w:tcMar>
              <w:top w:w="15" w:type="dxa"/>
              <w:left w:w="108" w:type="dxa"/>
              <w:bottom w:w="15" w:type="dxa"/>
              <w:right w:w="108" w:type="dxa"/>
            </w:tcMar>
            <w:vAlign w:val="center"/>
          </w:tcPr>
          <w:p w:rsidR="002A5A5E" w:rsidRPr="00FC1444" w:rsidRDefault="00611CBA">
            <w:pPr>
              <w:jc w:val="center"/>
              <w:rPr>
                <w:rFonts w:eastAsiaTheme="minorEastAsia"/>
                <w:szCs w:val="21"/>
                <w:lang w:val="zh-CN"/>
              </w:rPr>
            </w:pPr>
            <w:r w:rsidRPr="00FC1444">
              <w:rPr>
                <w:rFonts w:eastAsiaTheme="minorEastAsia"/>
                <w:szCs w:val="21"/>
                <w:lang w:val="zh-CN"/>
              </w:rPr>
              <w:t>一级分类</w:t>
            </w:r>
          </w:p>
        </w:tc>
        <w:tc>
          <w:tcPr>
            <w:tcW w:w="928" w:type="pct"/>
            <w:tcBorders>
              <w:tl2br w:val="nil"/>
              <w:tr2bl w:val="nil"/>
            </w:tcBorders>
            <w:tcMar>
              <w:top w:w="15" w:type="dxa"/>
              <w:left w:w="108" w:type="dxa"/>
              <w:bottom w:w="15" w:type="dxa"/>
              <w:right w:w="108" w:type="dxa"/>
            </w:tcMar>
            <w:vAlign w:val="center"/>
          </w:tcPr>
          <w:p w:rsidR="002A5A5E" w:rsidRPr="00FC1444" w:rsidRDefault="00611CBA">
            <w:pPr>
              <w:jc w:val="center"/>
              <w:rPr>
                <w:rFonts w:eastAsiaTheme="minorEastAsia"/>
                <w:szCs w:val="21"/>
                <w:lang w:val="zh-CN"/>
              </w:rPr>
            </w:pPr>
            <w:r w:rsidRPr="00FC1444">
              <w:rPr>
                <w:rFonts w:eastAsiaTheme="minorEastAsia"/>
                <w:szCs w:val="21"/>
                <w:lang w:val="zh-CN"/>
              </w:rPr>
              <w:t>二级分类</w:t>
            </w:r>
          </w:p>
        </w:tc>
        <w:tc>
          <w:tcPr>
            <w:tcW w:w="421" w:type="pct"/>
            <w:tcBorders>
              <w:tl2br w:val="nil"/>
              <w:tr2bl w:val="nil"/>
            </w:tcBorders>
            <w:tcMar>
              <w:top w:w="15" w:type="dxa"/>
              <w:left w:w="108" w:type="dxa"/>
              <w:bottom w:w="15" w:type="dxa"/>
              <w:right w:w="108" w:type="dxa"/>
            </w:tcMar>
            <w:vAlign w:val="center"/>
          </w:tcPr>
          <w:p w:rsidR="002A5A5E" w:rsidRPr="00FC1444" w:rsidRDefault="00611CBA">
            <w:pPr>
              <w:jc w:val="center"/>
              <w:rPr>
                <w:rFonts w:eastAsiaTheme="minorEastAsia"/>
                <w:szCs w:val="21"/>
                <w:lang w:val="zh-CN"/>
              </w:rPr>
            </w:pPr>
            <w:r w:rsidRPr="00FC1444">
              <w:rPr>
                <w:rFonts w:eastAsiaTheme="minorEastAsia"/>
                <w:szCs w:val="21"/>
              </w:rPr>
              <w:t>是否相交</w:t>
            </w:r>
          </w:p>
        </w:tc>
        <w:tc>
          <w:tcPr>
            <w:tcW w:w="591" w:type="pct"/>
            <w:tcBorders>
              <w:tl2br w:val="nil"/>
              <w:tr2bl w:val="nil"/>
            </w:tcBorders>
            <w:tcMar>
              <w:top w:w="15" w:type="dxa"/>
              <w:left w:w="108" w:type="dxa"/>
              <w:bottom w:w="15" w:type="dxa"/>
              <w:right w:w="108" w:type="dxa"/>
            </w:tcMar>
            <w:vAlign w:val="center"/>
          </w:tcPr>
          <w:p w:rsidR="002A5A5E" w:rsidRPr="00FC1444" w:rsidRDefault="00611CBA">
            <w:pPr>
              <w:jc w:val="center"/>
              <w:rPr>
                <w:rFonts w:eastAsiaTheme="minorEastAsia"/>
                <w:szCs w:val="21"/>
                <w:lang w:val="zh-CN"/>
              </w:rPr>
            </w:pPr>
            <w:r w:rsidRPr="00FC1444">
              <w:rPr>
                <w:rFonts w:eastAsiaTheme="minorEastAsia"/>
                <w:szCs w:val="21"/>
              </w:rPr>
              <w:t>所属地市</w:t>
            </w:r>
          </w:p>
        </w:tc>
        <w:tc>
          <w:tcPr>
            <w:tcW w:w="506" w:type="pct"/>
            <w:tcBorders>
              <w:tl2br w:val="nil"/>
              <w:tr2bl w:val="nil"/>
            </w:tcBorders>
            <w:tcMar>
              <w:top w:w="15" w:type="dxa"/>
              <w:left w:w="108" w:type="dxa"/>
              <w:bottom w:w="15" w:type="dxa"/>
              <w:right w:w="108" w:type="dxa"/>
            </w:tcMar>
            <w:vAlign w:val="center"/>
          </w:tcPr>
          <w:p w:rsidR="002A5A5E" w:rsidRPr="00FC1444" w:rsidRDefault="00611CBA">
            <w:pPr>
              <w:jc w:val="center"/>
              <w:rPr>
                <w:rFonts w:eastAsiaTheme="minorEastAsia"/>
                <w:szCs w:val="21"/>
                <w:lang w:val="zh-CN"/>
              </w:rPr>
            </w:pPr>
            <w:r w:rsidRPr="00FC1444">
              <w:rPr>
                <w:rFonts w:eastAsiaTheme="minorEastAsia"/>
                <w:szCs w:val="21"/>
              </w:rPr>
              <w:t>所属区县</w:t>
            </w:r>
          </w:p>
        </w:tc>
        <w:tc>
          <w:tcPr>
            <w:tcW w:w="1849" w:type="pct"/>
            <w:tcBorders>
              <w:tl2br w:val="nil"/>
              <w:tr2bl w:val="nil"/>
            </w:tcBorders>
            <w:tcMar>
              <w:top w:w="15" w:type="dxa"/>
              <w:left w:w="108" w:type="dxa"/>
              <w:bottom w:w="15" w:type="dxa"/>
              <w:right w:w="108" w:type="dxa"/>
            </w:tcMar>
            <w:vAlign w:val="center"/>
          </w:tcPr>
          <w:p w:rsidR="002A5A5E" w:rsidRPr="00FC1444" w:rsidRDefault="00611CBA">
            <w:pPr>
              <w:jc w:val="center"/>
              <w:rPr>
                <w:rFonts w:eastAsiaTheme="minorEastAsia"/>
                <w:szCs w:val="21"/>
              </w:rPr>
            </w:pPr>
            <w:r w:rsidRPr="00FC1444">
              <w:rPr>
                <w:rFonts w:eastAsiaTheme="minorEastAsia"/>
                <w:szCs w:val="21"/>
                <w:lang w:val="zh-CN"/>
              </w:rPr>
              <w:t>相交</w:t>
            </w:r>
            <w:r w:rsidRPr="00FC1444">
              <w:rPr>
                <w:rFonts w:eastAsiaTheme="minorEastAsia"/>
                <w:szCs w:val="21"/>
              </w:rPr>
              <w:t>区域</w:t>
            </w:r>
          </w:p>
        </w:tc>
      </w:tr>
      <w:tr w:rsidR="000E00D5" w:rsidRPr="00FC1444" w:rsidTr="00FC45EA">
        <w:trPr>
          <w:trHeight w:val="363"/>
          <w:jc w:val="center"/>
        </w:trPr>
        <w:tc>
          <w:tcPr>
            <w:tcW w:w="705" w:type="pct"/>
            <w:vMerge w:val="restart"/>
            <w:tcBorders>
              <w:tl2br w:val="nil"/>
              <w:tr2bl w:val="nil"/>
            </w:tcBorders>
            <w:tcMar>
              <w:top w:w="15" w:type="dxa"/>
              <w:left w:w="108" w:type="dxa"/>
              <w:bottom w:w="15" w:type="dxa"/>
              <w:right w:w="108" w:type="dxa"/>
            </w:tcMar>
            <w:vAlign w:val="center"/>
          </w:tcPr>
          <w:p w:rsidR="000E00D5" w:rsidRPr="00FC1444" w:rsidRDefault="000E00D5">
            <w:pPr>
              <w:jc w:val="center"/>
              <w:rPr>
                <w:rFonts w:eastAsiaTheme="minorEastAsia"/>
                <w:szCs w:val="21"/>
                <w:lang w:val="zh-CN"/>
              </w:rPr>
            </w:pPr>
            <w:r w:rsidRPr="00FC1444">
              <w:rPr>
                <w:rFonts w:eastAsiaTheme="minorEastAsia"/>
                <w:szCs w:val="21"/>
              </w:rPr>
              <w:t>环境质量底线</w:t>
            </w:r>
          </w:p>
        </w:tc>
        <w:tc>
          <w:tcPr>
            <w:tcW w:w="928" w:type="pct"/>
            <w:tcBorders>
              <w:tl2br w:val="nil"/>
              <w:tr2bl w:val="nil"/>
            </w:tcBorders>
            <w:tcMar>
              <w:top w:w="15" w:type="dxa"/>
              <w:left w:w="108" w:type="dxa"/>
              <w:bottom w:w="15" w:type="dxa"/>
              <w:right w:w="108" w:type="dxa"/>
            </w:tcMar>
            <w:vAlign w:val="center"/>
          </w:tcPr>
          <w:p w:rsidR="000E00D5" w:rsidRPr="00FC1444" w:rsidRDefault="000E00D5">
            <w:pPr>
              <w:jc w:val="center"/>
              <w:rPr>
                <w:rFonts w:eastAsiaTheme="minorEastAsia"/>
                <w:szCs w:val="21"/>
              </w:rPr>
            </w:pPr>
            <w:r w:rsidRPr="00FC1444">
              <w:rPr>
                <w:rFonts w:eastAsiaTheme="minorEastAsia"/>
                <w:szCs w:val="21"/>
              </w:rPr>
              <w:t>大气环境一般管控区</w:t>
            </w:r>
          </w:p>
        </w:tc>
        <w:tc>
          <w:tcPr>
            <w:tcW w:w="421" w:type="pct"/>
            <w:tcBorders>
              <w:tl2br w:val="nil"/>
              <w:tr2bl w:val="nil"/>
            </w:tcBorders>
            <w:tcMar>
              <w:top w:w="15" w:type="dxa"/>
              <w:left w:w="108" w:type="dxa"/>
              <w:bottom w:w="15" w:type="dxa"/>
              <w:right w:w="108" w:type="dxa"/>
            </w:tcMar>
            <w:vAlign w:val="center"/>
          </w:tcPr>
          <w:p w:rsidR="000E00D5" w:rsidRPr="00FC1444" w:rsidRDefault="000E00D5">
            <w:pPr>
              <w:jc w:val="center"/>
              <w:rPr>
                <w:rFonts w:eastAsiaTheme="minorEastAsia"/>
                <w:szCs w:val="21"/>
                <w:lang w:val="zh-CN"/>
              </w:rPr>
            </w:pPr>
            <w:r w:rsidRPr="00FC1444">
              <w:rPr>
                <w:rFonts w:eastAsiaTheme="minorEastAsia"/>
                <w:szCs w:val="21"/>
                <w:lang w:val="zh-CN"/>
              </w:rPr>
              <w:t>是</w:t>
            </w:r>
          </w:p>
        </w:tc>
        <w:tc>
          <w:tcPr>
            <w:tcW w:w="591" w:type="pct"/>
            <w:tcBorders>
              <w:tl2br w:val="nil"/>
              <w:tr2bl w:val="nil"/>
            </w:tcBorders>
            <w:tcMar>
              <w:top w:w="15" w:type="dxa"/>
              <w:left w:w="108" w:type="dxa"/>
              <w:bottom w:w="15" w:type="dxa"/>
              <w:right w:w="108" w:type="dxa"/>
            </w:tcMar>
            <w:vAlign w:val="center"/>
          </w:tcPr>
          <w:p w:rsidR="000E00D5" w:rsidRPr="00FC1444" w:rsidRDefault="000E00D5" w:rsidP="00591495">
            <w:pPr>
              <w:jc w:val="center"/>
              <w:rPr>
                <w:rFonts w:eastAsiaTheme="minorEastAsia"/>
                <w:szCs w:val="21"/>
                <w:lang w:val="zh-CN"/>
              </w:rPr>
            </w:pPr>
            <w:r w:rsidRPr="00FC1444">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FC1444" w:rsidRDefault="000E00D5" w:rsidP="00591495">
            <w:pPr>
              <w:jc w:val="center"/>
              <w:rPr>
                <w:rFonts w:eastAsiaTheme="minorEastAsia"/>
                <w:szCs w:val="21"/>
              </w:rPr>
            </w:pPr>
            <w:r w:rsidRPr="00FC1444">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FC1444" w:rsidRDefault="005511F0">
            <w:pPr>
              <w:jc w:val="center"/>
              <w:rPr>
                <w:rFonts w:eastAsiaTheme="minorEastAsia"/>
                <w:szCs w:val="21"/>
              </w:rPr>
            </w:pPr>
            <w:r w:rsidRPr="00FC1444">
              <w:rPr>
                <w:rFonts w:eastAsiaTheme="minorEastAsia"/>
                <w:szCs w:val="21"/>
              </w:rPr>
              <w:t>北林</w:t>
            </w:r>
            <w:r w:rsidR="000E00D5" w:rsidRPr="00FC1444">
              <w:rPr>
                <w:rFonts w:eastAsiaTheme="minorEastAsia"/>
                <w:szCs w:val="21"/>
              </w:rPr>
              <w:t>区大气环境一般管控区</w:t>
            </w:r>
          </w:p>
        </w:tc>
      </w:tr>
      <w:tr w:rsidR="00FC7F50" w:rsidRPr="00FC1444" w:rsidTr="00FC45EA">
        <w:trPr>
          <w:trHeight w:val="363"/>
          <w:jc w:val="center"/>
        </w:trPr>
        <w:tc>
          <w:tcPr>
            <w:tcW w:w="705" w:type="pct"/>
            <w:vMerge/>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p>
        </w:tc>
        <w:tc>
          <w:tcPr>
            <w:tcW w:w="928"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其他区域</w:t>
            </w:r>
          </w:p>
        </w:tc>
        <w:tc>
          <w:tcPr>
            <w:tcW w:w="421"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lang w:val="zh-CN"/>
              </w:rPr>
            </w:pPr>
            <w:r w:rsidRPr="00FC1444">
              <w:rPr>
                <w:rFonts w:eastAsiaTheme="minorEastAsia"/>
                <w:szCs w:val="21"/>
                <w:lang w:val="zh-CN"/>
              </w:rPr>
              <w:t>是</w:t>
            </w:r>
          </w:p>
        </w:tc>
        <w:tc>
          <w:tcPr>
            <w:tcW w:w="591"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lang w:val="zh-CN"/>
              </w:rPr>
            </w:pPr>
            <w:r w:rsidRPr="00FC1444">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r w:rsidRPr="00FC1444">
              <w:t>呼兰河绥望桥北林区</w:t>
            </w:r>
          </w:p>
        </w:tc>
      </w:tr>
      <w:tr w:rsidR="00FC7F50" w:rsidRPr="00FC1444" w:rsidTr="00FC45EA">
        <w:trPr>
          <w:trHeight w:val="363"/>
          <w:jc w:val="center"/>
        </w:trPr>
        <w:tc>
          <w:tcPr>
            <w:tcW w:w="705" w:type="pct"/>
            <w:vMerge/>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p>
        </w:tc>
        <w:tc>
          <w:tcPr>
            <w:tcW w:w="928" w:type="pc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r w:rsidRPr="00FC1444">
              <w:rPr>
                <w:rFonts w:eastAsiaTheme="minorEastAsia"/>
                <w:szCs w:val="21"/>
              </w:rPr>
              <w:t>其他区域</w:t>
            </w:r>
          </w:p>
        </w:tc>
        <w:tc>
          <w:tcPr>
            <w:tcW w:w="421" w:type="pc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lang w:val="zh-CN"/>
              </w:rPr>
            </w:pPr>
            <w:r w:rsidRPr="00FC1444">
              <w:rPr>
                <w:rFonts w:eastAsiaTheme="minorEastAsia"/>
                <w:szCs w:val="21"/>
                <w:lang w:val="zh-CN"/>
              </w:rPr>
              <w:t>是</w:t>
            </w:r>
          </w:p>
        </w:tc>
        <w:tc>
          <w:tcPr>
            <w:tcW w:w="591" w:type="pct"/>
            <w:tcBorders>
              <w:tl2br w:val="nil"/>
              <w:tr2bl w:val="nil"/>
            </w:tcBorders>
            <w:tcMar>
              <w:top w:w="15" w:type="dxa"/>
              <w:left w:w="108" w:type="dxa"/>
              <w:bottom w:w="15" w:type="dxa"/>
              <w:right w:w="108" w:type="dxa"/>
            </w:tcMar>
            <w:vAlign w:val="center"/>
          </w:tcPr>
          <w:p w:rsidR="00FC7F50" w:rsidRPr="00FC1444" w:rsidRDefault="00FC7F50" w:rsidP="00591495">
            <w:pPr>
              <w:jc w:val="center"/>
              <w:rPr>
                <w:rFonts w:eastAsiaTheme="minorEastAsia"/>
                <w:szCs w:val="21"/>
                <w:lang w:val="zh-CN"/>
              </w:rPr>
            </w:pPr>
            <w:r w:rsidRPr="00FC1444">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FC7F50" w:rsidRPr="00FC1444" w:rsidRDefault="00FC7F50" w:rsidP="00591495">
            <w:pPr>
              <w:jc w:val="center"/>
              <w:rPr>
                <w:rFonts w:eastAsiaTheme="minorEastAsia"/>
                <w:szCs w:val="21"/>
              </w:rPr>
            </w:pPr>
            <w:r w:rsidRPr="00FC1444">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FC7F50" w:rsidRPr="00FC1444" w:rsidRDefault="00FC7F50" w:rsidP="00FC7601">
            <w:pPr>
              <w:jc w:val="center"/>
              <w:rPr>
                <w:rFonts w:eastAsiaTheme="minorEastAsia"/>
                <w:szCs w:val="21"/>
              </w:rPr>
            </w:pPr>
            <w:r w:rsidRPr="00FC1444">
              <w:t>呼兰河努敏河</w:t>
            </w:r>
            <w:r w:rsidR="005A4AFB" w:rsidRPr="00FC1444">
              <w:t>努敏河</w:t>
            </w:r>
            <w:r w:rsidRPr="00FC1444">
              <w:t>绥化市北林区</w:t>
            </w:r>
          </w:p>
        </w:tc>
      </w:tr>
      <w:tr w:rsidR="00FC7F50" w:rsidRPr="00FC1444" w:rsidTr="00FC45EA">
        <w:trPr>
          <w:trHeight w:val="363"/>
          <w:jc w:val="center"/>
        </w:trPr>
        <w:tc>
          <w:tcPr>
            <w:tcW w:w="705" w:type="pct"/>
            <w:vMerge/>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p>
        </w:tc>
        <w:tc>
          <w:tcPr>
            <w:tcW w:w="928" w:type="pc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r w:rsidRPr="00FC1444">
              <w:rPr>
                <w:rFonts w:eastAsiaTheme="minorEastAsia"/>
                <w:szCs w:val="21"/>
              </w:rPr>
              <w:t>大气环境受体敏感重点管控区</w:t>
            </w:r>
          </w:p>
        </w:tc>
        <w:tc>
          <w:tcPr>
            <w:tcW w:w="421" w:type="pc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r w:rsidRPr="00FC1444">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FC7F50" w:rsidRPr="00FC1444" w:rsidRDefault="00FC7F50" w:rsidP="00591495">
            <w:pPr>
              <w:jc w:val="center"/>
              <w:rPr>
                <w:rFonts w:eastAsiaTheme="minorEastAsia"/>
                <w:szCs w:val="21"/>
                <w:lang w:val="zh-CN"/>
              </w:rPr>
            </w:pPr>
            <w:r w:rsidRPr="00FC1444">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FC7F50" w:rsidRPr="00FC1444" w:rsidRDefault="00FC7F50" w:rsidP="00591495">
            <w:pPr>
              <w:jc w:val="center"/>
              <w:rPr>
                <w:rFonts w:eastAsiaTheme="minorEastAsia"/>
                <w:szCs w:val="21"/>
              </w:rPr>
            </w:pPr>
            <w:r w:rsidRPr="00FC1444">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r w:rsidRPr="00FC1444">
              <w:rPr>
                <w:rFonts w:eastAsiaTheme="minorEastAsia"/>
                <w:szCs w:val="21"/>
              </w:rPr>
              <w:t>北林区大气环境受体敏感重点管控区</w:t>
            </w:r>
          </w:p>
        </w:tc>
      </w:tr>
      <w:tr w:rsidR="00FC7F50" w:rsidRPr="00FC1444" w:rsidTr="00FC45EA">
        <w:trPr>
          <w:trHeight w:val="363"/>
          <w:jc w:val="center"/>
        </w:trPr>
        <w:tc>
          <w:tcPr>
            <w:tcW w:w="705" w:type="pct"/>
            <w:vMerge/>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p>
        </w:tc>
        <w:tc>
          <w:tcPr>
            <w:tcW w:w="928" w:type="pc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r w:rsidRPr="00FC1444">
              <w:t>大气环境布局敏感重点管控区</w:t>
            </w:r>
          </w:p>
        </w:tc>
        <w:tc>
          <w:tcPr>
            <w:tcW w:w="421"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lang w:val="zh-CN"/>
              </w:rPr>
            </w:pPr>
            <w:r w:rsidRPr="00FC1444">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r w:rsidRPr="00FC1444">
              <w:rPr>
                <w:rFonts w:eastAsiaTheme="minorEastAsia"/>
                <w:szCs w:val="21"/>
              </w:rPr>
              <w:t>北林区大气环境</w:t>
            </w:r>
            <w:r w:rsidRPr="00FC1444">
              <w:rPr>
                <w:rFonts w:eastAsiaTheme="minorEastAsia" w:hint="eastAsia"/>
                <w:szCs w:val="21"/>
              </w:rPr>
              <w:t>布局</w:t>
            </w:r>
            <w:r w:rsidRPr="00FC1444">
              <w:rPr>
                <w:rFonts w:eastAsiaTheme="minorEastAsia"/>
                <w:szCs w:val="21"/>
              </w:rPr>
              <w:t>敏感重点管控区</w:t>
            </w:r>
          </w:p>
        </w:tc>
      </w:tr>
      <w:tr w:rsidR="00FC7F50" w:rsidRPr="00FC1444" w:rsidTr="00FC45EA">
        <w:trPr>
          <w:trHeight w:val="90"/>
          <w:jc w:val="center"/>
        </w:trPr>
        <w:tc>
          <w:tcPr>
            <w:tcW w:w="705" w:type="pc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lang w:val="zh-CN"/>
              </w:rPr>
            </w:pPr>
            <w:r w:rsidRPr="00FC1444">
              <w:rPr>
                <w:rFonts w:eastAsiaTheme="minorEastAsia"/>
                <w:szCs w:val="21"/>
              </w:rPr>
              <w:t>资源利用上线</w:t>
            </w:r>
          </w:p>
        </w:tc>
        <w:tc>
          <w:tcPr>
            <w:tcW w:w="928" w:type="pc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r w:rsidRPr="00FC1444">
              <w:rPr>
                <w:rFonts w:eastAsiaTheme="minorEastAsia"/>
                <w:szCs w:val="21"/>
              </w:rPr>
              <w:t>自然资源一般管控区</w:t>
            </w:r>
          </w:p>
        </w:tc>
        <w:tc>
          <w:tcPr>
            <w:tcW w:w="421" w:type="pc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lang w:val="zh-CN"/>
              </w:rPr>
            </w:pPr>
            <w:r w:rsidRPr="00FC1444">
              <w:rPr>
                <w:rFonts w:eastAsiaTheme="minorEastAsia"/>
                <w:szCs w:val="21"/>
                <w:lang w:val="zh-CN"/>
              </w:rPr>
              <w:t>是</w:t>
            </w:r>
          </w:p>
        </w:tc>
        <w:tc>
          <w:tcPr>
            <w:tcW w:w="591" w:type="pct"/>
            <w:tcBorders>
              <w:tl2br w:val="nil"/>
              <w:tr2bl w:val="nil"/>
            </w:tcBorders>
            <w:tcMar>
              <w:top w:w="15" w:type="dxa"/>
              <w:left w:w="108" w:type="dxa"/>
              <w:bottom w:w="15" w:type="dxa"/>
              <w:right w:w="108" w:type="dxa"/>
            </w:tcMar>
            <w:vAlign w:val="center"/>
          </w:tcPr>
          <w:p w:rsidR="00FC7F50" w:rsidRPr="00FC1444" w:rsidRDefault="00FC7F50" w:rsidP="00591495">
            <w:pPr>
              <w:jc w:val="center"/>
              <w:rPr>
                <w:rFonts w:eastAsiaTheme="minorEastAsia"/>
                <w:szCs w:val="21"/>
                <w:lang w:val="zh-CN"/>
              </w:rPr>
            </w:pPr>
            <w:r w:rsidRPr="00FC1444">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FC7F50" w:rsidRPr="00FC1444" w:rsidRDefault="00FC7F50" w:rsidP="00591495">
            <w:pPr>
              <w:jc w:val="center"/>
              <w:rPr>
                <w:rFonts w:eastAsiaTheme="minorEastAsia"/>
                <w:szCs w:val="21"/>
              </w:rPr>
            </w:pPr>
            <w:r w:rsidRPr="00FC1444">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rPr>
            </w:pPr>
            <w:r w:rsidRPr="00FC1444">
              <w:rPr>
                <w:rFonts w:eastAsiaTheme="minorEastAsia"/>
                <w:szCs w:val="21"/>
              </w:rPr>
              <w:t>北林区自然资源一般管控区</w:t>
            </w:r>
          </w:p>
        </w:tc>
      </w:tr>
      <w:tr w:rsidR="00FC7F50" w:rsidRPr="00FC1444" w:rsidTr="00FC45EA">
        <w:trPr>
          <w:trHeight w:val="634"/>
          <w:jc w:val="center"/>
        </w:trPr>
        <w:tc>
          <w:tcPr>
            <w:tcW w:w="705" w:type="pct"/>
            <w:vMerge w:val="restart"/>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lang w:val="zh-CN"/>
              </w:rPr>
            </w:pPr>
            <w:r w:rsidRPr="00FC1444">
              <w:rPr>
                <w:rFonts w:eastAsiaTheme="minorEastAsia"/>
                <w:szCs w:val="21"/>
                <w:lang w:val="zh-CN"/>
              </w:rPr>
              <w:t>环境管控单元</w:t>
            </w:r>
          </w:p>
        </w:tc>
        <w:tc>
          <w:tcPr>
            <w:tcW w:w="928"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重点管控单元</w:t>
            </w:r>
          </w:p>
        </w:tc>
        <w:tc>
          <w:tcPr>
            <w:tcW w:w="421"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lang w:val="zh-CN"/>
              </w:rPr>
            </w:pPr>
            <w:r w:rsidRPr="00FC1444">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北林区大气环境</w:t>
            </w:r>
            <w:r w:rsidRPr="00FC1444">
              <w:rPr>
                <w:rFonts w:eastAsiaTheme="minorEastAsia" w:hint="eastAsia"/>
                <w:szCs w:val="21"/>
              </w:rPr>
              <w:t>布局</w:t>
            </w:r>
            <w:r w:rsidRPr="00FC1444">
              <w:rPr>
                <w:rFonts w:eastAsiaTheme="minorEastAsia"/>
                <w:szCs w:val="21"/>
              </w:rPr>
              <w:t>敏感重点管控区</w:t>
            </w:r>
          </w:p>
        </w:tc>
      </w:tr>
      <w:tr w:rsidR="00FC7F50" w:rsidRPr="00FC1444" w:rsidTr="00FC45EA">
        <w:trPr>
          <w:trHeight w:val="634"/>
          <w:jc w:val="center"/>
        </w:trPr>
        <w:tc>
          <w:tcPr>
            <w:tcW w:w="705" w:type="pct"/>
            <w:vMerge/>
            <w:tcBorders>
              <w:tl2br w:val="nil"/>
              <w:tr2bl w:val="nil"/>
            </w:tcBorders>
            <w:tcMar>
              <w:top w:w="15" w:type="dxa"/>
              <w:left w:w="108" w:type="dxa"/>
              <w:bottom w:w="15" w:type="dxa"/>
              <w:right w:w="108" w:type="dxa"/>
            </w:tcMar>
            <w:vAlign w:val="center"/>
          </w:tcPr>
          <w:p w:rsidR="00FC7F50" w:rsidRPr="00FC1444" w:rsidRDefault="00FC7F50">
            <w:pPr>
              <w:jc w:val="center"/>
              <w:rPr>
                <w:rFonts w:eastAsiaTheme="minorEastAsia"/>
                <w:szCs w:val="21"/>
                <w:lang w:val="zh-CN"/>
              </w:rPr>
            </w:pPr>
          </w:p>
        </w:tc>
        <w:tc>
          <w:tcPr>
            <w:tcW w:w="928"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重点管控单元</w:t>
            </w:r>
          </w:p>
        </w:tc>
        <w:tc>
          <w:tcPr>
            <w:tcW w:w="421"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lang w:val="zh-CN"/>
              </w:rPr>
            </w:pPr>
            <w:r w:rsidRPr="00FC1444">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北林区城镇空间</w:t>
            </w:r>
          </w:p>
        </w:tc>
      </w:tr>
      <w:tr w:rsidR="00FC7F50" w:rsidRPr="00FC1444" w:rsidTr="00FC45EA">
        <w:trPr>
          <w:trHeight w:val="634"/>
          <w:jc w:val="center"/>
        </w:trPr>
        <w:tc>
          <w:tcPr>
            <w:tcW w:w="705" w:type="pct"/>
            <w:vMerge/>
            <w:tcBorders>
              <w:tl2br w:val="nil"/>
              <w:tr2bl w:val="nil"/>
            </w:tcBorders>
            <w:tcMar>
              <w:top w:w="15" w:type="dxa"/>
              <w:left w:w="108" w:type="dxa"/>
              <w:bottom w:w="15" w:type="dxa"/>
              <w:right w:w="108" w:type="dxa"/>
            </w:tcMar>
            <w:vAlign w:val="center"/>
          </w:tcPr>
          <w:p w:rsidR="00FC7F50" w:rsidRPr="00FC1444" w:rsidRDefault="00FC7F50" w:rsidP="004E26F5">
            <w:pPr>
              <w:jc w:val="center"/>
              <w:rPr>
                <w:rFonts w:eastAsiaTheme="minorEastAsia"/>
                <w:szCs w:val="21"/>
                <w:lang w:val="zh-CN"/>
              </w:rPr>
            </w:pPr>
          </w:p>
        </w:tc>
        <w:tc>
          <w:tcPr>
            <w:tcW w:w="928"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一般管控单元</w:t>
            </w:r>
          </w:p>
        </w:tc>
        <w:tc>
          <w:tcPr>
            <w:tcW w:w="421"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lang w:val="zh-CN"/>
              </w:rPr>
            </w:pPr>
            <w:r w:rsidRPr="00FC1444">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北林区永久基本农田</w:t>
            </w:r>
          </w:p>
        </w:tc>
      </w:tr>
      <w:tr w:rsidR="00FC7F50" w:rsidRPr="00FC1444" w:rsidTr="00FC45EA">
        <w:trPr>
          <w:trHeight w:val="634"/>
          <w:jc w:val="center"/>
        </w:trPr>
        <w:tc>
          <w:tcPr>
            <w:tcW w:w="705" w:type="pct"/>
            <w:vMerge/>
            <w:tcBorders>
              <w:tl2br w:val="nil"/>
              <w:tr2bl w:val="nil"/>
            </w:tcBorders>
            <w:tcMar>
              <w:top w:w="15" w:type="dxa"/>
              <w:left w:w="108" w:type="dxa"/>
              <w:bottom w:w="15" w:type="dxa"/>
              <w:right w:w="108" w:type="dxa"/>
            </w:tcMar>
            <w:vAlign w:val="center"/>
          </w:tcPr>
          <w:p w:rsidR="00FC7F50" w:rsidRPr="00FC1444" w:rsidRDefault="00FC7F50" w:rsidP="004E26F5">
            <w:pPr>
              <w:jc w:val="center"/>
              <w:rPr>
                <w:rFonts w:eastAsiaTheme="minorEastAsia"/>
                <w:szCs w:val="21"/>
                <w:lang w:val="zh-CN"/>
              </w:rPr>
            </w:pPr>
          </w:p>
        </w:tc>
        <w:tc>
          <w:tcPr>
            <w:tcW w:w="928"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一般管控单元</w:t>
            </w:r>
          </w:p>
        </w:tc>
        <w:tc>
          <w:tcPr>
            <w:tcW w:w="421"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lang w:val="zh-CN"/>
              </w:rPr>
            </w:pPr>
            <w:r w:rsidRPr="00FC1444">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FC7F50" w:rsidRPr="00FC1444" w:rsidRDefault="00FC7F50" w:rsidP="00542FC5">
            <w:pPr>
              <w:jc w:val="center"/>
              <w:rPr>
                <w:rFonts w:eastAsiaTheme="minorEastAsia"/>
                <w:szCs w:val="21"/>
              </w:rPr>
            </w:pPr>
            <w:r w:rsidRPr="00FC1444">
              <w:rPr>
                <w:rFonts w:eastAsiaTheme="minorEastAsia"/>
                <w:szCs w:val="21"/>
              </w:rPr>
              <w:t>北林区其他区域</w:t>
            </w:r>
          </w:p>
        </w:tc>
      </w:tr>
    </w:tbl>
    <w:p w:rsidR="002A5A5E" w:rsidRPr="00FC1444" w:rsidRDefault="00611CBA">
      <w:pPr>
        <w:autoSpaceDE w:val="0"/>
        <w:autoSpaceDN w:val="0"/>
        <w:adjustRightInd w:val="0"/>
        <w:snapToGrid w:val="0"/>
        <w:spacing w:line="360" w:lineRule="auto"/>
        <w:ind w:firstLineChars="200" w:firstLine="480"/>
        <w:jc w:val="left"/>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）生态保护红线</w:t>
      </w:r>
    </w:p>
    <w:p w:rsidR="002A5A5E" w:rsidRPr="00FC1444" w:rsidRDefault="00611CBA">
      <w:pPr>
        <w:autoSpaceDE w:val="0"/>
        <w:autoSpaceDN w:val="0"/>
        <w:adjustRightInd w:val="0"/>
        <w:snapToGrid w:val="0"/>
        <w:spacing w:line="360" w:lineRule="auto"/>
        <w:ind w:firstLineChars="200" w:firstLine="480"/>
        <w:jc w:val="left"/>
        <w:rPr>
          <w:rFonts w:eastAsiaTheme="minorEastAsia"/>
          <w:sz w:val="24"/>
        </w:rPr>
      </w:pPr>
      <w:r w:rsidRPr="00FC1444">
        <w:rPr>
          <w:rFonts w:eastAsiaTheme="minorEastAsia"/>
          <w:sz w:val="24"/>
        </w:rPr>
        <w:t>本项目位于</w:t>
      </w:r>
      <w:r w:rsidR="00433F49" w:rsidRPr="00FC1444">
        <w:rPr>
          <w:rFonts w:eastAsiaTheme="minorEastAsia"/>
          <w:sz w:val="24"/>
          <w:szCs w:val="21"/>
        </w:rPr>
        <w:t>黑龙江省绥化市北林区绥胜镇富强村、胜利二村；津河镇民胜村、津河村、靠河村；五营乡互相村、东围村、金伏村；三河镇太安村、永德村、合作村</w:t>
      </w:r>
      <w:r w:rsidR="00550BE3" w:rsidRPr="00FC1444">
        <w:rPr>
          <w:rFonts w:eastAsiaTheme="minorEastAsia"/>
          <w:bCs/>
          <w:sz w:val="24"/>
        </w:rPr>
        <w:t>。</w:t>
      </w:r>
      <w:r w:rsidRPr="00FC1444">
        <w:rPr>
          <w:rFonts w:eastAsiaTheme="minorEastAsia"/>
          <w:bCs/>
          <w:sz w:val="24"/>
        </w:rPr>
        <w:t>工程占地</w:t>
      </w:r>
      <w:r w:rsidRPr="00FC1444">
        <w:rPr>
          <w:rFonts w:eastAsiaTheme="minorEastAsia"/>
          <w:sz w:val="24"/>
        </w:rPr>
        <w:t>不涉及自然保护区、地质公园、风景名胜区、森林公园、水产种质资源保护区、饮用水水源保护区、湿地公园和公益生态林等区域，根据《</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生态环境分区管控分析报告》，本项目不占生态保护红线。</w:t>
      </w:r>
    </w:p>
    <w:p w:rsidR="002A5A5E" w:rsidRPr="00FC1444" w:rsidRDefault="00611CBA">
      <w:pPr>
        <w:autoSpaceDE w:val="0"/>
        <w:autoSpaceDN w:val="0"/>
        <w:adjustRightInd w:val="0"/>
        <w:snapToGrid w:val="0"/>
        <w:spacing w:line="360" w:lineRule="auto"/>
        <w:ind w:firstLineChars="200" w:firstLine="480"/>
        <w:jc w:val="left"/>
        <w:rPr>
          <w:rFonts w:eastAsiaTheme="minorEastAsia"/>
          <w:kern w:val="0"/>
          <w:sz w:val="24"/>
          <w:szCs w:val="21"/>
        </w:rPr>
      </w:pPr>
      <w:r w:rsidRPr="00FC1444">
        <w:rPr>
          <w:rFonts w:eastAsiaTheme="minorEastAsia"/>
          <w:kern w:val="0"/>
          <w:sz w:val="24"/>
          <w:szCs w:val="21"/>
        </w:rPr>
        <w:t>（</w:t>
      </w:r>
      <w:r w:rsidRPr="00FC1444">
        <w:rPr>
          <w:rFonts w:eastAsiaTheme="minorEastAsia"/>
          <w:kern w:val="0"/>
          <w:sz w:val="24"/>
          <w:szCs w:val="21"/>
        </w:rPr>
        <w:t>2</w:t>
      </w:r>
      <w:r w:rsidRPr="00FC1444">
        <w:rPr>
          <w:rFonts w:eastAsiaTheme="minorEastAsia"/>
          <w:kern w:val="0"/>
          <w:sz w:val="24"/>
          <w:szCs w:val="21"/>
        </w:rPr>
        <w:t>）环境质量底线</w:t>
      </w:r>
    </w:p>
    <w:p w:rsidR="002A5A5E" w:rsidRPr="00FC1444" w:rsidRDefault="009840DD">
      <w:pPr>
        <w:spacing w:line="360" w:lineRule="auto"/>
        <w:ind w:firstLineChars="200" w:firstLine="480"/>
        <w:rPr>
          <w:rFonts w:eastAsiaTheme="minorEastAsia"/>
          <w:kern w:val="0"/>
          <w:sz w:val="24"/>
          <w:szCs w:val="21"/>
        </w:rPr>
      </w:pPr>
      <w:r w:rsidRPr="00FC1444">
        <w:rPr>
          <w:rFonts w:eastAsiaTheme="minorEastAsia"/>
          <w:kern w:val="0"/>
          <w:sz w:val="24"/>
          <w:szCs w:val="21"/>
        </w:rPr>
        <w:fldChar w:fldCharType="begin"/>
      </w:r>
      <w:r w:rsidR="00611CBA" w:rsidRPr="00FC1444">
        <w:rPr>
          <w:rFonts w:eastAsiaTheme="minorEastAsia"/>
          <w:kern w:val="0"/>
          <w:sz w:val="24"/>
          <w:szCs w:val="21"/>
        </w:rPr>
        <w:instrText xml:space="preserve"> = 1 \* GB3 </w:instrText>
      </w:r>
      <w:r w:rsidRPr="00FC1444">
        <w:rPr>
          <w:rFonts w:eastAsiaTheme="minorEastAsia"/>
          <w:kern w:val="0"/>
          <w:sz w:val="24"/>
          <w:szCs w:val="21"/>
        </w:rPr>
        <w:fldChar w:fldCharType="separate"/>
      </w:r>
      <w:r w:rsidR="00611CBA" w:rsidRPr="00FC1444">
        <w:rPr>
          <w:rFonts w:ascii="宋体" w:hAnsi="宋体" w:cs="宋体" w:hint="eastAsia"/>
          <w:kern w:val="0"/>
          <w:sz w:val="24"/>
          <w:szCs w:val="21"/>
        </w:rPr>
        <w:t>①</w:t>
      </w:r>
      <w:r w:rsidRPr="00FC1444">
        <w:rPr>
          <w:rFonts w:eastAsiaTheme="minorEastAsia"/>
          <w:kern w:val="0"/>
          <w:sz w:val="24"/>
          <w:szCs w:val="21"/>
        </w:rPr>
        <w:fldChar w:fldCharType="end"/>
      </w:r>
      <w:r w:rsidR="00611CBA" w:rsidRPr="00FC1444">
        <w:rPr>
          <w:rFonts w:eastAsiaTheme="minorEastAsia"/>
          <w:kern w:val="0"/>
          <w:sz w:val="24"/>
          <w:szCs w:val="21"/>
        </w:rPr>
        <w:t>大气</w:t>
      </w:r>
    </w:p>
    <w:p w:rsidR="002A5A5E" w:rsidRPr="00FC1444" w:rsidRDefault="00611CBA">
      <w:pPr>
        <w:spacing w:line="360" w:lineRule="auto"/>
        <w:ind w:firstLineChars="200" w:firstLine="480"/>
        <w:rPr>
          <w:rFonts w:eastAsiaTheme="minorEastAsia"/>
          <w:kern w:val="0"/>
          <w:sz w:val="24"/>
          <w:szCs w:val="21"/>
        </w:rPr>
      </w:pPr>
      <w:r w:rsidRPr="00FC1444">
        <w:rPr>
          <w:rFonts w:eastAsiaTheme="minorEastAsia"/>
          <w:sz w:val="24"/>
        </w:rPr>
        <w:t>根据《</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生态环境分区管控分析报告》，</w:t>
      </w:r>
      <w:r w:rsidR="00DF4FD5" w:rsidRPr="00FC1444">
        <w:rPr>
          <w:rFonts w:eastAsiaTheme="minorEastAsia"/>
          <w:kern w:val="0"/>
          <w:sz w:val="24"/>
          <w:szCs w:val="21"/>
        </w:rPr>
        <w:t>本项目位于大气环境受体敏感</w:t>
      </w:r>
      <w:r w:rsidR="004E26F5" w:rsidRPr="00FC1444">
        <w:rPr>
          <w:rFonts w:eastAsiaTheme="minorEastAsia"/>
          <w:kern w:val="0"/>
          <w:sz w:val="24"/>
          <w:szCs w:val="21"/>
        </w:rPr>
        <w:t>重点管控区</w:t>
      </w:r>
      <w:r w:rsidR="00542FC5" w:rsidRPr="00FC1444">
        <w:rPr>
          <w:rFonts w:eastAsiaTheme="minorEastAsia"/>
          <w:kern w:val="0"/>
          <w:sz w:val="24"/>
          <w:szCs w:val="21"/>
        </w:rPr>
        <w:t>、大气环境</w:t>
      </w:r>
      <w:r w:rsidR="00542FC5" w:rsidRPr="00FC1444">
        <w:rPr>
          <w:rFonts w:eastAsiaTheme="minorEastAsia" w:hint="eastAsia"/>
          <w:kern w:val="0"/>
          <w:sz w:val="24"/>
          <w:szCs w:val="21"/>
        </w:rPr>
        <w:t>布局</w:t>
      </w:r>
      <w:r w:rsidR="00542FC5" w:rsidRPr="00FC1444">
        <w:rPr>
          <w:rFonts w:eastAsiaTheme="minorEastAsia"/>
          <w:kern w:val="0"/>
          <w:sz w:val="24"/>
          <w:szCs w:val="21"/>
        </w:rPr>
        <w:t>敏感重点管控区</w:t>
      </w:r>
      <w:r w:rsidRPr="00FC1444">
        <w:rPr>
          <w:rFonts w:eastAsiaTheme="minorEastAsia"/>
          <w:kern w:val="0"/>
          <w:sz w:val="24"/>
          <w:szCs w:val="21"/>
        </w:rPr>
        <w:t>及大气环境一般管控区。本项目运营期废气影响较小，施工期扬尘、废气影响较小，随施</w:t>
      </w:r>
      <w:r w:rsidRPr="00FC1444">
        <w:rPr>
          <w:rFonts w:eastAsiaTheme="minorEastAsia"/>
          <w:kern w:val="0"/>
          <w:sz w:val="24"/>
          <w:szCs w:val="21"/>
        </w:rPr>
        <w:lastRenderedPageBreak/>
        <w:t>工期结束影响消失，不会对大气环境质量现状造成不良影响。</w:t>
      </w:r>
    </w:p>
    <w:p w:rsidR="002A5A5E" w:rsidRPr="00FC1444" w:rsidRDefault="009840DD">
      <w:pPr>
        <w:spacing w:line="360" w:lineRule="auto"/>
        <w:ind w:firstLineChars="200" w:firstLine="480"/>
        <w:rPr>
          <w:rFonts w:eastAsiaTheme="minorEastAsia"/>
          <w:kern w:val="0"/>
          <w:sz w:val="24"/>
          <w:szCs w:val="21"/>
        </w:rPr>
      </w:pPr>
      <w:r w:rsidRPr="00FC1444">
        <w:rPr>
          <w:rFonts w:eastAsiaTheme="minorEastAsia"/>
          <w:kern w:val="0"/>
          <w:sz w:val="24"/>
          <w:szCs w:val="21"/>
        </w:rPr>
        <w:fldChar w:fldCharType="begin"/>
      </w:r>
      <w:r w:rsidR="00611CBA" w:rsidRPr="00FC1444">
        <w:rPr>
          <w:rFonts w:eastAsiaTheme="minorEastAsia"/>
          <w:kern w:val="0"/>
          <w:sz w:val="24"/>
          <w:szCs w:val="21"/>
        </w:rPr>
        <w:instrText xml:space="preserve"> = 2 \* GB3 </w:instrText>
      </w:r>
      <w:r w:rsidRPr="00FC1444">
        <w:rPr>
          <w:rFonts w:eastAsiaTheme="minorEastAsia"/>
          <w:kern w:val="0"/>
          <w:sz w:val="24"/>
          <w:szCs w:val="21"/>
        </w:rPr>
        <w:fldChar w:fldCharType="separate"/>
      </w:r>
      <w:r w:rsidR="00611CBA" w:rsidRPr="00FC1444">
        <w:rPr>
          <w:rFonts w:ascii="宋体" w:hAnsi="宋体" w:cs="宋体" w:hint="eastAsia"/>
          <w:kern w:val="0"/>
          <w:sz w:val="24"/>
          <w:szCs w:val="21"/>
        </w:rPr>
        <w:t>②</w:t>
      </w:r>
      <w:r w:rsidRPr="00FC1444">
        <w:rPr>
          <w:rFonts w:eastAsiaTheme="minorEastAsia"/>
          <w:kern w:val="0"/>
          <w:sz w:val="24"/>
          <w:szCs w:val="21"/>
        </w:rPr>
        <w:fldChar w:fldCharType="end"/>
      </w:r>
      <w:r w:rsidR="00611CBA" w:rsidRPr="00FC1444">
        <w:rPr>
          <w:rFonts w:eastAsiaTheme="minorEastAsia"/>
          <w:kern w:val="0"/>
          <w:sz w:val="24"/>
          <w:szCs w:val="21"/>
        </w:rPr>
        <w:t>水环境</w:t>
      </w:r>
    </w:p>
    <w:p w:rsidR="002A5A5E" w:rsidRPr="00FC1444" w:rsidRDefault="00611CBA">
      <w:pPr>
        <w:spacing w:line="360" w:lineRule="auto"/>
        <w:ind w:firstLineChars="200" w:firstLine="480"/>
        <w:jc w:val="left"/>
        <w:rPr>
          <w:rFonts w:eastAsiaTheme="minorEastAsia"/>
          <w:sz w:val="24"/>
        </w:rPr>
      </w:pPr>
      <w:r w:rsidRPr="00FC1444">
        <w:rPr>
          <w:rFonts w:eastAsiaTheme="minorEastAsia"/>
          <w:sz w:val="24"/>
        </w:rPr>
        <w:t>根据《</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生态环境分区管控分析报告》，本</w:t>
      </w:r>
      <w:r w:rsidR="00DF4FD5" w:rsidRPr="00FC1444">
        <w:rPr>
          <w:rFonts w:eastAsiaTheme="minorEastAsia"/>
          <w:sz w:val="24"/>
        </w:rPr>
        <w:t>项目位于</w:t>
      </w:r>
      <w:r w:rsidR="00542FC5" w:rsidRPr="00FC1444">
        <w:rPr>
          <w:rFonts w:eastAsiaTheme="minorEastAsia"/>
          <w:sz w:val="24"/>
        </w:rPr>
        <w:t>北林区</w:t>
      </w:r>
      <w:r w:rsidR="00CB74D8" w:rsidRPr="00FC1444">
        <w:rPr>
          <w:rFonts w:eastAsiaTheme="minorEastAsia"/>
          <w:sz w:val="24"/>
        </w:rPr>
        <w:t>其他区域</w:t>
      </w:r>
      <w:r w:rsidRPr="00FC1444">
        <w:rPr>
          <w:rFonts w:eastAsiaTheme="minorEastAsia"/>
          <w:sz w:val="24"/>
        </w:rPr>
        <w:t>。本项目施工期生活污水依托附近民房防渗旱厕，定期清掏，外运堆肥，不外排，洗井废水用于洒水降尘；项目新建灌溉井片区均为旱田，农田无退水。本项目实施后，由于灌溉水利用系数的提升、农田保水能力增强以及渠系配套系统的完善，现有水田灌溉地表水退水量减少，相应污染物入河量与现状相比也有一定程度的削减，</w:t>
      </w:r>
      <w:r w:rsidR="00C341EA" w:rsidRPr="00FC1444">
        <w:rPr>
          <w:rFonts w:eastAsiaTheme="minorEastAsia"/>
          <w:bCs/>
          <w:sz w:val="24"/>
        </w:rPr>
        <w:t>COD</w:t>
      </w:r>
      <w:r w:rsidR="00C341EA" w:rsidRPr="00FC1444">
        <w:rPr>
          <w:rFonts w:eastAsiaTheme="minorEastAsia"/>
          <w:bCs/>
          <w:sz w:val="24"/>
        </w:rPr>
        <w:t>、氨氮、总磷及总氮排放量分别减少</w:t>
      </w:r>
      <w:r w:rsidR="00C341EA" w:rsidRPr="00FC1444">
        <w:rPr>
          <w:rFonts w:eastAsiaTheme="minorEastAsia"/>
          <w:bCs/>
          <w:sz w:val="24"/>
        </w:rPr>
        <w:t>227.137t/a</w:t>
      </w:r>
      <w:r w:rsidR="00C341EA" w:rsidRPr="00FC1444">
        <w:rPr>
          <w:rFonts w:eastAsiaTheme="minorEastAsia"/>
          <w:bCs/>
          <w:sz w:val="24"/>
        </w:rPr>
        <w:t>、</w:t>
      </w:r>
      <w:r w:rsidR="00C341EA" w:rsidRPr="00FC1444">
        <w:rPr>
          <w:rFonts w:eastAsiaTheme="minorEastAsia"/>
          <w:bCs/>
          <w:sz w:val="24"/>
        </w:rPr>
        <w:t>5.431t/a</w:t>
      </w:r>
      <w:r w:rsidR="00C341EA" w:rsidRPr="00FC1444">
        <w:rPr>
          <w:rFonts w:eastAsiaTheme="minorEastAsia"/>
          <w:bCs/>
          <w:sz w:val="24"/>
        </w:rPr>
        <w:t>、</w:t>
      </w:r>
      <w:r w:rsidR="00C341EA" w:rsidRPr="00FC1444">
        <w:rPr>
          <w:rFonts w:eastAsiaTheme="minorEastAsia"/>
          <w:bCs/>
          <w:sz w:val="24"/>
        </w:rPr>
        <w:t>7.93t/a</w:t>
      </w:r>
      <w:r w:rsidR="00C341EA" w:rsidRPr="00FC1444">
        <w:rPr>
          <w:rFonts w:eastAsiaTheme="minorEastAsia"/>
          <w:bCs/>
          <w:sz w:val="24"/>
        </w:rPr>
        <w:t>、</w:t>
      </w:r>
      <w:r w:rsidR="00C341EA" w:rsidRPr="00FC1444">
        <w:rPr>
          <w:rFonts w:eastAsiaTheme="minorEastAsia"/>
          <w:bCs/>
          <w:sz w:val="24"/>
        </w:rPr>
        <w:t>18.102t/a</w:t>
      </w:r>
      <w:r w:rsidR="00C341EA" w:rsidRPr="00FC1444">
        <w:rPr>
          <w:rFonts w:eastAsiaTheme="minorEastAsia"/>
          <w:bCs/>
          <w:sz w:val="24"/>
        </w:rPr>
        <w:t>。</w:t>
      </w:r>
      <w:r w:rsidRPr="00FC1444">
        <w:rPr>
          <w:rFonts w:eastAsiaTheme="minorEastAsia"/>
          <w:sz w:val="24"/>
        </w:rPr>
        <w:t>因此不会对区域水环境造成影响。</w:t>
      </w:r>
    </w:p>
    <w:p w:rsidR="002A5A5E" w:rsidRPr="00FC1444" w:rsidRDefault="00611CBA">
      <w:pPr>
        <w:spacing w:line="360" w:lineRule="auto"/>
        <w:ind w:firstLineChars="200" w:firstLine="480"/>
        <w:rPr>
          <w:rFonts w:eastAsiaTheme="minorEastAsia"/>
          <w:kern w:val="0"/>
          <w:sz w:val="24"/>
          <w:szCs w:val="21"/>
        </w:rPr>
      </w:pPr>
      <w:r w:rsidRPr="00FC1444">
        <w:rPr>
          <w:rFonts w:eastAsiaTheme="minorEastAsia"/>
          <w:kern w:val="0"/>
          <w:sz w:val="24"/>
          <w:szCs w:val="21"/>
        </w:rPr>
        <w:t>（</w:t>
      </w:r>
      <w:r w:rsidRPr="00FC1444">
        <w:rPr>
          <w:rFonts w:eastAsiaTheme="minorEastAsia"/>
          <w:kern w:val="0"/>
          <w:sz w:val="24"/>
          <w:szCs w:val="21"/>
        </w:rPr>
        <w:t>3</w:t>
      </w:r>
      <w:r w:rsidRPr="00FC1444">
        <w:rPr>
          <w:rFonts w:eastAsiaTheme="minorEastAsia"/>
          <w:kern w:val="0"/>
          <w:sz w:val="24"/>
          <w:szCs w:val="21"/>
        </w:rPr>
        <w:t>）资源利用上线</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根据《</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生态环境分区管控分析报告》，本项目位于</w:t>
      </w:r>
      <w:r w:rsidR="005511F0" w:rsidRPr="00FC1444">
        <w:rPr>
          <w:rFonts w:eastAsiaTheme="minorEastAsia"/>
          <w:sz w:val="24"/>
        </w:rPr>
        <w:t>北林</w:t>
      </w:r>
      <w:r w:rsidRPr="00FC1444">
        <w:rPr>
          <w:rFonts w:eastAsiaTheme="minorEastAsia"/>
          <w:sz w:val="24"/>
        </w:rPr>
        <w:t>区地下水环境一般管控区，不位于地下水开采重点管控区（超载区）。本项目</w:t>
      </w:r>
      <w:r w:rsidRPr="00FC1444">
        <w:rPr>
          <w:rFonts w:eastAsiaTheme="minorEastAsia"/>
          <w:bCs/>
          <w:snapToGrid w:val="0"/>
          <w:kern w:val="0"/>
          <w:sz w:val="24"/>
        </w:rPr>
        <w:t>永久占地类型为</w:t>
      </w:r>
      <w:r w:rsidR="009555CD" w:rsidRPr="00FC1444">
        <w:rPr>
          <w:rFonts w:eastAsiaTheme="minorEastAsia"/>
          <w:bCs/>
          <w:snapToGrid w:val="0"/>
          <w:kern w:val="0"/>
          <w:sz w:val="24"/>
        </w:rPr>
        <w:t>草地、交通运输用地、水利设施用地、坑塘水面</w:t>
      </w:r>
      <w:r w:rsidRPr="00FC1444">
        <w:rPr>
          <w:rFonts w:eastAsiaTheme="minorEastAsia"/>
          <w:sz w:val="24"/>
        </w:rPr>
        <w:t>，临时占地为旱地、草地。临时占地待施工结束后进行土地复垦，恢复为原地类。本项目运营期排水沟仅在降水无法排出情况下采用柴油机移动泵车进行排水，使用时间较短。</w:t>
      </w:r>
    </w:p>
    <w:p w:rsidR="002A5A5E" w:rsidRPr="00FC1444" w:rsidRDefault="001456AB">
      <w:pPr>
        <w:spacing w:line="360" w:lineRule="auto"/>
        <w:ind w:firstLineChars="200" w:firstLine="480"/>
        <w:rPr>
          <w:rFonts w:eastAsiaTheme="minorEastAsia"/>
          <w:bCs/>
          <w:sz w:val="24"/>
        </w:rPr>
      </w:pPr>
      <w:r w:rsidRPr="00FC1444">
        <w:rPr>
          <w:rFonts w:eastAsiaTheme="minorEastAsia"/>
          <w:snapToGrid w:val="0"/>
          <w:kern w:val="0"/>
          <w:sz w:val="24"/>
        </w:rPr>
        <w:t>黑龙江省建设技术发展中心有限公司</w:t>
      </w:r>
      <w:r w:rsidR="00891513" w:rsidRPr="00FC1444">
        <w:rPr>
          <w:rFonts w:eastAsiaTheme="minorEastAsia"/>
          <w:bCs/>
          <w:sz w:val="24"/>
        </w:rPr>
        <w:t>于</w:t>
      </w:r>
      <w:r w:rsidR="00891513" w:rsidRPr="00FC1444">
        <w:rPr>
          <w:rFonts w:eastAsiaTheme="minorEastAsia"/>
          <w:bCs/>
          <w:sz w:val="24"/>
        </w:rPr>
        <w:t>2026</w:t>
      </w:r>
      <w:r w:rsidR="00891513" w:rsidRPr="00FC1444">
        <w:rPr>
          <w:rFonts w:eastAsiaTheme="minorEastAsia"/>
          <w:bCs/>
          <w:sz w:val="24"/>
        </w:rPr>
        <w:t>年</w:t>
      </w:r>
      <w:r w:rsidRPr="00FC1444">
        <w:rPr>
          <w:rFonts w:eastAsiaTheme="minorEastAsia"/>
          <w:bCs/>
          <w:sz w:val="24"/>
        </w:rPr>
        <w:t>3</w:t>
      </w:r>
      <w:r w:rsidR="00891513" w:rsidRPr="00FC1444">
        <w:rPr>
          <w:rFonts w:eastAsiaTheme="minorEastAsia"/>
          <w:bCs/>
          <w:sz w:val="24"/>
        </w:rPr>
        <w:t>月编制的《</w:t>
      </w:r>
      <w:r w:rsidR="00AE168C" w:rsidRPr="00FC1444">
        <w:rPr>
          <w:rFonts w:eastAsiaTheme="minorEastAsia"/>
          <w:bCs/>
          <w:sz w:val="24"/>
        </w:rPr>
        <w:t>北林区</w:t>
      </w:r>
      <w:r w:rsidR="00AE168C" w:rsidRPr="00FC1444">
        <w:rPr>
          <w:rFonts w:eastAsiaTheme="minorEastAsia"/>
          <w:bCs/>
          <w:sz w:val="24"/>
        </w:rPr>
        <w:t>2026</w:t>
      </w:r>
      <w:r w:rsidR="00AE168C" w:rsidRPr="00FC1444">
        <w:rPr>
          <w:rFonts w:eastAsiaTheme="minorEastAsia"/>
          <w:bCs/>
          <w:sz w:val="24"/>
        </w:rPr>
        <w:t>年高标准农田建设项目</w:t>
      </w:r>
      <w:r w:rsidR="00891513" w:rsidRPr="00FC1444">
        <w:rPr>
          <w:rFonts w:eastAsiaTheme="minorEastAsia"/>
          <w:bCs/>
          <w:sz w:val="24"/>
        </w:rPr>
        <w:t>水资源论证报告书》已通过专家审查。</w:t>
      </w:r>
      <w:r w:rsidR="00611CBA" w:rsidRPr="00FC1444">
        <w:rPr>
          <w:rFonts w:eastAsiaTheme="minorEastAsia"/>
          <w:sz w:val="24"/>
        </w:rPr>
        <w:t>根据水资源论证报告书结论，</w:t>
      </w:r>
      <w:r w:rsidR="00555CA4" w:rsidRPr="00FC1444">
        <w:rPr>
          <w:sz w:val="24"/>
        </w:rPr>
        <w:t>项目范围</w:t>
      </w:r>
      <w:r w:rsidR="005511F0" w:rsidRPr="00FC1444">
        <w:rPr>
          <w:rFonts w:eastAsiaTheme="minorEastAsia"/>
          <w:sz w:val="24"/>
        </w:rPr>
        <w:t>北林</w:t>
      </w:r>
      <w:r w:rsidR="00555CA4" w:rsidRPr="00FC1444">
        <w:rPr>
          <w:sz w:val="24"/>
        </w:rPr>
        <w:t>区地下水可开采量为</w:t>
      </w:r>
      <w:r w:rsidR="00555CA4" w:rsidRPr="00FC1444">
        <w:rPr>
          <w:sz w:val="24"/>
        </w:rPr>
        <w:t>31238×10</w:t>
      </w:r>
      <w:r w:rsidR="00555CA4" w:rsidRPr="00FC1444">
        <w:rPr>
          <w:sz w:val="24"/>
          <w:vertAlign w:val="superscript"/>
        </w:rPr>
        <w:t>4</w:t>
      </w:r>
      <w:r w:rsidR="00555CA4" w:rsidRPr="00FC1444">
        <w:rPr>
          <w:sz w:val="24"/>
        </w:rPr>
        <w:t>m</w:t>
      </w:r>
      <w:r w:rsidR="00555CA4" w:rsidRPr="00FC1444">
        <w:rPr>
          <w:sz w:val="24"/>
          <w:vertAlign w:val="superscript"/>
        </w:rPr>
        <w:t>3</w:t>
      </w:r>
      <w:r w:rsidR="00555CA4" w:rsidRPr="00FC1444">
        <w:rPr>
          <w:sz w:val="24"/>
        </w:rPr>
        <w:t>，现状年地下水用水量</w:t>
      </w:r>
      <w:r w:rsidR="00555CA4" w:rsidRPr="00FC1444">
        <w:rPr>
          <w:rFonts w:eastAsiaTheme="minorEastAsia"/>
          <w:sz w:val="24"/>
        </w:rPr>
        <w:t>（含现状农民自打井取水）</w:t>
      </w:r>
      <w:r w:rsidR="00555CA4" w:rsidRPr="00FC1444">
        <w:rPr>
          <w:sz w:val="24"/>
        </w:rPr>
        <w:t>14857×10</w:t>
      </w:r>
      <w:r w:rsidR="00555CA4" w:rsidRPr="00FC1444">
        <w:rPr>
          <w:sz w:val="24"/>
          <w:vertAlign w:val="superscript"/>
        </w:rPr>
        <w:t>4</w:t>
      </w:r>
      <w:r w:rsidR="00555CA4" w:rsidRPr="00FC1444">
        <w:rPr>
          <w:sz w:val="24"/>
        </w:rPr>
        <w:t>m</w:t>
      </w:r>
      <w:r w:rsidR="00555CA4" w:rsidRPr="00FC1444">
        <w:rPr>
          <w:sz w:val="24"/>
          <w:vertAlign w:val="superscript"/>
        </w:rPr>
        <w:t>3</w:t>
      </w:r>
      <w:r w:rsidR="00555CA4" w:rsidRPr="00FC1444">
        <w:rPr>
          <w:sz w:val="24"/>
        </w:rPr>
        <w:t>，开发利用程度为</w:t>
      </w:r>
      <w:r w:rsidR="00555CA4" w:rsidRPr="00FC1444">
        <w:rPr>
          <w:sz w:val="24"/>
        </w:rPr>
        <w:t>48%</w:t>
      </w:r>
      <w:r w:rsidR="00555CA4" w:rsidRPr="00FC1444">
        <w:rPr>
          <w:sz w:val="24"/>
        </w:rPr>
        <w:t>，</w:t>
      </w:r>
      <w:r w:rsidR="00611CBA" w:rsidRPr="00FC1444">
        <w:rPr>
          <w:rFonts w:eastAsiaTheme="minorEastAsia"/>
          <w:sz w:val="24"/>
        </w:rPr>
        <w:t>地下水资源具备开发潜力。</w:t>
      </w:r>
    </w:p>
    <w:p w:rsidR="002A5A5E" w:rsidRPr="00FC1444" w:rsidRDefault="00772BB1">
      <w:pPr>
        <w:spacing w:line="360" w:lineRule="auto"/>
        <w:ind w:firstLineChars="200" w:firstLine="480"/>
        <w:rPr>
          <w:rFonts w:eastAsiaTheme="minorEastAsia"/>
          <w:sz w:val="24"/>
        </w:rPr>
      </w:pPr>
      <w:r w:rsidRPr="00FC1444">
        <w:rPr>
          <w:rFonts w:eastAsiaTheme="minorEastAsia"/>
          <w:sz w:val="24"/>
        </w:rPr>
        <w:t>根</w:t>
      </w:r>
      <w:r w:rsidR="00891513" w:rsidRPr="00FC1444">
        <w:rPr>
          <w:rFonts w:eastAsiaTheme="minorEastAsia"/>
          <w:sz w:val="24"/>
        </w:rPr>
        <w:t>据已批复《</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00891513" w:rsidRPr="00FC1444">
        <w:rPr>
          <w:rFonts w:eastAsiaTheme="minorEastAsia"/>
          <w:sz w:val="24"/>
        </w:rPr>
        <w:t>水资源论证报告书》可知，</w:t>
      </w:r>
      <w:r w:rsidR="00400760" w:rsidRPr="00FC1444">
        <w:rPr>
          <w:rFonts w:eastAsiaTheme="minorEastAsia"/>
          <w:sz w:val="24"/>
        </w:rPr>
        <w:t>论证区地下水可开采量为</w:t>
      </w:r>
      <w:r w:rsidR="00400760" w:rsidRPr="00FC1444">
        <w:rPr>
          <w:rFonts w:eastAsiaTheme="minorEastAsia"/>
          <w:sz w:val="24"/>
        </w:rPr>
        <w:t>459.81</w:t>
      </w:r>
      <w:r w:rsidR="00400760" w:rsidRPr="00FC1444">
        <w:rPr>
          <w:rFonts w:eastAsiaTheme="minorEastAsia"/>
          <w:sz w:val="24"/>
        </w:rPr>
        <w:t>万</w:t>
      </w:r>
      <w:r w:rsidR="00400760" w:rsidRPr="00FC1444">
        <w:rPr>
          <w:rFonts w:eastAsiaTheme="minorEastAsia"/>
          <w:sz w:val="24"/>
        </w:rPr>
        <w:t>m³/a</w:t>
      </w:r>
      <w:r w:rsidR="00400760" w:rsidRPr="00FC1444">
        <w:rPr>
          <w:rFonts w:eastAsiaTheme="minorEastAsia"/>
          <w:sz w:val="24"/>
        </w:rPr>
        <w:t>。总补给量为</w:t>
      </w:r>
      <w:r w:rsidR="00400760" w:rsidRPr="00FC1444">
        <w:rPr>
          <w:rFonts w:eastAsiaTheme="minorEastAsia"/>
          <w:sz w:val="24"/>
        </w:rPr>
        <w:t>656.87m³/a</w:t>
      </w:r>
      <w:r w:rsidR="00400760" w:rsidRPr="00FC1444">
        <w:rPr>
          <w:rFonts w:eastAsiaTheme="minorEastAsia"/>
          <w:sz w:val="24"/>
        </w:rPr>
        <w:t>。项目实施后，最大年取水量为</w:t>
      </w:r>
      <w:r w:rsidR="00400760" w:rsidRPr="00FC1444">
        <w:rPr>
          <w:rFonts w:eastAsiaTheme="minorEastAsia"/>
          <w:sz w:val="24"/>
        </w:rPr>
        <w:t>92.83</w:t>
      </w:r>
      <w:r w:rsidR="00400760" w:rsidRPr="00FC1444">
        <w:rPr>
          <w:rFonts w:eastAsiaTheme="minorEastAsia"/>
          <w:sz w:val="24"/>
        </w:rPr>
        <w:t>万</w:t>
      </w:r>
      <w:r w:rsidR="00400760" w:rsidRPr="00FC1444">
        <w:rPr>
          <w:rFonts w:eastAsiaTheme="minorEastAsia"/>
          <w:sz w:val="24"/>
        </w:rPr>
        <w:t>m</w:t>
      </w:r>
      <w:r w:rsidR="00400760" w:rsidRPr="00FC1444">
        <w:rPr>
          <w:rFonts w:eastAsiaTheme="minorEastAsia"/>
          <w:sz w:val="24"/>
          <w:vertAlign w:val="superscript"/>
        </w:rPr>
        <w:t>3</w:t>
      </w:r>
      <w:r w:rsidR="00400760" w:rsidRPr="00FC1444">
        <w:rPr>
          <w:rFonts w:eastAsiaTheme="minorEastAsia"/>
          <w:sz w:val="24"/>
        </w:rPr>
        <w:t>，占可开采量的</w:t>
      </w:r>
      <w:r w:rsidR="00400760" w:rsidRPr="00FC1444">
        <w:rPr>
          <w:rFonts w:eastAsiaTheme="minorEastAsia"/>
          <w:sz w:val="24"/>
        </w:rPr>
        <w:t>20.2%</w:t>
      </w:r>
      <w:r w:rsidR="00400760" w:rsidRPr="00FC1444">
        <w:rPr>
          <w:rFonts w:eastAsiaTheme="minorEastAsia"/>
          <w:sz w:val="24"/>
        </w:rPr>
        <w:t>，可以满足供水需求</w:t>
      </w:r>
      <w:r w:rsidR="00611CBA" w:rsidRPr="00FC1444">
        <w:rPr>
          <w:rFonts w:eastAsiaTheme="minorEastAsia"/>
          <w:sz w:val="24"/>
        </w:rPr>
        <w:t>。</w:t>
      </w:r>
      <w:r w:rsidR="00611CBA" w:rsidRPr="00FC1444">
        <w:rPr>
          <w:rFonts w:eastAsiaTheme="minorEastAsia"/>
          <w:sz w:val="24"/>
          <w:shd w:val="clear" w:color="auto" w:fill="FFFFFF"/>
        </w:rPr>
        <w:t>本项目</w:t>
      </w:r>
      <w:r w:rsidR="006E3290" w:rsidRPr="00FC1444">
        <w:rPr>
          <w:rFonts w:eastAsiaTheme="minorEastAsia"/>
          <w:sz w:val="24"/>
          <w:shd w:val="clear" w:color="auto" w:fill="FFFFFF"/>
        </w:rPr>
        <w:t>旱田</w:t>
      </w:r>
      <w:r w:rsidR="00611CBA" w:rsidRPr="00FC1444">
        <w:rPr>
          <w:rFonts w:eastAsiaTheme="minorEastAsia"/>
          <w:kern w:val="0"/>
          <w:sz w:val="24"/>
        </w:rPr>
        <w:t>设计灌溉保证率为</w:t>
      </w:r>
      <w:r w:rsidR="00611CBA" w:rsidRPr="00FC1444">
        <w:rPr>
          <w:rFonts w:eastAsiaTheme="minorEastAsia"/>
          <w:kern w:val="0"/>
          <w:sz w:val="24"/>
        </w:rPr>
        <w:t>90%</w:t>
      </w:r>
      <w:r w:rsidR="00611CBA" w:rsidRPr="00FC1444">
        <w:rPr>
          <w:rFonts w:eastAsiaTheme="minorEastAsia"/>
          <w:kern w:val="0"/>
          <w:sz w:val="24"/>
        </w:rPr>
        <w:t>，</w:t>
      </w:r>
      <w:r w:rsidR="00FD6E06" w:rsidRPr="00FC1444">
        <w:rPr>
          <w:rFonts w:eastAsiaTheme="minorEastAsia"/>
          <w:kern w:val="0"/>
          <w:sz w:val="24"/>
        </w:rPr>
        <w:t>坐水种灌溉水利用系数</w:t>
      </w:r>
      <w:r w:rsidR="00FD6E06" w:rsidRPr="00FC1444">
        <w:rPr>
          <w:rFonts w:eastAsiaTheme="minorEastAsia"/>
          <w:kern w:val="0"/>
          <w:sz w:val="24"/>
        </w:rPr>
        <w:t>0.85</w:t>
      </w:r>
      <w:r w:rsidR="00C44A54" w:rsidRPr="00FC1444">
        <w:rPr>
          <w:rFonts w:eastAsiaTheme="minorEastAsia"/>
          <w:kern w:val="0"/>
          <w:sz w:val="24"/>
        </w:rPr>
        <w:t>，滴灌灌溉水利用系数</w:t>
      </w:r>
      <w:r w:rsidR="00C44A54" w:rsidRPr="00FC1444">
        <w:rPr>
          <w:rFonts w:eastAsiaTheme="minorEastAsia"/>
          <w:kern w:val="0"/>
          <w:sz w:val="24"/>
        </w:rPr>
        <w:t>0.93</w:t>
      </w:r>
      <w:r w:rsidR="00611CBA" w:rsidRPr="00FC1444">
        <w:rPr>
          <w:rFonts w:eastAsiaTheme="minorEastAsia"/>
          <w:sz w:val="24"/>
        </w:rPr>
        <w:t>，并采取节水灌溉制度。因此取水是可靠的。且本项目已取得</w:t>
      </w:r>
      <w:r w:rsidR="00DC2B3B" w:rsidRPr="00FC1444">
        <w:rPr>
          <w:rFonts w:eastAsiaTheme="minorEastAsia"/>
          <w:sz w:val="24"/>
        </w:rPr>
        <w:t>《准予取水许可决定书复》</w:t>
      </w:r>
      <w:r w:rsidR="00CA729B" w:rsidRPr="00FC1444">
        <w:rPr>
          <w:rFonts w:eastAsiaTheme="minorEastAsia"/>
          <w:sz w:val="24"/>
        </w:rPr>
        <w:t>文号：取水（绥北水）准字〔</w:t>
      </w:r>
      <w:r w:rsidR="00CA729B" w:rsidRPr="00FC1444">
        <w:rPr>
          <w:rFonts w:eastAsiaTheme="minorEastAsia"/>
          <w:sz w:val="24"/>
        </w:rPr>
        <w:t>2026</w:t>
      </w:r>
      <w:r w:rsidR="00CA729B" w:rsidRPr="00FC1444">
        <w:rPr>
          <w:rFonts w:eastAsiaTheme="minorEastAsia"/>
          <w:sz w:val="24"/>
        </w:rPr>
        <w:t>〕第</w:t>
      </w:r>
      <w:r w:rsidR="00CA729B" w:rsidRPr="00FC1444">
        <w:rPr>
          <w:rFonts w:eastAsiaTheme="minorEastAsia"/>
          <w:sz w:val="24"/>
        </w:rPr>
        <w:t>50</w:t>
      </w:r>
      <w:r w:rsidR="00CA729B" w:rsidRPr="00FC1444">
        <w:rPr>
          <w:rFonts w:eastAsiaTheme="minorEastAsia"/>
          <w:sz w:val="24"/>
        </w:rPr>
        <w:t>号</w:t>
      </w:r>
      <w:r w:rsidR="00611CBA" w:rsidRPr="00FC1444">
        <w:rPr>
          <w:rFonts w:eastAsiaTheme="minorEastAsia"/>
          <w:sz w:val="24"/>
        </w:rPr>
        <w:t>，见附件</w:t>
      </w:r>
      <w:r w:rsidR="00FE4617" w:rsidRPr="00FC1444">
        <w:rPr>
          <w:rFonts w:eastAsiaTheme="minorEastAsia" w:hint="eastAsia"/>
          <w:sz w:val="24"/>
        </w:rPr>
        <w:t>4</w:t>
      </w:r>
      <w:r w:rsidR="00611CBA" w:rsidRPr="00FC1444">
        <w:rPr>
          <w:rFonts w:eastAsiaTheme="minorEastAsia"/>
          <w:sz w:val="24"/>
        </w:rPr>
        <w:t>。综上，本项目符合</w:t>
      </w:r>
      <w:r w:rsidR="000E00D5" w:rsidRPr="00FC1444">
        <w:rPr>
          <w:rFonts w:eastAsiaTheme="minorEastAsia"/>
          <w:sz w:val="24"/>
        </w:rPr>
        <w:t>绥化</w:t>
      </w:r>
      <w:r w:rsidR="00611CBA" w:rsidRPr="00FC1444">
        <w:rPr>
          <w:rFonts w:eastAsiaTheme="minorEastAsia"/>
          <w:sz w:val="24"/>
        </w:rPr>
        <w:t>市能源、水资源、土地资源等资源利用上线要求。</w:t>
      </w:r>
    </w:p>
    <w:p w:rsidR="002A5A5E" w:rsidRPr="00FC1444" w:rsidRDefault="00611CBA">
      <w:pPr>
        <w:spacing w:line="360" w:lineRule="auto"/>
        <w:ind w:firstLineChars="200" w:firstLine="480"/>
        <w:rPr>
          <w:rFonts w:eastAsiaTheme="minorEastAsia"/>
          <w:kern w:val="0"/>
          <w:sz w:val="24"/>
          <w:szCs w:val="21"/>
        </w:rPr>
      </w:pPr>
      <w:r w:rsidRPr="00FC1444">
        <w:rPr>
          <w:rFonts w:eastAsiaTheme="minorEastAsia"/>
          <w:kern w:val="0"/>
          <w:sz w:val="24"/>
          <w:szCs w:val="21"/>
        </w:rPr>
        <w:t>（</w:t>
      </w:r>
      <w:r w:rsidRPr="00FC1444">
        <w:rPr>
          <w:rFonts w:eastAsiaTheme="minorEastAsia"/>
          <w:kern w:val="0"/>
          <w:sz w:val="24"/>
          <w:szCs w:val="21"/>
        </w:rPr>
        <w:t>4</w:t>
      </w:r>
      <w:r w:rsidRPr="00FC1444">
        <w:rPr>
          <w:rFonts w:eastAsiaTheme="minorEastAsia"/>
          <w:kern w:val="0"/>
          <w:sz w:val="24"/>
          <w:szCs w:val="21"/>
        </w:rPr>
        <w:t>）</w:t>
      </w:r>
      <w:r w:rsidRPr="00FC1444">
        <w:rPr>
          <w:rFonts w:eastAsiaTheme="minorEastAsia"/>
          <w:bCs/>
          <w:sz w:val="24"/>
        </w:rPr>
        <w:t>生态环境准入清单</w:t>
      </w:r>
    </w:p>
    <w:p w:rsidR="002A5A5E" w:rsidRPr="00FC1444" w:rsidRDefault="00611CBA">
      <w:pPr>
        <w:autoSpaceDE w:val="0"/>
        <w:autoSpaceDN w:val="0"/>
        <w:spacing w:line="360" w:lineRule="auto"/>
        <w:ind w:firstLineChars="200" w:firstLine="480"/>
        <w:jc w:val="left"/>
        <w:rPr>
          <w:rFonts w:eastAsiaTheme="minorEastAsia"/>
          <w:sz w:val="24"/>
        </w:rPr>
      </w:pPr>
      <w:r w:rsidRPr="00FC1444">
        <w:rPr>
          <w:rFonts w:eastAsiaTheme="minorEastAsia"/>
          <w:sz w:val="24"/>
        </w:rPr>
        <w:lastRenderedPageBreak/>
        <w:t>本项目与</w:t>
      </w:r>
      <w:r w:rsidRPr="00FC1444">
        <w:rPr>
          <w:rFonts w:eastAsiaTheme="minorEastAsia"/>
          <w:bCs/>
          <w:sz w:val="24"/>
        </w:rPr>
        <w:t>生态环境准入清单管控要求</w:t>
      </w:r>
      <w:r w:rsidRPr="00FC1444">
        <w:rPr>
          <w:rFonts w:eastAsiaTheme="minorEastAsia"/>
          <w:sz w:val="24"/>
        </w:rPr>
        <w:t>符合性分析见表</w:t>
      </w:r>
      <w:r w:rsidRPr="00FC1444">
        <w:rPr>
          <w:rFonts w:eastAsiaTheme="minorEastAsia"/>
          <w:sz w:val="24"/>
        </w:rPr>
        <w:t>1-4-4</w:t>
      </w:r>
      <w:r w:rsidRPr="00FC1444">
        <w:rPr>
          <w:rFonts w:eastAsiaTheme="minorEastAsia"/>
          <w:sz w:val="24"/>
        </w:rPr>
        <w:t>。</w:t>
      </w:r>
    </w:p>
    <w:p w:rsidR="002A5A5E" w:rsidRPr="00FC1444" w:rsidRDefault="009840DD">
      <w:pPr>
        <w:autoSpaceDE w:val="0"/>
        <w:autoSpaceDN w:val="0"/>
        <w:spacing w:line="360" w:lineRule="auto"/>
        <w:ind w:firstLineChars="200" w:firstLine="480"/>
        <w:jc w:val="left"/>
        <w:rPr>
          <w:rFonts w:eastAsiaTheme="minorEastAsia"/>
          <w:bCs/>
          <w:sz w:val="24"/>
        </w:rPr>
      </w:pPr>
      <w:r w:rsidRPr="00FC1444">
        <w:rPr>
          <w:rFonts w:eastAsiaTheme="minorEastAsia"/>
          <w:bCs/>
          <w:sz w:val="24"/>
        </w:rPr>
        <w:fldChar w:fldCharType="begin"/>
      </w:r>
      <w:r w:rsidR="00611CBA" w:rsidRPr="00FC1444">
        <w:rPr>
          <w:rFonts w:eastAsiaTheme="minorEastAsia"/>
          <w:bCs/>
          <w:sz w:val="24"/>
        </w:rPr>
        <w:instrText xml:space="preserve"> = 1 \* GB3 </w:instrText>
      </w:r>
      <w:r w:rsidRPr="00FC1444">
        <w:rPr>
          <w:rFonts w:eastAsiaTheme="minorEastAsia"/>
          <w:bCs/>
          <w:sz w:val="24"/>
        </w:rPr>
        <w:fldChar w:fldCharType="separate"/>
      </w:r>
      <w:r w:rsidR="00611CBA" w:rsidRPr="00FC1444">
        <w:rPr>
          <w:rFonts w:ascii="宋体" w:hAnsi="宋体" w:cs="宋体" w:hint="eastAsia"/>
          <w:bCs/>
          <w:sz w:val="24"/>
        </w:rPr>
        <w:t>①</w:t>
      </w:r>
      <w:r w:rsidRPr="00FC1444">
        <w:rPr>
          <w:rFonts w:eastAsiaTheme="minorEastAsia"/>
          <w:bCs/>
          <w:sz w:val="24"/>
        </w:rPr>
        <w:fldChar w:fldCharType="end"/>
      </w:r>
      <w:r w:rsidR="00611CBA" w:rsidRPr="00FC1444">
        <w:rPr>
          <w:rFonts w:eastAsiaTheme="minorEastAsia"/>
          <w:bCs/>
          <w:sz w:val="24"/>
        </w:rPr>
        <w:t>一图</w:t>
      </w:r>
    </w:p>
    <w:p w:rsidR="002A5A5E" w:rsidRPr="00FC1444" w:rsidRDefault="00611CBA">
      <w:pPr>
        <w:autoSpaceDE w:val="0"/>
        <w:autoSpaceDN w:val="0"/>
        <w:spacing w:line="360" w:lineRule="auto"/>
        <w:ind w:firstLineChars="200" w:firstLine="480"/>
        <w:jc w:val="left"/>
        <w:rPr>
          <w:rFonts w:eastAsiaTheme="minorEastAsia"/>
          <w:bCs/>
          <w:sz w:val="24"/>
        </w:rPr>
      </w:pPr>
      <w:r w:rsidRPr="00FC1444">
        <w:rPr>
          <w:rFonts w:eastAsiaTheme="minorEastAsia"/>
          <w:bCs/>
          <w:sz w:val="24"/>
        </w:rPr>
        <w:t>根据《</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bCs/>
          <w:sz w:val="24"/>
        </w:rPr>
        <w:t>生态环境分区管控分析报告》，本项目与环境管控单元叠加图见附件</w:t>
      </w:r>
      <w:r w:rsidR="00FE4617" w:rsidRPr="00FC1444">
        <w:rPr>
          <w:rFonts w:eastAsiaTheme="minorEastAsia" w:hint="eastAsia"/>
          <w:bCs/>
          <w:sz w:val="24"/>
        </w:rPr>
        <w:t>5</w:t>
      </w:r>
      <w:r w:rsidRPr="00FC1444">
        <w:rPr>
          <w:rFonts w:eastAsiaTheme="minorEastAsia"/>
          <w:bCs/>
          <w:sz w:val="24"/>
        </w:rPr>
        <w:t>。</w:t>
      </w:r>
    </w:p>
    <w:p w:rsidR="002A5A5E" w:rsidRPr="00FC1444" w:rsidRDefault="009840DD">
      <w:pPr>
        <w:autoSpaceDE w:val="0"/>
        <w:autoSpaceDN w:val="0"/>
        <w:spacing w:line="360" w:lineRule="auto"/>
        <w:ind w:firstLineChars="200" w:firstLine="480"/>
        <w:jc w:val="left"/>
        <w:rPr>
          <w:rFonts w:eastAsiaTheme="minorEastAsia"/>
          <w:bCs/>
          <w:sz w:val="24"/>
        </w:rPr>
      </w:pPr>
      <w:r w:rsidRPr="00FC1444">
        <w:rPr>
          <w:rFonts w:eastAsiaTheme="minorEastAsia"/>
          <w:bCs/>
          <w:sz w:val="24"/>
        </w:rPr>
        <w:fldChar w:fldCharType="begin"/>
      </w:r>
      <w:r w:rsidR="00611CBA" w:rsidRPr="00FC1444">
        <w:rPr>
          <w:rFonts w:eastAsiaTheme="minorEastAsia"/>
          <w:bCs/>
          <w:sz w:val="24"/>
        </w:rPr>
        <w:instrText xml:space="preserve"> = 2 \* GB3 </w:instrText>
      </w:r>
      <w:r w:rsidRPr="00FC1444">
        <w:rPr>
          <w:rFonts w:eastAsiaTheme="minorEastAsia"/>
          <w:bCs/>
          <w:sz w:val="24"/>
        </w:rPr>
        <w:fldChar w:fldCharType="separate"/>
      </w:r>
      <w:r w:rsidR="00611CBA" w:rsidRPr="00FC1444">
        <w:rPr>
          <w:rFonts w:ascii="宋体" w:hAnsi="宋体" w:cs="宋体" w:hint="eastAsia"/>
          <w:bCs/>
          <w:sz w:val="24"/>
        </w:rPr>
        <w:t>②</w:t>
      </w:r>
      <w:r w:rsidRPr="00FC1444">
        <w:rPr>
          <w:rFonts w:eastAsiaTheme="minorEastAsia"/>
          <w:bCs/>
          <w:sz w:val="24"/>
        </w:rPr>
        <w:fldChar w:fldCharType="end"/>
      </w:r>
      <w:r w:rsidR="00611CBA" w:rsidRPr="00FC1444">
        <w:rPr>
          <w:rFonts w:eastAsiaTheme="minorEastAsia"/>
          <w:bCs/>
          <w:sz w:val="24"/>
        </w:rPr>
        <w:t>一表</w:t>
      </w:r>
    </w:p>
    <w:p w:rsidR="002A5A5E" w:rsidRPr="00FC1444" w:rsidRDefault="00611CBA">
      <w:pPr>
        <w:autoSpaceDE w:val="0"/>
        <w:autoSpaceDN w:val="0"/>
        <w:spacing w:line="360" w:lineRule="auto"/>
        <w:ind w:firstLineChars="200" w:firstLine="480"/>
        <w:jc w:val="left"/>
        <w:rPr>
          <w:rFonts w:eastAsiaTheme="minorEastAsia"/>
          <w:bCs/>
          <w:sz w:val="24"/>
        </w:rPr>
      </w:pPr>
      <w:r w:rsidRPr="00FC1444">
        <w:rPr>
          <w:rFonts w:eastAsiaTheme="minorEastAsia"/>
          <w:bCs/>
          <w:sz w:val="24"/>
        </w:rPr>
        <w:t>根据《</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bCs/>
          <w:sz w:val="24"/>
        </w:rPr>
        <w:t>生态环境分区管控分析报告》可知，本项目与环境管控单元符合性分析：</w:t>
      </w:r>
    </w:p>
    <w:p w:rsidR="002A5A5E" w:rsidRPr="00FC1444" w:rsidRDefault="00611CBA">
      <w:pPr>
        <w:contextualSpacing/>
        <w:jc w:val="center"/>
        <w:rPr>
          <w:rFonts w:eastAsiaTheme="minorEastAsia"/>
          <w:b/>
          <w:szCs w:val="21"/>
          <w:lang w:val="zh-CN"/>
        </w:rPr>
      </w:pPr>
      <w:r w:rsidRPr="00FC1444">
        <w:rPr>
          <w:rFonts w:eastAsiaTheme="minorEastAsia"/>
          <w:b/>
          <w:szCs w:val="21"/>
          <w:lang w:val="zh-CN"/>
        </w:rPr>
        <w:t>表</w:t>
      </w:r>
      <w:r w:rsidRPr="00FC1444">
        <w:rPr>
          <w:rFonts w:eastAsiaTheme="minorEastAsia"/>
          <w:b/>
          <w:szCs w:val="21"/>
          <w:lang w:val="zh-CN"/>
        </w:rPr>
        <w:t>1-4-4</w:t>
      </w:r>
      <w:r w:rsidRPr="00FC1444">
        <w:rPr>
          <w:rFonts w:eastAsiaTheme="minorEastAsia"/>
          <w:b/>
          <w:bCs/>
          <w:szCs w:val="21"/>
        </w:rPr>
        <w:t>生态环境准入清单管控</w:t>
      </w:r>
      <w:r w:rsidRPr="00FC1444">
        <w:rPr>
          <w:rFonts w:eastAsiaTheme="minorEastAsia"/>
          <w:b/>
          <w:szCs w:val="21"/>
          <w:lang w:val="zh-CN"/>
        </w:rPr>
        <w:t>要求符合性分析</w:t>
      </w:r>
    </w:p>
    <w:tbl>
      <w:tblPr>
        <w:tblW w:w="8435"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668"/>
        <w:gridCol w:w="706"/>
        <w:gridCol w:w="714"/>
        <w:gridCol w:w="415"/>
        <w:gridCol w:w="3979"/>
        <w:gridCol w:w="1953"/>
      </w:tblGrid>
      <w:tr w:rsidR="002A5A5E" w:rsidRPr="00FC1444" w:rsidTr="00542FC5">
        <w:trPr>
          <w:trHeight w:val="166"/>
        </w:trPr>
        <w:tc>
          <w:tcPr>
            <w:tcW w:w="668" w:type="dxa"/>
            <w:vAlign w:val="center"/>
          </w:tcPr>
          <w:p w:rsidR="002A5A5E" w:rsidRPr="00FC1444" w:rsidRDefault="00611CBA">
            <w:pPr>
              <w:widowControl/>
              <w:spacing w:line="0" w:lineRule="atLeast"/>
              <w:contextualSpacing/>
              <w:jc w:val="center"/>
              <w:rPr>
                <w:rFonts w:eastAsiaTheme="minorEastAsia"/>
                <w:kern w:val="0"/>
                <w:szCs w:val="21"/>
              </w:rPr>
            </w:pPr>
            <w:r w:rsidRPr="00FC1444">
              <w:rPr>
                <w:rFonts w:eastAsiaTheme="minorEastAsia"/>
                <w:kern w:val="0"/>
                <w:szCs w:val="21"/>
              </w:rPr>
              <w:t>环境管控单元编码</w:t>
            </w:r>
          </w:p>
        </w:tc>
        <w:tc>
          <w:tcPr>
            <w:tcW w:w="706" w:type="dxa"/>
            <w:vAlign w:val="center"/>
          </w:tcPr>
          <w:p w:rsidR="002A5A5E" w:rsidRPr="00FC1444" w:rsidRDefault="00611CBA">
            <w:pPr>
              <w:widowControl/>
              <w:spacing w:line="0" w:lineRule="atLeast"/>
              <w:contextualSpacing/>
              <w:jc w:val="center"/>
              <w:rPr>
                <w:rFonts w:eastAsiaTheme="minorEastAsia"/>
                <w:kern w:val="0"/>
                <w:szCs w:val="21"/>
              </w:rPr>
            </w:pPr>
            <w:r w:rsidRPr="00FC1444">
              <w:rPr>
                <w:rFonts w:eastAsiaTheme="minorEastAsia"/>
                <w:kern w:val="0"/>
                <w:szCs w:val="21"/>
              </w:rPr>
              <w:t>环境管控单元名称</w:t>
            </w:r>
          </w:p>
        </w:tc>
        <w:tc>
          <w:tcPr>
            <w:tcW w:w="714" w:type="dxa"/>
            <w:vAlign w:val="center"/>
          </w:tcPr>
          <w:p w:rsidR="002A5A5E" w:rsidRPr="00FC1444" w:rsidRDefault="00611CBA">
            <w:pPr>
              <w:spacing w:line="0" w:lineRule="atLeast"/>
              <w:contextualSpacing/>
              <w:jc w:val="center"/>
              <w:rPr>
                <w:rFonts w:eastAsiaTheme="minorEastAsia"/>
                <w:spacing w:val="-3"/>
                <w:kern w:val="0"/>
                <w:szCs w:val="21"/>
                <w:lang w:val="zh-CN" w:bidi="zh-CN"/>
              </w:rPr>
            </w:pPr>
            <w:r w:rsidRPr="00FC1444">
              <w:rPr>
                <w:rFonts w:eastAsiaTheme="minorEastAsia"/>
                <w:szCs w:val="21"/>
              </w:rPr>
              <w:t>管控单元类别</w:t>
            </w:r>
          </w:p>
        </w:tc>
        <w:tc>
          <w:tcPr>
            <w:tcW w:w="4394" w:type="dxa"/>
            <w:gridSpan w:val="2"/>
            <w:vAlign w:val="center"/>
          </w:tcPr>
          <w:p w:rsidR="002A5A5E" w:rsidRPr="00FC1444" w:rsidRDefault="00611CBA">
            <w:pPr>
              <w:spacing w:line="0" w:lineRule="atLeast"/>
              <w:contextualSpacing/>
              <w:jc w:val="center"/>
              <w:rPr>
                <w:rFonts w:eastAsiaTheme="minorEastAsia"/>
                <w:spacing w:val="-3"/>
                <w:kern w:val="0"/>
                <w:szCs w:val="21"/>
                <w:lang w:val="zh-CN" w:bidi="zh-CN"/>
              </w:rPr>
            </w:pPr>
            <w:r w:rsidRPr="00FC1444">
              <w:rPr>
                <w:rFonts w:eastAsiaTheme="minorEastAsia"/>
                <w:spacing w:val="-3"/>
                <w:kern w:val="0"/>
                <w:szCs w:val="21"/>
                <w:lang w:bidi="zh-CN"/>
              </w:rPr>
              <w:t>管控要求</w:t>
            </w:r>
          </w:p>
        </w:tc>
        <w:tc>
          <w:tcPr>
            <w:tcW w:w="1953" w:type="dxa"/>
            <w:vAlign w:val="center"/>
          </w:tcPr>
          <w:p w:rsidR="002A5A5E" w:rsidRPr="00FC1444" w:rsidRDefault="00611CBA">
            <w:pPr>
              <w:spacing w:line="0" w:lineRule="atLeast"/>
              <w:contextualSpacing/>
              <w:jc w:val="center"/>
              <w:rPr>
                <w:rFonts w:eastAsiaTheme="minorEastAsia"/>
                <w:spacing w:val="-3"/>
                <w:kern w:val="0"/>
                <w:szCs w:val="21"/>
                <w:lang w:val="zh-CN" w:bidi="zh-CN"/>
              </w:rPr>
            </w:pPr>
            <w:r w:rsidRPr="00FC1444">
              <w:rPr>
                <w:rFonts w:eastAsiaTheme="minorEastAsia"/>
                <w:spacing w:val="-3"/>
                <w:kern w:val="0"/>
                <w:szCs w:val="21"/>
                <w:lang w:bidi="zh-CN"/>
              </w:rPr>
              <w:t>符合性分析</w:t>
            </w:r>
          </w:p>
        </w:tc>
      </w:tr>
      <w:tr w:rsidR="002A5A5E" w:rsidRPr="00FC1444" w:rsidTr="00542FC5">
        <w:trPr>
          <w:trHeight w:val="2343"/>
        </w:trPr>
        <w:tc>
          <w:tcPr>
            <w:tcW w:w="668" w:type="dxa"/>
            <w:vMerge w:val="restart"/>
            <w:vAlign w:val="center"/>
          </w:tcPr>
          <w:p w:rsidR="002A5A5E" w:rsidRPr="00FC1444" w:rsidRDefault="00542FC5">
            <w:pPr>
              <w:spacing w:line="0" w:lineRule="atLeast"/>
              <w:contextualSpacing/>
              <w:jc w:val="center"/>
              <w:rPr>
                <w:rFonts w:eastAsiaTheme="minorEastAsia"/>
                <w:kern w:val="0"/>
                <w:szCs w:val="21"/>
              </w:rPr>
            </w:pPr>
            <w:r w:rsidRPr="00FC1444">
              <w:t>ZH23120220002</w:t>
            </w:r>
          </w:p>
        </w:tc>
        <w:tc>
          <w:tcPr>
            <w:tcW w:w="706" w:type="dxa"/>
            <w:vMerge w:val="restart"/>
            <w:vAlign w:val="center"/>
          </w:tcPr>
          <w:p w:rsidR="002A5A5E" w:rsidRPr="00FC1444" w:rsidRDefault="005511F0">
            <w:pPr>
              <w:spacing w:line="0" w:lineRule="atLeast"/>
              <w:contextualSpacing/>
              <w:jc w:val="center"/>
              <w:rPr>
                <w:rFonts w:eastAsiaTheme="minorEastAsia"/>
                <w:kern w:val="0"/>
                <w:szCs w:val="21"/>
              </w:rPr>
            </w:pPr>
            <w:r w:rsidRPr="00FC1444">
              <w:rPr>
                <w:rFonts w:eastAsiaTheme="minorEastAsia"/>
                <w:szCs w:val="21"/>
              </w:rPr>
              <w:t>北林</w:t>
            </w:r>
            <w:r w:rsidR="00611CBA" w:rsidRPr="00FC1444">
              <w:rPr>
                <w:rFonts w:eastAsiaTheme="minorEastAsia"/>
                <w:szCs w:val="21"/>
              </w:rPr>
              <w:t>区城镇空间</w:t>
            </w:r>
          </w:p>
        </w:tc>
        <w:tc>
          <w:tcPr>
            <w:tcW w:w="714" w:type="dxa"/>
            <w:vMerge w:val="restar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重点管控单元</w:t>
            </w:r>
          </w:p>
        </w:tc>
        <w:tc>
          <w:tcPr>
            <w:tcW w:w="415" w:type="dxa"/>
            <w:vAlign w:val="center"/>
          </w:tcPr>
          <w:p w:rsidR="002A5A5E" w:rsidRPr="00FC1444" w:rsidRDefault="00611CBA">
            <w:pPr>
              <w:spacing w:line="0" w:lineRule="atLeast"/>
              <w:contextualSpacing/>
              <w:jc w:val="center"/>
              <w:rPr>
                <w:rFonts w:eastAsiaTheme="minorEastAsia"/>
                <w:spacing w:val="-3"/>
                <w:kern w:val="0"/>
                <w:szCs w:val="21"/>
                <w:lang w:bidi="zh-CN"/>
              </w:rPr>
            </w:pPr>
            <w:r w:rsidRPr="00FC1444">
              <w:rPr>
                <w:rFonts w:eastAsiaTheme="minorEastAsia"/>
                <w:szCs w:val="21"/>
              </w:rPr>
              <w:t>空间布局约束</w:t>
            </w:r>
          </w:p>
        </w:tc>
        <w:tc>
          <w:tcPr>
            <w:tcW w:w="3979" w:type="dxa"/>
            <w:vAlign w:val="center"/>
          </w:tcPr>
          <w:p w:rsidR="002A5A5E" w:rsidRPr="00FC1444" w:rsidRDefault="00611CBA">
            <w:pPr>
              <w:rPr>
                <w:rFonts w:eastAsiaTheme="minorEastAsia"/>
                <w:kern w:val="0"/>
                <w:sz w:val="24"/>
              </w:rPr>
            </w:pPr>
            <w:r w:rsidRPr="00FC1444">
              <w:rPr>
                <w:rFonts w:eastAsiaTheme="minorEastAsia"/>
                <w:kern w:val="0"/>
                <w:szCs w:val="21"/>
              </w:rPr>
              <w:t>1.</w:t>
            </w:r>
            <w:r w:rsidRPr="00FC1444">
              <w:rPr>
                <w:rFonts w:eastAsiaTheme="minorEastAsia"/>
                <w:kern w:val="0"/>
                <w:szCs w:val="21"/>
              </w:rPr>
              <w:t>严禁在人口密集区新建危险化学品生产项目，城镇人口密集区危险化学品生产企业应搬迁改造。</w:t>
            </w:r>
            <w:r w:rsidRPr="00FC1444">
              <w:rPr>
                <w:rFonts w:eastAsiaTheme="minorEastAsia"/>
                <w:kern w:val="0"/>
                <w:szCs w:val="21"/>
              </w:rPr>
              <w:t>2.</w:t>
            </w:r>
            <w:r w:rsidRPr="00FC1444">
              <w:rPr>
                <w:rFonts w:eastAsiaTheme="minorEastAsia"/>
                <w:kern w:val="0"/>
                <w:szCs w:val="21"/>
              </w:rPr>
              <w:t>禁止在城镇居民区、文化教育科学研究区等人口集中区域建设畜禽养殖场、养殖小区。</w:t>
            </w:r>
            <w:r w:rsidR="00542FC5" w:rsidRPr="00FC1444">
              <w:t>大气环境布局敏感重点管控区同时执行</w:t>
            </w:r>
            <w:r w:rsidR="00542FC5" w:rsidRPr="00FC1444">
              <w:t>1.</w:t>
            </w:r>
            <w:r w:rsidR="00542FC5" w:rsidRPr="00FC1444">
              <w:t>严控</w:t>
            </w:r>
            <w:r w:rsidR="00542FC5" w:rsidRPr="00FC1444">
              <w:t>“</w:t>
            </w:r>
            <w:r w:rsidR="00542FC5" w:rsidRPr="00FC1444">
              <w:t>两高</w:t>
            </w:r>
            <w:r w:rsidR="00542FC5" w:rsidRPr="00FC1444">
              <w:t>”</w:t>
            </w:r>
            <w:r w:rsidR="00542FC5" w:rsidRPr="00FC1444">
              <w:t>行业产能。严格执行钢铁、水泥、平板玻璃等行业产能置换实施办法。</w:t>
            </w:r>
            <w:r w:rsidR="00542FC5" w:rsidRPr="00FC1444">
              <w:t>2.</w:t>
            </w:r>
            <w:r w:rsidR="00542FC5" w:rsidRPr="00FC1444">
              <w:t>利用水泥窑协同处置城市生活垃圾、危险废弃物、电石渣等固废伴生水泥项目，必须依托现有新型干法水泥熟料生产线进</w:t>
            </w:r>
            <w:r w:rsidR="00542FC5" w:rsidRPr="00FC1444">
              <w:t xml:space="preserve"> </w:t>
            </w:r>
            <w:r w:rsidR="00542FC5" w:rsidRPr="00FC1444">
              <w:t>行不扩产能改造</w:t>
            </w:r>
            <w:r w:rsidRPr="00FC1444">
              <w:rPr>
                <w:rFonts w:eastAsiaTheme="minorEastAsia"/>
                <w:kern w:val="0"/>
                <w:szCs w:val="21"/>
              </w:rPr>
              <w:t>。</w:t>
            </w:r>
          </w:p>
        </w:tc>
        <w:tc>
          <w:tcPr>
            <w:tcW w:w="1953" w:type="dxa"/>
            <w:vAlign w:val="center"/>
          </w:tcPr>
          <w:p w:rsidR="002A5A5E" w:rsidRPr="00FC1444" w:rsidRDefault="00611CBA">
            <w:pPr>
              <w:spacing w:line="0" w:lineRule="atLeast"/>
              <w:contextualSpacing/>
              <w:jc w:val="left"/>
              <w:rPr>
                <w:rFonts w:eastAsiaTheme="minorEastAsia"/>
                <w:spacing w:val="-3"/>
                <w:kern w:val="0"/>
                <w:szCs w:val="21"/>
                <w:lang w:bidi="zh-CN"/>
              </w:rPr>
            </w:pPr>
            <w:r w:rsidRPr="00FC1444">
              <w:rPr>
                <w:rFonts w:eastAsiaTheme="minorEastAsia"/>
                <w:spacing w:val="-3"/>
                <w:kern w:val="0"/>
                <w:szCs w:val="21"/>
                <w:lang w:bidi="zh-CN"/>
              </w:rPr>
              <w:t>本项目不涉及。</w:t>
            </w:r>
          </w:p>
        </w:tc>
      </w:tr>
      <w:tr w:rsidR="008D6792" w:rsidRPr="00FC1444" w:rsidTr="00542FC5">
        <w:trPr>
          <w:trHeight w:val="1351"/>
        </w:trPr>
        <w:tc>
          <w:tcPr>
            <w:tcW w:w="668" w:type="dxa"/>
            <w:vMerge/>
            <w:vAlign w:val="center"/>
          </w:tcPr>
          <w:p w:rsidR="008D6792" w:rsidRPr="00FC1444" w:rsidRDefault="008D6792">
            <w:pPr>
              <w:spacing w:line="0" w:lineRule="atLeast"/>
              <w:contextualSpacing/>
              <w:jc w:val="center"/>
              <w:rPr>
                <w:rFonts w:eastAsiaTheme="minorEastAsia"/>
                <w:szCs w:val="21"/>
              </w:rPr>
            </w:pPr>
          </w:p>
        </w:tc>
        <w:tc>
          <w:tcPr>
            <w:tcW w:w="706" w:type="dxa"/>
            <w:vMerge/>
            <w:vAlign w:val="center"/>
          </w:tcPr>
          <w:p w:rsidR="008D6792" w:rsidRPr="00FC1444" w:rsidRDefault="008D6792">
            <w:pPr>
              <w:spacing w:line="0" w:lineRule="atLeast"/>
              <w:contextualSpacing/>
              <w:jc w:val="center"/>
              <w:rPr>
                <w:rFonts w:eastAsiaTheme="minorEastAsia"/>
                <w:szCs w:val="21"/>
              </w:rPr>
            </w:pPr>
          </w:p>
        </w:tc>
        <w:tc>
          <w:tcPr>
            <w:tcW w:w="714" w:type="dxa"/>
            <w:vMerge/>
            <w:vAlign w:val="center"/>
          </w:tcPr>
          <w:p w:rsidR="008D6792" w:rsidRPr="00FC1444" w:rsidRDefault="008D6792">
            <w:pPr>
              <w:spacing w:line="0" w:lineRule="atLeast"/>
              <w:contextualSpacing/>
              <w:jc w:val="center"/>
              <w:rPr>
                <w:rFonts w:eastAsiaTheme="minorEastAsia"/>
                <w:szCs w:val="21"/>
              </w:rPr>
            </w:pPr>
          </w:p>
        </w:tc>
        <w:tc>
          <w:tcPr>
            <w:tcW w:w="415" w:type="dxa"/>
            <w:vAlign w:val="center"/>
          </w:tcPr>
          <w:p w:rsidR="008D6792" w:rsidRPr="00FC1444" w:rsidRDefault="008D6792">
            <w:pPr>
              <w:spacing w:line="0" w:lineRule="atLeast"/>
              <w:contextualSpacing/>
              <w:jc w:val="center"/>
              <w:rPr>
                <w:rFonts w:eastAsiaTheme="minorEastAsia"/>
                <w:szCs w:val="21"/>
              </w:rPr>
            </w:pPr>
            <w:r w:rsidRPr="00FC1444">
              <w:rPr>
                <w:rFonts w:eastAsiaTheme="minorEastAsia"/>
                <w:spacing w:val="-3"/>
                <w:kern w:val="0"/>
                <w:szCs w:val="21"/>
                <w:lang w:bidi="zh-CN"/>
              </w:rPr>
              <w:t>污染物排放管控</w:t>
            </w:r>
          </w:p>
        </w:tc>
        <w:tc>
          <w:tcPr>
            <w:tcW w:w="3979" w:type="dxa"/>
            <w:vAlign w:val="center"/>
          </w:tcPr>
          <w:p w:rsidR="008D6792" w:rsidRPr="00FC1444" w:rsidRDefault="008D6792" w:rsidP="00EB1639">
            <w:pPr>
              <w:rPr>
                <w:rFonts w:eastAsiaTheme="minorEastAsia"/>
                <w:kern w:val="0"/>
                <w:szCs w:val="21"/>
              </w:rPr>
            </w:pPr>
            <w:r w:rsidRPr="00FC1444">
              <w:t>1.</w:t>
            </w:r>
            <w:r w:rsidRPr="00FC1444">
              <w:t>城市建成区和工业园区内新建、改扩建项目废气污染物二氧化硫、氮氧化物、细颗粒物排放总量应等量置换。</w:t>
            </w:r>
            <w:r w:rsidRPr="00FC1444">
              <w:t>2.</w:t>
            </w:r>
            <w:r w:rsidRPr="00FC1444">
              <w:t>执行：加快</w:t>
            </w:r>
            <w:r w:rsidRPr="00FC1444">
              <w:t>65t</w:t>
            </w:r>
            <w:r w:rsidRPr="00FC1444">
              <w:rPr>
                <w:rFonts w:hint="eastAsia"/>
              </w:rPr>
              <w:t>/</w:t>
            </w:r>
            <w:r w:rsidRPr="00FC1444">
              <w:t>h</w:t>
            </w:r>
            <w:r w:rsidRPr="00FC1444">
              <w:t>以上燃煤锅炉（含电力）超低排放改造。</w:t>
            </w:r>
            <w:r w:rsidRPr="00FC1444">
              <w:t>3.</w:t>
            </w:r>
            <w:r w:rsidRPr="00FC1444">
              <w:t>大气环境布局敏感重点管控区同时执行（</w:t>
            </w:r>
            <w:r w:rsidRPr="00FC1444">
              <w:t>1</w:t>
            </w:r>
            <w:r w:rsidRPr="00FC1444">
              <w:t>）对以煤、石焦油、渣油、重油等为燃料的锅炉和工业炉窑，加快使用清洁低碳能源以及工厂余热、电力热力等进行替代。（</w:t>
            </w:r>
            <w:r w:rsidRPr="00FC1444">
              <w:t>2</w:t>
            </w:r>
            <w:r w:rsidRPr="00FC1444">
              <w:t>）到</w:t>
            </w:r>
            <w:r w:rsidRPr="00FC1444">
              <w:t>2025</w:t>
            </w:r>
            <w:r w:rsidRPr="00FC1444">
              <w:t>年，在用</w:t>
            </w:r>
            <w:r w:rsidRPr="00FC1444">
              <w:t>65</w:t>
            </w:r>
            <w:r w:rsidRPr="00FC1444">
              <w:t>蒸吨</w:t>
            </w:r>
            <w:r w:rsidRPr="00FC1444">
              <w:t>/</w:t>
            </w:r>
            <w:r w:rsidRPr="00FC1444">
              <w:t>小时以上的燃煤锅炉（含电力）实现超低排放，钢铁企业基本实现超低排放。</w:t>
            </w:r>
          </w:p>
        </w:tc>
        <w:tc>
          <w:tcPr>
            <w:tcW w:w="1953" w:type="dxa"/>
            <w:vAlign w:val="center"/>
          </w:tcPr>
          <w:p w:rsidR="008D6792" w:rsidRPr="00FC1444" w:rsidRDefault="008D6792" w:rsidP="00EB1639">
            <w:pPr>
              <w:spacing w:line="0" w:lineRule="atLeast"/>
              <w:contextualSpacing/>
              <w:jc w:val="left"/>
              <w:rPr>
                <w:rFonts w:eastAsiaTheme="minorEastAsia"/>
                <w:spacing w:val="-3"/>
                <w:kern w:val="0"/>
                <w:szCs w:val="21"/>
                <w:lang w:bidi="zh-CN"/>
              </w:rPr>
            </w:pPr>
            <w:r w:rsidRPr="00FC1444">
              <w:rPr>
                <w:rFonts w:eastAsiaTheme="minorEastAsia"/>
                <w:spacing w:val="-3"/>
                <w:kern w:val="0"/>
                <w:szCs w:val="21"/>
                <w:lang w:bidi="zh-CN"/>
              </w:rPr>
              <w:t>本项目为高标准农田建设项目，</w:t>
            </w:r>
            <w:r w:rsidR="0055080F" w:rsidRPr="00FC1444">
              <w:rPr>
                <w:rFonts w:eastAsiaTheme="minorEastAsia"/>
                <w:spacing w:val="-3"/>
                <w:kern w:val="0"/>
                <w:szCs w:val="21"/>
                <w:lang w:bidi="zh-CN"/>
              </w:rPr>
              <w:t>建设地点</w:t>
            </w:r>
            <w:r w:rsidR="0055080F" w:rsidRPr="00FC1444">
              <w:rPr>
                <w:rFonts w:eastAsiaTheme="minorEastAsia" w:hint="eastAsia"/>
                <w:spacing w:val="-3"/>
                <w:kern w:val="0"/>
                <w:szCs w:val="21"/>
                <w:lang w:bidi="zh-CN"/>
              </w:rPr>
              <w:t>不位于</w:t>
            </w:r>
            <w:r w:rsidR="0055080F" w:rsidRPr="00FC1444">
              <w:t>城市建成区和工业园区</w:t>
            </w:r>
            <w:r w:rsidR="0055080F" w:rsidRPr="00FC1444">
              <w:rPr>
                <w:rFonts w:eastAsiaTheme="minorEastAsia"/>
                <w:szCs w:val="21"/>
              </w:rPr>
              <w:t>。</w:t>
            </w:r>
            <w:r w:rsidRPr="00FC1444">
              <w:rPr>
                <w:rFonts w:eastAsiaTheme="minorEastAsia"/>
                <w:spacing w:val="-3"/>
                <w:kern w:val="0"/>
                <w:szCs w:val="21"/>
                <w:lang w:bidi="zh-CN"/>
              </w:rPr>
              <w:t>运营期排水沟仅在降水无法排出情况下采用柴油机移动泵车进行排水，使用时间较短</w:t>
            </w:r>
            <w:r w:rsidRPr="00FC1444">
              <w:rPr>
                <w:rFonts w:eastAsiaTheme="minorEastAsia"/>
                <w:szCs w:val="21"/>
              </w:rPr>
              <w:t>。不建设锅炉</w:t>
            </w:r>
            <w:r w:rsidR="0055080F" w:rsidRPr="00FC1444">
              <w:rPr>
                <w:rFonts w:eastAsiaTheme="minorEastAsia" w:hint="eastAsia"/>
                <w:szCs w:val="21"/>
              </w:rPr>
              <w:t>。</w:t>
            </w:r>
            <w:r w:rsidRPr="00FC1444">
              <w:rPr>
                <w:rFonts w:eastAsiaTheme="minorEastAsia"/>
                <w:szCs w:val="21"/>
              </w:rPr>
              <w:t>因此符合</w:t>
            </w:r>
            <w:r w:rsidRPr="00FC1444">
              <w:rPr>
                <w:rFonts w:eastAsiaTheme="minorEastAsia"/>
                <w:spacing w:val="-3"/>
                <w:kern w:val="0"/>
                <w:szCs w:val="21"/>
                <w:lang w:bidi="zh-CN"/>
              </w:rPr>
              <w:t>污染物排放管控要求</w:t>
            </w:r>
            <w:r w:rsidRPr="00FC1444">
              <w:rPr>
                <w:rFonts w:eastAsiaTheme="minorEastAsia"/>
                <w:szCs w:val="21"/>
              </w:rPr>
              <w:t>。</w:t>
            </w:r>
          </w:p>
        </w:tc>
      </w:tr>
    </w:tbl>
    <w:p w:rsidR="002A5A5E" w:rsidRPr="00FC1444" w:rsidRDefault="002A5A5E">
      <w:pPr>
        <w:rPr>
          <w:rFonts w:eastAsiaTheme="minorEastAsia"/>
        </w:rPr>
      </w:pPr>
    </w:p>
    <w:p w:rsidR="008D6792" w:rsidRPr="00FC1444" w:rsidRDefault="008D6792">
      <w:pPr>
        <w:rPr>
          <w:rFonts w:eastAsiaTheme="minorEastAsia"/>
        </w:rPr>
      </w:pPr>
    </w:p>
    <w:p w:rsidR="008D6792" w:rsidRPr="00FC1444" w:rsidRDefault="008D6792">
      <w:pPr>
        <w:rPr>
          <w:rFonts w:eastAsiaTheme="minorEastAsia"/>
        </w:rPr>
      </w:pPr>
    </w:p>
    <w:p w:rsidR="008D6792" w:rsidRPr="00FC1444" w:rsidRDefault="008D6792">
      <w:pPr>
        <w:rPr>
          <w:rFonts w:eastAsiaTheme="minorEastAsia"/>
        </w:rPr>
      </w:pPr>
    </w:p>
    <w:p w:rsidR="008D6792" w:rsidRPr="00FC1444" w:rsidRDefault="008D6792">
      <w:pPr>
        <w:rPr>
          <w:rFonts w:eastAsiaTheme="minorEastAsia"/>
        </w:rPr>
      </w:pPr>
    </w:p>
    <w:p w:rsidR="00FC7601" w:rsidRPr="00FC1444" w:rsidRDefault="00FC7601">
      <w:pPr>
        <w:rPr>
          <w:rFonts w:eastAsiaTheme="minorEastAsia"/>
        </w:rPr>
      </w:pPr>
    </w:p>
    <w:p w:rsidR="002A5A5E" w:rsidRPr="00FC1444" w:rsidRDefault="00611CBA">
      <w:pPr>
        <w:contextualSpacing/>
        <w:jc w:val="center"/>
        <w:rPr>
          <w:rFonts w:eastAsiaTheme="minorEastAsia"/>
          <w:b/>
          <w:szCs w:val="21"/>
        </w:rPr>
      </w:pPr>
      <w:r w:rsidRPr="00FC1444">
        <w:rPr>
          <w:rFonts w:eastAsiaTheme="minorEastAsia"/>
          <w:b/>
          <w:szCs w:val="21"/>
        </w:rPr>
        <w:lastRenderedPageBreak/>
        <w:t>续表</w:t>
      </w:r>
      <w:r w:rsidRPr="00FC1444">
        <w:rPr>
          <w:rFonts w:eastAsiaTheme="minorEastAsia"/>
          <w:b/>
          <w:szCs w:val="21"/>
        </w:rPr>
        <w:t>1-4-4</w:t>
      </w:r>
      <w:r w:rsidRPr="00FC1444">
        <w:rPr>
          <w:rFonts w:eastAsiaTheme="minorEastAsia"/>
          <w:b/>
          <w:bCs/>
          <w:szCs w:val="21"/>
        </w:rPr>
        <w:t>生态环境准入清单管控</w:t>
      </w:r>
      <w:r w:rsidRPr="00FC1444">
        <w:rPr>
          <w:rFonts w:eastAsiaTheme="minorEastAsia"/>
          <w:b/>
          <w:szCs w:val="21"/>
          <w:lang w:val="zh-CN"/>
        </w:rPr>
        <w:t>要求符合性分析</w:t>
      </w:r>
    </w:p>
    <w:tbl>
      <w:tblPr>
        <w:tblW w:w="8435"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668"/>
        <w:gridCol w:w="706"/>
        <w:gridCol w:w="706"/>
        <w:gridCol w:w="423"/>
        <w:gridCol w:w="4121"/>
        <w:gridCol w:w="1811"/>
      </w:tblGrid>
      <w:tr w:rsidR="008D6792" w:rsidRPr="00FC1444" w:rsidTr="008D6792">
        <w:trPr>
          <w:trHeight w:val="2261"/>
        </w:trPr>
        <w:tc>
          <w:tcPr>
            <w:tcW w:w="668" w:type="dxa"/>
            <w:vMerge w:val="restart"/>
            <w:vAlign w:val="center"/>
          </w:tcPr>
          <w:p w:rsidR="008D6792" w:rsidRPr="00FC1444" w:rsidRDefault="008D6792">
            <w:pPr>
              <w:spacing w:line="0" w:lineRule="atLeast"/>
              <w:contextualSpacing/>
              <w:jc w:val="center"/>
              <w:rPr>
                <w:rFonts w:eastAsiaTheme="minorEastAsia"/>
                <w:kern w:val="0"/>
                <w:szCs w:val="21"/>
              </w:rPr>
            </w:pPr>
            <w:r w:rsidRPr="00FC1444">
              <w:rPr>
                <w:rFonts w:eastAsiaTheme="minorEastAsia"/>
                <w:szCs w:val="21"/>
              </w:rPr>
              <w:t>ZH23011120003</w:t>
            </w:r>
          </w:p>
        </w:tc>
        <w:tc>
          <w:tcPr>
            <w:tcW w:w="706" w:type="dxa"/>
            <w:vMerge w:val="restart"/>
            <w:vAlign w:val="center"/>
          </w:tcPr>
          <w:p w:rsidR="008D6792" w:rsidRPr="00FC1444" w:rsidRDefault="008D6792">
            <w:pPr>
              <w:spacing w:line="0" w:lineRule="atLeast"/>
              <w:contextualSpacing/>
              <w:jc w:val="center"/>
              <w:rPr>
                <w:rFonts w:eastAsiaTheme="minorEastAsia"/>
                <w:kern w:val="0"/>
                <w:szCs w:val="21"/>
              </w:rPr>
            </w:pPr>
            <w:r w:rsidRPr="00FC1444">
              <w:rPr>
                <w:rFonts w:eastAsiaTheme="minorEastAsia"/>
                <w:szCs w:val="21"/>
              </w:rPr>
              <w:t>北林区城镇空间</w:t>
            </w:r>
          </w:p>
        </w:tc>
        <w:tc>
          <w:tcPr>
            <w:tcW w:w="706" w:type="dxa"/>
            <w:vMerge w:val="restart"/>
            <w:vAlign w:val="center"/>
          </w:tcPr>
          <w:p w:rsidR="008D6792" w:rsidRPr="00FC1444" w:rsidRDefault="008D6792">
            <w:pPr>
              <w:spacing w:line="0" w:lineRule="atLeast"/>
              <w:contextualSpacing/>
              <w:jc w:val="center"/>
              <w:rPr>
                <w:rFonts w:eastAsiaTheme="minorEastAsia"/>
                <w:szCs w:val="21"/>
              </w:rPr>
            </w:pPr>
            <w:r w:rsidRPr="00FC1444">
              <w:rPr>
                <w:rFonts w:eastAsiaTheme="minorEastAsia"/>
                <w:szCs w:val="21"/>
              </w:rPr>
              <w:t>重点管控单元</w:t>
            </w:r>
          </w:p>
        </w:tc>
        <w:tc>
          <w:tcPr>
            <w:tcW w:w="423" w:type="dxa"/>
            <w:vAlign w:val="center"/>
          </w:tcPr>
          <w:p w:rsidR="008D6792" w:rsidRPr="00FC1444" w:rsidRDefault="008D6792" w:rsidP="00EB1639">
            <w:pPr>
              <w:spacing w:line="0" w:lineRule="atLeast"/>
              <w:contextualSpacing/>
              <w:jc w:val="center"/>
              <w:rPr>
                <w:rFonts w:eastAsiaTheme="minorEastAsia"/>
                <w:spacing w:val="-3"/>
                <w:kern w:val="0"/>
                <w:szCs w:val="21"/>
                <w:lang w:bidi="zh-CN"/>
              </w:rPr>
            </w:pPr>
            <w:r w:rsidRPr="00FC1444">
              <w:rPr>
                <w:rFonts w:eastAsiaTheme="minorEastAsia"/>
                <w:spacing w:val="-3"/>
                <w:kern w:val="0"/>
                <w:szCs w:val="21"/>
                <w:lang w:bidi="zh-CN"/>
              </w:rPr>
              <w:t>环境风险防控</w:t>
            </w:r>
          </w:p>
        </w:tc>
        <w:tc>
          <w:tcPr>
            <w:tcW w:w="4121" w:type="dxa"/>
            <w:vAlign w:val="center"/>
          </w:tcPr>
          <w:p w:rsidR="008D6792" w:rsidRPr="00FC1444" w:rsidRDefault="008D6792" w:rsidP="00EB1639">
            <w:pPr>
              <w:jc w:val="left"/>
              <w:rPr>
                <w:rFonts w:eastAsiaTheme="minorEastAsia"/>
                <w:kern w:val="0"/>
                <w:szCs w:val="21"/>
              </w:rPr>
            </w:pPr>
            <w:r w:rsidRPr="00FC1444">
              <w:rPr>
                <w:rFonts w:eastAsiaTheme="minorEastAsia"/>
                <w:kern w:val="0"/>
                <w:szCs w:val="21"/>
              </w:rPr>
              <w:t>化工园区与城市建成区、人员密集场所、重要设施、敏感目标等应当保持规定的安全距离，相对封闭，不应保留常住居民，非关联企业和产业要逐步搬迁或退出，妥善防范化解</w:t>
            </w:r>
            <w:r w:rsidRPr="00FC1444">
              <w:rPr>
                <w:rFonts w:eastAsiaTheme="minorEastAsia"/>
                <w:kern w:val="0"/>
                <w:szCs w:val="21"/>
              </w:rPr>
              <w:t>“</w:t>
            </w:r>
            <w:r w:rsidRPr="00FC1444">
              <w:rPr>
                <w:rFonts w:eastAsiaTheme="minorEastAsia"/>
                <w:kern w:val="0"/>
                <w:szCs w:val="21"/>
              </w:rPr>
              <w:t>邻避</w:t>
            </w:r>
            <w:r w:rsidRPr="00FC1444">
              <w:rPr>
                <w:rFonts w:eastAsiaTheme="minorEastAsia"/>
                <w:kern w:val="0"/>
                <w:szCs w:val="21"/>
              </w:rPr>
              <w:t>”</w:t>
            </w:r>
            <w:r w:rsidRPr="00FC1444">
              <w:rPr>
                <w:rFonts w:eastAsiaTheme="minorEastAsia"/>
                <w:kern w:val="0"/>
                <w:szCs w:val="21"/>
              </w:rPr>
              <w:t>问题。严禁在松花江干流及一级支流沿岸</w:t>
            </w:r>
            <w:r w:rsidRPr="00FC1444">
              <w:rPr>
                <w:rFonts w:eastAsiaTheme="minorEastAsia"/>
                <w:kern w:val="0"/>
                <w:szCs w:val="21"/>
              </w:rPr>
              <w:t>1</w:t>
            </w:r>
            <w:r w:rsidRPr="00FC1444">
              <w:rPr>
                <w:rFonts w:eastAsiaTheme="minorEastAsia"/>
                <w:kern w:val="0"/>
                <w:szCs w:val="21"/>
              </w:rPr>
              <w:t>公里范围内布局化工园区。</w:t>
            </w:r>
            <w:r w:rsidRPr="00FC1444">
              <w:t>大气环境布局敏感重点管控区同时执行禁止在居民区、学校、医疗和养老机构等周边新建有色金属</w:t>
            </w:r>
            <w:r w:rsidRPr="00FC1444">
              <w:t xml:space="preserve"> </w:t>
            </w:r>
            <w:r w:rsidRPr="00FC1444">
              <w:t>冶炼、焦化等行业企业。</w:t>
            </w:r>
          </w:p>
        </w:tc>
        <w:tc>
          <w:tcPr>
            <w:tcW w:w="1811" w:type="dxa"/>
            <w:vAlign w:val="center"/>
          </w:tcPr>
          <w:p w:rsidR="008D6792" w:rsidRPr="00FC1444" w:rsidRDefault="008D6792" w:rsidP="00EB1639">
            <w:pPr>
              <w:spacing w:line="0" w:lineRule="atLeast"/>
              <w:contextualSpacing/>
              <w:jc w:val="left"/>
              <w:rPr>
                <w:rFonts w:eastAsiaTheme="minorEastAsia"/>
                <w:spacing w:val="-3"/>
                <w:kern w:val="0"/>
                <w:szCs w:val="21"/>
                <w:lang w:bidi="zh-CN"/>
              </w:rPr>
            </w:pPr>
            <w:r w:rsidRPr="00FC1444">
              <w:rPr>
                <w:rFonts w:eastAsiaTheme="minorEastAsia"/>
                <w:spacing w:val="-3"/>
                <w:kern w:val="0"/>
                <w:szCs w:val="21"/>
                <w:lang w:bidi="zh-CN"/>
              </w:rPr>
              <w:t>本项目不涉及。</w:t>
            </w:r>
          </w:p>
        </w:tc>
      </w:tr>
      <w:tr w:rsidR="008D6792" w:rsidRPr="00FC1444" w:rsidTr="008D6792">
        <w:trPr>
          <w:trHeight w:val="1933"/>
        </w:trPr>
        <w:tc>
          <w:tcPr>
            <w:tcW w:w="668" w:type="dxa"/>
            <w:vMerge/>
            <w:vAlign w:val="center"/>
          </w:tcPr>
          <w:p w:rsidR="008D6792" w:rsidRPr="00FC1444" w:rsidRDefault="008D6792">
            <w:pPr>
              <w:spacing w:line="0" w:lineRule="atLeast"/>
              <w:contextualSpacing/>
              <w:jc w:val="center"/>
              <w:rPr>
                <w:rFonts w:eastAsiaTheme="minorEastAsia"/>
                <w:kern w:val="0"/>
                <w:szCs w:val="21"/>
              </w:rPr>
            </w:pPr>
          </w:p>
        </w:tc>
        <w:tc>
          <w:tcPr>
            <w:tcW w:w="706" w:type="dxa"/>
            <w:vMerge/>
            <w:vAlign w:val="center"/>
          </w:tcPr>
          <w:p w:rsidR="008D6792" w:rsidRPr="00FC1444" w:rsidRDefault="008D6792">
            <w:pPr>
              <w:spacing w:line="0" w:lineRule="atLeast"/>
              <w:contextualSpacing/>
              <w:jc w:val="center"/>
              <w:rPr>
                <w:rFonts w:eastAsiaTheme="minorEastAsia"/>
                <w:kern w:val="0"/>
                <w:szCs w:val="21"/>
              </w:rPr>
            </w:pPr>
          </w:p>
        </w:tc>
        <w:tc>
          <w:tcPr>
            <w:tcW w:w="706" w:type="dxa"/>
            <w:vMerge/>
            <w:vAlign w:val="center"/>
          </w:tcPr>
          <w:p w:rsidR="008D6792" w:rsidRPr="00FC1444" w:rsidRDefault="008D6792">
            <w:pPr>
              <w:spacing w:line="0" w:lineRule="atLeast"/>
              <w:contextualSpacing/>
              <w:jc w:val="center"/>
              <w:rPr>
                <w:rFonts w:eastAsiaTheme="minorEastAsia"/>
                <w:szCs w:val="21"/>
              </w:rPr>
            </w:pPr>
          </w:p>
        </w:tc>
        <w:tc>
          <w:tcPr>
            <w:tcW w:w="423" w:type="dxa"/>
            <w:vAlign w:val="center"/>
          </w:tcPr>
          <w:p w:rsidR="008D6792" w:rsidRPr="00FC1444" w:rsidRDefault="008D6792">
            <w:pPr>
              <w:spacing w:line="0" w:lineRule="atLeast"/>
              <w:contextualSpacing/>
              <w:jc w:val="center"/>
              <w:rPr>
                <w:rFonts w:eastAsiaTheme="minorEastAsia"/>
                <w:spacing w:val="-3"/>
                <w:kern w:val="0"/>
                <w:szCs w:val="21"/>
                <w:lang w:bidi="zh-CN"/>
              </w:rPr>
            </w:pPr>
            <w:r w:rsidRPr="00FC1444">
              <w:rPr>
                <w:rFonts w:eastAsiaTheme="minorEastAsia"/>
                <w:spacing w:val="-3"/>
                <w:kern w:val="0"/>
                <w:szCs w:val="21"/>
                <w:lang w:bidi="zh-CN"/>
              </w:rPr>
              <w:t>资源开发效率</w:t>
            </w:r>
          </w:p>
        </w:tc>
        <w:tc>
          <w:tcPr>
            <w:tcW w:w="4121" w:type="dxa"/>
            <w:vAlign w:val="center"/>
          </w:tcPr>
          <w:p w:rsidR="008D6792" w:rsidRPr="00FC1444" w:rsidRDefault="008D6792">
            <w:pPr>
              <w:jc w:val="left"/>
              <w:rPr>
                <w:rFonts w:eastAsiaTheme="minorEastAsia"/>
                <w:kern w:val="0"/>
                <w:szCs w:val="21"/>
              </w:rPr>
            </w:pPr>
            <w:r w:rsidRPr="00FC1444">
              <w:rPr>
                <w:rFonts w:eastAsiaTheme="minorEastAsia"/>
                <w:kern w:val="0"/>
                <w:szCs w:val="21"/>
              </w:rPr>
              <w:t>1.</w:t>
            </w:r>
            <w:r w:rsidRPr="00FC1444">
              <w:rPr>
                <w:rFonts w:eastAsiaTheme="minorEastAsia"/>
                <w:kern w:val="0"/>
                <w:szCs w:val="21"/>
              </w:rPr>
              <w:t>推进污水再生利用设施建设。</w:t>
            </w:r>
            <w:r w:rsidRPr="00FC1444">
              <w:rPr>
                <w:rFonts w:eastAsiaTheme="minorEastAsia"/>
                <w:kern w:val="0"/>
                <w:szCs w:val="21"/>
              </w:rPr>
              <w:t>2.</w:t>
            </w:r>
            <w:r w:rsidRPr="00FC1444">
              <w:rPr>
                <w:rFonts w:eastAsiaTheme="minorEastAsia"/>
                <w:kern w:val="0"/>
                <w:szCs w:val="21"/>
              </w:rPr>
              <w:t>公共建筑必须采用节水器具，限期淘汰公共建筑中不符合节水标准的水嘴、便器水箱等生活用水器具。</w:t>
            </w:r>
            <w:r w:rsidRPr="00FC1444">
              <w:rPr>
                <w:rFonts w:eastAsiaTheme="minorEastAsia"/>
                <w:szCs w:val="21"/>
              </w:rPr>
              <w:t>高污染燃料禁燃区同</w:t>
            </w:r>
            <w:r w:rsidRPr="00FC1444">
              <w:rPr>
                <w:rFonts w:eastAsiaTheme="minorEastAsia"/>
                <w:kern w:val="0"/>
                <w:szCs w:val="21"/>
              </w:rPr>
              <w:t>时执行：</w:t>
            </w:r>
            <w:r w:rsidRPr="00FC1444">
              <w:rPr>
                <w:rFonts w:eastAsiaTheme="minorEastAsia"/>
                <w:kern w:val="0"/>
                <w:szCs w:val="21"/>
              </w:rPr>
              <w:t>1.</w:t>
            </w:r>
            <w:r w:rsidRPr="00FC1444">
              <w:rPr>
                <w:rFonts w:eastAsiaTheme="minorEastAsia"/>
                <w:kern w:val="0"/>
                <w:szCs w:val="21"/>
              </w:rPr>
              <w:t>在禁燃区内，禁止销售、燃用高污染燃料；禁止新建、扩建燃用高污染燃料的设施，已建成的，应当在城市人民政府规定的期限内改用天然气、页岩气、液化石油气、电或者其他清洁能源。</w:t>
            </w:r>
            <w:r w:rsidRPr="00FC1444">
              <w:rPr>
                <w:rFonts w:eastAsiaTheme="minorEastAsia"/>
                <w:kern w:val="0"/>
                <w:szCs w:val="21"/>
              </w:rPr>
              <w:t>2.</w:t>
            </w:r>
            <w:r w:rsidRPr="00FC1444">
              <w:rPr>
                <w:rFonts w:eastAsiaTheme="minorEastAsia"/>
                <w:kern w:val="0"/>
                <w:szCs w:val="21"/>
              </w:rPr>
              <w:t>城市建设应当统筹规划，在燃煤供热地区，推进热电联产和集中供热。在集中供热管网覆盖地区，禁止新建、扩建分散燃煤供热锅炉；已建成的不能达标排放的燃煤供热锅炉，应当在城市人民政府规定的期限内拆除。</w:t>
            </w:r>
          </w:p>
        </w:tc>
        <w:tc>
          <w:tcPr>
            <w:tcW w:w="1811" w:type="dxa"/>
            <w:vAlign w:val="center"/>
          </w:tcPr>
          <w:p w:rsidR="008D6792" w:rsidRPr="00FC1444" w:rsidRDefault="008D6792">
            <w:pPr>
              <w:spacing w:line="0" w:lineRule="atLeast"/>
              <w:contextualSpacing/>
              <w:jc w:val="left"/>
              <w:rPr>
                <w:rFonts w:eastAsiaTheme="minorEastAsia"/>
                <w:spacing w:val="-3"/>
                <w:kern w:val="0"/>
                <w:szCs w:val="21"/>
                <w:lang w:bidi="zh-CN"/>
              </w:rPr>
            </w:pPr>
            <w:r w:rsidRPr="00FC1444">
              <w:rPr>
                <w:rFonts w:eastAsiaTheme="minorEastAsia"/>
                <w:spacing w:val="-3"/>
                <w:kern w:val="0"/>
                <w:szCs w:val="21"/>
                <w:lang w:bidi="zh-CN"/>
              </w:rPr>
              <w:t>本项目运营期排水沟仅在降水无法排出情况下采用柴油机移动泵车进行排水，使用时间较短</w:t>
            </w:r>
            <w:r w:rsidRPr="00FC1444">
              <w:rPr>
                <w:rFonts w:eastAsiaTheme="minorEastAsia"/>
                <w:szCs w:val="21"/>
              </w:rPr>
              <w:t>，不建设锅炉，不在禁燃区</w:t>
            </w:r>
            <w:r w:rsidR="00A94E1F" w:rsidRPr="00FC1444">
              <w:rPr>
                <w:rFonts w:eastAsiaTheme="minorEastAsia"/>
                <w:szCs w:val="21"/>
              </w:rPr>
              <w:t>内</w:t>
            </w:r>
            <w:r w:rsidRPr="00FC1444">
              <w:rPr>
                <w:rFonts w:eastAsiaTheme="minorEastAsia"/>
                <w:szCs w:val="21"/>
              </w:rPr>
              <w:t>，因此符合</w:t>
            </w:r>
            <w:r w:rsidRPr="00FC1444">
              <w:rPr>
                <w:rFonts w:eastAsiaTheme="minorEastAsia"/>
                <w:spacing w:val="-3"/>
                <w:kern w:val="0"/>
                <w:szCs w:val="21"/>
                <w:lang w:bidi="zh-CN"/>
              </w:rPr>
              <w:t>资源开发效率管控要求</w:t>
            </w:r>
            <w:r w:rsidRPr="00FC1444">
              <w:rPr>
                <w:rFonts w:eastAsiaTheme="minorEastAsia"/>
                <w:szCs w:val="21"/>
              </w:rPr>
              <w:t>。</w:t>
            </w:r>
          </w:p>
        </w:tc>
      </w:tr>
      <w:tr w:rsidR="008D6792" w:rsidRPr="00FC1444" w:rsidTr="008D6792">
        <w:trPr>
          <w:trHeight w:val="1933"/>
        </w:trPr>
        <w:tc>
          <w:tcPr>
            <w:tcW w:w="668" w:type="dxa"/>
            <w:vMerge w:val="restart"/>
            <w:vAlign w:val="center"/>
          </w:tcPr>
          <w:p w:rsidR="008D6792" w:rsidRPr="00FC1444" w:rsidRDefault="008D6792">
            <w:pPr>
              <w:spacing w:line="0" w:lineRule="atLeast"/>
              <w:contextualSpacing/>
              <w:jc w:val="center"/>
              <w:rPr>
                <w:rFonts w:eastAsiaTheme="minorEastAsia"/>
                <w:kern w:val="0"/>
                <w:szCs w:val="21"/>
              </w:rPr>
            </w:pPr>
            <w:r w:rsidRPr="00FC1444">
              <w:rPr>
                <w:rFonts w:eastAsiaTheme="minorEastAsia"/>
                <w:kern w:val="0"/>
                <w:szCs w:val="21"/>
              </w:rPr>
              <w:t>ZH23120220003</w:t>
            </w:r>
          </w:p>
        </w:tc>
        <w:tc>
          <w:tcPr>
            <w:tcW w:w="706" w:type="dxa"/>
            <w:vMerge w:val="restart"/>
            <w:vAlign w:val="center"/>
          </w:tcPr>
          <w:p w:rsidR="008D6792" w:rsidRPr="00FC1444" w:rsidRDefault="008D6792" w:rsidP="008D6792">
            <w:pPr>
              <w:spacing w:line="0" w:lineRule="atLeast"/>
              <w:contextualSpacing/>
              <w:jc w:val="center"/>
              <w:rPr>
                <w:rFonts w:eastAsiaTheme="minorEastAsia"/>
                <w:kern w:val="0"/>
                <w:szCs w:val="21"/>
              </w:rPr>
            </w:pPr>
            <w:r w:rsidRPr="00FC1444">
              <w:rPr>
                <w:rFonts w:eastAsiaTheme="minorEastAsia" w:hint="eastAsia"/>
                <w:kern w:val="0"/>
                <w:szCs w:val="21"/>
              </w:rPr>
              <w:t>北林区大气环境布局敏</w:t>
            </w:r>
          </w:p>
          <w:p w:rsidR="008D6792" w:rsidRPr="00FC1444" w:rsidRDefault="008D6792" w:rsidP="008D6792">
            <w:pPr>
              <w:spacing w:line="0" w:lineRule="atLeast"/>
              <w:contextualSpacing/>
              <w:jc w:val="center"/>
              <w:rPr>
                <w:rFonts w:eastAsiaTheme="minorEastAsia"/>
                <w:kern w:val="0"/>
                <w:szCs w:val="21"/>
              </w:rPr>
            </w:pPr>
            <w:r w:rsidRPr="00FC1444">
              <w:rPr>
                <w:rFonts w:eastAsiaTheme="minorEastAsia" w:hint="eastAsia"/>
                <w:kern w:val="0"/>
                <w:szCs w:val="21"/>
              </w:rPr>
              <w:t>感重点管控区</w:t>
            </w:r>
          </w:p>
        </w:tc>
        <w:tc>
          <w:tcPr>
            <w:tcW w:w="706" w:type="dxa"/>
            <w:vMerge w:val="restart"/>
            <w:vAlign w:val="center"/>
          </w:tcPr>
          <w:p w:rsidR="008D6792" w:rsidRPr="00FC1444" w:rsidRDefault="008D6792">
            <w:pPr>
              <w:spacing w:line="0" w:lineRule="atLeast"/>
              <w:contextualSpacing/>
              <w:jc w:val="center"/>
              <w:rPr>
                <w:rFonts w:eastAsiaTheme="minorEastAsia"/>
                <w:szCs w:val="21"/>
              </w:rPr>
            </w:pPr>
            <w:r w:rsidRPr="00FC1444">
              <w:rPr>
                <w:rFonts w:eastAsiaTheme="minorEastAsia"/>
                <w:szCs w:val="21"/>
              </w:rPr>
              <w:t>重点管控单元</w:t>
            </w:r>
          </w:p>
        </w:tc>
        <w:tc>
          <w:tcPr>
            <w:tcW w:w="423" w:type="dxa"/>
            <w:vAlign w:val="center"/>
          </w:tcPr>
          <w:p w:rsidR="008D6792" w:rsidRPr="00FC1444" w:rsidRDefault="008D6792" w:rsidP="00EB1639">
            <w:pPr>
              <w:spacing w:line="0" w:lineRule="atLeast"/>
              <w:contextualSpacing/>
              <w:jc w:val="center"/>
              <w:rPr>
                <w:rFonts w:eastAsiaTheme="minorEastAsia"/>
                <w:spacing w:val="-3"/>
                <w:kern w:val="0"/>
                <w:szCs w:val="21"/>
                <w:lang w:bidi="zh-CN"/>
              </w:rPr>
            </w:pPr>
            <w:r w:rsidRPr="00FC1444">
              <w:rPr>
                <w:rFonts w:eastAsiaTheme="minorEastAsia"/>
                <w:szCs w:val="21"/>
              </w:rPr>
              <w:t>空间布局约束</w:t>
            </w:r>
          </w:p>
        </w:tc>
        <w:tc>
          <w:tcPr>
            <w:tcW w:w="4121" w:type="dxa"/>
            <w:vAlign w:val="center"/>
          </w:tcPr>
          <w:p w:rsidR="008D6792" w:rsidRPr="00FC1444" w:rsidRDefault="008D6792" w:rsidP="008D6792">
            <w:pPr>
              <w:jc w:val="left"/>
              <w:rPr>
                <w:rFonts w:eastAsiaTheme="minorEastAsia"/>
                <w:kern w:val="0"/>
                <w:szCs w:val="21"/>
              </w:rPr>
            </w:pPr>
            <w:r w:rsidRPr="00FC1444">
              <w:rPr>
                <w:rFonts w:eastAsiaTheme="minorEastAsia" w:hint="eastAsia"/>
                <w:kern w:val="0"/>
                <w:szCs w:val="21"/>
              </w:rPr>
              <w:t>1.</w:t>
            </w:r>
            <w:r w:rsidRPr="00FC1444">
              <w:rPr>
                <w:rFonts w:eastAsiaTheme="minorEastAsia" w:hint="eastAsia"/>
                <w:kern w:val="0"/>
                <w:szCs w:val="21"/>
              </w:rPr>
              <w:t>严控“两高”行业产能。严格执行钢铁、水泥、平板玻璃等行业产能置换实施办法。</w:t>
            </w:r>
            <w:r w:rsidRPr="00FC1444">
              <w:rPr>
                <w:rFonts w:eastAsiaTheme="minorEastAsia" w:hint="eastAsia"/>
                <w:kern w:val="0"/>
                <w:szCs w:val="21"/>
              </w:rPr>
              <w:t>2.</w:t>
            </w:r>
            <w:r w:rsidRPr="00FC1444">
              <w:rPr>
                <w:rFonts w:eastAsiaTheme="minorEastAsia" w:hint="eastAsia"/>
                <w:kern w:val="0"/>
                <w:szCs w:val="21"/>
              </w:rPr>
              <w:t>利用水泥窑协同处置城市生活垃圾、危险废弃物、电石渣等固废伴生水泥项目，必须依托现有新型干法水泥熟料生产线进行不扩产能改造。</w:t>
            </w:r>
          </w:p>
        </w:tc>
        <w:tc>
          <w:tcPr>
            <w:tcW w:w="1811" w:type="dxa"/>
            <w:vAlign w:val="center"/>
          </w:tcPr>
          <w:p w:rsidR="008D6792" w:rsidRPr="00FC1444" w:rsidRDefault="008D6792">
            <w:pPr>
              <w:spacing w:line="0" w:lineRule="atLeast"/>
              <w:contextualSpacing/>
              <w:jc w:val="left"/>
              <w:rPr>
                <w:rFonts w:eastAsiaTheme="minorEastAsia"/>
                <w:spacing w:val="-3"/>
                <w:kern w:val="0"/>
                <w:szCs w:val="21"/>
                <w:lang w:bidi="zh-CN"/>
              </w:rPr>
            </w:pPr>
            <w:r w:rsidRPr="00FC1444">
              <w:rPr>
                <w:rFonts w:eastAsiaTheme="minorEastAsia"/>
                <w:spacing w:val="-3"/>
                <w:kern w:val="0"/>
                <w:szCs w:val="21"/>
                <w:lang w:bidi="zh-CN"/>
              </w:rPr>
              <w:t>本项目不涉及。</w:t>
            </w:r>
          </w:p>
        </w:tc>
      </w:tr>
      <w:tr w:rsidR="008D6792" w:rsidRPr="00FC1444" w:rsidTr="008D6792">
        <w:trPr>
          <w:trHeight w:val="1933"/>
        </w:trPr>
        <w:tc>
          <w:tcPr>
            <w:tcW w:w="668" w:type="dxa"/>
            <w:vMerge/>
            <w:vAlign w:val="center"/>
          </w:tcPr>
          <w:p w:rsidR="008D6792" w:rsidRPr="00FC1444" w:rsidRDefault="008D6792">
            <w:pPr>
              <w:spacing w:line="0" w:lineRule="atLeast"/>
              <w:contextualSpacing/>
              <w:jc w:val="center"/>
              <w:rPr>
                <w:rFonts w:eastAsiaTheme="minorEastAsia"/>
                <w:kern w:val="0"/>
                <w:szCs w:val="21"/>
              </w:rPr>
            </w:pPr>
          </w:p>
        </w:tc>
        <w:tc>
          <w:tcPr>
            <w:tcW w:w="706" w:type="dxa"/>
            <w:vMerge/>
            <w:vAlign w:val="center"/>
          </w:tcPr>
          <w:p w:rsidR="008D6792" w:rsidRPr="00FC1444" w:rsidRDefault="008D6792" w:rsidP="008D6792">
            <w:pPr>
              <w:spacing w:line="0" w:lineRule="atLeast"/>
              <w:contextualSpacing/>
              <w:jc w:val="center"/>
              <w:rPr>
                <w:rFonts w:eastAsiaTheme="minorEastAsia"/>
                <w:kern w:val="0"/>
                <w:szCs w:val="21"/>
              </w:rPr>
            </w:pPr>
          </w:p>
        </w:tc>
        <w:tc>
          <w:tcPr>
            <w:tcW w:w="706" w:type="dxa"/>
            <w:vMerge/>
            <w:vAlign w:val="center"/>
          </w:tcPr>
          <w:p w:rsidR="008D6792" w:rsidRPr="00FC1444" w:rsidRDefault="008D6792">
            <w:pPr>
              <w:spacing w:line="0" w:lineRule="atLeast"/>
              <w:contextualSpacing/>
              <w:jc w:val="center"/>
              <w:rPr>
                <w:rFonts w:eastAsiaTheme="minorEastAsia"/>
                <w:szCs w:val="21"/>
              </w:rPr>
            </w:pPr>
          </w:p>
        </w:tc>
        <w:tc>
          <w:tcPr>
            <w:tcW w:w="423" w:type="dxa"/>
            <w:vAlign w:val="center"/>
          </w:tcPr>
          <w:p w:rsidR="008D6792" w:rsidRPr="00FC1444" w:rsidRDefault="008D6792" w:rsidP="00EB1639">
            <w:pPr>
              <w:spacing w:line="0" w:lineRule="atLeast"/>
              <w:contextualSpacing/>
              <w:jc w:val="center"/>
              <w:rPr>
                <w:rFonts w:eastAsiaTheme="minorEastAsia"/>
                <w:szCs w:val="21"/>
              </w:rPr>
            </w:pPr>
            <w:r w:rsidRPr="00FC1444">
              <w:rPr>
                <w:rFonts w:eastAsiaTheme="minorEastAsia"/>
                <w:spacing w:val="-3"/>
                <w:kern w:val="0"/>
                <w:szCs w:val="21"/>
                <w:lang w:bidi="zh-CN"/>
              </w:rPr>
              <w:t>污染物排放管控</w:t>
            </w:r>
          </w:p>
        </w:tc>
        <w:tc>
          <w:tcPr>
            <w:tcW w:w="4121" w:type="dxa"/>
            <w:vAlign w:val="center"/>
          </w:tcPr>
          <w:p w:rsidR="008D6792" w:rsidRPr="00FC1444" w:rsidRDefault="008D6792" w:rsidP="008D6792">
            <w:pPr>
              <w:jc w:val="left"/>
              <w:rPr>
                <w:rFonts w:eastAsiaTheme="minorEastAsia"/>
                <w:kern w:val="0"/>
                <w:szCs w:val="21"/>
              </w:rPr>
            </w:pPr>
            <w:r w:rsidRPr="00FC1444">
              <w:rPr>
                <w:rFonts w:eastAsiaTheme="minorEastAsia" w:hint="eastAsia"/>
                <w:kern w:val="0"/>
                <w:szCs w:val="21"/>
              </w:rPr>
              <w:t>1.</w:t>
            </w:r>
            <w:r w:rsidRPr="00FC1444">
              <w:rPr>
                <w:rFonts w:eastAsiaTheme="minorEastAsia" w:hint="eastAsia"/>
                <w:kern w:val="0"/>
                <w:szCs w:val="21"/>
              </w:rPr>
              <w:t>执行大气环境布局敏感重点管控区同时执行</w:t>
            </w:r>
            <w:r w:rsidRPr="00FC1444">
              <w:rPr>
                <w:rFonts w:eastAsiaTheme="minorEastAsia" w:hint="eastAsia"/>
                <w:kern w:val="0"/>
                <w:szCs w:val="21"/>
              </w:rPr>
              <w:t xml:space="preserve"> 1.</w:t>
            </w:r>
            <w:r w:rsidRPr="00FC1444">
              <w:rPr>
                <w:rFonts w:eastAsiaTheme="minorEastAsia" w:hint="eastAsia"/>
                <w:kern w:val="0"/>
                <w:szCs w:val="21"/>
              </w:rPr>
              <w:t>对以煤、石焦油、渣油、重油等为燃料的锅炉和工业炉窑，加快使用清洁低碳能源以及工厂余热、电力热力等进行替代。</w:t>
            </w:r>
            <w:r w:rsidRPr="00FC1444">
              <w:rPr>
                <w:rFonts w:eastAsiaTheme="minorEastAsia" w:hint="eastAsia"/>
                <w:kern w:val="0"/>
                <w:szCs w:val="21"/>
              </w:rPr>
              <w:t>2.</w:t>
            </w:r>
            <w:r w:rsidRPr="00FC1444">
              <w:rPr>
                <w:rFonts w:eastAsiaTheme="minorEastAsia" w:hint="eastAsia"/>
                <w:kern w:val="0"/>
                <w:szCs w:val="21"/>
              </w:rPr>
              <w:t>到</w:t>
            </w:r>
            <w:r w:rsidRPr="00FC1444">
              <w:rPr>
                <w:rFonts w:eastAsiaTheme="minorEastAsia" w:hint="eastAsia"/>
                <w:kern w:val="0"/>
                <w:szCs w:val="21"/>
              </w:rPr>
              <w:t>2025</w:t>
            </w:r>
            <w:r w:rsidRPr="00FC1444">
              <w:rPr>
                <w:rFonts w:eastAsiaTheme="minorEastAsia" w:hint="eastAsia"/>
                <w:kern w:val="0"/>
                <w:szCs w:val="21"/>
              </w:rPr>
              <w:t>年，在用</w:t>
            </w:r>
            <w:r w:rsidRPr="00FC1444">
              <w:rPr>
                <w:rFonts w:eastAsiaTheme="minorEastAsia" w:hint="eastAsia"/>
                <w:kern w:val="0"/>
                <w:szCs w:val="21"/>
              </w:rPr>
              <w:t>65</w:t>
            </w:r>
            <w:r w:rsidRPr="00FC1444">
              <w:rPr>
                <w:rFonts w:eastAsiaTheme="minorEastAsia" w:hint="eastAsia"/>
                <w:kern w:val="0"/>
                <w:szCs w:val="21"/>
              </w:rPr>
              <w:t>蒸吨</w:t>
            </w:r>
            <w:r w:rsidRPr="00FC1444">
              <w:rPr>
                <w:rFonts w:eastAsiaTheme="minorEastAsia" w:hint="eastAsia"/>
                <w:kern w:val="0"/>
                <w:szCs w:val="21"/>
              </w:rPr>
              <w:t>/</w:t>
            </w:r>
            <w:r w:rsidRPr="00FC1444">
              <w:rPr>
                <w:rFonts w:eastAsiaTheme="minorEastAsia" w:hint="eastAsia"/>
                <w:kern w:val="0"/>
                <w:szCs w:val="21"/>
              </w:rPr>
              <w:t>小时以上的燃煤锅炉（含电力）实现超低排放，钢铁企业基本实现超低排放。</w:t>
            </w:r>
          </w:p>
        </w:tc>
        <w:tc>
          <w:tcPr>
            <w:tcW w:w="1811" w:type="dxa"/>
            <w:vAlign w:val="center"/>
          </w:tcPr>
          <w:p w:rsidR="008D6792" w:rsidRPr="00FC1444" w:rsidRDefault="008D6792" w:rsidP="008D6792">
            <w:pPr>
              <w:spacing w:line="0" w:lineRule="atLeast"/>
              <w:contextualSpacing/>
              <w:jc w:val="left"/>
              <w:rPr>
                <w:rFonts w:eastAsiaTheme="minorEastAsia"/>
                <w:spacing w:val="-3"/>
                <w:kern w:val="0"/>
                <w:szCs w:val="21"/>
                <w:lang w:bidi="zh-CN"/>
              </w:rPr>
            </w:pPr>
            <w:r w:rsidRPr="00FC1444">
              <w:rPr>
                <w:rFonts w:eastAsiaTheme="minorEastAsia"/>
                <w:spacing w:val="-3"/>
                <w:kern w:val="0"/>
                <w:szCs w:val="21"/>
                <w:lang w:bidi="zh-CN"/>
              </w:rPr>
              <w:t>本项目为高标准农田建设项目，</w:t>
            </w:r>
            <w:r w:rsidRPr="00FC1444">
              <w:rPr>
                <w:rFonts w:eastAsiaTheme="minorEastAsia"/>
                <w:szCs w:val="21"/>
              </w:rPr>
              <w:t>不建设锅炉，因此符合</w:t>
            </w:r>
            <w:r w:rsidRPr="00FC1444">
              <w:rPr>
                <w:rFonts w:eastAsiaTheme="minorEastAsia"/>
                <w:spacing w:val="-3"/>
                <w:kern w:val="0"/>
                <w:szCs w:val="21"/>
                <w:lang w:bidi="zh-CN"/>
              </w:rPr>
              <w:t>污染物排放管控要求</w:t>
            </w:r>
            <w:r w:rsidRPr="00FC1444">
              <w:rPr>
                <w:rFonts w:eastAsiaTheme="minorEastAsia"/>
                <w:szCs w:val="21"/>
              </w:rPr>
              <w:t>。</w:t>
            </w:r>
          </w:p>
        </w:tc>
      </w:tr>
      <w:tr w:rsidR="008D6792" w:rsidRPr="00FC1444" w:rsidTr="008D6792">
        <w:trPr>
          <w:trHeight w:val="1933"/>
        </w:trPr>
        <w:tc>
          <w:tcPr>
            <w:tcW w:w="668" w:type="dxa"/>
            <w:vMerge/>
            <w:vAlign w:val="center"/>
          </w:tcPr>
          <w:p w:rsidR="008D6792" w:rsidRPr="00FC1444" w:rsidRDefault="008D6792">
            <w:pPr>
              <w:spacing w:line="0" w:lineRule="atLeast"/>
              <w:contextualSpacing/>
              <w:jc w:val="center"/>
              <w:rPr>
                <w:rFonts w:eastAsiaTheme="minorEastAsia"/>
                <w:kern w:val="0"/>
                <w:szCs w:val="21"/>
              </w:rPr>
            </w:pPr>
          </w:p>
        </w:tc>
        <w:tc>
          <w:tcPr>
            <w:tcW w:w="706" w:type="dxa"/>
            <w:vMerge/>
            <w:vAlign w:val="center"/>
          </w:tcPr>
          <w:p w:rsidR="008D6792" w:rsidRPr="00FC1444" w:rsidRDefault="008D6792" w:rsidP="008D6792">
            <w:pPr>
              <w:spacing w:line="0" w:lineRule="atLeast"/>
              <w:contextualSpacing/>
              <w:jc w:val="center"/>
              <w:rPr>
                <w:rFonts w:eastAsiaTheme="minorEastAsia"/>
                <w:kern w:val="0"/>
                <w:szCs w:val="21"/>
              </w:rPr>
            </w:pPr>
          </w:p>
        </w:tc>
        <w:tc>
          <w:tcPr>
            <w:tcW w:w="706" w:type="dxa"/>
            <w:vMerge/>
            <w:vAlign w:val="center"/>
          </w:tcPr>
          <w:p w:rsidR="008D6792" w:rsidRPr="00FC1444" w:rsidRDefault="008D6792">
            <w:pPr>
              <w:spacing w:line="0" w:lineRule="atLeast"/>
              <w:contextualSpacing/>
              <w:jc w:val="center"/>
              <w:rPr>
                <w:rFonts w:eastAsiaTheme="minorEastAsia"/>
                <w:szCs w:val="21"/>
              </w:rPr>
            </w:pPr>
          </w:p>
        </w:tc>
        <w:tc>
          <w:tcPr>
            <w:tcW w:w="423" w:type="dxa"/>
            <w:vAlign w:val="center"/>
          </w:tcPr>
          <w:p w:rsidR="008D6792" w:rsidRPr="00FC1444" w:rsidRDefault="008D6792">
            <w:pPr>
              <w:spacing w:line="0" w:lineRule="atLeast"/>
              <w:contextualSpacing/>
              <w:jc w:val="center"/>
              <w:rPr>
                <w:rFonts w:eastAsiaTheme="minorEastAsia"/>
                <w:spacing w:val="-3"/>
                <w:kern w:val="0"/>
                <w:szCs w:val="21"/>
                <w:lang w:bidi="zh-CN"/>
              </w:rPr>
            </w:pPr>
            <w:r w:rsidRPr="00FC1444">
              <w:rPr>
                <w:rFonts w:eastAsiaTheme="minorEastAsia"/>
                <w:spacing w:val="-3"/>
                <w:kern w:val="0"/>
                <w:szCs w:val="21"/>
                <w:lang w:bidi="zh-CN"/>
              </w:rPr>
              <w:t>环境风险防控</w:t>
            </w:r>
          </w:p>
        </w:tc>
        <w:tc>
          <w:tcPr>
            <w:tcW w:w="4121" w:type="dxa"/>
            <w:vAlign w:val="center"/>
          </w:tcPr>
          <w:p w:rsidR="008D6792" w:rsidRPr="00FC1444" w:rsidRDefault="008D6792" w:rsidP="008D6792">
            <w:pPr>
              <w:jc w:val="left"/>
              <w:rPr>
                <w:rFonts w:eastAsiaTheme="minorEastAsia"/>
                <w:kern w:val="0"/>
                <w:szCs w:val="21"/>
              </w:rPr>
            </w:pPr>
            <w:r w:rsidRPr="00FC1444">
              <w:rPr>
                <w:rFonts w:eastAsiaTheme="minorEastAsia" w:hint="eastAsia"/>
                <w:kern w:val="0"/>
                <w:szCs w:val="21"/>
              </w:rPr>
              <w:t>大气环境布局敏感重点管控区同时执行禁止在居民区、学校、医疗和养老机构等周边新建有色金属冶炼、焦化等行业企业。</w:t>
            </w:r>
          </w:p>
        </w:tc>
        <w:tc>
          <w:tcPr>
            <w:tcW w:w="1811" w:type="dxa"/>
            <w:vAlign w:val="center"/>
          </w:tcPr>
          <w:p w:rsidR="008D6792" w:rsidRPr="00FC1444" w:rsidRDefault="008D6792">
            <w:pPr>
              <w:spacing w:line="0" w:lineRule="atLeast"/>
              <w:contextualSpacing/>
              <w:jc w:val="left"/>
              <w:rPr>
                <w:rFonts w:eastAsiaTheme="minorEastAsia"/>
                <w:spacing w:val="-3"/>
                <w:kern w:val="0"/>
                <w:szCs w:val="21"/>
                <w:lang w:bidi="zh-CN"/>
              </w:rPr>
            </w:pPr>
            <w:r w:rsidRPr="00FC1444">
              <w:rPr>
                <w:rFonts w:eastAsiaTheme="minorEastAsia"/>
                <w:spacing w:val="-3"/>
                <w:kern w:val="0"/>
                <w:szCs w:val="21"/>
                <w:lang w:bidi="zh-CN"/>
              </w:rPr>
              <w:t>本项目不涉及。</w:t>
            </w:r>
          </w:p>
        </w:tc>
      </w:tr>
    </w:tbl>
    <w:p w:rsidR="008D6792" w:rsidRPr="00FC1444" w:rsidRDefault="008D6792">
      <w:pPr>
        <w:contextualSpacing/>
        <w:jc w:val="center"/>
        <w:rPr>
          <w:rFonts w:eastAsiaTheme="minorEastAsia"/>
          <w:b/>
          <w:szCs w:val="21"/>
        </w:rPr>
      </w:pPr>
    </w:p>
    <w:p w:rsidR="002A5A5E" w:rsidRPr="00FC1444" w:rsidRDefault="00611CBA">
      <w:pPr>
        <w:contextualSpacing/>
        <w:jc w:val="center"/>
        <w:rPr>
          <w:rFonts w:eastAsiaTheme="minorEastAsia"/>
          <w:b/>
          <w:szCs w:val="21"/>
        </w:rPr>
      </w:pPr>
      <w:r w:rsidRPr="00FC1444">
        <w:rPr>
          <w:rFonts w:eastAsiaTheme="minorEastAsia"/>
          <w:b/>
          <w:szCs w:val="21"/>
        </w:rPr>
        <w:lastRenderedPageBreak/>
        <w:t>续表</w:t>
      </w:r>
      <w:r w:rsidRPr="00FC1444">
        <w:rPr>
          <w:rFonts w:eastAsiaTheme="minorEastAsia"/>
          <w:b/>
          <w:szCs w:val="21"/>
        </w:rPr>
        <w:t>1-4-4</w:t>
      </w:r>
      <w:r w:rsidRPr="00FC1444">
        <w:rPr>
          <w:rFonts w:eastAsiaTheme="minorEastAsia"/>
          <w:b/>
          <w:bCs/>
          <w:szCs w:val="21"/>
        </w:rPr>
        <w:t>生态环境准入清单管控</w:t>
      </w:r>
      <w:r w:rsidRPr="00FC1444">
        <w:rPr>
          <w:rFonts w:eastAsiaTheme="minorEastAsia"/>
          <w:b/>
          <w:szCs w:val="21"/>
          <w:lang w:val="zh-CN"/>
        </w:rPr>
        <w:t>要求符合性分析</w:t>
      </w:r>
    </w:p>
    <w:tbl>
      <w:tblPr>
        <w:tblW w:w="8435"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668"/>
        <w:gridCol w:w="706"/>
        <w:gridCol w:w="706"/>
        <w:gridCol w:w="423"/>
        <w:gridCol w:w="4688"/>
        <w:gridCol w:w="1244"/>
      </w:tblGrid>
      <w:tr w:rsidR="002A5A5E" w:rsidRPr="00FC1444">
        <w:trPr>
          <w:trHeight w:val="1171"/>
        </w:trPr>
        <w:tc>
          <w:tcPr>
            <w:tcW w:w="668" w:type="dxa"/>
            <w:vAlign w:val="center"/>
          </w:tcPr>
          <w:p w:rsidR="002A5A5E" w:rsidRPr="00FC1444" w:rsidRDefault="008D6792">
            <w:pPr>
              <w:spacing w:line="0" w:lineRule="atLeast"/>
              <w:contextualSpacing/>
              <w:jc w:val="center"/>
              <w:rPr>
                <w:rFonts w:eastAsiaTheme="minorEastAsia"/>
                <w:kern w:val="0"/>
                <w:szCs w:val="21"/>
              </w:rPr>
            </w:pPr>
            <w:r w:rsidRPr="00FC1444">
              <w:t>ZH23120230001</w:t>
            </w:r>
          </w:p>
        </w:tc>
        <w:tc>
          <w:tcPr>
            <w:tcW w:w="706" w:type="dxa"/>
            <w:vAlign w:val="center"/>
          </w:tcPr>
          <w:p w:rsidR="002A5A5E" w:rsidRPr="00FC1444" w:rsidRDefault="005511F0">
            <w:pPr>
              <w:spacing w:line="0" w:lineRule="atLeast"/>
              <w:contextualSpacing/>
              <w:jc w:val="center"/>
              <w:rPr>
                <w:rFonts w:eastAsiaTheme="minorEastAsia"/>
                <w:kern w:val="0"/>
                <w:szCs w:val="21"/>
              </w:rPr>
            </w:pPr>
            <w:r w:rsidRPr="00FC1444">
              <w:rPr>
                <w:rFonts w:eastAsiaTheme="minorEastAsia"/>
                <w:szCs w:val="21"/>
              </w:rPr>
              <w:t>北林</w:t>
            </w:r>
            <w:r w:rsidR="00611CBA" w:rsidRPr="00FC1444">
              <w:rPr>
                <w:rFonts w:eastAsiaTheme="minorEastAsia"/>
                <w:szCs w:val="21"/>
              </w:rPr>
              <w:t>区永久基本农田</w:t>
            </w:r>
          </w:p>
        </w:tc>
        <w:tc>
          <w:tcPr>
            <w:tcW w:w="706"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一般管控单元</w:t>
            </w:r>
          </w:p>
        </w:tc>
        <w:tc>
          <w:tcPr>
            <w:tcW w:w="423" w:type="dxa"/>
            <w:vAlign w:val="center"/>
          </w:tcPr>
          <w:p w:rsidR="002A5A5E" w:rsidRPr="00FC1444" w:rsidRDefault="00611CBA">
            <w:pPr>
              <w:spacing w:line="0" w:lineRule="atLeast"/>
              <w:contextualSpacing/>
              <w:jc w:val="center"/>
              <w:rPr>
                <w:rFonts w:eastAsiaTheme="minorEastAsia"/>
                <w:spacing w:val="-3"/>
                <w:kern w:val="0"/>
                <w:szCs w:val="21"/>
                <w:lang w:bidi="zh-CN"/>
              </w:rPr>
            </w:pPr>
            <w:r w:rsidRPr="00FC1444">
              <w:rPr>
                <w:rFonts w:eastAsiaTheme="minorEastAsia"/>
                <w:spacing w:val="-3"/>
                <w:kern w:val="0"/>
                <w:szCs w:val="21"/>
                <w:lang w:bidi="zh-CN"/>
              </w:rPr>
              <w:t>资源开发效率</w:t>
            </w:r>
          </w:p>
        </w:tc>
        <w:tc>
          <w:tcPr>
            <w:tcW w:w="4688" w:type="dxa"/>
            <w:vAlign w:val="center"/>
          </w:tcPr>
          <w:p w:rsidR="002A5A5E" w:rsidRPr="00FC1444" w:rsidRDefault="00611CBA">
            <w:pPr>
              <w:widowControl/>
              <w:jc w:val="left"/>
              <w:rPr>
                <w:rFonts w:eastAsiaTheme="minorEastAsia"/>
                <w:kern w:val="0"/>
                <w:szCs w:val="21"/>
              </w:rPr>
            </w:pPr>
            <w:r w:rsidRPr="00FC1444">
              <w:rPr>
                <w:rFonts w:eastAsiaTheme="minorEastAsia"/>
                <w:kern w:val="0"/>
                <w:szCs w:val="21"/>
              </w:rPr>
              <w:t>1.</w:t>
            </w:r>
            <w:r w:rsidRPr="00FC1444">
              <w:rPr>
                <w:rFonts w:eastAsiaTheme="minorEastAsia"/>
                <w:kern w:val="0"/>
                <w:szCs w:val="21"/>
              </w:rPr>
              <w:t>严格永久基本农田占用和补划，永久基本农田经依法划定后，任何单位和个人不得擅自占用或者改变其用途。</w:t>
            </w:r>
            <w:r w:rsidRPr="00FC1444">
              <w:rPr>
                <w:rFonts w:eastAsiaTheme="minorEastAsia"/>
                <w:kern w:val="0"/>
                <w:szCs w:val="21"/>
              </w:rPr>
              <w:t>2.</w:t>
            </w:r>
            <w:r w:rsidRPr="00FC1444">
              <w:rPr>
                <w:rFonts w:eastAsiaTheme="minorEastAsia"/>
                <w:kern w:val="0"/>
                <w:szCs w:val="21"/>
              </w:rPr>
              <w:t>在永久基本农田集中区域，不得新建可能造成土壤污染的建设项目；已经建成的，应当限期关闭拆除。</w:t>
            </w:r>
            <w:r w:rsidRPr="00FC1444">
              <w:rPr>
                <w:rFonts w:eastAsiaTheme="minorEastAsia"/>
                <w:kern w:val="0"/>
                <w:szCs w:val="21"/>
              </w:rPr>
              <w:t>3.</w:t>
            </w:r>
            <w:r w:rsidRPr="00FC1444">
              <w:rPr>
                <w:rFonts w:eastAsiaTheme="minorEastAsia"/>
                <w:kern w:val="0"/>
                <w:szCs w:val="21"/>
              </w:rPr>
              <w:t>严禁占用永久基本农田发展林果业和挖塘养鱼；严禁占用永久基本农田种植苗木、草皮等用于绿化装饰以及其他破坏耕作层的植物；严禁占用永久基本农田挖湖造景、建设绿化带；严禁新增占用永久基本农田建设畜禽养殖设施、水产养殖设施和破坏耕作层的种植业设施。</w:t>
            </w:r>
            <w:r w:rsidRPr="00FC1444">
              <w:rPr>
                <w:rFonts w:eastAsiaTheme="minorEastAsia"/>
                <w:kern w:val="0"/>
                <w:szCs w:val="21"/>
              </w:rPr>
              <w:t>4.</w:t>
            </w:r>
            <w:r w:rsidRPr="00FC1444">
              <w:rPr>
                <w:rFonts w:eastAsiaTheme="minorEastAsia"/>
                <w:kern w:val="0"/>
                <w:szCs w:val="21"/>
              </w:rPr>
              <w:t>禁止任何单位和个人破坏永久基本农田耕作层。</w:t>
            </w:r>
            <w:r w:rsidRPr="00FC1444">
              <w:rPr>
                <w:rFonts w:eastAsiaTheme="minorEastAsia"/>
                <w:kern w:val="0"/>
                <w:szCs w:val="21"/>
              </w:rPr>
              <w:t>5.</w:t>
            </w:r>
            <w:r w:rsidRPr="00FC1444">
              <w:rPr>
                <w:rFonts w:eastAsiaTheme="minorEastAsia"/>
                <w:kern w:val="0"/>
                <w:szCs w:val="21"/>
              </w:rPr>
              <w:t>禁止以设施农用地为名违规占用永久基本农田建设休闲旅游、仓储厂房等设施。</w:t>
            </w:r>
            <w:r w:rsidRPr="00FC1444">
              <w:rPr>
                <w:rFonts w:eastAsiaTheme="minorEastAsia"/>
                <w:kern w:val="0"/>
                <w:szCs w:val="21"/>
              </w:rPr>
              <w:t>6.</w:t>
            </w:r>
            <w:r w:rsidRPr="00FC1444">
              <w:rPr>
                <w:rFonts w:eastAsiaTheme="minorEastAsia"/>
                <w:kern w:val="0"/>
                <w:szCs w:val="21"/>
              </w:rPr>
              <w:t>禁止向农用地排放重金属或者其他有毒有害物质含量超标的污水、污泥，以及可能造成土壤污染的清淤底泥、尾矿、矿渣等。</w:t>
            </w:r>
            <w:r w:rsidRPr="00FC1444">
              <w:rPr>
                <w:rFonts w:eastAsiaTheme="minorEastAsia"/>
                <w:kern w:val="0"/>
                <w:szCs w:val="21"/>
              </w:rPr>
              <w:t>7.</w:t>
            </w:r>
            <w:r w:rsidRPr="00FC1444">
              <w:rPr>
                <w:rFonts w:eastAsiaTheme="minorEastAsia"/>
                <w:kern w:val="0"/>
                <w:szCs w:val="21"/>
              </w:rPr>
              <w:t>国家能源、交通、水利、军事设施等重点项目确实难以避让永久基本农田的，涉及农用地转用或者土地征收的，必须经过国务院批准。</w:t>
            </w:r>
            <w:r w:rsidRPr="00FC1444">
              <w:rPr>
                <w:rFonts w:eastAsiaTheme="minorEastAsia"/>
                <w:kern w:val="0"/>
                <w:szCs w:val="21"/>
              </w:rPr>
              <w:t>8.</w:t>
            </w:r>
            <w:r w:rsidRPr="00FC1444">
              <w:rPr>
                <w:rFonts w:eastAsiaTheme="minorEastAsia"/>
                <w:kern w:val="0"/>
                <w:szCs w:val="21"/>
              </w:rPr>
              <w:t>一般建设项目不得占用永久基本农田；重大建设项目选址确实难以避让永久基本农田的，要按照</w:t>
            </w:r>
            <w:r w:rsidRPr="00FC1444">
              <w:rPr>
                <w:rFonts w:eastAsiaTheme="minorEastAsia"/>
                <w:kern w:val="0"/>
                <w:szCs w:val="21"/>
              </w:rPr>
              <w:t>“</w:t>
            </w:r>
            <w:r w:rsidRPr="00FC1444">
              <w:rPr>
                <w:rFonts w:eastAsiaTheme="minorEastAsia"/>
                <w:kern w:val="0"/>
                <w:szCs w:val="21"/>
              </w:rPr>
              <w:t>数量不减、质量不降、布局稳定</w:t>
            </w:r>
            <w:r w:rsidRPr="00FC1444">
              <w:rPr>
                <w:rFonts w:eastAsiaTheme="minorEastAsia"/>
                <w:kern w:val="0"/>
                <w:szCs w:val="21"/>
              </w:rPr>
              <w:t>”</w:t>
            </w:r>
            <w:r w:rsidRPr="00FC1444">
              <w:rPr>
                <w:rFonts w:eastAsiaTheme="minorEastAsia"/>
                <w:kern w:val="0"/>
                <w:szCs w:val="21"/>
              </w:rPr>
              <w:t>的要求，在储备区内选择数量相等、质量相当的地块进行补划。</w:t>
            </w:r>
            <w:r w:rsidRPr="00FC1444">
              <w:rPr>
                <w:rFonts w:eastAsiaTheme="minorEastAsia"/>
                <w:kern w:val="0"/>
                <w:szCs w:val="21"/>
              </w:rPr>
              <w:t>9.</w:t>
            </w:r>
            <w:r w:rsidRPr="00FC1444">
              <w:rPr>
                <w:rFonts w:eastAsiaTheme="minorEastAsia"/>
                <w:kern w:val="0"/>
                <w:szCs w:val="21"/>
              </w:rPr>
              <w:t>非农业建设依法占用永久基本农田的，建设单位应当将所占用耕地耕作层的土壤用于新开垦的耕地、劣质地或其他耕地的土壤改良。位于优先保护单元和重点管控单元内永久基本农田也同时执行此要求。</w:t>
            </w:r>
          </w:p>
        </w:tc>
        <w:tc>
          <w:tcPr>
            <w:tcW w:w="1244" w:type="dxa"/>
            <w:vAlign w:val="center"/>
          </w:tcPr>
          <w:p w:rsidR="002A5A5E" w:rsidRPr="00FC1444" w:rsidRDefault="00611CBA" w:rsidP="008D6792">
            <w:pPr>
              <w:spacing w:line="0" w:lineRule="atLeast"/>
              <w:contextualSpacing/>
              <w:jc w:val="left"/>
              <w:rPr>
                <w:rFonts w:eastAsiaTheme="minorEastAsia"/>
                <w:spacing w:val="-3"/>
                <w:kern w:val="0"/>
                <w:szCs w:val="21"/>
                <w:lang w:bidi="zh-CN"/>
              </w:rPr>
            </w:pPr>
            <w:r w:rsidRPr="00FC1444">
              <w:rPr>
                <w:rFonts w:eastAsiaTheme="minorEastAsia"/>
                <w:spacing w:val="-3"/>
                <w:kern w:val="0"/>
                <w:szCs w:val="21"/>
                <w:lang w:bidi="zh-CN"/>
              </w:rPr>
              <w:t>本项目为高标准农田建设项目，田块整治工程在现状农田上建设，不可避免将占用基本农田，不属于</w:t>
            </w:r>
            <w:r w:rsidRPr="00FC1444">
              <w:rPr>
                <w:rFonts w:eastAsiaTheme="minorEastAsia"/>
                <w:kern w:val="0"/>
                <w:szCs w:val="21"/>
              </w:rPr>
              <w:t>改变用途</w:t>
            </w:r>
            <w:r w:rsidRPr="00FC1444">
              <w:rPr>
                <w:rFonts w:eastAsiaTheme="minorEastAsia"/>
                <w:spacing w:val="-3"/>
                <w:kern w:val="0"/>
                <w:szCs w:val="21"/>
                <w:lang w:bidi="zh-CN"/>
              </w:rPr>
              <w:t>。项目属于农业项目，项目建设后抗旱效果明显，新建灌溉井及建筑物呈点状分布，单个占地面积较小，不涉及补偿问题。施工过程中不向农用地排放重金属或者其他有毒有害物质含量超标的污水、污泥，以及可能造成土壤污染的清淤底泥、尾矿、矿渣等，不会造成永久基本农田污染。</w:t>
            </w:r>
          </w:p>
        </w:tc>
      </w:tr>
      <w:tr w:rsidR="002A5A5E" w:rsidRPr="00FC1444">
        <w:trPr>
          <w:trHeight w:val="1171"/>
        </w:trPr>
        <w:tc>
          <w:tcPr>
            <w:tcW w:w="668" w:type="dxa"/>
            <w:vAlign w:val="center"/>
          </w:tcPr>
          <w:p w:rsidR="002A5A5E" w:rsidRPr="00FC1444" w:rsidRDefault="008D6792">
            <w:pPr>
              <w:spacing w:line="0" w:lineRule="atLeast"/>
              <w:contextualSpacing/>
              <w:jc w:val="center"/>
              <w:rPr>
                <w:rFonts w:eastAsiaTheme="minorEastAsia"/>
                <w:szCs w:val="21"/>
              </w:rPr>
            </w:pPr>
            <w:r w:rsidRPr="00FC1444">
              <w:t>ZH23120230002</w:t>
            </w:r>
          </w:p>
        </w:tc>
        <w:tc>
          <w:tcPr>
            <w:tcW w:w="706" w:type="dxa"/>
            <w:vAlign w:val="center"/>
          </w:tcPr>
          <w:p w:rsidR="002A5A5E" w:rsidRPr="00FC1444" w:rsidRDefault="005511F0">
            <w:pPr>
              <w:spacing w:line="0" w:lineRule="atLeast"/>
              <w:contextualSpacing/>
              <w:jc w:val="center"/>
              <w:rPr>
                <w:rFonts w:eastAsiaTheme="minorEastAsia"/>
                <w:szCs w:val="21"/>
              </w:rPr>
            </w:pPr>
            <w:r w:rsidRPr="00FC1444">
              <w:rPr>
                <w:rFonts w:eastAsiaTheme="minorEastAsia"/>
                <w:szCs w:val="21"/>
              </w:rPr>
              <w:t>北林</w:t>
            </w:r>
            <w:r w:rsidR="00611CBA" w:rsidRPr="00FC1444">
              <w:rPr>
                <w:rFonts w:eastAsiaTheme="minorEastAsia"/>
                <w:szCs w:val="21"/>
              </w:rPr>
              <w:t>区其他区域</w:t>
            </w:r>
          </w:p>
        </w:tc>
        <w:tc>
          <w:tcPr>
            <w:tcW w:w="706"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一般管控单元</w:t>
            </w:r>
          </w:p>
        </w:tc>
        <w:tc>
          <w:tcPr>
            <w:tcW w:w="423" w:type="dxa"/>
            <w:vAlign w:val="center"/>
          </w:tcPr>
          <w:p w:rsidR="002A5A5E" w:rsidRPr="00FC1444" w:rsidRDefault="00611CBA">
            <w:pPr>
              <w:spacing w:line="0" w:lineRule="atLeast"/>
              <w:contextualSpacing/>
              <w:jc w:val="center"/>
              <w:rPr>
                <w:rFonts w:eastAsiaTheme="minorEastAsia"/>
                <w:spacing w:val="-3"/>
                <w:kern w:val="0"/>
                <w:szCs w:val="21"/>
                <w:lang w:bidi="zh-CN"/>
              </w:rPr>
            </w:pPr>
            <w:r w:rsidRPr="00FC1444">
              <w:rPr>
                <w:rFonts w:eastAsiaTheme="minorEastAsia"/>
                <w:szCs w:val="21"/>
              </w:rPr>
              <w:t>空间布局约束</w:t>
            </w:r>
          </w:p>
        </w:tc>
        <w:tc>
          <w:tcPr>
            <w:tcW w:w="4688" w:type="dxa"/>
            <w:vAlign w:val="center"/>
          </w:tcPr>
          <w:p w:rsidR="002A5A5E" w:rsidRPr="00FC1444" w:rsidRDefault="00611CBA">
            <w:pPr>
              <w:widowControl/>
              <w:jc w:val="left"/>
              <w:rPr>
                <w:rFonts w:eastAsiaTheme="minorEastAsia"/>
                <w:kern w:val="0"/>
                <w:szCs w:val="21"/>
              </w:rPr>
            </w:pPr>
            <w:r w:rsidRPr="00FC1444">
              <w:rPr>
                <w:rFonts w:eastAsiaTheme="minorEastAsia"/>
                <w:kern w:val="0"/>
                <w:szCs w:val="21"/>
              </w:rPr>
              <w:t>1.</w:t>
            </w:r>
            <w:r w:rsidRPr="00FC1444">
              <w:rPr>
                <w:rFonts w:eastAsiaTheme="minorEastAsia"/>
                <w:kern w:val="0"/>
                <w:szCs w:val="21"/>
              </w:rPr>
              <w:t>引导工业项目向开发区集中，促进产业集聚、资源集约、绿色发展。</w:t>
            </w:r>
            <w:r w:rsidRPr="00FC1444">
              <w:rPr>
                <w:rFonts w:eastAsiaTheme="minorEastAsia"/>
                <w:kern w:val="0"/>
                <w:szCs w:val="21"/>
              </w:rPr>
              <w:t>2.</w:t>
            </w:r>
            <w:r w:rsidRPr="00FC1444">
              <w:rPr>
                <w:rFonts w:eastAsiaTheme="minorEastAsia"/>
                <w:kern w:val="0"/>
                <w:szCs w:val="21"/>
              </w:rPr>
              <w:t>强化节能环保标准约束，严格行业规范、准入管理和节能审查，对电力、钢铁、建材、有色、化工、石油石化、船舶、煤炭、印染、造纸、制革、染料、焦化、电镀等行业中，环保、能耗、安全等不达标或生产、使用淘汰类产品的企业和产能，要依法依规有序退出。</w:t>
            </w:r>
          </w:p>
        </w:tc>
        <w:tc>
          <w:tcPr>
            <w:tcW w:w="1244" w:type="dxa"/>
            <w:vAlign w:val="center"/>
          </w:tcPr>
          <w:p w:rsidR="002A5A5E" w:rsidRPr="00FC1444" w:rsidRDefault="00611CBA">
            <w:pPr>
              <w:spacing w:line="0" w:lineRule="atLeast"/>
              <w:contextualSpacing/>
              <w:jc w:val="left"/>
              <w:rPr>
                <w:rFonts w:eastAsiaTheme="minorEastAsia"/>
                <w:spacing w:val="-3"/>
                <w:kern w:val="0"/>
                <w:szCs w:val="21"/>
                <w:lang w:bidi="zh-CN"/>
              </w:rPr>
            </w:pPr>
            <w:r w:rsidRPr="00FC1444">
              <w:rPr>
                <w:rFonts w:eastAsiaTheme="minorEastAsia"/>
                <w:spacing w:val="-3"/>
                <w:kern w:val="0"/>
                <w:szCs w:val="21"/>
                <w:lang w:bidi="zh-CN"/>
              </w:rPr>
              <w:t>本项目不涉及。</w:t>
            </w:r>
          </w:p>
        </w:tc>
      </w:tr>
    </w:tbl>
    <w:p w:rsidR="00C96EBA" w:rsidRPr="00FC1444" w:rsidRDefault="00C96EBA" w:rsidP="00C96EBA">
      <w:pPr>
        <w:ind w:firstLineChars="200" w:firstLine="422"/>
        <w:jc w:val="center"/>
        <w:rPr>
          <w:rFonts w:eastAsiaTheme="minorEastAsia"/>
          <w:b/>
          <w:szCs w:val="21"/>
        </w:rPr>
      </w:pPr>
    </w:p>
    <w:p w:rsidR="00C96EBA" w:rsidRPr="00FC1444" w:rsidRDefault="00C96EBA" w:rsidP="00C96EBA">
      <w:pPr>
        <w:ind w:firstLineChars="200" w:firstLine="422"/>
        <w:jc w:val="center"/>
        <w:rPr>
          <w:rFonts w:eastAsiaTheme="minorEastAsia"/>
          <w:b/>
          <w:szCs w:val="21"/>
        </w:rPr>
      </w:pPr>
    </w:p>
    <w:p w:rsidR="008D6792" w:rsidRPr="00FC1444" w:rsidRDefault="008D6792" w:rsidP="00C96EBA">
      <w:pPr>
        <w:ind w:firstLineChars="200" w:firstLine="422"/>
        <w:jc w:val="center"/>
        <w:rPr>
          <w:rFonts w:eastAsiaTheme="minorEastAsia"/>
          <w:b/>
          <w:szCs w:val="21"/>
        </w:rPr>
      </w:pPr>
    </w:p>
    <w:p w:rsidR="008D6792" w:rsidRPr="00FC1444" w:rsidRDefault="008D6792" w:rsidP="00C96EBA">
      <w:pPr>
        <w:ind w:firstLineChars="200" w:firstLine="422"/>
        <w:jc w:val="center"/>
        <w:rPr>
          <w:rFonts w:eastAsiaTheme="minorEastAsia"/>
          <w:b/>
          <w:szCs w:val="21"/>
        </w:rPr>
      </w:pPr>
    </w:p>
    <w:p w:rsidR="008D6792" w:rsidRPr="00FC1444" w:rsidRDefault="008D6792" w:rsidP="00C96EBA">
      <w:pPr>
        <w:ind w:firstLineChars="200" w:firstLine="422"/>
        <w:jc w:val="center"/>
        <w:rPr>
          <w:rFonts w:eastAsiaTheme="minorEastAsia"/>
          <w:b/>
          <w:szCs w:val="21"/>
        </w:rPr>
      </w:pPr>
    </w:p>
    <w:p w:rsidR="00C96EBA" w:rsidRPr="00FC1444" w:rsidRDefault="00C96EBA" w:rsidP="00C96EBA">
      <w:pPr>
        <w:ind w:firstLineChars="200" w:firstLine="422"/>
        <w:jc w:val="center"/>
        <w:rPr>
          <w:rFonts w:eastAsiaTheme="minorEastAsia"/>
          <w:b/>
          <w:szCs w:val="21"/>
        </w:rPr>
      </w:pPr>
      <w:r w:rsidRPr="00FC1444">
        <w:rPr>
          <w:rFonts w:eastAsiaTheme="minorEastAsia"/>
          <w:b/>
          <w:szCs w:val="21"/>
        </w:rPr>
        <w:lastRenderedPageBreak/>
        <w:t>表</w:t>
      </w:r>
      <w:r w:rsidRPr="00FC1444">
        <w:rPr>
          <w:rFonts w:eastAsiaTheme="minorEastAsia"/>
          <w:b/>
          <w:szCs w:val="21"/>
        </w:rPr>
        <w:t>1-4-5</w:t>
      </w:r>
      <w:r w:rsidRPr="00FC1444">
        <w:rPr>
          <w:rFonts w:eastAsiaTheme="minorEastAsia"/>
          <w:b/>
          <w:szCs w:val="21"/>
        </w:rPr>
        <w:t>项目与地下水环境管控分区符合性分析</w:t>
      </w:r>
    </w:p>
    <w:tbl>
      <w:tblPr>
        <w:tblStyle w:val="69"/>
        <w:tblW w:w="0" w:type="auto"/>
        <w:tblBorders>
          <w:top w:val="single" w:sz="12" w:space="0" w:color="auto"/>
          <w:left w:val="none" w:sz="0" w:space="0" w:color="auto"/>
          <w:bottom w:val="single" w:sz="12" w:space="0" w:color="auto"/>
          <w:right w:val="none" w:sz="0" w:space="0" w:color="auto"/>
        </w:tblBorders>
        <w:tblLayout w:type="fixed"/>
        <w:tblLook w:val="04A0"/>
      </w:tblPr>
      <w:tblGrid>
        <w:gridCol w:w="719"/>
        <w:gridCol w:w="1525"/>
        <w:gridCol w:w="4101"/>
        <w:gridCol w:w="2081"/>
      </w:tblGrid>
      <w:tr w:rsidR="00C96EBA" w:rsidRPr="00FC1444" w:rsidTr="00C96EBA">
        <w:trPr>
          <w:trHeight w:val="622"/>
        </w:trPr>
        <w:tc>
          <w:tcPr>
            <w:tcW w:w="2244" w:type="dxa"/>
            <w:gridSpan w:val="2"/>
            <w:vAlign w:val="center"/>
          </w:tcPr>
          <w:p w:rsidR="00C96EBA" w:rsidRPr="00FC1444" w:rsidRDefault="00C96EBA" w:rsidP="00C96EBA">
            <w:pPr>
              <w:jc w:val="center"/>
              <w:rPr>
                <w:rFonts w:eastAsiaTheme="minorEastAsia"/>
                <w:b/>
                <w:bCs/>
                <w:sz w:val="24"/>
              </w:rPr>
            </w:pPr>
            <w:r w:rsidRPr="00FC1444">
              <w:rPr>
                <w:b/>
                <w:bCs/>
                <w:szCs w:val="21"/>
              </w:rPr>
              <w:t>环境管控单元编码</w:t>
            </w:r>
          </w:p>
        </w:tc>
        <w:tc>
          <w:tcPr>
            <w:tcW w:w="4101" w:type="dxa"/>
            <w:vAlign w:val="center"/>
          </w:tcPr>
          <w:p w:rsidR="00C96EBA" w:rsidRPr="00FC1444" w:rsidRDefault="00C96EBA" w:rsidP="00C96EBA">
            <w:pPr>
              <w:jc w:val="center"/>
              <w:rPr>
                <w:rFonts w:eastAsiaTheme="minorEastAsia"/>
                <w:b/>
                <w:bCs/>
                <w:sz w:val="24"/>
              </w:rPr>
            </w:pPr>
            <w:r w:rsidRPr="00FC1444">
              <w:rPr>
                <w:b/>
                <w:bCs/>
                <w:szCs w:val="21"/>
              </w:rPr>
              <w:t>环境管控单元名称</w:t>
            </w:r>
          </w:p>
        </w:tc>
        <w:tc>
          <w:tcPr>
            <w:tcW w:w="2081" w:type="dxa"/>
            <w:vAlign w:val="center"/>
          </w:tcPr>
          <w:p w:rsidR="00C96EBA" w:rsidRPr="00FC1444" w:rsidRDefault="00C96EBA" w:rsidP="00C96EBA">
            <w:pPr>
              <w:jc w:val="center"/>
              <w:rPr>
                <w:rFonts w:eastAsiaTheme="minorEastAsia"/>
                <w:b/>
                <w:bCs/>
                <w:sz w:val="24"/>
              </w:rPr>
            </w:pPr>
            <w:r w:rsidRPr="00FC1444">
              <w:rPr>
                <w:b/>
                <w:bCs/>
                <w:szCs w:val="21"/>
              </w:rPr>
              <w:t>环境管控单元类型</w:t>
            </w:r>
          </w:p>
        </w:tc>
      </w:tr>
      <w:tr w:rsidR="00C96EBA" w:rsidRPr="00FC1444" w:rsidTr="00C96EBA">
        <w:trPr>
          <w:trHeight w:val="300"/>
        </w:trPr>
        <w:tc>
          <w:tcPr>
            <w:tcW w:w="2244" w:type="dxa"/>
            <w:gridSpan w:val="2"/>
            <w:vAlign w:val="center"/>
          </w:tcPr>
          <w:p w:rsidR="00C96EBA" w:rsidRPr="00FC1444" w:rsidRDefault="008D6792" w:rsidP="00C96EBA">
            <w:pPr>
              <w:jc w:val="center"/>
              <w:rPr>
                <w:rFonts w:eastAsiaTheme="minorEastAsia"/>
                <w:b/>
                <w:szCs w:val="21"/>
              </w:rPr>
            </w:pPr>
            <w:r w:rsidRPr="00FC1444">
              <w:t>YS2312026310001</w:t>
            </w:r>
          </w:p>
        </w:tc>
        <w:tc>
          <w:tcPr>
            <w:tcW w:w="4101" w:type="dxa"/>
            <w:vAlign w:val="center"/>
          </w:tcPr>
          <w:p w:rsidR="00C96EBA" w:rsidRPr="00FC1444" w:rsidRDefault="005511F0" w:rsidP="00C96EBA">
            <w:pPr>
              <w:jc w:val="center"/>
              <w:rPr>
                <w:szCs w:val="21"/>
              </w:rPr>
            </w:pPr>
            <w:r w:rsidRPr="00FC1444">
              <w:rPr>
                <w:rFonts w:eastAsiaTheme="minorEastAsia"/>
                <w:szCs w:val="21"/>
              </w:rPr>
              <w:t>北林</w:t>
            </w:r>
            <w:r w:rsidR="00C96EBA" w:rsidRPr="00FC1444">
              <w:rPr>
                <w:szCs w:val="21"/>
              </w:rPr>
              <w:t>区地下水环境一般管控区</w:t>
            </w:r>
          </w:p>
        </w:tc>
        <w:tc>
          <w:tcPr>
            <w:tcW w:w="2081" w:type="dxa"/>
            <w:vAlign w:val="center"/>
          </w:tcPr>
          <w:p w:rsidR="00C96EBA" w:rsidRPr="00FC1444" w:rsidRDefault="00C96EBA" w:rsidP="00C96EBA">
            <w:pPr>
              <w:jc w:val="center"/>
              <w:rPr>
                <w:rFonts w:eastAsiaTheme="minorEastAsia"/>
                <w:b/>
                <w:sz w:val="24"/>
              </w:rPr>
            </w:pPr>
            <w:r w:rsidRPr="00FC1444">
              <w:rPr>
                <w:kern w:val="0"/>
                <w:szCs w:val="21"/>
              </w:rPr>
              <w:t>一般管控单元</w:t>
            </w:r>
          </w:p>
        </w:tc>
      </w:tr>
      <w:tr w:rsidR="00C96EBA" w:rsidRPr="00FC1444" w:rsidTr="00C96EBA">
        <w:trPr>
          <w:trHeight w:val="300"/>
        </w:trPr>
        <w:tc>
          <w:tcPr>
            <w:tcW w:w="6345" w:type="dxa"/>
            <w:gridSpan w:val="3"/>
            <w:vAlign w:val="center"/>
          </w:tcPr>
          <w:p w:rsidR="00C96EBA" w:rsidRPr="00FC1444" w:rsidRDefault="00C96EBA" w:rsidP="00C96EBA">
            <w:pPr>
              <w:jc w:val="center"/>
              <w:rPr>
                <w:kern w:val="0"/>
                <w:szCs w:val="21"/>
              </w:rPr>
            </w:pPr>
            <w:r w:rsidRPr="00FC1444">
              <w:rPr>
                <w:kern w:val="0"/>
                <w:szCs w:val="21"/>
              </w:rPr>
              <w:t>管控要求</w:t>
            </w:r>
          </w:p>
        </w:tc>
        <w:tc>
          <w:tcPr>
            <w:tcW w:w="2081" w:type="dxa"/>
            <w:vAlign w:val="center"/>
          </w:tcPr>
          <w:p w:rsidR="00C96EBA" w:rsidRPr="00FC1444" w:rsidRDefault="00C96EBA" w:rsidP="00C96EBA">
            <w:pPr>
              <w:jc w:val="center"/>
              <w:rPr>
                <w:kern w:val="0"/>
                <w:szCs w:val="21"/>
              </w:rPr>
            </w:pPr>
            <w:r w:rsidRPr="00FC1444">
              <w:rPr>
                <w:kern w:val="0"/>
                <w:szCs w:val="21"/>
              </w:rPr>
              <w:t>符合性分析</w:t>
            </w:r>
          </w:p>
        </w:tc>
      </w:tr>
      <w:tr w:rsidR="00C96EBA" w:rsidRPr="00FC1444" w:rsidTr="00C96EBA">
        <w:trPr>
          <w:trHeight w:val="7313"/>
        </w:trPr>
        <w:tc>
          <w:tcPr>
            <w:tcW w:w="719" w:type="dxa"/>
            <w:vAlign w:val="center"/>
          </w:tcPr>
          <w:p w:rsidR="00C96EBA" w:rsidRPr="00FC1444" w:rsidRDefault="00C96EBA" w:rsidP="00C96EBA">
            <w:pPr>
              <w:jc w:val="center"/>
              <w:rPr>
                <w:rFonts w:eastAsiaTheme="minorEastAsia"/>
                <w:sz w:val="24"/>
              </w:rPr>
            </w:pPr>
            <w:r w:rsidRPr="00FC1444">
              <w:rPr>
                <w:bCs/>
                <w:szCs w:val="21"/>
              </w:rPr>
              <w:t>环境风险管控</w:t>
            </w:r>
          </w:p>
        </w:tc>
        <w:tc>
          <w:tcPr>
            <w:tcW w:w="5626" w:type="dxa"/>
            <w:gridSpan w:val="2"/>
            <w:vAlign w:val="center"/>
          </w:tcPr>
          <w:p w:rsidR="00C96EBA" w:rsidRPr="00FC1444" w:rsidRDefault="00C96EBA" w:rsidP="00C96EBA">
            <w:r w:rsidRPr="00FC1444">
              <w:t>1.</w:t>
            </w:r>
            <w:r w:rsidRPr="00FC1444">
              <w:t>土壤污染重点监管单位应当履行下列义务：（一）严格控制有毒有害物质排放，并按年度向生态环境主管部门报告排放情况；（二）建立土壤污染隐患排查制度，保证持续有效防止有毒有害物质渗漏、流失、扬散；（三）制定、实施自行监测方案，并将监测数据报生态环境主管部门。</w:t>
            </w:r>
            <w:r w:rsidRPr="00FC1444">
              <w:t>2.</w:t>
            </w:r>
            <w:r w:rsidRPr="00FC1444">
              <w:t>重点单位新、改、扩建项目地下储罐储存有毒有害物质的，应当在项目投入生产或者使用之前，将地下储罐的信息报所在地设区的市级生态环境主管部门备案。</w:t>
            </w:r>
            <w:r w:rsidRPr="00FC1444">
              <w:t xml:space="preserve"> 3.</w:t>
            </w:r>
            <w:r w:rsidRPr="00FC1444">
              <w:t>重点单位应当建立土壤和地下水污染隐患排查治理制度，定期对重点区域、重点设施开展隐患排查。发现污染隐患的，应当制定整改方案，及时采取技术、管理措施消除隐患。隐患排查、治理情况应当如实记录并建立档案。重点区域包括涉及有毒有害物质的生产区，原材料及固体废物的堆存区、储放区和转运区等；重点设施包括涉及有毒有害物质的地下储罐、地下管线，以及污染治理设施等。</w:t>
            </w:r>
            <w:r w:rsidRPr="00FC1444">
              <w:t>4.</w:t>
            </w:r>
            <w:r w:rsidRPr="00FC1444">
              <w:t>化学品生产企业以及工业集聚区、矿山</w:t>
            </w:r>
            <w:r w:rsidRPr="00FC1444">
              <w:t xml:space="preserve"> </w:t>
            </w:r>
            <w:r w:rsidRPr="00FC1444">
              <w:t>开采区、尾矿库、危险废物处置场、垃圾填埋场等的运营、管理单位，应当采取防渗漏等措施，并建设地下水水质监测井进行监测，防止地下水污染。</w:t>
            </w:r>
            <w:r w:rsidRPr="00FC1444">
              <w:t>5.</w:t>
            </w:r>
            <w:r w:rsidRPr="00FC1444">
              <w:t>重点单位通过新、改、扩建项目的土壤和地下水环境现状调查，发现项目用地污染物含量超过国家或者地方有关建设用地土壤污染风险管控标准的，土地使用权人或者污染责任人应当参照污染地块土壤环境管理有关规定开展详细调查、风险评估、风险管控、治理与修复等活动。</w:t>
            </w:r>
          </w:p>
        </w:tc>
        <w:tc>
          <w:tcPr>
            <w:tcW w:w="2081" w:type="dxa"/>
            <w:vAlign w:val="center"/>
          </w:tcPr>
          <w:p w:rsidR="00C96EBA" w:rsidRPr="00FC1444" w:rsidRDefault="00C96EBA" w:rsidP="008C351B">
            <w:pPr>
              <w:widowControl/>
              <w:jc w:val="center"/>
              <w:rPr>
                <w:szCs w:val="21"/>
              </w:rPr>
            </w:pPr>
            <w:r w:rsidRPr="00FC1444">
              <w:rPr>
                <w:szCs w:val="21"/>
              </w:rPr>
              <w:t>本项目不属于</w:t>
            </w:r>
            <w:r w:rsidRPr="00FC1444">
              <w:t>土壤污染重点监管单位。</w:t>
            </w:r>
            <w:r w:rsidRPr="00FC1444">
              <w:rPr>
                <w:bCs/>
              </w:rPr>
              <w:t>本项目</w:t>
            </w:r>
            <w:r w:rsidRPr="00FC1444">
              <w:rPr>
                <w:rFonts w:eastAsiaTheme="minorEastAsia"/>
                <w:spacing w:val="-3"/>
                <w:kern w:val="0"/>
                <w:szCs w:val="21"/>
                <w:lang w:bidi="zh-CN"/>
              </w:rPr>
              <w:t>施工过程中不排放重金属或者其他有毒有害物质含量超标的污水、污泥，以及可能造成</w:t>
            </w:r>
            <w:r w:rsidR="008C351B" w:rsidRPr="00FC1444">
              <w:rPr>
                <w:rFonts w:eastAsiaTheme="minorEastAsia"/>
                <w:spacing w:val="-3"/>
                <w:kern w:val="0"/>
                <w:szCs w:val="21"/>
                <w:lang w:bidi="zh-CN"/>
              </w:rPr>
              <w:t>地下水、</w:t>
            </w:r>
            <w:r w:rsidRPr="00FC1444">
              <w:rPr>
                <w:rFonts w:eastAsiaTheme="minorEastAsia"/>
                <w:spacing w:val="-3"/>
                <w:kern w:val="0"/>
                <w:szCs w:val="21"/>
                <w:lang w:bidi="zh-CN"/>
              </w:rPr>
              <w:t>土壤污染的清淤底泥、尾矿、矿渣等</w:t>
            </w:r>
            <w:r w:rsidRPr="00FC1444">
              <w:rPr>
                <w:bCs/>
              </w:rPr>
              <w:t>，对地下水、土壤影响无影响。符合要求。</w:t>
            </w:r>
          </w:p>
        </w:tc>
      </w:tr>
    </w:tbl>
    <w:p w:rsidR="002A5A5E" w:rsidRPr="00FC1444" w:rsidRDefault="009840DD">
      <w:pPr>
        <w:spacing w:line="360" w:lineRule="auto"/>
        <w:ind w:firstLineChars="200" w:firstLine="480"/>
        <w:rPr>
          <w:rFonts w:eastAsiaTheme="minorEastAsia"/>
          <w:sz w:val="24"/>
        </w:rPr>
      </w:pPr>
      <w:r w:rsidRPr="00FC1444">
        <w:rPr>
          <w:rFonts w:eastAsiaTheme="minorEastAsia"/>
          <w:sz w:val="24"/>
        </w:rPr>
        <w:fldChar w:fldCharType="begin"/>
      </w:r>
      <w:r w:rsidR="00611CBA" w:rsidRPr="00FC1444">
        <w:rPr>
          <w:rFonts w:eastAsiaTheme="minorEastAsia"/>
          <w:sz w:val="24"/>
        </w:rPr>
        <w:instrText xml:space="preserve"> = 3 \* GB3 </w:instrText>
      </w:r>
      <w:r w:rsidRPr="00FC1444">
        <w:rPr>
          <w:rFonts w:eastAsiaTheme="minorEastAsia"/>
          <w:sz w:val="24"/>
        </w:rPr>
        <w:fldChar w:fldCharType="separate"/>
      </w:r>
      <w:r w:rsidR="00611CBA" w:rsidRPr="00FC1444">
        <w:rPr>
          <w:rFonts w:ascii="宋体" w:hAnsi="宋体" w:cs="宋体" w:hint="eastAsia"/>
          <w:sz w:val="24"/>
        </w:rPr>
        <w:t>③</w:t>
      </w:r>
      <w:r w:rsidRPr="00FC1444">
        <w:rPr>
          <w:rFonts w:eastAsiaTheme="minorEastAsia"/>
          <w:sz w:val="24"/>
        </w:rPr>
        <w:fldChar w:fldCharType="end"/>
      </w:r>
      <w:r w:rsidR="00611CBA" w:rsidRPr="00FC1444">
        <w:rPr>
          <w:rFonts w:eastAsiaTheme="minorEastAsia"/>
          <w:sz w:val="24"/>
        </w:rPr>
        <w:t>一说明</w:t>
      </w:r>
    </w:p>
    <w:p w:rsidR="002A5A5E" w:rsidRPr="00FC1444" w:rsidRDefault="00AE168C">
      <w:pPr>
        <w:spacing w:line="360" w:lineRule="auto"/>
        <w:ind w:firstLineChars="200" w:firstLine="480"/>
        <w:rPr>
          <w:rFonts w:eastAsiaTheme="minorEastAsia"/>
          <w:sz w:val="24"/>
        </w:rPr>
      </w:pPr>
      <w:r w:rsidRPr="00FC1444">
        <w:rPr>
          <w:rFonts w:eastAsiaTheme="minorEastAsia"/>
          <w:sz w:val="24"/>
        </w:rPr>
        <w:t>北林区</w:t>
      </w:r>
      <w:r w:rsidRPr="00FC1444">
        <w:rPr>
          <w:rFonts w:eastAsiaTheme="minorEastAsia"/>
          <w:sz w:val="24"/>
        </w:rPr>
        <w:t>2026</w:t>
      </w:r>
      <w:r w:rsidRPr="00FC1444">
        <w:rPr>
          <w:rFonts w:eastAsiaTheme="minorEastAsia"/>
          <w:sz w:val="24"/>
        </w:rPr>
        <w:t>年高标准农田建设项目</w:t>
      </w:r>
      <w:r w:rsidR="00611CBA" w:rsidRPr="00FC1444">
        <w:rPr>
          <w:rFonts w:eastAsiaTheme="minorEastAsia"/>
          <w:sz w:val="24"/>
        </w:rPr>
        <w:t>位置涉及</w:t>
      </w:r>
      <w:r w:rsidR="000E00D5" w:rsidRPr="00FC1444">
        <w:rPr>
          <w:rFonts w:eastAsiaTheme="minorEastAsia"/>
          <w:sz w:val="24"/>
        </w:rPr>
        <w:t>绥化市北林</w:t>
      </w:r>
      <w:r w:rsidR="00611CBA" w:rsidRPr="00FC1444">
        <w:rPr>
          <w:rFonts w:eastAsiaTheme="minorEastAsia"/>
          <w:sz w:val="24"/>
        </w:rPr>
        <w:t>区；项目占地总面积约</w:t>
      </w:r>
      <w:r w:rsidR="008D6792" w:rsidRPr="00FC1444">
        <w:rPr>
          <w:rFonts w:eastAsiaTheme="minorEastAsia" w:hint="eastAsia"/>
          <w:sz w:val="24"/>
        </w:rPr>
        <w:t>172.36</w:t>
      </w:r>
      <w:r w:rsidR="00611CBA" w:rsidRPr="00FC1444">
        <w:rPr>
          <w:rFonts w:eastAsiaTheme="minorEastAsia"/>
          <w:sz w:val="24"/>
        </w:rPr>
        <w:t>平方公里。</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与生态保护红线交集面积为</w:t>
      </w:r>
      <w:r w:rsidRPr="00FC1444">
        <w:rPr>
          <w:rFonts w:eastAsiaTheme="minorEastAsia"/>
          <w:sz w:val="24"/>
        </w:rPr>
        <w:t>0.00</w:t>
      </w:r>
      <w:r w:rsidRPr="00FC1444">
        <w:rPr>
          <w:rFonts w:eastAsiaTheme="minorEastAsia"/>
          <w:sz w:val="24"/>
        </w:rPr>
        <w:t>平方公里，占项目占地面积的</w:t>
      </w:r>
      <w:r w:rsidRPr="00FC1444">
        <w:rPr>
          <w:rFonts w:eastAsiaTheme="minorEastAsia"/>
          <w:sz w:val="24"/>
        </w:rPr>
        <w:t>0.00%</w:t>
      </w:r>
      <w:r w:rsidRPr="00FC1444">
        <w:rPr>
          <w:rFonts w:eastAsiaTheme="minorEastAsia"/>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与自然保护地整合优化方案数据交集面积为</w:t>
      </w:r>
      <w:r w:rsidRPr="00FC1444">
        <w:rPr>
          <w:rFonts w:eastAsiaTheme="minorEastAsia"/>
          <w:sz w:val="24"/>
        </w:rPr>
        <w:t>0.00</w:t>
      </w:r>
      <w:r w:rsidRPr="00FC1444">
        <w:rPr>
          <w:rFonts w:eastAsiaTheme="minorEastAsia"/>
          <w:sz w:val="24"/>
        </w:rPr>
        <w:t>平方公里，占项目占地面积的</w:t>
      </w:r>
      <w:r w:rsidRPr="00FC1444">
        <w:rPr>
          <w:rFonts w:eastAsiaTheme="minorEastAsia"/>
          <w:sz w:val="24"/>
        </w:rPr>
        <w:t>0.00%</w:t>
      </w:r>
      <w:r w:rsidRPr="00FC1444">
        <w:rPr>
          <w:rFonts w:eastAsiaTheme="minorEastAsia"/>
          <w:sz w:val="24"/>
        </w:rPr>
        <w:t>。保护地涉及等类型。与自然保护地（现状管理数据）交集面积为</w:t>
      </w:r>
      <w:r w:rsidRPr="00FC1444">
        <w:rPr>
          <w:rFonts w:eastAsiaTheme="minorEastAsia"/>
          <w:sz w:val="24"/>
        </w:rPr>
        <w:t>0.00</w:t>
      </w:r>
      <w:r w:rsidRPr="00FC1444">
        <w:rPr>
          <w:rFonts w:eastAsiaTheme="minorEastAsia"/>
          <w:sz w:val="24"/>
        </w:rPr>
        <w:t>平方公里，占项目占地面积的</w:t>
      </w:r>
      <w:r w:rsidRPr="00FC1444">
        <w:rPr>
          <w:rFonts w:eastAsiaTheme="minorEastAsia"/>
          <w:sz w:val="24"/>
        </w:rPr>
        <w:t>0.00%</w:t>
      </w:r>
      <w:r w:rsidRPr="00FC1444">
        <w:rPr>
          <w:rFonts w:eastAsiaTheme="minorEastAsia"/>
          <w:sz w:val="24"/>
        </w:rPr>
        <w:t>。保护地涉及等类型。</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与饮用水水源保护区交集面积为</w:t>
      </w:r>
      <w:r w:rsidRPr="00FC1444">
        <w:rPr>
          <w:rFonts w:eastAsiaTheme="minorEastAsia"/>
          <w:sz w:val="24"/>
        </w:rPr>
        <w:t>0.00</w:t>
      </w:r>
      <w:r w:rsidRPr="00FC1444">
        <w:rPr>
          <w:rFonts w:eastAsiaTheme="minorEastAsia"/>
          <w:sz w:val="24"/>
        </w:rPr>
        <w:t>平方公里，占项目占地面积的</w:t>
      </w:r>
      <w:r w:rsidRPr="00FC1444">
        <w:rPr>
          <w:rFonts w:eastAsiaTheme="minorEastAsia"/>
          <w:sz w:val="24"/>
        </w:rPr>
        <w:t>0.00%</w:t>
      </w:r>
      <w:r w:rsidRPr="00FC1444">
        <w:rPr>
          <w:rFonts w:eastAsiaTheme="minorEastAsia"/>
          <w:sz w:val="24"/>
        </w:rPr>
        <w:t>。与国家级水产种质资源保护区交集面积为</w:t>
      </w:r>
      <w:r w:rsidRPr="00FC1444">
        <w:rPr>
          <w:rFonts w:eastAsiaTheme="minorEastAsia"/>
          <w:sz w:val="24"/>
        </w:rPr>
        <w:t>0.00</w:t>
      </w:r>
      <w:r w:rsidRPr="00FC1444">
        <w:rPr>
          <w:rFonts w:eastAsiaTheme="minorEastAsia"/>
          <w:sz w:val="24"/>
        </w:rPr>
        <w:t>平方公里，占项目占地面积的</w:t>
      </w:r>
      <w:r w:rsidRPr="00FC1444">
        <w:rPr>
          <w:rFonts w:eastAsiaTheme="minorEastAsia"/>
          <w:sz w:val="24"/>
        </w:rPr>
        <w:t>0.00%</w:t>
      </w:r>
      <w:r w:rsidRPr="00FC1444">
        <w:rPr>
          <w:rFonts w:eastAsiaTheme="minorEastAsia"/>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lastRenderedPageBreak/>
        <w:t>与环境管控单元优先保护单元交集面积约为</w:t>
      </w:r>
      <w:r w:rsidR="0070181F" w:rsidRPr="00FC1444">
        <w:rPr>
          <w:rFonts w:eastAsiaTheme="minorEastAsia"/>
          <w:sz w:val="24"/>
        </w:rPr>
        <w:t>0.0</w:t>
      </w:r>
      <w:r w:rsidR="0070181F" w:rsidRPr="00FC1444">
        <w:rPr>
          <w:rFonts w:eastAsiaTheme="minorEastAsia" w:hint="eastAsia"/>
          <w:sz w:val="24"/>
        </w:rPr>
        <w:t>0</w:t>
      </w:r>
      <w:r w:rsidRPr="00FC1444">
        <w:rPr>
          <w:rFonts w:eastAsiaTheme="minorEastAsia"/>
          <w:sz w:val="24"/>
        </w:rPr>
        <w:t>平方公里，占项目占地面积的</w:t>
      </w:r>
      <w:r w:rsidR="0070181F" w:rsidRPr="00FC1444">
        <w:rPr>
          <w:rFonts w:eastAsiaTheme="minorEastAsia" w:hint="eastAsia"/>
          <w:sz w:val="24"/>
        </w:rPr>
        <w:t>0.00</w:t>
      </w:r>
      <w:r w:rsidRPr="00FC1444">
        <w:rPr>
          <w:rFonts w:eastAsiaTheme="minorEastAsia"/>
          <w:sz w:val="24"/>
        </w:rPr>
        <w:t>%</w:t>
      </w:r>
      <w:r w:rsidRPr="00FC1444">
        <w:rPr>
          <w:rFonts w:eastAsiaTheme="minorEastAsia"/>
          <w:sz w:val="24"/>
        </w:rPr>
        <w:t>；与重点管控单元交集面积为</w:t>
      </w:r>
      <w:r w:rsidR="00434754" w:rsidRPr="00FC1444">
        <w:rPr>
          <w:rFonts w:eastAsiaTheme="minorEastAsia" w:hint="eastAsia"/>
          <w:sz w:val="24"/>
        </w:rPr>
        <w:t>50.39</w:t>
      </w:r>
      <w:r w:rsidRPr="00FC1444">
        <w:rPr>
          <w:rFonts w:eastAsiaTheme="minorEastAsia"/>
          <w:sz w:val="24"/>
        </w:rPr>
        <w:t>平方公里，占项目占地面积的</w:t>
      </w:r>
      <w:r w:rsidR="00434754" w:rsidRPr="00FC1444">
        <w:rPr>
          <w:rFonts w:eastAsiaTheme="minorEastAsia" w:hint="eastAsia"/>
          <w:sz w:val="24"/>
        </w:rPr>
        <w:t>29.23</w:t>
      </w:r>
      <w:r w:rsidRPr="00FC1444">
        <w:rPr>
          <w:rFonts w:eastAsiaTheme="minorEastAsia"/>
          <w:sz w:val="24"/>
        </w:rPr>
        <w:t>%</w:t>
      </w:r>
      <w:r w:rsidRPr="00FC1444">
        <w:rPr>
          <w:rFonts w:eastAsiaTheme="minorEastAsia"/>
          <w:sz w:val="24"/>
        </w:rPr>
        <w:t>；一般管控单元交集面积为</w:t>
      </w:r>
      <w:r w:rsidR="00434754" w:rsidRPr="00FC1444">
        <w:rPr>
          <w:rFonts w:eastAsiaTheme="minorEastAsia" w:hint="eastAsia"/>
          <w:sz w:val="24"/>
        </w:rPr>
        <w:t>121.97</w:t>
      </w:r>
      <w:r w:rsidRPr="00FC1444">
        <w:rPr>
          <w:rFonts w:eastAsiaTheme="minorEastAsia"/>
          <w:sz w:val="24"/>
        </w:rPr>
        <w:t>平方公里，占项目占地面积的</w:t>
      </w:r>
      <w:r w:rsidR="00434754" w:rsidRPr="00FC1444">
        <w:rPr>
          <w:rFonts w:eastAsiaTheme="minorEastAsia" w:hint="eastAsia"/>
          <w:sz w:val="24"/>
        </w:rPr>
        <w:t>70.77</w:t>
      </w:r>
      <w:r w:rsidRPr="00FC1444">
        <w:rPr>
          <w:rFonts w:eastAsiaTheme="minorEastAsia"/>
          <w:sz w:val="24"/>
        </w:rPr>
        <w:t>%</w:t>
      </w:r>
      <w:r w:rsidRPr="00FC1444">
        <w:rPr>
          <w:rFonts w:eastAsiaTheme="minorEastAsia"/>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与地下水环境优先保护区交集面积为</w:t>
      </w:r>
      <w:r w:rsidRPr="00FC1444">
        <w:rPr>
          <w:rFonts w:eastAsiaTheme="minorEastAsia"/>
          <w:sz w:val="24"/>
        </w:rPr>
        <w:t>0.00</w:t>
      </w:r>
      <w:r w:rsidRPr="00FC1444">
        <w:rPr>
          <w:rFonts w:eastAsiaTheme="minorEastAsia"/>
          <w:sz w:val="24"/>
        </w:rPr>
        <w:t>平方公里，占项目占地面积的</w:t>
      </w:r>
      <w:r w:rsidRPr="00FC1444">
        <w:rPr>
          <w:rFonts w:eastAsiaTheme="minorEastAsia"/>
          <w:sz w:val="24"/>
        </w:rPr>
        <w:t>0.00%</w:t>
      </w:r>
      <w:r w:rsidRPr="00FC1444">
        <w:rPr>
          <w:rFonts w:eastAsiaTheme="minorEastAsia"/>
          <w:sz w:val="24"/>
        </w:rPr>
        <w:t>；与地下水环境重点管控区交集面积为</w:t>
      </w:r>
      <w:r w:rsidRPr="00FC1444">
        <w:rPr>
          <w:rFonts w:eastAsiaTheme="minorEastAsia"/>
          <w:sz w:val="24"/>
        </w:rPr>
        <w:t>0.00</w:t>
      </w:r>
      <w:r w:rsidRPr="00FC1444">
        <w:rPr>
          <w:rFonts w:eastAsiaTheme="minorEastAsia"/>
          <w:sz w:val="24"/>
        </w:rPr>
        <w:t>平方公里，占项目占地面积的</w:t>
      </w:r>
      <w:r w:rsidRPr="00FC1444">
        <w:rPr>
          <w:rFonts w:eastAsiaTheme="minorEastAsia"/>
          <w:sz w:val="24"/>
        </w:rPr>
        <w:t>0.00%</w:t>
      </w:r>
      <w:r w:rsidRPr="00FC1444">
        <w:rPr>
          <w:rFonts w:eastAsiaTheme="minorEastAsia"/>
          <w:sz w:val="24"/>
        </w:rPr>
        <w:t>，与地下水环境一般管控区交集面积为</w:t>
      </w:r>
      <w:r w:rsidR="0070181F" w:rsidRPr="00FC1444">
        <w:rPr>
          <w:rFonts w:eastAsiaTheme="minorEastAsia" w:hint="eastAsia"/>
          <w:sz w:val="24"/>
        </w:rPr>
        <w:t>172.36</w:t>
      </w:r>
      <w:r w:rsidRPr="00FC1444">
        <w:rPr>
          <w:rFonts w:eastAsiaTheme="minorEastAsia"/>
          <w:sz w:val="24"/>
        </w:rPr>
        <w:t>平方公里，占项目占地面积的</w:t>
      </w:r>
      <w:r w:rsidRPr="00FC1444">
        <w:rPr>
          <w:rFonts w:eastAsiaTheme="minorEastAsia"/>
          <w:sz w:val="24"/>
        </w:rPr>
        <w:t>100.00%</w:t>
      </w:r>
      <w:r w:rsidRPr="00FC1444">
        <w:rPr>
          <w:rFonts w:eastAsiaTheme="minorEastAsia"/>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根据上表，项目建设符合黑龙江省生态环境分区管控要求。</w:t>
      </w:r>
    </w:p>
    <w:p w:rsidR="002A5A5E" w:rsidRPr="00FC1444" w:rsidRDefault="00611CBA">
      <w:pPr>
        <w:pStyle w:val="ab"/>
        <w:spacing w:before="100" w:beforeAutospacing="1" w:after="100" w:afterAutospacing="1"/>
        <w:outlineLvl w:val="2"/>
        <w:rPr>
          <w:rFonts w:eastAsiaTheme="minorEastAsia"/>
          <w:b/>
          <w:sz w:val="24"/>
        </w:rPr>
      </w:pPr>
      <w:r w:rsidRPr="00FC1444">
        <w:rPr>
          <w:rFonts w:eastAsiaTheme="minorEastAsia"/>
          <w:b/>
          <w:sz w:val="24"/>
        </w:rPr>
        <w:t>1.4.</w:t>
      </w:r>
      <w:r w:rsidR="00600084" w:rsidRPr="00FC1444">
        <w:rPr>
          <w:rFonts w:eastAsiaTheme="minorEastAsia"/>
          <w:b/>
          <w:sz w:val="24"/>
        </w:rPr>
        <w:t>5</w:t>
      </w:r>
      <w:r w:rsidRPr="00FC1444">
        <w:rPr>
          <w:rFonts w:eastAsiaTheme="minorEastAsia"/>
          <w:b/>
          <w:sz w:val="24"/>
        </w:rPr>
        <w:t>与《黑龙江省生态功能区划》符合性分析</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）相关内容</w:t>
      </w:r>
    </w:p>
    <w:p w:rsidR="002A5A5E" w:rsidRPr="00FC1444" w:rsidRDefault="00611CBA">
      <w:pPr>
        <w:pStyle w:val="ab"/>
        <w:spacing w:after="0" w:line="360" w:lineRule="auto"/>
        <w:ind w:firstLineChars="200" w:firstLine="480"/>
        <w:rPr>
          <w:rFonts w:eastAsiaTheme="minorEastAsia"/>
          <w:sz w:val="24"/>
        </w:rPr>
      </w:pPr>
      <w:r w:rsidRPr="00FC1444">
        <w:rPr>
          <w:rFonts w:eastAsiaTheme="minorEastAsia"/>
          <w:sz w:val="24"/>
        </w:rPr>
        <w:t>根据《黑龙江省生态功能区划》，本项目位于</w:t>
      </w:r>
      <w:r w:rsidRPr="00FC1444">
        <w:rPr>
          <w:rFonts w:eastAsiaTheme="minorEastAsia"/>
          <w:sz w:val="24"/>
        </w:rPr>
        <w:t>I-5</w:t>
      </w:r>
      <w:r w:rsidRPr="00FC1444">
        <w:rPr>
          <w:rFonts w:eastAsiaTheme="minorEastAsia"/>
          <w:sz w:val="24"/>
        </w:rPr>
        <w:t>松嫩平原东部农业生态区，</w:t>
      </w:r>
      <w:r w:rsidRPr="00FC1444">
        <w:rPr>
          <w:rFonts w:eastAsiaTheme="minorEastAsia"/>
          <w:sz w:val="24"/>
        </w:rPr>
        <w:t xml:space="preserve"> </w:t>
      </w:r>
    </w:p>
    <w:p w:rsidR="002A5A5E" w:rsidRPr="00FC1444" w:rsidRDefault="00611CBA" w:rsidP="0018427B">
      <w:pPr>
        <w:pStyle w:val="ab"/>
        <w:spacing w:after="0" w:line="360" w:lineRule="auto"/>
        <w:rPr>
          <w:rFonts w:eastAsiaTheme="minorEastAsia"/>
          <w:sz w:val="24"/>
        </w:rPr>
      </w:pPr>
      <w:r w:rsidRPr="00FC1444">
        <w:rPr>
          <w:rFonts w:eastAsiaTheme="minorEastAsia"/>
          <w:sz w:val="24"/>
        </w:rPr>
        <w:t>I-5-</w:t>
      </w:r>
      <w:r w:rsidR="0018427B" w:rsidRPr="00FC1444">
        <w:rPr>
          <w:rFonts w:eastAsiaTheme="minorEastAsia"/>
          <w:sz w:val="24"/>
        </w:rPr>
        <w:t>2</w:t>
      </w:r>
      <w:r w:rsidR="0018427B" w:rsidRPr="00FC1444">
        <w:rPr>
          <w:rFonts w:eastAsiaTheme="minorEastAsia"/>
          <w:sz w:val="24"/>
        </w:rPr>
        <w:t>松嫩平原东北部农业与土壤保持生态亚区</w:t>
      </w:r>
      <w:r w:rsidRPr="00FC1444">
        <w:rPr>
          <w:rFonts w:eastAsiaTheme="minorEastAsia"/>
          <w:sz w:val="24"/>
        </w:rPr>
        <w:t>，</w:t>
      </w:r>
      <w:r w:rsidRPr="00FC1444">
        <w:rPr>
          <w:rFonts w:eastAsiaTheme="minorEastAsia"/>
          <w:sz w:val="24"/>
        </w:rPr>
        <w:t>I-5-</w:t>
      </w:r>
      <w:r w:rsidR="0018427B" w:rsidRPr="00FC1444">
        <w:rPr>
          <w:rFonts w:eastAsiaTheme="minorEastAsia"/>
          <w:sz w:val="24"/>
        </w:rPr>
        <w:t>2</w:t>
      </w:r>
      <w:r w:rsidRPr="00FC1444">
        <w:rPr>
          <w:rFonts w:eastAsiaTheme="minorEastAsia"/>
          <w:sz w:val="24"/>
        </w:rPr>
        <w:t>-</w:t>
      </w:r>
      <w:r w:rsidR="0018427B" w:rsidRPr="00FC1444">
        <w:rPr>
          <w:rFonts w:eastAsiaTheme="minorEastAsia"/>
          <w:sz w:val="24"/>
        </w:rPr>
        <w:t>2</w:t>
      </w:r>
      <w:r w:rsidR="0018427B" w:rsidRPr="00FC1444">
        <w:rPr>
          <w:rFonts w:eastAsiaTheme="minorEastAsia"/>
          <w:sz w:val="24"/>
        </w:rPr>
        <w:t>松嫩平原中部农业与土壤保持生态功能区</w:t>
      </w:r>
      <w:r w:rsidRPr="00FC1444">
        <w:rPr>
          <w:rFonts w:eastAsiaTheme="minorEastAsia"/>
          <w:sz w:val="24"/>
        </w:rPr>
        <w:t>。主要生态环境问题</w:t>
      </w:r>
      <w:r w:rsidR="0018427B" w:rsidRPr="00FC1444">
        <w:rPr>
          <w:rFonts w:eastAsiaTheme="minorEastAsia"/>
          <w:sz w:val="24"/>
        </w:rPr>
        <w:t>：植被覆盖率低；草原沙化和水土流失现象严重；土地生产力低。生态敏感性：大面积的土地沙漠化敏感性为中度敏感；明水附近土壤侵蚀敏感性为高度敏感。主要生态系统服务功能：土壤保持与沙漠化控制、农业生产。保护措施与发展方向：提高水资源的利用率，积极恢复草地生态环境，加大生态农业建设</w:t>
      </w:r>
      <w:r w:rsidRPr="00FC1444">
        <w:rPr>
          <w:rFonts w:eastAsiaTheme="minorEastAsia"/>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）符合性分析</w:t>
      </w:r>
    </w:p>
    <w:p w:rsidR="002A5A5E" w:rsidRPr="00FC1444" w:rsidRDefault="00611CBA">
      <w:pPr>
        <w:pStyle w:val="ab"/>
        <w:spacing w:after="0" w:line="360" w:lineRule="auto"/>
        <w:ind w:firstLineChars="200" w:firstLine="480"/>
        <w:rPr>
          <w:rFonts w:eastAsiaTheme="minorEastAsia"/>
          <w:sz w:val="24"/>
        </w:rPr>
      </w:pPr>
      <w:r w:rsidRPr="00FC1444">
        <w:rPr>
          <w:rFonts w:eastAsiaTheme="minorEastAsia"/>
          <w:sz w:val="24"/>
        </w:rPr>
        <w:t>根据已批复《</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水资源论证报告书》，</w:t>
      </w:r>
      <w:r w:rsidR="00E41AB9" w:rsidRPr="00FC1444">
        <w:rPr>
          <w:rFonts w:eastAsiaTheme="minorEastAsia"/>
          <w:sz w:val="24"/>
        </w:rPr>
        <w:t>旱田</w:t>
      </w:r>
      <w:r w:rsidRPr="00FC1444">
        <w:rPr>
          <w:rFonts w:eastAsiaTheme="minorEastAsia"/>
          <w:sz w:val="24"/>
        </w:rPr>
        <w:t>灌溉工程灌溉保证率为</w:t>
      </w:r>
      <w:r w:rsidRPr="00FC1444">
        <w:rPr>
          <w:rFonts w:eastAsiaTheme="minorEastAsia"/>
          <w:sz w:val="24"/>
        </w:rPr>
        <w:t>90%</w:t>
      </w:r>
      <w:r w:rsidRPr="00FC1444">
        <w:rPr>
          <w:rFonts w:eastAsiaTheme="minorEastAsia"/>
          <w:sz w:val="24"/>
        </w:rPr>
        <w:t>，</w:t>
      </w:r>
      <w:r w:rsidR="002E2407" w:rsidRPr="00FC1444">
        <w:rPr>
          <w:rFonts w:eastAsiaTheme="minorEastAsia"/>
          <w:sz w:val="24"/>
        </w:rPr>
        <w:t>坐水种灌溉水利用系数达到</w:t>
      </w:r>
      <w:r w:rsidR="002E2407" w:rsidRPr="00FC1444">
        <w:rPr>
          <w:rFonts w:eastAsiaTheme="minorEastAsia"/>
          <w:sz w:val="24"/>
        </w:rPr>
        <w:t>0.</w:t>
      </w:r>
      <w:r w:rsidR="00FD6E06" w:rsidRPr="00FC1444">
        <w:rPr>
          <w:rFonts w:eastAsiaTheme="minorEastAsia"/>
          <w:sz w:val="24"/>
        </w:rPr>
        <w:t>83</w:t>
      </w:r>
      <w:r w:rsidR="002E2407" w:rsidRPr="00FC1444">
        <w:rPr>
          <w:rFonts w:eastAsiaTheme="minorEastAsia"/>
          <w:sz w:val="24"/>
        </w:rPr>
        <w:t>，滴灌灌溉水利用系数达到</w:t>
      </w:r>
      <w:r w:rsidR="002E2407" w:rsidRPr="00FC1444">
        <w:rPr>
          <w:rFonts w:eastAsiaTheme="minorEastAsia"/>
          <w:sz w:val="24"/>
        </w:rPr>
        <w:t>0.93</w:t>
      </w:r>
      <w:r w:rsidRPr="00FC1444">
        <w:rPr>
          <w:rFonts w:eastAsiaTheme="minorEastAsia"/>
          <w:sz w:val="24"/>
        </w:rPr>
        <w:t>，并采取节水灌溉制度，严格控制地下水的开采程度。本项目施工期间加强监管、减少水土流失，临时占地在施工结束后及时进行恢复。</w:t>
      </w:r>
      <w:r w:rsidRPr="00FC1444">
        <w:rPr>
          <w:rFonts w:eastAsiaTheme="minorEastAsia"/>
          <w:bCs/>
          <w:sz w:val="24"/>
        </w:rPr>
        <w:t>表土堆场设置临时拦挡，采用密目网苫盖，减少水土流失</w:t>
      </w:r>
      <w:r w:rsidRPr="00FC1444">
        <w:rPr>
          <w:rFonts w:eastAsiaTheme="minorEastAsia"/>
          <w:sz w:val="24"/>
        </w:rPr>
        <w:t>。因此，本项目建设符合《黑龙江省生态功能区划》的要求。</w:t>
      </w:r>
    </w:p>
    <w:p w:rsidR="002A5A5E" w:rsidRPr="00FC1444" w:rsidRDefault="00611CBA">
      <w:pPr>
        <w:pStyle w:val="ab"/>
        <w:spacing w:before="100" w:beforeAutospacing="1" w:after="100" w:afterAutospacing="1"/>
        <w:outlineLvl w:val="2"/>
        <w:rPr>
          <w:rFonts w:eastAsiaTheme="minorEastAsia"/>
          <w:b/>
          <w:sz w:val="24"/>
        </w:rPr>
      </w:pPr>
      <w:r w:rsidRPr="00FC1444">
        <w:rPr>
          <w:rFonts w:eastAsiaTheme="minorEastAsia"/>
          <w:b/>
          <w:sz w:val="24"/>
        </w:rPr>
        <w:t>1.4.</w:t>
      </w:r>
      <w:r w:rsidR="00600084" w:rsidRPr="00FC1444">
        <w:rPr>
          <w:rFonts w:eastAsiaTheme="minorEastAsia"/>
          <w:b/>
          <w:sz w:val="24"/>
        </w:rPr>
        <w:t>6</w:t>
      </w:r>
      <w:r w:rsidRPr="00FC1444">
        <w:rPr>
          <w:rFonts w:eastAsiaTheme="minorEastAsia"/>
          <w:b/>
          <w:sz w:val="24"/>
        </w:rPr>
        <w:t>与《黑龙江省主体功能区划》符合性分析</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）相关内容</w:t>
      </w:r>
    </w:p>
    <w:p w:rsidR="002A5A5E" w:rsidRPr="00FC1444" w:rsidRDefault="00611CBA">
      <w:pPr>
        <w:pStyle w:val="ab"/>
        <w:spacing w:after="0" w:line="360" w:lineRule="auto"/>
        <w:ind w:firstLineChars="200" w:firstLine="480"/>
        <w:rPr>
          <w:rFonts w:eastAsiaTheme="minorEastAsia"/>
          <w:sz w:val="24"/>
        </w:rPr>
      </w:pPr>
      <w:r w:rsidRPr="00FC1444">
        <w:rPr>
          <w:rFonts w:eastAsiaTheme="minorEastAsia"/>
          <w:sz w:val="24"/>
        </w:rPr>
        <w:t>本项目位于黑龙江省</w:t>
      </w:r>
      <w:r w:rsidR="0018427B" w:rsidRPr="00FC1444">
        <w:rPr>
          <w:rFonts w:eastAsiaTheme="minorEastAsia"/>
          <w:sz w:val="24"/>
        </w:rPr>
        <w:t>绥化</w:t>
      </w:r>
      <w:r w:rsidRPr="00FC1444">
        <w:rPr>
          <w:rFonts w:eastAsiaTheme="minorEastAsia"/>
          <w:sz w:val="24"/>
        </w:rPr>
        <w:t>市</w:t>
      </w:r>
      <w:r w:rsidR="0018427B" w:rsidRPr="00FC1444">
        <w:rPr>
          <w:rFonts w:eastAsiaTheme="minorEastAsia"/>
          <w:sz w:val="24"/>
        </w:rPr>
        <w:t>北林</w:t>
      </w:r>
      <w:r w:rsidRPr="00FC1444">
        <w:rPr>
          <w:rFonts w:eastAsiaTheme="minorEastAsia"/>
          <w:sz w:val="24"/>
        </w:rPr>
        <w:t>区，为国家级</w:t>
      </w:r>
      <w:r w:rsidR="0018427B" w:rsidRPr="00FC1444">
        <w:rPr>
          <w:rFonts w:eastAsiaTheme="minorEastAsia"/>
          <w:sz w:val="24"/>
        </w:rPr>
        <w:t>限制</w:t>
      </w:r>
      <w:r w:rsidRPr="00FC1444">
        <w:rPr>
          <w:rFonts w:eastAsiaTheme="minorEastAsia"/>
          <w:sz w:val="24"/>
        </w:rPr>
        <w:t>开发区域</w:t>
      </w:r>
      <w:r w:rsidR="0018427B" w:rsidRPr="00FC1444">
        <w:rPr>
          <w:rFonts w:eastAsiaTheme="minorEastAsia"/>
          <w:sz w:val="24"/>
        </w:rPr>
        <w:t>（重点生态功能区）</w:t>
      </w:r>
      <w:r w:rsidRPr="00FC1444">
        <w:rPr>
          <w:rFonts w:eastAsiaTheme="minorEastAsia"/>
          <w:sz w:val="24"/>
        </w:rPr>
        <w:t>。功能定位：</w:t>
      </w:r>
      <w:r w:rsidR="00CB7087" w:rsidRPr="00FC1444">
        <w:rPr>
          <w:rFonts w:eastAsiaTheme="minorEastAsia"/>
          <w:sz w:val="24"/>
        </w:rPr>
        <w:t>以提供生态产品为主，保障生态安全的重要区域，人与自然和</w:t>
      </w:r>
      <w:r w:rsidR="00CB7087" w:rsidRPr="00FC1444">
        <w:rPr>
          <w:rFonts w:eastAsiaTheme="minorEastAsia"/>
          <w:sz w:val="24"/>
        </w:rPr>
        <w:lastRenderedPageBreak/>
        <w:t>谐相处的示范区</w:t>
      </w:r>
      <w:r w:rsidRPr="00FC1444">
        <w:rPr>
          <w:rFonts w:eastAsiaTheme="minorEastAsia"/>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）符合性分析</w:t>
      </w:r>
    </w:p>
    <w:p w:rsidR="002A5A5E" w:rsidRPr="00FC1444" w:rsidRDefault="00611CBA">
      <w:pPr>
        <w:spacing w:line="360" w:lineRule="auto"/>
        <w:ind w:firstLineChars="196" w:firstLine="470"/>
        <w:rPr>
          <w:rFonts w:eastAsiaTheme="minorEastAsia"/>
          <w:sz w:val="24"/>
        </w:rPr>
      </w:pPr>
      <w:r w:rsidRPr="00FC1444">
        <w:rPr>
          <w:rFonts w:eastAsiaTheme="minorEastAsia"/>
          <w:sz w:val="24"/>
        </w:rPr>
        <w:t>本项目</w:t>
      </w:r>
      <w:r w:rsidR="00D622BA" w:rsidRPr="00FC1444">
        <w:rPr>
          <w:rFonts w:eastAsiaTheme="minorEastAsia"/>
          <w:bCs/>
          <w:sz w:val="24"/>
        </w:rPr>
        <w:t>建设</w:t>
      </w:r>
      <w:r w:rsidR="00D622BA" w:rsidRPr="00FC1444">
        <w:rPr>
          <w:rFonts w:eastAsiaTheme="minorEastAsia"/>
          <w:bCs/>
          <w:sz w:val="24"/>
        </w:rPr>
        <w:t>21</w:t>
      </w:r>
      <w:r w:rsidR="00D622BA" w:rsidRPr="00FC1444">
        <w:rPr>
          <w:rFonts w:eastAsiaTheme="minorEastAsia"/>
          <w:bCs/>
          <w:sz w:val="24"/>
        </w:rPr>
        <w:t>万亩高标准农田（旱田</w:t>
      </w:r>
      <w:r w:rsidR="00D622BA" w:rsidRPr="00FC1444">
        <w:rPr>
          <w:rFonts w:eastAsiaTheme="minorEastAsia"/>
          <w:bCs/>
          <w:sz w:val="24"/>
        </w:rPr>
        <w:t>11.84</w:t>
      </w:r>
      <w:r w:rsidR="00D622BA" w:rsidRPr="00FC1444">
        <w:rPr>
          <w:rFonts w:eastAsiaTheme="minorEastAsia"/>
          <w:bCs/>
          <w:sz w:val="24"/>
        </w:rPr>
        <w:t>万亩，水田</w:t>
      </w:r>
      <w:r w:rsidR="00D622BA" w:rsidRPr="00FC1444">
        <w:rPr>
          <w:rFonts w:eastAsiaTheme="minorEastAsia"/>
          <w:bCs/>
          <w:sz w:val="24"/>
        </w:rPr>
        <w:t>9.16</w:t>
      </w:r>
      <w:r w:rsidR="00D622BA" w:rsidRPr="00FC1444">
        <w:rPr>
          <w:rFonts w:eastAsiaTheme="minorEastAsia"/>
          <w:bCs/>
          <w:sz w:val="24"/>
        </w:rPr>
        <w:t>万亩）</w:t>
      </w:r>
      <w:r w:rsidRPr="00FC1444">
        <w:rPr>
          <w:rFonts w:eastAsiaTheme="minorEastAsia"/>
          <w:sz w:val="24"/>
        </w:rPr>
        <w:t>，建设灌溉井可提供作物种植期伏旱抗旱用水，实现了抗旱及保苗的效果，田块整治工程增加了玉米、水稻的亩产量，农田道路等工程的建设，主要完善了当地的农业交通条件，为当地农业机械化作业提供了便利的条件，提高了农业生产效率，加快绿色农业、现代农业发展</w:t>
      </w:r>
      <w:r w:rsidR="00CB7087" w:rsidRPr="00FC1444">
        <w:rPr>
          <w:rFonts w:eastAsiaTheme="minorEastAsia"/>
          <w:sz w:val="24"/>
        </w:rPr>
        <w:t>。本项目实施排水沟清淤、</w:t>
      </w:r>
      <w:r w:rsidR="00CB7087" w:rsidRPr="00FC1444">
        <w:rPr>
          <w:rFonts w:eastAsiaTheme="minorEastAsia"/>
          <w:bCs/>
          <w:sz w:val="24"/>
        </w:rPr>
        <w:t>护砌</w:t>
      </w:r>
      <w:r w:rsidR="00CB7087" w:rsidRPr="00FC1444">
        <w:rPr>
          <w:rFonts w:eastAsiaTheme="minorEastAsia"/>
          <w:sz w:val="24"/>
        </w:rPr>
        <w:t>、灌溉渠道衬砌等工程，建成后可减少区域水土流失，</w:t>
      </w:r>
      <w:r w:rsidR="00CB7087" w:rsidRPr="00FC1444">
        <w:rPr>
          <w:rFonts w:eastAsiaTheme="minorEastAsia"/>
          <w:bCs/>
          <w:sz w:val="24"/>
        </w:rPr>
        <w:t>提高和维持土地生产力。本项目实施后，由于灌溉水利用系数的提升、农田保水能力增强以及渠系配套系统的完善，地表水退水量减少，相应污染物入河量与现状相比也有一定程度的削减。项目施行</w:t>
      </w:r>
      <w:r w:rsidR="00CB7087" w:rsidRPr="00FC1444">
        <w:rPr>
          <w:rFonts w:eastAsiaTheme="minorEastAsia"/>
          <w:bCs/>
          <w:sz w:val="24"/>
        </w:rPr>
        <w:t>“</w:t>
      </w:r>
      <w:r w:rsidR="00CB7087" w:rsidRPr="00FC1444">
        <w:rPr>
          <w:rFonts w:eastAsiaTheme="minorEastAsia"/>
          <w:bCs/>
          <w:sz w:val="24"/>
        </w:rPr>
        <w:t>三减</w:t>
      </w:r>
      <w:r w:rsidR="00CB7087" w:rsidRPr="00FC1444">
        <w:rPr>
          <w:rFonts w:eastAsiaTheme="minorEastAsia"/>
          <w:bCs/>
          <w:sz w:val="24"/>
        </w:rPr>
        <w:t>”</w:t>
      </w:r>
      <w:r w:rsidR="00CB7087" w:rsidRPr="00FC1444">
        <w:rPr>
          <w:rFonts w:eastAsiaTheme="minorEastAsia"/>
          <w:bCs/>
          <w:sz w:val="24"/>
        </w:rPr>
        <w:t>行动，即减化肥、减农药、减除草剂，积极推广科学施肥，使化肥、农药实现减量化施用，增加有机肥的施用，优化调整农药施用结构，控制农药施用量，采取测土配方施肥、水肥一体化措施，充分利用高效节水技术灌溉，减少对水环境及生态环境造成的不利影响</w:t>
      </w:r>
      <w:r w:rsidRPr="00FC1444">
        <w:rPr>
          <w:rFonts w:eastAsiaTheme="minorEastAsia"/>
          <w:sz w:val="24"/>
        </w:rPr>
        <w:t>。</w:t>
      </w:r>
    </w:p>
    <w:p w:rsidR="002A5A5E" w:rsidRPr="00FC1444" w:rsidRDefault="00611CBA">
      <w:pPr>
        <w:pStyle w:val="ab"/>
        <w:spacing w:before="100" w:beforeAutospacing="1" w:after="100" w:afterAutospacing="1"/>
        <w:outlineLvl w:val="2"/>
        <w:rPr>
          <w:rFonts w:eastAsiaTheme="minorEastAsia"/>
          <w:b/>
          <w:sz w:val="24"/>
        </w:rPr>
      </w:pPr>
      <w:r w:rsidRPr="00FC1444">
        <w:rPr>
          <w:rFonts w:eastAsiaTheme="minorEastAsia"/>
          <w:b/>
          <w:sz w:val="24"/>
        </w:rPr>
        <w:t>1.4.</w:t>
      </w:r>
      <w:r w:rsidR="00600084" w:rsidRPr="00FC1444">
        <w:rPr>
          <w:rFonts w:eastAsiaTheme="minorEastAsia"/>
          <w:b/>
          <w:sz w:val="24"/>
        </w:rPr>
        <w:t>7</w:t>
      </w:r>
      <w:r w:rsidRPr="00FC1444">
        <w:rPr>
          <w:rFonts w:eastAsiaTheme="minorEastAsia"/>
          <w:b/>
          <w:sz w:val="24"/>
        </w:rPr>
        <w:t>与《</w:t>
      </w:r>
      <w:r w:rsidR="004928ED" w:rsidRPr="00FC1444">
        <w:rPr>
          <w:rFonts w:eastAsiaTheme="minorEastAsia"/>
          <w:b/>
          <w:sz w:val="24"/>
        </w:rPr>
        <w:t>绥化</w:t>
      </w:r>
      <w:r w:rsidRPr="00FC1444">
        <w:rPr>
          <w:rFonts w:eastAsiaTheme="minorEastAsia"/>
          <w:b/>
          <w:sz w:val="24"/>
        </w:rPr>
        <w:t>市国土空间总体规划》（</w:t>
      </w:r>
      <w:r w:rsidRPr="00FC1444">
        <w:rPr>
          <w:rFonts w:eastAsiaTheme="minorEastAsia"/>
          <w:b/>
          <w:sz w:val="24"/>
        </w:rPr>
        <w:t>2020-2035</w:t>
      </w:r>
      <w:r w:rsidRPr="00FC1444">
        <w:rPr>
          <w:rFonts w:eastAsiaTheme="minorEastAsia"/>
          <w:b/>
          <w:sz w:val="24"/>
        </w:rPr>
        <w:t>公众版）符合性分析</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）相关内容</w:t>
      </w:r>
    </w:p>
    <w:p w:rsidR="002A5A5E" w:rsidRPr="00FC1444" w:rsidRDefault="004928ED" w:rsidP="004928ED">
      <w:pPr>
        <w:spacing w:line="360" w:lineRule="auto"/>
        <w:ind w:firstLineChars="196" w:firstLine="470"/>
        <w:rPr>
          <w:rFonts w:eastAsiaTheme="minorEastAsia"/>
          <w:bCs/>
          <w:sz w:val="24"/>
        </w:rPr>
      </w:pPr>
      <w:r w:rsidRPr="00FC1444">
        <w:rPr>
          <w:rFonts w:eastAsiaTheme="minorEastAsia"/>
          <w:bCs/>
          <w:sz w:val="24"/>
        </w:rPr>
        <w:t>以三区三线为基础，优化国土空间开发保护格局</w:t>
      </w:r>
      <w:r w:rsidRPr="00FC1444">
        <w:rPr>
          <w:rFonts w:eastAsiaTheme="minorEastAsia"/>
          <w:bCs/>
          <w:sz w:val="24"/>
        </w:rPr>
        <w:t>“</w:t>
      </w:r>
      <w:r w:rsidRPr="00FC1444">
        <w:rPr>
          <w:rFonts w:eastAsiaTheme="minorEastAsia"/>
          <w:bCs/>
          <w:sz w:val="24"/>
        </w:rPr>
        <w:t>第一节</w:t>
      </w:r>
      <w:r w:rsidRPr="00FC1444">
        <w:rPr>
          <w:rFonts w:eastAsiaTheme="minorEastAsia"/>
          <w:bCs/>
          <w:sz w:val="24"/>
        </w:rPr>
        <w:t xml:space="preserve"> </w:t>
      </w:r>
      <w:r w:rsidRPr="00FC1444">
        <w:rPr>
          <w:rFonts w:eastAsiaTheme="minorEastAsia"/>
          <w:bCs/>
          <w:sz w:val="24"/>
        </w:rPr>
        <w:t>三条控制线划定与管控</w:t>
      </w:r>
      <w:r w:rsidRPr="00FC1444">
        <w:rPr>
          <w:rFonts w:eastAsiaTheme="minorEastAsia"/>
          <w:bCs/>
          <w:sz w:val="24"/>
        </w:rPr>
        <w:t>”</w:t>
      </w:r>
      <w:r w:rsidRPr="00FC1444">
        <w:rPr>
          <w:rFonts w:eastAsiaTheme="minorEastAsia"/>
          <w:bCs/>
          <w:sz w:val="24"/>
        </w:rPr>
        <w:t>：耕地和永久基本农田红线划定与管控。优先划定耕地和永久基本农田保护红线。落实国家下达的耕地和永久基本农田保护任务，现状耕地应划尽划、应保尽保，将可以长期稳定利用耕地优先划入永久基本农田实行特殊保护。按照省级规划下达指标，绥化全市耕地保有量目标为</w:t>
      </w:r>
      <w:r w:rsidRPr="00FC1444">
        <w:rPr>
          <w:rFonts w:eastAsiaTheme="minorEastAsia"/>
          <w:bCs/>
          <w:sz w:val="24"/>
        </w:rPr>
        <w:t>20515.67</w:t>
      </w:r>
      <w:r w:rsidRPr="00FC1444">
        <w:rPr>
          <w:rFonts w:eastAsiaTheme="minorEastAsia"/>
          <w:bCs/>
          <w:sz w:val="24"/>
        </w:rPr>
        <w:t>平方公里（</w:t>
      </w:r>
      <w:r w:rsidRPr="00FC1444">
        <w:rPr>
          <w:rFonts w:eastAsiaTheme="minorEastAsia"/>
          <w:bCs/>
          <w:sz w:val="24"/>
        </w:rPr>
        <w:t>3077.35</w:t>
      </w:r>
      <w:r w:rsidRPr="00FC1444">
        <w:rPr>
          <w:rFonts w:eastAsiaTheme="minorEastAsia"/>
          <w:bCs/>
          <w:sz w:val="24"/>
        </w:rPr>
        <w:t>万亩），永久基本农田保护任务为</w:t>
      </w:r>
      <w:r w:rsidRPr="00FC1444">
        <w:rPr>
          <w:rFonts w:eastAsiaTheme="minorEastAsia"/>
          <w:bCs/>
          <w:sz w:val="24"/>
        </w:rPr>
        <w:t>17300.00</w:t>
      </w:r>
      <w:r w:rsidRPr="00FC1444">
        <w:rPr>
          <w:rFonts w:eastAsiaTheme="minorEastAsia"/>
          <w:bCs/>
          <w:sz w:val="24"/>
        </w:rPr>
        <w:t>平方公里（</w:t>
      </w:r>
      <w:r w:rsidRPr="00FC1444">
        <w:rPr>
          <w:rFonts w:eastAsiaTheme="minorEastAsia"/>
          <w:bCs/>
          <w:sz w:val="24"/>
        </w:rPr>
        <w:t>2595.00</w:t>
      </w:r>
      <w:r w:rsidRPr="00FC1444">
        <w:rPr>
          <w:rFonts w:eastAsiaTheme="minorEastAsia"/>
          <w:bCs/>
          <w:sz w:val="24"/>
        </w:rPr>
        <w:t>万亩）。永久基本农田全面实行特殊保护，落实到图斑地块并上图入库，实现耕地数量、质量、生态</w:t>
      </w:r>
      <w:r w:rsidRPr="00FC1444">
        <w:rPr>
          <w:rFonts w:eastAsiaTheme="minorEastAsia"/>
          <w:bCs/>
          <w:sz w:val="24"/>
        </w:rPr>
        <w:t>“</w:t>
      </w:r>
      <w:r w:rsidRPr="00FC1444">
        <w:rPr>
          <w:rFonts w:eastAsiaTheme="minorEastAsia"/>
          <w:bCs/>
          <w:sz w:val="24"/>
        </w:rPr>
        <w:t>三位一体</w:t>
      </w:r>
      <w:r w:rsidRPr="00FC1444">
        <w:rPr>
          <w:rFonts w:eastAsiaTheme="minorEastAsia"/>
          <w:bCs/>
          <w:sz w:val="24"/>
        </w:rPr>
        <w:t>”</w:t>
      </w:r>
      <w:r w:rsidRPr="00FC1444">
        <w:rPr>
          <w:rFonts w:eastAsiaTheme="minorEastAsia"/>
          <w:bCs/>
          <w:sz w:val="24"/>
        </w:rPr>
        <w:t>保护。永久基本农田经依法划定后，任何单位和个人不得擅自占用或改变用途。能源、交通、水利、军事设施等重大建设项目选址确实难以避让永久基本农田的，经依法批准，应在落实耕地占补平衡基础上，按照数量不减、质量不降原则，在可以长期稳定利用的耕地上落实永久基本农田补划任务。优先在永久基本农田上开展高标准农田建设，提高永久基本农田质量。强化永久基本农田保护考核，落实地方各级政府保护耕地主体责任</w:t>
      </w:r>
      <w:r w:rsidR="00611CBA" w:rsidRPr="00FC1444">
        <w:rPr>
          <w:rFonts w:eastAsiaTheme="minorEastAsia"/>
          <w:bCs/>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lastRenderedPageBreak/>
        <w:t>（</w:t>
      </w:r>
      <w:r w:rsidRPr="00FC1444">
        <w:rPr>
          <w:rFonts w:eastAsiaTheme="minorEastAsia"/>
          <w:sz w:val="24"/>
        </w:rPr>
        <w:t>2</w:t>
      </w:r>
      <w:r w:rsidRPr="00FC1444">
        <w:rPr>
          <w:rFonts w:eastAsiaTheme="minorEastAsia"/>
          <w:sz w:val="24"/>
        </w:rPr>
        <w:t>）符合性分析</w:t>
      </w:r>
    </w:p>
    <w:p w:rsidR="002A5A5E" w:rsidRPr="00FC1444" w:rsidRDefault="00611CBA">
      <w:pPr>
        <w:spacing w:line="360" w:lineRule="auto"/>
        <w:ind w:firstLineChars="196" w:firstLine="470"/>
        <w:rPr>
          <w:rFonts w:eastAsiaTheme="minorEastAsia"/>
          <w:sz w:val="24"/>
        </w:rPr>
      </w:pPr>
      <w:r w:rsidRPr="00FC1444">
        <w:rPr>
          <w:rFonts w:eastAsiaTheme="minorEastAsia"/>
          <w:sz w:val="24"/>
        </w:rPr>
        <w:t>本项目</w:t>
      </w:r>
      <w:r w:rsidR="00D622BA" w:rsidRPr="00FC1444">
        <w:rPr>
          <w:rFonts w:eastAsiaTheme="minorEastAsia"/>
          <w:bCs/>
          <w:sz w:val="24"/>
        </w:rPr>
        <w:t>建设</w:t>
      </w:r>
      <w:r w:rsidR="00D622BA" w:rsidRPr="00FC1444">
        <w:rPr>
          <w:rFonts w:eastAsiaTheme="minorEastAsia"/>
          <w:bCs/>
          <w:sz w:val="24"/>
        </w:rPr>
        <w:t>21</w:t>
      </w:r>
      <w:r w:rsidR="00D622BA" w:rsidRPr="00FC1444">
        <w:rPr>
          <w:rFonts w:eastAsiaTheme="minorEastAsia"/>
          <w:bCs/>
          <w:sz w:val="24"/>
        </w:rPr>
        <w:t>万亩高标准农田（旱田</w:t>
      </w:r>
      <w:r w:rsidR="00D622BA" w:rsidRPr="00FC1444">
        <w:rPr>
          <w:rFonts w:eastAsiaTheme="minorEastAsia"/>
          <w:bCs/>
          <w:sz w:val="24"/>
        </w:rPr>
        <w:t>11.84</w:t>
      </w:r>
      <w:r w:rsidR="00D622BA" w:rsidRPr="00FC1444">
        <w:rPr>
          <w:rFonts w:eastAsiaTheme="minorEastAsia"/>
          <w:bCs/>
          <w:sz w:val="24"/>
        </w:rPr>
        <w:t>万亩，水田</w:t>
      </w:r>
      <w:r w:rsidR="00D622BA" w:rsidRPr="00FC1444">
        <w:rPr>
          <w:rFonts w:eastAsiaTheme="minorEastAsia"/>
          <w:bCs/>
          <w:sz w:val="24"/>
        </w:rPr>
        <w:t>9.16</w:t>
      </w:r>
      <w:r w:rsidR="00D622BA" w:rsidRPr="00FC1444">
        <w:rPr>
          <w:rFonts w:eastAsiaTheme="minorEastAsia"/>
          <w:bCs/>
          <w:sz w:val="24"/>
        </w:rPr>
        <w:t>万亩）</w:t>
      </w:r>
      <w:r w:rsidRPr="00FC1444">
        <w:rPr>
          <w:rFonts w:eastAsiaTheme="minorEastAsia"/>
          <w:sz w:val="24"/>
        </w:rPr>
        <w:t>，建设灌溉井可提供作物种植期伏旱抗旱用水，实现了抗旱及保苗的效果，本项目实施排水沟清淤、</w:t>
      </w:r>
      <w:r w:rsidRPr="00FC1444">
        <w:rPr>
          <w:rFonts w:eastAsiaTheme="minorEastAsia"/>
          <w:bCs/>
          <w:sz w:val="24"/>
        </w:rPr>
        <w:t>护砌</w:t>
      </w:r>
      <w:r w:rsidRPr="00FC1444">
        <w:rPr>
          <w:rFonts w:eastAsiaTheme="minorEastAsia"/>
          <w:sz w:val="24"/>
        </w:rPr>
        <w:t>、灌溉渠道衬砌等工程，建成后可减少区域水土流失，</w:t>
      </w:r>
      <w:r w:rsidRPr="00FC1444">
        <w:rPr>
          <w:rFonts w:eastAsiaTheme="minorEastAsia"/>
          <w:bCs/>
          <w:sz w:val="24"/>
        </w:rPr>
        <w:t>提高和维持土地生产力。</w:t>
      </w:r>
    </w:p>
    <w:p w:rsidR="002A5A5E" w:rsidRPr="00FC1444" w:rsidRDefault="00611CBA">
      <w:pPr>
        <w:pStyle w:val="ab"/>
        <w:spacing w:before="100" w:beforeAutospacing="1" w:after="100" w:afterAutospacing="1"/>
        <w:outlineLvl w:val="2"/>
        <w:rPr>
          <w:rFonts w:eastAsiaTheme="minorEastAsia"/>
          <w:b/>
          <w:sz w:val="24"/>
        </w:rPr>
      </w:pPr>
      <w:r w:rsidRPr="00FC1444">
        <w:rPr>
          <w:rFonts w:eastAsiaTheme="minorEastAsia"/>
          <w:b/>
          <w:sz w:val="24"/>
        </w:rPr>
        <w:t>1.4.</w:t>
      </w:r>
      <w:r w:rsidR="00600084" w:rsidRPr="00FC1444">
        <w:rPr>
          <w:rFonts w:eastAsiaTheme="minorEastAsia"/>
          <w:b/>
          <w:sz w:val="24"/>
        </w:rPr>
        <w:t>8</w:t>
      </w:r>
      <w:r w:rsidRPr="00FC1444">
        <w:rPr>
          <w:rFonts w:eastAsiaTheme="minorEastAsia"/>
          <w:b/>
          <w:sz w:val="24"/>
        </w:rPr>
        <w:t>相关规划、政策、规范符合性分析</w:t>
      </w:r>
    </w:p>
    <w:p w:rsidR="002A5A5E" w:rsidRPr="00FC1444" w:rsidRDefault="00611CBA">
      <w:pPr>
        <w:widowControl/>
        <w:spacing w:line="360" w:lineRule="auto"/>
        <w:ind w:firstLineChars="200" w:firstLine="480"/>
        <w:jc w:val="left"/>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）全国高标准农田建设规划符合性</w:t>
      </w:r>
    </w:p>
    <w:p w:rsidR="002A5A5E" w:rsidRPr="00FC1444" w:rsidRDefault="00611CBA">
      <w:pPr>
        <w:pStyle w:val="ab"/>
        <w:spacing w:after="0" w:line="360" w:lineRule="auto"/>
        <w:ind w:firstLineChars="200" w:firstLine="480"/>
        <w:rPr>
          <w:rFonts w:eastAsiaTheme="minorEastAsia"/>
          <w:sz w:val="24"/>
        </w:rPr>
      </w:pPr>
      <w:r w:rsidRPr="00FC1444">
        <w:rPr>
          <w:rFonts w:eastAsiaTheme="minorEastAsia"/>
          <w:sz w:val="24"/>
        </w:rPr>
        <w:t>《全国高标准农田建设规划（</w:t>
      </w:r>
      <w:r w:rsidRPr="00FC1444">
        <w:rPr>
          <w:rFonts w:eastAsiaTheme="minorEastAsia"/>
          <w:sz w:val="24"/>
        </w:rPr>
        <w:t>2021-2030</w:t>
      </w:r>
      <w:r w:rsidRPr="00FC1444">
        <w:rPr>
          <w:rFonts w:eastAsiaTheme="minorEastAsia"/>
          <w:sz w:val="24"/>
        </w:rPr>
        <w:t>年）》的建设目标为规划期内，集中力量建设集中连片、旱涝保收、节水高效、稳产高产、生态友好的高标准农田，形成一批</w:t>
      </w:r>
      <w:r w:rsidRPr="00FC1444">
        <w:rPr>
          <w:rFonts w:eastAsiaTheme="minorEastAsia"/>
          <w:sz w:val="24"/>
        </w:rPr>
        <w:t>“</w:t>
      </w:r>
      <w:r w:rsidRPr="00FC1444">
        <w:rPr>
          <w:rFonts w:eastAsiaTheme="minorEastAsia"/>
          <w:sz w:val="24"/>
        </w:rPr>
        <w:t>一季千斤、两季吨粮</w:t>
      </w:r>
      <w:r w:rsidRPr="00FC1444">
        <w:rPr>
          <w:rFonts w:eastAsiaTheme="minorEastAsia"/>
          <w:sz w:val="24"/>
        </w:rPr>
        <w:t>”</w:t>
      </w:r>
      <w:r w:rsidRPr="00FC1444">
        <w:rPr>
          <w:rFonts w:eastAsiaTheme="minorEastAsia"/>
          <w:sz w:val="24"/>
        </w:rPr>
        <w:t>的口粮田，满足人们粮食和食品消费升级需求，进一步筑牢保障国家粮食安全基础，把饭碗牢牢端在自己手上。通过新增建设和改造提升，力争将大中型灌区有效灌溉面积优先打造成高标准农田，高标准农田建设主要涉及田、土、水、路、林、电、技、管</w:t>
      </w:r>
      <w:r w:rsidRPr="00FC1444">
        <w:rPr>
          <w:rFonts w:eastAsiaTheme="minorEastAsia"/>
          <w:sz w:val="24"/>
        </w:rPr>
        <w:t>8</w:t>
      </w:r>
      <w:r w:rsidRPr="00FC1444">
        <w:rPr>
          <w:rFonts w:eastAsiaTheme="minorEastAsia"/>
          <w:sz w:val="24"/>
        </w:rPr>
        <w:t>个方面目标，具体内容如下：</w:t>
      </w:r>
    </w:p>
    <w:p w:rsidR="00600084" w:rsidRPr="00FC1444" w:rsidRDefault="00600084">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851421" w:rsidRPr="00FC1444" w:rsidRDefault="00851421">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4928ED" w:rsidRPr="00FC1444" w:rsidRDefault="004928ED">
      <w:pPr>
        <w:jc w:val="center"/>
        <w:rPr>
          <w:rFonts w:eastAsiaTheme="minorEastAsia"/>
          <w:b/>
          <w:szCs w:val="21"/>
        </w:rPr>
      </w:pPr>
    </w:p>
    <w:p w:rsidR="002A5A5E" w:rsidRPr="00FC1444" w:rsidRDefault="00611CBA">
      <w:pPr>
        <w:jc w:val="center"/>
        <w:rPr>
          <w:rFonts w:eastAsiaTheme="minorEastAsia"/>
          <w:b/>
          <w:szCs w:val="21"/>
        </w:rPr>
      </w:pPr>
      <w:r w:rsidRPr="00FC1444">
        <w:rPr>
          <w:rFonts w:eastAsiaTheme="minorEastAsia"/>
          <w:b/>
          <w:szCs w:val="21"/>
        </w:rPr>
        <w:lastRenderedPageBreak/>
        <w:t>表</w:t>
      </w:r>
      <w:r w:rsidRPr="00FC1444">
        <w:rPr>
          <w:rFonts w:eastAsiaTheme="minorEastAsia"/>
          <w:b/>
          <w:szCs w:val="21"/>
        </w:rPr>
        <w:t>1-4-</w:t>
      </w:r>
      <w:r w:rsidR="00E97E33" w:rsidRPr="00FC1444">
        <w:rPr>
          <w:rFonts w:eastAsiaTheme="minorEastAsia"/>
          <w:b/>
          <w:szCs w:val="21"/>
        </w:rPr>
        <w:t>6</w:t>
      </w:r>
      <w:r w:rsidRPr="00FC1444">
        <w:rPr>
          <w:rFonts w:eastAsiaTheme="minorEastAsia"/>
          <w:b/>
          <w:szCs w:val="21"/>
        </w:rPr>
        <w:t>《全国高标准农田建设规划》（</w:t>
      </w:r>
      <w:r w:rsidRPr="00FC1444">
        <w:rPr>
          <w:rFonts w:eastAsiaTheme="minorEastAsia"/>
          <w:b/>
          <w:szCs w:val="21"/>
        </w:rPr>
        <w:t>2021-2030</w:t>
      </w:r>
      <w:r w:rsidRPr="00FC1444">
        <w:rPr>
          <w:rFonts w:eastAsiaTheme="minorEastAsia"/>
          <w:b/>
          <w:szCs w:val="21"/>
        </w:rPr>
        <w:t>年）符合性分析</w:t>
      </w:r>
    </w:p>
    <w:tbl>
      <w:tblPr>
        <w:tblW w:w="8720" w:type="dxa"/>
        <w:jc w:val="center"/>
        <w:tblBorders>
          <w:top w:val="single" w:sz="12" w:space="0" w:color="auto"/>
          <w:bottom w:val="single" w:sz="12" w:space="0" w:color="auto"/>
          <w:insideH w:val="single" w:sz="4" w:space="0" w:color="000000"/>
          <w:insideV w:val="single" w:sz="4" w:space="0" w:color="000000"/>
        </w:tblBorders>
        <w:tblLayout w:type="fixed"/>
        <w:tblLook w:val="04A0"/>
      </w:tblPr>
      <w:tblGrid>
        <w:gridCol w:w="984"/>
        <w:gridCol w:w="3192"/>
        <w:gridCol w:w="3686"/>
        <w:gridCol w:w="858"/>
      </w:tblGrid>
      <w:tr w:rsidR="002A5A5E" w:rsidRPr="00FC1444">
        <w:trPr>
          <w:jc w:val="center"/>
        </w:trPr>
        <w:tc>
          <w:tcPr>
            <w:tcW w:w="984" w:type="dxa"/>
            <w:vAlign w:val="center"/>
          </w:tcPr>
          <w:p w:rsidR="002A5A5E" w:rsidRPr="00FC1444" w:rsidRDefault="00611CBA">
            <w:pPr>
              <w:tabs>
                <w:tab w:val="left" w:pos="900"/>
              </w:tabs>
              <w:jc w:val="center"/>
              <w:rPr>
                <w:rFonts w:eastAsiaTheme="minorEastAsia"/>
                <w:szCs w:val="21"/>
              </w:rPr>
            </w:pPr>
            <w:r w:rsidRPr="00FC1444">
              <w:rPr>
                <w:rFonts w:eastAsiaTheme="minorEastAsia"/>
                <w:szCs w:val="21"/>
              </w:rPr>
              <w:t>文件</w:t>
            </w:r>
          </w:p>
        </w:tc>
        <w:tc>
          <w:tcPr>
            <w:tcW w:w="3192" w:type="dxa"/>
            <w:vAlign w:val="center"/>
          </w:tcPr>
          <w:p w:rsidR="002A5A5E" w:rsidRPr="00FC1444" w:rsidRDefault="00611CBA">
            <w:pPr>
              <w:jc w:val="center"/>
              <w:rPr>
                <w:rFonts w:eastAsiaTheme="minorEastAsia"/>
                <w:szCs w:val="21"/>
              </w:rPr>
            </w:pPr>
            <w:r w:rsidRPr="00FC1444">
              <w:rPr>
                <w:rFonts w:eastAsiaTheme="minorEastAsia"/>
                <w:szCs w:val="21"/>
              </w:rPr>
              <w:t>内容</w:t>
            </w:r>
          </w:p>
        </w:tc>
        <w:tc>
          <w:tcPr>
            <w:tcW w:w="3686" w:type="dxa"/>
            <w:vAlign w:val="center"/>
          </w:tcPr>
          <w:p w:rsidR="002A5A5E" w:rsidRPr="00FC1444" w:rsidRDefault="00611CBA">
            <w:pPr>
              <w:jc w:val="center"/>
              <w:rPr>
                <w:rFonts w:eastAsiaTheme="minorEastAsia"/>
                <w:szCs w:val="21"/>
              </w:rPr>
            </w:pPr>
            <w:r w:rsidRPr="00FC1444">
              <w:rPr>
                <w:rFonts w:eastAsiaTheme="minorEastAsia"/>
                <w:szCs w:val="21"/>
              </w:rPr>
              <w:t>本项目相关指标</w:t>
            </w:r>
          </w:p>
        </w:tc>
        <w:tc>
          <w:tcPr>
            <w:tcW w:w="858" w:type="dxa"/>
            <w:vAlign w:val="center"/>
          </w:tcPr>
          <w:p w:rsidR="002A5A5E" w:rsidRPr="00FC1444" w:rsidRDefault="00611CBA">
            <w:pPr>
              <w:jc w:val="center"/>
              <w:rPr>
                <w:rFonts w:eastAsiaTheme="minorEastAsia"/>
                <w:szCs w:val="21"/>
              </w:rPr>
            </w:pPr>
            <w:r w:rsidRPr="00FC1444">
              <w:rPr>
                <w:rFonts w:eastAsiaTheme="minorEastAsia"/>
                <w:szCs w:val="21"/>
              </w:rPr>
              <w:t>符合性</w:t>
            </w:r>
          </w:p>
        </w:tc>
      </w:tr>
      <w:tr w:rsidR="008C351B" w:rsidRPr="00FC1444">
        <w:trPr>
          <w:jc w:val="center"/>
        </w:trPr>
        <w:tc>
          <w:tcPr>
            <w:tcW w:w="984" w:type="dxa"/>
            <w:vMerge w:val="restart"/>
            <w:vAlign w:val="center"/>
          </w:tcPr>
          <w:p w:rsidR="008C351B" w:rsidRPr="00FC1444" w:rsidRDefault="008C351B">
            <w:pPr>
              <w:tabs>
                <w:tab w:val="left" w:pos="900"/>
              </w:tabs>
              <w:spacing w:line="300" w:lineRule="atLeast"/>
              <w:jc w:val="center"/>
              <w:rPr>
                <w:rFonts w:eastAsiaTheme="minorEastAsia"/>
                <w:szCs w:val="21"/>
              </w:rPr>
            </w:pPr>
            <w:r w:rsidRPr="00FC1444">
              <w:rPr>
                <w:rFonts w:eastAsiaTheme="minorEastAsia"/>
                <w:szCs w:val="21"/>
              </w:rPr>
              <w:t>《全国高标准农田建设规划》</w:t>
            </w:r>
          </w:p>
        </w:tc>
        <w:tc>
          <w:tcPr>
            <w:tcW w:w="3192" w:type="dxa"/>
            <w:vAlign w:val="center"/>
          </w:tcPr>
          <w:p w:rsidR="008C351B" w:rsidRPr="00FC1444" w:rsidRDefault="008C351B" w:rsidP="00D61453">
            <w:pPr>
              <w:tabs>
                <w:tab w:val="left" w:pos="900"/>
              </w:tabs>
              <w:spacing w:line="300" w:lineRule="atLeast"/>
              <w:ind w:firstLineChars="200" w:firstLine="420"/>
              <w:jc w:val="left"/>
              <w:rPr>
                <w:rFonts w:eastAsiaTheme="minorEastAsia"/>
                <w:szCs w:val="21"/>
              </w:rPr>
            </w:pPr>
            <w:r w:rsidRPr="00FC1444">
              <w:rPr>
                <w:rFonts w:eastAsiaTheme="minorEastAsia"/>
                <w:szCs w:val="21"/>
              </w:rPr>
              <w:t>田：通过合理归并和平整土地、坡耕地田坎修筑，实现田块规模适度、集中连片、田面平整，耕作层厚度适宜，山地丘陵区梯田化率提高。</w:t>
            </w:r>
          </w:p>
        </w:tc>
        <w:tc>
          <w:tcPr>
            <w:tcW w:w="3686" w:type="dxa"/>
            <w:vAlign w:val="center"/>
          </w:tcPr>
          <w:p w:rsidR="008C351B" w:rsidRPr="00FC1444" w:rsidRDefault="008C351B" w:rsidP="00D61453">
            <w:pPr>
              <w:tabs>
                <w:tab w:val="left" w:pos="900"/>
              </w:tabs>
              <w:spacing w:line="300" w:lineRule="atLeast"/>
              <w:ind w:firstLineChars="200" w:firstLine="420"/>
              <w:jc w:val="left"/>
              <w:rPr>
                <w:rFonts w:eastAsiaTheme="minorEastAsia"/>
                <w:szCs w:val="21"/>
              </w:rPr>
            </w:pPr>
            <w:r w:rsidRPr="00FC1444">
              <w:rPr>
                <w:rFonts w:eastAsiaTheme="minorEastAsia"/>
                <w:szCs w:val="21"/>
              </w:rPr>
              <w:t>本项目进行田块整治工程，建成后实现田块规模适度、集中连片、田面平整，耕作层厚度适宜。</w:t>
            </w:r>
          </w:p>
        </w:tc>
        <w:tc>
          <w:tcPr>
            <w:tcW w:w="858" w:type="dxa"/>
            <w:vAlign w:val="center"/>
          </w:tcPr>
          <w:p w:rsidR="008C351B" w:rsidRPr="00FC1444" w:rsidRDefault="008C351B">
            <w:pPr>
              <w:tabs>
                <w:tab w:val="left" w:pos="900"/>
              </w:tabs>
              <w:spacing w:line="300" w:lineRule="atLeast"/>
              <w:jc w:val="center"/>
              <w:rPr>
                <w:rFonts w:eastAsiaTheme="minorEastAsia"/>
                <w:kern w:val="0"/>
                <w:szCs w:val="21"/>
              </w:rPr>
            </w:pPr>
            <w:r w:rsidRPr="00FC1444">
              <w:rPr>
                <w:rFonts w:eastAsiaTheme="minorEastAsia"/>
                <w:kern w:val="0"/>
                <w:szCs w:val="21"/>
              </w:rPr>
              <w:t>符合</w:t>
            </w:r>
          </w:p>
        </w:tc>
      </w:tr>
      <w:tr w:rsidR="008C351B" w:rsidRPr="00FC1444">
        <w:trPr>
          <w:jc w:val="center"/>
        </w:trPr>
        <w:tc>
          <w:tcPr>
            <w:tcW w:w="984" w:type="dxa"/>
            <w:vMerge/>
            <w:vAlign w:val="center"/>
          </w:tcPr>
          <w:p w:rsidR="008C351B" w:rsidRPr="00FC1444" w:rsidRDefault="008C351B">
            <w:pPr>
              <w:tabs>
                <w:tab w:val="left" w:pos="900"/>
              </w:tabs>
              <w:spacing w:line="300" w:lineRule="atLeast"/>
              <w:jc w:val="center"/>
              <w:rPr>
                <w:rFonts w:eastAsiaTheme="minorEastAsia"/>
                <w:szCs w:val="21"/>
              </w:rPr>
            </w:pPr>
          </w:p>
        </w:tc>
        <w:tc>
          <w:tcPr>
            <w:tcW w:w="3192" w:type="dxa"/>
            <w:vAlign w:val="center"/>
          </w:tcPr>
          <w:p w:rsidR="008C351B" w:rsidRPr="00FC1444" w:rsidRDefault="008C351B" w:rsidP="00D61453">
            <w:pPr>
              <w:tabs>
                <w:tab w:val="left" w:pos="900"/>
              </w:tabs>
              <w:spacing w:line="300" w:lineRule="atLeast"/>
              <w:ind w:firstLineChars="200" w:firstLine="420"/>
              <w:jc w:val="left"/>
              <w:rPr>
                <w:rFonts w:eastAsiaTheme="minorEastAsia"/>
                <w:szCs w:val="21"/>
              </w:rPr>
            </w:pPr>
            <w:r w:rsidRPr="00FC1444">
              <w:rPr>
                <w:rFonts w:eastAsiaTheme="minorEastAsia"/>
                <w:szCs w:val="21"/>
              </w:rPr>
              <w:t>土：通过培肥改良，实现土壤通透性能好、保水保肥能力强、酸碱平衡、有机质和营养元素丰富，着力提高耕地内在质量和产出能力。</w:t>
            </w:r>
          </w:p>
        </w:tc>
        <w:tc>
          <w:tcPr>
            <w:tcW w:w="3686" w:type="dxa"/>
            <w:vAlign w:val="center"/>
          </w:tcPr>
          <w:p w:rsidR="008C351B" w:rsidRPr="00FC1444" w:rsidRDefault="008C351B" w:rsidP="00D61453">
            <w:pPr>
              <w:tabs>
                <w:tab w:val="left" w:pos="900"/>
              </w:tabs>
              <w:spacing w:line="300" w:lineRule="atLeast"/>
              <w:ind w:firstLineChars="200" w:firstLine="420"/>
              <w:jc w:val="left"/>
              <w:rPr>
                <w:rFonts w:eastAsiaTheme="minorEastAsia"/>
                <w:kern w:val="0"/>
                <w:szCs w:val="21"/>
              </w:rPr>
            </w:pPr>
            <w:r w:rsidRPr="00FC1444">
              <w:rPr>
                <w:rFonts w:eastAsiaTheme="minorEastAsia"/>
                <w:szCs w:val="21"/>
              </w:rPr>
              <w:t>本项目田块整治工程</w:t>
            </w:r>
            <w:r w:rsidR="00216445" w:rsidRPr="00FC1444">
              <w:rPr>
                <w:rFonts w:eastAsiaTheme="minorEastAsia"/>
                <w:szCs w:val="21"/>
              </w:rPr>
              <w:t>土地深松、深翻及抛洒有机肥总面积</w:t>
            </w:r>
            <w:r w:rsidR="00216445" w:rsidRPr="00FC1444">
              <w:rPr>
                <w:rFonts w:eastAsiaTheme="minorEastAsia"/>
                <w:szCs w:val="21"/>
              </w:rPr>
              <w:t>84626</w:t>
            </w:r>
            <w:r w:rsidR="00216445" w:rsidRPr="00FC1444">
              <w:rPr>
                <w:rFonts w:eastAsiaTheme="minorEastAsia"/>
                <w:szCs w:val="21"/>
              </w:rPr>
              <w:t>亩</w:t>
            </w:r>
            <w:r w:rsidRPr="00FC1444">
              <w:rPr>
                <w:rFonts w:eastAsiaTheme="minorEastAsia"/>
                <w:szCs w:val="21"/>
              </w:rPr>
              <w:t>。</w:t>
            </w:r>
          </w:p>
        </w:tc>
        <w:tc>
          <w:tcPr>
            <w:tcW w:w="858" w:type="dxa"/>
            <w:vAlign w:val="center"/>
          </w:tcPr>
          <w:p w:rsidR="008C351B" w:rsidRPr="00FC1444" w:rsidRDefault="008C351B">
            <w:pPr>
              <w:tabs>
                <w:tab w:val="left" w:pos="900"/>
              </w:tabs>
              <w:spacing w:line="300" w:lineRule="atLeast"/>
              <w:jc w:val="center"/>
              <w:rPr>
                <w:rFonts w:eastAsiaTheme="minorEastAsia"/>
                <w:szCs w:val="21"/>
              </w:rPr>
            </w:pPr>
            <w:r w:rsidRPr="00FC1444">
              <w:rPr>
                <w:rFonts w:eastAsiaTheme="minorEastAsia"/>
                <w:szCs w:val="21"/>
              </w:rPr>
              <w:t>符合</w:t>
            </w:r>
          </w:p>
        </w:tc>
      </w:tr>
      <w:tr w:rsidR="008C351B" w:rsidRPr="00FC1444">
        <w:trPr>
          <w:jc w:val="center"/>
        </w:trPr>
        <w:tc>
          <w:tcPr>
            <w:tcW w:w="984" w:type="dxa"/>
            <w:vMerge/>
            <w:vAlign w:val="center"/>
          </w:tcPr>
          <w:p w:rsidR="008C351B" w:rsidRPr="00FC1444" w:rsidRDefault="008C351B">
            <w:pPr>
              <w:tabs>
                <w:tab w:val="left" w:pos="900"/>
              </w:tabs>
              <w:spacing w:line="300" w:lineRule="atLeast"/>
              <w:jc w:val="center"/>
              <w:rPr>
                <w:rFonts w:eastAsiaTheme="minorEastAsia"/>
                <w:szCs w:val="21"/>
              </w:rPr>
            </w:pPr>
          </w:p>
        </w:tc>
        <w:tc>
          <w:tcPr>
            <w:tcW w:w="3192" w:type="dxa"/>
            <w:vAlign w:val="center"/>
          </w:tcPr>
          <w:p w:rsidR="008C351B" w:rsidRPr="00FC1444" w:rsidRDefault="008C351B" w:rsidP="00D61453">
            <w:pPr>
              <w:tabs>
                <w:tab w:val="left" w:pos="900"/>
              </w:tabs>
              <w:spacing w:line="300" w:lineRule="atLeast"/>
              <w:ind w:firstLineChars="200" w:firstLine="420"/>
              <w:jc w:val="left"/>
              <w:rPr>
                <w:rFonts w:eastAsiaTheme="minorEastAsia"/>
                <w:szCs w:val="21"/>
              </w:rPr>
            </w:pPr>
            <w:r w:rsidRPr="00FC1444">
              <w:rPr>
                <w:rFonts w:eastAsiaTheme="minorEastAsia"/>
                <w:szCs w:val="21"/>
              </w:rPr>
              <w:t>水：通过加强田间灌排设施建设和推进高效节水灌溉等，增加有效灌溉面积，提高灌溉保证率、用水效率和农田防洪排涝标准，实现旱涝保收。</w:t>
            </w:r>
          </w:p>
        </w:tc>
        <w:tc>
          <w:tcPr>
            <w:tcW w:w="3686" w:type="dxa"/>
            <w:vAlign w:val="center"/>
          </w:tcPr>
          <w:p w:rsidR="008C351B" w:rsidRPr="00FC1444" w:rsidRDefault="008C351B" w:rsidP="00D61453">
            <w:pPr>
              <w:tabs>
                <w:tab w:val="left" w:pos="900"/>
              </w:tabs>
              <w:spacing w:line="300" w:lineRule="atLeast"/>
              <w:ind w:firstLineChars="200" w:firstLine="420"/>
              <w:jc w:val="left"/>
              <w:rPr>
                <w:rFonts w:eastAsiaTheme="minorEastAsia"/>
                <w:szCs w:val="21"/>
              </w:rPr>
            </w:pPr>
            <w:r w:rsidRPr="00FC1444">
              <w:rPr>
                <w:rFonts w:eastAsiaTheme="minorEastAsia"/>
                <w:szCs w:val="21"/>
              </w:rPr>
              <w:t>本项目进行灌溉工程，新打机电井</w:t>
            </w:r>
            <w:r w:rsidR="00DD3A44" w:rsidRPr="00FC1444">
              <w:rPr>
                <w:rFonts w:eastAsiaTheme="minorEastAsia"/>
                <w:szCs w:val="21"/>
              </w:rPr>
              <w:t>156</w:t>
            </w:r>
            <w:r w:rsidR="00DD3A44" w:rsidRPr="00FC1444">
              <w:rPr>
                <w:rFonts w:eastAsiaTheme="minorEastAsia"/>
                <w:szCs w:val="21"/>
              </w:rPr>
              <w:t>眼</w:t>
            </w:r>
            <w:r w:rsidRPr="00FC1444">
              <w:rPr>
                <w:rFonts w:eastAsiaTheme="minorEastAsia"/>
                <w:szCs w:val="21"/>
              </w:rPr>
              <w:t>，</w:t>
            </w:r>
            <w:r w:rsidR="00B13464" w:rsidRPr="00FC1444">
              <w:rPr>
                <w:rFonts w:eastAsiaTheme="minorEastAsia"/>
                <w:szCs w:val="21"/>
              </w:rPr>
              <w:t>配套井房</w:t>
            </w:r>
            <w:r w:rsidR="00B13464" w:rsidRPr="00FC1444">
              <w:rPr>
                <w:rFonts w:eastAsiaTheme="minorEastAsia"/>
                <w:szCs w:val="21"/>
              </w:rPr>
              <w:t>156</w:t>
            </w:r>
            <w:r w:rsidR="00B13464" w:rsidRPr="00FC1444">
              <w:rPr>
                <w:rFonts w:eastAsiaTheme="minorEastAsia"/>
                <w:szCs w:val="21"/>
              </w:rPr>
              <w:t>座、井泵</w:t>
            </w:r>
            <w:r w:rsidR="00B13464" w:rsidRPr="00FC1444">
              <w:rPr>
                <w:rFonts w:eastAsiaTheme="minorEastAsia"/>
                <w:szCs w:val="21"/>
              </w:rPr>
              <w:t>156</w:t>
            </w:r>
            <w:r w:rsidR="00B13464" w:rsidRPr="00FC1444">
              <w:rPr>
                <w:rFonts w:eastAsiaTheme="minorEastAsia"/>
                <w:szCs w:val="21"/>
              </w:rPr>
              <w:t>台</w:t>
            </w:r>
            <w:r w:rsidRPr="00FC1444">
              <w:rPr>
                <w:rFonts w:eastAsiaTheme="minorEastAsia"/>
                <w:szCs w:val="21"/>
              </w:rPr>
              <w:t>，</w:t>
            </w:r>
            <w:r w:rsidR="00B13464" w:rsidRPr="00FC1444">
              <w:rPr>
                <w:rFonts w:eastAsiaTheme="minorEastAsia"/>
                <w:szCs w:val="21"/>
              </w:rPr>
              <w:t>水肥一体灌溉面积</w:t>
            </w:r>
            <w:r w:rsidR="00B13464" w:rsidRPr="00FC1444">
              <w:rPr>
                <w:rFonts w:eastAsiaTheme="minorEastAsia"/>
                <w:szCs w:val="21"/>
              </w:rPr>
              <w:t>11285</w:t>
            </w:r>
            <w:r w:rsidR="00B13464" w:rsidRPr="00FC1444">
              <w:rPr>
                <w:rFonts w:eastAsiaTheme="minorEastAsia"/>
                <w:szCs w:val="21"/>
              </w:rPr>
              <w:t>亩</w:t>
            </w:r>
            <w:r w:rsidRPr="00FC1444">
              <w:rPr>
                <w:rFonts w:eastAsiaTheme="minorEastAsia"/>
                <w:szCs w:val="21"/>
              </w:rPr>
              <w:t>；</w:t>
            </w:r>
            <w:r w:rsidR="00B13464" w:rsidRPr="00FC1444">
              <w:rPr>
                <w:rFonts w:eastAsiaTheme="minorEastAsia"/>
                <w:szCs w:val="21"/>
              </w:rPr>
              <w:t>渠道衬砌</w:t>
            </w:r>
            <w:r w:rsidR="00B13464" w:rsidRPr="00FC1444">
              <w:rPr>
                <w:rFonts w:eastAsiaTheme="minorEastAsia"/>
                <w:szCs w:val="21"/>
              </w:rPr>
              <w:t>35.19km</w:t>
            </w:r>
            <w:r w:rsidRPr="00FC1444">
              <w:rPr>
                <w:rFonts w:eastAsiaTheme="minorEastAsia"/>
                <w:szCs w:val="21"/>
              </w:rPr>
              <w:t>；购置移动泵车</w:t>
            </w:r>
            <w:r w:rsidR="007D6514" w:rsidRPr="00FC1444">
              <w:rPr>
                <w:rFonts w:eastAsiaTheme="minorEastAsia"/>
                <w:szCs w:val="21"/>
              </w:rPr>
              <w:t>15</w:t>
            </w:r>
            <w:r w:rsidR="007D6514" w:rsidRPr="00FC1444">
              <w:rPr>
                <w:rFonts w:eastAsiaTheme="minorEastAsia"/>
                <w:szCs w:val="21"/>
              </w:rPr>
              <w:t>台</w:t>
            </w:r>
            <w:r w:rsidRPr="00FC1444">
              <w:rPr>
                <w:rFonts w:eastAsiaTheme="minorEastAsia"/>
                <w:szCs w:val="21"/>
              </w:rPr>
              <w:t>；</w:t>
            </w:r>
            <w:r w:rsidR="001E1C9B" w:rsidRPr="00FC1444">
              <w:rPr>
                <w:rFonts w:eastAsiaTheme="minorEastAsia"/>
                <w:szCs w:val="21"/>
              </w:rPr>
              <w:t>排水沟清淤</w:t>
            </w:r>
            <w:r w:rsidR="001E1C9B" w:rsidRPr="00FC1444">
              <w:rPr>
                <w:rFonts w:eastAsiaTheme="minorEastAsia"/>
                <w:szCs w:val="21"/>
              </w:rPr>
              <w:t>69.926km</w:t>
            </w:r>
            <w:r w:rsidRPr="00FC1444">
              <w:rPr>
                <w:rFonts w:eastAsiaTheme="minorEastAsia"/>
                <w:szCs w:val="21"/>
              </w:rPr>
              <w:t>，</w:t>
            </w:r>
            <w:r w:rsidR="00B13464" w:rsidRPr="00FC1444">
              <w:rPr>
                <w:rFonts w:eastAsiaTheme="minorEastAsia"/>
                <w:szCs w:val="21"/>
              </w:rPr>
              <w:t>排水沟护砌</w:t>
            </w:r>
            <w:r w:rsidR="00B13464" w:rsidRPr="00FC1444">
              <w:rPr>
                <w:rFonts w:eastAsiaTheme="minorEastAsia"/>
                <w:szCs w:val="21"/>
              </w:rPr>
              <w:t>69.926km</w:t>
            </w:r>
            <w:r w:rsidRPr="00FC1444">
              <w:rPr>
                <w:rFonts w:eastAsiaTheme="minorEastAsia"/>
                <w:szCs w:val="21"/>
              </w:rPr>
              <w:t>；</w:t>
            </w:r>
            <w:r w:rsidR="00B13464" w:rsidRPr="00FC1444">
              <w:rPr>
                <w:rFonts w:eastAsiaTheme="minorEastAsia"/>
                <w:szCs w:val="21"/>
              </w:rPr>
              <w:t>新建建筑物</w:t>
            </w:r>
            <w:r w:rsidR="00B13464" w:rsidRPr="00FC1444">
              <w:rPr>
                <w:rFonts w:eastAsiaTheme="minorEastAsia"/>
                <w:szCs w:val="21"/>
              </w:rPr>
              <w:t>2530</w:t>
            </w:r>
            <w:r w:rsidR="00B13464" w:rsidRPr="00FC1444">
              <w:rPr>
                <w:rFonts w:eastAsiaTheme="minorEastAsia"/>
                <w:szCs w:val="21"/>
              </w:rPr>
              <w:t>座，其中：涵洞</w:t>
            </w:r>
            <w:r w:rsidR="00B13464" w:rsidRPr="00FC1444">
              <w:rPr>
                <w:rFonts w:eastAsiaTheme="minorEastAsia"/>
                <w:szCs w:val="21"/>
              </w:rPr>
              <w:t>691</w:t>
            </w:r>
            <w:r w:rsidR="00B13464" w:rsidRPr="00FC1444">
              <w:rPr>
                <w:rFonts w:eastAsiaTheme="minorEastAsia"/>
                <w:szCs w:val="21"/>
              </w:rPr>
              <w:t>座，过水路面</w:t>
            </w:r>
            <w:r w:rsidR="00B13464" w:rsidRPr="00FC1444">
              <w:rPr>
                <w:rFonts w:eastAsiaTheme="minorEastAsia"/>
                <w:szCs w:val="21"/>
              </w:rPr>
              <w:t>19</w:t>
            </w:r>
            <w:r w:rsidR="00B13464" w:rsidRPr="00FC1444">
              <w:rPr>
                <w:rFonts w:eastAsiaTheme="minorEastAsia"/>
                <w:szCs w:val="21"/>
              </w:rPr>
              <w:t>座，毛门</w:t>
            </w:r>
            <w:r w:rsidR="00B13464" w:rsidRPr="00FC1444">
              <w:rPr>
                <w:rFonts w:eastAsiaTheme="minorEastAsia"/>
                <w:szCs w:val="21"/>
              </w:rPr>
              <w:t>708</w:t>
            </w:r>
            <w:r w:rsidR="00B13464" w:rsidRPr="00FC1444">
              <w:rPr>
                <w:rFonts w:eastAsiaTheme="minorEastAsia"/>
                <w:szCs w:val="21"/>
              </w:rPr>
              <w:t>座、排水管</w:t>
            </w:r>
            <w:r w:rsidR="00B13464" w:rsidRPr="00FC1444">
              <w:rPr>
                <w:rFonts w:eastAsiaTheme="minorEastAsia"/>
                <w:szCs w:val="21"/>
              </w:rPr>
              <w:t>708</w:t>
            </w:r>
            <w:r w:rsidR="00B13464" w:rsidRPr="00FC1444">
              <w:rPr>
                <w:rFonts w:eastAsiaTheme="minorEastAsia"/>
                <w:szCs w:val="21"/>
              </w:rPr>
              <w:t>座、农门</w:t>
            </w:r>
            <w:r w:rsidR="00B13464" w:rsidRPr="00FC1444">
              <w:rPr>
                <w:rFonts w:eastAsiaTheme="minorEastAsia"/>
                <w:szCs w:val="21"/>
              </w:rPr>
              <w:t>47</w:t>
            </w:r>
            <w:r w:rsidR="00B13464" w:rsidRPr="00FC1444">
              <w:rPr>
                <w:rFonts w:eastAsiaTheme="minorEastAsia"/>
                <w:szCs w:val="21"/>
              </w:rPr>
              <w:t>座、节制闸</w:t>
            </w:r>
            <w:r w:rsidR="00B13464" w:rsidRPr="00FC1444">
              <w:rPr>
                <w:rFonts w:eastAsiaTheme="minorEastAsia"/>
                <w:szCs w:val="21"/>
              </w:rPr>
              <w:t>354</w:t>
            </w:r>
            <w:r w:rsidR="00B13464" w:rsidRPr="00FC1444">
              <w:rPr>
                <w:rFonts w:eastAsiaTheme="minorEastAsia"/>
                <w:szCs w:val="21"/>
              </w:rPr>
              <w:t>座、农桥</w:t>
            </w:r>
            <w:r w:rsidR="00B13464" w:rsidRPr="00FC1444">
              <w:rPr>
                <w:rFonts w:eastAsiaTheme="minorEastAsia"/>
                <w:szCs w:val="21"/>
              </w:rPr>
              <w:t>1</w:t>
            </w:r>
            <w:r w:rsidR="00B13464" w:rsidRPr="00FC1444">
              <w:rPr>
                <w:rFonts w:eastAsiaTheme="minorEastAsia"/>
                <w:szCs w:val="21"/>
              </w:rPr>
              <w:t>座、退水闸</w:t>
            </w:r>
            <w:r w:rsidR="00B13464" w:rsidRPr="00FC1444">
              <w:rPr>
                <w:rFonts w:eastAsiaTheme="minorEastAsia"/>
                <w:szCs w:val="21"/>
              </w:rPr>
              <w:t>2</w:t>
            </w:r>
            <w:r w:rsidR="00B13464" w:rsidRPr="00FC1444">
              <w:rPr>
                <w:rFonts w:eastAsiaTheme="minorEastAsia"/>
                <w:szCs w:val="21"/>
              </w:rPr>
              <w:t>座</w:t>
            </w:r>
            <w:r w:rsidRPr="00FC1444">
              <w:rPr>
                <w:rFonts w:eastAsiaTheme="minorEastAsia"/>
                <w:snapToGrid w:val="0"/>
                <w:kern w:val="0"/>
              </w:rPr>
              <w:t>，可</w:t>
            </w:r>
            <w:r w:rsidRPr="00FC1444">
              <w:rPr>
                <w:rFonts w:eastAsiaTheme="minorEastAsia"/>
                <w:szCs w:val="21"/>
              </w:rPr>
              <w:t>实现旱涝保收。</w:t>
            </w:r>
          </w:p>
        </w:tc>
        <w:tc>
          <w:tcPr>
            <w:tcW w:w="858" w:type="dxa"/>
            <w:vAlign w:val="center"/>
          </w:tcPr>
          <w:p w:rsidR="008C351B" w:rsidRPr="00FC1444" w:rsidRDefault="008C351B">
            <w:pPr>
              <w:tabs>
                <w:tab w:val="left" w:pos="900"/>
              </w:tabs>
              <w:spacing w:line="300" w:lineRule="atLeast"/>
              <w:jc w:val="center"/>
              <w:rPr>
                <w:rFonts w:eastAsiaTheme="minorEastAsia"/>
                <w:szCs w:val="21"/>
              </w:rPr>
            </w:pPr>
            <w:r w:rsidRPr="00FC1444">
              <w:rPr>
                <w:rFonts w:eastAsiaTheme="minorEastAsia"/>
                <w:szCs w:val="21"/>
              </w:rPr>
              <w:t>符合</w:t>
            </w:r>
          </w:p>
        </w:tc>
      </w:tr>
      <w:tr w:rsidR="008C351B" w:rsidRPr="00FC1444">
        <w:trPr>
          <w:jc w:val="center"/>
        </w:trPr>
        <w:tc>
          <w:tcPr>
            <w:tcW w:w="984" w:type="dxa"/>
            <w:vMerge/>
            <w:vAlign w:val="center"/>
          </w:tcPr>
          <w:p w:rsidR="008C351B" w:rsidRPr="00FC1444" w:rsidRDefault="008C351B">
            <w:pPr>
              <w:tabs>
                <w:tab w:val="left" w:pos="900"/>
              </w:tabs>
              <w:spacing w:line="300" w:lineRule="atLeast"/>
              <w:jc w:val="center"/>
              <w:rPr>
                <w:rFonts w:eastAsiaTheme="minorEastAsia"/>
                <w:szCs w:val="21"/>
              </w:rPr>
            </w:pPr>
          </w:p>
        </w:tc>
        <w:tc>
          <w:tcPr>
            <w:tcW w:w="3192" w:type="dxa"/>
            <w:vAlign w:val="center"/>
          </w:tcPr>
          <w:p w:rsidR="008C351B" w:rsidRPr="00FC1444" w:rsidRDefault="008C351B" w:rsidP="00D61453">
            <w:pPr>
              <w:tabs>
                <w:tab w:val="left" w:pos="900"/>
              </w:tabs>
              <w:spacing w:line="300" w:lineRule="atLeast"/>
              <w:ind w:firstLineChars="200" w:firstLine="420"/>
              <w:jc w:val="left"/>
              <w:rPr>
                <w:rFonts w:eastAsiaTheme="minorEastAsia"/>
                <w:szCs w:val="21"/>
              </w:rPr>
            </w:pPr>
            <w:r w:rsidRPr="00FC1444">
              <w:rPr>
                <w:rFonts w:eastAsiaTheme="minorEastAsia"/>
                <w:szCs w:val="21"/>
              </w:rPr>
              <w:t>路：通过田间道（机耕路）和生产路建设、桥涵配套，合理增加路面宽度，提高道路的荷载标准和通达度，满足农机作业、生产物流要求。</w:t>
            </w:r>
          </w:p>
        </w:tc>
        <w:tc>
          <w:tcPr>
            <w:tcW w:w="3686" w:type="dxa"/>
            <w:vAlign w:val="center"/>
          </w:tcPr>
          <w:p w:rsidR="008C351B" w:rsidRPr="00FC1444" w:rsidRDefault="00FC7601" w:rsidP="00D61453">
            <w:pPr>
              <w:tabs>
                <w:tab w:val="left" w:pos="900"/>
              </w:tabs>
              <w:spacing w:line="300" w:lineRule="atLeast"/>
              <w:ind w:firstLineChars="200" w:firstLine="420"/>
              <w:jc w:val="left"/>
              <w:rPr>
                <w:rFonts w:eastAsiaTheme="minorEastAsia"/>
                <w:kern w:val="0"/>
                <w:szCs w:val="21"/>
              </w:rPr>
            </w:pPr>
            <w:r w:rsidRPr="00FC1444">
              <w:rPr>
                <w:rFonts w:eastAsiaTheme="minorEastAsia"/>
                <w:kern w:val="0"/>
                <w:szCs w:val="21"/>
              </w:rPr>
              <w:t>本项目建设田间道路工程，</w:t>
            </w:r>
            <w:r w:rsidR="00B13464" w:rsidRPr="00FC1444">
              <w:rPr>
                <w:rFonts w:eastAsiaTheme="minorEastAsia"/>
                <w:kern w:val="0"/>
                <w:szCs w:val="21"/>
              </w:rPr>
              <w:t>修缮道路</w:t>
            </w:r>
            <w:r w:rsidR="00B13464" w:rsidRPr="00FC1444">
              <w:rPr>
                <w:rFonts w:eastAsiaTheme="minorEastAsia"/>
                <w:kern w:val="0"/>
                <w:szCs w:val="21"/>
              </w:rPr>
              <w:t>184</w:t>
            </w:r>
            <w:r w:rsidR="00B13464" w:rsidRPr="00FC1444">
              <w:rPr>
                <w:rFonts w:eastAsiaTheme="minorEastAsia"/>
                <w:kern w:val="0"/>
                <w:szCs w:val="21"/>
              </w:rPr>
              <w:t>条，共</w:t>
            </w:r>
            <w:r w:rsidR="00B13464" w:rsidRPr="00FC1444">
              <w:rPr>
                <w:rFonts w:eastAsiaTheme="minorEastAsia"/>
                <w:kern w:val="0"/>
                <w:szCs w:val="21"/>
              </w:rPr>
              <w:t>145.33km</w:t>
            </w:r>
            <w:r w:rsidR="008C351B" w:rsidRPr="00FC1444">
              <w:rPr>
                <w:rFonts w:eastAsiaTheme="minorEastAsia"/>
                <w:kern w:val="0"/>
                <w:szCs w:val="21"/>
              </w:rPr>
              <w:t>，其中：</w:t>
            </w:r>
            <w:r w:rsidR="00B13464" w:rsidRPr="00FC1444">
              <w:rPr>
                <w:rFonts w:eastAsiaTheme="minorEastAsia"/>
                <w:kern w:val="0"/>
                <w:szCs w:val="21"/>
              </w:rPr>
              <w:t>机耕路（混凝土路面）</w:t>
            </w:r>
            <w:r w:rsidR="00B13464" w:rsidRPr="00FC1444">
              <w:rPr>
                <w:rFonts w:eastAsiaTheme="minorEastAsia"/>
                <w:kern w:val="0"/>
                <w:szCs w:val="21"/>
              </w:rPr>
              <w:t>67</w:t>
            </w:r>
            <w:r w:rsidR="00B13464" w:rsidRPr="00FC1444">
              <w:rPr>
                <w:rFonts w:eastAsiaTheme="minorEastAsia"/>
                <w:kern w:val="0"/>
                <w:szCs w:val="21"/>
              </w:rPr>
              <w:t>条，共</w:t>
            </w:r>
            <w:r w:rsidR="00B13464" w:rsidRPr="00FC1444">
              <w:rPr>
                <w:rFonts w:eastAsiaTheme="minorEastAsia"/>
                <w:kern w:val="0"/>
                <w:szCs w:val="21"/>
              </w:rPr>
              <w:t>54.083km</w:t>
            </w:r>
            <w:r w:rsidR="00B13464" w:rsidRPr="00FC1444">
              <w:rPr>
                <w:rFonts w:eastAsiaTheme="minorEastAsia"/>
                <w:kern w:val="0"/>
                <w:szCs w:val="21"/>
              </w:rPr>
              <w:t>；生产路（砂石路面）</w:t>
            </w:r>
            <w:r w:rsidR="00B13464" w:rsidRPr="00FC1444">
              <w:rPr>
                <w:rFonts w:eastAsiaTheme="minorEastAsia"/>
                <w:kern w:val="0"/>
                <w:szCs w:val="21"/>
              </w:rPr>
              <w:t>117</w:t>
            </w:r>
            <w:r w:rsidR="00B13464" w:rsidRPr="00FC1444">
              <w:rPr>
                <w:rFonts w:eastAsiaTheme="minorEastAsia"/>
                <w:kern w:val="0"/>
                <w:szCs w:val="21"/>
              </w:rPr>
              <w:t>条，共</w:t>
            </w:r>
            <w:r w:rsidR="00B13464" w:rsidRPr="00FC1444">
              <w:rPr>
                <w:rFonts w:eastAsiaTheme="minorEastAsia"/>
                <w:kern w:val="0"/>
                <w:szCs w:val="21"/>
              </w:rPr>
              <w:t>91.248km</w:t>
            </w:r>
            <w:r w:rsidR="008C351B" w:rsidRPr="00FC1444">
              <w:rPr>
                <w:rFonts w:eastAsiaTheme="minorEastAsia"/>
                <w:kern w:val="0"/>
                <w:szCs w:val="21"/>
              </w:rPr>
              <w:t>，满足农机作业、农业物资运输等农业生产活动的要求。</w:t>
            </w:r>
          </w:p>
        </w:tc>
        <w:tc>
          <w:tcPr>
            <w:tcW w:w="858" w:type="dxa"/>
            <w:vAlign w:val="center"/>
          </w:tcPr>
          <w:p w:rsidR="008C351B" w:rsidRPr="00FC1444" w:rsidRDefault="008C351B">
            <w:pPr>
              <w:jc w:val="center"/>
              <w:rPr>
                <w:rFonts w:eastAsiaTheme="minorEastAsia"/>
                <w:szCs w:val="21"/>
              </w:rPr>
            </w:pPr>
            <w:r w:rsidRPr="00FC1444">
              <w:rPr>
                <w:rFonts w:eastAsiaTheme="minorEastAsia"/>
                <w:szCs w:val="21"/>
              </w:rPr>
              <w:t>符合</w:t>
            </w:r>
          </w:p>
        </w:tc>
      </w:tr>
      <w:tr w:rsidR="008C351B" w:rsidRPr="00FC1444">
        <w:trPr>
          <w:jc w:val="center"/>
        </w:trPr>
        <w:tc>
          <w:tcPr>
            <w:tcW w:w="984" w:type="dxa"/>
            <w:vMerge/>
            <w:vAlign w:val="center"/>
          </w:tcPr>
          <w:p w:rsidR="008C351B" w:rsidRPr="00FC1444" w:rsidRDefault="008C351B">
            <w:pPr>
              <w:tabs>
                <w:tab w:val="left" w:pos="900"/>
              </w:tabs>
              <w:spacing w:line="300" w:lineRule="atLeast"/>
              <w:jc w:val="center"/>
              <w:rPr>
                <w:rFonts w:eastAsiaTheme="minorEastAsia"/>
                <w:szCs w:val="21"/>
              </w:rPr>
            </w:pPr>
          </w:p>
        </w:tc>
        <w:tc>
          <w:tcPr>
            <w:tcW w:w="3192" w:type="dxa"/>
            <w:vAlign w:val="center"/>
          </w:tcPr>
          <w:p w:rsidR="008C351B" w:rsidRPr="00FC1444" w:rsidRDefault="008C351B">
            <w:pPr>
              <w:tabs>
                <w:tab w:val="left" w:pos="900"/>
              </w:tabs>
              <w:spacing w:line="300" w:lineRule="atLeast"/>
              <w:jc w:val="left"/>
              <w:rPr>
                <w:rFonts w:eastAsiaTheme="minorEastAsia"/>
                <w:szCs w:val="21"/>
              </w:rPr>
            </w:pPr>
            <w:r w:rsidRPr="00FC1444">
              <w:rPr>
                <w:rFonts w:eastAsiaTheme="minorEastAsia"/>
                <w:szCs w:val="21"/>
              </w:rPr>
              <w:t>林：通过农田林网、岸坡防护、沟道治理等农田防护和生态环境保护工程建设，改善农田生态环境，提高农田防御风沙灾害和防止水土流失能力。</w:t>
            </w:r>
          </w:p>
        </w:tc>
        <w:tc>
          <w:tcPr>
            <w:tcW w:w="3686" w:type="dxa"/>
            <w:vAlign w:val="center"/>
          </w:tcPr>
          <w:p w:rsidR="008C351B" w:rsidRPr="00FC1444" w:rsidRDefault="00DE7DE3" w:rsidP="00760E2B">
            <w:pPr>
              <w:tabs>
                <w:tab w:val="left" w:pos="900"/>
              </w:tabs>
              <w:spacing w:line="300" w:lineRule="atLeast"/>
              <w:jc w:val="left"/>
              <w:rPr>
                <w:rFonts w:eastAsiaTheme="minorEastAsia"/>
                <w:szCs w:val="21"/>
              </w:rPr>
            </w:pPr>
            <w:r w:rsidRPr="00FC1444">
              <w:rPr>
                <w:rFonts w:eastAsiaTheme="minorEastAsia"/>
                <w:szCs w:val="21"/>
              </w:rPr>
              <w:t>本项目建设农田防护及生态环境保护工程，规划农田防护林</w:t>
            </w:r>
            <w:r w:rsidRPr="00FC1444">
              <w:rPr>
                <w:rFonts w:eastAsiaTheme="minorEastAsia"/>
                <w:szCs w:val="21"/>
              </w:rPr>
              <w:t>2638</w:t>
            </w:r>
            <w:r w:rsidRPr="00FC1444">
              <w:rPr>
                <w:rFonts w:eastAsiaTheme="minorEastAsia"/>
                <w:szCs w:val="21"/>
              </w:rPr>
              <w:t>株，栽种樟子松</w:t>
            </w:r>
            <w:r w:rsidRPr="00FC1444">
              <w:rPr>
                <w:rFonts w:eastAsiaTheme="minorEastAsia"/>
                <w:szCs w:val="21"/>
              </w:rPr>
              <w:t>637</w:t>
            </w:r>
            <w:r w:rsidRPr="00FC1444">
              <w:rPr>
                <w:rFonts w:eastAsiaTheme="minorEastAsia"/>
                <w:szCs w:val="21"/>
              </w:rPr>
              <w:t>株，栽种杨树</w:t>
            </w:r>
            <w:r w:rsidRPr="00FC1444">
              <w:rPr>
                <w:rFonts w:eastAsiaTheme="minorEastAsia"/>
                <w:szCs w:val="21"/>
              </w:rPr>
              <w:t>2001</w:t>
            </w:r>
            <w:r w:rsidRPr="00FC1444">
              <w:rPr>
                <w:rFonts w:eastAsiaTheme="minorEastAsia"/>
                <w:szCs w:val="21"/>
              </w:rPr>
              <w:t>株；</w:t>
            </w:r>
            <w:r w:rsidRPr="00FC1444">
              <w:rPr>
                <w:rFonts w:eastAsiaTheme="minorEastAsia"/>
                <w:bCs/>
                <w:szCs w:val="21"/>
              </w:rPr>
              <w:t>沟头防护</w:t>
            </w:r>
            <w:r w:rsidRPr="00FC1444">
              <w:rPr>
                <w:rFonts w:eastAsiaTheme="minorEastAsia"/>
                <w:bCs/>
                <w:szCs w:val="21"/>
              </w:rPr>
              <w:t>1</w:t>
            </w:r>
            <w:r w:rsidRPr="00FC1444">
              <w:rPr>
                <w:rFonts w:eastAsiaTheme="minorEastAsia"/>
                <w:bCs/>
                <w:szCs w:val="21"/>
              </w:rPr>
              <w:t>座；侵蚀沟治理</w:t>
            </w:r>
            <w:r w:rsidRPr="00FC1444">
              <w:rPr>
                <w:rFonts w:eastAsiaTheme="minorEastAsia"/>
                <w:bCs/>
                <w:szCs w:val="21"/>
              </w:rPr>
              <w:t>0.063</w:t>
            </w:r>
            <w:r w:rsidRPr="00FC1444">
              <w:rPr>
                <w:rFonts w:eastAsiaTheme="minorEastAsia"/>
                <w:bCs/>
                <w:szCs w:val="21"/>
              </w:rPr>
              <w:t>公里</w:t>
            </w:r>
            <w:r w:rsidRPr="00FC1444">
              <w:rPr>
                <w:rFonts w:eastAsiaTheme="minorEastAsia"/>
                <w:szCs w:val="21"/>
              </w:rPr>
              <w:t>。增强区域防御风沙灾害和防止水土流失能力。</w:t>
            </w:r>
          </w:p>
        </w:tc>
        <w:tc>
          <w:tcPr>
            <w:tcW w:w="858" w:type="dxa"/>
            <w:vAlign w:val="center"/>
          </w:tcPr>
          <w:p w:rsidR="008C351B" w:rsidRPr="00FC1444" w:rsidRDefault="008C351B">
            <w:pPr>
              <w:jc w:val="center"/>
              <w:rPr>
                <w:rFonts w:eastAsiaTheme="minorEastAsia"/>
                <w:szCs w:val="21"/>
              </w:rPr>
            </w:pPr>
            <w:r w:rsidRPr="00FC1444">
              <w:rPr>
                <w:rFonts w:eastAsiaTheme="minorEastAsia"/>
                <w:szCs w:val="21"/>
              </w:rPr>
              <w:t>符合</w:t>
            </w:r>
          </w:p>
        </w:tc>
      </w:tr>
      <w:tr w:rsidR="008C351B" w:rsidRPr="00FC1444">
        <w:trPr>
          <w:jc w:val="center"/>
        </w:trPr>
        <w:tc>
          <w:tcPr>
            <w:tcW w:w="984" w:type="dxa"/>
            <w:vMerge/>
            <w:vAlign w:val="center"/>
          </w:tcPr>
          <w:p w:rsidR="008C351B" w:rsidRPr="00FC1444" w:rsidRDefault="008C351B">
            <w:pPr>
              <w:tabs>
                <w:tab w:val="left" w:pos="900"/>
              </w:tabs>
              <w:spacing w:line="300" w:lineRule="atLeast"/>
              <w:jc w:val="center"/>
              <w:rPr>
                <w:rFonts w:eastAsiaTheme="minorEastAsia"/>
                <w:szCs w:val="21"/>
              </w:rPr>
            </w:pPr>
          </w:p>
        </w:tc>
        <w:tc>
          <w:tcPr>
            <w:tcW w:w="3192" w:type="dxa"/>
            <w:vAlign w:val="center"/>
          </w:tcPr>
          <w:p w:rsidR="008C351B" w:rsidRPr="00FC1444" w:rsidRDefault="008C351B">
            <w:pPr>
              <w:tabs>
                <w:tab w:val="left" w:pos="900"/>
              </w:tabs>
              <w:spacing w:line="300" w:lineRule="atLeast"/>
              <w:jc w:val="left"/>
              <w:rPr>
                <w:rFonts w:eastAsiaTheme="minorEastAsia"/>
                <w:szCs w:val="21"/>
              </w:rPr>
            </w:pPr>
            <w:r w:rsidRPr="00FC1444">
              <w:rPr>
                <w:rFonts w:eastAsiaTheme="minorEastAsia"/>
                <w:szCs w:val="21"/>
              </w:rPr>
              <w:t>电：通过完善农田电网、配套相应的输配电设施，满足农田设施用电需求，降低农业生产成本，提高农业生产的效率和效益。</w:t>
            </w:r>
          </w:p>
        </w:tc>
        <w:tc>
          <w:tcPr>
            <w:tcW w:w="3686" w:type="dxa"/>
            <w:vAlign w:val="center"/>
          </w:tcPr>
          <w:p w:rsidR="008C351B" w:rsidRPr="00FC1444" w:rsidRDefault="008C351B" w:rsidP="00052183">
            <w:pPr>
              <w:tabs>
                <w:tab w:val="left" w:pos="900"/>
              </w:tabs>
              <w:spacing w:line="300" w:lineRule="atLeast"/>
              <w:jc w:val="left"/>
              <w:rPr>
                <w:rFonts w:eastAsiaTheme="minorEastAsia"/>
                <w:szCs w:val="21"/>
              </w:rPr>
            </w:pPr>
            <w:r w:rsidRPr="00FC1444">
              <w:rPr>
                <w:rFonts w:eastAsiaTheme="minorEastAsia"/>
                <w:szCs w:val="21"/>
              </w:rPr>
              <w:t>本项目</w:t>
            </w:r>
            <w:r w:rsidR="004B2F9E" w:rsidRPr="00FC1444">
              <w:rPr>
                <w:rFonts w:eastAsiaTheme="minorEastAsia"/>
                <w:szCs w:val="21"/>
              </w:rPr>
              <w:t>新建</w:t>
            </w:r>
            <w:r w:rsidR="004B2F9E" w:rsidRPr="00FC1444">
              <w:rPr>
                <w:rFonts w:eastAsiaTheme="minorEastAsia"/>
                <w:szCs w:val="21"/>
              </w:rPr>
              <w:t>10kV</w:t>
            </w:r>
            <w:r w:rsidR="004B2F9E" w:rsidRPr="00FC1444">
              <w:rPr>
                <w:rFonts w:eastAsiaTheme="minorEastAsia"/>
                <w:szCs w:val="21"/>
              </w:rPr>
              <w:t>高压电缆线路</w:t>
            </w:r>
            <w:r w:rsidR="004B2F9E" w:rsidRPr="00FC1444">
              <w:rPr>
                <w:rFonts w:eastAsiaTheme="minorEastAsia"/>
                <w:szCs w:val="21"/>
              </w:rPr>
              <w:t>111.836km</w:t>
            </w:r>
            <w:r w:rsidR="004B2F9E" w:rsidRPr="00FC1444">
              <w:rPr>
                <w:rFonts w:eastAsiaTheme="minorEastAsia"/>
                <w:szCs w:val="21"/>
              </w:rPr>
              <w:t>，新建</w:t>
            </w:r>
            <w:r w:rsidR="004B2F9E" w:rsidRPr="00FC1444">
              <w:rPr>
                <w:rFonts w:eastAsiaTheme="minorEastAsia"/>
                <w:szCs w:val="21"/>
              </w:rPr>
              <w:t>0.4kV</w:t>
            </w:r>
            <w:r w:rsidR="004B2F9E" w:rsidRPr="00FC1444">
              <w:rPr>
                <w:rFonts w:eastAsiaTheme="minorEastAsia"/>
                <w:szCs w:val="21"/>
              </w:rPr>
              <w:t>低压地埋线路</w:t>
            </w:r>
            <w:r w:rsidR="004B2F9E" w:rsidRPr="00FC1444">
              <w:rPr>
                <w:rFonts w:eastAsiaTheme="minorEastAsia"/>
                <w:szCs w:val="21"/>
              </w:rPr>
              <w:t>21.73km</w:t>
            </w:r>
            <w:r w:rsidRPr="00FC1444">
              <w:rPr>
                <w:rFonts w:eastAsiaTheme="minorEastAsia"/>
                <w:szCs w:val="21"/>
              </w:rPr>
              <w:t>，配套变压器</w:t>
            </w:r>
            <w:r w:rsidR="00DF0EB9" w:rsidRPr="00FC1444">
              <w:rPr>
                <w:rFonts w:eastAsiaTheme="minorEastAsia"/>
                <w:szCs w:val="21"/>
              </w:rPr>
              <w:t>97</w:t>
            </w:r>
            <w:r w:rsidR="00DF0EB9" w:rsidRPr="00FC1444">
              <w:rPr>
                <w:rFonts w:eastAsiaTheme="minorEastAsia"/>
                <w:szCs w:val="21"/>
              </w:rPr>
              <w:t>台</w:t>
            </w:r>
            <w:r w:rsidRPr="00FC1444">
              <w:rPr>
                <w:rFonts w:eastAsiaTheme="minorEastAsia"/>
                <w:szCs w:val="21"/>
              </w:rPr>
              <w:t>，可提高农业生产的效率和效益。</w:t>
            </w:r>
          </w:p>
        </w:tc>
        <w:tc>
          <w:tcPr>
            <w:tcW w:w="858" w:type="dxa"/>
            <w:vAlign w:val="center"/>
          </w:tcPr>
          <w:p w:rsidR="008C351B" w:rsidRPr="00FC1444" w:rsidRDefault="008C351B">
            <w:pPr>
              <w:jc w:val="center"/>
              <w:rPr>
                <w:rFonts w:eastAsiaTheme="minorEastAsia"/>
                <w:szCs w:val="21"/>
              </w:rPr>
            </w:pPr>
            <w:r w:rsidRPr="00FC1444">
              <w:rPr>
                <w:rFonts w:eastAsiaTheme="minorEastAsia"/>
                <w:szCs w:val="21"/>
              </w:rPr>
              <w:t>符合</w:t>
            </w:r>
          </w:p>
        </w:tc>
      </w:tr>
      <w:tr w:rsidR="008C351B" w:rsidRPr="00FC1444">
        <w:trPr>
          <w:jc w:val="center"/>
        </w:trPr>
        <w:tc>
          <w:tcPr>
            <w:tcW w:w="984" w:type="dxa"/>
            <w:vMerge/>
            <w:vAlign w:val="center"/>
          </w:tcPr>
          <w:p w:rsidR="008C351B" w:rsidRPr="00FC1444" w:rsidRDefault="008C351B">
            <w:pPr>
              <w:tabs>
                <w:tab w:val="left" w:pos="900"/>
              </w:tabs>
              <w:spacing w:line="300" w:lineRule="atLeast"/>
              <w:jc w:val="center"/>
              <w:rPr>
                <w:rFonts w:eastAsiaTheme="minorEastAsia"/>
                <w:szCs w:val="21"/>
              </w:rPr>
            </w:pPr>
          </w:p>
        </w:tc>
        <w:tc>
          <w:tcPr>
            <w:tcW w:w="3192" w:type="dxa"/>
            <w:vAlign w:val="center"/>
          </w:tcPr>
          <w:p w:rsidR="008C351B" w:rsidRPr="00FC1444" w:rsidRDefault="008C351B">
            <w:pPr>
              <w:tabs>
                <w:tab w:val="left" w:pos="900"/>
              </w:tabs>
              <w:spacing w:line="300" w:lineRule="atLeast"/>
              <w:jc w:val="left"/>
              <w:rPr>
                <w:rFonts w:eastAsiaTheme="minorEastAsia"/>
                <w:szCs w:val="21"/>
              </w:rPr>
            </w:pPr>
            <w:r w:rsidRPr="00FC1444">
              <w:rPr>
                <w:rFonts w:eastAsiaTheme="minorEastAsia"/>
                <w:szCs w:val="21"/>
              </w:rPr>
              <w:t>技：通过工程措施与农艺技术相结合，推广数字农业、良种良法、病虫害绿色防控、节水节肥减药等技术，提高农田可持续利用水平和综合生产能力。</w:t>
            </w:r>
          </w:p>
        </w:tc>
        <w:tc>
          <w:tcPr>
            <w:tcW w:w="3686" w:type="dxa"/>
            <w:vAlign w:val="center"/>
          </w:tcPr>
          <w:p w:rsidR="008C351B" w:rsidRPr="00FC1444" w:rsidRDefault="008C351B">
            <w:pPr>
              <w:tabs>
                <w:tab w:val="left" w:pos="900"/>
              </w:tabs>
              <w:spacing w:line="300" w:lineRule="atLeast"/>
              <w:jc w:val="left"/>
              <w:rPr>
                <w:rFonts w:eastAsiaTheme="minorEastAsia"/>
                <w:szCs w:val="21"/>
              </w:rPr>
            </w:pPr>
            <w:r w:rsidRPr="00FC1444">
              <w:rPr>
                <w:rFonts w:eastAsiaTheme="minorEastAsia"/>
                <w:szCs w:val="21"/>
              </w:rPr>
              <w:t>本项目</w:t>
            </w:r>
            <w:r w:rsidR="00B13464" w:rsidRPr="00FC1444">
              <w:rPr>
                <w:rFonts w:eastAsiaTheme="minorEastAsia"/>
                <w:szCs w:val="21"/>
              </w:rPr>
              <w:t>水肥一体灌溉面积</w:t>
            </w:r>
            <w:r w:rsidR="00B13464" w:rsidRPr="00FC1444">
              <w:rPr>
                <w:rFonts w:eastAsiaTheme="minorEastAsia"/>
                <w:szCs w:val="21"/>
              </w:rPr>
              <w:t>11285</w:t>
            </w:r>
            <w:r w:rsidR="00B13464" w:rsidRPr="00FC1444">
              <w:rPr>
                <w:rFonts w:eastAsiaTheme="minorEastAsia"/>
                <w:szCs w:val="21"/>
              </w:rPr>
              <w:t>亩</w:t>
            </w:r>
            <w:r w:rsidRPr="00FC1444">
              <w:rPr>
                <w:rFonts w:eastAsiaTheme="minorEastAsia"/>
                <w:szCs w:val="21"/>
              </w:rPr>
              <w:t>。</w:t>
            </w:r>
          </w:p>
        </w:tc>
        <w:tc>
          <w:tcPr>
            <w:tcW w:w="858" w:type="dxa"/>
            <w:vAlign w:val="center"/>
          </w:tcPr>
          <w:p w:rsidR="008C351B" w:rsidRPr="00FC1444" w:rsidRDefault="008C351B">
            <w:pPr>
              <w:jc w:val="center"/>
              <w:rPr>
                <w:rFonts w:eastAsiaTheme="minorEastAsia"/>
                <w:szCs w:val="21"/>
              </w:rPr>
            </w:pPr>
            <w:r w:rsidRPr="00FC1444">
              <w:rPr>
                <w:rFonts w:eastAsiaTheme="minorEastAsia"/>
                <w:szCs w:val="21"/>
              </w:rPr>
              <w:t>符合</w:t>
            </w:r>
          </w:p>
        </w:tc>
      </w:tr>
    </w:tbl>
    <w:p w:rsidR="008C351B" w:rsidRPr="00FC1444" w:rsidRDefault="008C351B" w:rsidP="008C351B">
      <w:pPr>
        <w:jc w:val="center"/>
        <w:rPr>
          <w:rFonts w:eastAsiaTheme="minorEastAsia"/>
          <w:b/>
          <w:szCs w:val="21"/>
        </w:rPr>
      </w:pPr>
    </w:p>
    <w:p w:rsidR="008C351B" w:rsidRPr="00FC1444" w:rsidRDefault="008C351B" w:rsidP="008C351B">
      <w:pPr>
        <w:jc w:val="center"/>
        <w:rPr>
          <w:rFonts w:eastAsiaTheme="minorEastAsia"/>
        </w:rPr>
      </w:pPr>
      <w:r w:rsidRPr="00FC1444">
        <w:rPr>
          <w:rFonts w:eastAsiaTheme="minorEastAsia"/>
          <w:b/>
          <w:szCs w:val="21"/>
        </w:rPr>
        <w:lastRenderedPageBreak/>
        <w:t>续表</w:t>
      </w:r>
      <w:r w:rsidRPr="00FC1444">
        <w:rPr>
          <w:rFonts w:eastAsiaTheme="minorEastAsia"/>
          <w:b/>
          <w:szCs w:val="21"/>
        </w:rPr>
        <w:t>1-4-</w:t>
      </w:r>
      <w:r w:rsidR="00C27FC4" w:rsidRPr="00FC1444">
        <w:rPr>
          <w:rFonts w:eastAsiaTheme="minorEastAsia"/>
          <w:b/>
          <w:szCs w:val="21"/>
        </w:rPr>
        <w:t>6</w:t>
      </w:r>
      <w:r w:rsidRPr="00FC1444">
        <w:rPr>
          <w:rFonts w:eastAsiaTheme="minorEastAsia"/>
          <w:b/>
          <w:szCs w:val="21"/>
        </w:rPr>
        <w:t>《全国高标准农田建设规划》（</w:t>
      </w:r>
      <w:r w:rsidRPr="00FC1444">
        <w:rPr>
          <w:rFonts w:eastAsiaTheme="minorEastAsia"/>
          <w:b/>
          <w:szCs w:val="21"/>
        </w:rPr>
        <w:t>2021-2030</w:t>
      </w:r>
      <w:r w:rsidRPr="00FC1444">
        <w:rPr>
          <w:rFonts w:eastAsiaTheme="minorEastAsia"/>
          <w:b/>
          <w:szCs w:val="21"/>
        </w:rPr>
        <w:t>年）符合性分析</w:t>
      </w:r>
    </w:p>
    <w:tbl>
      <w:tblPr>
        <w:tblW w:w="8720" w:type="dxa"/>
        <w:jc w:val="center"/>
        <w:tblBorders>
          <w:top w:val="single" w:sz="12" w:space="0" w:color="auto"/>
          <w:bottom w:val="single" w:sz="12" w:space="0" w:color="auto"/>
          <w:insideH w:val="single" w:sz="4" w:space="0" w:color="000000"/>
          <w:insideV w:val="single" w:sz="4" w:space="0" w:color="000000"/>
        </w:tblBorders>
        <w:tblLayout w:type="fixed"/>
        <w:tblLook w:val="04A0"/>
      </w:tblPr>
      <w:tblGrid>
        <w:gridCol w:w="984"/>
        <w:gridCol w:w="3192"/>
        <w:gridCol w:w="3648"/>
        <w:gridCol w:w="896"/>
      </w:tblGrid>
      <w:tr w:rsidR="002A5A5E" w:rsidRPr="00FC1444">
        <w:trPr>
          <w:jc w:val="center"/>
        </w:trPr>
        <w:tc>
          <w:tcPr>
            <w:tcW w:w="984" w:type="dxa"/>
            <w:vAlign w:val="center"/>
          </w:tcPr>
          <w:p w:rsidR="002A5A5E" w:rsidRPr="00FC1444" w:rsidRDefault="008C351B">
            <w:pPr>
              <w:tabs>
                <w:tab w:val="left" w:pos="900"/>
              </w:tabs>
              <w:spacing w:line="300" w:lineRule="atLeast"/>
              <w:jc w:val="center"/>
              <w:rPr>
                <w:rFonts w:eastAsiaTheme="minorEastAsia"/>
                <w:szCs w:val="21"/>
              </w:rPr>
            </w:pPr>
            <w:r w:rsidRPr="00FC1444">
              <w:rPr>
                <w:rFonts w:eastAsiaTheme="minorEastAsia"/>
                <w:szCs w:val="21"/>
              </w:rPr>
              <w:t>《全国高标准农田建设规划》</w:t>
            </w:r>
          </w:p>
        </w:tc>
        <w:tc>
          <w:tcPr>
            <w:tcW w:w="3192" w:type="dxa"/>
            <w:vAlign w:val="center"/>
          </w:tcPr>
          <w:p w:rsidR="002A5A5E" w:rsidRPr="00FC1444" w:rsidRDefault="00611CBA">
            <w:pPr>
              <w:tabs>
                <w:tab w:val="left" w:pos="900"/>
              </w:tabs>
              <w:spacing w:line="300" w:lineRule="atLeast"/>
              <w:jc w:val="left"/>
              <w:rPr>
                <w:rFonts w:eastAsiaTheme="minorEastAsia"/>
                <w:szCs w:val="21"/>
              </w:rPr>
            </w:pPr>
            <w:r w:rsidRPr="00FC1444">
              <w:rPr>
                <w:rFonts w:eastAsiaTheme="minorEastAsia"/>
                <w:szCs w:val="21"/>
              </w:rPr>
              <w:t>管：落实建后管护主体和责任、管护资金，完善管护机制，确保建成的工程设施在设计使用年限内正常运行、高标准农田用途不改变、质量有提高。</w:t>
            </w:r>
          </w:p>
        </w:tc>
        <w:tc>
          <w:tcPr>
            <w:tcW w:w="3648" w:type="dxa"/>
            <w:vAlign w:val="center"/>
          </w:tcPr>
          <w:p w:rsidR="002A5A5E" w:rsidRPr="00FC1444" w:rsidRDefault="00611CBA">
            <w:pPr>
              <w:tabs>
                <w:tab w:val="left" w:pos="900"/>
              </w:tabs>
              <w:spacing w:line="300" w:lineRule="atLeast"/>
              <w:jc w:val="left"/>
              <w:rPr>
                <w:rFonts w:eastAsiaTheme="minorEastAsia"/>
                <w:szCs w:val="21"/>
              </w:rPr>
            </w:pPr>
            <w:r w:rsidRPr="00FC1444">
              <w:rPr>
                <w:rFonts w:eastAsiaTheme="minorEastAsia"/>
                <w:szCs w:val="21"/>
              </w:rPr>
              <w:t>本次建设完成后，由各行政村村委会进行管护，确保建成的工程设施在设计使用年限内正常运行、保证黑土地用途不改变、质量有提高。</w:t>
            </w:r>
          </w:p>
        </w:tc>
        <w:tc>
          <w:tcPr>
            <w:tcW w:w="896" w:type="dxa"/>
            <w:vAlign w:val="center"/>
          </w:tcPr>
          <w:p w:rsidR="002A5A5E" w:rsidRPr="00FC1444" w:rsidRDefault="00611CBA">
            <w:pPr>
              <w:jc w:val="center"/>
              <w:rPr>
                <w:rFonts w:eastAsiaTheme="minorEastAsia"/>
                <w:szCs w:val="21"/>
              </w:rPr>
            </w:pPr>
            <w:r w:rsidRPr="00FC1444">
              <w:rPr>
                <w:rFonts w:eastAsiaTheme="minorEastAsia"/>
                <w:szCs w:val="21"/>
              </w:rPr>
              <w:t>符合</w:t>
            </w:r>
          </w:p>
        </w:tc>
      </w:tr>
    </w:tbl>
    <w:p w:rsidR="002A5A5E" w:rsidRPr="00FC1444" w:rsidRDefault="00611CBA">
      <w:pPr>
        <w:adjustRightInd w:val="0"/>
        <w:snapToGrid w:val="0"/>
        <w:spacing w:line="360" w:lineRule="auto"/>
        <w:ind w:firstLineChars="200" w:firstLine="480"/>
        <w:rPr>
          <w:rFonts w:eastAsiaTheme="minorEastAsia"/>
          <w:kern w:val="0"/>
          <w:szCs w:val="21"/>
        </w:rPr>
      </w:pPr>
      <w:r w:rsidRPr="00FC1444">
        <w:rPr>
          <w:rFonts w:eastAsiaTheme="minorEastAsia"/>
          <w:sz w:val="24"/>
          <w:szCs w:val="22"/>
        </w:rPr>
        <w:t>综上所述，本项目</w:t>
      </w:r>
      <w:r w:rsidRPr="00FC1444">
        <w:rPr>
          <w:rFonts w:eastAsiaTheme="minorEastAsia"/>
          <w:sz w:val="24"/>
        </w:rPr>
        <w:t>主要建设内</w:t>
      </w:r>
      <w:r w:rsidR="0097424D" w:rsidRPr="00FC1444">
        <w:rPr>
          <w:rFonts w:eastAsiaTheme="minorEastAsia"/>
          <w:sz w:val="24"/>
        </w:rPr>
        <w:t>容为田块整治工程、灌溉与排水工程、田间道路工程、农田输配电工程</w:t>
      </w:r>
      <w:r w:rsidR="00D622BA" w:rsidRPr="00FC1444">
        <w:rPr>
          <w:rFonts w:eastAsiaTheme="minorEastAsia"/>
          <w:sz w:val="24"/>
        </w:rPr>
        <w:t>、农田防护及生态环境保护工程</w:t>
      </w:r>
      <w:r w:rsidRPr="00FC1444">
        <w:rPr>
          <w:rFonts w:eastAsiaTheme="minorEastAsia"/>
          <w:sz w:val="24"/>
        </w:rPr>
        <w:t>，满足土、电、路及水等要求，符合《全国高标准农田建设规划（</w:t>
      </w:r>
      <w:r w:rsidRPr="00FC1444">
        <w:rPr>
          <w:rFonts w:eastAsiaTheme="minorEastAsia"/>
          <w:sz w:val="24"/>
        </w:rPr>
        <w:t>2021-2030</w:t>
      </w:r>
      <w:r w:rsidRPr="00FC1444">
        <w:rPr>
          <w:rFonts w:eastAsiaTheme="minorEastAsia"/>
          <w:sz w:val="24"/>
        </w:rPr>
        <w:t>）》要求。</w:t>
      </w:r>
    </w:p>
    <w:p w:rsidR="002A5A5E" w:rsidRPr="00FC1444" w:rsidRDefault="00611CBA">
      <w:pPr>
        <w:spacing w:line="360" w:lineRule="auto"/>
        <w:ind w:firstLine="482"/>
        <w:rPr>
          <w:rFonts w:eastAsiaTheme="minorEastAsia"/>
          <w:kern w:val="0"/>
          <w:sz w:val="24"/>
        </w:rPr>
      </w:pPr>
      <w:r w:rsidRPr="00FC1444">
        <w:rPr>
          <w:rFonts w:eastAsiaTheme="minorEastAsia"/>
          <w:sz w:val="24"/>
        </w:rPr>
        <w:t>（</w:t>
      </w:r>
      <w:r w:rsidRPr="00FC1444">
        <w:rPr>
          <w:rFonts w:eastAsiaTheme="minorEastAsia"/>
          <w:sz w:val="24"/>
        </w:rPr>
        <w:t>2</w:t>
      </w:r>
      <w:r w:rsidRPr="00FC1444">
        <w:rPr>
          <w:rFonts w:eastAsiaTheme="minorEastAsia"/>
          <w:sz w:val="24"/>
        </w:rPr>
        <w:t>）</w:t>
      </w:r>
      <w:r w:rsidRPr="00FC1444">
        <w:rPr>
          <w:rFonts w:eastAsiaTheme="minorEastAsia"/>
          <w:kern w:val="0"/>
          <w:sz w:val="24"/>
        </w:rPr>
        <w:t>与《黑龙江省水土保持规划（</w:t>
      </w:r>
      <w:r w:rsidRPr="00FC1444">
        <w:rPr>
          <w:rFonts w:eastAsiaTheme="minorEastAsia"/>
          <w:kern w:val="0"/>
          <w:sz w:val="24"/>
        </w:rPr>
        <w:t>2015-2030</w:t>
      </w:r>
      <w:r w:rsidRPr="00FC1444">
        <w:rPr>
          <w:rFonts w:eastAsiaTheme="minorEastAsia"/>
          <w:kern w:val="0"/>
          <w:sz w:val="24"/>
        </w:rPr>
        <w:t>年）》符合性分析</w:t>
      </w:r>
    </w:p>
    <w:p w:rsidR="002A5A5E" w:rsidRPr="00FC1444" w:rsidRDefault="00A70CC1" w:rsidP="00A70CC1">
      <w:pPr>
        <w:spacing w:line="360" w:lineRule="auto"/>
        <w:ind w:firstLineChars="200" w:firstLine="480"/>
        <w:rPr>
          <w:rFonts w:eastAsiaTheme="minorEastAsia"/>
          <w:sz w:val="24"/>
        </w:rPr>
      </w:pPr>
      <w:r w:rsidRPr="00FC1444">
        <w:rPr>
          <w:rFonts w:eastAsiaTheme="minorEastAsia"/>
          <w:sz w:val="24"/>
        </w:rPr>
        <w:t>相关内容</w:t>
      </w:r>
      <w:r w:rsidRPr="00FC1444">
        <w:rPr>
          <w:rFonts w:eastAsiaTheme="minorEastAsia" w:hint="eastAsia"/>
          <w:sz w:val="24"/>
        </w:rPr>
        <w:t>：</w:t>
      </w:r>
      <w:r w:rsidR="00611CBA" w:rsidRPr="00FC1444">
        <w:rPr>
          <w:rFonts w:eastAsiaTheme="minorEastAsia"/>
          <w:bCs/>
          <w:kern w:val="0"/>
          <w:sz w:val="24"/>
        </w:rPr>
        <w:t>根据黑龙江省水利厅编制的《黑龙江省水土保持规划（</w:t>
      </w:r>
      <w:r w:rsidR="00611CBA" w:rsidRPr="00FC1444">
        <w:rPr>
          <w:rFonts w:eastAsiaTheme="minorEastAsia"/>
          <w:bCs/>
          <w:kern w:val="0"/>
          <w:sz w:val="24"/>
        </w:rPr>
        <w:t>2015-2030</w:t>
      </w:r>
      <w:r w:rsidR="00611CBA" w:rsidRPr="00FC1444">
        <w:rPr>
          <w:rFonts w:eastAsiaTheme="minorEastAsia"/>
          <w:bCs/>
          <w:kern w:val="0"/>
          <w:sz w:val="24"/>
        </w:rPr>
        <w:t>年）》，</w:t>
      </w:r>
      <w:r w:rsidR="00A961AB" w:rsidRPr="00FC1444">
        <w:rPr>
          <w:rFonts w:eastAsiaTheme="minorEastAsia"/>
          <w:bCs/>
          <w:kern w:val="0"/>
          <w:sz w:val="24"/>
        </w:rPr>
        <w:t>绥化</w:t>
      </w:r>
      <w:r w:rsidR="00611CBA" w:rsidRPr="00FC1444">
        <w:rPr>
          <w:rFonts w:eastAsiaTheme="minorEastAsia"/>
          <w:bCs/>
          <w:kern w:val="0"/>
          <w:sz w:val="24"/>
        </w:rPr>
        <w:t>市属于</w:t>
      </w:r>
      <w:r w:rsidR="00611CBA" w:rsidRPr="00FC1444">
        <w:rPr>
          <w:rFonts w:eastAsiaTheme="minorEastAsia"/>
          <w:bCs/>
          <w:kern w:val="0"/>
          <w:sz w:val="24"/>
        </w:rPr>
        <w:t xml:space="preserve"> I-3-1t</w:t>
      </w:r>
      <w:r w:rsidR="00611CBA" w:rsidRPr="00FC1444">
        <w:rPr>
          <w:rFonts w:eastAsiaTheme="minorEastAsia"/>
          <w:bCs/>
          <w:kern w:val="0"/>
          <w:sz w:val="24"/>
        </w:rPr>
        <w:t>中部漫川漫岗土壤保持区，</w:t>
      </w:r>
      <w:r w:rsidR="00A961AB" w:rsidRPr="00FC1444">
        <w:rPr>
          <w:rFonts w:eastAsiaTheme="minorEastAsia"/>
          <w:bCs/>
          <w:kern w:val="0"/>
          <w:sz w:val="24"/>
        </w:rPr>
        <w:t>属于国家级水土流失重点治理区</w:t>
      </w:r>
      <w:r w:rsidR="00611CBA" w:rsidRPr="00FC1444">
        <w:rPr>
          <w:rFonts w:eastAsiaTheme="minorEastAsia"/>
          <w:bCs/>
          <w:kern w:val="0"/>
          <w:sz w:val="24"/>
        </w:rPr>
        <w:t>。</w:t>
      </w:r>
    </w:p>
    <w:p w:rsidR="002A5A5E" w:rsidRPr="00FC1444" w:rsidRDefault="00611CBA">
      <w:pPr>
        <w:spacing w:line="360" w:lineRule="auto"/>
        <w:ind w:firstLine="482"/>
        <w:rPr>
          <w:rFonts w:eastAsiaTheme="minorEastAsia"/>
          <w:bCs/>
          <w:kern w:val="0"/>
          <w:sz w:val="24"/>
        </w:rPr>
      </w:pPr>
      <w:r w:rsidRPr="00FC1444">
        <w:rPr>
          <w:rFonts w:eastAsiaTheme="minorEastAsia"/>
          <w:bCs/>
          <w:kern w:val="0"/>
          <w:sz w:val="24"/>
        </w:rPr>
        <w:t>重点治理区应实施以小流域为单元、以坡耕地改造和侵蚀沟治理为重点的综</w:t>
      </w:r>
      <w:r w:rsidRPr="00FC1444">
        <w:rPr>
          <w:rFonts w:eastAsiaTheme="minorEastAsia"/>
          <w:bCs/>
          <w:kern w:val="0"/>
          <w:sz w:val="24"/>
        </w:rPr>
        <w:t xml:space="preserve"> </w:t>
      </w:r>
      <w:r w:rsidRPr="00FC1444">
        <w:rPr>
          <w:rFonts w:eastAsiaTheme="minorEastAsia"/>
          <w:bCs/>
          <w:kern w:val="0"/>
          <w:sz w:val="24"/>
        </w:rPr>
        <w:t>合治理工程。以治理水土流失、蓄水固土、减少泥沙下泄为目标，采取水土保持</w:t>
      </w:r>
      <w:r w:rsidRPr="00FC1444">
        <w:rPr>
          <w:rFonts w:eastAsiaTheme="minorEastAsia"/>
          <w:bCs/>
          <w:kern w:val="0"/>
          <w:sz w:val="24"/>
        </w:rPr>
        <w:t xml:space="preserve"> </w:t>
      </w:r>
      <w:r w:rsidRPr="00FC1444">
        <w:rPr>
          <w:rFonts w:eastAsiaTheme="minorEastAsia"/>
          <w:bCs/>
          <w:kern w:val="0"/>
          <w:sz w:val="24"/>
        </w:rPr>
        <w:t>工程措施、植物措施和农业耕作措施，开展</w:t>
      </w:r>
      <w:r w:rsidRPr="00FC1444">
        <w:rPr>
          <w:rFonts w:eastAsiaTheme="minorEastAsia"/>
          <w:bCs/>
          <w:kern w:val="0"/>
          <w:sz w:val="24"/>
        </w:rPr>
        <w:t>“</w:t>
      </w:r>
      <w:r w:rsidRPr="00FC1444">
        <w:rPr>
          <w:rFonts w:eastAsiaTheme="minorEastAsia"/>
          <w:bCs/>
          <w:kern w:val="0"/>
          <w:sz w:val="24"/>
        </w:rPr>
        <w:t>山水林田湖</w:t>
      </w:r>
      <w:r w:rsidRPr="00FC1444">
        <w:rPr>
          <w:rFonts w:eastAsiaTheme="minorEastAsia"/>
          <w:bCs/>
          <w:kern w:val="0"/>
          <w:sz w:val="24"/>
        </w:rPr>
        <w:t>”</w:t>
      </w:r>
      <w:r w:rsidRPr="00FC1444">
        <w:rPr>
          <w:rFonts w:eastAsiaTheme="minorEastAsia"/>
          <w:bCs/>
          <w:kern w:val="0"/>
          <w:sz w:val="24"/>
        </w:rPr>
        <w:t>统一规划和全面治理，建立水土流失综合防治体系。大力营造农田防护林、防风固沙林和水土保持林，开展生态修复、退耕还林、退耕还草，增加植被面积。实施坡耕地治理工程、侵蚀沟治理工程、配套保护性耕作和坡面蓄排体系建设，提高和维持土地生产力。同时，严格生产建设项目监督管理，防治人为水土流失。通过全面规划和规模治理，改善区域生产条件和生态环境，增强抗御自然灾害的能力。</w:t>
      </w:r>
    </w:p>
    <w:p w:rsidR="002A5A5E" w:rsidRPr="00FC1444" w:rsidRDefault="00A70CC1">
      <w:pPr>
        <w:pStyle w:val="ab"/>
        <w:spacing w:after="0" w:line="360" w:lineRule="auto"/>
        <w:ind w:firstLineChars="200" w:firstLine="480"/>
        <w:rPr>
          <w:rFonts w:eastAsiaTheme="minorEastAsia"/>
          <w:sz w:val="24"/>
        </w:rPr>
      </w:pPr>
      <w:r w:rsidRPr="00FC1444">
        <w:rPr>
          <w:rFonts w:eastAsiaTheme="minorEastAsia"/>
          <w:kern w:val="0"/>
          <w:sz w:val="24"/>
        </w:rPr>
        <w:t>符合性分析：</w:t>
      </w:r>
      <w:r w:rsidR="00611CBA" w:rsidRPr="00FC1444">
        <w:rPr>
          <w:rFonts w:eastAsiaTheme="minorEastAsia"/>
          <w:sz w:val="24"/>
        </w:rPr>
        <w:t>本项目施工期间加强监管、减少水土流失，施工过程中采取</w:t>
      </w:r>
      <w:r w:rsidR="00611CBA" w:rsidRPr="00FC1444">
        <w:rPr>
          <w:rFonts w:eastAsiaTheme="minorEastAsia"/>
          <w:sz w:val="24"/>
        </w:rPr>
        <w:t>“</w:t>
      </w:r>
      <w:r w:rsidR="00611CBA" w:rsidRPr="00FC1444">
        <w:rPr>
          <w:rFonts w:eastAsiaTheme="minorEastAsia"/>
          <w:sz w:val="24"/>
        </w:rPr>
        <w:t>边施工、边修复</w:t>
      </w:r>
      <w:r w:rsidR="00611CBA" w:rsidRPr="00FC1444">
        <w:rPr>
          <w:rFonts w:eastAsiaTheme="minorEastAsia"/>
          <w:sz w:val="24"/>
        </w:rPr>
        <w:t>”</w:t>
      </w:r>
      <w:r w:rsidR="00611CBA" w:rsidRPr="00FC1444">
        <w:rPr>
          <w:rFonts w:eastAsiaTheme="minorEastAsia"/>
          <w:sz w:val="24"/>
        </w:rPr>
        <w:t>措施。</w:t>
      </w:r>
      <w:r w:rsidR="00E17AA8" w:rsidRPr="00FC1444">
        <w:rPr>
          <w:rFonts w:eastAsiaTheme="minorEastAsia"/>
          <w:snapToGrid w:val="0"/>
          <w:kern w:val="0"/>
          <w:sz w:val="24"/>
        </w:rPr>
        <w:t>输配电工程表土及土方临时堆存在施工沿线，分区存放，设置临时拦挡并采用密目网苫盖，施工结束后分层回填，</w:t>
      </w:r>
      <w:r w:rsidR="00617138" w:rsidRPr="00FC1444">
        <w:rPr>
          <w:rFonts w:eastAsiaTheme="minorEastAsia"/>
          <w:snapToGrid w:val="0"/>
          <w:kern w:val="0"/>
          <w:sz w:val="24"/>
        </w:rPr>
        <w:t>施工场地恢复现状草地，</w:t>
      </w:r>
      <w:r w:rsidR="00C77AF5" w:rsidRPr="00FC1444">
        <w:rPr>
          <w:rFonts w:eastAsiaTheme="minorEastAsia"/>
          <w:snapToGrid w:val="0"/>
          <w:kern w:val="0"/>
          <w:sz w:val="24"/>
        </w:rPr>
        <w:t>播撒草籽面积</w:t>
      </w:r>
      <w:r w:rsidR="00C77AF5" w:rsidRPr="00FC1444">
        <w:rPr>
          <w:rFonts w:eastAsiaTheme="minorEastAsia"/>
          <w:snapToGrid w:val="0"/>
          <w:kern w:val="0"/>
          <w:sz w:val="24"/>
        </w:rPr>
        <w:t>456842</w:t>
      </w:r>
      <w:r w:rsidR="00E17AA8" w:rsidRPr="00FC1444">
        <w:rPr>
          <w:rFonts w:eastAsiaTheme="minorEastAsia"/>
          <w:snapToGrid w:val="0"/>
          <w:kern w:val="0"/>
          <w:sz w:val="24"/>
        </w:rPr>
        <w:t>m</w:t>
      </w:r>
      <w:r w:rsidR="00E17AA8" w:rsidRPr="00FC1444">
        <w:rPr>
          <w:rFonts w:eastAsiaTheme="minorEastAsia"/>
          <w:snapToGrid w:val="0"/>
          <w:kern w:val="0"/>
          <w:sz w:val="24"/>
          <w:vertAlign w:val="superscript"/>
        </w:rPr>
        <w:t>2</w:t>
      </w:r>
      <w:r w:rsidR="00E17AA8" w:rsidRPr="00FC1444">
        <w:rPr>
          <w:rFonts w:eastAsiaTheme="minorEastAsia"/>
          <w:snapToGrid w:val="0"/>
          <w:kern w:val="0"/>
          <w:sz w:val="24"/>
        </w:rPr>
        <w:t>，草籽选用紫花苜蓿等，种草密度</w:t>
      </w:r>
      <w:r w:rsidR="00E17AA8" w:rsidRPr="00FC1444">
        <w:rPr>
          <w:rFonts w:eastAsiaTheme="minorEastAsia"/>
          <w:snapToGrid w:val="0"/>
          <w:kern w:val="0"/>
          <w:sz w:val="24"/>
        </w:rPr>
        <w:t>80kg/</w:t>
      </w:r>
      <w:r w:rsidR="00E17AA8" w:rsidRPr="00FC1444">
        <w:rPr>
          <w:rFonts w:eastAsiaTheme="minorEastAsia"/>
          <w:snapToGrid w:val="0"/>
          <w:kern w:val="0"/>
          <w:sz w:val="24"/>
        </w:rPr>
        <w:t>公顷，</w:t>
      </w:r>
      <w:r w:rsidR="00C77AF5" w:rsidRPr="00FC1444">
        <w:rPr>
          <w:rFonts w:eastAsiaTheme="minorEastAsia"/>
          <w:snapToGrid w:val="0"/>
          <w:kern w:val="0"/>
          <w:sz w:val="24"/>
        </w:rPr>
        <w:t>恢复旱地</w:t>
      </w:r>
      <w:r w:rsidR="00C77AF5" w:rsidRPr="00FC1444">
        <w:rPr>
          <w:rFonts w:eastAsiaTheme="minorEastAsia"/>
          <w:snapToGrid w:val="0"/>
          <w:kern w:val="0"/>
          <w:sz w:val="24"/>
        </w:rPr>
        <w:t>22560m</w:t>
      </w:r>
      <w:r w:rsidR="00E17AA8" w:rsidRPr="00FC1444">
        <w:rPr>
          <w:rFonts w:eastAsiaTheme="minorEastAsia"/>
          <w:snapToGrid w:val="0"/>
          <w:kern w:val="0"/>
          <w:sz w:val="24"/>
          <w:vertAlign w:val="superscript"/>
        </w:rPr>
        <w:t>2</w:t>
      </w:r>
      <w:r w:rsidR="00E17AA8" w:rsidRPr="00FC1444">
        <w:rPr>
          <w:rFonts w:eastAsiaTheme="minorEastAsia"/>
          <w:snapToGrid w:val="0"/>
          <w:kern w:val="0"/>
          <w:sz w:val="24"/>
        </w:rPr>
        <w:t>；灌溉井工程剥离表土、开挖土方暂存于施工场地内，分区存放，设置临时拦挡并采用密目网苫盖，施工结束后施工场地、临时道路恢复为旱地，</w:t>
      </w:r>
      <w:r w:rsidR="00C77AF5" w:rsidRPr="00FC1444">
        <w:rPr>
          <w:rFonts w:eastAsiaTheme="minorEastAsia"/>
          <w:snapToGrid w:val="0"/>
          <w:kern w:val="0"/>
          <w:sz w:val="24"/>
        </w:rPr>
        <w:t>恢复面积</w:t>
      </w:r>
      <w:r w:rsidR="00C77AF5" w:rsidRPr="00FC1444">
        <w:rPr>
          <w:rFonts w:eastAsiaTheme="minorEastAsia"/>
          <w:snapToGrid w:val="0"/>
          <w:kern w:val="0"/>
          <w:sz w:val="24"/>
        </w:rPr>
        <w:t>4620</w:t>
      </w:r>
      <w:r w:rsidR="00E17AA8" w:rsidRPr="00FC1444">
        <w:rPr>
          <w:rFonts w:eastAsiaTheme="minorEastAsia"/>
          <w:snapToGrid w:val="0"/>
          <w:kern w:val="0"/>
          <w:sz w:val="24"/>
        </w:rPr>
        <w:t>m</w:t>
      </w:r>
      <w:r w:rsidR="00E17AA8" w:rsidRPr="00FC1444">
        <w:rPr>
          <w:rFonts w:eastAsiaTheme="minorEastAsia"/>
          <w:snapToGrid w:val="0"/>
          <w:kern w:val="0"/>
          <w:sz w:val="24"/>
          <w:vertAlign w:val="superscript"/>
        </w:rPr>
        <w:t>2</w:t>
      </w:r>
      <w:r w:rsidR="00E17AA8" w:rsidRPr="00FC1444">
        <w:rPr>
          <w:rFonts w:eastAsiaTheme="minorEastAsia"/>
          <w:snapToGrid w:val="0"/>
          <w:kern w:val="0"/>
          <w:sz w:val="24"/>
        </w:rPr>
        <w:t>；涵洞等建筑物工程剥离表土、开挖土方暂存于施工场地内，分区存放，设置临时拦挡并采用密目网苫盖，施工结束后施工场地恢复为草地，播撒草籽面积</w:t>
      </w:r>
      <w:r w:rsidR="00E17AA8" w:rsidRPr="00FC1444">
        <w:rPr>
          <w:rFonts w:eastAsiaTheme="minorEastAsia"/>
          <w:sz w:val="24"/>
        </w:rPr>
        <w:t>18500</w:t>
      </w:r>
      <w:r w:rsidR="00E17AA8" w:rsidRPr="00FC1444">
        <w:rPr>
          <w:rFonts w:eastAsiaTheme="minorEastAsia"/>
          <w:snapToGrid w:val="0"/>
          <w:kern w:val="0"/>
          <w:sz w:val="24"/>
        </w:rPr>
        <w:t>m</w:t>
      </w:r>
      <w:r w:rsidR="00E17AA8" w:rsidRPr="00FC1444">
        <w:rPr>
          <w:rFonts w:eastAsiaTheme="minorEastAsia"/>
          <w:snapToGrid w:val="0"/>
          <w:kern w:val="0"/>
          <w:sz w:val="24"/>
          <w:vertAlign w:val="superscript"/>
        </w:rPr>
        <w:t>2</w:t>
      </w:r>
      <w:r w:rsidR="00E17AA8" w:rsidRPr="00FC1444">
        <w:rPr>
          <w:rFonts w:eastAsiaTheme="minorEastAsia"/>
          <w:snapToGrid w:val="0"/>
          <w:kern w:val="0"/>
          <w:sz w:val="24"/>
        </w:rPr>
        <w:t>，草籽选用紫花苜蓿等，种草密度</w:t>
      </w:r>
      <w:r w:rsidR="00E17AA8" w:rsidRPr="00FC1444">
        <w:rPr>
          <w:rFonts w:eastAsiaTheme="minorEastAsia"/>
          <w:snapToGrid w:val="0"/>
          <w:kern w:val="0"/>
          <w:sz w:val="24"/>
        </w:rPr>
        <w:t>80kg/</w:t>
      </w:r>
      <w:r w:rsidR="00E17AA8" w:rsidRPr="00FC1444">
        <w:rPr>
          <w:rFonts w:eastAsiaTheme="minorEastAsia"/>
          <w:snapToGrid w:val="0"/>
          <w:kern w:val="0"/>
          <w:sz w:val="24"/>
        </w:rPr>
        <w:t>公顷，恢复旱地</w:t>
      </w:r>
      <w:r w:rsidR="00E17AA8" w:rsidRPr="00FC1444">
        <w:rPr>
          <w:rFonts w:eastAsiaTheme="minorEastAsia"/>
          <w:snapToGrid w:val="0"/>
          <w:kern w:val="0"/>
          <w:sz w:val="24"/>
        </w:rPr>
        <w:t>10500m</w:t>
      </w:r>
      <w:r w:rsidR="00E17AA8" w:rsidRPr="00FC1444">
        <w:rPr>
          <w:rFonts w:eastAsiaTheme="minorEastAsia"/>
          <w:snapToGrid w:val="0"/>
          <w:kern w:val="0"/>
          <w:sz w:val="24"/>
          <w:vertAlign w:val="superscript"/>
        </w:rPr>
        <w:t>2</w:t>
      </w:r>
      <w:r w:rsidR="00E17AA8" w:rsidRPr="00FC1444">
        <w:rPr>
          <w:rFonts w:eastAsiaTheme="minorEastAsia"/>
          <w:snapToGrid w:val="0"/>
          <w:kern w:val="0"/>
          <w:sz w:val="24"/>
        </w:rPr>
        <w:t>。</w:t>
      </w:r>
    </w:p>
    <w:p w:rsidR="002A5A5E" w:rsidRPr="00FC1444" w:rsidRDefault="00611CBA">
      <w:pPr>
        <w:pStyle w:val="aff4"/>
        <w:adjustRightInd/>
        <w:snapToGrid/>
        <w:rPr>
          <w:rFonts w:ascii="Times New Roman" w:hAnsi="Times New Roman" w:cs="Times New Roman"/>
        </w:rPr>
      </w:pPr>
      <w:r w:rsidRPr="00FC1444">
        <w:rPr>
          <w:rFonts w:ascii="Times New Roman" w:hAnsi="Times New Roman" w:cs="Times New Roman"/>
        </w:rPr>
        <w:lastRenderedPageBreak/>
        <w:t>项目施工过程中产生的表土及挖方采取</w:t>
      </w:r>
      <w:r w:rsidRPr="00FC1444">
        <w:rPr>
          <w:rFonts w:ascii="Times New Roman" w:hAnsi="Times New Roman" w:cs="Times New Roman"/>
          <w:bCs/>
          <w:snapToGrid w:val="0"/>
          <w:lang w:bidi="en-US"/>
        </w:rPr>
        <w:t>设置临时拦挡并采用密目网苫盖</w:t>
      </w:r>
      <w:r w:rsidRPr="00FC1444">
        <w:rPr>
          <w:rFonts w:ascii="Times New Roman" w:hAnsi="Times New Roman" w:cs="Times New Roman"/>
        </w:rPr>
        <w:t>，避免在暴雨中被冲刷流失。</w:t>
      </w:r>
      <w:r w:rsidRPr="00FC1444">
        <w:rPr>
          <w:rFonts w:ascii="Times New Roman" w:hAnsi="Times New Roman" w:cs="Times New Roman"/>
          <w:snapToGrid w:val="0"/>
        </w:rPr>
        <w:t>本项目施工过程中应严格将活动范围控制在本项目用地范围内，不占用其它土地。合理安排施工期，避免雨天施工。</w:t>
      </w:r>
    </w:p>
    <w:p w:rsidR="002A5A5E" w:rsidRPr="00FC1444" w:rsidRDefault="00611CBA">
      <w:pPr>
        <w:pStyle w:val="ab"/>
        <w:spacing w:after="0" w:line="360" w:lineRule="auto"/>
        <w:ind w:firstLineChars="200" w:firstLine="480"/>
        <w:rPr>
          <w:rFonts w:eastAsiaTheme="minorEastAsia"/>
          <w:bCs/>
          <w:kern w:val="0"/>
          <w:sz w:val="24"/>
        </w:rPr>
      </w:pPr>
      <w:r w:rsidRPr="00FC1444">
        <w:rPr>
          <w:rFonts w:eastAsiaTheme="minorEastAsia"/>
          <w:sz w:val="24"/>
        </w:rPr>
        <w:t>建设单位为生态恢复工程实施责任主体</w:t>
      </w:r>
      <w:r w:rsidRPr="00FC1444">
        <w:rPr>
          <w:rFonts w:eastAsiaTheme="minorEastAsia"/>
          <w:bCs/>
          <w:sz w:val="24"/>
          <w:lang w:bidi="en-US"/>
        </w:rPr>
        <w:t>；</w:t>
      </w:r>
      <w:r w:rsidRPr="00FC1444">
        <w:rPr>
          <w:rFonts w:eastAsiaTheme="minorEastAsia"/>
          <w:bCs/>
          <w:sz w:val="24"/>
        </w:rPr>
        <w:t>严格控制施工范围，对施工人员进行生态保护教育；表土堆场设置临时拦挡，采用密目网苫盖减少水土流失，</w:t>
      </w:r>
      <w:r w:rsidRPr="00FC1444">
        <w:rPr>
          <w:rFonts w:eastAsiaTheme="minorEastAsia"/>
          <w:bCs/>
          <w:kern w:val="0"/>
          <w:sz w:val="24"/>
        </w:rPr>
        <w:t>可有效预防及控制水土流失，本项目的建设符合《黑龙江省水土保持规划（</w:t>
      </w:r>
      <w:r w:rsidRPr="00FC1444">
        <w:rPr>
          <w:rFonts w:eastAsiaTheme="minorEastAsia"/>
          <w:bCs/>
          <w:kern w:val="0"/>
          <w:sz w:val="24"/>
        </w:rPr>
        <w:t>2015-2030</w:t>
      </w:r>
      <w:r w:rsidRPr="00FC1444">
        <w:rPr>
          <w:rFonts w:eastAsiaTheme="minorEastAsia"/>
          <w:bCs/>
          <w:kern w:val="0"/>
          <w:sz w:val="24"/>
        </w:rPr>
        <w:t>年）》要求。</w:t>
      </w:r>
    </w:p>
    <w:p w:rsidR="002A5A5E" w:rsidRPr="00FC1444" w:rsidRDefault="009840DD">
      <w:pPr>
        <w:spacing w:line="360" w:lineRule="auto"/>
        <w:jc w:val="center"/>
        <w:rPr>
          <w:rFonts w:eastAsiaTheme="minorEastAsia"/>
          <w:kern w:val="0"/>
          <w:sz w:val="24"/>
        </w:rPr>
      </w:pPr>
      <w:r w:rsidRPr="00FC1444">
        <w:rPr>
          <w:rFonts w:eastAsiaTheme="minorEastAsia"/>
          <w:bCs/>
          <w:kern w:val="0"/>
          <w:sz w:val="24"/>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696387" type="#_x0000_t62" style="position:absolute;left:0;text-align:left;margin-left:105.2pt;margin-top:25.95pt;width:55.65pt;height:28.8pt;z-index:251661312" adj="26316,22463">
            <v:textbox style="mso-next-textbox:#_x0000_s696387">
              <w:txbxContent>
                <w:p w:rsidR="006F5CC4" w:rsidRDefault="006F5CC4">
                  <w:pPr>
                    <w:rPr>
                      <w:b/>
                    </w:rPr>
                  </w:pPr>
                  <w:r>
                    <w:rPr>
                      <w:b/>
                    </w:rPr>
                    <w:t>本项目</w:t>
                  </w:r>
                </w:p>
              </w:txbxContent>
            </v:textbox>
          </v:shape>
        </w:pict>
      </w:r>
      <w:r w:rsidRPr="00FC1444">
        <w:rPr>
          <w:rFonts w:eastAsiaTheme="minorEastAsia"/>
          <w:bCs/>
          <w:kern w:val="0"/>
          <w:sz w:val="24"/>
        </w:rPr>
        <w:pict>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_x0000_s696386" type="#_x0000_t187" style="position:absolute;left:0;text-align:left;margin-left:171.6pt;margin-top:54.75pt;width:7.8pt;height:7.1pt;z-index:251660288" fillcolor="red" strokecolor="red" strokeweight="2pt"/>
        </w:pict>
      </w:r>
      <w:r w:rsidR="00904BE7" w:rsidRPr="00FC1444">
        <w:rPr>
          <w:rFonts w:eastAsiaTheme="minorEastAsia"/>
          <w:bCs/>
          <w:noProof/>
          <w:kern w:val="0"/>
          <w:sz w:val="24"/>
        </w:rPr>
        <w:drawing>
          <wp:anchor distT="0" distB="0" distL="114300" distR="114300" simplePos="0" relativeHeight="251662336" behindDoc="0" locked="0" layoutInCell="1" allowOverlap="1">
            <wp:simplePos x="0" y="0"/>
            <wp:positionH relativeFrom="column">
              <wp:posOffset>4465967</wp:posOffset>
            </wp:positionH>
            <wp:positionV relativeFrom="paragraph">
              <wp:posOffset>41839</wp:posOffset>
            </wp:positionV>
            <wp:extent cx="438150" cy="474452"/>
            <wp:effectExtent l="19050" t="0" r="0" b="0"/>
            <wp:wrapNone/>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12"/>
                    <a:srcRect/>
                    <a:stretch>
                      <a:fillRect/>
                    </a:stretch>
                  </pic:blipFill>
                  <pic:spPr>
                    <a:xfrm>
                      <a:off x="0" y="0"/>
                      <a:ext cx="438150" cy="474452"/>
                    </a:xfrm>
                    <a:prstGeom prst="rect">
                      <a:avLst/>
                    </a:prstGeom>
                    <a:noFill/>
                    <a:ln w="9525">
                      <a:noFill/>
                      <a:miter lim="800000"/>
                      <a:headEnd/>
                      <a:tailEnd/>
                    </a:ln>
                  </pic:spPr>
                </pic:pic>
              </a:graphicData>
            </a:graphic>
          </wp:anchor>
        </w:drawing>
      </w:r>
      <w:r w:rsidR="00611CBA" w:rsidRPr="00FC1444">
        <w:rPr>
          <w:rFonts w:eastAsiaTheme="minorEastAsia"/>
          <w:noProof/>
          <w:kern w:val="0"/>
          <w:sz w:val="24"/>
        </w:rPr>
        <w:drawing>
          <wp:inline distT="0" distB="0" distL="0" distR="0">
            <wp:extent cx="4566285" cy="2872740"/>
            <wp:effectExtent l="19050" t="19050" r="24647" b="22358"/>
            <wp:docPr id="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7"/>
                    <pic:cNvPicPr>
                      <a:picLocks noChangeAspect="1" noChangeArrowheads="1"/>
                    </pic:cNvPicPr>
                  </pic:nvPicPr>
                  <pic:blipFill>
                    <a:blip r:embed="rId13" cstate="print"/>
                    <a:srcRect/>
                    <a:stretch>
                      <a:fillRect/>
                    </a:stretch>
                  </pic:blipFill>
                  <pic:spPr>
                    <a:xfrm>
                      <a:off x="0" y="0"/>
                      <a:ext cx="4572769" cy="2877248"/>
                    </a:xfrm>
                    <a:prstGeom prst="rect">
                      <a:avLst/>
                    </a:prstGeom>
                    <a:noFill/>
                    <a:ln w="19050" cmpd="sng">
                      <a:solidFill>
                        <a:srgbClr val="000000"/>
                      </a:solidFill>
                      <a:miter lim="800000"/>
                      <a:headEnd/>
                      <a:tailEnd/>
                    </a:ln>
                    <a:effectLst/>
                  </pic:spPr>
                </pic:pic>
              </a:graphicData>
            </a:graphic>
          </wp:inline>
        </w:drawing>
      </w:r>
    </w:p>
    <w:p w:rsidR="002A5A5E" w:rsidRPr="00FC1444" w:rsidRDefault="00611CBA">
      <w:pPr>
        <w:jc w:val="center"/>
        <w:rPr>
          <w:rFonts w:eastAsiaTheme="minorEastAsia"/>
          <w:b/>
          <w:szCs w:val="21"/>
        </w:rPr>
      </w:pPr>
      <w:r w:rsidRPr="00FC1444">
        <w:rPr>
          <w:rFonts w:eastAsiaTheme="minorEastAsia"/>
          <w:b/>
          <w:szCs w:val="21"/>
        </w:rPr>
        <w:t>图</w:t>
      </w:r>
      <w:r w:rsidRPr="00FC1444">
        <w:rPr>
          <w:rFonts w:eastAsiaTheme="minorEastAsia"/>
          <w:b/>
          <w:szCs w:val="21"/>
        </w:rPr>
        <w:t>1-4-</w:t>
      </w:r>
      <w:r w:rsidR="00C27FC4" w:rsidRPr="00FC1444">
        <w:rPr>
          <w:rFonts w:eastAsiaTheme="minorEastAsia"/>
          <w:b/>
          <w:szCs w:val="21"/>
        </w:rPr>
        <w:t>1</w:t>
      </w:r>
      <w:r w:rsidRPr="00FC1444">
        <w:rPr>
          <w:rFonts w:eastAsiaTheme="minorEastAsia"/>
          <w:b/>
          <w:szCs w:val="21"/>
        </w:rPr>
        <w:t xml:space="preserve"> </w:t>
      </w:r>
      <w:r w:rsidRPr="00FC1444">
        <w:rPr>
          <w:rFonts w:eastAsiaTheme="minorEastAsia"/>
          <w:b/>
          <w:szCs w:val="21"/>
        </w:rPr>
        <w:t>黑龙江省水土保持重点预防区和重点治理区划分图</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sz w:val="24"/>
        </w:rPr>
        <w:t>（</w:t>
      </w:r>
      <w:r w:rsidR="00600084" w:rsidRPr="00FC1444">
        <w:rPr>
          <w:rFonts w:eastAsiaTheme="minorEastAsia"/>
          <w:sz w:val="24"/>
        </w:rPr>
        <w:t>3</w:t>
      </w:r>
      <w:r w:rsidRPr="00FC1444">
        <w:rPr>
          <w:rFonts w:eastAsiaTheme="minorEastAsia"/>
          <w:sz w:val="24"/>
        </w:rPr>
        <w:t>）</w:t>
      </w:r>
      <w:r w:rsidRPr="00FC1444">
        <w:rPr>
          <w:rFonts w:eastAsiaTheme="minorEastAsia"/>
          <w:kern w:val="0"/>
          <w:sz w:val="24"/>
        </w:rPr>
        <w:t>与</w:t>
      </w:r>
      <w:bookmarkStart w:id="19" w:name="_Hlk158568524"/>
      <w:r w:rsidRPr="00FC1444">
        <w:rPr>
          <w:rFonts w:eastAsiaTheme="minorEastAsia"/>
          <w:kern w:val="0"/>
          <w:sz w:val="24"/>
        </w:rPr>
        <w:t>《黑龙江省人民政府办公厅关于建设占用耕地耕作层土壤剥离利用工作的指导意见（试行）》</w:t>
      </w:r>
      <w:bookmarkEnd w:id="19"/>
      <w:r w:rsidRPr="00FC1444">
        <w:rPr>
          <w:rFonts w:eastAsiaTheme="minorEastAsia"/>
          <w:kern w:val="0"/>
          <w:sz w:val="24"/>
        </w:rPr>
        <w:t>（黑政办规〔</w:t>
      </w:r>
      <w:r w:rsidRPr="00FC1444">
        <w:rPr>
          <w:rFonts w:eastAsiaTheme="minorEastAsia"/>
          <w:kern w:val="0"/>
          <w:sz w:val="24"/>
        </w:rPr>
        <w:t>2021</w:t>
      </w:r>
      <w:r w:rsidRPr="00FC1444">
        <w:rPr>
          <w:rFonts w:eastAsiaTheme="minorEastAsia"/>
          <w:kern w:val="0"/>
          <w:sz w:val="24"/>
        </w:rPr>
        <w:t>〕</w:t>
      </w:r>
      <w:r w:rsidRPr="00FC1444">
        <w:rPr>
          <w:rFonts w:eastAsiaTheme="minorEastAsia"/>
          <w:kern w:val="0"/>
          <w:sz w:val="24"/>
        </w:rPr>
        <w:t>18</w:t>
      </w:r>
      <w:r w:rsidRPr="00FC1444">
        <w:rPr>
          <w:rFonts w:eastAsiaTheme="minorEastAsia"/>
          <w:kern w:val="0"/>
          <w:sz w:val="24"/>
        </w:rPr>
        <w:t>号）符合性分析</w:t>
      </w:r>
    </w:p>
    <w:p w:rsidR="002A5A5E" w:rsidRPr="00FC1444" w:rsidRDefault="00A70CC1">
      <w:pPr>
        <w:spacing w:line="360" w:lineRule="auto"/>
        <w:ind w:firstLineChars="200" w:firstLine="480"/>
        <w:jc w:val="left"/>
        <w:rPr>
          <w:rFonts w:eastAsiaTheme="minorEastAsia"/>
          <w:kern w:val="0"/>
          <w:sz w:val="24"/>
        </w:rPr>
      </w:pPr>
      <w:r w:rsidRPr="00FC1444">
        <w:rPr>
          <w:rFonts w:eastAsiaTheme="minorEastAsia"/>
          <w:sz w:val="24"/>
        </w:rPr>
        <w:t>相关内容</w:t>
      </w:r>
      <w:r w:rsidRPr="00FC1444">
        <w:rPr>
          <w:rFonts w:eastAsiaTheme="minorEastAsia" w:hint="eastAsia"/>
          <w:sz w:val="24"/>
        </w:rPr>
        <w:t>：</w:t>
      </w:r>
      <w:r w:rsidR="00611CBA" w:rsidRPr="00FC1444">
        <w:rPr>
          <w:rFonts w:eastAsiaTheme="minorEastAsia"/>
          <w:kern w:val="0"/>
          <w:sz w:val="24"/>
        </w:rPr>
        <w:t>《黑龙江省人民政府办公厅关于建设占用耕地耕作层土壤剥离利用工作的指导意见（试行）》中指出：</w:t>
      </w:r>
      <w:r w:rsidR="00611CBA" w:rsidRPr="00FC1444">
        <w:rPr>
          <w:rFonts w:eastAsiaTheme="minorEastAsia"/>
          <w:kern w:val="0"/>
          <w:sz w:val="24"/>
        </w:rPr>
        <w:t>“</w:t>
      </w:r>
      <w:r w:rsidR="00611CBA" w:rsidRPr="00FC1444">
        <w:rPr>
          <w:rFonts w:eastAsiaTheme="minorEastAsia"/>
          <w:kern w:val="0"/>
          <w:sz w:val="24"/>
        </w:rPr>
        <w:t>（一）编制方案。建设占用耕地耕作层土壤剥离利用实施方案由剥离实施主体依据国家和省相关技术规范编制；各县（市、区）自然资源主管部门会同农业农村主管部门组织专家对方案进行评审论证。设施农业用地涉及的耕作层土壤剥离利用可不编制方案，由项目用地单位（个人）直接实施剥离。（二）剥离存储。成片开发和城镇批次用地占用耕地的，应在供地前实施耕作层土壤剥离；单独选址项目及其他需要剥离的项目，应在开工建设前按照剥离利用方案要求实施耕作层土壤剥离，并将剥离土壤存储在指定地点或直接输送到再利用场所。耕作层土壤剥离及运输过程中，应采取水土保持和扬尘防治措施，防止土壤和环境污染。土壤存储点的选取应遵循就近存储、易于</w:t>
      </w:r>
      <w:r w:rsidR="00611CBA" w:rsidRPr="00FC1444">
        <w:rPr>
          <w:rFonts w:eastAsiaTheme="minorEastAsia"/>
          <w:kern w:val="0"/>
          <w:sz w:val="24"/>
        </w:rPr>
        <w:lastRenderedPageBreak/>
        <w:t>存放、专人管理的原则，尽量利用废弃土地、闲置建设用地和未利用地，避让永久基本农田和生态保护红线、水源地等敏感区域。土壤存储要采取必要的工程防护和保育措施，防止出现水土流失、土壤质量退化和安全隐患。（三）组织验收。耕作层土壤剥离完成后，由当地自然资源主管部门会同农业农村主管部门组织验收，验收合格的方能实施项目建设。（四）剥离土壤利用。剥离的土壤优先用于土地整治、高标准农田建设、工矿废弃地复垦、生态修复等项目，以及新开垦耕地、劣质地或者其他耕地的土壤改良等农业生产生活，富余土壤可以用于绿化。</w:t>
      </w:r>
      <w:r w:rsidR="00611CBA" w:rsidRPr="00FC1444">
        <w:rPr>
          <w:rFonts w:eastAsiaTheme="minorEastAsia"/>
          <w:kern w:val="0"/>
          <w:sz w:val="24"/>
        </w:rPr>
        <w:t>”</w:t>
      </w:r>
    </w:p>
    <w:p w:rsidR="002A5A5E" w:rsidRPr="00FC1444" w:rsidRDefault="00A70CC1">
      <w:pPr>
        <w:spacing w:line="360" w:lineRule="auto"/>
        <w:ind w:firstLineChars="200" w:firstLine="480"/>
        <w:jc w:val="left"/>
        <w:rPr>
          <w:rFonts w:eastAsiaTheme="minorEastAsia"/>
          <w:kern w:val="0"/>
          <w:sz w:val="24"/>
        </w:rPr>
      </w:pPr>
      <w:r w:rsidRPr="00FC1444">
        <w:rPr>
          <w:rFonts w:eastAsiaTheme="minorEastAsia"/>
          <w:kern w:val="0"/>
          <w:sz w:val="24"/>
        </w:rPr>
        <w:t>符合性分析：</w:t>
      </w:r>
      <w:r w:rsidR="00611CBA" w:rsidRPr="00FC1444">
        <w:rPr>
          <w:rFonts w:eastAsiaTheme="minorEastAsia"/>
          <w:kern w:val="0"/>
          <w:sz w:val="24"/>
        </w:rPr>
        <w:t>本项目为高标准农田建设项目，不可避免将占用基本农田，不占用生态保护红线、水源地等敏感区域，在施工用地前，</w:t>
      </w:r>
      <w:r w:rsidR="00611CBA" w:rsidRPr="00FC1444">
        <w:rPr>
          <w:rFonts w:eastAsiaTheme="minorEastAsia"/>
          <w:sz w:val="24"/>
        </w:rPr>
        <w:t>根据平整地块所在村的平均土壤厚度确定表土剥离厚度约</w:t>
      </w:r>
      <w:r w:rsidR="00611CBA" w:rsidRPr="00FC1444">
        <w:rPr>
          <w:rFonts w:eastAsiaTheme="minorEastAsia"/>
          <w:sz w:val="24"/>
        </w:rPr>
        <w:t>25cm</w:t>
      </w:r>
      <w:r w:rsidR="00611CBA" w:rsidRPr="00FC1444">
        <w:rPr>
          <w:rFonts w:eastAsiaTheme="minorEastAsia"/>
          <w:kern w:val="0"/>
          <w:sz w:val="24"/>
        </w:rPr>
        <w:t>，集中堆置在临时施工区，施工结束后对临时占地进行生态恢复，</w:t>
      </w:r>
      <w:r w:rsidR="00611CBA" w:rsidRPr="00FC1444">
        <w:rPr>
          <w:rFonts w:eastAsiaTheme="minorEastAsia"/>
          <w:sz w:val="24"/>
        </w:rPr>
        <w:t>其余用于本项目</w:t>
      </w:r>
      <w:r w:rsidR="00611CBA" w:rsidRPr="00FC1444">
        <w:rPr>
          <w:rFonts w:eastAsiaTheme="minorEastAsia"/>
          <w:sz w:val="24"/>
          <w:shd w:val="clear" w:color="auto" w:fill="FFFFFF"/>
        </w:rPr>
        <w:t>高标准农田建设。</w:t>
      </w:r>
      <w:r w:rsidR="00611CBA" w:rsidRPr="00FC1444">
        <w:rPr>
          <w:rFonts w:eastAsiaTheme="minorEastAsia"/>
          <w:bCs/>
          <w:sz w:val="24"/>
          <w:shd w:val="clear" w:color="auto" w:fill="FFFFFF"/>
          <w:lang w:bidi="en-US"/>
        </w:rPr>
        <w:t>施工时洒水降尘。</w:t>
      </w:r>
      <w:r w:rsidR="00611CBA" w:rsidRPr="00FC1444">
        <w:rPr>
          <w:rFonts w:eastAsiaTheme="minorEastAsia"/>
          <w:bCs/>
          <w:sz w:val="24"/>
          <w:shd w:val="clear" w:color="auto" w:fill="FFFFFF"/>
        </w:rPr>
        <w:t>表土堆场设置临时拦挡并采用密目网苫盖，减少水土流失。</w:t>
      </w:r>
      <w:r w:rsidR="00611CBA" w:rsidRPr="00FC1444">
        <w:rPr>
          <w:rFonts w:eastAsiaTheme="minorEastAsia"/>
          <w:kern w:val="0"/>
          <w:sz w:val="24"/>
        </w:rPr>
        <w:t>本工程建设与《黑龙江省人民政府办公厅关于建设占用耕地耕作层土壤剥离利用工作的指导意见（试行）》（黑政办规〔</w:t>
      </w:r>
      <w:r w:rsidR="00611CBA" w:rsidRPr="00FC1444">
        <w:rPr>
          <w:rFonts w:eastAsiaTheme="minorEastAsia"/>
          <w:kern w:val="0"/>
          <w:sz w:val="24"/>
        </w:rPr>
        <w:t>2021</w:t>
      </w:r>
      <w:r w:rsidR="00611CBA" w:rsidRPr="00FC1444">
        <w:rPr>
          <w:rFonts w:eastAsiaTheme="minorEastAsia"/>
          <w:kern w:val="0"/>
          <w:sz w:val="24"/>
        </w:rPr>
        <w:t>〕</w:t>
      </w:r>
      <w:r w:rsidR="00611CBA" w:rsidRPr="00FC1444">
        <w:rPr>
          <w:rFonts w:eastAsiaTheme="minorEastAsia"/>
          <w:kern w:val="0"/>
          <w:sz w:val="24"/>
        </w:rPr>
        <w:t>18</w:t>
      </w:r>
      <w:r w:rsidR="00611CBA" w:rsidRPr="00FC1444">
        <w:rPr>
          <w:rFonts w:eastAsiaTheme="minorEastAsia"/>
          <w:kern w:val="0"/>
          <w:sz w:val="24"/>
        </w:rPr>
        <w:t>号）要求相符合。</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sz w:val="24"/>
        </w:rPr>
        <w:t>（</w:t>
      </w:r>
      <w:r w:rsidR="00600084" w:rsidRPr="00FC1444">
        <w:rPr>
          <w:rFonts w:eastAsiaTheme="minorEastAsia"/>
          <w:sz w:val="24"/>
        </w:rPr>
        <w:t>4</w:t>
      </w:r>
      <w:r w:rsidRPr="00FC1444">
        <w:rPr>
          <w:rFonts w:eastAsiaTheme="minorEastAsia"/>
          <w:sz w:val="24"/>
        </w:rPr>
        <w:t>）</w:t>
      </w:r>
      <w:r w:rsidRPr="00FC1444">
        <w:rPr>
          <w:rFonts w:eastAsiaTheme="minorEastAsia"/>
          <w:kern w:val="0"/>
          <w:sz w:val="24"/>
        </w:rPr>
        <w:t>与《自然资源部办公厅关于进一步加强黑土耕地保护的通知》（自然资办函〔</w:t>
      </w:r>
      <w:r w:rsidRPr="00FC1444">
        <w:rPr>
          <w:rFonts w:eastAsiaTheme="minorEastAsia"/>
          <w:kern w:val="0"/>
          <w:sz w:val="24"/>
        </w:rPr>
        <w:t>2022</w:t>
      </w:r>
      <w:r w:rsidRPr="00FC1444">
        <w:rPr>
          <w:rFonts w:eastAsiaTheme="minorEastAsia"/>
          <w:kern w:val="0"/>
          <w:sz w:val="24"/>
        </w:rPr>
        <w:t>〕</w:t>
      </w:r>
      <w:r w:rsidRPr="00FC1444">
        <w:rPr>
          <w:rFonts w:eastAsiaTheme="minorEastAsia"/>
          <w:kern w:val="0"/>
          <w:sz w:val="24"/>
        </w:rPr>
        <w:t>1531</w:t>
      </w:r>
      <w:r w:rsidRPr="00FC1444">
        <w:rPr>
          <w:rFonts w:eastAsiaTheme="minorEastAsia"/>
          <w:kern w:val="0"/>
          <w:sz w:val="24"/>
        </w:rPr>
        <w:t>号）符合性分析</w:t>
      </w:r>
    </w:p>
    <w:p w:rsidR="002A5A5E" w:rsidRPr="00FC1444" w:rsidRDefault="00A70CC1">
      <w:pPr>
        <w:spacing w:line="360" w:lineRule="auto"/>
        <w:ind w:firstLineChars="200" w:firstLine="480"/>
        <w:jc w:val="left"/>
        <w:rPr>
          <w:rFonts w:eastAsiaTheme="minorEastAsia"/>
          <w:kern w:val="0"/>
          <w:sz w:val="24"/>
        </w:rPr>
      </w:pPr>
      <w:r w:rsidRPr="00FC1444">
        <w:rPr>
          <w:rFonts w:eastAsiaTheme="minorEastAsia"/>
          <w:sz w:val="24"/>
        </w:rPr>
        <w:t>相关内容</w:t>
      </w:r>
      <w:r w:rsidRPr="00FC1444">
        <w:rPr>
          <w:rFonts w:eastAsiaTheme="minorEastAsia" w:hint="eastAsia"/>
          <w:sz w:val="24"/>
        </w:rPr>
        <w:t>：</w:t>
      </w:r>
      <w:r w:rsidR="00611CBA" w:rsidRPr="00FC1444">
        <w:rPr>
          <w:rFonts w:eastAsiaTheme="minorEastAsia"/>
          <w:kern w:val="0"/>
          <w:sz w:val="24"/>
        </w:rPr>
        <w:t>《自然资源部办公厅关于进一步加强黑土耕地保护的通知》中指出：三、从严控制建设项目占用黑土耕地。建设项目不得占用黑土耕地，确实难以避让的，在可行性研究阶段，必须对占用的必要性和合理性等情况进行严格论证，纳入耕地踏勘论证报告；申请农用地转用时，应说明落实</w:t>
      </w:r>
      <w:r w:rsidR="00611CBA" w:rsidRPr="00FC1444">
        <w:rPr>
          <w:rFonts w:eastAsiaTheme="minorEastAsia"/>
          <w:kern w:val="0"/>
          <w:sz w:val="24"/>
        </w:rPr>
        <w:t>“</w:t>
      </w:r>
      <w:r w:rsidR="00611CBA" w:rsidRPr="00FC1444">
        <w:rPr>
          <w:rFonts w:eastAsiaTheme="minorEastAsia"/>
          <w:kern w:val="0"/>
          <w:sz w:val="24"/>
        </w:rPr>
        <w:t>占黑土补黑土</w:t>
      </w:r>
      <w:r w:rsidR="00611CBA" w:rsidRPr="00FC1444">
        <w:rPr>
          <w:rFonts w:eastAsiaTheme="minorEastAsia"/>
          <w:kern w:val="0"/>
          <w:sz w:val="24"/>
        </w:rPr>
        <w:t>”</w:t>
      </w:r>
      <w:r w:rsidR="00611CBA" w:rsidRPr="00FC1444">
        <w:rPr>
          <w:rFonts w:eastAsiaTheme="minorEastAsia"/>
          <w:kern w:val="0"/>
          <w:sz w:val="24"/>
        </w:rPr>
        <w:t>、耕作层土壤剥离再利用有关情况，按规定制定耕作层土壤剥离再利用方案，做到应剥离尽剥离，剥离后妥善储存，及时合理再利用。</w:t>
      </w:r>
    </w:p>
    <w:p w:rsidR="002A5A5E" w:rsidRPr="00FC1444" w:rsidRDefault="00A70CC1">
      <w:pPr>
        <w:spacing w:line="360" w:lineRule="auto"/>
        <w:ind w:firstLineChars="200" w:firstLine="480"/>
        <w:jc w:val="left"/>
        <w:rPr>
          <w:rFonts w:eastAsiaTheme="minorEastAsia"/>
          <w:kern w:val="0"/>
          <w:sz w:val="24"/>
        </w:rPr>
      </w:pPr>
      <w:r w:rsidRPr="00FC1444">
        <w:rPr>
          <w:rFonts w:eastAsiaTheme="minorEastAsia"/>
          <w:kern w:val="0"/>
          <w:sz w:val="24"/>
        </w:rPr>
        <w:t>符合性分析：</w:t>
      </w:r>
      <w:r w:rsidR="00611CBA" w:rsidRPr="00FC1444">
        <w:rPr>
          <w:rFonts w:eastAsiaTheme="minorEastAsia"/>
          <w:kern w:val="0"/>
          <w:sz w:val="24"/>
        </w:rPr>
        <w:t>本项目为高标准农田建设项目，不可避免将占用基本农田，在施工用地前，</w:t>
      </w:r>
      <w:r w:rsidR="00611CBA" w:rsidRPr="00FC1444">
        <w:rPr>
          <w:rFonts w:eastAsiaTheme="minorEastAsia"/>
          <w:sz w:val="24"/>
        </w:rPr>
        <w:t>根据平整地块所在村的平均土壤厚度确定表土剥离厚度约</w:t>
      </w:r>
      <w:r w:rsidR="00611CBA" w:rsidRPr="00FC1444">
        <w:rPr>
          <w:rFonts w:eastAsiaTheme="minorEastAsia"/>
          <w:sz w:val="24"/>
        </w:rPr>
        <w:t>25cm</w:t>
      </w:r>
      <w:r w:rsidR="00611CBA" w:rsidRPr="00FC1444">
        <w:rPr>
          <w:rFonts w:eastAsiaTheme="minorEastAsia"/>
          <w:kern w:val="0"/>
          <w:sz w:val="24"/>
        </w:rPr>
        <w:t>，集中堆置在临时施工区，用地完成后对场地进行回填平整，回填剥离表土，恢复原地类。</w:t>
      </w:r>
      <w:r w:rsidR="00611CBA" w:rsidRPr="00FC1444">
        <w:rPr>
          <w:rFonts w:eastAsiaTheme="minorEastAsia"/>
          <w:sz w:val="24"/>
        </w:rPr>
        <w:t>其余用于本项目</w:t>
      </w:r>
      <w:r w:rsidR="00611CBA" w:rsidRPr="00FC1444">
        <w:rPr>
          <w:rFonts w:eastAsiaTheme="minorEastAsia"/>
          <w:sz w:val="24"/>
          <w:shd w:val="clear" w:color="auto" w:fill="FFFFFF"/>
        </w:rPr>
        <w:t>高标准农田建设。建设单位正制定表土剥离方案、</w:t>
      </w:r>
      <w:r w:rsidR="00611CBA" w:rsidRPr="00FC1444">
        <w:rPr>
          <w:rFonts w:eastAsiaTheme="minorEastAsia"/>
          <w:kern w:val="0"/>
          <w:sz w:val="24"/>
        </w:rPr>
        <w:t>耕作层土壤剥离再利用方案</w:t>
      </w:r>
      <w:r w:rsidR="00611CBA" w:rsidRPr="00FC1444">
        <w:rPr>
          <w:rFonts w:eastAsiaTheme="minorEastAsia"/>
          <w:sz w:val="24"/>
          <w:shd w:val="clear" w:color="auto" w:fill="FFFFFF"/>
        </w:rPr>
        <w:t>，</w:t>
      </w:r>
      <w:r w:rsidR="00611CBA" w:rsidRPr="00FC1444">
        <w:rPr>
          <w:rFonts w:eastAsiaTheme="minorEastAsia"/>
          <w:kern w:val="0"/>
          <w:sz w:val="24"/>
        </w:rPr>
        <w:t>本工程建设与《自然资源部办公厅关于进一步加强黑土耕地保护的通知》要求相符合。</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sz w:val="24"/>
        </w:rPr>
        <w:t>（</w:t>
      </w:r>
      <w:r w:rsidR="00600084" w:rsidRPr="00FC1444">
        <w:rPr>
          <w:rFonts w:eastAsiaTheme="minorEastAsia"/>
          <w:sz w:val="24"/>
        </w:rPr>
        <w:t>5</w:t>
      </w:r>
      <w:r w:rsidRPr="00FC1444">
        <w:rPr>
          <w:rFonts w:eastAsiaTheme="minorEastAsia"/>
          <w:sz w:val="24"/>
        </w:rPr>
        <w:t>）</w:t>
      </w:r>
      <w:r w:rsidRPr="00FC1444">
        <w:rPr>
          <w:rFonts w:eastAsiaTheme="minorEastAsia"/>
          <w:kern w:val="0"/>
          <w:sz w:val="24"/>
        </w:rPr>
        <w:t>与《建设占用耕地耕作层土壤剥离利用技术规范》（</w:t>
      </w:r>
      <w:r w:rsidRPr="00FC1444">
        <w:rPr>
          <w:rFonts w:eastAsiaTheme="minorEastAsia"/>
          <w:kern w:val="0"/>
          <w:sz w:val="24"/>
        </w:rPr>
        <w:t>DB23/T2913-2021</w:t>
      </w:r>
      <w:r w:rsidRPr="00FC1444">
        <w:rPr>
          <w:rFonts w:eastAsiaTheme="minorEastAsia"/>
          <w:kern w:val="0"/>
          <w:sz w:val="24"/>
        </w:rPr>
        <w:t>）</w:t>
      </w:r>
      <w:r w:rsidRPr="00FC1444">
        <w:rPr>
          <w:rFonts w:eastAsiaTheme="minorEastAsia"/>
          <w:kern w:val="0"/>
          <w:sz w:val="24"/>
        </w:rPr>
        <w:lastRenderedPageBreak/>
        <w:t>符合性分析</w:t>
      </w:r>
    </w:p>
    <w:p w:rsidR="002A5A5E" w:rsidRPr="00FC1444" w:rsidRDefault="00A70CC1">
      <w:pPr>
        <w:spacing w:line="360" w:lineRule="auto"/>
        <w:ind w:firstLineChars="200" w:firstLine="480"/>
        <w:rPr>
          <w:rFonts w:eastAsiaTheme="minorEastAsia"/>
          <w:sz w:val="24"/>
        </w:rPr>
      </w:pPr>
      <w:r w:rsidRPr="00FC1444">
        <w:rPr>
          <w:rFonts w:eastAsiaTheme="minorEastAsia"/>
          <w:sz w:val="24"/>
        </w:rPr>
        <w:t>相关内容</w:t>
      </w:r>
      <w:r w:rsidRPr="00FC1444">
        <w:rPr>
          <w:rFonts w:eastAsiaTheme="minorEastAsia" w:hint="eastAsia"/>
          <w:sz w:val="24"/>
        </w:rPr>
        <w:t>：</w:t>
      </w:r>
      <w:r w:rsidR="00611CBA" w:rsidRPr="00FC1444">
        <w:rPr>
          <w:rFonts w:eastAsiaTheme="minorEastAsia"/>
          <w:sz w:val="24"/>
        </w:rPr>
        <w:t>根据耕作层土壤剥离利用方案，确定剥离单元与剥离厚度。基于土壤质量和剥离成本考虑，耕作层土壤剥离厚度宜在</w:t>
      </w:r>
      <w:r w:rsidR="00611CBA" w:rsidRPr="00FC1444">
        <w:rPr>
          <w:rFonts w:eastAsiaTheme="minorEastAsia"/>
          <w:sz w:val="24"/>
        </w:rPr>
        <w:t>20cm~30cm</w:t>
      </w:r>
      <w:r w:rsidR="00611CBA" w:rsidRPr="00FC1444">
        <w:rPr>
          <w:rFonts w:eastAsiaTheme="minorEastAsia"/>
          <w:sz w:val="24"/>
        </w:rPr>
        <w:t>。单次土壤剥离厚度不宜大于</w:t>
      </w:r>
      <w:r w:rsidR="00611CBA" w:rsidRPr="00FC1444">
        <w:rPr>
          <w:rFonts w:eastAsiaTheme="minorEastAsia"/>
          <w:sz w:val="24"/>
        </w:rPr>
        <w:t>30cm</w:t>
      </w:r>
      <w:r w:rsidR="00611CBA" w:rsidRPr="00FC1444">
        <w:rPr>
          <w:rFonts w:eastAsiaTheme="minorEastAsia"/>
          <w:sz w:val="24"/>
        </w:rPr>
        <w:t>；耕作层较厚的区域可适当增加剥离厚度，原则上土壤剥离厚度不超过</w:t>
      </w:r>
      <w:r w:rsidR="00611CBA" w:rsidRPr="00FC1444">
        <w:rPr>
          <w:rFonts w:eastAsiaTheme="minorEastAsia"/>
          <w:sz w:val="24"/>
        </w:rPr>
        <w:t>50cm</w:t>
      </w:r>
      <w:r w:rsidR="00611CBA" w:rsidRPr="00FC1444">
        <w:rPr>
          <w:rFonts w:eastAsiaTheme="minorEastAsia"/>
          <w:sz w:val="24"/>
        </w:rPr>
        <w:t>。宜选择天气晴好且土壤含水量适宜时进行剥离，剥离时期应在剥离层化冻后、未冻结前进行。储存区内土壤堆放应减少占地面积，合理紧凑。多种类型土壤储存宜采用台状堆放，堆高不超过</w:t>
      </w:r>
      <w:r w:rsidR="00611CBA" w:rsidRPr="00FC1444">
        <w:rPr>
          <w:rFonts w:eastAsiaTheme="minorEastAsia"/>
          <w:sz w:val="24"/>
        </w:rPr>
        <w:t>5m</w:t>
      </w:r>
      <w:r w:rsidR="00611CBA" w:rsidRPr="00FC1444">
        <w:rPr>
          <w:rFonts w:eastAsiaTheme="minorEastAsia"/>
          <w:sz w:val="24"/>
        </w:rPr>
        <w:t>。土壤堆放半年之内应用防尘网覆盖；堆放时间超过</w:t>
      </w:r>
      <w:r w:rsidR="00611CBA" w:rsidRPr="00FC1444">
        <w:rPr>
          <w:rFonts w:eastAsiaTheme="minorEastAsia"/>
          <w:sz w:val="24"/>
        </w:rPr>
        <w:t>1</w:t>
      </w:r>
      <w:r w:rsidR="00611CBA" w:rsidRPr="00FC1444">
        <w:rPr>
          <w:rFonts w:eastAsiaTheme="minorEastAsia"/>
          <w:sz w:val="24"/>
        </w:rPr>
        <w:t>年的，覆盖前宜播撒一年生或多年生浅根草类种子。土壤堆放</w:t>
      </w:r>
      <w:r w:rsidR="00611CBA" w:rsidRPr="00FC1444">
        <w:rPr>
          <w:rFonts w:eastAsiaTheme="minorEastAsia"/>
          <w:sz w:val="24"/>
        </w:rPr>
        <w:t xml:space="preserve"> 2</w:t>
      </w:r>
      <w:r w:rsidR="00611CBA" w:rsidRPr="00FC1444">
        <w:rPr>
          <w:rFonts w:eastAsiaTheme="minorEastAsia"/>
          <w:sz w:val="24"/>
        </w:rPr>
        <w:t>年之内，土堆之间、土堆与道路之间用</w:t>
      </w:r>
      <w:r w:rsidR="00611CBA" w:rsidRPr="00FC1444">
        <w:rPr>
          <w:rFonts w:eastAsiaTheme="minorEastAsia"/>
          <w:sz w:val="24"/>
        </w:rPr>
        <w:t>30cm~50cm</w:t>
      </w:r>
      <w:r w:rsidR="00611CBA" w:rsidRPr="00FC1444">
        <w:rPr>
          <w:rFonts w:eastAsiaTheme="minorEastAsia"/>
          <w:sz w:val="24"/>
        </w:rPr>
        <w:t>装土的草袋或编织袋隔挡。邻近城镇村庄、主要道路、水源地等作业场所，晴天应定期洒水降尘。运输车辆应盖好土壤，并在规定的运输路线和操作区域内行驶。</w:t>
      </w:r>
    </w:p>
    <w:p w:rsidR="002A5A5E" w:rsidRPr="00FC1444" w:rsidRDefault="00A70CC1">
      <w:pPr>
        <w:spacing w:line="360" w:lineRule="auto"/>
        <w:ind w:firstLineChars="200" w:firstLine="480"/>
        <w:jc w:val="left"/>
        <w:rPr>
          <w:rFonts w:eastAsiaTheme="minorEastAsia"/>
          <w:kern w:val="0"/>
          <w:sz w:val="24"/>
        </w:rPr>
      </w:pPr>
      <w:r w:rsidRPr="00FC1444">
        <w:rPr>
          <w:rFonts w:eastAsiaTheme="minorEastAsia"/>
          <w:kern w:val="0"/>
          <w:sz w:val="24"/>
        </w:rPr>
        <w:t>符合性分析：</w:t>
      </w:r>
      <w:r w:rsidR="00611CBA" w:rsidRPr="00FC1444">
        <w:rPr>
          <w:rFonts w:eastAsiaTheme="minorEastAsia"/>
          <w:kern w:val="0"/>
          <w:sz w:val="24"/>
        </w:rPr>
        <w:t>本项目为高标准农田建设项目，</w:t>
      </w:r>
      <w:r w:rsidR="00611CBA" w:rsidRPr="00FC1444">
        <w:rPr>
          <w:rFonts w:eastAsiaTheme="minorEastAsia"/>
          <w:sz w:val="24"/>
        </w:rPr>
        <w:t>根据平整地块所在村的平均土壤厚度确定表土剥离厚度约</w:t>
      </w:r>
      <w:r w:rsidR="00611CBA" w:rsidRPr="00FC1444">
        <w:rPr>
          <w:rFonts w:eastAsiaTheme="minorEastAsia"/>
          <w:sz w:val="24"/>
        </w:rPr>
        <w:t>25cm</w:t>
      </w:r>
      <w:r w:rsidR="00611CBA" w:rsidRPr="00FC1444">
        <w:rPr>
          <w:rFonts w:eastAsiaTheme="minorEastAsia"/>
          <w:bCs/>
          <w:kern w:val="0"/>
          <w:sz w:val="24"/>
          <w:lang w:bidi="en-US"/>
        </w:rPr>
        <w:t>，雨天不施工，</w:t>
      </w:r>
      <w:r w:rsidR="00611CBA" w:rsidRPr="00FC1444">
        <w:rPr>
          <w:rFonts w:eastAsiaTheme="minorEastAsia"/>
          <w:kern w:val="0"/>
          <w:sz w:val="24"/>
        </w:rPr>
        <w:t>施工期输配电工程表土临时堆存在施工沿线，设置临时拦挡，</w:t>
      </w:r>
      <w:r w:rsidR="00611CBA" w:rsidRPr="00FC1444">
        <w:rPr>
          <w:rFonts w:eastAsiaTheme="minorEastAsia"/>
          <w:bCs/>
          <w:kern w:val="0"/>
          <w:sz w:val="24"/>
        </w:rPr>
        <w:t>采用密目网苫盖，</w:t>
      </w:r>
      <w:r w:rsidR="00611CBA" w:rsidRPr="00FC1444">
        <w:rPr>
          <w:rFonts w:eastAsiaTheme="minorEastAsia"/>
          <w:kern w:val="0"/>
          <w:sz w:val="24"/>
        </w:rPr>
        <w:t>施工结束后及时分层回填，恢复现状地类；灌溉井、建筑物、输配电工程剥离表土暂存于</w:t>
      </w:r>
      <w:r w:rsidR="00611CBA" w:rsidRPr="00FC1444">
        <w:rPr>
          <w:rFonts w:eastAsiaTheme="minorEastAsia"/>
          <w:bCs/>
          <w:kern w:val="0"/>
          <w:sz w:val="24"/>
        </w:rPr>
        <w:t>表土堆场</w:t>
      </w:r>
      <w:r w:rsidR="00611CBA" w:rsidRPr="00FC1444">
        <w:rPr>
          <w:rFonts w:eastAsiaTheme="minorEastAsia"/>
          <w:kern w:val="0"/>
          <w:sz w:val="24"/>
        </w:rPr>
        <w:t>内，</w:t>
      </w:r>
      <w:r w:rsidR="00611CBA" w:rsidRPr="00FC1444">
        <w:rPr>
          <w:rFonts w:eastAsiaTheme="minorEastAsia"/>
          <w:sz w:val="24"/>
        </w:rPr>
        <w:t>堆高不超过</w:t>
      </w:r>
      <w:r w:rsidR="00611CBA" w:rsidRPr="00FC1444">
        <w:rPr>
          <w:rFonts w:eastAsiaTheme="minorEastAsia"/>
          <w:sz w:val="24"/>
        </w:rPr>
        <w:t>3m</w:t>
      </w:r>
      <w:r w:rsidR="00611CBA" w:rsidRPr="00FC1444">
        <w:rPr>
          <w:rFonts w:eastAsiaTheme="minorEastAsia"/>
          <w:sz w:val="24"/>
        </w:rPr>
        <w:t>，</w:t>
      </w:r>
      <w:r w:rsidR="00611CBA" w:rsidRPr="00FC1444">
        <w:rPr>
          <w:rFonts w:eastAsiaTheme="minorEastAsia"/>
          <w:bCs/>
          <w:kern w:val="0"/>
          <w:sz w:val="24"/>
        </w:rPr>
        <w:t>设置临时拦挡，采用密目网苫盖，减少水土流失</w:t>
      </w:r>
      <w:r w:rsidR="00611CBA" w:rsidRPr="00FC1444">
        <w:rPr>
          <w:rFonts w:eastAsiaTheme="minorEastAsia"/>
          <w:sz w:val="24"/>
        </w:rPr>
        <w:t>，</w:t>
      </w:r>
      <w:r w:rsidR="00611CBA" w:rsidRPr="00FC1444">
        <w:rPr>
          <w:rFonts w:eastAsiaTheme="minorEastAsia"/>
          <w:kern w:val="0"/>
          <w:sz w:val="24"/>
        </w:rPr>
        <w:t>施工结束后临时占地</w:t>
      </w:r>
      <w:r w:rsidR="00611CBA" w:rsidRPr="00FC1444">
        <w:rPr>
          <w:rFonts w:eastAsiaTheme="minorEastAsia"/>
          <w:bCs/>
          <w:kern w:val="0"/>
          <w:sz w:val="24"/>
          <w:lang w:bidi="en-US"/>
        </w:rPr>
        <w:t>恢复为</w:t>
      </w:r>
      <w:r w:rsidR="00611CBA" w:rsidRPr="00FC1444">
        <w:rPr>
          <w:rFonts w:eastAsiaTheme="minorEastAsia"/>
          <w:kern w:val="0"/>
          <w:sz w:val="24"/>
        </w:rPr>
        <w:t>现状地类</w:t>
      </w:r>
      <w:r w:rsidR="00611CBA" w:rsidRPr="00FC1444">
        <w:rPr>
          <w:rFonts w:eastAsiaTheme="minorEastAsia"/>
          <w:bCs/>
          <w:kern w:val="0"/>
          <w:sz w:val="24"/>
          <w:lang w:bidi="en-US"/>
        </w:rPr>
        <w:t>；施工时洒水降尘。</w:t>
      </w:r>
      <w:r w:rsidR="00611CBA" w:rsidRPr="00FC1444">
        <w:rPr>
          <w:rFonts w:eastAsiaTheme="minorEastAsia"/>
          <w:sz w:val="24"/>
        </w:rPr>
        <w:t>故本项目</w:t>
      </w:r>
      <w:r w:rsidR="00611CBA" w:rsidRPr="00FC1444">
        <w:rPr>
          <w:rFonts w:eastAsiaTheme="minorEastAsia"/>
          <w:kern w:val="0"/>
          <w:sz w:val="24"/>
        </w:rPr>
        <w:t>与《建设占用耕地耕作层土壤剥离利用技术规范》（</w:t>
      </w:r>
      <w:r w:rsidR="00611CBA" w:rsidRPr="00FC1444">
        <w:rPr>
          <w:rFonts w:eastAsiaTheme="minorEastAsia"/>
          <w:kern w:val="0"/>
          <w:sz w:val="24"/>
        </w:rPr>
        <w:t>DB23/T2913-2021</w:t>
      </w:r>
      <w:r w:rsidR="00611CBA" w:rsidRPr="00FC1444">
        <w:rPr>
          <w:rFonts w:eastAsiaTheme="minorEastAsia"/>
          <w:kern w:val="0"/>
          <w:sz w:val="24"/>
        </w:rPr>
        <w:t>）相符。</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sz w:val="24"/>
        </w:rPr>
        <w:t>（</w:t>
      </w:r>
      <w:r w:rsidR="00600084" w:rsidRPr="00FC1444">
        <w:rPr>
          <w:rFonts w:eastAsiaTheme="minorEastAsia"/>
          <w:sz w:val="24"/>
        </w:rPr>
        <w:t>6</w:t>
      </w:r>
      <w:r w:rsidRPr="00FC1444">
        <w:rPr>
          <w:rFonts w:eastAsiaTheme="minorEastAsia"/>
          <w:sz w:val="24"/>
        </w:rPr>
        <w:t>）</w:t>
      </w:r>
      <w:r w:rsidRPr="00FC1444">
        <w:rPr>
          <w:rFonts w:eastAsiaTheme="minorEastAsia"/>
          <w:kern w:val="0"/>
          <w:sz w:val="24"/>
        </w:rPr>
        <w:t>与《黑龙江省重点流域水生态环境保护规划》（黑环发〔</w:t>
      </w:r>
      <w:r w:rsidRPr="00FC1444">
        <w:rPr>
          <w:rFonts w:eastAsiaTheme="minorEastAsia"/>
          <w:kern w:val="0"/>
          <w:sz w:val="24"/>
        </w:rPr>
        <w:t>2023</w:t>
      </w:r>
      <w:r w:rsidRPr="00FC1444">
        <w:rPr>
          <w:rFonts w:eastAsiaTheme="minorEastAsia"/>
          <w:kern w:val="0"/>
          <w:sz w:val="24"/>
        </w:rPr>
        <w:t>〕</w:t>
      </w:r>
      <w:r w:rsidRPr="00FC1444">
        <w:rPr>
          <w:rFonts w:eastAsiaTheme="minorEastAsia"/>
          <w:kern w:val="0"/>
          <w:sz w:val="24"/>
        </w:rPr>
        <w:t>24</w:t>
      </w:r>
      <w:r w:rsidRPr="00FC1444">
        <w:rPr>
          <w:rFonts w:eastAsiaTheme="minorEastAsia"/>
          <w:kern w:val="0"/>
          <w:sz w:val="24"/>
        </w:rPr>
        <w:t>号）符合性分析</w:t>
      </w:r>
    </w:p>
    <w:p w:rsidR="002A5A5E" w:rsidRPr="00FC1444" w:rsidRDefault="00A70CC1">
      <w:pPr>
        <w:spacing w:line="360" w:lineRule="auto"/>
        <w:ind w:firstLineChars="200" w:firstLine="480"/>
        <w:rPr>
          <w:rFonts w:eastAsiaTheme="minorEastAsia"/>
          <w:sz w:val="24"/>
        </w:rPr>
      </w:pPr>
      <w:r w:rsidRPr="00FC1444">
        <w:rPr>
          <w:rFonts w:eastAsiaTheme="minorEastAsia"/>
          <w:sz w:val="24"/>
        </w:rPr>
        <w:t>相关内容</w:t>
      </w:r>
      <w:r w:rsidRPr="00FC1444">
        <w:rPr>
          <w:rFonts w:eastAsiaTheme="minorEastAsia" w:hint="eastAsia"/>
          <w:sz w:val="24"/>
        </w:rPr>
        <w:t>：</w:t>
      </w:r>
      <w:r w:rsidR="00611CBA" w:rsidRPr="00FC1444">
        <w:rPr>
          <w:rFonts w:eastAsiaTheme="minorEastAsia"/>
          <w:kern w:val="0"/>
          <w:sz w:val="24"/>
        </w:rPr>
        <w:t>《</w:t>
      </w:r>
      <w:r w:rsidR="00611CBA" w:rsidRPr="00FC1444">
        <w:rPr>
          <w:rFonts w:eastAsiaTheme="minorEastAsia"/>
          <w:sz w:val="24"/>
        </w:rPr>
        <w:t>黑龙江省重点流域水生态环境保护规划》是指导黑龙江省</w:t>
      </w:r>
      <w:r w:rsidR="00611CBA" w:rsidRPr="00FC1444">
        <w:rPr>
          <w:rFonts w:eastAsiaTheme="minorEastAsia"/>
          <w:sz w:val="24"/>
        </w:rPr>
        <w:t>“</w:t>
      </w:r>
      <w:r w:rsidR="00611CBA" w:rsidRPr="00FC1444">
        <w:rPr>
          <w:rFonts w:eastAsiaTheme="minorEastAsia"/>
          <w:sz w:val="24"/>
        </w:rPr>
        <w:t>十四五</w:t>
      </w:r>
      <w:r w:rsidR="00611CBA" w:rsidRPr="00FC1444">
        <w:rPr>
          <w:rFonts w:eastAsiaTheme="minorEastAsia"/>
          <w:sz w:val="24"/>
        </w:rPr>
        <w:t>”</w:t>
      </w:r>
      <w:r w:rsidR="00611CBA" w:rsidRPr="00FC1444">
        <w:rPr>
          <w:rFonts w:eastAsiaTheme="minorEastAsia"/>
          <w:sz w:val="24"/>
        </w:rPr>
        <w:t>时期流域水生态环境保护相关工作的纲领性文件，是制定实施相关方案、政策和建设相关工程的依据，规划期为</w:t>
      </w:r>
      <w:r w:rsidR="00611CBA" w:rsidRPr="00FC1444">
        <w:rPr>
          <w:rFonts w:eastAsiaTheme="minorEastAsia"/>
          <w:sz w:val="24"/>
        </w:rPr>
        <w:t>2021</w:t>
      </w:r>
      <w:r w:rsidR="00611CBA" w:rsidRPr="00FC1444">
        <w:rPr>
          <w:rFonts w:eastAsiaTheme="minorEastAsia"/>
          <w:sz w:val="24"/>
        </w:rPr>
        <w:t>年至</w:t>
      </w:r>
      <w:r w:rsidR="00611CBA" w:rsidRPr="00FC1444">
        <w:rPr>
          <w:rFonts w:eastAsiaTheme="minorEastAsia"/>
          <w:sz w:val="24"/>
        </w:rPr>
        <w:t>2025</w:t>
      </w:r>
      <w:r w:rsidR="00611CBA" w:rsidRPr="00FC1444">
        <w:rPr>
          <w:rFonts w:eastAsiaTheme="minorEastAsia"/>
          <w:sz w:val="24"/>
        </w:rPr>
        <w:t>年。规划范围包含黑龙江省的松花江流域、黑龙江流域、乌苏里江流域和绥芬河流域。共涉及</w:t>
      </w:r>
      <w:r w:rsidR="00611CBA" w:rsidRPr="00FC1444">
        <w:rPr>
          <w:rFonts w:eastAsiaTheme="minorEastAsia"/>
          <w:sz w:val="24"/>
        </w:rPr>
        <w:t>13</w:t>
      </w:r>
      <w:r w:rsidR="00611CBA" w:rsidRPr="00FC1444">
        <w:rPr>
          <w:rFonts w:eastAsiaTheme="minorEastAsia"/>
          <w:sz w:val="24"/>
        </w:rPr>
        <w:t>个市</w:t>
      </w:r>
      <w:r w:rsidR="00611CBA" w:rsidRPr="00FC1444">
        <w:rPr>
          <w:rFonts w:eastAsiaTheme="minorEastAsia"/>
          <w:sz w:val="24"/>
        </w:rPr>
        <w:t>(</w:t>
      </w:r>
      <w:r w:rsidR="00611CBA" w:rsidRPr="00FC1444">
        <w:rPr>
          <w:rFonts w:eastAsiaTheme="minorEastAsia"/>
          <w:sz w:val="24"/>
        </w:rPr>
        <w:t>地</w:t>
      </w:r>
      <w:r w:rsidR="00611CBA" w:rsidRPr="00FC1444">
        <w:rPr>
          <w:rFonts w:eastAsiaTheme="minorEastAsia"/>
          <w:sz w:val="24"/>
        </w:rPr>
        <w:t>)</w:t>
      </w:r>
      <w:r w:rsidR="00611CBA" w:rsidRPr="00FC1444">
        <w:rPr>
          <w:rFonts w:eastAsiaTheme="minorEastAsia"/>
          <w:sz w:val="24"/>
        </w:rPr>
        <w:t>级行政单位，分别是哈尔滨市、齐齐哈尔市、牡丹江市、佳木斯市、大庆市、鸡西市、双鸭山市、伊春市、七台河市、鹤岗市、黑河市、绥化市大兴安岭地区。规划目标</w:t>
      </w:r>
      <w:r w:rsidR="00611CBA" w:rsidRPr="00FC1444">
        <w:rPr>
          <w:rFonts w:eastAsiaTheme="minorEastAsia"/>
          <w:sz w:val="24"/>
        </w:rPr>
        <w:t>:</w:t>
      </w:r>
      <w:r w:rsidR="00611CBA" w:rsidRPr="00FC1444">
        <w:rPr>
          <w:rFonts w:eastAsiaTheme="minorEastAsia"/>
          <w:sz w:val="24"/>
        </w:rPr>
        <w:t>到</w:t>
      </w:r>
      <w:r w:rsidR="00611CBA" w:rsidRPr="00FC1444">
        <w:rPr>
          <w:rFonts w:eastAsiaTheme="minorEastAsia"/>
          <w:sz w:val="24"/>
        </w:rPr>
        <w:t>2025</w:t>
      </w:r>
      <w:r w:rsidR="00611CBA" w:rsidRPr="00FC1444">
        <w:rPr>
          <w:rFonts w:eastAsiaTheme="minorEastAsia"/>
          <w:sz w:val="24"/>
        </w:rPr>
        <w:t>年，全省水生态环境持续改善水质优良水体稳中有增，污染严重水体得到有效治理，除肇兰新河外基本消除国控劣</w:t>
      </w:r>
      <w:r w:rsidR="00611CBA" w:rsidRPr="00FC1444">
        <w:rPr>
          <w:rFonts w:eastAsiaTheme="minorEastAsia"/>
          <w:sz w:val="24"/>
        </w:rPr>
        <w:t>V</w:t>
      </w:r>
      <w:r w:rsidR="00611CBA" w:rsidRPr="00FC1444">
        <w:rPr>
          <w:rFonts w:eastAsiaTheme="minorEastAsia"/>
          <w:sz w:val="24"/>
        </w:rPr>
        <w:t>类断面，基本消除县级城市建成区黑臭水体，饮用水水源水质安全保障水平持续提升，化学需氧量和氨</w:t>
      </w:r>
      <w:r w:rsidR="00611CBA" w:rsidRPr="00FC1444">
        <w:rPr>
          <w:rFonts w:eastAsiaTheme="minorEastAsia"/>
          <w:sz w:val="24"/>
        </w:rPr>
        <w:lastRenderedPageBreak/>
        <w:t>氮排放总量持续减少。松花江干流及主要支流生态流量保障程度显著提升，河湖生态保护修复有效加强，探索建立水生生物监测体系，风险防范能力不断加强，实现有河有水，有草有鱼，人水和谐的美好目标。到</w:t>
      </w:r>
      <w:r w:rsidR="00611CBA" w:rsidRPr="00FC1444">
        <w:rPr>
          <w:rFonts w:eastAsiaTheme="minorEastAsia"/>
          <w:sz w:val="24"/>
        </w:rPr>
        <w:t>2035</w:t>
      </w:r>
      <w:r w:rsidR="00611CBA" w:rsidRPr="00FC1444">
        <w:rPr>
          <w:rFonts w:eastAsiaTheme="minorEastAsia"/>
          <w:sz w:val="24"/>
        </w:rPr>
        <w:t>年，全省水生态环境根本好转，生态系统实现良性循环，美丽龙江建设的水生态环境目标基本实现。</w:t>
      </w:r>
    </w:p>
    <w:p w:rsidR="002A5A5E" w:rsidRPr="00FC1444" w:rsidRDefault="00A70CC1">
      <w:pPr>
        <w:spacing w:line="360" w:lineRule="auto"/>
        <w:ind w:firstLineChars="200" w:firstLine="480"/>
        <w:rPr>
          <w:rFonts w:eastAsiaTheme="minorEastAsia"/>
          <w:kern w:val="0"/>
          <w:sz w:val="24"/>
        </w:rPr>
      </w:pPr>
      <w:r w:rsidRPr="00FC1444">
        <w:rPr>
          <w:rFonts w:eastAsiaTheme="minorEastAsia"/>
          <w:kern w:val="0"/>
          <w:sz w:val="24"/>
        </w:rPr>
        <w:t>符合性分析：</w:t>
      </w:r>
      <w:r w:rsidR="00B46A38" w:rsidRPr="00FC1444">
        <w:rPr>
          <w:rFonts w:eastAsiaTheme="minorEastAsia"/>
          <w:kern w:val="24"/>
          <w:sz w:val="24"/>
        </w:rPr>
        <w:t>根据</w:t>
      </w:r>
      <w:r w:rsidR="00B46A38" w:rsidRPr="00FC1444">
        <w:rPr>
          <w:rFonts w:eastAsiaTheme="minorEastAsia"/>
          <w:kern w:val="0"/>
          <w:sz w:val="24"/>
        </w:rPr>
        <w:t>《</w:t>
      </w:r>
      <w:r w:rsidR="00B46A38" w:rsidRPr="00FC1444">
        <w:rPr>
          <w:rFonts w:eastAsiaTheme="minorEastAsia"/>
          <w:kern w:val="0"/>
          <w:sz w:val="24"/>
        </w:rPr>
        <w:t>2025</w:t>
      </w:r>
      <w:r w:rsidR="00B46A38" w:rsidRPr="00FC1444">
        <w:rPr>
          <w:rFonts w:eastAsiaTheme="minorEastAsia"/>
          <w:kern w:val="0"/>
          <w:sz w:val="24"/>
        </w:rPr>
        <w:t>年绥化市环境质量年报》，</w:t>
      </w:r>
      <w:r w:rsidR="00B46A38" w:rsidRPr="00FC1444">
        <w:rPr>
          <w:rFonts w:eastAsiaTheme="minorEastAsia" w:hint="eastAsia"/>
          <w:sz w:val="24"/>
        </w:rPr>
        <w:t>呼兰河</w:t>
      </w:r>
      <w:r w:rsidR="00B46A38" w:rsidRPr="00FC1444">
        <w:rPr>
          <w:rFonts w:eastAsiaTheme="minorEastAsia"/>
          <w:bCs/>
          <w:kern w:val="0"/>
          <w:sz w:val="24"/>
        </w:rPr>
        <w:t>绥望桥断面、</w:t>
      </w:r>
      <w:r w:rsidR="00B46A38" w:rsidRPr="00FC1444">
        <w:rPr>
          <w:rFonts w:eastAsiaTheme="minorEastAsia" w:hint="eastAsia"/>
          <w:bCs/>
          <w:kern w:val="0"/>
          <w:sz w:val="24"/>
        </w:rPr>
        <w:t>榆林镇鞍山屯断面</w:t>
      </w:r>
      <w:r w:rsidR="00B46A38" w:rsidRPr="00FC1444">
        <w:rPr>
          <w:rFonts w:eastAsiaTheme="minorEastAsia"/>
          <w:bCs/>
          <w:kern w:val="0"/>
          <w:sz w:val="24"/>
          <w:szCs w:val="21"/>
        </w:rPr>
        <w:t>水质目标为</w:t>
      </w:r>
      <w:r w:rsidR="00B46A38" w:rsidRPr="00FC1444">
        <w:rPr>
          <w:rFonts w:eastAsiaTheme="minorEastAsia"/>
          <w:bCs/>
          <w:kern w:val="0"/>
          <w:sz w:val="24"/>
          <w:szCs w:val="21"/>
        </w:rPr>
        <w:t>Ⅲ</w:t>
      </w:r>
      <w:r w:rsidR="00B46A38" w:rsidRPr="00FC1444">
        <w:rPr>
          <w:rFonts w:eastAsiaTheme="minorEastAsia"/>
          <w:bCs/>
          <w:kern w:val="0"/>
          <w:sz w:val="24"/>
          <w:szCs w:val="21"/>
        </w:rPr>
        <w:t>类。</w:t>
      </w:r>
      <w:r w:rsidR="00B46A38" w:rsidRPr="00FC1444">
        <w:rPr>
          <w:rFonts w:eastAsiaTheme="minorEastAsia" w:hint="eastAsia"/>
          <w:bCs/>
          <w:kern w:val="0"/>
          <w:sz w:val="24"/>
          <w:szCs w:val="21"/>
        </w:rPr>
        <w:t>努敏河绥化市断面</w:t>
      </w:r>
      <w:r w:rsidR="00B46A38" w:rsidRPr="00FC1444">
        <w:rPr>
          <w:rFonts w:eastAsiaTheme="minorEastAsia"/>
          <w:bCs/>
          <w:kern w:val="0"/>
          <w:sz w:val="24"/>
        </w:rPr>
        <w:t>水质目标为</w:t>
      </w:r>
      <w:r w:rsidR="00B46A38" w:rsidRPr="00FC1444">
        <w:rPr>
          <w:rFonts w:eastAsiaTheme="minorEastAsia"/>
          <w:bCs/>
          <w:kern w:val="0"/>
          <w:sz w:val="24"/>
          <w:szCs w:val="21"/>
        </w:rPr>
        <w:t>Ⅲ</w:t>
      </w:r>
      <w:r w:rsidR="00B46A38" w:rsidRPr="00FC1444">
        <w:rPr>
          <w:rFonts w:eastAsiaTheme="minorEastAsia"/>
          <w:bCs/>
          <w:kern w:val="0"/>
          <w:sz w:val="24"/>
        </w:rPr>
        <w:t>类。</w:t>
      </w:r>
      <w:r w:rsidR="00B46A38" w:rsidRPr="00FC1444">
        <w:rPr>
          <w:rFonts w:eastAsiaTheme="minorEastAsia"/>
          <w:sz w:val="24"/>
        </w:rPr>
        <w:t>津河</w:t>
      </w:r>
      <w:r w:rsidR="00B46A38" w:rsidRPr="00FC1444">
        <w:rPr>
          <w:rFonts w:eastAsiaTheme="minorEastAsia"/>
          <w:bCs/>
          <w:kern w:val="0"/>
          <w:sz w:val="24"/>
        </w:rPr>
        <w:t>未划分水功能区，</w:t>
      </w:r>
      <w:r w:rsidR="00B46A38" w:rsidRPr="00FC1444">
        <w:rPr>
          <w:rFonts w:eastAsiaTheme="minorEastAsia"/>
          <w:sz w:val="24"/>
        </w:rPr>
        <w:t>津河</w:t>
      </w:r>
      <w:r w:rsidR="00B46A38" w:rsidRPr="00FC1444">
        <w:rPr>
          <w:rFonts w:eastAsiaTheme="minorEastAsia"/>
          <w:bCs/>
          <w:kern w:val="0"/>
          <w:sz w:val="24"/>
        </w:rPr>
        <w:t>汇入</w:t>
      </w:r>
      <w:r w:rsidR="00B46A38" w:rsidRPr="00FC1444">
        <w:rPr>
          <w:rFonts w:eastAsiaTheme="minorEastAsia" w:hint="eastAsia"/>
          <w:bCs/>
          <w:kern w:val="0"/>
          <w:sz w:val="24"/>
        </w:rPr>
        <w:t>呼兰</w:t>
      </w:r>
      <w:r w:rsidR="00B46A38" w:rsidRPr="00FC1444">
        <w:rPr>
          <w:rFonts w:eastAsiaTheme="minorEastAsia"/>
          <w:bCs/>
          <w:kern w:val="0"/>
          <w:sz w:val="24"/>
        </w:rPr>
        <w:t>河，</w:t>
      </w:r>
      <w:r w:rsidR="00B46A38" w:rsidRPr="00FC1444">
        <w:rPr>
          <w:rFonts w:eastAsiaTheme="minorEastAsia" w:hint="eastAsia"/>
          <w:bCs/>
          <w:kern w:val="0"/>
          <w:sz w:val="24"/>
        </w:rPr>
        <w:t>呼兰</w:t>
      </w:r>
      <w:r w:rsidR="00B46A38" w:rsidRPr="00FC1444">
        <w:rPr>
          <w:rFonts w:eastAsiaTheme="minorEastAsia"/>
          <w:bCs/>
          <w:kern w:val="0"/>
          <w:sz w:val="24"/>
        </w:rPr>
        <w:t>河绥望桥断面水质目标为</w:t>
      </w:r>
      <w:r w:rsidR="00B46A38" w:rsidRPr="00FC1444">
        <w:rPr>
          <w:rFonts w:eastAsiaTheme="minorEastAsia"/>
          <w:bCs/>
          <w:kern w:val="0"/>
          <w:sz w:val="24"/>
          <w:szCs w:val="21"/>
        </w:rPr>
        <w:t>Ⅲ</w:t>
      </w:r>
      <w:r w:rsidR="00B46A38" w:rsidRPr="00FC1444">
        <w:rPr>
          <w:rFonts w:eastAsiaTheme="minorEastAsia"/>
          <w:bCs/>
          <w:kern w:val="0"/>
          <w:sz w:val="24"/>
        </w:rPr>
        <w:t>类，</w:t>
      </w:r>
      <w:r w:rsidR="00B46A38" w:rsidRPr="00FC1444">
        <w:rPr>
          <w:rFonts w:eastAsiaTheme="minorEastAsia"/>
          <w:sz w:val="24"/>
        </w:rPr>
        <w:t>津河</w:t>
      </w:r>
      <w:r w:rsidR="00B46A38" w:rsidRPr="00FC1444">
        <w:rPr>
          <w:rFonts w:eastAsiaTheme="minorEastAsia"/>
          <w:bCs/>
          <w:kern w:val="0"/>
          <w:sz w:val="24"/>
        </w:rPr>
        <w:t>参照</w:t>
      </w:r>
      <w:r w:rsidR="00B46A38" w:rsidRPr="00FC1444">
        <w:rPr>
          <w:rFonts w:eastAsiaTheme="minorEastAsia" w:hint="eastAsia"/>
          <w:bCs/>
          <w:kern w:val="0"/>
          <w:sz w:val="24"/>
        </w:rPr>
        <w:t>呼兰</w:t>
      </w:r>
      <w:r w:rsidR="00B46A38" w:rsidRPr="00FC1444">
        <w:rPr>
          <w:rFonts w:eastAsiaTheme="minorEastAsia"/>
          <w:bCs/>
          <w:kern w:val="0"/>
          <w:sz w:val="24"/>
        </w:rPr>
        <w:t>河执行</w:t>
      </w:r>
      <w:r w:rsidR="00B46A38" w:rsidRPr="00FC1444">
        <w:rPr>
          <w:rFonts w:eastAsiaTheme="minorEastAsia"/>
          <w:bCs/>
          <w:sz w:val="24"/>
        </w:rPr>
        <w:t>。</w:t>
      </w:r>
      <w:r w:rsidR="00B46A38" w:rsidRPr="00FC1444">
        <w:rPr>
          <w:rFonts w:eastAsiaTheme="minorEastAsia" w:hint="eastAsia"/>
          <w:sz w:val="24"/>
        </w:rPr>
        <w:t>2025</w:t>
      </w:r>
      <w:r w:rsidR="00B46A38" w:rsidRPr="00FC1444">
        <w:rPr>
          <w:rFonts w:eastAsiaTheme="minorEastAsia" w:hint="eastAsia"/>
          <w:sz w:val="24"/>
        </w:rPr>
        <w:t>年</w:t>
      </w:r>
      <w:r w:rsidR="00B46A38" w:rsidRPr="00FC1444">
        <w:rPr>
          <w:rFonts w:eastAsiaTheme="minorEastAsia"/>
          <w:bCs/>
          <w:sz w:val="24"/>
        </w:rPr>
        <w:t>绥望桥断面、榆林镇鞍山屯</w:t>
      </w:r>
      <w:r w:rsidR="00B46A38" w:rsidRPr="00FC1444">
        <w:rPr>
          <w:rFonts w:eastAsiaTheme="minorEastAsia"/>
          <w:bCs/>
          <w:kern w:val="0"/>
          <w:sz w:val="24"/>
        </w:rPr>
        <w:t>断面、努敏河绥化市断面水质类别均为</w:t>
      </w:r>
      <w:r w:rsidR="00B46A38" w:rsidRPr="00FC1444">
        <w:rPr>
          <w:rFonts w:eastAsiaTheme="minorEastAsia"/>
          <w:bCs/>
          <w:kern w:val="0"/>
          <w:sz w:val="24"/>
        </w:rPr>
        <w:t>Ⅲ</w:t>
      </w:r>
      <w:r w:rsidR="00B46A38" w:rsidRPr="00FC1444">
        <w:rPr>
          <w:rFonts w:eastAsiaTheme="minorEastAsia"/>
          <w:bCs/>
          <w:kern w:val="0"/>
          <w:sz w:val="24"/>
        </w:rPr>
        <w:t>类，满足</w:t>
      </w:r>
      <w:r w:rsidR="00B46A38" w:rsidRPr="00FC1444">
        <w:rPr>
          <w:rFonts w:eastAsiaTheme="minorEastAsia"/>
          <w:sz w:val="24"/>
        </w:rPr>
        <w:t>水体类别要求。</w:t>
      </w:r>
      <w:r w:rsidR="00611CBA" w:rsidRPr="00FC1444">
        <w:rPr>
          <w:rFonts w:eastAsiaTheme="minorEastAsia"/>
          <w:kern w:val="0"/>
          <w:sz w:val="24"/>
        </w:rPr>
        <w:t>本项目实施后，由于灌溉水利用系数的提升、农田保水能力增强以及渠系配套系统的完善，现状水田灌溉地表水退水量减少，相应污染物</w:t>
      </w:r>
      <w:r w:rsidR="00C341EA" w:rsidRPr="00FC1444">
        <w:rPr>
          <w:rFonts w:eastAsiaTheme="minorEastAsia"/>
          <w:bCs/>
          <w:sz w:val="24"/>
        </w:rPr>
        <w:t>COD</w:t>
      </w:r>
      <w:r w:rsidR="00C341EA" w:rsidRPr="00FC1444">
        <w:rPr>
          <w:rFonts w:eastAsiaTheme="minorEastAsia"/>
          <w:bCs/>
          <w:sz w:val="24"/>
        </w:rPr>
        <w:t>、氨氮、总磷及总氮排放量分别减少</w:t>
      </w:r>
      <w:r w:rsidR="00C341EA" w:rsidRPr="00FC1444">
        <w:rPr>
          <w:rFonts w:eastAsiaTheme="minorEastAsia"/>
          <w:bCs/>
          <w:sz w:val="24"/>
        </w:rPr>
        <w:t>227.137t/a</w:t>
      </w:r>
      <w:r w:rsidR="00C341EA" w:rsidRPr="00FC1444">
        <w:rPr>
          <w:rFonts w:eastAsiaTheme="minorEastAsia"/>
          <w:bCs/>
          <w:sz w:val="24"/>
        </w:rPr>
        <w:t>、</w:t>
      </w:r>
      <w:r w:rsidR="00C341EA" w:rsidRPr="00FC1444">
        <w:rPr>
          <w:rFonts w:eastAsiaTheme="minorEastAsia"/>
          <w:bCs/>
          <w:sz w:val="24"/>
        </w:rPr>
        <w:t>5.431t/a</w:t>
      </w:r>
      <w:r w:rsidR="00C341EA" w:rsidRPr="00FC1444">
        <w:rPr>
          <w:rFonts w:eastAsiaTheme="minorEastAsia"/>
          <w:bCs/>
          <w:sz w:val="24"/>
        </w:rPr>
        <w:t>、</w:t>
      </w:r>
      <w:r w:rsidR="00C341EA" w:rsidRPr="00FC1444">
        <w:rPr>
          <w:rFonts w:eastAsiaTheme="minorEastAsia"/>
          <w:bCs/>
          <w:sz w:val="24"/>
        </w:rPr>
        <w:t>7.93t/a</w:t>
      </w:r>
      <w:r w:rsidR="00C341EA" w:rsidRPr="00FC1444">
        <w:rPr>
          <w:rFonts w:eastAsiaTheme="minorEastAsia"/>
          <w:bCs/>
          <w:sz w:val="24"/>
        </w:rPr>
        <w:t>、</w:t>
      </w:r>
      <w:r w:rsidR="00C341EA" w:rsidRPr="00FC1444">
        <w:rPr>
          <w:rFonts w:eastAsiaTheme="minorEastAsia"/>
          <w:bCs/>
          <w:sz w:val="24"/>
        </w:rPr>
        <w:t>18.102t/a</w:t>
      </w:r>
      <w:r w:rsidR="00C341EA" w:rsidRPr="00FC1444">
        <w:rPr>
          <w:rFonts w:eastAsiaTheme="minorEastAsia"/>
          <w:bCs/>
          <w:sz w:val="24"/>
        </w:rPr>
        <w:t>。</w:t>
      </w:r>
      <w:r w:rsidR="00611CBA" w:rsidRPr="00FC1444">
        <w:rPr>
          <w:rFonts w:eastAsiaTheme="minorEastAsia"/>
          <w:bCs/>
          <w:kern w:val="0"/>
          <w:sz w:val="24"/>
        </w:rPr>
        <w:t>有利于受纳水体</w:t>
      </w:r>
      <w:r w:rsidR="00B526E5" w:rsidRPr="00FC1444">
        <w:rPr>
          <w:rFonts w:eastAsiaTheme="minorEastAsia"/>
          <w:sz w:val="24"/>
        </w:rPr>
        <w:t>津河、呼兰河、努敏河</w:t>
      </w:r>
      <w:r w:rsidR="00611CBA" w:rsidRPr="00FC1444">
        <w:rPr>
          <w:rFonts w:eastAsiaTheme="minorEastAsia"/>
          <w:bCs/>
          <w:kern w:val="0"/>
          <w:sz w:val="24"/>
        </w:rPr>
        <w:t>河流水质的维持和改善</w:t>
      </w:r>
      <w:r w:rsidR="00611CBA" w:rsidRPr="00FC1444">
        <w:rPr>
          <w:rFonts w:eastAsiaTheme="minorEastAsia"/>
          <w:kern w:val="0"/>
          <w:sz w:val="24"/>
        </w:rPr>
        <w:t>。故本工程建设与《黑龙江省重点流域水生态环境保护规划》要求相符合。</w:t>
      </w:r>
    </w:p>
    <w:p w:rsidR="002A5A5E" w:rsidRPr="00FC1444" w:rsidRDefault="00611CBA">
      <w:pPr>
        <w:spacing w:line="360" w:lineRule="auto"/>
        <w:ind w:firstLineChars="200" w:firstLine="480"/>
        <w:jc w:val="left"/>
        <w:rPr>
          <w:rFonts w:eastAsiaTheme="minorEastAsia"/>
          <w:b/>
          <w:kern w:val="0"/>
          <w:sz w:val="24"/>
        </w:rPr>
      </w:pPr>
      <w:r w:rsidRPr="00FC1444">
        <w:rPr>
          <w:rFonts w:eastAsiaTheme="minorEastAsia"/>
          <w:sz w:val="24"/>
        </w:rPr>
        <w:t>（</w:t>
      </w:r>
      <w:r w:rsidR="00600084" w:rsidRPr="00FC1444">
        <w:rPr>
          <w:rFonts w:eastAsiaTheme="minorEastAsia"/>
          <w:sz w:val="24"/>
        </w:rPr>
        <w:t>7</w:t>
      </w:r>
      <w:r w:rsidRPr="00FC1444">
        <w:rPr>
          <w:rFonts w:eastAsiaTheme="minorEastAsia"/>
          <w:sz w:val="24"/>
        </w:rPr>
        <w:t>）</w:t>
      </w:r>
      <w:r w:rsidRPr="00FC1444">
        <w:rPr>
          <w:rFonts w:eastAsiaTheme="minorEastAsia"/>
          <w:kern w:val="0"/>
          <w:sz w:val="24"/>
        </w:rPr>
        <w:t>与《自然资源部关于规范临时用地管理的通知》（自然资规</w:t>
      </w:r>
      <w:r w:rsidRPr="00FC1444">
        <w:rPr>
          <w:rFonts w:eastAsiaTheme="minorEastAsia"/>
          <w:kern w:val="0"/>
          <w:sz w:val="24"/>
        </w:rPr>
        <w:t>[2021]2</w:t>
      </w:r>
      <w:r w:rsidRPr="00FC1444">
        <w:rPr>
          <w:rFonts w:eastAsiaTheme="minorEastAsia"/>
          <w:kern w:val="0"/>
          <w:sz w:val="24"/>
        </w:rPr>
        <w:t>号）符合性分析</w:t>
      </w:r>
    </w:p>
    <w:p w:rsidR="002A5A5E" w:rsidRPr="00FC1444" w:rsidRDefault="00A70CC1">
      <w:pPr>
        <w:spacing w:line="360" w:lineRule="auto"/>
        <w:ind w:firstLineChars="200" w:firstLine="480"/>
        <w:rPr>
          <w:rFonts w:eastAsiaTheme="minorEastAsia"/>
          <w:sz w:val="24"/>
        </w:rPr>
      </w:pPr>
      <w:r w:rsidRPr="00FC1444">
        <w:rPr>
          <w:rFonts w:eastAsiaTheme="minorEastAsia"/>
          <w:sz w:val="24"/>
        </w:rPr>
        <w:t>相关内容</w:t>
      </w:r>
      <w:r w:rsidRPr="00FC1444">
        <w:rPr>
          <w:rFonts w:eastAsiaTheme="minorEastAsia" w:hint="eastAsia"/>
          <w:sz w:val="24"/>
        </w:rPr>
        <w:t>：</w:t>
      </w:r>
      <w:r w:rsidR="00611CBA" w:rsidRPr="00FC1444">
        <w:rPr>
          <w:rFonts w:eastAsiaTheme="minorEastAsia"/>
          <w:sz w:val="24"/>
        </w:rPr>
        <w:t>设项目施工、地质勘查使用临时用地时应坚持</w:t>
      </w:r>
      <w:r w:rsidR="00611CBA" w:rsidRPr="00FC1444">
        <w:rPr>
          <w:rFonts w:eastAsiaTheme="minorEastAsia"/>
          <w:sz w:val="24"/>
        </w:rPr>
        <w:t>“</w:t>
      </w:r>
      <w:r w:rsidR="00611CBA" w:rsidRPr="00FC1444">
        <w:rPr>
          <w:rFonts w:eastAsiaTheme="minorEastAsia"/>
          <w:sz w:val="24"/>
        </w:rPr>
        <w:t>用多少、批多少、占多少、恢复多少</w:t>
      </w:r>
      <w:r w:rsidR="00611CBA" w:rsidRPr="00FC1444">
        <w:rPr>
          <w:rFonts w:eastAsiaTheme="minorEastAsia"/>
          <w:sz w:val="24"/>
        </w:rPr>
        <w:t>”</w:t>
      </w:r>
      <w:r w:rsidR="00611CBA" w:rsidRPr="00FC1444">
        <w:rPr>
          <w:rFonts w:eastAsiaTheme="minorEastAsia"/>
          <w:sz w:val="24"/>
        </w:rPr>
        <w:t>，尽量不占或者少占耕地。使用后土地复垦难度较大的临时用地，要严格控制占用耕地。铁路、公路等单独选址建设项目，应科学组织施工，节约集约使用临时用地。制梁场、拌合站等难以恢复原种植条件的不得以临时用地方式占用耕地和永久基本农田，可以建设用地方式或者临时占用未利用地方式使用土地。临时用地确需占用永久基本农田的，必须能够恢复原种植条件，并符合《自然资源部</w:t>
      </w:r>
      <w:r w:rsidR="00611CBA" w:rsidRPr="00FC1444">
        <w:rPr>
          <w:rFonts w:eastAsiaTheme="minorEastAsia"/>
          <w:sz w:val="24"/>
        </w:rPr>
        <w:t xml:space="preserve"> </w:t>
      </w:r>
      <w:r w:rsidR="00611CBA" w:rsidRPr="00FC1444">
        <w:rPr>
          <w:rFonts w:eastAsiaTheme="minorEastAsia"/>
          <w:sz w:val="24"/>
        </w:rPr>
        <w:t>农业农村部关于加强和改进永久基本农田保护工作的通知》（自然资规〔</w:t>
      </w:r>
      <w:r w:rsidR="00611CBA" w:rsidRPr="00FC1444">
        <w:rPr>
          <w:rFonts w:eastAsiaTheme="minorEastAsia"/>
          <w:sz w:val="24"/>
        </w:rPr>
        <w:t>2019</w:t>
      </w:r>
      <w:r w:rsidR="00611CBA" w:rsidRPr="00FC1444">
        <w:rPr>
          <w:rFonts w:eastAsiaTheme="minorEastAsia"/>
          <w:sz w:val="24"/>
        </w:rPr>
        <w:t>〕</w:t>
      </w:r>
      <w:r w:rsidR="00611CBA" w:rsidRPr="00FC1444">
        <w:rPr>
          <w:rFonts w:eastAsiaTheme="minorEastAsia"/>
          <w:sz w:val="24"/>
        </w:rPr>
        <w:t>1</w:t>
      </w:r>
      <w:r w:rsidR="00611CBA" w:rsidRPr="00FC1444">
        <w:rPr>
          <w:rFonts w:eastAsiaTheme="minorEastAsia"/>
          <w:sz w:val="24"/>
        </w:rPr>
        <w:t>号）中申请条件、土壤剥离、复垦验收等有关规定。</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严格落实临时用地恢复责任，临时用地期满后应当拆除临时建（构）筑物，使用耕地的应当复垦为耕地，确保耕地面积不减少、质量不降低；使用耕地以外的其他农用地的应当恢复为农用地；使用未利用地的，对于符合条件的鼓励复垦为耕地。</w:t>
      </w:r>
    </w:p>
    <w:p w:rsidR="002A5A5E" w:rsidRPr="00FC1444" w:rsidRDefault="00A70CC1">
      <w:pPr>
        <w:spacing w:line="360" w:lineRule="auto"/>
        <w:ind w:firstLineChars="200" w:firstLine="480"/>
        <w:jc w:val="left"/>
        <w:rPr>
          <w:rFonts w:eastAsiaTheme="minorEastAsia"/>
          <w:kern w:val="0"/>
          <w:sz w:val="24"/>
        </w:rPr>
      </w:pPr>
      <w:r w:rsidRPr="00FC1444">
        <w:rPr>
          <w:rFonts w:eastAsiaTheme="minorEastAsia"/>
          <w:kern w:val="0"/>
          <w:sz w:val="24"/>
        </w:rPr>
        <w:t>符合性分析：</w:t>
      </w:r>
      <w:r w:rsidR="00611CBA" w:rsidRPr="00FC1444">
        <w:rPr>
          <w:rFonts w:eastAsiaTheme="minorEastAsia"/>
          <w:smallCaps/>
          <w:sz w:val="24"/>
        </w:rPr>
        <w:t>本项目田间道路工程在现有</w:t>
      </w:r>
      <w:r w:rsidR="00D61453" w:rsidRPr="00FC1444">
        <w:rPr>
          <w:rFonts w:eastAsiaTheme="minorEastAsia"/>
          <w:smallCaps/>
          <w:sz w:val="24"/>
        </w:rPr>
        <w:t>道路基础上修建，现有灌溉渠道衬砌，现有排水沟清淤，田块整治工程</w:t>
      </w:r>
      <w:r w:rsidR="007603A1" w:rsidRPr="00FC1444">
        <w:rPr>
          <w:rFonts w:eastAsiaTheme="minorEastAsia"/>
          <w:smallCaps/>
          <w:sz w:val="24"/>
        </w:rPr>
        <w:t>、农田防护及生态环境保护工程</w:t>
      </w:r>
      <w:r w:rsidR="00611CBA" w:rsidRPr="00FC1444">
        <w:rPr>
          <w:rFonts w:eastAsiaTheme="minorEastAsia"/>
          <w:bCs/>
          <w:smallCaps/>
          <w:sz w:val="24"/>
        </w:rPr>
        <w:t>在永久占地</w:t>
      </w:r>
      <w:r w:rsidR="00611CBA" w:rsidRPr="00FC1444">
        <w:rPr>
          <w:rFonts w:eastAsiaTheme="minorEastAsia"/>
          <w:bCs/>
          <w:smallCaps/>
          <w:sz w:val="24"/>
        </w:rPr>
        <w:lastRenderedPageBreak/>
        <w:t>范围内</w:t>
      </w:r>
      <w:r w:rsidR="00611CBA" w:rsidRPr="00FC1444">
        <w:rPr>
          <w:rFonts w:eastAsiaTheme="minorEastAsia"/>
          <w:smallCaps/>
          <w:sz w:val="24"/>
        </w:rPr>
        <w:t>，不新增临时占地，尽量减少占地。临时占地不占用</w:t>
      </w:r>
      <w:r w:rsidR="00611CBA" w:rsidRPr="00FC1444">
        <w:rPr>
          <w:rFonts w:eastAsiaTheme="minorEastAsia"/>
          <w:sz w:val="24"/>
        </w:rPr>
        <w:t>永久基本农田。临时占地恢复为原地类，建设单位为临时占地恢复责任主体，确保耕地面积不减少、质量不降低。</w:t>
      </w:r>
      <w:r w:rsidR="00611CBA" w:rsidRPr="00FC1444">
        <w:rPr>
          <w:rFonts w:eastAsiaTheme="minorEastAsia"/>
          <w:kern w:val="0"/>
          <w:sz w:val="24"/>
        </w:rPr>
        <w:t>本工程建设与《自然资源部关于规范临时用地管理的通知》要求相符合。</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00600084" w:rsidRPr="00FC1444">
        <w:rPr>
          <w:rFonts w:eastAsiaTheme="minorEastAsia"/>
          <w:sz w:val="24"/>
        </w:rPr>
        <w:t>8</w:t>
      </w:r>
      <w:r w:rsidRPr="00FC1444">
        <w:rPr>
          <w:rFonts w:eastAsiaTheme="minorEastAsia"/>
          <w:sz w:val="24"/>
        </w:rPr>
        <w:t>）与《高标准农田建设</w:t>
      </w:r>
      <w:r w:rsidRPr="00FC1444">
        <w:rPr>
          <w:rFonts w:eastAsiaTheme="minorEastAsia"/>
          <w:sz w:val="24"/>
        </w:rPr>
        <w:t xml:space="preserve"> </w:t>
      </w:r>
      <w:r w:rsidRPr="00FC1444">
        <w:rPr>
          <w:rFonts w:eastAsiaTheme="minorEastAsia"/>
          <w:sz w:val="24"/>
        </w:rPr>
        <w:t>通则》（</w:t>
      </w:r>
      <w:r w:rsidRPr="00FC1444">
        <w:rPr>
          <w:rFonts w:eastAsiaTheme="minorEastAsia"/>
          <w:sz w:val="24"/>
        </w:rPr>
        <w:t>GB/T30600-2022</w:t>
      </w:r>
      <w:r w:rsidRPr="00FC1444">
        <w:rPr>
          <w:rFonts w:eastAsiaTheme="minorEastAsia"/>
          <w:sz w:val="24"/>
        </w:rPr>
        <w:t>）符合性分析</w:t>
      </w: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7B71AC" w:rsidRPr="00FC1444" w:rsidRDefault="007B71AC">
      <w:pPr>
        <w:jc w:val="center"/>
        <w:rPr>
          <w:rFonts w:eastAsiaTheme="minorEastAsia"/>
          <w:b/>
          <w:szCs w:val="21"/>
        </w:rPr>
      </w:pPr>
    </w:p>
    <w:p w:rsidR="007B71AC" w:rsidRPr="00FC1444" w:rsidRDefault="007B71AC">
      <w:pPr>
        <w:jc w:val="center"/>
        <w:rPr>
          <w:rFonts w:eastAsiaTheme="minorEastAsia"/>
          <w:b/>
          <w:szCs w:val="21"/>
        </w:rPr>
      </w:pPr>
    </w:p>
    <w:p w:rsidR="007B71AC" w:rsidRPr="00FC1444" w:rsidRDefault="007B71AC">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D622BA" w:rsidRPr="00FC1444" w:rsidRDefault="00D622BA">
      <w:pPr>
        <w:jc w:val="center"/>
        <w:rPr>
          <w:rFonts w:eastAsiaTheme="minorEastAsia"/>
          <w:b/>
          <w:szCs w:val="21"/>
        </w:rPr>
      </w:pPr>
    </w:p>
    <w:p w:rsidR="00D622BA" w:rsidRPr="00FC1444" w:rsidRDefault="00D622BA">
      <w:pPr>
        <w:jc w:val="center"/>
        <w:rPr>
          <w:rFonts w:eastAsiaTheme="minorEastAsia"/>
          <w:b/>
          <w:szCs w:val="21"/>
        </w:rPr>
      </w:pPr>
    </w:p>
    <w:p w:rsidR="00D622BA" w:rsidRPr="00FC1444" w:rsidRDefault="00D622BA">
      <w:pPr>
        <w:jc w:val="center"/>
        <w:rPr>
          <w:rFonts w:eastAsiaTheme="minorEastAsia"/>
          <w:b/>
          <w:szCs w:val="21"/>
        </w:rPr>
      </w:pPr>
    </w:p>
    <w:p w:rsidR="00D622BA" w:rsidRPr="00FC1444" w:rsidRDefault="00D622BA">
      <w:pPr>
        <w:jc w:val="center"/>
        <w:rPr>
          <w:rFonts w:eastAsiaTheme="minorEastAsia"/>
          <w:b/>
          <w:szCs w:val="21"/>
        </w:rPr>
      </w:pPr>
    </w:p>
    <w:p w:rsidR="00D622BA" w:rsidRPr="00FC1444" w:rsidRDefault="00D622B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2A5A5E" w:rsidRPr="00FC1444" w:rsidRDefault="00611CBA">
      <w:pPr>
        <w:jc w:val="center"/>
        <w:rPr>
          <w:rFonts w:eastAsiaTheme="minorEastAsia"/>
          <w:b/>
          <w:szCs w:val="21"/>
        </w:rPr>
      </w:pPr>
      <w:r w:rsidRPr="00FC1444">
        <w:rPr>
          <w:rFonts w:eastAsiaTheme="minorEastAsia"/>
          <w:b/>
          <w:szCs w:val="21"/>
        </w:rPr>
        <w:lastRenderedPageBreak/>
        <w:t>表</w:t>
      </w:r>
      <w:r w:rsidRPr="00FC1444">
        <w:rPr>
          <w:rFonts w:eastAsiaTheme="minorEastAsia"/>
          <w:b/>
          <w:szCs w:val="21"/>
        </w:rPr>
        <w:t>1-4-</w:t>
      </w:r>
      <w:r w:rsidR="00C27FC4" w:rsidRPr="00FC1444">
        <w:rPr>
          <w:rFonts w:eastAsiaTheme="minorEastAsia"/>
          <w:b/>
          <w:szCs w:val="21"/>
        </w:rPr>
        <w:t>7</w:t>
      </w:r>
      <w:r w:rsidRPr="00FC1444">
        <w:rPr>
          <w:rFonts w:eastAsiaTheme="minorEastAsia"/>
          <w:b/>
          <w:szCs w:val="21"/>
        </w:rPr>
        <w:t>《高标准农田建设</w:t>
      </w:r>
      <w:r w:rsidRPr="00FC1444">
        <w:rPr>
          <w:rFonts w:eastAsiaTheme="minorEastAsia"/>
          <w:b/>
          <w:szCs w:val="21"/>
        </w:rPr>
        <w:t xml:space="preserve"> </w:t>
      </w:r>
      <w:r w:rsidRPr="00FC1444">
        <w:rPr>
          <w:rFonts w:eastAsiaTheme="minorEastAsia"/>
          <w:b/>
          <w:szCs w:val="21"/>
        </w:rPr>
        <w:t>通则》（</w:t>
      </w:r>
      <w:r w:rsidRPr="00FC1444">
        <w:rPr>
          <w:rFonts w:eastAsiaTheme="minorEastAsia"/>
          <w:b/>
          <w:szCs w:val="21"/>
        </w:rPr>
        <w:t>GB/T30600-2022</w:t>
      </w:r>
      <w:r w:rsidRPr="00FC1444">
        <w:rPr>
          <w:rFonts w:eastAsiaTheme="minorEastAsia"/>
          <w:b/>
          <w:szCs w:val="21"/>
        </w:rPr>
        <w:t>）符合性分析</w:t>
      </w:r>
    </w:p>
    <w:tbl>
      <w:tblPr>
        <w:tblW w:w="8670" w:type="dxa"/>
        <w:jc w:val="center"/>
        <w:tblBorders>
          <w:top w:val="single" w:sz="12" w:space="0" w:color="auto"/>
          <w:bottom w:val="single" w:sz="12" w:space="0" w:color="auto"/>
          <w:insideH w:val="single" w:sz="4" w:space="0" w:color="000000"/>
          <w:insideV w:val="single" w:sz="4" w:space="0" w:color="000000"/>
        </w:tblBorders>
        <w:tblLayout w:type="fixed"/>
        <w:tblLook w:val="04A0"/>
      </w:tblPr>
      <w:tblGrid>
        <w:gridCol w:w="608"/>
        <w:gridCol w:w="3827"/>
        <w:gridCol w:w="3685"/>
        <w:gridCol w:w="550"/>
      </w:tblGrid>
      <w:tr w:rsidR="002A5A5E" w:rsidRPr="00FC1444" w:rsidTr="00006C8A">
        <w:trPr>
          <w:trHeight w:val="113"/>
          <w:jc w:val="center"/>
        </w:trPr>
        <w:tc>
          <w:tcPr>
            <w:tcW w:w="608" w:type="dxa"/>
            <w:vAlign w:val="center"/>
          </w:tcPr>
          <w:p w:rsidR="002A5A5E" w:rsidRPr="00FC1444" w:rsidRDefault="00611CBA">
            <w:pPr>
              <w:tabs>
                <w:tab w:val="left" w:pos="900"/>
              </w:tabs>
              <w:jc w:val="center"/>
              <w:rPr>
                <w:rFonts w:eastAsiaTheme="minorEastAsia"/>
                <w:szCs w:val="21"/>
              </w:rPr>
            </w:pPr>
            <w:r w:rsidRPr="00FC1444">
              <w:rPr>
                <w:rFonts w:eastAsiaTheme="minorEastAsia"/>
                <w:szCs w:val="21"/>
              </w:rPr>
              <w:t>文件</w:t>
            </w:r>
          </w:p>
        </w:tc>
        <w:tc>
          <w:tcPr>
            <w:tcW w:w="3827" w:type="dxa"/>
            <w:vAlign w:val="center"/>
          </w:tcPr>
          <w:p w:rsidR="002A5A5E" w:rsidRPr="00FC1444" w:rsidRDefault="00611CBA">
            <w:pPr>
              <w:jc w:val="center"/>
              <w:rPr>
                <w:rFonts w:eastAsiaTheme="minorEastAsia"/>
                <w:szCs w:val="21"/>
              </w:rPr>
            </w:pPr>
            <w:r w:rsidRPr="00FC1444">
              <w:rPr>
                <w:rFonts w:eastAsiaTheme="minorEastAsia"/>
                <w:szCs w:val="21"/>
              </w:rPr>
              <w:t>内容</w:t>
            </w:r>
          </w:p>
        </w:tc>
        <w:tc>
          <w:tcPr>
            <w:tcW w:w="3685" w:type="dxa"/>
            <w:vAlign w:val="center"/>
          </w:tcPr>
          <w:p w:rsidR="002A5A5E" w:rsidRPr="00FC1444" w:rsidRDefault="00611CBA">
            <w:pPr>
              <w:jc w:val="center"/>
              <w:rPr>
                <w:rFonts w:eastAsiaTheme="minorEastAsia"/>
                <w:szCs w:val="21"/>
              </w:rPr>
            </w:pPr>
            <w:r w:rsidRPr="00FC1444">
              <w:rPr>
                <w:rFonts w:eastAsiaTheme="minorEastAsia"/>
                <w:szCs w:val="21"/>
              </w:rPr>
              <w:t>本项目相关指标</w:t>
            </w:r>
          </w:p>
        </w:tc>
        <w:tc>
          <w:tcPr>
            <w:tcW w:w="550" w:type="dxa"/>
            <w:vAlign w:val="center"/>
          </w:tcPr>
          <w:p w:rsidR="002A5A5E" w:rsidRPr="00FC1444" w:rsidRDefault="00611CBA">
            <w:pPr>
              <w:jc w:val="center"/>
              <w:rPr>
                <w:rFonts w:eastAsiaTheme="minorEastAsia"/>
                <w:szCs w:val="21"/>
              </w:rPr>
            </w:pPr>
            <w:r w:rsidRPr="00FC1444">
              <w:rPr>
                <w:rFonts w:eastAsiaTheme="minorEastAsia"/>
                <w:szCs w:val="21"/>
              </w:rPr>
              <w:t>符合性</w:t>
            </w:r>
          </w:p>
        </w:tc>
      </w:tr>
      <w:tr w:rsidR="002A5A5E" w:rsidRPr="00FC1444" w:rsidTr="00006C8A">
        <w:trPr>
          <w:trHeight w:val="1248"/>
          <w:jc w:val="center"/>
        </w:trPr>
        <w:tc>
          <w:tcPr>
            <w:tcW w:w="608" w:type="dxa"/>
            <w:vMerge w:val="restart"/>
            <w:vAlign w:val="center"/>
          </w:tcPr>
          <w:p w:rsidR="002A5A5E" w:rsidRPr="00FC1444" w:rsidRDefault="00611CBA">
            <w:pPr>
              <w:tabs>
                <w:tab w:val="left" w:pos="900"/>
              </w:tabs>
              <w:spacing w:line="300" w:lineRule="atLeast"/>
              <w:jc w:val="center"/>
              <w:rPr>
                <w:rFonts w:eastAsiaTheme="minorEastAsia"/>
                <w:szCs w:val="21"/>
              </w:rPr>
            </w:pPr>
            <w:r w:rsidRPr="00FC1444">
              <w:rPr>
                <w:rFonts w:eastAsiaTheme="minorEastAsia"/>
                <w:szCs w:val="21"/>
              </w:rPr>
              <w:t>《高标准农田建设</w:t>
            </w:r>
            <w:r w:rsidRPr="00FC1444">
              <w:rPr>
                <w:rFonts w:eastAsiaTheme="minorEastAsia"/>
                <w:szCs w:val="21"/>
              </w:rPr>
              <w:t xml:space="preserve"> </w:t>
            </w:r>
          </w:p>
          <w:p w:rsidR="002A5A5E" w:rsidRPr="00FC1444" w:rsidRDefault="00611CBA">
            <w:pPr>
              <w:tabs>
                <w:tab w:val="left" w:pos="900"/>
              </w:tabs>
              <w:spacing w:line="300" w:lineRule="atLeast"/>
              <w:jc w:val="center"/>
              <w:rPr>
                <w:rFonts w:eastAsiaTheme="minorEastAsia"/>
                <w:szCs w:val="21"/>
              </w:rPr>
            </w:pPr>
            <w:r w:rsidRPr="00FC1444">
              <w:rPr>
                <w:rFonts w:eastAsiaTheme="minorEastAsia"/>
                <w:szCs w:val="21"/>
              </w:rPr>
              <w:t>通则》</w:t>
            </w:r>
          </w:p>
        </w:tc>
        <w:tc>
          <w:tcPr>
            <w:tcW w:w="3827" w:type="dxa"/>
            <w:vAlign w:val="center"/>
          </w:tcPr>
          <w:p w:rsidR="002A5A5E" w:rsidRPr="00FC1444" w:rsidRDefault="00611CBA">
            <w:pPr>
              <w:tabs>
                <w:tab w:val="left" w:pos="900"/>
              </w:tabs>
              <w:spacing w:line="300" w:lineRule="atLeast"/>
              <w:jc w:val="left"/>
              <w:rPr>
                <w:rFonts w:eastAsiaTheme="minorEastAsia"/>
                <w:szCs w:val="21"/>
              </w:rPr>
            </w:pPr>
            <w:r w:rsidRPr="00FC1444">
              <w:rPr>
                <w:rFonts w:eastAsiaTheme="minorEastAsia"/>
                <w:szCs w:val="21"/>
              </w:rPr>
              <w:t>田：耕作田块是由田间末级固定沟、渠、路、田坎等围成的，满足农业作业需要的基本耕作单元。应因地制宜进行耕作田块布置，合理规划，提高田块归并程度，实现耕作田块相对集中。耕作田块的长度和宽度应根据气候条件，地形地貌，作物种类，机械作业、灌溉与排水效率等因素确定，并充分考虑水蚀风蚀。</w:t>
            </w:r>
          </w:p>
        </w:tc>
        <w:tc>
          <w:tcPr>
            <w:tcW w:w="3685" w:type="dxa"/>
            <w:vAlign w:val="center"/>
          </w:tcPr>
          <w:p w:rsidR="002A5A5E" w:rsidRPr="00FC1444" w:rsidRDefault="00611CBA">
            <w:pPr>
              <w:tabs>
                <w:tab w:val="left" w:pos="900"/>
              </w:tabs>
              <w:spacing w:line="300" w:lineRule="atLeast"/>
              <w:jc w:val="left"/>
              <w:rPr>
                <w:rFonts w:eastAsiaTheme="minorEastAsia"/>
                <w:szCs w:val="21"/>
              </w:rPr>
            </w:pPr>
            <w:r w:rsidRPr="00FC1444">
              <w:rPr>
                <w:rFonts w:eastAsiaTheme="minorEastAsia"/>
                <w:szCs w:val="21"/>
              </w:rPr>
              <w:t>本项目进行田块整治工程，建成后区域内田面平整，集中连片，耕作层厚度适宜。</w:t>
            </w:r>
          </w:p>
        </w:tc>
        <w:tc>
          <w:tcPr>
            <w:tcW w:w="550" w:type="dxa"/>
            <w:vAlign w:val="center"/>
          </w:tcPr>
          <w:p w:rsidR="002A5A5E" w:rsidRPr="00FC1444" w:rsidRDefault="00611CBA">
            <w:pPr>
              <w:tabs>
                <w:tab w:val="left" w:pos="900"/>
              </w:tabs>
              <w:spacing w:line="300" w:lineRule="atLeast"/>
              <w:jc w:val="center"/>
              <w:rPr>
                <w:rFonts w:eastAsiaTheme="minorEastAsia"/>
                <w:kern w:val="0"/>
                <w:szCs w:val="21"/>
              </w:rPr>
            </w:pPr>
            <w:r w:rsidRPr="00FC1444">
              <w:rPr>
                <w:rFonts w:eastAsiaTheme="minorEastAsia"/>
                <w:kern w:val="0"/>
                <w:szCs w:val="21"/>
              </w:rPr>
              <w:t>符合</w:t>
            </w:r>
          </w:p>
        </w:tc>
      </w:tr>
      <w:tr w:rsidR="002A5A5E" w:rsidRPr="00FC1444" w:rsidTr="00006C8A">
        <w:trPr>
          <w:trHeight w:val="145"/>
          <w:jc w:val="center"/>
        </w:trPr>
        <w:tc>
          <w:tcPr>
            <w:tcW w:w="608" w:type="dxa"/>
            <w:vMerge/>
            <w:vAlign w:val="center"/>
          </w:tcPr>
          <w:p w:rsidR="002A5A5E" w:rsidRPr="00FC1444" w:rsidRDefault="002A5A5E">
            <w:pPr>
              <w:tabs>
                <w:tab w:val="left" w:pos="900"/>
              </w:tabs>
              <w:spacing w:line="300" w:lineRule="atLeast"/>
              <w:jc w:val="center"/>
              <w:rPr>
                <w:rFonts w:eastAsiaTheme="minorEastAsia"/>
                <w:szCs w:val="21"/>
              </w:rPr>
            </w:pPr>
          </w:p>
        </w:tc>
        <w:tc>
          <w:tcPr>
            <w:tcW w:w="3827" w:type="dxa"/>
            <w:vAlign w:val="center"/>
          </w:tcPr>
          <w:p w:rsidR="002A5A5E" w:rsidRPr="00FC1444" w:rsidRDefault="00611CBA">
            <w:pPr>
              <w:tabs>
                <w:tab w:val="left" w:pos="900"/>
              </w:tabs>
              <w:spacing w:line="300" w:lineRule="atLeast"/>
              <w:jc w:val="left"/>
              <w:rPr>
                <w:rFonts w:eastAsiaTheme="minorEastAsia"/>
                <w:szCs w:val="21"/>
              </w:rPr>
            </w:pPr>
            <w:r w:rsidRPr="00FC1444">
              <w:rPr>
                <w:rFonts w:eastAsiaTheme="minorEastAsia"/>
                <w:szCs w:val="21"/>
              </w:rPr>
              <w:t>水：灌溉与排水工程指为防治农田旱、涝、溃和盐碱等对农业生产的危害所修建的水利设施，应遵循水土资源合理利用的原则。根据旱、涝、溃和盐碱综合治理的要求，结合田、路、林、电进行统一规划和综合布置。灌溉工程设计时应首先确定灌溉设计保证率。水源选择应根据当地实际情况，选用能满足灌溉用水要求的水源，水质应符合</w:t>
            </w:r>
            <w:r w:rsidRPr="00FC1444">
              <w:rPr>
                <w:rFonts w:eastAsiaTheme="minorEastAsia"/>
                <w:szCs w:val="21"/>
              </w:rPr>
              <w:t>GB5084</w:t>
            </w:r>
            <w:r w:rsidRPr="00FC1444">
              <w:rPr>
                <w:rFonts w:eastAsiaTheme="minorEastAsia"/>
                <w:szCs w:val="21"/>
              </w:rPr>
              <w:t>的规定水源利用应以地表水为主，地下水为辅，严格控制开采深层地下水。灌溉井工程的泵、动力输变电设备和井房等配套率应达到</w:t>
            </w:r>
            <w:r w:rsidRPr="00FC1444">
              <w:rPr>
                <w:rFonts w:eastAsiaTheme="minorEastAsia"/>
                <w:szCs w:val="21"/>
              </w:rPr>
              <w:t>100%</w:t>
            </w:r>
            <w:r w:rsidRPr="00FC1444">
              <w:rPr>
                <w:rFonts w:eastAsiaTheme="minorEastAsia"/>
                <w:szCs w:val="21"/>
              </w:rPr>
              <w:t>。机井设计应根据水文地质条件和地下水资源利用规划，按照合理开发、采补平衡的原则确定经济合理的地下水开采规模和主要设计参数。机井设计应符合</w:t>
            </w:r>
            <w:r w:rsidRPr="00FC1444">
              <w:rPr>
                <w:rFonts w:eastAsiaTheme="minorEastAsia"/>
                <w:szCs w:val="21"/>
              </w:rPr>
              <w:t>GB/T50625</w:t>
            </w:r>
            <w:r w:rsidRPr="00FC1444">
              <w:rPr>
                <w:rFonts w:eastAsiaTheme="minorEastAsia"/>
                <w:szCs w:val="21"/>
              </w:rPr>
              <w:t>的规定。渠系建筑物使用年限应与灌溉与排水系统主体工程相一致。涵洞应根据无压或有压要求确定拱形、圆形或矩形等横断面形式，涵洞的过流能力应与渠</w:t>
            </w:r>
            <w:r w:rsidRPr="00FC1444">
              <w:rPr>
                <w:rFonts w:eastAsiaTheme="minorEastAsia"/>
                <w:szCs w:val="21"/>
              </w:rPr>
              <w:t>(</w:t>
            </w:r>
            <w:r w:rsidRPr="00FC1444">
              <w:rPr>
                <w:rFonts w:eastAsiaTheme="minorEastAsia"/>
                <w:szCs w:val="21"/>
              </w:rPr>
              <w:t>沟</w:t>
            </w:r>
            <w:r w:rsidRPr="00FC1444">
              <w:rPr>
                <w:rFonts w:eastAsiaTheme="minorEastAsia"/>
                <w:szCs w:val="21"/>
              </w:rPr>
              <w:t>)</w:t>
            </w:r>
            <w:r w:rsidRPr="00FC1444">
              <w:rPr>
                <w:rFonts w:eastAsiaTheme="minorEastAsia"/>
                <w:szCs w:val="21"/>
              </w:rPr>
              <w:t>道的过流能力相匹配。承压较大的涵洞应使用钢筋混凝土管涵、方涵或其他耐压管涵，管涵应设混凝土或砌石管座。应推广节水灌溉技术，提高水资源利用效率。</w:t>
            </w:r>
          </w:p>
        </w:tc>
        <w:tc>
          <w:tcPr>
            <w:tcW w:w="3685" w:type="dxa"/>
            <w:vAlign w:val="center"/>
          </w:tcPr>
          <w:p w:rsidR="002A5A5E" w:rsidRPr="00FC1444" w:rsidRDefault="00611CBA" w:rsidP="00FD6E06">
            <w:pPr>
              <w:tabs>
                <w:tab w:val="left" w:pos="900"/>
              </w:tabs>
              <w:spacing w:line="300" w:lineRule="atLeast"/>
              <w:jc w:val="left"/>
              <w:rPr>
                <w:rFonts w:eastAsiaTheme="minorEastAsia"/>
                <w:szCs w:val="21"/>
              </w:rPr>
            </w:pPr>
            <w:r w:rsidRPr="00FC1444">
              <w:rPr>
                <w:rFonts w:eastAsiaTheme="minorEastAsia"/>
                <w:szCs w:val="21"/>
              </w:rPr>
              <w:t>本项目进行灌溉工程，</w:t>
            </w:r>
            <w:r w:rsidR="00052183" w:rsidRPr="00FC1444">
              <w:rPr>
                <w:rFonts w:eastAsiaTheme="minorEastAsia"/>
                <w:szCs w:val="21"/>
              </w:rPr>
              <w:t>新打机电井</w:t>
            </w:r>
            <w:r w:rsidR="00DD3A44" w:rsidRPr="00FC1444">
              <w:rPr>
                <w:rFonts w:eastAsiaTheme="minorEastAsia"/>
                <w:szCs w:val="21"/>
              </w:rPr>
              <w:t>156</w:t>
            </w:r>
            <w:r w:rsidR="00DD3A44" w:rsidRPr="00FC1444">
              <w:rPr>
                <w:rFonts w:eastAsiaTheme="minorEastAsia"/>
                <w:szCs w:val="21"/>
              </w:rPr>
              <w:t>眼</w:t>
            </w:r>
            <w:r w:rsidR="00052183" w:rsidRPr="00FC1444">
              <w:rPr>
                <w:rFonts w:eastAsiaTheme="minorEastAsia"/>
                <w:szCs w:val="21"/>
              </w:rPr>
              <w:t>，</w:t>
            </w:r>
            <w:r w:rsidR="00B13464" w:rsidRPr="00FC1444">
              <w:rPr>
                <w:rFonts w:eastAsiaTheme="minorEastAsia"/>
                <w:szCs w:val="21"/>
              </w:rPr>
              <w:t>配套井房</w:t>
            </w:r>
            <w:r w:rsidR="00B13464" w:rsidRPr="00FC1444">
              <w:rPr>
                <w:rFonts w:eastAsiaTheme="minorEastAsia"/>
                <w:szCs w:val="21"/>
              </w:rPr>
              <w:t>156</w:t>
            </w:r>
            <w:r w:rsidR="00B13464" w:rsidRPr="00FC1444">
              <w:rPr>
                <w:rFonts w:eastAsiaTheme="minorEastAsia"/>
                <w:szCs w:val="21"/>
              </w:rPr>
              <w:t>座、井泵</w:t>
            </w:r>
            <w:r w:rsidR="00B13464" w:rsidRPr="00FC1444">
              <w:rPr>
                <w:rFonts w:eastAsiaTheme="minorEastAsia"/>
                <w:szCs w:val="21"/>
              </w:rPr>
              <w:t>156</w:t>
            </w:r>
            <w:r w:rsidR="00B13464" w:rsidRPr="00FC1444">
              <w:rPr>
                <w:rFonts w:eastAsiaTheme="minorEastAsia"/>
                <w:szCs w:val="21"/>
              </w:rPr>
              <w:t>台</w:t>
            </w:r>
            <w:r w:rsidR="00052183" w:rsidRPr="00FC1444">
              <w:rPr>
                <w:rFonts w:eastAsiaTheme="minorEastAsia"/>
                <w:szCs w:val="21"/>
              </w:rPr>
              <w:t>，</w:t>
            </w:r>
            <w:r w:rsidR="00B13464" w:rsidRPr="00FC1444">
              <w:rPr>
                <w:rFonts w:eastAsiaTheme="minorEastAsia"/>
                <w:szCs w:val="21"/>
              </w:rPr>
              <w:t>水肥一体灌溉面积</w:t>
            </w:r>
            <w:r w:rsidR="00B13464" w:rsidRPr="00FC1444">
              <w:rPr>
                <w:rFonts w:eastAsiaTheme="minorEastAsia"/>
                <w:szCs w:val="21"/>
              </w:rPr>
              <w:t>11285</w:t>
            </w:r>
            <w:r w:rsidR="00B13464" w:rsidRPr="00FC1444">
              <w:rPr>
                <w:rFonts w:eastAsiaTheme="minorEastAsia"/>
                <w:szCs w:val="21"/>
              </w:rPr>
              <w:t>亩</w:t>
            </w:r>
            <w:r w:rsidR="00052183" w:rsidRPr="00FC1444">
              <w:rPr>
                <w:rFonts w:eastAsiaTheme="minorEastAsia"/>
                <w:szCs w:val="21"/>
              </w:rPr>
              <w:t>；</w:t>
            </w:r>
            <w:r w:rsidR="00B13464" w:rsidRPr="00FC1444">
              <w:rPr>
                <w:rFonts w:eastAsiaTheme="minorEastAsia"/>
                <w:szCs w:val="21"/>
              </w:rPr>
              <w:t>渠道衬砌</w:t>
            </w:r>
            <w:r w:rsidR="00B13464" w:rsidRPr="00FC1444">
              <w:rPr>
                <w:rFonts w:eastAsiaTheme="minorEastAsia"/>
                <w:szCs w:val="21"/>
              </w:rPr>
              <w:t>35.19km</w:t>
            </w:r>
            <w:r w:rsidR="00052183" w:rsidRPr="00FC1444">
              <w:rPr>
                <w:rFonts w:eastAsiaTheme="minorEastAsia"/>
                <w:szCs w:val="21"/>
              </w:rPr>
              <w:t>；购置移动泵车</w:t>
            </w:r>
            <w:r w:rsidR="007D6514" w:rsidRPr="00FC1444">
              <w:rPr>
                <w:rFonts w:eastAsiaTheme="minorEastAsia"/>
                <w:szCs w:val="21"/>
              </w:rPr>
              <w:t>15</w:t>
            </w:r>
            <w:r w:rsidR="007D6514" w:rsidRPr="00FC1444">
              <w:rPr>
                <w:rFonts w:eastAsiaTheme="minorEastAsia"/>
                <w:szCs w:val="21"/>
              </w:rPr>
              <w:t>台</w:t>
            </w:r>
            <w:r w:rsidR="00052183" w:rsidRPr="00FC1444">
              <w:rPr>
                <w:rFonts w:eastAsiaTheme="minorEastAsia"/>
                <w:szCs w:val="21"/>
              </w:rPr>
              <w:t>；</w:t>
            </w:r>
            <w:r w:rsidR="001E1C9B" w:rsidRPr="00FC1444">
              <w:rPr>
                <w:rFonts w:eastAsiaTheme="minorEastAsia"/>
                <w:szCs w:val="21"/>
              </w:rPr>
              <w:t>排水沟清淤</w:t>
            </w:r>
            <w:r w:rsidR="001E1C9B" w:rsidRPr="00FC1444">
              <w:rPr>
                <w:rFonts w:eastAsiaTheme="minorEastAsia"/>
                <w:szCs w:val="21"/>
              </w:rPr>
              <w:t>69.926km</w:t>
            </w:r>
            <w:r w:rsidR="00052183" w:rsidRPr="00FC1444">
              <w:rPr>
                <w:rFonts w:eastAsiaTheme="minorEastAsia"/>
                <w:szCs w:val="21"/>
              </w:rPr>
              <w:t>，</w:t>
            </w:r>
            <w:r w:rsidR="00B13464" w:rsidRPr="00FC1444">
              <w:rPr>
                <w:rFonts w:eastAsiaTheme="minorEastAsia"/>
                <w:szCs w:val="21"/>
              </w:rPr>
              <w:t>排水沟护砌</w:t>
            </w:r>
            <w:r w:rsidR="00B13464" w:rsidRPr="00FC1444">
              <w:rPr>
                <w:rFonts w:eastAsiaTheme="minorEastAsia"/>
                <w:szCs w:val="21"/>
              </w:rPr>
              <w:t>69.926km</w:t>
            </w:r>
            <w:r w:rsidR="00052183" w:rsidRPr="00FC1444">
              <w:rPr>
                <w:rFonts w:eastAsiaTheme="minorEastAsia"/>
                <w:szCs w:val="21"/>
              </w:rPr>
              <w:t>；</w:t>
            </w:r>
            <w:r w:rsidR="00B13464" w:rsidRPr="00FC1444">
              <w:rPr>
                <w:rFonts w:eastAsiaTheme="minorEastAsia"/>
                <w:szCs w:val="21"/>
              </w:rPr>
              <w:t>新建建筑物</w:t>
            </w:r>
            <w:r w:rsidR="00B13464" w:rsidRPr="00FC1444">
              <w:rPr>
                <w:rFonts w:eastAsiaTheme="minorEastAsia"/>
                <w:szCs w:val="21"/>
              </w:rPr>
              <w:t>2530</w:t>
            </w:r>
            <w:r w:rsidR="00B13464" w:rsidRPr="00FC1444">
              <w:rPr>
                <w:rFonts w:eastAsiaTheme="minorEastAsia"/>
                <w:szCs w:val="21"/>
              </w:rPr>
              <w:t>座，其中：涵洞</w:t>
            </w:r>
            <w:r w:rsidR="00B13464" w:rsidRPr="00FC1444">
              <w:rPr>
                <w:rFonts w:eastAsiaTheme="minorEastAsia"/>
                <w:szCs w:val="21"/>
              </w:rPr>
              <w:t>691</w:t>
            </w:r>
            <w:r w:rsidR="00B13464" w:rsidRPr="00FC1444">
              <w:rPr>
                <w:rFonts w:eastAsiaTheme="minorEastAsia"/>
                <w:szCs w:val="21"/>
              </w:rPr>
              <w:t>座，过水路面</w:t>
            </w:r>
            <w:r w:rsidR="00B13464" w:rsidRPr="00FC1444">
              <w:rPr>
                <w:rFonts w:eastAsiaTheme="minorEastAsia"/>
                <w:szCs w:val="21"/>
              </w:rPr>
              <w:t>19</w:t>
            </w:r>
            <w:r w:rsidR="00B13464" w:rsidRPr="00FC1444">
              <w:rPr>
                <w:rFonts w:eastAsiaTheme="minorEastAsia"/>
                <w:szCs w:val="21"/>
              </w:rPr>
              <w:t>座，毛门</w:t>
            </w:r>
            <w:r w:rsidR="00B13464" w:rsidRPr="00FC1444">
              <w:rPr>
                <w:rFonts w:eastAsiaTheme="minorEastAsia"/>
                <w:szCs w:val="21"/>
              </w:rPr>
              <w:t>708</w:t>
            </w:r>
            <w:r w:rsidR="00B13464" w:rsidRPr="00FC1444">
              <w:rPr>
                <w:rFonts w:eastAsiaTheme="minorEastAsia"/>
                <w:szCs w:val="21"/>
              </w:rPr>
              <w:t>座、排水管</w:t>
            </w:r>
            <w:r w:rsidR="00B13464" w:rsidRPr="00FC1444">
              <w:rPr>
                <w:rFonts w:eastAsiaTheme="minorEastAsia"/>
                <w:szCs w:val="21"/>
              </w:rPr>
              <w:t>708</w:t>
            </w:r>
            <w:r w:rsidR="00B13464" w:rsidRPr="00FC1444">
              <w:rPr>
                <w:rFonts w:eastAsiaTheme="minorEastAsia"/>
                <w:szCs w:val="21"/>
              </w:rPr>
              <w:t>座、农门</w:t>
            </w:r>
            <w:r w:rsidR="00B13464" w:rsidRPr="00FC1444">
              <w:rPr>
                <w:rFonts w:eastAsiaTheme="minorEastAsia"/>
                <w:szCs w:val="21"/>
              </w:rPr>
              <w:t>47</w:t>
            </w:r>
            <w:r w:rsidR="00B13464" w:rsidRPr="00FC1444">
              <w:rPr>
                <w:rFonts w:eastAsiaTheme="minorEastAsia"/>
                <w:szCs w:val="21"/>
              </w:rPr>
              <w:t>座、节制闸</w:t>
            </w:r>
            <w:r w:rsidR="00B13464" w:rsidRPr="00FC1444">
              <w:rPr>
                <w:rFonts w:eastAsiaTheme="minorEastAsia"/>
                <w:szCs w:val="21"/>
              </w:rPr>
              <w:t>354</w:t>
            </w:r>
            <w:r w:rsidR="00B13464" w:rsidRPr="00FC1444">
              <w:rPr>
                <w:rFonts w:eastAsiaTheme="minorEastAsia"/>
                <w:szCs w:val="21"/>
              </w:rPr>
              <w:t>座、农桥</w:t>
            </w:r>
            <w:r w:rsidR="00B13464" w:rsidRPr="00FC1444">
              <w:rPr>
                <w:rFonts w:eastAsiaTheme="minorEastAsia"/>
                <w:szCs w:val="21"/>
              </w:rPr>
              <w:t>1</w:t>
            </w:r>
            <w:r w:rsidR="00B13464" w:rsidRPr="00FC1444">
              <w:rPr>
                <w:rFonts w:eastAsiaTheme="minorEastAsia"/>
                <w:szCs w:val="21"/>
              </w:rPr>
              <w:t>座、退水闸</w:t>
            </w:r>
            <w:r w:rsidR="00B13464" w:rsidRPr="00FC1444">
              <w:rPr>
                <w:rFonts w:eastAsiaTheme="minorEastAsia"/>
                <w:szCs w:val="21"/>
              </w:rPr>
              <w:t>2</w:t>
            </w:r>
            <w:r w:rsidR="00B13464" w:rsidRPr="00FC1444">
              <w:rPr>
                <w:rFonts w:eastAsiaTheme="minorEastAsia"/>
                <w:szCs w:val="21"/>
              </w:rPr>
              <w:t>座</w:t>
            </w:r>
            <w:r w:rsidRPr="00FC1444">
              <w:rPr>
                <w:rFonts w:eastAsiaTheme="minorEastAsia"/>
                <w:szCs w:val="21"/>
              </w:rPr>
              <w:t>。购置移动泵车</w:t>
            </w:r>
            <w:r w:rsidR="007D6514" w:rsidRPr="00FC1444">
              <w:rPr>
                <w:rFonts w:eastAsiaTheme="minorEastAsia"/>
                <w:szCs w:val="21"/>
              </w:rPr>
              <w:t>15</w:t>
            </w:r>
            <w:r w:rsidR="007D6514" w:rsidRPr="00FC1444">
              <w:rPr>
                <w:rFonts w:eastAsiaTheme="minorEastAsia"/>
                <w:szCs w:val="21"/>
              </w:rPr>
              <w:t>台</w:t>
            </w:r>
            <w:r w:rsidRPr="00FC1444">
              <w:rPr>
                <w:rFonts w:eastAsiaTheme="minorEastAsia"/>
                <w:szCs w:val="21"/>
              </w:rPr>
              <w:t>，其中，流量为</w:t>
            </w:r>
            <w:r w:rsidR="00052183" w:rsidRPr="00FC1444">
              <w:rPr>
                <w:rFonts w:eastAsiaTheme="minorEastAsia"/>
                <w:szCs w:val="21"/>
              </w:rPr>
              <w:t>6</w:t>
            </w:r>
            <w:r w:rsidRPr="00FC1444">
              <w:rPr>
                <w:rFonts w:eastAsiaTheme="minorEastAsia"/>
                <w:szCs w:val="21"/>
              </w:rPr>
              <w:t>00m³/h</w:t>
            </w:r>
            <w:r w:rsidR="00052183" w:rsidRPr="00FC1444">
              <w:rPr>
                <w:rFonts w:eastAsiaTheme="minorEastAsia"/>
                <w:szCs w:val="21"/>
              </w:rPr>
              <w:t>。</w:t>
            </w:r>
            <w:r w:rsidRPr="00FC1444">
              <w:rPr>
                <w:rFonts w:eastAsiaTheme="minorEastAsia"/>
                <w:szCs w:val="21"/>
              </w:rPr>
              <w:t>根据已批复《</w:t>
            </w:r>
            <w:r w:rsidR="00AE168C" w:rsidRPr="00FC1444">
              <w:rPr>
                <w:rFonts w:eastAsiaTheme="minorEastAsia"/>
                <w:szCs w:val="21"/>
              </w:rPr>
              <w:t>北林区</w:t>
            </w:r>
            <w:r w:rsidR="00AE168C" w:rsidRPr="00FC1444">
              <w:rPr>
                <w:rFonts w:eastAsiaTheme="minorEastAsia"/>
                <w:szCs w:val="21"/>
              </w:rPr>
              <w:t>2026</w:t>
            </w:r>
            <w:r w:rsidR="00AE168C" w:rsidRPr="00FC1444">
              <w:rPr>
                <w:rFonts w:eastAsiaTheme="minorEastAsia"/>
                <w:szCs w:val="21"/>
              </w:rPr>
              <w:t>年高标准农田建设项目</w:t>
            </w:r>
            <w:r w:rsidRPr="00FC1444">
              <w:rPr>
                <w:rFonts w:eastAsiaTheme="minorEastAsia"/>
                <w:szCs w:val="21"/>
              </w:rPr>
              <w:t>水资源论证报告书》，本项目建成后，灌溉工程灌溉保证率为</w:t>
            </w:r>
            <w:r w:rsidRPr="00FC1444">
              <w:rPr>
                <w:rFonts w:eastAsiaTheme="minorEastAsia"/>
                <w:szCs w:val="21"/>
              </w:rPr>
              <w:t>90%</w:t>
            </w:r>
            <w:r w:rsidRPr="00FC1444">
              <w:rPr>
                <w:rFonts w:eastAsiaTheme="minorEastAsia"/>
                <w:szCs w:val="21"/>
              </w:rPr>
              <w:t>，</w:t>
            </w:r>
            <w:r w:rsidR="002E2407" w:rsidRPr="00FC1444">
              <w:rPr>
                <w:rFonts w:eastAsiaTheme="minorEastAsia"/>
                <w:szCs w:val="21"/>
              </w:rPr>
              <w:t>坐水种灌溉水利用系数达到</w:t>
            </w:r>
            <w:r w:rsidR="002E2407" w:rsidRPr="00FC1444">
              <w:rPr>
                <w:rFonts w:eastAsiaTheme="minorEastAsia"/>
                <w:szCs w:val="21"/>
              </w:rPr>
              <w:t>0.</w:t>
            </w:r>
            <w:r w:rsidR="00FD6E06" w:rsidRPr="00FC1444">
              <w:rPr>
                <w:rFonts w:eastAsiaTheme="minorEastAsia"/>
                <w:szCs w:val="21"/>
              </w:rPr>
              <w:t>83</w:t>
            </w:r>
            <w:r w:rsidR="002E2407" w:rsidRPr="00FC1444">
              <w:rPr>
                <w:rFonts w:eastAsiaTheme="minorEastAsia"/>
                <w:szCs w:val="21"/>
              </w:rPr>
              <w:t>，滴灌灌溉水利用系数达到</w:t>
            </w:r>
            <w:r w:rsidR="002E2407" w:rsidRPr="00FC1444">
              <w:rPr>
                <w:rFonts w:eastAsiaTheme="minorEastAsia"/>
                <w:szCs w:val="21"/>
              </w:rPr>
              <w:t>0.93</w:t>
            </w:r>
            <w:r w:rsidRPr="00FC1444">
              <w:rPr>
                <w:rFonts w:eastAsiaTheme="minorEastAsia"/>
                <w:szCs w:val="21"/>
              </w:rPr>
              <w:t>。灌溉用水水质满足《农田灌溉水质标准》（</w:t>
            </w:r>
            <w:r w:rsidRPr="00FC1444">
              <w:rPr>
                <w:rFonts w:eastAsiaTheme="minorEastAsia"/>
                <w:szCs w:val="21"/>
              </w:rPr>
              <w:t>GB5084-2021</w:t>
            </w:r>
            <w:r w:rsidRPr="00FC1444">
              <w:rPr>
                <w:rFonts w:eastAsiaTheme="minorEastAsia"/>
                <w:szCs w:val="21"/>
              </w:rPr>
              <w:t>）。机井设计符合《机井技术规范》（</w:t>
            </w:r>
            <w:r w:rsidRPr="00FC1444">
              <w:rPr>
                <w:rFonts w:eastAsiaTheme="minorEastAsia"/>
                <w:szCs w:val="21"/>
              </w:rPr>
              <w:t>GB/T50625</w:t>
            </w:r>
            <w:r w:rsidRPr="00FC1444">
              <w:rPr>
                <w:rFonts w:eastAsiaTheme="minorEastAsia"/>
                <w:szCs w:val="21"/>
              </w:rPr>
              <w:t>）的规定。根据当地实际情况，本项目灌溉旱田距离地表水较远，如果采用地表水工程，用水安全没有保障，引水、蓄水工程建设投资较大，工程管理难度较大，如采用地下水源，水量、水质均能满足要求，工程量小，易于实施，用水成本低，水源与配水工程均在用水区域内，便于管理，因此，从用水安全可靠、工程建设、投资以及管理方面综合分析，采用地下水作为灌溉供水水源是合理的。</w:t>
            </w:r>
          </w:p>
        </w:tc>
        <w:tc>
          <w:tcPr>
            <w:tcW w:w="550" w:type="dxa"/>
            <w:vAlign w:val="center"/>
          </w:tcPr>
          <w:p w:rsidR="002A5A5E" w:rsidRPr="00FC1444" w:rsidRDefault="00611CBA">
            <w:pPr>
              <w:tabs>
                <w:tab w:val="left" w:pos="900"/>
              </w:tabs>
              <w:spacing w:line="300" w:lineRule="atLeast"/>
              <w:jc w:val="center"/>
              <w:rPr>
                <w:rFonts w:eastAsiaTheme="minorEastAsia"/>
                <w:szCs w:val="21"/>
              </w:rPr>
            </w:pPr>
            <w:r w:rsidRPr="00FC1444">
              <w:rPr>
                <w:rFonts w:eastAsiaTheme="minorEastAsia"/>
                <w:szCs w:val="21"/>
              </w:rPr>
              <w:t>符合</w:t>
            </w:r>
          </w:p>
        </w:tc>
      </w:tr>
    </w:tbl>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006C8A" w:rsidRPr="00FC1444" w:rsidRDefault="00006C8A">
      <w:pPr>
        <w:jc w:val="center"/>
        <w:rPr>
          <w:rFonts w:eastAsiaTheme="minorEastAsia"/>
          <w:b/>
          <w:szCs w:val="21"/>
        </w:rPr>
      </w:pPr>
    </w:p>
    <w:p w:rsidR="002A5A5E" w:rsidRPr="00FC1444" w:rsidRDefault="00611CBA">
      <w:pPr>
        <w:jc w:val="center"/>
        <w:rPr>
          <w:rFonts w:eastAsiaTheme="minorEastAsia"/>
          <w:b/>
          <w:szCs w:val="21"/>
        </w:rPr>
      </w:pPr>
      <w:r w:rsidRPr="00FC1444">
        <w:rPr>
          <w:rFonts w:eastAsiaTheme="minorEastAsia"/>
          <w:b/>
          <w:szCs w:val="21"/>
        </w:rPr>
        <w:lastRenderedPageBreak/>
        <w:t>续表</w:t>
      </w:r>
      <w:r w:rsidRPr="00FC1444">
        <w:rPr>
          <w:rFonts w:eastAsiaTheme="minorEastAsia"/>
          <w:b/>
          <w:szCs w:val="21"/>
        </w:rPr>
        <w:t>1-4-</w:t>
      </w:r>
      <w:r w:rsidR="00C27FC4" w:rsidRPr="00FC1444">
        <w:rPr>
          <w:rFonts w:eastAsiaTheme="minorEastAsia"/>
          <w:b/>
          <w:szCs w:val="21"/>
        </w:rPr>
        <w:t>7</w:t>
      </w:r>
      <w:r w:rsidRPr="00FC1444">
        <w:rPr>
          <w:rFonts w:eastAsiaTheme="minorEastAsia"/>
          <w:b/>
          <w:szCs w:val="21"/>
        </w:rPr>
        <w:t>《高标准农田建设</w:t>
      </w:r>
      <w:r w:rsidRPr="00FC1444">
        <w:rPr>
          <w:rFonts w:eastAsiaTheme="minorEastAsia"/>
          <w:b/>
          <w:szCs w:val="21"/>
        </w:rPr>
        <w:t xml:space="preserve"> </w:t>
      </w:r>
      <w:r w:rsidRPr="00FC1444">
        <w:rPr>
          <w:rFonts w:eastAsiaTheme="minorEastAsia"/>
          <w:b/>
          <w:szCs w:val="21"/>
        </w:rPr>
        <w:t>通则》（</w:t>
      </w:r>
      <w:r w:rsidRPr="00FC1444">
        <w:rPr>
          <w:rFonts w:eastAsiaTheme="minorEastAsia"/>
          <w:b/>
          <w:szCs w:val="21"/>
        </w:rPr>
        <w:t>GB/T30600-2022</w:t>
      </w:r>
      <w:r w:rsidRPr="00FC1444">
        <w:rPr>
          <w:rFonts w:eastAsiaTheme="minorEastAsia"/>
          <w:b/>
          <w:szCs w:val="21"/>
        </w:rPr>
        <w:t>）符合性分析</w:t>
      </w:r>
    </w:p>
    <w:tbl>
      <w:tblPr>
        <w:tblW w:w="8670" w:type="dxa"/>
        <w:jc w:val="center"/>
        <w:tblBorders>
          <w:top w:val="single" w:sz="12" w:space="0" w:color="auto"/>
          <w:bottom w:val="single" w:sz="12" w:space="0" w:color="auto"/>
          <w:insideH w:val="single" w:sz="4" w:space="0" w:color="000000"/>
          <w:insideV w:val="single" w:sz="4" w:space="0" w:color="000000"/>
        </w:tblBorders>
        <w:tblLayout w:type="fixed"/>
        <w:tblLook w:val="04A0"/>
      </w:tblPr>
      <w:tblGrid>
        <w:gridCol w:w="608"/>
        <w:gridCol w:w="3827"/>
        <w:gridCol w:w="3685"/>
        <w:gridCol w:w="550"/>
      </w:tblGrid>
      <w:tr w:rsidR="002A5A5E" w:rsidRPr="00FC1444">
        <w:trPr>
          <w:trHeight w:val="145"/>
          <w:jc w:val="center"/>
        </w:trPr>
        <w:tc>
          <w:tcPr>
            <w:tcW w:w="608" w:type="dxa"/>
            <w:vMerge w:val="restart"/>
            <w:vAlign w:val="center"/>
          </w:tcPr>
          <w:p w:rsidR="002A5A5E" w:rsidRPr="00FC1444" w:rsidRDefault="00611CBA">
            <w:pPr>
              <w:tabs>
                <w:tab w:val="left" w:pos="900"/>
              </w:tabs>
              <w:spacing w:line="300" w:lineRule="atLeast"/>
              <w:jc w:val="center"/>
              <w:rPr>
                <w:rFonts w:eastAsiaTheme="minorEastAsia"/>
                <w:szCs w:val="21"/>
              </w:rPr>
            </w:pPr>
            <w:r w:rsidRPr="00FC1444">
              <w:rPr>
                <w:rFonts w:eastAsiaTheme="minorEastAsia"/>
                <w:szCs w:val="21"/>
              </w:rPr>
              <w:t>《高标准农田建设</w:t>
            </w:r>
            <w:r w:rsidRPr="00FC1444">
              <w:rPr>
                <w:rFonts w:eastAsiaTheme="minorEastAsia"/>
                <w:szCs w:val="21"/>
              </w:rPr>
              <w:t xml:space="preserve"> </w:t>
            </w:r>
          </w:p>
          <w:p w:rsidR="002A5A5E" w:rsidRPr="00FC1444" w:rsidRDefault="00611CBA">
            <w:pPr>
              <w:tabs>
                <w:tab w:val="left" w:pos="900"/>
              </w:tabs>
              <w:spacing w:line="300" w:lineRule="atLeast"/>
              <w:jc w:val="center"/>
              <w:rPr>
                <w:rFonts w:eastAsiaTheme="minorEastAsia"/>
                <w:szCs w:val="21"/>
              </w:rPr>
            </w:pPr>
            <w:r w:rsidRPr="00FC1444">
              <w:rPr>
                <w:rFonts w:eastAsiaTheme="minorEastAsia"/>
                <w:szCs w:val="21"/>
              </w:rPr>
              <w:t>通则》</w:t>
            </w:r>
          </w:p>
        </w:tc>
        <w:tc>
          <w:tcPr>
            <w:tcW w:w="3827" w:type="dxa"/>
            <w:vAlign w:val="center"/>
          </w:tcPr>
          <w:p w:rsidR="002A5A5E" w:rsidRPr="00FC1444" w:rsidRDefault="00611CBA">
            <w:pPr>
              <w:tabs>
                <w:tab w:val="left" w:pos="900"/>
              </w:tabs>
              <w:spacing w:line="300" w:lineRule="atLeast"/>
              <w:jc w:val="left"/>
              <w:rPr>
                <w:rFonts w:eastAsiaTheme="minorEastAsia"/>
                <w:szCs w:val="21"/>
              </w:rPr>
            </w:pPr>
            <w:r w:rsidRPr="00FC1444">
              <w:rPr>
                <w:rFonts w:eastAsiaTheme="minorEastAsia"/>
                <w:szCs w:val="21"/>
              </w:rPr>
              <w:t>路：田间道路工程指为农田耕作、农业物资与农产品运输等农业生产活动所修建的交通设施。田间道路布置应适应农业现代化的需要，与田、水、林、电、路、村规划相衔接，统筹兼顾，合理确定田间道路的密度。田间道</w:t>
            </w:r>
            <w:r w:rsidRPr="00FC1444">
              <w:rPr>
                <w:rFonts w:eastAsiaTheme="minorEastAsia"/>
                <w:szCs w:val="21"/>
              </w:rPr>
              <w:t>(</w:t>
            </w:r>
            <w:r w:rsidRPr="00FC1444">
              <w:rPr>
                <w:rFonts w:eastAsiaTheme="minorEastAsia"/>
                <w:szCs w:val="21"/>
              </w:rPr>
              <w:t>机耕路</w:t>
            </w:r>
            <w:r w:rsidRPr="00FC1444">
              <w:rPr>
                <w:rFonts w:eastAsiaTheme="minorEastAsia"/>
                <w:szCs w:val="21"/>
              </w:rPr>
              <w:t>)</w:t>
            </w:r>
            <w:r w:rsidRPr="00FC1444">
              <w:rPr>
                <w:rFonts w:eastAsiaTheme="minorEastAsia"/>
                <w:szCs w:val="21"/>
              </w:rPr>
              <w:t>路面应满足强度、稳定性和平整度的要求，宜采用泥结石、碎石等材质和车辙路</w:t>
            </w:r>
            <w:r w:rsidRPr="00FC1444">
              <w:rPr>
                <w:rFonts w:eastAsiaTheme="minorEastAsia"/>
                <w:szCs w:val="21"/>
              </w:rPr>
              <w:t>(</w:t>
            </w:r>
            <w:r w:rsidRPr="00FC1444">
              <w:rPr>
                <w:rFonts w:eastAsiaTheme="minorEastAsia"/>
                <w:szCs w:val="21"/>
              </w:rPr>
              <w:t>轨迹路</w:t>
            </w:r>
            <w:r w:rsidRPr="00FC1444">
              <w:rPr>
                <w:rFonts w:eastAsiaTheme="minorEastAsia"/>
                <w:szCs w:val="21"/>
              </w:rPr>
              <w:t>)</w:t>
            </w:r>
            <w:r w:rsidRPr="00FC1444">
              <w:rPr>
                <w:rFonts w:eastAsiaTheme="minorEastAsia"/>
                <w:szCs w:val="21"/>
              </w:rPr>
              <w:t>、砌石</w:t>
            </w:r>
            <w:r w:rsidRPr="00FC1444">
              <w:rPr>
                <w:rFonts w:eastAsiaTheme="minorEastAsia"/>
                <w:szCs w:val="21"/>
              </w:rPr>
              <w:t>(</w:t>
            </w:r>
            <w:r w:rsidRPr="00FC1444">
              <w:rPr>
                <w:rFonts w:eastAsiaTheme="minorEastAsia"/>
                <w:szCs w:val="21"/>
              </w:rPr>
              <w:t>块</w:t>
            </w:r>
            <w:r w:rsidRPr="00FC1444">
              <w:rPr>
                <w:rFonts w:eastAsiaTheme="minorEastAsia"/>
                <w:szCs w:val="21"/>
              </w:rPr>
              <w:t>)</w:t>
            </w:r>
            <w:r w:rsidRPr="00FC1444">
              <w:rPr>
                <w:rFonts w:eastAsiaTheme="minorEastAsia"/>
                <w:szCs w:val="21"/>
              </w:rPr>
              <w:t>间隔铺装等生态化结构。根据路面类型和荷载要求，推广应用生物凝结技术、透水路面等生态化设计。在暴雨冲刷严重的区域，可采用混凝土硬化路面。道路两侧可视情况设置路肩，路肩宽宜为</w:t>
            </w:r>
            <w:r w:rsidRPr="00FC1444">
              <w:rPr>
                <w:rFonts w:eastAsiaTheme="minorEastAsia"/>
                <w:szCs w:val="21"/>
              </w:rPr>
              <w:t>30cm~50cm</w:t>
            </w:r>
            <w:r w:rsidRPr="00FC1444">
              <w:rPr>
                <w:rFonts w:eastAsiaTheme="minorEastAsia"/>
                <w:szCs w:val="21"/>
              </w:rPr>
              <w:t>。生产路路面材质应根据农业生产要求和自然经济条件确定，宜采用土、砂石等。在暴雨集中地区，可采用石板、混凝土等。</w:t>
            </w:r>
          </w:p>
        </w:tc>
        <w:tc>
          <w:tcPr>
            <w:tcW w:w="3685" w:type="dxa"/>
            <w:vAlign w:val="center"/>
          </w:tcPr>
          <w:p w:rsidR="002A5A5E" w:rsidRPr="00FC1444" w:rsidRDefault="00611CBA">
            <w:pPr>
              <w:tabs>
                <w:tab w:val="left" w:pos="900"/>
              </w:tabs>
              <w:spacing w:line="300" w:lineRule="atLeast"/>
              <w:jc w:val="left"/>
              <w:rPr>
                <w:rFonts w:eastAsiaTheme="minorEastAsia"/>
                <w:kern w:val="0"/>
                <w:szCs w:val="21"/>
              </w:rPr>
            </w:pPr>
            <w:r w:rsidRPr="00FC1444">
              <w:rPr>
                <w:rFonts w:eastAsiaTheme="minorEastAsia"/>
                <w:kern w:val="0"/>
                <w:szCs w:val="21"/>
              </w:rPr>
              <w:t>本项目建设田间道路工程，</w:t>
            </w:r>
            <w:r w:rsidR="00B13464" w:rsidRPr="00FC1444">
              <w:rPr>
                <w:rFonts w:eastAsiaTheme="minorEastAsia"/>
                <w:snapToGrid w:val="0"/>
                <w:kern w:val="0"/>
                <w:szCs w:val="21"/>
              </w:rPr>
              <w:t>修缮道路</w:t>
            </w:r>
            <w:r w:rsidR="00B13464" w:rsidRPr="00FC1444">
              <w:rPr>
                <w:rFonts w:eastAsiaTheme="minorEastAsia"/>
                <w:snapToGrid w:val="0"/>
                <w:kern w:val="0"/>
                <w:szCs w:val="21"/>
              </w:rPr>
              <w:t>184</w:t>
            </w:r>
            <w:r w:rsidR="00B13464" w:rsidRPr="00FC1444">
              <w:rPr>
                <w:rFonts w:eastAsiaTheme="minorEastAsia"/>
                <w:snapToGrid w:val="0"/>
                <w:kern w:val="0"/>
                <w:szCs w:val="21"/>
              </w:rPr>
              <w:t>条，共</w:t>
            </w:r>
            <w:r w:rsidR="00B13464" w:rsidRPr="00FC1444">
              <w:rPr>
                <w:rFonts w:eastAsiaTheme="minorEastAsia"/>
                <w:snapToGrid w:val="0"/>
                <w:kern w:val="0"/>
                <w:szCs w:val="21"/>
              </w:rPr>
              <w:t>145.33km</w:t>
            </w:r>
            <w:r w:rsidR="00AD0F5C" w:rsidRPr="00FC1444">
              <w:rPr>
                <w:rFonts w:eastAsiaTheme="minorEastAsia"/>
                <w:snapToGrid w:val="0"/>
                <w:kern w:val="0"/>
                <w:szCs w:val="21"/>
              </w:rPr>
              <w:t>，其中：</w:t>
            </w:r>
            <w:r w:rsidR="00B13464" w:rsidRPr="00FC1444">
              <w:rPr>
                <w:rFonts w:eastAsiaTheme="minorEastAsia"/>
                <w:snapToGrid w:val="0"/>
                <w:kern w:val="0"/>
                <w:szCs w:val="21"/>
              </w:rPr>
              <w:t>机耕路（混凝土路面）</w:t>
            </w:r>
            <w:r w:rsidR="00B13464" w:rsidRPr="00FC1444">
              <w:rPr>
                <w:rFonts w:eastAsiaTheme="minorEastAsia"/>
                <w:snapToGrid w:val="0"/>
                <w:kern w:val="0"/>
                <w:szCs w:val="21"/>
              </w:rPr>
              <w:t>67</w:t>
            </w:r>
            <w:r w:rsidR="00B13464" w:rsidRPr="00FC1444">
              <w:rPr>
                <w:rFonts w:eastAsiaTheme="minorEastAsia"/>
                <w:snapToGrid w:val="0"/>
                <w:kern w:val="0"/>
                <w:szCs w:val="21"/>
              </w:rPr>
              <w:t>条，共</w:t>
            </w:r>
            <w:r w:rsidR="00B13464" w:rsidRPr="00FC1444">
              <w:rPr>
                <w:rFonts w:eastAsiaTheme="minorEastAsia"/>
                <w:snapToGrid w:val="0"/>
                <w:kern w:val="0"/>
                <w:szCs w:val="21"/>
              </w:rPr>
              <w:t>54.083km</w:t>
            </w:r>
            <w:r w:rsidR="00B13464" w:rsidRPr="00FC1444">
              <w:rPr>
                <w:rFonts w:eastAsiaTheme="minorEastAsia"/>
                <w:snapToGrid w:val="0"/>
                <w:kern w:val="0"/>
                <w:szCs w:val="21"/>
              </w:rPr>
              <w:t>；生产路（砂石路面）</w:t>
            </w:r>
            <w:r w:rsidR="00B13464" w:rsidRPr="00FC1444">
              <w:rPr>
                <w:rFonts w:eastAsiaTheme="minorEastAsia"/>
                <w:snapToGrid w:val="0"/>
                <w:kern w:val="0"/>
                <w:szCs w:val="21"/>
              </w:rPr>
              <w:t>117</w:t>
            </w:r>
            <w:r w:rsidR="00B13464" w:rsidRPr="00FC1444">
              <w:rPr>
                <w:rFonts w:eastAsiaTheme="minorEastAsia"/>
                <w:snapToGrid w:val="0"/>
                <w:kern w:val="0"/>
                <w:szCs w:val="21"/>
              </w:rPr>
              <w:t>条，共</w:t>
            </w:r>
            <w:r w:rsidR="00B13464" w:rsidRPr="00FC1444">
              <w:rPr>
                <w:rFonts w:eastAsiaTheme="minorEastAsia"/>
                <w:snapToGrid w:val="0"/>
                <w:kern w:val="0"/>
                <w:szCs w:val="21"/>
              </w:rPr>
              <w:t>91.248km</w:t>
            </w:r>
            <w:r w:rsidRPr="00FC1444">
              <w:rPr>
                <w:rFonts w:eastAsiaTheme="minorEastAsia"/>
                <w:kern w:val="0"/>
                <w:szCs w:val="21"/>
              </w:rPr>
              <w:t>，满足农机作业、农业物资运输等农业生产活动的要求。</w:t>
            </w:r>
          </w:p>
        </w:tc>
        <w:tc>
          <w:tcPr>
            <w:tcW w:w="550" w:type="dxa"/>
            <w:vAlign w:val="center"/>
          </w:tcPr>
          <w:p w:rsidR="002A5A5E" w:rsidRPr="00FC1444" w:rsidRDefault="00611CBA">
            <w:pPr>
              <w:jc w:val="center"/>
              <w:rPr>
                <w:rFonts w:eastAsiaTheme="minorEastAsia"/>
                <w:szCs w:val="21"/>
              </w:rPr>
            </w:pPr>
            <w:r w:rsidRPr="00FC1444">
              <w:rPr>
                <w:rFonts w:eastAsiaTheme="minorEastAsia"/>
                <w:szCs w:val="21"/>
              </w:rPr>
              <w:t>符合</w:t>
            </w:r>
          </w:p>
        </w:tc>
      </w:tr>
      <w:tr w:rsidR="002A5A5E" w:rsidRPr="00FC1444">
        <w:trPr>
          <w:trHeight w:val="145"/>
          <w:jc w:val="center"/>
        </w:trPr>
        <w:tc>
          <w:tcPr>
            <w:tcW w:w="608" w:type="dxa"/>
            <w:vMerge/>
            <w:vAlign w:val="center"/>
          </w:tcPr>
          <w:p w:rsidR="002A5A5E" w:rsidRPr="00FC1444" w:rsidRDefault="002A5A5E">
            <w:pPr>
              <w:tabs>
                <w:tab w:val="left" w:pos="900"/>
              </w:tabs>
              <w:spacing w:line="300" w:lineRule="atLeast"/>
              <w:jc w:val="center"/>
              <w:rPr>
                <w:rFonts w:eastAsiaTheme="minorEastAsia"/>
                <w:szCs w:val="21"/>
              </w:rPr>
            </w:pPr>
          </w:p>
        </w:tc>
        <w:tc>
          <w:tcPr>
            <w:tcW w:w="3827" w:type="dxa"/>
            <w:vAlign w:val="center"/>
          </w:tcPr>
          <w:p w:rsidR="002A5A5E" w:rsidRPr="00FC1444" w:rsidRDefault="00611CBA">
            <w:pPr>
              <w:tabs>
                <w:tab w:val="left" w:pos="900"/>
              </w:tabs>
              <w:spacing w:line="300" w:lineRule="atLeast"/>
              <w:jc w:val="left"/>
              <w:rPr>
                <w:rFonts w:eastAsiaTheme="minorEastAsia"/>
                <w:szCs w:val="21"/>
              </w:rPr>
            </w:pPr>
            <w:r w:rsidRPr="00FC1444">
              <w:rPr>
                <w:rFonts w:eastAsiaTheme="minorEastAsia"/>
                <w:szCs w:val="21"/>
              </w:rPr>
              <w:t>林：农田地力提升工程指为保障农田生产安全、保持和改善农田生态条件、防止自然灾害等所采取的各种措施，包括农田地力提升工程、岸坡防护工程、坡面防护工程和沟道治理工程等，应进行全面规划、综合治理。</w:t>
            </w:r>
          </w:p>
        </w:tc>
        <w:tc>
          <w:tcPr>
            <w:tcW w:w="3685" w:type="dxa"/>
            <w:vAlign w:val="center"/>
          </w:tcPr>
          <w:p w:rsidR="002A5A5E" w:rsidRPr="00FC1444" w:rsidRDefault="00611CBA" w:rsidP="00DE7DE3">
            <w:pPr>
              <w:tabs>
                <w:tab w:val="left" w:pos="900"/>
              </w:tabs>
              <w:spacing w:line="300" w:lineRule="atLeast"/>
              <w:jc w:val="left"/>
              <w:rPr>
                <w:rFonts w:eastAsiaTheme="minorEastAsia"/>
                <w:szCs w:val="21"/>
              </w:rPr>
            </w:pPr>
            <w:r w:rsidRPr="00FC1444">
              <w:rPr>
                <w:rFonts w:eastAsiaTheme="minorEastAsia"/>
                <w:szCs w:val="21"/>
              </w:rPr>
              <w:t>本项目</w:t>
            </w:r>
            <w:r w:rsidR="00D622BA" w:rsidRPr="00FC1444">
              <w:rPr>
                <w:rFonts w:eastAsiaTheme="minorEastAsia"/>
                <w:szCs w:val="21"/>
              </w:rPr>
              <w:t>建设农田防护及生态环境保护工程</w:t>
            </w:r>
            <w:r w:rsidR="00DE7DE3" w:rsidRPr="00FC1444">
              <w:rPr>
                <w:rFonts w:eastAsiaTheme="minorEastAsia"/>
                <w:szCs w:val="21"/>
              </w:rPr>
              <w:t>，规划农田防护林</w:t>
            </w:r>
            <w:r w:rsidR="00DE7DE3" w:rsidRPr="00FC1444">
              <w:rPr>
                <w:rFonts w:eastAsiaTheme="minorEastAsia"/>
                <w:szCs w:val="21"/>
              </w:rPr>
              <w:t>2638</w:t>
            </w:r>
            <w:r w:rsidR="00DE7DE3" w:rsidRPr="00FC1444">
              <w:rPr>
                <w:rFonts w:eastAsiaTheme="minorEastAsia"/>
                <w:szCs w:val="21"/>
              </w:rPr>
              <w:t>株，栽种樟子松</w:t>
            </w:r>
            <w:r w:rsidR="00DE7DE3" w:rsidRPr="00FC1444">
              <w:rPr>
                <w:rFonts w:eastAsiaTheme="minorEastAsia"/>
                <w:szCs w:val="21"/>
              </w:rPr>
              <w:t>637</w:t>
            </w:r>
            <w:r w:rsidR="00DE7DE3" w:rsidRPr="00FC1444">
              <w:rPr>
                <w:rFonts w:eastAsiaTheme="minorEastAsia"/>
                <w:szCs w:val="21"/>
              </w:rPr>
              <w:t>株，栽种杨树</w:t>
            </w:r>
            <w:r w:rsidR="00DE7DE3" w:rsidRPr="00FC1444">
              <w:rPr>
                <w:rFonts w:eastAsiaTheme="minorEastAsia"/>
                <w:szCs w:val="21"/>
              </w:rPr>
              <w:t>2001</w:t>
            </w:r>
            <w:r w:rsidR="00DE7DE3" w:rsidRPr="00FC1444">
              <w:rPr>
                <w:rFonts w:eastAsiaTheme="minorEastAsia"/>
                <w:szCs w:val="21"/>
              </w:rPr>
              <w:t>株；</w:t>
            </w:r>
            <w:r w:rsidR="00DE7DE3" w:rsidRPr="00FC1444">
              <w:rPr>
                <w:rFonts w:eastAsiaTheme="minorEastAsia"/>
                <w:bCs/>
                <w:szCs w:val="21"/>
              </w:rPr>
              <w:t>沟头防护</w:t>
            </w:r>
            <w:r w:rsidR="00DE7DE3" w:rsidRPr="00FC1444">
              <w:rPr>
                <w:rFonts w:eastAsiaTheme="minorEastAsia"/>
                <w:bCs/>
                <w:szCs w:val="21"/>
              </w:rPr>
              <w:t>1</w:t>
            </w:r>
            <w:r w:rsidR="00DE7DE3" w:rsidRPr="00FC1444">
              <w:rPr>
                <w:rFonts w:eastAsiaTheme="minorEastAsia"/>
                <w:bCs/>
                <w:szCs w:val="21"/>
              </w:rPr>
              <w:t>座；侵蚀沟治理</w:t>
            </w:r>
            <w:r w:rsidR="00DE7DE3" w:rsidRPr="00FC1444">
              <w:rPr>
                <w:rFonts w:eastAsiaTheme="minorEastAsia"/>
                <w:bCs/>
                <w:szCs w:val="21"/>
              </w:rPr>
              <w:t>0.063</w:t>
            </w:r>
            <w:r w:rsidR="00DE7DE3" w:rsidRPr="00FC1444">
              <w:rPr>
                <w:rFonts w:eastAsiaTheme="minorEastAsia"/>
                <w:bCs/>
                <w:szCs w:val="21"/>
              </w:rPr>
              <w:t>公里</w:t>
            </w:r>
            <w:r w:rsidR="00DE7DE3" w:rsidRPr="00FC1444">
              <w:rPr>
                <w:rFonts w:eastAsiaTheme="minorEastAsia"/>
                <w:szCs w:val="21"/>
              </w:rPr>
              <w:t>。</w:t>
            </w:r>
            <w:r w:rsidR="00D622BA" w:rsidRPr="00FC1444">
              <w:rPr>
                <w:rFonts w:eastAsiaTheme="minorEastAsia"/>
                <w:szCs w:val="21"/>
              </w:rPr>
              <w:t>增强区域防御风沙灾害和防止水土流失能力</w:t>
            </w:r>
            <w:r w:rsidRPr="00FC1444">
              <w:rPr>
                <w:rFonts w:eastAsiaTheme="minorEastAsia"/>
                <w:szCs w:val="21"/>
              </w:rPr>
              <w:t>。</w:t>
            </w:r>
          </w:p>
        </w:tc>
        <w:tc>
          <w:tcPr>
            <w:tcW w:w="550" w:type="dxa"/>
            <w:vAlign w:val="center"/>
          </w:tcPr>
          <w:p w:rsidR="002A5A5E" w:rsidRPr="00FC1444" w:rsidRDefault="00611CBA">
            <w:pPr>
              <w:jc w:val="center"/>
              <w:rPr>
                <w:rFonts w:eastAsiaTheme="minorEastAsia"/>
                <w:szCs w:val="21"/>
              </w:rPr>
            </w:pPr>
            <w:r w:rsidRPr="00FC1444">
              <w:rPr>
                <w:rFonts w:eastAsiaTheme="minorEastAsia"/>
                <w:szCs w:val="21"/>
              </w:rPr>
              <w:t>符合</w:t>
            </w:r>
          </w:p>
        </w:tc>
      </w:tr>
      <w:tr w:rsidR="002A5A5E" w:rsidRPr="00FC1444">
        <w:trPr>
          <w:trHeight w:val="145"/>
          <w:jc w:val="center"/>
        </w:trPr>
        <w:tc>
          <w:tcPr>
            <w:tcW w:w="608" w:type="dxa"/>
            <w:vMerge/>
            <w:vAlign w:val="center"/>
          </w:tcPr>
          <w:p w:rsidR="002A5A5E" w:rsidRPr="00FC1444" w:rsidRDefault="002A5A5E">
            <w:pPr>
              <w:tabs>
                <w:tab w:val="left" w:pos="900"/>
              </w:tabs>
              <w:spacing w:line="300" w:lineRule="atLeast"/>
              <w:jc w:val="center"/>
              <w:rPr>
                <w:rFonts w:eastAsiaTheme="minorEastAsia"/>
                <w:szCs w:val="21"/>
              </w:rPr>
            </w:pPr>
          </w:p>
        </w:tc>
        <w:tc>
          <w:tcPr>
            <w:tcW w:w="3827" w:type="dxa"/>
            <w:vAlign w:val="center"/>
          </w:tcPr>
          <w:p w:rsidR="002A5A5E" w:rsidRPr="00FC1444" w:rsidRDefault="00611CBA">
            <w:pPr>
              <w:tabs>
                <w:tab w:val="left" w:pos="900"/>
              </w:tabs>
              <w:spacing w:line="300" w:lineRule="atLeast"/>
              <w:jc w:val="left"/>
              <w:rPr>
                <w:rFonts w:eastAsiaTheme="minorEastAsia"/>
                <w:szCs w:val="21"/>
              </w:rPr>
            </w:pPr>
            <w:r w:rsidRPr="00FC1444">
              <w:rPr>
                <w:rFonts w:eastAsiaTheme="minorEastAsia"/>
                <w:szCs w:val="21"/>
              </w:rPr>
              <w:t>电：农田输配电工程指为泵站、机井以及信息化工程等提供电力保障所需的强电、弱电等各种设施，包括输电线路、变配电装置等。其布设应与田间道路、灌溉与排水等工程相结合，符合电力系统安装与运行相关标准，保证用电质量和安全。农田输配电工程应满足农业生产用电需求，并应与当地电网建设规划相协调。农田输配电线路宜采用</w:t>
            </w:r>
            <w:r w:rsidRPr="00FC1444">
              <w:rPr>
                <w:rFonts w:eastAsiaTheme="minorEastAsia"/>
                <w:szCs w:val="21"/>
              </w:rPr>
              <w:t>10kV</w:t>
            </w:r>
            <w:r w:rsidRPr="00FC1444">
              <w:rPr>
                <w:rFonts w:eastAsiaTheme="minorEastAsia"/>
                <w:szCs w:val="21"/>
              </w:rPr>
              <w:t>及以下电压等级，包括</w:t>
            </w:r>
            <w:r w:rsidRPr="00FC1444">
              <w:rPr>
                <w:rFonts w:eastAsiaTheme="minorEastAsia"/>
                <w:szCs w:val="21"/>
              </w:rPr>
              <w:t>10kV</w:t>
            </w:r>
            <w:r w:rsidRPr="00FC1444">
              <w:rPr>
                <w:rFonts w:eastAsiaTheme="minorEastAsia"/>
                <w:szCs w:val="21"/>
              </w:rPr>
              <w:t>、</w:t>
            </w:r>
            <w:r w:rsidRPr="00FC1444">
              <w:rPr>
                <w:rFonts w:eastAsiaTheme="minorEastAsia"/>
                <w:szCs w:val="21"/>
              </w:rPr>
              <w:t>1kV</w:t>
            </w:r>
            <w:r w:rsidRPr="00FC1444">
              <w:rPr>
                <w:rFonts w:eastAsiaTheme="minorEastAsia"/>
                <w:szCs w:val="21"/>
              </w:rPr>
              <w:t>、</w:t>
            </w:r>
            <w:r w:rsidRPr="00FC1444">
              <w:rPr>
                <w:rFonts w:eastAsiaTheme="minorEastAsia"/>
                <w:szCs w:val="21"/>
              </w:rPr>
              <w:t>380V</w:t>
            </w:r>
            <w:r w:rsidRPr="00FC1444">
              <w:rPr>
                <w:rFonts w:eastAsiaTheme="minorEastAsia"/>
                <w:szCs w:val="21"/>
              </w:rPr>
              <w:t>和</w:t>
            </w:r>
            <w:r w:rsidRPr="00FC1444">
              <w:rPr>
                <w:rFonts w:eastAsiaTheme="minorEastAsia"/>
                <w:szCs w:val="21"/>
              </w:rPr>
              <w:t>220V</w:t>
            </w:r>
            <w:r w:rsidRPr="00FC1444">
              <w:rPr>
                <w:rFonts w:eastAsiaTheme="minorEastAsia"/>
                <w:szCs w:val="21"/>
              </w:rPr>
              <w:t>，应设立相应标识。</w:t>
            </w:r>
          </w:p>
        </w:tc>
        <w:tc>
          <w:tcPr>
            <w:tcW w:w="3685" w:type="dxa"/>
            <w:vAlign w:val="center"/>
          </w:tcPr>
          <w:p w:rsidR="002A5A5E" w:rsidRPr="00FC1444" w:rsidRDefault="00611CBA" w:rsidP="004B2F9E">
            <w:pPr>
              <w:tabs>
                <w:tab w:val="left" w:pos="900"/>
              </w:tabs>
              <w:spacing w:line="300" w:lineRule="atLeast"/>
              <w:jc w:val="left"/>
              <w:rPr>
                <w:rFonts w:eastAsiaTheme="minorEastAsia"/>
                <w:szCs w:val="21"/>
              </w:rPr>
            </w:pPr>
            <w:r w:rsidRPr="00FC1444">
              <w:rPr>
                <w:rFonts w:eastAsiaTheme="minorEastAsia"/>
                <w:szCs w:val="21"/>
              </w:rPr>
              <w:t>本项目</w:t>
            </w:r>
            <w:r w:rsidR="004B2F9E" w:rsidRPr="00FC1444">
              <w:rPr>
                <w:rFonts w:eastAsiaTheme="minorEastAsia"/>
                <w:szCs w:val="21"/>
              </w:rPr>
              <w:t>新建</w:t>
            </w:r>
            <w:r w:rsidR="00141045" w:rsidRPr="00FC1444">
              <w:rPr>
                <w:rFonts w:eastAsiaTheme="minorEastAsia"/>
                <w:szCs w:val="21"/>
              </w:rPr>
              <w:t>10kV</w:t>
            </w:r>
            <w:r w:rsidR="00141045" w:rsidRPr="00FC1444">
              <w:rPr>
                <w:rFonts w:eastAsiaTheme="minorEastAsia"/>
                <w:szCs w:val="21"/>
              </w:rPr>
              <w:t>高压线路</w:t>
            </w:r>
            <w:r w:rsidR="00141045" w:rsidRPr="00FC1444">
              <w:rPr>
                <w:rFonts w:eastAsiaTheme="minorEastAsia"/>
                <w:szCs w:val="21"/>
              </w:rPr>
              <w:t>111.836km</w:t>
            </w:r>
            <w:r w:rsidR="00141045" w:rsidRPr="00FC1444">
              <w:rPr>
                <w:rFonts w:eastAsiaTheme="minorEastAsia"/>
                <w:szCs w:val="21"/>
              </w:rPr>
              <w:t>；新建</w:t>
            </w:r>
            <w:r w:rsidR="00141045" w:rsidRPr="00FC1444">
              <w:rPr>
                <w:rFonts w:eastAsiaTheme="minorEastAsia"/>
                <w:szCs w:val="21"/>
              </w:rPr>
              <w:t>0.4kV</w:t>
            </w:r>
            <w:r w:rsidR="00141045" w:rsidRPr="00FC1444">
              <w:rPr>
                <w:rFonts w:eastAsiaTheme="minorEastAsia"/>
                <w:szCs w:val="21"/>
              </w:rPr>
              <w:t>低压线路</w:t>
            </w:r>
            <w:r w:rsidR="00141045" w:rsidRPr="00FC1444">
              <w:rPr>
                <w:rFonts w:eastAsiaTheme="minorEastAsia"/>
                <w:szCs w:val="21"/>
              </w:rPr>
              <w:t>21.73km</w:t>
            </w:r>
            <w:r w:rsidRPr="00FC1444">
              <w:rPr>
                <w:rFonts w:eastAsiaTheme="minorEastAsia"/>
                <w:szCs w:val="21"/>
              </w:rPr>
              <w:t>，配套</w:t>
            </w:r>
            <w:r w:rsidR="003D06B8" w:rsidRPr="00FC1444">
              <w:rPr>
                <w:rFonts w:eastAsiaTheme="minorEastAsia"/>
                <w:szCs w:val="21"/>
              </w:rPr>
              <w:t>变压器</w:t>
            </w:r>
            <w:r w:rsidR="00DF0EB9" w:rsidRPr="00FC1444">
              <w:rPr>
                <w:rFonts w:eastAsiaTheme="minorEastAsia"/>
                <w:szCs w:val="21"/>
              </w:rPr>
              <w:t>97</w:t>
            </w:r>
            <w:r w:rsidR="00DF0EB9" w:rsidRPr="00FC1444">
              <w:rPr>
                <w:rFonts w:eastAsiaTheme="minorEastAsia"/>
                <w:szCs w:val="21"/>
              </w:rPr>
              <w:t>台</w:t>
            </w:r>
            <w:r w:rsidRPr="00FC1444">
              <w:rPr>
                <w:rFonts w:eastAsiaTheme="minorEastAsia"/>
                <w:szCs w:val="21"/>
              </w:rPr>
              <w:t>，能够满足项目供电设施要求。</w:t>
            </w:r>
          </w:p>
        </w:tc>
        <w:tc>
          <w:tcPr>
            <w:tcW w:w="550" w:type="dxa"/>
            <w:vAlign w:val="center"/>
          </w:tcPr>
          <w:p w:rsidR="002A5A5E" w:rsidRPr="00FC1444" w:rsidRDefault="00611CBA">
            <w:pPr>
              <w:jc w:val="center"/>
              <w:rPr>
                <w:rFonts w:eastAsiaTheme="minorEastAsia"/>
                <w:szCs w:val="21"/>
              </w:rPr>
            </w:pPr>
            <w:r w:rsidRPr="00FC1444">
              <w:rPr>
                <w:rFonts w:eastAsiaTheme="minorEastAsia"/>
                <w:szCs w:val="21"/>
              </w:rPr>
              <w:t>符合</w:t>
            </w:r>
          </w:p>
        </w:tc>
      </w:tr>
    </w:tbl>
    <w:p w:rsidR="002A5A5E" w:rsidRPr="00FC1444" w:rsidRDefault="002A5A5E">
      <w:pPr>
        <w:rPr>
          <w:rFonts w:eastAsiaTheme="minorEastAsia"/>
        </w:rPr>
      </w:pPr>
    </w:p>
    <w:p w:rsidR="002A5A5E" w:rsidRPr="00FC1444" w:rsidRDefault="002A5A5E">
      <w:pPr>
        <w:rPr>
          <w:rFonts w:eastAsiaTheme="minorEastAsia"/>
        </w:rPr>
      </w:pPr>
    </w:p>
    <w:p w:rsidR="002A5A5E" w:rsidRPr="00FC1444" w:rsidRDefault="002A5A5E">
      <w:pPr>
        <w:rPr>
          <w:rFonts w:eastAsiaTheme="minorEastAsia"/>
        </w:rPr>
      </w:pPr>
    </w:p>
    <w:p w:rsidR="002A5A5E" w:rsidRPr="00FC1444" w:rsidRDefault="002A5A5E">
      <w:pPr>
        <w:rPr>
          <w:rFonts w:eastAsiaTheme="minorEastAsia"/>
        </w:rPr>
      </w:pPr>
    </w:p>
    <w:p w:rsidR="002A5A5E" w:rsidRPr="00FC1444" w:rsidRDefault="002A5A5E">
      <w:pPr>
        <w:rPr>
          <w:rFonts w:eastAsiaTheme="minorEastAsia"/>
        </w:rPr>
      </w:pPr>
    </w:p>
    <w:p w:rsidR="002A5A5E" w:rsidRPr="00FC1444" w:rsidRDefault="002A5A5E">
      <w:pPr>
        <w:rPr>
          <w:rFonts w:eastAsiaTheme="minorEastAsia"/>
        </w:rPr>
      </w:pPr>
    </w:p>
    <w:p w:rsidR="002A5A5E" w:rsidRPr="00FC1444" w:rsidRDefault="002A5A5E">
      <w:pPr>
        <w:rPr>
          <w:rFonts w:eastAsiaTheme="minorEastAsia"/>
        </w:rPr>
      </w:pPr>
    </w:p>
    <w:p w:rsidR="002A5A5E" w:rsidRPr="00FC1444" w:rsidRDefault="002A5A5E">
      <w:pPr>
        <w:rPr>
          <w:rFonts w:eastAsiaTheme="minorEastAsia"/>
        </w:rPr>
      </w:pPr>
    </w:p>
    <w:p w:rsidR="002A5A5E" w:rsidRPr="00FC1444" w:rsidRDefault="002A5A5E">
      <w:pPr>
        <w:rPr>
          <w:rFonts w:eastAsiaTheme="minorEastAsia"/>
        </w:rPr>
      </w:pPr>
    </w:p>
    <w:p w:rsidR="002A5A5E" w:rsidRPr="00FC1444" w:rsidRDefault="00611CBA">
      <w:pPr>
        <w:jc w:val="center"/>
        <w:rPr>
          <w:rFonts w:eastAsiaTheme="minorEastAsia"/>
          <w:b/>
          <w:szCs w:val="21"/>
        </w:rPr>
      </w:pPr>
      <w:r w:rsidRPr="00FC1444">
        <w:rPr>
          <w:rFonts w:eastAsiaTheme="minorEastAsia"/>
          <w:b/>
          <w:szCs w:val="21"/>
        </w:rPr>
        <w:lastRenderedPageBreak/>
        <w:t>续表</w:t>
      </w:r>
      <w:r w:rsidRPr="00FC1444">
        <w:rPr>
          <w:rFonts w:eastAsiaTheme="minorEastAsia"/>
          <w:b/>
          <w:szCs w:val="21"/>
        </w:rPr>
        <w:t>1-4-</w:t>
      </w:r>
      <w:r w:rsidR="00C27FC4" w:rsidRPr="00FC1444">
        <w:rPr>
          <w:rFonts w:eastAsiaTheme="minorEastAsia"/>
          <w:b/>
          <w:szCs w:val="21"/>
        </w:rPr>
        <w:t>7</w:t>
      </w:r>
      <w:r w:rsidRPr="00FC1444">
        <w:rPr>
          <w:rFonts w:eastAsiaTheme="minorEastAsia"/>
          <w:b/>
          <w:szCs w:val="21"/>
        </w:rPr>
        <w:t>《高标准农田建设</w:t>
      </w:r>
      <w:r w:rsidRPr="00FC1444">
        <w:rPr>
          <w:rFonts w:eastAsiaTheme="minorEastAsia"/>
          <w:b/>
          <w:szCs w:val="21"/>
        </w:rPr>
        <w:t xml:space="preserve"> </w:t>
      </w:r>
      <w:r w:rsidRPr="00FC1444">
        <w:rPr>
          <w:rFonts w:eastAsiaTheme="minorEastAsia"/>
          <w:b/>
          <w:szCs w:val="21"/>
        </w:rPr>
        <w:t>通则》（</w:t>
      </w:r>
      <w:r w:rsidRPr="00FC1444">
        <w:rPr>
          <w:rFonts w:eastAsiaTheme="minorEastAsia"/>
          <w:b/>
          <w:szCs w:val="21"/>
        </w:rPr>
        <w:t>GB/T30600-2022</w:t>
      </w:r>
      <w:r w:rsidRPr="00FC1444">
        <w:rPr>
          <w:rFonts w:eastAsiaTheme="minorEastAsia"/>
          <w:b/>
          <w:szCs w:val="21"/>
        </w:rPr>
        <w:t>）符合性分析</w:t>
      </w:r>
    </w:p>
    <w:tbl>
      <w:tblPr>
        <w:tblW w:w="8670" w:type="dxa"/>
        <w:jc w:val="center"/>
        <w:tblBorders>
          <w:top w:val="single" w:sz="12" w:space="0" w:color="auto"/>
          <w:bottom w:val="single" w:sz="12" w:space="0" w:color="auto"/>
          <w:insideH w:val="single" w:sz="4" w:space="0" w:color="000000"/>
          <w:insideV w:val="single" w:sz="4" w:space="0" w:color="000000"/>
        </w:tblBorders>
        <w:tblLayout w:type="fixed"/>
        <w:tblLook w:val="04A0"/>
      </w:tblPr>
      <w:tblGrid>
        <w:gridCol w:w="608"/>
        <w:gridCol w:w="3827"/>
        <w:gridCol w:w="3344"/>
        <w:gridCol w:w="891"/>
      </w:tblGrid>
      <w:tr w:rsidR="002A5A5E" w:rsidRPr="00FC1444">
        <w:trPr>
          <w:trHeight w:val="145"/>
          <w:jc w:val="center"/>
        </w:trPr>
        <w:tc>
          <w:tcPr>
            <w:tcW w:w="608" w:type="dxa"/>
            <w:vAlign w:val="center"/>
          </w:tcPr>
          <w:p w:rsidR="002A5A5E" w:rsidRPr="00FC1444" w:rsidRDefault="00611CBA">
            <w:pPr>
              <w:tabs>
                <w:tab w:val="left" w:pos="900"/>
              </w:tabs>
              <w:spacing w:line="300" w:lineRule="atLeast"/>
              <w:jc w:val="center"/>
              <w:rPr>
                <w:rFonts w:eastAsiaTheme="minorEastAsia"/>
                <w:szCs w:val="21"/>
              </w:rPr>
            </w:pPr>
            <w:r w:rsidRPr="00FC1444">
              <w:rPr>
                <w:rFonts w:eastAsiaTheme="minorEastAsia"/>
                <w:szCs w:val="21"/>
              </w:rPr>
              <w:t>《高标准农田建设</w:t>
            </w:r>
            <w:r w:rsidRPr="00FC1444">
              <w:rPr>
                <w:rFonts w:eastAsiaTheme="minorEastAsia"/>
                <w:szCs w:val="21"/>
              </w:rPr>
              <w:t xml:space="preserve"> </w:t>
            </w:r>
          </w:p>
          <w:p w:rsidR="002A5A5E" w:rsidRPr="00FC1444" w:rsidRDefault="00611CBA">
            <w:pPr>
              <w:tabs>
                <w:tab w:val="left" w:pos="900"/>
              </w:tabs>
              <w:spacing w:line="300" w:lineRule="atLeast"/>
              <w:jc w:val="center"/>
              <w:rPr>
                <w:rFonts w:eastAsiaTheme="minorEastAsia"/>
                <w:szCs w:val="21"/>
              </w:rPr>
            </w:pPr>
            <w:r w:rsidRPr="00FC1444">
              <w:rPr>
                <w:rFonts w:eastAsiaTheme="minorEastAsia"/>
                <w:szCs w:val="21"/>
              </w:rPr>
              <w:t>通则》</w:t>
            </w:r>
          </w:p>
        </w:tc>
        <w:tc>
          <w:tcPr>
            <w:tcW w:w="3827" w:type="dxa"/>
            <w:vAlign w:val="center"/>
          </w:tcPr>
          <w:p w:rsidR="002A5A5E" w:rsidRPr="00FC1444" w:rsidRDefault="00611CBA">
            <w:pPr>
              <w:tabs>
                <w:tab w:val="left" w:pos="900"/>
              </w:tabs>
              <w:spacing w:line="300" w:lineRule="atLeast"/>
              <w:jc w:val="left"/>
              <w:rPr>
                <w:rFonts w:eastAsiaTheme="minorEastAsia"/>
                <w:szCs w:val="21"/>
              </w:rPr>
            </w:pPr>
            <w:r w:rsidRPr="00FC1444">
              <w:rPr>
                <w:rFonts w:eastAsiaTheme="minorEastAsia"/>
                <w:szCs w:val="21"/>
              </w:rPr>
              <w:t>高标准农田建设的重点区域包括：已划定的永久基本农田和粮食生产功能区、重要农产品生产保护区。高标准农田建设限制区域包括：水资源贫乏区域，水土流失易发区、沙化区等生态</w:t>
            </w:r>
            <w:r w:rsidR="00FC7601" w:rsidRPr="00FC1444">
              <w:rPr>
                <w:rFonts w:eastAsiaTheme="minorEastAsia" w:hint="eastAsia"/>
                <w:szCs w:val="21"/>
              </w:rPr>
              <w:t>脆弱</w:t>
            </w:r>
            <w:r w:rsidRPr="00FC1444">
              <w:rPr>
                <w:rFonts w:eastAsiaTheme="minorEastAsia"/>
                <w:szCs w:val="21"/>
              </w:rPr>
              <w:t>区域，历史遗留的挖损、塌陷、压占等造成土地严重损毁且难以恢复的区域，安全利用类耕地，易受自然灾害损毁的区域，沿海涂、内陆滩涂等区域。高标准农田建设禁止区域包括：严格管控类耕地，生态保护红线内区域，退耕还林区、退牧还草区，河流、湖泊、水库水面及其保护范围等区域。</w:t>
            </w:r>
          </w:p>
        </w:tc>
        <w:tc>
          <w:tcPr>
            <w:tcW w:w="3344" w:type="dxa"/>
            <w:vAlign w:val="center"/>
          </w:tcPr>
          <w:p w:rsidR="002A5A5E" w:rsidRPr="00FC1444" w:rsidRDefault="00611CBA" w:rsidP="00AD0F5C">
            <w:pPr>
              <w:tabs>
                <w:tab w:val="left" w:pos="900"/>
              </w:tabs>
              <w:spacing w:line="300" w:lineRule="atLeast"/>
              <w:jc w:val="left"/>
              <w:rPr>
                <w:rFonts w:eastAsiaTheme="minorEastAsia"/>
                <w:szCs w:val="21"/>
              </w:rPr>
            </w:pPr>
            <w:r w:rsidRPr="00FC1444">
              <w:rPr>
                <w:rFonts w:eastAsiaTheme="minorEastAsia"/>
                <w:szCs w:val="21"/>
              </w:rPr>
              <w:t>本项目在现有耕地上建设，不新开垦耕地。项目区不属于水资源贫乏、沙化区等生态</w:t>
            </w:r>
            <w:r w:rsidR="00FC7601" w:rsidRPr="00FC1444">
              <w:rPr>
                <w:rFonts w:eastAsiaTheme="minorEastAsia" w:hint="eastAsia"/>
                <w:szCs w:val="21"/>
              </w:rPr>
              <w:t>脆弱</w:t>
            </w:r>
            <w:r w:rsidRPr="00FC1444">
              <w:rPr>
                <w:rFonts w:eastAsiaTheme="minorEastAsia"/>
                <w:szCs w:val="21"/>
              </w:rPr>
              <w:t>区域、历史遗留的挖损、塌陷、压占等造成土地严重损毁且难以恢复的区域、安全利用类耕地，易受自然灾害损毁的区域、沿海涂、内陆滩涂等区域。不占用生态保护红线、退耕还林区、退牧还草区，河流、湖泊、水库水面及其保护范围等区域。本项目区域虽</w:t>
            </w:r>
            <w:r w:rsidR="00A961AB" w:rsidRPr="00FC1444">
              <w:rPr>
                <w:rFonts w:eastAsiaTheme="minorEastAsia"/>
                <w:bCs/>
                <w:kern w:val="0"/>
              </w:rPr>
              <w:t>属于国家级水土流失重点治理区</w:t>
            </w:r>
            <w:r w:rsidRPr="00FC1444">
              <w:rPr>
                <w:rFonts w:eastAsiaTheme="minorEastAsia"/>
              </w:rPr>
              <w:t>，易发生水土流失，本项目实施</w:t>
            </w:r>
            <w:r w:rsidRPr="00FC1444">
              <w:rPr>
                <w:rFonts w:eastAsiaTheme="minorEastAsia"/>
                <w:smallCaps/>
              </w:rPr>
              <w:t>排水沟清淤、灌溉渠道衬砌、侵蚀沟岸坡防护、沟道治理等工程，建成后可减少区域水土流失，</w:t>
            </w:r>
            <w:r w:rsidRPr="00FC1444">
              <w:rPr>
                <w:rFonts w:eastAsiaTheme="minorEastAsia"/>
                <w:bCs/>
                <w:smallCaps/>
              </w:rPr>
              <w:t>提高和维持土地生产力。</w:t>
            </w:r>
          </w:p>
        </w:tc>
        <w:tc>
          <w:tcPr>
            <w:tcW w:w="891" w:type="dxa"/>
            <w:vAlign w:val="center"/>
          </w:tcPr>
          <w:p w:rsidR="002A5A5E" w:rsidRPr="00FC1444" w:rsidRDefault="00611CBA">
            <w:pPr>
              <w:jc w:val="center"/>
              <w:rPr>
                <w:rFonts w:eastAsiaTheme="minorEastAsia"/>
                <w:szCs w:val="21"/>
              </w:rPr>
            </w:pPr>
            <w:r w:rsidRPr="00FC1444">
              <w:rPr>
                <w:rFonts w:eastAsiaTheme="minorEastAsia"/>
                <w:szCs w:val="21"/>
              </w:rPr>
              <w:t>符合</w:t>
            </w:r>
          </w:p>
        </w:tc>
      </w:tr>
    </w:tbl>
    <w:p w:rsidR="002A5A5E" w:rsidRPr="00FC1444" w:rsidRDefault="00611CBA">
      <w:pPr>
        <w:spacing w:before="100" w:beforeAutospacing="1" w:after="100" w:afterAutospacing="1"/>
        <w:jc w:val="left"/>
        <w:outlineLvl w:val="2"/>
        <w:rPr>
          <w:rFonts w:eastAsiaTheme="minorEastAsia"/>
          <w:b/>
          <w:sz w:val="28"/>
          <w:szCs w:val="28"/>
        </w:rPr>
      </w:pPr>
      <w:r w:rsidRPr="00FC1444">
        <w:rPr>
          <w:rFonts w:eastAsiaTheme="minorEastAsia"/>
          <w:b/>
          <w:sz w:val="28"/>
          <w:szCs w:val="28"/>
        </w:rPr>
        <w:t>1.4.</w:t>
      </w:r>
      <w:r w:rsidR="00600084" w:rsidRPr="00FC1444">
        <w:rPr>
          <w:rFonts w:eastAsiaTheme="minorEastAsia"/>
          <w:b/>
          <w:sz w:val="28"/>
          <w:szCs w:val="28"/>
        </w:rPr>
        <w:t>9</w:t>
      </w:r>
      <w:r w:rsidRPr="00FC1444">
        <w:rPr>
          <w:rFonts w:eastAsiaTheme="minorEastAsia"/>
          <w:b/>
          <w:sz w:val="28"/>
          <w:szCs w:val="28"/>
        </w:rPr>
        <w:t>与《水利建设项目</w:t>
      </w:r>
      <w:r w:rsidRPr="00FC1444">
        <w:rPr>
          <w:rFonts w:eastAsiaTheme="minorEastAsia"/>
          <w:b/>
          <w:sz w:val="28"/>
          <w:szCs w:val="28"/>
        </w:rPr>
        <w:t>(</w:t>
      </w:r>
      <w:r w:rsidRPr="00FC1444">
        <w:rPr>
          <w:rFonts w:eastAsiaTheme="minorEastAsia"/>
          <w:b/>
          <w:sz w:val="28"/>
          <w:szCs w:val="28"/>
        </w:rPr>
        <w:t>灌区工程</w:t>
      </w:r>
      <w:r w:rsidRPr="00FC1444">
        <w:rPr>
          <w:rFonts w:eastAsiaTheme="minorEastAsia"/>
          <w:b/>
          <w:sz w:val="28"/>
          <w:szCs w:val="28"/>
        </w:rPr>
        <w:t>)</w:t>
      </w:r>
      <w:hyperlink r:id="rId14" w:tgtFrame="https://huanbao.bjx.com.cn/news/20180813/_blank" w:history="1">
        <w:r w:rsidRPr="00FC1444">
          <w:rPr>
            <w:rFonts w:eastAsiaTheme="minorEastAsia"/>
            <w:b/>
            <w:sz w:val="28"/>
            <w:szCs w:val="28"/>
          </w:rPr>
          <w:t>环境影响评价文件审批</w:t>
        </w:r>
      </w:hyperlink>
      <w:r w:rsidRPr="00FC1444">
        <w:rPr>
          <w:rFonts w:eastAsiaTheme="minorEastAsia"/>
          <w:b/>
          <w:sz w:val="28"/>
          <w:szCs w:val="28"/>
        </w:rPr>
        <w:t>原则</w:t>
      </w:r>
      <w:r w:rsidRPr="00FC1444">
        <w:rPr>
          <w:rFonts w:eastAsiaTheme="minorEastAsia"/>
          <w:b/>
          <w:sz w:val="28"/>
          <w:szCs w:val="28"/>
        </w:rPr>
        <w:t>(</w:t>
      </w:r>
      <w:r w:rsidRPr="00FC1444">
        <w:rPr>
          <w:rFonts w:eastAsiaTheme="minorEastAsia"/>
          <w:b/>
          <w:sz w:val="28"/>
          <w:szCs w:val="28"/>
        </w:rPr>
        <w:t>试行</w:t>
      </w:r>
      <w:r w:rsidRPr="00FC1444">
        <w:rPr>
          <w:rFonts w:eastAsiaTheme="minorEastAsia"/>
          <w:b/>
          <w:sz w:val="28"/>
          <w:szCs w:val="28"/>
        </w:rPr>
        <w:t>)</w:t>
      </w:r>
      <w:r w:rsidRPr="00FC1444">
        <w:rPr>
          <w:rFonts w:eastAsiaTheme="minorEastAsia"/>
          <w:b/>
          <w:sz w:val="28"/>
          <w:szCs w:val="28"/>
        </w:rPr>
        <w:t>》符合性分析</w:t>
      </w:r>
    </w:p>
    <w:p w:rsidR="002A5A5E" w:rsidRPr="00FC1444" w:rsidRDefault="002A5A5E">
      <w:pPr>
        <w:spacing w:before="100" w:beforeAutospacing="1" w:after="100" w:afterAutospacing="1"/>
        <w:jc w:val="left"/>
        <w:rPr>
          <w:rFonts w:eastAsiaTheme="minorEastAsia"/>
          <w:b/>
          <w:sz w:val="28"/>
          <w:szCs w:val="28"/>
        </w:rPr>
      </w:pPr>
    </w:p>
    <w:p w:rsidR="002A5A5E" w:rsidRPr="00FC1444" w:rsidRDefault="002A5A5E">
      <w:pPr>
        <w:spacing w:before="100" w:beforeAutospacing="1" w:after="100" w:afterAutospacing="1"/>
        <w:jc w:val="left"/>
        <w:rPr>
          <w:rFonts w:eastAsiaTheme="minorEastAsia"/>
          <w:b/>
          <w:sz w:val="28"/>
          <w:szCs w:val="28"/>
        </w:rPr>
      </w:pPr>
    </w:p>
    <w:p w:rsidR="002A5A5E" w:rsidRPr="00FC1444" w:rsidRDefault="002A5A5E">
      <w:pPr>
        <w:spacing w:before="100" w:beforeAutospacing="1" w:after="100" w:afterAutospacing="1"/>
        <w:jc w:val="left"/>
        <w:rPr>
          <w:rFonts w:eastAsiaTheme="minorEastAsia"/>
          <w:b/>
          <w:sz w:val="28"/>
          <w:szCs w:val="28"/>
        </w:rPr>
      </w:pPr>
    </w:p>
    <w:p w:rsidR="002A5A5E" w:rsidRPr="00FC1444" w:rsidRDefault="002A5A5E">
      <w:pPr>
        <w:spacing w:before="100" w:beforeAutospacing="1" w:after="100" w:afterAutospacing="1"/>
        <w:jc w:val="left"/>
        <w:rPr>
          <w:rFonts w:eastAsiaTheme="minorEastAsia"/>
          <w:b/>
          <w:sz w:val="28"/>
          <w:szCs w:val="28"/>
        </w:rPr>
      </w:pPr>
    </w:p>
    <w:p w:rsidR="002A5A5E" w:rsidRPr="00FC1444" w:rsidRDefault="002A5A5E">
      <w:pPr>
        <w:spacing w:before="100" w:beforeAutospacing="1" w:after="100" w:afterAutospacing="1"/>
        <w:jc w:val="left"/>
        <w:rPr>
          <w:rFonts w:eastAsiaTheme="minorEastAsia"/>
          <w:b/>
          <w:sz w:val="28"/>
          <w:szCs w:val="28"/>
        </w:rPr>
      </w:pPr>
    </w:p>
    <w:p w:rsidR="002A5A5E" w:rsidRPr="00FC1444" w:rsidRDefault="002A5A5E">
      <w:pPr>
        <w:spacing w:before="100" w:beforeAutospacing="1" w:after="100" w:afterAutospacing="1"/>
        <w:jc w:val="left"/>
        <w:rPr>
          <w:rFonts w:eastAsiaTheme="minorEastAsia"/>
          <w:b/>
          <w:sz w:val="28"/>
          <w:szCs w:val="28"/>
        </w:rPr>
      </w:pPr>
    </w:p>
    <w:p w:rsidR="002A5A5E" w:rsidRPr="00FC1444" w:rsidRDefault="002A5A5E">
      <w:pPr>
        <w:spacing w:before="100" w:beforeAutospacing="1" w:after="100" w:afterAutospacing="1"/>
        <w:jc w:val="left"/>
        <w:rPr>
          <w:rFonts w:eastAsiaTheme="minorEastAsia"/>
          <w:b/>
          <w:sz w:val="28"/>
          <w:szCs w:val="28"/>
        </w:rPr>
      </w:pPr>
    </w:p>
    <w:p w:rsidR="002A5A5E" w:rsidRPr="00FC1444" w:rsidRDefault="00611CBA">
      <w:pPr>
        <w:keepNext/>
        <w:keepLines/>
        <w:jc w:val="center"/>
        <w:rPr>
          <w:rFonts w:eastAsiaTheme="minorEastAsia"/>
          <w:b/>
          <w:bCs/>
          <w:kern w:val="21"/>
          <w:szCs w:val="21"/>
        </w:rPr>
      </w:pPr>
      <w:r w:rsidRPr="00FC1444">
        <w:rPr>
          <w:rFonts w:eastAsiaTheme="minorEastAsia"/>
          <w:b/>
          <w:bCs/>
          <w:kern w:val="21"/>
          <w:szCs w:val="21"/>
        </w:rPr>
        <w:lastRenderedPageBreak/>
        <w:t>表</w:t>
      </w:r>
      <w:r w:rsidRPr="00FC1444">
        <w:rPr>
          <w:rFonts w:eastAsiaTheme="minorEastAsia"/>
          <w:b/>
          <w:bCs/>
          <w:kern w:val="21"/>
          <w:szCs w:val="21"/>
        </w:rPr>
        <w:t>1-4-</w:t>
      </w:r>
      <w:r w:rsidR="00C27FC4" w:rsidRPr="00FC1444">
        <w:rPr>
          <w:rFonts w:eastAsiaTheme="minorEastAsia"/>
          <w:b/>
          <w:bCs/>
          <w:kern w:val="21"/>
          <w:szCs w:val="21"/>
        </w:rPr>
        <w:t>8</w:t>
      </w:r>
      <w:r w:rsidRPr="00FC1444">
        <w:rPr>
          <w:rFonts w:eastAsiaTheme="minorEastAsia"/>
          <w:b/>
          <w:bCs/>
          <w:kern w:val="21"/>
          <w:szCs w:val="21"/>
        </w:rPr>
        <w:t>本项目与</w:t>
      </w:r>
      <w:r w:rsidRPr="00FC1444">
        <w:rPr>
          <w:rFonts w:eastAsiaTheme="minorEastAsia"/>
          <w:b/>
          <w:szCs w:val="21"/>
        </w:rPr>
        <w:t>《水利建设项目</w:t>
      </w:r>
      <w:r w:rsidRPr="00FC1444">
        <w:rPr>
          <w:rFonts w:eastAsiaTheme="minorEastAsia"/>
          <w:b/>
          <w:szCs w:val="21"/>
        </w:rPr>
        <w:t>(</w:t>
      </w:r>
      <w:r w:rsidRPr="00FC1444">
        <w:rPr>
          <w:rFonts w:eastAsiaTheme="minorEastAsia"/>
          <w:b/>
          <w:szCs w:val="21"/>
        </w:rPr>
        <w:t>灌区工程</w:t>
      </w:r>
      <w:r w:rsidRPr="00FC1444">
        <w:rPr>
          <w:rFonts w:eastAsiaTheme="minorEastAsia"/>
          <w:b/>
          <w:szCs w:val="21"/>
        </w:rPr>
        <w:t>)</w:t>
      </w:r>
      <w:hyperlink r:id="rId15" w:tgtFrame="https://huanbao.bjx.com.cn/news/20180813/_blank" w:history="1">
        <w:r w:rsidRPr="00FC1444">
          <w:rPr>
            <w:rFonts w:eastAsiaTheme="minorEastAsia"/>
            <w:b/>
            <w:szCs w:val="21"/>
          </w:rPr>
          <w:t>环境影响评价文件审批</w:t>
        </w:r>
      </w:hyperlink>
      <w:r w:rsidRPr="00FC1444">
        <w:rPr>
          <w:rFonts w:eastAsiaTheme="minorEastAsia"/>
          <w:b/>
          <w:szCs w:val="21"/>
        </w:rPr>
        <w:t>原则</w:t>
      </w:r>
      <w:r w:rsidRPr="00FC1444">
        <w:rPr>
          <w:rFonts w:eastAsiaTheme="minorEastAsia"/>
          <w:b/>
          <w:szCs w:val="21"/>
        </w:rPr>
        <w:t>(</w:t>
      </w:r>
      <w:r w:rsidRPr="00FC1444">
        <w:rPr>
          <w:rFonts w:eastAsiaTheme="minorEastAsia"/>
          <w:b/>
          <w:szCs w:val="21"/>
        </w:rPr>
        <w:t>试行</w:t>
      </w:r>
      <w:r w:rsidRPr="00FC1444">
        <w:rPr>
          <w:rFonts w:eastAsiaTheme="minorEastAsia"/>
          <w:b/>
          <w:szCs w:val="21"/>
        </w:rPr>
        <w:t>)</w:t>
      </w:r>
      <w:r w:rsidRPr="00FC1444">
        <w:rPr>
          <w:rFonts w:eastAsiaTheme="minorEastAsia"/>
          <w:b/>
          <w:szCs w:val="21"/>
        </w:rPr>
        <w:t>》</w:t>
      </w:r>
      <w:r w:rsidRPr="00FC1444">
        <w:rPr>
          <w:rFonts w:eastAsiaTheme="minorEastAsia"/>
          <w:b/>
          <w:bCs/>
          <w:kern w:val="21"/>
          <w:szCs w:val="21"/>
        </w:rPr>
        <w:t>符合性分析</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90"/>
        <w:gridCol w:w="2962"/>
        <w:gridCol w:w="4107"/>
        <w:gridCol w:w="763"/>
      </w:tblGrid>
      <w:tr w:rsidR="002A5A5E" w:rsidRPr="00FC1444">
        <w:trPr>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序号</w:t>
            </w:r>
          </w:p>
        </w:tc>
        <w:tc>
          <w:tcPr>
            <w:tcW w:w="2962"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相关要求</w:t>
            </w:r>
          </w:p>
        </w:tc>
        <w:tc>
          <w:tcPr>
            <w:tcW w:w="4107"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符合性分析</w:t>
            </w:r>
          </w:p>
        </w:tc>
        <w:tc>
          <w:tcPr>
            <w:tcW w:w="763"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结论</w:t>
            </w:r>
          </w:p>
        </w:tc>
      </w:tr>
      <w:tr w:rsidR="002A5A5E" w:rsidRPr="00FC1444">
        <w:trPr>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1</w:t>
            </w:r>
          </w:p>
        </w:tc>
        <w:tc>
          <w:tcPr>
            <w:tcW w:w="2962" w:type="dxa"/>
            <w:vAlign w:val="center"/>
          </w:tcPr>
          <w:p w:rsidR="002A5A5E" w:rsidRPr="00FC1444" w:rsidRDefault="00611CBA">
            <w:pPr>
              <w:rPr>
                <w:szCs w:val="21"/>
              </w:rPr>
            </w:pPr>
            <w:r w:rsidRPr="00FC1444">
              <w:rPr>
                <w:rStyle w:val="CharChar"/>
                <w:rFonts w:hAnsi="Times New Roman"/>
              </w:rPr>
              <w:t>项目符合生态环境及资源相关法律法规和政策要求，与主体功能区规划、生态功能区划、水（环境）功能区划、水污染防治规划、生态环境保护规划等相协调，项目开发任务、供水量、供水范围和对象、灌区规模、种植结构等主要内容总体符合流域区域综合规划、水资源规划、灌区规划、农业生产规划、节水规划等相关规划及规划环评要求。项目水资源开发利用符合以水定产、以水定地原则，未超出流域区域水资源利用上限，灌溉定额、灌溉用水保证率、灌溉水有效利用系数满足流域区域用水效率控制要求。</w:t>
            </w:r>
          </w:p>
        </w:tc>
        <w:tc>
          <w:tcPr>
            <w:tcW w:w="4107" w:type="dxa"/>
            <w:vAlign w:val="center"/>
          </w:tcPr>
          <w:p w:rsidR="002A5A5E" w:rsidRPr="00FC1444" w:rsidRDefault="00611CBA" w:rsidP="00FD6E06">
            <w:pPr>
              <w:jc w:val="left"/>
              <w:rPr>
                <w:rFonts w:eastAsiaTheme="minorEastAsia"/>
                <w:kern w:val="0"/>
                <w:szCs w:val="21"/>
              </w:rPr>
            </w:pPr>
            <w:r w:rsidRPr="00FC1444">
              <w:rPr>
                <w:rFonts w:eastAsiaTheme="minorEastAsia"/>
                <w:kern w:val="0"/>
                <w:szCs w:val="21"/>
              </w:rPr>
              <w:t>本项目符合现行的环境保护相关法律法规和政策要求，符合黑龙江省主体功能区规划、黑龙江省生态功能区划等要求，符合《全国农业可持续发展规划（</w:t>
            </w:r>
            <w:r w:rsidRPr="00FC1444">
              <w:rPr>
                <w:rFonts w:eastAsiaTheme="minorEastAsia"/>
                <w:kern w:val="0"/>
                <w:szCs w:val="21"/>
              </w:rPr>
              <w:t>2015—2030</w:t>
            </w:r>
            <w:r w:rsidRPr="00FC1444">
              <w:rPr>
                <w:rFonts w:eastAsiaTheme="minorEastAsia"/>
                <w:kern w:val="0"/>
                <w:szCs w:val="21"/>
              </w:rPr>
              <w:t>年）》等；</w:t>
            </w:r>
            <w:bookmarkStart w:id="20" w:name="_Hlk120647572"/>
            <w:bookmarkStart w:id="21" w:name="_Hlk150864959"/>
            <w:r w:rsidRPr="00FC1444">
              <w:rPr>
                <w:rFonts w:eastAsiaTheme="minorEastAsia"/>
                <w:kern w:val="0"/>
                <w:szCs w:val="21"/>
              </w:rPr>
              <w:t>本项目采取节水灌溉制度，</w:t>
            </w:r>
            <w:bookmarkEnd w:id="20"/>
            <w:r w:rsidRPr="00FC1444">
              <w:rPr>
                <w:rFonts w:eastAsiaTheme="minorEastAsia"/>
                <w:kern w:val="0"/>
                <w:szCs w:val="21"/>
              </w:rPr>
              <w:t>未超出地下水资源利用上限，</w:t>
            </w:r>
            <w:r w:rsidR="002E2407" w:rsidRPr="00FC1444">
              <w:rPr>
                <w:rFonts w:eastAsiaTheme="minorEastAsia"/>
                <w:kern w:val="0"/>
                <w:szCs w:val="21"/>
              </w:rPr>
              <w:t>坐水种灌溉水利用系数达到</w:t>
            </w:r>
            <w:r w:rsidR="002E2407" w:rsidRPr="00FC1444">
              <w:rPr>
                <w:rFonts w:eastAsiaTheme="minorEastAsia"/>
                <w:kern w:val="0"/>
                <w:szCs w:val="21"/>
              </w:rPr>
              <w:t>0.</w:t>
            </w:r>
            <w:r w:rsidR="00930C47" w:rsidRPr="00FC1444">
              <w:rPr>
                <w:rFonts w:eastAsiaTheme="minorEastAsia"/>
                <w:kern w:val="0"/>
                <w:szCs w:val="21"/>
              </w:rPr>
              <w:t>8</w:t>
            </w:r>
            <w:r w:rsidR="00930C47" w:rsidRPr="00FC1444">
              <w:rPr>
                <w:rFonts w:eastAsiaTheme="minorEastAsia" w:hint="eastAsia"/>
                <w:kern w:val="0"/>
                <w:szCs w:val="21"/>
              </w:rPr>
              <w:t>5</w:t>
            </w:r>
            <w:r w:rsidR="002E2407" w:rsidRPr="00FC1444">
              <w:rPr>
                <w:rFonts w:eastAsiaTheme="minorEastAsia"/>
                <w:kern w:val="0"/>
                <w:szCs w:val="21"/>
              </w:rPr>
              <w:t>，滴灌灌溉水利用系数达到</w:t>
            </w:r>
            <w:r w:rsidR="002E2407" w:rsidRPr="00FC1444">
              <w:rPr>
                <w:rFonts w:eastAsiaTheme="minorEastAsia"/>
                <w:kern w:val="0"/>
                <w:szCs w:val="21"/>
              </w:rPr>
              <w:t>0.93</w:t>
            </w:r>
            <w:r w:rsidRPr="00FC1444">
              <w:rPr>
                <w:rFonts w:eastAsiaTheme="minorEastAsia"/>
                <w:kern w:val="0"/>
                <w:szCs w:val="21"/>
              </w:rPr>
              <w:t>，均满足相关要求</w:t>
            </w:r>
            <w:bookmarkEnd w:id="21"/>
            <w:r w:rsidRPr="00FC1444">
              <w:rPr>
                <w:rFonts w:eastAsiaTheme="minorEastAsia"/>
                <w:kern w:val="0"/>
                <w:szCs w:val="21"/>
              </w:rPr>
              <w:t>。</w:t>
            </w:r>
          </w:p>
        </w:tc>
        <w:tc>
          <w:tcPr>
            <w:tcW w:w="763"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r w:rsidR="002A5A5E" w:rsidRPr="00FC1444">
        <w:trPr>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2</w:t>
            </w:r>
          </w:p>
        </w:tc>
        <w:tc>
          <w:tcPr>
            <w:tcW w:w="2962" w:type="dxa"/>
            <w:vAlign w:val="center"/>
          </w:tcPr>
          <w:p w:rsidR="002A5A5E" w:rsidRPr="00FC1444" w:rsidRDefault="00611CBA">
            <w:pPr>
              <w:jc w:val="left"/>
              <w:rPr>
                <w:rFonts w:eastAsiaTheme="minorEastAsia"/>
                <w:kern w:val="0"/>
                <w:szCs w:val="21"/>
              </w:rPr>
            </w:pPr>
            <w:r w:rsidRPr="00FC1444">
              <w:rPr>
                <w:rFonts w:eastAsiaTheme="minorEastAsia"/>
                <w:kern w:val="0"/>
                <w:szCs w:val="21"/>
              </w:rPr>
              <w:t>项目选址选线、取</w:t>
            </w:r>
            <w:r w:rsidRPr="00FC1444">
              <w:rPr>
                <w:rFonts w:eastAsiaTheme="minorEastAsia"/>
                <w:kern w:val="0"/>
                <w:szCs w:val="21"/>
              </w:rPr>
              <w:t>(</w:t>
            </w:r>
            <w:r w:rsidRPr="00FC1444">
              <w:rPr>
                <w:rFonts w:eastAsiaTheme="minorEastAsia"/>
                <w:kern w:val="0"/>
                <w:szCs w:val="21"/>
              </w:rPr>
              <w:t>蓄</w:t>
            </w:r>
            <w:r w:rsidRPr="00FC1444">
              <w:rPr>
                <w:rFonts w:eastAsiaTheme="minorEastAsia"/>
                <w:kern w:val="0"/>
                <w:szCs w:val="21"/>
              </w:rPr>
              <w:t>)</w:t>
            </w:r>
            <w:r w:rsidRPr="00FC1444">
              <w:rPr>
                <w:rFonts w:eastAsiaTheme="minorEastAsia"/>
                <w:kern w:val="0"/>
                <w:szCs w:val="21"/>
              </w:rPr>
              <w:t>水工程淹没、施工布置等不占用自然保护区、风景名胜区、世界文化和自然遗产地以及其他生态保护红线中法律法规禁止占用的区域，并与饮用水水源保护区、重要湿地等环境敏感区的保护要求相协调。</w:t>
            </w:r>
          </w:p>
        </w:tc>
        <w:tc>
          <w:tcPr>
            <w:tcW w:w="4107" w:type="dxa"/>
            <w:vAlign w:val="center"/>
          </w:tcPr>
          <w:p w:rsidR="002A5A5E" w:rsidRPr="00FC1444" w:rsidRDefault="00611CBA">
            <w:pPr>
              <w:jc w:val="left"/>
              <w:rPr>
                <w:rFonts w:eastAsiaTheme="minorEastAsia"/>
                <w:kern w:val="0"/>
                <w:szCs w:val="21"/>
              </w:rPr>
            </w:pPr>
            <w:r w:rsidRPr="00FC1444">
              <w:rPr>
                <w:rFonts w:eastAsiaTheme="minorEastAsia"/>
                <w:kern w:val="0"/>
                <w:szCs w:val="21"/>
              </w:rPr>
              <w:t>本项目选址选线、施工布置、临时占地、取料场不占用自然保护区、风景名胜区、世界文化和自然遗产地、重要湿地以及其他生态保护红线中法律法规禁止占用的区域。不在饮用水水源保护区范围内。</w:t>
            </w:r>
          </w:p>
        </w:tc>
        <w:tc>
          <w:tcPr>
            <w:tcW w:w="763"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r w:rsidR="002A5A5E" w:rsidRPr="00FC1444">
        <w:trPr>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3</w:t>
            </w:r>
          </w:p>
        </w:tc>
        <w:tc>
          <w:tcPr>
            <w:tcW w:w="2962" w:type="dxa"/>
            <w:vAlign w:val="center"/>
          </w:tcPr>
          <w:p w:rsidR="002A5A5E" w:rsidRPr="00FC1444" w:rsidRDefault="00611CBA">
            <w:pPr>
              <w:widowControl/>
              <w:jc w:val="left"/>
              <w:textAlignment w:val="bottom"/>
              <w:rPr>
                <w:rFonts w:eastAsiaTheme="minorEastAsia"/>
                <w:szCs w:val="21"/>
              </w:rPr>
            </w:pPr>
            <w:r w:rsidRPr="00FC1444">
              <w:rPr>
                <w:rFonts w:eastAsiaTheme="minorEastAsia"/>
                <w:szCs w:val="21"/>
              </w:rPr>
              <w:t>项目取（蓄）水造成河、湖或水库水文情势改变且带来不利影响的，统筹考虑了上、下游河道水环境、水生生态、景观、湿地等生态用水及生产、生活用水需求，提出了优化取水方案、泄放生态流量、实施在线监控等措施。通过节水、置换等措施获得供水水量的，用水方式和规模具有环境合理性和可行性。采取上述措施后，未造成河道脱水，河道生态环境及生产、生活用水需求能够得到满足。</w:t>
            </w:r>
          </w:p>
        </w:tc>
        <w:tc>
          <w:tcPr>
            <w:tcW w:w="4107" w:type="dxa"/>
            <w:vAlign w:val="center"/>
          </w:tcPr>
          <w:p w:rsidR="002A5A5E" w:rsidRPr="00FC1444" w:rsidRDefault="00611CBA">
            <w:pPr>
              <w:jc w:val="left"/>
              <w:rPr>
                <w:rFonts w:eastAsiaTheme="minorEastAsia"/>
                <w:kern w:val="0"/>
                <w:szCs w:val="21"/>
              </w:rPr>
            </w:pPr>
            <w:r w:rsidRPr="00FC1444">
              <w:rPr>
                <w:rFonts w:eastAsiaTheme="minorEastAsia"/>
                <w:kern w:val="0"/>
                <w:szCs w:val="21"/>
              </w:rPr>
              <w:t>本工程不取用地表水</w:t>
            </w:r>
            <w:r w:rsidRPr="00FC1444">
              <w:rPr>
                <w:rFonts w:eastAsiaTheme="minorEastAsia"/>
                <w:szCs w:val="21"/>
              </w:rPr>
              <w:t>。现有水田依托现有地下水取水水井，</w:t>
            </w:r>
            <w:r w:rsidRPr="00FC1444">
              <w:rPr>
                <w:rFonts w:eastAsiaTheme="minorEastAsia"/>
                <w:kern w:val="0"/>
                <w:szCs w:val="21"/>
              </w:rPr>
              <w:t>本项目实施后，由于灌溉水利用系数的提升、农田保水能力增强以及渠系配套系统的完善，地下水取水量减少。</w:t>
            </w:r>
          </w:p>
        </w:tc>
        <w:tc>
          <w:tcPr>
            <w:tcW w:w="763"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bl>
    <w:p w:rsidR="002A5A5E" w:rsidRPr="00FC1444" w:rsidRDefault="002A5A5E"/>
    <w:p w:rsidR="002A5A5E" w:rsidRPr="00FC1444" w:rsidRDefault="00611CBA">
      <w:pPr>
        <w:keepNext/>
        <w:keepLines/>
        <w:jc w:val="center"/>
        <w:rPr>
          <w:rFonts w:eastAsiaTheme="minorEastAsia"/>
          <w:b/>
          <w:bCs/>
          <w:kern w:val="21"/>
          <w:szCs w:val="21"/>
        </w:rPr>
      </w:pPr>
      <w:r w:rsidRPr="00FC1444">
        <w:rPr>
          <w:rFonts w:eastAsiaTheme="minorEastAsia"/>
          <w:b/>
          <w:bCs/>
          <w:kern w:val="21"/>
          <w:szCs w:val="21"/>
        </w:rPr>
        <w:lastRenderedPageBreak/>
        <w:t>续表</w:t>
      </w:r>
      <w:r w:rsidRPr="00FC1444">
        <w:rPr>
          <w:rFonts w:eastAsiaTheme="minorEastAsia"/>
          <w:b/>
          <w:bCs/>
          <w:kern w:val="21"/>
          <w:szCs w:val="21"/>
        </w:rPr>
        <w:t>1-4-</w:t>
      </w:r>
      <w:r w:rsidR="00C27FC4" w:rsidRPr="00FC1444">
        <w:rPr>
          <w:rFonts w:eastAsiaTheme="minorEastAsia"/>
          <w:b/>
          <w:bCs/>
          <w:kern w:val="21"/>
          <w:szCs w:val="21"/>
        </w:rPr>
        <w:t>8</w:t>
      </w:r>
      <w:r w:rsidRPr="00FC1444">
        <w:rPr>
          <w:rFonts w:eastAsiaTheme="minorEastAsia"/>
          <w:b/>
          <w:bCs/>
          <w:kern w:val="21"/>
          <w:szCs w:val="21"/>
        </w:rPr>
        <w:t>本项目与</w:t>
      </w:r>
      <w:r w:rsidRPr="00FC1444">
        <w:rPr>
          <w:rFonts w:eastAsiaTheme="minorEastAsia"/>
          <w:b/>
          <w:szCs w:val="21"/>
        </w:rPr>
        <w:t>《水利建设项目</w:t>
      </w:r>
      <w:r w:rsidRPr="00FC1444">
        <w:rPr>
          <w:rFonts w:eastAsiaTheme="minorEastAsia"/>
          <w:b/>
          <w:szCs w:val="21"/>
        </w:rPr>
        <w:t>(</w:t>
      </w:r>
      <w:r w:rsidRPr="00FC1444">
        <w:rPr>
          <w:rFonts w:eastAsiaTheme="minorEastAsia"/>
          <w:b/>
          <w:szCs w:val="21"/>
        </w:rPr>
        <w:t>灌区工程</w:t>
      </w:r>
      <w:r w:rsidRPr="00FC1444">
        <w:rPr>
          <w:rFonts w:eastAsiaTheme="minorEastAsia"/>
          <w:b/>
          <w:szCs w:val="21"/>
        </w:rPr>
        <w:t>)</w:t>
      </w:r>
      <w:hyperlink r:id="rId16" w:tgtFrame="https://huanbao.bjx.com.cn/news/20180813/_blank" w:history="1">
        <w:r w:rsidRPr="00FC1444">
          <w:rPr>
            <w:rFonts w:eastAsiaTheme="minorEastAsia"/>
            <w:b/>
            <w:szCs w:val="21"/>
          </w:rPr>
          <w:t>环境影响评价文件审批</w:t>
        </w:r>
      </w:hyperlink>
      <w:r w:rsidRPr="00FC1444">
        <w:rPr>
          <w:rFonts w:eastAsiaTheme="minorEastAsia"/>
          <w:b/>
          <w:szCs w:val="21"/>
        </w:rPr>
        <w:t>原则</w:t>
      </w:r>
      <w:r w:rsidRPr="00FC1444">
        <w:rPr>
          <w:rFonts w:eastAsiaTheme="minorEastAsia"/>
          <w:b/>
          <w:szCs w:val="21"/>
        </w:rPr>
        <w:t>(</w:t>
      </w:r>
      <w:r w:rsidRPr="00FC1444">
        <w:rPr>
          <w:rFonts w:eastAsiaTheme="minorEastAsia"/>
          <w:b/>
          <w:szCs w:val="21"/>
        </w:rPr>
        <w:t>试行</w:t>
      </w:r>
      <w:r w:rsidRPr="00FC1444">
        <w:rPr>
          <w:rFonts w:eastAsiaTheme="minorEastAsia"/>
          <w:b/>
          <w:szCs w:val="21"/>
        </w:rPr>
        <w:t>)</w:t>
      </w:r>
      <w:r w:rsidRPr="00FC1444">
        <w:rPr>
          <w:rFonts w:eastAsiaTheme="minorEastAsia"/>
          <w:b/>
          <w:szCs w:val="21"/>
        </w:rPr>
        <w:t>》</w:t>
      </w:r>
      <w:r w:rsidRPr="00FC1444">
        <w:rPr>
          <w:rFonts w:eastAsiaTheme="minorEastAsia"/>
          <w:b/>
          <w:bCs/>
          <w:kern w:val="21"/>
          <w:szCs w:val="21"/>
        </w:rPr>
        <w:t>符合性分析</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90"/>
        <w:gridCol w:w="2962"/>
        <w:gridCol w:w="4107"/>
        <w:gridCol w:w="763"/>
      </w:tblGrid>
      <w:tr w:rsidR="002A5A5E" w:rsidRPr="00FC1444">
        <w:trPr>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4</w:t>
            </w:r>
          </w:p>
        </w:tc>
        <w:tc>
          <w:tcPr>
            <w:tcW w:w="2962" w:type="dxa"/>
            <w:vAlign w:val="center"/>
          </w:tcPr>
          <w:p w:rsidR="002A5A5E" w:rsidRPr="00FC1444" w:rsidRDefault="00611CBA">
            <w:pPr>
              <w:widowControl/>
              <w:jc w:val="left"/>
              <w:textAlignment w:val="bottom"/>
              <w:rPr>
                <w:rFonts w:eastAsiaTheme="minorEastAsia"/>
                <w:szCs w:val="21"/>
              </w:rPr>
            </w:pPr>
            <w:r w:rsidRPr="00FC1444">
              <w:rPr>
                <w:rStyle w:val="CharChar"/>
                <w:rFonts w:hAnsi="Times New Roman"/>
              </w:rPr>
              <w:t>项目取（蓄）水、输水或灌溉造成周边区域地下水位变化，引起土壤潜育化、沼泽化、盐碱化、沙化或植被退化演替等次生环境问题或造成居民水井、泉水位下降影响居民用水安全的，提出了优化取（蓄）水方案及灌溉方式、渠道防渗、截水导排、生态修复或保障居民供水等措施。灌区土壤存在重金属污染等威胁农产品质量安全问题的，按照土壤环境管理的有关要求，提出了农艺调控、种植结构优化、耕地污染修复、灌溉水源调整或休耕等措施。</w:t>
            </w:r>
          </w:p>
        </w:tc>
        <w:tc>
          <w:tcPr>
            <w:tcW w:w="4107" w:type="dxa"/>
            <w:vAlign w:val="center"/>
          </w:tcPr>
          <w:p w:rsidR="002A5A5E" w:rsidRPr="00FC1444" w:rsidRDefault="00611CBA">
            <w:pPr>
              <w:jc w:val="left"/>
              <w:rPr>
                <w:rFonts w:eastAsiaTheme="minorEastAsia"/>
                <w:bCs/>
                <w:kern w:val="0"/>
                <w:szCs w:val="21"/>
              </w:rPr>
            </w:pPr>
            <w:r w:rsidRPr="00FC1444">
              <w:rPr>
                <w:rFonts w:eastAsiaTheme="minorEastAsia"/>
                <w:bCs/>
                <w:kern w:val="0"/>
                <w:szCs w:val="21"/>
              </w:rPr>
              <w:t>论证区开采后地下水流场没有发生大的变化。受区域地形地貌、气候特征及土壤条件影响，项目区地下水含水层的大气降水垂直入渗补给条件较好，含水层调节能力强。根据已批复水资源论证报告书预测结果，井群连续开采最大水位降深为</w:t>
            </w:r>
            <w:r w:rsidR="00400760" w:rsidRPr="00FC1444">
              <w:rPr>
                <w:rFonts w:eastAsiaTheme="minorEastAsia"/>
                <w:bCs/>
                <w:kern w:val="0"/>
                <w:szCs w:val="21"/>
              </w:rPr>
              <w:t>0.016</w:t>
            </w:r>
            <w:r w:rsidR="00400760" w:rsidRPr="00FC1444">
              <w:rPr>
                <w:rFonts w:eastAsiaTheme="minorEastAsia"/>
                <w:bCs/>
                <w:kern w:val="0"/>
                <w:szCs w:val="21"/>
              </w:rPr>
              <w:t>～</w:t>
            </w:r>
            <w:r w:rsidR="00400760" w:rsidRPr="00FC1444">
              <w:rPr>
                <w:rFonts w:eastAsiaTheme="minorEastAsia"/>
                <w:bCs/>
                <w:kern w:val="0"/>
                <w:szCs w:val="21"/>
              </w:rPr>
              <w:t>0.021m</w:t>
            </w:r>
            <w:r w:rsidRPr="00FC1444">
              <w:rPr>
                <w:rFonts w:eastAsiaTheme="minorEastAsia"/>
                <w:bCs/>
                <w:kern w:val="0"/>
                <w:szCs w:val="21"/>
              </w:rPr>
              <w:t>，</w:t>
            </w:r>
            <w:r w:rsidR="00FD6E06" w:rsidRPr="00FC1444">
              <w:rPr>
                <w:rFonts w:eastAsiaTheme="minorEastAsia"/>
                <w:bCs/>
                <w:kern w:val="0"/>
                <w:szCs w:val="21"/>
              </w:rPr>
              <w:t>小于</w:t>
            </w:r>
            <w:r w:rsidR="00FD6E06" w:rsidRPr="00FC1444">
              <w:rPr>
                <w:rFonts w:eastAsiaTheme="minorEastAsia"/>
                <w:bCs/>
                <w:kern w:val="0"/>
                <w:szCs w:val="21"/>
              </w:rPr>
              <w:t>0.1m</w:t>
            </w:r>
            <w:r w:rsidRPr="00FC1444">
              <w:rPr>
                <w:rFonts w:eastAsiaTheme="minorEastAsia"/>
                <w:bCs/>
                <w:kern w:val="0"/>
                <w:szCs w:val="21"/>
              </w:rPr>
              <w:t>，小于含水层厚度</w:t>
            </w:r>
            <w:r w:rsidRPr="00FC1444">
              <w:rPr>
                <w:rFonts w:eastAsiaTheme="minorEastAsia"/>
                <w:bCs/>
                <w:kern w:val="0"/>
                <w:szCs w:val="21"/>
              </w:rPr>
              <w:t>30m</w:t>
            </w:r>
            <w:r w:rsidRPr="00FC1444">
              <w:rPr>
                <w:rFonts w:eastAsiaTheme="minorEastAsia"/>
                <w:bCs/>
                <w:kern w:val="0"/>
                <w:szCs w:val="21"/>
              </w:rPr>
              <w:t>的三分之一，故项目取水造成的地下水水位降深在允许范围内。项目实际开采为非持续性，且开采期为每年的</w:t>
            </w:r>
            <w:r w:rsidRPr="00FC1444">
              <w:rPr>
                <w:rFonts w:eastAsiaTheme="minorEastAsia"/>
                <w:bCs/>
                <w:kern w:val="0"/>
                <w:szCs w:val="21"/>
              </w:rPr>
              <w:t>5-7</w:t>
            </w:r>
            <w:r w:rsidRPr="00FC1444">
              <w:rPr>
                <w:rFonts w:eastAsiaTheme="minorEastAsia"/>
                <w:bCs/>
                <w:kern w:val="0"/>
                <w:szCs w:val="21"/>
              </w:rPr>
              <w:t>月，随着</w:t>
            </w:r>
            <w:r w:rsidRPr="00FC1444">
              <w:rPr>
                <w:rFonts w:eastAsiaTheme="minorEastAsia"/>
                <w:bCs/>
                <w:kern w:val="0"/>
                <w:szCs w:val="21"/>
              </w:rPr>
              <w:t>7</w:t>
            </w:r>
            <w:r w:rsidRPr="00FC1444">
              <w:rPr>
                <w:rFonts w:eastAsiaTheme="minorEastAsia"/>
                <w:bCs/>
                <w:kern w:val="0"/>
                <w:szCs w:val="21"/>
              </w:rPr>
              <w:t>月份丰水期的到来，得益于对地下水良好的补给条件，以丰补歉，项目取水水源地所在区域含水层厚度较大，富水性较好，水量和水质条件均能够满足项目用水要求</w:t>
            </w:r>
            <w:r w:rsidR="00760E2B" w:rsidRPr="00FC1444">
              <w:rPr>
                <w:rStyle w:val="CharChar"/>
                <w:rFonts w:hAnsi="Times New Roman"/>
              </w:rPr>
              <w:t>；根据现状对土壤的监测结果</w:t>
            </w:r>
            <w:r w:rsidRPr="00FC1444">
              <w:rPr>
                <w:rStyle w:val="CharChar"/>
                <w:rFonts w:hAnsi="Times New Roman"/>
              </w:rPr>
              <w:t>，灌区土壤不存在重金属污染问题，工程建成后通过减少化肥使用量、测土配方施肥等措施，使土壤质量持续改善。</w:t>
            </w:r>
            <w:r w:rsidR="00D61453" w:rsidRPr="00FC1444">
              <w:rPr>
                <w:rStyle w:val="CharChar"/>
                <w:rFonts w:hAnsi="Times New Roman"/>
              </w:rPr>
              <w:t>田块整治</w:t>
            </w:r>
            <w:r w:rsidRPr="00FC1444">
              <w:rPr>
                <w:rStyle w:val="CharChar"/>
                <w:rFonts w:hAnsi="Times New Roman"/>
              </w:rPr>
              <w:t>工程实施后，可对新建区的盐碱土壤进行改良，可使土壤容重降低，总孔隙度提升，通气性和透水性显著改善，减少地表积水和次生盐渍化风险。改良前盐碱土黏粒含量高，干时坚硬、湿时泥泞，耕作阻力大，调理剂通过分散黏粒团聚，降低土壤黏结力，使耕作层更疏松，利于农机作业和作物根系穿插。</w:t>
            </w:r>
          </w:p>
        </w:tc>
        <w:tc>
          <w:tcPr>
            <w:tcW w:w="763"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r w:rsidR="002A5A5E" w:rsidRPr="00FC1444">
        <w:trPr>
          <w:trHeight w:val="3300"/>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5</w:t>
            </w:r>
          </w:p>
        </w:tc>
        <w:tc>
          <w:tcPr>
            <w:tcW w:w="2962" w:type="dxa"/>
            <w:vAlign w:val="center"/>
          </w:tcPr>
          <w:p w:rsidR="002A5A5E" w:rsidRPr="00FC1444" w:rsidRDefault="00611CBA" w:rsidP="00772BB1">
            <w:pPr>
              <w:spacing w:line="0" w:lineRule="atLeast"/>
              <w:jc w:val="left"/>
              <w:rPr>
                <w:rFonts w:eastAsiaTheme="minorEastAsia"/>
                <w:kern w:val="0"/>
                <w:szCs w:val="21"/>
              </w:rPr>
            </w:pPr>
            <w:r w:rsidRPr="00FC1444">
              <w:rPr>
                <w:rFonts w:eastAsiaTheme="minorEastAsia"/>
                <w:kern w:val="0"/>
                <w:szCs w:val="21"/>
              </w:rPr>
              <w:t>项目取</w:t>
            </w:r>
            <w:r w:rsidRPr="00FC1444">
              <w:rPr>
                <w:rFonts w:eastAsiaTheme="minorEastAsia"/>
                <w:kern w:val="0"/>
                <w:szCs w:val="21"/>
              </w:rPr>
              <w:t>(</w:t>
            </w:r>
            <w:r w:rsidRPr="00FC1444">
              <w:rPr>
                <w:rFonts w:eastAsiaTheme="minorEastAsia"/>
                <w:kern w:val="0"/>
                <w:szCs w:val="21"/>
              </w:rPr>
              <w:t>输</w:t>
            </w:r>
            <w:r w:rsidRPr="00FC1444">
              <w:rPr>
                <w:rFonts w:eastAsiaTheme="minorEastAsia"/>
                <w:kern w:val="0"/>
                <w:szCs w:val="21"/>
              </w:rPr>
              <w:t>)</w:t>
            </w:r>
            <w:r w:rsidRPr="00FC1444">
              <w:rPr>
                <w:rFonts w:eastAsiaTheme="minorEastAsia"/>
                <w:kern w:val="0"/>
                <w:szCs w:val="21"/>
              </w:rPr>
              <w:t>水水质、水温满足灌溉水质和农作物生长要求。项目灌区农药化肥施用以及灌溉退水等对水环境造成污染的，提出了测土配方施肥、水肥一体化、控制农药与化肥施用种类及数量，以及建设生态沟渠、人工湿地、污水净化塘等措施。</w:t>
            </w:r>
          </w:p>
        </w:tc>
        <w:tc>
          <w:tcPr>
            <w:tcW w:w="4107" w:type="dxa"/>
            <w:vAlign w:val="center"/>
          </w:tcPr>
          <w:p w:rsidR="002A5A5E" w:rsidRPr="00FC1444" w:rsidRDefault="00611CBA" w:rsidP="00772BB1">
            <w:pPr>
              <w:spacing w:line="0" w:lineRule="atLeast"/>
              <w:jc w:val="left"/>
              <w:rPr>
                <w:rFonts w:eastAsiaTheme="minorEastAsia"/>
                <w:kern w:val="0"/>
                <w:szCs w:val="21"/>
              </w:rPr>
            </w:pPr>
            <w:r w:rsidRPr="00FC1444">
              <w:rPr>
                <w:rFonts w:eastAsiaTheme="minorEastAsia"/>
                <w:kern w:val="0"/>
                <w:szCs w:val="21"/>
              </w:rPr>
              <w:t>项目区灌溉用水水质满足《农田灌溉水质标准》（</w:t>
            </w:r>
            <w:r w:rsidRPr="00FC1444">
              <w:rPr>
                <w:rFonts w:eastAsiaTheme="minorEastAsia"/>
                <w:kern w:val="0"/>
                <w:szCs w:val="21"/>
              </w:rPr>
              <w:t>GB5084-2021</w:t>
            </w:r>
            <w:r w:rsidRPr="00FC1444">
              <w:rPr>
                <w:rFonts w:eastAsiaTheme="minorEastAsia"/>
                <w:kern w:val="0"/>
                <w:szCs w:val="21"/>
              </w:rPr>
              <w:t>）旱田灌溉用水标准，符合农业灌溉水质标准。</w:t>
            </w:r>
          </w:p>
          <w:p w:rsidR="002A5A5E" w:rsidRPr="00FC1444" w:rsidRDefault="008249D3" w:rsidP="007A282C">
            <w:pPr>
              <w:spacing w:line="0" w:lineRule="atLeast"/>
              <w:jc w:val="left"/>
              <w:rPr>
                <w:rFonts w:eastAsiaTheme="minorEastAsia"/>
                <w:kern w:val="0"/>
                <w:szCs w:val="21"/>
              </w:rPr>
            </w:pPr>
            <w:r w:rsidRPr="00FC1444">
              <w:rPr>
                <w:rFonts w:eastAsiaTheme="minorEastAsia"/>
                <w:kern w:val="0"/>
                <w:szCs w:val="21"/>
              </w:rPr>
              <w:t>项目的地表水退水口利用现有。本项目实施后，不新增水田</w:t>
            </w:r>
            <w:r w:rsidR="00611CBA" w:rsidRPr="00FC1444">
              <w:rPr>
                <w:rFonts w:eastAsiaTheme="minorEastAsia"/>
                <w:kern w:val="0"/>
                <w:szCs w:val="21"/>
              </w:rPr>
              <w:t>面积，由于灌溉水利用系数的提升、农田保水能力增强以及渠系配套系统的完善，</w:t>
            </w:r>
            <w:r w:rsidR="00E008D1" w:rsidRPr="00FC1444">
              <w:rPr>
                <w:rFonts w:eastAsiaTheme="minorEastAsia"/>
                <w:kern w:val="0"/>
                <w:szCs w:val="21"/>
              </w:rPr>
              <w:t>项目建成后灌区年退水量与现状相比减少</w:t>
            </w:r>
            <w:r w:rsidR="00E008D1" w:rsidRPr="00FC1444">
              <w:rPr>
                <w:rFonts w:eastAsiaTheme="minorEastAsia"/>
                <w:kern w:val="0"/>
                <w:szCs w:val="21"/>
              </w:rPr>
              <w:t>431</w:t>
            </w:r>
            <w:r w:rsidR="00E008D1" w:rsidRPr="00FC1444">
              <w:rPr>
                <w:rFonts w:eastAsiaTheme="minorEastAsia"/>
                <w:kern w:val="0"/>
                <w:szCs w:val="21"/>
              </w:rPr>
              <w:t>万</w:t>
            </w:r>
            <w:r w:rsidR="00611CBA" w:rsidRPr="00FC1444">
              <w:rPr>
                <w:rFonts w:eastAsiaTheme="minorEastAsia"/>
                <w:kern w:val="0"/>
                <w:szCs w:val="21"/>
              </w:rPr>
              <w:t>m</w:t>
            </w:r>
            <w:r w:rsidR="00611CBA" w:rsidRPr="00FC1444">
              <w:rPr>
                <w:rFonts w:eastAsiaTheme="minorEastAsia"/>
                <w:kern w:val="0"/>
                <w:szCs w:val="21"/>
                <w:vertAlign w:val="superscript"/>
              </w:rPr>
              <w:t>3</w:t>
            </w:r>
            <w:r w:rsidR="00611CBA" w:rsidRPr="00FC1444">
              <w:rPr>
                <w:rFonts w:eastAsiaTheme="minorEastAsia"/>
                <w:kern w:val="0"/>
                <w:szCs w:val="21"/>
              </w:rPr>
              <w:t>。</w:t>
            </w:r>
            <w:r w:rsidR="00C341EA" w:rsidRPr="00FC1444">
              <w:rPr>
                <w:rFonts w:eastAsiaTheme="minorEastAsia"/>
                <w:bCs/>
                <w:kern w:val="0"/>
                <w:szCs w:val="21"/>
              </w:rPr>
              <w:t>COD</w:t>
            </w:r>
            <w:r w:rsidR="00C341EA" w:rsidRPr="00FC1444">
              <w:rPr>
                <w:rFonts w:eastAsiaTheme="minorEastAsia"/>
                <w:bCs/>
                <w:kern w:val="0"/>
                <w:szCs w:val="21"/>
              </w:rPr>
              <w:t>、氨氮、总磷及总氮排放量分别减少</w:t>
            </w:r>
            <w:r w:rsidR="00C341EA" w:rsidRPr="00FC1444">
              <w:rPr>
                <w:rFonts w:eastAsiaTheme="minorEastAsia"/>
                <w:bCs/>
                <w:kern w:val="0"/>
                <w:szCs w:val="21"/>
              </w:rPr>
              <w:t>227.137t/a</w:t>
            </w:r>
            <w:r w:rsidR="00C341EA" w:rsidRPr="00FC1444">
              <w:rPr>
                <w:rFonts w:eastAsiaTheme="minorEastAsia"/>
                <w:bCs/>
                <w:kern w:val="0"/>
                <w:szCs w:val="21"/>
              </w:rPr>
              <w:t>、</w:t>
            </w:r>
            <w:r w:rsidR="00C341EA" w:rsidRPr="00FC1444">
              <w:rPr>
                <w:rFonts w:eastAsiaTheme="minorEastAsia"/>
                <w:bCs/>
                <w:kern w:val="0"/>
                <w:szCs w:val="21"/>
              </w:rPr>
              <w:t>5.431t/a</w:t>
            </w:r>
            <w:r w:rsidR="00C341EA" w:rsidRPr="00FC1444">
              <w:rPr>
                <w:rFonts w:eastAsiaTheme="minorEastAsia"/>
                <w:bCs/>
                <w:kern w:val="0"/>
                <w:szCs w:val="21"/>
              </w:rPr>
              <w:t>、</w:t>
            </w:r>
            <w:r w:rsidR="00C341EA" w:rsidRPr="00FC1444">
              <w:rPr>
                <w:rFonts w:eastAsiaTheme="minorEastAsia"/>
                <w:bCs/>
                <w:kern w:val="0"/>
                <w:szCs w:val="21"/>
              </w:rPr>
              <w:t>7.93t/a</w:t>
            </w:r>
            <w:r w:rsidR="00C341EA" w:rsidRPr="00FC1444">
              <w:rPr>
                <w:rFonts w:eastAsiaTheme="minorEastAsia"/>
                <w:bCs/>
                <w:kern w:val="0"/>
                <w:szCs w:val="21"/>
              </w:rPr>
              <w:t>、</w:t>
            </w:r>
            <w:r w:rsidR="00C341EA" w:rsidRPr="00FC1444">
              <w:rPr>
                <w:rFonts w:eastAsiaTheme="minorEastAsia"/>
                <w:bCs/>
                <w:kern w:val="0"/>
                <w:szCs w:val="21"/>
              </w:rPr>
              <w:t>18.102t/a</w:t>
            </w:r>
            <w:r w:rsidR="00C341EA" w:rsidRPr="00FC1444">
              <w:rPr>
                <w:rFonts w:eastAsiaTheme="minorEastAsia"/>
                <w:bCs/>
                <w:kern w:val="0"/>
                <w:szCs w:val="21"/>
              </w:rPr>
              <w:t>。</w:t>
            </w:r>
            <w:r w:rsidR="00611CBA" w:rsidRPr="00FC1444">
              <w:rPr>
                <w:rFonts w:eastAsiaTheme="minorEastAsia"/>
                <w:kern w:val="0"/>
                <w:szCs w:val="21"/>
              </w:rPr>
              <w:t>项目施行</w:t>
            </w:r>
            <w:r w:rsidR="00611CBA" w:rsidRPr="00FC1444">
              <w:rPr>
                <w:rFonts w:eastAsiaTheme="minorEastAsia"/>
                <w:kern w:val="0"/>
                <w:szCs w:val="21"/>
              </w:rPr>
              <w:t>“</w:t>
            </w:r>
            <w:r w:rsidR="00611CBA" w:rsidRPr="00FC1444">
              <w:rPr>
                <w:rFonts w:eastAsiaTheme="minorEastAsia"/>
                <w:kern w:val="0"/>
                <w:szCs w:val="21"/>
              </w:rPr>
              <w:t>三减</w:t>
            </w:r>
            <w:r w:rsidR="00611CBA" w:rsidRPr="00FC1444">
              <w:rPr>
                <w:rFonts w:eastAsiaTheme="minorEastAsia"/>
                <w:kern w:val="0"/>
                <w:szCs w:val="21"/>
              </w:rPr>
              <w:t>”</w:t>
            </w:r>
            <w:r w:rsidR="00611CBA" w:rsidRPr="00FC1444">
              <w:rPr>
                <w:rFonts w:eastAsiaTheme="minorEastAsia"/>
                <w:kern w:val="0"/>
                <w:szCs w:val="21"/>
              </w:rPr>
              <w:t>行动，即减化肥、减农药、减除草剂，积极推广科学施肥，使化肥、农药实现减量化施用，增加有机肥的施用，优化调整农药施用结构，</w:t>
            </w:r>
            <w:r w:rsidR="00611CBA" w:rsidRPr="00FC1444">
              <w:rPr>
                <w:rFonts w:eastAsiaTheme="minorEastAsia"/>
                <w:kern w:val="0"/>
              </w:rPr>
              <w:t>提出测土配方施肥、水肥一体化、控制农药与化肥施用种类及数量</w:t>
            </w:r>
            <w:r w:rsidR="00611CBA" w:rsidRPr="00FC1444">
              <w:rPr>
                <w:rFonts w:eastAsiaTheme="minorEastAsia"/>
                <w:kern w:val="0"/>
                <w:szCs w:val="21"/>
              </w:rPr>
              <w:t>措施，减轻对灌区下游水环境的污染。故工程实施后对</w:t>
            </w:r>
            <w:r w:rsidR="00E456D6" w:rsidRPr="00FC1444">
              <w:rPr>
                <w:rFonts w:eastAsiaTheme="minorEastAsia"/>
                <w:kern w:val="0"/>
                <w:szCs w:val="21"/>
              </w:rPr>
              <w:t>呼兰河、津河及努敏河</w:t>
            </w:r>
            <w:r w:rsidR="00611CBA" w:rsidRPr="00FC1444">
              <w:rPr>
                <w:rFonts w:eastAsiaTheme="minorEastAsia"/>
                <w:kern w:val="0"/>
                <w:szCs w:val="21"/>
              </w:rPr>
              <w:t>水生生态环境起到一定改善作用。</w:t>
            </w:r>
          </w:p>
        </w:tc>
        <w:tc>
          <w:tcPr>
            <w:tcW w:w="763"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bl>
    <w:p w:rsidR="002A5A5E" w:rsidRPr="00FC1444" w:rsidRDefault="002A5A5E"/>
    <w:p w:rsidR="002A5A5E" w:rsidRPr="00FC1444" w:rsidRDefault="00611CBA">
      <w:pPr>
        <w:keepNext/>
        <w:keepLines/>
        <w:jc w:val="center"/>
        <w:rPr>
          <w:rFonts w:eastAsiaTheme="minorEastAsia"/>
          <w:b/>
          <w:bCs/>
          <w:kern w:val="21"/>
          <w:szCs w:val="21"/>
        </w:rPr>
      </w:pPr>
      <w:r w:rsidRPr="00FC1444">
        <w:rPr>
          <w:rFonts w:eastAsiaTheme="minorEastAsia"/>
          <w:b/>
          <w:bCs/>
          <w:kern w:val="21"/>
          <w:szCs w:val="21"/>
        </w:rPr>
        <w:lastRenderedPageBreak/>
        <w:t>续表</w:t>
      </w:r>
      <w:r w:rsidRPr="00FC1444">
        <w:rPr>
          <w:rFonts w:eastAsiaTheme="minorEastAsia"/>
          <w:b/>
          <w:bCs/>
          <w:kern w:val="21"/>
          <w:szCs w:val="21"/>
        </w:rPr>
        <w:t>1-4-</w:t>
      </w:r>
      <w:r w:rsidR="00C27FC4" w:rsidRPr="00FC1444">
        <w:rPr>
          <w:rFonts w:eastAsiaTheme="minorEastAsia"/>
          <w:b/>
          <w:bCs/>
          <w:kern w:val="21"/>
          <w:szCs w:val="21"/>
        </w:rPr>
        <w:t>8</w:t>
      </w:r>
      <w:r w:rsidRPr="00FC1444">
        <w:rPr>
          <w:rFonts w:eastAsiaTheme="minorEastAsia"/>
          <w:b/>
          <w:bCs/>
          <w:kern w:val="21"/>
          <w:szCs w:val="21"/>
        </w:rPr>
        <w:t>本项目与</w:t>
      </w:r>
      <w:r w:rsidRPr="00FC1444">
        <w:rPr>
          <w:rFonts w:eastAsiaTheme="minorEastAsia"/>
          <w:b/>
          <w:szCs w:val="21"/>
        </w:rPr>
        <w:t>《水利建设项目</w:t>
      </w:r>
      <w:r w:rsidRPr="00FC1444">
        <w:rPr>
          <w:rFonts w:eastAsiaTheme="minorEastAsia"/>
          <w:b/>
          <w:szCs w:val="21"/>
        </w:rPr>
        <w:t>(</w:t>
      </w:r>
      <w:r w:rsidRPr="00FC1444">
        <w:rPr>
          <w:rFonts w:eastAsiaTheme="minorEastAsia"/>
          <w:b/>
          <w:szCs w:val="21"/>
        </w:rPr>
        <w:t>灌区工程</w:t>
      </w:r>
      <w:r w:rsidRPr="00FC1444">
        <w:rPr>
          <w:rFonts w:eastAsiaTheme="minorEastAsia"/>
          <w:b/>
          <w:szCs w:val="21"/>
        </w:rPr>
        <w:t>)</w:t>
      </w:r>
      <w:hyperlink r:id="rId17" w:tgtFrame="https://huanbao.bjx.com.cn/news/20180813/_blank" w:history="1">
        <w:r w:rsidRPr="00FC1444">
          <w:rPr>
            <w:rFonts w:eastAsiaTheme="minorEastAsia"/>
            <w:b/>
            <w:szCs w:val="21"/>
          </w:rPr>
          <w:t>环境影响评价文件审批</w:t>
        </w:r>
      </w:hyperlink>
      <w:r w:rsidRPr="00FC1444">
        <w:rPr>
          <w:rFonts w:eastAsiaTheme="minorEastAsia"/>
          <w:b/>
          <w:szCs w:val="21"/>
        </w:rPr>
        <w:t>原则</w:t>
      </w:r>
      <w:r w:rsidRPr="00FC1444">
        <w:rPr>
          <w:rFonts w:eastAsiaTheme="minorEastAsia"/>
          <w:b/>
          <w:szCs w:val="21"/>
        </w:rPr>
        <w:t>(</w:t>
      </w:r>
      <w:r w:rsidRPr="00FC1444">
        <w:rPr>
          <w:rFonts w:eastAsiaTheme="minorEastAsia"/>
          <w:b/>
          <w:szCs w:val="21"/>
        </w:rPr>
        <w:t>试行</w:t>
      </w:r>
      <w:r w:rsidRPr="00FC1444">
        <w:rPr>
          <w:rFonts w:eastAsiaTheme="minorEastAsia"/>
          <w:b/>
          <w:szCs w:val="21"/>
        </w:rPr>
        <w:t>)</w:t>
      </w:r>
      <w:r w:rsidRPr="00FC1444">
        <w:rPr>
          <w:rFonts w:eastAsiaTheme="minorEastAsia"/>
          <w:b/>
          <w:szCs w:val="21"/>
        </w:rPr>
        <w:t>》</w:t>
      </w:r>
      <w:r w:rsidRPr="00FC1444">
        <w:rPr>
          <w:rFonts w:eastAsiaTheme="minorEastAsia"/>
          <w:b/>
          <w:bCs/>
          <w:kern w:val="21"/>
          <w:szCs w:val="21"/>
        </w:rPr>
        <w:t>符合性分析</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90"/>
        <w:gridCol w:w="2962"/>
        <w:gridCol w:w="4107"/>
        <w:gridCol w:w="763"/>
      </w:tblGrid>
      <w:tr w:rsidR="002A5A5E" w:rsidRPr="00FC1444">
        <w:trPr>
          <w:trHeight w:val="6189"/>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6</w:t>
            </w:r>
          </w:p>
        </w:tc>
        <w:tc>
          <w:tcPr>
            <w:tcW w:w="2962" w:type="dxa"/>
            <w:vAlign w:val="center"/>
          </w:tcPr>
          <w:p w:rsidR="002A5A5E" w:rsidRPr="00FC1444" w:rsidRDefault="00611CBA">
            <w:pPr>
              <w:jc w:val="left"/>
              <w:rPr>
                <w:rFonts w:eastAsiaTheme="minorEastAsia"/>
                <w:kern w:val="0"/>
                <w:szCs w:val="21"/>
              </w:rPr>
            </w:pPr>
            <w:r w:rsidRPr="00FC1444">
              <w:rPr>
                <w:rFonts w:eastAsiaTheme="minorEastAsia"/>
                <w:smallCaps/>
              </w:rPr>
              <w:t>对湿地、陆生生态系统及珍稀保护陆生动植物造成不利影响的，提出了优化工程设计、合理安排工期、建设或保留动物迁移通道、异地保护、就地保护、生态修复等措施。可能引起灌区及周边土地退化的，提出了轮作、休耕等措施。项目对水生生态系统及鱼类等造成不利影响的，提出了优化工程设计及调度、拦河闸坝建设过鱼设施、引水渠首设置拦鱼设施、栖息地保护修复、增殖放流等措施。项目对景观产生不利影响的，提出了避让、优化设计、景观塑造等措施。</w:t>
            </w:r>
          </w:p>
        </w:tc>
        <w:tc>
          <w:tcPr>
            <w:tcW w:w="4107" w:type="dxa"/>
            <w:vAlign w:val="center"/>
          </w:tcPr>
          <w:p w:rsidR="002A5A5E" w:rsidRPr="00FC1444" w:rsidRDefault="00611CBA">
            <w:pPr>
              <w:jc w:val="left"/>
              <w:rPr>
                <w:rFonts w:eastAsiaTheme="minorEastAsia"/>
                <w:kern w:val="0"/>
                <w:szCs w:val="21"/>
              </w:rPr>
            </w:pPr>
            <w:r w:rsidRPr="00FC1444">
              <w:rPr>
                <w:rFonts w:eastAsiaTheme="minorEastAsia"/>
                <w:kern w:val="0"/>
                <w:szCs w:val="21"/>
              </w:rPr>
              <w:t>本项目</w:t>
            </w:r>
            <w:r w:rsidRPr="00FC1444">
              <w:rPr>
                <w:rFonts w:eastAsiaTheme="minorEastAsia"/>
                <w:smallCaps/>
              </w:rPr>
              <w:t>合理安排工期，排水沟清淤、衬砌、建筑物工程、灌溉渠道衬砌等涉水工程于枯水期施工，避免对地表水体及水生生物的影响。</w:t>
            </w:r>
            <w:r w:rsidRPr="00FC1444">
              <w:rPr>
                <w:rFonts w:eastAsiaTheme="minorEastAsia"/>
                <w:kern w:val="0"/>
                <w:szCs w:val="21"/>
              </w:rPr>
              <w:t>项目实施后，由于灌溉水利用系数的提升、农田保水能力增强以及渠系配套系统的完善，地表水退水量减少，相应污染物入河量与现状相比也有一定程度的削减。项目施行</w:t>
            </w:r>
            <w:r w:rsidRPr="00FC1444">
              <w:rPr>
                <w:rFonts w:eastAsiaTheme="minorEastAsia"/>
                <w:kern w:val="0"/>
                <w:szCs w:val="21"/>
              </w:rPr>
              <w:t>“</w:t>
            </w:r>
            <w:r w:rsidRPr="00FC1444">
              <w:rPr>
                <w:rFonts w:eastAsiaTheme="minorEastAsia"/>
                <w:kern w:val="0"/>
                <w:szCs w:val="21"/>
              </w:rPr>
              <w:t>三减</w:t>
            </w:r>
            <w:r w:rsidRPr="00FC1444">
              <w:rPr>
                <w:rFonts w:eastAsiaTheme="minorEastAsia"/>
                <w:kern w:val="0"/>
                <w:szCs w:val="21"/>
              </w:rPr>
              <w:t>”</w:t>
            </w:r>
            <w:r w:rsidRPr="00FC1444">
              <w:rPr>
                <w:rFonts w:eastAsiaTheme="minorEastAsia"/>
                <w:kern w:val="0"/>
                <w:szCs w:val="21"/>
              </w:rPr>
              <w:t>行动，即减化肥、减农药、减除草剂，积极推广科学施肥，使化肥、农药实现减量化施用，增加有机肥的施用，优化调整农药施用结构，控制农药施用量，</w:t>
            </w:r>
            <w:r w:rsidRPr="00FC1444">
              <w:rPr>
                <w:rStyle w:val="CharChar"/>
                <w:rFonts w:hAnsi="Times New Roman"/>
              </w:rPr>
              <w:t>采取测土配方施肥、水肥一体化措施</w:t>
            </w:r>
            <w:r w:rsidRPr="00FC1444">
              <w:rPr>
                <w:rFonts w:eastAsiaTheme="minorEastAsia"/>
                <w:kern w:val="0"/>
              </w:rPr>
              <w:t>，</w:t>
            </w:r>
            <w:r w:rsidRPr="00FC1444">
              <w:rPr>
                <w:rFonts w:eastAsiaTheme="minorEastAsia"/>
                <w:kern w:val="0"/>
                <w:szCs w:val="21"/>
              </w:rPr>
              <w:t>充分利用高效节水技术灌溉，减少对水环境、生态环境等造成的不利影响。</w:t>
            </w:r>
          </w:p>
        </w:tc>
        <w:tc>
          <w:tcPr>
            <w:tcW w:w="763"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bl>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2A5A5E"/>
    <w:p w:rsidR="002A5A5E" w:rsidRPr="00FC1444" w:rsidRDefault="00611CBA">
      <w:pPr>
        <w:keepNext/>
        <w:keepLines/>
        <w:jc w:val="center"/>
        <w:rPr>
          <w:rFonts w:eastAsiaTheme="minorEastAsia"/>
          <w:b/>
          <w:bCs/>
          <w:kern w:val="21"/>
          <w:szCs w:val="21"/>
        </w:rPr>
      </w:pPr>
      <w:r w:rsidRPr="00FC1444">
        <w:rPr>
          <w:rFonts w:eastAsiaTheme="minorEastAsia"/>
          <w:b/>
          <w:bCs/>
          <w:kern w:val="21"/>
          <w:szCs w:val="21"/>
        </w:rPr>
        <w:lastRenderedPageBreak/>
        <w:t>续表</w:t>
      </w:r>
      <w:r w:rsidRPr="00FC1444">
        <w:rPr>
          <w:rFonts w:eastAsiaTheme="minorEastAsia"/>
          <w:b/>
          <w:bCs/>
          <w:kern w:val="21"/>
          <w:szCs w:val="21"/>
        </w:rPr>
        <w:t>1-4-</w:t>
      </w:r>
      <w:r w:rsidR="00C27FC4" w:rsidRPr="00FC1444">
        <w:rPr>
          <w:rFonts w:eastAsiaTheme="minorEastAsia"/>
          <w:b/>
          <w:bCs/>
          <w:kern w:val="21"/>
          <w:szCs w:val="21"/>
        </w:rPr>
        <w:t>8</w:t>
      </w:r>
      <w:r w:rsidRPr="00FC1444">
        <w:rPr>
          <w:rFonts w:eastAsiaTheme="minorEastAsia"/>
          <w:b/>
          <w:bCs/>
          <w:kern w:val="21"/>
          <w:szCs w:val="21"/>
        </w:rPr>
        <w:t>本项目与</w:t>
      </w:r>
      <w:r w:rsidRPr="00FC1444">
        <w:rPr>
          <w:rFonts w:eastAsiaTheme="minorEastAsia"/>
          <w:b/>
          <w:szCs w:val="21"/>
        </w:rPr>
        <w:t>《水利建设项目</w:t>
      </w:r>
      <w:r w:rsidRPr="00FC1444">
        <w:rPr>
          <w:rFonts w:eastAsiaTheme="minorEastAsia"/>
          <w:b/>
          <w:szCs w:val="21"/>
        </w:rPr>
        <w:t>(</w:t>
      </w:r>
      <w:r w:rsidRPr="00FC1444">
        <w:rPr>
          <w:rFonts w:eastAsiaTheme="minorEastAsia"/>
          <w:b/>
          <w:szCs w:val="21"/>
        </w:rPr>
        <w:t>灌区工程</w:t>
      </w:r>
      <w:r w:rsidRPr="00FC1444">
        <w:rPr>
          <w:rFonts w:eastAsiaTheme="minorEastAsia"/>
          <w:b/>
          <w:szCs w:val="21"/>
        </w:rPr>
        <w:t>)</w:t>
      </w:r>
      <w:hyperlink r:id="rId18" w:tgtFrame="https://huanbao.bjx.com.cn/news/20180813/_blank" w:history="1">
        <w:r w:rsidRPr="00FC1444">
          <w:rPr>
            <w:rFonts w:eastAsiaTheme="minorEastAsia"/>
            <w:b/>
            <w:szCs w:val="21"/>
          </w:rPr>
          <w:t>环境影响评价文件审批</w:t>
        </w:r>
      </w:hyperlink>
      <w:r w:rsidRPr="00FC1444">
        <w:rPr>
          <w:rFonts w:eastAsiaTheme="minorEastAsia"/>
          <w:b/>
          <w:szCs w:val="21"/>
        </w:rPr>
        <w:t>原则</w:t>
      </w:r>
      <w:r w:rsidRPr="00FC1444">
        <w:rPr>
          <w:rFonts w:eastAsiaTheme="minorEastAsia"/>
          <w:b/>
          <w:szCs w:val="21"/>
        </w:rPr>
        <w:t>(</w:t>
      </w:r>
      <w:r w:rsidRPr="00FC1444">
        <w:rPr>
          <w:rFonts w:eastAsiaTheme="minorEastAsia"/>
          <w:b/>
          <w:szCs w:val="21"/>
        </w:rPr>
        <w:t>试行</w:t>
      </w:r>
      <w:r w:rsidRPr="00FC1444">
        <w:rPr>
          <w:rFonts w:eastAsiaTheme="minorEastAsia"/>
          <w:b/>
          <w:szCs w:val="21"/>
        </w:rPr>
        <w:t>)</w:t>
      </w:r>
      <w:r w:rsidRPr="00FC1444">
        <w:rPr>
          <w:rFonts w:eastAsiaTheme="minorEastAsia"/>
          <w:b/>
          <w:szCs w:val="21"/>
        </w:rPr>
        <w:t>》</w:t>
      </w:r>
      <w:r w:rsidRPr="00FC1444">
        <w:rPr>
          <w:rFonts w:eastAsiaTheme="minorEastAsia"/>
          <w:b/>
          <w:bCs/>
          <w:kern w:val="21"/>
          <w:szCs w:val="21"/>
        </w:rPr>
        <w:t>符合性分析</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90"/>
        <w:gridCol w:w="2679"/>
        <w:gridCol w:w="4390"/>
        <w:gridCol w:w="763"/>
      </w:tblGrid>
      <w:tr w:rsidR="002A5A5E" w:rsidRPr="00FC1444">
        <w:trPr>
          <w:trHeight w:val="12382"/>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7</w:t>
            </w:r>
          </w:p>
        </w:tc>
        <w:tc>
          <w:tcPr>
            <w:tcW w:w="2679" w:type="dxa"/>
            <w:vAlign w:val="center"/>
          </w:tcPr>
          <w:p w:rsidR="002A5A5E" w:rsidRPr="00FC1444" w:rsidRDefault="00611CBA">
            <w:pPr>
              <w:jc w:val="left"/>
              <w:rPr>
                <w:rFonts w:eastAsiaTheme="minorEastAsia"/>
                <w:kern w:val="0"/>
                <w:szCs w:val="21"/>
              </w:rPr>
            </w:pPr>
            <w:r w:rsidRPr="00FC1444">
              <w:rPr>
                <w:rFonts w:eastAsiaTheme="minorEastAsia"/>
                <w:kern w:val="0"/>
                <w:szCs w:val="21"/>
              </w:rPr>
              <w:t>项目施工组织方案具有环境合理性，对主体工程区、料场、弃土</w:t>
            </w:r>
            <w:r w:rsidRPr="00FC1444">
              <w:rPr>
                <w:rFonts w:eastAsiaTheme="minorEastAsia"/>
                <w:kern w:val="0"/>
                <w:szCs w:val="21"/>
              </w:rPr>
              <w:t>(</w:t>
            </w:r>
            <w:r w:rsidRPr="00FC1444">
              <w:rPr>
                <w:rFonts w:eastAsiaTheme="minorEastAsia"/>
                <w:kern w:val="0"/>
                <w:szCs w:val="21"/>
              </w:rPr>
              <w:t>渣</w:t>
            </w:r>
            <w:r w:rsidRPr="00FC1444">
              <w:rPr>
                <w:rFonts w:eastAsiaTheme="minorEastAsia"/>
                <w:kern w:val="0"/>
                <w:szCs w:val="21"/>
              </w:rPr>
              <w:t>)</w:t>
            </w:r>
            <w:r w:rsidRPr="00FC1444">
              <w:rPr>
                <w:rFonts w:eastAsiaTheme="minorEastAsia"/>
                <w:kern w:val="0"/>
                <w:szCs w:val="21"/>
              </w:rPr>
              <w:t>场、施工道路等施工区域提出了水土流失防治、生态修复等措施。根据环境保护相关标准和要求，提出了施工期废</w:t>
            </w:r>
            <w:r w:rsidRPr="00FC1444">
              <w:rPr>
                <w:rFonts w:eastAsiaTheme="minorEastAsia"/>
                <w:kern w:val="0"/>
                <w:szCs w:val="21"/>
              </w:rPr>
              <w:t>(</w:t>
            </w:r>
            <w:r w:rsidRPr="00FC1444">
              <w:rPr>
                <w:rFonts w:eastAsiaTheme="minorEastAsia"/>
                <w:kern w:val="0"/>
                <w:szCs w:val="21"/>
              </w:rPr>
              <w:t>污</w:t>
            </w:r>
            <w:r w:rsidRPr="00FC1444">
              <w:rPr>
                <w:rFonts w:eastAsiaTheme="minorEastAsia"/>
                <w:kern w:val="0"/>
                <w:szCs w:val="21"/>
              </w:rPr>
              <w:t>)</w:t>
            </w:r>
            <w:r w:rsidRPr="00FC1444">
              <w:rPr>
                <w:rFonts w:eastAsiaTheme="minorEastAsia"/>
                <w:kern w:val="0"/>
                <w:szCs w:val="21"/>
              </w:rPr>
              <w:t>水、施工机械车辆尾气、扬尘、噪声、固体废物等防治措施。</w:t>
            </w:r>
          </w:p>
        </w:tc>
        <w:tc>
          <w:tcPr>
            <w:tcW w:w="4390" w:type="dxa"/>
            <w:vAlign w:val="center"/>
          </w:tcPr>
          <w:p w:rsidR="002A5A5E" w:rsidRPr="00FC1444" w:rsidRDefault="00611CBA" w:rsidP="00E17AA8">
            <w:pPr>
              <w:jc w:val="left"/>
              <w:rPr>
                <w:rFonts w:eastAsiaTheme="minorEastAsia"/>
                <w:kern w:val="0"/>
                <w:szCs w:val="21"/>
              </w:rPr>
            </w:pPr>
            <w:r w:rsidRPr="00FC1444">
              <w:rPr>
                <w:rFonts w:eastAsiaTheme="minorEastAsia"/>
                <w:kern w:val="0"/>
                <w:szCs w:val="21"/>
              </w:rPr>
              <w:t>本项目施工期间加强监管，</w:t>
            </w:r>
            <w:r w:rsidRPr="00FC1444">
              <w:rPr>
                <w:rFonts w:eastAsiaTheme="minorEastAsia"/>
                <w:snapToGrid w:val="0"/>
                <w:kern w:val="0"/>
              </w:rPr>
              <w:t>施工过程中采取</w:t>
            </w:r>
            <w:r w:rsidRPr="00FC1444">
              <w:rPr>
                <w:rFonts w:eastAsiaTheme="minorEastAsia"/>
                <w:snapToGrid w:val="0"/>
                <w:kern w:val="0"/>
              </w:rPr>
              <w:t>“</w:t>
            </w:r>
            <w:r w:rsidRPr="00FC1444">
              <w:rPr>
                <w:rFonts w:eastAsiaTheme="minorEastAsia"/>
                <w:snapToGrid w:val="0"/>
                <w:kern w:val="0"/>
              </w:rPr>
              <w:t>边施工、边修复</w:t>
            </w:r>
            <w:r w:rsidRPr="00FC1444">
              <w:rPr>
                <w:rFonts w:eastAsiaTheme="minorEastAsia"/>
                <w:snapToGrid w:val="0"/>
                <w:kern w:val="0"/>
              </w:rPr>
              <w:t>”</w:t>
            </w:r>
            <w:r w:rsidRPr="00FC1444">
              <w:rPr>
                <w:rFonts w:eastAsiaTheme="minorEastAsia"/>
                <w:snapToGrid w:val="0"/>
                <w:kern w:val="0"/>
              </w:rPr>
              <w:t>措施</w:t>
            </w:r>
            <w:r w:rsidRPr="00FC1444">
              <w:rPr>
                <w:rFonts w:eastAsiaTheme="minorEastAsia"/>
                <w:kern w:val="0"/>
                <w:szCs w:val="21"/>
              </w:rPr>
              <w:t>。本项目</w:t>
            </w:r>
            <w:r w:rsidR="00E17AA8" w:rsidRPr="00FC1444">
              <w:rPr>
                <w:rFonts w:eastAsiaTheme="minorEastAsia"/>
                <w:snapToGrid w:val="0"/>
                <w:kern w:val="0"/>
              </w:rPr>
              <w:t>输配电工程表土及土方临时堆存在施工沿线，分区存放，设置临时拦挡并采用密目网苫盖，施工结束后分层回填，</w:t>
            </w:r>
            <w:r w:rsidR="00617138" w:rsidRPr="00FC1444">
              <w:rPr>
                <w:rFonts w:eastAsiaTheme="minorEastAsia"/>
                <w:snapToGrid w:val="0"/>
                <w:kern w:val="0"/>
              </w:rPr>
              <w:t>施工场地恢复现状草地，</w:t>
            </w:r>
            <w:r w:rsidR="00C77AF5" w:rsidRPr="00FC1444">
              <w:rPr>
                <w:rFonts w:eastAsiaTheme="minorEastAsia"/>
                <w:snapToGrid w:val="0"/>
                <w:kern w:val="0"/>
              </w:rPr>
              <w:t>播撒草籽面积</w:t>
            </w:r>
            <w:r w:rsidR="00C77AF5" w:rsidRPr="00FC1444">
              <w:rPr>
                <w:rFonts w:eastAsiaTheme="minorEastAsia"/>
                <w:snapToGrid w:val="0"/>
                <w:kern w:val="0"/>
              </w:rPr>
              <w:t>456842</w:t>
            </w:r>
            <w:r w:rsidR="00E17AA8" w:rsidRPr="00FC1444">
              <w:rPr>
                <w:rFonts w:eastAsiaTheme="minorEastAsia"/>
                <w:snapToGrid w:val="0"/>
                <w:kern w:val="0"/>
              </w:rPr>
              <w:t>m</w:t>
            </w:r>
            <w:r w:rsidR="00E17AA8" w:rsidRPr="00FC1444">
              <w:rPr>
                <w:rFonts w:eastAsiaTheme="minorEastAsia"/>
                <w:snapToGrid w:val="0"/>
                <w:kern w:val="0"/>
                <w:vertAlign w:val="superscript"/>
              </w:rPr>
              <w:t>2</w:t>
            </w:r>
            <w:r w:rsidR="00E17AA8" w:rsidRPr="00FC1444">
              <w:rPr>
                <w:rFonts w:eastAsiaTheme="minorEastAsia"/>
                <w:snapToGrid w:val="0"/>
                <w:kern w:val="0"/>
              </w:rPr>
              <w:t>，草籽选用紫花苜蓿等，种草密度</w:t>
            </w:r>
            <w:r w:rsidR="00E17AA8" w:rsidRPr="00FC1444">
              <w:rPr>
                <w:rFonts w:eastAsiaTheme="minorEastAsia"/>
                <w:snapToGrid w:val="0"/>
                <w:kern w:val="0"/>
              </w:rPr>
              <w:t>80kg/</w:t>
            </w:r>
            <w:r w:rsidR="00E17AA8" w:rsidRPr="00FC1444">
              <w:rPr>
                <w:rFonts w:eastAsiaTheme="minorEastAsia"/>
                <w:snapToGrid w:val="0"/>
                <w:kern w:val="0"/>
              </w:rPr>
              <w:t>公顷，</w:t>
            </w:r>
            <w:r w:rsidR="00C77AF5" w:rsidRPr="00FC1444">
              <w:rPr>
                <w:rFonts w:eastAsiaTheme="minorEastAsia"/>
                <w:snapToGrid w:val="0"/>
                <w:kern w:val="0"/>
              </w:rPr>
              <w:t>恢复旱地</w:t>
            </w:r>
            <w:r w:rsidR="00C77AF5" w:rsidRPr="00FC1444">
              <w:rPr>
                <w:rFonts w:eastAsiaTheme="minorEastAsia"/>
                <w:snapToGrid w:val="0"/>
                <w:kern w:val="0"/>
              </w:rPr>
              <w:t>22560m</w:t>
            </w:r>
            <w:r w:rsidR="00E17AA8" w:rsidRPr="00FC1444">
              <w:rPr>
                <w:rFonts w:eastAsiaTheme="minorEastAsia"/>
                <w:snapToGrid w:val="0"/>
                <w:kern w:val="0"/>
                <w:vertAlign w:val="superscript"/>
              </w:rPr>
              <w:t>2</w:t>
            </w:r>
            <w:r w:rsidR="00E17AA8" w:rsidRPr="00FC1444">
              <w:rPr>
                <w:rFonts w:eastAsiaTheme="minorEastAsia"/>
                <w:snapToGrid w:val="0"/>
                <w:kern w:val="0"/>
              </w:rPr>
              <w:t>；灌溉井工程剥离表土、开挖土方暂存于施工场地内，分区存放，设置临时拦挡并采用密目网苫盖，施工结束后施工场地、临时道路恢复为旱地，</w:t>
            </w:r>
            <w:r w:rsidR="00C77AF5" w:rsidRPr="00FC1444">
              <w:rPr>
                <w:rFonts w:eastAsiaTheme="minorEastAsia"/>
                <w:snapToGrid w:val="0"/>
                <w:kern w:val="0"/>
              </w:rPr>
              <w:t>恢复面积</w:t>
            </w:r>
            <w:r w:rsidR="00C77AF5" w:rsidRPr="00FC1444">
              <w:rPr>
                <w:rFonts w:eastAsiaTheme="minorEastAsia"/>
                <w:snapToGrid w:val="0"/>
                <w:kern w:val="0"/>
              </w:rPr>
              <w:t>4620</w:t>
            </w:r>
            <w:r w:rsidR="00E17AA8" w:rsidRPr="00FC1444">
              <w:rPr>
                <w:rFonts w:eastAsiaTheme="minorEastAsia"/>
                <w:snapToGrid w:val="0"/>
                <w:kern w:val="0"/>
              </w:rPr>
              <w:t>m</w:t>
            </w:r>
            <w:r w:rsidR="00E17AA8" w:rsidRPr="00FC1444">
              <w:rPr>
                <w:rFonts w:eastAsiaTheme="minorEastAsia"/>
                <w:snapToGrid w:val="0"/>
                <w:kern w:val="0"/>
                <w:vertAlign w:val="superscript"/>
              </w:rPr>
              <w:t>2</w:t>
            </w:r>
            <w:r w:rsidR="00E17AA8" w:rsidRPr="00FC1444">
              <w:rPr>
                <w:rFonts w:eastAsiaTheme="minorEastAsia"/>
                <w:snapToGrid w:val="0"/>
                <w:kern w:val="0"/>
              </w:rPr>
              <w:t>；涵洞等建筑物工程剥离表土、开挖土方暂存于施工场地内，分区存放，设置临时拦挡并采用密目网苫盖，施工结束后施工场地恢复为草地，播撒草籽面积</w:t>
            </w:r>
            <w:r w:rsidR="00E17AA8" w:rsidRPr="00FC1444">
              <w:rPr>
                <w:rFonts w:eastAsiaTheme="minorEastAsia"/>
                <w:snapToGrid w:val="0"/>
                <w:kern w:val="0"/>
              </w:rPr>
              <w:t>18500m</w:t>
            </w:r>
            <w:r w:rsidR="00E17AA8" w:rsidRPr="00FC1444">
              <w:rPr>
                <w:rFonts w:eastAsiaTheme="minorEastAsia"/>
                <w:snapToGrid w:val="0"/>
                <w:kern w:val="0"/>
                <w:vertAlign w:val="superscript"/>
              </w:rPr>
              <w:t>2</w:t>
            </w:r>
            <w:r w:rsidR="00E17AA8" w:rsidRPr="00FC1444">
              <w:rPr>
                <w:rFonts w:eastAsiaTheme="minorEastAsia"/>
                <w:snapToGrid w:val="0"/>
                <w:kern w:val="0"/>
              </w:rPr>
              <w:t>，草籽选用紫花苜蓿等，种草密度</w:t>
            </w:r>
            <w:r w:rsidR="00E17AA8" w:rsidRPr="00FC1444">
              <w:rPr>
                <w:rFonts w:eastAsiaTheme="minorEastAsia"/>
                <w:snapToGrid w:val="0"/>
                <w:kern w:val="0"/>
              </w:rPr>
              <w:t>80kg/</w:t>
            </w:r>
            <w:r w:rsidR="00E17AA8" w:rsidRPr="00FC1444">
              <w:rPr>
                <w:rFonts w:eastAsiaTheme="minorEastAsia"/>
                <w:snapToGrid w:val="0"/>
                <w:kern w:val="0"/>
              </w:rPr>
              <w:t>公顷，恢复旱地</w:t>
            </w:r>
            <w:r w:rsidR="00E17AA8" w:rsidRPr="00FC1444">
              <w:rPr>
                <w:rFonts w:eastAsiaTheme="minorEastAsia"/>
                <w:snapToGrid w:val="0"/>
                <w:kern w:val="0"/>
              </w:rPr>
              <w:t>10500m</w:t>
            </w:r>
            <w:r w:rsidR="00E17AA8" w:rsidRPr="00FC1444">
              <w:rPr>
                <w:rFonts w:eastAsiaTheme="minorEastAsia"/>
                <w:snapToGrid w:val="0"/>
                <w:kern w:val="0"/>
                <w:vertAlign w:val="superscript"/>
              </w:rPr>
              <w:t>2</w:t>
            </w:r>
            <w:r w:rsidR="00E17AA8" w:rsidRPr="00FC1444">
              <w:rPr>
                <w:rFonts w:eastAsiaTheme="minorEastAsia"/>
                <w:snapToGrid w:val="0"/>
                <w:kern w:val="0"/>
              </w:rPr>
              <w:t>。</w:t>
            </w:r>
            <w:r w:rsidRPr="00FC1444">
              <w:rPr>
                <w:rFonts w:eastAsiaTheme="minorEastAsia"/>
                <w:kern w:val="0"/>
                <w:szCs w:val="21"/>
              </w:rPr>
              <w:t>使临时占地土地利用类型、植被覆盖度、生物量等恢复为原有水平。施工期施工现场使用商品混凝土、预拌砂浆，不在现场搅拌。建筑材料用苫布覆盖，严禁露天放置；余料及时回收。施工现场集中堆放的土方和裸露场地采取苫布覆盖措施，严禁裸露。施工现场运送土方、渣土的车辆封闭或遮盖严密，严禁沿路遗撒和随意倾倒。加强运输车辆的维护、保养，避免尾气超标排放；施工期生活污水依托附近民房防渗旱厕，洗井废水用于洒水降尘，</w:t>
            </w:r>
            <w:r w:rsidRPr="00FC1444">
              <w:rPr>
                <w:rFonts w:eastAsiaTheme="minorEastAsia"/>
              </w:rPr>
              <w:t>废泥浆</w:t>
            </w:r>
            <w:r w:rsidRPr="00FC1444">
              <w:rPr>
                <w:rFonts w:eastAsiaTheme="minorEastAsia"/>
                <w:szCs w:val="21"/>
              </w:rPr>
              <w:t>风干后用于周围道路平整</w:t>
            </w:r>
            <w:r w:rsidRPr="00FC1444">
              <w:rPr>
                <w:rFonts w:eastAsiaTheme="minorEastAsia"/>
                <w:kern w:val="0"/>
                <w:szCs w:val="21"/>
              </w:rPr>
              <w:t>；施工期可再利用的建筑废料进行回收利用。表土用于临时工程土地恢复，土方及时回填。施工人员产生的生活垃圾依托附近村屯统一收集。</w:t>
            </w:r>
            <w:r w:rsidR="00730492" w:rsidRPr="00FC1444">
              <w:rPr>
                <w:rFonts w:eastAsiaTheme="minorEastAsia"/>
                <w:bCs/>
                <w:szCs w:val="21"/>
              </w:rPr>
              <w:t>排水沟淤泥培至工程附近</w:t>
            </w:r>
            <w:r w:rsidR="00730492" w:rsidRPr="00FC1444">
              <w:rPr>
                <w:rFonts w:eastAsiaTheme="minorEastAsia"/>
                <w:bCs/>
                <w:szCs w:val="21"/>
              </w:rPr>
              <w:t>200</w:t>
            </w:r>
            <w:r w:rsidR="00730492" w:rsidRPr="00FC1444">
              <w:rPr>
                <w:rFonts w:eastAsiaTheme="minorEastAsia"/>
                <w:bCs/>
                <w:szCs w:val="21"/>
              </w:rPr>
              <w:t>米范围内无环境保护目标的排水沟两侧（</w:t>
            </w:r>
            <w:r w:rsidR="00386D57" w:rsidRPr="00FC1444">
              <w:rPr>
                <w:rFonts w:eastAsiaTheme="minorEastAsia"/>
                <w:bCs/>
                <w:szCs w:val="21"/>
              </w:rPr>
              <w:t>避开黄家屯、李荒子屯等</w:t>
            </w:r>
            <w:r w:rsidR="00386D57" w:rsidRPr="00FC1444">
              <w:rPr>
                <w:rFonts w:eastAsiaTheme="minorEastAsia"/>
                <w:bCs/>
                <w:szCs w:val="21"/>
              </w:rPr>
              <w:t>22</w:t>
            </w:r>
            <w:r w:rsidR="00386D57" w:rsidRPr="00FC1444">
              <w:rPr>
                <w:rFonts w:eastAsiaTheme="minorEastAsia"/>
                <w:bCs/>
                <w:szCs w:val="21"/>
              </w:rPr>
              <w:t>个村屯</w:t>
            </w:r>
            <w:r w:rsidR="00730492" w:rsidRPr="00FC1444">
              <w:rPr>
                <w:rFonts w:eastAsiaTheme="minorEastAsia"/>
                <w:bCs/>
                <w:szCs w:val="21"/>
              </w:rPr>
              <w:t>，具体见表</w:t>
            </w:r>
            <w:r w:rsidR="00730492" w:rsidRPr="00FC1444">
              <w:rPr>
                <w:rFonts w:eastAsiaTheme="minorEastAsia"/>
                <w:bCs/>
                <w:szCs w:val="21"/>
              </w:rPr>
              <w:t>2-8-2</w:t>
            </w:r>
            <w:r w:rsidR="00730492" w:rsidRPr="00FC1444">
              <w:rPr>
                <w:rFonts w:eastAsiaTheme="minorEastAsia"/>
                <w:bCs/>
                <w:szCs w:val="21"/>
              </w:rPr>
              <w:t>）</w:t>
            </w:r>
            <w:r w:rsidRPr="00FC1444">
              <w:rPr>
                <w:rFonts w:eastAsiaTheme="minorEastAsia"/>
                <w:kern w:val="0"/>
                <w:szCs w:val="21"/>
              </w:rPr>
              <w:t>；</w:t>
            </w:r>
            <w:r w:rsidRPr="00FC1444">
              <w:rPr>
                <w:rFonts w:eastAsiaTheme="minorEastAsia"/>
                <w:szCs w:val="21"/>
              </w:rPr>
              <w:t>施工现场合理布局，尽量避免高噪声施工设备集中使用并远离村屯，施工现场距离敏感目标不足</w:t>
            </w:r>
            <w:r w:rsidRPr="00FC1444">
              <w:rPr>
                <w:rFonts w:eastAsiaTheme="minorEastAsia"/>
                <w:szCs w:val="21"/>
              </w:rPr>
              <w:t>10</w:t>
            </w:r>
            <w:r w:rsidRPr="00FC1444">
              <w:rPr>
                <w:rFonts w:eastAsiaTheme="minorEastAsia"/>
                <w:szCs w:val="21"/>
              </w:rPr>
              <w:t>米时设置声屏障</w:t>
            </w:r>
            <w:r w:rsidRPr="00FC1444">
              <w:rPr>
                <w:rFonts w:eastAsiaTheme="minorEastAsia"/>
                <w:kern w:val="0"/>
                <w:szCs w:val="21"/>
              </w:rPr>
              <w:t>。对施工机械和车辆进行维护保养。施工车辆运输尽量少鸣笛。加强施工期环境管理，尽量避免高噪声机械设备集中使用或几台声功率相同的设备同时、同点作业。合理安排施工作业时间，本项目施工区域为噪声敏感建筑物集中区域，禁止夜间（</w:t>
            </w:r>
            <w:r w:rsidRPr="00FC1444">
              <w:rPr>
                <w:rFonts w:eastAsiaTheme="minorEastAsia"/>
                <w:kern w:val="0"/>
                <w:szCs w:val="21"/>
              </w:rPr>
              <w:t>22:00-6:00</w:t>
            </w:r>
            <w:r w:rsidRPr="00FC1444">
              <w:rPr>
                <w:rFonts w:eastAsiaTheme="minorEastAsia"/>
                <w:kern w:val="0"/>
                <w:szCs w:val="21"/>
              </w:rPr>
              <w:t>）施工。</w:t>
            </w:r>
            <w:r w:rsidRPr="00FC1444">
              <w:rPr>
                <w:rFonts w:eastAsiaTheme="minorEastAsia"/>
                <w:kern w:val="0"/>
                <w:szCs w:val="21"/>
              </w:rPr>
              <w:t xml:space="preserve"> </w:t>
            </w:r>
          </w:p>
        </w:tc>
        <w:tc>
          <w:tcPr>
            <w:tcW w:w="763"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bl>
    <w:p w:rsidR="002A5A5E" w:rsidRPr="00FC1444" w:rsidRDefault="00611CBA">
      <w:pPr>
        <w:keepNext/>
        <w:keepLines/>
        <w:jc w:val="center"/>
        <w:rPr>
          <w:rFonts w:eastAsiaTheme="minorEastAsia"/>
          <w:b/>
          <w:bCs/>
          <w:kern w:val="21"/>
          <w:szCs w:val="21"/>
        </w:rPr>
      </w:pPr>
      <w:r w:rsidRPr="00FC1444">
        <w:rPr>
          <w:rFonts w:eastAsiaTheme="minorEastAsia"/>
          <w:b/>
          <w:bCs/>
          <w:kern w:val="21"/>
          <w:szCs w:val="21"/>
        </w:rPr>
        <w:lastRenderedPageBreak/>
        <w:t>续表</w:t>
      </w:r>
      <w:r w:rsidRPr="00FC1444">
        <w:rPr>
          <w:rFonts w:eastAsiaTheme="minorEastAsia"/>
          <w:b/>
          <w:bCs/>
          <w:kern w:val="21"/>
          <w:szCs w:val="21"/>
        </w:rPr>
        <w:t>1-4-</w:t>
      </w:r>
      <w:r w:rsidR="00C27FC4" w:rsidRPr="00FC1444">
        <w:rPr>
          <w:rFonts w:eastAsiaTheme="minorEastAsia"/>
          <w:b/>
          <w:bCs/>
          <w:kern w:val="21"/>
          <w:szCs w:val="21"/>
        </w:rPr>
        <w:t>8</w:t>
      </w:r>
      <w:r w:rsidRPr="00FC1444">
        <w:rPr>
          <w:rFonts w:eastAsiaTheme="minorEastAsia"/>
          <w:b/>
          <w:bCs/>
          <w:kern w:val="21"/>
          <w:szCs w:val="21"/>
        </w:rPr>
        <w:t>本项目与</w:t>
      </w:r>
      <w:r w:rsidRPr="00FC1444">
        <w:rPr>
          <w:rFonts w:eastAsiaTheme="minorEastAsia"/>
          <w:b/>
          <w:szCs w:val="21"/>
        </w:rPr>
        <w:t>《水利建设项目</w:t>
      </w:r>
      <w:r w:rsidRPr="00FC1444">
        <w:rPr>
          <w:rFonts w:eastAsiaTheme="minorEastAsia"/>
          <w:b/>
          <w:szCs w:val="21"/>
        </w:rPr>
        <w:t>(</w:t>
      </w:r>
      <w:r w:rsidRPr="00FC1444">
        <w:rPr>
          <w:rFonts w:eastAsiaTheme="minorEastAsia"/>
          <w:b/>
          <w:szCs w:val="21"/>
        </w:rPr>
        <w:t>灌区工程</w:t>
      </w:r>
      <w:r w:rsidRPr="00FC1444">
        <w:rPr>
          <w:rFonts w:eastAsiaTheme="minorEastAsia"/>
          <w:b/>
          <w:szCs w:val="21"/>
        </w:rPr>
        <w:t>)</w:t>
      </w:r>
      <w:hyperlink r:id="rId19" w:tgtFrame="https://huanbao.bjx.com.cn/news/20180813/_blank" w:history="1">
        <w:r w:rsidRPr="00FC1444">
          <w:rPr>
            <w:rFonts w:eastAsiaTheme="minorEastAsia"/>
            <w:b/>
            <w:szCs w:val="21"/>
          </w:rPr>
          <w:t>环境影响评价文件审批</w:t>
        </w:r>
      </w:hyperlink>
      <w:r w:rsidRPr="00FC1444">
        <w:rPr>
          <w:rFonts w:eastAsiaTheme="minorEastAsia"/>
          <w:b/>
          <w:szCs w:val="21"/>
        </w:rPr>
        <w:t>原则</w:t>
      </w:r>
      <w:r w:rsidRPr="00FC1444">
        <w:rPr>
          <w:rFonts w:eastAsiaTheme="minorEastAsia"/>
          <w:b/>
          <w:szCs w:val="21"/>
        </w:rPr>
        <w:t>(</w:t>
      </w:r>
      <w:r w:rsidRPr="00FC1444">
        <w:rPr>
          <w:rFonts w:eastAsiaTheme="minorEastAsia"/>
          <w:b/>
          <w:szCs w:val="21"/>
        </w:rPr>
        <w:t>试行</w:t>
      </w:r>
      <w:r w:rsidRPr="00FC1444">
        <w:rPr>
          <w:rFonts w:eastAsiaTheme="minorEastAsia"/>
          <w:b/>
          <w:szCs w:val="21"/>
        </w:rPr>
        <w:t>)</w:t>
      </w:r>
      <w:r w:rsidRPr="00FC1444">
        <w:rPr>
          <w:rFonts w:eastAsiaTheme="minorEastAsia"/>
          <w:b/>
          <w:szCs w:val="21"/>
        </w:rPr>
        <w:t>》</w:t>
      </w:r>
      <w:r w:rsidRPr="00FC1444">
        <w:rPr>
          <w:rFonts w:eastAsiaTheme="minorEastAsia"/>
          <w:b/>
          <w:bCs/>
          <w:kern w:val="21"/>
          <w:szCs w:val="21"/>
        </w:rPr>
        <w:t>符合性分析</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90"/>
        <w:gridCol w:w="2679"/>
        <w:gridCol w:w="4390"/>
        <w:gridCol w:w="763"/>
      </w:tblGrid>
      <w:tr w:rsidR="002A5A5E" w:rsidRPr="00FC1444">
        <w:trPr>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8</w:t>
            </w:r>
          </w:p>
        </w:tc>
        <w:tc>
          <w:tcPr>
            <w:tcW w:w="2679" w:type="dxa"/>
            <w:vAlign w:val="center"/>
          </w:tcPr>
          <w:p w:rsidR="002A5A5E" w:rsidRPr="00FC1444" w:rsidRDefault="00611CBA">
            <w:pPr>
              <w:jc w:val="left"/>
              <w:rPr>
                <w:rFonts w:eastAsiaTheme="minorEastAsia"/>
                <w:kern w:val="0"/>
                <w:szCs w:val="21"/>
              </w:rPr>
            </w:pPr>
            <w:r w:rsidRPr="00FC1444">
              <w:rPr>
                <w:rFonts w:eastAsiaTheme="minorEastAsia"/>
                <w:kern w:val="0"/>
                <w:szCs w:val="21"/>
              </w:rPr>
              <w:t>项目存在外来物种入侵以及灌溉水质污染等环境风险的，提出了针对性的环境风险防范措施以及环境应急预案编制、建立必要的应急联动机制等要求。</w:t>
            </w:r>
          </w:p>
        </w:tc>
        <w:tc>
          <w:tcPr>
            <w:tcW w:w="4390" w:type="dxa"/>
            <w:vAlign w:val="center"/>
          </w:tcPr>
          <w:p w:rsidR="002A5A5E" w:rsidRPr="00FC1444" w:rsidRDefault="00611CBA">
            <w:pPr>
              <w:jc w:val="left"/>
              <w:rPr>
                <w:rFonts w:eastAsiaTheme="minorEastAsia"/>
                <w:kern w:val="0"/>
                <w:szCs w:val="21"/>
              </w:rPr>
            </w:pPr>
            <w:r w:rsidRPr="00FC1444">
              <w:rPr>
                <w:rFonts w:eastAsiaTheme="minorEastAsia"/>
                <w:kern w:val="0"/>
                <w:szCs w:val="21"/>
              </w:rPr>
              <w:t>本项目取用地下水，不存在外来物种入侵以及灌溉水质污染等环境风险。</w:t>
            </w:r>
          </w:p>
        </w:tc>
        <w:tc>
          <w:tcPr>
            <w:tcW w:w="763"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r w:rsidR="002A5A5E" w:rsidRPr="00FC1444">
        <w:trPr>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9</w:t>
            </w:r>
          </w:p>
        </w:tc>
        <w:tc>
          <w:tcPr>
            <w:tcW w:w="2679" w:type="dxa"/>
            <w:vAlign w:val="center"/>
          </w:tcPr>
          <w:p w:rsidR="002A5A5E" w:rsidRPr="00FC1444" w:rsidRDefault="00611CBA">
            <w:pPr>
              <w:rPr>
                <w:rStyle w:val="CharChar"/>
                <w:rFonts w:hAnsi="Times New Roman"/>
              </w:rPr>
            </w:pPr>
            <w:r w:rsidRPr="00FC1444">
              <w:rPr>
                <w:rStyle w:val="CharChar"/>
                <w:rFonts w:hAnsi="Times New Roman"/>
              </w:rPr>
              <w:t>改、扩建或依托现有工程的项目，在全面梳理与项目有关的现有工程环境问题的基础上，提出了与项目相适应的</w:t>
            </w:r>
            <w:r w:rsidRPr="00FC1444">
              <w:rPr>
                <w:rStyle w:val="CharChar"/>
                <w:rFonts w:hAnsi="Times New Roman"/>
              </w:rPr>
              <w:t>“</w:t>
            </w:r>
            <w:r w:rsidRPr="00FC1444">
              <w:rPr>
                <w:rStyle w:val="CharChar"/>
                <w:rFonts w:hAnsi="Times New Roman"/>
              </w:rPr>
              <w:t>以新带老</w:t>
            </w:r>
            <w:r w:rsidRPr="00FC1444">
              <w:rPr>
                <w:rStyle w:val="CharChar"/>
                <w:rFonts w:hAnsi="Times New Roman"/>
              </w:rPr>
              <w:t>”</w:t>
            </w:r>
            <w:r w:rsidRPr="00FC1444">
              <w:rPr>
                <w:rStyle w:val="CharChar"/>
                <w:rFonts w:hAnsi="Times New Roman"/>
              </w:rPr>
              <w:t>措施。</w:t>
            </w:r>
          </w:p>
        </w:tc>
        <w:tc>
          <w:tcPr>
            <w:tcW w:w="4390" w:type="dxa"/>
            <w:vAlign w:val="center"/>
          </w:tcPr>
          <w:p w:rsidR="002A5A5E" w:rsidRPr="00FC1444" w:rsidRDefault="00611CBA" w:rsidP="00C27FC4">
            <w:pPr>
              <w:rPr>
                <w:rStyle w:val="CharChar"/>
                <w:rFonts w:hAnsi="Times New Roman"/>
              </w:rPr>
            </w:pPr>
            <w:r w:rsidRPr="00FC1444">
              <w:rPr>
                <w:szCs w:val="16"/>
                <w:lang w:val="zh-CN"/>
              </w:rPr>
              <w:t>本项目已梳理现有工程存在的问题，并提出了以新带老措施，</w:t>
            </w:r>
            <w:r w:rsidRPr="00FC1444">
              <w:rPr>
                <w:rStyle w:val="CharChar"/>
                <w:rFonts w:hAnsi="Times New Roman"/>
              </w:rPr>
              <w:t>具体见表</w:t>
            </w:r>
            <w:r w:rsidRPr="00FC1444">
              <w:rPr>
                <w:rStyle w:val="CharChar"/>
                <w:rFonts w:hAnsi="Times New Roman"/>
              </w:rPr>
              <w:t>3-1-</w:t>
            </w:r>
            <w:r w:rsidR="002A51BB" w:rsidRPr="00FC1444">
              <w:rPr>
                <w:rStyle w:val="CharChar"/>
                <w:rFonts w:hAnsi="Times New Roman" w:hint="eastAsia"/>
              </w:rPr>
              <w:t>2</w:t>
            </w:r>
            <w:r w:rsidRPr="00FC1444">
              <w:rPr>
                <w:rStyle w:val="CharChar"/>
                <w:rFonts w:hAnsi="Times New Roman"/>
              </w:rPr>
              <w:t>。</w:t>
            </w:r>
          </w:p>
        </w:tc>
        <w:tc>
          <w:tcPr>
            <w:tcW w:w="763"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r w:rsidR="002A5A5E" w:rsidRPr="00FC1444">
        <w:trPr>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10</w:t>
            </w:r>
          </w:p>
        </w:tc>
        <w:tc>
          <w:tcPr>
            <w:tcW w:w="2679" w:type="dxa"/>
            <w:vAlign w:val="center"/>
          </w:tcPr>
          <w:p w:rsidR="002A5A5E" w:rsidRPr="00FC1444" w:rsidRDefault="00611CBA">
            <w:pPr>
              <w:jc w:val="left"/>
              <w:rPr>
                <w:rFonts w:eastAsiaTheme="minorEastAsia"/>
                <w:kern w:val="0"/>
                <w:szCs w:val="21"/>
              </w:rPr>
            </w:pPr>
            <w:r w:rsidRPr="00FC1444">
              <w:rPr>
                <w:rFonts w:eastAsiaTheme="minorEastAsia"/>
                <w:kern w:val="0"/>
                <w:szCs w:val="21"/>
              </w:rPr>
              <w:t>按相关导则及规定要求，制定了生态、水、土壤等环境要素的监测计划，明确了监测网点、因子、频次等有关要求，提出了根据监测评估结果优化环境保护措施的要求。</w:t>
            </w:r>
          </w:p>
        </w:tc>
        <w:tc>
          <w:tcPr>
            <w:tcW w:w="4390" w:type="dxa"/>
            <w:vAlign w:val="center"/>
          </w:tcPr>
          <w:p w:rsidR="002A5A5E" w:rsidRPr="00FC1444" w:rsidRDefault="00611CBA">
            <w:pPr>
              <w:jc w:val="left"/>
              <w:rPr>
                <w:rFonts w:eastAsiaTheme="minorEastAsia"/>
                <w:kern w:val="0"/>
                <w:szCs w:val="21"/>
              </w:rPr>
            </w:pPr>
            <w:r w:rsidRPr="00FC1444">
              <w:rPr>
                <w:rFonts w:eastAsiaTheme="minorEastAsia"/>
                <w:kern w:val="0"/>
                <w:szCs w:val="21"/>
              </w:rPr>
              <w:t>本项目已制定生态、声环境、水环境、土壤要素的监测计划，明确了监测点、监测因子、频次等有关要求，提出了根据监测评估结果优化环境保护措施的要求。</w:t>
            </w:r>
          </w:p>
        </w:tc>
        <w:tc>
          <w:tcPr>
            <w:tcW w:w="763"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符合</w:t>
            </w:r>
          </w:p>
        </w:tc>
      </w:tr>
      <w:tr w:rsidR="002A5A5E" w:rsidRPr="00FC1444">
        <w:trPr>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11</w:t>
            </w:r>
          </w:p>
        </w:tc>
        <w:tc>
          <w:tcPr>
            <w:tcW w:w="2679" w:type="dxa"/>
            <w:vAlign w:val="center"/>
          </w:tcPr>
          <w:p w:rsidR="002A5A5E" w:rsidRPr="00FC1444" w:rsidRDefault="00611CBA">
            <w:pPr>
              <w:rPr>
                <w:rStyle w:val="CharChar"/>
                <w:rFonts w:hAnsi="Times New Roman"/>
              </w:rPr>
            </w:pPr>
            <w:r w:rsidRPr="00FC1444">
              <w:rPr>
                <w:rStyle w:val="CharChar"/>
                <w:rFonts w:hAnsi="Times New Roman"/>
              </w:rPr>
              <w:t>对生态环境保护措施进行了深入论证，建设单位主体责任、投资估算、时间节点、预期效果明确，确保科学有效、安全可行、绿色协调。</w:t>
            </w:r>
          </w:p>
        </w:tc>
        <w:tc>
          <w:tcPr>
            <w:tcW w:w="4390" w:type="dxa"/>
            <w:vAlign w:val="center"/>
          </w:tcPr>
          <w:p w:rsidR="002A5A5E" w:rsidRPr="00FC1444" w:rsidRDefault="00611CBA">
            <w:pPr>
              <w:rPr>
                <w:rStyle w:val="CharChar"/>
                <w:rFonts w:hAnsi="Times New Roman"/>
              </w:rPr>
            </w:pPr>
            <w:r w:rsidRPr="00FC1444">
              <w:rPr>
                <w:rStyle w:val="CharChar"/>
                <w:rFonts w:hAnsi="Times New Roman"/>
              </w:rPr>
              <w:t>对生态环境保护措施进行了深入论证，明确了生态恢复的主体责任人为建设单位，进行了环保投资估算，针对施工期和运行期分别进行了保护措施可行性论证。</w:t>
            </w:r>
          </w:p>
        </w:tc>
        <w:tc>
          <w:tcPr>
            <w:tcW w:w="763" w:type="dxa"/>
            <w:vAlign w:val="center"/>
          </w:tcPr>
          <w:p w:rsidR="002A5A5E" w:rsidRPr="00FC1444" w:rsidRDefault="00611CBA">
            <w:pPr>
              <w:jc w:val="center"/>
              <w:rPr>
                <w:rStyle w:val="CharChar"/>
                <w:rFonts w:hAnsi="Times New Roman"/>
              </w:rPr>
            </w:pPr>
            <w:r w:rsidRPr="00FC1444">
              <w:rPr>
                <w:rStyle w:val="CharChar"/>
                <w:rFonts w:hAnsi="Times New Roman"/>
              </w:rPr>
              <w:t>符合</w:t>
            </w:r>
          </w:p>
        </w:tc>
      </w:tr>
      <w:tr w:rsidR="002A5A5E" w:rsidRPr="00FC1444">
        <w:trPr>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12</w:t>
            </w:r>
          </w:p>
        </w:tc>
        <w:tc>
          <w:tcPr>
            <w:tcW w:w="2679" w:type="dxa"/>
            <w:vAlign w:val="center"/>
          </w:tcPr>
          <w:p w:rsidR="002A5A5E" w:rsidRPr="00FC1444" w:rsidRDefault="00611CBA">
            <w:pPr>
              <w:pStyle w:val="afffffffffa"/>
            </w:pPr>
            <w:r w:rsidRPr="00FC1444">
              <w:t>按相关规定开展了信息公开和公众参与。</w:t>
            </w:r>
          </w:p>
        </w:tc>
        <w:tc>
          <w:tcPr>
            <w:tcW w:w="4390" w:type="dxa"/>
            <w:vAlign w:val="center"/>
          </w:tcPr>
          <w:p w:rsidR="002A5A5E" w:rsidRPr="00FC1444" w:rsidRDefault="00611CBA">
            <w:pPr>
              <w:pStyle w:val="afffffffffa"/>
              <w:rPr>
                <w:kern w:val="0"/>
              </w:rPr>
            </w:pPr>
            <w:r w:rsidRPr="00FC1444">
              <w:rPr>
                <w:kern w:val="0"/>
              </w:rPr>
              <w:t>按相关规定开展了信息公开和公众参与。</w:t>
            </w:r>
          </w:p>
        </w:tc>
        <w:tc>
          <w:tcPr>
            <w:tcW w:w="763" w:type="dxa"/>
            <w:vAlign w:val="center"/>
          </w:tcPr>
          <w:p w:rsidR="002A5A5E" w:rsidRPr="00FC1444" w:rsidRDefault="00611CBA">
            <w:pPr>
              <w:jc w:val="center"/>
              <w:rPr>
                <w:rStyle w:val="CharChar"/>
                <w:rFonts w:hAnsi="Times New Roman"/>
              </w:rPr>
            </w:pPr>
            <w:r w:rsidRPr="00FC1444">
              <w:rPr>
                <w:rStyle w:val="CharChar"/>
                <w:rFonts w:hAnsi="Times New Roman"/>
              </w:rPr>
              <w:t>符合</w:t>
            </w:r>
          </w:p>
        </w:tc>
      </w:tr>
      <w:tr w:rsidR="002A5A5E" w:rsidRPr="00FC1444">
        <w:trPr>
          <w:jc w:val="center"/>
        </w:trPr>
        <w:tc>
          <w:tcPr>
            <w:tcW w:w="690"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13</w:t>
            </w:r>
          </w:p>
        </w:tc>
        <w:tc>
          <w:tcPr>
            <w:tcW w:w="2679" w:type="dxa"/>
            <w:vAlign w:val="center"/>
          </w:tcPr>
          <w:p w:rsidR="002A5A5E" w:rsidRPr="00FC1444" w:rsidRDefault="00611CBA">
            <w:pPr>
              <w:pStyle w:val="afffffffffa"/>
              <w:spacing w:line="240" w:lineRule="auto"/>
            </w:pPr>
            <w:r w:rsidRPr="00FC1444">
              <w:t>环境影响评价文件编制规范，符合相关管理规定和环评技术标准要求。</w:t>
            </w:r>
          </w:p>
        </w:tc>
        <w:tc>
          <w:tcPr>
            <w:tcW w:w="4390" w:type="dxa"/>
            <w:vAlign w:val="center"/>
          </w:tcPr>
          <w:p w:rsidR="002A5A5E" w:rsidRPr="00FC1444" w:rsidRDefault="00FC1444">
            <w:pPr>
              <w:pStyle w:val="afffffffffa"/>
              <w:spacing w:line="240" w:lineRule="auto"/>
            </w:pPr>
            <w:r w:rsidRPr="00FC1444">
              <w:t>生态</w:t>
            </w:r>
            <w:r w:rsidR="00611CBA" w:rsidRPr="00FC1444">
              <w:t>环境影响评价文件符合相关管理规定和环评技术标准要求。</w:t>
            </w:r>
          </w:p>
        </w:tc>
        <w:tc>
          <w:tcPr>
            <w:tcW w:w="763" w:type="dxa"/>
            <w:vAlign w:val="center"/>
          </w:tcPr>
          <w:p w:rsidR="002A5A5E" w:rsidRPr="00FC1444" w:rsidRDefault="00611CBA">
            <w:pPr>
              <w:jc w:val="center"/>
              <w:rPr>
                <w:rStyle w:val="CharChar"/>
                <w:rFonts w:hAnsi="Times New Roman"/>
              </w:rPr>
            </w:pPr>
            <w:r w:rsidRPr="00FC1444">
              <w:rPr>
                <w:rStyle w:val="CharChar"/>
                <w:rFonts w:hAnsi="Times New Roman"/>
              </w:rPr>
              <w:t>符合</w:t>
            </w:r>
          </w:p>
        </w:tc>
      </w:tr>
    </w:tbl>
    <w:p w:rsidR="002A5A5E" w:rsidRPr="00FC1444" w:rsidRDefault="002A5A5E">
      <w:pPr>
        <w:keepNext/>
        <w:keepLines/>
        <w:rPr>
          <w:rFonts w:eastAsiaTheme="minorEastAsia"/>
          <w:b/>
          <w:bCs/>
          <w:kern w:val="21"/>
          <w:sz w:val="24"/>
        </w:rPr>
        <w:sectPr w:rsidR="002A5A5E" w:rsidRPr="00FC1444" w:rsidSect="00616E99">
          <w:headerReference w:type="default" r:id="rId20"/>
          <w:footerReference w:type="default" r:id="rId21"/>
          <w:pgSz w:w="11906" w:h="16838"/>
          <w:pgMar w:top="1440" w:right="1800" w:bottom="1440" w:left="1800" w:header="851" w:footer="992" w:gutter="0"/>
          <w:pgNumType w:start="1"/>
          <w:cols w:space="425"/>
          <w:docGrid w:type="lines" w:linePitch="312"/>
        </w:sectPr>
      </w:pPr>
    </w:p>
    <w:p w:rsidR="002A5A5E" w:rsidRPr="00FC1444" w:rsidRDefault="00611CBA">
      <w:pPr>
        <w:pStyle w:val="ab"/>
        <w:spacing w:before="100" w:beforeAutospacing="1" w:after="100" w:afterAutospacing="1"/>
        <w:outlineLvl w:val="2"/>
        <w:rPr>
          <w:rFonts w:eastAsiaTheme="minorEastAsia"/>
          <w:b/>
          <w:sz w:val="28"/>
          <w:szCs w:val="28"/>
        </w:rPr>
      </w:pPr>
      <w:r w:rsidRPr="00FC1444">
        <w:rPr>
          <w:rFonts w:eastAsiaTheme="minorEastAsia"/>
          <w:b/>
          <w:sz w:val="28"/>
          <w:szCs w:val="28"/>
        </w:rPr>
        <w:lastRenderedPageBreak/>
        <w:t>1.4.1</w:t>
      </w:r>
      <w:r w:rsidR="00600084" w:rsidRPr="00FC1444">
        <w:rPr>
          <w:rFonts w:eastAsiaTheme="minorEastAsia"/>
          <w:b/>
          <w:sz w:val="28"/>
          <w:szCs w:val="28"/>
        </w:rPr>
        <w:t>0</w:t>
      </w:r>
      <w:r w:rsidRPr="00FC1444">
        <w:rPr>
          <w:rFonts w:eastAsiaTheme="minorEastAsia"/>
          <w:b/>
          <w:sz w:val="28"/>
          <w:szCs w:val="28"/>
        </w:rPr>
        <w:t>选址合理性分析</w:t>
      </w:r>
      <w:bookmarkEnd w:id="18"/>
    </w:p>
    <w:p w:rsidR="002A5A5E" w:rsidRPr="00FC1444" w:rsidRDefault="00611CBA">
      <w:pPr>
        <w:widowControl/>
        <w:spacing w:line="360" w:lineRule="auto"/>
        <w:ind w:firstLineChars="200" w:firstLine="480"/>
        <w:textAlignment w:val="baseline"/>
        <w:rPr>
          <w:rFonts w:eastAsiaTheme="minorEastAsia"/>
          <w:sz w:val="24"/>
        </w:rPr>
      </w:pPr>
      <w:bookmarkStart w:id="22" w:name="_Toc15991621"/>
      <w:r w:rsidRPr="00FC1444">
        <w:rPr>
          <w:rFonts w:eastAsiaTheme="minorEastAsia"/>
          <w:sz w:val="24"/>
        </w:rPr>
        <w:t>（</w:t>
      </w:r>
      <w:r w:rsidRPr="00FC1444">
        <w:rPr>
          <w:rFonts w:eastAsiaTheme="minorEastAsia"/>
          <w:sz w:val="24"/>
        </w:rPr>
        <w:t>1</w:t>
      </w:r>
      <w:r w:rsidRPr="00FC1444">
        <w:rPr>
          <w:rFonts w:eastAsiaTheme="minorEastAsia"/>
          <w:sz w:val="24"/>
        </w:rPr>
        <w:t>）永久占地、工程选址、选线合理性</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总体布局首先立足于保护和改善生态环境，以提高土地利用率为前提，提高耕地质量为主要目标，并坚持可持续发展的原则进行工程建设。在全域土地综合整治与生态修复过程中，实行耕地改良，提高耕地质量，同时提高粮食产量，进而改善当地生产、生活水平，改善当地生态环境，遵循自然规律和经济规律，因地制宜发展经济，保护和建设好生态环境，实现资源的综合利用。</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本项目位于</w:t>
      </w:r>
      <w:r w:rsidR="00433F49" w:rsidRPr="00FC1444">
        <w:rPr>
          <w:rFonts w:eastAsiaTheme="minorEastAsia"/>
          <w:sz w:val="24"/>
        </w:rPr>
        <w:t>黑龙江省绥化市北林区绥胜镇富强村、胜利二村；津河镇民胜村、津河村、靠河村；五营乡互相村、东围村、金伏村；三河镇太安村、永德村、合作村</w:t>
      </w:r>
      <w:r w:rsidRPr="00FC1444">
        <w:rPr>
          <w:rFonts w:eastAsiaTheme="minorEastAsia"/>
          <w:sz w:val="24"/>
        </w:rPr>
        <w:t>。项目工程及施工总平面布置图见附图</w:t>
      </w:r>
      <w:r w:rsidRPr="00FC1444">
        <w:rPr>
          <w:rFonts w:eastAsiaTheme="minorEastAsia"/>
          <w:sz w:val="24"/>
        </w:rPr>
        <w:t>9</w:t>
      </w:r>
      <w:r w:rsidRPr="00FC1444">
        <w:rPr>
          <w:rFonts w:eastAsiaTheme="minorEastAsia"/>
          <w:sz w:val="24"/>
        </w:rPr>
        <w:t>。</w:t>
      </w:r>
      <w:r w:rsidRPr="00FC1444">
        <w:rPr>
          <w:rFonts w:eastAsiaTheme="minorEastAsia"/>
          <w:snapToGrid w:val="0"/>
          <w:kern w:val="0"/>
          <w:sz w:val="24"/>
        </w:rPr>
        <w:t>本项目田间道路工程在现有道路基础上修建，现有灌溉渠道衬砌，现有排水沟清淤、</w:t>
      </w:r>
      <w:r w:rsidRPr="00FC1444">
        <w:rPr>
          <w:rFonts w:eastAsiaTheme="minorEastAsia"/>
          <w:sz w:val="24"/>
        </w:rPr>
        <w:t>衬砌</w:t>
      </w:r>
      <w:r w:rsidR="00D61453" w:rsidRPr="00FC1444">
        <w:rPr>
          <w:rFonts w:eastAsiaTheme="minorEastAsia"/>
          <w:snapToGrid w:val="0"/>
          <w:kern w:val="0"/>
          <w:sz w:val="24"/>
        </w:rPr>
        <w:t>，田块整治工程</w:t>
      </w:r>
      <w:r w:rsidR="007603A1" w:rsidRPr="00FC1444">
        <w:rPr>
          <w:rFonts w:eastAsiaTheme="minorEastAsia"/>
          <w:snapToGrid w:val="0"/>
          <w:kern w:val="0"/>
          <w:sz w:val="24"/>
        </w:rPr>
        <w:t>、农田防护及生态环境保护工程</w:t>
      </w:r>
      <w:r w:rsidRPr="00FC1444">
        <w:rPr>
          <w:rFonts w:eastAsiaTheme="minorEastAsia"/>
          <w:bCs/>
          <w:snapToGrid w:val="0"/>
          <w:kern w:val="0"/>
          <w:sz w:val="24"/>
        </w:rPr>
        <w:t>在永久占地范围内</w:t>
      </w:r>
      <w:r w:rsidRPr="00FC1444">
        <w:rPr>
          <w:rFonts w:eastAsiaTheme="minorEastAsia"/>
          <w:snapToGrid w:val="0"/>
          <w:kern w:val="0"/>
          <w:sz w:val="24"/>
        </w:rPr>
        <w:t>，尽量减少占地，其余工程新增永久占地。</w:t>
      </w:r>
      <w:r w:rsidRPr="00FC1444">
        <w:rPr>
          <w:rFonts w:eastAsiaTheme="minorEastAsia"/>
          <w:bCs/>
          <w:snapToGrid w:val="0"/>
          <w:kern w:val="0"/>
          <w:sz w:val="24"/>
        </w:rPr>
        <w:t>永久占地类型为</w:t>
      </w:r>
      <w:r w:rsidR="009555CD" w:rsidRPr="00FC1444">
        <w:rPr>
          <w:rFonts w:eastAsiaTheme="minorEastAsia"/>
          <w:bCs/>
          <w:snapToGrid w:val="0"/>
          <w:kern w:val="0"/>
          <w:sz w:val="24"/>
        </w:rPr>
        <w:t>草地、交通运输用地、水利设施用地、坑塘水面</w:t>
      </w:r>
      <w:r w:rsidRPr="00FC1444">
        <w:rPr>
          <w:rFonts w:eastAsiaTheme="minorEastAsia"/>
          <w:snapToGrid w:val="0"/>
          <w:kern w:val="0"/>
          <w:sz w:val="24"/>
        </w:rPr>
        <w:t>。</w:t>
      </w:r>
      <w:r w:rsidRPr="00FC1444">
        <w:rPr>
          <w:rFonts w:eastAsiaTheme="minorEastAsia"/>
          <w:sz w:val="24"/>
        </w:rPr>
        <w:t>项目选址选线不占用自然保护区、世界文化和自然遗产地以及其他生态保护红线中法律法规禁止占用的区域。本项目区域虽</w:t>
      </w:r>
      <w:r w:rsidR="00A961AB" w:rsidRPr="00FC1444">
        <w:rPr>
          <w:rFonts w:eastAsiaTheme="minorEastAsia"/>
          <w:bCs/>
          <w:sz w:val="24"/>
        </w:rPr>
        <w:t>属于国家级水土流失重点治理区</w:t>
      </w:r>
      <w:r w:rsidRPr="00FC1444">
        <w:rPr>
          <w:rFonts w:eastAsiaTheme="minorEastAsia"/>
          <w:sz w:val="24"/>
        </w:rPr>
        <w:t>，易发生水土流失，本项目实施排水沟清淤、衬砌、灌溉渠道衬砌等工程，建成后可减少区域水土流失，</w:t>
      </w:r>
      <w:r w:rsidRPr="00FC1444">
        <w:rPr>
          <w:rFonts w:eastAsiaTheme="minorEastAsia"/>
          <w:bCs/>
          <w:sz w:val="24"/>
        </w:rPr>
        <w:t>提高和维持土地生产力。</w:t>
      </w:r>
      <w:r w:rsidRPr="00FC1444">
        <w:rPr>
          <w:rFonts w:eastAsiaTheme="minorEastAsia"/>
          <w:sz w:val="24"/>
        </w:rPr>
        <w:t>项目选址、选线符合《高标准农田建设</w:t>
      </w:r>
      <w:r w:rsidRPr="00FC1444">
        <w:rPr>
          <w:rFonts w:eastAsiaTheme="minorEastAsia"/>
          <w:sz w:val="24"/>
        </w:rPr>
        <w:t xml:space="preserve"> </w:t>
      </w:r>
      <w:r w:rsidRPr="00FC1444">
        <w:rPr>
          <w:rFonts w:eastAsiaTheme="minorEastAsia"/>
          <w:sz w:val="24"/>
        </w:rPr>
        <w:t>通则》（</w:t>
      </w:r>
      <w:r w:rsidRPr="00FC1444">
        <w:rPr>
          <w:rFonts w:eastAsiaTheme="minorEastAsia"/>
          <w:sz w:val="24"/>
        </w:rPr>
        <w:t>GB/T 30600-2022</w:t>
      </w:r>
      <w:r w:rsidRPr="00FC1444">
        <w:rPr>
          <w:rFonts w:eastAsiaTheme="minorEastAsia"/>
          <w:sz w:val="24"/>
        </w:rPr>
        <w:t>）的要求。</w:t>
      </w:r>
    </w:p>
    <w:p w:rsidR="002A5A5E" w:rsidRPr="00FC1444" w:rsidRDefault="00611CBA">
      <w:pPr>
        <w:spacing w:line="360" w:lineRule="auto"/>
        <w:ind w:firstLineChars="200" w:firstLine="476"/>
        <w:rPr>
          <w:rFonts w:eastAsiaTheme="minorEastAsia"/>
          <w:spacing w:val="-1"/>
          <w:sz w:val="24"/>
        </w:rPr>
      </w:pPr>
      <w:r w:rsidRPr="00FC1444">
        <w:rPr>
          <w:rFonts w:eastAsiaTheme="minorEastAsia"/>
          <w:spacing w:val="-1"/>
          <w:sz w:val="24"/>
        </w:rPr>
        <w:t>本项目污染主要集中在施工期，主要包括施工期间产生的运输车辆扬尘、机械设备及运输车辆噪声对周边生态环境的影响。建设期间将对区域的现有环境、居民生活及社会产生一定的影响，但项目涉及面较窄，且比较分散。施工期结束后，本项目的影响随即消失。在施工期间，只要制订详细保护计划，精心施工，采取有效的防护和隔离措施，对生态环境的影响较小。项目建设后既可以促进地区农业经济发展，又是建立高效生态农业模式的有效途径，而且对于建设社会主义新农村具有重要的现实意义。因此，运营期对环境的影响主要表现为有利的影响。</w:t>
      </w:r>
    </w:p>
    <w:p w:rsidR="002A5A5E" w:rsidRPr="00FC1444" w:rsidRDefault="00611CBA">
      <w:pPr>
        <w:widowControl/>
        <w:spacing w:line="360" w:lineRule="auto"/>
        <w:ind w:firstLineChars="200" w:firstLine="480"/>
        <w:textAlignment w:val="baseline"/>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）临时施工场地、施工道路、生活区选址合理性</w:t>
      </w:r>
    </w:p>
    <w:p w:rsidR="002A5A5E" w:rsidRPr="00FC1444" w:rsidRDefault="00611CBA">
      <w:pPr>
        <w:widowControl/>
        <w:spacing w:line="360" w:lineRule="auto"/>
        <w:ind w:firstLineChars="200" w:firstLine="480"/>
        <w:textAlignment w:val="baseline"/>
        <w:rPr>
          <w:rFonts w:eastAsiaTheme="minorEastAsia"/>
          <w:sz w:val="24"/>
        </w:rPr>
      </w:pPr>
      <w:r w:rsidRPr="00FC1444">
        <w:rPr>
          <w:rFonts w:eastAsiaTheme="minorEastAsia"/>
          <w:sz w:val="24"/>
        </w:rPr>
        <w:lastRenderedPageBreak/>
        <w:t>项目区对外交通状况较好，公路等骨干交通路网已经形成，到附近乡镇和县里购买工程资料比较方便。大部分工程利用现有水泥路、砂石路及村地头路。</w:t>
      </w:r>
    </w:p>
    <w:p w:rsidR="002A5A5E" w:rsidRPr="00FC1444" w:rsidRDefault="00611CBA">
      <w:pPr>
        <w:widowControl/>
        <w:spacing w:line="360" w:lineRule="auto"/>
        <w:ind w:firstLineChars="200" w:firstLine="480"/>
        <w:textAlignment w:val="baseline"/>
        <w:rPr>
          <w:rFonts w:eastAsiaTheme="minorEastAsia"/>
          <w:sz w:val="24"/>
        </w:rPr>
      </w:pPr>
      <w:r w:rsidRPr="00FC1444">
        <w:rPr>
          <w:rFonts w:eastAsiaTheme="minorEastAsia"/>
          <w:sz w:val="24"/>
        </w:rPr>
        <w:t>项目施工期间土方均堆存于施工范围内，施工结束后表土全部用于临时工程土地恢复及田块整治工程，土方能回填的及时回填，建筑垃圾大部分用于田块整治工程，剩余及时送至建材公司回用</w:t>
      </w:r>
      <w:r w:rsidR="00F9040C" w:rsidRPr="00FC1444">
        <w:rPr>
          <w:rFonts w:eastAsiaTheme="minorEastAsia"/>
          <w:sz w:val="24"/>
        </w:rPr>
        <w:t>，建筑垃圾进行堆填利用前应开展本底调查及风险评估</w:t>
      </w:r>
      <w:r w:rsidRPr="00FC1444">
        <w:rPr>
          <w:rFonts w:eastAsiaTheme="minorEastAsia"/>
          <w:sz w:val="24"/>
        </w:rPr>
        <w:t>，</w:t>
      </w:r>
      <w:r w:rsidR="00730492" w:rsidRPr="00FC1444">
        <w:rPr>
          <w:rFonts w:eastAsiaTheme="minorEastAsia"/>
          <w:bCs/>
          <w:sz w:val="24"/>
        </w:rPr>
        <w:t>排水沟淤泥培至工程附近</w:t>
      </w:r>
      <w:r w:rsidR="00730492" w:rsidRPr="00FC1444">
        <w:rPr>
          <w:rFonts w:eastAsiaTheme="minorEastAsia"/>
          <w:bCs/>
          <w:sz w:val="24"/>
        </w:rPr>
        <w:t>200</w:t>
      </w:r>
      <w:r w:rsidR="00730492" w:rsidRPr="00FC1444">
        <w:rPr>
          <w:rFonts w:eastAsiaTheme="minorEastAsia"/>
          <w:bCs/>
          <w:sz w:val="24"/>
        </w:rPr>
        <w:t>米范围内无环境保护目标的排水沟两侧（</w:t>
      </w:r>
      <w:r w:rsidR="00386D57" w:rsidRPr="00FC1444">
        <w:rPr>
          <w:rFonts w:eastAsiaTheme="minorEastAsia"/>
          <w:bCs/>
          <w:sz w:val="24"/>
        </w:rPr>
        <w:t>避开黄家屯、李荒子屯等</w:t>
      </w:r>
      <w:r w:rsidR="00386D57" w:rsidRPr="00FC1444">
        <w:rPr>
          <w:rFonts w:eastAsiaTheme="minorEastAsia"/>
          <w:bCs/>
          <w:sz w:val="24"/>
        </w:rPr>
        <w:t>22</w:t>
      </w:r>
      <w:r w:rsidR="00386D57" w:rsidRPr="00FC1444">
        <w:rPr>
          <w:rFonts w:eastAsiaTheme="minorEastAsia"/>
          <w:bCs/>
          <w:sz w:val="24"/>
        </w:rPr>
        <w:t>个村屯</w:t>
      </w:r>
      <w:r w:rsidR="00730492" w:rsidRPr="00FC1444">
        <w:rPr>
          <w:rFonts w:eastAsiaTheme="minorEastAsia"/>
          <w:bCs/>
          <w:sz w:val="24"/>
        </w:rPr>
        <w:t>，具体见表</w:t>
      </w:r>
      <w:r w:rsidR="00730492" w:rsidRPr="00FC1444">
        <w:rPr>
          <w:rFonts w:eastAsiaTheme="minorEastAsia"/>
          <w:bCs/>
          <w:sz w:val="24"/>
        </w:rPr>
        <w:t>2-8-2</w:t>
      </w:r>
      <w:r w:rsidR="00730492" w:rsidRPr="00FC1444">
        <w:rPr>
          <w:rFonts w:eastAsiaTheme="minorEastAsia"/>
          <w:bCs/>
          <w:sz w:val="24"/>
        </w:rPr>
        <w:t>）</w:t>
      </w:r>
      <w:r w:rsidRPr="00FC1444">
        <w:rPr>
          <w:rFonts w:eastAsiaTheme="minorEastAsia"/>
          <w:sz w:val="24"/>
        </w:rPr>
        <w:t>，因此不设置弃土场。</w:t>
      </w:r>
    </w:p>
    <w:p w:rsidR="002A5A5E" w:rsidRPr="00FC1444" w:rsidRDefault="00611CBA">
      <w:pPr>
        <w:widowControl/>
        <w:spacing w:line="360" w:lineRule="auto"/>
        <w:ind w:firstLineChars="200" w:firstLine="480"/>
        <w:textAlignment w:val="baseline"/>
        <w:rPr>
          <w:rFonts w:eastAsiaTheme="minorEastAsia"/>
          <w:sz w:val="24"/>
        </w:rPr>
      </w:pPr>
      <w:r w:rsidRPr="00FC1444">
        <w:rPr>
          <w:rFonts w:eastAsiaTheme="minorEastAsia"/>
          <w:sz w:val="24"/>
        </w:rPr>
        <w:t>农田输配电工程</w:t>
      </w:r>
      <w:r w:rsidR="00617138" w:rsidRPr="00FC1444">
        <w:rPr>
          <w:rFonts w:eastAsiaTheme="minorEastAsia"/>
          <w:sz w:val="24"/>
        </w:rPr>
        <w:t>沿线一侧外扩</w:t>
      </w:r>
      <w:r w:rsidR="00617138" w:rsidRPr="00FC1444">
        <w:rPr>
          <w:rFonts w:eastAsiaTheme="minorEastAsia"/>
          <w:sz w:val="24"/>
        </w:rPr>
        <w:t>3m</w:t>
      </w:r>
      <w:r w:rsidR="00617138" w:rsidRPr="00FC1444">
        <w:rPr>
          <w:rFonts w:eastAsiaTheme="minorEastAsia"/>
          <w:sz w:val="24"/>
        </w:rPr>
        <w:t>为临时占地施工场地，共设置</w:t>
      </w:r>
      <w:r w:rsidR="00957D7F" w:rsidRPr="00FC1444">
        <w:rPr>
          <w:rFonts w:eastAsiaTheme="minorEastAsia"/>
          <w:sz w:val="24"/>
        </w:rPr>
        <w:t>194</w:t>
      </w:r>
      <w:r w:rsidR="00957D7F" w:rsidRPr="00FC1444">
        <w:rPr>
          <w:rFonts w:eastAsiaTheme="minorEastAsia"/>
          <w:sz w:val="24"/>
        </w:rPr>
        <w:t>根</w:t>
      </w:r>
      <w:r w:rsidR="00617138" w:rsidRPr="00FC1444">
        <w:rPr>
          <w:rFonts w:eastAsiaTheme="minorEastAsia"/>
          <w:sz w:val="24"/>
        </w:rPr>
        <w:t>水泥电杆，变压器为杆上变压器，每处设置</w:t>
      </w:r>
      <w:r w:rsidR="00617138" w:rsidRPr="00FC1444">
        <w:rPr>
          <w:rFonts w:eastAsiaTheme="minorEastAsia"/>
          <w:snapToGrid w:val="0"/>
          <w:kern w:val="0"/>
          <w:sz w:val="24"/>
        </w:rPr>
        <w:t>15m</w:t>
      </w:r>
      <w:r w:rsidR="00617138" w:rsidRPr="00FC1444">
        <w:rPr>
          <w:rFonts w:eastAsiaTheme="minorEastAsia"/>
          <w:snapToGrid w:val="0"/>
          <w:kern w:val="0"/>
          <w:sz w:val="24"/>
          <w:vertAlign w:val="superscript"/>
        </w:rPr>
        <w:t>2</w:t>
      </w:r>
      <w:r w:rsidR="00617138" w:rsidRPr="00FC1444">
        <w:rPr>
          <w:rFonts w:eastAsiaTheme="minorEastAsia"/>
          <w:sz w:val="24"/>
        </w:rPr>
        <w:t>临时占地</w:t>
      </w:r>
      <w:r w:rsidRPr="00FC1444">
        <w:rPr>
          <w:rFonts w:eastAsiaTheme="minorEastAsia"/>
          <w:sz w:val="24"/>
        </w:rPr>
        <w:t>施工材料均沿线堆放在施工范围内，不设集中堆料场；灌溉井、涵洞等建筑物工程施工材料堆放在紧邻工程施工场地内，临时占地类型为旱地、草地，均不涉及自然保护区、风景名胜区、湿地公园等环境敏感区和生态保护红线；田间道路工程、田块整治工程、灌溉渠道衬砌工程施工材料堆放在永久占地内，不设集中堆料场。减少临时占地面积，临时堆料场选址可行。施工期间施工粉尘及噪声会对周边敏感目标产生一定影响，在采取本次环评提出的噪声及大气污染防治措施后，对周边敏感目标的影响可降至最低。施工结束后，恢复为原地类。</w:t>
      </w:r>
    </w:p>
    <w:p w:rsidR="002A5A5E" w:rsidRPr="00FC1444" w:rsidRDefault="00611CBA">
      <w:pPr>
        <w:widowControl/>
        <w:spacing w:line="360" w:lineRule="auto"/>
        <w:ind w:firstLineChars="200" w:firstLine="480"/>
        <w:textAlignment w:val="baseline"/>
        <w:rPr>
          <w:rFonts w:eastAsiaTheme="minorEastAsia"/>
          <w:sz w:val="24"/>
        </w:rPr>
      </w:pPr>
      <w:r w:rsidRPr="00FC1444">
        <w:rPr>
          <w:rFonts w:eastAsiaTheme="minorEastAsia"/>
          <w:sz w:val="24"/>
        </w:rPr>
        <w:t>项目施工人员均雇佣附近居民，生活区依托附近民房，施工生活区选址可行。</w:t>
      </w:r>
    </w:p>
    <w:p w:rsidR="002A5A5E" w:rsidRPr="00FC1444" w:rsidRDefault="00611CBA">
      <w:pPr>
        <w:widowControl/>
        <w:spacing w:line="360" w:lineRule="auto"/>
        <w:ind w:firstLineChars="200" w:firstLine="480"/>
        <w:textAlignment w:val="baseline"/>
        <w:rPr>
          <w:rFonts w:eastAsiaTheme="minorEastAsia"/>
          <w:sz w:val="24"/>
        </w:rPr>
      </w:pPr>
      <w:r w:rsidRPr="00FC1444">
        <w:rPr>
          <w:rFonts w:eastAsiaTheme="minorEastAsia"/>
          <w:sz w:val="24"/>
        </w:rPr>
        <w:t>（</w:t>
      </w:r>
      <w:r w:rsidRPr="00FC1444">
        <w:rPr>
          <w:rFonts w:eastAsiaTheme="minorEastAsia"/>
          <w:sz w:val="24"/>
        </w:rPr>
        <w:t>3</w:t>
      </w:r>
      <w:r w:rsidRPr="00FC1444">
        <w:rPr>
          <w:rFonts w:eastAsiaTheme="minorEastAsia"/>
          <w:sz w:val="24"/>
        </w:rPr>
        <w:t>）项目取水、退水合理性</w:t>
      </w:r>
    </w:p>
    <w:p w:rsidR="00F9522B" w:rsidRPr="00FC1444" w:rsidRDefault="00F9522B">
      <w:pPr>
        <w:pStyle w:val="1120"/>
        <w:spacing w:line="360" w:lineRule="auto"/>
        <w:ind w:firstLine="480"/>
        <w:rPr>
          <w:rFonts w:ascii="Times New Roman" w:eastAsiaTheme="minorEastAsia" w:hAnsi="Times New Roman" w:cs="Times New Roman"/>
          <w:color w:val="auto"/>
          <w:kern w:val="0"/>
          <w:sz w:val="24"/>
        </w:rPr>
      </w:pPr>
      <w:r w:rsidRPr="00FC1444">
        <w:rPr>
          <w:rFonts w:ascii="Times New Roman" w:eastAsiaTheme="minorEastAsia" w:hAnsi="Times New Roman" w:cs="Times New Roman"/>
          <w:color w:val="auto"/>
          <w:kern w:val="0"/>
          <w:sz w:val="24"/>
        </w:rPr>
        <w:t>本项目</w:t>
      </w:r>
      <w:r w:rsidR="00DD3A44" w:rsidRPr="00FC1444">
        <w:rPr>
          <w:rFonts w:ascii="Times New Roman" w:eastAsiaTheme="minorEastAsia" w:hAnsi="Times New Roman" w:cs="Times New Roman"/>
          <w:color w:val="auto"/>
          <w:kern w:val="0"/>
          <w:sz w:val="24"/>
        </w:rPr>
        <w:t>156</w:t>
      </w:r>
      <w:r w:rsidR="00DD3A44" w:rsidRPr="00FC1444">
        <w:rPr>
          <w:rFonts w:ascii="Times New Roman" w:eastAsiaTheme="minorEastAsia" w:hAnsi="Times New Roman" w:cs="Times New Roman"/>
          <w:color w:val="auto"/>
          <w:kern w:val="0"/>
          <w:sz w:val="24"/>
        </w:rPr>
        <w:t>口</w:t>
      </w:r>
      <w:r w:rsidRPr="00FC1444">
        <w:rPr>
          <w:rFonts w:ascii="Times New Roman" w:eastAsiaTheme="minorEastAsia" w:hAnsi="Times New Roman" w:cs="Times New Roman"/>
          <w:color w:val="auto"/>
          <w:kern w:val="0"/>
          <w:sz w:val="24"/>
        </w:rPr>
        <w:t>灌溉井选址</w:t>
      </w:r>
      <w:r w:rsidRPr="00FC1444">
        <w:rPr>
          <w:rFonts w:ascii="Times New Roman" w:eastAsiaTheme="minorEastAsia" w:hAnsi="Times New Roman" w:cs="Times New Roman"/>
          <w:color w:val="auto"/>
          <w:sz w:val="24"/>
        </w:rPr>
        <w:t>不占用饮用水源地保护区、自然保护区、世界文化和自然遗产地以及其他生态保护红线中法律法规禁止占用的区域。已取得</w:t>
      </w:r>
      <w:r w:rsidRPr="00FC1444">
        <w:rPr>
          <w:rFonts w:ascii="Times New Roman" w:eastAsiaTheme="minorEastAsia" w:hAnsi="Times New Roman" w:cs="Times New Roman"/>
          <w:snapToGrid w:val="0"/>
          <w:color w:val="auto"/>
          <w:kern w:val="0"/>
          <w:sz w:val="24"/>
        </w:rPr>
        <w:t>《</w:t>
      </w:r>
      <w:r w:rsidR="00AE168C" w:rsidRPr="00FC1444">
        <w:rPr>
          <w:rFonts w:ascii="Times New Roman" w:eastAsiaTheme="minorEastAsia" w:hAnsi="Times New Roman" w:cs="Times New Roman"/>
          <w:snapToGrid w:val="0"/>
          <w:color w:val="auto"/>
          <w:kern w:val="0"/>
          <w:sz w:val="24"/>
        </w:rPr>
        <w:t>北林区</w:t>
      </w:r>
      <w:r w:rsidR="00AE168C" w:rsidRPr="00FC1444">
        <w:rPr>
          <w:rFonts w:ascii="Times New Roman" w:eastAsiaTheme="minorEastAsia" w:hAnsi="Times New Roman" w:cs="Times New Roman"/>
          <w:snapToGrid w:val="0"/>
          <w:color w:val="auto"/>
          <w:kern w:val="0"/>
          <w:sz w:val="24"/>
        </w:rPr>
        <w:t>2026</w:t>
      </w:r>
      <w:r w:rsidR="00AE168C" w:rsidRPr="00FC1444">
        <w:rPr>
          <w:rFonts w:ascii="Times New Roman" w:eastAsiaTheme="minorEastAsia" w:hAnsi="Times New Roman" w:cs="Times New Roman"/>
          <w:snapToGrid w:val="0"/>
          <w:color w:val="auto"/>
          <w:kern w:val="0"/>
          <w:sz w:val="24"/>
        </w:rPr>
        <w:t>年高标准农田建设项目</w:t>
      </w:r>
      <w:r w:rsidRPr="00FC1444">
        <w:rPr>
          <w:rFonts w:ascii="Times New Roman" w:eastAsiaTheme="minorEastAsia" w:hAnsi="Times New Roman" w:cs="Times New Roman"/>
          <w:snapToGrid w:val="0"/>
          <w:color w:val="auto"/>
          <w:kern w:val="0"/>
          <w:sz w:val="24"/>
        </w:rPr>
        <w:t>水资源论证报告专家评审意见》</w:t>
      </w:r>
      <w:r w:rsidRPr="00FC1444">
        <w:rPr>
          <w:rFonts w:ascii="Times New Roman" w:eastAsiaTheme="minorEastAsia" w:hAnsi="Times New Roman" w:cs="Times New Roman"/>
          <w:color w:val="auto"/>
          <w:sz w:val="24"/>
        </w:rPr>
        <w:t>，</w:t>
      </w:r>
      <w:r w:rsidR="00C055FF" w:rsidRPr="00FC1444">
        <w:rPr>
          <w:rFonts w:ascii="Times New Roman" w:eastAsiaTheme="minorEastAsia" w:hAnsi="Times New Roman" w:cs="Times New Roman"/>
          <w:color w:val="auto"/>
          <w:sz w:val="24"/>
        </w:rPr>
        <w:t>符合《</w:t>
      </w:r>
      <w:r w:rsidR="000E00D5" w:rsidRPr="00FC1444">
        <w:rPr>
          <w:rFonts w:ascii="Times New Roman" w:eastAsiaTheme="minorEastAsia" w:hAnsi="Times New Roman" w:cs="Times New Roman"/>
          <w:color w:val="auto"/>
          <w:sz w:val="24"/>
        </w:rPr>
        <w:t>绥化</w:t>
      </w:r>
      <w:r w:rsidR="00C055FF" w:rsidRPr="00FC1444">
        <w:rPr>
          <w:rFonts w:ascii="Times New Roman" w:eastAsiaTheme="minorEastAsia" w:hAnsi="Times New Roman" w:cs="Times New Roman"/>
          <w:color w:val="auto"/>
          <w:sz w:val="24"/>
        </w:rPr>
        <w:t>市国土空间总体规划》，</w:t>
      </w:r>
      <w:r w:rsidRPr="00FC1444">
        <w:rPr>
          <w:rFonts w:ascii="Times New Roman" w:eastAsiaTheme="minorEastAsia" w:hAnsi="Times New Roman" w:cs="Times New Roman"/>
          <w:color w:val="auto"/>
          <w:sz w:val="24"/>
        </w:rPr>
        <w:t>选址合理。</w:t>
      </w:r>
    </w:p>
    <w:p w:rsidR="002A5A5E" w:rsidRPr="00FC1444" w:rsidRDefault="00611CBA" w:rsidP="00F9522B">
      <w:pPr>
        <w:pStyle w:val="1120"/>
        <w:spacing w:line="360" w:lineRule="auto"/>
        <w:ind w:firstLine="480"/>
        <w:rPr>
          <w:rFonts w:ascii="Times New Roman" w:eastAsiaTheme="minorEastAsia" w:hAnsi="Times New Roman" w:cs="Times New Roman"/>
          <w:color w:val="auto"/>
          <w:kern w:val="0"/>
          <w:sz w:val="24"/>
        </w:rPr>
      </w:pPr>
      <w:r w:rsidRPr="00FC1444">
        <w:rPr>
          <w:rFonts w:ascii="Times New Roman" w:eastAsiaTheme="minorEastAsia" w:hAnsi="Times New Roman" w:cs="Times New Roman"/>
          <w:color w:val="auto"/>
          <w:kern w:val="0"/>
          <w:sz w:val="24"/>
        </w:rPr>
        <w:t>项目区</w:t>
      </w:r>
      <w:r w:rsidR="00B5574E" w:rsidRPr="00FC1444">
        <w:rPr>
          <w:rFonts w:ascii="Times New Roman" w:eastAsiaTheme="minorEastAsia" w:hAnsi="Times New Roman" w:cs="Times New Roman"/>
          <w:color w:val="auto"/>
          <w:kern w:val="0"/>
          <w:sz w:val="24"/>
        </w:rPr>
        <w:t>现有</w:t>
      </w:r>
      <w:r w:rsidRPr="00FC1444">
        <w:rPr>
          <w:rFonts w:ascii="Times New Roman" w:eastAsiaTheme="minorEastAsia" w:hAnsi="Times New Roman" w:cs="Times New Roman"/>
          <w:color w:val="auto"/>
          <w:sz w:val="24"/>
        </w:rPr>
        <w:t>水田利用现有地</w:t>
      </w:r>
      <w:r w:rsidR="00C233E7" w:rsidRPr="00FC1444">
        <w:rPr>
          <w:rFonts w:ascii="Times New Roman" w:eastAsiaTheme="minorEastAsia" w:hAnsi="Times New Roman" w:cs="Times New Roman"/>
          <w:color w:val="auto"/>
          <w:sz w:val="24"/>
        </w:rPr>
        <w:t>下水灌溉设施，无地表水取水口，退水口利用现有。</w:t>
      </w:r>
      <w:r w:rsidRPr="00FC1444">
        <w:rPr>
          <w:rFonts w:ascii="Times New Roman" w:eastAsiaTheme="minorEastAsia" w:hAnsi="Times New Roman" w:cs="Times New Roman"/>
          <w:color w:val="auto"/>
          <w:sz w:val="24"/>
          <w:szCs w:val="21"/>
        </w:rPr>
        <w:t>本项目实施后，不新增水田面积</w:t>
      </w:r>
      <w:r w:rsidRPr="00FC1444">
        <w:rPr>
          <w:rFonts w:ascii="Times New Roman" w:eastAsiaTheme="minorEastAsia" w:hAnsi="Times New Roman" w:cs="Times New Roman"/>
          <w:color w:val="auto"/>
          <w:kern w:val="0"/>
          <w:sz w:val="24"/>
        </w:rPr>
        <w:t>。</w:t>
      </w:r>
      <w:r w:rsidR="00E456D6" w:rsidRPr="00FC1444">
        <w:rPr>
          <w:rFonts w:ascii="Times New Roman" w:eastAsiaTheme="minorEastAsia" w:hAnsi="Times New Roman" w:cs="Times New Roman" w:hint="eastAsia"/>
          <w:color w:val="auto"/>
          <w:kern w:val="0"/>
          <w:sz w:val="24"/>
        </w:rPr>
        <w:t>项目区排水工程已基本形成规模，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00E456D6" w:rsidRPr="00FC1444">
        <w:rPr>
          <w:rFonts w:ascii="Times New Roman" w:eastAsiaTheme="minorEastAsia" w:hAnsi="Times New Roman" w:cs="Times New Roman"/>
          <w:color w:val="auto"/>
          <w:sz w:val="24"/>
        </w:rPr>
        <w:t>本项目现有水田排污口位于绥胜干沟及原有沟，属于自然沟渠</w:t>
      </w:r>
      <w:r w:rsidR="002837A5" w:rsidRPr="00FC1444">
        <w:rPr>
          <w:rFonts w:ascii="Times New Roman" w:eastAsiaTheme="minorEastAsia" w:hAnsi="Times New Roman" w:cs="Times New Roman"/>
          <w:color w:val="auto"/>
          <w:sz w:val="24"/>
        </w:rPr>
        <w:t>，经咨询当地相关管理部门，无需进行审批登记管理，不进行管控。</w:t>
      </w:r>
    </w:p>
    <w:p w:rsidR="002A5A5E" w:rsidRPr="00FC1444" w:rsidRDefault="00611CBA">
      <w:pPr>
        <w:spacing w:line="360" w:lineRule="auto"/>
        <w:ind w:firstLineChars="200" w:firstLine="480"/>
        <w:contextualSpacing/>
        <w:rPr>
          <w:rFonts w:eastAsiaTheme="minorEastAsia"/>
          <w:snapToGrid w:val="0"/>
          <w:sz w:val="24"/>
        </w:rPr>
      </w:pPr>
      <w:r w:rsidRPr="00FC1444">
        <w:rPr>
          <w:rFonts w:eastAsiaTheme="minorEastAsia"/>
          <w:sz w:val="24"/>
        </w:rPr>
        <w:lastRenderedPageBreak/>
        <w:t>根据黑龙江省生态环境分区管控数据应用平台出具的《</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生态环境分区管控分析报告》可见，本项目工程占地及生态评价范围不涉及生态保护红线、</w:t>
      </w:r>
      <w:r w:rsidRPr="00FC1444">
        <w:rPr>
          <w:rFonts w:eastAsiaTheme="minorEastAsia"/>
          <w:snapToGrid w:val="0"/>
          <w:sz w:val="24"/>
        </w:rPr>
        <w:t>国家、省、市重点保护文物、濒危珍稀动植物、森林公园、地质公园、天然林、公益林等生态保护目标。</w:t>
      </w:r>
    </w:p>
    <w:p w:rsidR="002A5A5E" w:rsidRPr="00FC1444" w:rsidRDefault="00611CBA">
      <w:pPr>
        <w:spacing w:line="360" w:lineRule="auto"/>
        <w:ind w:firstLineChars="200" w:firstLine="480"/>
        <w:contextualSpacing/>
        <w:rPr>
          <w:rFonts w:eastAsiaTheme="minorEastAsia"/>
          <w:snapToGrid w:val="0"/>
          <w:sz w:val="24"/>
        </w:rPr>
      </w:pPr>
      <w:r w:rsidRPr="00FC1444">
        <w:rPr>
          <w:rFonts w:eastAsiaTheme="minorEastAsia"/>
          <w:snapToGrid w:val="0"/>
          <w:sz w:val="24"/>
        </w:rPr>
        <w:t>根据</w:t>
      </w:r>
      <w:r w:rsidRPr="00FC1444">
        <w:rPr>
          <w:rFonts w:eastAsiaTheme="minorEastAsia"/>
          <w:sz w:val="24"/>
        </w:rPr>
        <w:t>已批复</w:t>
      </w:r>
      <w:r w:rsidRPr="00FC1444">
        <w:rPr>
          <w:rFonts w:eastAsiaTheme="minorEastAsia"/>
          <w:snapToGrid w:val="0"/>
          <w:sz w:val="24"/>
        </w:rPr>
        <w:t>《</w:t>
      </w:r>
      <w:r w:rsidR="00AE168C" w:rsidRPr="00FC1444">
        <w:rPr>
          <w:rFonts w:eastAsiaTheme="minorEastAsia"/>
          <w:snapToGrid w:val="0"/>
          <w:sz w:val="24"/>
        </w:rPr>
        <w:t>北林区</w:t>
      </w:r>
      <w:r w:rsidR="00AE168C" w:rsidRPr="00FC1444">
        <w:rPr>
          <w:rFonts w:eastAsiaTheme="minorEastAsia"/>
          <w:snapToGrid w:val="0"/>
          <w:sz w:val="24"/>
        </w:rPr>
        <w:t>2026</w:t>
      </w:r>
      <w:r w:rsidR="00AE168C" w:rsidRPr="00FC1444">
        <w:rPr>
          <w:rFonts w:eastAsiaTheme="minorEastAsia"/>
          <w:snapToGrid w:val="0"/>
          <w:sz w:val="24"/>
        </w:rPr>
        <w:t>年高标准农田建设项目</w:t>
      </w:r>
      <w:r w:rsidRPr="00FC1444">
        <w:rPr>
          <w:rFonts w:eastAsiaTheme="minorEastAsia"/>
          <w:snapToGrid w:val="0"/>
          <w:sz w:val="24"/>
        </w:rPr>
        <w:t>水资源论证报告书》可知，本项目井群地下水开采水位影响范围最大为</w:t>
      </w:r>
      <w:r w:rsidR="00003BA4" w:rsidRPr="00FC1444">
        <w:rPr>
          <w:rFonts w:eastAsiaTheme="minorEastAsia"/>
          <w:snapToGrid w:val="0"/>
          <w:sz w:val="24"/>
        </w:rPr>
        <w:t>1.05</w:t>
      </w:r>
      <w:r w:rsidRPr="00FC1444">
        <w:rPr>
          <w:rFonts w:eastAsiaTheme="minorEastAsia"/>
          <w:snapToGrid w:val="0"/>
          <w:sz w:val="24"/>
        </w:rPr>
        <w:t>m</w:t>
      </w:r>
      <w:r w:rsidRPr="00FC1444">
        <w:rPr>
          <w:rFonts w:eastAsiaTheme="minorEastAsia"/>
          <w:snapToGrid w:val="0"/>
          <w:sz w:val="24"/>
        </w:rPr>
        <w:t>，经调查，地下水水位影响范围内未分布天然林、公益林、湿地等生态保护目标。本项目现有退水路线不涉及重要水生生物的自然产卵场、索饵场、越冬场和洄游通道。</w:t>
      </w:r>
    </w:p>
    <w:p w:rsidR="00AE6DC7" w:rsidRPr="00FC1444" w:rsidRDefault="003F09B6" w:rsidP="00AE6DC7">
      <w:pPr>
        <w:pStyle w:val="1120"/>
        <w:spacing w:line="360" w:lineRule="auto"/>
        <w:ind w:firstLine="480"/>
        <w:rPr>
          <w:rFonts w:ascii="Times New Roman" w:eastAsiaTheme="minorEastAsia" w:hAnsi="Times New Roman" w:cs="Times New Roman"/>
          <w:color w:val="auto"/>
          <w:sz w:val="24"/>
          <w:szCs w:val="24"/>
        </w:rPr>
      </w:pPr>
      <w:r w:rsidRPr="00FC1444">
        <w:rPr>
          <w:rFonts w:ascii="Times New Roman" w:eastAsiaTheme="minorEastAsia" w:hAnsi="Times New Roman" w:cs="Times New Roman"/>
          <w:color w:val="auto"/>
          <w:sz w:val="24"/>
          <w:szCs w:val="24"/>
        </w:rPr>
        <w:t>本项目建设前，渠系渗漏、格田高低不平，灌水深浅不均，高处缺水脱肥、低处积水肥料随渗流、退水流失，为保证作物长势，农户普遍超量追肥弥补肥料流失。本项目建成后，采取</w:t>
      </w: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三减</w:t>
      </w: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措施，进行土地平整，格田水深均匀，肥料在田间均匀分布，无局部脱肥，基础施肥量下调，防渗渠、配套闸阀减少输水渗漏，田间无大量冗余排水，田间排水量减少，化肥滞留土壤供作物吸收，氮磷利用率提升，氮磷随田间退水流失量大幅降低，保水能力增强，土壤水肥滞留时间延长，根系吸收利用率上升，同等产量下化肥总投入减少</w:t>
      </w:r>
      <w:r w:rsidR="00AE6DC7" w:rsidRPr="00FC1444">
        <w:rPr>
          <w:rFonts w:ascii="Times New Roman" w:eastAsiaTheme="minorEastAsia" w:hAnsi="Times New Roman" w:cs="Times New Roman"/>
          <w:color w:val="auto"/>
          <w:sz w:val="24"/>
          <w:szCs w:val="24"/>
        </w:rPr>
        <w:t>。</w:t>
      </w:r>
    </w:p>
    <w:p w:rsidR="002A5A5E" w:rsidRPr="00FC1444" w:rsidRDefault="00936B77" w:rsidP="00AE6DC7">
      <w:pPr>
        <w:widowControl/>
        <w:spacing w:line="360" w:lineRule="auto"/>
        <w:ind w:firstLineChars="200" w:firstLine="480"/>
        <w:rPr>
          <w:rFonts w:eastAsiaTheme="minorEastAsia"/>
          <w:kern w:val="0"/>
          <w:sz w:val="24"/>
        </w:rPr>
      </w:pPr>
      <w:r w:rsidRPr="00FC1444">
        <w:rPr>
          <w:rFonts w:eastAsiaTheme="minorEastAsia"/>
          <w:sz w:val="24"/>
        </w:rPr>
        <w:t>本项目建设后现有水田灌溉方式不变。通过格田改造、土地平整等工程，减少池埂占地面积，减少田面不均补水，提高农田保水能力，并且由于渠系配套完善，减少引水的跑冒滴漏，消除高低不平造成的漫灌溢水、不均匀渗漏，减少田面弃水和无效深层渗漏。水利用系数由</w:t>
      </w:r>
      <w:r w:rsidRPr="00FC1444">
        <w:rPr>
          <w:rFonts w:eastAsiaTheme="minorEastAsia"/>
          <w:sz w:val="24"/>
        </w:rPr>
        <w:t>0.67</w:t>
      </w:r>
      <w:r w:rsidRPr="00FC1444">
        <w:rPr>
          <w:rFonts w:eastAsiaTheme="minorEastAsia"/>
          <w:sz w:val="24"/>
        </w:rPr>
        <w:t>提升至</w:t>
      </w:r>
      <w:r w:rsidRPr="00FC1444">
        <w:rPr>
          <w:rFonts w:eastAsiaTheme="minorEastAsia"/>
          <w:sz w:val="24"/>
        </w:rPr>
        <w:t>0.7</w:t>
      </w:r>
      <w:r w:rsidRPr="00FC1444">
        <w:rPr>
          <w:rFonts w:eastAsiaTheme="minorEastAsia"/>
          <w:sz w:val="24"/>
        </w:rPr>
        <w:t>，退水系数由</w:t>
      </w:r>
      <w:r w:rsidRPr="00FC1444">
        <w:rPr>
          <w:rFonts w:eastAsiaTheme="minorEastAsia"/>
          <w:sz w:val="24"/>
        </w:rPr>
        <w:t>0.2</w:t>
      </w:r>
      <w:r w:rsidRPr="00FC1444">
        <w:rPr>
          <w:rFonts w:eastAsiaTheme="minorEastAsia"/>
          <w:sz w:val="24"/>
        </w:rPr>
        <w:t>降至</w:t>
      </w:r>
      <w:r w:rsidRPr="00FC1444">
        <w:rPr>
          <w:rFonts w:eastAsiaTheme="minorEastAsia"/>
          <w:sz w:val="24"/>
        </w:rPr>
        <w:t>0.15</w:t>
      </w:r>
      <w:r w:rsidRPr="00FC1444">
        <w:rPr>
          <w:rFonts w:eastAsiaTheme="minorEastAsia"/>
          <w:sz w:val="24"/>
        </w:rPr>
        <w:t>。</w:t>
      </w:r>
      <w:r w:rsidR="00E008D1" w:rsidRPr="00FC1444">
        <w:rPr>
          <w:rFonts w:eastAsiaTheme="minorEastAsia"/>
          <w:sz w:val="24"/>
        </w:rPr>
        <w:t>项目建成后灌区年退水量与现状相比减少</w:t>
      </w:r>
      <w:r w:rsidR="00E008D1" w:rsidRPr="00FC1444">
        <w:rPr>
          <w:rFonts w:eastAsiaTheme="minorEastAsia"/>
          <w:sz w:val="24"/>
        </w:rPr>
        <w:t>431</w:t>
      </w:r>
      <w:r w:rsidR="00E008D1" w:rsidRPr="00FC1444">
        <w:rPr>
          <w:rFonts w:eastAsiaTheme="minorEastAsia"/>
          <w:sz w:val="24"/>
        </w:rPr>
        <w:t>万</w:t>
      </w:r>
      <w:r w:rsidR="00AE6DC7" w:rsidRPr="00FC1444">
        <w:rPr>
          <w:rFonts w:eastAsiaTheme="minorEastAsia"/>
          <w:sz w:val="24"/>
        </w:rPr>
        <w:t>m</w:t>
      </w:r>
      <w:r w:rsidR="00AE6DC7" w:rsidRPr="00FC1444">
        <w:rPr>
          <w:rFonts w:eastAsiaTheme="minorEastAsia"/>
          <w:sz w:val="24"/>
          <w:vertAlign w:val="superscript"/>
        </w:rPr>
        <w:t>3</w:t>
      </w:r>
      <w:r w:rsidR="00AE6DC7" w:rsidRPr="00FC1444">
        <w:rPr>
          <w:rFonts w:eastAsiaTheme="minorEastAsia"/>
          <w:sz w:val="24"/>
        </w:rPr>
        <w:t>。相应污染物入河量与现状相比也有一定程度的削减，</w:t>
      </w:r>
      <w:r w:rsidR="00C341EA" w:rsidRPr="00FC1444">
        <w:rPr>
          <w:rFonts w:eastAsiaTheme="minorEastAsia"/>
          <w:bCs/>
          <w:sz w:val="24"/>
        </w:rPr>
        <w:t>COD</w:t>
      </w:r>
      <w:r w:rsidR="00C341EA" w:rsidRPr="00FC1444">
        <w:rPr>
          <w:rFonts w:eastAsiaTheme="minorEastAsia"/>
          <w:bCs/>
          <w:sz w:val="24"/>
        </w:rPr>
        <w:t>、氨氮、总磷及总氮排放量分别减少</w:t>
      </w:r>
      <w:r w:rsidR="00C341EA" w:rsidRPr="00FC1444">
        <w:rPr>
          <w:rFonts w:eastAsiaTheme="minorEastAsia"/>
          <w:bCs/>
          <w:sz w:val="24"/>
        </w:rPr>
        <w:t>227.137t/a</w:t>
      </w:r>
      <w:r w:rsidR="00C341EA" w:rsidRPr="00FC1444">
        <w:rPr>
          <w:rFonts w:eastAsiaTheme="minorEastAsia"/>
          <w:bCs/>
          <w:sz w:val="24"/>
        </w:rPr>
        <w:t>、</w:t>
      </w:r>
      <w:r w:rsidR="00C341EA" w:rsidRPr="00FC1444">
        <w:rPr>
          <w:rFonts w:eastAsiaTheme="minorEastAsia"/>
          <w:bCs/>
          <w:sz w:val="24"/>
        </w:rPr>
        <w:t>5.431t/a</w:t>
      </w:r>
      <w:r w:rsidR="00C341EA" w:rsidRPr="00FC1444">
        <w:rPr>
          <w:rFonts w:eastAsiaTheme="minorEastAsia"/>
          <w:bCs/>
          <w:sz w:val="24"/>
        </w:rPr>
        <w:t>、</w:t>
      </w:r>
      <w:r w:rsidR="00C341EA" w:rsidRPr="00FC1444">
        <w:rPr>
          <w:rFonts w:eastAsiaTheme="minorEastAsia"/>
          <w:bCs/>
          <w:sz w:val="24"/>
        </w:rPr>
        <w:t>7.93t/a</w:t>
      </w:r>
      <w:r w:rsidR="00C341EA" w:rsidRPr="00FC1444">
        <w:rPr>
          <w:rFonts w:eastAsiaTheme="minorEastAsia"/>
          <w:bCs/>
          <w:sz w:val="24"/>
        </w:rPr>
        <w:t>、</w:t>
      </w:r>
      <w:r w:rsidR="00C341EA" w:rsidRPr="00FC1444">
        <w:rPr>
          <w:rFonts w:eastAsiaTheme="minorEastAsia"/>
          <w:bCs/>
          <w:sz w:val="24"/>
        </w:rPr>
        <w:t>18.102t/a</w:t>
      </w:r>
      <w:r w:rsidR="00C341EA" w:rsidRPr="00FC1444">
        <w:rPr>
          <w:rFonts w:eastAsiaTheme="minorEastAsia"/>
          <w:bCs/>
          <w:sz w:val="24"/>
        </w:rPr>
        <w:t>。</w:t>
      </w:r>
      <w:r w:rsidR="00611CBA" w:rsidRPr="00FC1444">
        <w:rPr>
          <w:rFonts w:eastAsiaTheme="minorEastAsia"/>
          <w:sz w:val="24"/>
        </w:rPr>
        <w:t>有利于受纳水体</w:t>
      </w:r>
      <w:r w:rsidR="00B526E5" w:rsidRPr="00FC1444">
        <w:rPr>
          <w:rFonts w:eastAsiaTheme="minorEastAsia"/>
          <w:sz w:val="24"/>
        </w:rPr>
        <w:t>津河、呼兰河、努敏河</w:t>
      </w:r>
      <w:r w:rsidR="00611CBA" w:rsidRPr="00FC1444">
        <w:rPr>
          <w:rFonts w:eastAsiaTheme="minorEastAsia"/>
          <w:sz w:val="24"/>
        </w:rPr>
        <w:t>水质的维持和改善。</w:t>
      </w:r>
      <w:r w:rsidR="00B5574E" w:rsidRPr="00FC1444">
        <w:rPr>
          <w:rFonts w:eastAsiaTheme="minorEastAsia"/>
          <w:sz w:val="24"/>
        </w:rPr>
        <w:t>利用现有水田退水口选址合理。</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sz w:val="24"/>
          <w:szCs w:val="22"/>
        </w:rPr>
        <w:t>本工程地表水退水影响范围内不涉及饮用水水源保</w:t>
      </w:r>
      <w:r w:rsidR="00DE0D88" w:rsidRPr="00FC1444">
        <w:rPr>
          <w:rFonts w:eastAsiaTheme="minorEastAsia"/>
          <w:sz w:val="24"/>
          <w:szCs w:val="22"/>
        </w:rPr>
        <w:t>护区、重点保护与珍稀水生生物的栖息地、重要水生生物的自然产卵场</w:t>
      </w:r>
      <w:r w:rsidRPr="00FC1444">
        <w:rPr>
          <w:rFonts w:eastAsiaTheme="minorEastAsia"/>
          <w:sz w:val="24"/>
          <w:szCs w:val="22"/>
        </w:rPr>
        <w:t>等生态保护目标。</w:t>
      </w:r>
      <w:r w:rsidR="00B5574E" w:rsidRPr="00FC1444">
        <w:rPr>
          <w:rFonts w:eastAsiaTheme="minorEastAsia"/>
          <w:sz w:val="24"/>
          <w:szCs w:val="22"/>
        </w:rPr>
        <w:t>符合《中华人民共和国自然保护区条例》（国务院令第</w:t>
      </w:r>
      <w:r w:rsidR="00C44673" w:rsidRPr="00FC1444">
        <w:rPr>
          <w:rFonts w:eastAsiaTheme="minorEastAsia"/>
          <w:sz w:val="24"/>
          <w:szCs w:val="22"/>
        </w:rPr>
        <w:t>830</w:t>
      </w:r>
      <w:r w:rsidR="00B5574E" w:rsidRPr="00FC1444">
        <w:rPr>
          <w:rFonts w:eastAsiaTheme="minorEastAsia"/>
          <w:sz w:val="24"/>
          <w:szCs w:val="22"/>
        </w:rPr>
        <w:t>号，</w:t>
      </w:r>
      <w:r w:rsidR="00B5574E" w:rsidRPr="00FC1444">
        <w:rPr>
          <w:rFonts w:eastAsiaTheme="minorEastAsia"/>
          <w:sz w:val="24"/>
          <w:szCs w:val="22"/>
        </w:rPr>
        <w:t xml:space="preserve">2026 </w:t>
      </w:r>
      <w:r w:rsidR="00B5574E" w:rsidRPr="00FC1444">
        <w:rPr>
          <w:rFonts w:eastAsiaTheme="minorEastAsia"/>
          <w:sz w:val="24"/>
          <w:szCs w:val="22"/>
        </w:rPr>
        <w:t>年</w:t>
      </w:r>
      <w:r w:rsidR="00C44673" w:rsidRPr="00FC1444">
        <w:rPr>
          <w:rFonts w:eastAsiaTheme="minorEastAsia"/>
          <w:sz w:val="24"/>
          <w:szCs w:val="22"/>
        </w:rPr>
        <w:t>3</w:t>
      </w:r>
      <w:r w:rsidR="00B5574E" w:rsidRPr="00FC1444">
        <w:rPr>
          <w:rFonts w:eastAsiaTheme="minorEastAsia"/>
          <w:sz w:val="24"/>
          <w:szCs w:val="22"/>
        </w:rPr>
        <w:t>月</w:t>
      </w:r>
      <w:r w:rsidR="00C44673" w:rsidRPr="00FC1444">
        <w:rPr>
          <w:rFonts w:eastAsiaTheme="minorEastAsia"/>
          <w:sz w:val="24"/>
          <w:szCs w:val="22"/>
        </w:rPr>
        <w:t>15</w:t>
      </w:r>
      <w:r w:rsidR="00104B49" w:rsidRPr="00FC1444">
        <w:rPr>
          <w:rFonts w:eastAsiaTheme="minorEastAsia"/>
          <w:sz w:val="24"/>
          <w:szCs w:val="22"/>
        </w:rPr>
        <w:t>日最新修订）</w:t>
      </w:r>
      <w:r w:rsidR="00B5574E" w:rsidRPr="00FC1444">
        <w:rPr>
          <w:rFonts w:eastAsiaTheme="minorEastAsia"/>
          <w:sz w:val="24"/>
          <w:szCs w:val="22"/>
        </w:rPr>
        <w:t>要求。</w:t>
      </w:r>
      <w:r w:rsidRPr="00FC1444">
        <w:rPr>
          <w:rFonts w:eastAsiaTheme="minorEastAsia"/>
          <w:sz w:val="24"/>
        </w:rPr>
        <w:t>项目的建设可被周围环境所接受。</w:t>
      </w:r>
    </w:p>
    <w:p w:rsidR="002A5A5E" w:rsidRPr="00FC1444" w:rsidRDefault="00611CBA">
      <w:pPr>
        <w:spacing w:line="360" w:lineRule="auto"/>
        <w:jc w:val="left"/>
        <w:outlineLvl w:val="1"/>
        <w:rPr>
          <w:rFonts w:eastAsiaTheme="minorEastAsia"/>
          <w:b/>
          <w:bCs/>
          <w:kern w:val="44"/>
          <w:sz w:val="30"/>
          <w:szCs w:val="30"/>
        </w:rPr>
      </w:pPr>
      <w:bookmarkStart w:id="23" w:name="_Toc208906221"/>
      <w:r w:rsidRPr="00FC1444">
        <w:rPr>
          <w:rFonts w:eastAsiaTheme="minorEastAsia"/>
          <w:b/>
          <w:bCs/>
          <w:kern w:val="44"/>
          <w:sz w:val="30"/>
          <w:szCs w:val="30"/>
        </w:rPr>
        <w:t>1.5</w:t>
      </w:r>
      <w:r w:rsidRPr="00FC1444">
        <w:rPr>
          <w:rFonts w:eastAsiaTheme="minorEastAsia"/>
          <w:b/>
          <w:bCs/>
          <w:kern w:val="44"/>
          <w:sz w:val="30"/>
          <w:szCs w:val="30"/>
        </w:rPr>
        <w:t>关注的主要</w:t>
      </w:r>
      <w:r w:rsidR="00FC1444" w:rsidRPr="00FC1444">
        <w:rPr>
          <w:rFonts w:eastAsiaTheme="minorEastAsia"/>
          <w:b/>
          <w:bCs/>
          <w:kern w:val="44"/>
          <w:sz w:val="30"/>
          <w:szCs w:val="30"/>
        </w:rPr>
        <w:t>生态</w:t>
      </w:r>
      <w:r w:rsidRPr="00FC1444">
        <w:rPr>
          <w:rFonts w:eastAsiaTheme="minorEastAsia"/>
          <w:b/>
          <w:bCs/>
          <w:kern w:val="44"/>
          <w:sz w:val="30"/>
          <w:szCs w:val="30"/>
        </w:rPr>
        <w:t>环境问题及环境影响</w:t>
      </w:r>
      <w:bookmarkEnd w:id="23"/>
    </w:p>
    <w:p w:rsidR="002A5A5E" w:rsidRPr="00FC1444" w:rsidRDefault="00611CBA">
      <w:pPr>
        <w:autoSpaceDE w:val="0"/>
        <w:autoSpaceDN w:val="0"/>
        <w:spacing w:line="360" w:lineRule="auto"/>
        <w:ind w:firstLineChars="200" w:firstLine="480"/>
        <w:jc w:val="left"/>
        <w:rPr>
          <w:rFonts w:eastAsiaTheme="minorEastAsia"/>
          <w:kern w:val="0"/>
          <w:sz w:val="24"/>
          <w:szCs w:val="21"/>
        </w:rPr>
      </w:pPr>
      <w:bookmarkStart w:id="24" w:name="_Toc479252801"/>
      <w:r w:rsidRPr="00FC1444">
        <w:rPr>
          <w:rFonts w:eastAsiaTheme="minorEastAsia"/>
          <w:kern w:val="0"/>
          <w:sz w:val="24"/>
          <w:szCs w:val="21"/>
        </w:rPr>
        <w:t>本项目属于</w:t>
      </w:r>
      <w:r w:rsidRPr="00FC1444">
        <w:rPr>
          <w:rFonts w:eastAsiaTheme="minorEastAsia"/>
          <w:sz w:val="24"/>
        </w:rPr>
        <w:t>高标准农田建设</w:t>
      </w:r>
      <w:r w:rsidRPr="00FC1444">
        <w:rPr>
          <w:rFonts w:eastAsiaTheme="minorEastAsia"/>
          <w:kern w:val="0"/>
          <w:sz w:val="24"/>
        </w:rPr>
        <w:t>，属于生态类项目，项目建</w:t>
      </w:r>
      <w:r w:rsidRPr="00FC1444">
        <w:rPr>
          <w:rFonts w:eastAsiaTheme="minorEastAsia"/>
          <w:kern w:val="0"/>
          <w:sz w:val="24"/>
          <w:szCs w:val="21"/>
        </w:rPr>
        <w:t>设运行后将减少渠道</w:t>
      </w:r>
      <w:r w:rsidRPr="00FC1444">
        <w:rPr>
          <w:rFonts w:eastAsiaTheme="minorEastAsia"/>
          <w:kern w:val="0"/>
          <w:sz w:val="24"/>
          <w:szCs w:val="21"/>
        </w:rPr>
        <w:lastRenderedPageBreak/>
        <w:t>上的</w:t>
      </w:r>
      <w:r w:rsidRPr="00FC1444">
        <w:rPr>
          <w:rFonts w:eastAsiaTheme="minorEastAsia"/>
          <w:kern w:val="0"/>
          <w:sz w:val="24"/>
          <w:szCs w:val="21"/>
        </w:rPr>
        <w:t>“</w:t>
      </w:r>
      <w:r w:rsidRPr="00FC1444">
        <w:rPr>
          <w:rFonts w:eastAsiaTheme="minorEastAsia"/>
          <w:kern w:val="0"/>
          <w:sz w:val="24"/>
          <w:szCs w:val="21"/>
        </w:rPr>
        <w:t>跑、漏、冒</w:t>
      </w:r>
      <w:r w:rsidRPr="00FC1444">
        <w:rPr>
          <w:rFonts w:eastAsiaTheme="minorEastAsia"/>
          <w:kern w:val="0"/>
          <w:sz w:val="24"/>
          <w:szCs w:val="21"/>
        </w:rPr>
        <w:t>”</w:t>
      </w:r>
      <w:r w:rsidRPr="00FC1444">
        <w:rPr>
          <w:rFonts w:eastAsiaTheme="minorEastAsia"/>
          <w:kern w:val="0"/>
          <w:sz w:val="24"/>
          <w:szCs w:val="21"/>
        </w:rPr>
        <w:t>水现象，减少水田灌区取水量、退水量</w:t>
      </w:r>
      <w:r w:rsidRPr="00FC1444">
        <w:rPr>
          <w:rFonts w:eastAsiaTheme="minorEastAsia"/>
          <w:kern w:val="0"/>
          <w:sz w:val="24"/>
        </w:rPr>
        <w:t>，</w:t>
      </w:r>
      <w:r w:rsidRPr="00FC1444">
        <w:rPr>
          <w:rFonts w:eastAsiaTheme="minorEastAsia"/>
          <w:sz w:val="24"/>
        </w:rPr>
        <w:t>节约了水资源，提升水资源利用效率，可以大大完善农业生产条件、改善农业发展环境，推进现代化农田建设，提高粮食产能，保障粮食安全，</w:t>
      </w:r>
      <w:r w:rsidRPr="00FC1444">
        <w:rPr>
          <w:rFonts w:eastAsiaTheme="minorEastAsia"/>
          <w:kern w:val="0"/>
          <w:sz w:val="24"/>
        </w:rPr>
        <w:t>具有明显的环境效益与社会效益。根</w:t>
      </w:r>
      <w:r w:rsidRPr="00FC1444">
        <w:rPr>
          <w:rFonts w:eastAsiaTheme="minorEastAsia"/>
          <w:kern w:val="0"/>
          <w:sz w:val="24"/>
          <w:szCs w:val="21"/>
        </w:rPr>
        <w:t>据本项目工程特点及环境特征，关注的主要</w:t>
      </w:r>
      <w:r w:rsidR="00FC1444" w:rsidRPr="00FC1444">
        <w:rPr>
          <w:rFonts w:eastAsiaTheme="minorEastAsia"/>
          <w:kern w:val="0"/>
          <w:sz w:val="24"/>
          <w:szCs w:val="21"/>
        </w:rPr>
        <w:t>生态</w:t>
      </w:r>
      <w:r w:rsidRPr="00FC1444">
        <w:rPr>
          <w:rFonts w:eastAsiaTheme="minorEastAsia"/>
          <w:kern w:val="0"/>
          <w:sz w:val="24"/>
          <w:szCs w:val="21"/>
        </w:rPr>
        <w:t>环境问题及环境影响如下：</w:t>
      </w:r>
    </w:p>
    <w:p w:rsidR="002A5A5E" w:rsidRPr="00FC1444" w:rsidRDefault="00611CBA">
      <w:pPr>
        <w:autoSpaceDE w:val="0"/>
        <w:autoSpaceDN w:val="0"/>
        <w:spacing w:line="360" w:lineRule="auto"/>
        <w:ind w:firstLineChars="200" w:firstLine="480"/>
        <w:jc w:val="left"/>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）现有工程</w:t>
      </w:r>
    </w:p>
    <w:p w:rsidR="002A5A5E" w:rsidRPr="00FC1444" w:rsidRDefault="00611CBA">
      <w:pPr>
        <w:autoSpaceDE w:val="0"/>
        <w:autoSpaceDN w:val="0"/>
        <w:spacing w:line="360" w:lineRule="auto"/>
        <w:ind w:firstLineChars="200" w:firstLine="480"/>
        <w:jc w:val="left"/>
        <w:rPr>
          <w:rFonts w:eastAsiaTheme="minorEastAsia"/>
          <w:sz w:val="24"/>
        </w:rPr>
      </w:pPr>
      <w:r w:rsidRPr="00FC1444">
        <w:rPr>
          <w:rFonts w:eastAsiaTheme="minorEastAsia"/>
          <w:sz w:val="24"/>
        </w:rPr>
        <w:t>通过现场调查及资料收集与分析等方法，对现有工程地表水、地下水、土壤、噪声、生态环境进行调查，得出现状主要生态环境问题，并提出以新带老措施。</w:t>
      </w:r>
    </w:p>
    <w:p w:rsidR="002A5A5E" w:rsidRPr="00FC1444" w:rsidRDefault="00611CBA">
      <w:pPr>
        <w:autoSpaceDE w:val="0"/>
        <w:autoSpaceDN w:val="0"/>
        <w:spacing w:line="360" w:lineRule="auto"/>
        <w:ind w:firstLineChars="200" w:firstLine="480"/>
        <w:jc w:val="left"/>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）陆生生态影响</w:t>
      </w:r>
    </w:p>
    <w:p w:rsidR="002A5A5E" w:rsidRPr="00FC1444" w:rsidRDefault="00760E2B">
      <w:pPr>
        <w:autoSpaceDE w:val="0"/>
        <w:autoSpaceDN w:val="0"/>
        <w:spacing w:line="360" w:lineRule="auto"/>
        <w:ind w:firstLineChars="200" w:firstLine="480"/>
        <w:jc w:val="left"/>
        <w:rPr>
          <w:rFonts w:eastAsiaTheme="minorEastAsia"/>
          <w:sz w:val="24"/>
        </w:rPr>
      </w:pPr>
      <w:r w:rsidRPr="00FC1444">
        <w:rPr>
          <w:rFonts w:eastAsiaTheme="minorEastAsia"/>
          <w:sz w:val="24"/>
        </w:rPr>
        <w:t>通过</w:t>
      </w:r>
      <w:r w:rsidR="00611CBA" w:rsidRPr="00FC1444">
        <w:rPr>
          <w:rFonts w:eastAsiaTheme="minorEastAsia"/>
          <w:sz w:val="24"/>
        </w:rPr>
        <w:t>现场调查及资料收集与分析等方法，对工程影响区域陆生生态现状进行调查与评价。分析了工程施工和运行对陆生生态影响，提出了减缓不利影响的对策和生态补偿措施、生态监测计划。</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3</w:t>
      </w:r>
      <w:r w:rsidRPr="00FC1444">
        <w:rPr>
          <w:rFonts w:ascii="Times New Roman" w:hAnsi="Times New Roman" w:cs="Times New Roman"/>
        </w:rPr>
        <w:t>）水生生态影响</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针对工程建设对评价区域水生生态环境的影响，通过现场考察及走访、鱼类</w:t>
      </w:r>
      <w:r w:rsidRPr="00FC1444">
        <w:rPr>
          <w:rFonts w:ascii="Times New Roman" w:hAnsi="Times New Roman" w:cs="Times New Roman"/>
        </w:rPr>
        <w:t>“</w:t>
      </w:r>
      <w:r w:rsidRPr="00FC1444">
        <w:rPr>
          <w:rFonts w:ascii="Times New Roman" w:hAnsi="Times New Roman" w:cs="Times New Roman"/>
        </w:rPr>
        <w:t>三场</w:t>
      </w:r>
      <w:r w:rsidRPr="00FC1444">
        <w:rPr>
          <w:rFonts w:ascii="Times New Roman" w:hAnsi="Times New Roman" w:cs="Times New Roman"/>
        </w:rPr>
        <w:t>”</w:t>
      </w:r>
      <w:r w:rsidRPr="00FC1444">
        <w:rPr>
          <w:rFonts w:ascii="Times New Roman" w:hAnsi="Times New Roman" w:cs="Times New Roman"/>
        </w:rPr>
        <w:t>调查、资料收集与分析等方法，对水生生态现状进行调查。主要包括浮游、底栖、鱼类等水生生物现状，区域水生生物种类、生物量以及鱼类</w:t>
      </w:r>
      <w:r w:rsidRPr="00FC1444">
        <w:rPr>
          <w:rFonts w:ascii="Times New Roman" w:hAnsi="Times New Roman" w:cs="Times New Roman"/>
        </w:rPr>
        <w:t>“</w:t>
      </w:r>
      <w:r w:rsidRPr="00FC1444">
        <w:rPr>
          <w:rFonts w:ascii="Times New Roman" w:hAnsi="Times New Roman" w:cs="Times New Roman"/>
        </w:rPr>
        <w:t>三场</w:t>
      </w:r>
      <w:r w:rsidRPr="00FC1444">
        <w:rPr>
          <w:rFonts w:ascii="Times New Roman" w:hAnsi="Times New Roman" w:cs="Times New Roman"/>
        </w:rPr>
        <w:t>”</w:t>
      </w:r>
      <w:r w:rsidR="008B1A6B" w:rsidRPr="00FC1444">
        <w:rPr>
          <w:rFonts w:ascii="Times New Roman" w:hAnsi="Times New Roman" w:cs="Times New Roman"/>
        </w:rPr>
        <w:t>分布等。对</w:t>
      </w:r>
      <w:r w:rsidRPr="00FC1444">
        <w:rPr>
          <w:rFonts w:ascii="Times New Roman" w:hAnsi="Times New Roman" w:cs="Times New Roman"/>
        </w:rPr>
        <w:t>运营期水生生态进行影响分析（重点分析工程实施后对地表水承泄区、地表水环境保护目标水生生态产生的影响），并提出了减缓或消除不利影响的对策或措施；提出监测计划。</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4</w:t>
      </w:r>
      <w:r w:rsidRPr="00FC1444">
        <w:rPr>
          <w:rFonts w:ascii="Times New Roman" w:hAnsi="Times New Roman" w:cs="Times New Roman"/>
        </w:rPr>
        <w:t>）对地表水环境影响</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施工废水主要为生产废水和生活污水对水环境及水生生物的影响，论证水环境保护措施的可行性。重点分析运营期工程退水对地表水承泄区、地表水环境保护目标环境的影响分析，并提出水环境保护措施并论证其可行性。运营期可减少渠道的跑冒滴漏，节约灌溉水资源，提高灌溉水利用系数，因此，本项目实施后，由于灌溉水利用系数的提升、农田保水能力增强以及渠系配套系统的完善，退水量减少，相应污染物入河量与现状相比也有一定程度的削减。有利于受纳水体</w:t>
      </w:r>
      <w:r w:rsidR="00B526E5" w:rsidRPr="00FC1444">
        <w:t>津河、呼兰河、努敏河</w:t>
      </w:r>
      <w:r w:rsidRPr="00FC1444">
        <w:rPr>
          <w:rFonts w:ascii="Times New Roman" w:hAnsi="Times New Roman" w:cs="Times New Roman"/>
        </w:rPr>
        <w:t>水质的维持和改善。</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5</w:t>
      </w:r>
      <w:r w:rsidRPr="00FC1444">
        <w:rPr>
          <w:rFonts w:ascii="Times New Roman" w:hAnsi="Times New Roman" w:cs="Times New Roman"/>
        </w:rPr>
        <w:t>）对地下水环境影响</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lastRenderedPageBreak/>
        <w:t>运营期地下水开采对地下水资源、地下水水位、水质、饮用水源地、居民用水、其他用水用户的影响，并提出了减缓或消除不利影响的对策或措施；提出监测计划。</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6</w:t>
      </w:r>
      <w:r w:rsidRPr="00FC1444">
        <w:rPr>
          <w:rFonts w:ascii="Times New Roman" w:hAnsi="Times New Roman" w:cs="Times New Roman"/>
        </w:rPr>
        <w:t>）对土壤环境影响</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运营期地下水开采对土壤结构、</w:t>
      </w:r>
      <w:r w:rsidRPr="00FC1444">
        <w:rPr>
          <w:rFonts w:ascii="Times New Roman" w:hAnsi="Times New Roman" w:cs="Times New Roman"/>
          <w:snapToGrid w:val="0"/>
          <w:kern w:val="0"/>
        </w:rPr>
        <w:t>盐渍化、</w:t>
      </w:r>
      <w:r w:rsidRPr="00FC1444">
        <w:rPr>
          <w:rFonts w:ascii="Times New Roman" w:hAnsi="Times New Roman" w:cs="Times New Roman"/>
        </w:rPr>
        <w:t>潜育化</w:t>
      </w:r>
      <w:r w:rsidRPr="00FC1444">
        <w:rPr>
          <w:rFonts w:ascii="Times New Roman" w:hAnsi="Times New Roman" w:cs="Times New Roman"/>
          <w:snapToGrid w:val="0"/>
          <w:kern w:val="0"/>
        </w:rPr>
        <w:t>、土壤肥力等影响</w:t>
      </w:r>
      <w:r w:rsidRPr="00FC1444">
        <w:rPr>
          <w:rFonts w:ascii="Times New Roman" w:hAnsi="Times New Roman" w:cs="Times New Roman"/>
        </w:rPr>
        <w:t>，并提出了减缓或消除不利影响的对策或措施；提出监测计划。</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7</w:t>
      </w:r>
      <w:r w:rsidRPr="00FC1444">
        <w:rPr>
          <w:rFonts w:ascii="Times New Roman" w:hAnsi="Times New Roman" w:cs="Times New Roman"/>
        </w:rPr>
        <w:t>）污染影响</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工程施工期废气主要关注施工扬尘、施工机械废气、发电机废气、清淤恶臭对大气环境的影响及措施的有效性；施工废水及人员生活污水对附近水环境的影响；施工噪声对周围环境保护目标的影响；施工期建筑垃圾、淤泥</w:t>
      </w:r>
      <w:r w:rsidR="00804857" w:rsidRPr="00FC1444">
        <w:rPr>
          <w:rFonts w:ascii="Times New Roman" w:hAnsi="Times New Roman" w:cs="Times New Roman"/>
        </w:rPr>
        <w:t>利用或弃土合理性</w:t>
      </w:r>
      <w:r w:rsidR="008B1A6B" w:rsidRPr="00FC1444">
        <w:rPr>
          <w:rFonts w:ascii="Times New Roman" w:hAnsi="Times New Roman" w:cs="Times New Roman"/>
        </w:rPr>
        <w:t>分析</w:t>
      </w:r>
      <w:r w:rsidRPr="00FC1444">
        <w:rPr>
          <w:rFonts w:ascii="Times New Roman" w:hAnsi="Times New Roman" w:cs="Times New Roman"/>
        </w:rPr>
        <w:t>，表土剥离对黑土地及基本农田的影响及对生态环境的影响。</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运营期柴油机移动泵车废气、道路车辆尾气对周围环境的影响；田间道路上农用机动车辆行驶噪声、灌溉水泵噪声等噪声对周围环保目标的影响以及对生态环境的影响。</w:t>
      </w:r>
    </w:p>
    <w:p w:rsidR="002A5A5E" w:rsidRPr="00FC1444" w:rsidRDefault="00611CBA">
      <w:pPr>
        <w:spacing w:line="360" w:lineRule="auto"/>
        <w:jc w:val="left"/>
        <w:outlineLvl w:val="1"/>
        <w:rPr>
          <w:rFonts w:eastAsiaTheme="minorEastAsia"/>
          <w:b/>
          <w:bCs/>
          <w:kern w:val="44"/>
          <w:sz w:val="30"/>
          <w:szCs w:val="30"/>
        </w:rPr>
      </w:pPr>
      <w:bookmarkStart w:id="25" w:name="_Toc208906222"/>
      <w:r w:rsidRPr="00FC1444">
        <w:rPr>
          <w:rFonts w:eastAsiaTheme="minorEastAsia"/>
          <w:b/>
          <w:bCs/>
          <w:kern w:val="44"/>
          <w:sz w:val="30"/>
          <w:szCs w:val="30"/>
        </w:rPr>
        <w:t>1.6</w:t>
      </w:r>
      <w:r w:rsidR="00FC1444" w:rsidRPr="00FC1444">
        <w:rPr>
          <w:rFonts w:eastAsiaTheme="minorEastAsia"/>
          <w:b/>
          <w:bCs/>
          <w:kern w:val="44"/>
          <w:sz w:val="30"/>
          <w:szCs w:val="30"/>
        </w:rPr>
        <w:t>生态</w:t>
      </w:r>
      <w:r w:rsidRPr="00FC1444">
        <w:rPr>
          <w:rFonts w:eastAsiaTheme="minorEastAsia"/>
          <w:b/>
          <w:bCs/>
          <w:kern w:val="44"/>
          <w:sz w:val="30"/>
          <w:szCs w:val="30"/>
        </w:rPr>
        <w:t>环境影响评价主要结论</w:t>
      </w:r>
      <w:bookmarkEnd w:id="24"/>
      <w:bookmarkEnd w:id="25"/>
    </w:p>
    <w:p w:rsidR="002A5A5E" w:rsidRPr="00FC1444" w:rsidRDefault="00611CBA">
      <w:pPr>
        <w:pStyle w:val="aff4"/>
        <w:adjustRightInd/>
        <w:snapToGrid/>
        <w:rPr>
          <w:rFonts w:ascii="Times New Roman" w:hAnsi="Times New Roman" w:cs="Times New Roman"/>
        </w:rPr>
      </w:pPr>
      <w:r w:rsidRPr="00FC1444">
        <w:rPr>
          <w:rFonts w:ascii="Times New Roman" w:hAnsi="Times New Roman" w:cs="Times New Roman"/>
        </w:rPr>
        <w:t>本项目建设符合国家相关产业政策要求，该项目的建成投产，有利于促进地区经济发展，充分发挥了资源优势，具有良好的经济效益。本评价针对高标准农田建设的特点，提出了切实可行的污染防治措施，将工程开发建设及运行对环境的影响减少到最低程度。</w:t>
      </w:r>
      <w:r w:rsidRPr="00FC1444">
        <w:rPr>
          <w:rFonts w:ascii="Times New Roman" w:hAnsi="Times New Roman" w:cs="Times New Roman"/>
          <w:szCs w:val="22"/>
        </w:rPr>
        <w:t>项目通过对环境空气、声环境、水环境、固体废物等各项环境因素有效地防治，通过加强环境管理及环境监测，最大限度的减少对环境影响。</w:t>
      </w:r>
      <w:r w:rsidRPr="00FC1444">
        <w:rPr>
          <w:rFonts w:ascii="Times New Roman" w:hAnsi="Times New Roman" w:cs="Times New Roman"/>
        </w:rPr>
        <w:t>因此，本项目的实施实现了环境效益、社会效益和经济效益相统一，符合当地的环境保护规划和经济发展规划，在做好本报告中提出的各项环保措施的前提下，从环保角度而言，项目建设可行。</w:t>
      </w:r>
    </w:p>
    <w:p w:rsidR="002A5A5E" w:rsidRPr="00FC1444" w:rsidRDefault="002A5A5E">
      <w:pPr>
        <w:widowControl/>
        <w:tabs>
          <w:tab w:val="left" w:leader="middleDot" w:pos="7371"/>
        </w:tabs>
        <w:spacing w:line="360" w:lineRule="auto"/>
        <w:jc w:val="left"/>
        <w:outlineLvl w:val="0"/>
        <w:rPr>
          <w:rFonts w:eastAsiaTheme="minorEastAsia"/>
          <w:b/>
          <w:kern w:val="0"/>
          <w:sz w:val="32"/>
          <w:szCs w:val="32"/>
        </w:rPr>
        <w:sectPr w:rsidR="002A5A5E" w:rsidRPr="00FC1444">
          <w:pgSz w:w="11906" w:h="16838"/>
          <w:pgMar w:top="1440" w:right="1800" w:bottom="1440" w:left="1800" w:header="851" w:footer="992" w:gutter="0"/>
          <w:cols w:space="425"/>
          <w:docGrid w:type="lines" w:linePitch="312"/>
        </w:sectPr>
      </w:pPr>
      <w:bookmarkStart w:id="26" w:name="_Toc479252802"/>
      <w:bookmarkEnd w:id="22"/>
    </w:p>
    <w:p w:rsidR="002A5A5E" w:rsidRPr="00FC1444" w:rsidRDefault="00611CBA">
      <w:pPr>
        <w:widowControl/>
        <w:tabs>
          <w:tab w:val="left" w:leader="middleDot" w:pos="7371"/>
        </w:tabs>
        <w:spacing w:before="100" w:beforeAutospacing="1" w:after="100" w:afterAutospacing="1"/>
        <w:jc w:val="left"/>
        <w:outlineLvl w:val="0"/>
        <w:rPr>
          <w:rFonts w:eastAsiaTheme="minorEastAsia"/>
          <w:b/>
          <w:kern w:val="0"/>
          <w:sz w:val="32"/>
          <w:szCs w:val="32"/>
        </w:rPr>
      </w:pPr>
      <w:bookmarkStart w:id="27" w:name="_Toc208906223"/>
      <w:r w:rsidRPr="00FC1444">
        <w:rPr>
          <w:rFonts w:eastAsiaTheme="minorEastAsia"/>
          <w:b/>
          <w:kern w:val="0"/>
          <w:sz w:val="32"/>
          <w:szCs w:val="32"/>
        </w:rPr>
        <w:lastRenderedPageBreak/>
        <w:t>2</w:t>
      </w:r>
      <w:r w:rsidRPr="00FC1444">
        <w:rPr>
          <w:rFonts w:eastAsiaTheme="minorEastAsia"/>
          <w:b/>
          <w:kern w:val="0"/>
          <w:sz w:val="32"/>
          <w:szCs w:val="32"/>
        </w:rPr>
        <w:t>总则</w:t>
      </w:r>
      <w:bookmarkEnd w:id="26"/>
      <w:bookmarkEnd w:id="27"/>
    </w:p>
    <w:p w:rsidR="002A5A5E" w:rsidRPr="00FC1444" w:rsidRDefault="00611CBA">
      <w:pPr>
        <w:spacing w:before="100" w:beforeAutospacing="1" w:after="100" w:afterAutospacing="1"/>
        <w:jc w:val="left"/>
        <w:outlineLvl w:val="1"/>
        <w:rPr>
          <w:rFonts w:eastAsiaTheme="minorEastAsia"/>
          <w:b/>
          <w:bCs/>
          <w:kern w:val="44"/>
          <w:sz w:val="30"/>
          <w:szCs w:val="30"/>
        </w:rPr>
      </w:pPr>
      <w:bookmarkStart w:id="28" w:name="_Toc208906224"/>
      <w:bookmarkStart w:id="29" w:name="_Toc479252803"/>
      <w:r w:rsidRPr="00FC1444">
        <w:rPr>
          <w:rFonts w:eastAsiaTheme="minorEastAsia"/>
          <w:b/>
          <w:bCs/>
          <w:kern w:val="44"/>
          <w:sz w:val="30"/>
          <w:szCs w:val="30"/>
        </w:rPr>
        <w:t>2.1</w:t>
      </w:r>
      <w:r w:rsidRPr="00FC1444">
        <w:rPr>
          <w:rFonts w:eastAsiaTheme="minorEastAsia"/>
          <w:b/>
          <w:bCs/>
          <w:kern w:val="44"/>
          <w:sz w:val="30"/>
          <w:szCs w:val="30"/>
        </w:rPr>
        <w:t>编制依据</w:t>
      </w:r>
      <w:bookmarkEnd w:id="28"/>
      <w:bookmarkEnd w:id="29"/>
    </w:p>
    <w:p w:rsidR="002A5A5E" w:rsidRPr="00FC1444" w:rsidRDefault="00611CBA">
      <w:pPr>
        <w:pStyle w:val="ab"/>
        <w:spacing w:before="100" w:beforeAutospacing="1" w:after="100" w:afterAutospacing="1"/>
        <w:outlineLvl w:val="2"/>
        <w:rPr>
          <w:rFonts w:eastAsiaTheme="minorEastAsia"/>
          <w:b/>
          <w:sz w:val="28"/>
          <w:szCs w:val="28"/>
        </w:rPr>
      </w:pPr>
      <w:bookmarkStart w:id="30" w:name="_Toc11758465"/>
      <w:r w:rsidRPr="00FC1444">
        <w:rPr>
          <w:rFonts w:eastAsiaTheme="minorEastAsia"/>
          <w:b/>
          <w:sz w:val="28"/>
          <w:szCs w:val="28"/>
        </w:rPr>
        <w:t>2.1.1</w:t>
      </w:r>
      <w:r w:rsidRPr="00FC1444">
        <w:rPr>
          <w:rFonts w:eastAsiaTheme="minorEastAsia"/>
          <w:b/>
          <w:sz w:val="28"/>
          <w:szCs w:val="28"/>
        </w:rPr>
        <w:t>相关法律、法规</w:t>
      </w:r>
      <w:bookmarkEnd w:id="30"/>
    </w:p>
    <w:p w:rsidR="002A5A5E" w:rsidRPr="00FC1444" w:rsidRDefault="00611CBA" w:rsidP="007603A1">
      <w:pPr>
        <w:spacing w:line="360" w:lineRule="auto"/>
        <w:rPr>
          <w:rFonts w:eastAsiaTheme="minorEastAsia"/>
          <w:snapToGrid w:val="0"/>
          <w:kern w:val="0"/>
          <w:sz w:val="24"/>
        </w:rPr>
      </w:pPr>
      <w:bookmarkStart w:id="31" w:name="_Toc15991627"/>
      <w:bookmarkStart w:id="32" w:name="_Toc524431281"/>
      <w:bookmarkStart w:id="33" w:name="_Toc233779584"/>
      <w:r w:rsidRPr="00FC1444">
        <w:rPr>
          <w:rFonts w:eastAsiaTheme="minorEastAsia"/>
          <w:snapToGrid w:val="0"/>
          <w:kern w:val="0"/>
          <w:sz w:val="24"/>
        </w:rPr>
        <w:t>（</w:t>
      </w:r>
      <w:r w:rsidRPr="00FC1444">
        <w:rPr>
          <w:rFonts w:eastAsiaTheme="minorEastAsia"/>
          <w:snapToGrid w:val="0"/>
          <w:kern w:val="0"/>
          <w:sz w:val="24"/>
        </w:rPr>
        <w:t>1</w:t>
      </w:r>
      <w:r w:rsidRPr="00FC1444">
        <w:rPr>
          <w:rFonts w:eastAsiaTheme="minorEastAsia"/>
          <w:snapToGrid w:val="0"/>
          <w:kern w:val="0"/>
          <w:sz w:val="24"/>
        </w:rPr>
        <w:t>）</w:t>
      </w:r>
      <w:r w:rsidR="00267248" w:rsidRPr="00FC1444">
        <w:rPr>
          <w:rFonts w:eastAsiaTheme="minorEastAsia"/>
          <w:snapToGrid w:val="0"/>
          <w:kern w:val="0"/>
          <w:sz w:val="24"/>
        </w:rPr>
        <w:t>《中华人民共和国生态环境法典》（</w:t>
      </w:r>
      <w:r w:rsidR="00267248" w:rsidRPr="00FC1444">
        <w:rPr>
          <w:rFonts w:eastAsiaTheme="minorEastAsia"/>
          <w:snapToGrid w:val="0"/>
          <w:kern w:val="0"/>
          <w:sz w:val="24"/>
        </w:rPr>
        <w:t>2026.8.15</w:t>
      </w:r>
      <w:r w:rsidR="00267248" w:rsidRPr="00FC1444">
        <w:rPr>
          <w:rFonts w:eastAsiaTheme="minorEastAsia"/>
          <w:snapToGrid w:val="0"/>
          <w:kern w:val="0"/>
          <w:sz w:val="24"/>
        </w:rPr>
        <w:t>）。</w:t>
      </w:r>
    </w:p>
    <w:p w:rsidR="002A5A5E" w:rsidRPr="00FC1444" w:rsidRDefault="00611CBA">
      <w:pPr>
        <w:spacing w:line="360" w:lineRule="auto"/>
        <w:rPr>
          <w:rFonts w:eastAsiaTheme="minorEastAsia"/>
          <w:kern w:val="0"/>
          <w:sz w:val="24"/>
        </w:rPr>
      </w:pPr>
      <w:r w:rsidRPr="00FC1444">
        <w:rPr>
          <w:rFonts w:eastAsiaTheme="minorEastAsia"/>
          <w:kern w:val="0"/>
          <w:sz w:val="24"/>
        </w:rPr>
        <w:t>（</w:t>
      </w:r>
      <w:r w:rsidR="007603A1" w:rsidRPr="00FC1444">
        <w:rPr>
          <w:rFonts w:eastAsiaTheme="minorEastAsia"/>
          <w:kern w:val="0"/>
          <w:sz w:val="24"/>
        </w:rPr>
        <w:t>2</w:t>
      </w:r>
      <w:r w:rsidRPr="00FC1444">
        <w:rPr>
          <w:rFonts w:eastAsiaTheme="minorEastAsia"/>
          <w:kern w:val="0"/>
          <w:sz w:val="24"/>
        </w:rPr>
        <w:t>）《中华人民共和国土地管理法》</w:t>
      </w:r>
      <w:r w:rsidR="007F3C79" w:rsidRPr="00FC1444">
        <w:rPr>
          <w:rFonts w:eastAsiaTheme="minorEastAsia"/>
          <w:snapToGrid w:val="0"/>
          <w:kern w:val="0"/>
          <w:sz w:val="24"/>
        </w:rPr>
        <w:t>（</w:t>
      </w:r>
      <w:r w:rsidRPr="00FC1444">
        <w:rPr>
          <w:rFonts w:eastAsiaTheme="minorEastAsia"/>
          <w:kern w:val="0"/>
          <w:sz w:val="24"/>
        </w:rPr>
        <w:t>2020.1.1</w:t>
      </w:r>
      <w:r w:rsidR="007F3C79" w:rsidRPr="00FC1444">
        <w:rPr>
          <w:rFonts w:eastAsiaTheme="minorEastAsia"/>
          <w:snapToGrid w:val="0"/>
          <w:kern w:val="0"/>
          <w:sz w:val="24"/>
        </w:rPr>
        <w:t>）</w:t>
      </w:r>
      <w:r w:rsidRPr="00FC1444">
        <w:rPr>
          <w:rFonts w:eastAsiaTheme="minorEastAsia"/>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007603A1" w:rsidRPr="00FC1444">
        <w:rPr>
          <w:rFonts w:eastAsiaTheme="minorEastAsia"/>
          <w:snapToGrid w:val="0"/>
          <w:kern w:val="0"/>
          <w:sz w:val="24"/>
        </w:rPr>
        <w:t>3</w:t>
      </w:r>
      <w:r w:rsidRPr="00FC1444">
        <w:rPr>
          <w:rFonts w:eastAsiaTheme="minorEastAsia"/>
          <w:snapToGrid w:val="0"/>
          <w:kern w:val="0"/>
          <w:sz w:val="24"/>
        </w:rPr>
        <w:t>）《中华人民共和国水法》</w:t>
      </w:r>
      <w:r w:rsidR="007F3C79" w:rsidRPr="00FC1444">
        <w:rPr>
          <w:rFonts w:eastAsiaTheme="minorEastAsia"/>
          <w:snapToGrid w:val="0"/>
          <w:kern w:val="0"/>
          <w:sz w:val="24"/>
        </w:rPr>
        <w:t>（</w:t>
      </w:r>
      <w:r w:rsidRPr="00FC1444">
        <w:rPr>
          <w:rFonts w:eastAsiaTheme="minorEastAsia"/>
          <w:snapToGrid w:val="0"/>
          <w:kern w:val="0"/>
          <w:sz w:val="24"/>
        </w:rPr>
        <w:t>2016.7.2</w:t>
      </w:r>
      <w:r w:rsidR="007F3C79" w:rsidRPr="00FC1444">
        <w:rPr>
          <w:rFonts w:eastAsiaTheme="minorEastAsia"/>
          <w:snapToGrid w:val="0"/>
          <w:kern w:val="0"/>
          <w:sz w:val="24"/>
        </w:rPr>
        <w:t>）</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007603A1" w:rsidRPr="00FC1444">
        <w:rPr>
          <w:rFonts w:eastAsiaTheme="minorEastAsia"/>
          <w:snapToGrid w:val="0"/>
          <w:kern w:val="0"/>
          <w:sz w:val="24"/>
        </w:rPr>
        <w:t>4</w:t>
      </w:r>
      <w:r w:rsidRPr="00FC1444">
        <w:rPr>
          <w:rFonts w:eastAsiaTheme="minorEastAsia"/>
          <w:snapToGrid w:val="0"/>
          <w:kern w:val="0"/>
          <w:sz w:val="24"/>
        </w:rPr>
        <w:t>）《中华人民共和国水土保持法》（</w:t>
      </w:r>
      <w:r w:rsidRPr="00FC1444">
        <w:rPr>
          <w:rFonts w:eastAsiaTheme="minorEastAsia"/>
          <w:snapToGrid w:val="0"/>
          <w:kern w:val="0"/>
          <w:sz w:val="24"/>
        </w:rPr>
        <w:t>2011.03.01</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007603A1" w:rsidRPr="00FC1444">
        <w:rPr>
          <w:rFonts w:eastAsiaTheme="minorEastAsia"/>
          <w:snapToGrid w:val="0"/>
          <w:kern w:val="0"/>
          <w:sz w:val="24"/>
        </w:rPr>
        <w:t>5</w:t>
      </w:r>
      <w:r w:rsidRPr="00FC1444">
        <w:rPr>
          <w:rFonts w:eastAsiaTheme="minorEastAsia"/>
          <w:snapToGrid w:val="0"/>
          <w:kern w:val="0"/>
          <w:sz w:val="24"/>
        </w:rPr>
        <w:t>）《国务院关于落实科学发展观加强环境保护的决定》，</w:t>
      </w:r>
      <w:r w:rsidRPr="00FC1444">
        <w:rPr>
          <w:rFonts w:eastAsiaTheme="minorEastAsia"/>
          <w:snapToGrid w:val="0"/>
          <w:kern w:val="0"/>
          <w:sz w:val="24"/>
        </w:rPr>
        <w:t>2005</w:t>
      </w:r>
      <w:r w:rsidRPr="00FC1444">
        <w:rPr>
          <w:rFonts w:eastAsiaTheme="minorEastAsia"/>
          <w:snapToGrid w:val="0"/>
          <w:kern w:val="0"/>
          <w:sz w:val="24"/>
        </w:rPr>
        <w:t>年</w:t>
      </w:r>
      <w:r w:rsidRPr="00FC1444">
        <w:rPr>
          <w:rFonts w:eastAsiaTheme="minorEastAsia"/>
          <w:snapToGrid w:val="0"/>
          <w:kern w:val="0"/>
          <w:sz w:val="24"/>
        </w:rPr>
        <w:t>12</w:t>
      </w:r>
      <w:r w:rsidRPr="00FC1444">
        <w:rPr>
          <w:rFonts w:eastAsiaTheme="minorEastAsia"/>
          <w:snapToGrid w:val="0"/>
          <w:kern w:val="0"/>
          <w:sz w:val="24"/>
        </w:rPr>
        <w:t>月</w:t>
      </w:r>
      <w:r w:rsidRPr="00FC1444">
        <w:rPr>
          <w:rFonts w:eastAsiaTheme="minorEastAsia"/>
          <w:snapToGrid w:val="0"/>
          <w:kern w:val="0"/>
          <w:sz w:val="24"/>
        </w:rPr>
        <w:t>3</w:t>
      </w:r>
      <w:r w:rsidRPr="00FC1444">
        <w:rPr>
          <w:rFonts w:eastAsiaTheme="minorEastAsia"/>
          <w:snapToGrid w:val="0"/>
          <w:kern w:val="0"/>
          <w:sz w:val="24"/>
        </w:rPr>
        <w:t>日（国发〔</w:t>
      </w:r>
      <w:r w:rsidRPr="00FC1444">
        <w:rPr>
          <w:rFonts w:eastAsiaTheme="minorEastAsia"/>
          <w:snapToGrid w:val="0"/>
          <w:kern w:val="0"/>
          <w:sz w:val="24"/>
        </w:rPr>
        <w:t>2005</w:t>
      </w:r>
      <w:r w:rsidRPr="00FC1444">
        <w:rPr>
          <w:rFonts w:eastAsiaTheme="minorEastAsia"/>
          <w:kern w:val="0"/>
          <w:sz w:val="24"/>
        </w:rPr>
        <w:t>〕</w:t>
      </w:r>
      <w:r w:rsidRPr="00FC1444">
        <w:rPr>
          <w:rFonts w:eastAsiaTheme="minorEastAsia"/>
          <w:snapToGrid w:val="0"/>
          <w:kern w:val="0"/>
          <w:sz w:val="24"/>
        </w:rPr>
        <w:t>39</w:t>
      </w:r>
      <w:r w:rsidRPr="00FC1444">
        <w:rPr>
          <w:rFonts w:eastAsiaTheme="minorEastAsia"/>
          <w:snapToGrid w:val="0"/>
          <w:kern w:val="0"/>
          <w:sz w:val="24"/>
        </w:rPr>
        <w:t>号）。</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007603A1" w:rsidRPr="00FC1444">
        <w:rPr>
          <w:rFonts w:eastAsiaTheme="minorEastAsia"/>
          <w:snapToGrid w:val="0"/>
          <w:kern w:val="0"/>
          <w:sz w:val="24"/>
        </w:rPr>
        <w:t>6</w:t>
      </w:r>
      <w:r w:rsidRPr="00FC1444">
        <w:rPr>
          <w:rFonts w:eastAsiaTheme="minorEastAsia"/>
          <w:snapToGrid w:val="0"/>
          <w:kern w:val="0"/>
          <w:sz w:val="24"/>
        </w:rPr>
        <w:t>）《空气质量持续改善行动计划》（国务院）</w:t>
      </w:r>
      <w:r w:rsidRPr="00FC1444">
        <w:rPr>
          <w:rFonts w:eastAsiaTheme="minorEastAsia"/>
          <w:snapToGrid w:val="0"/>
          <w:kern w:val="0"/>
          <w:sz w:val="24"/>
        </w:rPr>
        <w:t>2023</w:t>
      </w:r>
      <w:r w:rsidRPr="00FC1444">
        <w:rPr>
          <w:rFonts w:eastAsiaTheme="minorEastAsia"/>
          <w:snapToGrid w:val="0"/>
          <w:kern w:val="0"/>
          <w:sz w:val="24"/>
        </w:rPr>
        <w:t>年</w:t>
      </w:r>
      <w:r w:rsidRPr="00FC1444">
        <w:rPr>
          <w:rFonts w:eastAsiaTheme="minorEastAsia"/>
          <w:snapToGrid w:val="0"/>
          <w:kern w:val="0"/>
          <w:sz w:val="24"/>
        </w:rPr>
        <w:t>11</w:t>
      </w:r>
      <w:r w:rsidRPr="00FC1444">
        <w:rPr>
          <w:rFonts w:eastAsiaTheme="minorEastAsia"/>
          <w:snapToGrid w:val="0"/>
          <w:kern w:val="0"/>
          <w:sz w:val="24"/>
        </w:rPr>
        <w:t>月</w:t>
      </w:r>
      <w:r w:rsidRPr="00FC1444">
        <w:rPr>
          <w:rFonts w:eastAsiaTheme="minorEastAsia"/>
          <w:snapToGrid w:val="0"/>
          <w:kern w:val="0"/>
          <w:sz w:val="24"/>
        </w:rPr>
        <w:t>30</w:t>
      </w:r>
      <w:r w:rsidRPr="00FC1444">
        <w:rPr>
          <w:rFonts w:eastAsiaTheme="minorEastAsia"/>
          <w:snapToGrid w:val="0"/>
          <w:kern w:val="0"/>
          <w:sz w:val="24"/>
        </w:rPr>
        <w:t>日。</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007603A1" w:rsidRPr="00FC1444">
        <w:rPr>
          <w:rFonts w:eastAsiaTheme="minorEastAsia"/>
          <w:snapToGrid w:val="0"/>
          <w:kern w:val="0"/>
          <w:sz w:val="24"/>
        </w:rPr>
        <w:t>7</w:t>
      </w:r>
      <w:r w:rsidRPr="00FC1444">
        <w:rPr>
          <w:rFonts w:eastAsiaTheme="minorEastAsia"/>
          <w:snapToGrid w:val="0"/>
          <w:kern w:val="0"/>
          <w:sz w:val="24"/>
        </w:rPr>
        <w:t>）《水污染防治行动计划》（国务院）</w:t>
      </w:r>
      <w:r w:rsidRPr="00FC1444">
        <w:rPr>
          <w:rFonts w:eastAsiaTheme="minorEastAsia"/>
          <w:snapToGrid w:val="0"/>
          <w:kern w:val="0"/>
          <w:sz w:val="24"/>
        </w:rPr>
        <w:t>2015</w:t>
      </w:r>
      <w:r w:rsidRPr="00FC1444">
        <w:rPr>
          <w:rFonts w:eastAsiaTheme="minorEastAsia"/>
          <w:snapToGrid w:val="0"/>
          <w:kern w:val="0"/>
          <w:sz w:val="24"/>
        </w:rPr>
        <w:t>年</w:t>
      </w:r>
      <w:r w:rsidRPr="00FC1444">
        <w:rPr>
          <w:rFonts w:eastAsiaTheme="minorEastAsia"/>
          <w:snapToGrid w:val="0"/>
          <w:kern w:val="0"/>
          <w:sz w:val="24"/>
        </w:rPr>
        <w:t>4</w:t>
      </w:r>
      <w:r w:rsidRPr="00FC1444">
        <w:rPr>
          <w:rFonts w:eastAsiaTheme="minorEastAsia"/>
          <w:snapToGrid w:val="0"/>
          <w:kern w:val="0"/>
          <w:sz w:val="24"/>
        </w:rPr>
        <w:t>月</w:t>
      </w:r>
      <w:r w:rsidRPr="00FC1444">
        <w:rPr>
          <w:rFonts w:eastAsiaTheme="minorEastAsia"/>
          <w:snapToGrid w:val="0"/>
          <w:kern w:val="0"/>
          <w:sz w:val="24"/>
        </w:rPr>
        <w:t>16</w:t>
      </w:r>
      <w:r w:rsidRPr="00FC1444">
        <w:rPr>
          <w:rFonts w:eastAsiaTheme="minorEastAsia"/>
          <w:snapToGrid w:val="0"/>
          <w:kern w:val="0"/>
          <w:sz w:val="24"/>
        </w:rPr>
        <w:t>日。</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007603A1" w:rsidRPr="00FC1444">
        <w:rPr>
          <w:rFonts w:eastAsiaTheme="minorEastAsia"/>
          <w:snapToGrid w:val="0"/>
          <w:kern w:val="0"/>
          <w:sz w:val="24"/>
        </w:rPr>
        <w:t>8</w:t>
      </w:r>
      <w:r w:rsidRPr="00FC1444">
        <w:rPr>
          <w:rFonts w:eastAsiaTheme="minorEastAsia"/>
          <w:snapToGrid w:val="0"/>
          <w:kern w:val="0"/>
          <w:sz w:val="24"/>
        </w:rPr>
        <w:t>）《土壤污染防治行动计划》（国务院）</w:t>
      </w:r>
      <w:r w:rsidRPr="00FC1444">
        <w:rPr>
          <w:rFonts w:eastAsiaTheme="minorEastAsia"/>
          <w:snapToGrid w:val="0"/>
          <w:kern w:val="0"/>
          <w:sz w:val="24"/>
        </w:rPr>
        <w:t>2016</w:t>
      </w:r>
      <w:r w:rsidRPr="00FC1444">
        <w:rPr>
          <w:rFonts w:eastAsiaTheme="minorEastAsia"/>
          <w:snapToGrid w:val="0"/>
          <w:kern w:val="0"/>
          <w:sz w:val="24"/>
        </w:rPr>
        <w:t>年</w:t>
      </w:r>
      <w:r w:rsidRPr="00FC1444">
        <w:rPr>
          <w:rFonts w:eastAsiaTheme="minorEastAsia"/>
          <w:snapToGrid w:val="0"/>
          <w:kern w:val="0"/>
          <w:sz w:val="24"/>
        </w:rPr>
        <w:t>5</w:t>
      </w:r>
      <w:r w:rsidRPr="00FC1444">
        <w:rPr>
          <w:rFonts w:eastAsiaTheme="minorEastAsia"/>
          <w:snapToGrid w:val="0"/>
          <w:kern w:val="0"/>
          <w:sz w:val="24"/>
        </w:rPr>
        <w:t>月</w:t>
      </w:r>
      <w:r w:rsidRPr="00FC1444">
        <w:rPr>
          <w:rFonts w:eastAsiaTheme="minorEastAsia"/>
          <w:snapToGrid w:val="0"/>
          <w:kern w:val="0"/>
          <w:sz w:val="24"/>
        </w:rPr>
        <w:t>28</w:t>
      </w:r>
      <w:r w:rsidRPr="00FC1444">
        <w:rPr>
          <w:rFonts w:eastAsiaTheme="minorEastAsia"/>
          <w:snapToGrid w:val="0"/>
          <w:kern w:val="0"/>
          <w:sz w:val="24"/>
        </w:rPr>
        <w:t>日。</w:t>
      </w:r>
    </w:p>
    <w:p w:rsidR="002A5A5E" w:rsidRPr="00FC1444" w:rsidRDefault="00611CBA">
      <w:pPr>
        <w:spacing w:line="360" w:lineRule="auto"/>
        <w:contextualSpacing/>
        <w:rPr>
          <w:rFonts w:eastAsiaTheme="minorEastAsia"/>
          <w:bCs/>
          <w:snapToGrid w:val="0"/>
          <w:kern w:val="0"/>
          <w:sz w:val="24"/>
        </w:rPr>
      </w:pPr>
      <w:r w:rsidRPr="00FC1444">
        <w:rPr>
          <w:rFonts w:eastAsiaTheme="minorEastAsia"/>
          <w:bCs/>
          <w:snapToGrid w:val="0"/>
          <w:kern w:val="0"/>
          <w:sz w:val="24"/>
        </w:rPr>
        <w:t>（</w:t>
      </w:r>
      <w:r w:rsidR="007603A1" w:rsidRPr="00FC1444">
        <w:rPr>
          <w:rFonts w:eastAsiaTheme="minorEastAsia"/>
          <w:bCs/>
          <w:snapToGrid w:val="0"/>
          <w:kern w:val="0"/>
          <w:sz w:val="24"/>
        </w:rPr>
        <w:t>9</w:t>
      </w:r>
      <w:r w:rsidRPr="00FC1444">
        <w:rPr>
          <w:rFonts w:eastAsiaTheme="minorEastAsia"/>
          <w:bCs/>
          <w:snapToGrid w:val="0"/>
          <w:kern w:val="0"/>
          <w:sz w:val="24"/>
        </w:rPr>
        <w:t>）《中华人民共和国黑土地保护法》（</w:t>
      </w:r>
      <w:r w:rsidRPr="00FC1444">
        <w:rPr>
          <w:rFonts w:eastAsiaTheme="minorEastAsia"/>
          <w:bCs/>
          <w:snapToGrid w:val="0"/>
          <w:kern w:val="0"/>
          <w:sz w:val="24"/>
        </w:rPr>
        <w:t>2022</w:t>
      </w:r>
      <w:r w:rsidRPr="00FC1444">
        <w:rPr>
          <w:rFonts w:eastAsiaTheme="minorEastAsia"/>
          <w:bCs/>
          <w:snapToGrid w:val="0"/>
          <w:kern w:val="0"/>
          <w:sz w:val="24"/>
        </w:rPr>
        <w:t>年</w:t>
      </w:r>
      <w:r w:rsidRPr="00FC1444">
        <w:rPr>
          <w:rFonts w:eastAsiaTheme="minorEastAsia"/>
          <w:bCs/>
          <w:snapToGrid w:val="0"/>
          <w:kern w:val="0"/>
          <w:sz w:val="24"/>
        </w:rPr>
        <w:t>8</w:t>
      </w:r>
      <w:r w:rsidRPr="00FC1444">
        <w:rPr>
          <w:rFonts w:eastAsiaTheme="minorEastAsia"/>
          <w:bCs/>
          <w:snapToGrid w:val="0"/>
          <w:kern w:val="0"/>
          <w:sz w:val="24"/>
        </w:rPr>
        <w:t>月</w:t>
      </w:r>
      <w:r w:rsidRPr="00FC1444">
        <w:rPr>
          <w:rFonts w:eastAsiaTheme="minorEastAsia"/>
          <w:bCs/>
          <w:snapToGrid w:val="0"/>
          <w:kern w:val="0"/>
          <w:sz w:val="24"/>
        </w:rPr>
        <w:t>1</w:t>
      </w:r>
      <w:r w:rsidRPr="00FC1444">
        <w:rPr>
          <w:rFonts w:eastAsiaTheme="minorEastAsia"/>
          <w:bCs/>
          <w:snapToGrid w:val="0"/>
          <w:kern w:val="0"/>
          <w:sz w:val="24"/>
        </w:rPr>
        <w:t>日施行）。</w:t>
      </w:r>
    </w:p>
    <w:p w:rsidR="002A5A5E" w:rsidRPr="00FC1444" w:rsidRDefault="00611CBA">
      <w:pPr>
        <w:spacing w:line="360" w:lineRule="auto"/>
        <w:contextualSpacing/>
        <w:rPr>
          <w:rFonts w:eastAsiaTheme="minorEastAsia"/>
          <w:bCs/>
          <w:snapToGrid w:val="0"/>
          <w:kern w:val="0"/>
          <w:sz w:val="24"/>
        </w:rPr>
      </w:pPr>
      <w:r w:rsidRPr="00FC1444">
        <w:rPr>
          <w:rFonts w:eastAsiaTheme="minorEastAsia"/>
          <w:bCs/>
          <w:snapToGrid w:val="0"/>
          <w:kern w:val="0"/>
          <w:sz w:val="24"/>
        </w:rPr>
        <w:t>（</w:t>
      </w:r>
      <w:r w:rsidRPr="00FC1444">
        <w:rPr>
          <w:rFonts w:eastAsiaTheme="minorEastAsia"/>
          <w:bCs/>
          <w:snapToGrid w:val="0"/>
          <w:kern w:val="0"/>
          <w:sz w:val="24"/>
        </w:rPr>
        <w:t>1</w:t>
      </w:r>
      <w:r w:rsidR="007603A1" w:rsidRPr="00FC1444">
        <w:rPr>
          <w:rFonts w:eastAsiaTheme="minorEastAsia"/>
          <w:bCs/>
          <w:snapToGrid w:val="0"/>
          <w:kern w:val="0"/>
          <w:sz w:val="24"/>
        </w:rPr>
        <w:t>0</w:t>
      </w:r>
      <w:r w:rsidRPr="00FC1444">
        <w:rPr>
          <w:rFonts w:eastAsiaTheme="minorEastAsia"/>
          <w:bCs/>
          <w:snapToGrid w:val="0"/>
          <w:kern w:val="0"/>
          <w:sz w:val="24"/>
        </w:rPr>
        <w:t>）</w:t>
      </w:r>
      <w:r w:rsidRPr="00FC1444">
        <w:rPr>
          <w:rFonts w:eastAsiaTheme="minorEastAsia"/>
          <w:snapToGrid w:val="0"/>
          <w:kern w:val="0"/>
          <w:sz w:val="24"/>
        </w:rPr>
        <w:t>《建设项目环境保护管理条例》，</w:t>
      </w:r>
      <w:r w:rsidRPr="00FC1444">
        <w:rPr>
          <w:rFonts w:eastAsiaTheme="minorEastAsia"/>
          <w:snapToGrid w:val="0"/>
          <w:kern w:val="0"/>
          <w:sz w:val="24"/>
        </w:rPr>
        <w:t>2017</w:t>
      </w:r>
      <w:r w:rsidRPr="00FC1444">
        <w:rPr>
          <w:rFonts w:eastAsiaTheme="minorEastAsia"/>
          <w:snapToGrid w:val="0"/>
          <w:kern w:val="0"/>
          <w:sz w:val="24"/>
        </w:rPr>
        <w:t>年</w:t>
      </w:r>
      <w:r w:rsidRPr="00FC1444">
        <w:rPr>
          <w:rFonts w:eastAsiaTheme="minorEastAsia"/>
          <w:snapToGrid w:val="0"/>
          <w:kern w:val="0"/>
          <w:sz w:val="24"/>
        </w:rPr>
        <w:t>10</w:t>
      </w:r>
      <w:r w:rsidRPr="00FC1444">
        <w:rPr>
          <w:rFonts w:eastAsiaTheme="minorEastAsia"/>
          <w:snapToGrid w:val="0"/>
          <w:kern w:val="0"/>
          <w:sz w:val="24"/>
        </w:rPr>
        <w:t>月</w:t>
      </w:r>
      <w:r w:rsidRPr="00FC1444">
        <w:rPr>
          <w:rFonts w:eastAsiaTheme="minorEastAsia"/>
          <w:snapToGrid w:val="0"/>
          <w:kern w:val="0"/>
          <w:sz w:val="24"/>
        </w:rPr>
        <w:t>1</w:t>
      </w:r>
      <w:r w:rsidRPr="00FC1444">
        <w:rPr>
          <w:rFonts w:eastAsiaTheme="minorEastAsia"/>
          <w:snapToGrid w:val="0"/>
          <w:kern w:val="0"/>
          <w:sz w:val="24"/>
        </w:rPr>
        <w:t>日（国务院第</w:t>
      </w:r>
      <w:r w:rsidRPr="00FC1444">
        <w:rPr>
          <w:rFonts w:eastAsiaTheme="minorEastAsia"/>
          <w:snapToGrid w:val="0"/>
          <w:kern w:val="0"/>
          <w:sz w:val="24"/>
        </w:rPr>
        <w:t>682</w:t>
      </w:r>
      <w:r w:rsidRPr="00FC1444">
        <w:rPr>
          <w:rFonts w:eastAsiaTheme="minorEastAsia"/>
          <w:snapToGrid w:val="0"/>
          <w:kern w:val="0"/>
          <w:sz w:val="24"/>
        </w:rPr>
        <w:t>号令）</w:t>
      </w:r>
      <w:r w:rsidRPr="00FC1444">
        <w:rPr>
          <w:rFonts w:eastAsiaTheme="minorEastAsia"/>
          <w:bCs/>
          <w:snapToGrid w:val="0"/>
          <w:kern w:val="0"/>
          <w:sz w:val="24"/>
        </w:rPr>
        <w:t>。</w:t>
      </w:r>
    </w:p>
    <w:p w:rsidR="002A5A5E" w:rsidRPr="00FC1444" w:rsidRDefault="00611CBA">
      <w:pPr>
        <w:spacing w:line="360" w:lineRule="auto"/>
        <w:contextualSpacing/>
        <w:rPr>
          <w:rFonts w:eastAsiaTheme="minorEastAsia"/>
          <w:bCs/>
          <w:snapToGrid w:val="0"/>
          <w:kern w:val="0"/>
          <w:sz w:val="24"/>
        </w:rPr>
      </w:pPr>
      <w:r w:rsidRPr="00FC1444">
        <w:rPr>
          <w:rFonts w:eastAsiaTheme="minorEastAsia"/>
          <w:bCs/>
          <w:snapToGrid w:val="0"/>
          <w:kern w:val="0"/>
          <w:sz w:val="24"/>
        </w:rPr>
        <w:t>（</w:t>
      </w:r>
      <w:r w:rsidRPr="00FC1444">
        <w:rPr>
          <w:rFonts w:eastAsiaTheme="minorEastAsia"/>
          <w:bCs/>
          <w:snapToGrid w:val="0"/>
          <w:kern w:val="0"/>
          <w:sz w:val="24"/>
        </w:rPr>
        <w:t>1</w:t>
      </w:r>
      <w:r w:rsidR="007603A1" w:rsidRPr="00FC1444">
        <w:rPr>
          <w:rFonts w:eastAsiaTheme="minorEastAsia"/>
          <w:bCs/>
          <w:snapToGrid w:val="0"/>
          <w:kern w:val="0"/>
          <w:sz w:val="24"/>
        </w:rPr>
        <w:t>1</w:t>
      </w:r>
      <w:r w:rsidRPr="00FC1444">
        <w:rPr>
          <w:rFonts w:eastAsiaTheme="minorEastAsia"/>
          <w:bCs/>
          <w:snapToGrid w:val="0"/>
          <w:kern w:val="0"/>
          <w:sz w:val="24"/>
        </w:rPr>
        <w:t>）《地下水管理条例》（中华人民共和国国务院令第</w:t>
      </w:r>
      <w:r w:rsidRPr="00FC1444">
        <w:rPr>
          <w:rFonts w:eastAsiaTheme="minorEastAsia"/>
          <w:bCs/>
          <w:snapToGrid w:val="0"/>
          <w:kern w:val="0"/>
          <w:sz w:val="24"/>
        </w:rPr>
        <w:t>748</w:t>
      </w:r>
      <w:r w:rsidRPr="00FC1444">
        <w:rPr>
          <w:rFonts w:eastAsiaTheme="minorEastAsia"/>
          <w:bCs/>
          <w:snapToGrid w:val="0"/>
          <w:kern w:val="0"/>
          <w:sz w:val="24"/>
        </w:rPr>
        <w:t>号）</w:t>
      </w:r>
      <w:r w:rsidRPr="00FC1444">
        <w:rPr>
          <w:rFonts w:eastAsiaTheme="minorEastAsia"/>
          <w:bCs/>
          <w:snapToGrid w:val="0"/>
          <w:kern w:val="0"/>
          <w:sz w:val="24"/>
        </w:rPr>
        <w:t>2021.12.1</w:t>
      </w:r>
      <w:r w:rsidRPr="00FC1444">
        <w:rPr>
          <w:rFonts w:eastAsiaTheme="minorEastAsia"/>
          <w:bCs/>
          <w:snapToGrid w:val="0"/>
          <w:kern w:val="0"/>
          <w:sz w:val="24"/>
        </w:rPr>
        <w:t>。</w:t>
      </w:r>
    </w:p>
    <w:p w:rsidR="002A5A5E" w:rsidRPr="00FC1444" w:rsidRDefault="00611CBA">
      <w:pPr>
        <w:spacing w:line="360" w:lineRule="auto"/>
        <w:contextualSpacing/>
        <w:rPr>
          <w:rFonts w:eastAsiaTheme="minorEastAsia"/>
          <w:bCs/>
          <w:snapToGrid w:val="0"/>
          <w:kern w:val="0"/>
          <w:sz w:val="24"/>
        </w:rPr>
      </w:pPr>
      <w:r w:rsidRPr="00FC1444">
        <w:rPr>
          <w:rFonts w:eastAsiaTheme="minorEastAsia"/>
          <w:bCs/>
          <w:snapToGrid w:val="0"/>
          <w:kern w:val="0"/>
          <w:sz w:val="24"/>
        </w:rPr>
        <w:t>（</w:t>
      </w:r>
      <w:r w:rsidRPr="00FC1444">
        <w:rPr>
          <w:rFonts w:eastAsiaTheme="minorEastAsia"/>
          <w:bCs/>
          <w:snapToGrid w:val="0"/>
          <w:kern w:val="0"/>
          <w:sz w:val="24"/>
        </w:rPr>
        <w:t>1</w:t>
      </w:r>
      <w:r w:rsidR="007603A1" w:rsidRPr="00FC1444">
        <w:rPr>
          <w:rFonts w:eastAsiaTheme="minorEastAsia"/>
          <w:bCs/>
          <w:snapToGrid w:val="0"/>
          <w:kern w:val="0"/>
          <w:sz w:val="24"/>
        </w:rPr>
        <w:t>2</w:t>
      </w:r>
      <w:r w:rsidRPr="00FC1444">
        <w:rPr>
          <w:rFonts w:eastAsiaTheme="minorEastAsia"/>
          <w:bCs/>
          <w:snapToGrid w:val="0"/>
          <w:kern w:val="0"/>
          <w:sz w:val="24"/>
        </w:rPr>
        <w:t>）《中华人民共和国森林法》（</w:t>
      </w:r>
      <w:r w:rsidRPr="00FC1444">
        <w:rPr>
          <w:rFonts w:eastAsiaTheme="minorEastAsia"/>
          <w:bCs/>
          <w:snapToGrid w:val="0"/>
          <w:kern w:val="0"/>
          <w:sz w:val="24"/>
        </w:rPr>
        <w:t>2019.12.28</w:t>
      </w:r>
      <w:r w:rsidRPr="00FC1444">
        <w:rPr>
          <w:rFonts w:eastAsiaTheme="minorEastAsia"/>
          <w:bCs/>
          <w:snapToGrid w:val="0"/>
          <w:kern w:val="0"/>
          <w:sz w:val="24"/>
        </w:rPr>
        <w:t>修订）。</w:t>
      </w:r>
    </w:p>
    <w:p w:rsidR="002A5A5E" w:rsidRPr="00FC1444" w:rsidRDefault="00611CBA">
      <w:pPr>
        <w:spacing w:line="360" w:lineRule="auto"/>
        <w:contextualSpacing/>
        <w:rPr>
          <w:rFonts w:eastAsiaTheme="minorEastAsia"/>
          <w:bCs/>
          <w:snapToGrid w:val="0"/>
          <w:kern w:val="0"/>
          <w:sz w:val="24"/>
        </w:rPr>
      </w:pPr>
      <w:r w:rsidRPr="00FC1444">
        <w:rPr>
          <w:rFonts w:eastAsiaTheme="minorEastAsia"/>
          <w:bCs/>
          <w:snapToGrid w:val="0"/>
          <w:kern w:val="0"/>
          <w:sz w:val="24"/>
        </w:rPr>
        <w:t>（</w:t>
      </w:r>
      <w:r w:rsidRPr="00FC1444">
        <w:rPr>
          <w:rFonts w:eastAsiaTheme="minorEastAsia"/>
          <w:bCs/>
          <w:snapToGrid w:val="0"/>
          <w:kern w:val="0"/>
          <w:sz w:val="24"/>
        </w:rPr>
        <w:t>1</w:t>
      </w:r>
      <w:r w:rsidR="007603A1" w:rsidRPr="00FC1444">
        <w:rPr>
          <w:rFonts w:eastAsiaTheme="minorEastAsia"/>
          <w:bCs/>
          <w:snapToGrid w:val="0"/>
          <w:kern w:val="0"/>
          <w:sz w:val="24"/>
        </w:rPr>
        <w:t>3</w:t>
      </w:r>
      <w:r w:rsidRPr="00FC1444">
        <w:rPr>
          <w:rFonts w:eastAsiaTheme="minorEastAsia"/>
          <w:bCs/>
          <w:snapToGrid w:val="0"/>
          <w:kern w:val="0"/>
          <w:sz w:val="24"/>
        </w:rPr>
        <w:t>）《中华人民共和国土地管理法》（</w:t>
      </w:r>
      <w:r w:rsidRPr="00FC1444">
        <w:rPr>
          <w:rFonts w:eastAsiaTheme="minorEastAsia"/>
          <w:bCs/>
          <w:snapToGrid w:val="0"/>
          <w:kern w:val="0"/>
          <w:sz w:val="24"/>
        </w:rPr>
        <w:t>2019.08.26</w:t>
      </w:r>
      <w:r w:rsidRPr="00FC1444">
        <w:rPr>
          <w:rFonts w:eastAsiaTheme="minorEastAsia"/>
          <w:bCs/>
          <w:snapToGrid w:val="0"/>
          <w:kern w:val="0"/>
          <w:sz w:val="24"/>
        </w:rPr>
        <w:t>修订）。</w:t>
      </w:r>
    </w:p>
    <w:p w:rsidR="00B5574E" w:rsidRPr="00FC1444" w:rsidRDefault="00B5574E">
      <w:pPr>
        <w:spacing w:line="360" w:lineRule="auto"/>
        <w:contextualSpacing/>
        <w:rPr>
          <w:rFonts w:eastAsiaTheme="minorEastAsia"/>
          <w:bCs/>
          <w:snapToGrid w:val="0"/>
          <w:kern w:val="0"/>
          <w:sz w:val="24"/>
        </w:rPr>
      </w:pPr>
      <w:r w:rsidRPr="00FC1444">
        <w:rPr>
          <w:rFonts w:eastAsiaTheme="minorEastAsia"/>
          <w:bCs/>
          <w:snapToGrid w:val="0"/>
          <w:kern w:val="0"/>
          <w:sz w:val="24"/>
        </w:rPr>
        <w:t>（</w:t>
      </w:r>
      <w:r w:rsidR="007603A1" w:rsidRPr="00FC1444">
        <w:rPr>
          <w:rFonts w:eastAsiaTheme="minorEastAsia"/>
          <w:bCs/>
          <w:snapToGrid w:val="0"/>
          <w:kern w:val="0"/>
          <w:sz w:val="24"/>
        </w:rPr>
        <w:t>14</w:t>
      </w:r>
      <w:r w:rsidRPr="00FC1444">
        <w:rPr>
          <w:rFonts w:eastAsiaTheme="minorEastAsia"/>
          <w:bCs/>
          <w:snapToGrid w:val="0"/>
          <w:kern w:val="0"/>
          <w:sz w:val="24"/>
        </w:rPr>
        <w:t>）《中华人民共和国自然保护区条例》（国务院令第</w:t>
      </w:r>
      <w:r w:rsidR="009214F7" w:rsidRPr="00FC1444">
        <w:rPr>
          <w:rFonts w:eastAsiaTheme="minorEastAsia"/>
          <w:bCs/>
          <w:snapToGrid w:val="0"/>
          <w:kern w:val="0"/>
          <w:sz w:val="24"/>
        </w:rPr>
        <w:t>830</w:t>
      </w:r>
      <w:r w:rsidRPr="00FC1444">
        <w:rPr>
          <w:rFonts w:eastAsiaTheme="minorEastAsia"/>
          <w:bCs/>
          <w:snapToGrid w:val="0"/>
          <w:kern w:val="0"/>
          <w:sz w:val="24"/>
        </w:rPr>
        <w:t>号，</w:t>
      </w:r>
      <w:r w:rsidRPr="00FC1444">
        <w:rPr>
          <w:rFonts w:eastAsiaTheme="minorEastAsia"/>
          <w:bCs/>
          <w:snapToGrid w:val="0"/>
          <w:kern w:val="0"/>
          <w:sz w:val="24"/>
        </w:rPr>
        <w:t xml:space="preserve">2026 </w:t>
      </w:r>
      <w:r w:rsidRPr="00FC1444">
        <w:rPr>
          <w:rFonts w:eastAsiaTheme="minorEastAsia"/>
          <w:bCs/>
          <w:snapToGrid w:val="0"/>
          <w:kern w:val="0"/>
          <w:sz w:val="24"/>
        </w:rPr>
        <w:t>年</w:t>
      </w:r>
      <w:r w:rsidR="009214F7" w:rsidRPr="00FC1444">
        <w:rPr>
          <w:rFonts w:eastAsiaTheme="minorEastAsia"/>
          <w:bCs/>
          <w:snapToGrid w:val="0"/>
          <w:kern w:val="0"/>
          <w:sz w:val="24"/>
        </w:rPr>
        <w:t>3</w:t>
      </w:r>
      <w:r w:rsidRPr="00FC1444">
        <w:rPr>
          <w:rFonts w:eastAsiaTheme="minorEastAsia"/>
          <w:bCs/>
          <w:snapToGrid w:val="0"/>
          <w:kern w:val="0"/>
          <w:sz w:val="24"/>
        </w:rPr>
        <w:t>月</w:t>
      </w:r>
      <w:r w:rsidRPr="00FC1444">
        <w:rPr>
          <w:rFonts w:eastAsiaTheme="minorEastAsia"/>
          <w:bCs/>
          <w:snapToGrid w:val="0"/>
          <w:kern w:val="0"/>
          <w:sz w:val="24"/>
        </w:rPr>
        <w:t xml:space="preserve"> 15 </w:t>
      </w:r>
      <w:r w:rsidR="009214F7" w:rsidRPr="00FC1444">
        <w:rPr>
          <w:rFonts w:eastAsiaTheme="minorEastAsia"/>
          <w:bCs/>
          <w:snapToGrid w:val="0"/>
          <w:kern w:val="0"/>
          <w:sz w:val="24"/>
        </w:rPr>
        <w:t>日</w:t>
      </w:r>
      <w:r w:rsidRPr="00FC1444">
        <w:rPr>
          <w:rFonts w:eastAsiaTheme="minorEastAsia"/>
          <w:bCs/>
          <w:snapToGrid w:val="0"/>
          <w:kern w:val="0"/>
          <w:sz w:val="24"/>
        </w:rPr>
        <w:t>修订）。</w:t>
      </w:r>
    </w:p>
    <w:p w:rsidR="002A5A5E" w:rsidRPr="00FC1444" w:rsidRDefault="00611CBA">
      <w:pPr>
        <w:pStyle w:val="ab"/>
        <w:spacing w:before="100" w:beforeAutospacing="1" w:after="100" w:afterAutospacing="1"/>
        <w:outlineLvl w:val="2"/>
        <w:rPr>
          <w:rFonts w:eastAsiaTheme="minorEastAsia"/>
          <w:b/>
          <w:sz w:val="28"/>
          <w:szCs w:val="28"/>
        </w:rPr>
      </w:pPr>
      <w:r w:rsidRPr="00FC1444">
        <w:rPr>
          <w:rFonts w:eastAsiaTheme="minorEastAsia"/>
          <w:b/>
          <w:sz w:val="28"/>
          <w:szCs w:val="28"/>
        </w:rPr>
        <w:t>2.1.2</w:t>
      </w:r>
      <w:r w:rsidRPr="00FC1444">
        <w:rPr>
          <w:rFonts w:eastAsiaTheme="minorEastAsia"/>
          <w:b/>
          <w:sz w:val="28"/>
          <w:szCs w:val="28"/>
        </w:rPr>
        <w:t>地方法规、规划</w:t>
      </w:r>
    </w:p>
    <w:p w:rsidR="002A5A5E" w:rsidRPr="00FC1444" w:rsidRDefault="00611CBA">
      <w:pPr>
        <w:spacing w:line="360" w:lineRule="auto"/>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）《黑龙江省水土保持规划（</w:t>
      </w:r>
      <w:r w:rsidRPr="00FC1444">
        <w:rPr>
          <w:rFonts w:eastAsiaTheme="minorEastAsia"/>
          <w:sz w:val="24"/>
        </w:rPr>
        <w:t>2015-2030</w:t>
      </w:r>
      <w:r w:rsidRPr="00FC1444">
        <w:rPr>
          <w:rFonts w:eastAsiaTheme="minorEastAsia"/>
          <w:sz w:val="24"/>
        </w:rPr>
        <w:t>年）》</w:t>
      </w:r>
      <w:r w:rsidRPr="00FC1444">
        <w:rPr>
          <w:rFonts w:eastAsiaTheme="minorEastAsia"/>
          <w:snapToGrid w:val="0"/>
          <w:kern w:val="0"/>
          <w:sz w:val="24"/>
        </w:rPr>
        <w:t>。</w:t>
      </w:r>
    </w:p>
    <w:p w:rsidR="002A5A5E" w:rsidRPr="00FC1444" w:rsidRDefault="00611CBA">
      <w:pPr>
        <w:spacing w:line="360" w:lineRule="auto"/>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w:t>
      </w:r>
      <w:r w:rsidRPr="00FC1444">
        <w:rPr>
          <w:rFonts w:eastAsiaTheme="minorEastAsia"/>
          <w:bCs/>
          <w:sz w:val="24"/>
        </w:rPr>
        <w:t>《黑龙江省主体功能区规划》</w:t>
      </w:r>
      <w:r w:rsidRPr="00FC1444">
        <w:rPr>
          <w:rFonts w:eastAsiaTheme="minorEastAsia"/>
          <w:snapToGrid w:val="0"/>
          <w:kern w:val="0"/>
          <w:sz w:val="24"/>
        </w:rPr>
        <w:t>。</w:t>
      </w:r>
    </w:p>
    <w:p w:rsidR="002A5A5E" w:rsidRPr="00FC1444" w:rsidRDefault="00611CBA">
      <w:pPr>
        <w:spacing w:line="360" w:lineRule="auto"/>
        <w:rPr>
          <w:rFonts w:eastAsiaTheme="minorEastAsia"/>
          <w:sz w:val="24"/>
        </w:rPr>
      </w:pPr>
      <w:r w:rsidRPr="00FC1444">
        <w:rPr>
          <w:rFonts w:eastAsiaTheme="minorEastAsia"/>
          <w:sz w:val="24"/>
        </w:rPr>
        <w:t>（</w:t>
      </w:r>
      <w:r w:rsidRPr="00FC1444">
        <w:rPr>
          <w:rFonts w:eastAsiaTheme="minorEastAsia"/>
          <w:sz w:val="24"/>
        </w:rPr>
        <w:t>3</w:t>
      </w:r>
      <w:r w:rsidRPr="00FC1444">
        <w:rPr>
          <w:rFonts w:eastAsiaTheme="minorEastAsia"/>
          <w:sz w:val="24"/>
        </w:rPr>
        <w:t>）</w:t>
      </w:r>
      <w:r w:rsidRPr="00FC1444">
        <w:rPr>
          <w:rFonts w:eastAsiaTheme="minorEastAsia"/>
          <w:bCs/>
          <w:sz w:val="24"/>
        </w:rPr>
        <w:t>《黑龙江省生态功能区划》</w:t>
      </w:r>
      <w:r w:rsidRPr="00FC1444">
        <w:rPr>
          <w:rFonts w:eastAsiaTheme="minorEastAsia"/>
          <w:snapToGrid w:val="0"/>
          <w:kern w:val="0"/>
          <w:sz w:val="24"/>
        </w:rPr>
        <w:t>。</w:t>
      </w:r>
    </w:p>
    <w:p w:rsidR="002A5A5E" w:rsidRPr="00FC1444" w:rsidRDefault="00611CBA">
      <w:pPr>
        <w:spacing w:line="360" w:lineRule="auto"/>
        <w:rPr>
          <w:rFonts w:eastAsiaTheme="minorEastAsia"/>
          <w:sz w:val="24"/>
        </w:rPr>
      </w:pPr>
      <w:r w:rsidRPr="00FC1444">
        <w:rPr>
          <w:rFonts w:eastAsiaTheme="minorEastAsia"/>
          <w:sz w:val="24"/>
        </w:rPr>
        <w:t>（</w:t>
      </w:r>
      <w:r w:rsidRPr="00FC1444">
        <w:rPr>
          <w:rFonts w:eastAsiaTheme="minorEastAsia"/>
          <w:sz w:val="24"/>
        </w:rPr>
        <w:t>4</w:t>
      </w:r>
      <w:r w:rsidRPr="00FC1444">
        <w:rPr>
          <w:rFonts w:eastAsiaTheme="minorEastAsia"/>
          <w:sz w:val="24"/>
        </w:rPr>
        <w:t>）</w:t>
      </w:r>
      <w:r w:rsidRPr="00FC1444">
        <w:rPr>
          <w:rFonts w:eastAsiaTheme="minorEastAsia"/>
          <w:bCs/>
          <w:sz w:val="24"/>
        </w:rPr>
        <w:t>《黑龙江省水土保持条例》</w:t>
      </w:r>
      <w:r w:rsidRPr="00FC1444">
        <w:rPr>
          <w:rFonts w:eastAsiaTheme="minorEastAsia"/>
          <w:snapToGrid w:val="0"/>
          <w:kern w:val="0"/>
          <w:sz w:val="24"/>
        </w:rPr>
        <w:t>。</w:t>
      </w:r>
    </w:p>
    <w:p w:rsidR="002A5A5E" w:rsidRPr="00FC1444" w:rsidRDefault="00611CBA">
      <w:pPr>
        <w:spacing w:line="360" w:lineRule="auto"/>
        <w:rPr>
          <w:rFonts w:eastAsiaTheme="minorEastAsia"/>
          <w:sz w:val="24"/>
        </w:rPr>
      </w:pPr>
      <w:r w:rsidRPr="00FC1444">
        <w:rPr>
          <w:rFonts w:eastAsiaTheme="minorEastAsia"/>
          <w:sz w:val="24"/>
        </w:rPr>
        <w:t>（</w:t>
      </w:r>
      <w:r w:rsidR="00104B49" w:rsidRPr="00FC1444">
        <w:rPr>
          <w:rFonts w:eastAsiaTheme="minorEastAsia" w:hint="eastAsia"/>
          <w:sz w:val="24"/>
        </w:rPr>
        <w:t>5</w:t>
      </w:r>
      <w:r w:rsidRPr="00FC1444">
        <w:rPr>
          <w:rFonts w:eastAsiaTheme="minorEastAsia"/>
          <w:sz w:val="24"/>
        </w:rPr>
        <w:t>）</w:t>
      </w:r>
      <w:r w:rsidRPr="00FC1444">
        <w:rPr>
          <w:rFonts w:eastAsiaTheme="minorEastAsia"/>
          <w:bCs/>
          <w:sz w:val="24"/>
        </w:rPr>
        <w:t>《黑龙江省国民经济和社会发展第十四个五年规划和二〇三五年远景目标纲</w:t>
      </w:r>
      <w:r w:rsidRPr="00FC1444">
        <w:rPr>
          <w:rFonts w:eastAsiaTheme="minorEastAsia"/>
          <w:bCs/>
          <w:sz w:val="24"/>
        </w:rPr>
        <w:lastRenderedPageBreak/>
        <w:t>要》</w:t>
      </w:r>
      <w:r w:rsidRPr="00FC1444">
        <w:rPr>
          <w:rFonts w:eastAsiaTheme="minorEastAsia"/>
          <w:snapToGrid w:val="0"/>
          <w:kern w:val="0"/>
          <w:sz w:val="24"/>
        </w:rPr>
        <w:t>。</w:t>
      </w:r>
    </w:p>
    <w:p w:rsidR="002A5A5E" w:rsidRPr="00FC1444" w:rsidRDefault="00611CBA">
      <w:pPr>
        <w:spacing w:line="360" w:lineRule="auto"/>
        <w:rPr>
          <w:rFonts w:eastAsiaTheme="minorEastAsia"/>
          <w:bCs/>
          <w:sz w:val="24"/>
        </w:rPr>
      </w:pPr>
      <w:r w:rsidRPr="00FC1444">
        <w:rPr>
          <w:rFonts w:eastAsiaTheme="minorEastAsia"/>
          <w:bCs/>
          <w:sz w:val="24"/>
        </w:rPr>
        <w:t>（</w:t>
      </w:r>
      <w:r w:rsidR="00D307DC" w:rsidRPr="00FC1444">
        <w:rPr>
          <w:rFonts w:eastAsiaTheme="minorEastAsia" w:hint="eastAsia"/>
          <w:bCs/>
          <w:sz w:val="24"/>
        </w:rPr>
        <w:t>6</w:t>
      </w:r>
      <w:r w:rsidRPr="00FC1444">
        <w:rPr>
          <w:rFonts w:eastAsiaTheme="minorEastAsia"/>
          <w:bCs/>
          <w:sz w:val="24"/>
        </w:rPr>
        <w:t>）《</w:t>
      </w:r>
      <w:r w:rsidR="007B163A" w:rsidRPr="00FC1444">
        <w:rPr>
          <w:rFonts w:eastAsiaTheme="minorEastAsia"/>
          <w:bCs/>
          <w:sz w:val="24"/>
        </w:rPr>
        <w:t>绥化</w:t>
      </w:r>
      <w:r w:rsidRPr="00FC1444">
        <w:rPr>
          <w:rFonts w:eastAsiaTheme="minorEastAsia"/>
          <w:bCs/>
          <w:sz w:val="24"/>
        </w:rPr>
        <w:t>市国土空间总体规划》（</w:t>
      </w:r>
      <w:r w:rsidRPr="00FC1444">
        <w:rPr>
          <w:rFonts w:eastAsiaTheme="minorEastAsia"/>
          <w:bCs/>
          <w:sz w:val="24"/>
        </w:rPr>
        <w:t>2020-2035</w:t>
      </w:r>
      <w:r w:rsidRPr="00FC1444">
        <w:rPr>
          <w:rFonts w:eastAsiaTheme="minorEastAsia"/>
          <w:bCs/>
          <w:sz w:val="24"/>
        </w:rPr>
        <w:t>公众版）</w:t>
      </w:r>
      <w:r w:rsidRPr="00FC1444">
        <w:rPr>
          <w:rFonts w:eastAsiaTheme="minorEastAsia"/>
          <w:snapToGrid w:val="0"/>
          <w:kern w:val="0"/>
          <w:sz w:val="24"/>
        </w:rPr>
        <w:t>。</w:t>
      </w:r>
    </w:p>
    <w:p w:rsidR="002A5A5E" w:rsidRPr="00FC1444" w:rsidRDefault="00611CBA">
      <w:pPr>
        <w:spacing w:line="360" w:lineRule="auto"/>
        <w:rPr>
          <w:rFonts w:eastAsiaTheme="minorEastAsia"/>
          <w:bCs/>
          <w:sz w:val="24"/>
        </w:rPr>
      </w:pPr>
      <w:r w:rsidRPr="00FC1444">
        <w:rPr>
          <w:rFonts w:eastAsiaTheme="minorEastAsia"/>
          <w:bCs/>
          <w:sz w:val="24"/>
        </w:rPr>
        <w:t>（</w:t>
      </w:r>
      <w:r w:rsidR="00D307DC" w:rsidRPr="00FC1444">
        <w:rPr>
          <w:rFonts w:eastAsiaTheme="minorEastAsia" w:hint="eastAsia"/>
          <w:bCs/>
          <w:sz w:val="24"/>
        </w:rPr>
        <w:t>7</w:t>
      </w:r>
      <w:r w:rsidRPr="00FC1444">
        <w:rPr>
          <w:rFonts w:eastAsiaTheme="minorEastAsia"/>
          <w:bCs/>
          <w:sz w:val="24"/>
        </w:rPr>
        <w:t>）</w:t>
      </w:r>
      <w:r w:rsidR="00D71C73" w:rsidRPr="00FC1444">
        <w:rPr>
          <w:rFonts w:eastAsiaTheme="minorEastAsia"/>
          <w:bCs/>
          <w:sz w:val="24"/>
        </w:rPr>
        <w:t>《</w:t>
      </w:r>
      <w:r w:rsidR="007B163A" w:rsidRPr="00FC1444">
        <w:rPr>
          <w:rFonts w:eastAsiaTheme="minorEastAsia"/>
          <w:sz w:val="24"/>
        </w:rPr>
        <w:t>绥化市人民政府关于实施</w:t>
      </w:r>
      <w:r w:rsidR="007B163A" w:rsidRPr="00FC1444">
        <w:rPr>
          <w:rFonts w:eastAsiaTheme="minorEastAsia"/>
          <w:sz w:val="24"/>
        </w:rPr>
        <w:t>“</w:t>
      </w:r>
      <w:r w:rsidR="007B163A" w:rsidRPr="00FC1444">
        <w:rPr>
          <w:rFonts w:eastAsiaTheme="minorEastAsia"/>
          <w:sz w:val="24"/>
        </w:rPr>
        <w:t>三线一单</w:t>
      </w:r>
      <w:r w:rsidR="007B163A" w:rsidRPr="00FC1444">
        <w:rPr>
          <w:rFonts w:eastAsiaTheme="minorEastAsia"/>
          <w:sz w:val="24"/>
        </w:rPr>
        <w:t>”</w:t>
      </w:r>
      <w:r w:rsidR="007B163A" w:rsidRPr="00FC1444">
        <w:rPr>
          <w:rFonts w:eastAsiaTheme="minorEastAsia"/>
          <w:sz w:val="24"/>
        </w:rPr>
        <w:t>生态环境分区管控的意见</w:t>
      </w:r>
      <w:r w:rsidR="00D71C73" w:rsidRPr="00FC1444">
        <w:rPr>
          <w:rFonts w:eastAsiaTheme="minorEastAsia"/>
          <w:bCs/>
          <w:sz w:val="24"/>
        </w:rPr>
        <w:t>》</w:t>
      </w:r>
      <w:r w:rsidR="007B163A" w:rsidRPr="00FC1444">
        <w:rPr>
          <w:rFonts w:eastAsiaTheme="minorEastAsia"/>
          <w:bCs/>
          <w:sz w:val="24"/>
        </w:rPr>
        <w:t>绥政发〔</w:t>
      </w:r>
      <w:r w:rsidR="007B163A" w:rsidRPr="00FC1444">
        <w:rPr>
          <w:rFonts w:eastAsiaTheme="minorEastAsia"/>
          <w:bCs/>
          <w:sz w:val="24"/>
        </w:rPr>
        <w:t>2021</w:t>
      </w:r>
      <w:r w:rsidR="007B163A" w:rsidRPr="00FC1444">
        <w:rPr>
          <w:rFonts w:eastAsiaTheme="minorEastAsia"/>
          <w:bCs/>
          <w:sz w:val="24"/>
        </w:rPr>
        <w:t>〕</w:t>
      </w:r>
      <w:r w:rsidR="007B163A" w:rsidRPr="00FC1444">
        <w:rPr>
          <w:rFonts w:eastAsiaTheme="minorEastAsia"/>
          <w:bCs/>
          <w:sz w:val="24"/>
        </w:rPr>
        <w:t>10</w:t>
      </w:r>
      <w:r w:rsidR="007B163A" w:rsidRPr="00FC1444">
        <w:rPr>
          <w:rFonts w:eastAsiaTheme="minorEastAsia"/>
          <w:bCs/>
          <w:sz w:val="24"/>
        </w:rPr>
        <w:t>号</w:t>
      </w:r>
      <w:r w:rsidR="00A311C8" w:rsidRPr="00FC1444">
        <w:rPr>
          <w:rFonts w:eastAsiaTheme="minorEastAsia"/>
          <w:bCs/>
          <w:sz w:val="24"/>
        </w:rPr>
        <w:t>。</w:t>
      </w:r>
    </w:p>
    <w:p w:rsidR="002A5A5E" w:rsidRPr="00FC1444" w:rsidRDefault="00611CBA">
      <w:pPr>
        <w:spacing w:line="360" w:lineRule="auto"/>
        <w:rPr>
          <w:rFonts w:eastAsiaTheme="minorEastAsia"/>
          <w:kern w:val="0"/>
          <w:sz w:val="24"/>
        </w:rPr>
      </w:pPr>
      <w:r w:rsidRPr="00FC1444">
        <w:rPr>
          <w:rFonts w:eastAsiaTheme="minorEastAsia"/>
          <w:kern w:val="0"/>
          <w:sz w:val="24"/>
        </w:rPr>
        <w:t>（</w:t>
      </w:r>
      <w:r w:rsidR="00D307DC" w:rsidRPr="00FC1444">
        <w:rPr>
          <w:rFonts w:eastAsiaTheme="minorEastAsia" w:hint="eastAsia"/>
          <w:kern w:val="0"/>
          <w:sz w:val="24"/>
        </w:rPr>
        <w:t>8</w:t>
      </w:r>
      <w:r w:rsidRPr="00FC1444">
        <w:rPr>
          <w:rFonts w:eastAsiaTheme="minorEastAsia"/>
          <w:kern w:val="0"/>
          <w:sz w:val="24"/>
        </w:rPr>
        <w:t>）《黑龙江省人民政府办公厅关于建设占用耕地耕作层土壤剥离利用工作的指导意见（试行）》（黑政办规〔</w:t>
      </w:r>
      <w:r w:rsidRPr="00FC1444">
        <w:rPr>
          <w:rFonts w:eastAsiaTheme="minorEastAsia"/>
          <w:kern w:val="0"/>
          <w:sz w:val="24"/>
        </w:rPr>
        <w:t>2021</w:t>
      </w:r>
      <w:r w:rsidRPr="00FC1444">
        <w:rPr>
          <w:rFonts w:eastAsiaTheme="minorEastAsia"/>
          <w:kern w:val="0"/>
          <w:sz w:val="24"/>
        </w:rPr>
        <w:t>〕</w:t>
      </w:r>
      <w:r w:rsidRPr="00FC1444">
        <w:rPr>
          <w:rFonts w:eastAsiaTheme="minorEastAsia"/>
          <w:kern w:val="0"/>
          <w:sz w:val="24"/>
        </w:rPr>
        <w:t>18</w:t>
      </w:r>
      <w:r w:rsidRPr="00FC1444">
        <w:rPr>
          <w:rFonts w:eastAsiaTheme="minorEastAsia"/>
          <w:kern w:val="0"/>
          <w:sz w:val="24"/>
        </w:rPr>
        <w:t>号）。</w:t>
      </w:r>
    </w:p>
    <w:p w:rsidR="002A5A5E" w:rsidRPr="00FC1444" w:rsidRDefault="00611CBA">
      <w:pPr>
        <w:spacing w:line="360" w:lineRule="auto"/>
        <w:rPr>
          <w:rFonts w:eastAsiaTheme="minorEastAsia"/>
          <w:kern w:val="0"/>
          <w:sz w:val="24"/>
        </w:rPr>
      </w:pPr>
      <w:r w:rsidRPr="00FC1444">
        <w:rPr>
          <w:rFonts w:eastAsiaTheme="minorEastAsia"/>
          <w:kern w:val="0"/>
          <w:sz w:val="24"/>
        </w:rPr>
        <w:t>（</w:t>
      </w:r>
      <w:r w:rsidR="00D307DC" w:rsidRPr="00FC1444">
        <w:rPr>
          <w:rFonts w:eastAsiaTheme="minorEastAsia" w:hint="eastAsia"/>
          <w:kern w:val="0"/>
          <w:sz w:val="24"/>
        </w:rPr>
        <w:t>9</w:t>
      </w:r>
      <w:r w:rsidRPr="00FC1444">
        <w:rPr>
          <w:rFonts w:eastAsiaTheme="minorEastAsia"/>
          <w:kern w:val="0"/>
          <w:sz w:val="24"/>
        </w:rPr>
        <w:t>）《自然资源部办公厅关于进一步加强黑土耕地保护的通知（</w:t>
      </w:r>
      <w:r w:rsidRPr="00FC1444">
        <w:rPr>
          <w:rFonts w:eastAsiaTheme="minorEastAsia"/>
          <w:kern w:val="0"/>
          <w:sz w:val="24"/>
        </w:rPr>
        <w:t>2022</w:t>
      </w:r>
      <w:r w:rsidRPr="00FC1444">
        <w:rPr>
          <w:rFonts w:eastAsiaTheme="minorEastAsia"/>
          <w:kern w:val="0"/>
          <w:sz w:val="24"/>
        </w:rPr>
        <w:t>年</w:t>
      </w:r>
      <w:r w:rsidRPr="00FC1444">
        <w:rPr>
          <w:rFonts w:eastAsiaTheme="minorEastAsia"/>
          <w:kern w:val="0"/>
          <w:sz w:val="24"/>
        </w:rPr>
        <w:t>7</w:t>
      </w:r>
      <w:r w:rsidRPr="00FC1444">
        <w:rPr>
          <w:rFonts w:eastAsiaTheme="minorEastAsia"/>
          <w:kern w:val="0"/>
          <w:sz w:val="24"/>
        </w:rPr>
        <w:t>月</w:t>
      </w:r>
      <w:r w:rsidRPr="00FC1444">
        <w:rPr>
          <w:rFonts w:eastAsiaTheme="minorEastAsia"/>
          <w:kern w:val="0"/>
          <w:sz w:val="24"/>
        </w:rPr>
        <w:t>28</w:t>
      </w:r>
      <w:r w:rsidRPr="00FC1444">
        <w:rPr>
          <w:rFonts w:eastAsiaTheme="minorEastAsia"/>
          <w:kern w:val="0"/>
          <w:sz w:val="24"/>
        </w:rPr>
        <w:t>日）》（自然资办函〔</w:t>
      </w:r>
      <w:r w:rsidRPr="00FC1444">
        <w:rPr>
          <w:rFonts w:eastAsiaTheme="minorEastAsia"/>
          <w:kern w:val="0"/>
          <w:sz w:val="24"/>
        </w:rPr>
        <w:t>2022</w:t>
      </w:r>
      <w:r w:rsidRPr="00FC1444">
        <w:rPr>
          <w:rFonts w:eastAsiaTheme="minorEastAsia"/>
          <w:kern w:val="0"/>
          <w:sz w:val="24"/>
        </w:rPr>
        <w:t>〕</w:t>
      </w:r>
      <w:r w:rsidRPr="00FC1444">
        <w:rPr>
          <w:rFonts w:eastAsiaTheme="minorEastAsia"/>
          <w:kern w:val="0"/>
          <w:sz w:val="24"/>
        </w:rPr>
        <w:t>1531</w:t>
      </w:r>
      <w:r w:rsidRPr="00FC1444">
        <w:rPr>
          <w:rFonts w:eastAsiaTheme="minorEastAsia"/>
          <w:kern w:val="0"/>
          <w:sz w:val="24"/>
        </w:rPr>
        <w:t>号）。</w:t>
      </w:r>
    </w:p>
    <w:p w:rsidR="002A5A5E" w:rsidRPr="00FC1444" w:rsidRDefault="00611CBA">
      <w:pPr>
        <w:spacing w:line="360" w:lineRule="auto"/>
        <w:rPr>
          <w:rFonts w:eastAsiaTheme="minorEastAsia"/>
          <w:kern w:val="0"/>
          <w:sz w:val="24"/>
        </w:rPr>
      </w:pPr>
      <w:r w:rsidRPr="00FC1444">
        <w:rPr>
          <w:rFonts w:eastAsiaTheme="minorEastAsia"/>
          <w:kern w:val="0"/>
          <w:sz w:val="24"/>
        </w:rPr>
        <w:t>（</w:t>
      </w:r>
      <w:r w:rsidRPr="00FC1444">
        <w:rPr>
          <w:rFonts w:eastAsiaTheme="minorEastAsia"/>
          <w:kern w:val="0"/>
          <w:sz w:val="24"/>
        </w:rPr>
        <w:t>1</w:t>
      </w:r>
      <w:r w:rsidR="00D307DC" w:rsidRPr="00FC1444">
        <w:rPr>
          <w:rFonts w:eastAsiaTheme="minorEastAsia" w:hint="eastAsia"/>
          <w:kern w:val="0"/>
          <w:sz w:val="24"/>
        </w:rPr>
        <w:t>0</w:t>
      </w:r>
      <w:r w:rsidRPr="00FC1444">
        <w:rPr>
          <w:rFonts w:eastAsiaTheme="minorEastAsia"/>
          <w:kern w:val="0"/>
          <w:sz w:val="24"/>
        </w:rPr>
        <w:t>）</w:t>
      </w:r>
      <w:r w:rsidR="00894617" w:rsidRPr="00FC1444">
        <w:rPr>
          <w:rFonts w:eastAsiaTheme="minorEastAsia"/>
          <w:bCs/>
          <w:snapToGrid w:val="0"/>
          <w:kern w:val="0"/>
          <w:sz w:val="24"/>
        </w:rPr>
        <w:t>《黑龙江省水污染防治条例》（</w:t>
      </w:r>
      <w:r w:rsidR="00D85D6B" w:rsidRPr="00FC1444">
        <w:rPr>
          <w:rFonts w:eastAsiaTheme="minorEastAsia"/>
          <w:bCs/>
          <w:snapToGrid w:val="0"/>
          <w:kern w:val="0"/>
          <w:sz w:val="24"/>
        </w:rPr>
        <w:t>202</w:t>
      </w:r>
      <w:r w:rsidR="00D85D6B" w:rsidRPr="00FC1444">
        <w:rPr>
          <w:rFonts w:eastAsiaTheme="minorEastAsia" w:hint="eastAsia"/>
          <w:bCs/>
          <w:snapToGrid w:val="0"/>
          <w:kern w:val="0"/>
          <w:sz w:val="24"/>
        </w:rPr>
        <w:t>6</w:t>
      </w:r>
      <w:r w:rsidR="00D85D6B" w:rsidRPr="00FC1444">
        <w:rPr>
          <w:rFonts w:eastAsiaTheme="minorEastAsia"/>
          <w:bCs/>
          <w:snapToGrid w:val="0"/>
          <w:kern w:val="0"/>
          <w:sz w:val="24"/>
        </w:rPr>
        <w:t>.</w:t>
      </w:r>
      <w:r w:rsidR="00D85D6B" w:rsidRPr="00FC1444">
        <w:rPr>
          <w:rFonts w:eastAsiaTheme="minorEastAsia" w:hint="eastAsia"/>
          <w:bCs/>
          <w:snapToGrid w:val="0"/>
          <w:kern w:val="0"/>
          <w:sz w:val="24"/>
        </w:rPr>
        <w:t>7</w:t>
      </w:r>
      <w:r w:rsidR="00D85D6B" w:rsidRPr="00FC1444">
        <w:rPr>
          <w:rFonts w:eastAsiaTheme="minorEastAsia"/>
          <w:bCs/>
          <w:snapToGrid w:val="0"/>
          <w:kern w:val="0"/>
          <w:sz w:val="24"/>
        </w:rPr>
        <w:t>.</w:t>
      </w:r>
      <w:r w:rsidR="00D85D6B" w:rsidRPr="00FC1444">
        <w:rPr>
          <w:rFonts w:eastAsiaTheme="minorEastAsia" w:hint="eastAsia"/>
          <w:bCs/>
          <w:snapToGrid w:val="0"/>
          <w:kern w:val="0"/>
          <w:sz w:val="24"/>
        </w:rPr>
        <w:t>30</w:t>
      </w:r>
      <w:r w:rsidR="00D85D6B" w:rsidRPr="00FC1444">
        <w:rPr>
          <w:rFonts w:eastAsiaTheme="minorEastAsia"/>
          <w:bCs/>
          <w:snapToGrid w:val="0"/>
          <w:kern w:val="0"/>
          <w:sz w:val="24"/>
        </w:rPr>
        <w:t>修正</w:t>
      </w:r>
      <w:r w:rsidR="00894617" w:rsidRPr="00FC1444">
        <w:rPr>
          <w:rFonts w:eastAsiaTheme="minorEastAsia"/>
          <w:bCs/>
          <w:snapToGrid w:val="0"/>
          <w:kern w:val="0"/>
          <w:sz w:val="24"/>
        </w:rPr>
        <w:t>）。</w:t>
      </w:r>
    </w:p>
    <w:p w:rsidR="002A5A5E" w:rsidRPr="00FC1444" w:rsidRDefault="00611CBA">
      <w:pPr>
        <w:spacing w:line="360" w:lineRule="auto"/>
        <w:contextualSpacing/>
        <w:rPr>
          <w:rFonts w:eastAsiaTheme="minorEastAsia"/>
          <w:bCs/>
          <w:snapToGrid w:val="0"/>
          <w:kern w:val="0"/>
          <w:sz w:val="24"/>
        </w:rPr>
      </w:pPr>
      <w:r w:rsidRPr="00FC1444">
        <w:rPr>
          <w:rFonts w:eastAsiaTheme="minorEastAsia"/>
          <w:bCs/>
          <w:snapToGrid w:val="0"/>
          <w:kern w:val="0"/>
          <w:sz w:val="24"/>
        </w:rPr>
        <w:t>（</w:t>
      </w:r>
      <w:r w:rsidR="00894617" w:rsidRPr="00FC1444">
        <w:rPr>
          <w:rFonts w:eastAsiaTheme="minorEastAsia"/>
          <w:bCs/>
          <w:snapToGrid w:val="0"/>
          <w:kern w:val="0"/>
          <w:sz w:val="24"/>
        </w:rPr>
        <w:t>1</w:t>
      </w:r>
      <w:r w:rsidR="00D307DC" w:rsidRPr="00FC1444">
        <w:rPr>
          <w:rFonts w:eastAsiaTheme="minorEastAsia" w:hint="eastAsia"/>
          <w:bCs/>
          <w:snapToGrid w:val="0"/>
          <w:kern w:val="0"/>
          <w:sz w:val="24"/>
        </w:rPr>
        <w:t>1</w:t>
      </w:r>
      <w:r w:rsidRPr="00FC1444">
        <w:rPr>
          <w:rFonts w:eastAsiaTheme="minorEastAsia"/>
          <w:bCs/>
          <w:snapToGrid w:val="0"/>
          <w:kern w:val="0"/>
          <w:sz w:val="24"/>
        </w:rPr>
        <w:t>）《黑龙江省黑土地保护利用条例》（</w:t>
      </w:r>
      <w:r w:rsidRPr="00FC1444">
        <w:rPr>
          <w:rFonts w:eastAsiaTheme="minorEastAsia"/>
          <w:bCs/>
          <w:snapToGrid w:val="0"/>
          <w:kern w:val="0"/>
          <w:sz w:val="24"/>
        </w:rPr>
        <w:t>2022.03.01</w:t>
      </w:r>
      <w:r w:rsidRPr="00FC1444">
        <w:rPr>
          <w:rFonts w:eastAsiaTheme="minorEastAsia"/>
          <w:bCs/>
          <w:snapToGrid w:val="0"/>
          <w:kern w:val="0"/>
          <w:sz w:val="24"/>
        </w:rPr>
        <w:t>施行）。</w:t>
      </w:r>
    </w:p>
    <w:p w:rsidR="002A5A5E" w:rsidRPr="00FC1444" w:rsidRDefault="00611CBA">
      <w:pPr>
        <w:spacing w:line="360" w:lineRule="auto"/>
        <w:contextualSpacing/>
        <w:rPr>
          <w:rFonts w:eastAsiaTheme="minorEastAsia"/>
          <w:sz w:val="24"/>
        </w:rPr>
      </w:pPr>
      <w:r w:rsidRPr="00FC1444">
        <w:rPr>
          <w:rFonts w:eastAsiaTheme="minorEastAsia"/>
          <w:bCs/>
          <w:snapToGrid w:val="0"/>
          <w:kern w:val="0"/>
          <w:sz w:val="24"/>
        </w:rPr>
        <w:t>（</w:t>
      </w:r>
      <w:r w:rsidRPr="00FC1444">
        <w:rPr>
          <w:rFonts w:eastAsiaTheme="minorEastAsia"/>
          <w:bCs/>
          <w:snapToGrid w:val="0"/>
          <w:kern w:val="0"/>
          <w:sz w:val="24"/>
        </w:rPr>
        <w:t>1</w:t>
      </w:r>
      <w:r w:rsidR="00D307DC" w:rsidRPr="00FC1444">
        <w:rPr>
          <w:rFonts w:eastAsiaTheme="minorEastAsia" w:hint="eastAsia"/>
          <w:bCs/>
          <w:snapToGrid w:val="0"/>
          <w:kern w:val="0"/>
          <w:sz w:val="24"/>
        </w:rPr>
        <w:t>2</w:t>
      </w:r>
      <w:r w:rsidRPr="00FC1444">
        <w:rPr>
          <w:rFonts w:eastAsiaTheme="minorEastAsia"/>
          <w:bCs/>
          <w:snapToGrid w:val="0"/>
          <w:kern w:val="0"/>
          <w:sz w:val="24"/>
        </w:rPr>
        <w:t>）</w:t>
      </w:r>
      <w:r w:rsidR="0017557C" w:rsidRPr="00FC1444">
        <w:rPr>
          <w:rFonts w:eastAsiaTheme="minorEastAsia"/>
          <w:kern w:val="0"/>
          <w:sz w:val="24"/>
        </w:rPr>
        <w:t>《国务院关于印发固体废物综合治理行动计划的通知》（国发〔</w:t>
      </w:r>
      <w:r w:rsidR="0017557C" w:rsidRPr="00FC1444">
        <w:rPr>
          <w:rFonts w:eastAsiaTheme="minorEastAsia"/>
          <w:kern w:val="0"/>
          <w:sz w:val="24"/>
        </w:rPr>
        <w:t>2025</w:t>
      </w:r>
      <w:r w:rsidR="0017557C" w:rsidRPr="00FC1444">
        <w:rPr>
          <w:rFonts w:eastAsiaTheme="minorEastAsia"/>
          <w:kern w:val="0"/>
          <w:sz w:val="24"/>
        </w:rPr>
        <w:t>〕</w:t>
      </w:r>
      <w:r w:rsidR="0017557C" w:rsidRPr="00FC1444">
        <w:rPr>
          <w:rFonts w:eastAsiaTheme="minorEastAsia"/>
          <w:kern w:val="0"/>
          <w:sz w:val="24"/>
        </w:rPr>
        <w:t>14</w:t>
      </w:r>
      <w:r w:rsidR="0017557C" w:rsidRPr="00FC1444">
        <w:rPr>
          <w:rFonts w:eastAsiaTheme="minorEastAsia"/>
          <w:kern w:val="0"/>
          <w:sz w:val="24"/>
        </w:rPr>
        <w:t>号）</w:t>
      </w:r>
      <w:r w:rsidRPr="00FC1444">
        <w:rPr>
          <w:rFonts w:eastAsiaTheme="minorEastAsia"/>
          <w:sz w:val="24"/>
        </w:rPr>
        <w:t>。</w:t>
      </w:r>
    </w:p>
    <w:p w:rsidR="002A5A5E" w:rsidRPr="00FC1444" w:rsidRDefault="00611CBA">
      <w:pPr>
        <w:spacing w:line="360" w:lineRule="auto"/>
        <w:contextualSpacing/>
        <w:rPr>
          <w:rFonts w:eastAsiaTheme="minorEastAsia"/>
          <w:sz w:val="24"/>
        </w:rPr>
      </w:pPr>
      <w:r w:rsidRPr="00FC1444">
        <w:rPr>
          <w:rFonts w:eastAsiaTheme="minorEastAsia"/>
          <w:sz w:val="24"/>
        </w:rPr>
        <w:t>（</w:t>
      </w:r>
      <w:r w:rsidR="00894617" w:rsidRPr="00FC1444">
        <w:rPr>
          <w:rFonts w:eastAsiaTheme="minorEastAsia"/>
          <w:sz w:val="24"/>
        </w:rPr>
        <w:t>1</w:t>
      </w:r>
      <w:r w:rsidR="00D307DC" w:rsidRPr="00FC1444">
        <w:rPr>
          <w:rFonts w:eastAsiaTheme="minorEastAsia" w:hint="eastAsia"/>
          <w:sz w:val="24"/>
        </w:rPr>
        <w:t>3</w:t>
      </w:r>
      <w:r w:rsidRPr="00FC1444">
        <w:rPr>
          <w:rFonts w:eastAsiaTheme="minorEastAsia"/>
          <w:sz w:val="24"/>
        </w:rPr>
        <w:t>）</w:t>
      </w:r>
      <w:r w:rsidRPr="00FC1444">
        <w:rPr>
          <w:rFonts w:eastAsiaTheme="minorEastAsia"/>
          <w:kern w:val="0"/>
          <w:sz w:val="24"/>
        </w:rPr>
        <w:t>《黑龙江省重点流域水生态环境保护规划》（黑环发〔</w:t>
      </w:r>
      <w:r w:rsidRPr="00FC1444">
        <w:rPr>
          <w:rFonts w:eastAsiaTheme="minorEastAsia"/>
          <w:kern w:val="0"/>
          <w:sz w:val="24"/>
        </w:rPr>
        <w:t>2023</w:t>
      </w:r>
      <w:r w:rsidRPr="00FC1444">
        <w:rPr>
          <w:rFonts w:eastAsiaTheme="minorEastAsia"/>
          <w:kern w:val="0"/>
          <w:sz w:val="24"/>
        </w:rPr>
        <w:t>〕</w:t>
      </w:r>
      <w:r w:rsidRPr="00FC1444">
        <w:rPr>
          <w:rFonts w:eastAsiaTheme="minorEastAsia"/>
          <w:kern w:val="0"/>
          <w:sz w:val="24"/>
        </w:rPr>
        <w:t>24</w:t>
      </w:r>
      <w:r w:rsidRPr="00FC1444">
        <w:rPr>
          <w:rFonts w:eastAsiaTheme="minorEastAsia"/>
          <w:kern w:val="0"/>
          <w:sz w:val="24"/>
        </w:rPr>
        <w:t>号）。</w:t>
      </w:r>
    </w:p>
    <w:p w:rsidR="002A5A5E" w:rsidRPr="00FC1444" w:rsidRDefault="00611CBA">
      <w:pPr>
        <w:spacing w:line="360" w:lineRule="auto"/>
        <w:contextualSpacing/>
        <w:rPr>
          <w:rFonts w:eastAsiaTheme="minorEastAsia"/>
          <w:kern w:val="0"/>
          <w:sz w:val="24"/>
        </w:rPr>
      </w:pPr>
      <w:r w:rsidRPr="00FC1444">
        <w:rPr>
          <w:rFonts w:eastAsiaTheme="minorEastAsia"/>
          <w:sz w:val="24"/>
        </w:rPr>
        <w:t>（</w:t>
      </w:r>
      <w:r w:rsidR="00894617" w:rsidRPr="00FC1444">
        <w:rPr>
          <w:rFonts w:eastAsiaTheme="minorEastAsia"/>
          <w:sz w:val="24"/>
        </w:rPr>
        <w:t>1</w:t>
      </w:r>
      <w:r w:rsidR="00D307DC" w:rsidRPr="00FC1444">
        <w:rPr>
          <w:rFonts w:eastAsiaTheme="minorEastAsia" w:hint="eastAsia"/>
          <w:sz w:val="24"/>
        </w:rPr>
        <w:t>4</w:t>
      </w:r>
      <w:r w:rsidRPr="00FC1444">
        <w:rPr>
          <w:rFonts w:eastAsiaTheme="minorEastAsia"/>
          <w:sz w:val="24"/>
        </w:rPr>
        <w:t>）</w:t>
      </w:r>
      <w:r w:rsidRPr="00FC1444">
        <w:rPr>
          <w:rFonts w:eastAsiaTheme="minorEastAsia"/>
          <w:kern w:val="0"/>
          <w:sz w:val="24"/>
        </w:rPr>
        <w:t>《基本农田保护条例》（</w:t>
      </w:r>
      <w:r w:rsidRPr="00FC1444">
        <w:rPr>
          <w:rFonts w:eastAsiaTheme="minorEastAsia"/>
          <w:kern w:val="0"/>
          <w:sz w:val="24"/>
        </w:rPr>
        <w:t>1999.01.01</w:t>
      </w:r>
      <w:r w:rsidRPr="00FC1444">
        <w:rPr>
          <w:rFonts w:eastAsiaTheme="minorEastAsia"/>
          <w:kern w:val="0"/>
          <w:sz w:val="24"/>
        </w:rPr>
        <w:t>施行）。</w:t>
      </w:r>
    </w:p>
    <w:p w:rsidR="002A5A5E" w:rsidRPr="00FC1444" w:rsidRDefault="00611CBA">
      <w:pPr>
        <w:spacing w:line="360" w:lineRule="auto"/>
        <w:contextualSpacing/>
        <w:rPr>
          <w:rFonts w:eastAsiaTheme="minorEastAsia"/>
          <w:kern w:val="0"/>
          <w:sz w:val="24"/>
        </w:rPr>
      </w:pPr>
      <w:r w:rsidRPr="00FC1444">
        <w:rPr>
          <w:rFonts w:eastAsiaTheme="minorEastAsia"/>
          <w:kern w:val="0"/>
          <w:sz w:val="24"/>
        </w:rPr>
        <w:t>（</w:t>
      </w:r>
      <w:r w:rsidR="00894617" w:rsidRPr="00FC1444">
        <w:rPr>
          <w:rFonts w:eastAsiaTheme="minorEastAsia"/>
          <w:kern w:val="0"/>
          <w:sz w:val="24"/>
        </w:rPr>
        <w:t>1</w:t>
      </w:r>
      <w:r w:rsidR="00D307DC" w:rsidRPr="00FC1444">
        <w:rPr>
          <w:rFonts w:eastAsiaTheme="minorEastAsia" w:hint="eastAsia"/>
          <w:kern w:val="0"/>
          <w:sz w:val="24"/>
        </w:rPr>
        <w:t>5</w:t>
      </w:r>
      <w:r w:rsidRPr="00FC1444">
        <w:rPr>
          <w:rFonts w:eastAsiaTheme="minorEastAsia"/>
          <w:kern w:val="0"/>
          <w:sz w:val="24"/>
        </w:rPr>
        <w:t>）《黑龙江省耕地保护条例》（</w:t>
      </w:r>
      <w:r w:rsidRPr="00FC1444">
        <w:rPr>
          <w:rFonts w:eastAsiaTheme="minorEastAsia"/>
          <w:kern w:val="0"/>
          <w:sz w:val="24"/>
        </w:rPr>
        <w:t>2016.07.01</w:t>
      </w:r>
      <w:r w:rsidRPr="00FC1444">
        <w:rPr>
          <w:rFonts w:eastAsiaTheme="minorEastAsia"/>
          <w:kern w:val="0"/>
          <w:sz w:val="24"/>
        </w:rPr>
        <w:t>施行）。</w:t>
      </w:r>
    </w:p>
    <w:p w:rsidR="002A5A5E" w:rsidRPr="00FC1444" w:rsidRDefault="00611CBA">
      <w:pPr>
        <w:spacing w:line="360" w:lineRule="auto"/>
        <w:contextualSpacing/>
        <w:rPr>
          <w:rFonts w:eastAsiaTheme="minorEastAsia"/>
          <w:kern w:val="0"/>
          <w:sz w:val="24"/>
        </w:rPr>
      </w:pPr>
      <w:r w:rsidRPr="00FC1444">
        <w:rPr>
          <w:rFonts w:eastAsiaTheme="minorEastAsia"/>
          <w:kern w:val="0"/>
          <w:sz w:val="24"/>
        </w:rPr>
        <w:t>（</w:t>
      </w:r>
      <w:r w:rsidR="007B163A" w:rsidRPr="00FC1444">
        <w:rPr>
          <w:rFonts w:eastAsiaTheme="minorEastAsia"/>
          <w:kern w:val="0"/>
          <w:sz w:val="24"/>
        </w:rPr>
        <w:t>1</w:t>
      </w:r>
      <w:r w:rsidR="00D307DC" w:rsidRPr="00FC1444">
        <w:rPr>
          <w:rFonts w:eastAsiaTheme="minorEastAsia" w:hint="eastAsia"/>
          <w:kern w:val="0"/>
          <w:sz w:val="24"/>
        </w:rPr>
        <w:t>6</w:t>
      </w:r>
      <w:r w:rsidRPr="00FC1444">
        <w:rPr>
          <w:rFonts w:eastAsiaTheme="minorEastAsia"/>
          <w:kern w:val="0"/>
          <w:sz w:val="24"/>
        </w:rPr>
        <w:t>）《全国农业可持续发展规划（</w:t>
      </w:r>
      <w:r w:rsidRPr="00FC1444">
        <w:rPr>
          <w:rFonts w:eastAsiaTheme="minorEastAsia"/>
          <w:kern w:val="0"/>
          <w:sz w:val="24"/>
        </w:rPr>
        <w:t>2015—2030</w:t>
      </w:r>
      <w:r w:rsidRPr="00FC1444">
        <w:rPr>
          <w:rFonts w:eastAsiaTheme="minorEastAsia"/>
          <w:kern w:val="0"/>
          <w:sz w:val="24"/>
        </w:rPr>
        <w:t>年）》。</w:t>
      </w:r>
    </w:p>
    <w:p w:rsidR="00804857" w:rsidRPr="00FC1444" w:rsidRDefault="00804857">
      <w:pPr>
        <w:spacing w:line="360" w:lineRule="auto"/>
        <w:contextualSpacing/>
        <w:rPr>
          <w:rFonts w:eastAsiaTheme="minorEastAsia"/>
          <w:kern w:val="0"/>
          <w:sz w:val="24"/>
        </w:rPr>
      </w:pPr>
      <w:r w:rsidRPr="00FC1444">
        <w:rPr>
          <w:rFonts w:eastAsiaTheme="minorEastAsia"/>
          <w:kern w:val="0"/>
          <w:sz w:val="24"/>
        </w:rPr>
        <w:t>（</w:t>
      </w:r>
      <w:r w:rsidR="007B163A" w:rsidRPr="00FC1444">
        <w:rPr>
          <w:rFonts w:eastAsiaTheme="minorEastAsia"/>
          <w:kern w:val="0"/>
          <w:sz w:val="24"/>
        </w:rPr>
        <w:t>1</w:t>
      </w:r>
      <w:r w:rsidR="00D307DC" w:rsidRPr="00FC1444">
        <w:rPr>
          <w:rFonts w:eastAsiaTheme="minorEastAsia" w:hint="eastAsia"/>
          <w:kern w:val="0"/>
          <w:sz w:val="24"/>
        </w:rPr>
        <w:t>7</w:t>
      </w:r>
      <w:r w:rsidRPr="00FC1444">
        <w:rPr>
          <w:rFonts w:eastAsiaTheme="minorEastAsia"/>
          <w:kern w:val="0"/>
          <w:sz w:val="24"/>
        </w:rPr>
        <w:t>）《黑龙江省固体废物污染环境防治条例》（</w:t>
      </w:r>
      <w:r w:rsidR="00403304" w:rsidRPr="00FC1444">
        <w:rPr>
          <w:rFonts w:eastAsiaTheme="minorEastAsia"/>
          <w:bCs/>
          <w:snapToGrid w:val="0"/>
          <w:kern w:val="0"/>
          <w:sz w:val="24"/>
        </w:rPr>
        <w:t>202</w:t>
      </w:r>
      <w:r w:rsidR="00403304" w:rsidRPr="00FC1444">
        <w:rPr>
          <w:rFonts w:eastAsiaTheme="minorEastAsia" w:hint="eastAsia"/>
          <w:bCs/>
          <w:snapToGrid w:val="0"/>
          <w:kern w:val="0"/>
          <w:sz w:val="24"/>
        </w:rPr>
        <w:t>6</w:t>
      </w:r>
      <w:r w:rsidR="00403304" w:rsidRPr="00FC1444">
        <w:rPr>
          <w:rFonts w:eastAsiaTheme="minorEastAsia"/>
          <w:bCs/>
          <w:snapToGrid w:val="0"/>
          <w:kern w:val="0"/>
          <w:sz w:val="24"/>
        </w:rPr>
        <w:t>.</w:t>
      </w:r>
      <w:r w:rsidR="00403304" w:rsidRPr="00FC1444">
        <w:rPr>
          <w:rFonts w:eastAsiaTheme="minorEastAsia" w:hint="eastAsia"/>
          <w:bCs/>
          <w:snapToGrid w:val="0"/>
          <w:kern w:val="0"/>
          <w:sz w:val="24"/>
        </w:rPr>
        <w:t>7</w:t>
      </w:r>
      <w:r w:rsidR="00403304" w:rsidRPr="00FC1444">
        <w:rPr>
          <w:rFonts w:eastAsiaTheme="minorEastAsia"/>
          <w:bCs/>
          <w:snapToGrid w:val="0"/>
          <w:kern w:val="0"/>
          <w:sz w:val="24"/>
        </w:rPr>
        <w:t>.</w:t>
      </w:r>
      <w:r w:rsidR="00403304" w:rsidRPr="00FC1444">
        <w:rPr>
          <w:rFonts w:eastAsiaTheme="minorEastAsia" w:hint="eastAsia"/>
          <w:bCs/>
          <w:snapToGrid w:val="0"/>
          <w:kern w:val="0"/>
          <w:sz w:val="24"/>
        </w:rPr>
        <w:t>30</w:t>
      </w:r>
      <w:r w:rsidR="00403304" w:rsidRPr="00FC1444">
        <w:rPr>
          <w:rFonts w:eastAsiaTheme="minorEastAsia"/>
          <w:bCs/>
          <w:snapToGrid w:val="0"/>
          <w:kern w:val="0"/>
          <w:sz w:val="24"/>
        </w:rPr>
        <w:t>修正</w:t>
      </w:r>
      <w:r w:rsidRPr="00FC1444">
        <w:rPr>
          <w:rFonts w:eastAsiaTheme="minorEastAsia"/>
          <w:kern w:val="0"/>
          <w:sz w:val="24"/>
        </w:rPr>
        <w:t>）。</w:t>
      </w:r>
    </w:p>
    <w:p w:rsidR="002A5A5E" w:rsidRPr="00FC1444" w:rsidRDefault="00611CBA">
      <w:pPr>
        <w:pStyle w:val="ab"/>
        <w:spacing w:before="100" w:beforeAutospacing="1" w:after="100" w:afterAutospacing="1"/>
        <w:outlineLvl w:val="2"/>
        <w:rPr>
          <w:rFonts w:eastAsiaTheme="minorEastAsia"/>
          <w:b/>
          <w:sz w:val="28"/>
          <w:szCs w:val="28"/>
        </w:rPr>
      </w:pPr>
      <w:r w:rsidRPr="00FC1444">
        <w:rPr>
          <w:rFonts w:eastAsiaTheme="minorEastAsia"/>
          <w:b/>
          <w:sz w:val="28"/>
          <w:szCs w:val="28"/>
        </w:rPr>
        <w:t>2.1.3</w:t>
      </w:r>
      <w:r w:rsidRPr="00FC1444">
        <w:rPr>
          <w:rFonts w:eastAsiaTheme="minorEastAsia"/>
          <w:b/>
          <w:sz w:val="28"/>
          <w:szCs w:val="28"/>
        </w:rPr>
        <w:t>相关技术规范</w:t>
      </w:r>
      <w:bookmarkEnd w:id="31"/>
      <w:bookmarkEnd w:id="32"/>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1</w:t>
      </w:r>
      <w:r w:rsidRPr="00FC1444">
        <w:rPr>
          <w:rFonts w:eastAsiaTheme="minorEastAsia"/>
          <w:snapToGrid w:val="0"/>
          <w:kern w:val="0"/>
          <w:sz w:val="24"/>
        </w:rPr>
        <w:t>）《建设项目环境影响评价技术导则</w:t>
      </w:r>
      <w:r w:rsidRPr="00FC1444">
        <w:rPr>
          <w:rFonts w:eastAsiaTheme="minorEastAsia"/>
          <w:snapToGrid w:val="0"/>
          <w:kern w:val="0"/>
          <w:sz w:val="24"/>
        </w:rPr>
        <w:t xml:space="preserve"> </w:t>
      </w:r>
      <w:r w:rsidRPr="00FC1444">
        <w:rPr>
          <w:rFonts w:eastAsiaTheme="minorEastAsia"/>
          <w:snapToGrid w:val="0"/>
          <w:kern w:val="0"/>
          <w:sz w:val="24"/>
        </w:rPr>
        <w:t>总纲》（</w:t>
      </w:r>
      <w:r w:rsidRPr="00FC1444">
        <w:rPr>
          <w:rFonts w:eastAsiaTheme="minorEastAsia"/>
          <w:snapToGrid w:val="0"/>
          <w:kern w:val="0"/>
          <w:sz w:val="24"/>
        </w:rPr>
        <w:t>HJ2.1-2016</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2</w:t>
      </w:r>
      <w:r w:rsidRPr="00FC1444">
        <w:rPr>
          <w:rFonts w:eastAsiaTheme="minorEastAsia"/>
          <w:snapToGrid w:val="0"/>
          <w:kern w:val="0"/>
          <w:sz w:val="24"/>
        </w:rPr>
        <w:t>）《环境影响评价技术导则</w:t>
      </w:r>
      <w:r w:rsidRPr="00FC1444">
        <w:rPr>
          <w:rFonts w:eastAsiaTheme="minorEastAsia"/>
          <w:snapToGrid w:val="0"/>
          <w:kern w:val="0"/>
          <w:sz w:val="24"/>
        </w:rPr>
        <w:t xml:space="preserve"> </w:t>
      </w:r>
      <w:r w:rsidRPr="00FC1444">
        <w:rPr>
          <w:rFonts w:eastAsiaTheme="minorEastAsia"/>
          <w:snapToGrid w:val="0"/>
          <w:kern w:val="0"/>
          <w:sz w:val="24"/>
        </w:rPr>
        <w:t>大气环境》（</w:t>
      </w:r>
      <w:r w:rsidRPr="00FC1444">
        <w:rPr>
          <w:rFonts w:eastAsiaTheme="minorEastAsia"/>
          <w:snapToGrid w:val="0"/>
          <w:kern w:val="0"/>
          <w:sz w:val="24"/>
        </w:rPr>
        <w:t>HJ2.2-2018</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3</w:t>
      </w:r>
      <w:r w:rsidRPr="00FC1444">
        <w:rPr>
          <w:rFonts w:eastAsiaTheme="minorEastAsia"/>
          <w:snapToGrid w:val="0"/>
          <w:kern w:val="0"/>
          <w:sz w:val="24"/>
        </w:rPr>
        <w:t>）《环境影响评价技术导则</w:t>
      </w:r>
      <w:r w:rsidRPr="00FC1444">
        <w:rPr>
          <w:rFonts w:eastAsiaTheme="minorEastAsia"/>
          <w:snapToGrid w:val="0"/>
          <w:kern w:val="0"/>
          <w:sz w:val="24"/>
        </w:rPr>
        <w:t xml:space="preserve"> </w:t>
      </w:r>
      <w:r w:rsidRPr="00FC1444">
        <w:rPr>
          <w:rFonts w:eastAsiaTheme="minorEastAsia"/>
          <w:snapToGrid w:val="0"/>
          <w:kern w:val="0"/>
          <w:sz w:val="24"/>
        </w:rPr>
        <w:t>地表水环境》（</w:t>
      </w:r>
      <w:r w:rsidRPr="00FC1444">
        <w:rPr>
          <w:rFonts w:eastAsiaTheme="minorEastAsia"/>
          <w:snapToGrid w:val="0"/>
          <w:kern w:val="0"/>
          <w:sz w:val="24"/>
        </w:rPr>
        <w:t>HJ 2.3-2018</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4</w:t>
      </w:r>
      <w:r w:rsidRPr="00FC1444">
        <w:rPr>
          <w:rFonts w:eastAsiaTheme="minorEastAsia"/>
          <w:snapToGrid w:val="0"/>
          <w:kern w:val="0"/>
          <w:sz w:val="24"/>
        </w:rPr>
        <w:t>）《环境影响评价技术导则</w:t>
      </w:r>
      <w:r w:rsidRPr="00FC1444">
        <w:rPr>
          <w:rFonts w:eastAsiaTheme="minorEastAsia"/>
          <w:snapToGrid w:val="0"/>
          <w:kern w:val="0"/>
          <w:sz w:val="24"/>
        </w:rPr>
        <w:t xml:space="preserve"> </w:t>
      </w:r>
      <w:r w:rsidRPr="00FC1444">
        <w:rPr>
          <w:rFonts w:eastAsiaTheme="minorEastAsia"/>
          <w:snapToGrid w:val="0"/>
          <w:kern w:val="0"/>
          <w:sz w:val="24"/>
        </w:rPr>
        <w:t>声环境》（</w:t>
      </w:r>
      <w:r w:rsidRPr="00FC1444">
        <w:rPr>
          <w:rFonts w:eastAsiaTheme="minorEastAsia"/>
          <w:snapToGrid w:val="0"/>
          <w:kern w:val="0"/>
          <w:sz w:val="24"/>
        </w:rPr>
        <w:t>HJ2.4-2021</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5</w:t>
      </w:r>
      <w:r w:rsidRPr="00FC1444">
        <w:rPr>
          <w:rFonts w:eastAsiaTheme="minorEastAsia"/>
          <w:snapToGrid w:val="0"/>
          <w:kern w:val="0"/>
          <w:sz w:val="24"/>
        </w:rPr>
        <w:t>）《环境影响评价技术导则</w:t>
      </w:r>
      <w:r w:rsidRPr="00FC1444">
        <w:rPr>
          <w:rFonts w:eastAsiaTheme="minorEastAsia"/>
          <w:snapToGrid w:val="0"/>
          <w:kern w:val="0"/>
          <w:sz w:val="24"/>
        </w:rPr>
        <w:t xml:space="preserve"> </w:t>
      </w:r>
      <w:r w:rsidRPr="00FC1444">
        <w:rPr>
          <w:rFonts w:eastAsiaTheme="minorEastAsia"/>
          <w:snapToGrid w:val="0"/>
          <w:kern w:val="0"/>
          <w:sz w:val="24"/>
        </w:rPr>
        <w:t>地下水环境》（</w:t>
      </w:r>
      <w:r w:rsidRPr="00FC1444">
        <w:rPr>
          <w:rFonts w:eastAsiaTheme="minorEastAsia"/>
          <w:snapToGrid w:val="0"/>
          <w:kern w:val="0"/>
          <w:sz w:val="24"/>
        </w:rPr>
        <w:t>HJ610-2016</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6</w:t>
      </w:r>
      <w:r w:rsidRPr="00FC1444">
        <w:rPr>
          <w:rFonts w:eastAsiaTheme="minorEastAsia"/>
          <w:snapToGrid w:val="0"/>
          <w:kern w:val="0"/>
          <w:sz w:val="24"/>
        </w:rPr>
        <w:t>）《环境影响评价技术导则</w:t>
      </w:r>
      <w:r w:rsidRPr="00FC1444">
        <w:rPr>
          <w:rFonts w:eastAsiaTheme="minorEastAsia"/>
          <w:snapToGrid w:val="0"/>
          <w:kern w:val="0"/>
          <w:sz w:val="24"/>
        </w:rPr>
        <w:t xml:space="preserve"> </w:t>
      </w:r>
      <w:r w:rsidRPr="00FC1444">
        <w:rPr>
          <w:rFonts w:eastAsiaTheme="minorEastAsia"/>
          <w:snapToGrid w:val="0"/>
          <w:kern w:val="0"/>
          <w:sz w:val="24"/>
        </w:rPr>
        <w:t>生态影响》（</w:t>
      </w:r>
      <w:r w:rsidRPr="00FC1444">
        <w:rPr>
          <w:rFonts w:eastAsiaTheme="minorEastAsia"/>
          <w:snapToGrid w:val="0"/>
          <w:kern w:val="0"/>
          <w:sz w:val="24"/>
        </w:rPr>
        <w:t>HJ19-2022</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7</w:t>
      </w:r>
      <w:r w:rsidRPr="00FC1444">
        <w:rPr>
          <w:rFonts w:eastAsiaTheme="minorEastAsia"/>
          <w:snapToGrid w:val="0"/>
          <w:kern w:val="0"/>
          <w:sz w:val="24"/>
        </w:rPr>
        <w:t>）《环境影响评价技术导则</w:t>
      </w:r>
      <w:r w:rsidRPr="00FC1444">
        <w:rPr>
          <w:rFonts w:eastAsiaTheme="minorEastAsia"/>
          <w:snapToGrid w:val="0"/>
          <w:kern w:val="0"/>
          <w:sz w:val="24"/>
        </w:rPr>
        <w:t xml:space="preserve"> </w:t>
      </w:r>
      <w:r w:rsidRPr="00FC1444">
        <w:rPr>
          <w:rFonts w:eastAsiaTheme="minorEastAsia"/>
          <w:snapToGrid w:val="0"/>
          <w:kern w:val="0"/>
          <w:sz w:val="24"/>
        </w:rPr>
        <w:t>土壤环境（试行）》（</w:t>
      </w:r>
      <w:r w:rsidRPr="00FC1444">
        <w:rPr>
          <w:rFonts w:eastAsiaTheme="minorEastAsia"/>
          <w:snapToGrid w:val="0"/>
          <w:kern w:val="0"/>
          <w:sz w:val="24"/>
        </w:rPr>
        <w:t>HJ964-2018</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8</w:t>
      </w:r>
      <w:r w:rsidRPr="00FC1444">
        <w:rPr>
          <w:rFonts w:eastAsiaTheme="minorEastAsia"/>
          <w:snapToGrid w:val="0"/>
          <w:kern w:val="0"/>
          <w:sz w:val="24"/>
        </w:rPr>
        <w:t>）《建设项目环境风险评价技术导则》（</w:t>
      </w:r>
      <w:r w:rsidRPr="00FC1444">
        <w:rPr>
          <w:rFonts w:eastAsiaTheme="minorEastAsia"/>
          <w:snapToGrid w:val="0"/>
          <w:kern w:val="0"/>
          <w:sz w:val="24"/>
        </w:rPr>
        <w:t>HJ169-2018</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9</w:t>
      </w:r>
      <w:r w:rsidRPr="00FC1444">
        <w:rPr>
          <w:rFonts w:eastAsiaTheme="minorEastAsia"/>
          <w:snapToGrid w:val="0"/>
          <w:kern w:val="0"/>
          <w:sz w:val="24"/>
        </w:rPr>
        <w:t>）《排污单位自行监测技术指南</w:t>
      </w:r>
      <w:r w:rsidRPr="00FC1444">
        <w:rPr>
          <w:rFonts w:eastAsiaTheme="minorEastAsia"/>
          <w:snapToGrid w:val="0"/>
          <w:kern w:val="0"/>
          <w:sz w:val="24"/>
        </w:rPr>
        <w:t xml:space="preserve"> </w:t>
      </w:r>
      <w:r w:rsidRPr="00FC1444">
        <w:rPr>
          <w:rFonts w:eastAsiaTheme="minorEastAsia"/>
          <w:snapToGrid w:val="0"/>
          <w:kern w:val="0"/>
          <w:sz w:val="24"/>
        </w:rPr>
        <w:t>总则》（</w:t>
      </w:r>
      <w:r w:rsidRPr="00FC1444">
        <w:rPr>
          <w:rFonts w:eastAsiaTheme="minorEastAsia"/>
          <w:snapToGrid w:val="0"/>
          <w:kern w:val="0"/>
          <w:sz w:val="24"/>
        </w:rPr>
        <w:t>HJ 819-2017</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10</w:t>
      </w:r>
      <w:r w:rsidRPr="00FC1444">
        <w:rPr>
          <w:rFonts w:eastAsiaTheme="minorEastAsia"/>
          <w:snapToGrid w:val="0"/>
          <w:kern w:val="0"/>
          <w:sz w:val="24"/>
        </w:rPr>
        <w:t>）《建设占用耕地耕作层土壤剥离利用技术规范》（</w:t>
      </w:r>
      <w:r w:rsidRPr="00FC1444">
        <w:rPr>
          <w:rFonts w:eastAsiaTheme="minorEastAsia"/>
          <w:snapToGrid w:val="0"/>
          <w:kern w:val="0"/>
          <w:sz w:val="24"/>
        </w:rPr>
        <w:t>DB23/T2913-2021</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lastRenderedPageBreak/>
        <w:t>（</w:t>
      </w:r>
      <w:r w:rsidRPr="00FC1444">
        <w:rPr>
          <w:rFonts w:eastAsiaTheme="minorEastAsia"/>
          <w:snapToGrid w:val="0"/>
          <w:kern w:val="0"/>
          <w:sz w:val="24"/>
        </w:rPr>
        <w:t>11</w:t>
      </w:r>
      <w:r w:rsidRPr="00FC1444">
        <w:rPr>
          <w:rFonts w:eastAsiaTheme="minorEastAsia"/>
          <w:snapToGrid w:val="0"/>
          <w:kern w:val="0"/>
          <w:sz w:val="24"/>
        </w:rPr>
        <w:t>）《高标准农田建设</w:t>
      </w:r>
      <w:r w:rsidRPr="00FC1444">
        <w:rPr>
          <w:rFonts w:eastAsiaTheme="minorEastAsia"/>
          <w:snapToGrid w:val="0"/>
          <w:kern w:val="0"/>
          <w:sz w:val="24"/>
        </w:rPr>
        <w:t xml:space="preserve"> </w:t>
      </w:r>
      <w:r w:rsidRPr="00FC1444">
        <w:rPr>
          <w:rFonts w:eastAsiaTheme="minorEastAsia"/>
          <w:snapToGrid w:val="0"/>
          <w:kern w:val="0"/>
          <w:sz w:val="24"/>
        </w:rPr>
        <w:t>通则》（</w:t>
      </w:r>
      <w:r w:rsidRPr="00FC1444">
        <w:rPr>
          <w:rFonts w:eastAsiaTheme="minorEastAsia"/>
          <w:snapToGrid w:val="0"/>
          <w:kern w:val="0"/>
          <w:sz w:val="24"/>
        </w:rPr>
        <w:t>GB/T30600-2022</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12</w:t>
      </w:r>
      <w:r w:rsidRPr="00FC1444">
        <w:rPr>
          <w:rFonts w:eastAsiaTheme="minorEastAsia"/>
          <w:snapToGrid w:val="0"/>
          <w:kern w:val="0"/>
          <w:sz w:val="24"/>
        </w:rPr>
        <w:t>）《全国高标准农田建设规划》（</w:t>
      </w:r>
      <w:r w:rsidRPr="00FC1444">
        <w:rPr>
          <w:rFonts w:eastAsiaTheme="minorEastAsia"/>
          <w:snapToGrid w:val="0"/>
          <w:kern w:val="0"/>
          <w:sz w:val="24"/>
        </w:rPr>
        <w:t>2021-2030</w:t>
      </w:r>
      <w:r w:rsidRPr="00FC1444">
        <w:rPr>
          <w:rFonts w:eastAsiaTheme="minorEastAsia"/>
          <w:snapToGrid w:val="0"/>
          <w:kern w:val="0"/>
          <w:sz w:val="24"/>
        </w:rPr>
        <w:t>年）。</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13</w:t>
      </w:r>
      <w:r w:rsidRPr="00FC1444">
        <w:rPr>
          <w:rFonts w:eastAsiaTheme="minorEastAsia"/>
          <w:snapToGrid w:val="0"/>
          <w:kern w:val="0"/>
          <w:sz w:val="24"/>
        </w:rPr>
        <w:t>）《水利建设项目</w:t>
      </w:r>
      <w:r w:rsidRPr="00FC1444">
        <w:rPr>
          <w:rFonts w:eastAsiaTheme="minorEastAsia"/>
          <w:snapToGrid w:val="0"/>
          <w:kern w:val="0"/>
          <w:sz w:val="24"/>
        </w:rPr>
        <w:t>(</w:t>
      </w:r>
      <w:r w:rsidRPr="00FC1444">
        <w:rPr>
          <w:rFonts w:eastAsiaTheme="minorEastAsia"/>
          <w:snapToGrid w:val="0"/>
          <w:kern w:val="0"/>
          <w:sz w:val="24"/>
        </w:rPr>
        <w:t>灌区工程</w:t>
      </w:r>
      <w:r w:rsidRPr="00FC1444">
        <w:rPr>
          <w:rFonts w:eastAsiaTheme="minorEastAsia"/>
          <w:snapToGrid w:val="0"/>
          <w:kern w:val="0"/>
          <w:sz w:val="24"/>
        </w:rPr>
        <w:t>)</w:t>
      </w:r>
      <w:hyperlink r:id="rId22" w:tgtFrame="https://huanbao.bjx.com.cn/news/20180813/_blank" w:history="1">
        <w:r w:rsidRPr="00FC1444">
          <w:rPr>
            <w:rFonts w:eastAsiaTheme="minorEastAsia"/>
            <w:snapToGrid w:val="0"/>
            <w:kern w:val="0"/>
            <w:sz w:val="24"/>
          </w:rPr>
          <w:t>环境影响评价文件审批</w:t>
        </w:r>
      </w:hyperlink>
      <w:r w:rsidRPr="00FC1444">
        <w:rPr>
          <w:rFonts w:eastAsiaTheme="minorEastAsia"/>
          <w:snapToGrid w:val="0"/>
          <w:kern w:val="0"/>
          <w:sz w:val="24"/>
        </w:rPr>
        <w:t>原则</w:t>
      </w:r>
      <w:r w:rsidRPr="00FC1444">
        <w:rPr>
          <w:rFonts w:eastAsiaTheme="minorEastAsia"/>
          <w:snapToGrid w:val="0"/>
          <w:kern w:val="0"/>
          <w:sz w:val="24"/>
        </w:rPr>
        <w:t>(</w:t>
      </w:r>
      <w:r w:rsidRPr="00FC1444">
        <w:rPr>
          <w:rFonts w:eastAsiaTheme="minorEastAsia"/>
          <w:snapToGrid w:val="0"/>
          <w:kern w:val="0"/>
          <w:sz w:val="24"/>
        </w:rPr>
        <w:t>试行</w:t>
      </w:r>
      <w:r w:rsidRPr="00FC1444">
        <w:rPr>
          <w:rFonts w:eastAsiaTheme="minorEastAsia"/>
          <w:snapToGrid w:val="0"/>
          <w:kern w:val="0"/>
          <w:sz w:val="24"/>
        </w:rPr>
        <w:t>)</w:t>
      </w:r>
      <w:r w:rsidRPr="00FC1444">
        <w:rPr>
          <w:rFonts w:eastAsiaTheme="minorEastAsia"/>
          <w:snapToGrid w:val="0"/>
          <w:kern w:val="0"/>
          <w:sz w:val="24"/>
        </w:rPr>
        <w:t>》。</w:t>
      </w:r>
    </w:p>
    <w:p w:rsidR="002A5A5E" w:rsidRPr="00FC1444" w:rsidRDefault="00611CBA">
      <w:pPr>
        <w:pStyle w:val="ab"/>
        <w:spacing w:before="100" w:beforeAutospacing="1" w:after="100" w:afterAutospacing="1"/>
        <w:outlineLvl w:val="2"/>
        <w:rPr>
          <w:rFonts w:eastAsiaTheme="minorEastAsia"/>
          <w:b/>
          <w:sz w:val="28"/>
          <w:szCs w:val="28"/>
        </w:rPr>
      </w:pPr>
      <w:bookmarkStart w:id="34" w:name="_Toc524431282"/>
      <w:bookmarkStart w:id="35" w:name="_Toc15991628"/>
      <w:r w:rsidRPr="00FC1444">
        <w:rPr>
          <w:rFonts w:eastAsiaTheme="minorEastAsia"/>
          <w:b/>
          <w:sz w:val="28"/>
          <w:szCs w:val="28"/>
        </w:rPr>
        <w:t>2.1.4</w:t>
      </w:r>
      <w:r w:rsidRPr="00FC1444">
        <w:rPr>
          <w:rFonts w:eastAsiaTheme="minorEastAsia"/>
          <w:b/>
          <w:sz w:val="28"/>
          <w:szCs w:val="28"/>
        </w:rPr>
        <w:t>相关政策及文件</w:t>
      </w:r>
      <w:bookmarkEnd w:id="34"/>
      <w:bookmarkEnd w:id="35"/>
    </w:p>
    <w:bookmarkEnd w:id="33"/>
    <w:p w:rsidR="002A5A5E" w:rsidRPr="00FC1444" w:rsidRDefault="00611CBA">
      <w:pPr>
        <w:pStyle w:val="aff4"/>
        <w:adjustRightInd/>
        <w:snapToGrid/>
        <w:ind w:firstLineChars="0" w:firstLine="0"/>
        <w:contextualSpacing/>
        <w:jc w:val="both"/>
        <w:rPr>
          <w:rFonts w:ascii="Times New Roman" w:hAnsi="Times New Roman" w:cs="Times New Roman"/>
          <w:snapToGrid w:val="0"/>
        </w:rPr>
      </w:pPr>
      <w:r w:rsidRPr="00FC1444">
        <w:rPr>
          <w:rFonts w:ascii="Times New Roman" w:hAnsi="Times New Roman" w:cs="Times New Roman"/>
          <w:snapToGrid w:val="0"/>
        </w:rPr>
        <w:t>（</w:t>
      </w:r>
      <w:r w:rsidRPr="00FC1444">
        <w:rPr>
          <w:rFonts w:ascii="Times New Roman" w:hAnsi="Times New Roman" w:cs="Times New Roman"/>
          <w:snapToGrid w:val="0"/>
        </w:rPr>
        <w:t>1</w:t>
      </w:r>
      <w:r w:rsidRPr="00FC1444">
        <w:rPr>
          <w:rFonts w:ascii="Times New Roman" w:hAnsi="Times New Roman" w:cs="Times New Roman"/>
          <w:snapToGrid w:val="0"/>
        </w:rPr>
        <w:t>）国家发展改革委《产业结构调整指导目录（</w:t>
      </w:r>
      <w:r w:rsidRPr="00FC1444">
        <w:rPr>
          <w:rFonts w:ascii="Times New Roman" w:hAnsi="Times New Roman" w:cs="Times New Roman"/>
          <w:snapToGrid w:val="0"/>
        </w:rPr>
        <w:t>2024</w:t>
      </w:r>
      <w:r w:rsidRPr="00FC1444">
        <w:rPr>
          <w:rFonts w:ascii="Times New Roman" w:hAnsi="Times New Roman" w:cs="Times New Roman"/>
          <w:snapToGrid w:val="0"/>
        </w:rPr>
        <w:t>年本）》。</w:t>
      </w:r>
    </w:p>
    <w:p w:rsidR="002A5A5E" w:rsidRPr="00FC1444" w:rsidRDefault="00611CBA">
      <w:pPr>
        <w:pStyle w:val="aff4"/>
        <w:adjustRightInd/>
        <w:snapToGrid/>
        <w:ind w:firstLineChars="0" w:firstLine="0"/>
        <w:contextualSpacing/>
        <w:jc w:val="both"/>
        <w:rPr>
          <w:rFonts w:ascii="Times New Roman" w:hAnsi="Times New Roman" w:cs="Times New Roman"/>
          <w:snapToGrid w:val="0"/>
        </w:rPr>
      </w:pPr>
      <w:r w:rsidRPr="00FC1444">
        <w:rPr>
          <w:rFonts w:ascii="Times New Roman" w:hAnsi="Times New Roman" w:cs="Times New Roman"/>
          <w:snapToGrid w:val="0"/>
        </w:rPr>
        <w:t>（</w:t>
      </w:r>
      <w:r w:rsidRPr="00FC1444">
        <w:rPr>
          <w:rFonts w:ascii="Times New Roman" w:hAnsi="Times New Roman" w:cs="Times New Roman"/>
          <w:snapToGrid w:val="0"/>
        </w:rPr>
        <w:t>2</w:t>
      </w:r>
      <w:r w:rsidRPr="00FC1444">
        <w:rPr>
          <w:rFonts w:ascii="Times New Roman" w:hAnsi="Times New Roman" w:cs="Times New Roman"/>
          <w:snapToGrid w:val="0"/>
        </w:rPr>
        <w:t>）《关于切实加强风险防范严格环境影响评价管理的通知》（环发</w:t>
      </w:r>
      <w:r w:rsidRPr="00FC1444">
        <w:rPr>
          <w:rFonts w:ascii="Times New Roman" w:hAnsi="Times New Roman" w:cs="Times New Roman"/>
          <w:snapToGrid w:val="0"/>
        </w:rPr>
        <w:t>[2012]98</w:t>
      </w:r>
      <w:r w:rsidRPr="00FC1444">
        <w:rPr>
          <w:rFonts w:ascii="Times New Roman" w:hAnsi="Times New Roman" w:cs="Times New Roman"/>
          <w:snapToGrid w:val="0"/>
        </w:rPr>
        <w:t>号）。</w:t>
      </w:r>
    </w:p>
    <w:p w:rsidR="002A5A5E" w:rsidRPr="00FC1444" w:rsidRDefault="00611CBA">
      <w:pPr>
        <w:pStyle w:val="aff4"/>
        <w:adjustRightInd/>
        <w:snapToGrid/>
        <w:ind w:firstLineChars="0" w:firstLine="0"/>
        <w:contextualSpacing/>
        <w:jc w:val="both"/>
        <w:rPr>
          <w:rFonts w:ascii="Times New Roman" w:hAnsi="Times New Roman" w:cs="Times New Roman"/>
          <w:snapToGrid w:val="0"/>
        </w:rPr>
      </w:pPr>
      <w:r w:rsidRPr="00FC1444">
        <w:rPr>
          <w:rFonts w:ascii="Times New Roman" w:hAnsi="Times New Roman" w:cs="Times New Roman"/>
          <w:snapToGrid w:val="0"/>
        </w:rPr>
        <w:t>（</w:t>
      </w:r>
      <w:r w:rsidRPr="00FC1444">
        <w:rPr>
          <w:rFonts w:ascii="Times New Roman" w:hAnsi="Times New Roman" w:cs="Times New Roman"/>
          <w:snapToGrid w:val="0"/>
        </w:rPr>
        <w:t>3</w:t>
      </w:r>
      <w:r w:rsidRPr="00FC1444">
        <w:rPr>
          <w:rFonts w:ascii="Times New Roman" w:hAnsi="Times New Roman" w:cs="Times New Roman"/>
          <w:snapToGrid w:val="0"/>
        </w:rPr>
        <w:t>）《关于进一步加强环境影响评价管理防范环境风险的通知》（环发</w:t>
      </w:r>
      <w:r w:rsidRPr="00FC1444">
        <w:rPr>
          <w:rFonts w:ascii="Times New Roman" w:hAnsi="Times New Roman" w:cs="Times New Roman"/>
          <w:snapToGrid w:val="0"/>
        </w:rPr>
        <w:t>[2012]77</w:t>
      </w:r>
      <w:r w:rsidRPr="00FC1444">
        <w:rPr>
          <w:rFonts w:ascii="Times New Roman" w:hAnsi="Times New Roman" w:cs="Times New Roman"/>
          <w:snapToGrid w:val="0"/>
        </w:rPr>
        <w:t>号，</w:t>
      </w:r>
      <w:r w:rsidRPr="00FC1444">
        <w:rPr>
          <w:rFonts w:ascii="Times New Roman" w:hAnsi="Times New Roman" w:cs="Times New Roman"/>
          <w:snapToGrid w:val="0"/>
        </w:rPr>
        <w:t>2012</w:t>
      </w:r>
      <w:r w:rsidRPr="00FC1444">
        <w:rPr>
          <w:rFonts w:ascii="Times New Roman" w:hAnsi="Times New Roman" w:cs="Times New Roman"/>
          <w:snapToGrid w:val="0"/>
        </w:rPr>
        <w:t>年</w:t>
      </w:r>
      <w:r w:rsidRPr="00FC1444">
        <w:rPr>
          <w:rFonts w:ascii="Times New Roman" w:hAnsi="Times New Roman" w:cs="Times New Roman"/>
          <w:snapToGrid w:val="0"/>
        </w:rPr>
        <w:t>7</w:t>
      </w:r>
      <w:r w:rsidRPr="00FC1444">
        <w:rPr>
          <w:rFonts w:ascii="Times New Roman" w:hAnsi="Times New Roman" w:cs="Times New Roman"/>
          <w:snapToGrid w:val="0"/>
        </w:rPr>
        <w:t>月</w:t>
      </w:r>
      <w:r w:rsidRPr="00FC1444">
        <w:rPr>
          <w:rFonts w:ascii="Times New Roman" w:hAnsi="Times New Roman" w:cs="Times New Roman"/>
          <w:snapToGrid w:val="0"/>
        </w:rPr>
        <w:t>3</w:t>
      </w:r>
      <w:r w:rsidRPr="00FC1444">
        <w:rPr>
          <w:rFonts w:ascii="Times New Roman" w:hAnsi="Times New Roman" w:cs="Times New Roman"/>
          <w:snapToGrid w:val="0"/>
        </w:rPr>
        <w:t>日实施）。</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4</w:t>
      </w:r>
      <w:r w:rsidRPr="00FC1444">
        <w:rPr>
          <w:rFonts w:eastAsiaTheme="minorEastAsia"/>
          <w:snapToGrid w:val="0"/>
          <w:kern w:val="0"/>
          <w:sz w:val="24"/>
        </w:rPr>
        <w:t>）《建设项目环境影响评价分类管理名录（</w:t>
      </w:r>
      <w:r w:rsidRPr="00FC1444">
        <w:rPr>
          <w:rFonts w:eastAsiaTheme="minorEastAsia"/>
          <w:snapToGrid w:val="0"/>
          <w:kern w:val="0"/>
          <w:sz w:val="24"/>
        </w:rPr>
        <w:t>2021</w:t>
      </w:r>
      <w:r w:rsidRPr="00FC1444">
        <w:rPr>
          <w:rFonts w:eastAsiaTheme="minorEastAsia"/>
          <w:snapToGrid w:val="0"/>
          <w:kern w:val="0"/>
          <w:sz w:val="24"/>
        </w:rPr>
        <w:t>年版）》（生态环境部令第</w:t>
      </w:r>
      <w:r w:rsidRPr="00FC1444">
        <w:rPr>
          <w:rFonts w:eastAsiaTheme="minorEastAsia"/>
          <w:snapToGrid w:val="0"/>
          <w:kern w:val="0"/>
          <w:sz w:val="24"/>
        </w:rPr>
        <w:t>16</w:t>
      </w:r>
      <w:r w:rsidRPr="00FC1444">
        <w:rPr>
          <w:rFonts w:eastAsiaTheme="minorEastAsia"/>
          <w:snapToGrid w:val="0"/>
          <w:kern w:val="0"/>
          <w:sz w:val="24"/>
        </w:rPr>
        <w:t>号）</w:t>
      </w:r>
      <w:r w:rsidRPr="00FC1444">
        <w:rPr>
          <w:rFonts w:eastAsiaTheme="minorEastAsia"/>
          <w:snapToGrid w:val="0"/>
          <w:kern w:val="0"/>
          <w:sz w:val="24"/>
        </w:rPr>
        <w:t>2021.01.01</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5</w:t>
      </w:r>
      <w:r w:rsidRPr="00FC1444">
        <w:rPr>
          <w:rFonts w:eastAsiaTheme="minorEastAsia"/>
          <w:snapToGrid w:val="0"/>
          <w:kern w:val="0"/>
          <w:sz w:val="24"/>
        </w:rPr>
        <w:t>）《环境影响评价公众参与办法》生态环境部令第</w:t>
      </w:r>
      <w:r w:rsidRPr="00FC1444">
        <w:rPr>
          <w:rFonts w:eastAsiaTheme="minorEastAsia"/>
          <w:snapToGrid w:val="0"/>
          <w:kern w:val="0"/>
          <w:sz w:val="24"/>
        </w:rPr>
        <w:t>4</w:t>
      </w:r>
      <w:r w:rsidRPr="00FC1444">
        <w:rPr>
          <w:rFonts w:eastAsiaTheme="minorEastAsia"/>
          <w:snapToGrid w:val="0"/>
          <w:kern w:val="0"/>
          <w:sz w:val="24"/>
        </w:rPr>
        <w:t>号，</w:t>
      </w:r>
      <w:r w:rsidRPr="00FC1444">
        <w:rPr>
          <w:rFonts w:eastAsiaTheme="minorEastAsia"/>
          <w:snapToGrid w:val="0"/>
          <w:kern w:val="0"/>
          <w:sz w:val="24"/>
        </w:rPr>
        <w:t>2019.1.1</w:t>
      </w:r>
      <w:r w:rsidRPr="00FC1444">
        <w:rPr>
          <w:rFonts w:eastAsiaTheme="minorEastAsia"/>
          <w:snapToGrid w:val="0"/>
          <w:kern w:val="0"/>
          <w:sz w:val="24"/>
        </w:rPr>
        <w:t>。</w:t>
      </w:r>
    </w:p>
    <w:p w:rsidR="002A5A5E" w:rsidRPr="00FC1444" w:rsidRDefault="00611CBA">
      <w:pPr>
        <w:pStyle w:val="ab"/>
        <w:spacing w:before="100" w:beforeAutospacing="1" w:after="100" w:afterAutospacing="1"/>
        <w:outlineLvl w:val="2"/>
        <w:rPr>
          <w:rFonts w:eastAsiaTheme="minorEastAsia"/>
          <w:b/>
          <w:sz w:val="28"/>
          <w:szCs w:val="28"/>
        </w:rPr>
      </w:pPr>
      <w:r w:rsidRPr="00FC1444">
        <w:rPr>
          <w:rFonts w:eastAsiaTheme="minorEastAsia"/>
          <w:b/>
          <w:sz w:val="28"/>
          <w:szCs w:val="28"/>
        </w:rPr>
        <w:t>2.1.5</w:t>
      </w:r>
      <w:r w:rsidRPr="00FC1444">
        <w:rPr>
          <w:rFonts w:eastAsiaTheme="minorEastAsia"/>
          <w:b/>
          <w:sz w:val="28"/>
          <w:szCs w:val="28"/>
        </w:rPr>
        <w:t>其他资料</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1</w:t>
      </w:r>
      <w:r w:rsidRPr="00FC1444">
        <w:rPr>
          <w:rFonts w:eastAsiaTheme="minorEastAsia"/>
          <w:snapToGrid w:val="0"/>
          <w:kern w:val="0"/>
          <w:sz w:val="24"/>
        </w:rPr>
        <w:t>）《</w:t>
      </w:r>
      <w:r w:rsidR="00AE168C" w:rsidRPr="00FC1444">
        <w:rPr>
          <w:rFonts w:eastAsiaTheme="minorEastAsia"/>
          <w:snapToGrid w:val="0"/>
          <w:kern w:val="0"/>
          <w:sz w:val="24"/>
        </w:rPr>
        <w:t>北林区</w:t>
      </w:r>
      <w:r w:rsidR="00AE168C" w:rsidRPr="00FC1444">
        <w:rPr>
          <w:rFonts w:eastAsiaTheme="minorEastAsia"/>
          <w:snapToGrid w:val="0"/>
          <w:kern w:val="0"/>
          <w:sz w:val="24"/>
        </w:rPr>
        <w:t>2026</w:t>
      </w:r>
      <w:r w:rsidR="00AE168C" w:rsidRPr="00FC1444">
        <w:rPr>
          <w:rFonts w:eastAsiaTheme="minorEastAsia"/>
          <w:snapToGrid w:val="0"/>
          <w:kern w:val="0"/>
          <w:sz w:val="24"/>
        </w:rPr>
        <w:t>年高标准农田建设项目</w:t>
      </w:r>
      <w:r w:rsidRPr="00FC1444">
        <w:rPr>
          <w:rFonts w:eastAsiaTheme="minorEastAsia"/>
          <w:snapToGrid w:val="0"/>
          <w:kern w:val="0"/>
          <w:sz w:val="24"/>
        </w:rPr>
        <w:t>》技术咨询合同书。</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2</w:t>
      </w:r>
      <w:r w:rsidRPr="00FC1444">
        <w:rPr>
          <w:rFonts w:eastAsiaTheme="minorEastAsia"/>
          <w:snapToGrid w:val="0"/>
          <w:kern w:val="0"/>
          <w:sz w:val="24"/>
        </w:rPr>
        <w:t>）</w:t>
      </w:r>
      <w:r w:rsidR="00AD4150" w:rsidRPr="00FC1444">
        <w:rPr>
          <w:rFonts w:eastAsiaTheme="minorEastAsia"/>
          <w:snapToGrid w:val="0"/>
          <w:kern w:val="0"/>
          <w:sz w:val="24"/>
        </w:rPr>
        <w:t>《关于</w:t>
      </w:r>
      <w:r w:rsidR="00AE168C" w:rsidRPr="00FC1444">
        <w:rPr>
          <w:rFonts w:eastAsiaTheme="minorEastAsia"/>
          <w:snapToGrid w:val="0"/>
          <w:kern w:val="0"/>
          <w:sz w:val="24"/>
        </w:rPr>
        <w:t>北林区</w:t>
      </w:r>
      <w:r w:rsidR="00AE168C" w:rsidRPr="00FC1444">
        <w:rPr>
          <w:rFonts w:eastAsiaTheme="minorEastAsia"/>
          <w:snapToGrid w:val="0"/>
          <w:kern w:val="0"/>
          <w:sz w:val="24"/>
        </w:rPr>
        <w:t>2026</w:t>
      </w:r>
      <w:r w:rsidR="00AE168C" w:rsidRPr="00FC1444">
        <w:rPr>
          <w:rFonts w:eastAsiaTheme="minorEastAsia"/>
          <w:snapToGrid w:val="0"/>
          <w:kern w:val="0"/>
          <w:sz w:val="24"/>
        </w:rPr>
        <w:t>年高标准农田建设项目</w:t>
      </w:r>
      <w:r w:rsidR="00371E5B" w:rsidRPr="00FC1444">
        <w:rPr>
          <w:rFonts w:eastAsiaTheme="minorEastAsia"/>
          <w:snapToGrid w:val="0"/>
          <w:kern w:val="0"/>
          <w:sz w:val="24"/>
        </w:rPr>
        <w:t>初步</w:t>
      </w:r>
      <w:r w:rsidR="00AD4150" w:rsidRPr="00FC1444">
        <w:rPr>
          <w:rFonts w:eastAsiaTheme="minorEastAsia"/>
          <w:snapToGrid w:val="0"/>
          <w:kern w:val="0"/>
          <w:sz w:val="24"/>
        </w:rPr>
        <w:t>设计的批复》（</w:t>
      </w:r>
      <w:r w:rsidR="00371E5B" w:rsidRPr="00FC1444">
        <w:rPr>
          <w:rFonts w:eastAsiaTheme="minorEastAsia"/>
          <w:snapToGrid w:val="0"/>
          <w:kern w:val="0"/>
          <w:sz w:val="24"/>
        </w:rPr>
        <w:t>绥</w:t>
      </w:r>
      <w:r w:rsidR="00AD4150" w:rsidRPr="00FC1444">
        <w:rPr>
          <w:rFonts w:eastAsiaTheme="minorEastAsia"/>
          <w:snapToGrid w:val="0"/>
          <w:kern w:val="0"/>
          <w:sz w:val="24"/>
        </w:rPr>
        <w:t>农</w:t>
      </w:r>
      <w:r w:rsidR="00371E5B" w:rsidRPr="00FC1444">
        <w:rPr>
          <w:rFonts w:eastAsiaTheme="minorEastAsia"/>
          <w:snapToGrid w:val="0"/>
          <w:kern w:val="0"/>
          <w:sz w:val="24"/>
        </w:rPr>
        <w:t>函发</w:t>
      </w:r>
      <w:r w:rsidR="00AD4150" w:rsidRPr="00FC1444">
        <w:rPr>
          <w:rFonts w:eastAsiaTheme="minorEastAsia"/>
          <w:snapToGrid w:val="0"/>
          <w:kern w:val="0"/>
          <w:sz w:val="24"/>
        </w:rPr>
        <w:t>〔</w:t>
      </w:r>
      <w:r w:rsidR="00AD4150" w:rsidRPr="00FC1444">
        <w:rPr>
          <w:rFonts w:eastAsiaTheme="minorEastAsia"/>
          <w:snapToGrid w:val="0"/>
          <w:kern w:val="0"/>
          <w:sz w:val="24"/>
        </w:rPr>
        <w:t>2026</w:t>
      </w:r>
      <w:r w:rsidR="00AD4150" w:rsidRPr="00FC1444">
        <w:rPr>
          <w:rFonts w:eastAsiaTheme="minorEastAsia"/>
          <w:snapToGrid w:val="0"/>
          <w:kern w:val="0"/>
          <w:sz w:val="24"/>
        </w:rPr>
        <w:t>〕</w:t>
      </w:r>
      <w:r w:rsidR="00AD4150" w:rsidRPr="00FC1444">
        <w:rPr>
          <w:rFonts w:eastAsiaTheme="minorEastAsia"/>
          <w:snapToGrid w:val="0"/>
          <w:kern w:val="0"/>
          <w:sz w:val="24"/>
        </w:rPr>
        <w:t>1</w:t>
      </w:r>
      <w:r w:rsidR="00371E5B" w:rsidRPr="00FC1444">
        <w:rPr>
          <w:rFonts w:eastAsiaTheme="minorEastAsia"/>
          <w:snapToGrid w:val="0"/>
          <w:kern w:val="0"/>
          <w:sz w:val="24"/>
        </w:rPr>
        <w:t>8</w:t>
      </w:r>
      <w:r w:rsidR="00AD4150" w:rsidRPr="00FC1444">
        <w:rPr>
          <w:rFonts w:eastAsiaTheme="minorEastAsia"/>
          <w:snapToGrid w:val="0"/>
          <w:kern w:val="0"/>
          <w:sz w:val="24"/>
        </w:rPr>
        <w:t>号）</w:t>
      </w:r>
      <w:r w:rsidRPr="00FC1444">
        <w:rPr>
          <w:rFonts w:eastAsiaTheme="minorEastAsia"/>
          <w:snapToGrid w:val="0"/>
          <w:kern w:val="0"/>
          <w:sz w:val="24"/>
        </w:rPr>
        <w:t>，</w:t>
      </w:r>
      <w:r w:rsidR="00371E5B" w:rsidRPr="00FC1444">
        <w:rPr>
          <w:rFonts w:eastAsiaTheme="minorEastAsia"/>
          <w:snapToGrid w:val="0"/>
          <w:kern w:val="0"/>
          <w:sz w:val="24"/>
        </w:rPr>
        <w:t>绥化市农业农村局</w:t>
      </w:r>
      <w:r w:rsidRPr="00FC1444">
        <w:rPr>
          <w:rFonts w:eastAsiaTheme="minorEastAsia"/>
          <w:snapToGrid w:val="0"/>
          <w:kern w:val="0"/>
          <w:sz w:val="24"/>
        </w:rPr>
        <w:t>，</w:t>
      </w:r>
      <w:r w:rsidRPr="00FC1444">
        <w:rPr>
          <w:rFonts w:eastAsiaTheme="minorEastAsia"/>
          <w:snapToGrid w:val="0"/>
          <w:kern w:val="0"/>
          <w:sz w:val="24"/>
        </w:rPr>
        <w:t>202</w:t>
      </w:r>
      <w:r w:rsidR="00AD4150" w:rsidRPr="00FC1444">
        <w:rPr>
          <w:rFonts w:eastAsiaTheme="minorEastAsia"/>
          <w:snapToGrid w:val="0"/>
          <w:kern w:val="0"/>
          <w:sz w:val="24"/>
        </w:rPr>
        <w:t>6</w:t>
      </w:r>
      <w:r w:rsidRPr="00FC1444">
        <w:rPr>
          <w:rFonts w:eastAsiaTheme="minorEastAsia"/>
          <w:snapToGrid w:val="0"/>
          <w:kern w:val="0"/>
          <w:sz w:val="24"/>
        </w:rPr>
        <w:t>年</w:t>
      </w:r>
      <w:r w:rsidR="00371E5B" w:rsidRPr="00FC1444">
        <w:rPr>
          <w:rFonts w:eastAsiaTheme="minorEastAsia"/>
          <w:snapToGrid w:val="0"/>
          <w:kern w:val="0"/>
          <w:sz w:val="24"/>
        </w:rPr>
        <w:t>2</w:t>
      </w:r>
      <w:r w:rsidRPr="00FC1444">
        <w:rPr>
          <w:rFonts w:eastAsiaTheme="minorEastAsia"/>
          <w:snapToGrid w:val="0"/>
          <w:kern w:val="0"/>
          <w:sz w:val="24"/>
        </w:rPr>
        <w:t>月。</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3</w:t>
      </w:r>
      <w:r w:rsidRPr="00FC1444">
        <w:rPr>
          <w:rFonts w:eastAsiaTheme="minorEastAsia"/>
          <w:snapToGrid w:val="0"/>
          <w:kern w:val="0"/>
          <w:sz w:val="24"/>
        </w:rPr>
        <w:t>）《</w:t>
      </w:r>
      <w:r w:rsidR="00AE168C" w:rsidRPr="00FC1444">
        <w:rPr>
          <w:rFonts w:eastAsiaTheme="minorEastAsia"/>
          <w:snapToGrid w:val="0"/>
          <w:kern w:val="0"/>
          <w:sz w:val="24"/>
        </w:rPr>
        <w:t>北林区</w:t>
      </w:r>
      <w:r w:rsidR="00AE168C" w:rsidRPr="00FC1444">
        <w:rPr>
          <w:rFonts w:eastAsiaTheme="minorEastAsia"/>
          <w:snapToGrid w:val="0"/>
          <w:kern w:val="0"/>
          <w:sz w:val="24"/>
        </w:rPr>
        <w:t>2026</w:t>
      </w:r>
      <w:r w:rsidR="00AE168C" w:rsidRPr="00FC1444">
        <w:rPr>
          <w:rFonts w:eastAsiaTheme="minorEastAsia"/>
          <w:snapToGrid w:val="0"/>
          <w:kern w:val="0"/>
          <w:sz w:val="24"/>
        </w:rPr>
        <w:t>年高标准农田建设项目</w:t>
      </w:r>
      <w:r w:rsidRPr="00FC1444">
        <w:rPr>
          <w:rFonts w:eastAsiaTheme="minorEastAsia"/>
          <w:snapToGrid w:val="0"/>
          <w:kern w:val="0"/>
          <w:sz w:val="24"/>
        </w:rPr>
        <w:t>水资源论证报告</w:t>
      </w:r>
      <w:r w:rsidR="00AD4150" w:rsidRPr="00FC1444">
        <w:rPr>
          <w:rFonts w:eastAsiaTheme="minorEastAsia"/>
          <w:snapToGrid w:val="0"/>
          <w:kern w:val="0"/>
          <w:sz w:val="24"/>
        </w:rPr>
        <w:t>专家评审</w:t>
      </w:r>
      <w:r w:rsidRPr="00FC1444">
        <w:rPr>
          <w:rFonts w:eastAsiaTheme="minorEastAsia"/>
          <w:snapToGrid w:val="0"/>
          <w:kern w:val="0"/>
          <w:sz w:val="24"/>
        </w:rPr>
        <w:t>意见》，</w:t>
      </w:r>
      <w:r w:rsidR="001456AB" w:rsidRPr="00FC1444">
        <w:rPr>
          <w:rFonts w:eastAsiaTheme="minorEastAsia"/>
          <w:snapToGrid w:val="0"/>
          <w:kern w:val="0"/>
          <w:sz w:val="24"/>
        </w:rPr>
        <w:t>黑龙江省建设技术发展中心有限公司</w:t>
      </w:r>
      <w:r w:rsidRPr="00FC1444">
        <w:rPr>
          <w:rFonts w:eastAsiaTheme="minorEastAsia"/>
          <w:snapToGrid w:val="0"/>
          <w:kern w:val="0"/>
          <w:sz w:val="24"/>
        </w:rPr>
        <w:t>，</w:t>
      </w:r>
      <w:r w:rsidRPr="00FC1444">
        <w:rPr>
          <w:rFonts w:eastAsiaTheme="minorEastAsia"/>
          <w:snapToGrid w:val="0"/>
          <w:kern w:val="0"/>
          <w:sz w:val="24"/>
        </w:rPr>
        <w:t>202</w:t>
      </w:r>
      <w:r w:rsidR="00AD4150" w:rsidRPr="00FC1444">
        <w:rPr>
          <w:rFonts w:eastAsiaTheme="minorEastAsia"/>
          <w:snapToGrid w:val="0"/>
          <w:kern w:val="0"/>
          <w:sz w:val="24"/>
        </w:rPr>
        <w:t>6</w:t>
      </w:r>
      <w:r w:rsidRPr="00FC1444">
        <w:rPr>
          <w:rFonts w:eastAsiaTheme="minorEastAsia"/>
          <w:snapToGrid w:val="0"/>
          <w:kern w:val="0"/>
          <w:sz w:val="24"/>
        </w:rPr>
        <w:t>年</w:t>
      </w:r>
      <w:r w:rsidR="001456AB" w:rsidRPr="00FC1444">
        <w:rPr>
          <w:rFonts w:eastAsiaTheme="minorEastAsia"/>
          <w:snapToGrid w:val="0"/>
          <w:kern w:val="0"/>
          <w:sz w:val="24"/>
        </w:rPr>
        <w:t>3</w:t>
      </w:r>
      <w:r w:rsidRPr="00FC1444">
        <w:rPr>
          <w:rFonts w:eastAsiaTheme="minorEastAsia"/>
          <w:snapToGrid w:val="0"/>
          <w:kern w:val="0"/>
          <w:sz w:val="24"/>
        </w:rPr>
        <w:t>月</w:t>
      </w:r>
      <w:r w:rsidR="001456AB" w:rsidRPr="00FC1444">
        <w:rPr>
          <w:rFonts w:eastAsiaTheme="minorEastAsia"/>
          <w:snapToGrid w:val="0"/>
          <w:kern w:val="0"/>
          <w:sz w:val="24"/>
        </w:rPr>
        <w:t>2</w:t>
      </w:r>
      <w:r w:rsidRPr="00FC1444">
        <w:rPr>
          <w:rFonts w:eastAsiaTheme="minorEastAsia"/>
          <w:snapToGrid w:val="0"/>
          <w:kern w:val="0"/>
          <w:sz w:val="24"/>
        </w:rPr>
        <w:t>日。</w:t>
      </w: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36" w:name="_Toc208906225"/>
      <w:r w:rsidRPr="00FC1444">
        <w:rPr>
          <w:rFonts w:eastAsiaTheme="minorEastAsia"/>
          <w:b/>
          <w:bCs/>
          <w:kern w:val="44"/>
          <w:sz w:val="30"/>
          <w:szCs w:val="30"/>
        </w:rPr>
        <w:t>2.2</w:t>
      </w:r>
      <w:r w:rsidRPr="00FC1444">
        <w:rPr>
          <w:rFonts w:eastAsiaTheme="minorEastAsia"/>
          <w:b/>
          <w:bCs/>
          <w:kern w:val="44"/>
          <w:sz w:val="30"/>
          <w:szCs w:val="30"/>
        </w:rPr>
        <w:t>评价目的与原则</w:t>
      </w:r>
      <w:bookmarkEnd w:id="36"/>
    </w:p>
    <w:p w:rsidR="002A5A5E" w:rsidRPr="00FC1444" w:rsidRDefault="00611CBA">
      <w:pPr>
        <w:pStyle w:val="ab"/>
        <w:spacing w:before="100" w:beforeAutospacing="1" w:after="100" w:afterAutospacing="1"/>
        <w:outlineLvl w:val="2"/>
        <w:rPr>
          <w:rFonts w:eastAsiaTheme="minorEastAsia"/>
          <w:b/>
          <w:sz w:val="28"/>
          <w:szCs w:val="28"/>
        </w:rPr>
      </w:pPr>
      <w:r w:rsidRPr="00FC1444">
        <w:rPr>
          <w:rFonts w:eastAsiaTheme="minorEastAsia"/>
          <w:b/>
          <w:sz w:val="28"/>
          <w:szCs w:val="28"/>
        </w:rPr>
        <w:t>2.2.1</w:t>
      </w:r>
      <w:r w:rsidRPr="00FC1444">
        <w:rPr>
          <w:rFonts w:eastAsiaTheme="minorEastAsia"/>
          <w:b/>
          <w:sz w:val="28"/>
          <w:szCs w:val="28"/>
        </w:rPr>
        <w:t>评价目的</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根据</w:t>
      </w:r>
      <w:r w:rsidR="00AE168C" w:rsidRPr="00FC1444">
        <w:rPr>
          <w:rFonts w:ascii="Times New Roman" w:hAnsi="Times New Roman" w:cs="Times New Roman"/>
        </w:rPr>
        <w:t>北林区</w:t>
      </w:r>
      <w:r w:rsidR="00AE168C" w:rsidRPr="00FC1444">
        <w:rPr>
          <w:rFonts w:ascii="Times New Roman" w:hAnsi="Times New Roman" w:cs="Times New Roman"/>
        </w:rPr>
        <w:t>2026</w:t>
      </w:r>
      <w:r w:rsidR="00AE168C" w:rsidRPr="00FC1444">
        <w:rPr>
          <w:rFonts w:ascii="Times New Roman" w:hAnsi="Times New Roman" w:cs="Times New Roman"/>
        </w:rPr>
        <w:t>年高标准农田建设项目</w:t>
      </w:r>
      <w:r w:rsidRPr="00FC1444">
        <w:rPr>
          <w:rFonts w:ascii="Times New Roman" w:hAnsi="Times New Roman" w:cs="Times New Roman"/>
        </w:rPr>
        <w:t>所在地域的环境特点以及国家有关法律法规要求，编制本报告的主要目的在于：</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1</w:t>
      </w:r>
      <w:r w:rsidRPr="00FC1444">
        <w:rPr>
          <w:rFonts w:ascii="Times New Roman" w:hAnsi="Times New Roman" w:cs="Times New Roman"/>
        </w:rPr>
        <w:t>）分析工程与法律法规、国家相关政策及规划的符合性，从环保角度分析、论述工程的可行性和必要性，以及工程方案的环境合理性。</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2</w:t>
      </w:r>
      <w:r w:rsidRPr="00FC1444">
        <w:rPr>
          <w:rFonts w:ascii="Times New Roman" w:hAnsi="Times New Roman" w:cs="Times New Roman"/>
        </w:rPr>
        <w:t>）调查工程影响区域地表水环境、地下水环境、环境空气、声环境、生态环境、土壤环境现状，明确工程建设评价范围内的环境功能目标、环境保护敏</w:t>
      </w:r>
      <w:r w:rsidRPr="00FC1444">
        <w:rPr>
          <w:rFonts w:ascii="Times New Roman" w:hAnsi="Times New Roman" w:cs="Times New Roman"/>
        </w:rPr>
        <w:lastRenderedPageBreak/>
        <w:t>感目标以及是否存在重大环境制约因素，识别存在的主要环境问题，优化工程线路布置。</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3</w:t>
      </w:r>
      <w:r w:rsidRPr="00FC1444">
        <w:rPr>
          <w:rFonts w:ascii="Times New Roman" w:hAnsi="Times New Roman" w:cs="Times New Roman"/>
        </w:rPr>
        <w:t>）根据工程性质、运行特点及施工工艺、方法，预测评价工程施工和运行对工程区及影响区的有利与不利</w:t>
      </w:r>
      <w:r w:rsidR="00FC1444" w:rsidRPr="00FC1444">
        <w:rPr>
          <w:rFonts w:ascii="Times New Roman" w:hAnsi="Times New Roman" w:cs="Times New Roman"/>
        </w:rPr>
        <w:t>生态</w:t>
      </w:r>
      <w:r w:rsidRPr="00FC1444">
        <w:rPr>
          <w:rFonts w:ascii="Times New Roman" w:hAnsi="Times New Roman" w:cs="Times New Roman"/>
        </w:rPr>
        <w:t>环境影响。</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4</w:t>
      </w:r>
      <w:r w:rsidRPr="00FC1444">
        <w:rPr>
          <w:rFonts w:ascii="Times New Roman" w:hAnsi="Times New Roman" w:cs="Times New Roman"/>
        </w:rPr>
        <w:t>）针对工程建设、运行可能对环境带来的不利影响，制定切实可行的环境保护对策措施，使区域环境质量不因工程建设和运行而下降，生态系统得到有效保护，充分发挥工程的经济效益、社会效益和环境效益，促进工程区域经济、社会、资源环境的协调可持续发展。</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5</w:t>
      </w:r>
      <w:r w:rsidRPr="00FC1444">
        <w:rPr>
          <w:rFonts w:ascii="Times New Roman" w:hAnsi="Times New Roman" w:cs="Times New Roman"/>
        </w:rPr>
        <w:t>）拟定工程施工及运行期的环境管理和环境监理计划，动态及时掌握工程</w:t>
      </w:r>
      <w:r w:rsidR="00FC1444" w:rsidRPr="00FC1444">
        <w:rPr>
          <w:rFonts w:ascii="Times New Roman" w:hAnsi="Times New Roman" w:cs="Times New Roman"/>
        </w:rPr>
        <w:t>生态</w:t>
      </w:r>
      <w:r w:rsidRPr="00FC1444">
        <w:rPr>
          <w:rFonts w:ascii="Times New Roman" w:hAnsi="Times New Roman" w:cs="Times New Roman"/>
        </w:rPr>
        <w:t>环境影响状况并做出反馈，对环境保护措施进行调整和优化，保证工程环境保护措施的实施效果达到相应环保要求。</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6</w:t>
      </w:r>
      <w:r w:rsidRPr="00FC1444">
        <w:rPr>
          <w:rFonts w:ascii="Times New Roman" w:hAnsi="Times New Roman" w:cs="Times New Roman"/>
        </w:rPr>
        <w:t>）进行环境保护费用估算，将环保投资纳入工程总投资，落实工程环境</w:t>
      </w:r>
      <w:r w:rsidRPr="00FC1444">
        <w:rPr>
          <w:rFonts w:ascii="Times New Roman" w:hAnsi="Times New Roman" w:cs="Times New Roman"/>
        </w:rPr>
        <w:t xml:space="preserve"> </w:t>
      </w:r>
    </w:p>
    <w:p w:rsidR="002A5A5E" w:rsidRPr="00FC1444" w:rsidRDefault="00611CBA">
      <w:pPr>
        <w:pStyle w:val="aff4"/>
        <w:adjustRightInd/>
        <w:snapToGrid/>
        <w:ind w:firstLineChars="0" w:firstLine="0"/>
        <w:contextualSpacing/>
        <w:jc w:val="both"/>
        <w:rPr>
          <w:rFonts w:ascii="Times New Roman" w:hAnsi="Times New Roman" w:cs="Times New Roman"/>
        </w:rPr>
      </w:pPr>
      <w:r w:rsidRPr="00FC1444">
        <w:rPr>
          <w:rFonts w:ascii="Times New Roman" w:hAnsi="Times New Roman" w:cs="Times New Roman"/>
        </w:rPr>
        <w:t>保护工作费用，为环保措施的顺利实施提供资金保证。</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7</w:t>
      </w:r>
      <w:r w:rsidRPr="00FC1444">
        <w:rPr>
          <w:rFonts w:ascii="Times New Roman" w:hAnsi="Times New Roman" w:cs="Times New Roman"/>
        </w:rPr>
        <w:t>）分析、预测环境保护措施实施后，工程涉及区域环境质量的总体变化</w:t>
      </w:r>
      <w:r w:rsidRPr="00FC1444">
        <w:rPr>
          <w:rFonts w:ascii="Times New Roman" w:hAnsi="Times New Roman" w:cs="Times New Roman"/>
        </w:rPr>
        <w:t xml:space="preserve"> </w:t>
      </w:r>
    </w:p>
    <w:p w:rsidR="002A5A5E" w:rsidRPr="00FC1444" w:rsidRDefault="00611CBA">
      <w:pPr>
        <w:pStyle w:val="aff4"/>
        <w:adjustRightInd/>
        <w:snapToGrid/>
        <w:ind w:firstLineChars="0" w:firstLine="0"/>
        <w:contextualSpacing/>
        <w:jc w:val="both"/>
        <w:rPr>
          <w:rFonts w:ascii="Times New Roman" w:hAnsi="Times New Roman" w:cs="Times New Roman"/>
        </w:rPr>
      </w:pPr>
      <w:r w:rsidRPr="00FC1444">
        <w:rPr>
          <w:rFonts w:ascii="Times New Roman" w:hAnsi="Times New Roman" w:cs="Times New Roman"/>
        </w:rPr>
        <w:t>趋势，从</w:t>
      </w:r>
      <w:r w:rsidR="00FC1444" w:rsidRPr="00FC1444">
        <w:rPr>
          <w:rFonts w:ascii="Times New Roman" w:hAnsi="Times New Roman" w:cs="Times New Roman"/>
        </w:rPr>
        <w:t>生态</w:t>
      </w:r>
      <w:r w:rsidRPr="00FC1444">
        <w:rPr>
          <w:rFonts w:ascii="Times New Roman" w:hAnsi="Times New Roman" w:cs="Times New Roman"/>
        </w:rPr>
        <w:t>环境影响角度分析本工程建设的可行性，为工程的方案论证、环境管理和项目决策提供科学依据。</w:t>
      </w:r>
    </w:p>
    <w:p w:rsidR="002A5A5E" w:rsidRPr="00FC1444" w:rsidRDefault="00611CBA">
      <w:pPr>
        <w:pStyle w:val="ab"/>
        <w:spacing w:before="100" w:beforeAutospacing="1" w:after="100" w:afterAutospacing="1"/>
        <w:outlineLvl w:val="2"/>
        <w:rPr>
          <w:rFonts w:eastAsiaTheme="minorEastAsia"/>
          <w:b/>
          <w:sz w:val="28"/>
          <w:szCs w:val="28"/>
        </w:rPr>
      </w:pPr>
      <w:r w:rsidRPr="00FC1444">
        <w:rPr>
          <w:rFonts w:eastAsiaTheme="minorEastAsia"/>
          <w:b/>
          <w:sz w:val="28"/>
          <w:szCs w:val="28"/>
        </w:rPr>
        <w:t>2.2.2</w:t>
      </w:r>
      <w:r w:rsidRPr="00FC1444">
        <w:rPr>
          <w:rFonts w:eastAsiaTheme="minorEastAsia"/>
          <w:b/>
          <w:sz w:val="28"/>
          <w:szCs w:val="28"/>
        </w:rPr>
        <w:t>评价原则</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1</w:t>
      </w:r>
      <w:r w:rsidRPr="00FC1444">
        <w:rPr>
          <w:rFonts w:ascii="Times New Roman" w:hAnsi="Times New Roman" w:cs="Times New Roman"/>
        </w:rPr>
        <w:t>）依法评价：贯彻执行我国环境保护相关法律法规、标准、政策和规划等，优化项目建设，服务环境管理。</w:t>
      </w:r>
      <w:r w:rsidRPr="00FC1444">
        <w:rPr>
          <w:rFonts w:ascii="Times New Roman" w:hAnsi="Times New Roman" w:cs="Times New Roman"/>
        </w:rPr>
        <w:t xml:space="preserve"> </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2</w:t>
      </w:r>
      <w:r w:rsidRPr="00FC1444">
        <w:rPr>
          <w:rFonts w:ascii="Times New Roman" w:hAnsi="Times New Roman" w:cs="Times New Roman"/>
        </w:rPr>
        <w:t>）科学评价：规范</w:t>
      </w:r>
      <w:r w:rsidR="00FC1444" w:rsidRPr="00FC1444">
        <w:rPr>
          <w:rFonts w:ascii="Times New Roman" w:hAnsi="Times New Roman" w:cs="Times New Roman"/>
        </w:rPr>
        <w:t>生态</w:t>
      </w:r>
      <w:r w:rsidRPr="00FC1444">
        <w:rPr>
          <w:rFonts w:ascii="Times New Roman" w:hAnsi="Times New Roman" w:cs="Times New Roman"/>
        </w:rPr>
        <w:t>环境影响评价方法，科学分析项目建设对环境质量的</w:t>
      </w:r>
      <w:r w:rsidRPr="00FC1444">
        <w:rPr>
          <w:rFonts w:ascii="Times New Roman" w:hAnsi="Times New Roman" w:cs="Times New Roman"/>
        </w:rPr>
        <w:t xml:space="preserve"> </w:t>
      </w:r>
    </w:p>
    <w:p w:rsidR="002A5A5E" w:rsidRPr="00FC1444" w:rsidRDefault="00611CBA">
      <w:pPr>
        <w:pStyle w:val="aff4"/>
        <w:adjustRightInd/>
        <w:snapToGrid/>
        <w:ind w:firstLineChars="0" w:firstLine="0"/>
        <w:contextualSpacing/>
        <w:jc w:val="both"/>
        <w:rPr>
          <w:rFonts w:ascii="Times New Roman" w:hAnsi="Times New Roman" w:cs="Times New Roman"/>
        </w:rPr>
      </w:pPr>
      <w:r w:rsidRPr="00FC1444">
        <w:rPr>
          <w:rFonts w:ascii="Times New Roman" w:hAnsi="Times New Roman" w:cs="Times New Roman"/>
        </w:rPr>
        <w:t>影响。</w:t>
      </w:r>
      <w:r w:rsidRPr="00FC1444">
        <w:rPr>
          <w:rFonts w:ascii="Times New Roman" w:hAnsi="Times New Roman" w:cs="Times New Roman"/>
        </w:rPr>
        <w:t xml:space="preserve"> </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3</w:t>
      </w:r>
      <w:r w:rsidRPr="00FC1444">
        <w:rPr>
          <w:rFonts w:ascii="Times New Roman" w:hAnsi="Times New Roman" w:cs="Times New Roman"/>
        </w:rPr>
        <w:t>）突出重点：根据项目工程内容及其特点，明确与环境要素间的作用效</w:t>
      </w:r>
      <w:r w:rsidRPr="00FC1444">
        <w:rPr>
          <w:rFonts w:ascii="Times New Roman" w:hAnsi="Times New Roman" w:cs="Times New Roman"/>
        </w:rPr>
        <w:t xml:space="preserve"> </w:t>
      </w:r>
    </w:p>
    <w:p w:rsidR="002A5A5E" w:rsidRPr="00FC1444" w:rsidRDefault="00611CBA">
      <w:pPr>
        <w:pStyle w:val="aff4"/>
        <w:adjustRightInd/>
        <w:snapToGrid/>
        <w:ind w:firstLineChars="0" w:firstLine="0"/>
        <w:contextualSpacing/>
        <w:jc w:val="both"/>
        <w:rPr>
          <w:rFonts w:ascii="Times New Roman" w:hAnsi="Times New Roman" w:cs="Times New Roman"/>
        </w:rPr>
      </w:pPr>
      <w:r w:rsidRPr="00FC1444">
        <w:rPr>
          <w:rFonts w:ascii="Times New Roman" w:hAnsi="Times New Roman" w:cs="Times New Roman"/>
        </w:rPr>
        <w:t>应关系，对建设项目主要</w:t>
      </w:r>
      <w:r w:rsidR="00FC1444" w:rsidRPr="00FC1444">
        <w:rPr>
          <w:rFonts w:ascii="Times New Roman" w:hAnsi="Times New Roman" w:cs="Times New Roman"/>
        </w:rPr>
        <w:t>生态</w:t>
      </w:r>
      <w:r w:rsidRPr="00FC1444">
        <w:rPr>
          <w:rFonts w:ascii="Times New Roman" w:hAnsi="Times New Roman" w:cs="Times New Roman"/>
        </w:rPr>
        <w:t>环境影响予以重点分析和评价。</w:t>
      </w: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37" w:name="_Toc208906226"/>
      <w:r w:rsidRPr="00FC1444">
        <w:rPr>
          <w:rFonts w:eastAsiaTheme="minorEastAsia"/>
          <w:b/>
          <w:bCs/>
          <w:kern w:val="44"/>
          <w:sz w:val="30"/>
          <w:szCs w:val="30"/>
        </w:rPr>
        <w:t>2.3</w:t>
      </w:r>
      <w:r w:rsidRPr="00FC1444">
        <w:rPr>
          <w:rFonts w:eastAsiaTheme="minorEastAsia"/>
          <w:b/>
          <w:bCs/>
          <w:kern w:val="44"/>
          <w:sz w:val="30"/>
          <w:szCs w:val="30"/>
        </w:rPr>
        <w:t>评价内容及评价重点</w:t>
      </w:r>
      <w:bookmarkEnd w:id="37"/>
    </w:p>
    <w:p w:rsidR="002A5A5E" w:rsidRPr="00FC1444" w:rsidRDefault="00611CBA">
      <w:pPr>
        <w:pStyle w:val="ab"/>
        <w:spacing w:before="100" w:beforeAutospacing="1" w:after="100" w:afterAutospacing="1"/>
        <w:outlineLvl w:val="2"/>
        <w:rPr>
          <w:rFonts w:eastAsiaTheme="minorEastAsia"/>
          <w:b/>
          <w:sz w:val="28"/>
          <w:szCs w:val="28"/>
        </w:rPr>
      </w:pPr>
      <w:r w:rsidRPr="00FC1444">
        <w:rPr>
          <w:rFonts w:eastAsiaTheme="minorEastAsia"/>
          <w:b/>
          <w:sz w:val="28"/>
          <w:szCs w:val="28"/>
        </w:rPr>
        <w:t>2.3.1</w:t>
      </w:r>
      <w:r w:rsidRPr="00FC1444">
        <w:rPr>
          <w:rFonts w:eastAsiaTheme="minorEastAsia"/>
          <w:b/>
          <w:sz w:val="28"/>
          <w:szCs w:val="28"/>
        </w:rPr>
        <w:t>评价内容</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lastRenderedPageBreak/>
        <w:t>根据本项目建设内容、特点及所在地区域环境概况及环境影响评价技术导则的要求，确定本次</w:t>
      </w:r>
      <w:r w:rsidR="00FC1444" w:rsidRPr="00FC1444">
        <w:rPr>
          <w:rFonts w:ascii="Times New Roman" w:hAnsi="Times New Roman" w:cs="Times New Roman"/>
        </w:rPr>
        <w:t>生态</w:t>
      </w:r>
      <w:r w:rsidRPr="00FC1444">
        <w:rPr>
          <w:rFonts w:ascii="Times New Roman" w:hAnsi="Times New Roman" w:cs="Times New Roman"/>
        </w:rPr>
        <w:t>环境影响评价内容为：</w:t>
      </w:r>
      <w:r w:rsidRPr="00FC1444">
        <w:rPr>
          <w:rFonts w:ascii="Times New Roman" w:hAnsi="Times New Roman" w:cs="Times New Roman"/>
        </w:rPr>
        <w:t xml:space="preserve"> </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1</w:t>
      </w:r>
      <w:r w:rsidRPr="00FC1444">
        <w:rPr>
          <w:rFonts w:ascii="Times New Roman" w:hAnsi="Times New Roman" w:cs="Times New Roman"/>
        </w:rPr>
        <w:t>）对项目所在区域的环境质量现状进行评价，重点关注受到本项目农业退水影响区域的地表水环境质量现状及陆生、水生生态现状，地下水环境现状，作为</w:t>
      </w:r>
      <w:r w:rsidR="00FC1444" w:rsidRPr="00FC1444">
        <w:rPr>
          <w:rFonts w:ascii="Times New Roman" w:hAnsi="Times New Roman" w:cs="Times New Roman"/>
        </w:rPr>
        <w:t>生态</w:t>
      </w:r>
      <w:r w:rsidRPr="00FC1444">
        <w:rPr>
          <w:rFonts w:ascii="Times New Roman" w:hAnsi="Times New Roman" w:cs="Times New Roman"/>
        </w:rPr>
        <w:t>环境影响评价预测的依据。</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2</w:t>
      </w:r>
      <w:r w:rsidRPr="00FC1444">
        <w:rPr>
          <w:rFonts w:ascii="Times New Roman" w:hAnsi="Times New Roman" w:cs="Times New Roman"/>
        </w:rPr>
        <w:t>）针对项目建设特点、规模以及项目建设与运行所涉及的环境问题，重点关注地下水灌溉井取水对区域地下水水质、水位等影响，现有水田退水对区域的地表水环境影响，落实完善其污染防治措施。</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3</w:t>
      </w:r>
      <w:r w:rsidRPr="00FC1444">
        <w:rPr>
          <w:rFonts w:ascii="Times New Roman" w:hAnsi="Times New Roman" w:cs="Times New Roman"/>
        </w:rPr>
        <w:t>）针对本项目的建设特点和排污特征，提出经济合理、技术可行的污染防治措施。</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4</w:t>
      </w:r>
      <w:r w:rsidRPr="00FC1444">
        <w:rPr>
          <w:rFonts w:ascii="Times New Roman" w:hAnsi="Times New Roman" w:cs="Times New Roman"/>
        </w:rPr>
        <w:t>）评价本项目运行后，对评价区生态环境以及地表水环境质量产生影响的范围和程度，从环保角度论证本项目建设的可行性。</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5</w:t>
      </w:r>
      <w:r w:rsidRPr="00FC1444">
        <w:rPr>
          <w:rFonts w:ascii="Times New Roman" w:hAnsi="Times New Roman" w:cs="Times New Roman"/>
        </w:rPr>
        <w:t>）对本项目运行后的环境经济进行分析，提出相应的环境管理计划与监测计划。</w:t>
      </w:r>
    </w:p>
    <w:p w:rsidR="002A5A5E" w:rsidRPr="00FC1444" w:rsidRDefault="00611CBA">
      <w:pPr>
        <w:pStyle w:val="ab"/>
        <w:spacing w:before="100" w:beforeAutospacing="1" w:after="100" w:afterAutospacing="1"/>
        <w:outlineLvl w:val="2"/>
        <w:rPr>
          <w:rFonts w:eastAsiaTheme="minorEastAsia"/>
          <w:b/>
          <w:sz w:val="28"/>
          <w:szCs w:val="28"/>
        </w:rPr>
      </w:pPr>
      <w:r w:rsidRPr="00FC1444">
        <w:rPr>
          <w:rFonts w:eastAsiaTheme="minorEastAsia"/>
          <w:b/>
          <w:sz w:val="28"/>
          <w:szCs w:val="28"/>
        </w:rPr>
        <w:t>2.3.2</w:t>
      </w:r>
      <w:r w:rsidRPr="00FC1444">
        <w:rPr>
          <w:rFonts w:eastAsiaTheme="minorEastAsia"/>
          <w:b/>
          <w:sz w:val="28"/>
          <w:szCs w:val="28"/>
        </w:rPr>
        <w:t>评价重点</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smallCaps/>
        </w:rPr>
        <w:t>本项目评价重点为</w:t>
      </w:r>
      <w:r w:rsidRPr="00FC1444">
        <w:rPr>
          <w:rFonts w:ascii="Times New Roman" w:hAnsi="Times New Roman" w:cs="Times New Roman"/>
        </w:rPr>
        <w:t>工程建设对地表水环境、生态环境影响及采取减缓影响的措施，地下水开采对地下水资源的影响及采取减缓影响的措施。</w:t>
      </w:r>
      <w:r w:rsidRPr="00FC1444">
        <w:rPr>
          <w:rFonts w:ascii="Times New Roman" w:hAnsi="Times New Roman" w:cs="Times New Roman"/>
          <w:smallCaps/>
        </w:rPr>
        <w:t>兼顾环境空气影响评价、声环境影响评价、环境风险评价、土壤影响分析</w:t>
      </w:r>
      <w:r w:rsidRPr="00FC1444">
        <w:rPr>
          <w:rFonts w:ascii="Times New Roman" w:hAnsi="Times New Roman" w:cs="Times New Roman"/>
        </w:rPr>
        <w:t>。</w:t>
      </w: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38" w:name="_Toc208906227"/>
      <w:r w:rsidRPr="00FC1444">
        <w:rPr>
          <w:rFonts w:eastAsiaTheme="minorEastAsia"/>
          <w:b/>
          <w:bCs/>
          <w:kern w:val="44"/>
          <w:sz w:val="30"/>
          <w:szCs w:val="30"/>
        </w:rPr>
        <w:t>2.4</w:t>
      </w:r>
      <w:r w:rsidR="00FC1444" w:rsidRPr="00FC1444">
        <w:rPr>
          <w:rFonts w:eastAsiaTheme="minorEastAsia"/>
          <w:b/>
          <w:bCs/>
          <w:kern w:val="44"/>
          <w:sz w:val="30"/>
          <w:szCs w:val="30"/>
        </w:rPr>
        <w:t>生态</w:t>
      </w:r>
      <w:r w:rsidRPr="00FC1444">
        <w:rPr>
          <w:rFonts w:eastAsiaTheme="minorEastAsia"/>
          <w:b/>
          <w:bCs/>
          <w:kern w:val="44"/>
          <w:sz w:val="30"/>
          <w:szCs w:val="30"/>
        </w:rPr>
        <w:t>环境影响因素识别与评价因子筛选</w:t>
      </w:r>
      <w:bookmarkEnd w:id="38"/>
    </w:p>
    <w:p w:rsidR="002A5A5E" w:rsidRPr="00FC1444" w:rsidRDefault="00611CBA">
      <w:pPr>
        <w:pStyle w:val="ab"/>
        <w:spacing w:before="100" w:beforeAutospacing="1" w:after="100" w:afterAutospacing="1"/>
        <w:outlineLvl w:val="2"/>
        <w:rPr>
          <w:rFonts w:eastAsiaTheme="minorEastAsia"/>
          <w:b/>
          <w:sz w:val="28"/>
          <w:szCs w:val="28"/>
        </w:rPr>
      </w:pPr>
      <w:r w:rsidRPr="00FC1444">
        <w:rPr>
          <w:rFonts w:eastAsiaTheme="minorEastAsia"/>
          <w:b/>
          <w:sz w:val="28"/>
          <w:szCs w:val="28"/>
        </w:rPr>
        <w:t>2.4.1</w:t>
      </w:r>
      <w:r w:rsidR="00FC1444" w:rsidRPr="00FC1444">
        <w:rPr>
          <w:rFonts w:eastAsiaTheme="minorEastAsia"/>
          <w:b/>
          <w:sz w:val="28"/>
          <w:szCs w:val="28"/>
        </w:rPr>
        <w:t>生态</w:t>
      </w:r>
      <w:r w:rsidRPr="00FC1444">
        <w:rPr>
          <w:rFonts w:eastAsiaTheme="minorEastAsia"/>
          <w:b/>
          <w:sz w:val="28"/>
          <w:szCs w:val="28"/>
        </w:rPr>
        <w:t>环境影响因素识别</w:t>
      </w:r>
    </w:p>
    <w:p w:rsidR="002A5A5E" w:rsidRPr="00FC1444" w:rsidRDefault="00611CBA">
      <w:pPr>
        <w:widowControl/>
        <w:tabs>
          <w:tab w:val="right" w:leader="dot" w:pos="8505"/>
        </w:tabs>
        <w:spacing w:line="360" w:lineRule="auto"/>
        <w:ind w:firstLineChars="200" w:firstLine="480"/>
        <w:jc w:val="left"/>
        <w:rPr>
          <w:rFonts w:eastAsiaTheme="minorEastAsia"/>
          <w:kern w:val="0"/>
          <w:sz w:val="24"/>
        </w:rPr>
      </w:pPr>
      <w:r w:rsidRPr="00FC1444">
        <w:rPr>
          <w:rFonts w:eastAsiaTheme="minorEastAsia"/>
          <w:kern w:val="0"/>
          <w:sz w:val="24"/>
        </w:rPr>
        <w:t>根据该项目的生产特点和污染物的排放种类、排放量以及对环境的影响，将生产过程中产生的污染物对环境的影响见表</w:t>
      </w:r>
      <w:r w:rsidRPr="00FC1444">
        <w:rPr>
          <w:rFonts w:eastAsiaTheme="minorEastAsia"/>
          <w:kern w:val="0"/>
          <w:sz w:val="24"/>
        </w:rPr>
        <w:t>2.4-1</w:t>
      </w:r>
      <w:r w:rsidRPr="00FC1444">
        <w:rPr>
          <w:rFonts w:eastAsiaTheme="minorEastAsia"/>
          <w:kern w:val="0"/>
          <w:sz w:val="24"/>
        </w:rPr>
        <w:t>。</w:t>
      </w:r>
    </w:p>
    <w:p w:rsidR="007B163A" w:rsidRPr="00FC1444" w:rsidRDefault="007B163A">
      <w:pPr>
        <w:widowControl/>
        <w:tabs>
          <w:tab w:val="right" w:leader="dot" w:pos="8505"/>
        </w:tabs>
        <w:spacing w:line="360" w:lineRule="auto"/>
        <w:ind w:firstLineChars="200" w:firstLine="480"/>
        <w:jc w:val="left"/>
        <w:rPr>
          <w:rFonts w:eastAsiaTheme="minorEastAsia" w:hint="eastAsia"/>
          <w:kern w:val="0"/>
          <w:sz w:val="24"/>
        </w:rPr>
      </w:pPr>
    </w:p>
    <w:p w:rsidR="00FD2D64" w:rsidRPr="00FC1444" w:rsidRDefault="00FD2D64">
      <w:pPr>
        <w:widowControl/>
        <w:tabs>
          <w:tab w:val="right" w:leader="dot" w:pos="8505"/>
        </w:tabs>
        <w:spacing w:line="360" w:lineRule="auto"/>
        <w:ind w:firstLineChars="200" w:firstLine="480"/>
        <w:jc w:val="left"/>
        <w:rPr>
          <w:rFonts w:eastAsiaTheme="minorEastAsia" w:hint="eastAsia"/>
          <w:kern w:val="0"/>
          <w:sz w:val="24"/>
        </w:rPr>
      </w:pPr>
    </w:p>
    <w:p w:rsidR="00FD2D64" w:rsidRPr="00FC1444" w:rsidRDefault="00FD2D64">
      <w:pPr>
        <w:widowControl/>
        <w:tabs>
          <w:tab w:val="right" w:leader="dot" w:pos="8505"/>
        </w:tabs>
        <w:spacing w:line="360" w:lineRule="auto"/>
        <w:ind w:firstLineChars="200" w:firstLine="480"/>
        <w:jc w:val="left"/>
        <w:rPr>
          <w:rFonts w:eastAsiaTheme="minorEastAsia"/>
          <w:kern w:val="0"/>
          <w:sz w:val="24"/>
        </w:rPr>
      </w:pPr>
    </w:p>
    <w:p w:rsidR="007B163A" w:rsidRPr="00FC1444" w:rsidRDefault="007B163A">
      <w:pPr>
        <w:widowControl/>
        <w:tabs>
          <w:tab w:val="right" w:leader="dot" w:pos="8505"/>
        </w:tabs>
        <w:spacing w:line="360" w:lineRule="auto"/>
        <w:ind w:firstLineChars="200" w:firstLine="480"/>
        <w:jc w:val="left"/>
        <w:rPr>
          <w:rFonts w:eastAsiaTheme="minorEastAsia"/>
          <w:kern w:val="0"/>
          <w:sz w:val="24"/>
        </w:rPr>
      </w:pPr>
    </w:p>
    <w:p w:rsidR="002A5A5E" w:rsidRPr="00FC1444" w:rsidRDefault="00611CBA">
      <w:pPr>
        <w:jc w:val="center"/>
        <w:rPr>
          <w:rFonts w:eastAsiaTheme="minorEastAsia"/>
          <w:b/>
          <w:szCs w:val="21"/>
        </w:rPr>
      </w:pPr>
      <w:r w:rsidRPr="00FC1444">
        <w:rPr>
          <w:rFonts w:eastAsiaTheme="minorEastAsia"/>
          <w:b/>
          <w:szCs w:val="21"/>
        </w:rPr>
        <w:lastRenderedPageBreak/>
        <w:t>表</w:t>
      </w:r>
      <w:r w:rsidRPr="00FC1444">
        <w:rPr>
          <w:rFonts w:eastAsiaTheme="minorEastAsia"/>
          <w:b/>
          <w:szCs w:val="21"/>
        </w:rPr>
        <w:t>2-4-1</w:t>
      </w:r>
      <w:r w:rsidR="00FC1444" w:rsidRPr="00FC1444">
        <w:rPr>
          <w:rFonts w:eastAsiaTheme="minorEastAsia"/>
          <w:b/>
          <w:szCs w:val="21"/>
        </w:rPr>
        <w:t>生态</w:t>
      </w:r>
      <w:r w:rsidRPr="00FC1444">
        <w:rPr>
          <w:rFonts w:eastAsiaTheme="minorEastAsia"/>
          <w:b/>
          <w:szCs w:val="21"/>
        </w:rPr>
        <w:t>环境影响因素识别矩阵表</w:t>
      </w:r>
    </w:p>
    <w:tbl>
      <w:tblPr>
        <w:tblW w:w="82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6"/>
        <w:gridCol w:w="1134"/>
        <w:gridCol w:w="425"/>
        <w:gridCol w:w="425"/>
        <w:gridCol w:w="425"/>
        <w:gridCol w:w="426"/>
        <w:gridCol w:w="425"/>
        <w:gridCol w:w="425"/>
        <w:gridCol w:w="563"/>
        <w:gridCol w:w="599"/>
        <w:gridCol w:w="599"/>
        <w:gridCol w:w="600"/>
        <w:gridCol w:w="600"/>
        <w:gridCol w:w="602"/>
        <w:gridCol w:w="602"/>
      </w:tblGrid>
      <w:tr w:rsidR="002A5A5E" w:rsidRPr="00FC1444" w:rsidTr="00D622BA">
        <w:trPr>
          <w:trHeight w:val="197"/>
          <w:jc w:val="center"/>
        </w:trPr>
        <w:tc>
          <w:tcPr>
            <w:tcW w:w="1530" w:type="dxa"/>
            <w:gridSpan w:val="2"/>
            <w:vMerge w:val="restart"/>
            <w:tcBorders>
              <w:top w:val="single" w:sz="12" w:space="0" w:color="000000"/>
              <w:left w:val="nil"/>
              <w:tl2br w:val="single" w:sz="4" w:space="0" w:color="auto"/>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环境因素</w:t>
            </w:r>
          </w:p>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项目阶段</w:t>
            </w:r>
          </w:p>
        </w:tc>
        <w:tc>
          <w:tcPr>
            <w:tcW w:w="2126" w:type="dxa"/>
            <w:gridSpan w:val="5"/>
            <w:tcBorders>
              <w:top w:val="single" w:sz="12" w:space="0" w:color="000000"/>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污染环境影响</w:t>
            </w:r>
          </w:p>
        </w:tc>
        <w:tc>
          <w:tcPr>
            <w:tcW w:w="4590" w:type="dxa"/>
            <w:gridSpan w:val="8"/>
            <w:tcBorders>
              <w:top w:val="single" w:sz="12" w:space="0" w:color="000000"/>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生态影响</w:t>
            </w:r>
          </w:p>
        </w:tc>
      </w:tr>
      <w:tr w:rsidR="002A5A5E" w:rsidRPr="00FC1444" w:rsidTr="00D622BA">
        <w:trPr>
          <w:trHeight w:val="204"/>
          <w:jc w:val="center"/>
        </w:trPr>
        <w:tc>
          <w:tcPr>
            <w:tcW w:w="1530" w:type="dxa"/>
            <w:gridSpan w:val="2"/>
            <w:vMerge/>
            <w:tcBorders>
              <w:left w:val="nil"/>
              <w:right w:val="single" w:sz="4" w:space="0" w:color="000000"/>
            </w:tcBorders>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425" w:type="dxa"/>
            <w:tcBorders>
              <w:left w:val="single" w:sz="4" w:space="0" w:color="000000"/>
              <w:right w:val="single" w:sz="4" w:space="0" w:color="000000"/>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大气</w:t>
            </w:r>
          </w:p>
        </w:tc>
        <w:tc>
          <w:tcPr>
            <w:tcW w:w="425" w:type="dxa"/>
            <w:tcBorders>
              <w:left w:val="single" w:sz="4" w:space="0" w:color="000000"/>
              <w:right w:val="single" w:sz="4" w:space="0" w:color="000000"/>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地表水</w:t>
            </w:r>
          </w:p>
        </w:tc>
        <w:tc>
          <w:tcPr>
            <w:tcW w:w="425" w:type="dxa"/>
            <w:tcBorders>
              <w:left w:val="single" w:sz="4" w:space="0" w:color="000000"/>
              <w:right w:val="single" w:sz="4" w:space="0" w:color="000000"/>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地下水</w:t>
            </w:r>
          </w:p>
        </w:tc>
        <w:tc>
          <w:tcPr>
            <w:tcW w:w="426" w:type="dxa"/>
            <w:tcBorders>
              <w:left w:val="single" w:sz="4" w:space="0" w:color="000000"/>
              <w:right w:val="single" w:sz="4" w:space="0" w:color="000000"/>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声环境</w:t>
            </w:r>
          </w:p>
        </w:tc>
        <w:tc>
          <w:tcPr>
            <w:tcW w:w="425" w:type="dxa"/>
            <w:tcBorders>
              <w:left w:val="single" w:sz="4" w:space="0" w:color="000000"/>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固体废物</w:t>
            </w:r>
          </w:p>
        </w:tc>
        <w:tc>
          <w:tcPr>
            <w:tcW w:w="425" w:type="dxa"/>
            <w:tcBorders>
              <w:left w:val="single" w:sz="4" w:space="0" w:color="000000"/>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植物</w:t>
            </w:r>
          </w:p>
        </w:tc>
        <w:tc>
          <w:tcPr>
            <w:tcW w:w="563" w:type="dxa"/>
            <w:tcBorders>
              <w:left w:val="single" w:sz="4" w:space="0" w:color="000000"/>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动物</w:t>
            </w:r>
          </w:p>
        </w:tc>
        <w:tc>
          <w:tcPr>
            <w:tcW w:w="599" w:type="dxa"/>
            <w:tcBorders>
              <w:left w:val="single" w:sz="4" w:space="0" w:color="000000"/>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陆域生态</w:t>
            </w:r>
          </w:p>
        </w:tc>
        <w:tc>
          <w:tcPr>
            <w:tcW w:w="599" w:type="dxa"/>
            <w:tcBorders>
              <w:left w:val="single" w:sz="4" w:space="0" w:color="000000"/>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水土流失</w:t>
            </w:r>
          </w:p>
        </w:tc>
        <w:tc>
          <w:tcPr>
            <w:tcW w:w="600" w:type="dxa"/>
            <w:tcBorders>
              <w:left w:val="single" w:sz="4" w:space="0" w:color="000000"/>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土地利用方式</w:t>
            </w:r>
          </w:p>
        </w:tc>
        <w:tc>
          <w:tcPr>
            <w:tcW w:w="600" w:type="dxa"/>
            <w:tcBorders>
              <w:left w:val="single" w:sz="4" w:space="0" w:color="000000"/>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水域生态</w:t>
            </w:r>
          </w:p>
        </w:tc>
        <w:tc>
          <w:tcPr>
            <w:tcW w:w="602" w:type="dxa"/>
            <w:tcBorders>
              <w:left w:val="single" w:sz="4" w:space="0" w:color="000000"/>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6"/>
              </w:rPr>
              <w:t>自然保护区</w:t>
            </w:r>
          </w:p>
        </w:tc>
        <w:tc>
          <w:tcPr>
            <w:tcW w:w="602" w:type="dxa"/>
            <w:tcBorders>
              <w:left w:val="single" w:sz="4" w:space="0" w:color="000000"/>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6"/>
              </w:rPr>
            </w:pPr>
            <w:r w:rsidRPr="00FC1444">
              <w:rPr>
                <w:rFonts w:eastAsiaTheme="minorEastAsia"/>
                <w:spacing w:val="6"/>
              </w:rPr>
              <w:t>自然景观</w:t>
            </w:r>
          </w:p>
        </w:tc>
      </w:tr>
      <w:tr w:rsidR="00D622BA" w:rsidRPr="00FC1444" w:rsidTr="00D622BA">
        <w:trPr>
          <w:trHeight w:val="265"/>
          <w:jc w:val="center"/>
        </w:trPr>
        <w:tc>
          <w:tcPr>
            <w:tcW w:w="396" w:type="dxa"/>
            <w:vMerge w:val="restart"/>
            <w:tcBorders>
              <w:lef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施工期</w:t>
            </w:r>
          </w:p>
        </w:tc>
        <w:tc>
          <w:tcPr>
            <w:tcW w:w="1134"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zCs w:val="21"/>
              </w:rPr>
              <w:t>灌溉与排水工程</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6"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563"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r>
      <w:tr w:rsidR="00D622BA" w:rsidRPr="00FC1444" w:rsidTr="00D622BA">
        <w:trPr>
          <w:trHeight w:val="204"/>
          <w:jc w:val="center"/>
        </w:trPr>
        <w:tc>
          <w:tcPr>
            <w:tcW w:w="396" w:type="dxa"/>
            <w:vMerge/>
            <w:tcBorders>
              <w:lef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zCs w:val="21"/>
              </w:rPr>
              <w:t>田间道路工程</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563"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r>
      <w:tr w:rsidR="00D622BA" w:rsidRPr="00FC1444" w:rsidTr="00D622BA">
        <w:trPr>
          <w:trHeight w:val="204"/>
          <w:jc w:val="center"/>
        </w:trPr>
        <w:tc>
          <w:tcPr>
            <w:tcW w:w="396" w:type="dxa"/>
            <w:vMerge/>
            <w:tcBorders>
              <w:lef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zCs w:val="21"/>
              </w:rPr>
              <w:t>农田输配电工程</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563"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r>
      <w:tr w:rsidR="00D622BA" w:rsidRPr="00FC1444" w:rsidTr="00D622BA">
        <w:trPr>
          <w:trHeight w:val="60"/>
          <w:jc w:val="center"/>
        </w:trPr>
        <w:tc>
          <w:tcPr>
            <w:tcW w:w="396" w:type="dxa"/>
            <w:vMerge/>
            <w:tcBorders>
              <w:lef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zCs w:val="21"/>
              </w:rPr>
              <w:t>田块整治工程</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563"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r>
      <w:tr w:rsidR="00D622BA" w:rsidRPr="00FC1444" w:rsidTr="00D622BA">
        <w:trPr>
          <w:trHeight w:val="60"/>
          <w:jc w:val="center"/>
        </w:trPr>
        <w:tc>
          <w:tcPr>
            <w:tcW w:w="396" w:type="dxa"/>
            <w:vMerge/>
            <w:tcBorders>
              <w:lef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FC1444" w:rsidRDefault="00D622BA">
            <w:pPr>
              <w:widowControl/>
              <w:tabs>
                <w:tab w:val="left" w:leader="middleDot" w:pos="7371"/>
              </w:tabs>
              <w:spacing w:line="0" w:lineRule="atLeast"/>
              <w:jc w:val="center"/>
              <w:rPr>
                <w:rFonts w:eastAsiaTheme="minorEastAsia"/>
                <w:szCs w:val="21"/>
              </w:rPr>
            </w:pPr>
            <w:r w:rsidRPr="00FC1444">
              <w:rPr>
                <w:rFonts w:eastAsiaTheme="minorEastAsia"/>
                <w:szCs w:val="21"/>
              </w:rPr>
              <w:t>农田防护及生态环境保护工程</w:t>
            </w:r>
          </w:p>
        </w:tc>
        <w:tc>
          <w:tcPr>
            <w:tcW w:w="425" w:type="dxa"/>
            <w:vAlign w:val="center"/>
          </w:tcPr>
          <w:p w:rsidR="00D622BA" w:rsidRPr="00FC1444" w:rsidRDefault="004B2F9E">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563"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r>
      <w:tr w:rsidR="00D622BA" w:rsidRPr="00FC1444" w:rsidTr="00D622BA">
        <w:trPr>
          <w:trHeight w:val="265"/>
          <w:jc w:val="center"/>
        </w:trPr>
        <w:tc>
          <w:tcPr>
            <w:tcW w:w="396" w:type="dxa"/>
            <w:vMerge w:val="restart"/>
            <w:tcBorders>
              <w:top w:val="single" w:sz="4" w:space="0" w:color="000000"/>
              <w:lef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运行期</w:t>
            </w:r>
          </w:p>
        </w:tc>
        <w:tc>
          <w:tcPr>
            <w:tcW w:w="1134" w:type="dxa"/>
            <w:tcBorders>
              <w:top w:val="single" w:sz="4" w:space="0" w:color="000000"/>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zCs w:val="21"/>
              </w:rPr>
              <w:t>灌溉与排水工程</w:t>
            </w:r>
          </w:p>
        </w:tc>
        <w:tc>
          <w:tcPr>
            <w:tcW w:w="425" w:type="dxa"/>
            <w:tcBorders>
              <w:top w:val="single" w:sz="4" w:space="0" w:color="000000"/>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tcBorders>
              <w:top w:val="single" w:sz="4" w:space="0" w:color="000000"/>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425" w:type="dxa"/>
            <w:tcBorders>
              <w:top w:val="single" w:sz="4" w:space="0" w:color="000000"/>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6" w:type="dxa"/>
            <w:tcBorders>
              <w:top w:val="single" w:sz="4" w:space="0" w:color="000000"/>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tcBorders>
              <w:top w:val="single" w:sz="4" w:space="0" w:color="000000"/>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tcBorders>
              <w:top w:val="single" w:sz="4" w:space="0" w:color="000000"/>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563" w:type="dxa"/>
            <w:tcBorders>
              <w:top w:val="single" w:sz="4" w:space="0" w:color="000000"/>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599" w:type="dxa"/>
            <w:tcBorders>
              <w:top w:val="single" w:sz="4" w:space="0" w:color="000000"/>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top w:val="single" w:sz="4" w:space="0" w:color="000000"/>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top w:val="single" w:sz="4" w:space="0" w:color="000000"/>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top w:val="single" w:sz="4" w:space="0" w:color="000000"/>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602" w:type="dxa"/>
            <w:tcBorders>
              <w:top w:val="single" w:sz="4" w:space="0" w:color="000000"/>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602" w:type="dxa"/>
            <w:tcBorders>
              <w:top w:val="single" w:sz="4" w:space="0" w:color="000000"/>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r>
      <w:tr w:rsidR="00D622BA" w:rsidRPr="00FC1444" w:rsidTr="00D622BA">
        <w:trPr>
          <w:trHeight w:val="204"/>
          <w:jc w:val="center"/>
        </w:trPr>
        <w:tc>
          <w:tcPr>
            <w:tcW w:w="396" w:type="dxa"/>
            <w:vMerge/>
            <w:tcBorders>
              <w:lef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zCs w:val="21"/>
              </w:rPr>
              <w:t>田间道路工程</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563"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▲1</w:t>
            </w: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r>
      <w:tr w:rsidR="00D622BA" w:rsidRPr="00FC1444" w:rsidTr="00D622BA">
        <w:trPr>
          <w:trHeight w:val="204"/>
          <w:jc w:val="center"/>
        </w:trPr>
        <w:tc>
          <w:tcPr>
            <w:tcW w:w="396" w:type="dxa"/>
            <w:vMerge/>
            <w:tcBorders>
              <w:lef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FC1444" w:rsidRDefault="00D622BA">
            <w:pPr>
              <w:widowControl/>
              <w:tabs>
                <w:tab w:val="left" w:leader="middleDot" w:pos="7371"/>
              </w:tabs>
              <w:spacing w:line="0" w:lineRule="atLeast"/>
              <w:jc w:val="center"/>
              <w:rPr>
                <w:rFonts w:eastAsiaTheme="minorEastAsia"/>
                <w:szCs w:val="21"/>
              </w:rPr>
            </w:pPr>
            <w:r w:rsidRPr="00FC1444">
              <w:rPr>
                <w:rFonts w:eastAsiaTheme="minorEastAsia"/>
                <w:szCs w:val="21"/>
              </w:rPr>
              <w:t>田块整治工程</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563"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r>
      <w:tr w:rsidR="00D622BA" w:rsidRPr="00FC1444" w:rsidTr="00D622BA">
        <w:trPr>
          <w:trHeight w:val="204"/>
          <w:jc w:val="center"/>
        </w:trPr>
        <w:tc>
          <w:tcPr>
            <w:tcW w:w="396" w:type="dxa"/>
            <w:vMerge/>
            <w:tcBorders>
              <w:lef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FC1444" w:rsidRDefault="00D622BA">
            <w:pPr>
              <w:widowControl/>
              <w:tabs>
                <w:tab w:val="left" w:leader="middleDot" w:pos="7371"/>
              </w:tabs>
              <w:spacing w:line="0" w:lineRule="atLeast"/>
              <w:jc w:val="center"/>
              <w:rPr>
                <w:rFonts w:eastAsiaTheme="minorEastAsia"/>
                <w:szCs w:val="21"/>
              </w:rPr>
            </w:pPr>
            <w:r w:rsidRPr="00FC1444">
              <w:rPr>
                <w:rFonts w:eastAsiaTheme="minorEastAsia"/>
                <w:szCs w:val="21"/>
              </w:rPr>
              <w:t>农田防护及生态环境保护工程</w:t>
            </w: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563"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599"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FC1444" w:rsidRDefault="00D622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r>
      <w:tr w:rsidR="002A5A5E" w:rsidRPr="00FC1444" w:rsidTr="00D622BA">
        <w:trPr>
          <w:trHeight w:val="265"/>
          <w:jc w:val="center"/>
        </w:trPr>
        <w:tc>
          <w:tcPr>
            <w:tcW w:w="396" w:type="dxa"/>
            <w:vMerge w:val="restart"/>
            <w:tcBorders>
              <w:lef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复垦后</w:t>
            </w:r>
          </w:p>
        </w:tc>
        <w:tc>
          <w:tcPr>
            <w:tcW w:w="1134" w:type="dxa"/>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表土回填</w:t>
            </w:r>
          </w:p>
        </w:tc>
        <w:tc>
          <w:tcPr>
            <w:tcW w:w="425" w:type="dxa"/>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563" w:type="dxa"/>
            <w:tcBorders>
              <w:right w:val="nil"/>
            </w:tcBorders>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599" w:type="dxa"/>
            <w:tcBorders>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600" w:type="dxa"/>
            <w:tcBorders>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600" w:type="dxa"/>
            <w:tcBorders>
              <w:right w:val="nil"/>
            </w:tcBorders>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r>
      <w:tr w:rsidR="002A5A5E" w:rsidRPr="00FC1444" w:rsidTr="00D622BA">
        <w:trPr>
          <w:trHeight w:val="204"/>
          <w:jc w:val="center"/>
        </w:trPr>
        <w:tc>
          <w:tcPr>
            <w:tcW w:w="396" w:type="dxa"/>
            <w:vMerge/>
            <w:tcBorders>
              <w:left w:val="nil"/>
            </w:tcBorders>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植被恢复</w:t>
            </w:r>
          </w:p>
        </w:tc>
        <w:tc>
          <w:tcPr>
            <w:tcW w:w="425" w:type="dxa"/>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563" w:type="dxa"/>
            <w:tcBorders>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599" w:type="dxa"/>
            <w:tcBorders>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599" w:type="dxa"/>
            <w:tcBorders>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600" w:type="dxa"/>
            <w:tcBorders>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c>
          <w:tcPr>
            <w:tcW w:w="600" w:type="dxa"/>
            <w:tcBorders>
              <w:right w:val="nil"/>
            </w:tcBorders>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2A5A5E" w:rsidRPr="00FC1444" w:rsidRDefault="002A5A5E">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2A5A5E" w:rsidRPr="00FC1444" w:rsidRDefault="00611CBA">
            <w:pPr>
              <w:widowControl/>
              <w:tabs>
                <w:tab w:val="left" w:leader="middleDot" w:pos="7371"/>
              </w:tabs>
              <w:spacing w:line="0" w:lineRule="atLeast"/>
              <w:jc w:val="center"/>
              <w:rPr>
                <w:rFonts w:eastAsiaTheme="minorEastAsia"/>
                <w:spacing w:val="22"/>
                <w:kern w:val="0"/>
                <w:szCs w:val="21"/>
              </w:rPr>
            </w:pPr>
            <w:r w:rsidRPr="00FC1444">
              <w:rPr>
                <w:rFonts w:eastAsiaTheme="minorEastAsia"/>
                <w:spacing w:val="22"/>
                <w:kern w:val="0"/>
                <w:szCs w:val="21"/>
              </w:rPr>
              <w:t>□2</w:t>
            </w:r>
          </w:p>
        </w:tc>
      </w:tr>
      <w:tr w:rsidR="002A5A5E" w:rsidRPr="00FC1444">
        <w:trPr>
          <w:trHeight w:val="197"/>
          <w:jc w:val="center"/>
        </w:trPr>
        <w:tc>
          <w:tcPr>
            <w:tcW w:w="6442" w:type="dxa"/>
            <w:gridSpan w:val="12"/>
            <w:tcBorders>
              <w:left w:val="nil"/>
              <w:bottom w:val="single" w:sz="12" w:space="0" w:color="000000"/>
              <w:right w:val="nil"/>
            </w:tcBorders>
            <w:vAlign w:val="center"/>
          </w:tcPr>
          <w:p w:rsidR="002A5A5E" w:rsidRPr="00FC1444" w:rsidRDefault="00611CBA">
            <w:pPr>
              <w:widowControl/>
              <w:tabs>
                <w:tab w:val="left" w:leader="middleDot" w:pos="7371"/>
              </w:tabs>
              <w:snapToGrid w:val="0"/>
              <w:spacing w:line="0" w:lineRule="atLeast"/>
              <w:jc w:val="center"/>
              <w:rPr>
                <w:rFonts w:eastAsiaTheme="minorEastAsia"/>
                <w:spacing w:val="22"/>
                <w:kern w:val="0"/>
                <w:szCs w:val="21"/>
              </w:rPr>
            </w:pPr>
            <w:r w:rsidRPr="00FC1444">
              <w:rPr>
                <w:rFonts w:eastAsiaTheme="minorEastAsia"/>
                <w:spacing w:val="22"/>
                <w:kern w:val="0"/>
                <w:szCs w:val="21"/>
              </w:rPr>
              <w:t>注：</w:t>
            </w:r>
            <w:r w:rsidRPr="00FC1444">
              <w:rPr>
                <w:rFonts w:eastAsiaTheme="minorEastAsia"/>
                <w:spacing w:val="22"/>
                <w:kern w:val="0"/>
                <w:szCs w:val="21"/>
              </w:rPr>
              <w:t>■</w:t>
            </w:r>
            <w:r w:rsidRPr="00FC1444">
              <w:rPr>
                <w:rFonts w:eastAsiaTheme="minorEastAsia"/>
                <w:spacing w:val="22"/>
                <w:kern w:val="0"/>
                <w:szCs w:val="21"/>
              </w:rPr>
              <w:t>长期不利影响，</w:t>
            </w:r>
            <w:r w:rsidRPr="00FC1444">
              <w:rPr>
                <w:rFonts w:eastAsiaTheme="minorEastAsia"/>
                <w:spacing w:val="22"/>
                <w:kern w:val="0"/>
                <w:szCs w:val="21"/>
              </w:rPr>
              <w:t>□</w:t>
            </w:r>
            <w:r w:rsidRPr="00FC1444">
              <w:rPr>
                <w:rFonts w:eastAsiaTheme="minorEastAsia"/>
                <w:spacing w:val="22"/>
                <w:kern w:val="0"/>
                <w:szCs w:val="21"/>
              </w:rPr>
              <w:t>长期有利影响；</w:t>
            </w:r>
            <w:r w:rsidRPr="00FC1444">
              <w:rPr>
                <w:rFonts w:eastAsiaTheme="minorEastAsia"/>
                <w:spacing w:val="22"/>
                <w:kern w:val="0"/>
                <w:szCs w:val="21"/>
              </w:rPr>
              <w:t>▲</w:t>
            </w:r>
            <w:r w:rsidRPr="00FC1444">
              <w:rPr>
                <w:rFonts w:eastAsiaTheme="minorEastAsia"/>
                <w:spacing w:val="22"/>
                <w:kern w:val="0"/>
                <w:szCs w:val="21"/>
              </w:rPr>
              <w:t>短期不利影响，</w:t>
            </w:r>
            <w:r w:rsidRPr="00FC1444">
              <w:rPr>
                <w:rFonts w:ascii="Cambria Math" w:eastAsiaTheme="minorEastAsia" w:hAnsi="Cambria Math" w:cs="Cambria Math"/>
                <w:spacing w:val="22"/>
                <w:kern w:val="0"/>
                <w:szCs w:val="21"/>
              </w:rPr>
              <w:t>△</w:t>
            </w:r>
            <w:r w:rsidRPr="00FC1444">
              <w:rPr>
                <w:rFonts w:eastAsiaTheme="minorEastAsia"/>
                <w:spacing w:val="22"/>
                <w:kern w:val="0"/>
                <w:szCs w:val="21"/>
              </w:rPr>
              <w:t>短期有利影响；</w:t>
            </w:r>
            <w:r w:rsidRPr="00FC1444">
              <w:rPr>
                <w:rFonts w:eastAsiaTheme="minorEastAsia"/>
                <w:spacing w:val="22"/>
                <w:kern w:val="0"/>
                <w:szCs w:val="21"/>
              </w:rPr>
              <w:t>1</w:t>
            </w:r>
            <w:r w:rsidRPr="00FC1444">
              <w:rPr>
                <w:rFonts w:eastAsiaTheme="minorEastAsia"/>
                <w:spacing w:val="22"/>
                <w:kern w:val="0"/>
                <w:szCs w:val="21"/>
              </w:rPr>
              <w:t>、</w:t>
            </w:r>
            <w:r w:rsidRPr="00FC1444">
              <w:rPr>
                <w:rFonts w:eastAsiaTheme="minorEastAsia"/>
                <w:spacing w:val="22"/>
                <w:kern w:val="0"/>
                <w:szCs w:val="21"/>
              </w:rPr>
              <w:t>2</w:t>
            </w:r>
            <w:r w:rsidRPr="00FC1444">
              <w:rPr>
                <w:rFonts w:eastAsiaTheme="minorEastAsia"/>
                <w:spacing w:val="22"/>
                <w:kern w:val="0"/>
                <w:szCs w:val="21"/>
              </w:rPr>
              <w:t>、</w:t>
            </w:r>
            <w:r w:rsidRPr="00FC1444">
              <w:rPr>
                <w:rFonts w:eastAsiaTheme="minorEastAsia"/>
                <w:spacing w:val="22"/>
                <w:kern w:val="0"/>
                <w:szCs w:val="21"/>
              </w:rPr>
              <w:t>3</w:t>
            </w:r>
            <w:r w:rsidRPr="00FC1444">
              <w:rPr>
                <w:rFonts w:eastAsiaTheme="minorEastAsia"/>
                <w:spacing w:val="22"/>
                <w:kern w:val="0"/>
                <w:szCs w:val="21"/>
              </w:rPr>
              <w:t>表示影响程度从小到大；</w:t>
            </w:r>
          </w:p>
        </w:tc>
        <w:tc>
          <w:tcPr>
            <w:tcW w:w="600" w:type="dxa"/>
            <w:tcBorders>
              <w:left w:val="nil"/>
              <w:bottom w:val="single" w:sz="12" w:space="0" w:color="000000"/>
              <w:right w:val="nil"/>
            </w:tcBorders>
            <w:vAlign w:val="center"/>
          </w:tcPr>
          <w:p w:rsidR="002A5A5E" w:rsidRPr="00FC1444" w:rsidRDefault="002A5A5E">
            <w:pPr>
              <w:widowControl/>
              <w:tabs>
                <w:tab w:val="left" w:leader="middleDot" w:pos="7371"/>
              </w:tabs>
              <w:snapToGrid w:val="0"/>
              <w:spacing w:line="0" w:lineRule="atLeast"/>
              <w:jc w:val="center"/>
              <w:rPr>
                <w:rFonts w:eastAsiaTheme="minorEastAsia"/>
                <w:spacing w:val="22"/>
                <w:kern w:val="0"/>
                <w:szCs w:val="21"/>
              </w:rPr>
            </w:pPr>
          </w:p>
        </w:tc>
        <w:tc>
          <w:tcPr>
            <w:tcW w:w="602" w:type="dxa"/>
            <w:tcBorders>
              <w:left w:val="nil"/>
              <w:bottom w:val="single" w:sz="12" w:space="0" w:color="000000"/>
              <w:right w:val="nil"/>
            </w:tcBorders>
            <w:vAlign w:val="center"/>
          </w:tcPr>
          <w:p w:rsidR="002A5A5E" w:rsidRPr="00FC1444" w:rsidRDefault="002A5A5E">
            <w:pPr>
              <w:widowControl/>
              <w:tabs>
                <w:tab w:val="left" w:leader="middleDot" w:pos="7371"/>
              </w:tabs>
              <w:snapToGrid w:val="0"/>
              <w:spacing w:line="0" w:lineRule="atLeast"/>
              <w:jc w:val="center"/>
              <w:rPr>
                <w:rFonts w:eastAsiaTheme="minorEastAsia"/>
                <w:spacing w:val="22"/>
                <w:kern w:val="0"/>
                <w:szCs w:val="21"/>
              </w:rPr>
            </w:pPr>
          </w:p>
        </w:tc>
        <w:tc>
          <w:tcPr>
            <w:tcW w:w="602" w:type="dxa"/>
            <w:tcBorders>
              <w:left w:val="nil"/>
              <w:bottom w:val="single" w:sz="12" w:space="0" w:color="000000"/>
              <w:right w:val="nil"/>
            </w:tcBorders>
            <w:vAlign w:val="center"/>
          </w:tcPr>
          <w:p w:rsidR="002A5A5E" w:rsidRPr="00FC1444" w:rsidRDefault="002A5A5E">
            <w:pPr>
              <w:widowControl/>
              <w:tabs>
                <w:tab w:val="left" w:leader="middleDot" w:pos="7371"/>
              </w:tabs>
              <w:snapToGrid w:val="0"/>
              <w:spacing w:line="0" w:lineRule="atLeast"/>
              <w:jc w:val="center"/>
              <w:rPr>
                <w:rFonts w:eastAsiaTheme="minorEastAsia"/>
                <w:spacing w:val="22"/>
                <w:kern w:val="0"/>
                <w:szCs w:val="21"/>
              </w:rPr>
            </w:pPr>
          </w:p>
        </w:tc>
      </w:tr>
    </w:tbl>
    <w:p w:rsidR="002A5A5E" w:rsidRPr="00FC1444" w:rsidRDefault="00611CBA" w:rsidP="00611CBA">
      <w:pPr>
        <w:spacing w:line="360" w:lineRule="auto"/>
        <w:ind w:firstLineChars="177" w:firstLine="425"/>
        <w:rPr>
          <w:rFonts w:eastAsiaTheme="minorEastAsia"/>
          <w:sz w:val="24"/>
        </w:rPr>
      </w:pPr>
      <w:r w:rsidRPr="00FC1444">
        <w:rPr>
          <w:rFonts w:eastAsiaTheme="minorEastAsia"/>
          <w:kern w:val="0"/>
          <w:sz w:val="24"/>
        </w:rPr>
        <w:t>依据</w:t>
      </w:r>
      <w:r w:rsidR="00FC1444" w:rsidRPr="00FC1444">
        <w:rPr>
          <w:rFonts w:eastAsiaTheme="minorEastAsia"/>
          <w:kern w:val="0"/>
          <w:sz w:val="24"/>
        </w:rPr>
        <w:t>生态</w:t>
      </w:r>
      <w:r w:rsidRPr="00FC1444">
        <w:rPr>
          <w:rFonts w:eastAsiaTheme="minorEastAsia"/>
          <w:kern w:val="0"/>
          <w:sz w:val="24"/>
        </w:rPr>
        <w:t>环境影响因素结合工程行为矩阵筛选，采用矩阵法对可能受本项目影响的环境要素进行识别，确定该项目的环评主要内容包括：生态环境评价、环境空气评价、声环境评价、地下水环境评价等。</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根据本项目的生产特点和污染物的排放种类、排放量以及对环境的影响，将生产过程中产生的污染物对环境的影响见表</w:t>
      </w:r>
      <w:r w:rsidRPr="00FC1444">
        <w:rPr>
          <w:rFonts w:eastAsiaTheme="minorEastAsia"/>
          <w:sz w:val="24"/>
        </w:rPr>
        <w:t>2-4-2</w:t>
      </w:r>
      <w:r w:rsidRPr="00FC1444">
        <w:rPr>
          <w:rFonts w:eastAsiaTheme="minorEastAsia"/>
          <w:sz w:val="24"/>
        </w:rPr>
        <w:t>。</w:t>
      </w:r>
    </w:p>
    <w:p w:rsidR="007B163A" w:rsidRPr="00FC1444" w:rsidRDefault="007B163A" w:rsidP="00611CBA">
      <w:pPr>
        <w:spacing w:line="360" w:lineRule="auto"/>
        <w:ind w:firstLineChars="177" w:firstLine="425"/>
        <w:rPr>
          <w:rFonts w:eastAsiaTheme="minorEastAsia"/>
          <w:sz w:val="24"/>
        </w:rPr>
      </w:pPr>
    </w:p>
    <w:p w:rsidR="007B163A" w:rsidRPr="00FC1444" w:rsidRDefault="007B163A" w:rsidP="00611CBA">
      <w:pPr>
        <w:spacing w:line="360" w:lineRule="auto"/>
        <w:ind w:firstLineChars="177" w:firstLine="425"/>
        <w:rPr>
          <w:rFonts w:eastAsiaTheme="minorEastAsia"/>
          <w:sz w:val="24"/>
        </w:rPr>
      </w:pPr>
    </w:p>
    <w:p w:rsidR="007B163A" w:rsidRPr="00FC1444" w:rsidRDefault="007B163A" w:rsidP="00611CBA">
      <w:pPr>
        <w:spacing w:line="360" w:lineRule="auto"/>
        <w:ind w:firstLineChars="177" w:firstLine="425"/>
        <w:rPr>
          <w:rFonts w:eastAsiaTheme="minorEastAsia"/>
          <w:sz w:val="24"/>
        </w:rPr>
      </w:pPr>
    </w:p>
    <w:p w:rsidR="002A5A5E" w:rsidRPr="00FC1444" w:rsidRDefault="00611CBA">
      <w:pPr>
        <w:jc w:val="center"/>
        <w:rPr>
          <w:rFonts w:eastAsiaTheme="minorEastAsia"/>
          <w:b/>
          <w:szCs w:val="21"/>
        </w:rPr>
      </w:pPr>
      <w:r w:rsidRPr="00FC1444">
        <w:rPr>
          <w:rFonts w:eastAsiaTheme="minorEastAsia"/>
          <w:b/>
          <w:szCs w:val="21"/>
        </w:rPr>
        <w:lastRenderedPageBreak/>
        <w:t>表</w:t>
      </w:r>
      <w:r w:rsidRPr="00FC1444">
        <w:rPr>
          <w:rFonts w:eastAsiaTheme="minorEastAsia"/>
          <w:b/>
          <w:szCs w:val="21"/>
        </w:rPr>
        <w:t>2-4-2</w:t>
      </w:r>
      <w:r w:rsidR="00FC1444" w:rsidRPr="00FC1444">
        <w:rPr>
          <w:rFonts w:eastAsiaTheme="minorEastAsia"/>
          <w:b/>
          <w:szCs w:val="21"/>
        </w:rPr>
        <w:t>生态</w:t>
      </w:r>
      <w:r w:rsidRPr="00FC1444">
        <w:rPr>
          <w:rFonts w:eastAsiaTheme="minorEastAsia"/>
          <w:b/>
          <w:szCs w:val="21"/>
        </w:rPr>
        <w:t>环境影响因素识别一览表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672"/>
        <w:gridCol w:w="1283"/>
        <w:gridCol w:w="3168"/>
        <w:gridCol w:w="3399"/>
      </w:tblGrid>
      <w:tr w:rsidR="002A5A5E" w:rsidRPr="00FC1444">
        <w:trPr>
          <w:cantSplit/>
          <w:trHeight w:val="24"/>
          <w:jc w:val="center"/>
        </w:trPr>
        <w:tc>
          <w:tcPr>
            <w:tcW w:w="1147" w:type="pct"/>
            <w:gridSpan w:val="2"/>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污染物</w:t>
            </w:r>
          </w:p>
        </w:tc>
        <w:tc>
          <w:tcPr>
            <w:tcW w:w="1859"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污染来源</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污染因子</w:t>
            </w:r>
          </w:p>
        </w:tc>
      </w:tr>
      <w:tr w:rsidR="002A5A5E" w:rsidRPr="00FC1444">
        <w:trPr>
          <w:cantSplit/>
          <w:trHeight w:val="24"/>
          <w:jc w:val="center"/>
        </w:trPr>
        <w:tc>
          <w:tcPr>
            <w:tcW w:w="394" w:type="pct"/>
            <w:vMerge w:val="restar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施工期</w:t>
            </w: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废气</w:t>
            </w:r>
          </w:p>
        </w:tc>
        <w:tc>
          <w:tcPr>
            <w:tcW w:w="1859"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施工活动、机械及施工车辆</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TSP</w:t>
            </w:r>
            <w:r w:rsidRPr="00FC1444">
              <w:rPr>
                <w:rFonts w:eastAsiaTheme="minorEastAsia"/>
                <w:snapToGrid w:val="0"/>
                <w:kern w:val="0"/>
              </w:rPr>
              <w:t>、</w:t>
            </w:r>
            <w:r w:rsidRPr="00FC1444">
              <w:rPr>
                <w:rFonts w:eastAsiaTheme="minorEastAsia"/>
                <w:snapToGrid w:val="0"/>
                <w:kern w:val="0"/>
              </w:rPr>
              <w:t>CO</w:t>
            </w:r>
            <w:r w:rsidRPr="00FC1444">
              <w:rPr>
                <w:rFonts w:eastAsiaTheme="minorEastAsia"/>
                <w:snapToGrid w:val="0"/>
                <w:kern w:val="0"/>
              </w:rPr>
              <w:t>、</w:t>
            </w:r>
            <w:r w:rsidRPr="00FC1444">
              <w:rPr>
                <w:rFonts w:eastAsiaTheme="minorEastAsia"/>
                <w:spacing w:val="22"/>
                <w:kern w:val="0"/>
                <w:szCs w:val="21"/>
              </w:rPr>
              <w:t>HC+NO</w:t>
            </w:r>
            <w:r w:rsidRPr="00FC1444">
              <w:rPr>
                <w:rFonts w:eastAsiaTheme="minorEastAsia"/>
                <w:spacing w:val="22"/>
                <w:kern w:val="0"/>
                <w:szCs w:val="21"/>
                <w:vertAlign w:val="subscript"/>
              </w:rPr>
              <w:t>x</w:t>
            </w:r>
            <w:r w:rsidRPr="00FC1444">
              <w:rPr>
                <w:rFonts w:eastAsiaTheme="minorEastAsia"/>
                <w:snapToGrid w:val="0"/>
                <w:kern w:val="0"/>
              </w:rPr>
              <w:t>、</w:t>
            </w:r>
            <w:r w:rsidRPr="00FC1444">
              <w:rPr>
                <w:rFonts w:eastAsiaTheme="minorEastAsia"/>
                <w:bCs/>
                <w:snapToGrid w:val="0"/>
                <w:kern w:val="0"/>
              </w:rPr>
              <w:t>THC</w:t>
            </w:r>
            <w:r w:rsidRPr="00FC1444">
              <w:rPr>
                <w:rFonts w:eastAsiaTheme="minorEastAsia"/>
                <w:bCs/>
                <w:snapToGrid w:val="0"/>
                <w:kern w:val="0"/>
              </w:rPr>
              <w:t>、</w:t>
            </w:r>
            <w:r w:rsidRPr="00FC1444">
              <w:rPr>
                <w:rFonts w:eastAsiaTheme="minorEastAsia"/>
                <w:snapToGrid w:val="0"/>
                <w:kern w:val="0"/>
              </w:rPr>
              <w:t>臭气浓度</w:t>
            </w:r>
          </w:p>
        </w:tc>
      </w:tr>
      <w:tr w:rsidR="002A5A5E" w:rsidRPr="00FC1444">
        <w:trPr>
          <w:cantSplit/>
          <w:trHeight w:val="24"/>
          <w:jc w:val="center"/>
        </w:trPr>
        <w:tc>
          <w:tcPr>
            <w:tcW w:w="394" w:type="pct"/>
            <w:vMerge/>
            <w:vAlign w:val="center"/>
          </w:tcPr>
          <w:p w:rsidR="002A5A5E" w:rsidRPr="00FC1444" w:rsidRDefault="002A5A5E">
            <w:pPr>
              <w:jc w:val="center"/>
              <w:rPr>
                <w:rFonts w:eastAsiaTheme="minorEastAsia"/>
                <w:snapToGrid w:val="0"/>
                <w:kern w:val="0"/>
              </w:rPr>
            </w:pP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废水</w:t>
            </w:r>
          </w:p>
        </w:tc>
        <w:tc>
          <w:tcPr>
            <w:tcW w:w="1859"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施工活动和施工人员生活</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bCs/>
                <w:snapToGrid w:val="0"/>
                <w:kern w:val="0"/>
              </w:rPr>
              <w:t>COD</w:t>
            </w:r>
            <w:r w:rsidRPr="00FC1444">
              <w:rPr>
                <w:rFonts w:eastAsiaTheme="minorEastAsia"/>
                <w:bCs/>
                <w:snapToGrid w:val="0"/>
                <w:kern w:val="0"/>
              </w:rPr>
              <w:t>、氨氮、</w:t>
            </w:r>
            <w:r w:rsidRPr="00FC1444">
              <w:rPr>
                <w:rFonts w:eastAsiaTheme="minorEastAsia"/>
                <w:bCs/>
                <w:snapToGrid w:val="0"/>
                <w:kern w:val="0"/>
              </w:rPr>
              <w:t>pH</w:t>
            </w:r>
            <w:r w:rsidRPr="00FC1444">
              <w:rPr>
                <w:rFonts w:eastAsiaTheme="minorEastAsia"/>
                <w:bCs/>
                <w:snapToGrid w:val="0"/>
                <w:kern w:val="0"/>
              </w:rPr>
              <w:t>、</w:t>
            </w:r>
            <w:r w:rsidRPr="00FC1444">
              <w:rPr>
                <w:rFonts w:eastAsiaTheme="minorEastAsia"/>
                <w:bCs/>
                <w:snapToGrid w:val="0"/>
                <w:kern w:val="0"/>
              </w:rPr>
              <w:t>BOD</w:t>
            </w:r>
            <w:r w:rsidRPr="00FC1444">
              <w:rPr>
                <w:rFonts w:eastAsiaTheme="minorEastAsia"/>
                <w:bCs/>
                <w:snapToGrid w:val="0"/>
                <w:kern w:val="0"/>
                <w:vertAlign w:val="subscript"/>
              </w:rPr>
              <w:t>5</w:t>
            </w:r>
            <w:r w:rsidRPr="00FC1444">
              <w:rPr>
                <w:rFonts w:eastAsiaTheme="minorEastAsia"/>
                <w:bCs/>
                <w:snapToGrid w:val="0"/>
                <w:kern w:val="0"/>
              </w:rPr>
              <w:t>、</w:t>
            </w:r>
            <w:r w:rsidRPr="00FC1444">
              <w:rPr>
                <w:rFonts w:eastAsiaTheme="minorEastAsia"/>
                <w:bCs/>
                <w:snapToGrid w:val="0"/>
                <w:kern w:val="0"/>
              </w:rPr>
              <w:t>SS</w:t>
            </w:r>
          </w:p>
        </w:tc>
      </w:tr>
      <w:tr w:rsidR="002A5A5E" w:rsidRPr="00FC1444">
        <w:trPr>
          <w:cantSplit/>
          <w:trHeight w:val="24"/>
          <w:jc w:val="center"/>
        </w:trPr>
        <w:tc>
          <w:tcPr>
            <w:tcW w:w="394" w:type="pct"/>
            <w:vMerge/>
            <w:vAlign w:val="center"/>
          </w:tcPr>
          <w:p w:rsidR="002A5A5E" w:rsidRPr="00FC1444" w:rsidRDefault="002A5A5E">
            <w:pPr>
              <w:jc w:val="center"/>
              <w:rPr>
                <w:rFonts w:eastAsiaTheme="minorEastAsia"/>
                <w:snapToGrid w:val="0"/>
                <w:kern w:val="0"/>
              </w:rPr>
            </w:pP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噪声</w:t>
            </w:r>
          </w:p>
        </w:tc>
        <w:tc>
          <w:tcPr>
            <w:tcW w:w="1859"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施工活动和机械设备</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等效连续</w:t>
            </w:r>
            <w:r w:rsidRPr="00FC1444">
              <w:rPr>
                <w:rFonts w:eastAsiaTheme="minorEastAsia"/>
                <w:snapToGrid w:val="0"/>
                <w:kern w:val="0"/>
              </w:rPr>
              <w:t>A</w:t>
            </w:r>
            <w:r w:rsidRPr="00FC1444">
              <w:rPr>
                <w:rFonts w:eastAsiaTheme="minorEastAsia"/>
                <w:snapToGrid w:val="0"/>
                <w:kern w:val="0"/>
              </w:rPr>
              <w:t>声级</w:t>
            </w:r>
            <w:r w:rsidRPr="00FC1444">
              <w:rPr>
                <w:rFonts w:eastAsiaTheme="minorEastAsia"/>
                <w:snapToGrid w:val="0"/>
                <w:kern w:val="0"/>
              </w:rPr>
              <w:t>Leq</w:t>
            </w:r>
            <w:r w:rsidRPr="00FC1444">
              <w:rPr>
                <w:rFonts w:eastAsiaTheme="minorEastAsia"/>
                <w:snapToGrid w:val="0"/>
                <w:kern w:val="0"/>
              </w:rPr>
              <w:t>（</w:t>
            </w:r>
            <w:r w:rsidRPr="00FC1444">
              <w:rPr>
                <w:rFonts w:eastAsiaTheme="minorEastAsia"/>
                <w:snapToGrid w:val="0"/>
                <w:kern w:val="0"/>
              </w:rPr>
              <w:t>A</w:t>
            </w:r>
            <w:r w:rsidRPr="00FC1444">
              <w:rPr>
                <w:rFonts w:eastAsiaTheme="minorEastAsia"/>
                <w:snapToGrid w:val="0"/>
                <w:kern w:val="0"/>
              </w:rPr>
              <w:t>）</w:t>
            </w:r>
          </w:p>
        </w:tc>
      </w:tr>
      <w:tr w:rsidR="002A5A5E" w:rsidRPr="00FC1444">
        <w:trPr>
          <w:cantSplit/>
          <w:trHeight w:val="70"/>
          <w:jc w:val="center"/>
        </w:trPr>
        <w:tc>
          <w:tcPr>
            <w:tcW w:w="394" w:type="pct"/>
            <w:vMerge/>
            <w:vAlign w:val="center"/>
          </w:tcPr>
          <w:p w:rsidR="002A5A5E" w:rsidRPr="00FC1444" w:rsidRDefault="002A5A5E">
            <w:pPr>
              <w:jc w:val="center"/>
              <w:rPr>
                <w:rFonts w:eastAsiaTheme="minorEastAsia"/>
                <w:snapToGrid w:val="0"/>
                <w:kern w:val="0"/>
              </w:rPr>
            </w:pP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固体废物</w:t>
            </w:r>
          </w:p>
        </w:tc>
        <w:tc>
          <w:tcPr>
            <w:tcW w:w="1859"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建筑物施工和施工人员生活</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建筑垃圾、生活垃圾、土石方、淤泥、废肥料包装袋</w:t>
            </w:r>
          </w:p>
        </w:tc>
      </w:tr>
      <w:tr w:rsidR="002A5A5E" w:rsidRPr="00FC1444">
        <w:trPr>
          <w:cantSplit/>
          <w:trHeight w:val="70"/>
          <w:jc w:val="center"/>
        </w:trPr>
        <w:tc>
          <w:tcPr>
            <w:tcW w:w="394" w:type="pct"/>
            <w:vMerge/>
            <w:vAlign w:val="center"/>
          </w:tcPr>
          <w:p w:rsidR="002A5A5E" w:rsidRPr="00FC1444" w:rsidRDefault="002A5A5E">
            <w:pPr>
              <w:jc w:val="center"/>
              <w:rPr>
                <w:rFonts w:eastAsiaTheme="minorEastAsia"/>
                <w:snapToGrid w:val="0"/>
                <w:kern w:val="0"/>
              </w:rPr>
            </w:pP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地下水</w:t>
            </w:r>
          </w:p>
        </w:tc>
        <w:tc>
          <w:tcPr>
            <w:tcW w:w="1859" w:type="pct"/>
            <w:vAlign w:val="center"/>
          </w:tcPr>
          <w:p w:rsidR="002A5A5E" w:rsidRPr="00FC1444" w:rsidRDefault="00611CBA">
            <w:pPr>
              <w:jc w:val="center"/>
              <w:rPr>
                <w:rFonts w:eastAsiaTheme="minorEastAsia"/>
              </w:rPr>
            </w:pPr>
            <w:r w:rsidRPr="00FC1444">
              <w:rPr>
                <w:rFonts w:eastAsiaTheme="minorEastAsia"/>
              </w:rPr>
              <w:t>打井</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bCs/>
                <w:snapToGrid w:val="0"/>
                <w:kern w:val="0"/>
              </w:rPr>
              <w:t>SS</w:t>
            </w:r>
          </w:p>
        </w:tc>
      </w:tr>
      <w:tr w:rsidR="002A5A5E" w:rsidRPr="00FC1444">
        <w:trPr>
          <w:cantSplit/>
          <w:trHeight w:val="70"/>
          <w:jc w:val="center"/>
        </w:trPr>
        <w:tc>
          <w:tcPr>
            <w:tcW w:w="394" w:type="pct"/>
            <w:vMerge/>
            <w:vAlign w:val="center"/>
          </w:tcPr>
          <w:p w:rsidR="002A5A5E" w:rsidRPr="00FC1444" w:rsidRDefault="002A5A5E">
            <w:pPr>
              <w:jc w:val="center"/>
              <w:rPr>
                <w:rFonts w:eastAsiaTheme="minorEastAsia"/>
                <w:snapToGrid w:val="0"/>
                <w:kern w:val="0"/>
              </w:rPr>
            </w:pP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土壤</w:t>
            </w:r>
          </w:p>
        </w:tc>
        <w:tc>
          <w:tcPr>
            <w:tcW w:w="1859" w:type="pct"/>
            <w:vAlign w:val="center"/>
          </w:tcPr>
          <w:p w:rsidR="002A5A5E" w:rsidRPr="00FC1444" w:rsidRDefault="00611CBA">
            <w:pPr>
              <w:jc w:val="center"/>
              <w:rPr>
                <w:rFonts w:eastAsiaTheme="minorEastAsia"/>
              </w:rPr>
            </w:pPr>
            <w:r w:rsidRPr="00FC1444">
              <w:rPr>
                <w:rFonts w:eastAsiaTheme="minorEastAsia"/>
              </w:rPr>
              <w:t>表土剥离</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土壤结构、理化性质</w:t>
            </w:r>
          </w:p>
        </w:tc>
      </w:tr>
      <w:tr w:rsidR="002A5A5E" w:rsidRPr="00FC1444">
        <w:trPr>
          <w:cantSplit/>
          <w:trHeight w:val="70"/>
          <w:jc w:val="center"/>
        </w:trPr>
        <w:tc>
          <w:tcPr>
            <w:tcW w:w="394" w:type="pct"/>
            <w:vMerge/>
            <w:vAlign w:val="center"/>
          </w:tcPr>
          <w:p w:rsidR="002A5A5E" w:rsidRPr="00FC1444" w:rsidRDefault="002A5A5E">
            <w:pPr>
              <w:jc w:val="center"/>
              <w:rPr>
                <w:rFonts w:eastAsiaTheme="minorEastAsia"/>
                <w:snapToGrid w:val="0"/>
                <w:kern w:val="0"/>
              </w:rPr>
            </w:pP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地表水</w:t>
            </w:r>
          </w:p>
        </w:tc>
        <w:tc>
          <w:tcPr>
            <w:tcW w:w="1859" w:type="pct"/>
            <w:vAlign w:val="center"/>
          </w:tcPr>
          <w:p w:rsidR="002A5A5E" w:rsidRPr="00FC1444" w:rsidRDefault="00611CBA">
            <w:pPr>
              <w:jc w:val="center"/>
              <w:rPr>
                <w:rFonts w:eastAsiaTheme="minorEastAsia"/>
              </w:rPr>
            </w:pPr>
            <w:r w:rsidRPr="00FC1444">
              <w:rPr>
                <w:rFonts w:eastAsiaTheme="minorEastAsia"/>
              </w:rPr>
              <w:t>施工活动和机械设备</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石油类</w:t>
            </w:r>
          </w:p>
        </w:tc>
      </w:tr>
      <w:tr w:rsidR="002A5A5E" w:rsidRPr="00FC1444">
        <w:trPr>
          <w:cantSplit/>
          <w:trHeight w:val="407"/>
          <w:jc w:val="center"/>
        </w:trPr>
        <w:tc>
          <w:tcPr>
            <w:tcW w:w="394" w:type="pct"/>
            <w:vMerge w:val="restar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运营期</w:t>
            </w: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废气</w:t>
            </w:r>
          </w:p>
        </w:tc>
        <w:tc>
          <w:tcPr>
            <w:tcW w:w="1859"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车辆、柴油机移动泵车</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CO</w:t>
            </w:r>
            <w:r w:rsidRPr="00FC1444">
              <w:rPr>
                <w:rFonts w:eastAsiaTheme="minorEastAsia"/>
                <w:snapToGrid w:val="0"/>
                <w:kern w:val="0"/>
              </w:rPr>
              <w:t>、</w:t>
            </w:r>
            <w:r w:rsidRPr="00FC1444">
              <w:rPr>
                <w:rFonts w:eastAsiaTheme="minorEastAsia"/>
                <w:spacing w:val="22"/>
                <w:kern w:val="0"/>
                <w:szCs w:val="21"/>
              </w:rPr>
              <w:t>HC+NO</w:t>
            </w:r>
            <w:r w:rsidRPr="00FC1444">
              <w:rPr>
                <w:rFonts w:eastAsiaTheme="minorEastAsia"/>
                <w:spacing w:val="22"/>
                <w:kern w:val="0"/>
                <w:szCs w:val="21"/>
                <w:vertAlign w:val="subscript"/>
              </w:rPr>
              <w:t>x</w:t>
            </w:r>
            <w:r w:rsidRPr="00FC1444">
              <w:rPr>
                <w:rFonts w:eastAsiaTheme="minorEastAsia"/>
                <w:snapToGrid w:val="0"/>
                <w:kern w:val="0"/>
              </w:rPr>
              <w:t>、</w:t>
            </w:r>
            <w:r w:rsidRPr="00FC1444">
              <w:rPr>
                <w:rFonts w:eastAsiaTheme="minorEastAsia"/>
                <w:bCs/>
                <w:snapToGrid w:val="0"/>
                <w:kern w:val="0"/>
              </w:rPr>
              <w:t>THC</w:t>
            </w:r>
          </w:p>
        </w:tc>
      </w:tr>
      <w:tr w:rsidR="002A5A5E" w:rsidRPr="00FC1444">
        <w:trPr>
          <w:cantSplit/>
          <w:trHeight w:val="24"/>
          <w:jc w:val="center"/>
        </w:trPr>
        <w:tc>
          <w:tcPr>
            <w:tcW w:w="394" w:type="pct"/>
            <w:vMerge/>
            <w:vAlign w:val="center"/>
          </w:tcPr>
          <w:p w:rsidR="002A5A5E" w:rsidRPr="00FC1444" w:rsidRDefault="002A5A5E">
            <w:pPr>
              <w:jc w:val="center"/>
              <w:rPr>
                <w:rFonts w:eastAsiaTheme="minorEastAsia"/>
                <w:snapToGrid w:val="0"/>
                <w:kern w:val="0"/>
              </w:rPr>
            </w:pP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噪声</w:t>
            </w:r>
          </w:p>
        </w:tc>
        <w:tc>
          <w:tcPr>
            <w:tcW w:w="1859" w:type="pct"/>
            <w:tcMar>
              <w:left w:w="0" w:type="dxa"/>
              <w:right w:w="0" w:type="dxa"/>
            </w:tcMar>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水泵、柴油机移动泵车等设备</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等效连续</w:t>
            </w:r>
            <w:r w:rsidRPr="00FC1444">
              <w:rPr>
                <w:rFonts w:eastAsiaTheme="minorEastAsia"/>
                <w:snapToGrid w:val="0"/>
                <w:kern w:val="0"/>
              </w:rPr>
              <w:t>A</w:t>
            </w:r>
            <w:r w:rsidRPr="00FC1444">
              <w:rPr>
                <w:rFonts w:eastAsiaTheme="minorEastAsia"/>
                <w:snapToGrid w:val="0"/>
                <w:kern w:val="0"/>
              </w:rPr>
              <w:t>声级</w:t>
            </w:r>
            <w:r w:rsidRPr="00FC1444">
              <w:rPr>
                <w:rFonts w:eastAsiaTheme="minorEastAsia"/>
                <w:snapToGrid w:val="0"/>
                <w:kern w:val="0"/>
              </w:rPr>
              <w:t>Leq</w:t>
            </w:r>
            <w:r w:rsidRPr="00FC1444">
              <w:rPr>
                <w:rFonts w:eastAsiaTheme="minorEastAsia"/>
                <w:snapToGrid w:val="0"/>
                <w:kern w:val="0"/>
              </w:rPr>
              <w:t>（</w:t>
            </w:r>
            <w:r w:rsidRPr="00FC1444">
              <w:rPr>
                <w:rFonts w:eastAsiaTheme="minorEastAsia"/>
                <w:snapToGrid w:val="0"/>
                <w:kern w:val="0"/>
              </w:rPr>
              <w:t>A</w:t>
            </w:r>
            <w:r w:rsidRPr="00FC1444">
              <w:rPr>
                <w:rFonts w:eastAsiaTheme="minorEastAsia"/>
                <w:snapToGrid w:val="0"/>
                <w:kern w:val="0"/>
              </w:rPr>
              <w:t>）</w:t>
            </w:r>
          </w:p>
        </w:tc>
      </w:tr>
      <w:tr w:rsidR="002A5A5E" w:rsidRPr="00FC1444">
        <w:trPr>
          <w:cantSplit/>
          <w:trHeight w:val="24"/>
          <w:jc w:val="center"/>
        </w:trPr>
        <w:tc>
          <w:tcPr>
            <w:tcW w:w="394" w:type="pct"/>
            <w:vMerge/>
            <w:vAlign w:val="center"/>
          </w:tcPr>
          <w:p w:rsidR="002A5A5E" w:rsidRPr="00FC1444" w:rsidRDefault="002A5A5E">
            <w:pPr>
              <w:jc w:val="center"/>
              <w:rPr>
                <w:rFonts w:eastAsiaTheme="minorEastAsia"/>
                <w:snapToGrid w:val="0"/>
                <w:kern w:val="0"/>
              </w:rPr>
            </w:pP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地表水</w:t>
            </w:r>
          </w:p>
        </w:tc>
        <w:tc>
          <w:tcPr>
            <w:tcW w:w="1859" w:type="pct"/>
            <w:tcMar>
              <w:left w:w="0" w:type="dxa"/>
              <w:right w:w="0" w:type="dxa"/>
            </w:tcMar>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水田退水</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bCs/>
                <w:snapToGrid w:val="0"/>
                <w:kern w:val="0"/>
              </w:rPr>
              <w:t>COD</w:t>
            </w:r>
            <w:r w:rsidRPr="00FC1444">
              <w:rPr>
                <w:rFonts w:eastAsiaTheme="minorEastAsia"/>
                <w:bCs/>
                <w:snapToGrid w:val="0"/>
                <w:kern w:val="0"/>
              </w:rPr>
              <w:t>、氨氮、总磷</w:t>
            </w:r>
            <w:r w:rsidR="00F33895" w:rsidRPr="00FC1444">
              <w:rPr>
                <w:rFonts w:eastAsiaTheme="minorEastAsia"/>
                <w:bCs/>
                <w:snapToGrid w:val="0"/>
                <w:kern w:val="0"/>
              </w:rPr>
              <w:t>、总氮</w:t>
            </w:r>
          </w:p>
        </w:tc>
      </w:tr>
      <w:tr w:rsidR="002A5A5E" w:rsidRPr="00FC1444">
        <w:trPr>
          <w:cantSplit/>
          <w:trHeight w:val="24"/>
          <w:jc w:val="center"/>
        </w:trPr>
        <w:tc>
          <w:tcPr>
            <w:tcW w:w="394" w:type="pct"/>
            <w:vMerge/>
            <w:vAlign w:val="center"/>
          </w:tcPr>
          <w:p w:rsidR="002A5A5E" w:rsidRPr="00FC1444" w:rsidRDefault="002A5A5E">
            <w:pPr>
              <w:jc w:val="center"/>
              <w:rPr>
                <w:rFonts w:eastAsiaTheme="minorEastAsia"/>
                <w:snapToGrid w:val="0"/>
                <w:kern w:val="0"/>
              </w:rPr>
            </w:pP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地下水</w:t>
            </w:r>
          </w:p>
        </w:tc>
        <w:tc>
          <w:tcPr>
            <w:tcW w:w="1859" w:type="pct"/>
            <w:tcMar>
              <w:left w:w="0" w:type="dxa"/>
              <w:right w:w="0" w:type="dxa"/>
            </w:tcMar>
            <w:vAlign w:val="center"/>
          </w:tcPr>
          <w:p w:rsidR="002A5A5E" w:rsidRPr="00FC1444" w:rsidRDefault="00611CBA">
            <w:pPr>
              <w:jc w:val="center"/>
              <w:rPr>
                <w:rFonts w:eastAsiaTheme="minorEastAsia"/>
                <w:snapToGrid w:val="0"/>
                <w:kern w:val="0"/>
              </w:rPr>
            </w:pPr>
            <w:r w:rsidRPr="00FC1444">
              <w:rPr>
                <w:rFonts w:eastAsiaTheme="minorEastAsia"/>
                <w:bCs/>
                <w:snapToGrid w:val="0"/>
                <w:kern w:val="0"/>
              </w:rPr>
              <w:t>地下水开采、地下水下降</w:t>
            </w:r>
            <w:r w:rsidRPr="00FC1444">
              <w:rPr>
                <w:rFonts w:eastAsiaTheme="minorEastAsia"/>
                <w:snapToGrid w:val="0"/>
                <w:kern w:val="0"/>
              </w:rPr>
              <w:t>、柴油机移动泵车</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石油类、水位、</w:t>
            </w:r>
            <w:r w:rsidRPr="00FC1444">
              <w:rPr>
                <w:rFonts w:eastAsiaTheme="minorEastAsia"/>
                <w:bCs/>
                <w:snapToGrid w:val="0"/>
                <w:kern w:val="0"/>
              </w:rPr>
              <w:t>地下水量</w:t>
            </w:r>
          </w:p>
        </w:tc>
      </w:tr>
      <w:tr w:rsidR="002A5A5E" w:rsidRPr="00FC1444">
        <w:trPr>
          <w:cantSplit/>
          <w:trHeight w:val="24"/>
          <w:jc w:val="center"/>
        </w:trPr>
        <w:tc>
          <w:tcPr>
            <w:tcW w:w="394" w:type="pct"/>
            <w:vMerge/>
            <w:vAlign w:val="center"/>
          </w:tcPr>
          <w:p w:rsidR="002A5A5E" w:rsidRPr="00FC1444" w:rsidRDefault="002A5A5E">
            <w:pPr>
              <w:jc w:val="center"/>
              <w:rPr>
                <w:rFonts w:eastAsiaTheme="minorEastAsia"/>
                <w:snapToGrid w:val="0"/>
                <w:kern w:val="0"/>
              </w:rPr>
            </w:pP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土壤</w:t>
            </w:r>
          </w:p>
        </w:tc>
        <w:tc>
          <w:tcPr>
            <w:tcW w:w="1859" w:type="pct"/>
            <w:tcMar>
              <w:left w:w="0" w:type="dxa"/>
              <w:right w:w="0" w:type="dxa"/>
            </w:tcMar>
            <w:vAlign w:val="center"/>
          </w:tcPr>
          <w:p w:rsidR="002A5A5E" w:rsidRPr="00FC1444" w:rsidRDefault="00611CBA">
            <w:pPr>
              <w:jc w:val="center"/>
              <w:rPr>
                <w:rFonts w:eastAsiaTheme="minorEastAsia"/>
                <w:snapToGrid w:val="0"/>
                <w:kern w:val="0"/>
              </w:rPr>
            </w:pPr>
            <w:r w:rsidRPr="00FC1444">
              <w:rPr>
                <w:rFonts w:eastAsiaTheme="minorEastAsia"/>
                <w:bCs/>
                <w:szCs w:val="21"/>
              </w:rPr>
              <w:t>地下水开采、地下水下降、</w:t>
            </w:r>
            <w:r w:rsidRPr="00FC1444">
              <w:rPr>
                <w:rFonts w:eastAsiaTheme="minorEastAsia"/>
              </w:rPr>
              <w:t>施工活动和机械设备</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盐渍化、土壤肥力、潜育化、沼泽化</w:t>
            </w:r>
          </w:p>
        </w:tc>
      </w:tr>
      <w:tr w:rsidR="002A5A5E" w:rsidRPr="00FC1444">
        <w:trPr>
          <w:cantSplit/>
          <w:trHeight w:val="24"/>
          <w:jc w:val="center"/>
        </w:trPr>
        <w:tc>
          <w:tcPr>
            <w:tcW w:w="394" w:type="pct"/>
            <w:vMerge/>
            <w:vAlign w:val="center"/>
          </w:tcPr>
          <w:p w:rsidR="002A5A5E" w:rsidRPr="00FC1444" w:rsidRDefault="002A5A5E">
            <w:pPr>
              <w:jc w:val="center"/>
              <w:rPr>
                <w:rFonts w:eastAsiaTheme="minorEastAsia"/>
                <w:snapToGrid w:val="0"/>
                <w:kern w:val="0"/>
              </w:rPr>
            </w:pP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环境风险</w:t>
            </w:r>
          </w:p>
        </w:tc>
        <w:tc>
          <w:tcPr>
            <w:tcW w:w="1859" w:type="pct"/>
            <w:tcMar>
              <w:left w:w="0" w:type="dxa"/>
              <w:right w:w="0" w:type="dxa"/>
            </w:tcMar>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柴油、变压器油</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石油类</w:t>
            </w:r>
          </w:p>
        </w:tc>
      </w:tr>
      <w:tr w:rsidR="002A5A5E" w:rsidRPr="00FC1444">
        <w:trPr>
          <w:cantSplit/>
          <w:trHeight w:val="24"/>
          <w:jc w:val="center"/>
        </w:trPr>
        <w:tc>
          <w:tcPr>
            <w:tcW w:w="394" w:type="pct"/>
            <w:vMerge/>
            <w:vAlign w:val="center"/>
          </w:tcPr>
          <w:p w:rsidR="002A5A5E" w:rsidRPr="00FC1444" w:rsidRDefault="002A5A5E">
            <w:pPr>
              <w:jc w:val="center"/>
              <w:rPr>
                <w:rFonts w:eastAsiaTheme="minorEastAsia"/>
                <w:snapToGrid w:val="0"/>
                <w:kern w:val="0"/>
              </w:rPr>
            </w:pPr>
          </w:p>
        </w:tc>
        <w:tc>
          <w:tcPr>
            <w:tcW w:w="753"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固体废物</w:t>
            </w:r>
          </w:p>
        </w:tc>
        <w:tc>
          <w:tcPr>
            <w:tcW w:w="1859" w:type="pct"/>
            <w:tcMar>
              <w:left w:w="0" w:type="dxa"/>
              <w:right w:w="0" w:type="dxa"/>
            </w:tcMar>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农田耕种</w:t>
            </w:r>
          </w:p>
        </w:tc>
        <w:tc>
          <w:tcPr>
            <w:tcW w:w="1994" w:type="pct"/>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秸秆、废肥料包装袋、废农药包装物</w:t>
            </w:r>
          </w:p>
        </w:tc>
      </w:tr>
    </w:tbl>
    <w:p w:rsidR="002A5A5E" w:rsidRPr="00FC1444" w:rsidRDefault="00611CBA">
      <w:pPr>
        <w:pStyle w:val="30"/>
        <w:spacing w:before="100" w:beforeAutospacing="1" w:after="100" w:afterAutospacing="1" w:line="240" w:lineRule="auto"/>
        <w:ind w:firstLineChars="0" w:firstLine="0"/>
        <w:contextualSpacing/>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2.4.2</w:t>
      </w:r>
      <w:r w:rsidRPr="00FC1444">
        <w:rPr>
          <w:rFonts w:ascii="Times New Roman" w:eastAsiaTheme="minorEastAsia" w:hAnsi="Times New Roman" w:cs="Times New Roman"/>
          <w:b/>
          <w:sz w:val="28"/>
          <w:szCs w:val="28"/>
        </w:rPr>
        <w:t>评价因子筛选</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根据本项目周边环境及项目特征，确定本项目评价现状因子和预测评价因子，具体见表</w:t>
      </w:r>
      <w:r w:rsidRPr="00FC1444">
        <w:rPr>
          <w:rFonts w:eastAsiaTheme="minorEastAsia"/>
          <w:sz w:val="24"/>
        </w:rPr>
        <w:t>2-4-3~2-4-4</w:t>
      </w:r>
      <w:r w:rsidRPr="00FC1444">
        <w:rPr>
          <w:rFonts w:eastAsiaTheme="minorEastAsia"/>
          <w:sz w:val="24"/>
        </w:rPr>
        <w:t>。</w:t>
      </w:r>
    </w:p>
    <w:p w:rsidR="002A5A5E" w:rsidRPr="00FC1444" w:rsidRDefault="00611CBA">
      <w:pPr>
        <w:jc w:val="center"/>
        <w:rPr>
          <w:rFonts w:eastAsiaTheme="minorEastAsia"/>
          <w:b/>
          <w:szCs w:val="21"/>
        </w:rPr>
      </w:pPr>
      <w:r w:rsidRPr="00FC1444">
        <w:rPr>
          <w:rFonts w:eastAsiaTheme="minorEastAsia"/>
          <w:b/>
          <w:szCs w:val="21"/>
        </w:rPr>
        <w:t>表</w:t>
      </w:r>
      <w:r w:rsidRPr="00FC1444">
        <w:rPr>
          <w:rFonts w:eastAsiaTheme="minorEastAsia"/>
          <w:b/>
          <w:szCs w:val="21"/>
        </w:rPr>
        <w:t>2-4-3</w:t>
      </w:r>
      <w:r w:rsidRPr="00FC1444">
        <w:rPr>
          <w:rFonts w:eastAsiaTheme="minorEastAsia"/>
          <w:b/>
          <w:szCs w:val="21"/>
        </w:rPr>
        <w:t>本项目</w:t>
      </w:r>
      <w:r w:rsidR="00FC1444" w:rsidRPr="00FC1444">
        <w:rPr>
          <w:rFonts w:eastAsiaTheme="minorEastAsia"/>
          <w:b/>
          <w:szCs w:val="21"/>
        </w:rPr>
        <w:t>生态</w:t>
      </w:r>
      <w:r w:rsidRPr="00FC1444">
        <w:rPr>
          <w:rFonts w:eastAsiaTheme="minorEastAsia"/>
          <w:b/>
          <w:szCs w:val="21"/>
        </w:rPr>
        <w:t>环境影响评价因子筛选结果</w:t>
      </w:r>
    </w:p>
    <w:tbl>
      <w:tblPr>
        <w:tblW w:w="8474"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809"/>
        <w:gridCol w:w="2536"/>
        <w:gridCol w:w="5129"/>
      </w:tblGrid>
      <w:tr w:rsidR="002A5A5E" w:rsidRPr="00FC1444">
        <w:trPr>
          <w:trHeight w:val="269"/>
          <w:jc w:val="center"/>
        </w:trPr>
        <w:tc>
          <w:tcPr>
            <w:tcW w:w="809" w:type="dxa"/>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环境要素</w:t>
            </w:r>
          </w:p>
        </w:tc>
        <w:tc>
          <w:tcPr>
            <w:tcW w:w="2536" w:type="dxa"/>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评价类别</w:t>
            </w:r>
          </w:p>
        </w:tc>
        <w:tc>
          <w:tcPr>
            <w:tcW w:w="5129" w:type="dxa"/>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评价因子</w:t>
            </w:r>
          </w:p>
        </w:tc>
      </w:tr>
      <w:tr w:rsidR="002A5A5E" w:rsidRPr="00FC1444">
        <w:trPr>
          <w:trHeight w:val="264"/>
          <w:jc w:val="center"/>
        </w:trPr>
        <w:tc>
          <w:tcPr>
            <w:tcW w:w="809" w:type="dxa"/>
            <w:vMerge w:val="restart"/>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环境空气</w:t>
            </w:r>
          </w:p>
        </w:tc>
        <w:tc>
          <w:tcPr>
            <w:tcW w:w="2536" w:type="dxa"/>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现状评价</w:t>
            </w:r>
          </w:p>
        </w:tc>
        <w:tc>
          <w:tcPr>
            <w:tcW w:w="5129" w:type="dxa"/>
            <w:vAlign w:val="center"/>
          </w:tcPr>
          <w:p w:rsidR="002A5A5E" w:rsidRPr="00FC1444" w:rsidRDefault="00611CBA">
            <w:pPr>
              <w:snapToGrid w:val="0"/>
              <w:jc w:val="center"/>
              <w:rPr>
                <w:rFonts w:eastAsiaTheme="minorEastAsia"/>
                <w:spacing w:val="22"/>
                <w:kern w:val="0"/>
                <w:szCs w:val="21"/>
              </w:rPr>
            </w:pPr>
            <w:r w:rsidRPr="00FC1444">
              <w:rPr>
                <w:rFonts w:eastAsiaTheme="minorEastAsia"/>
                <w:spacing w:val="22"/>
                <w:kern w:val="0"/>
                <w:szCs w:val="21"/>
              </w:rPr>
              <w:t>PM</w:t>
            </w:r>
            <w:r w:rsidRPr="00FC1444">
              <w:rPr>
                <w:rFonts w:eastAsiaTheme="minorEastAsia"/>
                <w:spacing w:val="22"/>
                <w:kern w:val="0"/>
                <w:szCs w:val="21"/>
                <w:vertAlign w:val="subscript"/>
              </w:rPr>
              <w:t>10</w:t>
            </w:r>
            <w:r w:rsidRPr="00FC1444">
              <w:rPr>
                <w:rFonts w:eastAsiaTheme="minorEastAsia"/>
                <w:spacing w:val="22"/>
                <w:kern w:val="0"/>
                <w:szCs w:val="21"/>
              </w:rPr>
              <w:t>、</w:t>
            </w:r>
            <w:r w:rsidRPr="00FC1444">
              <w:rPr>
                <w:rFonts w:eastAsiaTheme="minorEastAsia"/>
                <w:spacing w:val="22"/>
                <w:kern w:val="0"/>
                <w:szCs w:val="21"/>
              </w:rPr>
              <w:t>PM</w:t>
            </w:r>
            <w:r w:rsidRPr="00FC1444">
              <w:rPr>
                <w:rFonts w:eastAsiaTheme="minorEastAsia"/>
                <w:spacing w:val="22"/>
                <w:kern w:val="0"/>
                <w:szCs w:val="21"/>
                <w:vertAlign w:val="subscript"/>
              </w:rPr>
              <w:t>2.5</w:t>
            </w:r>
            <w:r w:rsidRPr="00FC1444">
              <w:rPr>
                <w:rFonts w:eastAsiaTheme="minorEastAsia"/>
                <w:spacing w:val="22"/>
                <w:kern w:val="0"/>
                <w:szCs w:val="21"/>
              </w:rPr>
              <w:t>、</w:t>
            </w:r>
            <w:r w:rsidRPr="00FC1444">
              <w:rPr>
                <w:rFonts w:eastAsiaTheme="minorEastAsia"/>
                <w:spacing w:val="22"/>
                <w:kern w:val="0"/>
                <w:szCs w:val="21"/>
              </w:rPr>
              <w:t>NO</w:t>
            </w:r>
            <w:r w:rsidRPr="00FC1444">
              <w:rPr>
                <w:rFonts w:eastAsiaTheme="minorEastAsia"/>
                <w:spacing w:val="22"/>
                <w:kern w:val="0"/>
                <w:szCs w:val="21"/>
                <w:vertAlign w:val="subscript"/>
              </w:rPr>
              <w:t>2</w:t>
            </w:r>
            <w:r w:rsidRPr="00FC1444">
              <w:rPr>
                <w:rFonts w:eastAsiaTheme="minorEastAsia"/>
                <w:spacing w:val="22"/>
                <w:kern w:val="0"/>
                <w:szCs w:val="21"/>
              </w:rPr>
              <w:t>、</w:t>
            </w:r>
            <w:r w:rsidRPr="00FC1444">
              <w:rPr>
                <w:rFonts w:eastAsiaTheme="minorEastAsia"/>
                <w:spacing w:val="22"/>
                <w:kern w:val="0"/>
                <w:szCs w:val="21"/>
              </w:rPr>
              <w:t>SO</w:t>
            </w:r>
            <w:r w:rsidRPr="00FC1444">
              <w:rPr>
                <w:rFonts w:eastAsiaTheme="minorEastAsia"/>
                <w:spacing w:val="22"/>
                <w:kern w:val="0"/>
                <w:szCs w:val="21"/>
                <w:vertAlign w:val="subscript"/>
              </w:rPr>
              <w:t>2</w:t>
            </w:r>
            <w:r w:rsidRPr="00FC1444">
              <w:rPr>
                <w:rFonts w:eastAsiaTheme="minorEastAsia"/>
                <w:spacing w:val="22"/>
                <w:kern w:val="0"/>
                <w:szCs w:val="21"/>
              </w:rPr>
              <w:t>、</w:t>
            </w:r>
            <w:r w:rsidRPr="00FC1444">
              <w:rPr>
                <w:rFonts w:eastAsiaTheme="minorEastAsia"/>
                <w:spacing w:val="22"/>
                <w:kern w:val="0"/>
                <w:szCs w:val="21"/>
              </w:rPr>
              <w:t>CO</w:t>
            </w:r>
            <w:r w:rsidRPr="00FC1444">
              <w:rPr>
                <w:rFonts w:eastAsiaTheme="minorEastAsia"/>
                <w:spacing w:val="22"/>
                <w:kern w:val="0"/>
                <w:szCs w:val="21"/>
              </w:rPr>
              <w:t>、</w:t>
            </w:r>
            <w:r w:rsidRPr="00FC1444">
              <w:rPr>
                <w:rFonts w:eastAsiaTheme="minorEastAsia"/>
                <w:spacing w:val="22"/>
                <w:kern w:val="0"/>
                <w:szCs w:val="21"/>
              </w:rPr>
              <w:t>O</w:t>
            </w:r>
            <w:r w:rsidRPr="00FC1444">
              <w:rPr>
                <w:rFonts w:eastAsiaTheme="minorEastAsia"/>
                <w:spacing w:val="22"/>
                <w:kern w:val="0"/>
                <w:szCs w:val="21"/>
                <w:vertAlign w:val="subscript"/>
              </w:rPr>
              <w:t>3</w:t>
            </w:r>
            <w:r w:rsidRPr="00FC1444">
              <w:rPr>
                <w:rFonts w:eastAsiaTheme="minorEastAsia"/>
                <w:spacing w:val="22"/>
                <w:kern w:val="0"/>
                <w:szCs w:val="21"/>
              </w:rPr>
              <w:t>、</w:t>
            </w:r>
            <w:r w:rsidRPr="00FC1444">
              <w:rPr>
                <w:rFonts w:eastAsiaTheme="minorEastAsia"/>
                <w:spacing w:val="22"/>
                <w:kern w:val="0"/>
                <w:szCs w:val="21"/>
              </w:rPr>
              <w:t>TSP</w:t>
            </w:r>
          </w:p>
        </w:tc>
      </w:tr>
      <w:tr w:rsidR="002A5A5E" w:rsidRPr="00FC1444">
        <w:trPr>
          <w:trHeight w:val="141"/>
          <w:jc w:val="center"/>
        </w:trPr>
        <w:tc>
          <w:tcPr>
            <w:tcW w:w="809" w:type="dxa"/>
            <w:vMerge/>
            <w:vAlign w:val="center"/>
          </w:tcPr>
          <w:p w:rsidR="002A5A5E" w:rsidRPr="00FC1444" w:rsidRDefault="002A5A5E">
            <w:pPr>
              <w:widowControl/>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施工期环境影响评价</w:t>
            </w:r>
          </w:p>
        </w:tc>
        <w:tc>
          <w:tcPr>
            <w:tcW w:w="5129" w:type="dxa"/>
            <w:vAlign w:val="center"/>
          </w:tcPr>
          <w:p w:rsidR="002A5A5E" w:rsidRPr="00FC1444" w:rsidRDefault="00611CBA">
            <w:pPr>
              <w:snapToGrid w:val="0"/>
              <w:jc w:val="center"/>
              <w:rPr>
                <w:rFonts w:eastAsiaTheme="minorEastAsia"/>
                <w:spacing w:val="22"/>
                <w:kern w:val="0"/>
                <w:szCs w:val="21"/>
              </w:rPr>
            </w:pPr>
            <w:r w:rsidRPr="00FC1444">
              <w:rPr>
                <w:rFonts w:eastAsiaTheme="minorEastAsia"/>
                <w:snapToGrid w:val="0"/>
                <w:kern w:val="0"/>
              </w:rPr>
              <w:t>TSP</w:t>
            </w:r>
            <w:r w:rsidRPr="00FC1444">
              <w:rPr>
                <w:rFonts w:eastAsiaTheme="minorEastAsia"/>
                <w:snapToGrid w:val="0"/>
                <w:kern w:val="0"/>
              </w:rPr>
              <w:t>、</w:t>
            </w:r>
            <w:r w:rsidRPr="00FC1444">
              <w:rPr>
                <w:rFonts w:eastAsiaTheme="minorEastAsia"/>
                <w:snapToGrid w:val="0"/>
                <w:kern w:val="0"/>
              </w:rPr>
              <w:t>CO</w:t>
            </w:r>
            <w:r w:rsidRPr="00FC1444">
              <w:rPr>
                <w:rFonts w:eastAsiaTheme="minorEastAsia"/>
                <w:snapToGrid w:val="0"/>
                <w:kern w:val="0"/>
              </w:rPr>
              <w:t>、</w:t>
            </w:r>
            <w:r w:rsidRPr="00FC1444">
              <w:rPr>
                <w:rFonts w:eastAsiaTheme="minorEastAsia"/>
                <w:spacing w:val="22"/>
                <w:kern w:val="0"/>
                <w:szCs w:val="21"/>
              </w:rPr>
              <w:t>HC+NO</w:t>
            </w:r>
            <w:r w:rsidRPr="00FC1444">
              <w:rPr>
                <w:rFonts w:eastAsiaTheme="minorEastAsia"/>
                <w:spacing w:val="22"/>
                <w:kern w:val="0"/>
                <w:szCs w:val="21"/>
                <w:vertAlign w:val="subscript"/>
              </w:rPr>
              <w:t>x</w:t>
            </w:r>
            <w:r w:rsidRPr="00FC1444">
              <w:rPr>
                <w:rFonts w:eastAsiaTheme="minorEastAsia"/>
                <w:snapToGrid w:val="0"/>
                <w:kern w:val="0"/>
              </w:rPr>
              <w:t>、</w:t>
            </w:r>
            <w:r w:rsidRPr="00FC1444">
              <w:rPr>
                <w:rFonts w:eastAsiaTheme="minorEastAsia"/>
                <w:bCs/>
                <w:snapToGrid w:val="0"/>
                <w:kern w:val="0"/>
              </w:rPr>
              <w:t>THC</w:t>
            </w:r>
            <w:r w:rsidRPr="00FC1444">
              <w:rPr>
                <w:rFonts w:eastAsiaTheme="minorEastAsia"/>
                <w:bCs/>
                <w:snapToGrid w:val="0"/>
                <w:kern w:val="0"/>
              </w:rPr>
              <w:t>、</w:t>
            </w:r>
            <w:r w:rsidRPr="00FC1444">
              <w:rPr>
                <w:rFonts w:eastAsiaTheme="minorEastAsia"/>
                <w:snapToGrid w:val="0"/>
                <w:kern w:val="0"/>
              </w:rPr>
              <w:t>臭气浓度</w:t>
            </w:r>
          </w:p>
        </w:tc>
      </w:tr>
      <w:tr w:rsidR="002A5A5E" w:rsidRPr="00FC1444">
        <w:trPr>
          <w:trHeight w:val="141"/>
          <w:jc w:val="center"/>
        </w:trPr>
        <w:tc>
          <w:tcPr>
            <w:tcW w:w="809" w:type="dxa"/>
            <w:vMerge/>
            <w:vAlign w:val="center"/>
          </w:tcPr>
          <w:p w:rsidR="002A5A5E" w:rsidRPr="00FC1444" w:rsidRDefault="002A5A5E">
            <w:pPr>
              <w:widowControl/>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运营期环境影响评价</w:t>
            </w:r>
          </w:p>
        </w:tc>
        <w:tc>
          <w:tcPr>
            <w:tcW w:w="5129" w:type="dxa"/>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CO</w:t>
            </w:r>
            <w:r w:rsidRPr="00FC1444">
              <w:rPr>
                <w:rFonts w:eastAsiaTheme="minorEastAsia"/>
                <w:snapToGrid w:val="0"/>
                <w:kern w:val="0"/>
              </w:rPr>
              <w:t>、</w:t>
            </w:r>
            <w:r w:rsidRPr="00FC1444">
              <w:rPr>
                <w:rFonts w:eastAsiaTheme="minorEastAsia"/>
                <w:spacing w:val="22"/>
                <w:kern w:val="0"/>
                <w:szCs w:val="21"/>
              </w:rPr>
              <w:t>HC+NO</w:t>
            </w:r>
            <w:r w:rsidRPr="00FC1444">
              <w:rPr>
                <w:rFonts w:eastAsiaTheme="minorEastAsia"/>
                <w:spacing w:val="22"/>
                <w:kern w:val="0"/>
                <w:szCs w:val="21"/>
                <w:vertAlign w:val="subscript"/>
              </w:rPr>
              <w:t>x</w:t>
            </w:r>
            <w:r w:rsidRPr="00FC1444">
              <w:rPr>
                <w:rFonts w:eastAsiaTheme="minorEastAsia"/>
                <w:snapToGrid w:val="0"/>
                <w:kern w:val="0"/>
              </w:rPr>
              <w:t>、</w:t>
            </w:r>
            <w:r w:rsidRPr="00FC1444">
              <w:rPr>
                <w:rFonts w:eastAsiaTheme="minorEastAsia"/>
                <w:bCs/>
                <w:snapToGrid w:val="0"/>
                <w:kern w:val="0"/>
              </w:rPr>
              <w:t>THC</w:t>
            </w:r>
          </w:p>
        </w:tc>
      </w:tr>
      <w:tr w:rsidR="002A5A5E" w:rsidRPr="00FC1444">
        <w:trPr>
          <w:trHeight w:val="141"/>
          <w:jc w:val="center"/>
        </w:trPr>
        <w:tc>
          <w:tcPr>
            <w:tcW w:w="809" w:type="dxa"/>
            <w:vMerge w:val="restart"/>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声环境</w:t>
            </w:r>
          </w:p>
        </w:tc>
        <w:tc>
          <w:tcPr>
            <w:tcW w:w="2536" w:type="dxa"/>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现状评价</w:t>
            </w:r>
          </w:p>
        </w:tc>
        <w:tc>
          <w:tcPr>
            <w:tcW w:w="5129" w:type="dxa"/>
            <w:vMerge w:val="restart"/>
            <w:vAlign w:val="center"/>
          </w:tcPr>
          <w:p w:rsidR="002A5A5E" w:rsidRPr="00FC1444" w:rsidRDefault="00611CBA">
            <w:pPr>
              <w:snapToGrid w:val="0"/>
              <w:jc w:val="center"/>
              <w:rPr>
                <w:rFonts w:eastAsiaTheme="minorEastAsia"/>
                <w:spacing w:val="22"/>
                <w:kern w:val="0"/>
                <w:szCs w:val="21"/>
              </w:rPr>
            </w:pPr>
            <w:r w:rsidRPr="00FC1444">
              <w:rPr>
                <w:rFonts w:eastAsiaTheme="minorEastAsia"/>
                <w:snapToGrid w:val="0"/>
                <w:kern w:val="0"/>
                <w:lang w:val="zh-CN"/>
              </w:rPr>
              <w:t>等效连续</w:t>
            </w:r>
            <w:r w:rsidRPr="00FC1444">
              <w:rPr>
                <w:rFonts w:eastAsiaTheme="minorEastAsia"/>
                <w:snapToGrid w:val="0"/>
                <w:kern w:val="0"/>
                <w:lang w:val="zh-CN"/>
              </w:rPr>
              <w:t>A</w:t>
            </w:r>
            <w:r w:rsidRPr="00FC1444">
              <w:rPr>
                <w:rFonts w:eastAsiaTheme="minorEastAsia"/>
                <w:snapToGrid w:val="0"/>
                <w:kern w:val="0"/>
                <w:lang w:val="zh-CN"/>
              </w:rPr>
              <w:t>声级</w:t>
            </w:r>
            <w:r w:rsidRPr="00FC1444">
              <w:rPr>
                <w:rFonts w:eastAsiaTheme="minorEastAsia"/>
                <w:snapToGrid w:val="0"/>
                <w:kern w:val="0"/>
                <w:lang w:val="zh-CN"/>
              </w:rPr>
              <w:t>Leq</w:t>
            </w:r>
            <w:r w:rsidRPr="00FC1444">
              <w:rPr>
                <w:rFonts w:eastAsiaTheme="minorEastAsia"/>
                <w:snapToGrid w:val="0"/>
                <w:kern w:val="0"/>
                <w:lang w:val="zh-CN"/>
              </w:rPr>
              <w:t>（</w:t>
            </w:r>
            <w:r w:rsidRPr="00FC1444">
              <w:rPr>
                <w:rFonts w:eastAsiaTheme="minorEastAsia"/>
                <w:snapToGrid w:val="0"/>
                <w:kern w:val="0"/>
                <w:lang w:val="zh-CN"/>
              </w:rPr>
              <w:t>A</w:t>
            </w:r>
            <w:r w:rsidRPr="00FC1444">
              <w:rPr>
                <w:rFonts w:eastAsiaTheme="minorEastAsia"/>
                <w:snapToGrid w:val="0"/>
                <w:kern w:val="0"/>
                <w:lang w:val="zh-CN"/>
              </w:rPr>
              <w:t>）</w:t>
            </w:r>
          </w:p>
        </w:tc>
      </w:tr>
      <w:tr w:rsidR="002A5A5E" w:rsidRPr="00FC1444">
        <w:trPr>
          <w:trHeight w:val="160"/>
          <w:jc w:val="center"/>
        </w:trPr>
        <w:tc>
          <w:tcPr>
            <w:tcW w:w="809" w:type="dxa"/>
            <w:vMerge/>
            <w:vAlign w:val="center"/>
          </w:tcPr>
          <w:p w:rsidR="002A5A5E" w:rsidRPr="00FC1444" w:rsidRDefault="002A5A5E">
            <w:pPr>
              <w:widowControl/>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施工期环境影响评价</w:t>
            </w:r>
          </w:p>
        </w:tc>
        <w:tc>
          <w:tcPr>
            <w:tcW w:w="5129" w:type="dxa"/>
            <w:vMerge/>
            <w:vAlign w:val="center"/>
          </w:tcPr>
          <w:p w:rsidR="002A5A5E" w:rsidRPr="00FC1444" w:rsidRDefault="002A5A5E">
            <w:pPr>
              <w:widowControl/>
              <w:jc w:val="center"/>
              <w:rPr>
                <w:rFonts w:eastAsiaTheme="minorEastAsia"/>
                <w:spacing w:val="22"/>
                <w:kern w:val="0"/>
                <w:szCs w:val="21"/>
              </w:rPr>
            </w:pPr>
          </w:p>
        </w:tc>
      </w:tr>
      <w:tr w:rsidR="002A5A5E" w:rsidRPr="00FC1444">
        <w:trPr>
          <w:trHeight w:val="160"/>
          <w:jc w:val="center"/>
        </w:trPr>
        <w:tc>
          <w:tcPr>
            <w:tcW w:w="809" w:type="dxa"/>
            <w:vMerge/>
            <w:vAlign w:val="center"/>
          </w:tcPr>
          <w:p w:rsidR="002A5A5E" w:rsidRPr="00FC1444" w:rsidRDefault="002A5A5E">
            <w:pPr>
              <w:widowControl/>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运营期环境影响评价</w:t>
            </w:r>
          </w:p>
        </w:tc>
        <w:tc>
          <w:tcPr>
            <w:tcW w:w="5129" w:type="dxa"/>
            <w:vMerge/>
            <w:vAlign w:val="center"/>
          </w:tcPr>
          <w:p w:rsidR="002A5A5E" w:rsidRPr="00FC1444" w:rsidRDefault="002A5A5E">
            <w:pPr>
              <w:widowControl/>
              <w:jc w:val="center"/>
              <w:rPr>
                <w:rFonts w:eastAsiaTheme="minorEastAsia"/>
                <w:spacing w:val="22"/>
                <w:kern w:val="0"/>
                <w:szCs w:val="21"/>
              </w:rPr>
            </w:pPr>
          </w:p>
        </w:tc>
      </w:tr>
      <w:tr w:rsidR="002A5A5E" w:rsidRPr="00FC1444">
        <w:trPr>
          <w:trHeight w:val="141"/>
          <w:jc w:val="center"/>
        </w:trPr>
        <w:tc>
          <w:tcPr>
            <w:tcW w:w="809" w:type="dxa"/>
            <w:vMerge w:val="restart"/>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地表水</w:t>
            </w:r>
          </w:p>
        </w:tc>
        <w:tc>
          <w:tcPr>
            <w:tcW w:w="2536" w:type="dxa"/>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现状评价</w:t>
            </w:r>
          </w:p>
        </w:tc>
        <w:tc>
          <w:tcPr>
            <w:tcW w:w="5129" w:type="dxa"/>
            <w:vAlign w:val="center"/>
          </w:tcPr>
          <w:p w:rsidR="002A5A5E" w:rsidRPr="00FC1444" w:rsidRDefault="00611CBA">
            <w:pPr>
              <w:snapToGrid w:val="0"/>
              <w:jc w:val="center"/>
              <w:rPr>
                <w:rFonts w:eastAsiaTheme="minorEastAsia"/>
                <w:kern w:val="0"/>
                <w:szCs w:val="21"/>
              </w:rPr>
            </w:pPr>
            <w:r w:rsidRPr="00FC1444">
              <w:rPr>
                <w:rFonts w:eastAsiaTheme="minorEastAsia"/>
                <w:snapToGrid w:val="0"/>
                <w:kern w:val="0"/>
              </w:rPr>
              <w:t>溶解氧、</w:t>
            </w:r>
            <w:r w:rsidRPr="00FC1444">
              <w:rPr>
                <w:rFonts w:eastAsiaTheme="minorEastAsia"/>
                <w:snapToGrid w:val="0"/>
                <w:kern w:val="0"/>
              </w:rPr>
              <w:t>COD</w:t>
            </w:r>
            <w:r w:rsidRPr="00FC1444">
              <w:rPr>
                <w:rFonts w:eastAsiaTheme="minorEastAsia"/>
                <w:snapToGrid w:val="0"/>
                <w:kern w:val="0"/>
              </w:rPr>
              <w:t>、高锰酸盐指数、</w:t>
            </w:r>
            <w:r w:rsidRPr="00FC1444">
              <w:rPr>
                <w:rFonts w:eastAsiaTheme="minorEastAsia"/>
                <w:snapToGrid w:val="0"/>
                <w:kern w:val="0"/>
              </w:rPr>
              <w:t>BOD</w:t>
            </w:r>
            <w:r w:rsidRPr="00FC1444">
              <w:rPr>
                <w:rFonts w:eastAsiaTheme="minorEastAsia"/>
                <w:snapToGrid w:val="0"/>
                <w:kern w:val="0"/>
                <w:vertAlign w:val="subscript"/>
              </w:rPr>
              <w:t>5</w:t>
            </w:r>
            <w:r w:rsidRPr="00FC1444">
              <w:rPr>
                <w:rFonts w:eastAsiaTheme="minorEastAsia"/>
                <w:snapToGrid w:val="0"/>
                <w:kern w:val="0"/>
              </w:rPr>
              <w:t>、氨氮、总磷</w:t>
            </w:r>
          </w:p>
        </w:tc>
      </w:tr>
      <w:tr w:rsidR="002A5A5E" w:rsidRPr="00FC1444">
        <w:trPr>
          <w:trHeight w:val="141"/>
          <w:jc w:val="center"/>
        </w:trPr>
        <w:tc>
          <w:tcPr>
            <w:tcW w:w="809" w:type="dxa"/>
            <w:vMerge/>
            <w:vAlign w:val="center"/>
          </w:tcPr>
          <w:p w:rsidR="002A5A5E" w:rsidRPr="00FC1444" w:rsidRDefault="002A5A5E">
            <w:pPr>
              <w:widowControl/>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施工期环境影响评价</w:t>
            </w:r>
          </w:p>
        </w:tc>
        <w:tc>
          <w:tcPr>
            <w:tcW w:w="5129" w:type="dxa"/>
            <w:vAlign w:val="center"/>
          </w:tcPr>
          <w:p w:rsidR="002A5A5E" w:rsidRPr="00FC1444" w:rsidRDefault="00611CBA">
            <w:pPr>
              <w:snapToGrid w:val="0"/>
              <w:jc w:val="center"/>
              <w:rPr>
                <w:rFonts w:eastAsiaTheme="minorEastAsia"/>
                <w:kern w:val="0"/>
                <w:szCs w:val="21"/>
              </w:rPr>
            </w:pPr>
            <w:r w:rsidRPr="00FC1444">
              <w:rPr>
                <w:rFonts w:eastAsiaTheme="minorEastAsia"/>
                <w:bCs/>
                <w:snapToGrid w:val="0"/>
                <w:kern w:val="0"/>
              </w:rPr>
              <w:t>COD</w:t>
            </w:r>
            <w:r w:rsidRPr="00FC1444">
              <w:rPr>
                <w:rFonts w:eastAsiaTheme="minorEastAsia"/>
                <w:bCs/>
                <w:snapToGrid w:val="0"/>
                <w:kern w:val="0"/>
              </w:rPr>
              <w:t>、氨氮、</w:t>
            </w:r>
            <w:r w:rsidRPr="00FC1444">
              <w:rPr>
                <w:rFonts w:eastAsiaTheme="minorEastAsia"/>
                <w:bCs/>
                <w:snapToGrid w:val="0"/>
                <w:kern w:val="0"/>
              </w:rPr>
              <w:t>pH</w:t>
            </w:r>
            <w:r w:rsidRPr="00FC1444">
              <w:rPr>
                <w:rFonts w:eastAsiaTheme="minorEastAsia"/>
                <w:bCs/>
                <w:snapToGrid w:val="0"/>
                <w:kern w:val="0"/>
              </w:rPr>
              <w:t>、</w:t>
            </w:r>
            <w:r w:rsidRPr="00FC1444">
              <w:rPr>
                <w:rFonts w:eastAsiaTheme="minorEastAsia"/>
                <w:bCs/>
                <w:snapToGrid w:val="0"/>
                <w:kern w:val="0"/>
              </w:rPr>
              <w:t>BOD</w:t>
            </w:r>
            <w:r w:rsidRPr="00FC1444">
              <w:rPr>
                <w:rFonts w:eastAsiaTheme="minorEastAsia"/>
                <w:bCs/>
                <w:snapToGrid w:val="0"/>
                <w:kern w:val="0"/>
                <w:vertAlign w:val="subscript"/>
              </w:rPr>
              <w:t>5</w:t>
            </w:r>
            <w:r w:rsidRPr="00FC1444">
              <w:rPr>
                <w:rFonts w:eastAsiaTheme="minorEastAsia"/>
                <w:bCs/>
                <w:snapToGrid w:val="0"/>
                <w:kern w:val="0"/>
              </w:rPr>
              <w:t>、</w:t>
            </w:r>
            <w:r w:rsidRPr="00FC1444">
              <w:rPr>
                <w:rFonts w:eastAsiaTheme="minorEastAsia"/>
                <w:bCs/>
                <w:snapToGrid w:val="0"/>
                <w:kern w:val="0"/>
              </w:rPr>
              <w:t>SS</w:t>
            </w:r>
          </w:p>
        </w:tc>
      </w:tr>
      <w:tr w:rsidR="002A5A5E" w:rsidRPr="00FC1444">
        <w:trPr>
          <w:trHeight w:val="141"/>
          <w:jc w:val="center"/>
        </w:trPr>
        <w:tc>
          <w:tcPr>
            <w:tcW w:w="809" w:type="dxa"/>
            <w:vMerge/>
            <w:vAlign w:val="center"/>
          </w:tcPr>
          <w:p w:rsidR="002A5A5E" w:rsidRPr="00FC1444" w:rsidRDefault="002A5A5E">
            <w:pPr>
              <w:widowControl/>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运营期环境影响评价</w:t>
            </w:r>
          </w:p>
        </w:tc>
        <w:tc>
          <w:tcPr>
            <w:tcW w:w="5129" w:type="dxa"/>
            <w:vAlign w:val="center"/>
          </w:tcPr>
          <w:p w:rsidR="002A5A5E" w:rsidRPr="00FC1444" w:rsidRDefault="00611CBA">
            <w:pPr>
              <w:snapToGrid w:val="0"/>
              <w:jc w:val="center"/>
              <w:rPr>
                <w:rFonts w:eastAsiaTheme="minorEastAsia"/>
                <w:snapToGrid w:val="0"/>
                <w:kern w:val="0"/>
                <w:lang w:val="zh-CN"/>
              </w:rPr>
            </w:pPr>
            <w:r w:rsidRPr="00FC1444">
              <w:rPr>
                <w:rFonts w:eastAsiaTheme="minorEastAsia"/>
                <w:bCs/>
                <w:snapToGrid w:val="0"/>
                <w:kern w:val="0"/>
              </w:rPr>
              <w:t>COD</w:t>
            </w:r>
            <w:r w:rsidRPr="00FC1444">
              <w:rPr>
                <w:rFonts w:eastAsiaTheme="minorEastAsia"/>
                <w:bCs/>
                <w:snapToGrid w:val="0"/>
                <w:kern w:val="0"/>
              </w:rPr>
              <w:t>、氨氮、总磷</w:t>
            </w:r>
            <w:r w:rsidR="00F33895" w:rsidRPr="00FC1444">
              <w:rPr>
                <w:rFonts w:eastAsiaTheme="minorEastAsia"/>
                <w:bCs/>
                <w:snapToGrid w:val="0"/>
                <w:kern w:val="0"/>
              </w:rPr>
              <w:t>、总氮</w:t>
            </w:r>
          </w:p>
        </w:tc>
      </w:tr>
    </w:tbl>
    <w:p w:rsidR="002A5A5E" w:rsidRPr="00FC1444" w:rsidRDefault="002A5A5E">
      <w:pPr>
        <w:rPr>
          <w:rFonts w:eastAsiaTheme="minorEastAsia"/>
        </w:rPr>
      </w:pPr>
    </w:p>
    <w:p w:rsidR="00775632" w:rsidRPr="00FC1444" w:rsidRDefault="00775632">
      <w:pPr>
        <w:rPr>
          <w:rFonts w:eastAsiaTheme="minorEastAsia"/>
        </w:rPr>
      </w:pPr>
    </w:p>
    <w:p w:rsidR="00775632" w:rsidRPr="00FC1444" w:rsidRDefault="00775632">
      <w:pPr>
        <w:rPr>
          <w:rFonts w:eastAsiaTheme="minorEastAsia"/>
        </w:rPr>
      </w:pPr>
    </w:p>
    <w:p w:rsidR="00775632" w:rsidRPr="00FC1444" w:rsidRDefault="00775632">
      <w:pPr>
        <w:rPr>
          <w:rFonts w:eastAsiaTheme="minorEastAsia"/>
        </w:rPr>
      </w:pPr>
    </w:p>
    <w:p w:rsidR="002A5A5E" w:rsidRPr="00FC1444" w:rsidRDefault="00611CBA">
      <w:pPr>
        <w:jc w:val="center"/>
        <w:rPr>
          <w:rFonts w:eastAsiaTheme="minorEastAsia"/>
          <w:b/>
          <w:szCs w:val="21"/>
        </w:rPr>
      </w:pPr>
      <w:r w:rsidRPr="00FC1444">
        <w:rPr>
          <w:rFonts w:eastAsiaTheme="minorEastAsia"/>
          <w:b/>
          <w:szCs w:val="21"/>
        </w:rPr>
        <w:lastRenderedPageBreak/>
        <w:t>续表</w:t>
      </w:r>
      <w:r w:rsidRPr="00FC1444">
        <w:rPr>
          <w:rFonts w:eastAsiaTheme="minorEastAsia"/>
          <w:b/>
          <w:szCs w:val="21"/>
        </w:rPr>
        <w:t>2-4-3</w:t>
      </w:r>
      <w:r w:rsidRPr="00FC1444">
        <w:rPr>
          <w:rFonts w:eastAsiaTheme="minorEastAsia"/>
          <w:b/>
          <w:szCs w:val="21"/>
        </w:rPr>
        <w:t>本项目</w:t>
      </w:r>
      <w:r w:rsidR="00FC1444" w:rsidRPr="00FC1444">
        <w:rPr>
          <w:rFonts w:eastAsiaTheme="minorEastAsia"/>
          <w:b/>
          <w:szCs w:val="21"/>
        </w:rPr>
        <w:t>生态</w:t>
      </w:r>
      <w:r w:rsidRPr="00FC1444">
        <w:rPr>
          <w:rFonts w:eastAsiaTheme="minorEastAsia"/>
          <w:b/>
          <w:szCs w:val="21"/>
        </w:rPr>
        <w:t>环境影响评价因子筛选结果</w:t>
      </w:r>
    </w:p>
    <w:tbl>
      <w:tblPr>
        <w:tblW w:w="8474"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809"/>
        <w:gridCol w:w="2536"/>
        <w:gridCol w:w="5129"/>
      </w:tblGrid>
      <w:tr w:rsidR="002A5A5E" w:rsidRPr="00FC1444">
        <w:trPr>
          <w:trHeight w:val="141"/>
          <w:jc w:val="center"/>
        </w:trPr>
        <w:tc>
          <w:tcPr>
            <w:tcW w:w="809" w:type="dxa"/>
            <w:vMerge w:val="restart"/>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地下水</w:t>
            </w:r>
          </w:p>
        </w:tc>
        <w:tc>
          <w:tcPr>
            <w:tcW w:w="2536" w:type="dxa"/>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现状评价</w:t>
            </w:r>
          </w:p>
        </w:tc>
        <w:tc>
          <w:tcPr>
            <w:tcW w:w="5129" w:type="dxa"/>
            <w:vAlign w:val="center"/>
          </w:tcPr>
          <w:p w:rsidR="002A5A5E" w:rsidRPr="00FC1444" w:rsidRDefault="00611CBA">
            <w:pPr>
              <w:snapToGrid w:val="0"/>
              <w:jc w:val="center"/>
              <w:rPr>
                <w:rFonts w:eastAsiaTheme="minorEastAsia"/>
                <w:kern w:val="0"/>
                <w:szCs w:val="21"/>
              </w:rPr>
            </w:pPr>
            <w:r w:rsidRPr="00FC1444">
              <w:rPr>
                <w:rFonts w:eastAsiaTheme="minorEastAsia"/>
                <w:bCs/>
                <w:kern w:val="0"/>
              </w:rPr>
              <w:t>K</w:t>
            </w:r>
            <w:r w:rsidRPr="00FC1444">
              <w:rPr>
                <w:rFonts w:eastAsiaTheme="minorEastAsia"/>
                <w:bCs/>
                <w:kern w:val="0"/>
                <w:vertAlign w:val="superscript"/>
              </w:rPr>
              <w:t>+</w:t>
            </w:r>
            <w:r w:rsidRPr="00FC1444">
              <w:rPr>
                <w:rFonts w:eastAsiaTheme="minorEastAsia"/>
                <w:bCs/>
                <w:kern w:val="0"/>
              </w:rPr>
              <w:t>、</w:t>
            </w:r>
            <w:r w:rsidRPr="00FC1444">
              <w:rPr>
                <w:rFonts w:eastAsiaTheme="minorEastAsia"/>
                <w:bCs/>
                <w:kern w:val="0"/>
              </w:rPr>
              <w:t>Na</w:t>
            </w:r>
            <w:r w:rsidRPr="00FC1444">
              <w:rPr>
                <w:rFonts w:eastAsiaTheme="minorEastAsia"/>
                <w:bCs/>
                <w:kern w:val="0"/>
                <w:vertAlign w:val="superscript"/>
              </w:rPr>
              <w:t>+</w:t>
            </w:r>
            <w:r w:rsidRPr="00FC1444">
              <w:rPr>
                <w:rFonts w:eastAsiaTheme="minorEastAsia"/>
                <w:bCs/>
                <w:kern w:val="0"/>
              </w:rPr>
              <w:t>、</w:t>
            </w:r>
            <w:r w:rsidRPr="00FC1444">
              <w:rPr>
                <w:rFonts w:eastAsiaTheme="minorEastAsia"/>
                <w:bCs/>
                <w:kern w:val="0"/>
              </w:rPr>
              <w:t>Ca</w:t>
            </w:r>
            <w:r w:rsidRPr="00FC1444">
              <w:rPr>
                <w:rFonts w:eastAsiaTheme="minorEastAsia"/>
                <w:bCs/>
                <w:kern w:val="0"/>
                <w:vertAlign w:val="superscript"/>
              </w:rPr>
              <w:t>2+</w:t>
            </w:r>
            <w:r w:rsidRPr="00FC1444">
              <w:rPr>
                <w:rFonts w:eastAsiaTheme="minorEastAsia"/>
                <w:bCs/>
                <w:kern w:val="0"/>
              </w:rPr>
              <w:t>、</w:t>
            </w:r>
            <w:r w:rsidRPr="00FC1444">
              <w:rPr>
                <w:rFonts w:eastAsiaTheme="minorEastAsia"/>
                <w:bCs/>
                <w:kern w:val="0"/>
              </w:rPr>
              <w:t>Mg</w:t>
            </w:r>
            <w:r w:rsidRPr="00FC1444">
              <w:rPr>
                <w:rFonts w:eastAsiaTheme="minorEastAsia"/>
                <w:bCs/>
                <w:kern w:val="0"/>
                <w:vertAlign w:val="superscript"/>
              </w:rPr>
              <w:t>2+</w:t>
            </w:r>
            <w:r w:rsidRPr="00FC1444">
              <w:rPr>
                <w:rFonts w:eastAsiaTheme="minorEastAsia"/>
                <w:bCs/>
                <w:kern w:val="0"/>
              </w:rPr>
              <w:t>、</w:t>
            </w:r>
            <w:r w:rsidRPr="00FC1444">
              <w:rPr>
                <w:rFonts w:eastAsiaTheme="minorEastAsia"/>
                <w:bCs/>
                <w:kern w:val="0"/>
              </w:rPr>
              <w:t>CO</w:t>
            </w:r>
            <w:r w:rsidRPr="00FC1444">
              <w:rPr>
                <w:rFonts w:eastAsiaTheme="minorEastAsia"/>
                <w:bCs/>
                <w:kern w:val="0"/>
                <w:vertAlign w:val="subscript"/>
              </w:rPr>
              <w:t>3</w:t>
            </w:r>
            <w:r w:rsidRPr="00FC1444">
              <w:rPr>
                <w:rFonts w:eastAsiaTheme="minorEastAsia"/>
                <w:bCs/>
                <w:kern w:val="0"/>
                <w:vertAlign w:val="superscript"/>
              </w:rPr>
              <w:t>2-</w:t>
            </w:r>
            <w:r w:rsidRPr="00FC1444">
              <w:rPr>
                <w:rFonts w:eastAsiaTheme="minorEastAsia"/>
                <w:bCs/>
                <w:kern w:val="0"/>
              </w:rPr>
              <w:t>、</w:t>
            </w:r>
            <w:r w:rsidRPr="00FC1444">
              <w:rPr>
                <w:rFonts w:eastAsiaTheme="minorEastAsia"/>
                <w:bCs/>
                <w:kern w:val="0"/>
              </w:rPr>
              <w:t>HCO</w:t>
            </w:r>
            <w:r w:rsidRPr="00FC1444">
              <w:rPr>
                <w:rFonts w:eastAsiaTheme="minorEastAsia"/>
                <w:bCs/>
                <w:kern w:val="0"/>
                <w:vertAlign w:val="subscript"/>
              </w:rPr>
              <w:t>3</w:t>
            </w:r>
            <w:r w:rsidRPr="00FC1444">
              <w:rPr>
                <w:rFonts w:eastAsiaTheme="minorEastAsia"/>
                <w:bCs/>
                <w:kern w:val="0"/>
                <w:vertAlign w:val="superscript"/>
              </w:rPr>
              <w:t>-</w:t>
            </w:r>
            <w:r w:rsidRPr="00FC1444">
              <w:rPr>
                <w:rFonts w:eastAsiaTheme="minorEastAsia"/>
                <w:bCs/>
                <w:kern w:val="0"/>
              </w:rPr>
              <w:t>、硫酸盐、氯化物、</w:t>
            </w:r>
            <w:r w:rsidRPr="00FC1444">
              <w:rPr>
                <w:rFonts w:eastAsiaTheme="minorEastAsia"/>
                <w:bCs/>
                <w:kern w:val="0"/>
              </w:rPr>
              <w:t>pH</w:t>
            </w:r>
            <w:r w:rsidRPr="00FC1444">
              <w:rPr>
                <w:rFonts w:eastAsiaTheme="minorEastAsia"/>
                <w:bCs/>
                <w:kern w:val="0"/>
              </w:rPr>
              <w:t>、氨氮、亚硝酸盐氮、硝酸盐氮、挥发酚、溶解性总固体、耗氧量（</w:t>
            </w:r>
            <w:r w:rsidRPr="00FC1444">
              <w:rPr>
                <w:rFonts w:eastAsiaTheme="minorEastAsia"/>
                <w:bCs/>
                <w:kern w:val="0"/>
              </w:rPr>
              <w:t>COD</w:t>
            </w:r>
            <w:r w:rsidRPr="00FC1444">
              <w:rPr>
                <w:rFonts w:eastAsiaTheme="minorEastAsia"/>
                <w:bCs/>
                <w:kern w:val="0"/>
                <w:vertAlign w:val="subscript"/>
              </w:rPr>
              <w:t>Mn</w:t>
            </w:r>
            <w:r w:rsidRPr="00FC1444">
              <w:rPr>
                <w:rFonts w:eastAsiaTheme="minorEastAsia"/>
                <w:bCs/>
                <w:kern w:val="0"/>
              </w:rPr>
              <w:t>法、以</w:t>
            </w:r>
            <w:r w:rsidRPr="00FC1444">
              <w:rPr>
                <w:rFonts w:eastAsiaTheme="minorEastAsia"/>
                <w:bCs/>
                <w:kern w:val="0"/>
              </w:rPr>
              <w:t>O</w:t>
            </w:r>
            <w:r w:rsidRPr="00FC1444">
              <w:rPr>
                <w:rFonts w:eastAsiaTheme="minorEastAsia"/>
                <w:bCs/>
                <w:kern w:val="0"/>
                <w:vertAlign w:val="subscript"/>
              </w:rPr>
              <w:t>2</w:t>
            </w:r>
            <w:r w:rsidRPr="00FC1444">
              <w:rPr>
                <w:rFonts w:eastAsiaTheme="minorEastAsia"/>
                <w:bCs/>
                <w:kern w:val="0"/>
              </w:rPr>
              <w:t>计）、六价铬、总硬度、氟化物、总大肠菌群、细菌总数、铁、锰、铅、镉、砷、汞、水位、石油类</w:t>
            </w:r>
          </w:p>
        </w:tc>
      </w:tr>
      <w:tr w:rsidR="002A5A5E" w:rsidRPr="00FC1444">
        <w:trPr>
          <w:trHeight w:val="141"/>
          <w:jc w:val="center"/>
        </w:trPr>
        <w:tc>
          <w:tcPr>
            <w:tcW w:w="809" w:type="dxa"/>
            <w:vMerge/>
            <w:vAlign w:val="center"/>
          </w:tcPr>
          <w:p w:rsidR="002A5A5E" w:rsidRPr="00FC1444" w:rsidRDefault="002A5A5E">
            <w:pPr>
              <w:widowControl/>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施工期环境影响评价</w:t>
            </w:r>
          </w:p>
        </w:tc>
        <w:tc>
          <w:tcPr>
            <w:tcW w:w="5129" w:type="dxa"/>
            <w:vAlign w:val="center"/>
          </w:tcPr>
          <w:p w:rsidR="002A5A5E" w:rsidRPr="00FC1444" w:rsidRDefault="00611CBA">
            <w:pPr>
              <w:snapToGrid w:val="0"/>
              <w:jc w:val="center"/>
              <w:rPr>
                <w:rFonts w:eastAsiaTheme="minorEastAsia"/>
                <w:kern w:val="0"/>
                <w:szCs w:val="21"/>
              </w:rPr>
            </w:pPr>
            <w:r w:rsidRPr="00FC1444">
              <w:rPr>
                <w:rFonts w:eastAsiaTheme="minorEastAsia"/>
                <w:bCs/>
                <w:kern w:val="0"/>
              </w:rPr>
              <w:t>SS</w:t>
            </w:r>
          </w:p>
        </w:tc>
      </w:tr>
      <w:tr w:rsidR="002A5A5E" w:rsidRPr="00FC1444">
        <w:trPr>
          <w:trHeight w:val="141"/>
          <w:jc w:val="center"/>
        </w:trPr>
        <w:tc>
          <w:tcPr>
            <w:tcW w:w="809" w:type="dxa"/>
            <w:vMerge/>
            <w:vAlign w:val="center"/>
          </w:tcPr>
          <w:p w:rsidR="002A5A5E" w:rsidRPr="00FC1444" w:rsidRDefault="002A5A5E">
            <w:pPr>
              <w:snapToGrid w:val="0"/>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运营期环境影响评价</w:t>
            </w:r>
          </w:p>
        </w:tc>
        <w:tc>
          <w:tcPr>
            <w:tcW w:w="5129" w:type="dxa"/>
            <w:vAlign w:val="center"/>
          </w:tcPr>
          <w:p w:rsidR="002A5A5E" w:rsidRPr="00FC1444" w:rsidRDefault="00611CBA">
            <w:pPr>
              <w:snapToGrid w:val="0"/>
              <w:jc w:val="center"/>
              <w:rPr>
                <w:rFonts w:eastAsiaTheme="minorEastAsia"/>
                <w:bCs/>
                <w:szCs w:val="21"/>
              </w:rPr>
            </w:pPr>
            <w:r w:rsidRPr="00FC1444">
              <w:rPr>
                <w:rFonts w:eastAsiaTheme="minorEastAsia"/>
                <w:bCs/>
                <w:kern w:val="0"/>
              </w:rPr>
              <w:t>石油类、</w:t>
            </w:r>
            <w:r w:rsidRPr="00FC1444">
              <w:rPr>
                <w:rFonts w:eastAsiaTheme="minorEastAsia"/>
                <w:bCs/>
                <w:szCs w:val="21"/>
              </w:rPr>
              <w:t>地下水量、地下水降深及影响范围</w:t>
            </w:r>
          </w:p>
        </w:tc>
      </w:tr>
      <w:tr w:rsidR="002A5A5E" w:rsidRPr="00FC1444">
        <w:trPr>
          <w:trHeight w:val="141"/>
          <w:jc w:val="center"/>
        </w:trPr>
        <w:tc>
          <w:tcPr>
            <w:tcW w:w="809" w:type="dxa"/>
            <w:vMerge w:val="restart"/>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固体废物</w:t>
            </w:r>
          </w:p>
        </w:tc>
        <w:tc>
          <w:tcPr>
            <w:tcW w:w="2536" w:type="dxa"/>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现状评价</w:t>
            </w:r>
          </w:p>
        </w:tc>
        <w:tc>
          <w:tcPr>
            <w:tcW w:w="5129" w:type="dxa"/>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w:t>
            </w:r>
          </w:p>
        </w:tc>
      </w:tr>
      <w:tr w:rsidR="002A5A5E" w:rsidRPr="00FC1444">
        <w:trPr>
          <w:trHeight w:val="141"/>
          <w:jc w:val="center"/>
        </w:trPr>
        <w:tc>
          <w:tcPr>
            <w:tcW w:w="809" w:type="dxa"/>
            <w:vMerge/>
            <w:vAlign w:val="center"/>
          </w:tcPr>
          <w:p w:rsidR="002A5A5E" w:rsidRPr="00FC1444" w:rsidRDefault="002A5A5E">
            <w:pPr>
              <w:snapToGrid w:val="0"/>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施工期环境影响评价</w:t>
            </w:r>
          </w:p>
        </w:tc>
        <w:tc>
          <w:tcPr>
            <w:tcW w:w="5129" w:type="dxa"/>
            <w:vAlign w:val="center"/>
          </w:tcPr>
          <w:p w:rsidR="002A5A5E" w:rsidRPr="00FC1444" w:rsidRDefault="00957CE3">
            <w:pPr>
              <w:snapToGrid w:val="0"/>
              <w:jc w:val="center"/>
              <w:rPr>
                <w:rFonts w:eastAsiaTheme="minorEastAsia"/>
                <w:spacing w:val="22"/>
                <w:kern w:val="0"/>
                <w:szCs w:val="21"/>
              </w:rPr>
            </w:pPr>
            <w:r w:rsidRPr="00FC1444">
              <w:rPr>
                <w:rFonts w:eastAsiaTheme="minorEastAsia"/>
                <w:spacing w:val="22"/>
                <w:kern w:val="0"/>
                <w:szCs w:val="21"/>
              </w:rPr>
              <w:t>生活垃圾、建筑垃圾、土</w:t>
            </w:r>
            <w:r w:rsidR="00611CBA" w:rsidRPr="00FC1444">
              <w:rPr>
                <w:rFonts w:eastAsiaTheme="minorEastAsia"/>
                <w:spacing w:val="22"/>
                <w:kern w:val="0"/>
                <w:szCs w:val="21"/>
              </w:rPr>
              <w:t>方、淤泥</w:t>
            </w:r>
            <w:r w:rsidR="00611CBA" w:rsidRPr="00FC1444">
              <w:rPr>
                <w:rFonts w:eastAsiaTheme="minorEastAsia"/>
                <w:snapToGrid w:val="0"/>
                <w:kern w:val="0"/>
              </w:rPr>
              <w:t>、废肥料包装袋</w:t>
            </w:r>
          </w:p>
        </w:tc>
      </w:tr>
      <w:tr w:rsidR="002A5A5E" w:rsidRPr="00FC1444">
        <w:trPr>
          <w:trHeight w:val="141"/>
          <w:jc w:val="center"/>
        </w:trPr>
        <w:tc>
          <w:tcPr>
            <w:tcW w:w="809" w:type="dxa"/>
            <w:vMerge/>
            <w:vAlign w:val="center"/>
          </w:tcPr>
          <w:p w:rsidR="002A5A5E" w:rsidRPr="00FC1444" w:rsidRDefault="002A5A5E">
            <w:pPr>
              <w:snapToGrid w:val="0"/>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运营期环境影响评价</w:t>
            </w:r>
          </w:p>
        </w:tc>
        <w:tc>
          <w:tcPr>
            <w:tcW w:w="5129" w:type="dxa"/>
            <w:vAlign w:val="center"/>
          </w:tcPr>
          <w:p w:rsidR="002A5A5E" w:rsidRPr="00FC1444" w:rsidRDefault="00611CBA">
            <w:pPr>
              <w:snapToGrid w:val="0"/>
              <w:jc w:val="center"/>
              <w:rPr>
                <w:rFonts w:eastAsiaTheme="minorEastAsia"/>
                <w:spacing w:val="22"/>
                <w:kern w:val="0"/>
                <w:szCs w:val="21"/>
              </w:rPr>
            </w:pPr>
            <w:r w:rsidRPr="00FC1444">
              <w:rPr>
                <w:rFonts w:eastAsiaTheme="minorEastAsia"/>
                <w:snapToGrid w:val="0"/>
                <w:kern w:val="0"/>
              </w:rPr>
              <w:t>秸秆、废肥料包装袋、废农药包装物</w:t>
            </w:r>
          </w:p>
        </w:tc>
      </w:tr>
      <w:tr w:rsidR="002A5A5E" w:rsidRPr="00FC1444">
        <w:trPr>
          <w:trHeight w:val="141"/>
          <w:jc w:val="center"/>
        </w:trPr>
        <w:tc>
          <w:tcPr>
            <w:tcW w:w="809" w:type="dxa"/>
            <w:vMerge w:val="restart"/>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土壤</w:t>
            </w:r>
          </w:p>
        </w:tc>
        <w:tc>
          <w:tcPr>
            <w:tcW w:w="2536" w:type="dxa"/>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现状评价</w:t>
            </w:r>
          </w:p>
        </w:tc>
        <w:tc>
          <w:tcPr>
            <w:tcW w:w="5129" w:type="dxa"/>
            <w:vAlign w:val="center"/>
          </w:tcPr>
          <w:p w:rsidR="002A5A5E" w:rsidRPr="00FC1444" w:rsidRDefault="00611CBA">
            <w:pPr>
              <w:snapToGrid w:val="0"/>
              <w:jc w:val="center"/>
              <w:rPr>
                <w:rFonts w:eastAsiaTheme="minorEastAsia"/>
                <w:spacing w:val="22"/>
                <w:kern w:val="0"/>
                <w:szCs w:val="21"/>
              </w:rPr>
            </w:pPr>
            <w:r w:rsidRPr="00FC1444">
              <w:rPr>
                <w:rFonts w:eastAsiaTheme="minorEastAsia"/>
                <w:spacing w:val="22"/>
                <w:kern w:val="0"/>
                <w:szCs w:val="21"/>
              </w:rPr>
              <w:t>pH</w:t>
            </w:r>
            <w:r w:rsidRPr="00FC1444">
              <w:rPr>
                <w:rFonts w:eastAsiaTheme="minorEastAsia"/>
                <w:spacing w:val="22"/>
                <w:kern w:val="0"/>
                <w:szCs w:val="21"/>
              </w:rPr>
              <w:t>、含盐量</w:t>
            </w:r>
          </w:p>
        </w:tc>
      </w:tr>
      <w:tr w:rsidR="002A5A5E" w:rsidRPr="00FC1444">
        <w:trPr>
          <w:trHeight w:val="141"/>
          <w:jc w:val="center"/>
        </w:trPr>
        <w:tc>
          <w:tcPr>
            <w:tcW w:w="809" w:type="dxa"/>
            <w:vMerge/>
            <w:vAlign w:val="center"/>
          </w:tcPr>
          <w:p w:rsidR="002A5A5E" w:rsidRPr="00FC1444" w:rsidRDefault="002A5A5E">
            <w:pPr>
              <w:snapToGrid w:val="0"/>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施工期环境影响评价</w:t>
            </w:r>
          </w:p>
        </w:tc>
        <w:tc>
          <w:tcPr>
            <w:tcW w:w="5129" w:type="dxa"/>
            <w:vAlign w:val="center"/>
          </w:tcPr>
          <w:p w:rsidR="002A5A5E" w:rsidRPr="00FC1444" w:rsidRDefault="00611CBA">
            <w:pPr>
              <w:snapToGrid w:val="0"/>
              <w:jc w:val="center"/>
              <w:rPr>
                <w:rFonts w:eastAsiaTheme="minorEastAsia"/>
                <w:spacing w:val="22"/>
                <w:kern w:val="0"/>
                <w:szCs w:val="21"/>
              </w:rPr>
            </w:pPr>
            <w:r w:rsidRPr="00FC1444">
              <w:rPr>
                <w:rFonts w:eastAsiaTheme="minorEastAsia"/>
                <w:snapToGrid w:val="0"/>
                <w:kern w:val="0"/>
              </w:rPr>
              <w:t>土壤结构、理化性质</w:t>
            </w:r>
          </w:p>
        </w:tc>
      </w:tr>
      <w:tr w:rsidR="002A5A5E" w:rsidRPr="00FC1444">
        <w:trPr>
          <w:trHeight w:val="141"/>
          <w:jc w:val="center"/>
        </w:trPr>
        <w:tc>
          <w:tcPr>
            <w:tcW w:w="809" w:type="dxa"/>
            <w:vMerge/>
            <w:vAlign w:val="center"/>
          </w:tcPr>
          <w:p w:rsidR="002A5A5E" w:rsidRPr="00FC1444" w:rsidRDefault="002A5A5E">
            <w:pPr>
              <w:snapToGrid w:val="0"/>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运营期环境影响评价</w:t>
            </w:r>
          </w:p>
        </w:tc>
        <w:tc>
          <w:tcPr>
            <w:tcW w:w="5129" w:type="dxa"/>
            <w:vAlign w:val="center"/>
          </w:tcPr>
          <w:p w:rsidR="002A5A5E" w:rsidRPr="00FC1444" w:rsidRDefault="00611CBA">
            <w:pPr>
              <w:snapToGrid w:val="0"/>
              <w:jc w:val="center"/>
              <w:rPr>
                <w:rFonts w:eastAsiaTheme="minorEastAsia"/>
                <w:bCs/>
                <w:szCs w:val="21"/>
              </w:rPr>
            </w:pPr>
            <w:r w:rsidRPr="00FC1444">
              <w:rPr>
                <w:rFonts w:eastAsiaTheme="minorEastAsia"/>
                <w:snapToGrid w:val="0"/>
                <w:kern w:val="0"/>
              </w:rPr>
              <w:t>盐渍化、土壤肥力、潜育化、沼泽化</w:t>
            </w:r>
          </w:p>
        </w:tc>
      </w:tr>
      <w:tr w:rsidR="002A5A5E" w:rsidRPr="00FC1444">
        <w:trPr>
          <w:trHeight w:val="141"/>
          <w:jc w:val="center"/>
        </w:trPr>
        <w:tc>
          <w:tcPr>
            <w:tcW w:w="809" w:type="dxa"/>
            <w:vMerge w:val="restart"/>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风险</w:t>
            </w:r>
          </w:p>
        </w:tc>
        <w:tc>
          <w:tcPr>
            <w:tcW w:w="2536" w:type="dxa"/>
            <w:vAlign w:val="center"/>
          </w:tcPr>
          <w:p w:rsidR="002A5A5E" w:rsidRPr="00FC1444" w:rsidRDefault="00611CBA">
            <w:pPr>
              <w:snapToGrid w:val="0"/>
              <w:jc w:val="center"/>
              <w:rPr>
                <w:rFonts w:eastAsiaTheme="minorEastAsia"/>
                <w:kern w:val="0"/>
                <w:szCs w:val="21"/>
              </w:rPr>
            </w:pPr>
            <w:r w:rsidRPr="00FC1444">
              <w:rPr>
                <w:rFonts w:eastAsiaTheme="minorEastAsia"/>
                <w:kern w:val="0"/>
                <w:szCs w:val="21"/>
              </w:rPr>
              <w:t>现状评价</w:t>
            </w:r>
          </w:p>
        </w:tc>
        <w:tc>
          <w:tcPr>
            <w:tcW w:w="5129" w:type="dxa"/>
            <w:vAlign w:val="center"/>
          </w:tcPr>
          <w:p w:rsidR="002A5A5E" w:rsidRPr="00FC1444" w:rsidRDefault="00611CBA">
            <w:pPr>
              <w:snapToGrid w:val="0"/>
              <w:jc w:val="center"/>
              <w:rPr>
                <w:rFonts w:eastAsiaTheme="minorEastAsia"/>
                <w:spacing w:val="22"/>
                <w:kern w:val="0"/>
                <w:szCs w:val="21"/>
              </w:rPr>
            </w:pPr>
            <w:r w:rsidRPr="00FC1444">
              <w:rPr>
                <w:rFonts w:eastAsiaTheme="minorEastAsia"/>
                <w:spacing w:val="22"/>
                <w:kern w:val="0"/>
                <w:szCs w:val="21"/>
              </w:rPr>
              <w:t>-</w:t>
            </w:r>
          </w:p>
        </w:tc>
      </w:tr>
      <w:tr w:rsidR="002A5A5E" w:rsidRPr="00FC1444">
        <w:trPr>
          <w:trHeight w:val="141"/>
          <w:jc w:val="center"/>
        </w:trPr>
        <w:tc>
          <w:tcPr>
            <w:tcW w:w="809" w:type="dxa"/>
            <w:vMerge/>
            <w:vAlign w:val="center"/>
          </w:tcPr>
          <w:p w:rsidR="002A5A5E" w:rsidRPr="00FC1444" w:rsidRDefault="002A5A5E">
            <w:pPr>
              <w:snapToGrid w:val="0"/>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施工期环境影响评价</w:t>
            </w:r>
          </w:p>
        </w:tc>
        <w:tc>
          <w:tcPr>
            <w:tcW w:w="5129" w:type="dxa"/>
            <w:vAlign w:val="center"/>
          </w:tcPr>
          <w:p w:rsidR="002A5A5E" w:rsidRPr="00FC1444" w:rsidRDefault="00611CBA">
            <w:pPr>
              <w:snapToGrid w:val="0"/>
              <w:jc w:val="center"/>
              <w:rPr>
                <w:rFonts w:eastAsiaTheme="minorEastAsia"/>
                <w:spacing w:val="22"/>
                <w:kern w:val="0"/>
                <w:szCs w:val="21"/>
              </w:rPr>
            </w:pPr>
            <w:r w:rsidRPr="00FC1444">
              <w:rPr>
                <w:rFonts w:eastAsiaTheme="minorEastAsia"/>
                <w:spacing w:val="22"/>
                <w:kern w:val="0"/>
                <w:szCs w:val="21"/>
              </w:rPr>
              <w:t>-</w:t>
            </w:r>
          </w:p>
        </w:tc>
      </w:tr>
      <w:tr w:rsidR="002A5A5E" w:rsidRPr="00FC1444">
        <w:trPr>
          <w:trHeight w:val="141"/>
          <w:jc w:val="center"/>
        </w:trPr>
        <w:tc>
          <w:tcPr>
            <w:tcW w:w="809" w:type="dxa"/>
            <w:vMerge/>
            <w:vAlign w:val="center"/>
          </w:tcPr>
          <w:p w:rsidR="002A5A5E" w:rsidRPr="00FC1444" w:rsidRDefault="002A5A5E">
            <w:pPr>
              <w:snapToGrid w:val="0"/>
              <w:jc w:val="center"/>
              <w:rPr>
                <w:rFonts w:eastAsiaTheme="minorEastAsia"/>
                <w:kern w:val="0"/>
                <w:szCs w:val="21"/>
              </w:rPr>
            </w:pPr>
          </w:p>
        </w:tc>
        <w:tc>
          <w:tcPr>
            <w:tcW w:w="2536" w:type="dxa"/>
            <w:vAlign w:val="center"/>
          </w:tcPr>
          <w:p w:rsidR="002A5A5E" w:rsidRPr="00FC1444" w:rsidRDefault="00611CBA">
            <w:pPr>
              <w:tabs>
                <w:tab w:val="left" w:leader="middleDot" w:pos="7371"/>
              </w:tabs>
              <w:jc w:val="center"/>
              <w:rPr>
                <w:rFonts w:eastAsiaTheme="minorEastAsia"/>
                <w:spacing w:val="22"/>
                <w:szCs w:val="21"/>
              </w:rPr>
            </w:pPr>
            <w:r w:rsidRPr="00FC1444">
              <w:rPr>
                <w:rFonts w:eastAsiaTheme="minorEastAsia"/>
                <w:spacing w:val="22"/>
                <w:szCs w:val="21"/>
              </w:rPr>
              <w:t>运营期环境影响评价</w:t>
            </w:r>
          </w:p>
        </w:tc>
        <w:tc>
          <w:tcPr>
            <w:tcW w:w="5129" w:type="dxa"/>
            <w:vAlign w:val="center"/>
          </w:tcPr>
          <w:p w:rsidR="002A5A5E" w:rsidRPr="00FC1444" w:rsidRDefault="00611CBA">
            <w:pPr>
              <w:snapToGrid w:val="0"/>
              <w:jc w:val="center"/>
              <w:rPr>
                <w:rFonts w:eastAsiaTheme="minorEastAsia"/>
                <w:spacing w:val="22"/>
                <w:kern w:val="0"/>
                <w:szCs w:val="21"/>
              </w:rPr>
            </w:pPr>
            <w:r w:rsidRPr="00FC1444">
              <w:rPr>
                <w:rFonts w:eastAsiaTheme="minorEastAsia"/>
                <w:spacing w:val="22"/>
                <w:kern w:val="0"/>
                <w:szCs w:val="21"/>
              </w:rPr>
              <w:t>柴油、</w:t>
            </w:r>
            <w:r w:rsidRPr="00FC1444">
              <w:rPr>
                <w:rFonts w:eastAsiaTheme="minorEastAsia"/>
                <w:snapToGrid w:val="0"/>
                <w:kern w:val="0"/>
              </w:rPr>
              <w:t>变压器油</w:t>
            </w:r>
          </w:p>
        </w:tc>
      </w:tr>
    </w:tbl>
    <w:p w:rsidR="002A5A5E" w:rsidRPr="00FC1444" w:rsidRDefault="00611CBA">
      <w:pPr>
        <w:widowControl/>
        <w:jc w:val="center"/>
        <w:rPr>
          <w:rFonts w:eastAsiaTheme="minorEastAsia"/>
          <w:b/>
          <w:szCs w:val="21"/>
        </w:rPr>
      </w:pPr>
      <w:bookmarkStart w:id="39" w:name="_Toc15991632"/>
      <w:r w:rsidRPr="00FC1444">
        <w:rPr>
          <w:rFonts w:eastAsiaTheme="minorEastAsia"/>
          <w:b/>
          <w:szCs w:val="21"/>
        </w:rPr>
        <w:t>表</w:t>
      </w:r>
      <w:r w:rsidRPr="00FC1444">
        <w:rPr>
          <w:rFonts w:eastAsiaTheme="minorEastAsia"/>
          <w:b/>
          <w:szCs w:val="21"/>
        </w:rPr>
        <w:t xml:space="preserve">2.4-4 </w:t>
      </w:r>
      <w:r w:rsidRPr="00FC1444">
        <w:rPr>
          <w:rFonts w:eastAsiaTheme="minorEastAsia"/>
          <w:b/>
          <w:szCs w:val="21"/>
        </w:rPr>
        <w:t>本项目生态评价因子</w:t>
      </w:r>
    </w:p>
    <w:tbl>
      <w:tblPr>
        <w:tblW w:w="0" w:type="auto"/>
        <w:jc w:val="center"/>
        <w:tblBorders>
          <w:top w:val="single" w:sz="12" w:space="0" w:color="auto"/>
          <w:bottom w:val="single" w:sz="12" w:space="0" w:color="auto"/>
          <w:insideH w:val="single" w:sz="4" w:space="0" w:color="auto"/>
          <w:insideV w:val="single" w:sz="4" w:space="0" w:color="auto"/>
        </w:tblBorders>
        <w:tblLook w:val="04A0"/>
      </w:tblPr>
      <w:tblGrid>
        <w:gridCol w:w="959"/>
        <w:gridCol w:w="1276"/>
        <w:gridCol w:w="4536"/>
        <w:gridCol w:w="985"/>
        <w:gridCol w:w="766"/>
      </w:tblGrid>
      <w:tr w:rsidR="002A5A5E" w:rsidRPr="00FC1444" w:rsidTr="00933248">
        <w:trPr>
          <w:jc w:val="center"/>
        </w:trPr>
        <w:tc>
          <w:tcPr>
            <w:tcW w:w="959"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受影响</w:t>
            </w:r>
          </w:p>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对象</w:t>
            </w:r>
          </w:p>
        </w:tc>
        <w:tc>
          <w:tcPr>
            <w:tcW w:w="1276"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评价因子</w:t>
            </w:r>
          </w:p>
        </w:tc>
        <w:tc>
          <w:tcPr>
            <w:tcW w:w="4536"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工程内容及影响方式</w:t>
            </w:r>
          </w:p>
        </w:tc>
        <w:tc>
          <w:tcPr>
            <w:tcW w:w="985"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影响性质</w:t>
            </w:r>
          </w:p>
        </w:tc>
        <w:tc>
          <w:tcPr>
            <w:tcW w:w="766"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影响程度</w:t>
            </w:r>
          </w:p>
        </w:tc>
      </w:tr>
      <w:tr w:rsidR="002A5A5E" w:rsidRPr="00FC1444" w:rsidTr="00933248">
        <w:trPr>
          <w:trHeight w:val="611"/>
          <w:jc w:val="center"/>
        </w:trPr>
        <w:tc>
          <w:tcPr>
            <w:tcW w:w="959"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物种</w:t>
            </w:r>
          </w:p>
        </w:tc>
        <w:tc>
          <w:tcPr>
            <w:tcW w:w="1276"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分布范围、种群结构、行为</w:t>
            </w:r>
          </w:p>
        </w:tc>
        <w:tc>
          <w:tcPr>
            <w:tcW w:w="4536" w:type="dxa"/>
            <w:vAlign w:val="center"/>
          </w:tcPr>
          <w:p w:rsidR="002A5A5E" w:rsidRPr="00FC1444" w:rsidRDefault="00611CBA">
            <w:pPr>
              <w:widowControl/>
              <w:autoSpaceDE w:val="0"/>
              <w:autoSpaceDN w:val="0"/>
              <w:adjustRightInd w:val="0"/>
              <w:snapToGrid w:val="0"/>
              <w:textAlignment w:val="baseline"/>
              <w:rPr>
                <w:rFonts w:eastAsiaTheme="minorEastAsia"/>
                <w:snapToGrid w:val="0"/>
                <w:kern w:val="0"/>
                <w:szCs w:val="21"/>
              </w:rPr>
            </w:pPr>
            <w:r w:rsidRPr="00FC1444">
              <w:rPr>
                <w:rFonts w:eastAsiaTheme="minorEastAsia"/>
                <w:snapToGrid w:val="0"/>
                <w:kern w:val="0"/>
                <w:szCs w:val="21"/>
              </w:rPr>
              <w:t>工程内容：永久占地扰动原地表，改变占地区土地利用现状，植物个体损失，植被生物量减少，动物生境破坏等；农田退水对承泄区水生生态影响</w:t>
            </w:r>
          </w:p>
          <w:p w:rsidR="002A5A5E" w:rsidRPr="00FC1444" w:rsidRDefault="00611CBA">
            <w:pPr>
              <w:spacing w:line="0" w:lineRule="atLeast"/>
              <w:rPr>
                <w:rFonts w:eastAsiaTheme="minorEastAsia"/>
                <w:kern w:val="0"/>
                <w:szCs w:val="21"/>
                <w:lang w:bidi="zh-TW"/>
              </w:rPr>
            </w:pPr>
            <w:r w:rsidRPr="00FC1444">
              <w:rPr>
                <w:rFonts w:eastAsiaTheme="minorEastAsia"/>
                <w:snapToGrid w:val="0"/>
                <w:kern w:val="0"/>
                <w:szCs w:val="21"/>
              </w:rPr>
              <w:t>影响方式：直接影响</w:t>
            </w:r>
          </w:p>
        </w:tc>
        <w:tc>
          <w:tcPr>
            <w:tcW w:w="985"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rPr>
              <w:t>长期、不可逆</w:t>
            </w:r>
          </w:p>
        </w:tc>
        <w:tc>
          <w:tcPr>
            <w:tcW w:w="766"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小</w:t>
            </w:r>
          </w:p>
        </w:tc>
      </w:tr>
      <w:tr w:rsidR="002A5A5E" w:rsidRPr="00FC1444" w:rsidTr="00933248">
        <w:trPr>
          <w:trHeight w:val="611"/>
          <w:jc w:val="center"/>
        </w:trPr>
        <w:tc>
          <w:tcPr>
            <w:tcW w:w="959" w:type="dxa"/>
            <w:vMerge/>
            <w:vAlign w:val="center"/>
          </w:tcPr>
          <w:p w:rsidR="002A5A5E" w:rsidRPr="00FC1444" w:rsidRDefault="002A5A5E">
            <w:pPr>
              <w:spacing w:line="0" w:lineRule="atLeast"/>
              <w:jc w:val="center"/>
              <w:rPr>
                <w:rFonts w:eastAsiaTheme="minorEastAsia"/>
                <w:kern w:val="0"/>
                <w:szCs w:val="21"/>
                <w:lang w:bidi="zh-TW"/>
              </w:rPr>
            </w:pPr>
          </w:p>
        </w:tc>
        <w:tc>
          <w:tcPr>
            <w:tcW w:w="1276" w:type="dxa"/>
            <w:vMerge/>
            <w:vAlign w:val="center"/>
          </w:tcPr>
          <w:p w:rsidR="002A5A5E" w:rsidRPr="00FC1444" w:rsidRDefault="002A5A5E">
            <w:pPr>
              <w:spacing w:line="0" w:lineRule="atLeast"/>
              <w:jc w:val="center"/>
              <w:rPr>
                <w:rFonts w:eastAsiaTheme="minorEastAsia"/>
                <w:kern w:val="0"/>
                <w:szCs w:val="21"/>
                <w:lang w:bidi="zh-TW"/>
              </w:rPr>
            </w:pPr>
          </w:p>
        </w:tc>
        <w:tc>
          <w:tcPr>
            <w:tcW w:w="4536" w:type="dxa"/>
            <w:vAlign w:val="center"/>
          </w:tcPr>
          <w:p w:rsidR="002A5A5E" w:rsidRPr="00FC1444" w:rsidRDefault="00611CBA">
            <w:pPr>
              <w:widowControl/>
              <w:autoSpaceDE w:val="0"/>
              <w:autoSpaceDN w:val="0"/>
              <w:adjustRightInd w:val="0"/>
              <w:snapToGrid w:val="0"/>
              <w:textAlignment w:val="baseline"/>
              <w:rPr>
                <w:rFonts w:eastAsiaTheme="minorEastAsia"/>
                <w:snapToGrid w:val="0"/>
                <w:kern w:val="0"/>
                <w:szCs w:val="21"/>
              </w:rPr>
            </w:pPr>
            <w:r w:rsidRPr="00FC1444">
              <w:rPr>
                <w:rFonts w:eastAsiaTheme="minorEastAsia"/>
                <w:snapToGrid w:val="0"/>
                <w:kern w:val="0"/>
                <w:szCs w:val="21"/>
              </w:rPr>
              <w:t>工程内容：施工临时占地等</w:t>
            </w:r>
          </w:p>
          <w:p w:rsidR="002A5A5E" w:rsidRPr="00FC1444" w:rsidRDefault="00611CBA">
            <w:pPr>
              <w:spacing w:line="0" w:lineRule="atLeast"/>
              <w:rPr>
                <w:rFonts w:eastAsiaTheme="minorEastAsia"/>
                <w:kern w:val="0"/>
                <w:szCs w:val="21"/>
                <w:lang w:bidi="zh-TW"/>
              </w:rPr>
            </w:pPr>
            <w:r w:rsidRPr="00FC1444">
              <w:rPr>
                <w:rFonts w:eastAsiaTheme="minorEastAsia"/>
                <w:snapToGrid w:val="0"/>
                <w:kern w:val="0"/>
                <w:szCs w:val="21"/>
              </w:rPr>
              <w:t>影响方式：直接影响</w:t>
            </w:r>
          </w:p>
        </w:tc>
        <w:tc>
          <w:tcPr>
            <w:tcW w:w="985"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短期、可逆</w:t>
            </w:r>
          </w:p>
        </w:tc>
        <w:tc>
          <w:tcPr>
            <w:tcW w:w="766" w:type="dxa"/>
            <w:vMerge/>
            <w:vAlign w:val="center"/>
          </w:tcPr>
          <w:p w:rsidR="002A5A5E" w:rsidRPr="00FC1444" w:rsidRDefault="002A5A5E">
            <w:pPr>
              <w:spacing w:line="0" w:lineRule="atLeast"/>
              <w:jc w:val="center"/>
              <w:rPr>
                <w:rFonts w:eastAsiaTheme="minorEastAsia"/>
                <w:kern w:val="0"/>
                <w:szCs w:val="21"/>
                <w:lang w:bidi="zh-TW"/>
              </w:rPr>
            </w:pPr>
          </w:p>
        </w:tc>
      </w:tr>
      <w:tr w:rsidR="002A5A5E" w:rsidRPr="00FC1444" w:rsidTr="00933248">
        <w:trPr>
          <w:trHeight w:val="151"/>
          <w:jc w:val="center"/>
        </w:trPr>
        <w:tc>
          <w:tcPr>
            <w:tcW w:w="959"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szCs w:val="21"/>
              </w:rPr>
              <w:t>生境</w:t>
            </w:r>
          </w:p>
        </w:tc>
        <w:tc>
          <w:tcPr>
            <w:tcW w:w="1276"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szCs w:val="21"/>
              </w:rPr>
              <w:t>生境质量</w:t>
            </w:r>
          </w:p>
        </w:tc>
        <w:tc>
          <w:tcPr>
            <w:tcW w:w="4536" w:type="dxa"/>
            <w:vAlign w:val="center"/>
          </w:tcPr>
          <w:p w:rsidR="002A5A5E" w:rsidRPr="00FC1444" w:rsidRDefault="00611CBA">
            <w:pPr>
              <w:widowControl/>
              <w:autoSpaceDE w:val="0"/>
              <w:autoSpaceDN w:val="0"/>
              <w:adjustRightInd w:val="0"/>
              <w:snapToGrid w:val="0"/>
              <w:textAlignment w:val="baseline"/>
              <w:rPr>
                <w:rFonts w:eastAsiaTheme="minorEastAsia"/>
                <w:snapToGrid w:val="0"/>
                <w:kern w:val="0"/>
                <w:szCs w:val="21"/>
              </w:rPr>
            </w:pPr>
            <w:r w:rsidRPr="00FC1444">
              <w:rPr>
                <w:rFonts w:eastAsiaTheme="minorEastAsia"/>
                <w:snapToGrid w:val="0"/>
                <w:kern w:val="0"/>
                <w:szCs w:val="21"/>
              </w:rPr>
              <w:t>工程内容：永久占地扰动原地表，改变占地区土地利用现状，影响</w:t>
            </w:r>
            <w:r w:rsidRPr="00FC1444">
              <w:rPr>
                <w:rFonts w:eastAsiaTheme="minorEastAsia"/>
                <w:szCs w:val="21"/>
              </w:rPr>
              <w:t>生境质量；</w:t>
            </w:r>
            <w:r w:rsidRPr="00FC1444">
              <w:rPr>
                <w:rFonts w:eastAsiaTheme="minorEastAsia"/>
                <w:snapToGrid w:val="0"/>
                <w:kern w:val="0"/>
                <w:szCs w:val="21"/>
              </w:rPr>
              <w:t>农田退水对承泄区水生生态影响</w:t>
            </w:r>
          </w:p>
          <w:p w:rsidR="002A5A5E" w:rsidRPr="00FC1444" w:rsidRDefault="00611CBA">
            <w:pPr>
              <w:spacing w:line="0" w:lineRule="atLeast"/>
              <w:rPr>
                <w:rFonts w:eastAsiaTheme="minorEastAsia"/>
                <w:kern w:val="0"/>
                <w:szCs w:val="21"/>
                <w:lang w:bidi="zh-TW"/>
              </w:rPr>
            </w:pPr>
            <w:r w:rsidRPr="00FC1444">
              <w:rPr>
                <w:rFonts w:eastAsiaTheme="minorEastAsia"/>
                <w:snapToGrid w:val="0"/>
                <w:kern w:val="0"/>
                <w:szCs w:val="21"/>
              </w:rPr>
              <w:t>影响方式：直接影响</w:t>
            </w:r>
          </w:p>
        </w:tc>
        <w:tc>
          <w:tcPr>
            <w:tcW w:w="985"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rPr>
              <w:t>长期、不可逆</w:t>
            </w:r>
          </w:p>
        </w:tc>
        <w:tc>
          <w:tcPr>
            <w:tcW w:w="766"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小</w:t>
            </w:r>
          </w:p>
        </w:tc>
      </w:tr>
      <w:tr w:rsidR="002A5A5E" w:rsidRPr="00FC1444" w:rsidTr="00933248">
        <w:trPr>
          <w:trHeight w:val="475"/>
          <w:jc w:val="center"/>
        </w:trPr>
        <w:tc>
          <w:tcPr>
            <w:tcW w:w="959" w:type="dxa"/>
            <w:vMerge/>
            <w:vAlign w:val="center"/>
          </w:tcPr>
          <w:p w:rsidR="002A5A5E" w:rsidRPr="00FC1444" w:rsidRDefault="002A5A5E">
            <w:pPr>
              <w:spacing w:line="0" w:lineRule="atLeast"/>
              <w:jc w:val="center"/>
              <w:rPr>
                <w:rFonts w:eastAsiaTheme="minorEastAsia"/>
                <w:szCs w:val="21"/>
              </w:rPr>
            </w:pPr>
          </w:p>
        </w:tc>
        <w:tc>
          <w:tcPr>
            <w:tcW w:w="1276" w:type="dxa"/>
            <w:vMerge/>
            <w:vAlign w:val="center"/>
          </w:tcPr>
          <w:p w:rsidR="002A5A5E" w:rsidRPr="00FC1444" w:rsidRDefault="002A5A5E">
            <w:pPr>
              <w:spacing w:line="0" w:lineRule="atLeast"/>
              <w:jc w:val="center"/>
              <w:rPr>
                <w:rFonts w:eastAsiaTheme="minorEastAsia"/>
                <w:szCs w:val="21"/>
              </w:rPr>
            </w:pPr>
          </w:p>
        </w:tc>
        <w:tc>
          <w:tcPr>
            <w:tcW w:w="4536" w:type="dxa"/>
            <w:vAlign w:val="center"/>
          </w:tcPr>
          <w:p w:rsidR="002A5A5E" w:rsidRPr="00FC1444" w:rsidRDefault="00611CBA">
            <w:pPr>
              <w:widowControl/>
              <w:autoSpaceDE w:val="0"/>
              <w:autoSpaceDN w:val="0"/>
              <w:adjustRightInd w:val="0"/>
              <w:snapToGrid w:val="0"/>
              <w:textAlignment w:val="baseline"/>
              <w:rPr>
                <w:rFonts w:eastAsiaTheme="minorEastAsia"/>
                <w:snapToGrid w:val="0"/>
                <w:kern w:val="0"/>
                <w:szCs w:val="21"/>
              </w:rPr>
            </w:pPr>
            <w:r w:rsidRPr="00FC1444">
              <w:rPr>
                <w:rFonts w:eastAsiaTheme="minorEastAsia"/>
                <w:snapToGrid w:val="0"/>
                <w:kern w:val="0"/>
                <w:szCs w:val="21"/>
              </w:rPr>
              <w:t>工程内容：施工临时占地、施工扬尘、噪声等</w:t>
            </w:r>
          </w:p>
          <w:p w:rsidR="002A5A5E" w:rsidRPr="00FC1444" w:rsidRDefault="00611CBA">
            <w:pPr>
              <w:spacing w:line="0" w:lineRule="atLeast"/>
              <w:rPr>
                <w:rFonts w:eastAsiaTheme="minorEastAsia"/>
                <w:kern w:val="0"/>
                <w:szCs w:val="21"/>
                <w:lang w:bidi="zh-TW"/>
              </w:rPr>
            </w:pPr>
            <w:r w:rsidRPr="00FC1444">
              <w:rPr>
                <w:rFonts w:eastAsiaTheme="minorEastAsia"/>
                <w:snapToGrid w:val="0"/>
                <w:kern w:val="0"/>
                <w:szCs w:val="21"/>
              </w:rPr>
              <w:t>影响方式：直接影响</w:t>
            </w:r>
          </w:p>
        </w:tc>
        <w:tc>
          <w:tcPr>
            <w:tcW w:w="985"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短期、可逆</w:t>
            </w:r>
          </w:p>
        </w:tc>
        <w:tc>
          <w:tcPr>
            <w:tcW w:w="766" w:type="dxa"/>
            <w:vMerge/>
            <w:vAlign w:val="center"/>
          </w:tcPr>
          <w:p w:rsidR="002A5A5E" w:rsidRPr="00FC1444" w:rsidRDefault="002A5A5E">
            <w:pPr>
              <w:spacing w:line="0" w:lineRule="atLeast"/>
              <w:jc w:val="center"/>
              <w:rPr>
                <w:rFonts w:eastAsiaTheme="minorEastAsia"/>
                <w:kern w:val="0"/>
                <w:szCs w:val="21"/>
                <w:lang w:bidi="zh-TW"/>
              </w:rPr>
            </w:pPr>
          </w:p>
        </w:tc>
      </w:tr>
      <w:tr w:rsidR="002A5A5E" w:rsidRPr="00FC1444" w:rsidTr="00933248">
        <w:trPr>
          <w:trHeight w:val="151"/>
          <w:jc w:val="center"/>
        </w:trPr>
        <w:tc>
          <w:tcPr>
            <w:tcW w:w="959"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生物群落</w:t>
            </w:r>
          </w:p>
        </w:tc>
        <w:tc>
          <w:tcPr>
            <w:tcW w:w="1276"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物种组成</w:t>
            </w:r>
          </w:p>
        </w:tc>
        <w:tc>
          <w:tcPr>
            <w:tcW w:w="4536" w:type="dxa"/>
            <w:vAlign w:val="center"/>
          </w:tcPr>
          <w:p w:rsidR="002A5A5E" w:rsidRPr="00FC1444" w:rsidRDefault="00611CBA">
            <w:pPr>
              <w:spacing w:line="0" w:lineRule="atLeast"/>
              <w:rPr>
                <w:rFonts w:eastAsiaTheme="minorEastAsia"/>
                <w:snapToGrid w:val="0"/>
                <w:kern w:val="0"/>
                <w:szCs w:val="21"/>
              </w:rPr>
            </w:pPr>
            <w:r w:rsidRPr="00FC1444">
              <w:rPr>
                <w:rFonts w:eastAsiaTheme="minorEastAsia"/>
              </w:rPr>
              <w:t>工程内容：永久占地扰动原地表，改变占地区土地利用现状，对评价范围内物种组成产生一定影响；</w:t>
            </w:r>
            <w:r w:rsidRPr="00FC1444">
              <w:rPr>
                <w:rFonts w:eastAsiaTheme="minorEastAsia"/>
                <w:snapToGrid w:val="0"/>
                <w:kern w:val="0"/>
                <w:szCs w:val="21"/>
              </w:rPr>
              <w:t>农田退水对承泄区水生生态影响</w:t>
            </w:r>
          </w:p>
          <w:p w:rsidR="002A5A5E" w:rsidRPr="00FC1444" w:rsidRDefault="00611CBA">
            <w:pPr>
              <w:spacing w:line="0" w:lineRule="atLeast"/>
              <w:rPr>
                <w:rFonts w:eastAsiaTheme="minorEastAsia"/>
                <w:kern w:val="0"/>
                <w:szCs w:val="21"/>
                <w:lang w:bidi="zh-TW"/>
              </w:rPr>
            </w:pPr>
            <w:r w:rsidRPr="00FC1444">
              <w:rPr>
                <w:rFonts w:eastAsiaTheme="minorEastAsia"/>
                <w:snapToGrid w:val="0"/>
                <w:kern w:val="0"/>
                <w:szCs w:val="21"/>
              </w:rPr>
              <w:t>影响方式：直接影响</w:t>
            </w:r>
          </w:p>
        </w:tc>
        <w:tc>
          <w:tcPr>
            <w:tcW w:w="985"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rPr>
              <w:t>长期、不可逆</w:t>
            </w:r>
          </w:p>
        </w:tc>
        <w:tc>
          <w:tcPr>
            <w:tcW w:w="766"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小</w:t>
            </w:r>
          </w:p>
        </w:tc>
      </w:tr>
      <w:tr w:rsidR="002A5A5E" w:rsidRPr="00FC1444" w:rsidTr="00933248">
        <w:trPr>
          <w:trHeight w:val="150"/>
          <w:jc w:val="center"/>
        </w:trPr>
        <w:tc>
          <w:tcPr>
            <w:tcW w:w="959" w:type="dxa"/>
            <w:vMerge/>
            <w:vAlign w:val="center"/>
          </w:tcPr>
          <w:p w:rsidR="002A5A5E" w:rsidRPr="00FC1444" w:rsidRDefault="002A5A5E">
            <w:pPr>
              <w:spacing w:line="0" w:lineRule="atLeast"/>
              <w:jc w:val="center"/>
              <w:rPr>
                <w:rFonts w:eastAsiaTheme="minorEastAsia"/>
                <w:kern w:val="0"/>
                <w:szCs w:val="21"/>
                <w:lang w:bidi="zh-TW"/>
              </w:rPr>
            </w:pPr>
          </w:p>
        </w:tc>
        <w:tc>
          <w:tcPr>
            <w:tcW w:w="1276" w:type="dxa"/>
            <w:vMerge/>
            <w:vAlign w:val="center"/>
          </w:tcPr>
          <w:p w:rsidR="002A5A5E" w:rsidRPr="00FC1444" w:rsidRDefault="002A5A5E">
            <w:pPr>
              <w:spacing w:line="0" w:lineRule="atLeast"/>
              <w:jc w:val="center"/>
              <w:rPr>
                <w:rFonts w:eastAsiaTheme="minorEastAsia"/>
                <w:kern w:val="0"/>
                <w:szCs w:val="21"/>
                <w:lang w:bidi="zh-TW"/>
              </w:rPr>
            </w:pPr>
          </w:p>
        </w:tc>
        <w:tc>
          <w:tcPr>
            <w:tcW w:w="4536" w:type="dxa"/>
            <w:vAlign w:val="center"/>
          </w:tcPr>
          <w:p w:rsidR="002A5A5E" w:rsidRPr="00FC1444" w:rsidRDefault="00611CBA">
            <w:pPr>
              <w:spacing w:line="0" w:lineRule="atLeast"/>
              <w:rPr>
                <w:rFonts w:eastAsiaTheme="minorEastAsia"/>
                <w:snapToGrid w:val="0"/>
                <w:kern w:val="0"/>
                <w:szCs w:val="21"/>
              </w:rPr>
            </w:pPr>
            <w:r w:rsidRPr="00FC1444">
              <w:rPr>
                <w:rFonts w:eastAsiaTheme="minorEastAsia"/>
                <w:snapToGrid w:val="0"/>
                <w:kern w:val="0"/>
                <w:szCs w:val="21"/>
              </w:rPr>
              <w:t>工程内容：施工临时占地等</w:t>
            </w:r>
            <w:r w:rsidRPr="00FC1444">
              <w:rPr>
                <w:rFonts w:eastAsiaTheme="minorEastAsia"/>
              </w:rPr>
              <w:t>导致植物生境条件改变，植被面积减少</w:t>
            </w:r>
          </w:p>
          <w:p w:rsidR="002A5A5E" w:rsidRPr="00FC1444" w:rsidRDefault="00611CBA">
            <w:pPr>
              <w:spacing w:line="0" w:lineRule="atLeast"/>
              <w:rPr>
                <w:rFonts w:eastAsiaTheme="minorEastAsia"/>
                <w:kern w:val="0"/>
                <w:szCs w:val="21"/>
                <w:lang w:bidi="zh-TW"/>
              </w:rPr>
            </w:pPr>
            <w:r w:rsidRPr="00FC1444">
              <w:rPr>
                <w:rFonts w:eastAsiaTheme="minorEastAsia"/>
                <w:snapToGrid w:val="0"/>
                <w:kern w:val="0"/>
                <w:szCs w:val="21"/>
              </w:rPr>
              <w:t>影响方式：直接影响</w:t>
            </w:r>
          </w:p>
        </w:tc>
        <w:tc>
          <w:tcPr>
            <w:tcW w:w="985"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短期、可逆</w:t>
            </w:r>
          </w:p>
        </w:tc>
        <w:tc>
          <w:tcPr>
            <w:tcW w:w="766" w:type="dxa"/>
            <w:vMerge/>
            <w:vAlign w:val="center"/>
          </w:tcPr>
          <w:p w:rsidR="002A5A5E" w:rsidRPr="00FC1444" w:rsidRDefault="002A5A5E">
            <w:pPr>
              <w:spacing w:line="0" w:lineRule="atLeast"/>
              <w:jc w:val="center"/>
              <w:rPr>
                <w:rFonts w:eastAsiaTheme="minorEastAsia"/>
                <w:kern w:val="0"/>
                <w:szCs w:val="21"/>
                <w:lang w:bidi="zh-TW"/>
              </w:rPr>
            </w:pPr>
          </w:p>
        </w:tc>
      </w:tr>
      <w:tr w:rsidR="002A5A5E" w:rsidRPr="00FC1444" w:rsidTr="00933248">
        <w:trPr>
          <w:trHeight w:val="302"/>
          <w:jc w:val="center"/>
        </w:trPr>
        <w:tc>
          <w:tcPr>
            <w:tcW w:w="959"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生态系统</w:t>
            </w:r>
          </w:p>
        </w:tc>
        <w:tc>
          <w:tcPr>
            <w:tcW w:w="1276"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生物量、生态系统功能</w:t>
            </w:r>
          </w:p>
        </w:tc>
        <w:tc>
          <w:tcPr>
            <w:tcW w:w="4536" w:type="dxa"/>
            <w:vAlign w:val="center"/>
          </w:tcPr>
          <w:p w:rsidR="002A5A5E" w:rsidRPr="00FC1444" w:rsidRDefault="00611CBA">
            <w:pPr>
              <w:spacing w:line="0" w:lineRule="atLeast"/>
              <w:rPr>
                <w:rFonts w:eastAsiaTheme="minorEastAsia"/>
                <w:snapToGrid w:val="0"/>
                <w:kern w:val="0"/>
                <w:szCs w:val="21"/>
              </w:rPr>
            </w:pPr>
            <w:r w:rsidRPr="00FC1444">
              <w:rPr>
                <w:rFonts w:eastAsiaTheme="minorEastAsia"/>
              </w:rPr>
              <w:t>工程内容：永久占地扰动原地表，改变占地区土地利用格局，破坏动植物及其生境，对</w:t>
            </w:r>
            <w:r w:rsidRPr="00FC1444">
              <w:rPr>
                <w:rFonts w:eastAsiaTheme="minorEastAsia"/>
                <w:kern w:val="0"/>
                <w:szCs w:val="21"/>
                <w:lang w:bidi="zh-TW"/>
              </w:rPr>
              <w:t>生态系统</w:t>
            </w:r>
            <w:r w:rsidRPr="00FC1444">
              <w:rPr>
                <w:rFonts w:eastAsiaTheme="minorEastAsia"/>
              </w:rPr>
              <w:t>产生一定影响；</w:t>
            </w:r>
            <w:r w:rsidRPr="00FC1444">
              <w:rPr>
                <w:rFonts w:eastAsiaTheme="minorEastAsia"/>
                <w:snapToGrid w:val="0"/>
                <w:kern w:val="0"/>
                <w:szCs w:val="21"/>
              </w:rPr>
              <w:t>农田退水对承泄区水生生态影响</w:t>
            </w:r>
          </w:p>
          <w:p w:rsidR="002A5A5E" w:rsidRPr="00FC1444" w:rsidRDefault="00611CBA">
            <w:pPr>
              <w:spacing w:line="0" w:lineRule="atLeast"/>
              <w:rPr>
                <w:rFonts w:eastAsiaTheme="minorEastAsia"/>
                <w:kern w:val="0"/>
                <w:szCs w:val="21"/>
                <w:lang w:bidi="zh-TW"/>
              </w:rPr>
            </w:pPr>
            <w:r w:rsidRPr="00FC1444">
              <w:rPr>
                <w:rFonts w:eastAsiaTheme="minorEastAsia"/>
                <w:snapToGrid w:val="0"/>
                <w:kern w:val="0"/>
                <w:szCs w:val="21"/>
              </w:rPr>
              <w:t>影响方式：直接影响</w:t>
            </w:r>
          </w:p>
        </w:tc>
        <w:tc>
          <w:tcPr>
            <w:tcW w:w="985"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rPr>
              <w:t>长期、不可逆</w:t>
            </w:r>
          </w:p>
        </w:tc>
        <w:tc>
          <w:tcPr>
            <w:tcW w:w="766"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小</w:t>
            </w:r>
          </w:p>
        </w:tc>
      </w:tr>
      <w:tr w:rsidR="002A5A5E" w:rsidRPr="00FC1444" w:rsidTr="00933248">
        <w:trPr>
          <w:trHeight w:val="301"/>
          <w:jc w:val="center"/>
        </w:trPr>
        <w:tc>
          <w:tcPr>
            <w:tcW w:w="959" w:type="dxa"/>
            <w:vMerge/>
            <w:vAlign w:val="center"/>
          </w:tcPr>
          <w:p w:rsidR="002A5A5E" w:rsidRPr="00FC1444" w:rsidRDefault="002A5A5E">
            <w:pPr>
              <w:spacing w:line="0" w:lineRule="atLeast"/>
              <w:jc w:val="center"/>
              <w:rPr>
                <w:rFonts w:eastAsiaTheme="minorEastAsia"/>
                <w:kern w:val="0"/>
                <w:szCs w:val="21"/>
                <w:lang w:bidi="zh-TW"/>
              </w:rPr>
            </w:pPr>
          </w:p>
        </w:tc>
        <w:tc>
          <w:tcPr>
            <w:tcW w:w="1276" w:type="dxa"/>
            <w:vMerge/>
            <w:vAlign w:val="center"/>
          </w:tcPr>
          <w:p w:rsidR="002A5A5E" w:rsidRPr="00FC1444" w:rsidRDefault="002A5A5E">
            <w:pPr>
              <w:spacing w:line="0" w:lineRule="atLeast"/>
              <w:jc w:val="center"/>
              <w:rPr>
                <w:rFonts w:eastAsiaTheme="minorEastAsia"/>
                <w:kern w:val="0"/>
                <w:szCs w:val="21"/>
                <w:lang w:bidi="zh-TW"/>
              </w:rPr>
            </w:pPr>
          </w:p>
        </w:tc>
        <w:tc>
          <w:tcPr>
            <w:tcW w:w="4536" w:type="dxa"/>
            <w:vAlign w:val="center"/>
          </w:tcPr>
          <w:p w:rsidR="002A5A5E" w:rsidRPr="00FC1444" w:rsidRDefault="00611CBA">
            <w:pPr>
              <w:widowControl/>
              <w:autoSpaceDE w:val="0"/>
              <w:autoSpaceDN w:val="0"/>
              <w:adjustRightInd w:val="0"/>
              <w:snapToGrid w:val="0"/>
              <w:textAlignment w:val="baseline"/>
              <w:rPr>
                <w:rFonts w:eastAsiaTheme="minorEastAsia"/>
                <w:snapToGrid w:val="0"/>
                <w:kern w:val="0"/>
                <w:szCs w:val="21"/>
              </w:rPr>
            </w:pPr>
            <w:r w:rsidRPr="00FC1444">
              <w:rPr>
                <w:rFonts w:eastAsiaTheme="minorEastAsia"/>
                <w:snapToGrid w:val="0"/>
                <w:kern w:val="0"/>
                <w:szCs w:val="21"/>
              </w:rPr>
              <w:t>工程内容：施工临时占地等</w:t>
            </w:r>
          </w:p>
          <w:p w:rsidR="002A5A5E" w:rsidRPr="00FC1444" w:rsidRDefault="00611CBA">
            <w:pPr>
              <w:spacing w:line="0" w:lineRule="atLeast"/>
              <w:rPr>
                <w:rFonts w:eastAsiaTheme="minorEastAsia"/>
                <w:kern w:val="0"/>
                <w:szCs w:val="21"/>
                <w:lang w:bidi="zh-TW"/>
              </w:rPr>
            </w:pPr>
            <w:r w:rsidRPr="00FC1444">
              <w:rPr>
                <w:rFonts w:eastAsiaTheme="minorEastAsia"/>
                <w:snapToGrid w:val="0"/>
                <w:kern w:val="0"/>
                <w:szCs w:val="21"/>
              </w:rPr>
              <w:t>影响方式：直接影响</w:t>
            </w:r>
          </w:p>
        </w:tc>
        <w:tc>
          <w:tcPr>
            <w:tcW w:w="985"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短期、可逆</w:t>
            </w:r>
          </w:p>
        </w:tc>
        <w:tc>
          <w:tcPr>
            <w:tcW w:w="766" w:type="dxa"/>
            <w:vMerge/>
            <w:vAlign w:val="center"/>
          </w:tcPr>
          <w:p w:rsidR="002A5A5E" w:rsidRPr="00FC1444" w:rsidRDefault="002A5A5E">
            <w:pPr>
              <w:spacing w:line="0" w:lineRule="atLeast"/>
              <w:jc w:val="center"/>
              <w:rPr>
                <w:rFonts w:eastAsiaTheme="minorEastAsia"/>
                <w:kern w:val="0"/>
                <w:szCs w:val="21"/>
                <w:lang w:bidi="zh-TW"/>
              </w:rPr>
            </w:pPr>
          </w:p>
        </w:tc>
      </w:tr>
    </w:tbl>
    <w:p w:rsidR="002A5A5E" w:rsidRPr="00FC1444" w:rsidRDefault="002A5A5E"/>
    <w:p w:rsidR="002A5A5E" w:rsidRPr="00FC1444" w:rsidRDefault="00611CBA">
      <w:pPr>
        <w:widowControl/>
        <w:jc w:val="center"/>
        <w:rPr>
          <w:rFonts w:eastAsiaTheme="minorEastAsia"/>
          <w:b/>
          <w:szCs w:val="21"/>
        </w:rPr>
      </w:pPr>
      <w:r w:rsidRPr="00FC1444">
        <w:rPr>
          <w:rFonts w:eastAsiaTheme="minorEastAsia"/>
          <w:b/>
          <w:szCs w:val="21"/>
        </w:rPr>
        <w:lastRenderedPageBreak/>
        <w:t>表</w:t>
      </w:r>
      <w:r w:rsidRPr="00FC1444">
        <w:rPr>
          <w:rFonts w:eastAsiaTheme="minorEastAsia"/>
          <w:b/>
          <w:szCs w:val="21"/>
        </w:rPr>
        <w:t xml:space="preserve">2.4-4 </w:t>
      </w:r>
      <w:r w:rsidRPr="00FC1444">
        <w:rPr>
          <w:rFonts w:eastAsiaTheme="minorEastAsia"/>
          <w:b/>
          <w:szCs w:val="21"/>
        </w:rPr>
        <w:t>本项目生态评价因子</w:t>
      </w:r>
    </w:p>
    <w:tbl>
      <w:tblPr>
        <w:tblW w:w="0" w:type="auto"/>
        <w:jc w:val="center"/>
        <w:tblBorders>
          <w:top w:val="single" w:sz="12" w:space="0" w:color="auto"/>
          <w:bottom w:val="single" w:sz="12" w:space="0" w:color="auto"/>
          <w:insideH w:val="single" w:sz="4" w:space="0" w:color="auto"/>
          <w:insideV w:val="single" w:sz="4" w:space="0" w:color="auto"/>
        </w:tblBorders>
        <w:tblLook w:val="04A0"/>
      </w:tblPr>
      <w:tblGrid>
        <w:gridCol w:w="959"/>
        <w:gridCol w:w="1276"/>
        <w:gridCol w:w="4536"/>
        <w:gridCol w:w="985"/>
        <w:gridCol w:w="766"/>
      </w:tblGrid>
      <w:tr w:rsidR="002A5A5E" w:rsidRPr="00FC1444" w:rsidTr="00933248">
        <w:trPr>
          <w:trHeight w:val="151"/>
          <w:jc w:val="center"/>
        </w:trPr>
        <w:tc>
          <w:tcPr>
            <w:tcW w:w="959"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自然景观</w:t>
            </w:r>
          </w:p>
        </w:tc>
        <w:tc>
          <w:tcPr>
            <w:tcW w:w="1276"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完整性</w:t>
            </w:r>
          </w:p>
        </w:tc>
        <w:tc>
          <w:tcPr>
            <w:tcW w:w="4536" w:type="dxa"/>
            <w:vAlign w:val="center"/>
          </w:tcPr>
          <w:p w:rsidR="002A5A5E" w:rsidRPr="00FC1444" w:rsidRDefault="00611CBA">
            <w:pPr>
              <w:spacing w:line="0" w:lineRule="atLeast"/>
              <w:rPr>
                <w:rFonts w:eastAsiaTheme="minorEastAsia"/>
                <w:snapToGrid w:val="0"/>
                <w:kern w:val="0"/>
                <w:szCs w:val="21"/>
              </w:rPr>
            </w:pPr>
            <w:r w:rsidRPr="00FC1444">
              <w:rPr>
                <w:rFonts w:eastAsiaTheme="minorEastAsia"/>
              </w:rPr>
              <w:t>工程内容：永久占地</w:t>
            </w:r>
          </w:p>
          <w:p w:rsidR="002A5A5E" w:rsidRPr="00FC1444" w:rsidRDefault="00611CBA">
            <w:pPr>
              <w:spacing w:line="0" w:lineRule="atLeast"/>
              <w:rPr>
                <w:rFonts w:eastAsiaTheme="minorEastAsia"/>
                <w:kern w:val="0"/>
                <w:szCs w:val="21"/>
                <w:lang w:bidi="zh-TW"/>
              </w:rPr>
            </w:pPr>
            <w:r w:rsidRPr="00FC1444">
              <w:rPr>
                <w:rFonts w:eastAsiaTheme="minorEastAsia"/>
                <w:snapToGrid w:val="0"/>
                <w:kern w:val="0"/>
                <w:szCs w:val="21"/>
              </w:rPr>
              <w:t>影响方式：直接影响</w:t>
            </w:r>
          </w:p>
        </w:tc>
        <w:tc>
          <w:tcPr>
            <w:tcW w:w="985"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rPr>
              <w:t>长期、不可逆</w:t>
            </w:r>
          </w:p>
        </w:tc>
        <w:tc>
          <w:tcPr>
            <w:tcW w:w="766" w:type="dxa"/>
            <w:vMerge w:val="restart"/>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小</w:t>
            </w:r>
          </w:p>
        </w:tc>
      </w:tr>
      <w:tr w:rsidR="002A5A5E" w:rsidRPr="00FC1444" w:rsidTr="00933248">
        <w:trPr>
          <w:trHeight w:val="150"/>
          <w:jc w:val="center"/>
        </w:trPr>
        <w:tc>
          <w:tcPr>
            <w:tcW w:w="959" w:type="dxa"/>
            <w:vMerge/>
            <w:vAlign w:val="center"/>
          </w:tcPr>
          <w:p w:rsidR="002A5A5E" w:rsidRPr="00FC1444" w:rsidRDefault="002A5A5E">
            <w:pPr>
              <w:spacing w:line="0" w:lineRule="atLeast"/>
              <w:jc w:val="center"/>
              <w:rPr>
                <w:rFonts w:eastAsiaTheme="minorEastAsia"/>
                <w:kern w:val="0"/>
                <w:szCs w:val="21"/>
                <w:lang w:bidi="zh-TW"/>
              </w:rPr>
            </w:pPr>
          </w:p>
        </w:tc>
        <w:tc>
          <w:tcPr>
            <w:tcW w:w="1276" w:type="dxa"/>
            <w:vMerge/>
            <w:vAlign w:val="center"/>
          </w:tcPr>
          <w:p w:rsidR="002A5A5E" w:rsidRPr="00FC1444" w:rsidRDefault="002A5A5E">
            <w:pPr>
              <w:spacing w:line="0" w:lineRule="atLeast"/>
              <w:jc w:val="center"/>
              <w:rPr>
                <w:rFonts w:eastAsiaTheme="minorEastAsia"/>
                <w:kern w:val="0"/>
                <w:szCs w:val="21"/>
                <w:lang w:bidi="zh-TW"/>
              </w:rPr>
            </w:pPr>
          </w:p>
        </w:tc>
        <w:tc>
          <w:tcPr>
            <w:tcW w:w="4536" w:type="dxa"/>
            <w:vAlign w:val="center"/>
          </w:tcPr>
          <w:p w:rsidR="002A5A5E" w:rsidRPr="00FC1444" w:rsidRDefault="00611CBA">
            <w:pPr>
              <w:spacing w:line="0" w:lineRule="atLeast"/>
              <w:rPr>
                <w:rFonts w:eastAsiaTheme="minorEastAsia"/>
                <w:snapToGrid w:val="0"/>
                <w:kern w:val="0"/>
                <w:szCs w:val="21"/>
              </w:rPr>
            </w:pPr>
            <w:r w:rsidRPr="00FC1444">
              <w:rPr>
                <w:rFonts w:eastAsiaTheme="minorEastAsia"/>
                <w:snapToGrid w:val="0"/>
                <w:kern w:val="0"/>
                <w:szCs w:val="21"/>
              </w:rPr>
              <w:t>工程内容：施工临时占地等</w:t>
            </w:r>
          </w:p>
          <w:p w:rsidR="002A5A5E" w:rsidRPr="00FC1444" w:rsidRDefault="00611CBA">
            <w:pPr>
              <w:spacing w:line="0" w:lineRule="atLeast"/>
              <w:rPr>
                <w:rFonts w:eastAsiaTheme="minorEastAsia"/>
                <w:kern w:val="0"/>
                <w:szCs w:val="21"/>
                <w:lang w:bidi="zh-TW"/>
              </w:rPr>
            </w:pPr>
            <w:r w:rsidRPr="00FC1444">
              <w:rPr>
                <w:rFonts w:eastAsiaTheme="minorEastAsia"/>
                <w:snapToGrid w:val="0"/>
                <w:kern w:val="0"/>
                <w:szCs w:val="21"/>
              </w:rPr>
              <w:t>影响方式：直接影响</w:t>
            </w:r>
          </w:p>
        </w:tc>
        <w:tc>
          <w:tcPr>
            <w:tcW w:w="985" w:type="dxa"/>
            <w:vAlign w:val="center"/>
          </w:tcPr>
          <w:p w:rsidR="002A5A5E" w:rsidRPr="00FC1444" w:rsidRDefault="00611CBA">
            <w:pPr>
              <w:spacing w:line="0" w:lineRule="atLeast"/>
              <w:jc w:val="center"/>
              <w:rPr>
                <w:rFonts w:eastAsiaTheme="minorEastAsia"/>
                <w:kern w:val="0"/>
                <w:szCs w:val="21"/>
                <w:lang w:bidi="zh-TW"/>
              </w:rPr>
            </w:pPr>
            <w:r w:rsidRPr="00FC1444">
              <w:rPr>
                <w:rFonts w:eastAsiaTheme="minorEastAsia"/>
                <w:kern w:val="0"/>
                <w:szCs w:val="21"/>
                <w:lang w:bidi="zh-TW"/>
              </w:rPr>
              <w:t>短期、可逆</w:t>
            </w:r>
          </w:p>
        </w:tc>
        <w:tc>
          <w:tcPr>
            <w:tcW w:w="766" w:type="dxa"/>
            <w:vMerge/>
            <w:vAlign w:val="center"/>
          </w:tcPr>
          <w:p w:rsidR="002A5A5E" w:rsidRPr="00FC1444" w:rsidRDefault="002A5A5E">
            <w:pPr>
              <w:spacing w:line="0" w:lineRule="atLeast"/>
              <w:jc w:val="center"/>
              <w:rPr>
                <w:rFonts w:eastAsiaTheme="minorEastAsia"/>
                <w:kern w:val="0"/>
                <w:szCs w:val="21"/>
                <w:lang w:bidi="zh-TW"/>
              </w:rPr>
            </w:pPr>
          </w:p>
        </w:tc>
      </w:tr>
    </w:tbl>
    <w:p w:rsidR="002A5A5E" w:rsidRPr="00FC1444" w:rsidRDefault="00611CBA">
      <w:pPr>
        <w:spacing w:before="100" w:beforeAutospacing="1" w:after="100" w:afterAutospacing="1"/>
        <w:jc w:val="left"/>
        <w:outlineLvl w:val="1"/>
        <w:rPr>
          <w:rFonts w:eastAsiaTheme="minorEastAsia"/>
          <w:b/>
          <w:bCs/>
          <w:kern w:val="44"/>
          <w:sz w:val="30"/>
          <w:szCs w:val="30"/>
        </w:rPr>
      </w:pPr>
      <w:bookmarkStart w:id="40" w:name="_Toc208906228"/>
      <w:r w:rsidRPr="00FC1444">
        <w:rPr>
          <w:rFonts w:eastAsiaTheme="minorEastAsia"/>
          <w:b/>
          <w:bCs/>
          <w:kern w:val="44"/>
          <w:sz w:val="30"/>
          <w:szCs w:val="30"/>
        </w:rPr>
        <w:t>2.5</w:t>
      </w:r>
      <w:r w:rsidRPr="00FC1444">
        <w:rPr>
          <w:rFonts w:eastAsiaTheme="minorEastAsia"/>
          <w:b/>
          <w:bCs/>
          <w:kern w:val="44"/>
          <w:sz w:val="30"/>
          <w:szCs w:val="30"/>
        </w:rPr>
        <w:t>环境功能区划及评价标准</w:t>
      </w:r>
      <w:bookmarkEnd w:id="39"/>
      <w:bookmarkEnd w:id="40"/>
    </w:p>
    <w:p w:rsidR="002A5A5E" w:rsidRPr="00FC1444"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2.5.1</w:t>
      </w:r>
      <w:r w:rsidRPr="00FC1444">
        <w:rPr>
          <w:rFonts w:ascii="Times New Roman" w:eastAsiaTheme="minorEastAsia" w:hAnsi="Times New Roman" w:cs="Times New Roman"/>
          <w:b/>
          <w:sz w:val="28"/>
          <w:szCs w:val="28"/>
        </w:rPr>
        <w:t>区域环境功能区划</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1</w:t>
      </w:r>
      <w:r w:rsidRPr="00FC1444">
        <w:rPr>
          <w:rFonts w:ascii="Times New Roman" w:hAnsi="Times New Roman" w:cs="Times New Roman"/>
        </w:rPr>
        <w:t>）空气环境：根据环境空气质量功能区划，评价区主要位于农村区域，项目位于《环境空气质量标准》（</w:t>
      </w:r>
      <w:r w:rsidRPr="00FC1444">
        <w:rPr>
          <w:rFonts w:ascii="Times New Roman" w:hAnsi="Times New Roman" w:cs="Times New Roman"/>
        </w:rPr>
        <w:t>GB3095-20</w:t>
      </w:r>
      <w:r w:rsidR="00C07A9E" w:rsidRPr="00FC1444">
        <w:rPr>
          <w:rFonts w:ascii="Times New Roman" w:hAnsi="Times New Roman" w:cs="Times New Roman"/>
        </w:rPr>
        <w:t>26</w:t>
      </w:r>
      <w:r w:rsidRPr="00FC1444">
        <w:rPr>
          <w:rFonts w:ascii="Times New Roman" w:hAnsi="Times New Roman" w:cs="Times New Roman"/>
        </w:rPr>
        <w:t>）二类区。本项目所在区域不在酸雨和二氧化硫控制区内。</w:t>
      </w:r>
    </w:p>
    <w:p w:rsidR="002A5A5E" w:rsidRPr="00FC1444" w:rsidRDefault="00611CBA" w:rsidP="001C2BCB">
      <w:pPr>
        <w:spacing w:line="360" w:lineRule="auto"/>
        <w:ind w:firstLineChars="200" w:firstLine="480"/>
        <w:contextualSpacing/>
        <w:rPr>
          <w:rFonts w:eastAsiaTheme="minorEastAsia"/>
          <w:bCs/>
          <w:kern w:val="0"/>
          <w:sz w:val="24"/>
          <w:szCs w:val="21"/>
        </w:rPr>
      </w:pPr>
      <w:r w:rsidRPr="00FC1444">
        <w:rPr>
          <w:rFonts w:eastAsiaTheme="minorEastAsia"/>
          <w:kern w:val="24"/>
          <w:sz w:val="24"/>
        </w:rPr>
        <w:t>（</w:t>
      </w:r>
      <w:r w:rsidRPr="00FC1444">
        <w:rPr>
          <w:rFonts w:eastAsiaTheme="minorEastAsia"/>
          <w:kern w:val="24"/>
          <w:sz w:val="24"/>
        </w:rPr>
        <w:t>2</w:t>
      </w:r>
      <w:r w:rsidRPr="00FC1444">
        <w:rPr>
          <w:rFonts w:eastAsiaTheme="minorEastAsia"/>
          <w:kern w:val="24"/>
          <w:sz w:val="24"/>
        </w:rPr>
        <w:t>）地表水环境：</w:t>
      </w:r>
      <w:r w:rsidRPr="00FC1444">
        <w:rPr>
          <w:rFonts w:eastAsiaTheme="minorEastAsia"/>
          <w:sz w:val="24"/>
        </w:rPr>
        <w:t>本项目</w:t>
      </w:r>
      <w:r w:rsidRPr="00FC1444">
        <w:rPr>
          <w:rFonts w:eastAsiaTheme="minorEastAsia"/>
          <w:snapToGrid w:val="0"/>
          <w:sz w:val="24"/>
        </w:rPr>
        <w:t>承泄区</w:t>
      </w:r>
      <w:r w:rsidRPr="00FC1444">
        <w:rPr>
          <w:rFonts w:eastAsiaTheme="minorEastAsia"/>
          <w:sz w:val="24"/>
        </w:rPr>
        <w:t>为</w:t>
      </w:r>
      <w:r w:rsidR="001C2BCB" w:rsidRPr="00FC1444">
        <w:rPr>
          <w:rFonts w:eastAsiaTheme="minorEastAsia"/>
          <w:sz w:val="24"/>
        </w:rPr>
        <w:t>津河、</w:t>
      </w:r>
      <w:r w:rsidR="001C2BCB" w:rsidRPr="00FC1444">
        <w:rPr>
          <w:rFonts w:eastAsiaTheme="minorEastAsia" w:hint="eastAsia"/>
          <w:sz w:val="24"/>
        </w:rPr>
        <w:t>呼兰河、努敏河。</w:t>
      </w:r>
      <w:r w:rsidR="001C2BCB" w:rsidRPr="00FC1444">
        <w:rPr>
          <w:rFonts w:eastAsiaTheme="minorEastAsia"/>
          <w:kern w:val="24"/>
          <w:sz w:val="24"/>
        </w:rPr>
        <w:t>根据</w:t>
      </w:r>
      <w:r w:rsidR="001C2BCB" w:rsidRPr="00FC1444">
        <w:rPr>
          <w:rFonts w:eastAsiaTheme="minorEastAsia"/>
          <w:kern w:val="0"/>
          <w:sz w:val="24"/>
        </w:rPr>
        <w:t>《</w:t>
      </w:r>
      <w:r w:rsidR="001C2BCB" w:rsidRPr="00FC1444">
        <w:rPr>
          <w:rFonts w:eastAsiaTheme="minorEastAsia"/>
          <w:kern w:val="0"/>
          <w:sz w:val="24"/>
        </w:rPr>
        <w:t>2025</w:t>
      </w:r>
      <w:r w:rsidR="001C2BCB" w:rsidRPr="00FC1444">
        <w:rPr>
          <w:rFonts w:eastAsiaTheme="minorEastAsia"/>
          <w:kern w:val="0"/>
          <w:sz w:val="24"/>
        </w:rPr>
        <w:t>年绥化市环境质量年报》，</w:t>
      </w:r>
      <w:r w:rsidR="001C2BCB" w:rsidRPr="00FC1444">
        <w:rPr>
          <w:rFonts w:eastAsiaTheme="minorEastAsia" w:hint="eastAsia"/>
          <w:sz w:val="24"/>
        </w:rPr>
        <w:t>呼兰河</w:t>
      </w:r>
      <w:r w:rsidR="001C2BCB" w:rsidRPr="00FC1444">
        <w:rPr>
          <w:rFonts w:eastAsiaTheme="minorEastAsia"/>
          <w:bCs/>
          <w:kern w:val="0"/>
          <w:sz w:val="24"/>
        </w:rPr>
        <w:t>绥望桥断面</w:t>
      </w:r>
      <w:r w:rsidR="008C5D0C" w:rsidRPr="00FC1444">
        <w:rPr>
          <w:rFonts w:eastAsiaTheme="minorEastAsia"/>
          <w:bCs/>
          <w:kern w:val="0"/>
          <w:sz w:val="24"/>
        </w:rPr>
        <w:t>、</w:t>
      </w:r>
      <w:r w:rsidR="008C5D0C" w:rsidRPr="00FC1444">
        <w:rPr>
          <w:rFonts w:eastAsiaTheme="minorEastAsia" w:hint="eastAsia"/>
          <w:bCs/>
          <w:kern w:val="0"/>
          <w:sz w:val="24"/>
        </w:rPr>
        <w:t>榆林镇鞍山屯断面</w:t>
      </w:r>
      <w:r w:rsidRPr="00FC1444">
        <w:rPr>
          <w:rFonts w:eastAsiaTheme="minorEastAsia"/>
          <w:bCs/>
          <w:kern w:val="0"/>
          <w:sz w:val="24"/>
          <w:szCs w:val="21"/>
        </w:rPr>
        <w:t>水质目标为</w:t>
      </w:r>
      <w:r w:rsidRPr="00FC1444">
        <w:rPr>
          <w:rFonts w:eastAsiaTheme="minorEastAsia"/>
          <w:bCs/>
          <w:kern w:val="0"/>
          <w:sz w:val="24"/>
          <w:szCs w:val="21"/>
        </w:rPr>
        <w:t>Ⅲ</w:t>
      </w:r>
      <w:r w:rsidR="00B42C9D" w:rsidRPr="00FC1444">
        <w:rPr>
          <w:rFonts w:eastAsiaTheme="minorEastAsia"/>
          <w:bCs/>
          <w:kern w:val="0"/>
          <w:sz w:val="24"/>
          <w:szCs w:val="21"/>
        </w:rPr>
        <w:t>类。</w:t>
      </w:r>
      <w:r w:rsidR="001C2BCB" w:rsidRPr="00FC1444">
        <w:rPr>
          <w:rFonts w:eastAsiaTheme="minorEastAsia" w:hint="eastAsia"/>
          <w:bCs/>
          <w:kern w:val="0"/>
          <w:sz w:val="24"/>
          <w:szCs w:val="21"/>
        </w:rPr>
        <w:t>努敏河绥化市断面</w:t>
      </w:r>
      <w:r w:rsidR="001C2BCB" w:rsidRPr="00FC1444">
        <w:rPr>
          <w:rFonts w:eastAsiaTheme="minorEastAsia"/>
          <w:bCs/>
          <w:kern w:val="0"/>
          <w:sz w:val="24"/>
        </w:rPr>
        <w:t>水质目标为</w:t>
      </w:r>
      <w:r w:rsidR="001C2BCB" w:rsidRPr="00FC1444">
        <w:rPr>
          <w:rFonts w:eastAsiaTheme="minorEastAsia"/>
          <w:bCs/>
          <w:kern w:val="0"/>
          <w:sz w:val="24"/>
          <w:szCs w:val="21"/>
        </w:rPr>
        <w:t>Ⅲ</w:t>
      </w:r>
      <w:r w:rsidR="001C2BCB" w:rsidRPr="00FC1444">
        <w:rPr>
          <w:rFonts w:eastAsiaTheme="minorEastAsia"/>
          <w:bCs/>
          <w:kern w:val="0"/>
          <w:sz w:val="24"/>
        </w:rPr>
        <w:t>类。</w:t>
      </w:r>
      <w:r w:rsidR="001C2BCB" w:rsidRPr="00FC1444">
        <w:rPr>
          <w:rFonts w:eastAsiaTheme="minorEastAsia"/>
          <w:sz w:val="24"/>
        </w:rPr>
        <w:t>津河</w:t>
      </w:r>
      <w:r w:rsidRPr="00FC1444">
        <w:rPr>
          <w:rFonts w:eastAsiaTheme="minorEastAsia"/>
          <w:bCs/>
          <w:kern w:val="0"/>
          <w:sz w:val="24"/>
        </w:rPr>
        <w:t>未划分水功能区，</w:t>
      </w:r>
      <w:r w:rsidR="001C2BCB" w:rsidRPr="00FC1444">
        <w:rPr>
          <w:rFonts w:eastAsiaTheme="minorEastAsia"/>
          <w:sz w:val="24"/>
        </w:rPr>
        <w:t>津河</w:t>
      </w:r>
      <w:r w:rsidRPr="00FC1444">
        <w:rPr>
          <w:rFonts w:eastAsiaTheme="minorEastAsia"/>
          <w:bCs/>
          <w:kern w:val="0"/>
          <w:sz w:val="24"/>
        </w:rPr>
        <w:t>汇入</w:t>
      </w:r>
      <w:r w:rsidR="001C2BCB" w:rsidRPr="00FC1444">
        <w:rPr>
          <w:rFonts w:eastAsiaTheme="minorEastAsia" w:hint="eastAsia"/>
          <w:bCs/>
          <w:kern w:val="0"/>
          <w:sz w:val="24"/>
        </w:rPr>
        <w:t>呼兰</w:t>
      </w:r>
      <w:r w:rsidRPr="00FC1444">
        <w:rPr>
          <w:rFonts w:eastAsiaTheme="minorEastAsia"/>
          <w:bCs/>
          <w:kern w:val="0"/>
          <w:sz w:val="24"/>
        </w:rPr>
        <w:t>河，</w:t>
      </w:r>
      <w:r w:rsidR="001C2BCB" w:rsidRPr="00FC1444">
        <w:rPr>
          <w:rFonts w:eastAsiaTheme="minorEastAsia" w:hint="eastAsia"/>
          <w:bCs/>
          <w:kern w:val="0"/>
          <w:sz w:val="24"/>
        </w:rPr>
        <w:t>呼兰</w:t>
      </w:r>
      <w:r w:rsidRPr="00FC1444">
        <w:rPr>
          <w:rFonts w:eastAsiaTheme="minorEastAsia"/>
          <w:bCs/>
          <w:kern w:val="0"/>
          <w:sz w:val="24"/>
        </w:rPr>
        <w:t>河</w:t>
      </w:r>
      <w:r w:rsidR="001C2BCB" w:rsidRPr="00FC1444">
        <w:rPr>
          <w:rFonts w:eastAsiaTheme="minorEastAsia"/>
          <w:bCs/>
          <w:kern w:val="0"/>
          <w:sz w:val="24"/>
        </w:rPr>
        <w:t>绥望桥断面</w:t>
      </w:r>
      <w:r w:rsidRPr="00FC1444">
        <w:rPr>
          <w:rFonts w:eastAsiaTheme="minorEastAsia"/>
          <w:bCs/>
          <w:kern w:val="0"/>
          <w:sz w:val="24"/>
        </w:rPr>
        <w:t>水质目标为</w:t>
      </w:r>
      <w:r w:rsidR="001C2BCB" w:rsidRPr="00FC1444">
        <w:rPr>
          <w:rFonts w:eastAsiaTheme="minorEastAsia"/>
          <w:bCs/>
          <w:kern w:val="0"/>
          <w:sz w:val="24"/>
          <w:szCs w:val="21"/>
        </w:rPr>
        <w:t>Ⅲ</w:t>
      </w:r>
      <w:r w:rsidRPr="00FC1444">
        <w:rPr>
          <w:rFonts w:eastAsiaTheme="minorEastAsia"/>
          <w:bCs/>
          <w:kern w:val="0"/>
          <w:sz w:val="24"/>
        </w:rPr>
        <w:t>类，</w:t>
      </w:r>
      <w:r w:rsidR="001C2BCB" w:rsidRPr="00FC1444">
        <w:rPr>
          <w:rFonts w:eastAsiaTheme="minorEastAsia"/>
          <w:sz w:val="24"/>
        </w:rPr>
        <w:t>津河</w:t>
      </w:r>
      <w:r w:rsidRPr="00FC1444">
        <w:rPr>
          <w:rFonts w:eastAsiaTheme="minorEastAsia"/>
          <w:bCs/>
          <w:kern w:val="0"/>
          <w:sz w:val="24"/>
        </w:rPr>
        <w:t>参照</w:t>
      </w:r>
      <w:r w:rsidR="001C2BCB" w:rsidRPr="00FC1444">
        <w:rPr>
          <w:rFonts w:eastAsiaTheme="minorEastAsia" w:hint="eastAsia"/>
          <w:bCs/>
          <w:kern w:val="0"/>
          <w:sz w:val="24"/>
        </w:rPr>
        <w:t>呼兰</w:t>
      </w:r>
      <w:r w:rsidRPr="00FC1444">
        <w:rPr>
          <w:rFonts w:eastAsiaTheme="minorEastAsia"/>
          <w:bCs/>
          <w:kern w:val="0"/>
          <w:sz w:val="24"/>
        </w:rPr>
        <w:t>河执行</w:t>
      </w:r>
      <w:r w:rsidRPr="00FC1444">
        <w:rPr>
          <w:rFonts w:eastAsiaTheme="minorEastAsia"/>
          <w:kern w:val="24"/>
          <w:sz w:val="24"/>
        </w:rPr>
        <w:t>。</w:t>
      </w:r>
    </w:p>
    <w:p w:rsidR="002A5A5E" w:rsidRPr="00FC1444" w:rsidRDefault="00611CBA">
      <w:pPr>
        <w:spacing w:line="360" w:lineRule="auto"/>
        <w:ind w:firstLineChars="200" w:firstLine="480"/>
        <w:contextualSpacing/>
        <w:rPr>
          <w:rFonts w:eastAsiaTheme="minorEastAsia"/>
          <w:kern w:val="24"/>
          <w:sz w:val="24"/>
        </w:rPr>
      </w:pPr>
      <w:r w:rsidRPr="00FC1444">
        <w:rPr>
          <w:rFonts w:eastAsiaTheme="minorEastAsia"/>
          <w:kern w:val="24"/>
          <w:sz w:val="24"/>
        </w:rPr>
        <w:t>（</w:t>
      </w:r>
      <w:r w:rsidRPr="00FC1444">
        <w:rPr>
          <w:rFonts w:eastAsiaTheme="minorEastAsia"/>
          <w:kern w:val="24"/>
          <w:sz w:val="24"/>
        </w:rPr>
        <w:t>3</w:t>
      </w:r>
      <w:r w:rsidRPr="00FC1444">
        <w:rPr>
          <w:rFonts w:eastAsiaTheme="minorEastAsia"/>
          <w:kern w:val="24"/>
          <w:sz w:val="24"/>
        </w:rPr>
        <w:t>）声环境：本项目工程所在区域均为农村地区，未进行声环境功能区划，根据《声环境质量标准》（</w:t>
      </w:r>
      <w:r w:rsidRPr="00FC1444">
        <w:rPr>
          <w:rFonts w:eastAsiaTheme="minorEastAsia"/>
          <w:kern w:val="24"/>
          <w:sz w:val="24"/>
        </w:rPr>
        <w:t>GB3096-2008</w:t>
      </w:r>
      <w:r w:rsidRPr="00FC1444">
        <w:rPr>
          <w:rFonts w:eastAsiaTheme="minorEastAsia"/>
          <w:kern w:val="24"/>
          <w:sz w:val="24"/>
        </w:rPr>
        <w:t>）</w:t>
      </w:r>
      <w:r w:rsidR="009E72CC" w:rsidRPr="00FC1444">
        <w:rPr>
          <w:rFonts w:eastAsiaTheme="minorEastAsia"/>
          <w:kern w:val="24"/>
          <w:sz w:val="24"/>
        </w:rPr>
        <w:t>、</w:t>
      </w:r>
      <w:r w:rsidRPr="00FC1444">
        <w:rPr>
          <w:rFonts w:eastAsiaTheme="minorEastAsia"/>
          <w:kern w:val="24"/>
          <w:sz w:val="24"/>
        </w:rPr>
        <w:t>《声环境功能区划分技术规范》（</w:t>
      </w:r>
      <w:r w:rsidRPr="00FC1444">
        <w:rPr>
          <w:rFonts w:eastAsiaTheme="minorEastAsia"/>
          <w:kern w:val="24"/>
          <w:sz w:val="24"/>
        </w:rPr>
        <w:t>GB/T15190-2014</w:t>
      </w:r>
      <w:r w:rsidRPr="00FC1444">
        <w:rPr>
          <w:rFonts w:eastAsiaTheme="minorEastAsia"/>
          <w:kern w:val="24"/>
          <w:sz w:val="24"/>
        </w:rPr>
        <w:t>）要求，</w:t>
      </w:r>
      <w:r w:rsidRPr="00FC1444">
        <w:rPr>
          <w:rFonts w:eastAsiaTheme="minorEastAsia"/>
          <w:sz w:val="24"/>
        </w:rPr>
        <w:t>项目</w:t>
      </w:r>
      <w:r w:rsidRPr="00FC1444">
        <w:rPr>
          <w:rFonts w:eastAsiaTheme="minorEastAsia"/>
          <w:kern w:val="24"/>
          <w:sz w:val="24"/>
        </w:rPr>
        <w:t>区域</w:t>
      </w:r>
      <w:r w:rsidR="008C1FD0" w:rsidRPr="00FC1444">
        <w:rPr>
          <w:rFonts w:eastAsiaTheme="minorEastAsia" w:hint="eastAsia"/>
          <w:kern w:val="24"/>
          <w:sz w:val="24"/>
        </w:rPr>
        <w:t>内</w:t>
      </w:r>
      <w:r w:rsidR="008C1FD0" w:rsidRPr="00FC1444">
        <w:rPr>
          <w:rFonts w:eastAsiaTheme="minorEastAsia"/>
          <w:kern w:val="24"/>
          <w:sz w:val="24"/>
        </w:rPr>
        <w:t>集镇</w:t>
      </w:r>
      <w:r w:rsidRPr="00FC1444">
        <w:rPr>
          <w:rFonts w:eastAsiaTheme="minorEastAsia"/>
          <w:kern w:val="24"/>
          <w:sz w:val="24"/>
        </w:rPr>
        <w:t>为</w:t>
      </w:r>
      <w:r w:rsidRPr="00FC1444">
        <w:rPr>
          <w:rFonts w:eastAsiaTheme="minorEastAsia"/>
          <w:kern w:val="24"/>
          <w:sz w:val="24"/>
        </w:rPr>
        <w:t>2</w:t>
      </w:r>
      <w:r w:rsidRPr="00FC1444">
        <w:rPr>
          <w:rFonts w:eastAsiaTheme="minorEastAsia"/>
          <w:kern w:val="24"/>
          <w:sz w:val="24"/>
        </w:rPr>
        <w:t>类区，其余区域为</w:t>
      </w:r>
      <w:r w:rsidRPr="00FC1444">
        <w:rPr>
          <w:rFonts w:eastAsiaTheme="minorEastAsia"/>
          <w:kern w:val="24"/>
          <w:sz w:val="24"/>
        </w:rPr>
        <w:t>1</w:t>
      </w:r>
      <w:r w:rsidRPr="00FC1444">
        <w:rPr>
          <w:rFonts w:eastAsiaTheme="minorEastAsia"/>
          <w:kern w:val="24"/>
          <w:sz w:val="24"/>
        </w:rPr>
        <w:t>类区。</w:t>
      </w:r>
    </w:p>
    <w:p w:rsidR="002A5A5E" w:rsidRPr="00FC1444" w:rsidRDefault="00611CBA">
      <w:pPr>
        <w:pStyle w:val="aff4"/>
        <w:adjustRightInd/>
        <w:snapToGrid/>
        <w:contextualSpacing/>
        <w:jc w:val="both"/>
        <w:rPr>
          <w:rFonts w:ascii="Times New Roman" w:hAnsi="Times New Roman" w:cs="Times New Roman"/>
          <w:kern w:val="24"/>
        </w:rPr>
      </w:pPr>
      <w:r w:rsidRPr="00FC1444">
        <w:rPr>
          <w:rFonts w:ascii="Times New Roman" w:hAnsi="Times New Roman" w:cs="Times New Roman"/>
          <w:kern w:val="24"/>
        </w:rPr>
        <w:t>（</w:t>
      </w:r>
      <w:r w:rsidRPr="00FC1444">
        <w:rPr>
          <w:rFonts w:ascii="Times New Roman" w:hAnsi="Times New Roman" w:cs="Times New Roman"/>
          <w:kern w:val="24"/>
        </w:rPr>
        <w:t>4</w:t>
      </w:r>
      <w:r w:rsidRPr="00FC1444">
        <w:rPr>
          <w:rFonts w:ascii="Times New Roman" w:hAnsi="Times New Roman" w:cs="Times New Roman"/>
          <w:kern w:val="24"/>
        </w:rPr>
        <w:t>）地下水环境：评价区内地下水适用于集中式生活饮用水水源及工农业用水，地下水质量分类为</w:t>
      </w:r>
      <w:r w:rsidRPr="00FC1444">
        <w:rPr>
          <w:rFonts w:ascii="Times New Roman" w:hAnsi="Times New Roman" w:cs="Times New Roman"/>
          <w:kern w:val="24"/>
        </w:rPr>
        <w:t>Ⅲ</w:t>
      </w:r>
      <w:r w:rsidRPr="00FC1444">
        <w:rPr>
          <w:rFonts w:ascii="Times New Roman" w:hAnsi="Times New Roman" w:cs="Times New Roman"/>
          <w:kern w:val="24"/>
        </w:rPr>
        <w:t>类，执行《地下水质量标准》（</w:t>
      </w:r>
      <w:r w:rsidRPr="00FC1444">
        <w:rPr>
          <w:rFonts w:ascii="Times New Roman" w:hAnsi="Times New Roman" w:cs="Times New Roman"/>
          <w:kern w:val="24"/>
        </w:rPr>
        <w:t>GB/T14848-2017</w:t>
      </w:r>
      <w:r w:rsidRPr="00FC1444">
        <w:rPr>
          <w:rFonts w:ascii="Times New Roman" w:hAnsi="Times New Roman" w:cs="Times New Roman"/>
          <w:kern w:val="24"/>
        </w:rPr>
        <w:t>）中</w:t>
      </w:r>
      <w:r w:rsidR="009840DD" w:rsidRPr="00FC1444">
        <w:rPr>
          <w:rFonts w:ascii="Times New Roman" w:hAnsi="Times New Roman" w:cs="Times New Roman"/>
          <w:kern w:val="24"/>
        </w:rPr>
        <w:fldChar w:fldCharType="begin"/>
      </w:r>
      <w:r w:rsidRPr="00FC1444">
        <w:rPr>
          <w:rFonts w:ascii="Times New Roman" w:hAnsi="Times New Roman" w:cs="Times New Roman"/>
          <w:kern w:val="24"/>
        </w:rPr>
        <w:instrText xml:space="preserve"> = 3 \* ROMAN </w:instrText>
      </w:r>
      <w:r w:rsidR="009840DD" w:rsidRPr="00FC1444">
        <w:rPr>
          <w:rFonts w:ascii="Times New Roman" w:hAnsi="Times New Roman" w:cs="Times New Roman"/>
          <w:kern w:val="24"/>
        </w:rPr>
        <w:fldChar w:fldCharType="separate"/>
      </w:r>
      <w:r w:rsidRPr="00FC1444">
        <w:rPr>
          <w:rFonts w:ascii="Times New Roman" w:hAnsi="Times New Roman" w:cs="Times New Roman"/>
          <w:kern w:val="24"/>
        </w:rPr>
        <w:t>III</w:t>
      </w:r>
      <w:r w:rsidR="009840DD" w:rsidRPr="00FC1444">
        <w:rPr>
          <w:rFonts w:ascii="Times New Roman" w:hAnsi="Times New Roman" w:cs="Times New Roman"/>
          <w:kern w:val="24"/>
        </w:rPr>
        <w:fldChar w:fldCharType="end"/>
      </w:r>
      <w:r w:rsidRPr="00FC1444">
        <w:rPr>
          <w:rFonts w:ascii="Times New Roman" w:hAnsi="Times New Roman" w:cs="Times New Roman"/>
          <w:kern w:val="24"/>
        </w:rPr>
        <w:t>类标准。</w:t>
      </w:r>
    </w:p>
    <w:p w:rsidR="002A5A5E" w:rsidRPr="00FC1444"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2.5.2</w:t>
      </w:r>
      <w:r w:rsidRPr="00FC1444">
        <w:rPr>
          <w:rFonts w:ascii="Times New Roman" w:eastAsiaTheme="minorEastAsia" w:hAnsi="Times New Roman" w:cs="Times New Roman"/>
          <w:b/>
          <w:sz w:val="28"/>
          <w:szCs w:val="28"/>
        </w:rPr>
        <w:t>环境质量标准</w:t>
      </w:r>
    </w:p>
    <w:p w:rsidR="002A5A5E" w:rsidRPr="00FC1444" w:rsidRDefault="00611CBA">
      <w:pPr>
        <w:widowControl/>
        <w:spacing w:line="360" w:lineRule="auto"/>
        <w:ind w:firstLineChars="200" w:firstLine="480"/>
        <w:jc w:val="left"/>
        <w:rPr>
          <w:rFonts w:eastAsiaTheme="minorEastAsia"/>
          <w:kern w:val="0"/>
          <w:sz w:val="24"/>
        </w:rPr>
      </w:pPr>
      <w:r w:rsidRPr="00FC1444">
        <w:rPr>
          <w:rFonts w:eastAsiaTheme="minorEastAsia"/>
          <w:kern w:val="0"/>
          <w:sz w:val="24"/>
        </w:rPr>
        <w:t>本项目环境质量标准见下表。</w:t>
      </w:r>
    </w:p>
    <w:p w:rsidR="001C2BCB" w:rsidRPr="00FC1444" w:rsidRDefault="001C2BCB">
      <w:pPr>
        <w:widowControl/>
        <w:jc w:val="center"/>
        <w:rPr>
          <w:rFonts w:eastAsiaTheme="minorEastAsia"/>
          <w:b/>
          <w:szCs w:val="21"/>
        </w:rPr>
      </w:pPr>
    </w:p>
    <w:p w:rsidR="001C2BCB" w:rsidRPr="00FC1444" w:rsidRDefault="001C2BCB">
      <w:pPr>
        <w:widowControl/>
        <w:jc w:val="center"/>
        <w:rPr>
          <w:rFonts w:eastAsiaTheme="minorEastAsia"/>
          <w:b/>
          <w:szCs w:val="21"/>
        </w:rPr>
      </w:pPr>
    </w:p>
    <w:p w:rsidR="001C2BCB" w:rsidRPr="00FC1444" w:rsidRDefault="001C2BCB">
      <w:pPr>
        <w:widowControl/>
        <w:jc w:val="center"/>
        <w:rPr>
          <w:rFonts w:eastAsiaTheme="minorEastAsia"/>
          <w:b/>
          <w:szCs w:val="21"/>
        </w:rPr>
      </w:pPr>
    </w:p>
    <w:p w:rsidR="001C2BCB" w:rsidRPr="00FC1444" w:rsidRDefault="001C2BCB">
      <w:pPr>
        <w:widowControl/>
        <w:jc w:val="center"/>
        <w:rPr>
          <w:rFonts w:eastAsiaTheme="minorEastAsia"/>
          <w:b/>
          <w:szCs w:val="21"/>
        </w:rPr>
      </w:pPr>
    </w:p>
    <w:p w:rsidR="001C2BCB" w:rsidRPr="00FC1444" w:rsidRDefault="001C2BCB">
      <w:pPr>
        <w:widowControl/>
        <w:jc w:val="center"/>
        <w:rPr>
          <w:rFonts w:eastAsiaTheme="minorEastAsia"/>
          <w:b/>
          <w:szCs w:val="21"/>
        </w:rPr>
      </w:pPr>
    </w:p>
    <w:p w:rsidR="001C2BCB" w:rsidRPr="00FC1444" w:rsidRDefault="001C2BCB">
      <w:pPr>
        <w:widowControl/>
        <w:jc w:val="center"/>
        <w:rPr>
          <w:rFonts w:eastAsiaTheme="minorEastAsia" w:hint="eastAsia"/>
          <w:b/>
          <w:szCs w:val="21"/>
        </w:rPr>
      </w:pPr>
    </w:p>
    <w:p w:rsidR="008C1FD0" w:rsidRPr="00FC1444" w:rsidRDefault="008C1FD0">
      <w:pPr>
        <w:widowControl/>
        <w:jc w:val="center"/>
        <w:rPr>
          <w:rFonts w:eastAsiaTheme="minorEastAsia"/>
          <w:b/>
          <w:szCs w:val="21"/>
        </w:rPr>
      </w:pPr>
    </w:p>
    <w:p w:rsidR="001C2BCB" w:rsidRPr="00FC1444" w:rsidRDefault="001C2BCB">
      <w:pPr>
        <w:widowControl/>
        <w:jc w:val="center"/>
        <w:rPr>
          <w:rFonts w:eastAsiaTheme="minorEastAsia"/>
          <w:b/>
          <w:szCs w:val="21"/>
        </w:rPr>
      </w:pPr>
    </w:p>
    <w:p w:rsidR="002A5A5E" w:rsidRPr="00FC1444" w:rsidRDefault="00611CBA">
      <w:pPr>
        <w:widowControl/>
        <w:jc w:val="center"/>
        <w:rPr>
          <w:rFonts w:eastAsiaTheme="minorEastAsia"/>
          <w:b/>
          <w:szCs w:val="21"/>
        </w:rPr>
      </w:pPr>
      <w:r w:rsidRPr="00FC1444">
        <w:rPr>
          <w:rFonts w:eastAsiaTheme="minorEastAsia"/>
          <w:b/>
          <w:szCs w:val="21"/>
        </w:rPr>
        <w:lastRenderedPageBreak/>
        <w:t>表</w:t>
      </w:r>
      <w:r w:rsidRPr="00FC1444">
        <w:rPr>
          <w:rFonts w:eastAsiaTheme="minorEastAsia"/>
          <w:b/>
          <w:szCs w:val="21"/>
        </w:rPr>
        <w:t>2-5-2</w:t>
      </w:r>
      <w:r w:rsidRPr="00FC1444">
        <w:rPr>
          <w:rFonts w:eastAsiaTheme="minorEastAsia"/>
          <w:b/>
          <w:szCs w:val="21"/>
        </w:rPr>
        <w:t>环境质量标准表</w:t>
      </w:r>
    </w:p>
    <w:tbl>
      <w:tblPr>
        <w:tblW w:w="8197"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654"/>
        <w:gridCol w:w="2269"/>
        <w:gridCol w:w="1134"/>
        <w:gridCol w:w="992"/>
        <w:gridCol w:w="1985"/>
        <w:gridCol w:w="1145"/>
        <w:gridCol w:w="18"/>
      </w:tblGrid>
      <w:tr w:rsidR="002A5A5E" w:rsidRPr="00FC1444">
        <w:trPr>
          <w:trHeight w:val="275"/>
          <w:jc w:val="center"/>
        </w:trPr>
        <w:tc>
          <w:tcPr>
            <w:tcW w:w="654" w:type="dxa"/>
            <w:vMerge w:val="restart"/>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环境要素</w:t>
            </w:r>
          </w:p>
        </w:tc>
        <w:tc>
          <w:tcPr>
            <w:tcW w:w="2269" w:type="dxa"/>
            <w:vMerge w:val="restart"/>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标准名称及级（类）别</w:t>
            </w:r>
          </w:p>
        </w:tc>
        <w:tc>
          <w:tcPr>
            <w:tcW w:w="1134" w:type="dxa"/>
            <w:vMerge w:val="restart"/>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项目</w:t>
            </w:r>
          </w:p>
        </w:tc>
        <w:tc>
          <w:tcPr>
            <w:tcW w:w="4140" w:type="dxa"/>
            <w:gridSpan w:val="4"/>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标准值</w:t>
            </w:r>
          </w:p>
        </w:tc>
      </w:tr>
      <w:tr w:rsidR="002A5A5E" w:rsidRPr="00FC1444">
        <w:trPr>
          <w:trHeight w:val="61"/>
          <w:jc w:val="center"/>
        </w:trPr>
        <w:tc>
          <w:tcPr>
            <w:tcW w:w="654" w:type="dxa"/>
            <w:vMerge/>
            <w:vAlign w:val="center"/>
          </w:tcPr>
          <w:p w:rsidR="002A5A5E" w:rsidRPr="00FC1444" w:rsidRDefault="002A5A5E">
            <w:pPr>
              <w:widowControl/>
              <w:jc w:val="left"/>
              <w:rPr>
                <w:rFonts w:eastAsiaTheme="minorEastAsia"/>
                <w:kern w:val="0"/>
                <w:szCs w:val="21"/>
              </w:rPr>
            </w:pPr>
          </w:p>
        </w:tc>
        <w:tc>
          <w:tcPr>
            <w:tcW w:w="2269" w:type="dxa"/>
            <w:vMerge/>
            <w:vAlign w:val="center"/>
          </w:tcPr>
          <w:p w:rsidR="002A5A5E" w:rsidRPr="00FC1444" w:rsidRDefault="002A5A5E">
            <w:pPr>
              <w:widowControl/>
              <w:jc w:val="left"/>
              <w:rPr>
                <w:rFonts w:eastAsiaTheme="minorEastAsia"/>
                <w:kern w:val="0"/>
                <w:szCs w:val="21"/>
              </w:rPr>
            </w:pPr>
          </w:p>
        </w:tc>
        <w:tc>
          <w:tcPr>
            <w:tcW w:w="1134" w:type="dxa"/>
            <w:vMerge/>
            <w:vAlign w:val="center"/>
          </w:tcPr>
          <w:p w:rsidR="002A5A5E" w:rsidRPr="00FC1444" w:rsidRDefault="002A5A5E">
            <w:pPr>
              <w:widowControl/>
              <w:jc w:val="left"/>
              <w:rPr>
                <w:rFonts w:eastAsiaTheme="minorEastAsia"/>
                <w:kern w:val="0"/>
                <w:szCs w:val="21"/>
              </w:rPr>
            </w:pPr>
          </w:p>
        </w:tc>
        <w:tc>
          <w:tcPr>
            <w:tcW w:w="992" w:type="dxa"/>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单位</w:t>
            </w:r>
          </w:p>
        </w:tc>
        <w:tc>
          <w:tcPr>
            <w:tcW w:w="3148" w:type="dxa"/>
            <w:gridSpan w:val="3"/>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数值</w:t>
            </w:r>
          </w:p>
        </w:tc>
      </w:tr>
      <w:tr w:rsidR="002A5A5E" w:rsidRPr="00FC1444" w:rsidTr="00775632">
        <w:trPr>
          <w:trHeight w:val="296"/>
          <w:jc w:val="center"/>
        </w:trPr>
        <w:tc>
          <w:tcPr>
            <w:tcW w:w="654" w:type="dxa"/>
            <w:vMerge w:val="restart"/>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环境空气</w:t>
            </w:r>
          </w:p>
        </w:tc>
        <w:tc>
          <w:tcPr>
            <w:tcW w:w="2269" w:type="dxa"/>
            <w:vMerge w:val="restart"/>
            <w:vAlign w:val="center"/>
          </w:tcPr>
          <w:p w:rsidR="002A5A5E" w:rsidRPr="00FC1444" w:rsidRDefault="00611CBA" w:rsidP="00775632">
            <w:pPr>
              <w:snapToGrid w:val="0"/>
              <w:spacing w:line="0" w:lineRule="atLeast"/>
              <w:jc w:val="center"/>
              <w:rPr>
                <w:rFonts w:eastAsiaTheme="minorEastAsia"/>
                <w:kern w:val="0"/>
                <w:szCs w:val="21"/>
              </w:rPr>
            </w:pPr>
            <w:r w:rsidRPr="00FC1444">
              <w:rPr>
                <w:rFonts w:eastAsiaTheme="minorEastAsia"/>
                <w:kern w:val="0"/>
                <w:szCs w:val="21"/>
              </w:rPr>
              <w:t>《环境空气质量标准》</w:t>
            </w:r>
            <w:r w:rsidRPr="00FC1444">
              <w:rPr>
                <w:rFonts w:eastAsiaTheme="minorEastAsia"/>
                <w:kern w:val="0"/>
                <w:szCs w:val="21"/>
              </w:rPr>
              <w:t xml:space="preserve"> </w:t>
            </w:r>
            <w:r w:rsidRPr="00FC1444">
              <w:rPr>
                <w:rFonts w:eastAsiaTheme="minorEastAsia"/>
                <w:kern w:val="0"/>
                <w:szCs w:val="21"/>
              </w:rPr>
              <w:t>（</w:t>
            </w:r>
            <w:r w:rsidR="00775632" w:rsidRPr="00FC1444">
              <w:rPr>
                <w:rFonts w:eastAsiaTheme="minorEastAsia"/>
                <w:kern w:val="0"/>
                <w:szCs w:val="21"/>
              </w:rPr>
              <w:t>GB3095-2026</w:t>
            </w:r>
            <w:r w:rsidRPr="00FC1444">
              <w:rPr>
                <w:rFonts w:eastAsiaTheme="minorEastAsia"/>
                <w:kern w:val="0"/>
                <w:szCs w:val="21"/>
              </w:rPr>
              <w:t>）</w:t>
            </w:r>
          </w:p>
        </w:tc>
        <w:tc>
          <w:tcPr>
            <w:tcW w:w="1134" w:type="dxa"/>
            <w:vMerge w:val="restart"/>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PM</w:t>
            </w:r>
            <w:r w:rsidRPr="00FC1444">
              <w:rPr>
                <w:rFonts w:eastAsiaTheme="minorEastAsia"/>
                <w:kern w:val="0"/>
                <w:szCs w:val="21"/>
                <w:vertAlign w:val="subscript"/>
              </w:rPr>
              <w:t>10</w:t>
            </w:r>
          </w:p>
        </w:tc>
        <w:tc>
          <w:tcPr>
            <w:tcW w:w="992" w:type="dxa"/>
            <w:vMerge w:val="restart"/>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μg/m</w:t>
            </w:r>
            <w:r w:rsidRPr="00FC1444">
              <w:rPr>
                <w:rFonts w:eastAsiaTheme="minorEastAsia"/>
                <w:kern w:val="0"/>
                <w:szCs w:val="21"/>
                <w:vertAlign w:val="superscript"/>
              </w:rPr>
              <w:t>3</w:t>
            </w:r>
          </w:p>
        </w:tc>
        <w:tc>
          <w:tcPr>
            <w:tcW w:w="1985" w:type="dxa"/>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小时平均</w:t>
            </w:r>
          </w:p>
        </w:tc>
        <w:tc>
          <w:tcPr>
            <w:tcW w:w="1163" w:type="dxa"/>
            <w:gridSpan w:val="2"/>
            <w:vAlign w:val="center"/>
          </w:tcPr>
          <w:p w:rsidR="002A5A5E" w:rsidRPr="00FC1444" w:rsidRDefault="00611CBA" w:rsidP="007257D7">
            <w:pPr>
              <w:snapToGrid w:val="0"/>
              <w:spacing w:line="0" w:lineRule="atLeast"/>
              <w:jc w:val="center"/>
              <w:rPr>
                <w:rFonts w:eastAsiaTheme="minorEastAsia"/>
                <w:kern w:val="0"/>
                <w:szCs w:val="21"/>
              </w:rPr>
            </w:pPr>
            <w:r w:rsidRPr="00FC1444">
              <w:rPr>
                <w:rFonts w:eastAsiaTheme="minorEastAsia"/>
                <w:kern w:val="0"/>
                <w:szCs w:val="21"/>
              </w:rPr>
              <w:t>1</w:t>
            </w:r>
            <w:r w:rsidR="007257D7" w:rsidRPr="00FC1444">
              <w:rPr>
                <w:rFonts w:eastAsiaTheme="minorEastAsia"/>
                <w:kern w:val="0"/>
                <w:szCs w:val="21"/>
              </w:rPr>
              <w:t>20</w:t>
            </w:r>
          </w:p>
        </w:tc>
      </w:tr>
      <w:tr w:rsidR="002A5A5E" w:rsidRPr="00FC1444" w:rsidTr="00775632">
        <w:trPr>
          <w:trHeight w:val="292"/>
          <w:jc w:val="center"/>
        </w:trPr>
        <w:tc>
          <w:tcPr>
            <w:tcW w:w="654" w:type="dxa"/>
            <w:vMerge/>
            <w:vAlign w:val="center"/>
          </w:tcPr>
          <w:p w:rsidR="002A5A5E" w:rsidRPr="00FC1444" w:rsidRDefault="002A5A5E">
            <w:pPr>
              <w:snapToGrid w:val="0"/>
              <w:spacing w:line="0" w:lineRule="atLeast"/>
              <w:jc w:val="center"/>
              <w:rPr>
                <w:rFonts w:eastAsiaTheme="minorEastAsia"/>
                <w:kern w:val="0"/>
                <w:szCs w:val="21"/>
              </w:rPr>
            </w:pPr>
          </w:p>
        </w:tc>
        <w:tc>
          <w:tcPr>
            <w:tcW w:w="2269" w:type="dxa"/>
            <w:vMerge/>
            <w:vAlign w:val="center"/>
          </w:tcPr>
          <w:p w:rsidR="002A5A5E" w:rsidRPr="00FC1444" w:rsidRDefault="002A5A5E">
            <w:pPr>
              <w:snapToGrid w:val="0"/>
              <w:spacing w:line="0" w:lineRule="atLeast"/>
              <w:jc w:val="center"/>
              <w:rPr>
                <w:rFonts w:eastAsiaTheme="minorEastAsia"/>
                <w:kern w:val="0"/>
                <w:szCs w:val="21"/>
              </w:rPr>
            </w:pPr>
          </w:p>
        </w:tc>
        <w:tc>
          <w:tcPr>
            <w:tcW w:w="1134" w:type="dxa"/>
            <w:vMerge/>
            <w:vAlign w:val="center"/>
          </w:tcPr>
          <w:p w:rsidR="002A5A5E" w:rsidRPr="00FC1444" w:rsidRDefault="002A5A5E">
            <w:pPr>
              <w:widowControl/>
              <w:jc w:val="left"/>
              <w:rPr>
                <w:rFonts w:eastAsiaTheme="minorEastAsia"/>
                <w:kern w:val="0"/>
                <w:szCs w:val="21"/>
              </w:rPr>
            </w:pPr>
          </w:p>
        </w:tc>
        <w:tc>
          <w:tcPr>
            <w:tcW w:w="992" w:type="dxa"/>
            <w:vMerge/>
            <w:vAlign w:val="center"/>
          </w:tcPr>
          <w:p w:rsidR="002A5A5E" w:rsidRPr="00FC1444" w:rsidRDefault="002A5A5E">
            <w:pPr>
              <w:widowControl/>
              <w:jc w:val="left"/>
              <w:rPr>
                <w:rFonts w:eastAsiaTheme="minorEastAsia"/>
                <w:kern w:val="0"/>
                <w:szCs w:val="21"/>
              </w:rPr>
            </w:pPr>
          </w:p>
        </w:tc>
        <w:tc>
          <w:tcPr>
            <w:tcW w:w="1985" w:type="dxa"/>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年平均</w:t>
            </w:r>
          </w:p>
        </w:tc>
        <w:tc>
          <w:tcPr>
            <w:tcW w:w="1163" w:type="dxa"/>
            <w:gridSpan w:val="2"/>
            <w:vAlign w:val="center"/>
          </w:tcPr>
          <w:p w:rsidR="002A5A5E" w:rsidRPr="00FC1444" w:rsidRDefault="007257D7">
            <w:pPr>
              <w:snapToGrid w:val="0"/>
              <w:spacing w:line="0" w:lineRule="atLeast"/>
              <w:jc w:val="center"/>
              <w:rPr>
                <w:rFonts w:eastAsiaTheme="minorEastAsia"/>
                <w:kern w:val="0"/>
                <w:szCs w:val="21"/>
              </w:rPr>
            </w:pPr>
            <w:r w:rsidRPr="00FC1444">
              <w:rPr>
                <w:rFonts w:eastAsiaTheme="minorEastAsia"/>
                <w:kern w:val="0"/>
                <w:szCs w:val="21"/>
              </w:rPr>
              <w:t>6</w:t>
            </w:r>
            <w:r w:rsidR="00611CBA" w:rsidRPr="00FC1444">
              <w:rPr>
                <w:rFonts w:eastAsiaTheme="minorEastAsia"/>
                <w:kern w:val="0"/>
                <w:szCs w:val="21"/>
              </w:rPr>
              <w:t>0</w:t>
            </w:r>
          </w:p>
        </w:tc>
      </w:tr>
      <w:tr w:rsidR="002A5A5E" w:rsidRPr="00FC1444" w:rsidTr="00775632">
        <w:trPr>
          <w:trHeight w:val="292"/>
          <w:jc w:val="center"/>
        </w:trPr>
        <w:tc>
          <w:tcPr>
            <w:tcW w:w="654" w:type="dxa"/>
            <w:vMerge/>
            <w:vAlign w:val="center"/>
          </w:tcPr>
          <w:p w:rsidR="002A5A5E" w:rsidRPr="00FC1444" w:rsidRDefault="002A5A5E">
            <w:pPr>
              <w:snapToGrid w:val="0"/>
              <w:spacing w:line="0" w:lineRule="atLeast"/>
              <w:jc w:val="center"/>
              <w:rPr>
                <w:rFonts w:eastAsiaTheme="minorEastAsia"/>
                <w:kern w:val="0"/>
                <w:szCs w:val="21"/>
              </w:rPr>
            </w:pPr>
          </w:p>
        </w:tc>
        <w:tc>
          <w:tcPr>
            <w:tcW w:w="2269" w:type="dxa"/>
            <w:vMerge/>
            <w:vAlign w:val="center"/>
          </w:tcPr>
          <w:p w:rsidR="002A5A5E" w:rsidRPr="00FC1444" w:rsidRDefault="002A5A5E">
            <w:pPr>
              <w:snapToGrid w:val="0"/>
              <w:spacing w:line="0" w:lineRule="atLeast"/>
              <w:jc w:val="center"/>
              <w:rPr>
                <w:rFonts w:eastAsiaTheme="minorEastAsia"/>
                <w:kern w:val="0"/>
                <w:szCs w:val="21"/>
              </w:rPr>
            </w:pPr>
          </w:p>
        </w:tc>
        <w:tc>
          <w:tcPr>
            <w:tcW w:w="1134" w:type="dxa"/>
            <w:vMerge w:val="restart"/>
            <w:vAlign w:val="center"/>
          </w:tcPr>
          <w:p w:rsidR="002A5A5E" w:rsidRPr="00FC1444" w:rsidRDefault="00611CBA">
            <w:pPr>
              <w:widowControl/>
              <w:snapToGrid w:val="0"/>
              <w:spacing w:line="0" w:lineRule="atLeast"/>
              <w:jc w:val="center"/>
              <w:rPr>
                <w:rFonts w:eastAsiaTheme="minorEastAsia"/>
                <w:kern w:val="0"/>
                <w:szCs w:val="21"/>
              </w:rPr>
            </w:pPr>
            <w:r w:rsidRPr="00FC1444">
              <w:rPr>
                <w:rFonts w:eastAsiaTheme="minorEastAsia"/>
                <w:kern w:val="0"/>
                <w:szCs w:val="21"/>
              </w:rPr>
              <w:t>PM</w:t>
            </w:r>
            <w:r w:rsidRPr="00FC1444">
              <w:rPr>
                <w:rFonts w:eastAsiaTheme="minorEastAsia"/>
                <w:kern w:val="0"/>
                <w:szCs w:val="21"/>
                <w:vertAlign w:val="subscript"/>
              </w:rPr>
              <w:t>2.5</w:t>
            </w:r>
          </w:p>
        </w:tc>
        <w:tc>
          <w:tcPr>
            <w:tcW w:w="992" w:type="dxa"/>
            <w:vMerge/>
            <w:vAlign w:val="center"/>
          </w:tcPr>
          <w:p w:rsidR="002A5A5E" w:rsidRPr="00FC1444" w:rsidRDefault="002A5A5E">
            <w:pPr>
              <w:widowControl/>
              <w:jc w:val="left"/>
              <w:rPr>
                <w:rFonts w:eastAsiaTheme="minorEastAsia"/>
                <w:kern w:val="0"/>
                <w:szCs w:val="21"/>
              </w:rPr>
            </w:pPr>
          </w:p>
        </w:tc>
        <w:tc>
          <w:tcPr>
            <w:tcW w:w="1985" w:type="dxa"/>
            <w:vAlign w:val="center"/>
          </w:tcPr>
          <w:p w:rsidR="002A5A5E" w:rsidRPr="00FC1444" w:rsidRDefault="00611CBA">
            <w:pPr>
              <w:widowControl/>
              <w:adjustRightInd w:val="0"/>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小时平均</w:t>
            </w:r>
          </w:p>
        </w:tc>
        <w:tc>
          <w:tcPr>
            <w:tcW w:w="1163" w:type="dxa"/>
            <w:gridSpan w:val="2"/>
            <w:vAlign w:val="center"/>
          </w:tcPr>
          <w:p w:rsidR="002A5A5E" w:rsidRPr="00FC1444" w:rsidRDefault="007257D7">
            <w:pPr>
              <w:widowControl/>
              <w:adjustRightInd w:val="0"/>
              <w:spacing w:line="0" w:lineRule="atLeast"/>
              <w:jc w:val="center"/>
              <w:rPr>
                <w:rFonts w:eastAsiaTheme="minorEastAsia"/>
                <w:kern w:val="0"/>
                <w:szCs w:val="21"/>
              </w:rPr>
            </w:pPr>
            <w:r w:rsidRPr="00FC1444">
              <w:rPr>
                <w:rFonts w:eastAsiaTheme="minorEastAsia"/>
                <w:kern w:val="0"/>
                <w:szCs w:val="21"/>
              </w:rPr>
              <w:t>60</w:t>
            </w:r>
          </w:p>
        </w:tc>
      </w:tr>
      <w:tr w:rsidR="002A5A5E" w:rsidRPr="00FC1444" w:rsidTr="00775632">
        <w:trPr>
          <w:trHeight w:val="308"/>
          <w:jc w:val="center"/>
        </w:trPr>
        <w:tc>
          <w:tcPr>
            <w:tcW w:w="654" w:type="dxa"/>
            <w:vMerge/>
            <w:vAlign w:val="center"/>
          </w:tcPr>
          <w:p w:rsidR="002A5A5E" w:rsidRPr="00FC1444" w:rsidRDefault="002A5A5E">
            <w:pPr>
              <w:snapToGrid w:val="0"/>
              <w:spacing w:line="0" w:lineRule="atLeast"/>
              <w:jc w:val="center"/>
              <w:rPr>
                <w:rFonts w:eastAsiaTheme="minorEastAsia"/>
                <w:kern w:val="0"/>
                <w:szCs w:val="21"/>
              </w:rPr>
            </w:pPr>
          </w:p>
        </w:tc>
        <w:tc>
          <w:tcPr>
            <w:tcW w:w="2269" w:type="dxa"/>
            <w:vMerge/>
            <w:vAlign w:val="center"/>
          </w:tcPr>
          <w:p w:rsidR="002A5A5E" w:rsidRPr="00FC1444" w:rsidRDefault="002A5A5E">
            <w:pPr>
              <w:snapToGrid w:val="0"/>
              <w:spacing w:line="0" w:lineRule="atLeast"/>
              <w:jc w:val="center"/>
              <w:rPr>
                <w:rFonts w:eastAsiaTheme="minorEastAsia"/>
                <w:kern w:val="0"/>
                <w:szCs w:val="21"/>
              </w:rPr>
            </w:pPr>
          </w:p>
        </w:tc>
        <w:tc>
          <w:tcPr>
            <w:tcW w:w="1134" w:type="dxa"/>
            <w:vMerge/>
            <w:vAlign w:val="center"/>
          </w:tcPr>
          <w:p w:rsidR="002A5A5E" w:rsidRPr="00FC1444" w:rsidRDefault="002A5A5E">
            <w:pPr>
              <w:widowControl/>
              <w:jc w:val="left"/>
              <w:rPr>
                <w:rFonts w:eastAsiaTheme="minorEastAsia"/>
                <w:kern w:val="0"/>
                <w:szCs w:val="21"/>
              </w:rPr>
            </w:pPr>
          </w:p>
        </w:tc>
        <w:tc>
          <w:tcPr>
            <w:tcW w:w="992" w:type="dxa"/>
            <w:vMerge/>
            <w:vAlign w:val="center"/>
          </w:tcPr>
          <w:p w:rsidR="002A5A5E" w:rsidRPr="00FC1444" w:rsidRDefault="002A5A5E">
            <w:pPr>
              <w:widowControl/>
              <w:jc w:val="left"/>
              <w:rPr>
                <w:rFonts w:eastAsiaTheme="minorEastAsia"/>
                <w:kern w:val="0"/>
                <w:szCs w:val="21"/>
              </w:rPr>
            </w:pPr>
          </w:p>
        </w:tc>
        <w:tc>
          <w:tcPr>
            <w:tcW w:w="1985" w:type="dxa"/>
            <w:vAlign w:val="center"/>
          </w:tcPr>
          <w:p w:rsidR="002A5A5E" w:rsidRPr="00FC1444" w:rsidRDefault="00611CBA">
            <w:pPr>
              <w:widowControl/>
              <w:adjustRightInd w:val="0"/>
              <w:spacing w:line="0" w:lineRule="atLeast"/>
              <w:jc w:val="center"/>
              <w:rPr>
                <w:rFonts w:eastAsiaTheme="minorEastAsia"/>
                <w:kern w:val="0"/>
                <w:szCs w:val="21"/>
              </w:rPr>
            </w:pPr>
            <w:r w:rsidRPr="00FC1444">
              <w:rPr>
                <w:rFonts w:eastAsiaTheme="minorEastAsia"/>
                <w:kern w:val="0"/>
                <w:szCs w:val="21"/>
              </w:rPr>
              <w:t>年平均</w:t>
            </w:r>
          </w:p>
        </w:tc>
        <w:tc>
          <w:tcPr>
            <w:tcW w:w="1163" w:type="dxa"/>
            <w:gridSpan w:val="2"/>
            <w:vAlign w:val="center"/>
          </w:tcPr>
          <w:p w:rsidR="002A5A5E" w:rsidRPr="00FC1444" w:rsidRDefault="00611CBA" w:rsidP="007257D7">
            <w:pPr>
              <w:widowControl/>
              <w:adjustRightInd w:val="0"/>
              <w:spacing w:line="0" w:lineRule="atLeast"/>
              <w:jc w:val="center"/>
              <w:rPr>
                <w:rFonts w:eastAsiaTheme="minorEastAsia"/>
                <w:kern w:val="0"/>
                <w:szCs w:val="21"/>
              </w:rPr>
            </w:pPr>
            <w:r w:rsidRPr="00FC1444">
              <w:rPr>
                <w:rFonts w:eastAsiaTheme="minorEastAsia"/>
                <w:kern w:val="0"/>
                <w:szCs w:val="21"/>
              </w:rPr>
              <w:t>3</w:t>
            </w:r>
            <w:r w:rsidR="007257D7" w:rsidRPr="00FC1444">
              <w:rPr>
                <w:rFonts w:eastAsiaTheme="minorEastAsia"/>
                <w:kern w:val="0"/>
                <w:szCs w:val="21"/>
              </w:rPr>
              <w:t>0</w:t>
            </w:r>
          </w:p>
        </w:tc>
      </w:tr>
      <w:tr w:rsidR="002A5A5E" w:rsidRPr="00FC1444" w:rsidTr="00775632">
        <w:trPr>
          <w:trHeight w:val="292"/>
          <w:jc w:val="center"/>
        </w:trPr>
        <w:tc>
          <w:tcPr>
            <w:tcW w:w="654" w:type="dxa"/>
            <w:vMerge/>
            <w:vAlign w:val="center"/>
          </w:tcPr>
          <w:p w:rsidR="002A5A5E" w:rsidRPr="00FC1444" w:rsidRDefault="002A5A5E">
            <w:pPr>
              <w:snapToGrid w:val="0"/>
              <w:spacing w:line="0" w:lineRule="atLeast"/>
              <w:jc w:val="center"/>
              <w:rPr>
                <w:rFonts w:eastAsiaTheme="minorEastAsia"/>
                <w:kern w:val="0"/>
                <w:szCs w:val="21"/>
              </w:rPr>
            </w:pPr>
          </w:p>
        </w:tc>
        <w:tc>
          <w:tcPr>
            <w:tcW w:w="2269" w:type="dxa"/>
            <w:vMerge/>
            <w:vAlign w:val="center"/>
          </w:tcPr>
          <w:p w:rsidR="002A5A5E" w:rsidRPr="00FC1444" w:rsidRDefault="002A5A5E">
            <w:pPr>
              <w:snapToGrid w:val="0"/>
              <w:spacing w:line="0" w:lineRule="atLeast"/>
              <w:jc w:val="center"/>
              <w:rPr>
                <w:rFonts w:eastAsiaTheme="minorEastAsia"/>
                <w:kern w:val="0"/>
                <w:szCs w:val="21"/>
              </w:rPr>
            </w:pPr>
          </w:p>
        </w:tc>
        <w:tc>
          <w:tcPr>
            <w:tcW w:w="1134" w:type="dxa"/>
            <w:vMerge w:val="restart"/>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NO</w:t>
            </w:r>
            <w:r w:rsidRPr="00FC1444">
              <w:rPr>
                <w:rFonts w:eastAsiaTheme="minorEastAsia"/>
                <w:kern w:val="0"/>
                <w:szCs w:val="21"/>
                <w:vertAlign w:val="subscript"/>
              </w:rPr>
              <w:t>2</w:t>
            </w:r>
          </w:p>
        </w:tc>
        <w:tc>
          <w:tcPr>
            <w:tcW w:w="992" w:type="dxa"/>
            <w:vMerge/>
            <w:vAlign w:val="center"/>
          </w:tcPr>
          <w:p w:rsidR="002A5A5E" w:rsidRPr="00FC1444" w:rsidRDefault="002A5A5E">
            <w:pPr>
              <w:widowControl/>
              <w:jc w:val="center"/>
              <w:rPr>
                <w:rFonts w:eastAsiaTheme="minorEastAsia"/>
                <w:kern w:val="0"/>
                <w:szCs w:val="21"/>
              </w:rPr>
            </w:pPr>
          </w:p>
        </w:tc>
        <w:tc>
          <w:tcPr>
            <w:tcW w:w="1985" w:type="dxa"/>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1</w:t>
            </w:r>
            <w:r w:rsidRPr="00FC1444">
              <w:rPr>
                <w:rFonts w:eastAsiaTheme="minorEastAsia"/>
                <w:kern w:val="0"/>
                <w:szCs w:val="21"/>
              </w:rPr>
              <w:t>小时平均</w:t>
            </w:r>
          </w:p>
        </w:tc>
        <w:tc>
          <w:tcPr>
            <w:tcW w:w="1163" w:type="dxa"/>
            <w:gridSpan w:val="2"/>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200</w:t>
            </w:r>
          </w:p>
        </w:tc>
      </w:tr>
      <w:tr w:rsidR="002A5A5E" w:rsidRPr="00FC1444" w:rsidTr="00775632">
        <w:trPr>
          <w:trHeight w:val="292"/>
          <w:jc w:val="center"/>
        </w:trPr>
        <w:tc>
          <w:tcPr>
            <w:tcW w:w="654" w:type="dxa"/>
            <w:vMerge/>
            <w:vAlign w:val="center"/>
          </w:tcPr>
          <w:p w:rsidR="002A5A5E" w:rsidRPr="00FC1444" w:rsidRDefault="002A5A5E">
            <w:pPr>
              <w:snapToGrid w:val="0"/>
              <w:spacing w:line="0" w:lineRule="atLeast"/>
              <w:jc w:val="center"/>
              <w:rPr>
                <w:rFonts w:eastAsiaTheme="minorEastAsia"/>
                <w:kern w:val="0"/>
                <w:szCs w:val="21"/>
              </w:rPr>
            </w:pPr>
          </w:p>
        </w:tc>
        <w:tc>
          <w:tcPr>
            <w:tcW w:w="2269" w:type="dxa"/>
            <w:vMerge/>
            <w:vAlign w:val="center"/>
          </w:tcPr>
          <w:p w:rsidR="002A5A5E" w:rsidRPr="00FC1444" w:rsidRDefault="002A5A5E">
            <w:pPr>
              <w:snapToGrid w:val="0"/>
              <w:spacing w:line="0" w:lineRule="atLeast"/>
              <w:jc w:val="center"/>
              <w:rPr>
                <w:rFonts w:eastAsiaTheme="minorEastAsia"/>
                <w:kern w:val="0"/>
                <w:szCs w:val="21"/>
              </w:rPr>
            </w:pPr>
          </w:p>
        </w:tc>
        <w:tc>
          <w:tcPr>
            <w:tcW w:w="1134" w:type="dxa"/>
            <w:vMerge/>
            <w:vAlign w:val="center"/>
          </w:tcPr>
          <w:p w:rsidR="002A5A5E" w:rsidRPr="00FC1444" w:rsidRDefault="002A5A5E">
            <w:pPr>
              <w:widowControl/>
              <w:jc w:val="left"/>
              <w:rPr>
                <w:rFonts w:eastAsiaTheme="minorEastAsia"/>
                <w:kern w:val="0"/>
                <w:szCs w:val="21"/>
              </w:rPr>
            </w:pPr>
          </w:p>
        </w:tc>
        <w:tc>
          <w:tcPr>
            <w:tcW w:w="992" w:type="dxa"/>
            <w:vMerge/>
            <w:vAlign w:val="center"/>
          </w:tcPr>
          <w:p w:rsidR="002A5A5E" w:rsidRPr="00FC1444" w:rsidRDefault="002A5A5E">
            <w:pPr>
              <w:widowControl/>
              <w:jc w:val="left"/>
              <w:rPr>
                <w:rFonts w:eastAsiaTheme="minorEastAsia"/>
                <w:kern w:val="0"/>
                <w:szCs w:val="21"/>
              </w:rPr>
            </w:pPr>
          </w:p>
        </w:tc>
        <w:tc>
          <w:tcPr>
            <w:tcW w:w="1985" w:type="dxa"/>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小时平均</w:t>
            </w:r>
          </w:p>
        </w:tc>
        <w:tc>
          <w:tcPr>
            <w:tcW w:w="1163" w:type="dxa"/>
            <w:gridSpan w:val="2"/>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80</w:t>
            </w:r>
          </w:p>
        </w:tc>
      </w:tr>
      <w:tr w:rsidR="002A5A5E" w:rsidRPr="00FC1444" w:rsidTr="00775632">
        <w:trPr>
          <w:trHeight w:val="292"/>
          <w:jc w:val="center"/>
        </w:trPr>
        <w:tc>
          <w:tcPr>
            <w:tcW w:w="654" w:type="dxa"/>
            <w:vMerge/>
            <w:vAlign w:val="center"/>
          </w:tcPr>
          <w:p w:rsidR="002A5A5E" w:rsidRPr="00FC1444" w:rsidRDefault="002A5A5E">
            <w:pPr>
              <w:snapToGrid w:val="0"/>
              <w:spacing w:line="0" w:lineRule="atLeast"/>
              <w:jc w:val="center"/>
              <w:rPr>
                <w:rFonts w:eastAsiaTheme="minorEastAsia"/>
                <w:kern w:val="0"/>
                <w:szCs w:val="21"/>
              </w:rPr>
            </w:pPr>
          </w:p>
        </w:tc>
        <w:tc>
          <w:tcPr>
            <w:tcW w:w="2269" w:type="dxa"/>
            <w:vMerge/>
            <w:vAlign w:val="center"/>
          </w:tcPr>
          <w:p w:rsidR="002A5A5E" w:rsidRPr="00FC1444" w:rsidRDefault="002A5A5E">
            <w:pPr>
              <w:snapToGrid w:val="0"/>
              <w:spacing w:line="0" w:lineRule="atLeast"/>
              <w:jc w:val="center"/>
              <w:rPr>
                <w:rFonts w:eastAsiaTheme="minorEastAsia"/>
                <w:kern w:val="0"/>
                <w:szCs w:val="21"/>
              </w:rPr>
            </w:pPr>
          </w:p>
        </w:tc>
        <w:tc>
          <w:tcPr>
            <w:tcW w:w="1134" w:type="dxa"/>
            <w:vMerge/>
            <w:vAlign w:val="center"/>
          </w:tcPr>
          <w:p w:rsidR="002A5A5E" w:rsidRPr="00FC1444" w:rsidRDefault="002A5A5E">
            <w:pPr>
              <w:widowControl/>
              <w:jc w:val="left"/>
              <w:rPr>
                <w:rFonts w:eastAsiaTheme="minorEastAsia"/>
                <w:kern w:val="0"/>
                <w:szCs w:val="21"/>
              </w:rPr>
            </w:pPr>
          </w:p>
        </w:tc>
        <w:tc>
          <w:tcPr>
            <w:tcW w:w="992" w:type="dxa"/>
            <w:vMerge/>
            <w:vAlign w:val="center"/>
          </w:tcPr>
          <w:p w:rsidR="002A5A5E" w:rsidRPr="00FC1444" w:rsidRDefault="002A5A5E">
            <w:pPr>
              <w:widowControl/>
              <w:jc w:val="left"/>
              <w:rPr>
                <w:rFonts w:eastAsiaTheme="minorEastAsia"/>
                <w:kern w:val="0"/>
                <w:szCs w:val="21"/>
              </w:rPr>
            </w:pPr>
          </w:p>
        </w:tc>
        <w:tc>
          <w:tcPr>
            <w:tcW w:w="1985" w:type="dxa"/>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年平均</w:t>
            </w:r>
          </w:p>
        </w:tc>
        <w:tc>
          <w:tcPr>
            <w:tcW w:w="1163" w:type="dxa"/>
            <w:gridSpan w:val="2"/>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40</w:t>
            </w:r>
          </w:p>
        </w:tc>
      </w:tr>
      <w:tr w:rsidR="002A5A5E" w:rsidRPr="00FC1444" w:rsidTr="00775632">
        <w:trPr>
          <w:trHeight w:val="100"/>
          <w:jc w:val="center"/>
        </w:trPr>
        <w:tc>
          <w:tcPr>
            <w:tcW w:w="654" w:type="dxa"/>
            <w:vMerge/>
            <w:vAlign w:val="center"/>
          </w:tcPr>
          <w:p w:rsidR="002A5A5E" w:rsidRPr="00FC1444" w:rsidRDefault="002A5A5E">
            <w:pPr>
              <w:snapToGrid w:val="0"/>
              <w:spacing w:line="0" w:lineRule="atLeast"/>
              <w:jc w:val="center"/>
              <w:rPr>
                <w:rFonts w:eastAsiaTheme="minorEastAsia"/>
                <w:kern w:val="0"/>
                <w:szCs w:val="21"/>
              </w:rPr>
            </w:pPr>
          </w:p>
        </w:tc>
        <w:tc>
          <w:tcPr>
            <w:tcW w:w="2269" w:type="dxa"/>
            <w:vMerge/>
            <w:vAlign w:val="center"/>
          </w:tcPr>
          <w:p w:rsidR="002A5A5E" w:rsidRPr="00FC1444" w:rsidRDefault="002A5A5E">
            <w:pPr>
              <w:snapToGrid w:val="0"/>
              <w:spacing w:line="0" w:lineRule="atLeast"/>
              <w:jc w:val="center"/>
              <w:rPr>
                <w:rFonts w:eastAsiaTheme="minorEastAsia"/>
                <w:kern w:val="0"/>
                <w:szCs w:val="21"/>
              </w:rPr>
            </w:pPr>
          </w:p>
        </w:tc>
        <w:tc>
          <w:tcPr>
            <w:tcW w:w="1134" w:type="dxa"/>
            <w:vMerge w:val="restart"/>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SO</w:t>
            </w:r>
            <w:r w:rsidRPr="00FC1444">
              <w:rPr>
                <w:rFonts w:eastAsiaTheme="minorEastAsia"/>
                <w:kern w:val="0"/>
                <w:szCs w:val="21"/>
                <w:vertAlign w:val="subscript"/>
              </w:rPr>
              <w:t>2</w:t>
            </w:r>
          </w:p>
        </w:tc>
        <w:tc>
          <w:tcPr>
            <w:tcW w:w="992" w:type="dxa"/>
            <w:vMerge/>
            <w:vAlign w:val="center"/>
          </w:tcPr>
          <w:p w:rsidR="002A5A5E" w:rsidRPr="00FC1444" w:rsidRDefault="002A5A5E">
            <w:pPr>
              <w:widowControl/>
              <w:jc w:val="center"/>
              <w:rPr>
                <w:rFonts w:eastAsiaTheme="minorEastAsia"/>
                <w:kern w:val="0"/>
                <w:szCs w:val="21"/>
              </w:rPr>
            </w:pPr>
          </w:p>
        </w:tc>
        <w:tc>
          <w:tcPr>
            <w:tcW w:w="1985" w:type="dxa"/>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1</w:t>
            </w:r>
            <w:r w:rsidRPr="00FC1444">
              <w:rPr>
                <w:rFonts w:eastAsiaTheme="minorEastAsia"/>
                <w:kern w:val="0"/>
                <w:szCs w:val="21"/>
              </w:rPr>
              <w:t>小时平均</w:t>
            </w:r>
          </w:p>
        </w:tc>
        <w:tc>
          <w:tcPr>
            <w:tcW w:w="1163" w:type="dxa"/>
            <w:gridSpan w:val="2"/>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50</w:t>
            </w:r>
            <w:r w:rsidR="007257D7" w:rsidRPr="00FC1444">
              <w:rPr>
                <w:rFonts w:eastAsiaTheme="minorEastAsia"/>
                <w:kern w:val="0"/>
                <w:szCs w:val="21"/>
              </w:rPr>
              <w:t>0</w:t>
            </w:r>
          </w:p>
        </w:tc>
      </w:tr>
      <w:tr w:rsidR="002A5A5E" w:rsidRPr="00FC1444" w:rsidTr="00775632">
        <w:trPr>
          <w:trHeight w:val="100"/>
          <w:jc w:val="center"/>
        </w:trPr>
        <w:tc>
          <w:tcPr>
            <w:tcW w:w="654" w:type="dxa"/>
            <w:vMerge/>
            <w:vAlign w:val="center"/>
          </w:tcPr>
          <w:p w:rsidR="002A5A5E" w:rsidRPr="00FC1444" w:rsidRDefault="002A5A5E">
            <w:pPr>
              <w:widowControl/>
              <w:jc w:val="left"/>
              <w:rPr>
                <w:rFonts w:eastAsiaTheme="minorEastAsia"/>
                <w:kern w:val="0"/>
                <w:szCs w:val="21"/>
              </w:rPr>
            </w:pPr>
          </w:p>
        </w:tc>
        <w:tc>
          <w:tcPr>
            <w:tcW w:w="2269" w:type="dxa"/>
            <w:vMerge/>
            <w:vAlign w:val="center"/>
          </w:tcPr>
          <w:p w:rsidR="002A5A5E" w:rsidRPr="00FC1444" w:rsidRDefault="002A5A5E">
            <w:pPr>
              <w:widowControl/>
              <w:jc w:val="left"/>
              <w:rPr>
                <w:rFonts w:eastAsiaTheme="minorEastAsia"/>
                <w:kern w:val="0"/>
                <w:szCs w:val="21"/>
              </w:rPr>
            </w:pPr>
          </w:p>
        </w:tc>
        <w:tc>
          <w:tcPr>
            <w:tcW w:w="1134" w:type="dxa"/>
            <w:vMerge/>
            <w:vAlign w:val="center"/>
          </w:tcPr>
          <w:p w:rsidR="002A5A5E" w:rsidRPr="00FC1444" w:rsidRDefault="002A5A5E">
            <w:pPr>
              <w:widowControl/>
              <w:jc w:val="left"/>
              <w:rPr>
                <w:rFonts w:eastAsiaTheme="minorEastAsia"/>
                <w:kern w:val="0"/>
                <w:szCs w:val="21"/>
              </w:rPr>
            </w:pPr>
          </w:p>
        </w:tc>
        <w:tc>
          <w:tcPr>
            <w:tcW w:w="992" w:type="dxa"/>
            <w:vMerge/>
            <w:vAlign w:val="center"/>
          </w:tcPr>
          <w:p w:rsidR="002A5A5E" w:rsidRPr="00FC1444" w:rsidRDefault="002A5A5E">
            <w:pPr>
              <w:widowControl/>
              <w:jc w:val="left"/>
              <w:rPr>
                <w:rFonts w:eastAsiaTheme="minorEastAsia"/>
                <w:kern w:val="0"/>
                <w:szCs w:val="21"/>
              </w:rPr>
            </w:pPr>
          </w:p>
        </w:tc>
        <w:tc>
          <w:tcPr>
            <w:tcW w:w="1985" w:type="dxa"/>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小时平均</w:t>
            </w:r>
          </w:p>
        </w:tc>
        <w:tc>
          <w:tcPr>
            <w:tcW w:w="1163" w:type="dxa"/>
            <w:gridSpan w:val="2"/>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150</w:t>
            </w:r>
          </w:p>
        </w:tc>
      </w:tr>
      <w:tr w:rsidR="002A5A5E" w:rsidRPr="00FC1444" w:rsidTr="00775632">
        <w:trPr>
          <w:trHeight w:val="100"/>
          <w:jc w:val="center"/>
        </w:trPr>
        <w:tc>
          <w:tcPr>
            <w:tcW w:w="654" w:type="dxa"/>
            <w:vMerge/>
            <w:vAlign w:val="center"/>
          </w:tcPr>
          <w:p w:rsidR="002A5A5E" w:rsidRPr="00FC1444" w:rsidRDefault="002A5A5E">
            <w:pPr>
              <w:widowControl/>
              <w:jc w:val="left"/>
              <w:rPr>
                <w:rFonts w:eastAsiaTheme="minorEastAsia"/>
                <w:kern w:val="0"/>
                <w:szCs w:val="21"/>
              </w:rPr>
            </w:pPr>
          </w:p>
        </w:tc>
        <w:tc>
          <w:tcPr>
            <w:tcW w:w="2269" w:type="dxa"/>
            <w:vMerge/>
            <w:vAlign w:val="center"/>
          </w:tcPr>
          <w:p w:rsidR="002A5A5E" w:rsidRPr="00FC1444" w:rsidRDefault="002A5A5E">
            <w:pPr>
              <w:widowControl/>
              <w:jc w:val="left"/>
              <w:rPr>
                <w:rFonts w:eastAsiaTheme="minorEastAsia"/>
                <w:kern w:val="0"/>
                <w:szCs w:val="21"/>
              </w:rPr>
            </w:pPr>
          </w:p>
        </w:tc>
        <w:tc>
          <w:tcPr>
            <w:tcW w:w="1134" w:type="dxa"/>
            <w:vMerge/>
            <w:vAlign w:val="center"/>
          </w:tcPr>
          <w:p w:rsidR="002A5A5E" w:rsidRPr="00FC1444" w:rsidRDefault="002A5A5E">
            <w:pPr>
              <w:widowControl/>
              <w:jc w:val="left"/>
              <w:rPr>
                <w:rFonts w:eastAsiaTheme="minorEastAsia"/>
                <w:kern w:val="0"/>
                <w:szCs w:val="21"/>
              </w:rPr>
            </w:pPr>
          </w:p>
        </w:tc>
        <w:tc>
          <w:tcPr>
            <w:tcW w:w="992" w:type="dxa"/>
            <w:vMerge/>
            <w:vAlign w:val="center"/>
          </w:tcPr>
          <w:p w:rsidR="002A5A5E" w:rsidRPr="00FC1444" w:rsidRDefault="002A5A5E">
            <w:pPr>
              <w:widowControl/>
              <w:jc w:val="left"/>
              <w:rPr>
                <w:rFonts w:eastAsiaTheme="minorEastAsia"/>
                <w:kern w:val="0"/>
                <w:szCs w:val="21"/>
              </w:rPr>
            </w:pPr>
          </w:p>
        </w:tc>
        <w:tc>
          <w:tcPr>
            <w:tcW w:w="1985" w:type="dxa"/>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年平均</w:t>
            </w:r>
          </w:p>
        </w:tc>
        <w:tc>
          <w:tcPr>
            <w:tcW w:w="1163" w:type="dxa"/>
            <w:gridSpan w:val="2"/>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60</w:t>
            </w:r>
          </w:p>
        </w:tc>
      </w:tr>
      <w:tr w:rsidR="002A5A5E" w:rsidRPr="00FC1444" w:rsidTr="00775632">
        <w:trPr>
          <w:trHeight w:val="100"/>
          <w:jc w:val="center"/>
        </w:trPr>
        <w:tc>
          <w:tcPr>
            <w:tcW w:w="654" w:type="dxa"/>
            <w:vMerge/>
            <w:vAlign w:val="center"/>
          </w:tcPr>
          <w:p w:rsidR="002A5A5E" w:rsidRPr="00FC1444" w:rsidRDefault="002A5A5E">
            <w:pPr>
              <w:widowControl/>
              <w:jc w:val="left"/>
              <w:rPr>
                <w:rFonts w:eastAsiaTheme="minorEastAsia"/>
                <w:kern w:val="0"/>
                <w:szCs w:val="21"/>
              </w:rPr>
            </w:pPr>
          </w:p>
        </w:tc>
        <w:tc>
          <w:tcPr>
            <w:tcW w:w="2269" w:type="dxa"/>
            <w:vMerge/>
            <w:vAlign w:val="center"/>
          </w:tcPr>
          <w:p w:rsidR="002A5A5E" w:rsidRPr="00FC1444" w:rsidRDefault="002A5A5E">
            <w:pPr>
              <w:widowControl/>
              <w:jc w:val="left"/>
              <w:rPr>
                <w:rFonts w:eastAsiaTheme="minorEastAsia"/>
                <w:kern w:val="0"/>
                <w:szCs w:val="21"/>
              </w:rPr>
            </w:pPr>
          </w:p>
        </w:tc>
        <w:tc>
          <w:tcPr>
            <w:tcW w:w="1134" w:type="dxa"/>
            <w:vMerge w:val="restart"/>
            <w:vAlign w:val="center"/>
          </w:tcPr>
          <w:p w:rsidR="002A5A5E" w:rsidRPr="00FC1444" w:rsidRDefault="00611CBA">
            <w:pPr>
              <w:widowControl/>
              <w:snapToGrid w:val="0"/>
              <w:spacing w:line="0" w:lineRule="atLeast"/>
              <w:jc w:val="center"/>
              <w:rPr>
                <w:rFonts w:eastAsiaTheme="minorEastAsia"/>
                <w:kern w:val="0"/>
                <w:szCs w:val="21"/>
              </w:rPr>
            </w:pPr>
            <w:r w:rsidRPr="00FC1444">
              <w:rPr>
                <w:rFonts w:eastAsiaTheme="minorEastAsia"/>
                <w:kern w:val="0"/>
                <w:szCs w:val="21"/>
              </w:rPr>
              <w:t>O</w:t>
            </w:r>
            <w:r w:rsidRPr="00FC1444">
              <w:rPr>
                <w:rFonts w:eastAsiaTheme="minorEastAsia"/>
                <w:kern w:val="0"/>
                <w:szCs w:val="21"/>
                <w:vertAlign w:val="subscript"/>
              </w:rPr>
              <w:t>3</w:t>
            </w:r>
          </w:p>
        </w:tc>
        <w:tc>
          <w:tcPr>
            <w:tcW w:w="992" w:type="dxa"/>
            <w:vMerge/>
            <w:vAlign w:val="center"/>
          </w:tcPr>
          <w:p w:rsidR="002A5A5E" w:rsidRPr="00FC1444" w:rsidRDefault="002A5A5E">
            <w:pPr>
              <w:widowControl/>
              <w:jc w:val="left"/>
              <w:rPr>
                <w:rFonts w:eastAsiaTheme="minorEastAsia"/>
                <w:kern w:val="0"/>
                <w:szCs w:val="21"/>
              </w:rPr>
            </w:pPr>
          </w:p>
        </w:tc>
        <w:tc>
          <w:tcPr>
            <w:tcW w:w="1985" w:type="dxa"/>
            <w:vAlign w:val="center"/>
          </w:tcPr>
          <w:p w:rsidR="002A5A5E" w:rsidRPr="00FC1444" w:rsidRDefault="00611CBA">
            <w:pPr>
              <w:widowControl/>
              <w:adjustRightInd w:val="0"/>
              <w:spacing w:line="0" w:lineRule="atLeast"/>
              <w:jc w:val="center"/>
              <w:rPr>
                <w:rFonts w:eastAsiaTheme="minorEastAsia"/>
                <w:kern w:val="0"/>
                <w:szCs w:val="21"/>
              </w:rPr>
            </w:pPr>
            <w:r w:rsidRPr="00FC1444">
              <w:rPr>
                <w:rFonts w:eastAsiaTheme="minorEastAsia"/>
                <w:kern w:val="0"/>
                <w:szCs w:val="21"/>
              </w:rPr>
              <w:t>1</w:t>
            </w:r>
            <w:r w:rsidRPr="00FC1444">
              <w:rPr>
                <w:rFonts w:eastAsiaTheme="minorEastAsia"/>
                <w:kern w:val="0"/>
                <w:szCs w:val="21"/>
              </w:rPr>
              <w:t>小时平均</w:t>
            </w:r>
          </w:p>
        </w:tc>
        <w:tc>
          <w:tcPr>
            <w:tcW w:w="1163" w:type="dxa"/>
            <w:gridSpan w:val="2"/>
            <w:vAlign w:val="center"/>
          </w:tcPr>
          <w:p w:rsidR="002A5A5E" w:rsidRPr="00FC1444" w:rsidRDefault="007257D7">
            <w:pPr>
              <w:widowControl/>
              <w:adjustRightInd w:val="0"/>
              <w:spacing w:line="0" w:lineRule="atLeast"/>
              <w:jc w:val="center"/>
              <w:rPr>
                <w:rFonts w:eastAsiaTheme="minorEastAsia"/>
                <w:kern w:val="0"/>
                <w:szCs w:val="21"/>
              </w:rPr>
            </w:pPr>
            <w:r w:rsidRPr="00FC1444">
              <w:rPr>
                <w:rFonts w:eastAsiaTheme="minorEastAsia"/>
                <w:kern w:val="0"/>
                <w:szCs w:val="21"/>
              </w:rPr>
              <w:t>200</w:t>
            </w:r>
          </w:p>
        </w:tc>
      </w:tr>
      <w:tr w:rsidR="002A5A5E" w:rsidRPr="00FC1444" w:rsidTr="00775632">
        <w:trPr>
          <w:trHeight w:val="100"/>
          <w:jc w:val="center"/>
        </w:trPr>
        <w:tc>
          <w:tcPr>
            <w:tcW w:w="654" w:type="dxa"/>
            <w:vMerge/>
            <w:vAlign w:val="center"/>
          </w:tcPr>
          <w:p w:rsidR="002A5A5E" w:rsidRPr="00FC1444" w:rsidRDefault="002A5A5E">
            <w:pPr>
              <w:widowControl/>
              <w:jc w:val="left"/>
              <w:rPr>
                <w:rFonts w:eastAsiaTheme="minorEastAsia"/>
                <w:kern w:val="0"/>
                <w:szCs w:val="21"/>
              </w:rPr>
            </w:pPr>
          </w:p>
        </w:tc>
        <w:tc>
          <w:tcPr>
            <w:tcW w:w="2269" w:type="dxa"/>
            <w:vMerge/>
            <w:vAlign w:val="center"/>
          </w:tcPr>
          <w:p w:rsidR="002A5A5E" w:rsidRPr="00FC1444" w:rsidRDefault="002A5A5E">
            <w:pPr>
              <w:widowControl/>
              <w:jc w:val="left"/>
              <w:rPr>
                <w:rFonts w:eastAsiaTheme="minorEastAsia"/>
                <w:kern w:val="0"/>
                <w:szCs w:val="21"/>
              </w:rPr>
            </w:pPr>
          </w:p>
        </w:tc>
        <w:tc>
          <w:tcPr>
            <w:tcW w:w="1134" w:type="dxa"/>
            <w:vMerge/>
            <w:vAlign w:val="center"/>
          </w:tcPr>
          <w:p w:rsidR="002A5A5E" w:rsidRPr="00FC1444" w:rsidRDefault="002A5A5E">
            <w:pPr>
              <w:widowControl/>
              <w:jc w:val="left"/>
              <w:rPr>
                <w:rFonts w:eastAsiaTheme="minorEastAsia"/>
                <w:kern w:val="0"/>
                <w:szCs w:val="21"/>
              </w:rPr>
            </w:pPr>
          </w:p>
        </w:tc>
        <w:tc>
          <w:tcPr>
            <w:tcW w:w="992" w:type="dxa"/>
            <w:vMerge/>
            <w:vAlign w:val="center"/>
          </w:tcPr>
          <w:p w:rsidR="002A5A5E" w:rsidRPr="00FC1444" w:rsidRDefault="002A5A5E">
            <w:pPr>
              <w:widowControl/>
              <w:jc w:val="left"/>
              <w:rPr>
                <w:rFonts w:eastAsiaTheme="minorEastAsia"/>
                <w:kern w:val="0"/>
                <w:szCs w:val="21"/>
              </w:rPr>
            </w:pPr>
          </w:p>
        </w:tc>
        <w:tc>
          <w:tcPr>
            <w:tcW w:w="1985" w:type="dxa"/>
            <w:vAlign w:val="center"/>
          </w:tcPr>
          <w:p w:rsidR="002A5A5E" w:rsidRPr="00FC1444" w:rsidRDefault="00611CBA">
            <w:pPr>
              <w:widowControl/>
              <w:adjustRightInd w:val="0"/>
              <w:spacing w:line="0" w:lineRule="atLeast"/>
              <w:jc w:val="center"/>
              <w:rPr>
                <w:rFonts w:eastAsiaTheme="minorEastAsia"/>
                <w:kern w:val="0"/>
                <w:szCs w:val="21"/>
              </w:rPr>
            </w:pPr>
            <w:r w:rsidRPr="00FC1444">
              <w:rPr>
                <w:rFonts w:eastAsiaTheme="minorEastAsia"/>
                <w:kern w:val="0"/>
                <w:szCs w:val="21"/>
              </w:rPr>
              <w:t>日最大</w:t>
            </w:r>
            <w:r w:rsidRPr="00FC1444">
              <w:rPr>
                <w:rFonts w:eastAsiaTheme="minorEastAsia"/>
                <w:kern w:val="0"/>
                <w:szCs w:val="21"/>
              </w:rPr>
              <w:t>8</w:t>
            </w:r>
            <w:r w:rsidRPr="00FC1444">
              <w:rPr>
                <w:rFonts w:eastAsiaTheme="minorEastAsia"/>
                <w:kern w:val="0"/>
                <w:szCs w:val="21"/>
              </w:rPr>
              <w:t>小时平均</w:t>
            </w:r>
          </w:p>
        </w:tc>
        <w:tc>
          <w:tcPr>
            <w:tcW w:w="1163" w:type="dxa"/>
            <w:gridSpan w:val="2"/>
            <w:vAlign w:val="center"/>
          </w:tcPr>
          <w:p w:rsidR="002A5A5E" w:rsidRPr="00FC1444" w:rsidRDefault="007257D7">
            <w:pPr>
              <w:widowControl/>
              <w:adjustRightInd w:val="0"/>
              <w:spacing w:line="0" w:lineRule="atLeast"/>
              <w:jc w:val="center"/>
              <w:rPr>
                <w:rFonts w:eastAsiaTheme="minorEastAsia"/>
                <w:kern w:val="0"/>
                <w:szCs w:val="21"/>
              </w:rPr>
            </w:pPr>
            <w:r w:rsidRPr="00FC1444">
              <w:rPr>
                <w:rFonts w:eastAsiaTheme="minorEastAsia"/>
                <w:kern w:val="0"/>
                <w:szCs w:val="21"/>
              </w:rPr>
              <w:t>160</w:t>
            </w:r>
          </w:p>
        </w:tc>
      </w:tr>
      <w:tr w:rsidR="007257D7" w:rsidRPr="00FC1444" w:rsidTr="00775632">
        <w:trPr>
          <w:trHeight w:val="100"/>
          <w:jc w:val="center"/>
        </w:trPr>
        <w:tc>
          <w:tcPr>
            <w:tcW w:w="654" w:type="dxa"/>
            <w:vMerge/>
            <w:vAlign w:val="center"/>
          </w:tcPr>
          <w:p w:rsidR="007257D7" w:rsidRPr="00FC1444" w:rsidRDefault="007257D7">
            <w:pPr>
              <w:widowControl/>
              <w:jc w:val="left"/>
              <w:rPr>
                <w:rFonts w:eastAsiaTheme="minorEastAsia"/>
                <w:kern w:val="0"/>
                <w:szCs w:val="21"/>
              </w:rPr>
            </w:pPr>
          </w:p>
        </w:tc>
        <w:tc>
          <w:tcPr>
            <w:tcW w:w="2269" w:type="dxa"/>
            <w:vMerge/>
            <w:vAlign w:val="center"/>
          </w:tcPr>
          <w:p w:rsidR="007257D7" w:rsidRPr="00FC1444" w:rsidRDefault="007257D7">
            <w:pPr>
              <w:widowControl/>
              <w:jc w:val="left"/>
              <w:rPr>
                <w:rFonts w:eastAsiaTheme="minorEastAsia"/>
                <w:kern w:val="0"/>
                <w:szCs w:val="21"/>
              </w:rPr>
            </w:pPr>
          </w:p>
        </w:tc>
        <w:tc>
          <w:tcPr>
            <w:tcW w:w="1134" w:type="dxa"/>
            <w:vMerge w:val="restart"/>
            <w:vAlign w:val="center"/>
          </w:tcPr>
          <w:p w:rsidR="007257D7" w:rsidRPr="00FC1444" w:rsidRDefault="007257D7">
            <w:pPr>
              <w:widowControl/>
              <w:jc w:val="center"/>
              <w:rPr>
                <w:rFonts w:eastAsiaTheme="minorEastAsia"/>
                <w:kern w:val="0"/>
                <w:szCs w:val="21"/>
              </w:rPr>
            </w:pPr>
            <w:r w:rsidRPr="00FC1444">
              <w:rPr>
                <w:rFonts w:eastAsiaTheme="minorEastAsia"/>
                <w:kern w:val="0"/>
                <w:szCs w:val="21"/>
              </w:rPr>
              <w:t>CO</w:t>
            </w:r>
          </w:p>
        </w:tc>
        <w:tc>
          <w:tcPr>
            <w:tcW w:w="992" w:type="dxa"/>
            <w:vMerge w:val="restart"/>
            <w:vAlign w:val="center"/>
          </w:tcPr>
          <w:p w:rsidR="007257D7" w:rsidRPr="00FC1444" w:rsidRDefault="007257D7">
            <w:pPr>
              <w:widowControl/>
              <w:snapToGrid w:val="0"/>
              <w:spacing w:line="0" w:lineRule="atLeast"/>
              <w:jc w:val="center"/>
              <w:rPr>
                <w:rFonts w:eastAsiaTheme="minorEastAsia"/>
                <w:kern w:val="0"/>
                <w:szCs w:val="21"/>
              </w:rPr>
            </w:pPr>
            <w:r w:rsidRPr="00FC1444">
              <w:rPr>
                <w:rFonts w:eastAsiaTheme="minorEastAsia"/>
                <w:kern w:val="0"/>
                <w:szCs w:val="21"/>
              </w:rPr>
              <w:t>mg/m</w:t>
            </w:r>
            <w:r w:rsidRPr="00FC1444">
              <w:rPr>
                <w:rFonts w:eastAsiaTheme="minorEastAsia"/>
                <w:kern w:val="0"/>
                <w:szCs w:val="21"/>
                <w:vertAlign w:val="superscript"/>
              </w:rPr>
              <w:t>3</w:t>
            </w:r>
          </w:p>
        </w:tc>
        <w:tc>
          <w:tcPr>
            <w:tcW w:w="1985" w:type="dxa"/>
            <w:vAlign w:val="center"/>
          </w:tcPr>
          <w:p w:rsidR="007257D7" w:rsidRPr="00FC1444" w:rsidRDefault="007257D7">
            <w:pPr>
              <w:widowControl/>
              <w:adjustRightInd w:val="0"/>
              <w:spacing w:line="0" w:lineRule="atLeast"/>
              <w:jc w:val="center"/>
              <w:rPr>
                <w:rFonts w:eastAsiaTheme="minorEastAsia"/>
                <w:kern w:val="0"/>
                <w:szCs w:val="21"/>
              </w:rPr>
            </w:pPr>
            <w:r w:rsidRPr="00FC1444">
              <w:rPr>
                <w:rFonts w:eastAsiaTheme="minorEastAsia"/>
                <w:kern w:val="0"/>
                <w:szCs w:val="21"/>
              </w:rPr>
              <w:t>1</w:t>
            </w:r>
            <w:r w:rsidRPr="00FC1444">
              <w:rPr>
                <w:rFonts w:eastAsiaTheme="minorEastAsia"/>
                <w:kern w:val="0"/>
                <w:szCs w:val="21"/>
              </w:rPr>
              <w:t>小时平均</w:t>
            </w:r>
          </w:p>
        </w:tc>
        <w:tc>
          <w:tcPr>
            <w:tcW w:w="1163" w:type="dxa"/>
            <w:gridSpan w:val="2"/>
            <w:vAlign w:val="center"/>
          </w:tcPr>
          <w:p w:rsidR="007257D7" w:rsidRPr="00FC1444" w:rsidRDefault="007257D7">
            <w:pPr>
              <w:widowControl/>
              <w:adjustRightInd w:val="0"/>
              <w:spacing w:line="0" w:lineRule="atLeast"/>
              <w:jc w:val="center"/>
              <w:rPr>
                <w:rFonts w:eastAsiaTheme="minorEastAsia"/>
                <w:kern w:val="0"/>
                <w:szCs w:val="21"/>
              </w:rPr>
            </w:pPr>
            <w:r w:rsidRPr="00FC1444">
              <w:rPr>
                <w:rFonts w:eastAsiaTheme="minorEastAsia"/>
                <w:kern w:val="0"/>
                <w:szCs w:val="21"/>
              </w:rPr>
              <w:t>10</w:t>
            </w:r>
          </w:p>
        </w:tc>
      </w:tr>
      <w:tr w:rsidR="007257D7" w:rsidRPr="00FC1444" w:rsidTr="00775632">
        <w:trPr>
          <w:trHeight w:val="100"/>
          <w:jc w:val="center"/>
        </w:trPr>
        <w:tc>
          <w:tcPr>
            <w:tcW w:w="654" w:type="dxa"/>
            <w:vMerge/>
            <w:vAlign w:val="center"/>
          </w:tcPr>
          <w:p w:rsidR="007257D7" w:rsidRPr="00FC1444" w:rsidRDefault="007257D7">
            <w:pPr>
              <w:widowControl/>
              <w:jc w:val="left"/>
              <w:rPr>
                <w:rFonts w:eastAsiaTheme="minorEastAsia"/>
                <w:kern w:val="0"/>
                <w:szCs w:val="21"/>
              </w:rPr>
            </w:pPr>
          </w:p>
        </w:tc>
        <w:tc>
          <w:tcPr>
            <w:tcW w:w="2269" w:type="dxa"/>
            <w:vMerge/>
            <w:vAlign w:val="center"/>
          </w:tcPr>
          <w:p w:rsidR="007257D7" w:rsidRPr="00FC1444" w:rsidRDefault="007257D7">
            <w:pPr>
              <w:widowControl/>
              <w:jc w:val="left"/>
              <w:rPr>
                <w:rFonts w:eastAsiaTheme="minorEastAsia"/>
                <w:kern w:val="0"/>
                <w:szCs w:val="21"/>
              </w:rPr>
            </w:pPr>
          </w:p>
        </w:tc>
        <w:tc>
          <w:tcPr>
            <w:tcW w:w="1134" w:type="dxa"/>
            <w:vMerge/>
            <w:vAlign w:val="center"/>
          </w:tcPr>
          <w:p w:rsidR="007257D7" w:rsidRPr="00FC1444" w:rsidRDefault="007257D7">
            <w:pPr>
              <w:widowControl/>
              <w:jc w:val="center"/>
              <w:rPr>
                <w:rFonts w:eastAsiaTheme="minorEastAsia"/>
                <w:kern w:val="0"/>
                <w:szCs w:val="21"/>
              </w:rPr>
            </w:pPr>
          </w:p>
        </w:tc>
        <w:tc>
          <w:tcPr>
            <w:tcW w:w="992" w:type="dxa"/>
            <w:vMerge/>
            <w:vAlign w:val="center"/>
          </w:tcPr>
          <w:p w:rsidR="007257D7" w:rsidRPr="00FC1444" w:rsidRDefault="007257D7">
            <w:pPr>
              <w:widowControl/>
              <w:jc w:val="left"/>
              <w:rPr>
                <w:rFonts w:eastAsiaTheme="minorEastAsia"/>
                <w:kern w:val="0"/>
                <w:szCs w:val="21"/>
              </w:rPr>
            </w:pPr>
          </w:p>
        </w:tc>
        <w:tc>
          <w:tcPr>
            <w:tcW w:w="1985" w:type="dxa"/>
            <w:vAlign w:val="center"/>
          </w:tcPr>
          <w:p w:rsidR="007257D7" w:rsidRPr="00FC1444" w:rsidRDefault="007257D7">
            <w:pPr>
              <w:widowControl/>
              <w:adjustRightInd w:val="0"/>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小时平均</w:t>
            </w:r>
          </w:p>
        </w:tc>
        <w:tc>
          <w:tcPr>
            <w:tcW w:w="1163" w:type="dxa"/>
            <w:gridSpan w:val="2"/>
            <w:vAlign w:val="center"/>
          </w:tcPr>
          <w:p w:rsidR="007257D7" w:rsidRPr="00FC1444" w:rsidRDefault="007257D7">
            <w:pPr>
              <w:widowControl/>
              <w:adjustRightInd w:val="0"/>
              <w:spacing w:line="0" w:lineRule="atLeast"/>
              <w:jc w:val="center"/>
              <w:rPr>
                <w:rFonts w:eastAsiaTheme="minorEastAsia"/>
                <w:kern w:val="0"/>
                <w:szCs w:val="21"/>
              </w:rPr>
            </w:pPr>
            <w:r w:rsidRPr="00FC1444">
              <w:rPr>
                <w:rFonts w:eastAsiaTheme="minorEastAsia"/>
                <w:kern w:val="0"/>
                <w:szCs w:val="21"/>
              </w:rPr>
              <w:t>4</w:t>
            </w:r>
          </w:p>
        </w:tc>
      </w:tr>
      <w:tr w:rsidR="007257D7" w:rsidRPr="00FC1444" w:rsidTr="00775632">
        <w:trPr>
          <w:trHeight w:val="100"/>
          <w:jc w:val="center"/>
        </w:trPr>
        <w:tc>
          <w:tcPr>
            <w:tcW w:w="654" w:type="dxa"/>
            <w:vMerge/>
            <w:vAlign w:val="center"/>
          </w:tcPr>
          <w:p w:rsidR="007257D7" w:rsidRPr="00FC1444" w:rsidRDefault="007257D7">
            <w:pPr>
              <w:widowControl/>
              <w:jc w:val="left"/>
              <w:rPr>
                <w:rFonts w:eastAsiaTheme="minorEastAsia"/>
                <w:kern w:val="0"/>
                <w:szCs w:val="21"/>
              </w:rPr>
            </w:pPr>
          </w:p>
        </w:tc>
        <w:tc>
          <w:tcPr>
            <w:tcW w:w="2269" w:type="dxa"/>
            <w:vMerge/>
            <w:vAlign w:val="center"/>
          </w:tcPr>
          <w:p w:rsidR="007257D7" w:rsidRPr="00FC1444" w:rsidRDefault="007257D7">
            <w:pPr>
              <w:widowControl/>
              <w:jc w:val="left"/>
              <w:rPr>
                <w:rFonts w:eastAsiaTheme="minorEastAsia"/>
                <w:kern w:val="0"/>
                <w:szCs w:val="21"/>
              </w:rPr>
            </w:pPr>
          </w:p>
        </w:tc>
        <w:tc>
          <w:tcPr>
            <w:tcW w:w="1134" w:type="dxa"/>
            <w:vMerge w:val="restart"/>
            <w:vAlign w:val="center"/>
          </w:tcPr>
          <w:p w:rsidR="007257D7" w:rsidRPr="00FC1444" w:rsidRDefault="007257D7" w:rsidP="00FF4273">
            <w:pPr>
              <w:jc w:val="center"/>
              <w:rPr>
                <w:rFonts w:eastAsiaTheme="minorEastAsia"/>
                <w:kern w:val="0"/>
                <w:szCs w:val="21"/>
              </w:rPr>
            </w:pPr>
            <w:r w:rsidRPr="00FC1444">
              <w:rPr>
                <w:rFonts w:eastAsiaTheme="minorEastAsia"/>
                <w:kern w:val="0"/>
                <w:szCs w:val="21"/>
              </w:rPr>
              <w:t>TSP</w:t>
            </w:r>
          </w:p>
        </w:tc>
        <w:tc>
          <w:tcPr>
            <w:tcW w:w="992" w:type="dxa"/>
            <w:vMerge w:val="restart"/>
            <w:vAlign w:val="center"/>
          </w:tcPr>
          <w:p w:rsidR="007257D7" w:rsidRPr="00FC1444" w:rsidRDefault="007257D7" w:rsidP="00FF4273">
            <w:pPr>
              <w:adjustRightInd w:val="0"/>
              <w:snapToGrid w:val="0"/>
              <w:jc w:val="center"/>
              <w:rPr>
                <w:rFonts w:eastAsiaTheme="minorEastAsia"/>
                <w:kern w:val="0"/>
                <w:szCs w:val="21"/>
              </w:rPr>
            </w:pPr>
            <w:r w:rsidRPr="00FC1444">
              <w:rPr>
                <w:rFonts w:eastAsiaTheme="minorEastAsia"/>
                <w:kern w:val="0"/>
                <w:szCs w:val="21"/>
              </w:rPr>
              <w:t>μg/m</w:t>
            </w:r>
            <w:r w:rsidRPr="00FC1444">
              <w:rPr>
                <w:rFonts w:eastAsiaTheme="minorEastAsia"/>
                <w:kern w:val="0"/>
                <w:szCs w:val="21"/>
                <w:vertAlign w:val="superscript"/>
              </w:rPr>
              <w:t>3</w:t>
            </w:r>
          </w:p>
        </w:tc>
        <w:tc>
          <w:tcPr>
            <w:tcW w:w="1985" w:type="dxa"/>
            <w:vAlign w:val="center"/>
          </w:tcPr>
          <w:p w:rsidR="007257D7" w:rsidRPr="00FC1444" w:rsidRDefault="007257D7">
            <w:pPr>
              <w:snapToGrid w:val="0"/>
              <w:spacing w:line="0" w:lineRule="atLeast"/>
              <w:jc w:val="center"/>
              <w:rPr>
                <w:rFonts w:eastAsiaTheme="minorEastAsia"/>
                <w:kern w:val="0"/>
                <w:szCs w:val="21"/>
              </w:rPr>
            </w:pPr>
            <w:r w:rsidRPr="00FC1444">
              <w:rPr>
                <w:rFonts w:eastAsiaTheme="minorEastAsia"/>
                <w:kern w:val="0"/>
                <w:szCs w:val="21"/>
              </w:rPr>
              <w:t>年平均</w:t>
            </w:r>
          </w:p>
        </w:tc>
        <w:tc>
          <w:tcPr>
            <w:tcW w:w="1163" w:type="dxa"/>
            <w:gridSpan w:val="2"/>
            <w:vAlign w:val="center"/>
          </w:tcPr>
          <w:p w:rsidR="007257D7" w:rsidRPr="00FC1444" w:rsidRDefault="007257D7">
            <w:pPr>
              <w:snapToGrid w:val="0"/>
              <w:spacing w:line="0" w:lineRule="atLeast"/>
              <w:jc w:val="center"/>
              <w:rPr>
                <w:rFonts w:eastAsiaTheme="minorEastAsia"/>
                <w:kern w:val="0"/>
                <w:szCs w:val="21"/>
              </w:rPr>
            </w:pPr>
            <w:r w:rsidRPr="00FC1444">
              <w:rPr>
                <w:rFonts w:eastAsiaTheme="minorEastAsia"/>
                <w:kern w:val="0"/>
                <w:szCs w:val="21"/>
              </w:rPr>
              <w:t>200</w:t>
            </w:r>
          </w:p>
        </w:tc>
      </w:tr>
      <w:tr w:rsidR="007257D7" w:rsidRPr="00FC1444" w:rsidTr="00775632">
        <w:trPr>
          <w:trHeight w:val="100"/>
          <w:jc w:val="center"/>
        </w:trPr>
        <w:tc>
          <w:tcPr>
            <w:tcW w:w="654" w:type="dxa"/>
            <w:vMerge/>
            <w:vAlign w:val="center"/>
          </w:tcPr>
          <w:p w:rsidR="007257D7" w:rsidRPr="00FC1444" w:rsidRDefault="007257D7">
            <w:pPr>
              <w:widowControl/>
              <w:jc w:val="left"/>
              <w:rPr>
                <w:rFonts w:eastAsiaTheme="minorEastAsia"/>
                <w:kern w:val="0"/>
                <w:szCs w:val="21"/>
              </w:rPr>
            </w:pPr>
          </w:p>
        </w:tc>
        <w:tc>
          <w:tcPr>
            <w:tcW w:w="2269" w:type="dxa"/>
            <w:vMerge/>
            <w:vAlign w:val="center"/>
          </w:tcPr>
          <w:p w:rsidR="007257D7" w:rsidRPr="00FC1444" w:rsidRDefault="007257D7">
            <w:pPr>
              <w:widowControl/>
              <w:jc w:val="left"/>
              <w:rPr>
                <w:rFonts w:eastAsiaTheme="minorEastAsia"/>
                <w:kern w:val="0"/>
                <w:szCs w:val="21"/>
              </w:rPr>
            </w:pPr>
          </w:p>
        </w:tc>
        <w:tc>
          <w:tcPr>
            <w:tcW w:w="1134" w:type="dxa"/>
            <w:vMerge/>
            <w:vAlign w:val="center"/>
          </w:tcPr>
          <w:p w:rsidR="007257D7" w:rsidRPr="00FC1444" w:rsidRDefault="007257D7">
            <w:pPr>
              <w:widowControl/>
              <w:jc w:val="center"/>
              <w:rPr>
                <w:rFonts w:eastAsiaTheme="minorEastAsia"/>
                <w:kern w:val="0"/>
                <w:szCs w:val="21"/>
              </w:rPr>
            </w:pPr>
          </w:p>
        </w:tc>
        <w:tc>
          <w:tcPr>
            <w:tcW w:w="992" w:type="dxa"/>
            <w:vMerge/>
            <w:vAlign w:val="center"/>
          </w:tcPr>
          <w:p w:rsidR="007257D7" w:rsidRPr="00FC1444" w:rsidRDefault="007257D7" w:rsidP="00FF4273">
            <w:pPr>
              <w:adjustRightInd w:val="0"/>
              <w:snapToGrid w:val="0"/>
              <w:jc w:val="center"/>
              <w:rPr>
                <w:rFonts w:eastAsiaTheme="minorEastAsia"/>
                <w:kern w:val="0"/>
                <w:szCs w:val="21"/>
              </w:rPr>
            </w:pPr>
          </w:p>
        </w:tc>
        <w:tc>
          <w:tcPr>
            <w:tcW w:w="1985" w:type="dxa"/>
            <w:vAlign w:val="center"/>
          </w:tcPr>
          <w:p w:rsidR="007257D7" w:rsidRPr="00FC1444" w:rsidRDefault="007257D7">
            <w:pPr>
              <w:snapToGrid w:val="0"/>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小时平均</w:t>
            </w:r>
          </w:p>
        </w:tc>
        <w:tc>
          <w:tcPr>
            <w:tcW w:w="1163" w:type="dxa"/>
            <w:gridSpan w:val="2"/>
            <w:vAlign w:val="center"/>
          </w:tcPr>
          <w:p w:rsidR="007257D7" w:rsidRPr="00FC1444" w:rsidRDefault="007257D7">
            <w:pPr>
              <w:snapToGrid w:val="0"/>
              <w:spacing w:line="0" w:lineRule="atLeast"/>
              <w:jc w:val="center"/>
              <w:rPr>
                <w:rFonts w:eastAsiaTheme="minorEastAsia"/>
                <w:kern w:val="0"/>
                <w:szCs w:val="21"/>
              </w:rPr>
            </w:pPr>
            <w:r w:rsidRPr="00FC1444">
              <w:rPr>
                <w:rFonts w:eastAsiaTheme="minorEastAsia"/>
                <w:kern w:val="0"/>
                <w:szCs w:val="21"/>
              </w:rPr>
              <w:t>300</w:t>
            </w:r>
          </w:p>
        </w:tc>
      </w:tr>
      <w:tr w:rsidR="007257D7" w:rsidRPr="00FC1444" w:rsidTr="00775632">
        <w:trPr>
          <w:trHeight w:val="100"/>
          <w:jc w:val="center"/>
        </w:trPr>
        <w:tc>
          <w:tcPr>
            <w:tcW w:w="654" w:type="dxa"/>
            <w:vMerge/>
            <w:vAlign w:val="center"/>
          </w:tcPr>
          <w:p w:rsidR="007257D7" w:rsidRPr="00FC1444" w:rsidRDefault="007257D7">
            <w:pPr>
              <w:widowControl/>
              <w:jc w:val="left"/>
              <w:rPr>
                <w:rFonts w:eastAsiaTheme="minorEastAsia"/>
                <w:kern w:val="0"/>
                <w:szCs w:val="21"/>
              </w:rPr>
            </w:pPr>
          </w:p>
        </w:tc>
        <w:tc>
          <w:tcPr>
            <w:tcW w:w="2269" w:type="dxa"/>
            <w:vMerge/>
            <w:vAlign w:val="center"/>
          </w:tcPr>
          <w:p w:rsidR="007257D7" w:rsidRPr="00FC1444" w:rsidRDefault="007257D7">
            <w:pPr>
              <w:widowControl/>
              <w:jc w:val="left"/>
              <w:rPr>
                <w:rFonts w:eastAsiaTheme="minorEastAsia"/>
                <w:kern w:val="0"/>
                <w:szCs w:val="21"/>
              </w:rPr>
            </w:pPr>
          </w:p>
        </w:tc>
        <w:tc>
          <w:tcPr>
            <w:tcW w:w="1134" w:type="dxa"/>
            <w:vMerge w:val="restart"/>
            <w:vAlign w:val="center"/>
          </w:tcPr>
          <w:p w:rsidR="007257D7" w:rsidRPr="00FC1444" w:rsidRDefault="007257D7">
            <w:pPr>
              <w:widowControl/>
              <w:jc w:val="center"/>
              <w:rPr>
                <w:rFonts w:eastAsiaTheme="minorEastAsia"/>
                <w:kern w:val="0"/>
                <w:szCs w:val="21"/>
              </w:rPr>
            </w:pPr>
            <w:r w:rsidRPr="00FC1444">
              <w:rPr>
                <w:rFonts w:eastAsiaTheme="minorEastAsia"/>
                <w:szCs w:val="21"/>
              </w:rPr>
              <w:t>NOx</w:t>
            </w:r>
          </w:p>
        </w:tc>
        <w:tc>
          <w:tcPr>
            <w:tcW w:w="992" w:type="dxa"/>
            <w:vMerge/>
            <w:vAlign w:val="center"/>
          </w:tcPr>
          <w:p w:rsidR="007257D7" w:rsidRPr="00FC1444" w:rsidRDefault="007257D7">
            <w:pPr>
              <w:adjustRightInd w:val="0"/>
              <w:snapToGrid w:val="0"/>
              <w:jc w:val="center"/>
              <w:rPr>
                <w:rFonts w:eastAsiaTheme="minorEastAsia"/>
                <w:szCs w:val="21"/>
              </w:rPr>
            </w:pPr>
          </w:p>
        </w:tc>
        <w:tc>
          <w:tcPr>
            <w:tcW w:w="1985" w:type="dxa"/>
            <w:vAlign w:val="center"/>
          </w:tcPr>
          <w:p w:rsidR="007257D7" w:rsidRPr="00FC1444" w:rsidRDefault="007257D7">
            <w:pPr>
              <w:adjustRightInd w:val="0"/>
              <w:snapToGrid w:val="0"/>
              <w:jc w:val="center"/>
              <w:rPr>
                <w:rFonts w:eastAsiaTheme="minorEastAsia"/>
                <w:szCs w:val="21"/>
              </w:rPr>
            </w:pPr>
            <w:r w:rsidRPr="00FC1444">
              <w:rPr>
                <w:rFonts w:eastAsiaTheme="minorEastAsia"/>
                <w:szCs w:val="21"/>
              </w:rPr>
              <w:t>年平均</w:t>
            </w:r>
          </w:p>
        </w:tc>
        <w:tc>
          <w:tcPr>
            <w:tcW w:w="1163" w:type="dxa"/>
            <w:gridSpan w:val="2"/>
            <w:vAlign w:val="center"/>
          </w:tcPr>
          <w:p w:rsidR="007257D7" w:rsidRPr="00FC1444" w:rsidRDefault="007257D7">
            <w:pPr>
              <w:adjustRightInd w:val="0"/>
              <w:snapToGrid w:val="0"/>
              <w:jc w:val="center"/>
              <w:rPr>
                <w:rFonts w:eastAsiaTheme="minorEastAsia"/>
                <w:szCs w:val="21"/>
              </w:rPr>
            </w:pPr>
            <w:r w:rsidRPr="00FC1444">
              <w:rPr>
                <w:rFonts w:eastAsiaTheme="minorEastAsia"/>
                <w:szCs w:val="21"/>
              </w:rPr>
              <w:t>50</w:t>
            </w:r>
          </w:p>
        </w:tc>
      </w:tr>
      <w:tr w:rsidR="007257D7" w:rsidRPr="00FC1444" w:rsidTr="00775632">
        <w:trPr>
          <w:trHeight w:val="100"/>
          <w:jc w:val="center"/>
        </w:trPr>
        <w:tc>
          <w:tcPr>
            <w:tcW w:w="654" w:type="dxa"/>
            <w:vMerge/>
            <w:vAlign w:val="center"/>
          </w:tcPr>
          <w:p w:rsidR="007257D7" w:rsidRPr="00FC1444" w:rsidRDefault="007257D7">
            <w:pPr>
              <w:widowControl/>
              <w:jc w:val="left"/>
              <w:rPr>
                <w:rFonts w:eastAsiaTheme="minorEastAsia"/>
                <w:kern w:val="0"/>
                <w:szCs w:val="21"/>
              </w:rPr>
            </w:pPr>
          </w:p>
        </w:tc>
        <w:tc>
          <w:tcPr>
            <w:tcW w:w="2269" w:type="dxa"/>
            <w:vMerge/>
            <w:vAlign w:val="center"/>
          </w:tcPr>
          <w:p w:rsidR="007257D7" w:rsidRPr="00FC1444" w:rsidRDefault="007257D7">
            <w:pPr>
              <w:widowControl/>
              <w:jc w:val="left"/>
              <w:rPr>
                <w:rFonts w:eastAsiaTheme="minorEastAsia"/>
                <w:kern w:val="0"/>
                <w:szCs w:val="21"/>
              </w:rPr>
            </w:pPr>
          </w:p>
        </w:tc>
        <w:tc>
          <w:tcPr>
            <w:tcW w:w="1134" w:type="dxa"/>
            <w:vMerge/>
            <w:vAlign w:val="center"/>
          </w:tcPr>
          <w:p w:rsidR="007257D7" w:rsidRPr="00FC1444" w:rsidRDefault="007257D7">
            <w:pPr>
              <w:widowControl/>
              <w:jc w:val="left"/>
              <w:rPr>
                <w:rFonts w:eastAsiaTheme="minorEastAsia"/>
                <w:kern w:val="0"/>
                <w:szCs w:val="21"/>
              </w:rPr>
            </w:pPr>
          </w:p>
        </w:tc>
        <w:tc>
          <w:tcPr>
            <w:tcW w:w="992" w:type="dxa"/>
            <w:vMerge/>
            <w:vAlign w:val="center"/>
          </w:tcPr>
          <w:p w:rsidR="007257D7" w:rsidRPr="00FC1444" w:rsidRDefault="007257D7">
            <w:pPr>
              <w:widowControl/>
              <w:jc w:val="left"/>
              <w:rPr>
                <w:rFonts w:eastAsiaTheme="minorEastAsia"/>
                <w:kern w:val="0"/>
                <w:szCs w:val="21"/>
              </w:rPr>
            </w:pPr>
          </w:p>
        </w:tc>
        <w:tc>
          <w:tcPr>
            <w:tcW w:w="1985" w:type="dxa"/>
            <w:vAlign w:val="center"/>
          </w:tcPr>
          <w:p w:rsidR="007257D7" w:rsidRPr="00FC1444" w:rsidRDefault="007257D7">
            <w:pPr>
              <w:adjustRightInd w:val="0"/>
              <w:snapToGrid w:val="0"/>
              <w:jc w:val="center"/>
              <w:rPr>
                <w:rFonts w:eastAsiaTheme="minorEastAsia"/>
                <w:szCs w:val="21"/>
              </w:rPr>
            </w:pPr>
            <w:r w:rsidRPr="00FC1444">
              <w:rPr>
                <w:rFonts w:eastAsiaTheme="minorEastAsia"/>
                <w:szCs w:val="21"/>
              </w:rPr>
              <w:t>24</w:t>
            </w:r>
            <w:r w:rsidRPr="00FC1444">
              <w:rPr>
                <w:rFonts w:eastAsiaTheme="minorEastAsia"/>
                <w:szCs w:val="21"/>
              </w:rPr>
              <w:t>小时平均</w:t>
            </w:r>
          </w:p>
        </w:tc>
        <w:tc>
          <w:tcPr>
            <w:tcW w:w="1163" w:type="dxa"/>
            <w:gridSpan w:val="2"/>
            <w:vAlign w:val="center"/>
          </w:tcPr>
          <w:p w:rsidR="007257D7" w:rsidRPr="00FC1444" w:rsidRDefault="007257D7">
            <w:pPr>
              <w:snapToGrid w:val="0"/>
              <w:spacing w:line="0" w:lineRule="atLeast"/>
              <w:jc w:val="center"/>
              <w:rPr>
                <w:rFonts w:eastAsiaTheme="minorEastAsia"/>
                <w:kern w:val="0"/>
                <w:szCs w:val="21"/>
              </w:rPr>
            </w:pPr>
            <w:r w:rsidRPr="00FC1444">
              <w:rPr>
                <w:rFonts w:eastAsiaTheme="minorEastAsia"/>
                <w:szCs w:val="21"/>
              </w:rPr>
              <w:t>100</w:t>
            </w:r>
          </w:p>
        </w:tc>
      </w:tr>
      <w:tr w:rsidR="007257D7" w:rsidRPr="00FC1444" w:rsidTr="00775632">
        <w:trPr>
          <w:trHeight w:val="100"/>
          <w:jc w:val="center"/>
        </w:trPr>
        <w:tc>
          <w:tcPr>
            <w:tcW w:w="654" w:type="dxa"/>
            <w:vMerge/>
            <w:vAlign w:val="center"/>
          </w:tcPr>
          <w:p w:rsidR="007257D7" w:rsidRPr="00FC1444" w:rsidRDefault="007257D7">
            <w:pPr>
              <w:widowControl/>
              <w:jc w:val="left"/>
              <w:rPr>
                <w:rFonts w:eastAsiaTheme="minorEastAsia"/>
                <w:kern w:val="0"/>
                <w:szCs w:val="21"/>
              </w:rPr>
            </w:pPr>
          </w:p>
        </w:tc>
        <w:tc>
          <w:tcPr>
            <w:tcW w:w="2269" w:type="dxa"/>
            <w:vMerge/>
            <w:vAlign w:val="center"/>
          </w:tcPr>
          <w:p w:rsidR="007257D7" w:rsidRPr="00FC1444" w:rsidRDefault="007257D7">
            <w:pPr>
              <w:widowControl/>
              <w:jc w:val="left"/>
              <w:rPr>
                <w:rFonts w:eastAsiaTheme="minorEastAsia"/>
                <w:kern w:val="0"/>
                <w:szCs w:val="21"/>
              </w:rPr>
            </w:pPr>
          </w:p>
        </w:tc>
        <w:tc>
          <w:tcPr>
            <w:tcW w:w="1134" w:type="dxa"/>
            <w:vMerge/>
            <w:vAlign w:val="center"/>
          </w:tcPr>
          <w:p w:rsidR="007257D7" w:rsidRPr="00FC1444" w:rsidRDefault="007257D7">
            <w:pPr>
              <w:widowControl/>
              <w:jc w:val="left"/>
              <w:rPr>
                <w:rFonts w:eastAsiaTheme="minorEastAsia"/>
                <w:kern w:val="0"/>
                <w:szCs w:val="21"/>
              </w:rPr>
            </w:pPr>
          </w:p>
        </w:tc>
        <w:tc>
          <w:tcPr>
            <w:tcW w:w="992" w:type="dxa"/>
            <w:vMerge/>
            <w:vAlign w:val="center"/>
          </w:tcPr>
          <w:p w:rsidR="007257D7" w:rsidRPr="00FC1444" w:rsidRDefault="007257D7">
            <w:pPr>
              <w:widowControl/>
              <w:jc w:val="left"/>
              <w:rPr>
                <w:rFonts w:eastAsiaTheme="minorEastAsia"/>
                <w:kern w:val="0"/>
                <w:szCs w:val="21"/>
              </w:rPr>
            </w:pPr>
          </w:p>
        </w:tc>
        <w:tc>
          <w:tcPr>
            <w:tcW w:w="1985" w:type="dxa"/>
            <w:vAlign w:val="center"/>
          </w:tcPr>
          <w:p w:rsidR="007257D7" w:rsidRPr="00FC1444" w:rsidRDefault="007257D7">
            <w:pPr>
              <w:snapToGrid w:val="0"/>
              <w:spacing w:line="0" w:lineRule="atLeast"/>
              <w:jc w:val="center"/>
              <w:rPr>
                <w:rFonts w:eastAsiaTheme="minorEastAsia"/>
                <w:kern w:val="0"/>
                <w:szCs w:val="21"/>
              </w:rPr>
            </w:pPr>
            <w:r w:rsidRPr="00FC1444">
              <w:rPr>
                <w:rFonts w:eastAsiaTheme="minorEastAsia"/>
                <w:szCs w:val="21"/>
              </w:rPr>
              <w:t>1</w:t>
            </w:r>
            <w:r w:rsidRPr="00FC1444">
              <w:rPr>
                <w:rFonts w:eastAsiaTheme="minorEastAsia"/>
                <w:szCs w:val="21"/>
              </w:rPr>
              <w:t>小时平均</w:t>
            </w:r>
          </w:p>
        </w:tc>
        <w:tc>
          <w:tcPr>
            <w:tcW w:w="1163" w:type="dxa"/>
            <w:gridSpan w:val="2"/>
            <w:vAlign w:val="center"/>
          </w:tcPr>
          <w:p w:rsidR="007257D7" w:rsidRPr="00FC1444" w:rsidRDefault="007257D7">
            <w:pPr>
              <w:snapToGrid w:val="0"/>
              <w:spacing w:line="0" w:lineRule="atLeast"/>
              <w:jc w:val="center"/>
              <w:rPr>
                <w:rFonts w:eastAsiaTheme="minorEastAsia"/>
                <w:kern w:val="0"/>
                <w:szCs w:val="21"/>
              </w:rPr>
            </w:pPr>
            <w:r w:rsidRPr="00FC1444">
              <w:rPr>
                <w:rFonts w:eastAsiaTheme="minorEastAsia"/>
                <w:szCs w:val="21"/>
              </w:rPr>
              <w:t>250</w:t>
            </w:r>
          </w:p>
        </w:tc>
      </w:tr>
      <w:tr w:rsidR="002A5A5E" w:rsidRPr="00FC1444">
        <w:trPr>
          <w:trHeight w:val="33"/>
          <w:jc w:val="center"/>
        </w:trPr>
        <w:tc>
          <w:tcPr>
            <w:tcW w:w="654" w:type="dxa"/>
            <w:vMerge w:val="restart"/>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地表水</w:t>
            </w:r>
          </w:p>
        </w:tc>
        <w:tc>
          <w:tcPr>
            <w:tcW w:w="2269" w:type="dxa"/>
            <w:vMerge w:val="restart"/>
            <w:vAlign w:val="center"/>
          </w:tcPr>
          <w:p w:rsidR="002A5A5E" w:rsidRPr="00FC1444" w:rsidRDefault="00611CBA" w:rsidP="008C5D0C">
            <w:pPr>
              <w:spacing w:line="0" w:lineRule="atLeast"/>
              <w:contextualSpacing/>
              <w:jc w:val="center"/>
              <w:rPr>
                <w:rFonts w:eastAsiaTheme="minorEastAsia"/>
                <w:kern w:val="0"/>
                <w:szCs w:val="21"/>
              </w:rPr>
            </w:pPr>
            <w:r w:rsidRPr="00FC1444">
              <w:rPr>
                <w:rFonts w:eastAsiaTheme="minorEastAsia"/>
                <w:kern w:val="0"/>
                <w:szCs w:val="21"/>
              </w:rPr>
              <w:t>《地表水环境质量标准》（</w:t>
            </w:r>
            <w:r w:rsidRPr="00FC1444">
              <w:rPr>
                <w:rFonts w:eastAsiaTheme="minorEastAsia"/>
                <w:kern w:val="0"/>
                <w:szCs w:val="21"/>
              </w:rPr>
              <w:t>GB3838-2002</w:t>
            </w:r>
            <w:r w:rsidRPr="00FC1444">
              <w:rPr>
                <w:rFonts w:eastAsiaTheme="minorEastAsia"/>
                <w:kern w:val="0"/>
                <w:szCs w:val="21"/>
              </w:rPr>
              <w:t>）</w:t>
            </w:r>
            <w:r w:rsidRPr="00FC1444">
              <w:rPr>
                <w:rFonts w:eastAsiaTheme="minorEastAsia"/>
                <w:bCs/>
                <w:kern w:val="0"/>
                <w:szCs w:val="21"/>
              </w:rPr>
              <w:t>Ⅲ</w:t>
            </w:r>
            <w:r w:rsidR="00AC0E6E" w:rsidRPr="00FC1444">
              <w:rPr>
                <w:rFonts w:eastAsiaTheme="minorEastAsia"/>
                <w:kern w:val="0"/>
                <w:szCs w:val="21"/>
              </w:rPr>
              <w:t>类</w:t>
            </w: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pH</w:t>
            </w:r>
          </w:p>
        </w:tc>
        <w:tc>
          <w:tcPr>
            <w:tcW w:w="992"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无量纲</w:t>
            </w:r>
          </w:p>
        </w:tc>
        <w:tc>
          <w:tcPr>
            <w:tcW w:w="3148" w:type="dxa"/>
            <w:gridSpan w:val="3"/>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6~9</w:t>
            </w:r>
          </w:p>
        </w:tc>
      </w:tr>
      <w:tr w:rsidR="002E5E28" w:rsidRPr="00FC1444" w:rsidTr="00014F60">
        <w:trPr>
          <w:trHeight w:val="33"/>
          <w:jc w:val="center"/>
        </w:trPr>
        <w:tc>
          <w:tcPr>
            <w:tcW w:w="654"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1134" w:type="dxa"/>
            <w:vAlign w:val="center"/>
          </w:tcPr>
          <w:p w:rsidR="002E5E28" w:rsidRPr="00FC1444" w:rsidRDefault="002E5E28">
            <w:pPr>
              <w:spacing w:line="0" w:lineRule="atLeast"/>
              <w:contextualSpacing/>
              <w:jc w:val="center"/>
              <w:rPr>
                <w:rFonts w:eastAsiaTheme="minorEastAsia"/>
                <w:kern w:val="0"/>
                <w:szCs w:val="21"/>
              </w:rPr>
            </w:pPr>
            <w:r w:rsidRPr="00FC1444">
              <w:rPr>
                <w:rFonts w:eastAsiaTheme="minorEastAsia"/>
                <w:kern w:val="0"/>
                <w:szCs w:val="21"/>
              </w:rPr>
              <w:t>COD</w:t>
            </w:r>
          </w:p>
        </w:tc>
        <w:tc>
          <w:tcPr>
            <w:tcW w:w="992" w:type="dxa"/>
            <w:vMerge w:val="restart"/>
            <w:vAlign w:val="center"/>
          </w:tcPr>
          <w:p w:rsidR="002E5E28" w:rsidRPr="00FC1444" w:rsidRDefault="002E5E28">
            <w:pPr>
              <w:spacing w:line="0" w:lineRule="atLeast"/>
              <w:contextualSpacing/>
              <w:jc w:val="center"/>
              <w:rPr>
                <w:rFonts w:eastAsiaTheme="minorEastAsia"/>
                <w:kern w:val="0"/>
                <w:szCs w:val="21"/>
              </w:rPr>
            </w:pPr>
            <w:r w:rsidRPr="00FC1444">
              <w:rPr>
                <w:rFonts w:eastAsiaTheme="minorEastAsia"/>
                <w:kern w:val="0"/>
                <w:szCs w:val="21"/>
              </w:rPr>
              <w:t>mg/L</w:t>
            </w:r>
          </w:p>
        </w:tc>
        <w:tc>
          <w:tcPr>
            <w:tcW w:w="3148" w:type="dxa"/>
            <w:gridSpan w:val="3"/>
            <w:vAlign w:val="center"/>
          </w:tcPr>
          <w:p w:rsidR="002E5E28" w:rsidRPr="00FC1444" w:rsidRDefault="002E5E28">
            <w:pPr>
              <w:spacing w:line="0" w:lineRule="atLeast"/>
              <w:contextualSpacing/>
              <w:jc w:val="center"/>
              <w:rPr>
                <w:rFonts w:eastAsiaTheme="minorEastAsia"/>
                <w:kern w:val="0"/>
                <w:szCs w:val="21"/>
              </w:rPr>
            </w:pPr>
            <w:r w:rsidRPr="00FC1444">
              <w:rPr>
                <w:rFonts w:eastAsiaTheme="minorEastAsia"/>
                <w:szCs w:val="21"/>
              </w:rPr>
              <w:t>≤20</w:t>
            </w:r>
          </w:p>
        </w:tc>
      </w:tr>
      <w:tr w:rsidR="002E5E28" w:rsidRPr="00FC1444" w:rsidTr="00014F60">
        <w:trPr>
          <w:trHeight w:val="33"/>
          <w:jc w:val="center"/>
        </w:trPr>
        <w:tc>
          <w:tcPr>
            <w:tcW w:w="654"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1134" w:type="dxa"/>
            <w:vAlign w:val="center"/>
          </w:tcPr>
          <w:p w:rsidR="002E5E28" w:rsidRPr="00FC1444" w:rsidRDefault="002E5E28">
            <w:pPr>
              <w:spacing w:line="0" w:lineRule="atLeast"/>
              <w:contextualSpacing/>
              <w:jc w:val="center"/>
              <w:rPr>
                <w:rFonts w:eastAsiaTheme="minorEastAsia"/>
                <w:kern w:val="0"/>
                <w:szCs w:val="21"/>
              </w:rPr>
            </w:pPr>
            <w:r w:rsidRPr="00FC1444">
              <w:rPr>
                <w:rFonts w:eastAsiaTheme="minorEastAsia"/>
                <w:spacing w:val="22"/>
                <w:kern w:val="0"/>
                <w:szCs w:val="21"/>
              </w:rPr>
              <w:t>NH</w:t>
            </w:r>
            <w:r w:rsidRPr="00FC1444">
              <w:rPr>
                <w:rFonts w:eastAsiaTheme="minorEastAsia"/>
                <w:spacing w:val="22"/>
                <w:kern w:val="0"/>
                <w:szCs w:val="21"/>
                <w:vertAlign w:val="subscript"/>
              </w:rPr>
              <w:t>3</w:t>
            </w:r>
            <w:r w:rsidRPr="00FC1444">
              <w:rPr>
                <w:rFonts w:eastAsiaTheme="minorEastAsia"/>
                <w:spacing w:val="22"/>
                <w:kern w:val="0"/>
                <w:szCs w:val="21"/>
              </w:rPr>
              <w:t>-N</w:t>
            </w:r>
          </w:p>
        </w:tc>
        <w:tc>
          <w:tcPr>
            <w:tcW w:w="992"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3148" w:type="dxa"/>
            <w:gridSpan w:val="3"/>
            <w:vAlign w:val="center"/>
          </w:tcPr>
          <w:p w:rsidR="002E5E28" w:rsidRPr="00FC1444" w:rsidRDefault="002E5E28">
            <w:pPr>
              <w:spacing w:line="0" w:lineRule="atLeast"/>
              <w:contextualSpacing/>
              <w:jc w:val="center"/>
              <w:rPr>
                <w:rFonts w:eastAsiaTheme="minorEastAsia"/>
                <w:kern w:val="0"/>
                <w:szCs w:val="21"/>
              </w:rPr>
            </w:pPr>
            <w:r w:rsidRPr="00FC1444">
              <w:rPr>
                <w:rFonts w:eastAsiaTheme="minorEastAsia"/>
                <w:szCs w:val="21"/>
              </w:rPr>
              <w:t>≤1.0</w:t>
            </w:r>
          </w:p>
        </w:tc>
      </w:tr>
      <w:tr w:rsidR="002E5E28" w:rsidRPr="00FC1444" w:rsidTr="00014F60">
        <w:trPr>
          <w:trHeight w:val="33"/>
          <w:jc w:val="center"/>
        </w:trPr>
        <w:tc>
          <w:tcPr>
            <w:tcW w:w="654"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1134" w:type="dxa"/>
            <w:vAlign w:val="center"/>
          </w:tcPr>
          <w:p w:rsidR="002E5E28" w:rsidRPr="00FC1444" w:rsidRDefault="002E5E28">
            <w:pPr>
              <w:autoSpaceDE w:val="0"/>
              <w:autoSpaceDN w:val="0"/>
              <w:spacing w:line="0" w:lineRule="atLeast"/>
              <w:contextualSpacing/>
              <w:jc w:val="center"/>
              <w:rPr>
                <w:rFonts w:eastAsiaTheme="minorEastAsia"/>
                <w:kern w:val="0"/>
                <w:szCs w:val="21"/>
              </w:rPr>
            </w:pPr>
            <w:r w:rsidRPr="00FC1444">
              <w:rPr>
                <w:rFonts w:eastAsiaTheme="minorEastAsia"/>
                <w:kern w:val="0"/>
                <w:szCs w:val="21"/>
              </w:rPr>
              <w:t>BOD</w:t>
            </w:r>
            <w:r w:rsidRPr="00FC1444">
              <w:rPr>
                <w:rFonts w:eastAsiaTheme="minorEastAsia"/>
                <w:kern w:val="0"/>
                <w:szCs w:val="21"/>
                <w:vertAlign w:val="subscript"/>
              </w:rPr>
              <w:t>5</w:t>
            </w:r>
          </w:p>
        </w:tc>
        <w:tc>
          <w:tcPr>
            <w:tcW w:w="992"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3148" w:type="dxa"/>
            <w:gridSpan w:val="3"/>
            <w:vAlign w:val="center"/>
          </w:tcPr>
          <w:p w:rsidR="002E5E28" w:rsidRPr="00FC1444" w:rsidRDefault="002E5E28">
            <w:pPr>
              <w:spacing w:line="0" w:lineRule="atLeast"/>
              <w:contextualSpacing/>
              <w:jc w:val="center"/>
              <w:rPr>
                <w:rFonts w:eastAsiaTheme="minorEastAsia"/>
                <w:kern w:val="0"/>
                <w:szCs w:val="21"/>
              </w:rPr>
            </w:pPr>
            <w:r w:rsidRPr="00FC1444">
              <w:rPr>
                <w:rFonts w:eastAsiaTheme="minorEastAsia"/>
                <w:szCs w:val="21"/>
              </w:rPr>
              <w:t>≤4.0</w:t>
            </w:r>
          </w:p>
        </w:tc>
      </w:tr>
      <w:tr w:rsidR="002E5E28" w:rsidRPr="00FC1444" w:rsidTr="00014F60">
        <w:trPr>
          <w:trHeight w:val="33"/>
          <w:jc w:val="center"/>
        </w:trPr>
        <w:tc>
          <w:tcPr>
            <w:tcW w:w="654"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1134" w:type="dxa"/>
            <w:vAlign w:val="center"/>
          </w:tcPr>
          <w:p w:rsidR="002E5E28" w:rsidRPr="00FC1444" w:rsidRDefault="002E5E28">
            <w:pPr>
              <w:autoSpaceDE w:val="0"/>
              <w:autoSpaceDN w:val="0"/>
              <w:spacing w:line="0" w:lineRule="atLeast"/>
              <w:contextualSpacing/>
              <w:jc w:val="center"/>
              <w:rPr>
                <w:rFonts w:eastAsiaTheme="minorEastAsia"/>
                <w:kern w:val="0"/>
                <w:szCs w:val="21"/>
              </w:rPr>
            </w:pPr>
            <w:r w:rsidRPr="00FC1444">
              <w:rPr>
                <w:rFonts w:eastAsiaTheme="minorEastAsia"/>
                <w:kern w:val="0"/>
                <w:szCs w:val="21"/>
              </w:rPr>
              <w:t>溶解氧</w:t>
            </w:r>
          </w:p>
        </w:tc>
        <w:tc>
          <w:tcPr>
            <w:tcW w:w="992"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3148" w:type="dxa"/>
            <w:gridSpan w:val="3"/>
            <w:vAlign w:val="center"/>
          </w:tcPr>
          <w:p w:rsidR="002E5E28" w:rsidRPr="00FC1444" w:rsidRDefault="002E5E28">
            <w:pPr>
              <w:spacing w:line="0" w:lineRule="atLeast"/>
              <w:contextualSpacing/>
              <w:jc w:val="center"/>
              <w:rPr>
                <w:rFonts w:eastAsiaTheme="minorEastAsia"/>
                <w:kern w:val="0"/>
                <w:szCs w:val="21"/>
              </w:rPr>
            </w:pPr>
            <w:r w:rsidRPr="00FC1444">
              <w:rPr>
                <w:rFonts w:eastAsiaTheme="minorEastAsia"/>
                <w:szCs w:val="21"/>
              </w:rPr>
              <w:t>≥5</w:t>
            </w:r>
          </w:p>
        </w:tc>
      </w:tr>
      <w:tr w:rsidR="002E5E28" w:rsidRPr="00FC1444" w:rsidTr="00014F60">
        <w:trPr>
          <w:trHeight w:val="33"/>
          <w:jc w:val="center"/>
        </w:trPr>
        <w:tc>
          <w:tcPr>
            <w:tcW w:w="654"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1134" w:type="dxa"/>
            <w:vAlign w:val="center"/>
          </w:tcPr>
          <w:p w:rsidR="002E5E28" w:rsidRPr="00FC1444" w:rsidRDefault="002E5E28">
            <w:pPr>
              <w:autoSpaceDE w:val="0"/>
              <w:autoSpaceDN w:val="0"/>
              <w:spacing w:line="0" w:lineRule="atLeast"/>
              <w:contextualSpacing/>
              <w:jc w:val="center"/>
              <w:rPr>
                <w:rFonts w:eastAsiaTheme="minorEastAsia"/>
                <w:kern w:val="0"/>
                <w:szCs w:val="21"/>
              </w:rPr>
            </w:pPr>
            <w:r w:rsidRPr="00FC1444">
              <w:rPr>
                <w:rFonts w:eastAsiaTheme="minorEastAsia"/>
                <w:kern w:val="0"/>
                <w:szCs w:val="21"/>
              </w:rPr>
              <w:t>总磷</w:t>
            </w:r>
          </w:p>
        </w:tc>
        <w:tc>
          <w:tcPr>
            <w:tcW w:w="992"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3148" w:type="dxa"/>
            <w:gridSpan w:val="3"/>
            <w:vAlign w:val="center"/>
          </w:tcPr>
          <w:p w:rsidR="002E5E28" w:rsidRPr="00FC1444" w:rsidRDefault="002E5E28">
            <w:pPr>
              <w:spacing w:line="0" w:lineRule="atLeast"/>
              <w:contextualSpacing/>
              <w:jc w:val="center"/>
              <w:rPr>
                <w:rFonts w:eastAsiaTheme="minorEastAsia"/>
                <w:kern w:val="0"/>
                <w:szCs w:val="21"/>
              </w:rPr>
            </w:pPr>
            <w:r w:rsidRPr="00FC1444">
              <w:rPr>
                <w:rFonts w:eastAsiaTheme="minorEastAsia"/>
                <w:kern w:val="0"/>
                <w:szCs w:val="21"/>
              </w:rPr>
              <w:t>≤</w:t>
            </w:r>
            <w:r w:rsidRPr="00FC1444">
              <w:rPr>
                <w:rFonts w:eastAsiaTheme="minorEastAsia"/>
                <w:szCs w:val="21"/>
              </w:rPr>
              <w:t>0.2</w:t>
            </w:r>
          </w:p>
        </w:tc>
      </w:tr>
      <w:tr w:rsidR="002E5E28" w:rsidRPr="00FC1444" w:rsidTr="00014F60">
        <w:trPr>
          <w:trHeight w:val="33"/>
          <w:jc w:val="center"/>
        </w:trPr>
        <w:tc>
          <w:tcPr>
            <w:tcW w:w="654"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1134" w:type="dxa"/>
            <w:vAlign w:val="center"/>
          </w:tcPr>
          <w:p w:rsidR="002E5E28" w:rsidRPr="00FC1444" w:rsidRDefault="002E5E28">
            <w:pPr>
              <w:autoSpaceDE w:val="0"/>
              <w:autoSpaceDN w:val="0"/>
              <w:spacing w:line="0" w:lineRule="atLeast"/>
              <w:contextualSpacing/>
              <w:jc w:val="center"/>
              <w:rPr>
                <w:rFonts w:eastAsiaTheme="minorEastAsia"/>
                <w:kern w:val="0"/>
                <w:szCs w:val="21"/>
              </w:rPr>
            </w:pPr>
            <w:r w:rsidRPr="00FC1444">
              <w:rPr>
                <w:rFonts w:eastAsiaTheme="minorEastAsia"/>
                <w:kern w:val="0"/>
                <w:szCs w:val="21"/>
              </w:rPr>
              <w:t>高锰酸盐指数</w:t>
            </w:r>
          </w:p>
        </w:tc>
        <w:tc>
          <w:tcPr>
            <w:tcW w:w="992"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3148" w:type="dxa"/>
            <w:gridSpan w:val="3"/>
            <w:vAlign w:val="center"/>
          </w:tcPr>
          <w:p w:rsidR="002E5E28" w:rsidRPr="00FC1444" w:rsidRDefault="002E5E28">
            <w:pPr>
              <w:spacing w:line="0" w:lineRule="atLeast"/>
              <w:contextualSpacing/>
              <w:jc w:val="center"/>
              <w:rPr>
                <w:rFonts w:eastAsiaTheme="minorEastAsia"/>
                <w:kern w:val="0"/>
                <w:szCs w:val="21"/>
              </w:rPr>
            </w:pPr>
            <w:r w:rsidRPr="00FC1444">
              <w:rPr>
                <w:rFonts w:eastAsiaTheme="minorEastAsia"/>
                <w:kern w:val="0"/>
                <w:szCs w:val="21"/>
              </w:rPr>
              <w:t>≤</w:t>
            </w:r>
            <w:r w:rsidRPr="00FC1444">
              <w:rPr>
                <w:rFonts w:eastAsiaTheme="minorEastAsia"/>
                <w:szCs w:val="21"/>
              </w:rPr>
              <w:t>6</w:t>
            </w:r>
          </w:p>
        </w:tc>
      </w:tr>
      <w:tr w:rsidR="002E5E28" w:rsidRPr="00FC1444" w:rsidTr="00014F60">
        <w:trPr>
          <w:trHeight w:val="33"/>
          <w:jc w:val="center"/>
        </w:trPr>
        <w:tc>
          <w:tcPr>
            <w:tcW w:w="654"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1134" w:type="dxa"/>
            <w:vAlign w:val="center"/>
          </w:tcPr>
          <w:p w:rsidR="002E5E28" w:rsidRPr="00FC1444" w:rsidRDefault="002E5E28">
            <w:pPr>
              <w:autoSpaceDE w:val="0"/>
              <w:autoSpaceDN w:val="0"/>
              <w:spacing w:line="0" w:lineRule="atLeast"/>
              <w:contextualSpacing/>
              <w:jc w:val="center"/>
              <w:rPr>
                <w:rFonts w:eastAsiaTheme="minorEastAsia"/>
                <w:kern w:val="0"/>
                <w:szCs w:val="21"/>
              </w:rPr>
            </w:pPr>
            <w:r w:rsidRPr="00FC1444">
              <w:rPr>
                <w:rFonts w:eastAsiaTheme="minorEastAsia"/>
                <w:kern w:val="0"/>
                <w:szCs w:val="21"/>
              </w:rPr>
              <w:t>总氮</w:t>
            </w:r>
          </w:p>
        </w:tc>
        <w:tc>
          <w:tcPr>
            <w:tcW w:w="992" w:type="dxa"/>
            <w:vMerge/>
            <w:vAlign w:val="center"/>
          </w:tcPr>
          <w:p w:rsidR="002E5E28" w:rsidRPr="00FC1444" w:rsidRDefault="002E5E28">
            <w:pPr>
              <w:widowControl/>
              <w:spacing w:line="0" w:lineRule="atLeast"/>
              <w:contextualSpacing/>
              <w:jc w:val="left"/>
              <w:rPr>
                <w:rFonts w:eastAsiaTheme="minorEastAsia"/>
                <w:kern w:val="0"/>
                <w:szCs w:val="21"/>
              </w:rPr>
            </w:pPr>
          </w:p>
        </w:tc>
        <w:tc>
          <w:tcPr>
            <w:tcW w:w="3148" w:type="dxa"/>
            <w:gridSpan w:val="3"/>
            <w:vAlign w:val="center"/>
          </w:tcPr>
          <w:p w:rsidR="002E5E28" w:rsidRPr="00FC1444" w:rsidRDefault="002E5E28">
            <w:pPr>
              <w:spacing w:line="0" w:lineRule="atLeast"/>
              <w:contextualSpacing/>
              <w:jc w:val="center"/>
              <w:rPr>
                <w:rFonts w:eastAsiaTheme="minorEastAsia"/>
                <w:kern w:val="0"/>
                <w:szCs w:val="21"/>
              </w:rPr>
            </w:pPr>
            <w:r w:rsidRPr="00FC1444">
              <w:rPr>
                <w:rFonts w:eastAsiaTheme="minorEastAsia"/>
                <w:szCs w:val="21"/>
              </w:rPr>
              <w:t>≤1.0</w:t>
            </w:r>
          </w:p>
        </w:tc>
      </w:tr>
      <w:tr w:rsidR="002A5A5E" w:rsidRPr="00FC1444" w:rsidTr="009E72CC">
        <w:trPr>
          <w:trHeight w:val="33"/>
          <w:jc w:val="center"/>
        </w:trPr>
        <w:tc>
          <w:tcPr>
            <w:tcW w:w="654" w:type="dxa"/>
            <w:vMerge w:val="restart"/>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地下水环境</w:t>
            </w:r>
          </w:p>
        </w:tc>
        <w:tc>
          <w:tcPr>
            <w:tcW w:w="2269" w:type="dxa"/>
            <w:vMerge w:val="restart"/>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《地下水质量标准》（</w:t>
            </w:r>
            <w:r w:rsidRPr="00FC1444">
              <w:rPr>
                <w:rFonts w:eastAsiaTheme="minorEastAsia"/>
                <w:kern w:val="0"/>
                <w:szCs w:val="21"/>
              </w:rPr>
              <w:t>GB/T14848-2017</w:t>
            </w:r>
            <w:r w:rsidRPr="00FC1444">
              <w:rPr>
                <w:rFonts w:eastAsiaTheme="minorEastAsia"/>
                <w:kern w:val="0"/>
                <w:szCs w:val="21"/>
              </w:rPr>
              <w:t>）</w:t>
            </w:r>
            <w:r w:rsidRPr="00FC1444">
              <w:rPr>
                <w:rFonts w:eastAsiaTheme="minorEastAsia"/>
                <w:kern w:val="0"/>
                <w:szCs w:val="21"/>
              </w:rPr>
              <w:t>Ⅲ</w:t>
            </w:r>
            <w:r w:rsidRPr="00FC1444">
              <w:rPr>
                <w:rFonts w:eastAsiaTheme="minorEastAsia"/>
                <w:kern w:val="0"/>
                <w:szCs w:val="21"/>
              </w:rPr>
              <w:t>类</w:t>
            </w: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pH</w:t>
            </w:r>
            <w:r w:rsidRPr="00FC1444">
              <w:rPr>
                <w:rFonts w:eastAsiaTheme="minorEastAsia"/>
                <w:kern w:val="0"/>
                <w:szCs w:val="21"/>
              </w:rPr>
              <w:t>值</w:t>
            </w:r>
          </w:p>
        </w:tc>
        <w:tc>
          <w:tcPr>
            <w:tcW w:w="992"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无量纲</w:t>
            </w:r>
          </w:p>
        </w:tc>
        <w:tc>
          <w:tcPr>
            <w:tcW w:w="3148" w:type="dxa"/>
            <w:gridSpan w:val="3"/>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6.5~8.5</w:t>
            </w:r>
          </w:p>
        </w:tc>
      </w:tr>
      <w:tr w:rsidR="002A5A5E" w:rsidRPr="00FC1444" w:rsidTr="009E72CC">
        <w:trPr>
          <w:trHeight w:val="33"/>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氨氮</w:t>
            </w:r>
          </w:p>
        </w:tc>
        <w:tc>
          <w:tcPr>
            <w:tcW w:w="992" w:type="dxa"/>
            <w:vMerge w:val="restart"/>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mg/L</w:t>
            </w:r>
          </w:p>
        </w:tc>
        <w:tc>
          <w:tcPr>
            <w:tcW w:w="3148" w:type="dxa"/>
            <w:gridSpan w:val="3"/>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≤0.5</w:t>
            </w:r>
          </w:p>
        </w:tc>
      </w:tr>
      <w:tr w:rsidR="002A5A5E" w:rsidRPr="00FC1444" w:rsidTr="009E72CC">
        <w:trPr>
          <w:trHeight w:val="33"/>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硝酸盐</w:t>
            </w:r>
          </w:p>
        </w:tc>
        <w:tc>
          <w:tcPr>
            <w:tcW w:w="992" w:type="dxa"/>
            <w:vMerge/>
            <w:vAlign w:val="center"/>
          </w:tcPr>
          <w:p w:rsidR="002A5A5E" w:rsidRPr="00FC1444" w:rsidRDefault="002A5A5E">
            <w:pPr>
              <w:spacing w:line="0" w:lineRule="atLeast"/>
              <w:contextualSpacing/>
              <w:jc w:val="center"/>
              <w:rPr>
                <w:rFonts w:eastAsiaTheme="minorEastAsia"/>
                <w:kern w:val="0"/>
                <w:szCs w:val="21"/>
              </w:rPr>
            </w:pPr>
          </w:p>
        </w:tc>
        <w:tc>
          <w:tcPr>
            <w:tcW w:w="3148" w:type="dxa"/>
            <w:gridSpan w:val="3"/>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≤20</w:t>
            </w:r>
          </w:p>
        </w:tc>
      </w:tr>
      <w:tr w:rsidR="002A5A5E" w:rsidRPr="00FC1444" w:rsidTr="009E72CC">
        <w:trPr>
          <w:trHeight w:val="33"/>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亚硝酸盐</w:t>
            </w:r>
          </w:p>
        </w:tc>
        <w:tc>
          <w:tcPr>
            <w:tcW w:w="992" w:type="dxa"/>
            <w:vMerge/>
            <w:vAlign w:val="center"/>
          </w:tcPr>
          <w:p w:rsidR="002A5A5E" w:rsidRPr="00FC1444" w:rsidRDefault="002A5A5E">
            <w:pPr>
              <w:spacing w:line="0" w:lineRule="atLeast"/>
              <w:contextualSpacing/>
              <w:jc w:val="center"/>
              <w:rPr>
                <w:rFonts w:eastAsiaTheme="minorEastAsia"/>
                <w:kern w:val="0"/>
                <w:szCs w:val="21"/>
              </w:rPr>
            </w:pPr>
          </w:p>
        </w:tc>
        <w:tc>
          <w:tcPr>
            <w:tcW w:w="3148" w:type="dxa"/>
            <w:gridSpan w:val="3"/>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≤1.0</w:t>
            </w:r>
          </w:p>
        </w:tc>
      </w:tr>
      <w:tr w:rsidR="002A5A5E" w:rsidRPr="00FC1444" w:rsidTr="009E72CC">
        <w:trPr>
          <w:trHeight w:val="63"/>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挥发酚</w:t>
            </w:r>
          </w:p>
        </w:tc>
        <w:tc>
          <w:tcPr>
            <w:tcW w:w="992" w:type="dxa"/>
            <w:vMerge/>
            <w:vAlign w:val="center"/>
          </w:tcPr>
          <w:p w:rsidR="002A5A5E" w:rsidRPr="00FC1444" w:rsidRDefault="002A5A5E">
            <w:pPr>
              <w:spacing w:line="0" w:lineRule="atLeast"/>
              <w:contextualSpacing/>
              <w:jc w:val="center"/>
              <w:rPr>
                <w:rFonts w:eastAsiaTheme="minorEastAsia"/>
                <w:kern w:val="0"/>
                <w:szCs w:val="21"/>
              </w:rPr>
            </w:pPr>
          </w:p>
        </w:tc>
        <w:tc>
          <w:tcPr>
            <w:tcW w:w="3148" w:type="dxa"/>
            <w:gridSpan w:val="3"/>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≤0.002</w:t>
            </w:r>
          </w:p>
        </w:tc>
      </w:tr>
      <w:tr w:rsidR="002A5A5E" w:rsidRPr="00FC1444" w:rsidTr="009E72CC">
        <w:trPr>
          <w:trHeight w:val="14"/>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氰化物</w:t>
            </w:r>
          </w:p>
        </w:tc>
        <w:tc>
          <w:tcPr>
            <w:tcW w:w="992" w:type="dxa"/>
            <w:vMerge/>
            <w:vAlign w:val="center"/>
          </w:tcPr>
          <w:p w:rsidR="002A5A5E" w:rsidRPr="00FC1444" w:rsidRDefault="002A5A5E">
            <w:pPr>
              <w:spacing w:line="0" w:lineRule="atLeast"/>
              <w:contextualSpacing/>
              <w:jc w:val="center"/>
              <w:rPr>
                <w:rFonts w:eastAsiaTheme="minorEastAsia"/>
                <w:kern w:val="0"/>
                <w:szCs w:val="21"/>
              </w:rPr>
            </w:pPr>
          </w:p>
        </w:tc>
        <w:tc>
          <w:tcPr>
            <w:tcW w:w="3148" w:type="dxa"/>
            <w:gridSpan w:val="3"/>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≤0.05</w:t>
            </w:r>
          </w:p>
        </w:tc>
      </w:tr>
      <w:tr w:rsidR="002A5A5E" w:rsidRPr="00FC1444" w:rsidTr="009E72CC">
        <w:trPr>
          <w:trHeight w:val="33"/>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砷</w:t>
            </w:r>
          </w:p>
        </w:tc>
        <w:tc>
          <w:tcPr>
            <w:tcW w:w="992" w:type="dxa"/>
            <w:vMerge/>
            <w:vAlign w:val="center"/>
          </w:tcPr>
          <w:p w:rsidR="002A5A5E" w:rsidRPr="00FC1444" w:rsidRDefault="002A5A5E">
            <w:pPr>
              <w:spacing w:line="0" w:lineRule="atLeast"/>
              <w:contextualSpacing/>
              <w:jc w:val="center"/>
              <w:rPr>
                <w:rFonts w:eastAsiaTheme="minorEastAsia"/>
                <w:kern w:val="0"/>
                <w:szCs w:val="21"/>
              </w:rPr>
            </w:pPr>
          </w:p>
        </w:tc>
        <w:tc>
          <w:tcPr>
            <w:tcW w:w="3148" w:type="dxa"/>
            <w:gridSpan w:val="3"/>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≤0.01</w:t>
            </w:r>
          </w:p>
        </w:tc>
      </w:tr>
      <w:tr w:rsidR="002A5A5E" w:rsidRPr="00FC1444" w:rsidTr="009E72CC">
        <w:trPr>
          <w:trHeight w:val="33"/>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汞</w:t>
            </w:r>
          </w:p>
        </w:tc>
        <w:tc>
          <w:tcPr>
            <w:tcW w:w="992" w:type="dxa"/>
            <w:vMerge/>
            <w:vAlign w:val="center"/>
          </w:tcPr>
          <w:p w:rsidR="002A5A5E" w:rsidRPr="00FC1444" w:rsidRDefault="002A5A5E">
            <w:pPr>
              <w:spacing w:line="0" w:lineRule="atLeast"/>
              <w:contextualSpacing/>
              <w:jc w:val="center"/>
              <w:rPr>
                <w:rFonts w:eastAsiaTheme="minorEastAsia"/>
                <w:kern w:val="0"/>
                <w:szCs w:val="21"/>
              </w:rPr>
            </w:pPr>
          </w:p>
        </w:tc>
        <w:tc>
          <w:tcPr>
            <w:tcW w:w="3148" w:type="dxa"/>
            <w:gridSpan w:val="3"/>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≤0.001</w:t>
            </w:r>
          </w:p>
        </w:tc>
      </w:tr>
      <w:tr w:rsidR="002A5A5E" w:rsidRPr="00FC1444" w:rsidTr="009E72CC">
        <w:trPr>
          <w:trHeight w:val="33"/>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六价铬</w:t>
            </w:r>
          </w:p>
        </w:tc>
        <w:tc>
          <w:tcPr>
            <w:tcW w:w="992" w:type="dxa"/>
            <w:vMerge/>
            <w:vAlign w:val="center"/>
          </w:tcPr>
          <w:p w:rsidR="002A5A5E" w:rsidRPr="00FC1444" w:rsidRDefault="002A5A5E">
            <w:pPr>
              <w:spacing w:line="0" w:lineRule="atLeast"/>
              <w:contextualSpacing/>
              <w:jc w:val="center"/>
              <w:rPr>
                <w:rFonts w:eastAsiaTheme="minorEastAsia"/>
                <w:kern w:val="0"/>
                <w:szCs w:val="21"/>
              </w:rPr>
            </w:pPr>
          </w:p>
        </w:tc>
        <w:tc>
          <w:tcPr>
            <w:tcW w:w="3148" w:type="dxa"/>
            <w:gridSpan w:val="3"/>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≤0.05</w:t>
            </w:r>
          </w:p>
        </w:tc>
      </w:tr>
      <w:tr w:rsidR="002A5A5E" w:rsidRPr="00FC1444" w:rsidTr="009E72CC">
        <w:trPr>
          <w:gridAfter w:val="1"/>
          <w:wAfter w:w="18" w:type="dxa"/>
          <w:trHeight w:val="33"/>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总硬度</w:t>
            </w:r>
          </w:p>
        </w:tc>
        <w:tc>
          <w:tcPr>
            <w:tcW w:w="992" w:type="dxa"/>
            <w:vMerge/>
            <w:vAlign w:val="center"/>
          </w:tcPr>
          <w:p w:rsidR="002A5A5E" w:rsidRPr="00FC1444" w:rsidRDefault="002A5A5E">
            <w:pPr>
              <w:spacing w:line="0" w:lineRule="atLeast"/>
              <w:contextualSpacing/>
              <w:jc w:val="center"/>
              <w:rPr>
                <w:rFonts w:eastAsiaTheme="minorEastAsia"/>
                <w:kern w:val="0"/>
                <w:szCs w:val="21"/>
              </w:rPr>
            </w:pPr>
          </w:p>
        </w:tc>
        <w:tc>
          <w:tcPr>
            <w:tcW w:w="3130" w:type="dxa"/>
            <w:gridSpan w:val="2"/>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≤450</w:t>
            </w:r>
          </w:p>
        </w:tc>
      </w:tr>
      <w:tr w:rsidR="002A5A5E" w:rsidRPr="00FC1444" w:rsidTr="009E72CC">
        <w:trPr>
          <w:gridAfter w:val="1"/>
          <w:wAfter w:w="18" w:type="dxa"/>
          <w:trHeight w:val="33"/>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氟化物</w:t>
            </w:r>
          </w:p>
        </w:tc>
        <w:tc>
          <w:tcPr>
            <w:tcW w:w="992" w:type="dxa"/>
            <w:vMerge/>
            <w:vAlign w:val="center"/>
          </w:tcPr>
          <w:p w:rsidR="002A5A5E" w:rsidRPr="00FC1444" w:rsidRDefault="002A5A5E">
            <w:pPr>
              <w:spacing w:line="0" w:lineRule="atLeast"/>
              <w:contextualSpacing/>
              <w:jc w:val="center"/>
              <w:rPr>
                <w:rFonts w:eastAsiaTheme="minorEastAsia"/>
                <w:kern w:val="0"/>
                <w:szCs w:val="21"/>
              </w:rPr>
            </w:pPr>
          </w:p>
        </w:tc>
        <w:tc>
          <w:tcPr>
            <w:tcW w:w="3130" w:type="dxa"/>
            <w:gridSpan w:val="2"/>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≤1.0</w:t>
            </w:r>
          </w:p>
        </w:tc>
      </w:tr>
      <w:tr w:rsidR="002A5A5E" w:rsidRPr="00FC1444" w:rsidTr="009E72CC">
        <w:trPr>
          <w:gridAfter w:val="1"/>
          <w:wAfter w:w="18" w:type="dxa"/>
          <w:trHeight w:val="33"/>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lang w:val="zh-CN"/>
              </w:rPr>
              <w:t>氯化物</w:t>
            </w:r>
          </w:p>
        </w:tc>
        <w:tc>
          <w:tcPr>
            <w:tcW w:w="992" w:type="dxa"/>
            <w:vMerge/>
            <w:vAlign w:val="center"/>
          </w:tcPr>
          <w:p w:rsidR="002A5A5E" w:rsidRPr="00FC1444" w:rsidRDefault="002A5A5E">
            <w:pPr>
              <w:spacing w:line="0" w:lineRule="atLeast"/>
              <w:contextualSpacing/>
              <w:jc w:val="center"/>
              <w:rPr>
                <w:rFonts w:eastAsiaTheme="minorEastAsia"/>
                <w:kern w:val="0"/>
                <w:szCs w:val="21"/>
              </w:rPr>
            </w:pPr>
          </w:p>
        </w:tc>
        <w:tc>
          <w:tcPr>
            <w:tcW w:w="3130" w:type="dxa"/>
            <w:gridSpan w:val="2"/>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lang w:val="zh-CN"/>
              </w:rPr>
              <w:t>≤250</w:t>
            </w:r>
          </w:p>
        </w:tc>
      </w:tr>
      <w:tr w:rsidR="002A5A5E" w:rsidRPr="00FC1444" w:rsidTr="009E72CC">
        <w:trPr>
          <w:gridAfter w:val="1"/>
          <w:wAfter w:w="18" w:type="dxa"/>
          <w:trHeight w:val="33"/>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lang w:val="zh-CN"/>
              </w:rPr>
            </w:pPr>
            <w:r w:rsidRPr="00FC1444">
              <w:rPr>
                <w:rFonts w:eastAsiaTheme="minorEastAsia"/>
                <w:kern w:val="0"/>
                <w:szCs w:val="21"/>
                <w:lang w:val="zh-CN"/>
              </w:rPr>
              <w:t>硫酸盐</w:t>
            </w:r>
          </w:p>
        </w:tc>
        <w:tc>
          <w:tcPr>
            <w:tcW w:w="992" w:type="dxa"/>
            <w:vMerge/>
            <w:vAlign w:val="center"/>
          </w:tcPr>
          <w:p w:rsidR="002A5A5E" w:rsidRPr="00FC1444" w:rsidRDefault="002A5A5E">
            <w:pPr>
              <w:spacing w:line="0" w:lineRule="atLeast"/>
              <w:contextualSpacing/>
              <w:jc w:val="center"/>
              <w:rPr>
                <w:rFonts w:eastAsiaTheme="minorEastAsia"/>
                <w:kern w:val="0"/>
                <w:szCs w:val="21"/>
              </w:rPr>
            </w:pPr>
          </w:p>
        </w:tc>
        <w:tc>
          <w:tcPr>
            <w:tcW w:w="3130" w:type="dxa"/>
            <w:gridSpan w:val="2"/>
            <w:vAlign w:val="center"/>
          </w:tcPr>
          <w:p w:rsidR="002A5A5E" w:rsidRPr="00FC1444" w:rsidRDefault="00611CBA">
            <w:pPr>
              <w:spacing w:line="0" w:lineRule="atLeast"/>
              <w:contextualSpacing/>
              <w:jc w:val="center"/>
              <w:rPr>
                <w:rFonts w:eastAsiaTheme="minorEastAsia"/>
                <w:kern w:val="0"/>
                <w:szCs w:val="21"/>
                <w:lang w:val="zh-CN"/>
              </w:rPr>
            </w:pPr>
            <w:r w:rsidRPr="00FC1444">
              <w:rPr>
                <w:rFonts w:eastAsiaTheme="minorEastAsia"/>
                <w:kern w:val="0"/>
                <w:szCs w:val="21"/>
                <w:lang w:val="zh-CN"/>
              </w:rPr>
              <w:t>≤250</w:t>
            </w:r>
          </w:p>
        </w:tc>
      </w:tr>
      <w:tr w:rsidR="002A5A5E" w:rsidRPr="00FC1444" w:rsidTr="009E72CC">
        <w:trPr>
          <w:gridAfter w:val="1"/>
          <w:wAfter w:w="18" w:type="dxa"/>
          <w:trHeight w:val="33"/>
          <w:jc w:val="center"/>
        </w:trPr>
        <w:tc>
          <w:tcPr>
            <w:tcW w:w="654" w:type="dxa"/>
            <w:vMerge/>
            <w:vAlign w:val="center"/>
          </w:tcPr>
          <w:p w:rsidR="002A5A5E" w:rsidRPr="00FC1444" w:rsidRDefault="002A5A5E">
            <w:pPr>
              <w:spacing w:line="0" w:lineRule="atLeast"/>
              <w:contextualSpacing/>
              <w:jc w:val="center"/>
              <w:rPr>
                <w:rFonts w:eastAsiaTheme="minorEastAsia"/>
                <w:kern w:val="0"/>
                <w:szCs w:val="21"/>
              </w:rPr>
            </w:pPr>
          </w:p>
        </w:tc>
        <w:tc>
          <w:tcPr>
            <w:tcW w:w="2269" w:type="dxa"/>
            <w:vMerge/>
            <w:vAlign w:val="center"/>
          </w:tcPr>
          <w:p w:rsidR="002A5A5E" w:rsidRPr="00FC1444" w:rsidRDefault="002A5A5E">
            <w:pPr>
              <w:spacing w:line="0" w:lineRule="atLeast"/>
              <w:contextualSpacing/>
              <w:jc w:val="center"/>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铅</w:t>
            </w:r>
          </w:p>
        </w:tc>
        <w:tc>
          <w:tcPr>
            <w:tcW w:w="992" w:type="dxa"/>
            <w:vMerge/>
            <w:vAlign w:val="center"/>
          </w:tcPr>
          <w:p w:rsidR="002A5A5E" w:rsidRPr="00FC1444" w:rsidRDefault="002A5A5E">
            <w:pPr>
              <w:spacing w:line="0" w:lineRule="atLeast"/>
              <w:contextualSpacing/>
              <w:jc w:val="center"/>
              <w:rPr>
                <w:rFonts w:eastAsiaTheme="minorEastAsia"/>
                <w:kern w:val="0"/>
                <w:szCs w:val="21"/>
              </w:rPr>
            </w:pPr>
          </w:p>
        </w:tc>
        <w:tc>
          <w:tcPr>
            <w:tcW w:w="3130" w:type="dxa"/>
            <w:gridSpan w:val="2"/>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≤0.01</w:t>
            </w:r>
          </w:p>
        </w:tc>
      </w:tr>
    </w:tbl>
    <w:p w:rsidR="00F27B2F" w:rsidRPr="00FC1444" w:rsidRDefault="00F27B2F" w:rsidP="009E72CC">
      <w:pPr>
        <w:widowControl/>
        <w:jc w:val="center"/>
        <w:rPr>
          <w:rFonts w:eastAsiaTheme="minorEastAsia"/>
          <w:b/>
          <w:szCs w:val="21"/>
        </w:rPr>
      </w:pPr>
    </w:p>
    <w:p w:rsidR="00F27B2F" w:rsidRPr="00FC1444" w:rsidRDefault="00F27B2F" w:rsidP="009E72CC">
      <w:pPr>
        <w:widowControl/>
        <w:jc w:val="center"/>
        <w:rPr>
          <w:rFonts w:eastAsiaTheme="minorEastAsia"/>
          <w:b/>
          <w:szCs w:val="21"/>
        </w:rPr>
      </w:pPr>
    </w:p>
    <w:p w:rsidR="009E72CC" w:rsidRPr="00FC1444" w:rsidRDefault="009E72CC" w:rsidP="009E72CC">
      <w:pPr>
        <w:widowControl/>
        <w:jc w:val="center"/>
        <w:rPr>
          <w:rFonts w:eastAsiaTheme="minorEastAsia"/>
          <w:b/>
          <w:szCs w:val="21"/>
        </w:rPr>
      </w:pPr>
      <w:r w:rsidRPr="00FC1444">
        <w:rPr>
          <w:rFonts w:eastAsiaTheme="minorEastAsia"/>
          <w:b/>
          <w:szCs w:val="21"/>
        </w:rPr>
        <w:lastRenderedPageBreak/>
        <w:t>续表</w:t>
      </w:r>
      <w:r w:rsidRPr="00FC1444">
        <w:rPr>
          <w:rFonts w:eastAsiaTheme="minorEastAsia"/>
          <w:b/>
          <w:szCs w:val="21"/>
        </w:rPr>
        <w:t>2-5-2</w:t>
      </w:r>
      <w:r w:rsidRPr="00FC1444">
        <w:rPr>
          <w:rFonts w:eastAsiaTheme="minorEastAsia"/>
          <w:b/>
          <w:szCs w:val="21"/>
        </w:rPr>
        <w:t>环境质量标准表</w:t>
      </w:r>
    </w:p>
    <w:tbl>
      <w:tblPr>
        <w:tblW w:w="8179"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654"/>
        <w:gridCol w:w="2269"/>
        <w:gridCol w:w="1134"/>
        <w:gridCol w:w="992"/>
        <w:gridCol w:w="3130"/>
      </w:tblGrid>
      <w:tr w:rsidR="00F27B2F" w:rsidRPr="00FC1444" w:rsidTr="009E72CC">
        <w:trPr>
          <w:trHeight w:val="33"/>
          <w:jc w:val="center"/>
        </w:trPr>
        <w:tc>
          <w:tcPr>
            <w:tcW w:w="654" w:type="dxa"/>
            <w:vMerge w:val="restart"/>
            <w:vAlign w:val="center"/>
          </w:tcPr>
          <w:p w:rsidR="00F27B2F" w:rsidRPr="00FC1444" w:rsidRDefault="00F27B2F" w:rsidP="005C57FA">
            <w:pPr>
              <w:spacing w:line="0" w:lineRule="atLeast"/>
              <w:contextualSpacing/>
              <w:jc w:val="center"/>
              <w:rPr>
                <w:rFonts w:eastAsiaTheme="minorEastAsia"/>
                <w:kern w:val="0"/>
                <w:szCs w:val="21"/>
              </w:rPr>
            </w:pPr>
            <w:r w:rsidRPr="00FC1444">
              <w:rPr>
                <w:rFonts w:eastAsiaTheme="minorEastAsia"/>
                <w:kern w:val="0"/>
                <w:szCs w:val="21"/>
              </w:rPr>
              <w:t>地下水环境</w:t>
            </w:r>
          </w:p>
        </w:tc>
        <w:tc>
          <w:tcPr>
            <w:tcW w:w="2269" w:type="dxa"/>
            <w:vMerge w:val="restart"/>
            <w:vAlign w:val="center"/>
          </w:tcPr>
          <w:p w:rsidR="00F27B2F" w:rsidRPr="00FC1444" w:rsidRDefault="00F27B2F" w:rsidP="005C57FA">
            <w:pPr>
              <w:spacing w:line="0" w:lineRule="atLeast"/>
              <w:contextualSpacing/>
              <w:jc w:val="center"/>
              <w:rPr>
                <w:rFonts w:eastAsiaTheme="minorEastAsia"/>
                <w:kern w:val="0"/>
                <w:szCs w:val="21"/>
              </w:rPr>
            </w:pPr>
            <w:r w:rsidRPr="00FC1444">
              <w:rPr>
                <w:rFonts w:eastAsiaTheme="minorEastAsia"/>
                <w:kern w:val="0"/>
                <w:szCs w:val="21"/>
              </w:rPr>
              <w:t>《地下水质量标准》（</w:t>
            </w:r>
            <w:r w:rsidRPr="00FC1444">
              <w:rPr>
                <w:rFonts w:eastAsiaTheme="minorEastAsia"/>
                <w:kern w:val="0"/>
                <w:szCs w:val="21"/>
              </w:rPr>
              <w:t>GB/T14848-2017</w:t>
            </w:r>
            <w:r w:rsidRPr="00FC1444">
              <w:rPr>
                <w:rFonts w:eastAsiaTheme="minorEastAsia"/>
                <w:kern w:val="0"/>
                <w:szCs w:val="21"/>
              </w:rPr>
              <w:t>）</w:t>
            </w:r>
            <w:r w:rsidRPr="00FC1444">
              <w:rPr>
                <w:rFonts w:eastAsiaTheme="minorEastAsia"/>
                <w:kern w:val="0"/>
                <w:szCs w:val="21"/>
              </w:rPr>
              <w:t>Ⅲ</w:t>
            </w:r>
            <w:r w:rsidRPr="00FC1444">
              <w:rPr>
                <w:rFonts w:eastAsiaTheme="minorEastAsia"/>
                <w:kern w:val="0"/>
                <w:szCs w:val="21"/>
              </w:rPr>
              <w:t>类</w:t>
            </w:r>
          </w:p>
        </w:tc>
        <w:tc>
          <w:tcPr>
            <w:tcW w:w="1134" w:type="dxa"/>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镉</w:t>
            </w:r>
          </w:p>
        </w:tc>
        <w:tc>
          <w:tcPr>
            <w:tcW w:w="992" w:type="dxa"/>
            <w:vMerge w:val="restart"/>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mg/L</w:t>
            </w:r>
          </w:p>
        </w:tc>
        <w:tc>
          <w:tcPr>
            <w:tcW w:w="3130" w:type="dxa"/>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≤0.005</w:t>
            </w:r>
          </w:p>
        </w:tc>
      </w:tr>
      <w:tr w:rsidR="00F27B2F" w:rsidRPr="00FC1444" w:rsidTr="009E72CC">
        <w:trPr>
          <w:trHeight w:val="33"/>
          <w:jc w:val="center"/>
        </w:trPr>
        <w:tc>
          <w:tcPr>
            <w:tcW w:w="654" w:type="dxa"/>
            <w:vMerge/>
            <w:vAlign w:val="center"/>
          </w:tcPr>
          <w:p w:rsidR="00F27B2F" w:rsidRPr="00FC1444" w:rsidRDefault="00F27B2F">
            <w:pPr>
              <w:spacing w:line="0" w:lineRule="atLeast"/>
              <w:contextualSpacing/>
              <w:jc w:val="center"/>
              <w:rPr>
                <w:rFonts w:eastAsiaTheme="minorEastAsia"/>
                <w:kern w:val="0"/>
                <w:szCs w:val="21"/>
              </w:rPr>
            </w:pPr>
          </w:p>
        </w:tc>
        <w:tc>
          <w:tcPr>
            <w:tcW w:w="2269" w:type="dxa"/>
            <w:vMerge/>
            <w:vAlign w:val="center"/>
          </w:tcPr>
          <w:p w:rsidR="00F27B2F" w:rsidRPr="00FC1444" w:rsidRDefault="00F27B2F">
            <w:pPr>
              <w:spacing w:line="0" w:lineRule="atLeast"/>
              <w:contextualSpacing/>
              <w:jc w:val="center"/>
              <w:rPr>
                <w:rFonts w:eastAsiaTheme="minorEastAsia"/>
                <w:kern w:val="0"/>
                <w:szCs w:val="21"/>
              </w:rPr>
            </w:pPr>
          </w:p>
        </w:tc>
        <w:tc>
          <w:tcPr>
            <w:tcW w:w="1134" w:type="dxa"/>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锰</w:t>
            </w:r>
          </w:p>
        </w:tc>
        <w:tc>
          <w:tcPr>
            <w:tcW w:w="992" w:type="dxa"/>
            <w:vMerge/>
            <w:vAlign w:val="center"/>
          </w:tcPr>
          <w:p w:rsidR="00F27B2F" w:rsidRPr="00FC1444" w:rsidRDefault="00F27B2F">
            <w:pPr>
              <w:spacing w:line="0" w:lineRule="atLeast"/>
              <w:contextualSpacing/>
              <w:jc w:val="center"/>
              <w:rPr>
                <w:rFonts w:eastAsiaTheme="minorEastAsia"/>
                <w:kern w:val="0"/>
                <w:szCs w:val="21"/>
              </w:rPr>
            </w:pPr>
          </w:p>
        </w:tc>
        <w:tc>
          <w:tcPr>
            <w:tcW w:w="3130" w:type="dxa"/>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≤0.1</w:t>
            </w:r>
          </w:p>
        </w:tc>
      </w:tr>
      <w:tr w:rsidR="00F27B2F" w:rsidRPr="00FC1444" w:rsidTr="009E72CC">
        <w:trPr>
          <w:trHeight w:val="33"/>
          <w:jc w:val="center"/>
        </w:trPr>
        <w:tc>
          <w:tcPr>
            <w:tcW w:w="654" w:type="dxa"/>
            <w:vMerge/>
            <w:vAlign w:val="center"/>
          </w:tcPr>
          <w:p w:rsidR="00F27B2F" w:rsidRPr="00FC1444" w:rsidRDefault="00F27B2F">
            <w:pPr>
              <w:spacing w:line="0" w:lineRule="atLeast"/>
              <w:contextualSpacing/>
              <w:jc w:val="center"/>
              <w:rPr>
                <w:rFonts w:eastAsiaTheme="minorEastAsia"/>
                <w:kern w:val="0"/>
                <w:szCs w:val="21"/>
              </w:rPr>
            </w:pPr>
          </w:p>
        </w:tc>
        <w:tc>
          <w:tcPr>
            <w:tcW w:w="2269" w:type="dxa"/>
            <w:vMerge/>
            <w:vAlign w:val="center"/>
          </w:tcPr>
          <w:p w:rsidR="00F27B2F" w:rsidRPr="00FC1444" w:rsidRDefault="00F27B2F">
            <w:pPr>
              <w:spacing w:line="0" w:lineRule="atLeast"/>
              <w:contextualSpacing/>
              <w:jc w:val="center"/>
              <w:rPr>
                <w:rFonts w:eastAsiaTheme="minorEastAsia"/>
                <w:kern w:val="0"/>
                <w:szCs w:val="21"/>
              </w:rPr>
            </w:pPr>
          </w:p>
        </w:tc>
        <w:tc>
          <w:tcPr>
            <w:tcW w:w="1134" w:type="dxa"/>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铁</w:t>
            </w:r>
          </w:p>
        </w:tc>
        <w:tc>
          <w:tcPr>
            <w:tcW w:w="992" w:type="dxa"/>
            <w:vMerge/>
            <w:vAlign w:val="center"/>
          </w:tcPr>
          <w:p w:rsidR="00F27B2F" w:rsidRPr="00FC1444" w:rsidRDefault="00F27B2F">
            <w:pPr>
              <w:spacing w:line="0" w:lineRule="atLeast"/>
              <w:contextualSpacing/>
              <w:jc w:val="center"/>
              <w:rPr>
                <w:rFonts w:eastAsiaTheme="minorEastAsia"/>
                <w:kern w:val="0"/>
                <w:szCs w:val="21"/>
              </w:rPr>
            </w:pPr>
          </w:p>
        </w:tc>
        <w:tc>
          <w:tcPr>
            <w:tcW w:w="3130" w:type="dxa"/>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≤0.3</w:t>
            </w:r>
          </w:p>
        </w:tc>
      </w:tr>
      <w:tr w:rsidR="00F27B2F" w:rsidRPr="00FC1444" w:rsidTr="009E72CC">
        <w:trPr>
          <w:trHeight w:val="33"/>
          <w:jc w:val="center"/>
        </w:trPr>
        <w:tc>
          <w:tcPr>
            <w:tcW w:w="654" w:type="dxa"/>
            <w:vMerge/>
            <w:vAlign w:val="center"/>
          </w:tcPr>
          <w:p w:rsidR="00F27B2F" w:rsidRPr="00FC1444" w:rsidRDefault="00F27B2F">
            <w:pPr>
              <w:spacing w:line="0" w:lineRule="atLeast"/>
              <w:contextualSpacing/>
              <w:jc w:val="center"/>
              <w:rPr>
                <w:rFonts w:eastAsiaTheme="minorEastAsia"/>
                <w:kern w:val="0"/>
                <w:szCs w:val="21"/>
              </w:rPr>
            </w:pPr>
          </w:p>
        </w:tc>
        <w:tc>
          <w:tcPr>
            <w:tcW w:w="2269" w:type="dxa"/>
            <w:vMerge/>
            <w:vAlign w:val="center"/>
          </w:tcPr>
          <w:p w:rsidR="00F27B2F" w:rsidRPr="00FC1444" w:rsidRDefault="00F27B2F">
            <w:pPr>
              <w:spacing w:line="0" w:lineRule="atLeast"/>
              <w:contextualSpacing/>
              <w:jc w:val="center"/>
              <w:rPr>
                <w:rFonts w:eastAsiaTheme="minorEastAsia"/>
                <w:kern w:val="0"/>
                <w:szCs w:val="21"/>
              </w:rPr>
            </w:pPr>
          </w:p>
        </w:tc>
        <w:tc>
          <w:tcPr>
            <w:tcW w:w="1134" w:type="dxa"/>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溶解性总固体</w:t>
            </w:r>
          </w:p>
        </w:tc>
        <w:tc>
          <w:tcPr>
            <w:tcW w:w="992" w:type="dxa"/>
            <w:vMerge/>
            <w:vAlign w:val="center"/>
          </w:tcPr>
          <w:p w:rsidR="00F27B2F" w:rsidRPr="00FC1444" w:rsidRDefault="00F27B2F">
            <w:pPr>
              <w:spacing w:line="0" w:lineRule="atLeast"/>
              <w:contextualSpacing/>
              <w:jc w:val="center"/>
              <w:rPr>
                <w:rFonts w:eastAsiaTheme="minorEastAsia"/>
                <w:szCs w:val="21"/>
              </w:rPr>
            </w:pPr>
          </w:p>
        </w:tc>
        <w:tc>
          <w:tcPr>
            <w:tcW w:w="3130" w:type="dxa"/>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≤1000</w:t>
            </w:r>
          </w:p>
        </w:tc>
      </w:tr>
      <w:tr w:rsidR="00F27B2F" w:rsidRPr="00FC1444" w:rsidTr="009E72CC">
        <w:trPr>
          <w:trHeight w:val="33"/>
          <w:jc w:val="center"/>
        </w:trPr>
        <w:tc>
          <w:tcPr>
            <w:tcW w:w="654" w:type="dxa"/>
            <w:vMerge/>
            <w:vAlign w:val="center"/>
          </w:tcPr>
          <w:p w:rsidR="00F27B2F" w:rsidRPr="00FC1444" w:rsidRDefault="00F27B2F">
            <w:pPr>
              <w:widowControl/>
              <w:spacing w:line="0" w:lineRule="atLeast"/>
              <w:contextualSpacing/>
              <w:jc w:val="left"/>
              <w:rPr>
                <w:rFonts w:eastAsiaTheme="minorEastAsia"/>
                <w:kern w:val="0"/>
                <w:szCs w:val="21"/>
              </w:rPr>
            </w:pPr>
          </w:p>
        </w:tc>
        <w:tc>
          <w:tcPr>
            <w:tcW w:w="2269" w:type="dxa"/>
            <w:vMerge/>
            <w:vAlign w:val="center"/>
          </w:tcPr>
          <w:p w:rsidR="00F27B2F" w:rsidRPr="00FC1444" w:rsidRDefault="00F27B2F">
            <w:pPr>
              <w:widowControl/>
              <w:spacing w:line="0" w:lineRule="atLeast"/>
              <w:contextualSpacing/>
              <w:jc w:val="left"/>
              <w:rPr>
                <w:rFonts w:eastAsiaTheme="minorEastAsia"/>
                <w:kern w:val="0"/>
                <w:szCs w:val="21"/>
              </w:rPr>
            </w:pPr>
          </w:p>
        </w:tc>
        <w:tc>
          <w:tcPr>
            <w:tcW w:w="1134" w:type="dxa"/>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耗氧量</w:t>
            </w:r>
          </w:p>
        </w:tc>
        <w:tc>
          <w:tcPr>
            <w:tcW w:w="992" w:type="dxa"/>
            <w:vMerge/>
            <w:vAlign w:val="center"/>
          </w:tcPr>
          <w:p w:rsidR="00F27B2F" w:rsidRPr="00FC1444" w:rsidRDefault="00F27B2F">
            <w:pPr>
              <w:spacing w:line="0" w:lineRule="atLeast"/>
              <w:contextualSpacing/>
              <w:rPr>
                <w:rFonts w:eastAsiaTheme="minorEastAsia"/>
                <w:szCs w:val="21"/>
              </w:rPr>
            </w:pPr>
          </w:p>
        </w:tc>
        <w:tc>
          <w:tcPr>
            <w:tcW w:w="3130" w:type="dxa"/>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≤3.0</w:t>
            </w:r>
          </w:p>
        </w:tc>
      </w:tr>
      <w:tr w:rsidR="00F27B2F" w:rsidRPr="00FC1444" w:rsidTr="009E72CC">
        <w:trPr>
          <w:trHeight w:val="33"/>
          <w:jc w:val="center"/>
        </w:trPr>
        <w:tc>
          <w:tcPr>
            <w:tcW w:w="654" w:type="dxa"/>
            <w:vMerge/>
            <w:vAlign w:val="center"/>
          </w:tcPr>
          <w:p w:rsidR="00F27B2F" w:rsidRPr="00FC1444" w:rsidRDefault="00F27B2F">
            <w:pPr>
              <w:widowControl/>
              <w:spacing w:line="0" w:lineRule="atLeast"/>
              <w:contextualSpacing/>
              <w:jc w:val="left"/>
              <w:rPr>
                <w:rFonts w:eastAsiaTheme="minorEastAsia"/>
                <w:kern w:val="0"/>
                <w:szCs w:val="21"/>
              </w:rPr>
            </w:pPr>
          </w:p>
        </w:tc>
        <w:tc>
          <w:tcPr>
            <w:tcW w:w="2269" w:type="dxa"/>
            <w:vMerge/>
            <w:vAlign w:val="center"/>
          </w:tcPr>
          <w:p w:rsidR="00F27B2F" w:rsidRPr="00FC1444" w:rsidRDefault="00F27B2F">
            <w:pPr>
              <w:widowControl/>
              <w:spacing w:line="0" w:lineRule="atLeast"/>
              <w:contextualSpacing/>
              <w:jc w:val="left"/>
              <w:rPr>
                <w:rFonts w:eastAsiaTheme="minorEastAsia"/>
                <w:kern w:val="0"/>
                <w:szCs w:val="21"/>
              </w:rPr>
            </w:pPr>
          </w:p>
        </w:tc>
        <w:tc>
          <w:tcPr>
            <w:tcW w:w="1134" w:type="dxa"/>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钠</w:t>
            </w:r>
          </w:p>
        </w:tc>
        <w:tc>
          <w:tcPr>
            <w:tcW w:w="992" w:type="dxa"/>
            <w:vMerge/>
            <w:vAlign w:val="center"/>
          </w:tcPr>
          <w:p w:rsidR="00F27B2F" w:rsidRPr="00FC1444" w:rsidRDefault="00F27B2F">
            <w:pPr>
              <w:spacing w:line="0" w:lineRule="atLeast"/>
              <w:contextualSpacing/>
              <w:rPr>
                <w:rFonts w:eastAsiaTheme="minorEastAsia"/>
                <w:szCs w:val="21"/>
              </w:rPr>
            </w:pPr>
          </w:p>
        </w:tc>
        <w:tc>
          <w:tcPr>
            <w:tcW w:w="3130" w:type="dxa"/>
            <w:vAlign w:val="center"/>
          </w:tcPr>
          <w:p w:rsidR="00F27B2F" w:rsidRPr="00FC1444" w:rsidRDefault="00F27B2F">
            <w:pPr>
              <w:spacing w:line="0" w:lineRule="atLeast"/>
              <w:contextualSpacing/>
              <w:jc w:val="center"/>
              <w:rPr>
                <w:rFonts w:eastAsiaTheme="minorEastAsia"/>
                <w:kern w:val="0"/>
                <w:szCs w:val="21"/>
              </w:rPr>
            </w:pPr>
            <w:r w:rsidRPr="00FC1444">
              <w:rPr>
                <w:rFonts w:eastAsiaTheme="minorEastAsia"/>
                <w:kern w:val="0"/>
                <w:szCs w:val="21"/>
              </w:rPr>
              <w:t>≤200</w:t>
            </w:r>
          </w:p>
        </w:tc>
      </w:tr>
      <w:tr w:rsidR="002A5A5E" w:rsidRPr="00FC1444" w:rsidTr="009E72CC">
        <w:trPr>
          <w:trHeight w:val="33"/>
          <w:jc w:val="center"/>
        </w:trPr>
        <w:tc>
          <w:tcPr>
            <w:tcW w:w="654" w:type="dxa"/>
            <w:vMerge/>
            <w:vAlign w:val="center"/>
          </w:tcPr>
          <w:p w:rsidR="002A5A5E" w:rsidRPr="00FC1444" w:rsidRDefault="002A5A5E">
            <w:pPr>
              <w:widowControl/>
              <w:spacing w:line="0" w:lineRule="atLeast"/>
              <w:contextualSpacing/>
              <w:jc w:val="left"/>
              <w:rPr>
                <w:rFonts w:eastAsiaTheme="minorEastAsia"/>
                <w:kern w:val="0"/>
                <w:szCs w:val="21"/>
              </w:rPr>
            </w:pPr>
          </w:p>
        </w:tc>
        <w:tc>
          <w:tcPr>
            <w:tcW w:w="2269" w:type="dxa"/>
            <w:vMerge/>
            <w:vAlign w:val="center"/>
          </w:tcPr>
          <w:p w:rsidR="002A5A5E" w:rsidRPr="00FC1444" w:rsidRDefault="002A5A5E">
            <w:pPr>
              <w:widowControl/>
              <w:spacing w:line="0" w:lineRule="atLeast"/>
              <w:contextualSpacing/>
              <w:jc w:val="left"/>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总大肠菌群</w:t>
            </w:r>
          </w:p>
        </w:tc>
        <w:tc>
          <w:tcPr>
            <w:tcW w:w="992" w:type="dxa"/>
            <w:vAlign w:val="center"/>
          </w:tcPr>
          <w:p w:rsidR="002A5A5E" w:rsidRPr="00FC1444" w:rsidRDefault="00611CBA">
            <w:pPr>
              <w:widowControl/>
              <w:spacing w:line="0" w:lineRule="atLeast"/>
              <w:contextualSpacing/>
              <w:jc w:val="center"/>
              <w:rPr>
                <w:rFonts w:eastAsiaTheme="minorEastAsia"/>
                <w:kern w:val="0"/>
                <w:szCs w:val="21"/>
              </w:rPr>
            </w:pPr>
            <w:r w:rsidRPr="00FC1444">
              <w:rPr>
                <w:rFonts w:eastAsiaTheme="minorEastAsia"/>
                <w:kern w:val="0"/>
                <w:szCs w:val="21"/>
              </w:rPr>
              <w:t>MPN/100mL</w:t>
            </w:r>
          </w:p>
        </w:tc>
        <w:tc>
          <w:tcPr>
            <w:tcW w:w="3130"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≤3.0</w:t>
            </w:r>
          </w:p>
        </w:tc>
      </w:tr>
      <w:tr w:rsidR="002A5A5E" w:rsidRPr="00FC1444" w:rsidTr="009E72CC">
        <w:trPr>
          <w:trHeight w:val="33"/>
          <w:jc w:val="center"/>
        </w:trPr>
        <w:tc>
          <w:tcPr>
            <w:tcW w:w="654" w:type="dxa"/>
            <w:vMerge/>
            <w:vAlign w:val="center"/>
          </w:tcPr>
          <w:p w:rsidR="002A5A5E" w:rsidRPr="00FC1444" w:rsidRDefault="002A5A5E">
            <w:pPr>
              <w:widowControl/>
              <w:spacing w:line="0" w:lineRule="atLeast"/>
              <w:contextualSpacing/>
              <w:jc w:val="left"/>
              <w:rPr>
                <w:rFonts w:eastAsiaTheme="minorEastAsia"/>
                <w:kern w:val="0"/>
                <w:szCs w:val="21"/>
              </w:rPr>
            </w:pPr>
          </w:p>
        </w:tc>
        <w:tc>
          <w:tcPr>
            <w:tcW w:w="2269" w:type="dxa"/>
            <w:vMerge/>
            <w:vAlign w:val="center"/>
          </w:tcPr>
          <w:p w:rsidR="002A5A5E" w:rsidRPr="00FC1444" w:rsidRDefault="002A5A5E">
            <w:pPr>
              <w:widowControl/>
              <w:spacing w:line="0" w:lineRule="atLeast"/>
              <w:contextualSpacing/>
              <w:jc w:val="left"/>
              <w:rPr>
                <w:rFonts w:eastAsiaTheme="minorEastAsia"/>
                <w:kern w:val="0"/>
                <w:szCs w:val="21"/>
              </w:rPr>
            </w:pP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细菌总数</w:t>
            </w:r>
          </w:p>
        </w:tc>
        <w:tc>
          <w:tcPr>
            <w:tcW w:w="992" w:type="dxa"/>
            <w:vAlign w:val="center"/>
          </w:tcPr>
          <w:p w:rsidR="002A5A5E" w:rsidRPr="00FC1444" w:rsidRDefault="00611CBA">
            <w:pPr>
              <w:widowControl/>
              <w:spacing w:line="0" w:lineRule="atLeast"/>
              <w:contextualSpacing/>
              <w:jc w:val="center"/>
              <w:rPr>
                <w:rFonts w:eastAsiaTheme="minorEastAsia"/>
                <w:kern w:val="0"/>
                <w:szCs w:val="21"/>
              </w:rPr>
            </w:pPr>
            <w:r w:rsidRPr="00FC1444">
              <w:rPr>
                <w:rFonts w:eastAsiaTheme="minorEastAsia"/>
                <w:kern w:val="0"/>
                <w:szCs w:val="21"/>
              </w:rPr>
              <w:t>CFU/mL</w:t>
            </w:r>
          </w:p>
        </w:tc>
        <w:tc>
          <w:tcPr>
            <w:tcW w:w="3130"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≤100</w:t>
            </w:r>
          </w:p>
        </w:tc>
      </w:tr>
      <w:tr w:rsidR="002A5A5E" w:rsidRPr="00FC1444" w:rsidTr="009E72CC">
        <w:trPr>
          <w:trHeight w:val="33"/>
          <w:jc w:val="center"/>
        </w:trPr>
        <w:tc>
          <w:tcPr>
            <w:tcW w:w="654" w:type="dxa"/>
            <w:vMerge/>
            <w:vAlign w:val="center"/>
          </w:tcPr>
          <w:p w:rsidR="002A5A5E" w:rsidRPr="00FC1444" w:rsidRDefault="002A5A5E">
            <w:pPr>
              <w:widowControl/>
              <w:spacing w:line="0" w:lineRule="atLeast"/>
              <w:contextualSpacing/>
              <w:jc w:val="left"/>
              <w:rPr>
                <w:rFonts w:eastAsiaTheme="minorEastAsia"/>
                <w:kern w:val="0"/>
                <w:szCs w:val="21"/>
              </w:rPr>
            </w:pPr>
          </w:p>
        </w:tc>
        <w:tc>
          <w:tcPr>
            <w:tcW w:w="2269" w:type="dxa"/>
            <w:vAlign w:val="center"/>
          </w:tcPr>
          <w:p w:rsidR="002A5A5E" w:rsidRPr="00FC1444" w:rsidRDefault="00611CBA">
            <w:pPr>
              <w:widowControl/>
              <w:spacing w:line="0" w:lineRule="atLeast"/>
              <w:contextualSpacing/>
              <w:jc w:val="center"/>
              <w:rPr>
                <w:rFonts w:eastAsiaTheme="minorEastAsia"/>
                <w:kern w:val="0"/>
                <w:szCs w:val="21"/>
              </w:rPr>
            </w:pPr>
            <w:r w:rsidRPr="00FC1444">
              <w:rPr>
                <w:rFonts w:eastAsiaTheme="minorEastAsia"/>
                <w:kern w:val="0"/>
                <w:szCs w:val="21"/>
              </w:rPr>
              <w:t>参照《地表水环境质量标准》（</w:t>
            </w:r>
            <w:r w:rsidRPr="00FC1444">
              <w:rPr>
                <w:rFonts w:eastAsiaTheme="minorEastAsia"/>
                <w:kern w:val="0"/>
                <w:szCs w:val="21"/>
              </w:rPr>
              <w:t>GB3838-2002</w:t>
            </w:r>
            <w:r w:rsidRPr="00FC1444">
              <w:rPr>
                <w:rFonts w:eastAsiaTheme="minorEastAsia"/>
                <w:kern w:val="0"/>
                <w:szCs w:val="21"/>
              </w:rPr>
              <w:t>）</w:t>
            </w:r>
            <w:r w:rsidR="009840DD" w:rsidRPr="00FC1444">
              <w:rPr>
                <w:rFonts w:eastAsiaTheme="minorEastAsia"/>
                <w:bCs/>
                <w:kern w:val="0"/>
                <w:szCs w:val="21"/>
              </w:rPr>
              <w:fldChar w:fldCharType="begin"/>
            </w:r>
            <w:r w:rsidR="004B63C1" w:rsidRPr="00FC1444">
              <w:rPr>
                <w:rFonts w:eastAsiaTheme="minorEastAsia"/>
                <w:bCs/>
                <w:kern w:val="0"/>
                <w:szCs w:val="21"/>
              </w:rPr>
              <w:instrText xml:space="preserve"> = 2 \* ROMAN </w:instrText>
            </w:r>
            <w:r w:rsidR="009840DD" w:rsidRPr="00FC1444">
              <w:rPr>
                <w:rFonts w:eastAsiaTheme="minorEastAsia"/>
                <w:bCs/>
                <w:kern w:val="0"/>
                <w:szCs w:val="21"/>
              </w:rPr>
              <w:fldChar w:fldCharType="separate"/>
            </w:r>
            <w:r w:rsidR="004B63C1" w:rsidRPr="00FC1444">
              <w:rPr>
                <w:rFonts w:eastAsiaTheme="minorEastAsia"/>
                <w:bCs/>
                <w:kern w:val="0"/>
                <w:szCs w:val="21"/>
              </w:rPr>
              <w:t>II</w:t>
            </w:r>
            <w:r w:rsidR="009840DD" w:rsidRPr="00FC1444">
              <w:rPr>
                <w:rFonts w:eastAsiaTheme="minorEastAsia"/>
                <w:bCs/>
                <w:kern w:val="0"/>
                <w:szCs w:val="21"/>
              </w:rPr>
              <w:fldChar w:fldCharType="end"/>
            </w:r>
            <w:r w:rsidRPr="00FC1444">
              <w:rPr>
                <w:rFonts w:eastAsiaTheme="minorEastAsia"/>
                <w:kern w:val="0"/>
                <w:szCs w:val="21"/>
              </w:rPr>
              <w:t>类</w:t>
            </w:r>
          </w:p>
        </w:tc>
        <w:tc>
          <w:tcPr>
            <w:tcW w:w="1134"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石油类</w:t>
            </w:r>
          </w:p>
        </w:tc>
        <w:tc>
          <w:tcPr>
            <w:tcW w:w="992"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kern w:val="0"/>
                <w:szCs w:val="21"/>
              </w:rPr>
              <w:t>mg/L</w:t>
            </w:r>
          </w:p>
        </w:tc>
        <w:tc>
          <w:tcPr>
            <w:tcW w:w="3130"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snapToGrid w:val="0"/>
                <w:szCs w:val="21"/>
              </w:rPr>
              <w:t>≤0.05</w:t>
            </w:r>
          </w:p>
        </w:tc>
      </w:tr>
    </w:tbl>
    <w:p w:rsidR="002A5A5E" w:rsidRPr="00FC1444" w:rsidRDefault="00046565" w:rsidP="00046565">
      <w:pPr>
        <w:tabs>
          <w:tab w:val="right" w:leader="dot" w:pos="8505"/>
        </w:tabs>
        <w:spacing w:line="360" w:lineRule="auto"/>
        <w:ind w:firstLineChars="200" w:firstLine="480"/>
        <w:rPr>
          <w:rFonts w:eastAsiaTheme="minorEastAsia"/>
          <w:sz w:val="24"/>
        </w:rPr>
      </w:pPr>
      <w:r w:rsidRPr="00FC1444">
        <w:rPr>
          <w:rFonts w:eastAsiaTheme="minorEastAsia"/>
          <w:sz w:val="24"/>
        </w:rPr>
        <w:t>参照《环境影响评价技术导则</w:t>
      </w:r>
      <w:r w:rsidRPr="00FC1444">
        <w:rPr>
          <w:rFonts w:eastAsiaTheme="minorEastAsia"/>
          <w:sz w:val="24"/>
        </w:rPr>
        <w:t xml:space="preserve"> </w:t>
      </w:r>
      <w:r w:rsidRPr="00FC1444">
        <w:rPr>
          <w:rFonts w:eastAsiaTheme="minorEastAsia"/>
          <w:sz w:val="24"/>
        </w:rPr>
        <w:t>地表水环境》（</w:t>
      </w:r>
      <w:r w:rsidRPr="00FC1444">
        <w:rPr>
          <w:rFonts w:eastAsiaTheme="minorEastAsia"/>
          <w:sz w:val="24"/>
        </w:rPr>
        <w:t>HJ2.3-2018</w:t>
      </w:r>
      <w:r w:rsidRPr="00FC1444">
        <w:rPr>
          <w:rFonts w:eastAsiaTheme="minorEastAsia"/>
          <w:sz w:val="24"/>
        </w:rPr>
        <w:t>）中</w:t>
      </w:r>
      <w:r w:rsidRPr="00FC1444">
        <w:rPr>
          <w:rFonts w:eastAsiaTheme="minorEastAsia"/>
          <w:sz w:val="24"/>
        </w:rPr>
        <w:t>D.2.2</w:t>
      </w:r>
      <w:r w:rsidRPr="00FC1444">
        <w:rPr>
          <w:rFonts w:eastAsiaTheme="minorEastAsia"/>
          <w:sz w:val="24"/>
        </w:rPr>
        <w:t>，底泥污染评价标准值或参考值可以根据土壤环境质量标准或所在水域底泥的背景值，确定底泥污染评价标准值或参考值。故</w:t>
      </w:r>
      <w:r w:rsidR="00611CBA" w:rsidRPr="00FC1444">
        <w:rPr>
          <w:rFonts w:eastAsiaTheme="minorEastAsia"/>
          <w:sz w:val="24"/>
        </w:rPr>
        <w:t>本项目排水沟底泥监测标准</w:t>
      </w:r>
      <w:r w:rsidRPr="00FC1444">
        <w:rPr>
          <w:rFonts w:eastAsiaTheme="minorEastAsia"/>
          <w:sz w:val="24"/>
        </w:rPr>
        <w:t>参考《土壤环境质量农用地土壤污染风险管控标准（试行）》（</w:t>
      </w:r>
      <w:r w:rsidRPr="00FC1444">
        <w:rPr>
          <w:rFonts w:eastAsiaTheme="minorEastAsia"/>
          <w:sz w:val="24"/>
        </w:rPr>
        <w:t>GB15618-2018</w:t>
      </w:r>
      <w:r w:rsidRPr="00FC1444">
        <w:rPr>
          <w:rFonts w:eastAsiaTheme="minorEastAsia"/>
          <w:sz w:val="24"/>
        </w:rPr>
        <w:t>）</w:t>
      </w:r>
      <w:r w:rsidR="00F9080B" w:rsidRPr="00FC1444">
        <w:rPr>
          <w:rFonts w:eastAsiaTheme="minorEastAsia"/>
          <w:sz w:val="24"/>
        </w:rPr>
        <w:t>。</w:t>
      </w:r>
      <w:r w:rsidR="00611CBA" w:rsidRPr="00FC1444">
        <w:rPr>
          <w:rFonts w:eastAsiaTheme="minorEastAsia"/>
          <w:sz w:val="24"/>
        </w:rPr>
        <w:t>见下表。</w:t>
      </w:r>
    </w:p>
    <w:p w:rsidR="002A5A5E" w:rsidRPr="00FC1444" w:rsidRDefault="00611CBA">
      <w:pPr>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2-5-</w:t>
      </w:r>
      <w:r w:rsidR="00046565" w:rsidRPr="00FC1444">
        <w:rPr>
          <w:rFonts w:eastAsiaTheme="minorEastAsia"/>
          <w:b/>
          <w:kern w:val="0"/>
          <w:szCs w:val="21"/>
        </w:rPr>
        <w:t>3</w:t>
      </w:r>
      <w:r w:rsidRPr="00FC1444">
        <w:rPr>
          <w:rFonts w:eastAsiaTheme="minorEastAsia"/>
          <w:b/>
          <w:kern w:val="0"/>
          <w:szCs w:val="21"/>
        </w:rPr>
        <w:t>土壤环境质量农用地土壤污染风险筛选值标准（</w:t>
      </w:r>
      <w:r w:rsidRPr="00FC1444">
        <w:rPr>
          <w:rFonts w:eastAsiaTheme="minorEastAsia"/>
          <w:b/>
          <w:kern w:val="0"/>
          <w:szCs w:val="21"/>
        </w:rPr>
        <w:t>mg/kg</w:t>
      </w:r>
      <w:r w:rsidRPr="00FC1444">
        <w:rPr>
          <w:rFonts w:eastAsiaTheme="minorEastAsia"/>
          <w:b/>
          <w:kern w:val="0"/>
          <w:szCs w:val="21"/>
        </w:rPr>
        <w:t>，</w:t>
      </w:r>
      <w:r w:rsidRPr="00FC1444">
        <w:rPr>
          <w:rFonts w:eastAsiaTheme="minorEastAsia"/>
          <w:b/>
          <w:kern w:val="0"/>
          <w:szCs w:val="21"/>
        </w:rPr>
        <w:t>pH</w:t>
      </w:r>
      <w:r w:rsidRPr="00FC1444">
        <w:rPr>
          <w:rFonts w:eastAsiaTheme="minorEastAsia"/>
          <w:b/>
          <w:kern w:val="0"/>
          <w:szCs w:val="21"/>
        </w:rPr>
        <w:t>除外）</w:t>
      </w:r>
    </w:p>
    <w:tbl>
      <w:tblPr>
        <w:tblW w:w="8122"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381"/>
        <w:gridCol w:w="1351"/>
        <w:gridCol w:w="1499"/>
        <w:gridCol w:w="1447"/>
        <w:gridCol w:w="1444"/>
      </w:tblGrid>
      <w:tr w:rsidR="002A5A5E" w:rsidRPr="00FC1444">
        <w:trPr>
          <w:trHeight w:val="415"/>
          <w:tblHeader/>
          <w:jc w:val="center"/>
        </w:trPr>
        <w:tc>
          <w:tcPr>
            <w:tcW w:w="2381" w:type="dxa"/>
            <w:vMerge w:val="restart"/>
            <w:tcBorders>
              <w:tl2br w:val="nil"/>
              <w:tr2bl w:val="nil"/>
            </w:tcBorders>
            <w:vAlign w:val="center"/>
          </w:tcPr>
          <w:p w:rsidR="002A5A5E" w:rsidRPr="00FC1444" w:rsidRDefault="009840DD">
            <w:pPr>
              <w:spacing w:line="360" w:lineRule="exact"/>
              <w:jc w:val="center"/>
              <w:rPr>
                <w:rFonts w:eastAsiaTheme="minorEastAsia"/>
                <w:szCs w:val="21"/>
              </w:rPr>
            </w:pPr>
            <w:r w:rsidRPr="00FC1444">
              <w:rPr>
                <w:rFonts w:eastAsiaTheme="minorEastAsia"/>
                <w:szCs w:val="21"/>
              </w:rPr>
              <w:pict>
                <v:line id="_x0000_s696738" style="position:absolute;left:0;text-align:left;z-index:251704320" from="-3.2pt,1.2pt" to="112.2pt,40pt" o:gfxdata="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AQYc3dkAAAAHAQAADwAAAAAAAAABACAAAAAiAAAAZHJzL2Rvd25yZXYueG1sUEsBAhQAFAAA&#10;AAgAh07iQKeaGCruAQAArgMAAA4AAAAAAAAAAQAgAAAAKAEAAGRycy9lMm9Eb2MueG1sUEsFBgAA&#10;AAAGAAYAWQEAAIgFAAAAAA==&#10;" strokeweight=".25pt"/>
              </w:pict>
            </w:r>
            <w:r w:rsidR="00611CBA" w:rsidRPr="00FC1444">
              <w:rPr>
                <w:rFonts w:eastAsiaTheme="minorEastAsia"/>
                <w:szCs w:val="21"/>
              </w:rPr>
              <w:t xml:space="preserve">       </w:t>
            </w:r>
            <w:r w:rsidR="00611CBA" w:rsidRPr="00FC1444">
              <w:rPr>
                <w:rFonts w:eastAsiaTheme="minorEastAsia"/>
                <w:szCs w:val="21"/>
              </w:rPr>
              <w:t>土壤</w:t>
            </w:r>
            <w:r w:rsidR="00611CBA" w:rsidRPr="00FC1444">
              <w:rPr>
                <w:rFonts w:eastAsiaTheme="minorEastAsia"/>
                <w:szCs w:val="21"/>
              </w:rPr>
              <w:t>pH</w:t>
            </w:r>
            <w:r w:rsidR="00611CBA" w:rsidRPr="00FC1444">
              <w:rPr>
                <w:rFonts w:eastAsiaTheme="minorEastAsia"/>
                <w:szCs w:val="21"/>
              </w:rPr>
              <w:t>值</w:t>
            </w:r>
          </w:p>
          <w:p w:rsidR="002A5A5E" w:rsidRPr="00FC1444" w:rsidRDefault="00611CBA">
            <w:pPr>
              <w:spacing w:line="360" w:lineRule="exact"/>
              <w:ind w:firstLineChars="245" w:firstLine="514"/>
              <w:rPr>
                <w:rFonts w:eastAsiaTheme="minorEastAsia"/>
                <w:szCs w:val="21"/>
              </w:rPr>
            </w:pPr>
            <w:r w:rsidRPr="00FC1444">
              <w:rPr>
                <w:rFonts w:eastAsiaTheme="minorEastAsia"/>
                <w:szCs w:val="21"/>
              </w:rPr>
              <w:t>项目</w:t>
            </w:r>
          </w:p>
        </w:tc>
        <w:tc>
          <w:tcPr>
            <w:tcW w:w="5741" w:type="dxa"/>
            <w:gridSpan w:val="4"/>
            <w:tcBorders>
              <w:tl2br w:val="nil"/>
              <w:tr2bl w:val="nil"/>
            </w:tcBorders>
            <w:vAlign w:val="center"/>
          </w:tcPr>
          <w:p w:rsidR="002A5A5E" w:rsidRPr="00FC1444" w:rsidRDefault="00611CBA">
            <w:pPr>
              <w:spacing w:line="360" w:lineRule="exact"/>
              <w:jc w:val="center"/>
              <w:rPr>
                <w:rFonts w:eastAsiaTheme="minorEastAsia"/>
                <w:szCs w:val="21"/>
              </w:rPr>
            </w:pPr>
            <w:r w:rsidRPr="00FC1444">
              <w:rPr>
                <w:rFonts w:eastAsiaTheme="minorEastAsia"/>
                <w:szCs w:val="21"/>
              </w:rPr>
              <w:t>风险筛选值</w:t>
            </w:r>
          </w:p>
        </w:tc>
      </w:tr>
      <w:tr w:rsidR="002A5A5E" w:rsidRPr="00FC1444">
        <w:trPr>
          <w:trHeight w:val="415"/>
          <w:tblHeader/>
          <w:jc w:val="center"/>
        </w:trPr>
        <w:tc>
          <w:tcPr>
            <w:tcW w:w="2381" w:type="dxa"/>
            <w:vMerge/>
            <w:tcBorders>
              <w:tl2br w:val="nil"/>
              <w:tr2bl w:val="nil"/>
            </w:tcBorders>
            <w:vAlign w:val="center"/>
          </w:tcPr>
          <w:p w:rsidR="002A5A5E" w:rsidRPr="00FC1444" w:rsidRDefault="002A5A5E">
            <w:pPr>
              <w:widowControl/>
              <w:jc w:val="left"/>
              <w:rPr>
                <w:rFonts w:eastAsiaTheme="minorEastAsia"/>
                <w:szCs w:val="21"/>
              </w:rPr>
            </w:pPr>
          </w:p>
        </w:tc>
        <w:tc>
          <w:tcPr>
            <w:tcW w:w="1351" w:type="dxa"/>
            <w:tcBorders>
              <w:tl2br w:val="nil"/>
              <w:tr2bl w:val="nil"/>
            </w:tcBorders>
            <w:vAlign w:val="center"/>
          </w:tcPr>
          <w:p w:rsidR="002A5A5E" w:rsidRPr="00FC1444" w:rsidRDefault="00611CBA">
            <w:pPr>
              <w:spacing w:line="360" w:lineRule="exact"/>
              <w:jc w:val="center"/>
              <w:rPr>
                <w:rFonts w:eastAsiaTheme="minorEastAsia"/>
                <w:szCs w:val="21"/>
              </w:rPr>
            </w:pPr>
            <w:r w:rsidRPr="00FC1444">
              <w:rPr>
                <w:rFonts w:eastAsiaTheme="minorEastAsia"/>
                <w:szCs w:val="21"/>
              </w:rPr>
              <w:t>≤5.5</w:t>
            </w:r>
          </w:p>
        </w:tc>
        <w:tc>
          <w:tcPr>
            <w:tcW w:w="1499" w:type="dxa"/>
            <w:tcBorders>
              <w:tl2br w:val="nil"/>
              <w:tr2bl w:val="nil"/>
            </w:tcBorders>
            <w:vAlign w:val="center"/>
          </w:tcPr>
          <w:p w:rsidR="002A5A5E" w:rsidRPr="00FC1444" w:rsidRDefault="00611CBA">
            <w:pPr>
              <w:spacing w:line="360" w:lineRule="exact"/>
              <w:jc w:val="center"/>
              <w:rPr>
                <w:rFonts w:eastAsiaTheme="minorEastAsia"/>
                <w:szCs w:val="21"/>
              </w:rPr>
            </w:pPr>
            <w:r w:rsidRPr="00FC1444">
              <w:rPr>
                <w:rFonts w:eastAsiaTheme="minorEastAsia"/>
                <w:szCs w:val="21"/>
              </w:rPr>
              <w:t>5.5-6.5</w:t>
            </w:r>
          </w:p>
        </w:tc>
        <w:tc>
          <w:tcPr>
            <w:tcW w:w="1447" w:type="dxa"/>
            <w:tcBorders>
              <w:tl2br w:val="nil"/>
              <w:tr2bl w:val="nil"/>
            </w:tcBorders>
            <w:vAlign w:val="center"/>
          </w:tcPr>
          <w:p w:rsidR="002A5A5E" w:rsidRPr="00FC1444" w:rsidRDefault="00611CBA">
            <w:pPr>
              <w:spacing w:line="360" w:lineRule="exact"/>
              <w:jc w:val="center"/>
              <w:rPr>
                <w:rFonts w:eastAsiaTheme="minorEastAsia"/>
                <w:szCs w:val="21"/>
              </w:rPr>
            </w:pPr>
            <w:r w:rsidRPr="00FC1444">
              <w:rPr>
                <w:rFonts w:eastAsiaTheme="minorEastAsia"/>
                <w:szCs w:val="21"/>
              </w:rPr>
              <w:t>6.5-7.5</w:t>
            </w:r>
          </w:p>
        </w:tc>
        <w:tc>
          <w:tcPr>
            <w:tcW w:w="1444" w:type="dxa"/>
            <w:tcBorders>
              <w:tl2br w:val="nil"/>
              <w:tr2bl w:val="nil"/>
            </w:tcBorders>
            <w:vAlign w:val="center"/>
          </w:tcPr>
          <w:p w:rsidR="002A5A5E" w:rsidRPr="00FC1444" w:rsidRDefault="00611CBA">
            <w:pPr>
              <w:spacing w:line="360" w:lineRule="exact"/>
              <w:jc w:val="center"/>
              <w:rPr>
                <w:rFonts w:eastAsiaTheme="minorEastAsia"/>
                <w:szCs w:val="21"/>
              </w:rPr>
            </w:pPr>
            <w:r w:rsidRPr="00FC1444">
              <w:rPr>
                <w:rFonts w:eastAsiaTheme="minorEastAsia"/>
                <w:szCs w:val="21"/>
              </w:rPr>
              <w:t>＞</w:t>
            </w:r>
            <w:r w:rsidRPr="00FC1444">
              <w:rPr>
                <w:rFonts w:eastAsiaTheme="minorEastAsia"/>
                <w:szCs w:val="21"/>
              </w:rPr>
              <w:t>7.5</w:t>
            </w:r>
          </w:p>
        </w:tc>
      </w:tr>
      <w:tr w:rsidR="002A5A5E" w:rsidRPr="00FC1444">
        <w:trPr>
          <w:trHeight w:val="415"/>
          <w:jc w:val="center"/>
        </w:trPr>
        <w:tc>
          <w:tcPr>
            <w:tcW w:w="238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镉（其他）</w:t>
            </w:r>
          </w:p>
        </w:tc>
        <w:tc>
          <w:tcPr>
            <w:tcW w:w="135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0.3</w:t>
            </w:r>
          </w:p>
        </w:tc>
        <w:tc>
          <w:tcPr>
            <w:tcW w:w="1499"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0.3</w:t>
            </w:r>
          </w:p>
        </w:tc>
        <w:tc>
          <w:tcPr>
            <w:tcW w:w="1447"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0.3</w:t>
            </w:r>
          </w:p>
        </w:tc>
        <w:tc>
          <w:tcPr>
            <w:tcW w:w="1444"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0.6</w:t>
            </w:r>
          </w:p>
        </w:tc>
      </w:tr>
      <w:tr w:rsidR="002A5A5E" w:rsidRPr="00FC1444">
        <w:trPr>
          <w:trHeight w:val="415"/>
          <w:jc w:val="center"/>
        </w:trPr>
        <w:tc>
          <w:tcPr>
            <w:tcW w:w="238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汞（其他）</w:t>
            </w:r>
          </w:p>
        </w:tc>
        <w:tc>
          <w:tcPr>
            <w:tcW w:w="135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1.3</w:t>
            </w:r>
          </w:p>
        </w:tc>
        <w:tc>
          <w:tcPr>
            <w:tcW w:w="1499"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1.8</w:t>
            </w:r>
          </w:p>
        </w:tc>
        <w:tc>
          <w:tcPr>
            <w:tcW w:w="1447"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2.4</w:t>
            </w:r>
          </w:p>
        </w:tc>
        <w:tc>
          <w:tcPr>
            <w:tcW w:w="1444"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3.4</w:t>
            </w:r>
          </w:p>
        </w:tc>
      </w:tr>
      <w:tr w:rsidR="002A5A5E" w:rsidRPr="00FC1444">
        <w:trPr>
          <w:trHeight w:val="415"/>
          <w:jc w:val="center"/>
        </w:trPr>
        <w:tc>
          <w:tcPr>
            <w:tcW w:w="238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砷（其他）</w:t>
            </w:r>
          </w:p>
        </w:tc>
        <w:tc>
          <w:tcPr>
            <w:tcW w:w="135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40</w:t>
            </w:r>
          </w:p>
        </w:tc>
        <w:tc>
          <w:tcPr>
            <w:tcW w:w="1499"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40</w:t>
            </w:r>
          </w:p>
        </w:tc>
        <w:tc>
          <w:tcPr>
            <w:tcW w:w="1447"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30</w:t>
            </w:r>
          </w:p>
        </w:tc>
        <w:tc>
          <w:tcPr>
            <w:tcW w:w="1444"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25</w:t>
            </w:r>
          </w:p>
        </w:tc>
      </w:tr>
      <w:tr w:rsidR="002A5A5E" w:rsidRPr="00FC1444">
        <w:trPr>
          <w:trHeight w:val="415"/>
          <w:jc w:val="center"/>
        </w:trPr>
        <w:tc>
          <w:tcPr>
            <w:tcW w:w="238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铅（其他）</w:t>
            </w:r>
          </w:p>
        </w:tc>
        <w:tc>
          <w:tcPr>
            <w:tcW w:w="135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70</w:t>
            </w:r>
          </w:p>
        </w:tc>
        <w:tc>
          <w:tcPr>
            <w:tcW w:w="1499"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90</w:t>
            </w:r>
          </w:p>
        </w:tc>
        <w:tc>
          <w:tcPr>
            <w:tcW w:w="1447"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120</w:t>
            </w:r>
          </w:p>
        </w:tc>
        <w:tc>
          <w:tcPr>
            <w:tcW w:w="1444"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170</w:t>
            </w:r>
          </w:p>
        </w:tc>
      </w:tr>
      <w:tr w:rsidR="002A5A5E" w:rsidRPr="00FC1444">
        <w:trPr>
          <w:trHeight w:val="415"/>
          <w:jc w:val="center"/>
        </w:trPr>
        <w:tc>
          <w:tcPr>
            <w:tcW w:w="238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铬（其他）</w:t>
            </w:r>
          </w:p>
        </w:tc>
        <w:tc>
          <w:tcPr>
            <w:tcW w:w="135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150</w:t>
            </w:r>
          </w:p>
        </w:tc>
        <w:tc>
          <w:tcPr>
            <w:tcW w:w="1499"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150</w:t>
            </w:r>
          </w:p>
        </w:tc>
        <w:tc>
          <w:tcPr>
            <w:tcW w:w="1447"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200</w:t>
            </w:r>
          </w:p>
        </w:tc>
        <w:tc>
          <w:tcPr>
            <w:tcW w:w="1444"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250</w:t>
            </w:r>
          </w:p>
        </w:tc>
      </w:tr>
      <w:tr w:rsidR="002A5A5E" w:rsidRPr="00FC1444">
        <w:trPr>
          <w:trHeight w:val="415"/>
          <w:jc w:val="center"/>
        </w:trPr>
        <w:tc>
          <w:tcPr>
            <w:tcW w:w="238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铜（其他）</w:t>
            </w:r>
          </w:p>
        </w:tc>
        <w:tc>
          <w:tcPr>
            <w:tcW w:w="135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50</w:t>
            </w:r>
          </w:p>
        </w:tc>
        <w:tc>
          <w:tcPr>
            <w:tcW w:w="1499"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50</w:t>
            </w:r>
          </w:p>
        </w:tc>
        <w:tc>
          <w:tcPr>
            <w:tcW w:w="1447"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100</w:t>
            </w:r>
          </w:p>
        </w:tc>
        <w:tc>
          <w:tcPr>
            <w:tcW w:w="1444"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100</w:t>
            </w:r>
          </w:p>
        </w:tc>
      </w:tr>
      <w:tr w:rsidR="002A5A5E" w:rsidRPr="00FC1444">
        <w:trPr>
          <w:trHeight w:val="415"/>
          <w:jc w:val="center"/>
        </w:trPr>
        <w:tc>
          <w:tcPr>
            <w:tcW w:w="238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镍</w:t>
            </w:r>
          </w:p>
        </w:tc>
        <w:tc>
          <w:tcPr>
            <w:tcW w:w="135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60</w:t>
            </w:r>
          </w:p>
        </w:tc>
        <w:tc>
          <w:tcPr>
            <w:tcW w:w="1499"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70</w:t>
            </w:r>
          </w:p>
        </w:tc>
        <w:tc>
          <w:tcPr>
            <w:tcW w:w="1447"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100</w:t>
            </w:r>
          </w:p>
        </w:tc>
        <w:tc>
          <w:tcPr>
            <w:tcW w:w="1444"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190</w:t>
            </w:r>
          </w:p>
        </w:tc>
      </w:tr>
      <w:tr w:rsidR="002A5A5E" w:rsidRPr="00FC1444">
        <w:trPr>
          <w:trHeight w:val="415"/>
          <w:jc w:val="center"/>
        </w:trPr>
        <w:tc>
          <w:tcPr>
            <w:tcW w:w="238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锌</w:t>
            </w:r>
          </w:p>
        </w:tc>
        <w:tc>
          <w:tcPr>
            <w:tcW w:w="135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200</w:t>
            </w:r>
          </w:p>
        </w:tc>
        <w:tc>
          <w:tcPr>
            <w:tcW w:w="1499"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200</w:t>
            </w:r>
          </w:p>
        </w:tc>
        <w:tc>
          <w:tcPr>
            <w:tcW w:w="1447"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250</w:t>
            </w:r>
          </w:p>
        </w:tc>
        <w:tc>
          <w:tcPr>
            <w:tcW w:w="1444"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300</w:t>
            </w:r>
          </w:p>
        </w:tc>
      </w:tr>
      <w:tr w:rsidR="002A5A5E" w:rsidRPr="00FC1444">
        <w:trPr>
          <w:trHeight w:val="415"/>
          <w:jc w:val="center"/>
        </w:trPr>
        <w:tc>
          <w:tcPr>
            <w:tcW w:w="238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六六六总量</w:t>
            </w:r>
          </w:p>
        </w:tc>
        <w:tc>
          <w:tcPr>
            <w:tcW w:w="5741" w:type="dxa"/>
            <w:gridSpan w:val="4"/>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0.10</w:t>
            </w:r>
          </w:p>
        </w:tc>
      </w:tr>
      <w:tr w:rsidR="002A5A5E" w:rsidRPr="00FC1444">
        <w:trPr>
          <w:trHeight w:val="415"/>
          <w:jc w:val="center"/>
        </w:trPr>
        <w:tc>
          <w:tcPr>
            <w:tcW w:w="2381" w:type="dxa"/>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滴滴涕总量</w:t>
            </w:r>
          </w:p>
        </w:tc>
        <w:tc>
          <w:tcPr>
            <w:tcW w:w="5741" w:type="dxa"/>
            <w:gridSpan w:val="4"/>
            <w:tcBorders>
              <w:tl2br w:val="nil"/>
              <w:tr2bl w:val="nil"/>
            </w:tcBorders>
            <w:vAlign w:val="center"/>
          </w:tcPr>
          <w:p w:rsidR="002A5A5E" w:rsidRPr="00FC1444" w:rsidRDefault="00611CBA">
            <w:pPr>
              <w:jc w:val="center"/>
              <w:rPr>
                <w:rFonts w:eastAsiaTheme="minorEastAsia"/>
                <w:szCs w:val="21"/>
              </w:rPr>
            </w:pPr>
            <w:r w:rsidRPr="00FC1444">
              <w:rPr>
                <w:rFonts w:eastAsiaTheme="minorEastAsia"/>
                <w:szCs w:val="21"/>
              </w:rPr>
              <w:t>0.10</w:t>
            </w:r>
          </w:p>
        </w:tc>
      </w:tr>
      <w:tr w:rsidR="007B4AD9" w:rsidRPr="00FC1444">
        <w:trPr>
          <w:trHeight w:val="415"/>
          <w:jc w:val="center"/>
        </w:trPr>
        <w:tc>
          <w:tcPr>
            <w:tcW w:w="2381" w:type="dxa"/>
            <w:tcBorders>
              <w:tl2br w:val="nil"/>
              <w:tr2bl w:val="nil"/>
            </w:tcBorders>
            <w:vAlign w:val="center"/>
          </w:tcPr>
          <w:p w:rsidR="007B4AD9" w:rsidRPr="00FC1444" w:rsidRDefault="007B4AD9">
            <w:pPr>
              <w:jc w:val="center"/>
              <w:rPr>
                <w:rFonts w:eastAsiaTheme="minorEastAsia"/>
                <w:szCs w:val="21"/>
              </w:rPr>
            </w:pPr>
            <w:r w:rsidRPr="00FC1444">
              <w:t>苯并</w:t>
            </w:r>
            <w:r w:rsidRPr="00FC1444">
              <w:t>[a]</w:t>
            </w:r>
            <w:r w:rsidRPr="00FC1444">
              <w:t>芘</w:t>
            </w:r>
          </w:p>
        </w:tc>
        <w:tc>
          <w:tcPr>
            <w:tcW w:w="5741" w:type="dxa"/>
            <w:gridSpan w:val="4"/>
            <w:tcBorders>
              <w:tl2br w:val="nil"/>
              <w:tr2bl w:val="nil"/>
            </w:tcBorders>
            <w:vAlign w:val="center"/>
          </w:tcPr>
          <w:p w:rsidR="007B4AD9" w:rsidRPr="00FC1444" w:rsidRDefault="007B4AD9">
            <w:pPr>
              <w:jc w:val="center"/>
              <w:rPr>
                <w:rFonts w:eastAsiaTheme="minorEastAsia"/>
                <w:szCs w:val="21"/>
              </w:rPr>
            </w:pPr>
            <w:r w:rsidRPr="00FC1444">
              <w:rPr>
                <w:rFonts w:eastAsiaTheme="minorEastAsia"/>
                <w:szCs w:val="21"/>
              </w:rPr>
              <w:t>0.55</w:t>
            </w:r>
          </w:p>
        </w:tc>
      </w:tr>
    </w:tbl>
    <w:p w:rsidR="00046565" w:rsidRPr="00FC1444" w:rsidRDefault="008C1FD0" w:rsidP="00046565">
      <w:pPr>
        <w:tabs>
          <w:tab w:val="right" w:leader="dot" w:pos="8505"/>
        </w:tabs>
        <w:spacing w:line="360" w:lineRule="auto"/>
        <w:ind w:firstLineChars="200" w:firstLine="480"/>
        <w:rPr>
          <w:rFonts w:eastAsiaTheme="minorEastAsia"/>
          <w:sz w:val="24"/>
        </w:rPr>
      </w:pPr>
      <w:r w:rsidRPr="00FC1444">
        <w:rPr>
          <w:rFonts w:eastAsiaTheme="minorEastAsia" w:hint="eastAsia"/>
          <w:sz w:val="24"/>
        </w:rPr>
        <w:t>集镇</w:t>
      </w:r>
      <w:r w:rsidR="00046565" w:rsidRPr="00FC1444">
        <w:rPr>
          <w:rFonts w:eastAsiaTheme="minorEastAsia"/>
          <w:sz w:val="24"/>
        </w:rPr>
        <w:t>区域为</w:t>
      </w:r>
      <w:r w:rsidR="00046565" w:rsidRPr="00FC1444">
        <w:rPr>
          <w:rFonts w:eastAsiaTheme="minorEastAsia"/>
          <w:sz w:val="24"/>
        </w:rPr>
        <w:t>2</w:t>
      </w:r>
      <w:r w:rsidR="00046565" w:rsidRPr="00FC1444">
        <w:rPr>
          <w:rFonts w:eastAsiaTheme="minorEastAsia"/>
          <w:sz w:val="24"/>
        </w:rPr>
        <w:t>类区，其余区域为</w:t>
      </w:r>
      <w:r w:rsidR="00046565" w:rsidRPr="00FC1444">
        <w:rPr>
          <w:rFonts w:eastAsiaTheme="minorEastAsia"/>
          <w:sz w:val="24"/>
        </w:rPr>
        <w:t>1</w:t>
      </w:r>
      <w:r w:rsidR="00046565" w:rsidRPr="00FC1444">
        <w:rPr>
          <w:rFonts w:eastAsiaTheme="minorEastAsia"/>
          <w:sz w:val="24"/>
        </w:rPr>
        <w:t>类区。</w:t>
      </w:r>
    </w:p>
    <w:p w:rsidR="00046565" w:rsidRPr="00FC1444" w:rsidRDefault="00046565" w:rsidP="00046565">
      <w:pPr>
        <w:widowControl/>
        <w:jc w:val="center"/>
        <w:rPr>
          <w:rFonts w:eastAsiaTheme="minorEastAsia"/>
          <w:b/>
          <w:szCs w:val="21"/>
        </w:rPr>
      </w:pPr>
    </w:p>
    <w:p w:rsidR="00046565" w:rsidRPr="00FC1444" w:rsidRDefault="00046565" w:rsidP="00046565">
      <w:pPr>
        <w:widowControl/>
        <w:jc w:val="center"/>
        <w:rPr>
          <w:rFonts w:eastAsiaTheme="minorEastAsia"/>
          <w:b/>
          <w:szCs w:val="21"/>
        </w:rPr>
      </w:pPr>
    </w:p>
    <w:p w:rsidR="00046565" w:rsidRPr="00FC1444" w:rsidRDefault="00046565" w:rsidP="00046565">
      <w:pPr>
        <w:widowControl/>
        <w:jc w:val="center"/>
        <w:rPr>
          <w:rFonts w:eastAsiaTheme="minorEastAsia"/>
          <w:b/>
          <w:szCs w:val="21"/>
        </w:rPr>
      </w:pPr>
    </w:p>
    <w:p w:rsidR="00046565" w:rsidRPr="00FC1444" w:rsidRDefault="00046565" w:rsidP="00046565">
      <w:pPr>
        <w:widowControl/>
        <w:jc w:val="center"/>
        <w:rPr>
          <w:rFonts w:eastAsiaTheme="minorEastAsia"/>
          <w:b/>
          <w:szCs w:val="21"/>
        </w:rPr>
      </w:pPr>
    </w:p>
    <w:p w:rsidR="00046565" w:rsidRPr="00FC1444" w:rsidRDefault="00046565" w:rsidP="00046565">
      <w:pPr>
        <w:widowControl/>
        <w:jc w:val="center"/>
        <w:rPr>
          <w:rFonts w:eastAsiaTheme="minorEastAsia"/>
          <w:b/>
          <w:szCs w:val="21"/>
        </w:rPr>
      </w:pPr>
    </w:p>
    <w:p w:rsidR="00046565" w:rsidRPr="00FC1444" w:rsidRDefault="00046565" w:rsidP="00046565">
      <w:pPr>
        <w:widowControl/>
        <w:jc w:val="center"/>
        <w:rPr>
          <w:rFonts w:eastAsiaTheme="minorEastAsia"/>
          <w:b/>
          <w:szCs w:val="21"/>
        </w:rPr>
      </w:pPr>
      <w:r w:rsidRPr="00FC1444">
        <w:rPr>
          <w:rFonts w:eastAsiaTheme="minorEastAsia"/>
          <w:b/>
          <w:szCs w:val="21"/>
        </w:rPr>
        <w:lastRenderedPageBreak/>
        <w:t>表</w:t>
      </w:r>
      <w:r w:rsidRPr="00FC1444">
        <w:rPr>
          <w:rFonts w:eastAsiaTheme="minorEastAsia"/>
          <w:b/>
          <w:szCs w:val="21"/>
        </w:rPr>
        <w:t>2-5-4</w:t>
      </w:r>
      <w:r w:rsidRPr="00FC1444">
        <w:rPr>
          <w:rFonts w:eastAsiaTheme="minorEastAsia"/>
          <w:b/>
          <w:szCs w:val="21"/>
        </w:rPr>
        <w:t>声环境质量标准表</w:t>
      </w:r>
    </w:p>
    <w:tbl>
      <w:tblPr>
        <w:tblW w:w="8145"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771"/>
        <w:gridCol w:w="2310"/>
        <w:gridCol w:w="821"/>
        <w:gridCol w:w="654"/>
        <w:gridCol w:w="654"/>
        <w:gridCol w:w="784"/>
        <w:gridCol w:w="2151"/>
      </w:tblGrid>
      <w:tr w:rsidR="00046565" w:rsidRPr="00FC1444" w:rsidTr="005510C6">
        <w:trPr>
          <w:trHeight w:val="297"/>
          <w:jc w:val="center"/>
        </w:trPr>
        <w:tc>
          <w:tcPr>
            <w:tcW w:w="771" w:type="dxa"/>
            <w:vMerge w:val="restart"/>
            <w:vAlign w:val="center"/>
          </w:tcPr>
          <w:p w:rsidR="00046565" w:rsidRPr="00FC1444" w:rsidRDefault="00046565" w:rsidP="005510C6">
            <w:pPr>
              <w:snapToGrid w:val="0"/>
              <w:spacing w:line="0" w:lineRule="atLeast"/>
              <w:jc w:val="center"/>
              <w:rPr>
                <w:rFonts w:eastAsiaTheme="minorEastAsia"/>
                <w:kern w:val="0"/>
                <w:szCs w:val="21"/>
              </w:rPr>
            </w:pPr>
            <w:r w:rsidRPr="00FC1444">
              <w:rPr>
                <w:rFonts w:eastAsiaTheme="minorEastAsia"/>
                <w:kern w:val="0"/>
                <w:szCs w:val="21"/>
              </w:rPr>
              <w:t>环境要素</w:t>
            </w:r>
          </w:p>
        </w:tc>
        <w:tc>
          <w:tcPr>
            <w:tcW w:w="2310" w:type="dxa"/>
            <w:vMerge w:val="restart"/>
            <w:vAlign w:val="center"/>
          </w:tcPr>
          <w:p w:rsidR="00046565" w:rsidRPr="00FC1444" w:rsidRDefault="00046565" w:rsidP="005510C6">
            <w:pPr>
              <w:snapToGrid w:val="0"/>
              <w:spacing w:line="0" w:lineRule="atLeast"/>
              <w:jc w:val="center"/>
              <w:rPr>
                <w:rFonts w:eastAsiaTheme="minorEastAsia"/>
                <w:kern w:val="0"/>
                <w:szCs w:val="21"/>
              </w:rPr>
            </w:pPr>
            <w:r w:rsidRPr="00FC1444">
              <w:rPr>
                <w:rFonts w:eastAsiaTheme="minorEastAsia"/>
                <w:kern w:val="0"/>
                <w:szCs w:val="21"/>
              </w:rPr>
              <w:t>标准名称及级（类）别</w:t>
            </w:r>
          </w:p>
        </w:tc>
        <w:tc>
          <w:tcPr>
            <w:tcW w:w="821" w:type="dxa"/>
            <w:vMerge w:val="restart"/>
            <w:vAlign w:val="center"/>
          </w:tcPr>
          <w:p w:rsidR="00046565" w:rsidRPr="00FC1444" w:rsidRDefault="00046565" w:rsidP="005510C6">
            <w:pPr>
              <w:snapToGrid w:val="0"/>
              <w:spacing w:line="0" w:lineRule="atLeast"/>
              <w:jc w:val="center"/>
              <w:rPr>
                <w:rFonts w:eastAsiaTheme="minorEastAsia"/>
                <w:kern w:val="0"/>
                <w:szCs w:val="21"/>
              </w:rPr>
            </w:pPr>
            <w:r w:rsidRPr="00FC1444">
              <w:rPr>
                <w:rFonts w:eastAsiaTheme="minorEastAsia"/>
                <w:kern w:val="0"/>
                <w:szCs w:val="21"/>
              </w:rPr>
              <w:t>项目</w:t>
            </w:r>
          </w:p>
        </w:tc>
        <w:tc>
          <w:tcPr>
            <w:tcW w:w="2092" w:type="dxa"/>
            <w:gridSpan w:val="3"/>
            <w:vAlign w:val="center"/>
          </w:tcPr>
          <w:p w:rsidR="00046565" w:rsidRPr="00FC1444" w:rsidRDefault="00046565" w:rsidP="005510C6">
            <w:pPr>
              <w:snapToGrid w:val="0"/>
              <w:spacing w:line="0" w:lineRule="atLeast"/>
              <w:jc w:val="center"/>
              <w:rPr>
                <w:rFonts w:eastAsiaTheme="minorEastAsia"/>
                <w:kern w:val="0"/>
                <w:szCs w:val="21"/>
              </w:rPr>
            </w:pPr>
            <w:r w:rsidRPr="00FC1444">
              <w:rPr>
                <w:rFonts w:eastAsiaTheme="minorEastAsia"/>
                <w:kern w:val="0"/>
                <w:szCs w:val="21"/>
              </w:rPr>
              <w:t>标准值</w:t>
            </w:r>
          </w:p>
        </w:tc>
        <w:tc>
          <w:tcPr>
            <w:tcW w:w="2151" w:type="dxa"/>
            <w:vMerge w:val="restart"/>
            <w:vAlign w:val="center"/>
          </w:tcPr>
          <w:p w:rsidR="00046565" w:rsidRPr="00FC1444" w:rsidRDefault="00046565" w:rsidP="005510C6">
            <w:pPr>
              <w:snapToGrid w:val="0"/>
              <w:spacing w:line="0" w:lineRule="atLeast"/>
              <w:jc w:val="center"/>
              <w:rPr>
                <w:rFonts w:eastAsiaTheme="minorEastAsia"/>
                <w:kern w:val="0"/>
                <w:szCs w:val="21"/>
              </w:rPr>
            </w:pPr>
            <w:r w:rsidRPr="00FC1444">
              <w:rPr>
                <w:rFonts w:eastAsiaTheme="minorEastAsia"/>
                <w:kern w:val="0"/>
                <w:szCs w:val="21"/>
              </w:rPr>
              <w:t>范围</w:t>
            </w:r>
          </w:p>
        </w:tc>
      </w:tr>
      <w:tr w:rsidR="00046565" w:rsidRPr="00FC1444" w:rsidTr="005510C6">
        <w:trPr>
          <w:trHeight w:val="66"/>
          <w:jc w:val="center"/>
        </w:trPr>
        <w:tc>
          <w:tcPr>
            <w:tcW w:w="771" w:type="dxa"/>
            <w:vMerge/>
            <w:vAlign w:val="center"/>
          </w:tcPr>
          <w:p w:rsidR="00046565" w:rsidRPr="00FC1444" w:rsidRDefault="00046565" w:rsidP="005510C6">
            <w:pPr>
              <w:widowControl/>
              <w:jc w:val="center"/>
              <w:rPr>
                <w:rFonts w:eastAsiaTheme="minorEastAsia"/>
                <w:kern w:val="0"/>
                <w:szCs w:val="21"/>
              </w:rPr>
            </w:pPr>
          </w:p>
        </w:tc>
        <w:tc>
          <w:tcPr>
            <w:tcW w:w="2310" w:type="dxa"/>
            <w:vMerge/>
            <w:vAlign w:val="center"/>
          </w:tcPr>
          <w:p w:rsidR="00046565" w:rsidRPr="00FC1444" w:rsidRDefault="00046565" w:rsidP="005510C6">
            <w:pPr>
              <w:widowControl/>
              <w:jc w:val="center"/>
              <w:rPr>
                <w:rFonts w:eastAsiaTheme="minorEastAsia"/>
                <w:kern w:val="0"/>
                <w:szCs w:val="21"/>
              </w:rPr>
            </w:pPr>
          </w:p>
        </w:tc>
        <w:tc>
          <w:tcPr>
            <w:tcW w:w="821" w:type="dxa"/>
            <w:vMerge/>
            <w:vAlign w:val="center"/>
          </w:tcPr>
          <w:p w:rsidR="00046565" w:rsidRPr="00FC1444" w:rsidRDefault="00046565" w:rsidP="005510C6">
            <w:pPr>
              <w:widowControl/>
              <w:jc w:val="center"/>
              <w:rPr>
                <w:rFonts w:eastAsiaTheme="minorEastAsia"/>
                <w:kern w:val="0"/>
                <w:szCs w:val="21"/>
              </w:rPr>
            </w:pPr>
          </w:p>
        </w:tc>
        <w:tc>
          <w:tcPr>
            <w:tcW w:w="654" w:type="dxa"/>
            <w:vAlign w:val="center"/>
          </w:tcPr>
          <w:p w:rsidR="00046565" w:rsidRPr="00FC1444" w:rsidRDefault="00046565" w:rsidP="005510C6">
            <w:pPr>
              <w:snapToGrid w:val="0"/>
              <w:spacing w:line="0" w:lineRule="atLeast"/>
              <w:jc w:val="center"/>
              <w:rPr>
                <w:rFonts w:eastAsiaTheme="minorEastAsia"/>
                <w:kern w:val="0"/>
                <w:szCs w:val="21"/>
              </w:rPr>
            </w:pPr>
            <w:r w:rsidRPr="00FC1444">
              <w:rPr>
                <w:rFonts w:eastAsiaTheme="minorEastAsia"/>
                <w:kern w:val="0"/>
                <w:szCs w:val="21"/>
              </w:rPr>
              <w:t>单位</w:t>
            </w:r>
          </w:p>
        </w:tc>
        <w:tc>
          <w:tcPr>
            <w:tcW w:w="1438" w:type="dxa"/>
            <w:gridSpan w:val="2"/>
            <w:vAlign w:val="center"/>
          </w:tcPr>
          <w:p w:rsidR="00046565" w:rsidRPr="00FC1444" w:rsidRDefault="00046565" w:rsidP="005510C6">
            <w:pPr>
              <w:snapToGrid w:val="0"/>
              <w:spacing w:line="0" w:lineRule="atLeast"/>
              <w:jc w:val="center"/>
              <w:rPr>
                <w:rFonts w:eastAsiaTheme="minorEastAsia"/>
                <w:kern w:val="0"/>
                <w:szCs w:val="21"/>
              </w:rPr>
            </w:pPr>
            <w:r w:rsidRPr="00FC1444">
              <w:rPr>
                <w:rFonts w:eastAsiaTheme="minorEastAsia"/>
                <w:kern w:val="0"/>
                <w:szCs w:val="21"/>
              </w:rPr>
              <w:t>数值</w:t>
            </w:r>
          </w:p>
        </w:tc>
        <w:tc>
          <w:tcPr>
            <w:tcW w:w="2151" w:type="dxa"/>
            <w:vMerge/>
            <w:vAlign w:val="center"/>
          </w:tcPr>
          <w:p w:rsidR="00046565" w:rsidRPr="00FC1444" w:rsidRDefault="00046565" w:rsidP="005510C6">
            <w:pPr>
              <w:snapToGrid w:val="0"/>
              <w:spacing w:line="0" w:lineRule="atLeast"/>
              <w:jc w:val="center"/>
              <w:rPr>
                <w:rFonts w:eastAsiaTheme="minorEastAsia"/>
                <w:kern w:val="0"/>
                <w:szCs w:val="21"/>
              </w:rPr>
            </w:pPr>
          </w:p>
        </w:tc>
      </w:tr>
      <w:tr w:rsidR="00046565" w:rsidRPr="00FC1444" w:rsidTr="005510C6">
        <w:trPr>
          <w:trHeight w:val="82"/>
          <w:jc w:val="center"/>
        </w:trPr>
        <w:tc>
          <w:tcPr>
            <w:tcW w:w="771" w:type="dxa"/>
            <w:vMerge w:val="restart"/>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声环境</w:t>
            </w:r>
          </w:p>
        </w:tc>
        <w:tc>
          <w:tcPr>
            <w:tcW w:w="2310" w:type="dxa"/>
            <w:vMerge w:val="restart"/>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《声环境质量标准》（</w:t>
            </w:r>
            <w:r w:rsidRPr="00FC1444">
              <w:rPr>
                <w:rFonts w:eastAsiaTheme="minorEastAsia"/>
                <w:kern w:val="0"/>
                <w:szCs w:val="21"/>
              </w:rPr>
              <w:t>GB3096-2008</w:t>
            </w:r>
            <w:r w:rsidRPr="00FC1444">
              <w:rPr>
                <w:rFonts w:eastAsiaTheme="minorEastAsia"/>
                <w:kern w:val="0"/>
                <w:szCs w:val="21"/>
              </w:rPr>
              <w:t>）</w:t>
            </w:r>
            <w:r w:rsidRPr="00FC1444">
              <w:rPr>
                <w:rFonts w:eastAsiaTheme="minorEastAsia"/>
                <w:kern w:val="0"/>
                <w:szCs w:val="21"/>
              </w:rPr>
              <w:t>2</w:t>
            </w:r>
            <w:r w:rsidRPr="00FC1444">
              <w:rPr>
                <w:rFonts w:eastAsiaTheme="minorEastAsia"/>
                <w:kern w:val="0"/>
                <w:szCs w:val="21"/>
              </w:rPr>
              <w:t>类</w:t>
            </w:r>
          </w:p>
        </w:tc>
        <w:tc>
          <w:tcPr>
            <w:tcW w:w="821" w:type="dxa"/>
            <w:vMerge w:val="restart"/>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等效连续</w:t>
            </w:r>
            <w:r w:rsidRPr="00FC1444">
              <w:rPr>
                <w:rFonts w:eastAsiaTheme="minorEastAsia"/>
                <w:kern w:val="0"/>
                <w:szCs w:val="21"/>
              </w:rPr>
              <w:t>A</w:t>
            </w:r>
            <w:r w:rsidRPr="00FC1444">
              <w:rPr>
                <w:rFonts w:eastAsiaTheme="minorEastAsia"/>
                <w:kern w:val="0"/>
                <w:szCs w:val="21"/>
              </w:rPr>
              <w:t>声级</w:t>
            </w:r>
          </w:p>
        </w:tc>
        <w:tc>
          <w:tcPr>
            <w:tcW w:w="654" w:type="dxa"/>
            <w:vMerge w:val="restart"/>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dB(A)</w:t>
            </w:r>
          </w:p>
        </w:tc>
        <w:tc>
          <w:tcPr>
            <w:tcW w:w="654" w:type="dxa"/>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昼间</w:t>
            </w:r>
          </w:p>
        </w:tc>
        <w:tc>
          <w:tcPr>
            <w:tcW w:w="784" w:type="dxa"/>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60</w:t>
            </w:r>
          </w:p>
        </w:tc>
        <w:tc>
          <w:tcPr>
            <w:tcW w:w="2151" w:type="dxa"/>
            <w:vMerge w:val="restart"/>
            <w:vAlign w:val="center"/>
          </w:tcPr>
          <w:p w:rsidR="00046565" w:rsidRPr="00FC1444" w:rsidRDefault="008C1FD0" w:rsidP="005510C6">
            <w:pPr>
              <w:spacing w:line="0" w:lineRule="atLeast"/>
              <w:contextualSpacing/>
              <w:jc w:val="center"/>
              <w:rPr>
                <w:rFonts w:eastAsiaTheme="minorEastAsia"/>
                <w:kern w:val="0"/>
                <w:szCs w:val="21"/>
              </w:rPr>
            </w:pPr>
            <w:r w:rsidRPr="00FC1444">
              <w:rPr>
                <w:rFonts w:eastAsiaTheme="minorEastAsia" w:hint="eastAsia"/>
                <w:kern w:val="0"/>
                <w:szCs w:val="21"/>
              </w:rPr>
              <w:t>集镇</w:t>
            </w:r>
            <w:r w:rsidR="00046565" w:rsidRPr="00FC1444">
              <w:rPr>
                <w:rFonts w:eastAsiaTheme="minorEastAsia"/>
                <w:kern w:val="0"/>
                <w:szCs w:val="21"/>
              </w:rPr>
              <w:t>区域</w:t>
            </w:r>
          </w:p>
        </w:tc>
      </w:tr>
      <w:tr w:rsidR="00046565" w:rsidRPr="00FC1444" w:rsidTr="005510C6">
        <w:trPr>
          <w:trHeight w:val="104"/>
          <w:jc w:val="center"/>
        </w:trPr>
        <w:tc>
          <w:tcPr>
            <w:tcW w:w="771" w:type="dxa"/>
            <w:vMerge/>
            <w:vAlign w:val="center"/>
          </w:tcPr>
          <w:p w:rsidR="00046565" w:rsidRPr="00FC1444" w:rsidRDefault="00046565" w:rsidP="005510C6">
            <w:pPr>
              <w:widowControl/>
              <w:spacing w:line="0" w:lineRule="atLeast"/>
              <w:contextualSpacing/>
              <w:jc w:val="center"/>
              <w:rPr>
                <w:rFonts w:eastAsiaTheme="minorEastAsia"/>
                <w:kern w:val="0"/>
                <w:szCs w:val="21"/>
              </w:rPr>
            </w:pPr>
          </w:p>
        </w:tc>
        <w:tc>
          <w:tcPr>
            <w:tcW w:w="2310" w:type="dxa"/>
            <w:vMerge/>
            <w:vAlign w:val="center"/>
          </w:tcPr>
          <w:p w:rsidR="00046565" w:rsidRPr="00FC1444" w:rsidRDefault="00046565" w:rsidP="005510C6">
            <w:pPr>
              <w:widowControl/>
              <w:spacing w:line="0" w:lineRule="atLeast"/>
              <w:contextualSpacing/>
              <w:jc w:val="center"/>
              <w:rPr>
                <w:rFonts w:eastAsiaTheme="minorEastAsia"/>
                <w:kern w:val="0"/>
                <w:szCs w:val="21"/>
              </w:rPr>
            </w:pPr>
          </w:p>
        </w:tc>
        <w:tc>
          <w:tcPr>
            <w:tcW w:w="821" w:type="dxa"/>
            <w:vMerge/>
            <w:vAlign w:val="center"/>
          </w:tcPr>
          <w:p w:rsidR="00046565" w:rsidRPr="00FC1444" w:rsidRDefault="00046565" w:rsidP="005510C6">
            <w:pPr>
              <w:widowControl/>
              <w:spacing w:line="0" w:lineRule="atLeast"/>
              <w:contextualSpacing/>
              <w:jc w:val="center"/>
              <w:rPr>
                <w:rFonts w:eastAsiaTheme="minorEastAsia"/>
                <w:kern w:val="0"/>
                <w:szCs w:val="21"/>
              </w:rPr>
            </w:pPr>
          </w:p>
        </w:tc>
        <w:tc>
          <w:tcPr>
            <w:tcW w:w="654" w:type="dxa"/>
            <w:vMerge/>
            <w:vAlign w:val="center"/>
          </w:tcPr>
          <w:p w:rsidR="00046565" w:rsidRPr="00FC1444" w:rsidRDefault="00046565" w:rsidP="005510C6">
            <w:pPr>
              <w:widowControl/>
              <w:spacing w:line="0" w:lineRule="atLeast"/>
              <w:contextualSpacing/>
              <w:jc w:val="center"/>
              <w:rPr>
                <w:rFonts w:eastAsiaTheme="minorEastAsia"/>
                <w:kern w:val="0"/>
                <w:szCs w:val="21"/>
              </w:rPr>
            </w:pPr>
          </w:p>
        </w:tc>
        <w:tc>
          <w:tcPr>
            <w:tcW w:w="654" w:type="dxa"/>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夜间</w:t>
            </w:r>
          </w:p>
        </w:tc>
        <w:tc>
          <w:tcPr>
            <w:tcW w:w="784" w:type="dxa"/>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50</w:t>
            </w:r>
          </w:p>
        </w:tc>
        <w:tc>
          <w:tcPr>
            <w:tcW w:w="2151" w:type="dxa"/>
            <w:vMerge/>
            <w:vAlign w:val="center"/>
          </w:tcPr>
          <w:p w:rsidR="00046565" w:rsidRPr="00FC1444" w:rsidRDefault="00046565" w:rsidP="005510C6">
            <w:pPr>
              <w:spacing w:line="0" w:lineRule="atLeast"/>
              <w:contextualSpacing/>
              <w:jc w:val="center"/>
              <w:rPr>
                <w:rFonts w:eastAsiaTheme="minorEastAsia"/>
                <w:kern w:val="0"/>
                <w:szCs w:val="21"/>
              </w:rPr>
            </w:pPr>
          </w:p>
        </w:tc>
      </w:tr>
      <w:tr w:rsidR="00046565" w:rsidRPr="00FC1444" w:rsidTr="005510C6">
        <w:trPr>
          <w:trHeight w:val="104"/>
          <w:jc w:val="center"/>
        </w:trPr>
        <w:tc>
          <w:tcPr>
            <w:tcW w:w="771" w:type="dxa"/>
            <w:vMerge/>
            <w:vAlign w:val="center"/>
          </w:tcPr>
          <w:p w:rsidR="00046565" w:rsidRPr="00FC1444" w:rsidRDefault="00046565" w:rsidP="005510C6">
            <w:pPr>
              <w:widowControl/>
              <w:spacing w:line="0" w:lineRule="atLeast"/>
              <w:contextualSpacing/>
              <w:jc w:val="center"/>
              <w:rPr>
                <w:rFonts w:eastAsiaTheme="minorEastAsia"/>
                <w:kern w:val="0"/>
                <w:szCs w:val="21"/>
              </w:rPr>
            </w:pPr>
          </w:p>
        </w:tc>
        <w:tc>
          <w:tcPr>
            <w:tcW w:w="2310" w:type="dxa"/>
            <w:vMerge w:val="restart"/>
            <w:vAlign w:val="center"/>
          </w:tcPr>
          <w:p w:rsidR="00046565" w:rsidRPr="00FC1444" w:rsidRDefault="00046565" w:rsidP="005510C6">
            <w:pPr>
              <w:widowControl/>
              <w:spacing w:line="0" w:lineRule="atLeast"/>
              <w:contextualSpacing/>
              <w:jc w:val="center"/>
              <w:rPr>
                <w:rFonts w:eastAsiaTheme="minorEastAsia"/>
                <w:kern w:val="0"/>
                <w:szCs w:val="21"/>
              </w:rPr>
            </w:pPr>
            <w:r w:rsidRPr="00FC1444">
              <w:rPr>
                <w:rFonts w:eastAsiaTheme="minorEastAsia"/>
                <w:kern w:val="0"/>
                <w:szCs w:val="21"/>
              </w:rPr>
              <w:t>《声环境质量标准》（</w:t>
            </w:r>
            <w:r w:rsidRPr="00FC1444">
              <w:rPr>
                <w:rFonts w:eastAsiaTheme="minorEastAsia"/>
                <w:kern w:val="0"/>
                <w:szCs w:val="21"/>
              </w:rPr>
              <w:t>GB3096-2008</w:t>
            </w:r>
            <w:r w:rsidRPr="00FC1444">
              <w:rPr>
                <w:rFonts w:eastAsiaTheme="minorEastAsia"/>
                <w:kern w:val="0"/>
                <w:szCs w:val="21"/>
              </w:rPr>
              <w:t>）</w:t>
            </w:r>
            <w:r w:rsidRPr="00FC1444">
              <w:rPr>
                <w:rFonts w:eastAsiaTheme="minorEastAsia"/>
                <w:kern w:val="0"/>
                <w:szCs w:val="21"/>
              </w:rPr>
              <w:t>1</w:t>
            </w:r>
            <w:r w:rsidRPr="00FC1444">
              <w:rPr>
                <w:rFonts w:eastAsiaTheme="minorEastAsia"/>
                <w:kern w:val="0"/>
                <w:szCs w:val="21"/>
              </w:rPr>
              <w:t>类</w:t>
            </w:r>
          </w:p>
        </w:tc>
        <w:tc>
          <w:tcPr>
            <w:tcW w:w="821" w:type="dxa"/>
            <w:vMerge/>
            <w:vAlign w:val="center"/>
          </w:tcPr>
          <w:p w:rsidR="00046565" w:rsidRPr="00FC1444" w:rsidRDefault="00046565" w:rsidP="005510C6">
            <w:pPr>
              <w:widowControl/>
              <w:spacing w:line="0" w:lineRule="atLeast"/>
              <w:contextualSpacing/>
              <w:jc w:val="center"/>
              <w:rPr>
                <w:rFonts w:eastAsiaTheme="minorEastAsia"/>
                <w:kern w:val="0"/>
                <w:szCs w:val="21"/>
              </w:rPr>
            </w:pPr>
          </w:p>
        </w:tc>
        <w:tc>
          <w:tcPr>
            <w:tcW w:w="654" w:type="dxa"/>
            <w:vMerge/>
            <w:vAlign w:val="center"/>
          </w:tcPr>
          <w:p w:rsidR="00046565" w:rsidRPr="00FC1444" w:rsidRDefault="00046565" w:rsidP="005510C6">
            <w:pPr>
              <w:widowControl/>
              <w:spacing w:line="0" w:lineRule="atLeast"/>
              <w:contextualSpacing/>
              <w:jc w:val="center"/>
              <w:rPr>
                <w:rFonts w:eastAsiaTheme="minorEastAsia"/>
                <w:kern w:val="0"/>
                <w:szCs w:val="21"/>
              </w:rPr>
            </w:pPr>
          </w:p>
        </w:tc>
        <w:tc>
          <w:tcPr>
            <w:tcW w:w="654" w:type="dxa"/>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昼间</w:t>
            </w:r>
          </w:p>
        </w:tc>
        <w:tc>
          <w:tcPr>
            <w:tcW w:w="784" w:type="dxa"/>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55</w:t>
            </w:r>
          </w:p>
        </w:tc>
        <w:tc>
          <w:tcPr>
            <w:tcW w:w="2151" w:type="dxa"/>
            <w:vMerge w:val="restart"/>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其余区域</w:t>
            </w:r>
          </w:p>
        </w:tc>
      </w:tr>
      <w:tr w:rsidR="00046565" w:rsidRPr="00FC1444" w:rsidTr="005510C6">
        <w:trPr>
          <w:trHeight w:val="104"/>
          <w:jc w:val="center"/>
        </w:trPr>
        <w:tc>
          <w:tcPr>
            <w:tcW w:w="771" w:type="dxa"/>
            <w:vMerge/>
            <w:vAlign w:val="center"/>
          </w:tcPr>
          <w:p w:rsidR="00046565" w:rsidRPr="00FC1444" w:rsidRDefault="00046565" w:rsidP="005510C6">
            <w:pPr>
              <w:widowControl/>
              <w:spacing w:line="0" w:lineRule="atLeast"/>
              <w:contextualSpacing/>
              <w:jc w:val="center"/>
              <w:rPr>
                <w:rFonts w:eastAsiaTheme="minorEastAsia"/>
                <w:kern w:val="0"/>
                <w:szCs w:val="21"/>
              </w:rPr>
            </w:pPr>
          </w:p>
        </w:tc>
        <w:tc>
          <w:tcPr>
            <w:tcW w:w="2310" w:type="dxa"/>
            <w:vMerge/>
            <w:vAlign w:val="center"/>
          </w:tcPr>
          <w:p w:rsidR="00046565" w:rsidRPr="00FC1444" w:rsidRDefault="00046565" w:rsidP="005510C6">
            <w:pPr>
              <w:widowControl/>
              <w:spacing w:line="0" w:lineRule="atLeast"/>
              <w:contextualSpacing/>
              <w:jc w:val="center"/>
              <w:rPr>
                <w:rFonts w:eastAsiaTheme="minorEastAsia"/>
                <w:kern w:val="0"/>
                <w:szCs w:val="21"/>
              </w:rPr>
            </w:pPr>
          </w:p>
        </w:tc>
        <w:tc>
          <w:tcPr>
            <w:tcW w:w="821" w:type="dxa"/>
            <w:vMerge/>
            <w:vAlign w:val="center"/>
          </w:tcPr>
          <w:p w:rsidR="00046565" w:rsidRPr="00FC1444" w:rsidRDefault="00046565" w:rsidP="005510C6">
            <w:pPr>
              <w:widowControl/>
              <w:spacing w:line="0" w:lineRule="atLeast"/>
              <w:contextualSpacing/>
              <w:jc w:val="center"/>
              <w:rPr>
                <w:rFonts w:eastAsiaTheme="minorEastAsia"/>
                <w:kern w:val="0"/>
                <w:szCs w:val="21"/>
              </w:rPr>
            </w:pPr>
          </w:p>
        </w:tc>
        <w:tc>
          <w:tcPr>
            <w:tcW w:w="654" w:type="dxa"/>
            <w:vMerge/>
            <w:vAlign w:val="center"/>
          </w:tcPr>
          <w:p w:rsidR="00046565" w:rsidRPr="00FC1444" w:rsidRDefault="00046565" w:rsidP="005510C6">
            <w:pPr>
              <w:widowControl/>
              <w:spacing w:line="0" w:lineRule="atLeast"/>
              <w:contextualSpacing/>
              <w:jc w:val="center"/>
              <w:rPr>
                <w:rFonts w:eastAsiaTheme="minorEastAsia"/>
                <w:kern w:val="0"/>
                <w:szCs w:val="21"/>
              </w:rPr>
            </w:pPr>
          </w:p>
        </w:tc>
        <w:tc>
          <w:tcPr>
            <w:tcW w:w="654" w:type="dxa"/>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夜间</w:t>
            </w:r>
          </w:p>
        </w:tc>
        <w:tc>
          <w:tcPr>
            <w:tcW w:w="784" w:type="dxa"/>
            <w:vAlign w:val="center"/>
          </w:tcPr>
          <w:p w:rsidR="00046565" w:rsidRPr="00FC1444" w:rsidRDefault="00046565" w:rsidP="005510C6">
            <w:pPr>
              <w:spacing w:line="0" w:lineRule="atLeast"/>
              <w:contextualSpacing/>
              <w:jc w:val="center"/>
              <w:rPr>
                <w:rFonts w:eastAsiaTheme="minorEastAsia"/>
                <w:kern w:val="0"/>
                <w:szCs w:val="21"/>
              </w:rPr>
            </w:pPr>
            <w:r w:rsidRPr="00FC1444">
              <w:rPr>
                <w:rFonts w:eastAsiaTheme="minorEastAsia"/>
                <w:kern w:val="0"/>
                <w:szCs w:val="21"/>
              </w:rPr>
              <w:t>45</w:t>
            </w:r>
          </w:p>
        </w:tc>
        <w:tc>
          <w:tcPr>
            <w:tcW w:w="2151" w:type="dxa"/>
            <w:vMerge/>
            <w:vAlign w:val="center"/>
          </w:tcPr>
          <w:p w:rsidR="00046565" w:rsidRPr="00FC1444" w:rsidRDefault="00046565" w:rsidP="005510C6">
            <w:pPr>
              <w:spacing w:line="0" w:lineRule="atLeast"/>
              <w:contextualSpacing/>
              <w:jc w:val="center"/>
              <w:rPr>
                <w:rFonts w:eastAsiaTheme="minorEastAsia"/>
                <w:kern w:val="0"/>
                <w:szCs w:val="21"/>
              </w:rPr>
            </w:pPr>
          </w:p>
        </w:tc>
      </w:tr>
    </w:tbl>
    <w:p w:rsidR="002A5A5E" w:rsidRPr="00FC1444"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2.5.3</w:t>
      </w:r>
      <w:r w:rsidRPr="00FC1444">
        <w:rPr>
          <w:rFonts w:ascii="Times New Roman" w:eastAsiaTheme="minorEastAsia" w:hAnsi="Times New Roman" w:cs="Times New Roman"/>
          <w:b/>
          <w:sz w:val="28"/>
          <w:szCs w:val="28"/>
        </w:rPr>
        <w:t>污染物排放标准</w:t>
      </w:r>
    </w:p>
    <w:p w:rsidR="002A5A5E" w:rsidRPr="00FC1444" w:rsidRDefault="00760E2B">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w:t>
      </w:r>
      <w:r w:rsidR="00611CBA" w:rsidRPr="00FC1444">
        <w:rPr>
          <w:rFonts w:eastAsiaTheme="minorEastAsia"/>
          <w:sz w:val="24"/>
        </w:rPr>
        <w:t>废气</w:t>
      </w:r>
    </w:p>
    <w:p w:rsidR="002A5A5E" w:rsidRPr="00FC1444" w:rsidRDefault="00611CBA">
      <w:pPr>
        <w:tabs>
          <w:tab w:val="right" w:leader="dot" w:pos="8505"/>
        </w:tabs>
        <w:spacing w:line="360" w:lineRule="auto"/>
        <w:ind w:firstLineChars="200" w:firstLine="480"/>
        <w:rPr>
          <w:rFonts w:eastAsiaTheme="minorEastAsia"/>
          <w:sz w:val="24"/>
        </w:rPr>
      </w:pPr>
      <w:r w:rsidRPr="00FC1444">
        <w:rPr>
          <w:rFonts w:eastAsiaTheme="minorEastAsia"/>
          <w:sz w:val="24"/>
        </w:rPr>
        <w:t>施工期施工场地扬尘排放执行《大气污染物综合排放标准》（</w:t>
      </w:r>
      <w:r w:rsidRPr="00FC1444">
        <w:rPr>
          <w:rFonts w:eastAsiaTheme="minorEastAsia"/>
          <w:sz w:val="24"/>
        </w:rPr>
        <w:t>GB16297-1996</w:t>
      </w:r>
      <w:r w:rsidRPr="00FC1444">
        <w:rPr>
          <w:rFonts w:eastAsiaTheme="minorEastAsia"/>
          <w:sz w:val="24"/>
        </w:rPr>
        <w:t>）表</w:t>
      </w:r>
      <w:r w:rsidRPr="00FC1444">
        <w:rPr>
          <w:rFonts w:eastAsiaTheme="minorEastAsia"/>
          <w:sz w:val="24"/>
        </w:rPr>
        <w:t>2</w:t>
      </w:r>
      <w:r w:rsidRPr="00FC1444">
        <w:rPr>
          <w:rFonts w:eastAsiaTheme="minorEastAsia"/>
          <w:sz w:val="24"/>
        </w:rPr>
        <w:t>无组织排放监控浓度限值要求。</w:t>
      </w:r>
      <w:r w:rsidRPr="00FC1444">
        <w:rPr>
          <w:sz w:val="24"/>
        </w:rPr>
        <w:t>清淤污泥污染物臭气浓度排放执行《恶臭污染物排放标准》（</w:t>
      </w:r>
      <w:r w:rsidRPr="00FC1444">
        <w:rPr>
          <w:sz w:val="24"/>
        </w:rPr>
        <w:t>GB14554-93</w:t>
      </w:r>
      <w:r w:rsidRPr="00FC1444">
        <w:rPr>
          <w:sz w:val="24"/>
        </w:rPr>
        <w:t>）表</w:t>
      </w:r>
      <w:r w:rsidRPr="00FC1444">
        <w:rPr>
          <w:sz w:val="24"/>
        </w:rPr>
        <w:t>1</w:t>
      </w:r>
      <w:r w:rsidRPr="00FC1444">
        <w:rPr>
          <w:sz w:val="24"/>
        </w:rPr>
        <w:t>二级标准。</w:t>
      </w:r>
      <w:r w:rsidRPr="00FC1444">
        <w:rPr>
          <w:rFonts w:eastAsiaTheme="minorEastAsia"/>
          <w:sz w:val="24"/>
        </w:rPr>
        <w:t>移动式发电机废气执行</w:t>
      </w:r>
      <w:r w:rsidRPr="00FC1444">
        <w:rPr>
          <w:rFonts w:eastAsiaTheme="minorEastAsia"/>
          <w:sz w:val="24"/>
        </w:rPr>
        <w:t>GB20891-2014</w:t>
      </w:r>
      <w:r w:rsidRPr="00FC1444">
        <w:rPr>
          <w:rFonts w:eastAsiaTheme="minorEastAsia"/>
          <w:sz w:val="24"/>
        </w:rPr>
        <w:t>《非道路移动机械用柴油机排气污染物排放限值及测量方法（中国三、四阶段）》中第四阶段（</w:t>
      </w:r>
      <w:r w:rsidRPr="00FC1444">
        <w:rPr>
          <w:rFonts w:eastAsiaTheme="minorEastAsia"/>
          <w:sz w:val="24"/>
        </w:rPr>
        <w:t>130</w:t>
      </w:r>
      <w:r w:rsidRPr="00FC1444">
        <w:rPr>
          <w:rFonts w:eastAsiaTheme="minorEastAsia"/>
          <w:sz w:val="24"/>
        </w:rPr>
        <w:t>＜额定功率＜</w:t>
      </w:r>
      <w:r w:rsidRPr="00FC1444">
        <w:rPr>
          <w:rFonts w:eastAsiaTheme="minorEastAsia"/>
          <w:sz w:val="24"/>
        </w:rPr>
        <w:t>560kW</w:t>
      </w:r>
      <w:r w:rsidRPr="00FC1444">
        <w:rPr>
          <w:rFonts w:eastAsiaTheme="minorEastAsia"/>
          <w:sz w:val="24"/>
        </w:rPr>
        <w:t>）。</w:t>
      </w:r>
    </w:p>
    <w:p w:rsidR="002A5A5E" w:rsidRPr="00FC1444" w:rsidRDefault="00611CBA">
      <w:pPr>
        <w:jc w:val="center"/>
        <w:rPr>
          <w:rFonts w:eastAsiaTheme="minorEastAsia"/>
          <w:b/>
          <w:kern w:val="0"/>
          <w:sz w:val="24"/>
        </w:rPr>
      </w:pPr>
      <w:r w:rsidRPr="00FC1444">
        <w:rPr>
          <w:rFonts w:eastAsiaTheme="minorEastAsia"/>
          <w:b/>
          <w:kern w:val="0"/>
          <w:szCs w:val="21"/>
        </w:rPr>
        <w:t>表</w:t>
      </w:r>
      <w:r w:rsidRPr="00FC1444">
        <w:rPr>
          <w:rFonts w:eastAsiaTheme="minorEastAsia"/>
          <w:b/>
          <w:kern w:val="0"/>
          <w:szCs w:val="21"/>
        </w:rPr>
        <w:t>2-5-5</w:t>
      </w:r>
      <w:r w:rsidRPr="00FC1444">
        <w:rPr>
          <w:rFonts w:eastAsiaTheme="minorEastAsia"/>
          <w:b/>
          <w:kern w:val="0"/>
          <w:szCs w:val="21"/>
        </w:rPr>
        <w:t>《大气污染物综合排放标准》（</w:t>
      </w:r>
      <w:r w:rsidRPr="00FC1444">
        <w:rPr>
          <w:rFonts w:eastAsiaTheme="minorEastAsia"/>
          <w:b/>
          <w:kern w:val="0"/>
          <w:szCs w:val="21"/>
        </w:rPr>
        <w:t>GB16297-1996</w:t>
      </w:r>
      <w:r w:rsidRPr="00FC1444">
        <w:rPr>
          <w:rFonts w:eastAsiaTheme="minorEastAsia"/>
          <w:b/>
          <w:kern w:val="0"/>
          <w:szCs w:val="21"/>
        </w:rPr>
        <w:t>）表</w:t>
      </w:r>
      <w:r w:rsidRPr="00FC1444">
        <w:rPr>
          <w:rFonts w:eastAsiaTheme="minorEastAsia"/>
          <w:b/>
          <w:kern w:val="0"/>
          <w:szCs w:val="21"/>
        </w:rPr>
        <w:t>2</w:t>
      </w:r>
      <w:r w:rsidRPr="00FC1444">
        <w:rPr>
          <w:rFonts w:eastAsiaTheme="minorEastAsia"/>
          <w:b/>
          <w:kern w:val="0"/>
          <w:szCs w:val="21"/>
        </w:rPr>
        <w:t>要求</w:t>
      </w:r>
    </w:p>
    <w:tbl>
      <w:tblPr>
        <w:tblW w:w="4997" w:type="pct"/>
        <w:jc w:val="center"/>
        <w:tblBorders>
          <w:top w:val="single" w:sz="12" w:space="0" w:color="auto"/>
          <w:bottom w:val="single" w:sz="12" w:space="0" w:color="auto"/>
          <w:insideH w:val="single" w:sz="4" w:space="0" w:color="auto"/>
          <w:insideV w:val="single" w:sz="4" w:space="0" w:color="auto"/>
        </w:tblBorders>
        <w:tblLook w:val="04A0"/>
      </w:tblPr>
      <w:tblGrid>
        <w:gridCol w:w="2941"/>
        <w:gridCol w:w="1276"/>
        <w:gridCol w:w="806"/>
        <w:gridCol w:w="1320"/>
        <w:gridCol w:w="2174"/>
      </w:tblGrid>
      <w:tr w:rsidR="002A5A5E" w:rsidRPr="00FC1444">
        <w:trPr>
          <w:cantSplit/>
          <w:trHeight w:val="280"/>
          <w:jc w:val="center"/>
        </w:trPr>
        <w:tc>
          <w:tcPr>
            <w:tcW w:w="1727" w:type="pct"/>
            <w:vAlign w:val="center"/>
          </w:tcPr>
          <w:p w:rsidR="002A5A5E" w:rsidRPr="00FC1444" w:rsidRDefault="00611CBA">
            <w:pPr>
              <w:widowControl/>
              <w:spacing w:line="0" w:lineRule="atLeast"/>
              <w:jc w:val="center"/>
              <w:rPr>
                <w:bCs/>
                <w:kern w:val="0"/>
                <w:szCs w:val="21"/>
              </w:rPr>
            </w:pPr>
            <w:r w:rsidRPr="00FC1444">
              <w:rPr>
                <w:bCs/>
                <w:kern w:val="0"/>
                <w:szCs w:val="21"/>
              </w:rPr>
              <w:t>标准名称</w:t>
            </w:r>
          </w:p>
        </w:tc>
        <w:tc>
          <w:tcPr>
            <w:tcW w:w="749" w:type="pct"/>
            <w:vAlign w:val="center"/>
          </w:tcPr>
          <w:p w:rsidR="002A5A5E" w:rsidRPr="00FC1444" w:rsidRDefault="00611CBA">
            <w:pPr>
              <w:widowControl/>
              <w:spacing w:line="0" w:lineRule="atLeast"/>
              <w:jc w:val="center"/>
              <w:rPr>
                <w:bCs/>
                <w:kern w:val="0"/>
                <w:szCs w:val="21"/>
              </w:rPr>
            </w:pPr>
            <w:r w:rsidRPr="00FC1444">
              <w:rPr>
                <w:bCs/>
                <w:kern w:val="0"/>
                <w:szCs w:val="21"/>
              </w:rPr>
              <w:t>监测项目</w:t>
            </w:r>
          </w:p>
        </w:tc>
        <w:tc>
          <w:tcPr>
            <w:tcW w:w="1248" w:type="pct"/>
            <w:gridSpan w:val="2"/>
            <w:vAlign w:val="center"/>
          </w:tcPr>
          <w:p w:rsidR="002A5A5E" w:rsidRPr="00FC1444" w:rsidRDefault="00611CBA">
            <w:pPr>
              <w:widowControl/>
              <w:spacing w:line="0" w:lineRule="atLeast"/>
              <w:jc w:val="center"/>
              <w:rPr>
                <w:bCs/>
                <w:kern w:val="0"/>
                <w:szCs w:val="21"/>
              </w:rPr>
            </w:pPr>
            <w:r w:rsidRPr="00FC1444">
              <w:rPr>
                <w:bCs/>
                <w:kern w:val="0"/>
                <w:szCs w:val="21"/>
              </w:rPr>
              <w:t>污染物</w:t>
            </w:r>
          </w:p>
        </w:tc>
        <w:tc>
          <w:tcPr>
            <w:tcW w:w="1276" w:type="pct"/>
            <w:vAlign w:val="center"/>
          </w:tcPr>
          <w:p w:rsidR="002A5A5E" w:rsidRPr="00FC1444" w:rsidRDefault="00611CBA">
            <w:pPr>
              <w:widowControl/>
              <w:spacing w:line="0" w:lineRule="atLeast"/>
              <w:jc w:val="center"/>
              <w:rPr>
                <w:bCs/>
                <w:kern w:val="0"/>
                <w:szCs w:val="21"/>
              </w:rPr>
            </w:pPr>
            <w:r w:rsidRPr="00FC1444">
              <w:rPr>
                <w:bCs/>
                <w:kern w:val="0"/>
                <w:szCs w:val="21"/>
              </w:rPr>
              <w:t>数值</w:t>
            </w:r>
          </w:p>
        </w:tc>
      </w:tr>
      <w:tr w:rsidR="002A5A5E" w:rsidRPr="00FC1444">
        <w:trPr>
          <w:cantSplit/>
          <w:trHeight w:val="920"/>
          <w:jc w:val="center"/>
        </w:trPr>
        <w:tc>
          <w:tcPr>
            <w:tcW w:w="1727" w:type="pct"/>
            <w:vAlign w:val="center"/>
          </w:tcPr>
          <w:p w:rsidR="002A5A5E" w:rsidRPr="00FC1444" w:rsidRDefault="00611CBA">
            <w:pPr>
              <w:widowControl/>
              <w:spacing w:line="0" w:lineRule="atLeast"/>
              <w:jc w:val="center"/>
              <w:rPr>
                <w:kern w:val="0"/>
                <w:szCs w:val="21"/>
              </w:rPr>
            </w:pPr>
            <w:r w:rsidRPr="00FC1444">
              <w:rPr>
                <w:kern w:val="0"/>
                <w:szCs w:val="21"/>
              </w:rPr>
              <w:t>《大气污染物综合排放标准》（</w:t>
            </w:r>
            <w:r w:rsidRPr="00FC1444">
              <w:rPr>
                <w:kern w:val="0"/>
                <w:szCs w:val="21"/>
              </w:rPr>
              <w:t>GB16297-1996</w:t>
            </w:r>
            <w:r w:rsidRPr="00FC1444">
              <w:rPr>
                <w:kern w:val="0"/>
                <w:szCs w:val="21"/>
              </w:rPr>
              <w:t>）中表</w:t>
            </w:r>
            <w:r w:rsidRPr="00FC1444">
              <w:rPr>
                <w:kern w:val="0"/>
                <w:szCs w:val="21"/>
              </w:rPr>
              <w:t>2</w:t>
            </w:r>
          </w:p>
        </w:tc>
        <w:tc>
          <w:tcPr>
            <w:tcW w:w="749" w:type="pct"/>
            <w:vAlign w:val="center"/>
          </w:tcPr>
          <w:p w:rsidR="002A5A5E" w:rsidRPr="00FC1444" w:rsidRDefault="00611CBA">
            <w:pPr>
              <w:widowControl/>
              <w:spacing w:line="0" w:lineRule="atLeast"/>
              <w:jc w:val="center"/>
              <w:rPr>
                <w:kern w:val="0"/>
                <w:szCs w:val="21"/>
              </w:rPr>
            </w:pPr>
            <w:r w:rsidRPr="00FC1444">
              <w:rPr>
                <w:kern w:val="0"/>
                <w:szCs w:val="21"/>
              </w:rPr>
              <w:t>周界外浓度最高点</w:t>
            </w:r>
          </w:p>
        </w:tc>
        <w:tc>
          <w:tcPr>
            <w:tcW w:w="473" w:type="pct"/>
            <w:vAlign w:val="center"/>
          </w:tcPr>
          <w:p w:rsidR="002A5A5E" w:rsidRPr="00FC1444" w:rsidRDefault="00611CBA">
            <w:pPr>
              <w:widowControl/>
              <w:spacing w:line="0" w:lineRule="atLeast"/>
              <w:jc w:val="center"/>
              <w:rPr>
                <w:kern w:val="0"/>
                <w:szCs w:val="21"/>
              </w:rPr>
            </w:pPr>
            <w:r w:rsidRPr="00FC1444">
              <w:rPr>
                <w:kern w:val="0"/>
                <w:szCs w:val="21"/>
              </w:rPr>
              <w:t>颗粒物</w:t>
            </w:r>
          </w:p>
        </w:tc>
        <w:tc>
          <w:tcPr>
            <w:tcW w:w="775" w:type="pct"/>
            <w:vAlign w:val="center"/>
          </w:tcPr>
          <w:p w:rsidR="002A5A5E" w:rsidRPr="00FC1444" w:rsidRDefault="00611CBA">
            <w:pPr>
              <w:spacing w:line="0" w:lineRule="atLeast"/>
              <w:jc w:val="center"/>
              <w:rPr>
                <w:kern w:val="0"/>
                <w:szCs w:val="21"/>
              </w:rPr>
            </w:pPr>
            <w:r w:rsidRPr="00FC1444">
              <w:rPr>
                <w:kern w:val="0"/>
                <w:szCs w:val="21"/>
              </w:rPr>
              <w:t>排放浓度限值</w:t>
            </w:r>
          </w:p>
        </w:tc>
        <w:tc>
          <w:tcPr>
            <w:tcW w:w="1276" w:type="pct"/>
            <w:vAlign w:val="center"/>
          </w:tcPr>
          <w:p w:rsidR="002A5A5E" w:rsidRPr="00FC1444" w:rsidRDefault="00611CBA">
            <w:pPr>
              <w:spacing w:line="0" w:lineRule="atLeast"/>
              <w:jc w:val="center"/>
              <w:rPr>
                <w:kern w:val="0"/>
                <w:szCs w:val="21"/>
              </w:rPr>
            </w:pPr>
            <w:r w:rsidRPr="00FC1444">
              <w:rPr>
                <w:kern w:val="0"/>
                <w:szCs w:val="21"/>
              </w:rPr>
              <w:t>1.0mg/m</w:t>
            </w:r>
            <w:r w:rsidRPr="00FC1444">
              <w:rPr>
                <w:kern w:val="0"/>
                <w:szCs w:val="21"/>
                <w:vertAlign w:val="superscript"/>
              </w:rPr>
              <w:t>3</w:t>
            </w:r>
          </w:p>
        </w:tc>
      </w:tr>
    </w:tbl>
    <w:p w:rsidR="002A5A5E" w:rsidRPr="00FC1444" w:rsidRDefault="00611CBA">
      <w:pPr>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2-5-6</w:t>
      </w:r>
      <w:r w:rsidRPr="00FC1444">
        <w:rPr>
          <w:rFonts w:eastAsiaTheme="minorEastAsia"/>
          <w:b/>
          <w:kern w:val="0"/>
          <w:szCs w:val="21"/>
        </w:rPr>
        <w:t>恶臭污染物排放标准</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1067"/>
        <w:gridCol w:w="3272"/>
        <w:gridCol w:w="1410"/>
        <w:gridCol w:w="1124"/>
        <w:gridCol w:w="1428"/>
      </w:tblGrid>
      <w:tr w:rsidR="002A5A5E" w:rsidRPr="00FC1444">
        <w:trPr>
          <w:trHeight w:val="340"/>
        </w:trPr>
        <w:tc>
          <w:tcPr>
            <w:tcW w:w="643" w:type="pct"/>
            <w:vMerge w:val="restart"/>
            <w:tcBorders>
              <w:tl2br w:val="nil"/>
              <w:tr2bl w:val="nil"/>
            </w:tcBorders>
            <w:vAlign w:val="center"/>
          </w:tcPr>
          <w:p w:rsidR="002A5A5E" w:rsidRPr="00FC1444" w:rsidRDefault="00611CBA">
            <w:pPr>
              <w:jc w:val="center"/>
            </w:pPr>
            <w:r w:rsidRPr="00FC1444">
              <w:rPr>
                <w:spacing w:val="7"/>
              </w:rPr>
              <w:t>排放方式</w:t>
            </w:r>
          </w:p>
        </w:tc>
        <w:tc>
          <w:tcPr>
            <w:tcW w:w="1971" w:type="pct"/>
            <w:vMerge w:val="restart"/>
            <w:tcBorders>
              <w:tl2br w:val="nil"/>
              <w:tr2bl w:val="nil"/>
            </w:tcBorders>
            <w:vAlign w:val="center"/>
          </w:tcPr>
          <w:p w:rsidR="002A5A5E" w:rsidRPr="00FC1444" w:rsidRDefault="00611CBA">
            <w:pPr>
              <w:jc w:val="center"/>
            </w:pPr>
            <w:r w:rsidRPr="00FC1444">
              <w:rPr>
                <w:spacing w:val="7"/>
              </w:rPr>
              <w:t>执行标准</w:t>
            </w:r>
          </w:p>
        </w:tc>
        <w:tc>
          <w:tcPr>
            <w:tcW w:w="849" w:type="pct"/>
            <w:vMerge w:val="restart"/>
            <w:tcBorders>
              <w:tl2br w:val="nil"/>
              <w:tr2bl w:val="nil"/>
            </w:tcBorders>
            <w:vAlign w:val="center"/>
          </w:tcPr>
          <w:p w:rsidR="002A5A5E" w:rsidRPr="00FC1444" w:rsidRDefault="00611CBA">
            <w:pPr>
              <w:jc w:val="center"/>
            </w:pPr>
            <w:r w:rsidRPr="00FC1444">
              <w:rPr>
                <w:spacing w:val="7"/>
              </w:rPr>
              <w:t>污染物名称</w:t>
            </w:r>
          </w:p>
        </w:tc>
        <w:tc>
          <w:tcPr>
            <w:tcW w:w="1537" w:type="pct"/>
            <w:gridSpan w:val="2"/>
            <w:tcBorders>
              <w:tl2br w:val="nil"/>
              <w:tr2bl w:val="nil"/>
            </w:tcBorders>
            <w:vAlign w:val="center"/>
          </w:tcPr>
          <w:p w:rsidR="002A5A5E" w:rsidRPr="00FC1444" w:rsidRDefault="00611CBA">
            <w:pPr>
              <w:jc w:val="center"/>
            </w:pPr>
            <w:r w:rsidRPr="00FC1444">
              <w:rPr>
                <w:spacing w:val="9"/>
              </w:rPr>
              <w:t>无组织排放监控浓度限值</w:t>
            </w:r>
          </w:p>
        </w:tc>
      </w:tr>
      <w:tr w:rsidR="002A5A5E" w:rsidRPr="00FC1444">
        <w:trPr>
          <w:trHeight w:val="340"/>
        </w:trPr>
        <w:tc>
          <w:tcPr>
            <w:tcW w:w="643" w:type="pct"/>
            <w:vMerge/>
            <w:tcBorders>
              <w:tl2br w:val="nil"/>
              <w:tr2bl w:val="nil"/>
            </w:tcBorders>
            <w:vAlign w:val="center"/>
          </w:tcPr>
          <w:p w:rsidR="002A5A5E" w:rsidRPr="00FC1444" w:rsidRDefault="002A5A5E">
            <w:pPr>
              <w:jc w:val="center"/>
            </w:pPr>
          </w:p>
        </w:tc>
        <w:tc>
          <w:tcPr>
            <w:tcW w:w="1971" w:type="pct"/>
            <w:vMerge/>
            <w:tcBorders>
              <w:tl2br w:val="nil"/>
              <w:tr2bl w:val="nil"/>
            </w:tcBorders>
            <w:vAlign w:val="center"/>
          </w:tcPr>
          <w:p w:rsidR="002A5A5E" w:rsidRPr="00FC1444" w:rsidRDefault="002A5A5E">
            <w:pPr>
              <w:jc w:val="center"/>
            </w:pPr>
          </w:p>
        </w:tc>
        <w:tc>
          <w:tcPr>
            <w:tcW w:w="849" w:type="pct"/>
            <w:vMerge/>
            <w:tcBorders>
              <w:tl2br w:val="nil"/>
              <w:tr2bl w:val="nil"/>
            </w:tcBorders>
            <w:vAlign w:val="center"/>
          </w:tcPr>
          <w:p w:rsidR="002A5A5E" w:rsidRPr="00FC1444" w:rsidRDefault="002A5A5E">
            <w:pPr>
              <w:jc w:val="center"/>
            </w:pPr>
          </w:p>
        </w:tc>
        <w:tc>
          <w:tcPr>
            <w:tcW w:w="677" w:type="pct"/>
            <w:tcBorders>
              <w:tl2br w:val="nil"/>
              <w:tr2bl w:val="nil"/>
            </w:tcBorders>
            <w:vAlign w:val="center"/>
          </w:tcPr>
          <w:p w:rsidR="002A5A5E" w:rsidRPr="00FC1444" w:rsidRDefault="00611CBA">
            <w:pPr>
              <w:jc w:val="center"/>
            </w:pPr>
            <w:r w:rsidRPr="00FC1444">
              <w:rPr>
                <w:spacing w:val="6"/>
              </w:rPr>
              <w:t>监控点</w:t>
            </w:r>
          </w:p>
        </w:tc>
        <w:tc>
          <w:tcPr>
            <w:tcW w:w="860" w:type="pct"/>
            <w:tcBorders>
              <w:tl2br w:val="nil"/>
              <w:tr2bl w:val="nil"/>
            </w:tcBorders>
            <w:vAlign w:val="center"/>
          </w:tcPr>
          <w:p w:rsidR="002A5A5E" w:rsidRPr="00FC1444" w:rsidRDefault="00611CBA">
            <w:pPr>
              <w:pStyle w:val="TableText"/>
              <w:jc w:val="center"/>
              <w:rPr>
                <w:color w:val="auto"/>
                <w:sz w:val="21"/>
                <w:szCs w:val="21"/>
              </w:rPr>
            </w:pPr>
            <w:r w:rsidRPr="00FC1444">
              <w:rPr>
                <w:rFonts w:eastAsia="宋体"/>
                <w:color w:val="auto"/>
                <w:spacing w:val="6"/>
                <w:sz w:val="21"/>
                <w:szCs w:val="21"/>
              </w:rPr>
              <w:t>浓度</w:t>
            </w:r>
          </w:p>
        </w:tc>
      </w:tr>
      <w:tr w:rsidR="002A5A5E" w:rsidRPr="00FC1444">
        <w:trPr>
          <w:trHeight w:val="710"/>
        </w:trPr>
        <w:tc>
          <w:tcPr>
            <w:tcW w:w="643" w:type="pct"/>
            <w:tcBorders>
              <w:tl2br w:val="nil"/>
              <w:tr2bl w:val="nil"/>
            </w:tcBorders>
            <w:vAlign w:val="center"/>
          </w:tcPr>
          <w:p w:rsidR="002A5A5E" w:rsidRPr="00FC1444" w:rsidRDefault="00611CBA">
            <w:pPr>
              <w:jc w:val="center"/>
            </w:pPr>
            <w:r w:rsidRPr="00FC1444">
              <w:t>无组织</w:t>
            </w:r>
          </w:p>
        </w:tc>
        <w:tc>
          <w:tcPr>
            <w:tcW w:w="1971" w:type="pct"/>
            <w:tcBorders>
              <w:tl2br w:val="nil"/>
              <w:tr2bl w:val="nil"/>
            </w:tcBorders>
            <w:vAlign w:val="center"/>
          </w:tcPr>
          <w:p w:rsidR="002A5A5E" w:rsidRPr="00FC1444" w:rsidRDefault="00611CBA">
            <w:pPr>
              <w:jc w:val="center"/>
            </w:pPr>
            <w:r w:rsidRPr="00FC1444">
              <w:rPr>
                <w:spacing w:val="7"/>
              </w:rPr>
              <w:t>《恶臭污染物排放标准》</w:t>
            </w:r>
          </w:p>
          <w:p w:rsidR="002A5A5E" w:rsidRPr="00FC1444" w:rsidRDefault="00611CBA">
            <w:pPr>
              <w:pStyle w:val="TableText"/>
              <w:jc w:val="center"/>
              <w:rPr>
                <w:rFonts w:eastAsia="宋体"/>
                <w:color w:val="auto"/>
                <w:sz w:val="21"/>
                <w:szCs w:val="21"/>
              </w:rPr>
            </w:pPr>
            <w:r w:rsidRPr="00FC1444">
              <w:rPr>
                <w:rFonts w:eastAsia="宋体"/>
                <w:color w:val="auto"/>
                <w:spacing w:val="4"/>
                <w:sz w:val="21"/>
                <w:szCs w:val="21"/>
              </w:rPr>
              <w:t>（</w:t>
            </w:r>
            <w:r w:rsidRPr="00FC1444">
              <w:rPr>
                <w:color w:val="auto"/>
                <w:sz w:val="21"/>
                <w:szCs w:val="21"/>
              </w:rPr>
              <w:t>GB</w:t>
            </w:r>
            <w:r w:rsidRPr="00FC1444">
              <w:rPr>
                <w:color w:val="auto"/>
                <w:spacing w:val="4"/>
                <w:sz w:val="21"/>
                <w:szCs w:val="21"/>
              </w:rPr>
              <w:t>14554-93</w:t>
            </w:r>
            <w:r w:rsidRPr="00FC1444">
              <w:rPr>
                <w:rFonts w:eastAsia="宋体"/>
                <w:color w:val="auto"/>
                <w:spacing w:val="4"/>
                <w:sz w:val="21"/>
                <w:szCs w:val="21"/>
              </w:rPr>
              <w:t>）表</w:t>
            </w:r>
            <w:r w:rsidRPr="00FC1444">
              <w:rPr>
                <w:color w:val="auto"/>
                <w:spacing w:val="4"/>
                <w:sz w:val="21"/>
                <w:szCs w:val="21"/>
              </w:rPr>
              <w:t xml:space="preserve">1 </w:t>
            </w:r>
            <w:r w:rsidRPr="00FC1444">
              <w:rPr>
                <w:rFonts w:eastAsia="宋体"/>
                <w:color w:val="auto"/>
                <w:spacing w:val="4"/>
                <w:sz w:val="21"/>
                <w:szCs w:val="21"/>
              </w:rPr>
              <w:t>二级标准</w:t>
            </w:r>
          </w:p>
        </w:tc>
        <w:tc>
          <w:tcPr>
            <w:tcW w:w="849" w:type="pct"/>
            <w:tcBorders>
              <w:tl2br w:val="nil"/>
              <w:tr2bl w:val="nil"/>
            </w:tcBorders>
            <w:vAlign w:val="center"/>
          </w:tcPr>
          <w:p w:rsidR="002A5A5E" w:rsidRPr="00FC1444" w:rsidRDefault="00611CBA">
            <w:pPr>
              <w:jc w:val="center"/>
            </w:pPr>
            <w:r w:rsidRPr="00FC1444">
              <w:t>臭气浓度</w:t>
            </w:r>
          </w:p>
        </w:tc>
        <w:tc>
          <w:tcPr>
            <w:tcW w:w="677" w:type="pct"/>
            <w:tcBorders>
              <w:tl2br w:val="nil"/>
              <w:tr2bl w:val="nil"/>
            </w:tcBorders>
            <w:vAlign w:val="center"/>
          </w:tcPr>
          <w:p w:rsidR="002A5A5E" w:rsidRPr="00FC1444" w:rsidRDefault="00611CBA">
            <w:pPr>
              <w:pStyle w:val="TableText"/>
              <w:jc w:val="center"/>
              <w:rPr>
                <w:color w:val="auto"/>
                <w:sz w:val="21"/>
                <w:szCs w:val="21"/>
              </w:rPr>
            </w:pPr>
            <w:r w:rsidRPr="00FC1444">
              <w:rPr>
                <w:color w:val="auto"/>
                <w:spacing w:val="2"/>
                <w:sz w:val="21"/>
                <w:szCs w:val="21"/>
              </w:rPr>
              <w:t>/</w:t>
            </w:r>
          </w:p>
        </w:tc>
        <w:tc>
          <w:tcPr>
            <w:tcW w:w="860" w:type="pct"/>
            <w:tcBorders>
              <w:tl2br w:val="nil"/>
              <w:tr2bl w:val="nil"/>
            </w:tcBorders>
            <w:vAlign w:val="center"/>
          </w:tcPr>
          <w:p w:rsidR="002A5A5E" w:rsidRPr="00FC1444" w:rsidRDefault="00611CBA">
            <w:pPr>
              <w:pStyle w:val="TableText"/>
              <w:jc w:val="center"/>
              <w:rPr>
                <w:rFonts w:eastAsiaTheme="minorEastAsia"/>
                <w:color w:val="auto"/>
                <w:sz w:val="21"/>
                <w:szCs w:val="21"/>
                <w:lang w:eastAsia="zh-CN"/>
              </w:rPr>
            </w:pPr>
            <w:r w:rsidRPr="00FC1444">
              <w:rPr>
                <w:rFonts w:eastAsiaTheme="minorEastAsia"/>
                <w:color w:val="auto"/>
                <w:sz w:val="21"/>
                <w:szCs w:val="21"/>
                <w:lang w:eastAsia="zh-CN"/>
              </w:rPr>
              <w:t>20</w:t>
            </w:r>
            <w:r w:rsidRPr="00FC1444">
              <w:rPr>
                <w:rFonts w:eastAsiaTheme="minorEastAsia"/>
                <w:color w:val="auto"/>
                <w:sz w:val="21"/>
                <w:szCs w:val="21"/>
                <w:lang w:eastAsia="zh-CN"/>
              </w:rPr>
              <w:t>（无量纲）</w:t>
            </w:r>
          </w:p>
        </w:tc>
      </w:tr>
    </w:tbl>
    <w:p w:rsidR="002A5A5E" w:rsidRPr="00FC1444" w:rsidRDefault="00611CBA">
      <w:pPr>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 xml:space="preserve">2-5-7 </w:t>
      </w:r>
      <w:r w:rsidRPr="00FC1444">
        <w:rPr>
          <w:rFonts w:eastAsiaTheme="minorEastAsia"/>
          <w:b/>
          <w:kern w:val="0"/>
          <w:szCs w:val="21"/>
        </w:rPr>
        <w:t>发电机大气污染物排放标准</w:t>
      </w:r>
    </w:p>
    <w:tbl>
      <w:tblPr>
        <w:tblW w:w="872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69"/>
        <w:gridCol w:w="836"/>
        <w:gridCol w:w="1446"/>
        <w:gridCol w:w="1008"/>
        <w:gridCol w:w="1177"/>
        <w:gridCol w:w="1190"/>
        <w:gridCol w:w="2395"/>
      </w:tblGrid>
      <w:tr w:rsidR="002A5A5E" w:rsidRPr="00FC1444">
        <w:trPr>
          <w:cantSplit/>
          <w:trHeight w:val="173"/>
          <w:jc w:val="center"/>
        </w:trPr>
        <w:tc>
          <w:tcPr>
            <w:tcW w:w="669"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污染源</w:t>
            </w:r>
          </w:p>
        </w:tc>
        <w:tc>
          <w:tcPr>
            <w:tcW w:w="836"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标准</w:t>
            </w:r>
          </w:p>
          <w:p w:rsidR="002A5A5E" w:rsidRPr="00FC1444" w:rsidRDefault="00611CBA">
            <w:pPr>
              <w:adjustRightInd w:val="0"/>
              <w:snapToGrid w:val="0"/>
              <w:jc w:val="center"/>
              <w:rPr>
                <w:rFonts w:eastAsiaTheme="minorEastAsia"/>
                <w:szCs w:val="21"/>
              </w:rPr>
            </w:pPr>
            <w:r w:rsidRPr="00FC1444">
              <w:rPr>
                <w:rFonts w:eastAsiaTheme="minorEastAsia"/>
                <w:szCs w:val="21"/>
              </w:rPr>
              <w:t>级别</w:t>
            </w:r>
          </w:p>
        </w:tc>
        <w:tc>
          <w:tcPr>
            <w:tcW w:w="4821" w:type="dxa"/>
            <w:gridSpan w:val="4"/>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标准限值</w:t>
            </w:r>
          </w:p>
        </w:tc>
        <w:tc>
          <w:tcPr>
            <w:tcW w:w="2395"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标准来源</w:t>
            </w:r>
          </w:p>
        </w:tc>
      </w:tr>
      <w:tr w:rsidR="002A5A5E" w:rsidRPr="00FC1444">
        <w:trPr>
          <w:cantSplit/>
          <w:trHeight w:val="267"/>
          <w:jc w:val="center"/>
        </w:trPr>
        <w:tc>
          <w:tcPr>
            <w:tcW w:w="1505" w:type="dxa"/>
            <w:gridSpan w:val="2"/>
            <w:vMerge w:val="restart"/>
            <w:tcBorders>
              <w:tl2br w:val="nil"/>
              <w:tr2bl w:val="nil"/>
            </w:tcBorders>
            <w:vAlign w:val="center"/>
          </w:tcPr>
          <w:p w:rsidR="002A5A5E" w:rsidRPr="00FC1444" w:rsidRDefault="00611CBA">
            <w:pPr>
              <w:adjustRightInd w:val="0"/>
              <w:snapToGrid w:val="0"/>
              <w:jc w:val="center"/>
              <w:rPr>
                <w:rFonts w:eastAsiaTheme="minorEastAsia"/>
              </w:rPr>
            </w:pPr>
            <w:r w:rsidRPr="00FC1444">
              <w:rPr>
                <w:rFonts w:eastAsiaTheme="minorEastAsia"/>
                <w:szCs w:val="21"/>
              </w:rPr>
              <w:t>移动式发电机废气（</w:t>
            </w:r>
            <w:r w:rsidRPr="00FC1444">
              <w:rPr>
                <w:rFonts w:eastAsiaTheme="minorEastAsia"/>
                <w:szCs w:val="21"/>
              </w:rPr>
              <w:t>130</w:t>
            </w:r>
            <w:r w:rsidRPr="00FC1444">
              <w:rPr>
                <w:rFonts w:eastAsiaTheme="minorEastAsia"/>
                <w:szCs w:val="21"/>
              </w:rPr>
              <w:t>＜</w:t>
            </w:r>
            <w:r w:rsidRPr="00FC1444">
              <w:rPr>
                <w:rFonts w:eastAsiaTheme="minorEastAsia"/>
                <w:szCs w:val="21"/>
              </w:rPr>
              <w:t>Pmax</w:t>
            </w:r>
            <w:r w:rsidRPr="00FC1444">
              <w:rPr>
                <w:rFonts w:eastAsiaTheme="minorEastAsia"/>
                <w:szCs w:val="21"/>
              </w:rPr>
              <w:t>＜</w:t>
            </w:r>
            <w:r w:rsidRPr="00FC1444">
              <w:rPr>
                <w:rFonts w:eastAsiaTheme="minorEastAsia"/>
                <w:szCs w:val="21"/>
              </w:rPr>
              <w:t>560kW</w:t>
            </w:r>
            <w:r w:rsidRPr="00FC1444">
              <w:rPr>
                <w:rFonts w:eastAsiaTheme="minorEastAsia"/>
                <w:szCs w:val="21"/>
              </w:rPr>
              <w:t>）</w:t>
            </w:r>
          </w:p>
        </w:tc>
        <w:tc>
          <w:tcPr>
            <w:tcW w:w="1446" w:type="dxa"/>
            <w:tcBorders>
              <w:tl2br w:val="nil"/>
              <w:tr2bl w:val="nil"/>
            </w:tcBorders>
            <w:vAlign w:val="center"/>
          </w:tcPr>
          <w:p w:rsidR="002A5A5E" w:rsidRPr="00FC1444" w:rsidRDefault="00611CBA">
            <w:pPr>
              <w:widowControl/>
              <w:jc w:val="center"/>
              <w:rPr>
                <w:rFonts w:eastAsiaTheme="minorEastAsia"/>
              </w:rPr>
            </w:pPr>
            <w:r w:rsidRPr="00FC1444">
              <w:rPr>
                <w:rFonts w:eastAsiaTheme="minorEastAsia"/>
                <w:szCs w:val="21"/>
              </w:rPr>
              <w:t>污染物</w:t>
            </w:r>
          </w:p>
        </w:tc>
        <w:tc>
          <w:tcPr>
            <w:tcW w:w="100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CO</w:t>
            </w:r>
          </w:p>
        </w:tc>
        <w:tc>
          <w:tcPr>
            <w:tcW w:w="1177"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HC+NO</w:t>
            </w:r>
            <w:r w:rsidRPr="00FC1444">
              <w:rPr>
                <w:rFonts w:eastAsiaTheme="minorEastAsia"/>
                <w:szCs w:val="21"/>
                <w:vertAlign w:val="subscript"/>
              </w:rPr>
              <w:t>x</w:t>
            </w:r>
          </w:p>
        </w:tc>
        <w:tc>
          <w:tcPr>
            <w:tcW w:w="1190"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PM</w:t>
            </w:r>
          </w:p>
        </w:tc>
        <w:tc>
          <w:tcPr>
            <w:tcW w:w="2395" w:type="dxa"/>
            <w:vMerge w:val="restart"/>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GB20891-2014</w:t>
            </w:r>
            <w:r w:rsidRPr="00FC1444">
              <w:rPr>
                <w:rFonts w:eastAsiaTheme="minorEastAsia"/>
                <w:szCs w:val="21"/>
              </w:rPr>
              <w:t>《非道路移动机械用柴油机排气污染物排放限值及测量方法（中国三、四阶段）》中第四阶段（</w:t>
            </w:r>
            <w:r w:rsidRPr="00FC1444">
              <w:rPr>
                <w:rFonts w:eastAsiaTheme="minorEastAsia"/>
                <w:szCs w:val="21"/>
              </w:rPr>
              <w:t>130</w:t>
            </w:r>
            <w:r w:rsidRPr="00FC1444">
              <w:rPr>
                <w:rFonts w:eastAsiaTheme="minorEastAsia"/>
                <w:szCs w:val="21"/>
              </w:rPr>
              <w:t>＜额定功率＜</w:t>
            </w:r>
            <w:r w:rsidRPr="00FC1444">
              <w:rPr>
                <w:rFonts w:eastAsiaTheme="minorEastAsia"/>
                <w:szCs w:val="21"/>
              </w:rPr>
              <w:t>560kW</w:t>
            </w:r>
            <w:r w:rsidRPr="00FC1444">
              <w:rPr>
                <w:rFonts w:eastAsiaTheme="minorEastAsia"/>
                <w:szCs w:val="21"/>
              </w:rPr>
              <w:t>）</w:t>
            </w:r>
          </w:p>
        </w:tc>
      </w:tr>
      <w:tr w:rsidR="002A5A5E" w:rsidRPr="00FC1444">
        <w:trPr>
          <w:cantSplit/>
          <w:trHeight w:val="267"/>
          <w:jc w:val="center"/>
        </w:trPr>
        <w:tc>
          <w:tcPr>
            <w:tcW w:w="1505" w:type="dxa"/>
            <w:gridSpan w:val="2"/>
            <w:vMerge/>
            <w:tcBorders>
              <w:tl2br w:val="nil"/>
              <w:tr2bl w:val="nil"/>
            </w:tcBorders>
            <w:vAlign w:val="center"/>
          </w:tcPr>
          <w:p w:rsidR="002A5A5E" w:rsidRPr="00FC1444" w:rsidRDefault="002A5A5E">
            <w:pPr>
              <w:adjustRightInd w:val="0"/>
              <w:snapToGrid w:val="0"/>
              <w:jc w:val="center"/>
              <w:rPr>
                <w:rFonts w:eastAsiaTheme="minorEastAsia"/>
              </w:rPr>
            </w:pPr>
          </w:p>
        </w:tc>
        <w:tc>
          <w:tcPr>
            <w:tcW w:w="1446" w:type="dxa"/>
            <w:tcBorders>
              <w:tl2br w:val="nil"/>
              <w:tr2bl w:val="nil"/>
            </w:tcBorders>
            <w:vAlign w:val="center"/>
          </w:tcPr>
          <w:p w:rsidR="002A5A5E" w:rsidRPr="00FC1444" w:rsidRDefault="00611CBA">
            <w:pPr>
              <w:widowControl/>
              <w:jc w:val="center"/>
              <w:rPr>
                <w:rFonts w:eastAsiaTheme="minorEastAsia"/>
              </w:rPr>
            </w:pPr>
            <w:r w:rsidRPr="00FC1444">
              <w:rPr>
                <w:rFonts w:eastAsiaTheme="minorEastAsia"/>
                <w:szCs w:val="21"/>
              </w:rPr>
              <w:t>排放浓度（</w:t>
            </w:r>
            <w:r w:rsidRPr="00FC1444">
              <w:rPr>
                <w:rFonts w:eastAsiaTheme="minorEastAsia"/>
                <w:szCs w:val="21"/>
              </w:rPr>
              <w:t>g/kWh</w:t>
            </w:r>
            <w:r w:rsidRPr="00FC1444">
              <w:rPr>
                <w:rFonts w:eastAsiaTheme="minorEastAsia"/>
                <w:szCs w:val="21"/>
              </w:rPr>
              <w:t>）</w:t>
            </w:r>
          </w:p>
        </w:tc>
        <w:tc>
          <w:tcPr>
            <w:tcW w:w="100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3.5</w:t>
            </w:r>
          </w:p>
        </w:tc>
        <w:tc>
          <w:tcPr>
            <w:tcW w:w="1177"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4.0</w:t>
            </w:r>
          </w:p>
        </w:tc>
        <w:tc>
          <w:tcPr>
            <w:tcW w:w="1190"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0.2</w:t>
            </w:r>
          </w:p>
        </w:tc>
        <w:tc>
          <w:tcPr>
            <w:tcW w:w="2395" w:type="dxa"/>
            <w:vMerge/>
            <w:tcBorders>
              <w:tl2br w:val="nil"/>
              <w:tr2bl w:val="nil"/>
            </w:tcBorders>
            <w:vAlign w:val="center"/>
          </w:tcPr>
          <w:p w:rsidR="002A5A5E" w:rsidRPr="00FC1444" w:rsidRDefault="002A5A5E">
            <w:pPr>
              <w:adjustRightInd w:val="0"/>
              <w:snapToGrid w:val="0"/>
              <w:jc w:val="center"/>
              <w:rPr>
                <w:rFonts w:eastAsiaTheme="minorEastAsia"/>
                <w:szCs w:val="21"/>
              </w:rPr>
            </w:pPr>
          </w:p>
        </w:tc>
      </w:tr>
    </w:tbl>
    <w:p w:rsidR="002A5A5E" w:rsidRPr="00FC1444" w:rsidRDefault="00611CBA">
      <w:pPr>
        <w:spacing w:line="360" w:lineRule="auto"/>
        <w:ind w:firstLineChars="200" w:firstLine="480"/>
        <w:rPr>
          <w:rFonts w:eastAsiaTheme="minorEastAsia"/>
          <w:sz w:val="24"/>
        </w:rPr>
      </w:pPr>
      <w:r w:rsidRPr="00FC1444">
        <w:rPr>
          <w:rFonts w:eastAsiaTheme="minorEastAsia"/>
          <w:sz w:val="24"/>
        </w:rPr>
        <w:t>运营期柴油机移动泵车产生的少量废气执行</w:t>
      </w:r>
      <w:r w:rsidRPr="00FC1444">
        <w:rPr>
          <w:rFonts w:eastAsiaTheme="minorEastAsia"/>
          <w:sz w:val="24"/>
        </w:rPr>
        <w:t>GB20891-2014</w:t>
      </w:r>
      <w:r w:rsidRPr="00FC1444">
        <w:rPr>
          <w:rFonts w:eastAsiaTheme="minorEastAsia"/>
          <w:sz w:val="24"/>
        </w:rPr>
        <w:t>《非道路移动机械用柴油机排气污染物排放限值及测量方法（中国三、四阶段）》中第四阶段（</w:t>
      </w:r>
      <w:r w:rsidRPr="00FC1444">
        <w:rPr>
          <w:rFonts w:eastAsiaTheme="minorEastAsia"/>
          <w:sz w:val="24"/>
        </w:rPr>
        <w:t>130</w:t>
      </w:r>
      <w:r w:rsidRPr="00FC1444">
        <w:rPr>
          <w:rFonts w:eastAsiaTheme="minorEastAsia"/>
          <w:sz w:val="24"/>
        </w:rPr>
        <w:t>＜额定功率＜</w:t>
      </w:r>
      <w:r w:rsidRPr="00FC1444">
        <w:rPr>
          <w:rFonts w:eastAsiaTheme="minorEastAsia"/>
          <w:sz w:val="24"/>
        </w:rPr>
        <w:t>560kW</w:t>
      </w:r>
      <w:r w:rsidRPr="00FC1444">
        <w:rPr>
          <w:rFonts w:eastAsiaTheme="minorEastAsia"/>
          <w:sz w:val="24"/>
        </w:rPr>
        <w:t>）。</w:t>
      </w:r>
    </w:p>
    <w:p w:rsidR="003C682E" w:rsidRPr="00FC1444" w:rsidRDefault="003C682E">
      <w:pPr>
        <w:jc w:val="center"/>
        <w:rPr>
          <w:rFonts w:eastAsiaTheme="minorEastAsia"/>
          <w:b/>
          <w:kern w:val="0"/>
          <w:szCs w:val="21"/>
        </w:rPr>
      </w:pPr>
    </w:p>
    <w:p w:rsidR="002A5A5E" w:rsidRPr="00FC1444" w:rsidRDefault="00611CBA">
      <w:pPr>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 xml:space="preserve">2-5-8 </w:t>
      </w:r>
      <w:r w:rsidRPr="00FC1444">
        <w:rPr>
          <w:rFonts w:eastAsiaTheme="minorEastAsia"/>
          <w:b/>
          <w:kern w:val="0"/>
          <w:szCs w:val="21"/>
        </w:rPr>
        <w:t>柴油机移动泵车大气污染物排放标准</w:t>
      </w:r>
    </w:p>
    <w:tbl>
      <w:tblPr>
        <w:tblW w:w="872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69"/>
        <w:gridCol w:w="836"/>
        <w:gridCol w:w="1446"/>
        <w:gridCol w:w="1008"/>
        <w:gridCol w:w="1177"/>
        <w:gridCol w:w="1190"/>
        <w:gridCol w:w="2395"/>
      </w:tblGrid>
      <w:tr w:rsidR="002A5A5E" w:rsidRPr="00FC1444">
        <w:trPr>
          <w:cantSplit/>
          <w:trHeight w:val="173"/>
          <w:jc w:val="center"/>
        </w:trPr>
        <w:tc>
          <w:tcPr>
            <w:tcW w:w="669"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污染源</w:t>
            </w:r>
          </w:p>
        </w:tc>
        <w:tc>
          <w:tcPr>
            <w:tcW w:w="836"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标准</w:t>
            </w:r>
          </w:p>
          <w:p w:rsidR="002A5A5E" w:rsidRPr="00FC1444" w:rsidRDefault="00611CBA">
            <w:pPr>
              <w:adjustRightInd w:val="0"/>
              <w:snapToGrid w:val="0"/>
              <w:jc w:val="center"/>
              <w:rPr>
                <w:rFonts w:eastAsiaTheme="minorEastAsia"/>
                <w:szCs w:val="21"/>
              </w:rPr>
            </w:pPr>
            <w:r w:rsidRPr="00FC1444">
              <w:rPr>
                <w:rFonts w:eastAsiaTheme="minorEastAsia"/>
                <w:szCs w:val="21"/>
              </w:rPr>
              <w:t>级别</w:t>
            </w:r>
          </w:p>
        </w:tc>
        <w:tc>
          <w:tcPr>
            <w:tcW w:w="4821" w:type="dxa"/>
            <w:gridSpan w:val="4"/>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标准限值</w:t>
            </w:r>
          </w:p>
        </w:tc>
        <w:tc>
          <w:tcPr>
            <w:tcW w:w="2395"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标准来源</w:t>
            </w:r>
          </w:p>
        </w:tc>
      </w:tr>
      <w:tr w:rsidR="002A5A5E" w:rsidRPr="00FC1444">
        <w:trPr>
          <w:cantSplit/>
          <w:trHeight w:val="267"/>
          <w:jc w:val="center"/>
        </w:trPr>
        <w:tc>
          <w:tcPr>
            <w:tcW w:w="1505" w:type="dxa"/>
            <w:gridSpan w:val="2"/>
            <w:vMerge w:val="restart"/>
            <w:tcBorders>
              <w:tl2br w:val="nil"/>
              <w:tr2bl w:val="nil"/>
            </w:tcBorders>
            <w:vAlign w:val="center"/>
          </w:tcPr>
          <w:p w:rsidR="002A5A5E" w:rsidRPr="00FC1444" w:rsidRDefault="00611CBA">
            <w:pPr>
              <w:adjustRightInd w:val="0"/>
              <w:snapToGrid w:val="0"/>
              <w:jc w:val="center"/>
              <w:rPr>
                <w:rFonts w:eastAsiaTheme="minorEastAsia"/>
              </w:rPr>
            </w:pPr>
            <w:r w:rsidRPr="00FC1444">
              <w:rPr>
                <w:rFonts w:eastAsiaTheme="minorEastAsia"/>
                <w:szCs w:val="21"/>
              </w:rPr>
              <w:t>柴油机移动泵车废气（</w:t>
            </w:r>
            <w:r w:rsidRPr="00FC1444">
              <w:rPr>
                <w:rFonts w:eastAsiaTheme="minorEastAsia"/>
                <w:szCs w:val="21"/>
              </w:rPr>
              <w:t>130</w:t>
            </w:r>
            <w:r w:rsidRPr="00FC1444">
              <w:rPr>
                <w:rFonts w:eastAsiaTheme="minorEastAsia"/>
                <w:szCs w:val="21"/>
              </w:rPr>
              <w:t>＜</w:t>
            </w:r>
            <w:r w:rsidRPr="00FC1444">
              <w:rPr>
                <w:rFonts w:eastAsiaTheme="minorEastAsia"/>
                <w:szCs w:val="21"/>
              </w:rPr>
              <w:t>Pmax</w:t>
            </w:r>
            <w:r w:rsidRPr="00FC1444">
              <w:rPr>
                <w:rFonts w:eastAsiaTheme="minorEastAsia"/>
                <w:szCs w:val="21"/>
              </w:rPr>
              <w:t>＜</w:t>
            </w:r>
            <w:r w:rsidRPr="00FC1444">
              <w:rPr>
                <w:rFonts w:eastAsiaTheme="minorEastAsia"/>
                <w:szCs w:val="21"/>
              </w:rPr>
              <w:t>560kW</w:t>
            </w:r>
            <w:r w:rsidRPr="00FC1444">
              <w:rPr>
                <w:rFonts w:eastAsiaTheme="minorEastAsia"/>
                <w:szCs w:val="21"/>
              </w:rPr>
              <w:t>）</w:t>
            </w:r>
          </w:p>
        </w:tc>
        <w:tc>
          <w:tcPr>
            <w:tcW w:w="1446" w:type="dxa"/>
            <w:tcBorders>
              <w:tl2br w:val="nil"/>
              <w:tr2bl w:val="nil"/>
            </w:tcBorders>
            <w:vAlign w:val="center"/>
          </w:tcPr>
          <w:p w:rsidR="002A5A5E" w:rsidRPr="00FC1444" w:rsidRDefault="00611CBA">
            <w:pPr>
              <w:widowControl/>
              <w:jc w:val="center"/>
              <w:rPr>
                <w:rFonts w:eastAsiaTheme="minorEastAsia"/>
              </w:rPr>
            </w:pPr>
            <w:r w:rsidRPr="00FC1444">
              <w:rPr>
                <w:rFonts w:eastAsiaTheme="minorEastAsia"/>
                <w:szCs w:val="21"/>
              </w:rPr>
              <w:t>污染物</w:t>
            </w:r>
          </w:p>
        </w:tc>
        <w:tc>
          <w:tcPr>
            <w:tcW w:w="100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CO</w:t>
            </w:r>
          </w:p>
        </w:tc>
        <w:tc>
          <w:tcPr>
            <w:tcW w:w="1177"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HC+NO</w:t>
            </w:r>
            <w:r w:rsidRPr="00FC1444">
              <w:rPr>
                <w:rFonts w:eastAsiaTheme="minorEastAsia"/>
                <w:szCs w:val="21"/>
                <w:vertAlign w:val="subscript"/>
              </w:rPr>
              <w:t>x</w:t>
            </w:r>
          </w:p>
        </w:tc>
        <w:tc>
          <w:tcPr>
            <w:tcW w:w="1190"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PM</w:t>
            </w:r>
          </w:p>
        </w:tc>
        <w:tc>
          <w:tcPr>
            <w:tcW w:w="2395" w:type="dxa"/>
            <w:vMerge w:val="restart"/>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GB20891-2014</w:t>
            </w:r>
            <w:r w:rsidRPr="00FC1444">
              <w:rPr>
                <w:rFonts w:eastAsiaTheme="minorEastAsia"/>
                <w:szCs w:val="21"/>
              </w:rPr>
              <w:t>《非道路移动机械用柴油机排气污染物排放限值及测量方法（中国三、四阶段）》中第四阶段（</w:t>
            </w:r>
            <w:r w:rsidRPr="00FC1444">
              <w:rPr>
                <w:rFonts w:eastAsiaTheme="minorEastAsia"/>
                <w:szCs w:val="21"/>
              </w:rPr>
              <w:t>130</w:t>
            </w:r>
            <w:r w:rsidRPr="00FC1444">
              <w:rPr>
                <w:rFonts w:eastAsiaTheme="minorEastAsia"/>
                <w:szCs w:val="21"/>
              </w:rPr>
              <w:t>＜额定功率＜</w:t>
            </w:r>
            <w:r w:rsidRPr="00FC1444">
              <w:rPr>
                <w:rFonts w:eastAsiaTheme="minorEastAsia"/>
                <w:szCs w:val="21"/>
              </w:rPr>
              <w:t>560kW</w:t>
            </w:r>
            <w:r w:rsidRPr="00FC1444">
              <w:rPr>
                <w:rFonts w:eastAsiaTheme="minorEastAsia"/>
                <w:szCs w:val="21"/>
              </w:rPr>
              <w:t>）</w:t>
            </w:r>
          </w:p>
        </w:tc>
      </w:tr>
      <w:tr w:rsidR="002A5A5E" w:rsidRPr="00FC1444">
        <w:trPr>
          <w:cantSplit/>
          <w:trHeight w:val="267"/>
          <w:jc w:val="center"/>
        </w:trPr>
        <w:tc>
          <w:tcPr>
            <w:tcW w:w="1505" w:type="dxa"/>
            <w:gridSpan w:val="2"/>
            <w:vMerge/>
            <w:tcBorders>
              <w:tl2br w:val="nil"/>
              <w:tr2bl w:val="nil"/>
            </w:tcBorders>
            <w:vAlign w:val="center"/>
          </w:tcPr>
          <w:p w:rsidR="002A5A5E" w:rsidRPr="00FC1444" w:rsidRDefault="002A5A5E">
            <w:pPr>
              <w:adjustRightInd w:val="0"/>
              <w:snapToGrid w:val="0"/>
              <w:jc w:val="center"/>
              <w:rPr>
                <w:rFonts w:eastAsiaTheme="minorEastAsia"/>
              </w:rPr>
            </w:pPr>
          </w:p>
        </w:tc>
        <w:tc>
          <w:tcPr>
            <w:tcW w:w="1446" w:type="dxa"/>
            <w:tcBorders>
              <w:tl2br w:val="nil"/>
              <w:tr2bl w:val="nil"/>
            </w:tcBorders>
            <w:vAlign w:val="center"/>
          </w:tcPr>
          <w:p w:rsidR="002A5A5E" w:rsidRPr="00FC1444" w:rsidRDefault="00611CBA">
            <w:pPr>
              <w:widowControl/>
              <w:jc w:val="center"/>
              <w:rPr>
                <w:rFonts w:eastAsiaTheme="minorEastAsia"/>
              </w:rPr>
            </w:pPr>
            <w:r w:rsidRPr="00FC1444">
              <w:rPr>
                <w:rFonts w:eastAsiaTheme="minorEastAsia"/>
                <w:szCs w:val="21"/>
              </w:rPr>
              <w:t>排放浓度（</w:t>
            </w:r>
            <w:r w:rsidRPr="00FC1444">
              <w:rPr>
                <w:rFonts w:eastAsiaTheme="minorEastAsia"/>
                <w:szCs w:val="21"/>
              </w:rPr>
              <w:t>g/kWh</w:t>
            </w:r>
            <w:r w:rsidRPr="00FC1444">
              <w:rPr>
                <w:rFonts w:eastAsiaTheme="minorEastAsia"/>
                <w:szCs w:val="21"/>
              </w:rPr>
              <w:t>）</w:t>
            </w:r>
          </w:p>
        </w:tc>
        <w:tc>
          <w:tcPr>
            <w:tcW w:w="100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3.5</w:t>
            </w:r>
          </w:p>
        </w:tc>
        <w:tc>
          <w:tcPr>
            <w:tcW w:w="1177"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4.0</w:t>
            </w:r>
          </w:p>
        </w:tc>
        <w:tc>
          <w:tcPr>
            <w:tcW w:w="1190"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0.2</w:t>
            </w:r>
          </w:p>
        </w:tc>
        <w:tc>
          <w:tcPr>
            <w:tcW w:w="2395" w:type="dxa"/>
            <w:vMerge/>
            <w:tcBorders>
              <w:tl2br w:val="nil"/>
              <w:tr2bl w:val="nil"/>
            </w:tcBorders>
            <w:vAlign w:val="center"/>
          </w:tcPr>
          <w:p w:rsidR="002A5A5E" w:rsidRPr="00FC1444" w:rsidRDefault="002A5A5E">
            <w:pPr>
              <w:adjustRightInd w:val="0"/>
              <w:snapToGrid w:val="0"/>
              <w:jc w:val="center"/>
              <w:rPr>
                <w:rFonts w:eastAsiaTheme="minorEastAsia"/>
                <w:szCs w:val="21"/>
              </w:rPr>
            </w:pPr>
          </w:p>
        </w:tc>
      </w:tr>
    </w:tbl>
    <w:p w:rsidR="002A5A5E" w:rsidRPr="00FC1444" w:rsidRDefault="00760E2B">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w:t>
      </w:r>
      <w:r w:rsidR="00611CBA" w:rsidRPr="00FC1444">
        <w:rPr>
          <w:rFonts w:eastAsiaTheme="minorEastAsia"/>
          <w:sz w:val="24"/>
        </w:rPr>
        <w:t>水污染物排放标准</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项目施工期生活污水排入依托附近民房防渗旱厕，定期清掏，外运堆肥，不外排。施工废水洒水抑尘，不外排。</w:t>
      </w:r>
    </w:p>
    <w:p w:rsidR="002A5A5E" w:rsidRPr="00FC1444" w:rsidRDefault="00760E2B">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3</w:t>
      </w:r>
      <w:r w:rsidRPr="00FC1444">
        <w:rPr>
          <w:rFonts w:eastAsiaTheme="minorEastAsia"/>
          <w:sz w:val="24"/>
        </w:rPr>
        <w:t>）</w:t>
      </w:r>
      <w:r w:rsidR="00611CBA" w:rsidRPr="00FC1444">
        <w:rPr>
          <w:rFonts w:eastAsiaTheme="minorEastAsia"/>
          <w:sz w:val="24"/>
        </w:rPr>
        <w:t>噪声排放标准</w:t>
      </w:r>
    </w:p>
    <w:p w:rsidR="002A5A5E" w:rsidRPr="00FC1444" w:rsidRDefault="00611CBA" w:rsidP="00611CBA">
      <w:pPr>
        <w:spacing w:line="360" w:lineRule="auto"/>
        <w:ind w:firstLineChars="177" w:firstLine="425"/>
        <w:contextualSpacing/>
        <w:rPr>
          <w:rFonts w:eastAsiaTheme="minorEastAsia"/>
          <w:sz w:val="24"/>
        </w:rPr>
      </w:pPr>
      <w:r w:rsidRPr="00FC1444">
        <w:rPr>
          <w:rFonts w:eastAsiaTheme="minorEastAsia"/>
          <w:sz w:val="24"/>
        </w:rPr>
        <w:t>本项目施工期噪声执行《建筑施工噪声排放标准》（</w:t>
      </w:r>
      <w:bookmarkStart w:id="41" w:name="_GoBack"/>
      <w:bookmarkEnd w:id="41"/>
      <w:r w:rsidRPr="00FC1444">
        <w:rPr>
          <w:rFonts w:eastAsiaTheme="minorEastAsia"/>
          <w:sz w:val="24"/>
        </w:rPr>
        <w:t>GB12523-2025)</w:t>
      </w:r>
      <w:r w:rsidRPr="00FC1444">
        <w:rPr>
          <w:rFonts w:eastAsiaTheme="minorEastAsia"/>
          <w:sz w:val="24"/>
        </w:rPr>
        <w:t>。</w:t>
      </w:r>
    </w:p>
    <w:p w:rsidR="002A5A5E" w:rsidRPr="00FC1444" w:rsidRDefault="00611CBA">
      <w:pPr>
        <w:spacing w:line="360" w:lineRule="auto"/>
        <w:contextualSpacing/>
        <w:jc w:val="center"/>
        <w:rPr>
          <w:rFonts w:eastAsiaTheme="minorEastAsia"/>
          <w:b/>
          <w:szCs w:val="21"/>
        </w:rPr>
      </w:pPr>
      <w:r w:rsidRPr="00FC1444">
        <w:rPr>
          <w:rFonts w:eastAsiaTheme="minorEastAsia"/>
          <w:b/>
          <w:szCs w:val="21"/>
        </w:rPr>
        <w:t>表</w:t>
      </w:r>
      <w:r w:rsidRPr="00FC1444">
        <w:rPr>
          <w:rFonts w:eastAsiaTheme="minorEastAsia"/>
          <w:b/>
          <w:szCs w:val="21"/>
        </w:rPr>
        <w:t>2-5-9</w:t>
      </w:r>
      <w:r w:rsidRPr="00FC1444">
        <w:rPr>
          <w:rFonts w:eastAsiaTheme="minorEastAsia"/>
          <w:b/>
          <w:szCs w:val="21"/>
        </w:rPr>
        <w:t>《建筑施工噪声排放标准》（</w:t>
      </w:r>
      <w:r w:rsidRPr="00FC1444">
        <w:rPr>
          <w:rFonts w:eastAsiaTheme="minorEastAsia"/>
          <w:b/>
          <w:szCs w:val="21"/>
        </w:rPr>
        <w:t>GB12523-2025</w:t>
      </w:r>
      <w:r w:rsidRPr="00FC1444">
        <w:rPr>
          <w:rFonts w:eastAsiaTheme="minorEastAsia"/>
          <w:b/>
          <w:szCs w:val="21"/>
        </w:rPr>
        <w:t>）</w:t>
      </w:r>
      <w:r w:rsidRPr="00FC1444">
        <w:rPr>
          <w:rFonts w:eastAsiaTheme="minorEastAsia"/>
          <w:b/>
          <w:szCs w:val="21"/>
        </w:rPr>
        <w:t xml:space="preserve"> </w:t>
      </w:r>
      <w:r w:rsidRPr="00FC1444">
        <w:rPr>
          <w:rFonts w:eastAsiaTheme="minorEastAsia"/>
          <w:b/>
          <w:szCs w:val="21"/>
        </w:rPr>
        <w:t>单位：</w:t>
      </w:r>
      <w:r w:rsidRPr="00FC1444">
        <w:rPr>
          <w:rFonts w:eastAsiaTheme="minorEastAsia"/>
          <w:b/>
          <w:szCs w:val="21"/>
        </w:rPr>
        <w:t>dB(A)</w:t>
      </w:r>
    </w:p>
    <w:tbl>
      <w:tblPr>
        <w:tblW w:w="0" w:type="auto"/>
        <w:tblBorders>
          <w:top w:val="single" w:sz="12" w:space="0" w:color="auto"/>
          <w:bottom w:val="single" w:sz="12" w:space="0" w:color="auto"/>
          <w:insideH w:val="single" w:sz="4" w:space="0" w:color="auto"/>
          <w:insideV w:val="single" w:sz="4" w:space="0" w:color="auto"/>
        </w:tblBorders>
        <w:tblLook w:val="04A0"/>
      </w:tblPr>
      <w:tblGrid>
        <w:gridCol w:w="4261"/>
        <w:gridCol w:w="4261"/>
      </w:tblGrid>
      <w:tr w:rsidR="002A5A5E" w:rsidRPr="00FC1444">
        <w:tc>
          <w:tcPr>
            <w:tcW w:w="4374"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昼间</w:t>
            </w:r>
          </w:p>
        </w:tc>
        <w:tc>
          <w:tcPr>
            <w:tcW w:w="4374"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夜间</w:t>
            </w:r>
          </w:p>
        </w:tc>
      </w:tr>
      <w:tr w:rsidR="002A5A5E" w:rsidRPr="00FC1444">
        <w:tc>
          <w:tcPr>
            <w:tcW w:w="4374"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70</w:t>
            </w:r>
          </w:p>
        </w:tc>
        <w:tc>
          <w:tcPr>
            <w:tcW w:w="4374"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55</w:t>
            </w:r>
          </w:p>
        </w:tc>
      </w:tr>
    </w:tbl>
    <w:p w:rsidR="002A5A5E" w:rsidRPr="00FC1444" w:rsidRDefault="00611CBA" w:rsidP="00611CBA">
      <w:pPr>
        <w:spacing w:line="360" w:lineRule="auto"/>
        <w:ind w:firstLineChars="177" w:firstLine="425"/>
        <w:contextualSpacing/>
        <w:rPr>
          <w:rFonts w:eastAsiaTheme="minorEastAsia"/>
          <w:sz w:val="24"/>
        </w:rPr>
      </w:pPr>
      <w:r w:rsidRPr="00FC1444">
        <w:rPr>
          <w:rFonts w:eastAsiaTheme="minorEastAsia"/>
          <w:sz w:val="24"/>
        </w:rPr>
        <w:t>项目运营期井房厂界</w:t>
      </w:r>
      <w:r w:rsidRPr="00FC1444">
        <w:rPr>
          <w:rFonts w:eastAsiaTheme="minorEastAsia"/>
          <w:bCs/>
          <w:sz w:val="24"/>
        </w:rPr>
        <w:t>噪声执行《工业企业厂界环境噪声排放标准》（</w:t>
      </w:r>
      <w:r w:rsidRPr="00FC1444">
        <w:rPr>
          <w:rFonts w:eastAsiaTheme="minorEastAsia"/>
          <w:bCs/>
          <w:sz w:val="24"/>
        </w:rPr>
        <w:t>GB12348-2008</w:t>
      </w:r>
      <w:r w:rsidRPr="00FC1444">
        <w:rPr>
          <w:rFonts w:eastAsiaTheme="minorEastAsia"/>
          <w:bCs/>
          <w:sz w:val="24"/>
        </w:rPr>
        <w:t>）表</w:t>
      </w:r>
      <w:r w:rsidRPr="00FC1444">
        <w:rPr>
          <w:rFonts w:eastAsiaTheme="minorEastAsia"/>
          <w:bCs/>
          <w:sz w:val="24"/>
        </w:rPr>
        <w:t>1</w:t>
      </w:r>
      <w:r w:rsidRPr="00FC1444">
        <w:rPr>
          <w:rFonts w:eastAsiaTheme="minorEastAsia"/>
          <w:bCs/>
          <w:sz w:val="24"/>
        </w:rPr>
        <w:t>中</w:t>
      </w:r>
      <w:r w:rsidRPr="00FC1444">
        <w:rPr>
          <w:rFonts w:eastAsiaTheme="minorEastAsia"/>
          <w:bCs/>
          <w:sz w:val="24"/>
        </w:rPr>
        <w:t>1</w:t>
      </w:r>
      <w:r w:rsidRPr="00FC1444">
        <w:rPr>
          <w:rFonts w:eastAsiaTheme="minorEastAsia"/>
          <w:bCs/>
          <w:sz w:val="24"/>
        </w:rPr>
        <w:t>类标准</w:t>
      </w:r>
      <w:r w:rsidRPr="00FC1444">
        <w:rPr>
          <w:rFonts w:eastAsiaTheme="minorEastAsia"/>
          <w:sz w:val="24"/>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2-5-10</w:t>
      </w:r>
      <w:r w:rsidRPr="00FC1444">
        <w:rPr>
          <w:rFonts w:eastAsiaTheme="minorEastAsia"/>
          <w:b/>
          <w:kern w:val="0"/>
          <w:szCs w:val="21"/>
        </w:rPr>
        <w:t>噪声排放标准</w:t>
      </w:r>
      <w:r w:rsidRPr="00FC1444">
        <w:rPr>
          <w:rFonts w:eastAsiaTheme="minorEastAsia"/>
          <w:b/>
          <w:kern w:val="0"/>
          <w:szCs w:val="21"/>
        </w:rPr>
        <w:t xml:space="preserve">  </w:t>
      </w:r>
      <w:r w:rsidRPr="00FC1444">
        <w:rPr>
          <w:rFonts w:eastAsiaTheme="minorEastAsia"/>
          <w:b/>
          <w:kern w:val="0"/>
          <w:szCs w:val="21"/>
        </w:rPr>
        <w:t>单位：</w:t>
      </w:r>
      <w:r w:rsidRPr="00FC1444">
        <w:rPr>
          <w:rFonts w:eastAsiaTheme="minorEastAsia"/>
          <w:b/>
          <w:kern w:val="0"/>
          <w:szCs w:val="21"/>
        </w:rPr>
        <w:t>dB(A)</w:t>
      </w:r>
    </w:p>
    <w:tbl>
      <w:tblPr>
        <w:tblW w:w="0" w:type="auto"/>
        <w:jc w:val="center"/>
        <w:tblBorders>
          <w:top w:val="single" w:sz="12" w:space="0" w:color="000000"/>
          <w:bottom w:val="single" w:sz="12" w:space="0" w:color="000000"/>
          <w:insideH w:val="single" w:sz="4" w:space="0" w:color="000000"/>
          <w:insideV w:val="single" w:sz="4" w:space="0" w:color="000000"/>
        </w:tblBorders>
        <w:tblLook w:val="04A0"/>
      </w:tblPr>
      <w:tblGrid>
        <w:gridCol w:w="1686"/>
        <w:gridCol w:w="1290"/>
        <w:gridCol w:w="960"/>
        <w:gridCol w:w="1134"/>
        <w:gridCol w:w="3452"/>
      </w:tblGrid>
      <w:tr w:rsidR="002A5A5E" w:rsidRPr="00FC1444">
        <w:trPr>
          <w:jc w:val="center"/>
        </w:trPr>
        <w:tc>
          <w:tcPr>
            <w:tcW w:w="1686" w:type="dxa"/>
            <w:vAlign w:val="center"/>
          </w:tcPr>
          <w:p w:rsidR="002A5A5E" w:rsidRPr="00FC1444" w:rsidRDefault="00611CBA">
            <w:pPr>
              <w:jc w:val="center"/>
              <w:rPr>
                <w:rFonts w:eastAsiaTheme="minorEastAsia"/>
                <w:szCs w:val="21"/>
              </w:rPr>
            </w:pPr>
            <w:r w:rsidRPr="00FC1444">
              <w:rPr>
                <w:rFonts w:eastAsiaTheme="minorEastAsia"/>
                <w:kern w:val="0"/>
                <w:szCs w:val="21"/>
              </w:rPr>
              <w:t>厂界</w:t>
            </w:r>
          </w:p>
        </w:tc>
        <w:tc>
          <w:tcPr>
            <w:tcW w:w="1290" w:type="dxa"/>
            <w:vAlign w:val="center"/>
          </w:tcPr>
          <w:p w:rsidR="002A5A5E" w:rsidRPr="00FC1444" w:rsidRDefault="00611CBA">
            <w:pPr>
              <w:jc w:val="center"/>
              <w:rPr>
                <w:rFonts w:eastAsiaTheme="minorEastAsia"/>
                <w:szCs w:val="21"/>
              </w:rPr>
            </w:pPr>
            <w:r w:rsidRPr="00FC1444">
              <w:rPr>
                <w:rFonts w:eastAsiaTheme="minorEastAsia"/>
                <w:kern w:val="0"/>
                <w:szCs w:val="21"/>
              </w:rPr>
              <w:t>评价时段</w:t>
            </w:r>
          </w:p>
        </w:tc>
        <w:tc>
          <w:tcPr>
            <w:tcW w:w="960" w:type="dxa"/>
            <w:vAlign w:val="center"/>
          </w:tcPr>
          <w:p w:rsidR="002A5A5E" w:rsidRPr="00FC1444" w:rsidRDefault="00611CBA">
            <w:pPr>
              <w:jc w:val="center"/>
              <w:rPr>
                <w:rFonts w:eastAsiaTheme="minorEastAsia"/>
                <w:szCs w:val="21"/>
              </w:rPr>
            </w:pPr>
            <w:r w:rsidRPr="00FC1444">
              <w:rPr>
                <w:rFonts w:eastAsiaTheme="minorEastAsia"/>
                <w:kern w:val="0"/>
                <w:szCs w:val="21"/>
              </w:rPr>
              <w:t>昼间</w:t>
            </w:r>
          </w:p>
        </w:tc>
        <w:tc>
          <w:tcPr>
            <w:tcW w:w="1134" w:type="dxa"/>
            <w:vAlign w:val="center"/>
          </w:tcPr>
          <w:p w:rsidR="002A5A5E" w:rsidRPr="00FC1444" w:rsidRDefault="00611CBA">
            <w:pPr>
              <w:jc w:val="center"/>
              <w:rPr>
                <w:rFonts w:eastAsiaTheme="minorEastAsia"/>
                <w:szCs w:val="21"/>
              </w:rPr>
            </w:pPr>
            <w:r w:rsidRPr="00FC1444">
              <w:rPr>
                <w:rFonts w:eastAsiaTheme="minorEastAsia"/>
                <w:kern w:val="0"/>
                <w:szCs w:val="21"/>
              </w:rPr>
              <w:t>夜间</w:t>
            </w:r>
          </w:p>
        </w:tc>
        <w:tc>
          <w:tcPr>
            <w:tcW w:w="3452" w:type="dxa"/>
          </w:tcPr>
          <w:p w:rsidR="002A5A5E" w:rsidRPr="00FC1444" w:rsidRDefault="00611CBA">
            <w:pPr>
              <w:jc w:val="center"/>
              <w:rPr>
                <w:rFonts w:eastAsiaTheme="minorEastAsia"/>
                <w:szCs w:val="21"/>
              </w:rPr>
            </w:pPr>
            <w:r w:rsidRPr="00FC1444">
              <w:rPr>
                <w:rFonts w:eastAsiaTheme="minorEastAsia"/>
                <w:kern w:val="0"/>
                <w:szCs w:val="21"/>
              </w:rPr>
              <w:t>标准来源</w:t>
            </w:r>
          </w:p>
        </w:tc>
      </w:tr>
      <w:tr w:rsidR="002A5A5E" w:rsidRPr="00FC1444">
        <w:trPr>
          <w:jc w:val="center"/>
        </w:trPr>
        <w:tc>
          <w:tcPr>
            <w:tcW w:w="1686" w:type="dxa"/>
            <w:vAlign w:val="center"/>
          </w:tcPr>
          <w:p w:rsidR="002A5A5E" w:rsidRPr="00FC1444" w:rsidRDefault="00611CBA">
            <w:pPr>
              <w:jc w:val="center"/>
              <w:rPr>
                <w:rFonts w:eastAsiaTheme="minorEastAsia"/>
                <w:szCs w:val="21"/>
              </w:rPr>
            </w:pPr>
            <w:r w:rsidRPr="00FC1444">
              <w:rPr>
                <w:rFonts w:eastAsiaTheme="minorEastAsia"/>
                <w:kern w:val="0"/>
                <w:szCs w:val="21"/>
              </w:rPr>
              <w:t>井房厂界</w:t>
            </w:r>
          </w:p>
        </w:tc>
        <w:tc>
          <w:tcPr>
            <w:tcW w:w="1290" w:type="dxa"/>
            <w:vAlign w:val="center"/>
          </w:tcPr>
          <w:p w:rsidR="002A5A5E" w:rsidRPr="00FC1444" w:rsidRDefault="00611CBA">
            <w:pPr>
              <w:jc w:val="center"/>
              <w:rPr>
                <w:rFonts w:eastAsiaTheme="minorEastAsia"/>
                <w:szCs w:val="21"/>
              </w:rPr>
            </w:pPr>
            <w:r w:rsidRPr="00FC1444">
              <w:rPr>
                <w:rFonts w:eastAsiaTheme="minorEastAsia"/>
                <w:kern w:val="0"/>
                <w:szCs w:val="21"/>
              </w:rPr>
              <w:t>运营期</w:t>
            </w:r>
          </w:p>
        </w:tc>
        <w:tc>
          <w:tcPr>
            <w:tcW w:w="960" w:type="dxa"/>
            <w:vAlign w:val="center"/>
          </w:tcPr>
          <w:p w:rsidR="002A5A5E" w:rsidRPr="00FC1444" w:rsidRDefault="00611CBA">
            <w:pPr>
              <w:jc w:val="center"/>
              <w:rPr>
                <w:rFonts w:eastAsiaTheme="minorEastAsia"/>
                <w:szCs w:val="21"/>
              </w:rPr>
            </w:pPr>
            <w:r w:rsidRPr="00FC1444">
              <w:rPr>
                <w:rFonts w:eastAsiaTheme="minorEastAsia"/>
                <w:szCs w:val="21"/>
              </w:rPr>
              <w:t>55</w:t>
            </w:r>
          </w:p>
        </w:tc>
        <w:tc>
          <w:tcPr>
            <w:tcW w:w="1134" w:type="dxa"/>
            <w:vAlign w:val="center"/>
          </w:tcPr>
          <w:p w:rsidR="002A5A5E" w:rsidRPr="00FC1444" w:rsidRDefault="00611CBA">
            <w:pPr>
              <w:jc w:val="center"/>
              <w:rPr>
                <w:rFonts w:eastAsiaTheme="minorEastAsia"/>
                <w:szCs w:val="21"/>
              </w:rPr>
            </w:pPr>
            <w:r w:rsidRPr="00FC1444">
              <w:rPr>
                <w:rFonts w:eastAsiaTheme="minorEastAsia"/>
                <w:szCs w:val="21"/>
              </w:rPr>
              <w:t>45</w:t>
            </w:r>
          </w:p>
        </w:tc>
        <w:tc>
          <w:tcPr>
            <w:tcW w:w="3452" w:type="dxa"/>
          </w:tcPr>
          <w:p w:rsidR="002A5A5E" w:rsidRPr="00FC1444" w:rsidRDefault="00611CBA">
            <w:pPr>
              <w:jc w:val="center"/>
              <w:rPr>
                <w:rFonts w:eastAsiaTheme="minorEastAsia"/>
                <w:szCs w:val="21"/>
              </w:rPr>
            </w:pPr>
            <w:r w:rsidRPr="00FC1444">
              <w:rPr>
                <w:rFonts w:eastAsiaTheme="minorEastAsia"/>
                <w:kern w:val="0"/>
                <w:szCs w:val="21"/>
              </w:rPr>
              <w:t>《工业企业厂界环境噪声排放标准》（</w:t>
            </w:r>
            <w:r w:rsidRPr="00FC1444">
              <w:rPr>
                <w:rFonts w:eastAsiaTheme="minorEastAsia"/>
                <w:kern w:val="0"/>
                <w:szCs w:val="21"/>
              </w:rPr>
              <w:t>GB12348-2008</w:t>
            </w:r>
            <w:r w:rsidRPr="00FC1444">
              <w:rPr>
                <w:rFonts w:eastAsiaTheme="minorEastAsia"/>
                <w:kern w:val="0"/>
                <w:szCs w:val="21"/>
              </w:rPr>
              <w:t>）</w:t>
            </w:r>
            <w:r w:rsidRPr="00FC1444">
              <w:rPr>
                <w:rFonts w:eastAsiaTheme="minorEastAsia"/>
                <w:snapToGrid w:val="0"/>
                <w:kern w:val="0"/>
              </w:rPr>
              <w:t>表</w:t>
            </w:r>
            <w:r w:rsidRPr="00FC1444">
              <w:rPr>
                <w:rFonts w:eastAsiaTheme="minorEastAsia"/>
                <w:snapToGrid w:val="0"/>
                <w:kern w:val="0"/>
              </w:rPr>
              <w:t>1</w:t>
            </w:r>
            <w:r w:rsidRPr="00FC1444">
              <w:rPr>
                <w:rFonts w:eastAsiaTheme="minorEastAsia"/>
                <w:snapToGrid w:val="0"/>
                <w:kern w:val="0"/>
              </w:rPr>
              <w:t>中</w:t>
            </w:r>
            <w:r w:rsidRPr="00FC1444">
              <w:rPr>
                <w:rFonts w:eastAsiaTheme="minorEastAsia"/>
                <w:kern w:val="0"/>
                <w:szCs w:val="21"/>
              </w:rPr>
              <w:t>1</w:t>
            </w:r>
            <w:r w:rsidRPr="00FC1444">
              <w:rPr>
                <w:rFonts w:eastAsiaTheme="minorEastAsia"/>
                <w:kern w:val="0"/>
                <w:szCs w:val="21"/>
              </w:rPr>
              <w:t>类</w:t>
            </w:r>
          </w:p>
        </w:tc>
      </w:tr>
    </w:tbl>
    <w:p w:rsidR="002A5A5E" w:rsidRPr="00FC1444" w:rsidRDefault="00760E2B">
      <w:pPr>
        <w:spacing w:line="360" w:lineRule="auto"/>
        <w:ind w:firstLineChars="200" w:firstLine="480"/>
        <w:rPr>
          <w:sz w:val="24"/>
        </w:rPr>
      </w:pPr>
      <w:r w:rsidRPr="00FC1444">
        <w:rPr>
          <w:rFonts w:eastAsiaTheme="minorEastAsia"/>
          <w:sz w:val="24"/>
        </w:rPr>
        <w:t>（</w:t>
      </w:r>
      <w:r w:rsidRPr="00FC1444">
        <w:rPr>
          <w:rFonts w:eastAsiaTheme="minorEastAsia"/>
          <w:sz w:val="24"/>
        </w:rPr>
        <w:t>4</w:t>
      </w:r>
      <w:r w:rsidRPr="00FC1444">
        <w:rPr>
          <w:rFonts w:eastAsiaTheme="minorEastAsia"/>
          <w:sz w:val="24"/>
        </w:rPr>
        <w:t>）</w:t>
      </w:r>
      <w:r w:rsidR="00611CBA" w:rsidRPr="00FC1444">
        <w:rPr>
          <w:sz w:val="24"/>
        </w:rPr>
        <w:t>固体废物排放标准</w:t>
      </w:r>
    </w:p>
    <w:p w:rsidR="002A5A5E" w:rsidRPr="00FC1444" w:rsidRDefault="00611CBA" w:rsidP="00611CBA">
      <w:pPr>
        <w:spacing w:line="360" w:lineRule="auto"/>
        <w:ind w:firstLineChars="177" w:firstLine="425"/>
        <w:contextualSpacing/>
        <w:rPr>
          <w:rFonts w:eastAsiaTheme="minorEastAsia"/>
          <w:sz w:val="24"/>
        </w:rPr>
      </w:pPr>
      <w:r w:rsidRPr="00FC1444">
        <w:rPr>
          <w:sz w:val="24"/>
        </w:rPr>
        <w:t>本项目一般工业固体废物处置应符合《一般工业固体废物贮存和填埋污染控制标准》（</w:t>
      </w:r>
      <w:r w:rsidRPr="00FC1444">
        <w:rPr>
          <w:sz w:val="24"/>
        </w:rPr>
        <w:t>GB18599-2020</w:t>
      </w:r>
      <w:r w:rsidRPr="00FC1444">
        <w:rPr>
          <w:sz w:val="24"/>
        </w:rPr>
        <w:t>）。</w:t>
      </w:r>
    </w:p>
    <w:p w:rsidR="002A5A5E" w:rsidRPr="00FC1444" w:rsidRDefault="00611CBA">
      <w:pPr>
        <w:spacing w:before="100" w:beforeAutospacing="1" w:after="100" w:afterAutospacing="1"/>
        <w:jc w:val="left"/>
        <w:outlineLvl w:val="1"/>
        <w:rPr>
          <w:rFonts w:eastAsiaTheme="minorEastAsia"/>
          <w:b/>
          <w:bCs/>
          <w:kern w:val="44"/>
          <w:sz w:val="30"/>
          <w:szCs w:val="30"/>
        </w:rPr>
      </w:pPr>
      <w:bookmarkStart w:id="42" w:name="_Toc208906229"/>
      <w:r w:rsidRPr="00FC1444">
        <w:rPr>
          <w:rFonts w:eastAsiaTheme="minorEastAsia"/>
          <w:b/>
          <w:bCs/>
          <w:kern w:val="44"/>
          <w:sz w:val="30"/>
          <w:szCs w:val="30"/>
        </w:rPr>
        <w:t>2.6</w:t>
      </w:r>
      <w:r w:rsidRPr="00FC1444">
        <w:rPr>
          <w:rFonts w:eastAsiaTheme="minorEastAsia"/>
          <w:b/>
          <w:bCs/>
          <w:kern w:val="44"/>
          <w:sz w:val="30"/>
          <w:szCs w:val="30"/>
        </w:rPr>
        <w:t>评价工作等级</w:t>
      </w:r>
      <w:bookmarkEnd w:id="42"/>
    </w:p>
    <w:p w:rsidR="002A5A5E" w:rsidRPr="00FC1444"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bookmarkStart w:id="43" w:name="_Toc88969053"/>
      <w:bookmarkStart w:id="44" w:name="_Toc88968910"/>
      <w:bookmarkStart w:id="45" w:name="_Toc88900493"/>
      <w:bookmarkStart w:id="46" w:name="_Toc89231863"/>
      <w:r w:rsidRPr="00FC1444">
        <w:rPr>
          <w:rFonts w:ascii="Times New Roman" w:eastAsiaTheme="minorEastAsia" w:hAnsi="Times New Roman" w:cs="Times New Roman"/>
          <w:b/>
          <w:sz w:val="28"/>
          <w:szCs w:val="28"/>
        </w:rPr>
        <w:t>2.6.1</w:t>
      </w:r>
      <w:r w:rsidRPr="00FC1444">
        <w:rPr>
          <w:rFonts w:ascii="Times New Roman" w:eastAsiaTheme="minorEastAsia" w:hAnsi="Times New Roman" w:cs="Times New Roman"/>
          <w:b/>
          <w:sz w:val="28"/>
          <w:szCs w:val="28"/>
        </w:rPr>
        <w:t>环境空气评价工作等级</w:t>
      </w:r>
    </w:p>
    <w:bookmarkEnd w:id="43"/>
    <w:bookmarkEnd w:id="44"/>
    <w:bookmarkEnd w:id="45"/>
    <w:bookmarkEnd w:id="46"/>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为高标准农田建设项目，产生废气主要为施工期扬尘、发电机废气、施工车辆尾气及运营期汽车尾气、柴油机移动泵车废气、清淤恶臭。本项目运营期排水沟仅在降水无法排出情况下采用柴油机移动泵车进行排水，使用时间较短，项目区周边环境以农田为主，周围较空旷，空气流动性好，有利于污染物稀释扩</w:t>
      </w:r>
      <w:r w:rsidRPr="00FC1444">
        <w:rPr>
          <w:rFonts w:eastAsiaTheme="minorEastAsia"/>
          <w:sz w:val="24"/>
        </w:rPr>
        <w:lastRenderedPageBreak/>
        <w:t>散，对周围环境空气质量影响较小。</w:t>
      </w:r>
      <w:r w:rsidRPr="00FC1444">
        <w:rPr>
          <w:sz w:val="24"/>
        </w:rPr>
        <w:t>影响范围主要在施工场区附近。考虑施工期对大气环境的影响，因此，确定大气环境评价工作等级为三级</w:t>
      </w:r>
      <w:r w:rsidRPr="00FC1444">
        <w:rPr>
          <w:rFonts w:eastAsiaTheme="minorEastAsia"/>
          <w:sz w:val="24"/>
        </w:rPr>
        <w:t>。</w:t>
      </w:r>
    </w:p>
    <w:p w:rsidR="002A5A5E" w:rsidRPr="00FC1444"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2.6.2</w:t>
      </w:r>
      <w:r w:rsidRPr="00FC1444">
        <w:rPr>
          <w:rFonts w:ascii="Times New Roman" w:eastAsiaTheme="minorEastAsia" w:hAnsi="Times New Roman" w:cs="Times New Roman"/>
          <w:b/>
          <w:sz w:val="28"/>
          <w:szCs w:val="28"/>
        </w:rPr>
        <w:t>地表水环境</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根据《环境影响评价技术导则</w:t>
      </w:r>
      <w:r w:rsidR="00046565" w:rsidRPr="00FC1444">
        <w:rPr>
          <w:rFonts w:eastAsiaTheme="minorEastAsia"/>
          <w:snapToGrid w:val="0"/>
          <w:kern w:val="0"/>
          <w:sz w:val="24"/>
        </w:rPr>
        <w:t xml:space="preserve"> </w:t>
      </w:r>
      <w:r w:rsidRPr="00FC1444">
        <w:rPr>
          <w:rFonts w:eastAsiaTheme="minorEastAsia"/>
          <w:snapToGrid w:val="0"/>
          <w:kern w:val="0"/>
          <w:sz w:val="24"/>
        </w:rPr>
        <w:t>地表水环境》（</w:t>
      </w:r>
      <w:r w:rsidRPr="00FC1444">
        <w:rPr>
          <w:rFonts w:eastAsiaTheme="minorEastAsia"/>
          <w:snapToGrid w:val="0"/>
          <w:kern w:val="0"/>
          <w:sz w:val="24"/>
        </w:rPr>
        <w:t>HJ2.3-2018</w:t>
      </w:r>
      <w:r w:rsidRPr="00FC1444">
        <w:rPr>
          <w:rFonts w:eastAsiaTheme="minorEastAsia"/>
          <w:snapToGrid w:val="0"/>
          <w:kern w:val="0"/>
          <w:sz w:val="24"/>
        </w:rPr>
        <w:t>），建设项目的地表水环境影响主要包括水污染影响与水文要素影响，本工程属于水污染及水文因素影响类兼有的复合影响型项目。</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1</w:t>
      </w:r>
      <w:r w:rsidRPr="00FC1444">
        <w:rPr>
          <w:rFonts w:eastAsiaTheme="minorEastAsia"/>
          <w:snapToGrid w:val="0"/>
          <w:kern w:val="0"/>
          <w:sz w:val="24"/>
        </w:rPr>
        <w:t>）水污染影响型建设项目评价等级确定</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根据《环境影响评价技术导则</w:t>
      </w:r>
      <w:r w:rsidRPr="00FC1444">
        <w:rPr>
          <w:rFonts w:eastAsiaTheme="minorEastAsia"/>
          <w:snapToGrid w:val="0"/>
          <w:kern w:val="0"/>
          <w:sz w:val="24"/>
        </w:rPr>
        <w:t xml:space="preserve"> </w:t>
      </w:r>
      <w:r w:rsidRPr="00FC1444">
        <w:rPr>
          <w:rFonts w:eastAsiaTheme="minorEastAsia"/>
          <w:snapToGrid w:val="0"/>
          <w:kern w:val="0"/>
          <w:sz w:val="24"/>
        </w:rPr>
        <w:t>地表水环境》（</w:t>
      </w:r>
      <w:r w:rsidRPr="00FC1444">
        <w:rPr>
          <w:rFonts w:eastAsiaTheme="minorEastAsia"/>
          <w:snapToGrid w:val="0"/>
          <w:kern w:val="0"/>
          <w:sz w:val="24"/>
        </w:rPr>
        <w:t>HJ2.3-2018</w:t>
      </w:r>
      <w:r w:rsidRPr="00FC1444">
        <w:rPr>
          <w:rFonts w:eastAsiaTheme="minorEastAsia"/>
          <w:snapToGrid w:val="0"/>
          <w:kern w:val="0"/>
          <w:sz w:val="24"/>
        </w:rPr>
        <w:t>）中的有关规定，将地表水环境影响评价工作等级分为一级、二级、三级</w:t>
      </w:r>
      <w:r w:rsidRPr="00FC1444">
        <w:rPr>
          <w:rFonts w:eastAsiaTheme="minorEastAsia"/>
          <w:snapToGrid w:val="0"/>
          <w:kern w:val="0"/>
          <w:sz w:val="24"/>
        </w:rPr>
        <w:t>A</w:t>
      </w:r>
      <w:r w:rsidRPr="00FC1444">
        <w:rPr>
          <w:rFonts w:eastAsiaTheme="minorEastAsia"/>
          <w:snapToGrid w:val="0"/>
          <w:kern w:val="0"/>
          <w:sz w:val="24"/>
        </w:rPr>
        <w:t>、三级</w:t>
      </w:r>
      <w:r w:rsidRPr="00FC1444">
        <w:rPr>
          <w:rFonts w:eastAsiaTheme="minorEastAsia"/>
          <w:snapToGrid w:val="0"/>
          <w:kern w:val="0"/>
          <w:sz w:val="24"/>
        </w:rPr>
        <w:t>B</w:t>
      </w:r>
      <w:r w:rsidRPr="00FC1444">
        <w:rPr>
          <w:rFonts w:eastAsiaTheme="minorEastAsia"/>
          <w:snapToGrid w:val="0"/>
          <w:kern w:val="0"/>
          <w:sz w:val="24"/>
        </w:rPr>
        <w:t>，划分依据见表</w:t>
      </w:r>
      <w:r w:rsidRPr="00FC1444">
        <w:rPr>
          <w:rFonts w:eastAsiaTheme="minorEastAsia"/>
          <w:snapToGrid w:val="0"/>
          <w:kern w:val="0"/>
          <w:sz w:val="24"/>
        </w:rPr>
        <w:t>2-6-1</w:t>
      </w:r>
      <w:r w:rsidRPr="00FC1444">
        <w:rPr>
          <w:rFonts w:eastAsiaTheme="minorEastAsia"/>
          <w:snapToGrid w:val="0"/>
          <w:kern w:val="0"/>
          <w:sz w:val="24"/>
        </w:rPr>
        <w:t>。</w:t>
      </w:r>
    </w:p>
    <w:p w:rsidR="002A5A5E" w:rsidRPr="00FC1444" w:rsidRDefault="00611CBA">
      <w:pPr>
        <w:contextualSpacing/>
        <w:jc w:val="center"/>
        <w:rPr>
          <w:rFonts w:eastAsiaTheme="minorEastAsia"/>
          <w:b/>
          <w:szCs w:val="21"/>
        </w:rPr>
      </w:pPr>
      <w:bookmarkStart w:id="47" w:name="_Hlk10134411"/>
      <w:r w:rsidRPr="00FC1444">
        <w:rPr>
          <w:rFonts w:eastAsiaTheme="minorEastAsia"/>
          <w:b/>
          <w:szCs w:val="21"/>
        </w:rPr>
        <w:t>表</w:t>
      </w:r>
      <w:r w:rsidRPr="00FC1444">
        <w:rPr>
          <w:rFonts w:eastAsiaTheme="minorEastAsia"/>
          <w:b/>
          <w:szCs w:val="21"/>
        </w:rPr>
        <w:t>2-6-1</w:t>
      </w:r>
      <w:r w:rsidRPr="00FC1444">
        <w:rPr>
          <w:rFonts w:eastAsiaTheme="minorEastAsia"/>
          <w:b/>
          <w:szCs w:val="21"/>
        </w:rPr>
        <w:t>地表水评价等级确定表</w:t>
      </w:r>
    </w:p>
    <w:tbl>
      <w:tblPr>
        <w:tblW w:w="8306" w:type="dxa"/>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1842"/>
        <w:gridCol w:w="2268"/>
        <w:gridCol w:w="4196"/>
      </w:tblGrid>
      <w:tr w:rsidR="002A5A5E" w:rsidRPr="00FC1444">
        <w:trPr>
          <w:jc w:val="center"/>
        </w:trPr>
        <w:tc>
          <w:tcPr>
            <w:tcW w:w="1842" w:type="dxa"/>
            <w:vMerge w:val="restart"/>
            <w:vAlign w:val="center"/>
          </w:tcPr>
          <w:bookmarkEnd w:id="47"/>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评价等级</w:t>
            </w:r>
          </w:p>
        </w:tc>
        <w:tc>
          <w:tcPr>
            <w:tcW w:w="6464" w:type="dxa"/>
            <w:gridSpan w:val="2"/>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判定依据</w:t>
            </w:r>
          </w:p>
        </w:tc>
      </w:tr>
      <w:tr w:rsidR="002A5A5E" w:rsidRPr="00FC1444">
        <w:trPr>
          <w:jc w:val="center"/>
        </w:trPr>
        <w:tc>
          <w:tcPr>
            <w:tcW w:w="1842" w:type="dxa"/>
            <w:vMerge/>
            <w:vAlign w:val="center"/>
          </w:tcPr>
          <w:p w:rsidR="002A5A5E" w:rsidRPr="00FC1444" w:rsidRDefault="002A5A5E">
            <w:pPr>
              <w:jc w:val="center"/>
              <w:rPr>
                <w:rFonts w:eastAsiaTheme="minorEastAsia"/>
                <w:snapToGrid w:val="0"/>
                <w:kern w:val="0"/>
                <w:lang w:val="zh-CN"/>
              </w:rPr>
            </w:pPr>
          </w:p>
        </w:tc>
        <w:tc>
          <w:tcPr>
            <w:tcW w:w="2268"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排放方式</w:t>
            </w:r>
          </w:p>
        </w:tc>
        <w:tc>
          <w:tcPr>
            <w:tcW w:w="4196"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废水排放量</w:t>
            </w:r>
            <w:r w:rsidRPr="00FC1444">
              <w:rPr>
                <w:rFonts w:eastAsiaTheme="minorEastAsia"/>
                <w:snapToGrid w:val="0"/>
                <w:kern w:val="0"/>
                <w:lang w:val="zh-CN"/>
              </w:rPr>
              <w:t>Q/</w:t>
            </w:r>
            <w:r w:rsidRPr="00FC1444">
              <w:rPr>
                <w:rFonts w:eastAsiaTheme="minorEastAsia"/>
                <w:snapToGrid w:val="0"/>
                <w:kern w:val="0"/>
                <w:lang w:val="zh-CN"/>
              </w:rPr>
              <w:t>（</w:t>
            </w:r>
            <w:r w:rsidRPr="00FC1444">
              <w:rPr>
                <w:rFonts w:eastAsiaTheme="minorEastAsia"/>
                <w:snapToGrid w:val="0"/>
                <w:kern w:val="0"/>
                <w:lang w:val="zh-CN"/>
              </w:rPr>
              <w:t>m</w:t>
            </w:r>
            <w:r w:rsidRPr="00FC1444">
              <w:rPr>
                <w:rFonts w:eastAsiaTheme="minorEastAsia"/>
                <w:snapToGrid w:val="0"/>
                <w:kern w:val="0"/>
                <w:vertAlign w:val="superscript"/>
                <w:lang w:val="zh-CN"/>
              </w:rPr>
              <w:t>3</w:t>
            </w:r>
            <w:r w:rsidRPr="00FC1444">
              <w:rPr>
                <w:rFonts w:eastAsiaTheme="minorEastAsia"/>
                <w:snapToGrid w:val="0"/>
                <w:kern w:val="0"/>
                <w:lang w:val="zh-CN"/>
              </w:rPr>
              <w:t>/d</w:t>
            </w:r>
            <w:r w:rsidRPr="00FC1444">
              <w:rPr>
                <w:rFonts w:eastAsiaTheme="minorEastAsia"/>
                <w:snapToGrid w:val="0"/>
                <w:kern w:val="0"/>
                <w:lang w:val="zh-CN"/>
              </w:rPr>
              <w:t>）；</w:t>
            </w:r>
          </w:p>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水污染物当量数</w:t>
            </w:r>
            <w:r w:rsidRPr="00FC1444">
              <w:rPr>
                <w:rFonts w:eastAsiaTheme="minorEastAsia"/>
                <w:snapToGrid w:val="0"/>
                <w:kern w:val="0"/>
                <w:lang w:val="zh-CN"/>
              </w:rPr>
              <w:t>W/</w:t>
            </w:r>
            <w:r w:rsidRPr="00FC1444">
              <w:rPr>
                <w:rFonts w:eastAsiaTheme="minorEastAsia"/>
                <w:snapToGrid w:val="0"/>
                <w:kern w:val="0"/>
                <w:lang w:val="zh-CN"/>
              </w:rPr>
              <w:t>（无量纲）</w:t>
            </w:r>
          </w:p>
        </w:tc>
      </w:tr>
      <w:tr w:rsidR="002A5A5E" w:rsidRPr="00FC1444">
        <w:trPr>
          <w:trHeight w:val="141"/>
          <w:jc w:val="center"/>
        </w:trPr>
        <w:tc>
          <w:tcPr>
            <w:tcW w:w="1842"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一级</w:t>
            </w:r>
          </w:p>
        </w:tc>
        <w:tc>
          <w:tcPr>
            <w:tcW w:w="2268"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直接排放</w:t>
            </w:r>
          </w:p>
        </w:tc>
        <w:tc>
          <w:tcPr>
            <w:tcW w:w="4196"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Q≥20000</w:t>
            </w:r>
            <w:r w:rsidRPr="00FC1444">
              <w:rPr>
                <w:rFonts w:eastAsiaTheme="minorEastAsia"/>
                <w:snapToGrid w:val="0"/>
                <w:kern w:val="0"/>
                <w:lang w:val="zh-CN"/>
              </w:rPr>
              <w:t>或</w:t>
            </w:r>
            <w:r w:rsidRPr="00FC1444">
              <w:rPr>
                <w:rFonts w:eastAsiaTheme="minorEastAsia"/>
                <w:snapToGrid w:val="0"/>
                <w:kern w:val="0"/>
                <w:lang w:val="zh-CN"/>
              </w:rPr>
              <w:t>W≥600000</w:t>
            </w:r>
          </w:p>
        </w:tc>
      </w:tr>
      <w:tr w:rsidR="002A5A5E" w:rsidRPr="00FC1444">
        <w:trPr>
          <w:jc w:val="center"/>
        </w:trPr>
        <w:tc>
          <w:tcPr>
            <w:tcW w:w="1842"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二级</w:t>
            </w:r>
          </w:p>
        </w:tc>
        <w:tc>
          <w:tcPr>
            <w:tcW w:w="2268"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直接排放</w:t>
            </w:r>
          </w:p>
        </w:tc>
        <w:tc>
          <w:tcPr>
            <w:tcW w:w="4196"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其他</w:t>
            </w:r>
          </w:p>
        </w:tc>
      </w:tr>
      <w:tr w:rsidR="002A5A5E" w:rsidRPr="00FC1444">
        <w:trPr>
          <w:jc w:val="center"/>
        </w:trPr>
        <w:tc>
          <w:tcPr>
            <w:tcW w:w="1842"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rPr>
              <w:t>三级</w:t>
            </w:r>
            <w:r w:rsidRPr="00FC1444">
              <w:rPr>
                <w:rFonts w:eastAsiaTheme="minorEastAsia"/>
                <w:snapToGrid w:val="0"/>
                <w:kern w:val="0"/>
              </w:rPr>
              <w:t>A</w:t>
            </w:r>
          </w:p>
        </w:tc>
        <w:tc>
          <w:tcPr>
            <w:tcW w:w="2268"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直接排放</w:t>
            </w:r>
          </w:p>
        </w:tc>
        <w:tc>
          <w:tcPr>
            <w:tcW w:w="4196"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Q</w:t>
            </w:r>
            <w:r w:rsidRPr="00FC1444">
              <w:rPr>
                <w:rFonts w:eastAsiaTheme="minorEastAsia"/>
                <w:snapToGrid w:val="0"/>
                <w:kern w:val="0"/>
                <w:lang w:val="zh-CN"/>
              </w:rPr>
              <w:t>＜</w:t>
            </w:r>
            <w:r w:rsidRPr="00FC1444">
              <w:rPr>
                <w:rFonts w:eastAsiaTheme="minorEastAsia"/>
                <w:snapToGrid w:val="0"/>
                <w:kern w:val="0"/>
                <w:lang w:val="zh-CN"/>
              </w:rPr>
              <w:t>200</w:t>
            </w:r>
            <w:r w:rsidRPr="00FC1444">
              <w:rPr>
                <w:rFonts w:eastAsiaTheme="minorEastAsia"/>
                <w:snapToGrid w:val="0"/>
                <w:kern w:val="0"/>
                <w:lang w:val="zh-CN"/>
              </w:rPr>
              <w:t>或</w:t>
            </w:r>
            <w:r w:rsidRPr="00FC1444">
              <w:rPr>
                <w:rFonts w:eastAsiaTheme="minorEastAsia"/>
                <w:snapToGrid w:val="0"/>
                <w:kern w:val="0"/>
                <w:lang w:val="zh-CN"/>
              </w:rPr>
              <w:t>W</w:t>
            </w:r>
            <w:r w:rsidRPr="00FC1444">
              <w:rPr>
                <w:rFonts w:eastAsiaTheme="minorEastAsia"/>
                <w:snapToGrid w:val="0"/>
                <w:kern w:val="0"/>
                <w:lang w:val="zh-CN"/>
              </w:rPr>
              <w:t>＜</w:t>
            </w:r>
            <w:r w:rsidRPr="00FC1444">
              <w:rPr>
                <w:rFonts w:eastAsiaTheme="minorEastAsia"/>
                <w:snapToGrid w:val="0"/>
                <w:kern w:val="0"/>
                <w:lang w:val="zh-CN"/>
              </w:rPr>
              <w:t>6000</w:t>
            </w:r>
          </w:p>
        </w:tc>
      </w:tr>
      <w:tr w:rsidR="002A5A5E" w:rsidRPr="00FC1444">
        <w:trPr>
          <w:jc w:val="center"/>
        </w:trPr>
        <w:tc>
          <w:tcPr>
            <w:tcW w:w="1842" w:type="dxa"/>
            <w:vAlign w:val="center"/>
          </w:tcPr>
          <w:p w:rsidR="002A5A5E" w:rsidRPr="00FC1444" w:rsidRDefault="00611CBA">
            <w:pPr>
              <w:jc w:val="center"/>
              <w:rPr>
                <w:rFonts w:eastAsiaTheme="minorEastAsia"/>
                <w:snapToGrid w:val="0"/>
                <w:kern w:val="0"/>
              </w:rPr>
            </w:pPr>
            <w:r w:rsidRPr="00FC1444">
              <w:rPr>
                <w:rFonts w:eastAsiaTheme="minorEastAsia"/>
                <w:snapToGrid w:val="0"/>
                <w:kern w:val="0"/>
              </w:rPr>
              <w:t>三级</w:t>
            </w:r>
            <w:r w:rsidRPr="00FC1444">
              <w:rPr>
                <w:rFonts w:eastAsiaTheme="minorEastAsia"/>
                <w:snapToGrid w:val="0"/>
                <w:kern w:val="0"/>
              </w:rPr>
              <w:t>B</w:t>
            </w:r>
          </w:p>
        </w:tc>
        <w:tc>
          <w:tcPr>
            <w:tcW w:w="2268"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间接排放</w:t>
            </w:r>
          </w:p>
        </w:tc>
        <w:tc>
          <w:tcPr>
            <w:tcW w:w="4196" w:type="dxa"/>
            <w:vAlign w:val="center"/>
          </w:tcPr>
          <w:p w:rsidR="002A5A5E" w:rsidRPr="00FC1444" w:rsidRDefault="00611CBA">
            <w:pPr>
              <w:jc w:val="center"/>
              <w:rPr>
                <w:rFonts w:eastAsiaTheme="minorEastAsia"/>
                <w:snapToGrid w:val="0"/>
                <w:kern w:val="0"/>
                <w:lang w:val="zh-CN"/>
              </w:rPr>
            </w:pPr>
            <w:r w:rsidRPr="00FC1444">
              <w:rPr>
                <w:rFonts w:eastAsiaTheme="minorEastAsia"/>
                <w:snapToGrid w:val="0"/>
                <w:kern w:val="0"/>
                <w:lang w:val="zh-CN"/>
              </w:rPr>
              <w:t>/</w:t>
            </w:r>
          </w:p>
        </w:tc>
      </w:tr>
      <w:tr w:rsidR="002A5A5E" w:rsidRPr="00FC1444">
        <w:trPr>
          <w:trHeight w:val="6582"/>
          <w:jc w:val="center"/>
        </w:trPr>
        <w:tc>
          <w:tcPr>
            <w:tcW w:w="8306" w:type="dxa"/>
            <w:gridSpan w:val="3"/>
            <w:vAlign w:val="center"/>
          </w:tcPr>
          <w:p w:rsidR="002A5A5E" w:rsidRPr="00FC1444" w:rsidRDefault="00611CBA">
            <w:pPr>
              <w:pStyle w:val="aff7"/>
              <w:ind w:firstLine="319"/>
              <w:jc w:val="both"/>
              <w:rPr>
                <w:rFonts w:eastAsiaTheme="minorEastAsia" w:hAnsi="Times New Roman"/>
                <w:sz w:val="18"/>
                <w:szCs w:val="22"/>
              </w:rPr>
            </w:pPr>
            <w:r w:rsidRPr="00FC1444">
              <w:rPr>
                <w:rFonts w:eastAsiaTheme="minorEastAsia" w:hAnsi="Times New Roman"/>
                <w:sz w:val="18"/>
                <w:szCs w:val="22"/>
              </w:rPr>
              <w:lastRenderedPageBreak/>
              <w:t>注</w:t>
            </w:r>
            <w:r w:rsidRPr="00FC1444">
              <w:rPr>
                <w:rFonts w:eastAsiaTheme="minorEastAsia" w:hAnsi="Times New Roman"/>
                <w:sz w:val="18"/>
                <w:szCs w:val="22"/>
              </w:rPr>
              <w:t>1</w:t>
            </w:r>
            <w:r w:rsidRPr="00FC1444">
              <w:rPr>
                <w:rFonts w:eastAsiaTheme="minorEastAsia" w:hAnsi="Times New Roman"/>
                <w:sz w:val="18"/>
                <w:szCs w:val="22"/>
              </w:rPr>
              <w:t>：水污染物当量数等于该污染物的年排放量除以该污染物的污染当量值（见附录</w:t>
            </w:r>
            <w:r w:rsidRPr="00FC1444">
              <w:rPr>
                <w:rFonts w:eastAsiaTheme="minorEastAsia" w:hAnsi="Times New Roman"/>
                <w:sz w:val="18"/>
                <w:szCs w:val="22"/>
              </w:rPr>
              <w:t>A</w:t>
            </w:r>
            <w:r w:rsidRPr="00FC1444">
              <w:rPr>
                <w:rFonts w:eastAsiaTheme="minorEastAsia" w:hAnsi="Times New Roman"/>
                <w:sz w:val="18"/>
                <w:szCs w:val="22"/>
              </w:rPr>
              <w:t>），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rsidR="002A5A5E" w:rsidRPr="00FC1444" w:rsidRDefault="00611CBA">
            <w:pPr>
              <w:pStyle w:val="aff7"/>
              <w:ind w:firstLine="319"/>
              <w:jc w:val="both"/>
              <w:rPr>
                <w:rFonts w:eastAsiaTheme="minorEastAsia" w:hAnsi="Times New Roman"/>
                <w:sz w:val="18"/>
                <w:szCs w:val="22"/>
              </w:rPr>
            </w:pPr>
            <w:r w:rsidRPr="00FC1444">
              <w:rPr>
                <w:rFonts w:eastAsiaTheme="minorEastAsia" w:hAnsi="Times New Roman"/>
                <w:sz w:val="18"/>
                <w:szCs w:val="22"/>
              </w:rPr>
              <w:t>注</w:t>
            </w:r>
            <w:r w:rsidRPr="00FC1444">
              <w:rPr>
                <w:rFonts w:eastAsiaTheme="minorEastAsia" w:hAnsi="Times New Roman"/>
                <w:sz w:val="18"/>
                <w:szCs w:val="22"/>
              </w:rPr>
              <w:t>2</w:t>
            </w:r>
            <w:r w:rsidRPr="00FC1444">
              <w:rPr>
                <w:rFonts w:eastAsiaTheme="minorEastAsia" w:hAnsi="Times New Roman"/>
                <w:sz w:val="18"/>
                <w:szCs w:val="22"/>
              </w:rPr>
              <w:t>：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rsidR="002A5A5E" w:rsidRPr="00FC1444" w:rsidRDefault="00611CBA">
            <w:pPr>
              <w:pStyle w:val="aff7"/>
              <w:ind w:firstLine="319"/>
              <w:jc w:val="both"/>
              <w:rPr>
                <w:rFonts w:eastAsiaTheme="minorEastAsia" w:hAnsi="Times New Roman"/>
                <w:sz w:val="18"/>
                <w:szCs w:val="22"/>
              </w:rPr>
            </w:pPr>
            <w:r w:rsidRPr="00FC1444">
              <w:rPr>
                <w:rFonts w:eastAsiaTheme="minorEastAsia" w:hAnsi="Times New Roman"/>
                <w:sz w:val="18"/>
                <w:szCs w:val="22"/>
              </w:rPr>
              <w:t>注</w:t>
            </w:r>
            <w:r w:rsidRPr="00FC1444">
              <w:rPr>
                <w:rFonts w:eastAsiaTheme="minorEastAsia" w:hAnsi="Times New Roman"/>
                <w:sz w:val="18"/>
                <w:szCs w:val="22"/>
              </w:rPr>
              <w:t>3</w:t>
            </w:r>
            <w:r w:rsidRPr="00FC1444">
              <w:rPr>
                <w:rFonts w:eastAsiaTheme="minorEastAsia" w:hAnsi="Times New Roman"/>
                <w:sz w:val="18"/>
                <w:szCs w:val="22"/>
              </w:rPr>
              <w:t>：厂区存在堆积物（露天堆放的原料、燃料、废渣等以及垃圾堆放场）、降尘污染的，应将初期雨污水纳入废水排放量，相应的主要污染物纳入水污染当量计算。</w:t>
            </w:r>
          </w:p>
          <w:p w:rsidR="002A5A5E" w:rsidRPr="00FC1444" w:rsidRDefault="00611CBA">
            <w:pPr>
              <w:pStyle w:val="aff7"/>
              <w:ind w:firstLine="319"/>
              <w:jc w:val="both"/>
              <w:rPr>
                <w:rFonts w:eastAsiaTheme="minorEastAsia" w:hAnsi="Times New Roman"/>
                <w:sz w:val="18"/>
                <w:szCs w:val="22"/>
              </w:rPr>
            </w:pPr>
            <w:r w:rsidRPr="00FC1444">
              <w:rPr>
                <w:rFonts w:eastAsiaTheme="minorEastAsia" w:hAnsi="Times New Roman"/>
                <w:sz w:val="18"/>
                <w:szCs w:val="22"/>
              </w:rPr>
              <w:t>注</w:t>
            </w:r>
            <w:r w:rsidRPr="00FC1444">
              <w:rPr>
                <w:rFonts w:eastAsiaTheme="minorEastAsia" w:hAnsi="Times New Roman"/>
                <w:sz w:val="18"/>
                <w:szCs w:val="22"/>
              </w:rPr>
              <w:t>4</w:t>
            </w:r>
            <w:r w:rsidRPr="00FC1444">
              <w:rPr>
                <w:rFonts w:eastAsiaTheme="minorEastAsia" w:hAnsi="Times New Roman"/>
                <w:sz w:val="18"/>
                <w:szCs w:val="22"/>
              </w:rPr>
              <w:t>：建设项目直接排放第一类污染物的，其评价等级为一级；建设项目直接排放的污染物为受纳水体超标因子的，评价等级不低于二级。</w:t>
            </w:r>
          </w:p>
          <w:p w:rsidR="002A5A5E" w:rsidRPr="00FC1444" w:rsidRDefault="00611CBA">
            <w:pPr>
              <w:pStyle w:val="aff7"/>
              <w:ind w:firstLine="319"/>
              <w:jc w:val="both"/>
              <w:rPr>
                <w:rFonts w:eastAsiaTheme="minorEastAsia" w:hAnsi="Times New Roman"/>
                <w:sz w:val="18"/>
                <w:szCs w:val="22"/>
              </w:rPr>
            </w:pPr>
            <w:r w:rsidRPr="00FC1444">
              <w:rPr>
                <w:rFonts w:eastAsiaTheme="minorEastAsia" w:hAnsi="Times New Roman"/>
                <w:sz w:val="18"/>
                <w:szCs w:val="22"/>
              </w:rPr>
              <w:t>注</w:t>
            </w:r>
            <w:r w:rsidRPr="00FC1444">
              <w:rPr>
                <w:rFonts w:eastAsiaTheme="minorEastAsia" w:hAnsi="Times New Roman"/>
                <w:sz w:val="18"/>
                <w:szCs w:val="22"/>
              </w:rPr>
              <w:t>5</w:t>
            </w:r>
            <w:r w:rsidRPr="00FC1444">
              <w:rPr>
                <w:rFonts w:eastAsiaTheme="minorEastAsia" w:hAnsi="Times New Roman"/>
                <w:sz w:val="18"/>
                <w:szCs w:val="22"/>
              </w:rPr>
              <w:t>：直接排放受纳水体影响范围涉及饮用水水源保护区、饮用水取水口、重点保护与珍稀水生生物的栖息地、重要水生生物的自然产卵场等保护目标时，评价等级不低于二级。</w:t>
            </w:r>
          </w:p>
          <w:p w:rsidR="002A5A5E" w:rsidRPr="00FC1444" w:rsidRDefault="00611CBA">
            <w:pPr>
              <w:pStyle w:val="aff7"/>
              <w:ind w:firstLine="319"/>
              <w:jc w:val="both"/>
              <w:rPr>
                <w:rFonts w:eastAsiaTheme="minorEastAsia" w:hAnsi="Times New Roman"/>
                <w:b/>
                <w:snapToGrid w:val="0"/>
                <w:kern w:val="0"/>
                <w:lang w:val="zh-CN"/>
              </w:rPr>
            </w:pPr>
            <w:r w:rsidRPr="00FC1444">
              <w:rPr>
                <w:rFonts w:eastAsiaTheme="minorEastAsia" w:hAnsi="Times New Roman"/>
                <w:sz w:val="18"/>
                <w:szCs w:val="22"/>
              </w:rPr>
              <w:t>注</w:t>
            </w:r>
            <w:r w:rsidRPr="00FC1444">
              <w:rPr>
                <w:rFonts w:eastAsiaTheme="minorEastAsia" w:hAnsi="Times New Roman"/>
                <w:sz w:val="18"/>
                <w:szCs w:val="22"/>
              </w:rPr>
              <w:t>6</w:t>
            </w:r>
            <w:r w:rsidRPr="00FC1444">
              <w:rPr>
                <w:rFonts w:eastAsiaTheme="minorEastAsia" w:hAnsi="Times New Roman"/>
                <w:sz w:val="18"/>
                <w:szCs w:val="22"/>
              </w:rPr>
              <w:t>：建设项目向河流、湖库排放温排水引起受纳水体水温变化超过水环境质量标准要求，且评价范围有水温敏感目标时，评价等级为一级。</w:t>
            </w:r>
          </w:p>
          <w:p w:rsidR="002A5A5E" w:rsidRPr="00FC1444" w:rsidRDefault="00611CBA">
            <w:pPr>
              <w:pStyle w:val="aff7"/>
              <w:ind w:firstLine="319"/>
              <w:jc w:val="both"/>
              <w:rPr>
                <w:rFonts w:eastAsiaTheme="minorEastAsia" w:hAnsi="Times New Roman"/>
                <w:sz w:val="18"/>
                <w:szCs w:val="22"/>
              </w:rPr>
            </w:pPr>
            <w:r w:rsidRPr="00FC1444">
              <w:rPr>
                <w:rFonts w:eastAsiaTheme="minorEastAsia" w:hAnsi="Times New Roman"/>
                <w:sz w:val="18"/>
                <w:szCs w:val="22"/>
              </w:rPr>
              <w:t>注</w:t>
            </w:r>
            <w:r w:rsidRPr="00FC1444">
              <w:rPr>
                <w:rFonts w:eastAsiaTheme="minorEastAsia" w:hAnsi="Times New Roman"/>
                <w:sz w:val="18"/>
                <w:szCs w:val="22"/>
              </w:rPr>
              <w:t>7</w:t>
            </w:r>
            <w:r w:rsidRPr="00FC1444">
              <w:rPr>
                <w:rFonts w:eastAsiaTheme="minorEastAsia" w:hAnsi="Times New Roman"/>
                <w:sz w:val="18"/>
                <w:szCs w:val="22"/>
              </w:rPr>
              <w:t>：建设项目利用海水作为调节温度介质，排水量</w:t>
            </w:r>
            <w:r w:rsidRPr="00FC1444">
              <w:rPr>
                <w:rFonts w:eastAsiaTheme="minorEastAsia" w:hAnsi="Times New Roman"/>
                <w:sz w:val="18"/>
                <w:szCs w:val="22"/>
              </w:rPr>
              <w:t>≥500</w:t>
            </w:r>
            <w:r w:rsidRPr="00FC1444">
              <w:rPr>
                <w:rFonts w:eastAsiaTheme="minorEastAsia" w:hAnsi="Times New Roman"/>
                <w:sz w:val="18"/>
                <w:szCs w:val="22"/>
              </w:rPr>
              <w:t>万</w:t>
            </w:r>
            <w:r w:rsidRPr="00FC1444">
              <w:rPr>
                <w:rFonts w:eastAsiaTheme="minorEastAsia" w:hAnsi="Times New Roman"/>
                <w:sz w:val="18"/>
                <w:szCs w:val="22"/>
              </w:rPr>
              <w:t>m</w:t>
            </w:r>
            <w:r w:rsidRPr="00FC1444">
              <w:rPr>
                <w:rFonts w:eastAsiaTheme="minorEastAsia" w:hAnsi="Times New Roman"/>
                <w:sz w:val="18"/>
                <w:szCs w:val="22"/>
                <w:vertAlign w:val="superscript"/>
              </w:rPr>
              <w:t>3</w:t>
            </w:r>
            <w:r w:rsidRPr="00FC1444">
              <w:rPr>
                <w:rFonts w:eastAsiaTheme="minorEastAsia" w:hAnsi="Times New Roman"/>
                <w:sz w:val="18"/>
                <w:szCs w:val="22"/>
              </w:rPr>
              <w:t>/d</w:t>
            </w:r>
            <w:r w:rsidRPr="00FC1444">
              <w:rPr>
                <w:rFonts w:eastAsiaTheme="minorEastAsia" w:hAnsi="Times New Roman"/>
                <w:sz w:val="18"/>
                <w:szCs w:val="22"/>
              </w:rPr>
              <w:t>，评价等级为一级；排水量＜</w:t>
            </w:r>
            <w:r w:rsidRPr="00FC1444">
              <w:rPr>
                <w:rFonts w:eastAsiaTheme="minorEastAsia" w:hAnsi="Times New Roman"/>
                <w:sz w:val="18"/>
                <w:szCs w:val="22"/>
              </w:rPr>
              <w:t>500</w:t>
            </w:r>
            <w:r w:rsidRPr="00FC1444">
              <w:rPr>
                <w:rFonts w:eastAsiaTheme="minorEastAsia" w:hAnsi="Times New Roman"/>
                <w:sz w:val="18"/>
                <w:szCs w:val="22"/>
              </w:rPr>
              <w:t>万</w:t>
            </w:r>
            <w:r w:rsidRPr="00FC1444">
              <w:rPr>
                <w:rFonts w:eastAsiaTheme="minorEastAsia" w:hAnsi="Times New Roman"/>
                <w:sz w:val="18"/>
                <w:szCs w:val="22"/>
              </w:rPr>
              <w:t>m</w:t>
            </w:r>
            <w:r w:rsidRPr="00FC1444">
              <w:rPr>
                <w:rFonts w:eastAsiaTheme="minorEastAsia" w:hAnsi="Times New Roman"/>
                <w:sz w:val="18"/>
                <w:szCs w:val="22"/>
                <w:vertAlign w:val="superscript"/>
              </w:rPr>
              <w:t>3</w:t>
            </w:r>
            <w:r w:rsidRPr="00FC1444">
              <w:rPr>
                <w:rFonts w:eastAsiaTheme="minorEastAsia" w:hAnsi="Times New Roman"/>
                <w:sz w:val="18"/>
                <w:szCs w:val="22"/>
              </w:rPr>
              <w:t>/d</w:t>
            </w:r>
            <w:r w:rsidRPr="00FC1444">
              <w:rPr>
                <w:rFonts w:eastAsiaTheme="minorEastAsia" w:hAnsi="Times New Roman"/>
                <w:sz w:val="18"/>
                <w:szCs w:val="22"/>
              </w:rPr>
              <w:t>，评价等级为二级。</w:t>
            </w:r>
          </w:p>
          <w:p w:rsidR="002A5A5E" w:rsidRPr="00FC1444" w:rsidRDefault="00611CBA">
            <w:pPr>
              <w:pStyle w:val="aff7"/>
              <w:ind w:firstLine="319"/>
              <w:jc w:val="both"/>
              <w:rPr>
                <w:rFonts w:eastAsiaTheme="minorEastAsia" w:hAnsi="Times New Roman"/>
                <w:sz w:val="18"/>
                <w:szCs w:val="22"/>
              </w:rPr>
            </w:pPr>
            <w:r w:rsidRPr="00FC1444">
              <w:rPr>
                <w:rFonts w:eastAsiaTheme="minorEastAsia" w:hAnsi="Times New Roman"/>
                <w:sz w:val="18"/>
                <w:szCs w:val="22"/>
              </w:rPr>
              <w:t>注</w:t>
            </w:r>
            <w:r w:rsidRPr="00FC1444">
              <w:rPr>
                <w:rFonts w:eastAsiaTheme="minorEastAsia" w:hAnsi="Times New Roman"/>
                <w:sz w:val="18"/>
                <w:szCs w:val="22"/>
              </w:rPr>
              <w:t>8</w:t>
            </w:r>
            <w:r w:rsidRPr="00FC1444">
              <w:rPr>
                <w:rFonts w:eastAsiaTheme="minorEastAsia" w:hAnsi="Times New Roman"/>
                <w:sz w:val="18"/>
                <w:szCs w:val="22"/>
              </w:rPr>
              <w:t>：仅涉及清净下水排放的，如其排放水质满足受纳水体水环境质量标准要求的，评价等级为三级</w:t>
            </w:r>
            <w:r w:rsidRPr="00FC1444">
              <w:rPr>
                <w:rFonts w:eastAsiaTheme="minorEastAsia" w:hAnsi="Times New Roman"/>
                <w:sz w:val="18"/>
                <w:szCs w:val="22"/>
              </w:rPr>
              <w:t xml:space="preserve"> A</w:t>
            </w:r>
            <w:r w:rsidRPr="00FC1444">
              <w:rPr>
                <w:rFonts w:eastAsiaTheme="minorEastAsia" w:hAnsi="Times New Roman"/>
                <w:sz w:val="18"/>
                <w:szCs w:val="22"/>
              </w:rPr>
              <w:t>。</w:t>
            </w:r>
          </w:p>
          <w:p w:rsidR="002A5A5E" w:rsidRPr="00FC1444" w:rsidRDefault="00611CBA">
            <w:pPr>
              <w:pStyle w:val="aff7"/>
              <w:ind w:firstLine="319"/>
              <w:jc w:val="both"/>
              <w:rPr>
                <w:rFonts w:eastAsiaTheme="minorEastAsia" w:hAnsi="Times New Roman"/>
                <w:sz w:val="18"/>
                <w:szCs w:val="22"/>
              </w:rPr>
            </w:pPr>
            <w:r w:rsidRPr="00FC1444">
              <w:rPr>
                <w:rFonts w:eastAsiaTheme="minorEastAsia" w:hAnsi="Times New Roman"/>
                <w:sz w:val="18"/>
                <w:szCs w:val="22"/>
              </w:rPr>
              <w:t>注</w:t>
            </w:r>
            <w:r w:rsidRPr="00FC1444">
              <w:rPr>
                <w:rFonts w:eastAsiaTheme="minorEastAsia" w:hAnsi="Times New Roman"/>
                <w:sz w:val="18"/>
                <w:szCs w:val="22"/>
              </w:rPr>
              <w:t>9</w:t>
            </w:r>
            <w:r w:rsidRPr="00FC1444">
              <w:rPr>
                <w:rFonts w:eastAsiaTheme="minorEastAsia" w:hAnsi="Times New Roman"/>
                <w:sz w:val="18"/>
                <w:szCs w:val="22"/>
              </w:rPr>
              <w:t>：依托现有排放口，且对外环境未新增排放污染物的直接排放建设项目，评价等级参照间接排放，定为三级</w:t>
            </w:r>
            <w:r w:rsidRPr="00FC1444">
              <w:rPr>
                <w:rFonts w:eastAsiaTheme="minorEastAsia" w:hAnsi="Times New Roman"/>
                <w:sz w:val="18"/>
                <w:szCs w:val="22"/>
              </w:rPr>
              <w:t>B</w:t>
            </w:r>
            <w:r w:rsidRPr="00FC1444">
              <w:rPr>
                <w:rFonts w:eastAsiaTheme="minorEastAsia" w:hAnsi="Times New Roman"/>
                <w:sz w:val="18"/>
                <w:szCs w:val="22"/>
              </w:rPr>
              <w:t>。</w:t>
            </w:r>
          </w:p>
          <w:p w:rsidR="002A5A5E" w:rsidRPr="00FC1444" w:rsidRDefault="00611CBA">
            <w:pPr>
              <w:pStyle w:val="aff7"/>
              <w:ind w:firstLine="319"/>
              <w:jc w:val="both"/>
              <w:rPr>
                <w:rFonts w:eastAsiaTheme="minorEastAsia" w:hAnsi="Times New Roman"/>
                <w:snapToGrid w:val="0"/>
                <w:kern w:val="0"/>
                <w:lang w:val="zh-CN"/>
              </w:rPr>
            </w:pPr>
            <w:r w:rsidRPr="00FC1444">
              <w:rPr>
                <w:rFonts w:eastAsiaTheme="minorEastAsia" w:hAnsi="Times New Roman"/>
                <w:sz w:val="18"/>
                <w:szCs w:val="22"/>
              </w:rPr>
              <w:t>注</w:t>
            </w:r>
            <w:r w:rsidRPr="00FC1444">
              <w:rPr>
                <w:rFonts w:eastAsiaTheme="minorEastAsia" w:hAnsi="Times New Roman"/>
                <w:sz w:val="18"/>
                <w:szCs w:val="22"/>
              </w:rPr>
              <w:t>10</w:t>
            </w:r>
            <w:r w:rsidRPr="00FC1444">
              <w:rPr>
                <w:rFonts w:eastAsiaTheme="minorEastAsia" w:hAnsi="Times New Roman"/>
                <w:sz w:val="18"/>
                <w:szCs w:val="22"/>
              </w:rPr>
              <w:t>：建设项目生产工艺中有废水产生，但作为回水利用，不排放到外环境的，按三级</w:t>
            </w:r>
            <w:r w:rsidRPr="00FC1444">
              <w:rPr>
                <w:rFonts w:eastAsiaTheme="minorEastAsia" w:hAnsi="Times New Roman"/>
                <w:sz w:val="18"/>
                <w:szCs w:val="22"/>
              </w:rPr>
              <w:t>B</w:t>
            </w:r>
            <w:r w:rsidRPr="00FC1444">
              <w:rPr>
                <w:rFonts w:eastAsiaTheme="minorEastAsia" w:hAnsi="Times New Roman"/>
                <w:sz w:val="18"/>
                <w:szCs w:val="22"/>
              </w:rPr>
              <w:t>评价。</w:t>
            </w:r>
          </w:p>
        </w:tc>
      </w:tr>
    </w:tbl>
    <w:p w:rsidR="002A5A5E" w:rsidRPr="00FC1444" w:rsidRDefault="00611CBA">
      <w:pPr>
        <w:spacing w:line="360" w:lineRule="auto"/>
        <w:ind w:firstLineChars="200" w:firstLine="480"/>
        <w:rPr>
          <w:rFonts w:eastAsiaTheme="minorEastAsia"/>
          <w:sz w:val="24"/>
        </w:rPr>
      </w:pPr>
      <w:r w:rsidRPr="00FC1444">
        <w:rPr>
          <w:rFonts w:eastAsiaTheme="minorEastAsia"/>
          <w:sz w:val="24"/>
          <w:szCs w:val="21"/>
        </w:rPr>
        <w:t>本项目</w:t>
      </w:r>
      <w:r w:rsidRPr="00FC1444">
        <w:rPr>
          <w:rFonts w:eastAsiaTheme="minorEastAsia"/>
          <w:sz w:val="24"/>
        </w:rPr>
        <w:t>施工期</w:t>
      </w:r>
      <w:r w:rsidRPr="00FC1444">
        <w:rPr>
          <w:rFonts w:eastAsiaTheme="minorEastAsia"/>
          <w:bCs/>
          <w:sz w:val="24"/>
        </w:rPr>
        <w:t>生活污水依托附近民房防渗旱厕，定期清掏，外运堆肥，不外排</w:t>
      </w:r>
      <w:r w:rsidRPr="00FC1444">
        <w:rPr>
          <w:rFonts w:eastAsiaTheme="minorEastAsia"/>
          <w:sz w:val="24"/>
        </w:rPr>
        <w:t>。洗井废水用于洒水降尘，不外排。</w:t>
      </w:r>
    </w:p>
    <w:p w:rsidR="002A5A5E" w:rsidRPr="00FC1444" w:rsidRDefault="00611CBA">
      <w:pPr>
        <w:spacing w:line="360" w:lineRule="auto"/>
        <w:ind w:firstLineChars="200" w:firstLine="480"/>
        <w:rPr>
          <w:rFonts w:eastAsiaTheme="minorEastAsia"/>
          <w:sz w:val="24"/>
        </w:rPr>
      </w:pPr>
      <w:r w:rsidRPr="00FC1444">
        <w:rPr>
          <w:rFonts w:eastAsiaTheme="minorEastAsia"/>
          <w:sz w:val="24"/>
          <w:szCs w:val="21"/>
        </w:rPr>
        <w:t>本项目为改扩建项目，运营期</w:t>
      </w:r>
      <w:r w:rsidRPr="00FC1444">
        <w:rPr>
          <w:rFonts w:eastAsiaTheme="minorEastAsia"/>
          <w:sz w:val="24"/>
        </w:rPr>
        <w:t>项目现有水田退水口利用现有。</w:t>
      </w:r>
      <w:r w:rsidR="00AC69F4" w:rsidRPr="00FC1444">
        <w:rPr>
          <w:rFonts w:eastAsiaTheme="minorEastAsia"/>
          <w:sz w:val="24"/>
        </w:rPr>
        <w:t>排水承泄区为津河、呼兰河、努敏河</w:t>
      </w:r>
      <w:r w:rsidRPr="00FC1444">
        <w:rPr>
          <w:rFonts w:eastAsiaTheme="minorEastAsia"/>
          <w:kern w:val="0"/>
          <w:sz w:val="24"/>
        </w:rPr>
        <w:t>。</w:t>
      </w:r>
      <w:r w:rsidRPr="00FC1444">
        <w:rPr>
          <w:rFonts w:eastAsiaTheme="minorEastAsia"/>
          <w:sz w:val="24"/>
        </w:rPr>
        <w:t>不涉及重点保护与珍稀水生生物的栖息地、重要水生生物的自然产卵场。</w:t>
      </w:r>
    </w:p>
    <w:p w:rsidR="00AE6DC7" w:rsidRPr="00FC1444" w:rsidRDefault="00AE6DC7" w:rsidP="00AE6DC7">
      <w:pPr>
        <w:pStyle w:val="1120"/>
        <w:spacing w:line="360" w:lineRule="auto"/>
        <w:ind w:firstLine="480"/>
        <w:rPr>
          <w:rFonts w:ascii="Times New Roman" w:eastAsiaTheme="minorEastAsia" w:hAnsi="Times New Roman" w:cs="Times New Roman"/>
          <w:color w:val="auto"/>
          <w:sz w:val="24"/>
          <w:szCs w:val="24"/>
        </w:rPr>
      </w:pPr>
      <w:r w:rsidRPr="00FC1444">
        <w:rPr>
          <w:rFonts w:ascii="Times New Roman" w:eastAsiaTheme="minorEastAsia" w:hAnsi="Times New Roman" w:cs="Times New Roman"/>
          <w:color w:val="auto"/>
          <w:sz w:val="24"/>
          <w:szCs w:val="24"/>
        </w:rPr>
        <w:t>项目区域</w:t>
      </w:r>
      <w:r w:rsidRPr="00FC1444">
        <w:rPr>
          <w:rFonts w:ascii="Times New Roman" w:eastAsiaTheme="minorEastAsia" w:hAnsi="Times New Roman" w:cs="Times New Roman"/>
          <w:color w:val="auto"/>
          <w:kern w:val="0"/>
          <w:sz w:val="24"/>
        </w:rPr>
        <w:t>现有</w:t>
      </w:r>
      <w:r w:rsidR="00D12015" w:rsidRPr="00FC1444">
        <w:rPr>
          <w:rFonts w:ascii="Times New Roman" w:eastAsiaTheme="minorEastAsia" w:hAnsi="Times New Roman" w:cs="Times New Roman"/>
          <w:color w:val="auto"/>
          <w:sz w:val="24"/>
          <w:szCs w:val="24"/>
        </w:rPr>
        <w:t>9.16</w:t>
      </w:r>
      <w:r w:rsidRPr="00FC1444">
        <w:rPr>
          <w:rFonts w:ascii="Times New Roman" w:eastAsiaTheme="minorEastAsia" w:hAnsi="Times New Roman" w:cs="Times New Roman"/>
          <w:color w:val="auto"/>
          <w:sz w:val="24"/>
          <w:szCs w:val="24"/>
        </w:rPr>
        <w:t>万亩水田，农户自行抽取</w:t>
      </w:r>
      <w:r w:rsidR="00D12015" w:rsidRPr="00FC1444">
        <w:rPr>
          <w:rFonts w:ascii="Times New Roman" w:eastAsiaTheme="minorEastAsia" w:hAnsi="Times New Roman" w:cs="Times New Roman"/>
          <w:color w:val="auto"/>
          <w:sz w:val="24"/>
          <w:szCs w:val="24"/>
        </w:rPr>
        <w:t>501</w:t>
      </w:r>
      <w:r w:rsidRPr="00FC1444">
        <w:rPr>
          <w:rFonts w:ascii="Times New Roman" w:eastAsiaTheme="minorEastAsia" w:hAnsi="Times New Roman" w:cs="Times New Roman"/>
          <w:color w:val="auto"/>
          <w:sz w:val="24"/>
          <w:szCs w:val="24"/>
        </w:rPr>
        <w:t>眼机电井，</w:t>
      </w:r>
      <w:r w:rsidRPr="00FC1444">
        <w:rPr>
          <w:rFonts w:ascii="Times New Roman" w:eastAsiaTheme="minorEastAsia" w:hAnsi="Times New Roman" w:cs="Times New Roman"/>
          <w:bCs/>
          <w:color w:val="auto"/>
          <w:sz w:val="24"/>
          <w:szCs w:val="24"/>
        </w:rPr>
        <w:t>采用</w:t>
      </w:r>
      <w:r w:rsidRPr="00FC1444">
        <w:rPr>
          <w:rFonts w:ascii="Times New Roman" w:eastAsiaTheme="minorEastAsia" w:hAnsi="Times New Roman" w:cs="Times New Roman"/>
          <w:color w:val="auto"/>
          <w:sz w:val="24"/>
          <w:szCs w:val="24"/>
        </w:rPr>
        <w:t>地下水</w:t>
      </w:r>
      <w:r w:rsidRPr="00FC1444">
        <w:rPr>
          <w:rFonts w:ascii="Times New Roman" w:eastAsiaTheme="minorEastAsia" w:hAnsi="Times New Roman" w:cs="Times New Roman"/>
          <w:bCs/>
          <w:color w:val="auto"/>
          <w:sz w:val="24"/>
          <w:szCs w:val="24"/>
        </w:rPr>
        <w:t>井灌灌溉方式</w:t>
      </w:r>
      <w:r w:rsidRPr="00FC1444">
        <w:rPr>
          <w:rFonts w:ascii="Times New Roman" w:eastAsiaTheme="minorEastAsia" w:hAnsi="Times New Roman" w:cs="Times New Roman"/>
          <w:color w:val="auto"/>
          <w:sz w:val="24"/>
          <w:szCs w:val="24"/>
        </w:rPr>
        <w:t>，并且多年运行下来基本能够满足水田的生长需求。</w:t>
      </w:r>
      <w:r w:rsidRPr="00FC1444">
        <w:rPr>
          <w:rFonts w:ascii="Times New Roman" w:eastAsiaTheme="minorEastAsia" w:hAnsi="Times New Roman" w:cs="Times New Roman"/>
          <w:color w:val="auto"/>
          <w:kern w:val="0"/>
          <w:sz w:val="24"/>
        </w:rPr>
        <w:t>本项目建设后，项目区现有</w:t>
      </w:r>
      <w:r w:rsidRPr="00FC1444">
        <w:rPr>
          <w:rFonts w:ascii="Times New Roman" w:eastAsiaTheme="minorEastAsia" w:hAnsi="Times New Roman" w:cs="Times New Roman"/>
          <w:color w:val="auto"/>
          <w:sz w:val="24"/>
        </w:rPr>
        <w:t>水田（</w:t>
      </w:r>
      <w:r w:rsidR="00D12015" w:rsidRPr="00FC1444">
        <w:rPr>
          <w:rFonts w:ascii="Times New Roman" w:eastAsiaTheme="minorEastAsia" w:hAnsi="Times New Roman" w:cs="Times New Roman"/>
          <w:color w:val="auto"/>
          <w:sz w:val="24"/>
          <w:szCs w:val="21"/>
        </w:rPr>
        <w:t>9.16</w:t>
      </w:r>
      <w:r w:rsidRPr="00FC1444">
        <w:rPr>
          <w:rFonts w:ascii="Times New Roman" w:eastAsiaTheme="minorEastAsia" w:hAnsi="Times New Roman" w:cs="Times New Roman"/>
          <w:color w:val="auto"/>
          <w:sz w:val="24"/>
          <w:szCs w:val="21"/>
        </w:rPr>
        <w:t>万亩</w:t>
      </w:r>
      <w:r w:rsidRPr="00FC1444">
        <w:rPr>
          <w:rFonts w:ascii="Times New Roman" w:eastAsiaTheme="minorEastAsia" w:hAnsi="Times New Roman" w:cs="Times New Roman"/>
          <w:color w:val="auto"/>
          <w:sz w:val="24"/>
        </w:rPr>
        <w:t>）仍利用现有地下水灌溉设施，无地表水取水口，退水口利用现有。</w:t>
      </w:r>
      <w:r w:rsidRPr="00FC1444">
        <w:rPr>
          <w:rFonts w:ascii="Times New Roman" w:eastAsiaTheme="minorEastAsia" w:hAnsi="Times New Roman" w:cs="Times New Roman"/>
          <w:color w:val="auto"/>
          <w:sz w:val="24"/>
          <w:szCs w:val="21"/>
        </w:rPr>
        <w:t>本项目实施后，不新增水田面积</w:t>
      </w:r>
      <w:r w:rsidRPr="00FC1444">
        <w:rPr>
          <w:rFonts w:ascii="Times New Roman" w:eastAsiaTheme="minorEastAsia" w:hAnsi="Times New Roman" w:cs="Times New Roman"/>
          <w:color w:val="auto"/>
          <w:kern w:val="0"/>
          <w:sz w:val="24"/>
        </w:rPr>
        <w:t>。</w:t>
      </w:r>
      <w:r w:rsidR="00E456D6" w:rsidRPr="00FC1444">
        <w:rPr>
          <w:rFonts w:ascii="Times New Roman" w:eastAsiaTheme="minorEastAsia" w:hAnsi="Times New Roman" w:cs="Times New Roman" w:hint="eastAsia"/>
          <w:color w:val="auto"/>
          <w:sz w:val="24"/>
        </w:rPr>
        <w:t>项目区排水工程已基本形成规模，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现有退水口位于绥胜干沟、原有沟。</w:t>
      </w:r>
    </w:p>
    <w:p w:rsidR="00AE6DC7" w:rsidRPr="00FC1444" w:rsidRDefault="003F09B6" w:rsidP="00AE6DC7">
      <w:pPr>
        <w:pStyle w:val="1120"/>
        <w:spacing w:line="360" w:lineRule="auto"/>
        <w:ind w:firstLine="480"/>
        <w:rPr>
          <w:rFonts w:ascii="Times New Roman" w:eastAsiaTheme="minorEastAsia" w:hAnsi="Times New Roman" w:cs="Times New Roman"/>
          <w:color w:val="auto"/>
          <w:sz w:val="24"/>
          <w:szCs w:val="24"/>
        </w:rPr>
      </w:pPr>
      <w:r w:rsidRPr="00FC1444">
        <w:rPr>
          <w:rFonts w:ascii="Times New Roman" w:eastAsiaTheme="minorEastAsia" w:hAnsi="Times New Roman" w:cs="Times New Roman"/>
          <w:color w:val="auto"/>
          <w:sz w:val="24"/>
          <w:szCs w:val="24"/>
        </w:rPr>
        <w:t>本项目建设前，渠系渗漏、格田高低不平，灌水深浅不均，高处缺水脱肥、低处积水肥料随渗流、退水流失，为保证作物长势，农户普遍超量追肥弥补肥料</w:t>
      </w:r>
      <w:r w:rsidRPr="00FC1444">
        <w:rPr>
          <w:rFonts w:ascii="Times New Roman" w:eastAsiaTheme="minorEastAsia" w:hAnsi="Times New Roman" w:cs="Times New Roman"/>
          <w:color w:val="auto"/>
          <w:sz w:val="24"/>
          <w:szCs w:val="24"/>
        </w:rPr>
        <w:lastRenderedPageBreak/>
        <w:t>流失。本项目建成后，采取</w:t>
      </w: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三减</w:t>
      </w:r>
      <w:r w:rsidRPr="00FC1444">
        <w:rPr>
          <w:rFonts w:ascii="Times New Roman" w:eastAsiaTheme="minorEastAsia" w:hAnsi="Times New Roman" w:cs="Times New Roman"/>
          <w:color w:val="auto"/>
          <w:sz w:val="24"/>
          <w:szCs w:val="24"/>
        </w:rPr>
        <w:t>”</w:t>
      </w:r>
      <w:r w:rsidRPr="00FC1444">
        <w:rPr>
          <w:rFonts w:ascii="Times New Roman" w:eastAsiaTheme="minorEastAsia" w:hAnsi="Times New Roman" w:cs="Times New Roman"/>
          <w:color w:val="auto"/>
          <w:sz w:val="24"/>
          <w:szCs w:val="24"/>
        </w:rPr>
        <w:t>措施，进行土地平整，格田水深均匀，肥料在田间均匀分布，无局部脱肥，基础施肥量下调，防渗渠、配套闸阀减少输水渗漏，田间无大量冗余排水，田间排水量减少，化肥滞留土壤供作物吸收，氮磷利用率提升，氮磷随田间退水流失量大幅降低，保水能力增强，土壤水肥滞留时间延长，根系吸收利用率上升，同等产量下化肥总投入减少</w:t>
      </w:r>
      <w:r w:rsidR="00AE6DC7" w:rsidRPr="00FC1444">
        <w:rPr>
          <w:rFonts w:ascii="Times New Roman" w:eastAsiaTheme="minorEastAsia" w:hAnsi="Times New Roman" w:cs="Times New Roman"/>
          <w:color w:val="auto"/>
          <w:sz w:val="24"/>
          <w:szCs w:val="24"/>
        </w:rPr>
        <w:t>。</w:t>
      </w:r>
    </w:p>
    <w:p w:rsidR="002A5A5E" w:rsidRPr="00FC1444" w:rsidRDefault="00936B77" w:rsidP="00AE6DC7">
      <w:pPr>
        <w:spacing w:line="360" w:lineRule="auto"/>
        <w:ind w:firstLineChars="200" w:firstLine="480"/>
        <w:rPr>
          <w:rFonts w:eastAsiaTheme="minorEastAsia"/>
          <w:bCs/>
          <w:sz w:val="24"/>
        </w:rPr>
      </w:pPr>
      <w:r w:rsidRPr="00FC1444">
        <w:rPr>
          <w:rFonts w:eastAsiaTheme="minorEastAsia"/>
          <w:sz w:val="24"/>
        </w:rPr>
        <w:t>本项目建设后现有水田灌溉方式不变。通过格田改造、土地平整等工程，减少池埂占地面积，减少田面不均补水，提高农田保水能力，并且由于渠系配套完善，减少引水的跑冒滴漏，消除高低不平造成的漫灌溢水、不均匀渗漏，减少田面弃水和无效深层渗漏。水利用系数由</w:t>
      </w:r>
      <w:r w:rsidRPr="00FC1444">
        <w:rPr>
          <w:rFonts w:eastAsiaTheme="minorEastAsia"/>
          <w:sz w:val="24"/>
        </w:rPr>
        <w:t>0.67</w:t>
      </w:r>
      <w:r w:rsidRPr="00FC1444">
        <w:rPr>
          <w:rFonts w:eastAsiaTheme="minorEastAsia"/>
          <w:sz w:val="24"/>
        </w:rPr>
        <w:t>提升至</w:t>
      </w:r>
      <w:r w:rsidRPr="00FC1444">
        <w:rPr>
          <w:rFonts w:eastAsiaTheme="minorEastAsia"/>
          <w:sz w:val="24"/>
        </w:rPr>
        <w:t>0.7</w:t>
      </w:r>
      <w:r w:rsidRPr="00FC1444">
        <w:rPr>
          <w:rFonts w:eastAsiaTheme="minorEastAsia"/>
          <w:sz w:val="24"/>
        </w:rPr>
        <w:t>，退水系数由</w:t>
      </w:r>
      <w:r w:rsidRPr="00FC1444">
        <w:rPr>
          <w:rFonts w:eastAsiaTheme="minorEastAsia"/>
          <w:sz w:val="24"/>
        </w:rPr>
        <w:t>0.2</w:t>
      </w:r>
      <w:r w:rsidRPr="00FC1444">
        <w:rPr>
          <w:rFonts w:eastAsiaTheme="minorEastAsia"/>
          <w:sz w:val="24"/>
        </w:rPr>
        <w:t>降至</w:t>
      </w:r>
      <w:r w:rsidRPr="00FC1444">
        <w:rPr>
          <w:rFonts w:eastAsiaTheme="minorEastAsia"/>
          <w:sz w:val="24"/>
        </w:rPr>
        <w:t>0.15</w:t>
      </w:r>
      <w:r w:rsidRPr="00FC1444">
        <w:rPr>
          <w:rFonts w:eastAsiaTheme="minorEastAsia"/>
          <w:sz w:val="24"/>
        </w:rPr>
        <w:t>。</w:t>
      </w:r>
      <w:r w:rsidR="00E008D1" w:rsidRPr="00FC1444">
        <w:rPr>
          <w:rFonts w:eastAsiaTheme="minorEastAsia"/>
          <w:sz w:val="24"/>
        </w:rPr>
        <w:t>项目建成后灌区年退水量与现状相比减少</w:t>
      </w:r>
      <w:r w:rsidR="00E008D1" w:rsidRPr="00FC1444">
        <w:rPr>
          <w:rFonts w:eastAsiaTheme="minorEastAsia"/>
          <w:sz w:val="24"/>
        </w:rPr>
        <w:t>431</w:t>
      </w:r>
      <w:r w:rsidR="00E008D1" w:rsidRPr="00FC1444">
        <w:rPr>
          <w:rFonts w:eastAsiaTheme="minorEastAsia"/>
          <w:sz w:val="24"/>
        </w:rPr>
        <w:t>万</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w:t>
      </w:r>
      <w:r w:rsidR="00AE6DC7" w:rsidRPr="00FC1444">
        <w:rPr>
          <w:rFonts w:eastAsiaTheme="minorEastAsia"/>
          <w:sz w:val="24"/>
        </w:rPr>
        <w:t>相应污染物入河量与现状相比也有一定程度的削减，</w:t>
      </w:r>
      <w:r w:rsidR="00C341EA" w:rsidRPr="00FC1444">
        <w:rPr>
          <w:rFonts w:eastAsiaTheme="minorEastAsia"/>
          <w:bCs/>
          <w:sz w:val="24"/>
        </w:rPr>
        <w:t>COD</w:t>
      </w:r>
      <w:r w:rsidR="00C341EA" w:rsidRPr="00FC1444">
        <w:rPr>
          <w:rFonts w:eastAsiaTheme="minorEastAsia"/>
          <w:bCs/>
          <w:sz w:val="24"/>
        </w:rPr>
        <w:t>、氨氮、总磷及总氮排放量分别减少</w:t>
      </w:r>
      <w:r w:rsidR="00C341EA" w:rsidRPr="00FC1444">
        <w:rPr>
          <w:rFonts w:eastAsiaTheme="minorEastAsia"/>
          <w:bCs/>
          <w:sz w:val="24"/>
        </w:rPr>
        <w:t>227.137t/a</w:t>
      </w:r>
      <w:r w:rsidR="00C341EA" w:rsidRPr="00FC1444">
        <w:rPr>
          <w:rFonts w:eastAsiaTheme="minorEastAsia"/>
          <w:bCs/>
          <w:sz w:val="24"/>
        </w:rPr>
        <w:t>、</w:t>
      </w:r>
      <w:r w:rsidR="00C341EA" w:rsidRPr="00FC1444">
        <w:rPr>
          <w:rFonts w:eastAsiaTheme="minorEastAsia"/>
          <w:bCs/>
          <w:sz w:val="24"/>
        </w:rPr>
        <w:t>5.431t/a</w:t>
      </w:r>
      <w:r w:rsidR="00C341EA" w:rsidRPr="00FC1444">
        <w:rPr>
          <w:rFonts w:eastAsiaTheme="minorEastAsia"/>
          <w:bCs/>
          <w:sz w:val="24"/>
        </w:rPr>
        <w:t>、</w:t>
      </w:r>
      <w:r w:rsidR="00C341EA" w:rsidRPr="00FC1444">
        <w:rPr>
          <w:rFonts w:eastAsiaTheme="minorEastAsia"/>
          <w:bCs/>
          <w:sz w:val="24"/>
        </w:rPr>
        <w:t>7.93t/a</w:t>
      </w:r>
      <w:r w:rsidR="00C341EA" w:rsidRPr="00FC1444">
        <w:rPr>
          <w:rFonts w:eastAsiaTheme="minorEastAsia"/>
          <w:bCs/>
          <w:sz w:val="24"/>
        </w:rPr>
        <w:t>、</w:t>
      </w:r>
      <w:r w:rsidR="00C341EA" w:rsidRPr="00FC1444">
        <w:rPr>
          <w:rFonts w:eastAsiaTheme="minorEastAsia"/>
          <w:bCs/>
          <w:sz w:val="24"/>
        </w:rPr>
        <w:t>18.102t/a</w:t>
      </w:r>
      <w:r w:rsidR="00C341EA" w:rsidRPr="00FC1444">
        <w:rPr>
          <w:rFonts w:eastAsiaTheme="minorEastAsia"/>
          <w:bCs/>
          <w:sz w:val="24"/>
        </w:rPr>
        <w:t>。</w:t>
      </w:r>
      <w:r w:rsidR="00030F6B" w:rsidRPr="00FC1444">
        <w:rPr>
          <w:rFonts w:eastAsiaTheme="minorEastAsia"/>
          <w:bCs/>
          <w:sz w:val="24"/>
        </w:rPr>
        <w:t>属于依托现有排放口，</w:t>
      </w:r>
      <w:r w:rsidR="00611CBA" w:rsidRPr="00FC1444">
        <w:rPr>
          <w:rFonts w:eastAsiaTheme="minorEastAsia"/>
          <w:bCs/>
          <w:sz w:val="24"/>
        </w:rPr>
        <w:t>且对外环境未新增排放污染物的直接排放建设项目。</w:t>
      </w:r>
      <w:r w:rsidR="00611CBA" w:rsidRPr="00FC1444">
        <w:rPr>
          <w:rFonts w:eastAsiaTheme="minorEastAsia"/>
          <w:sz w:val="24"/>
        </w:rPr>
        <w:t>故工程实施后对</w:t>
      </w:r>
      <w:r w:rsidR="00C02588" w:rsidRPr="00FC1444">
        <w:rPr>
          <w:rFonts w:eastAsiaTheme="minorEastAsia"/>
          <w:sz w:val="24"/>
        </w:rPr>
        <w:t>呼兰河、津河及努敏河</w:t>
      </w:r>
      <w:r w:rsidR="00611CBA" w:rsidRPr="00FC1444">
        <w:rPr>
          <w:rFonts w:eastAsiaTheme="minorEastAsia"/>
          <w:sz w:val="24"/>
        </w:rPr>
        <w:t>水生生态环境起到一定改善作用。</w:t>
      </w:r>
    </w:p>
    <w:p w:rsidR="002A5A5E" w:rsidRPr="00FC1444" w:rsidRDefault="00611CBA">
      <w:pPr>
        <w:spacing w:line="360" w:lineRule="auto"/>
        <w:ind w:firstLineChars="200" w:firstLine="480"/>
        <w:rPr>
          <w:rFonts w:eastAsiaTheme="minorEastAsia"/>
          <w:snapToGrid w:val="0"/>
          <w:sz w:val="24"/>
        </w:rPr>
      </w:pPr>
      <w:r w:rsidRPr="00FC1444">
        <w:rPr>
          <w:rFonts w:eastAsiaTheme="minorEastAsia"/>
          <w:kern w:val="0"/>
          <w:sz w:val="24"/>
        </w:rPr>
        <w:t>故</w:t>
      </w:r>
      <w:r w:rsidRPr="00FC1444">
        <w:rPr>
          <w:rFonts w:eastAsiaTheme="minorEastAsia"/>
          <w:sz w:val="24"/>
          <w:szCs w:val="21"/>
        </w:rPr>
        <w:t>根据《环境影响评价技术导则</w:t>
      </w:r>
      <w:r w:rsidRPr="00FC1444">
        <w:rPr>
          <w:rFonts w:eastAsiaTheme="minorEastAsia"/>
          <w:sz w:val="24"/>
          <w:szCs w:val="21"/>
        </w:rPr>
        <w:t xml:space="preserve"> </w:t>
      </w:r>
      <w:r w:rsidRPr="00FC1444">
        <w:rPr>
          <w:rFonts w:eastAsiaTheme="minorEastAsia"/>
          <w:sz w:val="24"/>
          <w:szCs w:val="21"/>
        </w:rPr>
        <w:t>地表水环境》（</w:t>
      </w:r>
      <w:r w:rsidRPr="00FC1444">
        <w:rPr>
          <w:rFonts w:eastAsiaTheme="minorEastAsia"/>
          <w:sz w:val="24"/>
          <w:szCs w:val="21"/>
        </w:rPr>
        <w:t>HJ2.3-2018</w:t>
      </w:r>
      <w:r w:rsidRPr="00FC1444">
        <w:rPr>
          <w:rFonts w:eastAsiaTheme="minorEastAsia"/>
          <w:sz w:val="24"/>
          <w:szCs w:val="21"/>
        </w:rPr>
        <w:t>），本项目地表水评价等级为三级</w:t>
      </w:r>
      <w:r w:rsidRPr="00FC1444">
        <w:rPr>
          <w:rFonts w:eastAsiaTheme="minorEastAsia"/>
          <w:sz w:val="24"/>
          <w:szCs w:val="21"/>
        </w:rPr>
        <w:t>B</w:t>
      </w:r>
      <w:r w:rsidRPr="00FC1444">
        <w:rPr>
          <w:rFonts w:eastAsiaTheme="minorEastAsia"/>
          <w:sz w:val="24"/>
          <w:szCs w:val="21"/>
        </w:rPr>
        <w:t>。</w:t>
      </w:r>
    </w:p>
    <w:p w:rsidR="002A5A5E" w:rsidRPr="00FC1444" w:rsidRDefault="00611CBA">
      <w:pPr>
        <w:spacing w:line="360" w:lineRule="auto"/>
        <w:ind w:firstLineChars="200" w:firstLine="480"/>
        <w:rPr>
          <w:rFonts w:eastAsiaTheme="minorEastAsia"/>
          <w:sz w:val="24"/>
          <w:szCs w:val="22"/>
        </w:rPr>
      </w:pPr>
      <w:r w:rsidRPr="00FC1444">
        <w:rPr>
          <w:rFonts w:eastAsiaTheme="minorEastAsia"/>
          <w:sz w:val="24"/>
          <w:szCs w:val="22"/>
        </w:rPr>
        <w:t>（</w:t>
      </w:r>
      <w:r w:rsidRPr="00FC1444">
        <w:rPr>
          <w:rFonts w:eastAsiaTheme="minorEastAsia"/>
          <w:sz w:val="24"/>
          <w:szCs w:val="22"/>
        </w:rPr>
        <w:t>2</w:t>
      </w:r>
      <w:r w:rsidRPr="00FC1444">
        <w:rPr>
          <w:rFonts w:eastAsiaTheme="minorEastAsia"/>
          <w:sz w:val="24"/>
          <w:szCs w:val="22"/>
        </w:rPr>
        <w:t>）水文要素影响型建设项目评价等级确定</w:t>
      </w:r>
    </w:p>
    <w:p w:rsidR="002A5A5E" w:rsidRPr="00FC1444" w:rsidRDefault="00611CBA">
      <w:pPr>
        <w:spacing w:line="360" w:lineRule="auto"/>
        <w:ind w:firstLineChars="200" w:firstLine="480"/>
        <w:rPr>
          <w:rFonts w:eastAsiaTheme="minorEastAsia"/>
          <w:sz w:val="24"/>
          <w:szCs w:val="22"/>
        </w:rPr>
      </w:pPr>
      <w:r w:rsidRPr="00FC1444">
        <w:rPr>
          <w:rFonts w:eastAsiaTheme="minorEastAsia"/>
          <w:sz w:val="24"/>
          <w:szCs w:val="22"/>
        </w:rPr>
        <w:t>水文要素影响型建设项目评价等级划分根据水温、径流与受影响地表水域等三类水文要素的影响程度判定，见表</w:t>
      </w:r>
      <w:r w:rsidRPr="00FC1444">
        <w:rPr>
          <w:rFonts w:eastAsiaTheme="minorEastAsia"/>
          <w:sz w:val="24"/>
          <w:szCs w:val="22"/>
        </w:rPr>
        <w:t>2-6-2</w:t>
      </w:r>
      <w:r w:rsidRPr="00FC1444">
        <w:rPr>
          <w:rFonts w:eastAsiaTheme="minorEastAsia"/>
          <w:sz w:val="24"/>
          <w:szCs w:val="22"/>
        </w:rPr>
        <w:t>。</w:t>
      </w: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AE6DC7" w:rsidRPr="00FC1444" w:rsidRDefault="00AE6DC7">
      <w:pPr>
        <w:contextualSpacing/>
        <w:jc w:val="center"/>
        <w:rPr>
          <w:rFonts w:eastAsiaTheme="minorEastAsia"/>
          <w:b/>
          <w:szCs w:val="21"/>
        </w:rPr>
      </w:pPr>
    </w:p>
    <w:p w:rsidR="002A5A5E" w:rsidRPr="00FC1444" w:rsidRDefault="00611CBA">
      <w:pPr>
        <w:contextualSpacing/>
        <w:jc w:val="center"/>
        <w:rPr>
          <w:rFonts w:eastAsiaTheme="minorEastAsia"/>
          <w:b/>
          <w:szCs w:val="21"/>
        </w:rPr>
      </w:pPr>
      <w:r w:rsidRPr="00FC1444">
        <w:rPr>
          <w:rFonts w:eastAsiaTheme="minorEastAsia"/>
          <w:b/>
          <w:szCs w:val="21"/>
        </w:rPr>
        <w:lastRenderedPageBreak/>
        <w:t>表</w:t>
      </w:r>
      <w:r w:rsidRPr="00FC1444">
        <w:rPr>
          <w:rFonts w:eastAsiaTheme="minorEastAsia"/>
          <w:b/>
          <w:szCs w:val="21"/>
        </w:rPr>
        <w:t xml:space="preserve">2-6-2 </w:t>
      </w:r>
      <w:r w:rsidRPr="00FC1444">
        <w:rPr>
          <w:rFonts w:eastAsiaTheme="minorEastAsia"/>
          <w:b/>
          <w:szCs w:val="21"/>
        </w:rPr>
        <w:t>水文要素影响型建设项目评价等级判定</w:t>
      </w:r>
    </w:p>
    <w:tbl>
      <w:tblPr>
        <w:tblW w:w="8528" w:type="dxa"/>
        <w:tblBorders>
          <w:top w:val="single" w:sz="12" w:space="0" w:color="auto"/>
          <w:bottom w:val="single" w:sz="12" w:space="0" w:color="auto"/>
          <w:insideH w:val="single" w:sz="4" w:space="0" w:color="auto"/>
          <w:insideV w:val="single" w:sz="4" w:space="0" w:color="auto"/>
        </w:tblBorders>
        <w:tblLayout w:type="fixed"/>
        <w:tblLook w:val="04A0"/>
      </w:tblPr>
      <w:tblGrid>
        <w:gridCol w:w="572"/>
        <w:gridCol w:w="1139"/>
        <w:gridCol w:w="1187"/>
        <w:gridCol w:w="882"/>
        <w:gridCol w:w="1451"/>
        <w:gridCol w:w="1615"/>
        <w:gridCol w:w="1682"/>
      </w:tblGrid>
      <w:tr w:rsidR="002A5A5E" w:rsidRPr="00FC1444">
        <w:trPr>
          <w:trHeight w:val="340"/>
        </w:trPr>
        <w:tc>
          <w:tcPr>
            <w:tcW w:w="572" w:type="dxa"/>
            <w:vMerge w:val="restart"/>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评价等级</w:t>
            </w:r>
          </w:p>
        </w:tc>
        <w:tc>
          <w:tcPr>
            <w:tcW w:w="1139"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水温</w:t>
            </w:r>
          </w:p>
        </w:tc>
        <w:tc>
          <w:tcPr>
            <w:tcW w:w="2069" w:type="dxa"/>
            <w:gridSpan w:val="2"/>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径流</w:t>
            </w:r>
          </w:p>
        </w:tc>
        <w:tc>
          <w:tcPr>
            <w:tcW w:w="4748" w:type="dxa"/>
            <w:gridSpan w:val="3"/>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受影响地表水域</w:t>
            </w:r>
          </w:p>
        </w:tc>
      </w:tr>
      <w:tr w:rsidR="002A5A5E" w:rsidRPr="00FC1444">
        <w:trPr>
          <w:trHeight w:val="340"/>
        </w:trPr>
        <w:tc>
          <w:tcPr>
            <w:tcW w:w="572" w:type="dxa"/>
            <w:vMerge/>
            <w:tcBorders>
              <w:tl2br w:val="nil"/>
              <w:tr2bl w:val="nil"/>
            </w:tcBorders>
            <w:vAlign w:val="center"/>
          </w:tcPr>
          <w:p w:rsidR="002A5A5E" w:rsidRPr="00FC1444" w:rsidRDefault="002A5A5E">
            <w:pPr>
              <w:contextualSpacing/>
              <w:jc w:val="center"/>
              <w:rPr>
                <w:rFonts w:eastAsiaTheme="minorEastAsia"/>
                <w:kern w:val="0"/>
                <w:szCs w:val="21"/>
              </w:rPr>
            </w:pPr>
          </w:p>
        </w:tc>
        <w:tc>
          <w:tcPr>
            <w:tcW w:w="1139" w:type="dxa"/>
            <w:vMerge w:val="restart"/>
            <w:tcBorders>
              <w:tl2br w:val="nil"/>
              <w:tr2bl w:val="nil"/>
            </w:tcBorders>
            <w:vAlign w:val="center"/>
          </w:tcPr>
          <w:p w:rsidR="002A5A5E" w:rsidRPr="00FC1444" w:rsidRDefault="00611CBA" w:rsidP="00FD2D64">
            <w:pPr>
              <w:contextualSpacing/>
              <w:jc w:val="center"/>
              <w:rPr>
                <w:rFonts w:eastAsiaTheme="minorEastAsia"/>
                <w:kern w:val="0"/>
                <w:szCs w:val="21"/>
              </w:rPr>
            </w:pPr>
            <w:r w:rsidRPr="00FC1444">
              <w:rPr>
                <w:rFonts w:eastAsiaTheme="minorEastAsia"/>
                <w:kern w:val="0"/>
                <w:szCs w:val="21"/>
              </w:rPr>
              <w:t>年径流量与总库容百分比</w:t>
            </w:r>
            <w:r w:rsidRPr="00FC1444">
              <w:rPr>
                <w:rFonts w:eastAsiaTheme="minorEastAsia"/>
                <w:kern w:val="0"/>
                <w:szCs w:val="21"/>
              </w:rPr>
              <w:t>α/%</w:t>
            </w:r>
          </w:p>
        </w:tc>
        <w:tc>
          <w:tcPr>
            <w:tcW w:w="1187" w:type="dxa"/>
            <w:vMerge w:val="restart"/>
            <w:tcBorders>
              <w:tl2br w:val="nil"/>
              <w:tr2bl w:val="nil"/>
            </w:tcBorders>
            <w:vAlign w:val="center"/>
          </w:tcPr>
          <w:p w:rsidR="002A5A5E" w:rsidRPr="00FC1444" w:rsidRDefault="00611CBA" w:rsidP="00FD2D64">
            <w:pPr>
              <w:contextualSpacing/>
              <w:jc w:val="center"/>
              <w:rPr>
                <w:rFonts w:eastAsiaTheme="minorEastAsia"/>
                <w:kern w:val="0"/>
                <w:szCs w:val="21"/>
              </w:rPr>
            </w:pPr>
            <w:r w:rsidRPr="00FC1444">
              <w:rPr>
                <w:rFonts w:eastAsiaTheme="minorEastAsia"/>
                <w:kern w:val="0"/>
                <w:szCs w:val="21"/>
              </w:rPr>
              <w:t>兴利库容与年径流量百分比</w:t>
            </w:r>
            <w:r w:rsidRPr="00FC1444">
              <w:rPr>
                <w:rFonts w:eastAsiaTheme="minorEastAsia"/>
                <w:kern w:val="0"/>
                <w:szCs w:val="21"/>
              </w:rPr>
              <w:t>β/%</w:t>
            </w:r>
          </w:p>
        </w:tc>
        <w:tc>
          <w:tcPr>
            <w:tcW w:w="882" w:type="dxa"/>
            <w:vMerge w:val="restart"/>
            <w:tcBorders>
              <w:tl2br w:val="nil"/>
              <w:tr2bl w:val="nil"/>
            </w:tcBorders>
            <w:vAlign w:val="center"/>
          </w:tcPr>
          <w:p w:rsidR="002A5A5E" w:rsidRPr="00FC1444" w:rsidRDefault="00611CBA" w:rsidP="00FD2D64">
            <w:pPr>
              <w:contextualSpacing/>
              <w:jc w:val="center"/>
              <w:rPr>
                <w:rFonts w:eastAsiaTheme="minorEastAsia"/>
                <w:kern w:val="0"/>
                <w:szCs w:val="21"/>
              </w:rPr>
            </w:pPr>
            <w:r w:rsidRPr="00FC1444">
              <w:rPr>
                <w:rFonts w:eastAsiaTheme="minorEastAsia"/>
                <w:kern w:val="0"/>
                <w:szCs w:val="21"/>
              </w:rPr>
              <w:t>取水量占多年平均径流量百分比</w:t>
            </w:r>
            <w:r w:rsidRPr="00FC1444">
              <w:rPr>
                <w:rFonts w:eastAsiaTheme="minorEastAsia"/>
                <w:kern w:val="0"/>
                <w:szCs w:val="21"/>
              </w:rPr>
              <w:t>γ/%</w:t>
            </w:r>
          </w:p>
        </w:tc>
        <w:tc>
          <w:tcPr>
            <w:tcW w:w="3066" w:type="dxa"/>
            <w:gridSpan w:val="2"/>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工程垂直投影面积及外扩范围</w:t>
            </w:r>
            <w:r w:rsidRPr="00FC1444">
              <w:rPr>
                <w:rFonts w:eastAsiaTheme="minorEastAsia"/>
                <w:kern w:val="0"/>
                <w:szCs w:val="21"/>
              </w:rPr>
              <w:t>A</w:t>
            </w:r>
            <w:r w:rsidRPr="00FC1444">
              <w:rPr>
                <w:rFonts w:eastAsiaTheme="minorEastAsia"/>
                <w:kern w:val="0"/>
                <w:szCs w:val="21"/>
                <w:vertAlign w:val="subscript"/>
              </w:rPr>
              <w:t>1</w:t>
            </w:r>
            <w:r w:rsidRPr="00FC1444">
              <w:rPr>
                <w:rFonts w:eastAsiaTheme="minorEastAsia"/>
                <w:kern w:val="0"/>
                <w:szCs w:val="21"/>
              </w:rPr>
              <w:t>/km</w:t>
            </w:r>
            <w:r w:rsidRPr="00FC1444">
              <w:rPr>
                <w:rFonts w:eastAsiaTheme="minorEastAsia"/>
                <w:kern w:val="0"/>
                <w:szCs w:val="21"/>
                <w:vertAlign w:val="superscript"/>
              </w:rPr>
              <w:t>2</w:t>
            </w:r>
            <w:r w:rsidRPr="00FC1444">
              <w:rPr>
                <w:rFonts w:eastAsiaTheme="minorEastAsia"/>
                <w:kern w:val="0"/>
                <w:szCs w:val="21"/>
              </w:rPr>
              <w:t>；工程扰动水底面积</w:t>
            </w:r>
            <w:r w:rsidRPr="00FC1444">
              <w:rPr>
                <w:rFonts w:eastAsiaTheme="minorEastAsia"/>
                <w:kern w:val="0"/>
                <w:szCs w:val="21"/>
              </w:rPr>
              <w:t>A</w:t>
            </w:r>
            <w:r w:rsidRPr="00FC1444">
              <w:rPr>
                <w:rFonts w:eastAsiaTheme="minorEastAsia"/>
                <w:kern w:val="0"/>
                <w:szCs w:val="21"/>
                <w:vertAlign w:val="subscript"/>
              </w:rPr>
              <w:t>2</w:t>
            </w:r>
            <w:r w:rsidRPr="00FC1444">
              <w:rPr>
                <w:rFonts w:eastAsiaTheme="minorEastAsia"/>
                <w:kern w:val="0"/>
                <w:szCs w:val="21"/>
              </w:rPr>
              <w:t>/km</w:t>
            </w:r>
            <w:r w:rsidRPr="00FC1444">
              <w:rPr>
                <w:rFonts w:eastAsiaTheme="minorEastAsia"/>
                <w:kern w:val="0"/>
                <w:szCs w:val="21"/>
                <w:vertAlign w:val="superscript"/>
              </w:rPr>
              <w:t>2</w:t>
            </w:r>
            <w:r w:rsidRPr="00FC1444">
              <w:rPr>
                <w:rFonts w:eastAsiaTheme="minorEastAsia"/>
                <w:kern w:val="0"/>
                <w:szCs w:val="21"/>
              </w:rPr>
              <w:t>；过水断面宽度占用比例或占用水域面积比例</w:t>
            </w:r>
            <w:r w:rsidRPr="00FC1444">
              <w:rPr>
                <w:rFonts w:eastAsiaTheme="minorEastAsia"/>
                <w:kern w:val="0"/>
                <w:szCs w:val="21"/>
              </w:rPr>
              <w:t>R/%</w:t>
            </w:r>
          </w:p>
        </w:tc>
        <w:tc>
          <w:tcPr>
            <w:tcW w:w="1682"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工程垂直投影</w:t>
            </w:r>
          </w:p>
          <w:p w:rsidR="002A5A5E" w:rsidRPr="00FC1444" w:rsidRDefault="00611CBA">
            <w:pPr>
              <w:contextualSpacing/>
              <w:jc w:val="center"/>
              <w:rPr>
                <w:rFonts w:eastAsiaTheme="minorEastAsia"/>
                <w:kern w:val="0"/>
                <w:szCs w:val="21"/>
              </w:rPr>
            </w:pPr>
            <w:r w:rsidRPr="00FC1444">
              <w:rPr>
                <w:rFonts w:eastAsiaTheme="minorEastAsia"/>
                <w:kern w:val="0"/>
                <w:szCs w:val="21"/>
              </w:rPr>
              <w:t>面积及外扩范</w:t>
            </w:r>
          </w:p>
          <w:p w:rsidR="002A5A5E" w:rsidRPr="00FC1444" w:rsidRDefault="00611CBA">
            <w:pPr>
              <w:contextualSpacing/>
              <w:jc w:val="center"/>
              <w:rPr>
                <w:rFonts w:eastAsiaTheme="minorEastAsia"/>
                <w:kern w:val="0"/>
                <w:szCs w:val="21"/>
              </w:rPr>
            </w:pPr>
            <w:r w:rsidRPr="00FC1444">
              <w:rPr>
                <w:rFonts w:eastAsiaTheme="minorEastAsia"/>
                <w:kern w:val="0"/>
                <w:szCs w:val="21"/>
              </w:rPr>
              <w:t>围</w:t>
            </w:r>
            <w:r w:rsidRPr="00FC1444">
              <w:rPr>
                <w:rFonts w:eastAsiaTheme="minorEastAsia"/>
                <w:kern w:val="0"/>
                <w:szCs w:val="21"/>
              </w:rPr>
              <w:t>A</w:t>
            </w:r>
            <w:r w:rsidRPr="00FC1444">
              <w:rPr>
                <w:rFonts w:eastAsiaTheme="minorEastAsia"/>
                <w:kern w:val="0"/>
                <w:szCs w:val="21"/>
                <w:vertAlign w:val="subscript"/>
              </w:rPr>
              <w:t>1</w:t>
            </w:r>
            <w:r w:rsidRPr="00FC1444">
              <w:rPr>
                <w:rFonts w:eastAsiaTheme="minorEastAsia"/>
                <w:kern w:val="0"/>
                <w:szCs w:val="21"/>
              </w:rPr>
              <w:t>/km</w:t>
            </w:r>
            <w:r w:rsidRPr="00FC1444">
              <w:rPr>
                <w:rFonts w:eastAsiaTheme="minorEastAsia"/>
                <w:kern w:val="0"/>
                <w:szCs w:val="21"/>
                <w:vertAlign w:val="superscript"/>
              </w:rPr>
              <w:t>2</w:t>
            </w:r>
            <w:r w:rsidRPr="00FC1444">
              <w:rPr>
                <w:rFonts w:eastAsiaTheme="minorEastAsia"/>
                <w:kern w:val="0"/>
                <w:szCs w:val="21"/>
              </w:rPr>
              <w:t>；工</w:t>
            </w:r>
          </w:p>
          <w:p w:rsidR="002A5A5E" w:rsidRPr="00FC1444" w:rsidRDefault="00611CBA">
            <w:pPr>
              <w:contextualSpacing/>
              <w:jc w:val="center"/>
              <w:rPr>
                <w:rFonts w:eastAsiaTheme="minorEastAsia"/>
                <w:kern w:val="0"/>
                <w:szCs w:val="21"/>
              </w:rPr>
            </w:pPr>
            <w:r w:rsidRPr="00FC1444">
              <w:rPr>
                <w:rFonts w:eastAsiaTheme="minorEastAsia"/>
                <w:kern w:val="0"/>
                <w:szCs w:val="21"/>
              </w:rPr>
              <w:t>程扰动水底面</w:t>
            </w:r>
          </w:p>
          <w:p w:rsidR="002A5A5E" w:rsidRPr="00FC1444" w:rsidRDefault="00611CBA">
            <w:pPr>
              <w:contextualSpacing/>
              <w:jc w:val="center"/>
              <w:rPr>
                <w:rFonts w:eastAsiaTheme="minorEastAsia"/>
                <w:kern w:val="0"/>
                <w:szCs w:val="21"/>
              </w:rPr>
            </w:pPr>
            <w:r w:rsidRPr="00FC1444">
              <w:rPr>
                <w:rFonts w:eastAsiaTheme="minorEastAsia"/>
                <w:kern w:val="0"/>
                <w:szCs w:val="21"/>
              </w:rPr>
              <w:t>积</w:t>
            </w:r>
            <w:r w:rsidRPr="00FC1444">
              <w:rPr>
                <w:rFonts w:eastAsiaTheme="minorEastAsia"/>
                <w:kern w:val="0"/>
                <w:szCs w:val="21"/>
              </w:rPr>
              <w:t>A</w:t>
            </w:r>
            <w:r w:rsidRPr="00FC1444">
              <w:rPr>
                <w:rFonts w:eastAsiaTheme="minorEastAsia"/>
                <w:kern w:val="0"/>
                <w:szCs w:val="21"/>
                <w:vertAlign w:val="subscript"/>
              </w:rPr>
              <w:t>2</w:t>
            </w:r>
            <w:r w:rsidRPr="00FC1444">
              <w:rPr>
                <w:rFonts w:eastAsiaTheme="minorEastAsia"/>
                <w:kern w:val="0"/>
                <w:szCs w:val="21"/>
              </w:rPr>
              <w:t>/km</w:t>
            </w:r>
            <w:r w:rsidRPr="00FC1444">
              <w:rPr>
                <w:rFonts w:eastAsiaTheme="minorEastAsia"/>
                <w:kern w:val="0"/>
                <w:szCs w:val="21"/>
                <w:vertAlign w:val="superscript"/>
              </w:rPr>
              <w:t>2</w:t>
            </w:r>
          </w:p>
        </w:tc>
      </w:tr>
      <w:tr w:rsidR="002A5A5E" w:rsidRPr="00FC1444">
        <w:trPr>
          <w:trHeight w:val="340"/>
        </w:trPr>
        <w:tc>
          <w:tcPr>
            <w:tcW w:w="572" w:type="dxa"/>
            <w:vMerge/>
            <w:tcBorders>
              <w:tl2br w:val="nil"/>
              <w:tr2bl w:val="nil"/>
            </w:tcBorders>
            <w:vAlign w:val="center"/>
          </w:tcPr>
          <w:p w:rsidR="002A5A5E" w:rsidRPr="00FC1444" w:rsidRDefault="002A5A5E">
            <w:pPr>
              <w:contextualSpacing/>
              <w:jc w:val="center"/>
              <w:rPr>
                <w:rFonts w:eastAsiaTheme="minorEastAsia"/>
                <w:kern w:val="0"/>
                <w:szCs w:val="21"/>
              </w:rPr>
            </w:pPr>
          </w:p>
        </w:tc>
        <w:tc>
          <w:tcPr>
            <w:tcW w:w="1139" w:type="dxa"/>
            <w:vMerge/>
            <w:tcBorders>
              <w:tl2br w:val="nil"/>
              <w:tr2bl w:val="nil"/>
            </w:tcBorders>
            <w:vAlign w:val="center"/>
          </w:tcPr>
          <w:p w:rsidR="002A5A5E" w:rsidRPr="00FC1444" w:rsidRDefault="002A5A5E">
            <w:pPr>
              <w:contextualSpacing/>
              <w:jc w:val="center"/>
              <w:rPr>
                <w:rFonts w:eastAsiaTheme="minorEastAsia"/>
                <w:kern w:val="0"/>
                <w:szCs w:val="21"/>
              </w:rPr>
            </w:pPr>
          </w:p>
        </w:tc>
        <w:tc>
          <w:tcPr>
            <w:tcW w:w="1187" w:type="dxa"/>
            <w:vMerge/>
            <w:tcBorders>
              <w:tl2br w:val="nil"/>
              <w:tr2bl w:val="nil"/>
            </w:tcBorders>
            <w:vAlign w:val="center"/>
          </w:tcPr>
          <w:p w:rsidR="002A5A5E" w:rsidRPr="00FC1444" w:rsidRDefault="002A5A5E">
            <w:pPr>
              <w:contextualSpacing/>
              <w:jc w:val="center"/>
              <w:rPr>
                <w:rFonts w:eastAsiaTheme="minorEastAsia"/>
                <w:kern w:val="0"/>
                <w:szCs w:val="21"/>
              </w:rPr>
            </w:pPr>
          </w:p>
        </w:tc>
        <w:tc>
          <w:tcPr>
            <w:tcW w:w="882" w:type="dxa"/>
            <w:vMerge/>
            <w:tcBorders>
              <w:tl2br w:val="nil"/>
              <w:tr2bl w:val="nil"/>
            </w:tcBorders>
            <w:vAlign w:val="center"/>
          </w:tcPr>
          <w:p w:rsidR="002A5A5E" w:rsidRPr="00FC1444" w:rsidRDefault="002A5A5E">
            <w:pPr>
              <w:contextualSpacing/>
              <w:jc w:val="center"/>
              <w:rPr>
                <w:rFonts w:eastAsiaTheme="minorEastAsia"/>
                <w:kern w:val="0"/>
                <w:szCs w:val="21"/>
              </w:rPr>
            </w:pPr>
          </w:p>
        </w:tc>
        <w:tc>
          <w:tcPr>
            <w:tcW w:w="1451"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河流</w:t>
            </w:r>
          </w:p>
        </w:tc>
        <w:tc>
          <w:tcPr>
            <w:tcW w:w="1615"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湖库</w:t>
            </w:r>
          </w:p>
        </w:tc>
        <w:tc>
          <w:tcPr>
            <w:tcW w:w="1682"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入海河口、近</w:t>
            </w:r>
          </w:p>
          <w:p w:rsidR="002A5A5E" w:rsidRPr="00FC1444" w:rsidRDefault="00611CBA">
            <w:pPr>
              <w:contextualSpacing/>
              <w:jc w:val="center"/>
              <w:rPr>
                <w:rFonts w:eastAsiaTheme="minorEastAsia"/>
                <w:kern w:val="0"/>
                <w:szCs w:val="21"/>
              </w:rPr>
            </w:pPr>
            <w:r w:rsidRPr="00FC1444">
              <w:rPr>
                <w:rFonts w:eastAsiaTheme="minorEastAsia"/>
                <w:kern w:val="0"/>
                <w:szCs w:val="21"/>
              </w:rPr>
              <w:t>岸海域</w:t>
            </w:r>
          </w:p>
        </w:tc>
      </w:tr>
      <w:tr w:rsidR="002A5A5E" w:rsidRPr="00FC1444">
        <w:trPr>
          <w:trHeight w:val="340"/>
        </w:trPr>
        <w:tc>
          <w:tcPr>
            <w:tcW w:w="572"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一级</w:t>
            </w:r>
          </w:p>
        </w:tc>
        <w:tc>
          <w:tcPr>
            <w:tcW w:w="1139"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α≤10</w:t>
            </w:r>
            <w:r w:rsidRPr="00FC1444">
              <w:rPr>
                <w:rFonts w:eastAsiaTheme="minorEastAsia"/>
                <w:kern w:val="0"/>
                <w:szCs w:val="21"/>
              </w:rPr>
              <w:t>；或稳定</w:t>
            </w:r>
          </w:p>
          <w:p w:rsidR="002A5A5E" w:rsidRPr="00FC1444" w:rsidRDefault="00611CBA">
            <w:pPr>
              <w:contextualSpacing/>
              <w:jc w:val="center"/>
              <w:rPr>
                <w:rFonts w:eastAsiaTheme="minorEastAsia"/>
                <w:kern w:val="0"/>
                <w:szCs w:val="21"/>
              </w:rPr>
            </w:pPr>
            <w:r w:rsidRPr="00FC1444">
              <w:rPr>
                <w:rFonts w:eastAsiaTheme="minorEastAsia"/>
                <w:kern w:val="0"/>
                <w:szCs w:val="21"/>
              </w:rPr>
              <w:t>分层</w:t>
            </w:r>
          </w:p>
        </w:tc>
        <w:tc>
          <w:tcPr>
            <w:tcW w:w="1187"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β≥20</w:t>
            </w:r>
            <w:r w:rsidRPr="00FC1444">
              <w:rPr>
                <w:rFonts w:eastAsiaTheme="minorEastAsia"/>
                <w:kern w:val="0"/>
                <w:szCs w:val="21"/>
              </w:rPr>
              <w:t>；或完全年调节与多年调节</w:t>
            </w:r>
          </w:p>
        </w:tc>
        <w:tc>
          <w:tcPr>
            <w:tcW w:w="882"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γ≥30</w:t>
            </w:r>
          </w:p>
        </w:tc>
        <w:tc>
          <w:tcPr>
            <w:tcW w:w="1451"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1</w:t>
            </w:r>
            <w:r w:rsidRPr="00FC1444">
              <w:rPr>
                <w:rFonts w:eastAsiaTheme="minorEastAsia"/>
                <w:kern w:val="0"/>
                <w:szCs w:val="21"/>
              </w:rPr>
              <w:t>≥0.3</w:t>
            </w:r>
            <w:r w:rsidRPr="00FC1444">
              <w:rPr>
                <w:rFonts w:eastAsiaTheme="minorEastAsia"/>
                <w:kern w:val="0"/>
                <w:szCs w:val="21"/>
              </w:rPr>
              <w:t>；或</w:t>
            </w:r>
          </w:p>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2</w:t>
            </w:r>
            <w:r w:rsidRPr="00FC1444">
              <w:rPr>
                <w:rFonts w:eastAsiaTheme="minorEastAsia"/>
                <w:kern w:val="0"/>
                <w:szCs w:val="21"/>
              </w:rPr>
              <w:t>≥1.5</w:t>
            </w:r>
            <w:r w:rsidRPr="00FC1444">
              <w:rPr>
                <w:rFonts w:eastAsiaTheme="minorEastAsia"/>
                <w:kern w:val="0"/>
                <w:szCs w:val="21"/>
              </w:rPr>
              <w:t>；或</w:t>
            </w:r>
          </w:p>
          <w:p w:rsidR="002A5A5E" w:rsidRPr="00FC1444" w:rsidRDefault="00611CBA">
            <w:pPr>
              <w:contextualSpacing/>
              <w:jc w:val="center"/>
              <w:rPr>
                <w:rFonts w:eastAsiaTheme="minorEastAsia"/>
                <w:kern w:val="0"/>
                <w:szCs w:val="21"/>
              </w:rPr>
            </w:pPr>
            <w:r w:rsidRPr="00FC1444">
              <w:rPr>
                <w:rFonts w:eastAsiaTheme="minorEastAsia"/>
                <w:kern w:val="0"/>
                <w:szCs w:val="21"/>
              </w:rPr>
              <w:t>R≥10</w:t>
            </w:r>
          </w:p>
        </w:tc>
        <w:tc>
          <w:tcPr>
            <w:tcW w:w="1615"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1</w:t>
            </w:r>
            <w:r w:rsidRPr="00FC1444">
              <w:rPr>
                <w:rFonts w:eastAsiaTheme="minorEastAsia"/>
                <w:kern w:val="0"/>
                <w:szCs w:val="21"/>
              </w:rPr>
              <w:t>≥0.3</w:t>
            </w:r>
            <w:r w:rsidRPr="00FC1444">
              <w:rPr>
                <w:rFonts w:eastAsiaTheme="minorEastAsia"/>
                <w:kern w:val="0"/>
                <w:szCs w:val="21"/>
              </w:rPr>
              <w:t>；或</w:t>
            </w:r>
          </w:p>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2</w:t>
            </w:r>
            <w:r w:rsidRPr="00FC1444">
              <w:rPr>
                <w:rFonts w:eastAsiaTheme="minorEastAsia"/>
                <w:kern w:val="0"/>
                <w:szCs w:val="21"/>
              </w:rPr>
              <w:t>≥1.5</w:t>
            </w:r>
            <w:r w:rsidRPr="00FC1444">
              <w:rPr>
                <w:rFonts w:eastAsiaTheme="minorEastAsia"/>
                <w:kern w:val="0"/>
                <w:szCs w:val="21"/>
              </w:rPr>
              <w:t>；或</w:t>
            </w:r>
          </w:p>
          <w:p w:rsidR="002A5A5E" w:rsidRPr="00FC1444" w:rsidRDefault="00611CBA">
            <w:pPr>
              <w:contextualSpacing/>
              <w:jc w:val="center"/>
              <w:rPr>
                <w:rFonts w:eastAsiaTheme="minorEastAsia"/>
                <w:kern w:val="0"/>
                <w:szCs w:val="21"/>
              </w:rPr>
            </w:pPr>
            <w:r w:rsidRPr="00FC1444">
              <w:rPr>
                <w:rFonts w:eastAsiaTheme="minorEastAsia"/>
                <w:kern w:val="0"/>
                <w:szCs w:val="21"/>
              </w:rPr>
              <w:t>R≥20</w:t>
            </w:r>
          </w:p>
        </w:tc>
        <w:tc>
          <w:tcPr>
            <w:tcW w:w="1682"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1</w:t>
            </w:r>
            <w:r w:rsidRPr="00FC1444">
              <w:rPr>
                <w:rFonts w:eastAsiaTheme="minorEastAsia"/>
                <w:kern w:val="0"/>
                <w:szCs w:val="21"/>
              </w:rPr>
              <w:t>≥0.5</w:t>
            </w:r>
            <w:r w:rsidRPr="00FC1444">
              <w:rPr>
                <w:rFonts w:eastAsiaTheme="minorEastAsia"/>
                <w:kern w:val="0"/>
                <w:szCs w:val="21"/>
              </w:rPr>
              <w:t>；或</w:t>
            </w:r>
          </w:p>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2</w:t>
            </w:r>
            <w:r w:rsidRPr="00FC1444">
              <w:rPr>
                <w:rFonts w:eastAsiaTheme="minorEastAsia"/>
                <w:kern w:val="0"/>
                <w:szCs w:val="21"/>
              </w:rPr>
              <w:t>≥3</w:t>
            </w:r>
          </w:p>
        </w:tc>
      </w:tr>
      <w:tr w:rsidR="002A5A5E" w:rsidRPr="00FC1444">
        <w:trPr>
          <w:trHeight w:val="340"/>
        </w:trPr>
        <w:tc>
          <w:tcPr>
            <w:tcW w:w="572"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二级</w:t>
            </w:r>
          </w:p>
        </w:tc>
        <w:tc>
          <w:tcPr>
            <w:tcW w:w="1139"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20&gt;α&gt;10</w:t>
            </w:r>
            <w:r w:rsidRPr="00FC1444">
              <w:rPr>
                <w:rFonts w:eastAsiaTheme="minorEastAsia"/>
                <w:kern w:val="0"/>
                <w:szCs w:val="21"/>
              </w:rPr>
              <w:t>；或不稳定分层</w:t>
            </w:r>
          </w:p>
        </w:tc>
        <w:tc>
          <w:tcPr>
            <w:tcW w:w="1187"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20&gt;β&gt;2</w:t>
            </w:r>
            <w:r w:rsidRPr="00FC1444">
              <w:rPr>
                <w:rFonts w:eastAsiaTheme="minorEastAsia"/>
                <w:kern w:val="0"/>
                <w:szCs w:val="21"/>
              </w:rPr>
              <w:t>；或季调节与不完全年调节</w:t>
            </w:r>
          </w:p>
        </w:tc>
        <w:tc>
          <w:tcPr>
            <w:tcW w:w="882"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30&gt;γ</w:t>
            </w:r>
          </w:p>
          <w:p w:rsidR="002A5A5E" w:rsidRPr="00FC1444" w:rsidRDefault="00611CBA">
            <w:pPr>
              <w:contextualSpacing/>
              <w:jc w:val="center"/>
              <w:rPr>
                <w:rFonts w:eastAsiaTheme="minorEastAsia"/>
                <w:kern w:val="0"/>
                <w:szCs w:val="21"/>
              </w:rPr>
            </w:pPr>
            <w:r w:rsidRPr="00FC1444">
              <w:rPr>
                <w:rFonts w:eastAsiaTheme="minorEastAsia"/>
                <w:kern w:val="0"/>
                <w:szCs w:val="21"/>
              </w:rPr>
              <w:t>&gt;10</w:t>
            </w:r>
            <w:r w:rsidRPr="00FC1444">
              <w:rPr>
                <w:rFonts w:eastAsiaTheme="minorEastAsia"/>
                <w:kern w:val="0"/>
                <w:szCs w:val="21"/>
              </w:rPr>
              <w:t>；</w:t>
            </w:r>
          </w:p>
        </w:tc>
        <w:tc>
          <w:tcPr>
            <w:tcW w:w="1451"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0.3&gt;A</w:t>
            </w:r>
            <w:r w:rsidRPr="00FC1444">
              <w:rPr>
                <w:rFonts w:eastAsiaTheme="minorEastAsia"/>
                <w:kern w:val="0"/>
                <w:szCs w:val="21"/>
                <w:vertAlign w:val="subscript"/>
              </w:rPr>
              <w:t>1</w:t>
            </w:r>
            <w:r w:rsidRPr="00FC1444">
              <w:rPr>
                <w:rFonts w:eastAsiaTheme="minorEastAsia"/>
                <w:kern w:val="0"/>
                <w:szCs w:val="21"/>
              </w:rPr>
              <w:t>&gt;0.05</w:t>
            </w:r>
            <w:r w:rsidRPr="00FC1444">
              <w:rPr>
                <w:rFonts w:eastAsiaTheme="minorEastAsia"/>
                <w:kern w:val="0"/>
                <w:szCs w:val="21"/>
              </w:rPr>
              <w:t>；或</w:t>
            </w:r>
            <w:r w:rsidRPr="00FC1444">
              <w:rPr>
                <w:rFonts w:eastAsiaTheme="minorEastAsia"/>
                <w:kern w:val="0"/>
                <w:szCs w:val="21"/>
              </w:rPr>
              <w:t xml:space="preserve"> 1.5&gt;A</w:t>
            </w:r>
            <w:r w:rsidRPr="00FC1444">
              <w:rPr>
                <w:rFonts w:eastAsiaTheme="minorEastAsia"/>
                <w:kern w:val="0"/>
                <w:szCs w:val="21"/>
                <w:vertAlign w:val="subscript"/>
              </w:rPr>
              <w:t>2</w:t>
            </w:r>
            <w:r w:rsidRPr="00FC1444">
              <w:rPr>
                <w:rFonts w:eastAsiaTheme="minorEastAsia"/>
                <w:kern w:val="0"/>
                <w:szCs w:val="21"/>
              </w:rPr>
              <w:t>&gt;0.2</w:t>
            </w:r>
            <w:r w:rsidRPr="00FC1444">
              <w:rPr>
                <w:rFonts w:eastAsiaTheme="minorEastAsia"/>
                <w:kern w:val="0"/>
                <w:szCs w:val="21"/>
              </w:rPr>
              <w:t>；或</w:t>
            </w:r>
            <w:r w:rsidRPr="00FC1444">
              <w:rPr>
                <w:rFonts w:eastAsiaTheme="minorEastAsia"/>
                <w:kern w:val="0"/>
                <w:szCs w:val="21"/>
              </w:rPr>
              <w:t>10&gt; R&gt;5</w:t>
            </w:r>
          </w:p>
        </w:tc>
        <w:tc>
          <w:tcPr>
            <w:tcW w:w="1615"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0.3&gt;A</w:t>
            </w:r>
            <w:r w:rsidRPr="00FC1444">
              <w:rPr>
                <w:rFonts w:eastAsiaTheme="minorEastAsia"/>
                <w:kern w:val="0"/>
                <w:szCs w:val="21"/>
                <w:vertAlign w:val="subscript"/>
              </w:rPr>
              <w:t>1</w:t>
            </w:r>
            <w:r w:rsidRPr="00FC1444">
              <w:rPr>
                <w:rFonts w:eastAsiaTheme="minorEastAsia"/>
                <w:kern w:val="0"/>
                <w:szCs w:val="21"/>
              </w:rPr>
              <w:t>&gt;0.05</w:t>
            </w:r>
            <w:r w:rsidRPr="00FC1444">
              <w:rPr>
                <w:rFonts w:eastAsiaTheme="minorEastAsia"/>
                <w:kern w:val="0"/>
                <w:szCs w:val="21"/>
              </w:rPr>
              <w:t>；或</w:t>
            </w:r>
            <w:r w:rsidRPr="00FC1444">
              <w:rPr>
                <w:rFonts w:eastAsiaTheme="minorEastAsia"/>
                <w:kern w:val="0"/>
                <w:szCs w:val="21"/>
              </w:rPr>
              <w:t xml:space="preserve"> 1.5&gt;</w:t>
            </w:r>
          </w:p>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2</w:t>
            </w:r>
            <w:r w:rsidRPr="00FC1444">
              <w:rPr>
                <w:rFonts w:eastAsiaTheme="minorEastAsia"/>
                <w:kern w:val="0"/>
                <w:szCs w:val="21"/>
              </w:rPr>
              <w:t>&gt;0.2</w:t>
            </w:r>
            <w:r w:rsidRPr="00FC1444">
              <w:rPr>
                <w:rFonts w:eastAsiaTheme="minorEastAsia"/>
                <w:kern w:val="0"/>
                <w:szCs w:val="21"/>
              </w:rPr>
              <w:t>；或</w:t>
            </w:r>
          </w:p>
          <w:p w:rsidR="002A5A5E" w:rsidRPr="00FC1444" w:rsidRDefault="00611CBA">
            <w:pPr>
              <w:contextualSpacing/>
              <w:jc w:val="center"/>
              <w:rPr>
                <w:rFonts w:eastAsiaTheme="minorEastAsia"/>
                <w:kern w:val="0"/>
                <w:szCs w:val="21"/>
              </w:rPr>
            </w:pPr>
            <w:r w:rsidRPr="00FC1444">
              <w:rPr>
                <w:rFonts w:eastAsiaTheme="minorEastAsia"/>
                <w:kern w:val="0"/>
                <w:szCs w:val="21"/>
              </w:rPr>
              <w:t>20&gt; R&gt;5</w:t>
            </w:r>
          </w:p>
        </w:tc>
        <w:tc>
          <w:tcPr>
            <w:tcW w:w="1682"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0.5&gt;A</w:t>
            </w:r>
            <w:r w:rsidRPr="00FC1444">
              <w:rPr>
                <w:rFonts w:eastAsiaTheme="minorEastAsia"/>
                <w:kern w:val="0"/>
                <w:szCs w:val="21"/>
                <w:vertAlign w:val="subscript"/>
              </w:rPr>
              <w:t>1</w:t>
            </w:r>
            <w:r w:rsidRPr="00FC1444">
              <w:rPr>
                <w:rFonts w:eastAsiaTheme="minorEastAsia"/>
                <w:kern w:val="0"/>
                <w:szCs w:val="21"/>
              </w:rPr>
              <w:t>&gt;0.15</w:t>
            </w:r>
            <w:r w:rsidRPr="00FC1444">
              <w:rPr>
                <w:rFonts w:eastAsiaTheme="minorEastAsia"/>
                <w:kern w:val="0"/>
                <w:szCs w:val="21"/>
              </w:rPr>
              <w:t>；或</w:t>
            </w:r>
            <w:r w:rsidRPr="00FC1444">
              <w:rPr>
                <w:rFonts w:eastAsiaTheme="minorEastAsia"/>
                <w:kern w:val="0"/>
                <w:szCs w:val="21"/>
              </w:rPr>
              <w:t xml:space="preserve"> 3&gt;A</w:t>
            </w:r>
            <w:r w:rsidRPr="00FC1444">
              <w:rPr>
                <w:rFonts w:eastAsiaTheme="minorEastAsia"/>
                <w:kern w:val="0"/>
                <w:szCs w:val="21"/>
                <w:vertAlign w:val="subscript"/>
              </w:rPr>
              <w:t>2</w:t>
            </w:r>
            <w:r w:rsidRPr="00FC1444">
              <w:rPr>
                <w:rFonts w:eastAsiaTheme="minorEastAsia"/>
                <w:kern w:val="0"/>
                <w:szCs w:val="21"/>
              </w:rPr>
              <w:t>&gt;0.5</w:t>
            </w:r>
          </w:p>
        </w:tc>
      </w:tr>
      <w:tr w:rsidR="002A5A5E" w:rsidRPr="00FC1444">
        <w:trPr>
          <w:trHeight w:val="340"/>
        </w:trPr>
        <w:tc>
          <w:tcPr>
            <w:tcW w:w="572"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三级</w:t>
            </w:r>
          </w:p>
        </w:tc>
        <w:tc>
          <w:tcPr>
            <w:tcW w:w="1139"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α≥20</w:t>
            </w:r>
            <w:r w:rsidRPr="00FC1444">
              <w:rPr>
                <w:rFonts w:eastAsiaTheme="minorEastAsia"/>
                <w:kern w:val="0"/>
                <w:szCs w:val="21"/>
              </w:rPr>
              <w:t>；或混合型</w:t>
            </w:r>
          </w:p>
        </w:tc>
        <w:tc>
          <w:tcPr>
            <w:tcW w:w="1187"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β≤2</w:t>
            </w:r>
            <w:r w:rsidRPr="00FC1444">
              <w:rPr>
                <w:rFonts w:eastAsiaTheme="minorEastAsia"/>
                <w:kern w:val="0"/>
                <w:szCs w:val="21"/>
              </w:rPr>
              <w:t>；或无调节</w:t>
            </w:r>
          </w:p>
        </w:tc>
        <w:tc>
          <w:tcPr>
            <w:tcW w:w="882"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γ≤10</w:t>
            </w:r>
          </w:p>
        </w:tc>
        <w:tc>
          <w:tcPr>
            <w:tcW w:w="1451"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1</w:t>
            </w:r>
            <w:r w:rsidRPr="00FC1444">
              <w:rPr>
                <w:rFonts w:eastAsiaTheme="minorEastAsia"/>
                <w:kern w:val="0"/>
                <w:szCs w:val="21"/>
              </w:rPr>
              <w:t>≤0.05</w:t>
            </w:r>
            <w:r w:rsidRPr="00FC1444">
              <w:rPr>
                <w:rFonts w:eastAsiaTheme="minorEastAsia"/>
                <w:kern w:val="0"/>
                <w:szCs w:val="21"/>
              </w:rPr>
              <w:t>；或</w:t>
            </w:r>
          </w:p>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2</w:t>
            </w:r>
            <w:r w:rsidRPr="00FC1444">
              <w:rPr>
                <w:rFonts w:eastAsiaTheme="minorEastAsia"/>
                <w:kern w:val="0"/>
                <w:szCs w:val="21"/>
              </w:rPr>
              <w:t>≤0.2</w:t>
            </w:r>
            <w:r w:rsidRPr="00FC1444">
              <w:rPr>
                <w:rFonts w:eastAsiaTheme="minorEastAsia"/>
                <w:kern w:val="0"/>
                <w:szCs w:val="21"/>
              </w:rPr>
              <w:t>；或</w:t>
            </w:r>
          </w:p>
          <w:p w:rsidR="002A5A5E" w:rsidRPr="00FC1444" w:rsidRDefault="00611CBA">
            <w:pPr>
              <w:contextualSpacing/>
              <w:jc w:val="center"/>
              <w:rPr>
                <w:rFonts w:eastAsiaTheme="minorEastAsia"/>
                <w:kern w:val="0"/>
                <w:szCs w:val="21"/>
              </w:rPr>
            </w:pPr>
            <w:r w:rsidRPr="00FC1444">
              <w:rPr>
                <w:rFonts w:eastAsiaTheme="minorEastAsia"/>
                <w:kern w:val="0"/>
                <w:szCs w:val="21"/>
              </w:rPr>
              <w:t>R≤5</w:t>
            </w:r>
          </w:p>
        </w:tc>
        <w:tc>
          <w:tcPr>
            <w:tcW w:w="1615"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1</w:t>
            </w:r>
            <w:r w:rsidRPr="00FC1444">
              <w:rPr>
                <w:rFonts w:eastAsiaTheme="minorEastAsia"/>
                <w:kern w:val="0"/>
                <w:szCs w:val="21"/>
              </w:rPr>
              <w:t>≤0.05</w:t>
            </w:r>
            <w:r w:rsidRPr="00FC1444">
              <w:rPr>
                <w:rFonts w:eastAsiaTheme="minorEastAsia"/>
                <w:kern w:val="0"/>
                <w:szCs w:val="21"/>
              </w:rPr>
              <w:t>；或</w:t>
            </w:r>
          </w:p>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2</w:t>
            </w:r>
            <w:r w:rsidRPr="00FC1444">
              <w:rPr>
                <w:rFonts w:eastAsiaTheme="minorEastAsia"/>
                <w:kern w:val="0"/>
                <w:szCs w:val="21"/>
              </w:rPr>
              <w:t>≤0.2</w:t>
            </w:r>
            <w:r w:rsidRPr="00FC1444">
              <w:rPr>
                <w:rFonts w:eastAsiaTheme="minorEastAsia"/>
                <w:kern w:val="0"/>
                <w:szCs w:val="21"/>
              </w:rPr>
              <w:t>；或</w:t>
            </w:r>
          </w:p>
          <w:p w:rsidR="002A5A5E" w:rsidRPr="00FC1444" w:rsidRDefault="00611CBA">
            <w:pPr>
              <w:contextualSpacing/>
              <w:jc w:val="center"/>
              <w:rPr>
                <w:rFonts w:eastAsiaTheme="minorEastAsia"/>
                <w:kern w:val="0"/>
                <w:szCs w:val="21"/>
              </w:rPr>
            </w:pPr>
            <w:r w:rsidRPr="00FC1444">
              <w:rPr>
                <w:rFonts w:eastAsiaTheme="minorEastAsia"/>
                <w:kern w:val="0"/>
                <w:szCs w:val="21"/>
              </w:rPr>
              <w:t>R≤5</w:t>
            </w:r>
          </w:p>
        </w:tc>
        <w:tc>
          <w:tcPr>
            <w:tcW w:w="1682" w:type="dxa"/>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1</w:t>
            </w:r>
            <w:r w:rsidRPr="00FC1444">
              <w:rPr>
                <w:rFonts w:eastAsiaTheme="minorEastAsia"/>
                <w:kern w:val="0"/>
                <w:szCs w:val="21"/>
              </w:rPr>
              <w:t>≤0.15</w:t>
            </w:r>
            <w:r w:rsidRPr="00FC1444">
              <w:rPr>
                <w:rFonts w:eastAsiaTheme="minorEastAsia"/>
                <w:kern w:val="0"/>
                <w:szCs w:val="21"/>
              </w:rPr>
              <w:t>；或</w:t>
            </w:r>
          </w:p>
          <w:p w:rsidR="002A5A5E" w:rsidRPr="00FC1444" w:rsidRDefault="00611CBA">
            <w:pPr>
              <w:contextualSpacing/>
              <w:jc w:val="center"/>
              <w:rPr>
                <w:rFonts w:eastAsiaTheme="minorEastAsia"/>
                <w:kern w:val="0"/>
                <w:szCs w:val="21"/>
              </w:rPr>
            </w:pPr>
            <w:r w:rsidRPr="00FC1444">
              <w:rPr>
                <w:rFonts w:eastAsiaTheme="minorEastAsia"/>
                <w:kern w:val="0"/>
                <w:szCs w:val="21"/>
              </w:rPr>
              <w:t>A</w:t>
            </w:r>
            <w:r w:rsidRPr="00FC1444">
              <w:rPr>
                <w:rFonts w:eastAsiaTheme="minorEastAsia"/>
                <w:kern w:val="0"/>
                <w:szCs w:val="21"/>
                <w:vertAlign w:val="subscript"/>
              </w:rPr>
              <w:t>2</w:t>
            </w:r>
            <w:r w:rsidRPr="00FC1444">
              <w:rPr>
                <w:rFonts w:eastAsiaTheme="minorEastAsia"/>
                <w:kern w:val="0"/>
                <w:szCs w:val="21"/>
              </w:rPr>
              <w:t>≤0.5</w:t>
            </w:r>
          </w:p>
        </w:tc>
      </w:tr>
      <w:tr w:rsidR="002A5A5E" w:rsidRPr="00FC1444">
        <w:trPr>
          <w:trHeight w:val="340"/>
        </w:trPr>
        <w:tc>
          <w:tcPr>
            <w:tcW w:w="8528" w:type="dxa"/>
            <w:gridSpan w:val="7"/>
            <w:tcBorders>
              <w:tl2br w:val="nil"/>
              <w:tr2bl w:val="nil"/>
            </w:tcBorders>
            <w:vAlign w:val="center"/>
          </w:tcPr>
          <w:p w:rsidR="002A5A5E" w:rsidRPr="00FC1444" w:rsidRDefault="00611CBA">
            <w:pPr>
              <w:contextualSpacing/>
              <w:jc w:val="center"/>
              <w:rPr>
                <w:rFonts w:eastAsiaTheme="minorEastAsia"/>
                <w:kern w:val="0"/>
                <w:szCs w:val="21"/>
              </w:rPr>
            </w:pPr>
            <w:r w:rsidRPr="00FC1444">
              <w:rPr>
                <w:rFonts w:eastAsiaTheme="minorEastAsia"/>
                <w:kern w:val="0"/>
                <w:szCs w:val="21"/>
              </w:rPr>
              <w:t>注</w:t>
            </w:r>
            <w:r w:rsidRPr="00FC1444">
              <w:rPr>
                <w:rFonts w:eastAsiaTheme="minorEastAsia"/>
                <w:kern w:val="0"/>
                <w:szCs w:val="21"/>
              </w:rPr>
              <w:t>1</w:t>
            </w:r>
            <w:r w:rsidRPr="00FC1444">
              <w:rPr>
                <w:rFonts w:eastAsiaTheme="minorEastAsia"/>
                <w:kern w:val="0"/>
                <w:szCs w:val="21"/>
              </w:rPr>
              <w:t>：影响范围涉及饮用水水源保护区、重点保护与珍稀水生生物的栖息地、重要水生生物的自然产卵场、自然保护区等保护目标，评价等级应不低于二级。</w:t>
            </w:r>
          </w:p>
          <w:p w:rsidR="002A5A5E" w:rsidRPr="00FC1444" w:rsidRDefault="00611CBA">
            <w:pPr>
              <w:contextualSpacing/>
              <w:jc w:val="center"/>
              <w:rPr>
                <w:rFonts w:eastAsiaTheme="minorEastAsia"/>
                <w:kern w:val="0"/>
                <w:szCs w:val="21"/>
              </w:rPr>
            </w:pPr>
            <w:r w:rsidRPr="00FC1444">
              <w:rPr>
                <w:rFonts w:eastAsiaTheme="minorEastAsia"/>
                <w:kern w:val="0"/>
                <w:szCs w:val="21"/>
              </w:rPr>
              <w:t>注</w:t>
            </w:r>
            <w:r w:rsidRPr="00FC1444">
              <w:rPr>
                <w:rFonts w:eastAsiaTheme="minorEastAsia"/>
                <w:kern w:val="0"/>
                <w:szCs w:val="21"/>
              </w:rPr>
              <w:t>2</w:t>
            </w:r>
            <w:r w:rsidRPr="00FC1444">
              <w:rPr>
                <w:rFonts w:eastAsiaTheme="minorEastAsia"/>
                <w:kern w:val="0"/>
                <w:szCs w:val="21"/>
              </w:rPr>
              <w:t>：跨流域调水、引水式电站、可能受到河流感潮河段影响，评价等级不低于二级。</w:t>
            </w:r>
          </w:p>
          <w:p w:rsidR="002A5A5E" w:rsidRPr="00FC1444" w:rsidRDefault="00611CBA">
            <w:pPr>
              <w:contextualSpacing/>
              <w:jc w:val="center"/>
              <w:rPr>
                <w:rFonts w:eastAsiaTheme="minorEastAsia"/>
                <w:kern w:val="0"/>
                <w:szCs w:val="21"/>
              </w:rPr>
            </w:pPr>
            <w:r w:rsidRPr="00FC1444">
              <w:rPr>
                <w:rFonts w:eastAsiaTheme="minorEastAsia"/>
                <w:kern w:val="0"/>
                <w:szCs w:val="21"/>
              </w:rPr>
              <w:t>注</w:t>
            </w:r>
            <w:r w:rsidRPr="00FC1444">
              <w:rPr>
                <w:rFonts w:eastAsiaTheme="minorEastAsia"/>
                <w:kern w:val="0"/>
                <w:szCs w:val="21"/>
              </w:rPr>
              <w:t>3</w:t>
            </w:r>
            <w:r w:rsidRPr="00FC1444">
              <w:rPr>
                <w:rFonts w:eastAsiaTheme="minorEastAsia"/>
                <w:kern w:val="0"/>
                <w:szCs w:val="21"/>
              </w:rPr>
              <w:t>：造成入海河口（湾口）宽度束窄（束窄尺度达到原宽度的</w:t>
            </w:r>
            <w:r w:rsidRPr="00FC1444">
              <w:rPr>
                <w:rFonts w:eastAsiaTheme="minorEastAsia"/>
                <w:kern w:val="0"/>
                <w:szCs w:val="21"/>
              </w:rPr>
              <w:t>5%</w:t>
            </w:r>
            <w:r w:rsidRPr="00FC1444">
              <w:rPr>
                <w:rFonts w:eastAsiaTheme="minorEastAsia"/>
                <w:kern w:val="0"/>
                <w:szCs w:val="21"/>
              </w:rPr>
              <w:t>以上），评价等级应不低于二级。</w:t>
            </w:r>
          </w:p>
          <w:p w:rsidR="002A5A5E" w:rsidRPr="00FC1444" w:rsidRDefault="00611CBA">
            <w:pPr>
              <w:contextualSpacing/>
              <w:jc w:val="center"/>
              <w:rPr>
                <w:rFonts w:eastAsiaTheme="minorEastAsia"/>
                <w:kern w:val="0"/>
                <w:szCs w:val="21"/>
              </w:rPr>
            </w:pPr>
            <w:r w:rsidRPr="00FC1444">
              <w:rPr>
                <w:rFonts w:eastAsiaTheme="minorEastAsia"/>
                <w:kern w:val="0"/>
                <w:szCs w:val="21"/>
              </w:rPr>
              <w:t>注</w:t>
            </w:r>
            <w:r w:rsidRPr="00FC1444">
              <w:rPr>
                <w:rFonts w:eastAsiaTheme="minorEastAsia"/>
                <w:kern w:val="0"/>
                <w:szCs w:val="21"/>
              </w:rPr>
              <w:t>4</w:t>
            </w:r>
            <w:r w:rsidRPr="00FC1444">
              <w:rPr>
                <w:rFonts w:eastAsiaTheme="minorEastAsia"/>
                <w:kern w:val="0"/>
                <w:szCs w:val="21"/>
              </w:rPr>
              <w:t>：对不透水的单方向建筑尺度较长的水工建筑物（如防波堤、导流堤等），其与潮流或水流主流向切线垂直方向投影长度大于</w:t>
            </w:r>
            <w:r w:rsidRPr="00FC1444">
              <w:rPr>
                <w:rFonts w:eastAsiaTheme="minorEastAsia"/>
                <w:kern w:val="0"/>
                <w:szCs w:val="21"/>
              </w:rPr>
              <w:t>2km</w:t>
            </w:r>
            <w:r w:rsidRPr="00FC1444">
              <w:rPr>
                <w:rFonts w:eastAsiaTheme="minorEastAsia"/>
                <w:kern w:val="0"/>
                <w:szCs w:val="21"/>
              </w:rPr>
              <w:t>时，评价等级应不低于二级。</w:t>
            </w:r>
          </w:p>
          <w:p w:rsidR="002A5A5E" w:rsidRPr="00FC1444" w:rsidRDefault="00611CBA">
            <w:pPr>
              <w:contextualSpacing/>
              <w:jc w:val="center"/>
              <w:rPr>
                <w:rFonts w:eastAsiaTheme="minorEastAsia"/>
                <w:kern w:val="0"/>
                <w:szCs w:val="21"/>
              </w:rPr>
            </w:pPr>
            <w:r w:rsidRPr="00FC1444">
              <w:rPr>
                <w:rFonts w:eastAsiaTheme="minorEastAsia"/>
                <w:kern w:val="0"/>
                <w:szCs w:val="21"/>
              </w:rPr>
              <w:t>注</w:t>
            </w:r>
            <w:r w:rsidRPr="00FC1444">
              <w:rPr>
                <w:rFonts w:eastAsiaTheme="minorEastAsia"/>
                <w:kern w:val="0"/>
                <w:szCs w:val="21"/>
              </w:rPr>
              <w:t>5</w:t>
            </w:r>
            <w:r w:rsidRPr="00FC1444">
              <w:rPr>
                <w:rFonts w:eastAsiaTheme="minorEastAsia"/>
                <w:kern w:val="0"/>
                <w:szCs w:val="21"/>
              </w:rPr>
              <w:t>：允许在一类海域建设的项目，评价等级为一级。</w:t>
            </w:r>
          </w:p>
          <w:p w:rsidR="002A5A5E" w:rsidRPr="00FC1444" w:rsidRDefault="00611CBA">
            <w:pPr>
              <w:contextualSpacing/>
              <w:jc w:val="center"/>
              <w:rPr>
                <w:rFonts w:eastAsiaTheme="minorEastAsia"/>
                <w:kern w:val="0"/>
                <w:szCs w:val="21"/>
              </w:rPr>
            </w:pPr>
            <w:r w:rsidRPr="00FC1444">
              <w:rPr>
                <w:rFonts w:eastAsiaTheme="minorEastAsia"/>
                <w:kern w:val="0"/>
                <w:szCs w:val="21"/>
              </w:rPr>
              <w:t>注</w:t>
            </w:r>
            <w:r w:rsidRPr="00FC1444">
              <w:rPr>
                <w:rFonts w:eastAsiaTheme="minorEastAsia"/>
                <w:kern w:val="0"/>
                <w:szCs w:val="21"/>
              </w:rPr>
              <w:t>6</w:t>
            </w:r>
            <w:r w:rsidRPr="00FC1444">
              <w:rPr>
                <w:rFonts w:eastAsiaTheme="minorEastAsia"/>
                <w:kern w:val="0"/>
                <w:szCs w:val="21"/>
              </w:rPr>
              <w:t>：同时存在多个水文要素影响的建设项目，分别判定各水文要素影响评价等级，并取其中最高等级作为水文要素影响型建设项目评价等级。</w:t>
            </w:r>
          </w:p>
        </w:tc>
      </w:tr>
    </w:tbl>
    <w:p w:rsidR="002A5A5E" w:rsidRPr="00FC1444" w:rsidRDefault="00611CBA">
      <w:pPr>
        <w:spacing w:line="360" w:lineRule="auto"/>
        <w:ind w:firstLineChars="200" w:firstLine="480"/>
        <w:rPr>
          <w:rFonts w:eastAsiaTheme="minorEastAsia"/>
          <w:sz w:val="24"/>
        </w:rPr>
      </w:pPr>
      <w:r w:rsidRPr="00FC1444">
        <w:rPr>
          <w:rFonts w:eastAsiaTheme="minorEastAsia"/>
          <w:snapToGrid w:val="0"/>
          <w:sz w:val="24"/>
        </w:rPr>
        <w:t>本项目现有水田取水为现有地下水灌溉井，不取用地表水</w:t>
      </w:r>
      <w:r w:rsidRPr="00FC1444">
        <w:rPr>
          <w:rFonts w:eastAsiaTheme="minorEastAsia"/>
          <w:kern w:val="0"/>
          <w:sz w:val="24"/>
        </w:rPr>
        <w:t>。项目涉水工程均为人工沟渠、排水沟（农沟）</w:t>
      </w:r>
      <w:r w:rsidRPr="00FC1444">
        <w:rPr>
          <w:rFonts w:eastAsiaTheme="minorEastAsia"/>
          <w:sz w:val="24"/>
        </w:rPr>
        <w:t>，不涉及</w:t>
      </w:r>
      <w:r w:rsidR="00F33895" w:rsidRPr="00FC1444">
        <w:rPr>
          <w:rFonts w:eastAsiaTheme="minorEastAsia"/>
          <w:kern w:val="0"/>
          <w:sz w:val="24"/>
        </w:rPr>
        <w:t>水库、</w:t>
      </w:r>
      <w:r w:rsidRPr="00FC1444">
        <w:rPr>
          <w:rFonts w:eastAsiaTheme="minorEastAsia"/>
          <w:sz w:val="24"/>
        </w:rPr>
        <w:t>河流、湖库、入海河口、近岸海域</w:t>
      </w:r>
      <w:r w:rsidRPr="00FC1444">
        <w:rPr>
          <w:rFonts w:eastAsiaTheme="minorEastAsia"/>
          <w:kern w:val="0"/>
          <w:sz w:val="24"/>
        </w:rPr>
        <w:t>。</w:t>
      </w:r>
    </w:p>
    <w:p w:rsidR="002A5A5E" w:rsidRPr="00FC1444" w:rsidRDefault="00611CBA">
      <w:pPr>
        <w:spacing w:line="360" w:lineRule="auto"/>
        <w:ind w:firstLineChars="200" w:firstLine="480"/>
        <w:rPr>
          <w:rFonts w:eastAsiaTheme="minorEastAsia"/>
          <w:sz w:val="24"/>
          <w:szCs w:val="22"/>
        </w:rPr>
      </w:pPr>
      <w:r w:rsidRPr="00FC1444">
        <w:rPr>
          <w:rFonts w:eastAsiaTheme="minorEastAsia"/>
          <w:sz w:val="24"/>
          <w:szCs w:val="22"/>
        </w:rPr>
        <w:t>综上，水文要素影响型评价不设置评价等级。</w:t>
      </w:r>
    </w:p>
    <w:p w:rsidR="002A5A5E" w:rsidRPr="00FC1444"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2.6.3</w:t>
      </w:r>
      <w:r w:rsidRPr="00FC1444">
        <w:rPr>
          <w:rFonts w:ascii="Times New Roman" w:eastAsiaTheme="minorEastAsia" w:hAnsi="Times New Roman" w:cs="Times New Roman"/>
          <w:b/>
          <w:sz w:val="28"/>
          <w:szCs w:val="28"/>
        </w:rPr>
        <w:t>地下水环境</w:t>
      </w:r>
    </w:p>
    <w:p w:rsidR="002A5A5E" w:rsidRPr="00FC1444" w:rsidRDefault="00611CBA">
      <w:pPr>
        <w:spacing w:line="360" w:lineRule="auto"/>
        <w:ind w:firstLineChars="200" w:firstLine="480"/>
        <w:rPr>
          <w:rFonts w:eastAsiaTheme="minorEastAsia"/>
          <w:kern w:val="0"/>
          <w:sz w:val="24"/>
        </w:rPr>
      </w:pPr>
      <w:r w:rsidRPr="00FC1444">
        <w:rPr>
          <w:rFonts w:eastAsiaTheme="minorEastAsia"/>
          <w:kern w:val="0"/>
          <w:sz w:val="24"/>
        </w:rPr>
        <w:t>根据《环境影响评价技术导则</w:t>
      </w:r>
      <w:r w:rsidRPr="00FC1444">
        <w:rPr>
          <w:rFonts w:eastAsiaTheme="minorEastAsia"/>
          <w:kern w:val="0"/>
          <w:sz w:val="24"/>
        </w:rPr>
        <w:t xml:space="preserve">  </w:t>
      </w:r>
      <w:r w:rsidRPr="00FC1444">
        <w:rPr>
          <w:rFonts w:eastAsiaTheme="minorEastAsia"/>
          <w:kern w:val="0"/>
          <w:sz w:val="24"/>
        </w:rPr>
        <w:t>地下水环境》（</w:t>
      </w:r>
      <w:r w:rsidRPr="00FC1444">
        <w:rPr>
          <w:rFonts w:eastAsiaTheme="minorEastAsia"/>
          <w:kern w:val="0"/>
          <w:sz w:val="24"/>
        </w:rPr>
        <w:t>HJ610-2016</w:t>
      </w:r>
      <w:r w:rsidRPr="00FC1444">
        <w:rPr>
          <w:rFonts w:eastAsiaTheme="minorEastAsia"/>
          <w:kern w:val="0"/>
          <w:sz w:val="24"/>
        </w:rPr>
        <w:t>）评价工作等级的划分应依据建设项目行业分类和地下水环境敏感程度分级进行判定。</w:t>
      </w:r>
    </w:p>
    <w:p w:rsidR="002A5A5E" w:rsidRPr="00FC1444" w:rsidRDefault="00611CBA">
      <w:pPr>
        <w:spacing w:line="360" w:lineRule="auto"/>
        <w:ind w:firstLineChars="200" w:firstLine="480"/>
        <w:rPr>
          <w:rFonts w:eastAsiaTheme="minorEastAsia"/>
          <w:kern w:val="0"/>
          <w:sz w:val="24"/>
        </w:rPr>
      </w:pPr>
      <w:r w:rsidRPr="00FC1444">
        <w:rPr>
          <w:rFonts w:eastAsiaTheme="minorEastAsia"/>
          <w:kern w:val="0"/>
          <w:sz w:val="24"/>
        </w:rPr>
        <w:t>（</w:t>
      </w:r>
      <w:r w:rsidRPr="00FC1444">
        <w:rPr>
          <w:rFonts w:eastAsiaTheme="minorEastAsia"/>
          <w:kern w:val="0"/>
          <w:sz w:val="24"/>
        </w:rPr>
        <w:t>1</w:t>
      </w:r>
      <w:r w:rsidRPr="00FC1444">
        <w:rPr>
          <w:rFonts w:eastAsiaTheme="minorEastAsia"/>
          <w:kern w:val="0"/>
          <w:sz w:val="24"/>
        </w:rPr>
        <w:t>）根据《环境影响评价技术导则</w:t>
      </w:r>
      <w:r w:rsidRPr="00FC1444">
        <w:rPr>
          <w:rFonts w:eastAsiaTheme="minorEastAsia"/>
          <w:kern w:val="0"/>
          <w:sz w:val="24"/>
        </w:rPr>
        <w:t xml:space="preserve">  </w:t>
      </w:r>
      <w:r w:rsidRPr="00FC1444">
        <w:rPr>
          <w:rFonts w:eastAsiaTheme="minorEastAsia"/>
          <w:kern w:val="0"/>
          <w:sz w:val="24"/>
        </w:rPr>
        <w:t>地下水环境》附录</w:t>
      </w:r>
      <w:r w:rsidRPr="00FC1444">
        <w:rPr>
          <w:rFonts w:eastAsiaTheme="minorEastAsia"/>
          <w:kern w:val="0"/>
          <w:sz w:val="24"/>
        </w:rPr>
        <w:t>A</w:t>
      </w:r>
      <w:r w:rsidRPr="00FC1444">
        <w:rPr>
          <w:rFonts w:eastAsiaTheme="minorEastAsia"/>
          <w:kern w:val="0"/>
          <w:sz w:val="24"/>
        </w:rPr>
        <w:t>：水利</w:t>
      </w:r>
      <w:r w:rsidRPr="00FC1444">
        <w:rPr>
          <w:rFonts w:eastAsiaTheme="minorEastAsia"/>
          <w:kern w:val="0"/>
          <w:sz w:val="24"/>
        </w:rPr>
        <w:t>2</w:t>
      </w:r>
      <w:r w:rsidRPr="00FC1444">
        <w:rPr>
          <w:rFonts w:eastAsiaTheme="minorEastAsia"/>
          <w:kern w:val="0"/>
          <w:sz w:val="24"/>
        </w:rPr>
        <w:t>、灌区工程中再生水灌溉工程为</w:t>
      </w:r>
      <w:r w:rsidRPr="00FC1444">
        <w:rPr>
          <w:rFonts w:eastAsiaTheme="minorEastAsia"/>
          <w:kern w:val="0"/>
          <w:sz w:val="24"/>
        </w:rPr>
        <w:t>Ⅲ</w:t>
      </w:r>
      <w:r w:rsidRPr="00FC1444">
        <w:rPr>
          <w:rFonts w:eastAsiaTheme="minorEastAsia"/>
          <w:kern w:val="0"/>
          <w:sz w:val="24"/>
        </w:rPr>
        <w:t>类，</w:t>
      </w:r>
      <w:r w:rsidRPr="00FC1444">
        <w:rPr>
          <w:rFonts w:eastAsiaTheme="minorEastAsia"/>
          <w:b/>
          <w:bCs/>
          <w:kern w:val="0"/>
          <w:sz w:val="24"/>
        </w:rPr>
        <w:t>其余</w:t>
      </w:r>
      <w:r w:rsidRPr="00FC1444">
        <w:rPr>
          <w:rFonts w:eastAsiaTheme="minorEastAsia"/>
          <w:b/>
          <w:bCs/>
          <w:kern w:val="0"/>
          <w:sz w:val="24"/>
        </w:rPr>
        <w:t>Ⅳ</w:t>
      </w:r>
      <w:r w:rsidRPr="00FC1444">
        <w:rPr>
          <w:rFonts w:eastAsiaTheme="minorEastAsia"/>
          <w:b/>
          <w:bCs/>
          <w:kern w:val="0"/>
          <w:sz w:val="24"/>
        </w:rPr>
        <w:t>类</w:t>
      </w:r>
      <w:r w:rsidRPr="00FC1444">
        <w:rPr>
          <w:rFonts w:eastAsiaTheme="minorEastAsia"/>
          <w:kern w:val="0"/>
          <w:sz w:val="24"/>
        </w:rPr>
        <w:t>。</w:t>
      </w:r>
      <w:r w:rsidRPr="00FC1444">
        <w:rPr>
          <w:rFonts w:eastAsiaTheme="minorEastAsia"/>
          <w:kern w:val="0"/>
          <w:sz w:val="24"/>
        </w:rPr>
        <w:t>6</w:t>
      </w:r>
      <w:r w:rsidRPr="00FC1444">
        <w:rPr>
          <w:rFonts w:eastAsiaTheme="minorEastAsia"/>
          <w:kern w:val="0"/>
          <w:sz w:val="24"/>
        </w:rPr>
        <w:t>、地下水开采工程中的</w:t>
      </w:r>
      <w:r w:rsidRPr="00FC1444">
        <w:rPr>
          <w:rFonts w:eastAsiaTheme="minorEastAsia"/>
          <w:b/>
          <w:bCs/>
          <w:kern w:val="0"/>
          <w:sz w:val="24"/>
        </w:rPr>
        <w:t>日取水量</w:t>
      </w:r>
      <w:r w:rsidRPr="00FC1444">
        <w:rPr>
          <w:rFonts w:eastAsiaTheme="minorEastAsia"/>
          <w:b/>
          <w:bCs/>
          <w:kern w:val="0"/>
          <w:sz w:val="24"/>
        </w:rPr>
        <w:t>1</w:t>
      </w:r>
      <w:r w:rsidRPr="00FC1444">
        <w:rPr>
          <w:rFonts w:eastAsiaTheme="minorEastAsia"/>
          <w:b/>
          <w:bCs/>
          <w:kern w:val="0"/>
          <w:sz w:val="24"/>
        </w:rPr>
        <w:lastRenderedPageBreak/>
        <w:t>万立方米及以上；</w:t>
      </w:r>
      <w:r w:rsidRPr="00FC1444">
        <w:rPr>
          <w:rFonts w:eastAsiaTheme="minorEastAsia"/>
          <w:kern w:val="0"/>
          <w:sz w:val="24"/>
        </w:rPr>
        <w:t>涉及环境敏感区的</w:t>
      </w:r>
      <w:r w:rsidRPr="00FC1444">
        <w:rPr>
          <w:rFonts w:eastAsiaTheme="minorEastAsia"/>
          <w:b/>
          <w:kern w:val="0"/>
          <w:sz w:val="24"/>
        </w:rPr>
        <w:t>为</w:t>
      </w:r>
      <w:r w:rsidRPr="00FC1444">
        <w:rPr>
          <w:rFonts w:eastAsiaTheme="minorEastAsia"/>
          <w:b/>
          <w:kern w:val="0"/>
          <w:sz w:val="24"/>
        </w:rPr>
        <w:t>Ⅲ</w:t>
      </w:r>
      <w:r w:rsidRPr="00FC1444">
        <w:rPr>
          <w:rFonts w:eastAsiaTheme="minorEastAsia"/>
          <w:b/>
          <w:kern w:val="0"/>
          <w:sz w:val="24"/>
        </w:rPr>
        <w:t>类</w:t>
      </w:r>
      <w:r w:rsidRPr="00FC1444">
        <w:rPr>
          <w:rFonts w:eastAsiaTheme="minorEastAsia"/>
          <w:kern w:val="0"/>
          <w:sz w:val="24"/>
        </w:rPr>
        <w:t>，</w:t>
      </w:r>
      <w:r w:rsidRPr="00FC1444">
        <w:rPr>
          <w:rFonts w:eastAsiaTheme="minorEastAsia"/>
          <w:kern w:val="0"/>
          <w:sz w:val="24"/>
        </w:rPr>
        <w:t>“</w:t>
      </w:r>
      <w:r w:rsidRPr="00FC1444">
        <w:rPr>
          <w:rFonts w:eastAsiaTheme="minorEastAsia"/>
          <w:kern w:val="0"/>
          <w:sz w:val="24"/>
        </w:rPr>
        <w:t>其余</w:t>
      </w:r>
      <w:r w:rsidRPr="00FC1444">
        <w:rPr>
          <w:rFonts w:eastAsiaTheme="minorEastAsia"/>
          <w:kern w:val="0"/>
          <w:sz w:val="24"/>
        </w:rPr>
        <w:t>”</w:t>
      </w:r>
      <w:r w:rsidRPr="00FC1444">
        <w:rPr>
          <w:rFonts w:eastAsiaTheme="minorEastAsia"/>
          <w:kern w:val="0"/>
          <w:sz w:val="24"/>
        </w:rPr>
        <w:t>为</w:t>
      </w:r>
      <w:r w:rsidRPr="00FC1444">
        <w:rPr>
          <w:rFonts w:eastAsiaTheme="minorEastAsia"/>
          <w:kern w:val="0"/>
          <w:sz w:val="24"/>
        </w:rPr>
        <w:t>IV</w:t>
      </w:r>
      <w:r w:rsidRPr="00FC1444">
        <w:rPr>
          <w:rFonts w:eastAsiaTheme="minorEastAsia"/>
          <w:kern w:val="0"/>
          <w:sz w:val="24"/>
        </w:rPr>
        <w:t>类，确定本项目所属的地下水环境影响评价项目类别为</w:t>
      </w:r>
      <w:r w:rsidRPr="00FC1444">
        <w:rPr>
          <w:rFonts w:eastAsiaTheme="minorEastAsia"/>
          <w:kern w:val="0"/>
          <w:sz w:val="24"/>
        </w:rPr>
        <w:t>Ⅲ</w:t>
      </w:r>
      <w:r w:rsidRPr="00FC1444">
        <w:rPr>
          <w:rFonts w:eastAsiaTheme="minorEastAsia"/>
          <w:kern w:val="0"/>
          <w:sz w:val="24"/>
        </w:rPr>
        <w:t>类。</w:t>
      </w:r>
    </w:p>
    <w:p w:rsidR="002A5A5E" w:rsidRPr="00FC1444" w:rsidRDefault="00611CBA">
      <w:pPr>
        <w:spacing w:line="360" w:lineRule="auto"/>
        <w:ind w:firstLineChars="200" w:firstLine="480"/>
        <w:rPr>
          <w:rFonts w:eastAsiaTheme="minorEastAsia"/>
          <w:kern w:val="0"/>
          <w:sz w:val="24"/>
        </w:rPr>
      </w:pPr>
      <w:r w:rsidRPr="00FC1444">
        <w:rPr>
          <w:rFonts w:eastAsiaTheme="minorEastAsia"/>
          <w:kern w:val="0"/>
          <w:sz w:val="24"/>
        </w:rPr>
        <w:t>（</w:t>
      </w:r>
      <w:r w:rsidRPr="00FC1444">
        <w:rPr>
          <w:rFonts w:eastAsiaTheme="minorEastAsia"/>
          <w:kern w:val="0"/>
          <w:sz w:val="24"/>
        </w:rPr>
        <w:t>2</w:t>
      </w:r>
      <w:r w:rsidRPr="00FC1444">
        <w:rPr>
          <w:rFonts w:eastAsiaTheme="minorEastAsia"/>
          <w:kern w:val="0"/>
          <w:sz w:val="24"/>
        </w:rPr>
        <w:t>）建设项目场地的地下水环境敏感程度可分为敏感、较敏感、不敏感三级，分级原则见表</w:t>
      </w:r>
      <w:r w:rsidRPr="00FC1444">
        <w:rPr>
          <w:rFonts w:eastAsiaTheme="minorEastAsia"/>
          <w:kern w:val="0"/>
          <w:sz w:val="24"/>
        </w:rPr>
        <w:t>2-6-3</w:t>
      </w:r>
      <w:r w:rsidRPr="00FC1444">
        <w:rPr>
          <w:rFonts w:eastAsiaTheme="minorEastAsia"/>
          <w:kern w:val="0"/>
          <w:sz w:val="24"/>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2-6-3</w:t>
      </w:r>
      <w:r w:rsidRPr="00FC1444">
        <w:rPr>
          <w:rFonts w:eastAsiaTheme="minorEastAsia"/>
          <w:b/>
          <w:kern w:val="0"/>
          <w:szCs w:val="21"/>
        </w:rPr>
        <w:t>地下水环境敏感程度分级</w:t>
      </w:r>
    </w:p>
    <w:tbl>
      <w:tblPr>
        <w:tblW w:w="8685"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885"/>
        <w:gridCol w:w="7800"/>
      </w:tblGrid>
      <w:tr w:rsidR="002A5A5E" w:rsidRPr="00FC1444">
        <w:trPr>
          <w:trHeight w:hRule="exact" w:val="340"/>
          <w:jc w:val="center"/>
        </w:trPr>
        <w:tc>
          <w:tcPr>
            <w:tcW w:w="885" w:type="dxa"/>
            <w:tcBorders>
              <w:top w:val="single" w:sz="12" w:space="0" w:color="auto"/>
              <w:left w:val="nil"/>
              <w:bottom w:val="single" w:sz="4" w:space="0" w:color="auto"/>
              <w:right w:val="single" w:sz="4" w:space="0" w:color="auto"/>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分级</w:t>
            </w:r>
          </w:p>
        </w:tc>
        <w:tc>
          <w:tcPr>
            <w:tcW w:w="7800" w:type="dxa"/>
            <w:tcBorders>
              <w:top w:val="single" w:sz="12" w:space="0" w:color="auto"/>
              <w:left w:val="single" w:sz="4" w:space="0" w:color="auto"/>
              <w:bottom w:val="single" w:sz="4" w:space="0" w:color="auto"/>
              <w:right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项目场地的地下水环境敏感特征</w:t>
            </w:r>
          </w:p>
        </w:tc>
      </w:tr>
      <w:tr w:rsidR="002A5A5E" w:rsidRPr="00FC1444">
        <w:trPr>
          <w:trHeight w:hRule="exact" w:val="1028"/>
          <w:jc w:val="center"/>
        </w:trPr>
        <w:tc>
          <w:tcPr>
            <w:tcW w:w="885" w:type="dxa"/>
            <w:tcBorders>
              <w:top w:val="single" w:sz="4" w:space="0" w:color="auto"/>
              <w:left w:val="nil"/>
              <w:bottom w:val="single" w:sz="4" w:space="0" w:color="auto"/>
              <w:right w:val="single" w:sz="4" w:space="0" w:color="auto"/>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敏感</w:t>
            </w:r>
          </w:p>
        </w:tc>
        <w:tc>
          <w:tcPr>
            <w:tcW w:w="7800" w:type="dxa"/>
            <w:tcBorders>
              <w:top w:val="single" w:sz="4" w:space="0" w:color="auto"/>
              <w:left w:val="single" w:sz="4" w:space="0" w:color="auto"/>
              <w:bottom w:val="single" w:sz="4" w:space="0" w:color="auto"/>
              <w:right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集中式饮用水水源（包括已建成的在用、备用、应急水源，在建和规划的饮用水水源）准保护区；除集中式饮用水水源以外的国家或地方政府设定的与地下水环境相关的其它保护区，如热水、矿泉水、温泉等特殊地下水资源保护区。</w:t>
            </w:r>
          </w:p>
        </w:tc>
      </w:tr>
      <w:tr w:rsidR="002A5A5E" w:rsidRPr="00FC1444">
        <w:trPr>
          <w:trHeight w:hRule="exact" w:val="1353"/>
          <w:jc w:val="center"/>
        </w:trPr>
        <w:tc>
          <w:tcPr>
            <w:tcW w:w="885" w:type="dxa"/>
            <w:tcBorders>
              <w:top w:val="single" w:sz="4" w:space="0" w:color="auto"/>
              <w:left w:val="nil"/>
              <w:bottom w:val="single" w:sz="4" w:space="0" w:color="auto"/>
              <w:right w:val="single" w:sz="4" w:space="0" w:color="auto"/>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较敏感</w:t>
            </w:r>
          </w:p>
        </w:tc>
        <w:tc>
          <w:tcPr>
            <w:tcW w:w="7800" w:type="dxa"/>
            <w:tcBorders>
              <w:top w:val="single" w:sz="4" w:space="0" w:color="auto"/>
              <w:left w:val="single" w:sz="4" w:space="0" w:color="auto"/>
              <w:bottom w:val="single" w:sz="4" w:space="0" w:color="auto"/>
              <w:right w:val="nil"/>
            </w:tcBorders>
            <w:vAlign w:val="center"/>
          </w:tcPr>
          <w:p w:rsidR="002A5A5E" w:rsidRPr="00FC1444" w:rsidRDefault="00611CBA">
            <w:pPr>
              <w:jc w:val="center"/>
              <w:rPr>
                <w:rFonts w:eastAsiaTheme="minorEastAsia"/>
                <w:szCs w:val="21"/>
              </w:rPr>
            </w:pPr>
            <w:r w:rsidRPr="00FC1444">
              <w:rPr>
                <w:rFonts w:eastAsiaTheme="minorEastAsia"/>
                <w:kern w:val="0"/>
                <w:szCs w:val="21"/>
              </w:rPr>
              <w:t>集中式饮用水水源（包括已建成的在用、备用、应急水源，在建和规划的饮用水水源）准保护区以外的补给径流区；未划定准保护区的集中式饮用水水源，其保护区以外的补给径流区；分散式饮用水水源地；特殊地下水资源（如矿泉水、温泉等）保护区以外的分布区等其他未列入上述敏感分级的环境敏感区</w:t>
            </w:r>
            <w:r w:rsidRPr="00FC1444">
              <w:rPr>
                <w:rFonts w:eastAsiaTheme="minorEastAsia"/>
                <w:kern w:val="0"/>
                <w:szCs w:val="21"/>
              </w:rPr>
              <w:t>a</w:t>
            </w:r>
          </w:p>
        </w:tc>
      </w:tr>
      <w:tr w:rsidR="002A5A5E" w:rsidRPr="00FC1444">
        <w:trPr>
          <w:trHeight w:hRule="exact" w:val="340"/>
          <w:jc w:val="center"/>
        </w:trPr>
        <w:tc>
          <w:tcPr>
            <w:tcW w:w="885" w:type="dxa"/>
            <w:tcBorders>
              <w:top w:val="single" w:sz="4" w:space="0" w:color="auto"/>
              <w:left w:val="nil"/>
              <w:bottom w:val="single" w:sz="4" w:space="0" w:color="auto"/>
              <w:right w:val="single" w:sz="4" w:space="0" w:color="auto"/>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不敏感</w:t>
            </w:r>
          </w:p>
        </w:tc>
        <w:tc>
          <w:tcPr>
            <w:tcW w:w="7800" w:type="dxa"/>
            <w:tcBorders>
              <w:top w:val="single" w:sz="4" w:space="0" w:color="auto"/>
              <w:left w:val="single" w:sz="4" w:space="0" w:color="auto"/>
              <w:bottom w:val="single" w:sz="4" w:space="0" w:color="auto"/>
              <w:right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上述地区之外的其他地区。</w:t>
            </w:r>
          </w:p>
        </w:tc>
      </w:tr>
      <w:tr w:rsidR="002A5A5E" w:rsidRPr="00FC1444">
        <w:trPr>
          <w:trHeight w:val="701"/>
          <w:jc w:val="center"/>
        </w:trPr>
        <w:tc>
          <w:tcPr>
            <w:tcW w:w="8685" w:type="dxa"/>
            <w:gridSpan w:val="2"/>
            <w:tcBorders>
              <w:top w:val="single" w:sz="4" w:space="0" w:color="auto"/>
              <w:left w:val="nil"/>
              <w:bottom w:val="single" w:sz="12" w:space="0" w:color="auto"/>
              <w:right w:val="nil"/>
            </w:tcBorders>
            <w:vAlign w:val="center"/>
          </w:tcPr>
          <w:p w:rsidR="002A5A5E" w:rsidRPr="00FC1444" w:rsidRDefault="00611CBA">
            <w:pPr>
              <w:rPr>
                <w:rFonts w:eastAsiaTheme="minorEastAsia"/>
                <w:kern w:val="0"/>
                <w:szCs w:val="21"/>
              </w:rPr>
            </w:pPr>
            <w:r w:rsidRPr="00FC1444">
              <w:rPr>
                <w:rFonts w:eastAsiaTheme="minorEastAsia"/>
                <w:kern w:val="0"/>
                <w:szCs w:val="21"/>
              </w:rPr>
              <w:t>注：</w:t>
            </w:r>
            <w:r w:rsidRPr="00FC1444">
              <w:rPr>
                <w:rFonts w:eastAsiaTheme="minorEastAsia"/>
                <w:kern w:val="0"/>
                <w:szCs w:val="21"/>
              </w:rPr>
              <w:t>a“</w:t>
            </w:r>
            <w:r w:rsidRPr="00FC1444">
              <w:rPr>
                <w:rFonts w:eastAsiaTheme="minorEastAsia"/>
                <w:kern w:val="0"/>
                <w:szCs w:val="21"/>
              </w:rPr>
              <w:t>环境敏感区</w:t>
            </w:r>
            <w:r w:rsidRPr="00FC1444">
              <w:rPr>
                <w:rFonts w:eastAsiaTheme="minorEastAsia"/>
                <w:kern w:val="0"/>
                <w:szCs w:val="21"/>
              </w:rPr>
              <w:t>”</w:t>
            </w:r>
            <w:r w:rsidRPr="00FC1444">
              <w:rPr>
                <w:rFonts w:eastAsiaTheme="minorEastAsia"/>
                <w:kern w:val="0"/>
                <w:szCs w:val="21"/>
              </w:rPr>
              <w:t>是指《建设项目环境影响评价分类管理名录》中所界定的涉及地下水的环境敏感区。</w:t>
            </w:r>
          </w:p>
        </w:tc>
      </w:tr>
    </w:tbl>
    <w:p w:rsidR="002A5A5E" w:rsidRPr="00FC1444" w:rsidRDefault="00611CBA">
      <w:pPr>
        <w:spacing w:line="360" w:lineRule="auto"/>
        <w:ind w:firstLineChars="200" w:firstLine="480"/>
        <w:rPr>
          <w:rFonts w:eastAsiaTheme="minorEastAsia"/>
          <w:sz w:val="24"/>
        </w:rPr>
      </w:pPr>
      <w:r w:rsidRPr="00FC1444">
        <w:rPr>
          <w:rFonts w:eastAsiaTheme="minorEastAsia"/>
          <w:sz w:val="24"/>
        </w:rPr>
        <w:t>根据调查，本项目工程建设内容不在地下水集中式水源地（包括已建成的在用、备用、应急水源，在建和规划的饮用水水源）保护区范围内；不在除集中式饮用水水源以外的国家或地方政府设定的与地下水环境相关的其它保护区，如热水、矿泉水、温泉等特殊地下水资源保护区。不在特殊地下水资源（如矿泉水、温泉等）保护区以外的分布区等其他未列入上述敏感分级的环境敏感区内。</w:t>
      </w:r>
    </w:p>
    <w:p w:rsidR="002A5A5E" w:rsidRPr="00FC1444" w:rsidRDefault="00611CBA">
      <w:pPr>
        <w:spacing w:line="360" w:lineRule="auto"/>
        <w:ind w:firstLineChars="200" w:firstLine="480"/>
        <w:rPr>
          <w:rFonts w:eastAsiaTheme="minorEastAsia"/>
          <w:snapToGrid w:val="0"/>
          <w:kern w:val="0"/>
          <w:sz w:val="24"/>
          <w:szCs w:val="22"/>
        </w:rPr>
      </w:pPr>
      <w:r w:rsidRPr="00FC1444">
        <w:rPr>
          <w:rFonts w:eastAsiaTheme="minorEastAsia"/>
          <w:snapToGrid w:val="0"/>
          <w:kern w:val="0"/>
          <w:sz w:val="24"/>
          <w:szCs w:val="22"/>
        </w:rPr>
        <w:t>本项目灌溉井工程周边存在</w:t>
      </w:r>
      <w:r w:rsidR="00995179" w:rsidRPr="00FC1444">
        <w:rPr>
          <w:rFonts w:eastAsiaTheme="minorEastAsia" w:hint="eastAsia"/>
          <w:snapToGrid w:val="0"/>
          <w:kern w:val="0"/>
          <w:sz w:val="24"/>
          <w:szCs w:val="22"/>
        </w:rPr>
        <w:t>9</w:t>
      </w:r>
      <w:r w:rsidRPr="00FC1444">
        <w:rPr>
          <w:rFonts w:eastAsiaTheme="minorEastAsia"/>
          <w:snapToGrid w:val="0"/>
          <w:kern w:val="0"/>
          <w:sz w:val="24"/>
          <w:szCs w:val="22"/>
        </w:rPr>
        <w:t>口集中式饮用水源井，具体信息见表</w:t>
      </w:r>
      <w:r w:rsidRPr="00FC1444">
        <w:rPr>
          <w:rFonts w:eastAsiaTheme="minorEastAsia"/>
          <w:snapToGrid w:val="0"/>
          <w:kern w:val="0"/>
          <w:sz w:val="24"/>
          <w:szCs w:val="22"/>
        </w:rPr>
        <w:t>2-6-5</w:t>
      </w:r>
      <w:r w:rsidRPr="00FC1444">
        <w:rPr>
          <w:rFonts w:eastAsiaTheme="minorEastAsia"/>
          <w:snapToGrid w:val="0"/>
          <w:kern w:val="0"/>
          <w:sz w:val="24"/>
          <w:szCs w:val="22"/>
        </w:rPr>
        <w:t>，</w:t>
      </w:r>
      <w:r w:rsidRPr="00FC1444">
        <w:rPr>
          <w:rFonts w:eastAsiaTheme="minorEastAsia"/>
          <w:sz w:val="24"/>
        </w:rPr>
        <w:t>根据水源保护区划分，该水源地属</w:t>
      </w:r>
      <w:r w:rsidR="00760E2B" w:rsidRPr="00FC1444">
        <w:rPr>
          <w:rFonts w:eastAsiaTheme="minorEastAsia"/>
          <w:sz w:val="24"/>
        </w:rPr>
        <w:t>于</w:t>
      </w:r>
      <w:r w:rsidRPr="00FC1444">
        <w:rPr>
          <w:rFonts w:eastAsiaTheme="minorEastAsia"/>
          <w:sz w:val="24"/>
        </w:rPr>
        <w:t>中小型水源地，已划定一级保护区，但未划定二级保护区和准保护区，</w:t>
      </w:r>
      <w:r w:rsidRPr="00FC1444">
        <w:rPr>
          <w:rFonts w:eastAsiaTheme="minorEastAsia"/>
          <w:iCs/>
          <w:sz w:val="24"/>
          <w:szCs w:val="22"/>
        </w:rPr>
        <w:t>一级保护区</w:t>
      </w:r>
      <w:r w:rsidRPr="00FC1444">
        <w:rPr>
          <w:rFonts w:eastAsiaTheme="minorEastAsia"/>
          <w:snapToGrid w:val="0"/>
          <w:kern w:val="0"/>
          <w:sz w:val="24"/>
          <w:szCs w:val="22"/>
        </w:rPr>
        <w:t>以井口为中心，半径</w:t>
      </w:r>
      <w:r w:rsidRPr="00FC1444">
        <w:rPr>
          <w:rFonts w:eastAsiaTheme="minorEastAsia"/>
          <w:snapToGrid w:val="0"/>
          <w:kern w:val="0"/>
          <w:sz w:val="24"/>
          <w:szCs w:val="22"/>
        </w:rPr>
        <w:t>30m</w:t>
      </w:r>
      <w:r w:rsidRPr="00FC1444">
        <w:rPr>
          <w:rFonts w:eastAsiaTheme="minorEastAsia"/>
          <w:snapToGrid w:val="0"/>
          <w:kern w:val="0"/>
          <w:sz w:val="24"/>
          <w:szCs w:val="22"/>
        </w:rPr>
        <w:t>为界，</w:t>
      </w:r>
      <w:r w:rsidRPr="00FC1444">
        <w:rPr>
          <w:rFonts w:eastAsiaTheme="minorEastAsia"/>
          <w:snapToGrid w:val="0"/>
          <w:kern w:val="0"/>
          <w:sz w:val="24"/>
          <w:szCs w:val="22"/>
        </w:rPr>
        <w:t>30m</w:t>
      </w:r>
      <w:r w:rsidRPr="00FC1444">
        <w:rPr>
          <w:rFonts w:eastAsiaTheme="minorEastAsia"/>
          <w:snapToGrid w:val="0"/>
          <w:kern w:val="0"/>
          <w:sz w:val="24"/>
          <w:szCs w:val="22"/>
        </w:rPr>
        <w:t>范围内无本工程清淤、道路工程等建设内容。项目周围无分散式饮用水井。</w:t>
      </w:r>
      <w:r w:rsidRPr="00FC1444">
        <w:rPr>
          <w:rFonts w:eastAsiaTheme="minorEastAsia"/>
          <w:kern w:val="0"/>
          <w:sz w:val="24"/>
        </w:rPr>
        <w:t>根据《地下水型饮用水水源补给区划定技术指南（试行）》，划定饮用水源井补给径流区，地下水饮用水源井补给径流区判定依据见表</w:t>
      </w:r>
      <w:r w:rsidRPr="00FC1444">
        <w:rPr>
          <w:rFonts w:eastAsiaTheme="minorEastAsia"/>
          <w:kern w:val="0"/>
          <w:sz w:val="24"/>
        </w:rPr>
        <w:t>2-6-4</w:t>
      </w:r>
      <w:r w:rsidRPr="00FC1444">
        <w:rPr>
          <w:rFonts w:eastAsiaTheme="minorEastAsia"/>
          <w:snapToGrid w:val="0"/>
          <w:kern w:val="0"/>
          <w:sz w:val="24"/>
          <w:szCs w:val="22"/>
        </w:rPr>
        <w:t>。</w:t>
      </w:r>
    </w:p>
    <w:p w:rsidR="00C50480" w:rsidRPr="00FC1444" w:rsidRDefault="00C50480">
      <w:pPr>
        <w:adjustRightInd w:val="0"/>
        <w:snapToGrid w:val="0"/>
        <w:ind w:firstLineChars="200" w:firstLine="422"/>
        <w:jc w:val="center"/>
        <w:rPr>
          <w:rFonts w:eastAsiaTheme="minorEastAsia"/>
          <w:b/>
          <w:bCs/>
          <w:kern w:val="0"/>
          <w:szCs w:val="21"/>
        </w:rPr>
      </w:pPr>
    </w:p>
    <w:p w:rsidR="00C50480" w:rsidRPr="00FC1444" w:rsidRDefault="00C50480">
      <w:pPr>
        <w:adjustRightInd w:val="0"/>
        <w:snapToGrid w:val="0"/>
        <w:ind w:firstLineChars="200" w:firstLine="422"/>
        <w:jc w:val="center"/>
        <w:rPr>
          <w:rFonts w:eastAsiaTheme="minorEastAsia"/>
          <w:b/>
          <w:bCs/>
          <w:kern w:val="0"/>
          <w:szCs w:val="21"/>
        </w:rPr>
      </w:pPr>
    </w:p>
    <w:p w:rsidR="00C50480" w:rsidRPr="00FC1444" w:rsidRDefault="00C50480">
      <w:pPr>
        <w:adjustRightInd w:val="0"/>
        <w:snapToGrid w:val="0"/>
        <w:ind w:firstLineChars="200" w:firstLine="422"/>
        <w:jc w:val="center"/>
        <w:rPr>
          <w:rFonts w:eastAsiaTheme="minorEastAsia"/>
          <w:b/>
          <w:bCs/>
          <w:kern w:val="0"/>
          <w:szCs w:val="21"/>
        </w:rPr>
      </w:pPr>
    </w:p>
    <w:p w:rsidR="00C50480" w:rsidRPr="00FC1444" w:rsidRDefault="00C50480">
      <w:pPr>
        <w:adjustRightInd w:val="0"/>
        <w:snapToGrid w:val="0"/>
        <w:ind w:firstLineChars="200" w:firstLine="422"/>
        <w:jc w:val="center"/>
        <w:rPr>
          <w:rFonts w:eastAsiaTheme="minorEastAsia"/>
          <w:b/>
          <w:bCs/>
          <w:kern w:val="0"/>
          <w:szCs w:val="21"/>
        </w:rPr>
      </w:pPr>
    </w:p>
    <w:p w:rsidR="00AE6DC7" w:rsidRPr="00FC1444" w:rsidRDefault="00AE6DC7">
      <w:pPr>
        <w:adjustRightInd w:val="0"/>
        <w:snapToGrid w:val="0"/>
        <w:ind w:firstLineChars="200" w:firstLine="422"/>
        <w:jc w:val="center"/>
        <w:rPr>
          <w:rFonts w:eastAsiaTheme="minorEastAsia"/>
          <w:b/>
          <w:bCs/>
          <w:kern w:val="0"/>
          <w:szCs w:val="21"/>
        </w:rPr>
      </w:pPr>
    </w:p>
    <w:p w:rsidR="00AE6DC7" w:rsidRPr="00FC1444" w:rsidRDefault="00AE6DC7">
      <w:pPr>
        <w:adjustRightInd w:val="0"/>
        <w:snapToGrid w:val="0"/>
        <w:ind w:firstLineChars="200" w:firstLine="422"/>
        <w:jc w:val="center"/>
        <w:rPr>
          <w:rFonts w:eastAsiaTheme="minorEastAsia"/>
          <w:b/>
          <w:bCs/>
          <w:kern w:val="0"/>
          <w:szCs w:val="21"/>
        </w:rPr>
      </w:pPr>
    </w:p>
    <w:p w:rsidR="00AE6DC7" w:rsidRPr="00FC1444" w:rsidRDefault="00AE6DC7">
      <w:pPr>
        <w:adjustRightInd w:val="0"/>
        <w:snapToGrid w:val="0"/>
        <w:ind w:firstLineChars="200" w:firstLine="422"/>
        <w:jc w:val="center"/>
        <w:rPr>
          <w:rFonts w:eastAsiaTheme="minorEastAsia"/>
          <w:b/>
          <w:bCs/>
          <w:kern w:val="0"/>
          <w:szCs w:val="21"/>
        </w:rPr>
      </w:pPr>
    </w:p>
    <w:p w:rsidR="00AE6DC7" w:rsidRPr="00FC1444" w:rsidRDefault="00AE6DC7">
      <w:pPr>
        <w:adjustRightInd w:val="0"/>
        <w:snapToGrid w:val="0"/>
        <w:ind w:firstLineChars="200" w:firstLine="422"/>
        <w:jc w:val="center"/>
        <w:rPr>
          <w:rFonts w:eastAsiaTheme="minorEastAsia"/>
          <w:b/>
          <w:bCs/>
          <w:kern w:val="0"/>
          <w:szCs w:val="21"/>
        </w:rPr>
      </w:pPr>
    </w:p>
    <w:p w:rsidR="00C50480" w:rsidRPr="00FC1444" w:rsidRDefault="00C50480">
      <w:pPr>
        <w:adjustRightInd w:val="0"/>
        <w:snapToGrid w:val="0"/>
        <w:ind w:firstLineChars="200" w:firstLine="422"/>
        <w:jc w:val="center"/>
        <w:rPr>
          <w:rFonts w:eastAsiaTheme="minorEastAsia"/>
          <w:b/>
          <w:bCs/>
          <w:kern w:val="0"/>
          <w:szCs w:val="21"/>
        </w:rPr>
      </w:pPr>
    </w:p>
    <w:p w:rsidR="00C50480" w:rsidRPr="00FC1444" w:rsidRDefault="00C50480">
      <w:pPr>
        <w:adjustRightInd w:val="0"/>
        <w:snapToGrid w:val="0"/>
        <w:ind w:firstLineChars="200" w:firstLine="422"/>
        <w:jc w:val="center"/>
        <w:rPr>
          <w:rFonts w:eastAsiaTheme="minorEastAsia"/>
          <w:b/>
          <w:bCs/>
          <w:kern w:val="0"/>
          <w:szCs w:val="21"/>
        </w:rPr>
      </w:pPr>
    </w:p>
    <w:p w:rsidR="00C50480" w:rsidRPr="00FC1444" w:rsidRDefault="00C50480">
      <w:pPr>
        <w:adjustRightInd w:val="0"/>
        <w:snapToGrid w:val="0"/>
        <w:ind w:firstLineChars="200" w:firstLine="422"/>
        <w:jc w:val="center"/>
        <w:rPr>
          <w:rFonts w:eastAsiaTheme="minorEastAsia"/>
          <w:b/>
          <w:bCs/>
          <w:kern w:val="0"/>
          <w:szCs w:val="21"/>
        </w:rPr>
      </w:pPr>
    </w:p>
    <w:p w:rsidR="002A5A5E" w:rsidRPr="00FC1444" w:rsidRDefault="00611CBA">
      <w:pPr>
        <w:adjustRightInd w:val="0"/>
        <w:snapToGrid w:val="0"/>
        <w:ind w:firstLineChars="200" w:firstLine="422"/>
        <w:jc w:val="center"/>
        <w:rPr>
          <w:rFonts w:eastAsiaTheme="minorEastAsia"/>
          <w:b/>
          <w:bCs/>
          <w:kern w:val="0"/>
          <w:szCs w:val="21"/>
        </w:rPr>
      </w:pPr>
      <w:r w:rsidRPr="00FC1444">
        <w:rPr>
          <w:rFonts w:eastAsiaTheme="minorEastAsia"/>
          <w:b/>
          <w:bCs/>
          <w:kern w:val="0"/>
          <w:szCs w:val="21"/>
        </w:rPr>
        <w:lastRenderedPageBreak/>
        <w:t>表</w:t>
      </w:r>
      <w:r w:rsidRPr="00FC1444">
        <w:rPr>
          <w:rFonts w:eastAsiaTheme="minorEastAsia"/>
          <w:b/>
          <w:bCs/>
          <w:kern w:val="0"/>
          <w:szCs w:val="21"/>
        </w:rPr>
        <w:t>2-6-4</w:t>
      </w:r>
      <w:r w:rsidRPr="00FC1444">
        <w:rPr>
          <w:rFonts w:eastAsiaTheme="minorEastAsia"/>
          <w:b/>
          <w:bCs/>
          <w:kern w:val="0"/>
          <w:szCs w:val="21"/>
        </w:rPr>
        <w:t>地下水饮用水源井补给径流区判定表</w:t>
      </w:r>
    </w:p>
    <w:tbl>
      <w:tblPr>
        <w:tblW w:w="4872" w:type="pct"/>
        <w:tblBorders>
          <w:top w:val="single" w:sz="12" w:space="0" w:color="auto"/>
          <w:bottom w:val="single" w:sz="12" w:space="0" w:color="auto"/>
          <w:insideH w:val="single" w:sz="4" w:space="0" w:color="auto"/>
          <w:insideV w:val="single" w:sz="4" w:space="0" w:color="auto"/>
        </w:tblBorders>
        <w:tblLook w:val="04A0"/>
      </w:tblPr>
      <w:tblGrid>
        <w:gridCol w:w="677"/>
        <w:gridCol w:w="1194"/>
        <w:gridCol w:w="1902"/>
        <w:gridCol w:w="4531"/>
      </w:tblGrid>
      <w:tr w:rsidR="002A5A5E" w:rsidRPr="00FC1444">
        <w:trPr>
          <w:trHeight w:val="342"/>
        </w:trPr>
        <w:tc>
          <w:tcPr>
            <w:tcW w:w="2272" w:type="pct"/>
            <w:gridSpan w:val="3"/>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地下水型饮用水水源划定保护区情况</w:t>
            </w:r>
          </w:p>
        </w:tc>
        <w:tc>
          <w:tcPr>
            <w:tcW w:w="2728" w:type="pct"/>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补给区范围</w:t>
            </w:r>
          </w:p>
        </w:tc>
      </w:tr>
      <w:tr w:rsidR="002A5A5E" w:rsidRPr="00FC1444">
        <w:trPr>
          <w:trHeight w:val="342"/>
        </w:trPr>
        <w:tc>
          <w:tcPr>
            <w:tcW w:w="408" w:type="pct"/>
            <w:vMerge w:val="restart"/>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水源开采规模</w:t>
            </w:r>
          </w:p>
        </w:tc>
        <w:tc>
          <w:tcPr>
            <w:tcW w:w="719" w:type="pct"/>
            <w:vMerge w:val="restart"/>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大型</w:t>
            </w:r>
            <w:r w:rsidRPr="00FC1444">
              <w:rPr>
                <w:rFonts w:eastAsiaTheme="minorEastAsia"/>
                <w:kern w:val="0"/>
                <w:szCs w:val="21"/>
              </w:rPr>
              <w:t>≥5</w:t>
            </w:r>
            <w:r w:rsidRPr="00FC1444">
              <w:rPr>
                <w:rFonts w:eastAsiaTheme="minorEastAsia"/>
                <w:kern w:val="0"/>
                <w:szCs w:val="21"/>
              </w:rPr>
              <w:t>万</w:t>
            </w:r>
            <w:r w:rsidRPr="00FC1444">
              <w:rPr>
                <w:rFonts w:eastAsiaTheme="minorEastAsia"/>
                <w:kern w:val="0"/>
                <w:szCs w:val="21"/>
              </w:rPr>
              <w:t>m</w:t>
            </w:r>
            <w:r w:rsidRPr="00FC1444">
              <w:rPr>
                <w:rFonts w:eastAsiaTheme="minorEastAsia"/>
                <w:kern w:val="0"/>
                <w:szCs w:val="21"/>
                <w:vertAlign w:val="superscript"/>
              </w:rPr>
              <w:t>3/</w:t>
            </w:r>
            <w:r w:rsidRPr="00FC1444">
              <w:rPr>
                <w:rFonts w:eastAsiaTheme="minorEastAsia"/>
                <w:kern w:val="0"/>
                <w:szCs w:val="21"/>
              </w:rPr>
              <w:t>d</w:t>
            </w:r>
          </w:p>
        </w:tc>
        <w:tc>
          <w:tcPr>
            <w:tcW w:w="1145" w:type="pct"/>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已划定二级保护区的</w:t>
            </w:r>
          </w:p>
        </w:tc>
        <w:tc>
          <w:tcPr>
            <w:tcW w:w="2728" w:type="pct"/>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以二级保护区边界为基准，按大型水源</w:t>
            </w:r>
            <w:r w:rsidRPr="00FC1444">
              <w:rPr>
                <w:rFonts w:eastAsiaTheme="minorEastAsia"/>
                <w:kern w:val="0"/>
                <w:szCs w:val="21"/>
              </w:rPr>
              <w:t>30</w:t>
            </w:r>
            <w:r w:rsidRPr="00FC1444">
              <w:rPr>
                <w:rFonts w:eastAsiaTheme="minorEastAsia"/>
                <w:kern w:val="0"/>
                <w:szCs w:val="21"/>
              </w:rPr>
              <w:t>年流程圈定的范围</w:t>
            </w:r>
          </w:p>
        </w:tc>
      </w:tr>
      <w:tr w:rsidR="002A5A5E" w:rsidRPr="00FC1444">
        <w:trPr>
          <w:trHeight w:val="342"/>
        </w:trPr>
        <w:tc>
          <w:tcPr>
            <w:tcW w:w="408" w:type="pct"/>
            <w:vMerge/>
            <w:tcBorders>
              <w:tl2br w:val="nil"/>
              <w:tr2bl w:val="nil"/>
            </w:tcBorders>
            <w:vAlign w:val="center"/>
          </w:tcPr>
          <w:p w:rsidR="002A5A5E" w:rsidRPr="00FC1444" w:rsidRDefault="002A5A5E">
            <w:pPr>
              <w:jc w:val="center"/>
              <w:rPr>
                <w:rFonts w:eastAsiaTheme="minorEastAsia"/>
                <w:kern w:val="0"/>
                <w:szCs w:val="21"/>
              </w:rPr>
            </w:pPr>
          </w:p>
        </w:tc>
        <w:tc>
          <w:tcPr>
            <w:tcW w:w="719" w:type="pct"/>
            <w:vMerge/>
            <w:tcBorders>
              <w:tl2br w:val="nil"/>
              <w:tr2bl w:val="nil"/>
            </w:tcBorders>
            <w:vAlign w:val="center"/>
          </w:tcPr>
          <w:p w:rsidR="002A5A5E" w:rsidRPr="00FC1444" w:rsidRDefault="002A5A5E">
            <w:pPr>
              <w:jc w:val="center"/>
              <w:rPr>
                <w:rFonts w:eastAsiaTheme="minorEastAsia"/>
                <w:kern w:val="0"/>
                <w:szCs w:val="21"/>
              </w:rPr>
            </w:pPr>
          </w:p>
        </w:tc>
        <w:tc>
          <w:tcPr>
            <w:tcW w:w="1145" w:type="pct"/>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仅划定了一级保护区的</w:t>
            </w:r>
          </w:p>
        </w:tc>
        <w:tc>
          <w:tcPr>
            <w:tcW w:w="2728" w:type="pct"/>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以水源一级保护区边界为基准，按大型水源</w:t>
            </w:r>
            <w:r w:rsidRPr="00FC1444">
              <w:rPr>
                <w:rFonts w:eastAsiaTheme="minorEastAsia"/>
                <w:kern w:val="0"/>
                <w:szCs w:val="21"/>
              </w:rPr>
              <w:t>30</w:t>
            </w:r>
            <w:r w:rsidRPr="00FC1444">
              <w:rPr>
                <w:rFonts w:eastAsiaTheme="minorEastAsia"/>
                <w:kern w:val="0"/>
                <w:szCs w:val="21"/>
              </w:rPr>
              <w:t>年</w:t>
            </w:r>
            <w:r w:rsidRPr="00FC1444">
              <w:rPr>
                <w:rFonts w:eastAsiaTheme="minorEastAsia"/>
                <w:kern w:val="0"/>
                <w:szCs w:val="21"/>
              </w:rPr>
              <w:t>+1000</w:t>
            </w:r>
            <w:r w:rsidRPr="00FC1444">
              <w:rPr>
                <w:rFonts w:eastAsiaTheme="minorEastAsia"/>
                <w:kern w:val="0"/>
                <w:szCs w:val="21"/>
              </w:rPr>
              <w:t>天流程圈定的范围</w:t>
            </w:r>
          </w:p>
        </w:tc>
      </w:tr>
      <w:tr w:rsidR="002A5A5E" w:rsidRPr="00FC1444">
        <w:trPr>
          <w:trHeight w:val="342"/>
        </w:trPr>
        <w:tc>
          <w:tcPr>
            <w:tcW w:w="408" w:type="pct"/>
            <w:vMerge/>
            <w:tcBorders>
              <w:tl2br w:val="nil"/>
              <w:tr2bl w:val="nil"/>
            </w:tcBorders>
            <w:vAlign w:val="center"/>
          </w:tcPr>
          <w:p w:rsidR="002A5A5E" w:rsidRPr="00FC1444" w:rsidRDefault="002A5A5E">
            <w:pPr>
              <w:jc w:val="center"/>
              <w:rPr>
                <w:rFonts w:eastAsiaTheme="minorEastAsia"/>
                <w:kern w:val="0"/>
                <w:szCs w:val="21"/>
              </w:rPr>
            </w:pPr>
          </w:p>
        </w:tc>
        <w:tc>
          <w:tcPr>
            <w:tcW w:w="719" w:type="pct"/>
            <w:vMerge/>
            <w:tcBorders>
              <w:tl2br w:val="nil"/>
              <w:tr2bl w:val="nil"/>
            </w:tcBorders>
            <w:vAlign w:val="center"/>
          </w:tcPr>
          <w:p w:rsidR="002A5A5E" w:rsidRPr="00FC1444" w:rsidRDefault="002A5A5E">
            <w:pPr>
              <w:jc w:val="center"/>
              <w:rPr>
                <w:rFonts w:eastAsiaTheme="minorEastAsia"/>
                <w:kern w:val="0"/>
                <w:szCs w:val="21"/>
              </w:rPr>
            </w:pPr>
          </w:p>
        </w:tc>
        <w:tc>
          <w:tcPr>
            <w:tcW w:w="1145" w:type="pct"/>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未划定保护区的</w:t>
            </w:r>
          </w:p>
        </w:tc>
        <w:tc>
          <w:tcPr>
            <w:tcW w:w="2728" w:type="pct"/>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以水源开采井为基准，按大型水源</w:t>
            </w:r>
            <w:r w:rsidRPr="00FC1444">
              <w:rPr>
                <w:rFonts w:eastAsiaTheme="minorEastAsia"/>
                <w:kern w:val="0"/>
                <w:szCs w:val="21"/>
              </w:rPr>
              <w:t>30</w:t>
            </w:r>
            <w:r w:rsidRPr="00FC1444">
              <w:rPr>
                <w:rFonts w:eastAsiaTheme="minorEastAsia"/>
                <w:kern w:val="0"/>
                <w:szCs w:val="21"/>
              </w:rPr>
              <w:t>年</w:t>
            </w:r>
            <w:r w:rsidRPr="00FC1444">
              <w:rPr>
                <w:rFonts w:eastAsiaTheme="minorEastAsia"/>
                <w:kern w:val="0"/>
                <w:szCs w:val="21"/>
              </w:rPr>
              <w:t>+1100</w:t>
            </w:r>
            <w:r w:rsidRPr="00FC1444">
              <w:rPr>
                <w:rFonts w:eastAsiaTheme="minorEastAsia"/>
                <w:kern w:val="0"/>
                <w:szCs w:val="21"/>
              </w:rPr>
              <w:t>天流程圈定的范围</w:t>
            </w:r>
          </w:p>
        </w:tc>
      </w:tr>
      <w:tr w:rsidR="002A5A5E" w:rsidRPr="00FC1444">
        <w:trPr>
          <w:trHeight w:val="342"/>
        </w:trPr>
        <w:tc>
          <w:tcPr>
            <w:tcW w:w="408" w:type="pct"/>
            <w:vMerge/>
            <w:tcBorders>
              <w:tl2br w:val="nil"/>
              <w:tr2bl w:val="nil"/>
            </w:tcBorders>
            <w:vAlign w:val="center"/>
          </w:tcPr>
          <w:p w:rsidR="002A5A5E" w:rsidRPr="00FC1444" w:rsidRDefault="002A5A5E">
            <w:pPr>
              <w:jc w:val="center"/>
              <w:rPr>
                <w:rFonts w:eastAsiaTheme="minorEastAsia"/>
                <w:kern w:val="0"/>
                <w:szCs w:val="21"/>
              </w:rPr>
            </w:pPr>
          </w:p>
        </w:tc>
        <w:tc>
          <w:tcPr>
            <w:tcW w:w="719" w:type="pct"/>
            <w:vMerge w:val="restart"/>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中小型＜</w:t>
            </w:r>
            <w:r w:rsidRPr="00FC1444">
              <w:rPr>
                <w:rFonts w:eastAsiaTheme="minorEastAsia"/>
                <w:kern w:val="0"/>
                <w:szCs w:val="21"/>
              </w:rPr>
              <w:t>5</w:t>
            </w:r>
            <w:r w:rsidRPr="00FC1444">
              <w:rPr>
                <w:rFonts w:eastAsiaTheme="minorEastAsia"/>
                <w:kern w:val="0"/>
                <w:szCs w:val="21"/>
              </w:rPr>
              <w:t>万</w:t>
            </w:r>
            <w:r w:rsidRPr="00FC1444">
              <w:rPr>
                <w:rFonts w:eastAsiaTheme="minorEastAsia"/>
                <w:kern w:val="0"/>
                <w:szCs w:val="21"/>
              </w:rPr>
              <w:t>m</w:t>
            </w:r>
            <w:r w:rsidRPr="00FC1444">
              <w:rPr>
                <w:rFonts w:eastAsiaTheme="minorEastAsia"/>
                <w:kern w:val="0"/>
                <w:szCs w:val="21"/>
                <w:vertAlign w:val="superscript"/>
              </w:rPr>
              <w:t>3</w:t>
            </w:r>
            <w:r w:rsidRPr="00FC1444">
              <w:rPr>
                <w:rFonts w:eastAsiaTheme="minorEastAsia"/>
                <w:kern w:val="0"/>
                <w:szCs w:val="21"/>
              </w:rPr>
              <w:t>/d</w:t>
            </w:r>
          </w:p>
        </w:tc>
        <w:tc>
          <w:tcPr>
            <w:tcW w:w="1145" w:type="pct"/>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已划定二级保护区的</w:t>
            </w:r>
          </w:p>
        </w:tc>
        <w:tc>
          <w:tcPr>
            <w:tcW w:w="2728" w:type="pct"/>
            <w:tcBorders>
              <w:tl2br w:val="nil"/>
              <w:tr2bl w:val="nil"/>
            </w:tcBorders>
            <w:vAlign w:val="center"/>
          </w:tcPr>
          <w:p w:rsidR="002A5A5E" w:rsidRPr="00FC1444" w:rsidRDefault="00611CBA">
            <w:pPr>
              <w:jc w:val="center"/>
              <w:rPr>
                <w:rFonts w:eastAsiaTheme="minorEastAsia"/>
                <w:kern w:val="0"/>
                <w:szCs w:val="21"/>
              </w:rPr>
            </w:pPr>
            <w:r w:rsidRPr="00FC1444">
              <w:rPr>
                <w:rFonts w:eastAsiaTheme="minorEastAsia"/>
                <w:kern w:val="0"/>
                <w:szCs w:val="21"/>
              </w:rPr>
              <w:t>以二级保护区边界为基准，按中小型水源</w:t>
            </w:r>
            <w:r w:rsidRPr="00FC1444">
              <w:rPr>
                <w:rFonts w:eastAsiaTheme="minorEastAsia"/>
                <w:kern w:val="0"/>
                <w:szCs w:val="21"/>
              </w:rPr>
              <w:t>15</w:t>
            </w:r>
            <w:r w:rsidRPr="00FC1444">
              <w:rPr>
                <w:rFonts w:eastAsiaTheme="minorEastAsia"/>
                <w:kern w:val="0"/>
                <w:szCs w:val="21"/>
              </w:rPr>
              <w:t>年流程圈定的范围</w:t>
            </w:r>
          </w:p>
        </w:tc>
      </w:tr>
      <w:tr w:rsidR="002A5A5E" w:rsidRPr="00FC1444">
        <w:trPr>
          <w:trHeight w:val="342"/>
        </w:trPr>
        <w:tc>
          <w:tcPr>
            <w:tcW w:w="408" w:type="pct"/>
            <w:vMerge/>
            <w:tcBorders>
              <w:tl2br w:val="nil"/>
              <w:tr2bl w:val="nil"/>
            </w:tcBorders>
            <w:vAlign w:val="center"/>
          </w:tcPr>
          <w:p w:rsidR="002A5A5E" w:rsidRPr="00FC1444" w:rsidRDefault="002A5A5E">
            <w:pPr>
              <w:jc w:val="center"/>
              <w:rPr>
                <w:rFonts w:eastAsiaTheme="minorEastAsia"/>
                <w:kern w:val="0"/>
                <w:szCs w:val="21"/>
              </w:rPr>
            </w:pPr>
          </w:p>
        </w:tc>
        <w:tc>
          <w:tcPr>
            <w:tcW w:w="719" w:type="pct"/>
            <w:vMerge/>
            <w:tcBorders>
              <w:tl2br w:val="nil"/>
              <w:tr2bl w:val="nil"/>
            </w:tcBorders>
            <w:vAlign w:val="center"/>
          </w:tcPr>
          <w:p w:rsidR="002A5A5E" w:rsidRPr="00FC1444" w:rsidRDefault="002A5A5E">
            <w:pPr>
              <w:jc w:val="center"/>
              <w:rPr>
                <w:rFonts w:eastAsiaTheme="minorEastAsia"/>
                <w:kern w:val="0"/>
                <w:szCs w:val="21"/>
              </w:rPr>
            </w:pPr>
          </w:p>
        </w:tc>
        <w:tc>
          <w:tcPr>
            <w:tcW w:w="1145" w:type="pct"/>
            <w:tcBorders>
              <w:tl2br w:val="nil"/>
              <w:tr2bl w:val="nil"/>
            </w:tcBorders>
            <w:vAlign w:val="center"/>
          </w:tcPr>
          <w:p w:rsidR="002A5A5E" w:rsidRPr="00FC1444" w:rsidRDefault="00611CBA">
            <w:pPr>
              <w:jc w:val="center"/>
              <w:rPr>
                <w:rFonts w:eastAsiaTheme="minorEastAsia"/>
                <w:b/>
                <w:bCs/>
                <w:kern w:val="0"/>
                <w:szCs w:val="21"/>
              </w:rPr>
            </w:pPr>
            <w:r w:rsidRPr="00FC1444">
              <w:rPr>
                <w:rFonts w:eastAsiaTheme="minorEastAsia"/>
                <w:b/>
                <w:bCs/>
                <w:kern w:val="0"/>
                <w:szCs w:val="21"/>
              </w:rPr>
              <w:t>仅划定了一级保护区的</w:t>
            </w:r>
          </w:p>
        </w:tc>
        <w:tc>
          <w:tcPr>
            <w:tcW w:w="2728" w:type="pct"/>
            <w:tcBorders>
              <w:tl2br w:val="nil"/>
              <w:tr2bl w:val="nil"/>
            </w:tcBorders>
            <w:vAlign w:val="center"/>
          </w:tcPr>
          <w:p w:rsidR="002A5A5E" w:rsidRPr="00FC1444" w:rsidRDefault="00611CBA">
            <w:pPr>
              <w:jc w:val="center"/>
              <w:rPr>
                <w:rFonts w:eastAsiaTheme="minorEastAsia"/>
                <w:b/>
                <w:bCs/>
                <w:kern w:val="0"/>
                <w:szCs w:val="21"/>
              </w:rPr>
            </w:pPr>
            <w:r w:rsidRPr="00FC1444">
              <w:rPr>
                <w:rFonts w:eastAsiaTheme="minorEastAsia"/>
                <w:b/>
                <w:bCs/>
                <w:kern w:val="0"/>
                <w:szCs w:val="21"/>
              </w:rPr>
              <w:t>以水源一级保护区边界为基准，按中小型水源</w:t>
            </w:r>
            <w:r w:rsidRPr="00FC1444">
              <w:rPr>
                <w:rFonts w:eastAsiaTheme="minorEastAsia"/>
                <w:b/>
                <w:bCs/>
                <w:kern w:val="0"/>
                <w:szCs w:val="21"/>
              </w:rPr>
              <w:t>15</w:t>
            </w:r>
            <w:r w:rsidRPr="00FC1444">
              <w:rPr>
                <w:rFonts w:eastAsiaTheme="minorEastAsia"/>
                <w:b/>
                <w:bCs/>
                <w:kern w:val="0"/>
                <w:szCs w:val="21"/>
              </w:rPr>
              <w:t>年</w:t>
            </w:r>
            <w:r w:rsidRPr="00FC1444">
              <w:rPr>
                <w:rFonts w:eastAsiaTheme="minorEastAsia"/>
                <w:b/>
                <w:bCs/>
                <w:kern w:val="0"/>
                <w:szCs w:val="21"/>
              </w:rPr>
              <w:t>+1000</w:t>
            </w:r>
            <w:r w:rsidRPr="00FC1444">
              <w:rPr>
                <w:rFonts w:eastAsiaTheme="minorEastAsia"/>
                <w:b/>
                <w:bCs/>
                <w:kern w:val="0"/>
                <w:szCs w:val="21"/>
              </w:rPr>
              <w:t>天流程圈定的范围</w:t>
            </w:r>
          </w:p>
        </w:tc>
      </w:tr>
      <w:tr w:rsidR="002A5A5E" w:rsidRPr="00FC1444">
        <w:trPr>
          <w:trHeight w:val="342"/>
        </w:trPr>
        <w:tc>
          <w:tcPr>
            <w:tcW w:w="408" w:type="pct"/>
            <w:vMerge/>
            <w:tcBorders>
              <w:tl2br w:val="nil"/>
              <w:tr2bl w:val="nil"/>
            </w:tcBorders>
            <w:vAlign w:val="center"/>
          </w:tcPr>
          <w:p w:rsidR="002A5A5E" w:rsidRPr="00FC1444" w:rsidRDefault="002A5A5E">
            <w:pPr>
              <w:jc w:val="center"/>
              <w:rPr>
                <w:rFonts w:eastAsiaTheme="minorEastAsia"/>
                <w:kern w:val="0"/>
                <w:szCs w:val="21"/>
              </w:rPr>
            </w:pPr>
          </w:p>
        </w:tc>
        <w:tc>
          <w:tcPr>
            <w:tcW w:w="719" w:type="pct"/>
            <w:vMerge/>
            <w:tcBorders>
              <w:tl2br w:val="nil"/>
              <w:tr2bl w:val="nil"/>
            </w:tcBorders>
            <w:vAlign w:val="center"/>
          </w:tcPr>
          <w:p w:rsidR="002A5A5E" w:rsidRPr="00FC1444" w:rsidRDefault="002A5A5E">
            <w:pPr>
              <w:jc w:val="center"/>
              <w:rPr>
                <w:rFonts w:eastAsiaTheme="minorEastAsia"/>
                <w:kern w:val="0"/>
                <w:szCs w:val="21"/>
              </w:rPr>
            </w:pPr>
          </w:p>
        </w:tc>
        <w:tc>
          <w:tcPr>
            <w:tcW w:w="1145" w:type="pct"/>
            <w:tcBorders>
              <w:tl2br w:val="nil"/>
              <w:tr2bl w:val="nil"/>
            </w:tcBorders>
            <w:vAlign w:val="center"/>
          </w:tcPr>
          <w:p w:rsidR="002A5A5E" w:rsidRPr="00FC1444" w:rsidRDefault="00611CBA">
            <w:pPr>
              <w:jc w:val="center"/>
              <w:rPr>
                <w:rFonts w:eastAsiaTheme="minorEastAsia"/>
                <w:bCs/>
                <w:kern w:val="0"/>
                <w:szCs w:val="21"/>
              </w:rPr>
            </w:pPr>
            <w:r w:rsidRPr="00FC1444">
              <w:rPr>
                <w:rFonts w:eastAsiaTheme="minorEastAsia"/>
                <w:bCs/>
                <w:kern w:val="0"/>
                <w:szCs w:val="21"/>
              </w:rPr>
              <w:t>未划定保护区的</w:t>
            </w:r>
          </w:p>
        </w:tc>
        <w:tc>
          <w:tcPr>
            <w:tcW w:w="2728" w:type="pct"/>
            <w:tcBorders>
              <w:tl2br w:val="nil"/>
              <w:tr2bl w:val="nil"/>
            </w:tcBorders>
            <w:vAlign w:val="center"/>
          </w:tcPr>
          <w:p w:rsidR="002A5A5E" w:rsidRPr="00FC1444" w:rsidRDefault="00611CBA">
            <w:pPr>
              <w:jc w:val="center"/>
              <w:rPr>
                <w:rFonts w:eastAsiaTheme="minorEastAsia"/>
                <w:bCs/>
                <w:kern w:val="0"/>
                <w:szCs w:val="21"/>
              </w:rPr>
            </w:pPr>
            <w:r w:rsidRPr="00FC1444">
              <w:rPr>
                <w:rFonts w:eastAsiaTheme="minorEastAsia"/>
                <w:bCs/>
                <w:kern w:val="0"/>
                <w:szCs w:val="21"/>
              </w:rPr>
              <w:t>以水源开采井为基准，按中小型水源</w:t>
            </w:r>
            <w:r w:rsidRPr="00FC1444">
              <w:rPr>
                <w:rFonts w:eastAsiaTheme="minorEastAsia"/>
                <w:bCs/>
                <w:kern w:val="0"/>
                <w:szCs w:val="21"/>
              </w:rPr>
              <w:t>15</w:t>
            </w:r>
            <w:r w:rsidRPr="00FC1444">
              <w:rPr>
                <w:rFonts w:eastAsiaTheme="minorEastAsia"/>
                <w:bCs/>
                <w:kern w:val="0"/>
                <w:szCs w:val="21"/>
              </w:rPr>
              <w:t>年</w:t>
            </w:r>
            <w:r w:rsidRPr="00FC1444">
              <w:rPr>
                <w:rFonts w:eastAsiaTheme="minorEastAsia"/>
                <w:bCs/>
                <w:kern w:val="0"/>
                <w:szCs w:val="21"/>
              </w:rPr>
              <w:t>+1100</w:t>
            </w:r>
            <w:r w:rsidRPr="00FC1444">
              <w:rPr>
                <w:rFonts w:eastAsiaTheme="minorEastAsia"/>
                <w:bCs/>
                <w:kern w:val="0"/>
                <w:szCs w:val="21"/>
              </w:rPr>
              <w:t>天流程圈定的范围</w:t>
            </w:r>
          </w:p>
        </w:tc>
      </w:tr>
    </w:tbl>
    <w:p w:rsidR="002A5A5E" w:rsidRPr="00FC1444" w:rsidRDefault="00611CBA">
      <w:pPr>
        <w:spacing w:line="360" w:lineRule="auto"/>
        <w:ind w:firstLineChars="200" w:firstLine="480"/>
        <w:rPr>
          <w:rFonts w:eastAsiaTheme="minorEastAsia"/>
          <w:snapToGrid w:val="0"/>
          <w:kern w:val="0"/>
          <w:sz w:val="24"/>
          <w:szCs w:val="22"/>
        </w:rPr>
      </w:pPr>
      <w:r w:rsidRPr="00FC1444">
        <w:rPr>
          <w:rFonts w:eastAsiaTheme="minorEastAsia"/>
          <w:snapToGrid w:val="0"/>
          <w:kern w:val="0"/>
          <w:sz w:val="24"/>
          <w:szCs w:val="22"/>
        </w:rPr>
        <w:t>根据地下水质点运移距离计算公式：</w:t>
      </w:r>
    </w:p>
    <w:p w:rsidR="002A5A5E" w:rsidRPr="00FC1444" w:rsidRDefault="00611CBA" w:rsidP="00611CBA">
      <w:pPr>
        <w:spacing w:line="360" w:lineRule="auto"/>
        <w:ind w:firstLineChars="77" w:firstLine="185"/>
        <w:jc w:val="center"/>
        <w:rPr>
          <w:rFonts w:eastAsiaTheme="minorEastAsia"/>
          <w:sz w:val="24"/>
          <w:szCs w:val="22"/>
        </w:rPr>
      </w:pPr>
      <w:r w:rsidRPr="00FC1444">
        <w:rPr>
          <w:rFonts w:eastAsiaTheme="minorEastAsia"/>
          <w:sz w:val="24"/>
          <w:szCs w:val="22"/>
        </w:rPr>
        <w:t>L=a×K×I×T/ne</w:t>
      </w:r>
    </w:p>
    <w:p w:rsidR="002A5A5E" w:rsidRPr="00FC1444" w:rsidRDefault="00611CBA" w:rsidP="00611CBA">
      <w:pPr>
        <w:spacing w:line="360" w:lineRule="auto"/>
        <w:ind w:firstLineChars="77" w:firstLine="185"/>
        <w:rPr>
          <w:rFonts w:eastAsiaTheme="minorEastAsia"/>
          <w:sz w:val="24"/>
          <w:szCs w:val="22"/>
        </w:rPr>
      </w:pPr>
      <w:r w:rsidRPr="00FC1444">
        <w:rPr>
          <w:rFonts w:eastAsiaTheme="minorEastAsia"/>
          <w:sz w:val="24"/>
          <w:szCs w:val="22"/>
        </w:rPr>
        <w:t>式中：</w:t>
      </w:r>
      <w:r w:rsidRPr="00FC1444">
        <w:rPr>
          <w:rFonts w:eastAsiaTheme="minorEastAsia"/>
          <w:sz w:val="24"/>
          <w:szCs w:val="22"/>
        </w:rPr>
        <w:t>L—</w:t>
      </w:r>
      <w:r w:rsidRPr="00FC1444">
        <w:rPr>
          <w:rFonts w:eastAsiaTheme="minorEastAsia"/>
          <w:sz w:val="24"/>
          <w:szCs w:val="22"/>
        </w:rPr>
        <w:t>下游迁移距离，</w:t>
      </w:r>
      <w:r w:rsidRPr="00FC1444">
        <w:rPr>
          <w:rFonts w:eastAsiaTheme="minorEastAsia"/>
          <w:sz w:val="24"/>
          <w:szCs w:val="22"/>
        </w:rPr>
        <w:t>m</w:t>
      </w:r>
    </w:p>
    <w:p w:rsidR="002A5A5E" w:rsidRPr="00FC1444" w:rsidRDefault="00611CBA" w:rsidP="00611CBA">
      <w:pPr>
        <w:spacing w:line="360" w:lineRule="auto"/>
        <w:ind w:firstLineChars="77" w:firstLine="185"/>
        <w:rPr>
          <w:rFonts w:eastAsiaTheme="minorEastAsia"/>
          <w:sz w:val="24"/>
          <w:szCs w:val="22"/>
        </w:rPr>
      </w:pPr>
      <w:r w:rsidRPr="00FC1444">
        <w:rPr>
          <w:rFonts w:eastAsiaTheme="minorEastAsia"/>
          <w:sz w:val="24"/>
          <w:szCs w:val="22"/>
        </w:rPr>
        <w:t xml:space="preserve">         a—</w:t>
      </w:r>
      <w:r w:rsidRPr="00FC1444">
        <w:rPr>
          <w:rFonts w:eastAsiaTheme="minorEastAsia"/>
          <w:sz w:val="24"/>
          <w:szCs w:val="22"/>
        </w:rPr>
        <w:t>变化系数，</w:t>
      </w:r>
      <w:r w:rsidRPr="00FC1444">
        <w:rPr>
          <w:rFonts w:eastAsiaTheme="minorEastAsia"/>
          <w:sz w:val="24"/>
          <w:szCs w:val="22"/>
        </w:rPr>
        <w:t>a≥1</w:t>
      </w:r>
      <w:r w:rsidRPr="00FC1444">
        <w:rPr>
          <w:rFonts w:eastAsiaTheme="minorEastAsia"/>
          <w:sz w:val="24"/>
          <w:szCs w:val="22"/>
        </w:rPr>
        <w:t>，一般取</w:t>
      </w:r>
      <w:r w:rsidRPr="00FC1444">
        <w:rPr>
          <w:rFonts w:eastAsiaTheme="minorEastAsia"/>
          <w:sz w:val="24"/>
          <w:szCs w:val="22"/>
        </w:rPr>
        <w:t>2</w:t>
      </w:r>
      <w:r w:rsidRPr="00FC1444">
        <w:rPr>
          <w:rFonts w:eastAsiaTheme="minorEastAsia"/>
          <w:sz w:val="24"/>
          <w:szCs w:val="22"/>
        </w:rPr>
        <w:t>，本项目取</w:t>
      </w:r>
      <w:r w:rsidRPr="00FC1444">
        <w:rPr>
          <w:rFonts w:eastAsiaTheme="minorEastAsia"/>
          <w:sz w:val="24"/>
          <w:szCs w:val="22"/>
        </w:rPr>
        <w:t>2</w:t>
      </w:r>
      <w:r w:rsidRPr="00FC1444">
        <w:rPr>
          <w:rFonts w:eastAsiaTheme="minorEastAsia"/>
          <w:sz w:val="24"/>
          <w:szCs w:val="22"/>
        </w:rPr>
        <w:t>；</w:t>
      </w:r>
    </w:p>
    <w:p w:rsidR="002A5A5E" w:rsidRPr="00FC1444" w:rsidRDefault="00611CBA" w:rsidP="00611CBA">
      <w:pPr>
        <w:spacing w:line="360" w:lineRule="auto"/>
        <w:ind w:firstLineChars="77" w:firstLine="185"/>
        <w:rPr>
          <w:rFonts w:eastAsiaTheme="minorEastAsia"/>
          <w:sz w:val="24"/>
          <w:szCs w:val="22"/>
        </w:rPr>
      </w:pPr>
      <w:r w:rsidRPr="00FC1444">
        <w:rPr>
          <w:rFonts w:eastAsiaTheme="minorEastAsia"/>
          <w:sz w:val="24"/>
          <w:szCs w:val="22"/>
        </w:rPr>
        <w:t xml:space="preserve">         K—</w:t>
      </w:r>
      <w:r w:rsidRPr="00FC1444">
        <w:rPr>
          <w:rFonts w:eastAsiaTheme="minorEastAsia"/>
          <w:sz w:val="24"/>
          <w:szCs w:val="22"/>
        </w:rPr>
        <w:t>渗透系数，</w:t>
      </w:r>
      <w:r w:rsidRPr="00FC1444">
        <w:rPr>
          <w:rFonts w:eastAsiaTheme="minorEastAsia"/>
          <w:sz w:val="24"/>
          <w:szCs w:val="22"/>
        </w:rPr>
        <w:t>m/d</w:t>
      </w:r>
      <w:r w:rsidRPr="00FC1444">
        <w:rPr>
          <w:rFonts w:eastAsiaTheme="minorEastAsia"/>
          <w:sz w:val="24"/>
          <w:szCs w:val="22"/>
        </w:rPr>
        <w:t>，数据来源</w:t>
      </w:r>
      <w:r w:rsidRPr="00FC1444">
        <w:rPr>
          <w:rFonts w:eastAsiaTheme="minorEastAsia"/>
          <w:sz w:val="24"/>
          <w:szCs w:val="22"/>
        </w:rPr>
        <w:t>“</w:t>
      </w:r>
      <w:r w:rsidRPr="00FC1444">
        <w:rPr>
          <w:rFonts w:eastAsiaTheme="minorEastAsia"/>
          <w:sz w:val="24"/>
          <w:szCs w:val="22"/>
        </w:rPr>
        <w:t>《</w:t>
      </w:r>
      <w:r w:rsidR="00AE168C" w:rsidRPr="00FC1444">
        <w:rPr>
          <w:rFonts w:eastAsiaTheme="minorEastAsia"/>
          <w:sz w:val="24"/>
          <w:szCs w:val="22"/>
        </w:rPr>
        <w:t>北林区</w:t>
      </w:r>
      <w:r w:rsidR="00AE168C" w:rsidRPr="00FC1444">
        <w:rPr>
          <w:rFonts w:eastAsiaTheme="minorEastAsia"/>
          <w:sz w:val="24"/>
          <w:szCs w:val="22"/>
        </w:rPr>
        <w:t>2026</w:t>
      </w:r>
      <w:r w:rsidR="00AE168C" w:rsidRPr="00FC1444">
        <w:rPr>
          <w:rFonts w:eastAsiaTheme="minorEastAsia"/>
          <w:sz w:val="24"/>
          <w:szCs w:val="22"/>
        </w:rPr>
        <w:t>年高标准农田建设项目</w:t>
      </w:r>
      <w:r w:rsidR="002D28EB" w:rsidRPr="00FC1444">
        <w:rPr>
          <w:rFonts w:eastAsiaTheme="minorEastAsia"/>
          <w:sz w:val="24"/>
          <w:szCs w:val="22"/>
        </w:rPr>
        <w:t>水资源论证报告</w:t>
      </w:r>
      <w:r w:rsidR="00DD0748" w:rsidRPr="00FC1444">
        <w:rPr>
          <w:rFonts w:eastAsiaTheme="minorEastAsia"/>
          <w:sz w:val="24"/>
          <w:szCs w:val="22"/>
        </w:rPr>
        <w:t>书</w:t>
      </w:r>
      <w:r w:rsidRPr="00FC1444">
        <w:rPr>
          <w:rFonts w:eastAsiaTheme="minorEastAsia"/>
          <w:sz w:val="24"/>
          <w:szCs w:val="22"/>
        </w:rPr>
        <w:t>》</w:t>
      </w:r>
      <w:r w:rsidRPr="00FC1444">
        <w:rPr>
          <w:rFonts w:eastAsiaTheme="minorEastAsia"/>
          <w:sz w:val="24"/>
          <w:szCs w:val="22"/>
        </w:rPr>
        <w:t>”</w:t>
      </w:r>
      <w:r w:rsidRPr="00FC1444">
        <w:rPr>
          <w:rFonts w:eastAsiaTheme="minorEastAsia"/>
          <w:sz w:val="24"/>
        </w:rPr>
        <w:t>，渗透系数取</w:t>
      </w:r>
      <w:r w:rsidRPr="00FC1444">
        <w:rPr>
          <w:rFonts w:eastAsiaTheme="minorEastAsia"/>
          <w:sz w:val="24"/>
        </w:rPr>
        <w:t>25m/d</w:t>
      </w:r>
      <w:r w:rsidRPr="00FC1444">
        <w:rPr>
          <w:rFonts w:eastAsiaTheme="minorEastAsia"/>
          <w:sz w:val="24"/>
          <w:szCs w:val="22"/>
        </w:rPr>
        <w:t>；</w:t>
      </w:r>
    </w:p>
    <w:p w:rsidR="002A5A5E" w:rsidRPr="00FC1444" w:rsidRDefault="00611CBA" w:rsidP="00611CBA">
      <w:pPr>
        <w:spacing w:line="360" w:lineRule="auto"/>
        <w:ind w:firstLineChars="77" w:firstLine="185"/>
        <w:rPr>
          <w:rFonts w:eastAsiaTheme="minorEastAsia"/>
          <w:sz w:val="24"/>
          <w:szCs w:val="22"/>
        </w:rPr>
      </w:pPr>
      <w:r w:rsidRPr="00FC1444">
        <w:rPr>
          <w:rFonts w:eastAsiaTheme="minorEastAsia"/>
          <w:sz w:val="24"/>
          <w:szCs w:val="22"/>
        </w:rPr>
        <w:t xml:space="preserve">         I—</w:t>
      </w:r>
      <w:r w:rsidRPr="00FC1444">
        <w:rPr>
          <w:rFonts w:eastAsiaTheme="minorEastAsia"/>
          <w:sz w:val="24"/>
          <w:szCs w:val="22"/>
        </w:rPr>
        <w:t>水力坡度，无量纲，数据来源</w:t>
      </w:r>
      <w:r w:rsidRPr="00FC1444">
        <w:rPr>
          <w:rFonts w:eastAsiaTheme="minorEastAsia"/>
          <w:sz w:val="24"/>
          <w:szCs w:val="22"/>
        </w:rPr>
        <w:t>“</w:t>
      </w:r>
      <w:r w:rsidRPr="00FC1444">
        <w:rPr>
          <w:rFonts w:eastAsiaTheme="minorEastAsia"/>
          <w:sz w:val="24"/>
          <w:szCs w:val="22"/>
        </w:rPr>
        <w:t>《</w:t>
      </w:r>
      <w:r w:rsidR="00AE168C" w:rsidRPr="00FC1444">
        <w:rPr>
          <w:rFonts w:eastAsiaTheme="minorEastAsia"/>
          <w:sz w:val="24"/>
          <w:szCs w:val="22"/>
        </w:rPr>
        <w:t>北林区</w:t>
      </w:r>
      <w:r w:rsidR="00AE168C" w:rsidRPr="00FC1444">
        <w:rPr>
          <w:rFonts w:eastAsiaTheme="minorEastAsia"/>
          <w:sz w:val="24"/>
          <w:szCs w:val="22"/>
        </w:rPr>
        <w:t>2026</w:t>
      </w:r>
      <w:r w:rsidR="00AE168C" w:rsidRPr="00FC1444">
        <w:rPr>
          <w:rFonts w:eastAsiaTheme="minorEastAsia"/>
          <w:sz w:val="24"/>
          <w:szCs w:val="22"/>
        </w:rPr>
        <w:t>年高标准农田建设项目</w:t>
      </w:r>
      <w:r w:rsidRPr="00FC1444">
        <w:rPr>
          <w:rFonts w:eastAsiaTheme="minorEastAsia"/>
          <w:sz w:val="24"/>
          <w:szCs w:val="22"/>
        </w:rPr>
        <w:t>水资源论证报告</w:t>
      </w:r>
      <w:r w:rsidR="00DD0748" w:rsidRPr="00FC1444">
        <w:rPr>
          <w:rFonts w:eastAsiaTheme="minorEastAsia"/>
          <w:sz w:val="24"/>
          <w:szCs w:val="22"/>
        </w:rPr>
        <w:t>书</w:t>
      </w:r>
      <w:r w:rsidRPr="00FC1444">
        <w:rPr>
          <w:rFonts w:eastAsiaTheme="minorEastAsia"/>
          <w:sz w:val="24"/>
          <w:szCs w:val="22"/>
        </w:rPr>
        <w:t>》</w:t>
      </w:r>
      <w:r w:rsidRPr="00FC1444">
        <w:rPr>
          <w:rFonts w:eastAsiaTheme="minorEastAsia"/>
          <w:sz w:val="24"/>
          <w:szCs w:val="22"/>
        </w:rPr>
        <w:t>”</w:t>
      </w:r>
      <w:r w:rsidRPr="00FC1444">
        <w:rPr>
          <w:rFonts w:eastAsiaTheme="minorEastAsia"/>
          <w:sz w:val="24"/>
        </w:rPr>
        <w:t>，</w:t>
      </w:r>
      <w:r w:rsidRPr="00FC1444">
        <w:rPr>
          <w:rFonts w:eastAsiaTheme="minorEastAsia"/>
          <w:sz w:val="24"/>
          <w:szCs w:val="22"/>
        </w:rPr>
        <w:t>本项目取</w:t>
      </w:r>
      <w:r w:rsidR="00400760" w:rsidRPr="00FC1444">
        <w:rPr>
          <w:rFonts w:eastAsiaTheme="minorEastAsia"/>
          <w:sz w:val="24"/>
          <w:szCs w:val="22"/>
        </w:rPr>
        <w:t>0.61</w:t>
      </w:r>
      <w:r w:rsidRPr="00FC1444">
        <w:rPr>
          <w:rFonts w:eastAsiaTheme="minorEastAsia"/>
          <w:sz w:val="24"/>
          <w:lang w:val="en-GB"/>
        </w:rPr>
        <w:t>‰</w:t>
      </w:r>
      <w:r w:rsidRPr="00FC1444">
        <w:rPr>
          <w:rFonts w:eastAsiaTheme="minorEastAsia"/>
          <w:sz w:val="24"/>
          <w:lang w:val="en-GB"/>
        </w:rPr>
        <w:t>；</w:t>
      </w:r>
    </w:p>
    <w:p w:rsidR="002A5A5E" w:rsidRPr="00FC1444" w:rsidRDefault="00611CBA" w:rsidP="00611CBA">
      <w:pPr>
        <w:spacing w:line="360" w:lineRule="auto"/>
        <w:ind w:firstLineChars="77" w:firstLine="185"/>
        <w:rPr>
          <w:rFonts w:eastAsiaTheme="minorEastAsia"/>
          <w:sz w:val="24"/>
          <w:szCs w:val="22"/>
        </w:rPr>
      </w:pPr>
      <w:r w:rsidRPr="00FC1444">
        <w:rPr>
          <w:rFonts w:eastAsiaTheme="minorEastAsia"/>
          <w:sz w:val="24"/>
          <w:szCs w:val="22"/>
        </w:rPr>
        <w:t xml:space="preserve">         T—</w:t>
      </w:r>
      <w:r w:rsidRPr="00FC1444">
        <w:rPr>
          <w:rFonts w:eastAsiaTheme="minorEastAsia"/>
          <w:sz w:val="24"/>
          <w:szCs w:val="22"/>
        </w:rPr>
        <w:t>质点迁移天数，</w:t>
      </w:r>
      <w:r w:rsidRPr="00FC1444">
        <w:rPr>
          <w:rFonts w:eastAsiaTheme="minorEastAsia"/>
          <w:kern w:val="0"/>
          <w:sz w:val="24"/>
          <w:lang w:val="de-DE"/>
        </w:rPr>
        <w:t>15×365+1</w:t>
      </w:r>
      <w:r w:rsidRPr="00FC1444">
        <w:rPr>
          <w:rFonts w:eastAsiaTheme="minorEastAsia"/>
          <w:kern w:val="0"/>
          <w:sz w:val="24"/>
        </w:rPr>
        <w:t>0</w:t>
      </w:r>
      <w:r w:rsidRPr="00FC1444">
        <w:rPr>
          <w:rFonts w:eastAsiaTheme="minorEastAsia"/>
          <w:kern w:val="0"/>
          <w:sz w:val="24"/>
          <w:lang w:val="de-DE"/>
        </w:rPr>
        <w:t>00=6475</w:t>
      </w:r>
      <w:r w:rsidRPr="00FC1444">
        <w:rPr>
          <w:rFonts w:eastAsiaTheme="minorEastAsia"/>
          <w:sz w:val="24"/>
          <w:szCs w:val="22"/>
        </w:rPr>
        <w:t>d</w:t>
      </w:r>
      <w:r w:rsidRPr="00FC1444">
        <w:rPr>
          <w:rFonts w:eastAsiaTheme="minorEastAsia"/>
          <w:sz w:val="24"/>
          <w:szCs w:val="22"/>
        </w:rPr>
        <w:t>；</w:t>
      </w:r>
    </w:p>
    <w:p w:rsidR="002A5A5E" w:rsidRPr="00FC1444" w:rsidRDefault="00611CBA" w:rsidP="00611CBA">
      <w:pPr>
        <w:spacing w:line="360" w:lineRule="auto"/>
        <w:ind w:firstLineChars="77" w:firstLine="185"/>
        <w:contextualSpacing/>
        <w:rPr>
          <w:rFonts w:eastAsiaTheme="minorEastAsia"/>
          <w:sz w:val="24"/>
          <w:szCs w:val="22"/>
        </w:rPr>
      </w:pPr>
      <w:r w:rsidRPr="00FC1444">
        <w:rPr>
          <w:rFonts w:eastAsiaTheme="minorEastAsia"/>
          <w:sz w:val="24"/>
          <w:szCs w:val="22"/>
        </w:rPr>
        <w:t xml:space="preserve">         n</w:t>
      </w:r>
      <w:r w:rsidRPr="00FC1444">
        <w:rPr>
          <w:rFonts w:eastAsiaTheme="minorEastAsia"/>
          <w:sz w:val="24"/>
          <w:szCs w:val="22"/>
          <w:vertAlign w:val="subscript"/>
        </w:rPr>
        <w:t>e</w:t>
      </w:r>
      <w:r w:rsidRPr="00FC1444">
        <w:rPr>
          <w:rFonts w:eastAsiaTheme="minorEastAsia"/>
          <w:sz w:val="24"/>
          <w:szCs w:val="22"/>
        </w:rPr>
        <w:t>—</w:t>
      </w:r>
      <w:r w:rsidRPr="00FC1444">
        <w:rPr>
          <w:rFonts w:eastAsiaTheme="minorEastAsia"/>
          <w:sz w:val="24"/>
          <w:szCs w:val="22"/>
        </w:rPr>
        <w:t>有效孔隙度，无量纲，数据来源</w:t>
      </w:r>
      <w:r w:rsidRPr="00FC1444">
        <w:rPr>
          <w:rFonts w:eastAsiaTheme="minorEastAsia"/>
          <w:sz w:val="24"/>
          <w:szCs w:val="22"/>
        </w:rPr>
        <w:t>“</w:t>
      </w:r>
      <w:r w:rsidRPr="00FC1444">
        <w:rPr>
          <w:rFonts w:eastAsiaTheme="minorEastAsia"/>
          <w:sz w:val="24"/>
          <w:szCs w:val="22"/>
        </w:rPr>
        <w:t>《</w:t>
      </w:r>
      <w:r w:rsidR="00AE168C" w:rsidRPr="00FC1444">
        <w:rPr>
          <w:rFonts w:eastAsiaTheme="minorEastAsia"/>
          <w:sz w:val="24"/>
          <w:szCs w:val="22"/>
        </w:rPr>
        <w:t>北林区</w:t>
      </w:r>
      <w:r w:rsidR="00AE168C" w:rsidRPr="00FC1444">
        <w:rPr>
          <w:rFonts w:eastAsiaTheme="minorEastAsia"/>
          <w:sz w:val="24"/>
          <w:szCs w:val="22"/>
        </w:rPr>
        <w:t>2026</w:t>
      </w:r>
      <w:r w:rsidR="00AE168C" w:rsidRPr="00FC1444">
        <w:rPr>
          <w:rFonts w:eastAsiaTheme="minorEastAsia"/>
          <w:sz w:val="24"/>
          <w:szCs w:val="22"/>
        </w:rPr>
        <w:t>年高标准农田建设项目</w:t>
      </w:r>
      <w:r w:rsidRPr="00FC1444">
        <w:rPr>
          <w:rFonts w:eastAsiaTheme="minorEastAsia"/>
          <w:sz w:val="24"/>
          <w:szCs w:val="22"/>
        </w:rPr>
        <w:t>水资源论证报告</w:t>
      </w:r>
      <w:r w:rsidR="00DD0748" w:rsidRPr="00FC1444">
        <w:rPr>
          <w:rFonts w:eastAsiaTheme="minorEastAsia"/>
          <w:sz w:val="24"/>
          <w:szCs w:val="22"/>
        </w:rPr>
        <w:t>书</w:t>
      </w:r>
      <w:r w:rsidRPr="00FC1444">
        <w:rPr>
          <w:rFonts w:eastAsiaTheme="minorEastAsia"/>
          <w:sz w:val="24"/>
          <w:szCs w:val="22"/>
        </w:rPr>
        <w:t>》</w:t>
      </w:r>
      <w:r w:rsidRPr="00FC1444">
        <w:rPr>
          <w:rFonts w:eastAsiaTheme="minorEastAsia"/>
          <w:sz w:val="24"/>
          <w:szCs w:val="22"/>
        </w:rPr>
        <w:t>”</w:t>
      </w:r>
      <w:r w:rsidRPr="00FC1444">
        <w:rPr>
          <w:rFonts w:eastAsiaTheme="minorEastAsia"/>
          <w:sz w:val="24"/>
        </w:rPr>
        <w:t>，</w:t>
      </w:r>
      <w:r w:rsidRPr="00FC1444">
        <w:rPr>
          <w:rFonts w:eastAsiaTheme="minorEastAsia"/>
          <w:sz w:val="24"/>
          <w:szCs w:val="22"/>
        </w:rPr>
        <w:t>本项目取</w:t>
      </w:r>
      <w:r w:rsidRPr="00FC1444">
        <w:rPr>
          <w:rFonts w:eastAsiaTheme="minorEastAsia"/>
          <w:sz w:val="24"/>
          <w:szCs w:val="22"/>
        </w:rPr>
        <w:t>0.2</w:t>
      </w:r>
      <w:r w:rsidRPr="00FC1444">
        <w:rPr>
          <w:rFonts w:eastAsiaTheme="minorEastAsia"/>
          <w:sz w:val="24"/>
          <w:szCs w:val="22"/>
        </w:rPr>
        <w:t>；</w:t>
      </w:r>
    </w:p>
    <w:p w:rsidR="002A5A5E" w:rsidRPr="00FC1444" w:rsidRDefault="00611CBA" w:rsidP="00611CBA">
      <w:pPr>
        <w:spacing w:line="360" w:lineRule="auto"/>
        <w:ind w:firstLineChars="77" w:firstLine="185"/>
        <w:contextualSpacing/>
        <w:rPr>
          <w:rFonts w:eastAsiaTheme="minorEastAsia"/>
          <w:sz w:val="24"/>
          <w:szCs w:val="22"/>
        </w:rPr>
      </w:pPr>
      <w:r w:rsidRPr="00FC1444">
        <w:rPr>
          <w:rFonts w:eastAsiaTheme="minorEastAsia"/>
          <w:sz w:val="24"/>
          <w:szCs w:val="22"/>
        </w:rPr>
        <w:t xml:space="preserve">      </w:t>
      </w:r>
      <w:r w:rsidRPr="00FC1444">
        <w:rPr>
          <w:rFonts w:eastAsiaTheme="minorEastAsia"/>
          <w:sz w:val="24"/>
          <w:szCs w:val="22"/>
        </w:rPr>
        <w:t>则：较敏感区范围</w:t>
      </w:r>
      <w:r w:rsidRPr="00FC1444">
        <w:rPr>
          <w:rFonts w:eastAsiaTheme="minorEastAsia"/>
          <w:sz w:val="24"/>
          <w:szCs w:val="22"/>
        </w:rPr>
        <w:t>L=2×25×</w:t>
      </w:r>
      <w:r w:rsidR="00400760" w:rsidRPr="00FC1444">
        <w:rPr>
          <w:rFonts w:eastAsiaTheme="minorEastAsia"/>
          <w:sz w:val="24"/>
          <w:szCs w:val="22"/>
        </w:rPr>
        <w:t>0.61</w:t>
      </w:r>
      <w:r w:rsidRPr="00FC1444">
        <w:rPr>
          <w:rFonts w:eastAsiaTheme="minorEastAsia"/>
          <w:sz w:val="24"/>
          <w:lang w:val="en-GB"/>
        </w:rPr>
        <w:t>‰</w:t>
      </w:r>
      <w:r w:rsidRPr="00FC1444">
        <w:rPr>
          <w:rFonts w:eastAsiaTheme="minorEastAsia"/>
          <w:sz w:val="24"/>
          <w:szCs w:val="22"/>
        </w:rPr>
        <w:t>×6475/0.2=</w:t>
      </w:r>
      <w:r w:rsidR="000A15AD" w:rsidRPr="00FC1444">
        <w:rPr>
          <w:rFonts w:eastAsiaTheme="minorEastAsia" w:hint="eastAsia"/>
          <w:sz w:val="24"/>
          <w:szCs w:val="22"/>
        </w:rPr>
        <w:t>987</w:t>
      </w:r>
      <w:r w:rsidRPr="00FC1444">
        <w:rPr>
          <w:rFonts w:eastAsiaTheme="minorEastAsia"/>
          <w:sz w:val="24"/>
          <w:szCs w:val="22"/>
        </w:rPr>
        <w:t>m</w:t>
      </w:r>
    </w:p>
    <w:p w:rsidR="002A5A5E" w:rsidRPr="00FC1444" w:rsidRDefault="00611CBA">
      <w:pPr>
        <w:spacing w:line="360" w:lineRule="auto"/>
        <w:ind w:firstLineChars="200" w:firstLine="480"/>
        <w:contextualSpacing/>
        <w:rPr>
          <w:rFonts w:eastAsiaTheme="minorEastAsia"/>
          <w:snapToGrid w:val="0"/>
          <w:kern w:val="0"/>
          <w:sz w:val="24"/>
          <w:szCs w:val="22"/>
        </w:rPr>
      </w:pPr>
      <w:r w:rsidRPr="00FC1444">
        <w:rPr>
          <w:rFonts w:eastAsiaTheme="minorEastAsia"/>
          <w:snapToGrid w:val="0"/>
          <w:kern w:val="0"/>
          <w:sz w:val="24"/>
          <w:szCs w:val="22"/>
        </w:rPr>
        <w:t>经计算，较敏感区为</w:t>
      </w:r>
      <w:r w:rsidRPr="00FC1444">
        <w:rPr>
          <w:rFonts w:eastAsiaTheme="minorEastAsia"/>
          <w:sz w:val="24"/>
        </w:rPr>
        <w:t>集中式</w:t>
      </w:r>
      <w:r w:rsidRPr="00FC1444">
        <w:rPr>
          <w:rFonts w:eastAsiaTheme="minorEastAsia"/>
          <w:snapToGrid w:val="0"/>
          <w:kern w:val="0"/>
          <w:sz w:val="24"/>
          <w:szCs w:val="22"/>
        </w:rPr>
        <w:t>饮用水井一级保护区外</w:t>
      </w:r>
      <w:r w:rsidR="000A15AD" w:rsidRPr="00FC1444">
        <w:rPr>
          <w:rFonts w:eastAsiaTheme="minorEastAsia" w:hint="eastAsia"/>
          <w:sz w:val="24"/>
          <w:szCs w:val="22"/>
        </w:rPr>
        <w:t>987</w:t>
      </w:r>
      <w:r w:rsidRPr="00FC1444">
        <w:rPr>
          <w:rFonts w:eastAsiaTheme="minorEastAsia"/>
          <w:snapToGrid w:val="0"/>
          <w:kern w:val="0"/>
          <w:sz w:val="24"/>
          <w:szCs w:val="22"/>
        </w:rPr>
        <w:t>m</w:t>
      </w:r>
      <w:r w:rsidRPr="00FC1444">
        <w:rPr>
          <w:rFonts w:eastAsiaTheme="minorEastAsia"/>
          <w:snapToGrid w:val="0"/>
          <w:kern w:val="0"/>
          <w:sz w:val="24"/>
          <w:szCs w:val="22"/>
        </w:rPr>
        <w:t>范围，根据表</w:t>
      </w:r>
      <w:r w:rsidRPr="00FC1444">
        <w:rPr>
          <w:rFonts w:eastAsiaTheme="minorEastAsia"/>
          <w:snapToGrid w:val="0"/>
          <w:kern w:val="0"/>
          <w:sz w:val="24"/>
          <w:szCs w:val="22"/>
        </w:rPr>
        <w:t>2-6-5</w:t>
      </w:r>
      <w:r w:rsidRPr="00FC1444">
        <w:rPr>
          <w:rFonts w:eastAsiaTheme="minorEastAsia"/>
          <w:snapToGrid w:val="0"/>
          <w:kern w:val="0"/>
          <w:sz w:val="24"/>
          <w:szCs w:val="22"/>
        </w:rPr>
        <w:t>，</w:t>
      </w:r>
      <w:r w:rsidR="00995179" w:rsidRPr="00FC1444">
        <w:rPr>
          <w:rFonts w:eastAsiaTheme="minorEastAsia" w:hint="eastAsia"/>
          <w:sz w:val="24"/>
        </w:rPr>
        <w:t>胜利二村（刘海楼）</w:t>
      </w:r>
      <w:r w:rsidR="00995179" w:rsidRPr="00FC1444">
        <w:rPr>
          <w:rFonts w:eastAsiaTheme="minorEastAsia"/>
          <w:sz w:val="24"/>
        </w:rPr>
        <w:t>饮用水水源</w:t>
      </w:r>
      <w:r w:rsidR="003F7DF2" w:rsidRPr="00FC1444">
        <w:rPr>
          <w:rFonts w:eastAsiaTheme="minorEastAsia" w:hint="eastAsia"/>
          <w:sz w:val="24"/>
        </w:rPr>
        <w:t>井</w:t>
      </w:r>
      <w:r w:rsidR="00995179" w:rsidRPr="00FC1444">
        <w:rPr>
          <w:rFonts w:eastAsiaTheme="minorEastAsia"/>
          <w:sz w:val="24"/>
        </w:rPr>
        <w:t>、</w:t>
      </w:r>
      <w:r w:rsidR="00995179" w:rsidRPr="00FC1444">
        <w:rPr>
          <w:rFonts w:eastAsiaTheme="minorEastAsia" w:hint="eastAsia"/>
          <w:sz w:val="24"/>
        </w:rPr>
        <w:t>胜利二村正白二屯</w:t>
      </w:r>
      <w:r w:rsidR="00995179" w:rsidRPr="00FC1444">
        <w:rPr>
          <w:rFonts w:eastAsiaTheme="minorEastAsia"/>
          <w:sz w:val="24"/>
        </w:rPr>
        <w:t>饮用水水源</w:t>
      </w:r>
      <w:r w:rsidR="003F7DF2" w:rsidRPr="00FC1444">
        <w:rPr>
          <w:rFonts w:eastAsiaTheme="minorEastAsia" w:hint="eastAsia"/>
          <w:sz w:val="24"/>
        </w:rPr>
        <w:t>井</w:t>
      </w:r>
      <w:r w:rsidR="00995179" w:rsidRPr="00FC1444">
        <w:rPr>
          <w:rFonts w:eastAsiaTheme="minorEastAsia"/>
          <w:sz w:val="24"/>
        </w:rPr>
        <w:t>、</w:t>
      </w:r>
      <w:r w:rsidR="00995179" w:rsidRPr="00FC1444">
        <w:rPr>
          <w:rFonts w:eastAsiaTheme="minorEastAsia" w:hint="eastAsia"/>
          <w:sz w:val="24"/>
        </w:rPr>
        <w:t>津河镇</w:t>
      </w:r>
      <w:r w:rsidR="00995179" w:rsidRPr="00FC1444">
        <w:rPr>
          <w:rFonts w:eastAsiaTheme="minorEastAsia"/>
          <w:sz w:val="24"/>
        </w:rPr>
        <w:t>饮用水水源</w:t>
      </w:r>
      <w:r w:rsidR="003F7DF2" w:rsidRPr="00FC1444">
        <w:rPr>
          <w:rFonts w:eastAsiaTheme="minorEastAsia" w:hint="eastAsia"/>
          <w:sz w:val="24"/>
        </w:rPr>
        <w:t>井</w:t>
      </w:r>
      <w:r w:rsidR="00995179" w:rsidRPr="00FC1444">
        <w:rPr>
          <w:rFonts w:eastAsiaTheme="minorEastAsia"/>
          <w:sz w:val="24"/>
        </w:rPr>
        <w:t>、</w:t>
      </w:r>
      <w:r w:rsidR="00995179" w:rsidRPr="00FC1444">
        <w:rPr>
          <w:rFonts w:eastAsiaTheme="minorEastAsia" w:hint="eastAsia"/>
          <w:sz w:val="24"/>
        </w:rPr>
        <w:t>津河镇（民胜村）</w:t>
      </w:r>
      <w:r w:rsidR="00995179" w:rsidRPr="00FC1444">
        <w:rPr>
          <w:rFonts w:eastAsiaTheme="minorEastAsia"/>
          <w:sz w:val="24"/>
        </w:rPr>
        <w:t>饮用水水源</w:t>
      </w:r>
      <w:r w:rsidR="003F7DF2" w:rsidRPr="00FC1444">
        <w:rPr>
          <w:rFonts w:eastAsiaTheme="minorEastAsia" w:hint="eastAsia"/>
          <w:sz w:val="24"/>
        </w:rPr>
        <w:t>井</w:t>
      </w:r>
      <w:r w:rsidR="00995179" w:rsidRPr="00FC1444">
        <w:rPr>
          <w:rFonts w:eastAsiaTheme="minorEastAsia"/>
          <w:sz w:val="24"/>
        </w:rPr>
        <w:t>、</w:t>
      </w:r>
      <w:r w:rsidR="00995179" w:rsidRPr="00FC1444">
        <w:rPr>
          <w:rFonts w:eastAsiaTheme="minorEastAsia" w:hint="eastAsia"/>
          <w:sz w:val="24"/>
        </w:rPr>
        <w:t>津河镇（靠河村）</w:t>
      </w:r>
      <w:r w:rsidR="00995179" w:rsidRPr="00FC1444">
        <w:rPr>
          <w:rFonts w:eastAsiaTheme="minorEastAsia"/>
          <w:sz w:val="24"/>
        </w:rPr>
        <w:t>饮用水水源</w:t>
      </w:r>
      <w:r w:rsidR="003F7DF2" w:rsidRPr="00FC1444">
        <w:rPr>
          <w:rFonts w:eastAsiaTheme="minorEastAsia" w:hint="eastAsia"/>
          <w:sz w:val="24"/>
        </w:rPr>
        <w:t>井</w:t>
      </w:r>
      <w:r w:rsidRPr="00FC1444">
        <w:rPr>
          <w:rFonts w:eastAsiaTheme="minorEastAsia"/>
          <w:sz w:val="24"/>
        </w:rPr>
        <w:t>与本项目</w:t>
      </w:r>
      <w:r w:rsidR="003F7DF2" w:rsidRPr="00FC1444">
        <w:rPr>
          <w:rFonts w:eastAsiaTheme="minorEastAsia"/>
          <w:snapToGrid w:val="0"/>
          <w:kern w:val="0"/>
          <w:sz w:val="24"/>
          <w:szCs w:val="22"/>
        </w:rPr>
        <w:t>绥胜</w:t>
      </w:r>
      <w:r w:rsidR="003F7DF2" w:rsidRPr="00FC1444">
        <w:rPr>
          <w:rFonts w:eastAsiaTheme="minorEastAsia"/>
          <w:snapToGrid w:val="0"/>
          <w:kern w:val="0"/>
          <w:sz w:val="24"/>
          <w:szCs w:val="22"/>
        </w:rPr>
        <w:t>2</w:t>
      </w:r>
      <w:r w:rsidR="003F7DF2" w:rsidRPr="00FC1444">
        <w:rPr>
          <w:rFonts w:eastAsiaTheme="minorEastAsia" w:hint="eastAsia"/>
          <w:snapToGrid w:val="0"/>
          <w:kern w:val="0"/>
          <w:sz w:val="24"/>
          <w:szCs w:val="22"/>
        </w:rPr>
        <w:t>1</w:t>
      </w:r>
      <w:r w:rsidR="003F7DF2" w:rsidRPr="00FC1444">
        <w:rPr>
          <w:rFonts w:eastAsiaTheme="minorEastAsia"/>
          <w:snapToGrid w:val="0"/>
          <w:kern w:val="0"/>
          <w:sz w:val="24"/>
          <w:szCs w:val="22"/>
        </w:rPr>
        <w:t>#</w:t>
      </w:r>
      <w:r w:rsidR="003F7DF2" w:rsidRPr="00FC1444">
        <w:rPr>
          <w:rFonts w:eastAsiaTheme="minorEastAsia"/>
          <w:snapToGrid w:val="0"/>
          <w:kern w:val="0"/>
          <w:sz w:val="24"/>
          <w:szCs w:val="22"/>
        </w:rPr>
        <w:t>机电井</w:t>
      </w:r>
      <w:r w:rsidR="007A1F1B" w:rsidRPr="00FC1444">
        <w:rPr>
          <w:rFonts w:eastAsiaTheme="minorEastAsia"/>
          <w:snapToGrid w:val="0"/>
          <w:kern w:val="0"/>
          <w:sz w:val="24"/>
          <w:szCs w:val="22"/>
        </w:rPr>
        <w:t>、</w:t>
      </w:r>
      <w:r w:rsidR="003F7DF2" w:rsidRPr="00FC1444">
        <w:rPr>
          <w:rFonts w:eastAsiaTheme="minorEastAsia"/>
          <w:snapToGrid w:val="0"/>
          <w:kern w:val="0"/>
          <w:sz w:val="24"/>
          <w:szCs w:val="22"/>
        </w:rPr>
        <w:t>绥胜</w:t>
      </w:r>
      <w:r w:rsidR="003F7DF2" w:rsidRPr="00FC1444">
        <w:rPr>
          <w:rFonts w:eastAsiaTheme="minorEastAsia" w:hint="eastAsia"/>
          <w:snapToGrid w:val="0"/>
          <w:kern w:val="0"/>
          <w:sz w:val="24"/>
          <w:szCs w:val="22"/>
        </w:rPr>
        <w:t>31</w:t>
      </w:r>
      <w:r w:rsidR="003F7DF2" w:rsidRPr="00FC1444">
        <w:rPr>
          <w:rFonts w:eastAsiaTheme="minorEastAsia"/>
          <w:snapToGrid w:val="0"/>
          <w:kern w:val="0"/>
          <w:sz w:val="24"/>
          <w:szCs w:val="22"/>
        </w:rPr>
        <w:t>#</w:t>
      </w:r>
      <w:r w:rsidR="003F7DF2" w:rsidRPr="00FC1444">
        <w:rPr>
          <w:rFonts w:eastAsiaTheme="minorEastAsia"/>
          <w:snapToGrid w:val="0"/>
          <w:kern w:val="0"/>
          <w:sz w:val="24"/>
          <w:szCs w:val="22"/>
        </w:rPr>
        <w:t>机电井</w:t>
      </w:r>
      <w:r w:rsidR="007A1F1B" w:rsidRPr="00FC1444">
        <w:rPr>
          <w:rFonts w:eastAsiaTheme="minorEastAsia"/>
          <w:snapToGrid w:val="0"/>
          <w:kern w:val="0"/>
          <w:sz w:val="24"/>
          <w:szCs w:val="22"/>
        </w:rPr>
        <w:t>、</w:t>
      </w:r>
      <w:r w:rsidR="003F7DF2" w:rsidRPr="00FC1444">
        <w:rPr>
          <w:rFonts w:eastAsiaTheme="minorEastAsia"/>
          <w:snapToGrid w:val="0"/>
          <w:kern w:val="0"/>
          <w:sz w:val="24"/>
          <w:szCs w:val="22"/>
        </w:rPr>
        <w:t>津河</w:t>
      </w:r>
      <w:r w:rsidR="003F7DF2" w:rsidRPr="00FC1444">
        <w:rPr>
          <w:rFonts w:eastAsiaTheme="minorEastAsia" w:hint="eastAsia"/>
          <w:snapToGrid w:val="0"/>
          <w:kern w:val="0"/>
          <w:sz w:val="24"/>
          <w:szCs w:val="22"/>
        </w:rPr>
        <w:t>20</w:t>
      </w:r>
      <w:r w:rsidR="003F7DF2" w:rsidRPr="00FC1444">
        <w:rPr>
          <w:rFonts w:eastAsiaTheme="minorEastAsia"/>
          <w:snapToGrid w:val="0"/>
          <w:kern w:val="0"/>
          <w:sz w:val="24"/>
          <w:szCs w:val="22"/>
        </w:rPr>
        <w:t>#</w:t>
      </w:r>
      <w:r w:rsidR="003F7DF2" w:rsidRPr="00FC1444">
        <w:rPr>
          <w:rFonts w:eastAsiaTheme="minorEastAsia"/>
          <w:snapToGrid w:val="0"/>
          <w:kern w:val="0"/>
          <w:sz w:val="24"/>
          <w:szCs w:val="22"/>
        </w:rPr>
        <w:t>机电井、津河</w:t>
      </w:r>
      <w:r w:rsidR="003F7DF2" w:rsidRPr="00FC1444">
        <w:rPr>
          <w:rFonts w:eastAsiaTheme="minorEastAsia" w:hint="eastAsia"/>
          <w:snapToGrid w:val="0"/>
          <w:kern w:val="0"/>
          <w:sz w:val="24"/>
          <w:szCs w:val="22"/>
        </w:rPr>
        <w:t>72</w:t>
      </w:r>
      <w:r w:rsidR="003F7DF2" w:rsidRPr="00FC1444">
        <w:rPr>
          <w:rFonts w:eastAsiaTheme="minorEastAsia"/>
          <w:snapToGrid w:val="0"/>
          <w:kern w:val="0"/>
          <w:sz w:val="24"/>
          <w:szCs w:val="22"/>
        </w:rPr>
        <w:t>#</w:t>
      </w:r>
      <w:r w:rsidR="003F7DF2" w:rsidRPr="00FC1444">
        <w:rPr>
          <w:rFonts w:eastAsiaTheme="minorEastAsia"/>
          <w:snapToGrid w:val="0"/>
          <w:kern w:val="0"/>
          <w:sz w:val="24"/>
          <w:szCs w:val="22"/>
        </w:rPr>
        <w:t>机电井、津河</w:t>
      </w:r>
      <w:r w:rsidR="003F7DF2" w:rsidRPr="00FC1444">
        <w:rPr>
          <w:rFonts w:eastAsiaTheme="minorEastAsia" w:hint="eastAsia"/>
          <w:snapToGrid w:val="0"/>
          <w:kern w:val="0"/>
          <w:sz w:val="24"/>
          <w:szCs w:val="22"/>
        </w:rPr>
        <w:t>54</w:t>
      </w:r>
      <w:r w:rsidR="003F7DF2" w:rsidRPr="00FC1444">
        <w:rPr>
          <w:rFonts w:eastAsiaTheme="minorEastAsia"/>
          <w:snapToGrid w:val="0"/>
          <w:kern w:val="0"/>
          <w:sz w:val="24"/>
          <w:szCs w:val="22"/>
        </w:rPr>
        <w:t>#</w:t>
      </w:r>
      <w:r w:rsidR="003F7DF2" w:rsidRPr="00FC1444">
        <w:rPr>
          <w:rFonts w:eastAsiaTheme="minorEastAsia"/>
          <w:snapToGrid w:val="0"/>
          <w:kern w:val="0"/>
          <w:sz w:val="24"/>
          <w:szCs w:val="22"/>
        </w:rPr>
        <w:t>机电井</w:t>
      </w:r>
      <w:r w:rsidRPr="00FC1444">
        <w:rPr>
          <w:rFonts w:eastAsiaTheme="minorEastAsia"/>
          <w:snapToGrid w:val="0"/>
          <w:kern w:val="0"/>
          <w:sz w:val="24"/>
          <w:szCs w:val="22"/>
        </w:rPr>
        <w:t>工程</w:t>
      </w:r>
      <w:r w:rsidRPr="00FC1444">
        <w:rPr>
          <w:rFonts w:eastAsiaTheme="minorEastAsia"/>
          <w:sz w:val="24"/>
        </w:rPr>
        <w:t>距离小</w:t>
      </w:r>
      <w:r w:rsidRPr="00FC1444">
        <w:rPr>
          <w:rFonts w:eastAsiaTheme="minorEastAsia"/>
          <w:snapToGrid w:val="0"/>
          <w:kern w:val="0"/>
          <w:sz w:val="24"/>
          <w:szCs w:val="22"/>
        </w:rPr>
        <w:t>于</w:t>
      </w:r>
      <w:r w:rsidR="00995179" w:rsidRPr="00FC1444">
        <w:rPr>
          <w:rFonts w:eastAsiaTheme="minorEastAsia" w:hint="eastAsia"/>
          <w:snapToGrid w:val="0"/>
          <w:kern w:val="0"/>
          <w:sz w:val="24"/>
          <w:szCs w:val="22"/>
        </w:rPr>
        <w:t>987</w:t>
      </w:r>
      <w:r w:rsidRPr="00FC1444">
        <w:rPr>
          <w:rFonts w:eastAsiaTheme="minorEastAsia"/>
          <w:snapToGrid w:val="0"/>
          <w:kern w:val="0"/>
          <w:sz w:val="24"/>
          <w:szCs w:val="22"/>
        </w:rPr>
        <w:t>m</w:t>
      </w:r>
      <w:r w:rsidRPr="00FC1444">
        <w:rPr>
          <w:rFonts w:eastAsiaTheme="minorEastAsia"/>
          <w:snapToGrid w:val="0"/>
          <w:kern w:val="0"/>
          <w:sz w:val="24"/>
          <w:szCs w:val="22"/>
        </w:rPr>
        <w:t>，</w:t>
      </w:r>
      <w:r w:rsidRPr="00FC1444">
        <w:rPr>
          <w:rFonts w:eastAsiaTheme="minorEastAsia"/>
          <w:sz w:val="24"/>
        </w:rPr>
        <w:t>属于在未划定准保护区的集中式饮用水水源，其保护区以外的补给径流区，</w:t>
      </w:r>
      <w:r w:rsidRPr="00FC1444">
        <w:rPr>
          <w:rFonts w:eastAsiaTheme="minorEastAsia"/>
          <w:snapToGrid w:val="0"/>
          <w:kern w:val="0"/>
          <w:sz w:val="24"/>
          <w:szCs w:val="22"/>
        </w:rPr>
        <w:t>以此为判定依据评价区域为较敏感。</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根据《环境影响评价技术导则</w:t>
      </w:r>
      <w:r w:rsidR="007A1F1B" w:rsidRPr="00FC1444">
        <w:rPr>
          <w:rFonts w:eastAsiaTheme="minorEastAsia"/>
          <w:sz w:val="24"/>
        </w:rPr>
        <w:t xml:space="preserve"> </w:t>
      </w:r>
      <w:r w:rsidRPr="00FC1444">
        <w:rPr>
          <w:rFonts w:eastAsiaTheme="minorEastAsia"/>
          <w:sz w:val="24"/>
        </w:rPr>
        <w:t>地下水环境》（</w:t>
      </w:r>
      <w:r w:rsidRPr="00FC1444">
        <w:rPr>
          <w:rFonts w:eastAsiaTheme="minorEastAsia"/>
          <w:sz w:val="24"/>
        </w:rPr>
        <w:t>HJ610-2016</w:t>
      </w:r>
      <w:r w:rsidRPr="00FC1444">
        <w:rPr>
          <w:rFonts w:eastAsiaTheme="minorEastAsia"/>
          <w:sz w:val="24"/>
        </w:rPr>
        <w:t>），建设项目地下水环境影响评价工作等级划分见表</w:t>
      </w:r>
      <w:r w:rsidRPr="00FC1444">
        <w:rPr>
          <w:rFonts w:eastAsiaTheme="minorEastAsia"/>
          <w:sz w:val="24"/>
        </w:rPr>
        <w:t>2-6-5</w:t>
      </w:r>
      <w:r w:rsidRPr="00FC1444">
        <w:rPr>
          <w:rFonts w:eastAsiaTheme="minorEastAsia"/>
          <w:sz w:val="24"/>
        </w:rPr>
        <w:t>。</w:t>
      </w:r>
    </w:p>
    <w:p w:rsidR="002A5A5E" w:rsidRPr="00FC1444" w:rsidRDefault="00611CBA">
      <w:pPr>
        <w:adjustRightInd w:val="0"/>
        <w:snapToGrid w:val="0"/>
        <w:ind w:firstLineChars="200" w:firstLine="422"/>
        <w:jc w:val="center"/>
        <w:rPr>
          <w:rFonts w:eastAsiaTheme="minorEastAsia"/>
          <w:b/>
          <w:bCs/>
          <w:kern w:val="0"/>
          <w:szCs w:val="21"/>
        </w:rPr>
      </w:pPr>
      <w:r w:rsidRPr="00FC1444">
        <w:rPr>
          <w:rFonts w:eastAsiaTheme="minorEastAsia"/>
          <w:b/>
          <w:bCs/>
          <w:kern w:val="0"/>
          <w:szCs w:val="21"/>
        </w:rPr>
        <w:lastRenderedPageBreak/>
        <w:t>表</w:t>
      </w:r>
      <w:r w:rsidRPr="00FC1444">
        <w:rPr>
          <w:rFonts w:eastAsiaTheme="minorEastAsia"/>
          <w:b/>
          <w:bCs/>
          <w:kern w:val="0"/>
          <w:szCs w:val="21"/>
        </w:rPr>
        <w:t>2-6-5</w:t>
      </w:r>
      <w:r w:rsidRPr="00FC1444">
        <w:rPr>
          <w:rFonts w:eastAsiaTheme="minorEastAsia"/>
          <w:b/>
          <w:bCs/>
          <w:kern w:val="0"/>
          <w:szCs w:val="21"/>
        </w:rPr>
        <w:t>地下水环境影响评价工作等级表</w:t>
      </w:r>
    </w:p>
    <w:tbl>
      <w:tblPr>
        <w:tblW w:w="0" w:type="auto"/>
        <w:jc w:val="center"/>
        <w:tblBorders>
          <w:top w:val="single" w:sz="4" w:space="0" w:color="000000"/>
          <w:bottom w:val="single" w:sz="4" w:space="0" w:color="000000"/>
          <w:insideH w:val="single" w:sz="4" w:space="0" w:color="000000"/>
          <w:insideV w:val="single" w:sz="4" w:space="0" w:color="000000"/>
        </w:tblBorders>
        <w:tblLook w:val="04A0"/>
      </w:tblPr>
      <w:tblGrid>
        <w:gridCol w:w="2799"/>
        <w:gridCol w:w="1622"/>
        <w:gridCol w:w="1682"/>
        <w:gridCol w:w="2419"/>
      </w:tblGrid>
      <w:tr w:rsidR="002A5A5E" w:rsidRPr="00FC1444">
        <w:trPr>
          <w:trHeight w:val="732"/>
          <w:jc w:val="center"/>
        </w:trPr>
        <w:tc>
          <w:tcPr>
            <w:tcW w:w="2830" w:type="dxa"/>
            <w:tcBorders>
              <w:top w:val="single" w:sz="12" w:space="0" w:color="000000"/>
              <w:left w:val="nil"/>
              <w:bottom w:val="single" w:sz="4" w:space="0" w:color="000000"/>
              <w:right w:val="single" w:sz="4" w:space="0" w:color="000000"/>
            </w:tcBorders>
            <w:vAlign w:val="center"/>
          </w:tcPr>
          <w:p w:rsidR="002A5A5E" w:rsidRPr="00FC1444" w:rsidRDefault="009840DD">
            <w:pPr>
              <w:jc w:val="center"/>
              <w:rPr>
                <w:rFonts w:eastAsiaTheme="minorEastAsia"/>
                <w:kern w:val="0"/>
                <w:szCs w:val="21"/>
              </w:rPr>
            </w:pPr>
            <w:r w:rsidRPr="00FC1444">
              <w:rPr>
                <w:rFonts w:eastAsiaTheme="minorEastAsia"/>
                <w:kern w:val="0"/>
                <w:szCs w:val="21"/>
              </w:rPr>
              <w:pict>
                <v:shapetype id="_x0000_t32" coordsize="21600,21600" o:spt="32" o:oned="t" path="m,l21600,21600e" filled="f">
                  <v:path arrowok="t" fillok="f" o:connecttype="none"/>
                  <o:lock v:ext="edit" shapetype="t"/>
                </v:shapetype>
                <v:shape id="_x0000_s1485" type="#_x0000_t32" style="position:absolute;left:0;text-align:left;margin-left:-4.25pt;margin-top:-.6pt;width:129.35pt;height:34.5pt;z-index:251659264" o:connectortype="straight"/>
              </w:pict>
            </w:r>
            <w:r w:rsidR="00611CBA" w:rsidRPr="00FC1444">
              <w:rPr>
                <w:rFonts w:eastAsiaTheme="minorEastAsia"/>
                <w:kern w:val="0"/>
                <w:szCs w:val="21"/>
              </w:rPr>
              <w:t xml:space="preserve">          </w:t>
            </w:r>
            <w:r w:rsidR="00611CBA" w:rsidRPr="00FC1444">
              <w:rPr>
                <w:rFonts w:eastAsiaTheme="minorEastAsia"/>
                <w:kern w:val="0"/>
                <w:szCs w:val="21"/>
              </w:rPr>
              <w:t>项目类别</w:t>
            </w:r>
          </w:p>
          <w:p w:rsidR="002A5A5E" w:rsidRPr="00FC1444" w:rsidRDefault="00611CBA">
            <w:pPr>
              <w:rPr>
                <w:rFonts w:eastAsiaTheme="minorEastAsia"/>
                <w:szCs w:val="21"/>
              </w:rPr>
            </w:pPr>
            <w:r w:rsidRPr="00FC1444">
              <w:rPr>
                <w:rFonts w:eastAsiaTheme="minorEastAsia"/>
                <w:kern w:val="0"/>
                <w:szCs w:val="21"/>
              </w:rPr>
              <w:t>环境敏感程度</w:t>
            </w:r>
          </w:p>
        </w:tc>
        <w:tc>
          <w:tcPr>
            <w:tcW w:w="1638" w:type="dxa"/>
            <w:tcBorders>
              <w:top w:val="single" w:sz="12" w:space="0" w:color="000000"/>
              <w:left w:val="single" w:sz="4" w:space="0" w:color="000000"/>
              <w:bottom w:val="single" w:sz="4" w:space="0" w:color="000000"/>
              <w:right w:val="single" w:sz="4" w:space="0" w:color="000000"/>
            </w:tcBorders>
            <w:vAlign w:val="center"/>
          </w:tcPr>
          <w:p w:rsidR="002A5A5E" w:rsidRPr="00FC1444" w:rsidRDefault="00611CBA">
            <w:pPr>
              <w:jc w:val="center"/>
              <w:rPr>
                <w:rFonts w:eastAsiaTheme="minorEastAsia"/>
                <w:szCs w:val="21"/>
              </w:rPr>
            </w:pPr>
            <w:r w:rsidRPr="00FC1444">
              <w:rPr>
                <w:rFonts w:eastAsiaTheme="minorEastAsia"/>
                <w:kern w:val="0"/>
                <w:szCs w:val="21"/>
              </w:rPr>
              <w:t>Ⅰ</w:t>
            </w:r>
            <w:r w:rsidRPr="00FC1444">
              <w:rPr>
                <w:rFonts w:eastAsiaTheme="minorEastAsia"/>
                <w:kern w:val="0"/>
                <w:szCs w:val="21"/>
              </w:rPr>
              <w:t>类项目</w:t>
            </w:r>
          </w:p>
        </w:tc>
        <w:tc>
          <w:tcPr>
            <w:tcW w:w="1699" w:type="dxa"/>
            <w:tcBorders>
              <w:top w:val="single" w:sz="12" w:space="0" w:color="000000"/>
              <w:left w:val="single" w:sz="4" w:space="0" w:color="000000"/>
              <w:bottom w:val="single" w:sz="4" w:space="0" w:color="000000"/>
              <w:right w:val="single" w:sz="4" w:space="0" w:color="000000"/>
            </w:tcBorders>
            <w:vAlign w:val="center"/>
          </w:tcPr>
          <w:p w:rsidR="002A5A5E" w:rsidRPr="00FC1444" w:rsidRDefault="00611CBA">
            <w:pPr>
              <w:jc w:val="center"/>
              <w:rPr>
                <w:rFonts w:eastAsiaTheme="minorEastAsia"/>
                <w:szCs w:val="21"/>
              </w:rPr>
            </w:pPr>
            <w:r w:rsidRPr="00FC1444">
              <w:rPr>
                <w:rFonts w:eastAsiaTheme="minorEastAsia"/>
                <w:kern w:val="0"/>
                <w:szCs w:val="21"/>
              </w:rPr>
              <w:t>Ⅱ</w:t>
            </w:r>
            <w:r w:rsidRPr="00FC1444">
              <w:rPr>
                <w:rFonts w:eastAsiaTheme="minorEastAsia"/>
                <w:kern w:val="0"/>
                <w:szCs w:val="21"/>
              </w:rPr>
              <w:t>类项目</w:t>
            </w:r>
          </w:p>
        </w:tc>
        <w:tc>
          <w:tcPr>
            <w:tcW w:w="2445" w:type="dxa"/>
            <w:tcBorders>
              <w:top w:val="single" w:sz="12" w:space="0" w:color="000000"/>
              <w:left w:val="single" w:sz="4" w:space="0" w:color="000000"/>
              <w:bottom w:val="single" w:sz="4" w:space="0" w:color="000000"/>
              <w:right w:val="nil"/>
            </w:tcBorders>
            <w:vAlign w:val="center"/>
          </w:tcPr>
          <w:p w:rsidR="002A5A5E" w:rsidRPr="00FC1444" w:rsidRDefault="00611CBA">
            <w:pPr>
              <w:jc w:val="center"/>
              <w:rPr>
                <w:rFonts w:eastAsiaTheme="minorEastAsia"/>
                <w:b/>
                <w:szCs w:val="21"/>
              </w:rPr>
            </w:pPr>
            <w:r w:rsidRPr="00FC1444">
              <w:rPr>
                <w:rFonts w:eastAsiaTheme="minorEastAsia"/>
                <w:b/>
                <w:kern w:val="0"/>
                <w:szCs w:val="21"/>
              </w:rPr>
              <w:t>Ⅲ</w:t>
            </w:r>
            <w:r w:rsidRPr="00FC1444">
              <w:rPr>
                <w:rFonts w:eastAsiaTheme="minorEastAsia"/>
                <w:b/>
                <w:kern w:val="0"/>
                <w:szCs w:val="21"/>
              </w:rPr>
              <w:t>类项目</w:t>
            </w:r>
          </w:p>
        </w:tc>
      </w:tr>
      <w:tr w:rsidR="002A5A5E" w:rsidRPr="00FC1444">
        <w:trPr>
          <w:trHeight w:val="276"/>
          <w:jc w:val="center"/>
        </w:trPr>
        <w:tc>
          <w:tcPr>
            <w:tcW w:w="2830" w:type="dxa"/>
            <w:tcBorders>
              <w:top w:val="single" w:sz="4" w:space="0" w:color="000000"/>
              <w:left w:val="nil"/>
              <w:bottom w:val="single" w:sz="4" w:space="0" w:color="000000"/>
              <w:right w:val="single" w:sz="4" w:space="0" w:color="000000"/>
            </w:tcBorders>
            <w:vAlign w:val="center"/>
          </w:tcPr>
          <w:p w:rsidR="002A5A5E" w:rsidRPr="00FC1444" w:rsidRDefault="00611CBA">
            <w:pPr>
              <w:jc w:val="center"/>
              <w:rPr>
                <w:rFonts w:eastAsiaTheme="minorEastAsia"/>
                <w:szCs w:val="21"/>
              </w:rPr>
            </w:pPr>
            <w:r w:rsidRPr="00FC1444">
              <w:rPr>
                <w:rFonts w:eastAsiaTheme="minorEastAsia"/>
                <w:kern w:val="0"/>
                <w:szCs w:val="21"/>
              </w:rPr>
              <w:t>敏感</w:t>
            </w:r>
          </w:p>
        </w:tc>
        <w:tc>
          <w:tcPr>
            <w:tcW w:w="163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jc w:val="center"/>
              <w:rPr>
                <w:rFonts w:eastAsiaTheme="minorEastAsia"/>
                <w:szCs w:val="21"/>
              </w:rPr>
            </w:pPr>
            <w:r w:rsidRPr="00FC1444">
              <w:rPr>
                <w:rFonts w:eastAsiaTheme="minorEastAsia"/>
                <w:kern w:val="0"/>
                <w:szCs w:val="21"/>
              </w:rPr>
              <w:t>一</w:t>
            </w:r>
          </w:p>
        </w:tc>
        <w:tc>
          <w:tcPr>
            <w:tcW w:w="1699"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jc w:val="center"/>
              <w:rPr>
                <w:rFonts w:eastAsiaTheme="minorEastAsia"/>
                <w:szCs w:val="21"/>
              </w:rPr>
            </w:pPr>
            <w:r w:rsidRPr="00FC1444">
              <w:rPr>
                <w:rFonts w:eastAsiaTheme="minorEastAsia"/>
                <w:kern w:val="0"/>
                <w:szCs w:val="21"/>
              </w:rPr>
              <w:t>一</w:t>
            </w:r>
          </w:p>
        </w:tc>
        <w:tc>
          <w:tcPr>
            <w:tcW w:w="2445" w:type="dxa"/>
            <w:tcBorders>
              <w:top w:val="single" w:sz="4" w:space="0" w:color="000000"/>
              <w:left w:val="single" w:sz="4" w:space="0" w:color="000000"/>
              <w:bottom w:val="single" w:sz="4" w:space="0" w:color="000000"/>
              <w:right w:val="nil"/>
            </w:tcBorders>
            <w:vAlign w:val="center"/>
          </w:tcPr>
          <w:p w:rsidR="002A5A5E" w:rsidRPr="00FC1444" w:rsidRDefault="00611CBA">
            <w:pPr>
              <w:jc w:val="center"/>
              <w:rPr>
                <w:rFonts w:eastAsiaTheme="minorEastAsia"/>
                <w:szCs w:val="21"/>
              </w:rPr>
            </w:pPr>
            <w:r w:rsidRPr="00FC1444">
              <w:rPr>
                <w:rFonts w:eastAsiaTheme="minorEastAsia"/>
                <w:kern w:val="0"/>
                <w:szCs w:val="21"/>
              </w:rPr>
              <w:t>二</w:t>
            </w:r>
          </w:p>
        </w:tc>
      </w:tr>
      <w:tr w:rsidR="002A5A5E" w:rsidRPr="00FC1444">
        <w:trPr>
          <w:trHeight w:val="276"/>
          <w:jc w:val="center"/>
        </w:trPr>
        <w:tc>
          <w:tcPr>
            <w:tcW w:w="2830" w:type="dxa"/>
            <w:tcBorders>
              <w:top w:val="single" w:sz="4" w:space="0" w:color="000000"/>
              <w:left w:val="nil"/>
              <w:bottom w:val="single" w:sz="4" w:space="0" w:color="000000"/>
              <w:right w:val="single" w:sz="4" w:space="0" w:color="000000"/>
            </w:tcBorders>
            <w:vAlign w:val="center"/>
          </w:tcPr>
          <w:p w:rsidR="002A5A5E" w:rsidRPr="00FC1444" w:rsidRDefault="00611CBA">
            <w:pPr>
              <w:jc w:val="center"/>
              <w:rPr>
                <w:rFonts w:eastAsiaTheme="minorEastAsia"/>
                <w:b/>
                <w:szCs w:val="21"/>
              </w:rPr>
            </w:pPr>
            <w:r w:rsidRPr="00FC1444">
              <w:rPr>
                <w:rFonts w:eastAsiaTheme="minorEastAsia"/>
                <w:b/>
                <w:kern w:val="0"/>
                <w:szCs w:val="21"/>
              </w:rPr>
              <w:t>较敏感</w:t>
            </w:r>
          </w:p>
        </w:tc>
        <w:tc>
          <w:tcPr>
            <w:tcW w:w="163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jc w:val="center"/>
              <w:rPr>
                <w:rFonts w:eastAsiaTheme="minorEastAsia"/>
                <w:szCs w:val="21"/>
              </w:rPr>
            </w:pPr>
            <w:r w:rsidRPr="00FC1444">
              <w:rPr>
                <w:rFonts w:eastAsiaTheme="minorEastAsia"/>
                <w:kern w:val="0"/>
                <w:szCs w:val="21"/>
              </w:rPr>
              <w:t>一</w:t>
            </w:r>
          </w:p>
        </w:tc>
        <w:tc>
          <w:tcPr>
            <w:tcW w:w="1699"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jc w:val="center"/>
              <w:rPr>
                <w:rFonts w:eastAsiaTheme="minorEastAsia"/>
                <w:szCs w:val="21"/>
              </w:rPr>
            </w:pPr>
            <w:r w:rsidRPr="00FC1444">
              <w:rPr>
                <w:rFonts w:eastAsiaTheme="minorEastAsia"/>
                <w:kern w:val="0"/>
                <w:szCs w:val="21"/>
              </w:rPr>
              <w:t>二</w:t>
            </w:r>
          </w:p>
        </w:tc>
        <w:tc>
          <w:tcPr>
            <w:tcW w:w="2445" w:type="dxa"/>
            <w:tcBorders>
              <w:top w:val="single" w:sz="4" w:space="0" w:color="000000"/>
              <w:left w:val="single" w:sz="4" w:space="0" w:color="000000"/>
              <w:bottom w:val="single" w:sz="4" w:space="0" w:color="000000"/>
              <w:right w:val="nil"/>
            </w:tcBorders>
            <w:vAlign w:val="center"/>
          </w:tcPr>
          <w:p w:rsidR="002A5A5E" w:rsidRPr="00FC1444" w:rsidRDefault="00611CBA">
            <w:pPr>
              <w:jc w:val="center"/>
              <w:rPr>
                <w:rFonts w:eastAsiaTheme="minorEastAsia"/>
                <w:b/>
                <w:szCs w:val="21"/>
              </w:rPr>
            </w:pPr>
            <w:r w:rsidRPr="00FC1444">
              <w:rPr>
                <w:rFonts w:eastAsiaTheme="minorEastAsia"/>
                <w:b/>
                <w:kern w:val="0"/>
                <w:szCs w:val="21"/>
              </w:rPr>
              <w:t>三</w:t>
            </w:r>
          </w:p>
        </w:tc>
      </w:tr>
      <w:tr w:rsidR="002A5A5E" w:rsidRPr="00FC1444">
        <w:trPr>
          <w:trHeight w:val="276"/>
          <w:jc w:val="center"/>
        </w:trPr>
        <w:tc>
          <w:tcPr>
            <w:tcW w:w="2830" w:type="dxa"/>
            <w:tcBorders>
              <w:top w:val="single" w:sz="4" w:space="0" w:color="000000"/>
              <w:left w:val="nil"/>
              <w:bottom w:val="single" w:sz="12" w:space="0" w:color="000000"/>
              <w:right w:val="single" w:sz="4" w:space="0" w:color="000000"/>
            </w:tcBorders>
            <w:vAlign w:val="center"/>
          </w:tcPr>
          <w:p w:rsidR="002A5A5E" w:rsidRPr="00FC1444" w:rsidRDefault="00611CBA">
            <w:pPr>
              <w:jc w:val="center"/>
              <w:rPr>
                <w:rFonts w:eastAsiaTheme="minorEastAsia"/>
                <w:szCs w:val="21"/>
              </w:rPr>
            </w:pPr>
            <w:r w:rsidRPr="00FC1444">
              <w:rPr>
                <w:rFonts w:eastAsiaTheme="minorEastAsia"/>
                <w:kern w:val="0"/>
                <w:szCs w:val="21"/>
              </w:rPr>
              <w:t>不敏感</w:t>
            </w:r>
          </w:p>
        </w:tc>
        <w:tc>
          <w:tcPr>
            <w:tcW w:w="1638" w:type="dxa"/>
            <w:tcBorders>
              <w:top w:val="single" w:sz="4" w:space="0" w:color="000000"/>
              <w:left w:val="single" w:sz="4" w:space="0" w:color="000000"/>
              <w:bottom w:val="single" w:sz="12" w:space="0" w:color="000000"/>
              <w:right w:val="single" w:sz="4" w:space="0" w:color="000000"/>
            </w:tcBorders>
            <w:vAlign w:val="center"/>
          </w:tcPr>
          <w:p w:rsidR="002A5A5E" w:rsidRPr="00FC1444" w:rsidRDefault="00611CBA">
            <w:pPr>
              <w:jc w:val="center"/>
              <w:rPr>
                <w:rFonts w:eastAsiaTheme="minorEastAsia"/>
                <w:szCs w:val="21"/>
              </w:rPr>
            </w:pPr>
            <w:r w:rsidRPr="00FC1444">
              <w:rPr>
                <w:rFonts w:eastAsiaTheme="minorEastAsia"/>
                <w:kern w:val="0"/>
                <w:szCs w:val="21"/>
              </w:rPr>
              <w:t>二</w:t>
            </w:r>
          </w:p>
        </w:tc>
        <w:tc>
          <w:tcPr>
            <w:tcW w:w="1699" w:type="dxa"/>
            <w:tcBorders>
              <w:top w:val="single" w:sz="4" w:space="0" w:color="000000"/>
              <w:left w:val="single" w:sz="4" w:space="0" w:color="000000"/>
              <w:bottom w:val="single" w:sz="12" w:space="0" w:color="000000"/>
              <w:right w:val="single" w:sz="4" w:space="0" w:color="000000"/>
            </w:tcBorders>
            <w:vAlign w:val="center"/>
          </w:tcPr>
          <w:p w:rsidR="002A5A5E" w:rsidRPr="00FC1444" w:rsidRDefault="00611CBA">
            <w:pPr>
              <w:jc w:val="center"/>
              <w:rPr>
                <w:rFonts w:eastAsiaTheme="minorEastAsia"/>
                <w:szCs w:val="21"/>
              </w:rPr>
            </w:pPr>
            <w:r w:rsidRPr="00FC1444">
              <w:rPr>
                <w:rFonts w:eastAsiaTheme="minorEastAsia"/>
                <w:kern w:val="0"/>
                <w:szCs w:val="21"/>
              </w:rPr>
              <w:t>三</w:t>
            </w:r>
          </w:p>
        </w:tc>
        <w:tc>
          <w:tcPr>
            <w:tcW w:w="2445" w:type="dxa"/>
            <w:tcBorders>
              <w:top w:val="single" w:sz="4" w:space="0" w:color="000000"/>
              <w:left w:val="single" w:sz="4" w:space="0" w:color="000000"/>
              <w:bottom w:val="single" w:sz="12" w:space="0" w:color="000000"/>
              <w:right w:val="nil"/>
            </w:tcBorders>
            <w:vAlign w:val="center"/>
          </w:tcPr>
          <w:p w:rsidR="002A5A5E" w:rsidRPr="00FC1444" w:rsidRDefault="00611CBA">
            <w:pPr>
              <w:jc w:val="center"/>
              <w:rPr>
                <w:rFonts w:eastAsiaTheme="minorEastAsia"/>
                <w:b/>
                <w:szCs w:val="21"/>
              </w:rPr>
            </w:pPr>
            <w:r w:rsidRPr="00FC1444">
              <w:rPr>
                <w:rFonts w:eastAsiaTheme="minorEastAsia"/>
                <w:b/>
                <w:kern w:val="0"/>
                <w:szCs w:val="21"/>
              </w:rPr>
              <w:t>三</w:t>
            </w:r>
          </w:p>
        </w:tc>
      </w:tr>
    </w:tbl>
    <w:p w:rsidR="002A5A5E" w:rsidRPr="00FC1444" w:rsidRDefault="00611CBA">
      <w:pPr>
        <w:widowControl/>
        <w:spacing w:line="360" w:lineRule="auto"/>
        <w:ind w:firstLineChars="200" w:firstLine="480"/>
        <w:contextualSpacing/>
        <w:rPr>
          <w:rFonts w:eastAsiaTheme="minorEastAsia"/>
          <w:kern w:val="0"/>
          <w:sz w:val="24"/>
        </w:rPr>
      </w:pPr>
      <w:r w:rsidRPr="00FC1444">
        <w:rPr>
          <w:rFonts w:eastAsiaTheme="minorEastAsia"/>
          <w:kern w:val="0"/>
          <w:sz w:val="24"/>
        </w:rPr>
        <w:t>综上分析，本项目属于地下水环境影响评价分类的</w:t>
      </w:r>
      <w:r w:rsidRPr="00FC1444">
        <w:rPr>
          <w:rFonts w:eastAsiaTheme="minorEastAsia"/>
          <w:kern w:val="0"/>
          <w:sz w:val="24"/>
        </w:rPr>
        <w:t>Ⅲ</w:t>
      </w:r>
      <w:r w:rsidRPr="00FC1444">
        <w:rPr>
          <w:rFonts w:eastAsiaTheme="minorEastAsia"/>
          <w:kern w:val="0"/>
          <w:sz w:val="24"/>
        </w:rPr>
        <w:t>类项目，地下水环境敏感程度为较敏感，因此评价工作等级确定为三级。</w:t>
      </w:r>
    </w:p>
    <w:p w:rsidR="002A5A5E" w:rsidRPr="00FC1444" w:rsidRDefault="00611CBA">
      <w:pPr>
        <w:pStyle w:val="30"/>
        <w:spacing w:before="100" w:beforeAutospacing="1" w:after="100" w:afterAutospacing="1" w:line="240" w:lineRule="auto"/>
        <w:ind w:firstLineChars="0" w:firstLine="0"/>
        <w:contextualSpacing/>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2.</w:t>
      </w:r>
      <w:bookmarkStart w:id="48" w:name="_Toc88900496"/>
      <w:bookmarkStart w:id="49" w:name="_Toc88968913"/>
      <w:bookmarkStart w:id="50" w:name="_Toc89231866"/>
      <w:bookmarkStart w:id="51" w:name="_Toc88969056"/>
      <w:r w:rsidRPr="00FC1444">
        <w:rPr>
          <w:rFonts w:ascii="Times New Roman" w:eastAsiaTheme="minorEastAsia" w:hAnsi="Times New Roman" w:cs="Times New Roman"/>
          <w:b/>
          <w:sz w:val="28"/>
          <w:szCs w:val="28"/>
        </w:rPr>
        <w:t>6.4</w:t>
      </w:r>
      <w:r w:rsidRPr="00FC1444">
        <w:rPr>
          <w:rFonts w:ascii="Times New Roman" w:eastAsiaTheme="minorEastAsia" w:hAnsi="Times New Roman" w:cs="Times New Roman"/>
          <w:b/>
          <w:sz w:val="28"/>
          <w:szCs w:val="28"/>
        </w:rPr>
        <w:t>声环境</w:t>
      </w:r>
      <w:bookmarkEnd w:id="48"/>
      <w:bookmarkEnd w:id="49"/>
      <w:bookmarkEnd w:id="50"/>
      <w:bookmarkEnd w:id="51"/>
      <w:r w:rsidRPr="00FC1444">
        <w:rPr>
          <w:rFonts w:ascii="Times New Roman" w:eastAsiaTheme="minorEastAsia" w:hAnsi="Times New Roman" w:cs="Times New Roman"/>
          <w:b/>
          <w:sz w:val="28"/>
          <w:szCs w:val="28"/>
        </w:rPr>
        <w:t>评价工作等级</w:t>
      </w:r>
    </w:p>
    <w:p w:rsidR="002A5A5E" w:rsidRPr="00FC1444" w:rsidRDefault="00611CBA">
      <w:pPr>
        <w:pStyle w:val="00"/>
        <w:rPr>
          <w:rFonts w:hAnsi="Times New Roman"/>
          <w:color w:val="auto"/>
        </w:rPr>
      </w:pPr>
      <w:r w:rsidRPr="00FC1444">
        <w:rPr>
          <w:rFonts w:hAnsi="Times New Roman"/>
          <w:color w:val="auto"/>
        </w:rPr>
        <w:t>本项目所在功能区属于噪声功能区划的</w:t>
      </w:r>
      <w:r w:rsidRPr="00FC1444">
        <w:rPr>
          <w:rFonts w:hAnsi="Times New Roman"/>
          <w:color w:val="auto"/>
        </w:rPr>
        <w:t>1</w:t>
      </w:r>
      <w:r w:rsidRPr="00FC1444">
        <w:rPr>
          <w:rFonts w:hAnsi="Times New Roman"/>
          <w:color w:val="auto"/>
        </w:rPr>
        <w:t>类区及</w:t>
      </w:r>
      <w:r w:rsidR="00AB2801" w:rsidRPr="00FC1444">
        <w:rPr>
          <w:rFonts w:hAnsi="Times New Roman"/>
          <w:color w:val="auto"/>
        </w:rPr>
        <w:t>2</w:t>
      </w:r>
      <w:r w:rsidRPr="00FC1444">
        <w:rPr>
          <w:rFonts w:hAnsi="Times New Roman"/>
          <w:color w:val="auto"/>
        </w:rPr>
        <w:t>类区，经预测，</w:t>
      </w:r>
      <w:r w:rsidRPr="00FC1444">
        <w:rPr>
          <w:rFonts w:hAnsi="Times New Roman"/>
          <w:color w:val="auto"/>
          <w:lang w:val="en-GB"/>
        </w:rPr>
        <w:t>项目建设前后声环境保护目标噪声级最大增加量为</w:t>
      </w:r>
      <w:r w:rsidR="00A83215" w:rsidRPr="00FC1444">
        <w:rPr>
          <w:rFonts w:hAnsi="Times New Roman" w:hint="eastAsia"/>
          <w:color w:val="auto"/>
          <w:lang w:val="en-GB"/>
        </w:rPr>
        <w:t>0</w:t>
      </w:r>
      <w:r w:rsidRPr="00FC1444">
        <w:rPr>
          <w:rFonts w:hAnsi="Times New Roman"/>
          <w:color w:val="auto"/>
        </w:rPr>
        <w:t>dB(A)</w:t>
      </w:r>
      <w:r w:rsidRPr="00FC1444">
        <w:rPr>
          <w:rFonts w:hAnsi="Times New Roman"/>
          <w:color w:val="auto"/>
          <w:lang w:val="en-GB"/>
        </w:rPr>
        <w:t>，且受影响的人口变化不大，因此，</w:t>
      </w:r>
      <w:r w:rsidRPr="00FC1444">
        <w:rPr>
          <w:rFonts w:hAnsi="Times New Roman"/>
          <w:color w:val="auto"/>
        </w:rPr>
        <w:t>根据《环境影响评价技术导则</w:t>
      </w:r>
      <w:r w:rsidRPr="00FC1444">
        <w:rPr>
          <w:rFonts w:hAnsi="Times New Roman"/>
          <w:color w:val="auto"/>
        </w:rPr>
        <w:t xml:space="preserve"> </w:t>
      </w:r>
      <w:r w:rsidRPr="00FC1444">
        <w:rPr>
          <w:rFonts w:hAnsi="Times New Roman"/>
          <w:color w:val="auto"/>
        </w:rPr>
        <w:t>声环境》（</w:t>
      </w:r>
      <w:r w:rsidRPr="00FC1444">
        <w:rPr>
          <w:rFonts w:hAnsi="Times New Roman"/>
          <w:color w:val="auto"/>
        </w:rPr>
        <w:t>HJ2.4—2021</w:t>
      </w:r>
      <w:r w:rsidRPr="00FC1444">
        <w:rPr>
          <w:rFonts w:hAnsi="Times New Roman"/>
          <w:color w:val="auto"/>
        </w:rPr>
        <w:t>）中评价等级划分相关依据，本项目声环境评价判定为二级。</w:t>
      </w:r>
    </w:p>
    <w:p w:rsidR="002A5A5E" w:rsidRPr="00FC1444" w:rsidRDefault="00611CBA">
      <w:pPr>
        <w:pStyle w:val="30"/>
        <w:spacing w:before="100" w:beforeAutospacing="1" w:after="100" w:afterAutospacing="1" w:line="240" w:lineRule="auto"/>
        <w:ind w:firstLineChars="0" w:firstLine="0"/>
        <w:contextualSpacing/>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2.6.5</w:t>
      </w:r>
      <w:r w:rsidRPr="00FC1444">
        <w:rPr>
          <w:rFonts w:ascii="Times New Roman" w:eastAsiaTheme="minorEastAsia" w:hAnsi="Times New Roman" w:cs="Times New Roman"/>
          <w:b/>
          <w:sz w:val="28"/>
          <w:szCs w:val="28"/>
        </w:rPr>
        <w:t>生态环境评价工作等级</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1</w:t>
      </w:r>
      <w:r w:rsidRPr="00FC1444">
        <w:rPr>
          <w:rFonts w:eastAsiaTheme="minorEastAsia"/>
          <w:snapToGrid w:val="0"/>
          <w:kern w:val="0"/>
          <w:sz w:val="24"/>
        </w:rPr>
        <w:t>）水生生态</w:t>
      </w:r>
    </w:p>
    <w:p w:rsidR="002A5A5E" w:rsidRPr="00FC1444" w:rsidRDefault="00E456D6" w:rsidP="00E456D6">
      <w:pPr>
        <w:spacing w:line="360" w:lineRule="auto"/>
        <w:ind w:firstLineChars="200" w:firstLine="480"/>
        <w:rPr>
          <w:rFonts w:eastAsiaTheme="minorEastAsia"/>
          <w:kern w:val="0"/>
          <w:sz w:val="24"/>
        </w:rPr>
      </w:pPr>
      <w:r w:rsidRPr="00FC1444">
        <w:rPr>
          <w:rFonts w:eastAsiaTheme="minorEastAsia" w:hint="eastAsia"/>
          <w:sz w:val="24"/>
        </w:rPr>
        <w:t>项目区排水工程已基本形成规模，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00625A6C" w:rsidRPr="00FC1444">
        <w:rPr>
          <w:rFonts w:eastAsiaTheme="minorEastAsia"/>
          <w:sz w:val="24"/>
        </w:rPr>
        <w:t>片区内</w:t>
      </w:r>
      <w:r w:rsidR="00AC69F4" w:rsidRPr="00FC1444">
        <w:rPr>
          <w:rFonts w:eastAsiaTheme="minorEastAsia"/>
          <w:sz w:val="24"/>
        </w:rPr>
        <w:t>排水承泄区为津河、呼兰河、努敏河</w:t>
      </w:r>
      <w:r w:rsidR="00611CBA" w:rsidRPr="00FC1444">
        <w:rPr>
          <w:rFonts w:eastAsiaTheme="minorEastAsia"/>
          <w:kern w:val="0"/>
          <w:sz w:val="24"/>
        </w:rPr>
        <w:t>。</w:t>
      </w:r>
    </w:p>
    <w:p w:rsidR="002A5A5E" w:rsidRPr="00FC1444" w:rsidRDefault="00611CBA">
      <w:pPr>
        <w:spacing w:line="360" w:lineRule="auto"/>
        <w:ind w:firstLineChars="200" w:firstLine="480"/>
        <w:rPr>
          <w:rFonts w:eastAsiaTheme="minorEastAsia"/>
          <w:kern w:val="0"/>
          <w:sz w:val="24"/>
        </w:rPr>
      </w:pPr>
      <w:r w:rsidRPr="00FC1444">
        <w:rPr>
          <w:rFonts w:eastAsiaTheme="minorEastAsia"/>
          <w:sz w:val="24"/>
          <w:szCs w:val="21"/>
        </w:rPr>
        <w:t>本项目实施后，不新增水田面积，由于灌溉水利用系数的提升、农田保水能力增强以及渠系配套系统的完善，地表水退水量减少，相应污染物入河量与现状相比也有一定程度的削减，根据工程分析章节计算内容，</w:t>
      </w:r>
      <w:r w:rsidRPr="00FC1444">
        <w:rPr>
          <w:rFonts w:eastAsiaTheme="minorEastAsia"/>
          <w:sz w:val="24"/>
        </w:rPr>
        <w:t>项目建成后年现有灌区退水量与现状相比</w:t>
      </w:r>
      <w:r w:rsidR="009E2123" w:rsidRPr="00FC1444">
        <w:rPr>
          <w:rFonts w:eastAsiaTheme="minorEastAsia"/>
          <w:sz w:val="24"/>
        </w:rPr>
        <w:t>减少</w:t>
      </w:r>
      <w:r w:rsidR="009E2123" w:rsidRPr="00FC1444">
        <w:rPr>
          <w:rFonts w:eastAsiaTheme="minorEastAsia"/>
          <w:sz w:val="24"/>
        </w:rPr>
        <w:t>24.1</w:t>
      </w:r>
      <w:r w:rsidR="009E2123" w:rsidRPr="00FC1444">
        <w:rPr>
          <w:rFonts w:eastAsiaTheme="minorEastAsia"/>
          <w:sz w:val="24"/>
        </w:rPr>
        <w:t>万</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w:t>
      </w:r>
      <w:r w:rsidR="00C341EA" w:rsidRPr="00FC1444">
        <w:rPr>
          <w:rFonts w:eastAsiaTheme="minorEastAsia"/>
          <w:bCs/>
          <w:sz w:val="24"/>
        </w:rPr>
        <w:t>COD</w:t>
      </w:r>
      <w:r w:rsidR="00C341EA" w:rsidRPr="00FC1444">
        <w:rPr>
          <w:rFonts w:eastAsiaTheme="minorEastAsia"/>
          <w:bCs/>
          <w:sz w:val="24"/>
        </w:rPr>
        <w:t>、氨氮、总磷及总氮排放量分别减少</w:t>
      </w:r>
      <w:r w:rsidR="00C341EA" w:rsidRPr="00FC1444">
        <w:rPr>
          <w:rFonts w:eastAsiaTheme="minorEastAsia"/>
          <w:bCs/>
          <w:sz w:val="24"/>
        </w:rPr>
        <w:t>227.137t/a</w:t>
      </w:r>
      <w:r w:rsidR="00C341EA" w:rsidRPr="00FC1444">
        <w:rPr>
          <w:rFonts w:eastAsiaTheme="minorEastAsia"/>
          <w:bCs/>
          <w:sz w:val="24"/>
        </w:rPr>
        <w:t>、</w:t>
      </w:r>
      <w:r w:rsidR="00C341EA" w:rsidRPr="00FC1444">
        <w:rPr>
          <w:rFonts w:eastAsiaTheme="minorEastAsia"/>
          <w:bCs/>
          <w:sz w:val="24"/>
        </w:rPr>
        <w:t>5.431t/a</w:t>
      </w:r>
      <w:r w:rsidR="00C341EA" w:rsidRPr="00FC1444">
        <w:rPr>
          <w:rFonts w:eastAsiaTheme="minorEastAsia"/>
          <w:bCs/>
          <w:sz w:val="24"/>
        </w:rPr>
        <w:t>、</w:t>
      </w:r>
      <w:r w:rsidR="00C341EA" w:rsidRPr="00FC1444">
        <w:rPr>
          <w:rFonts w:eastAsiaTheme="minorEastAsia"/>
          <w:bCs/>
          <w:sz w:val="24"/>
        </w:rPr>
        <w:t>7.93t/a</w:t>
      </w:r>
      <w:r w:rsidR="00C341EA" w:rsidRPr="00FC1444">
        <w:rPr>
          <w:rFonts w:eastAsiaTheme="minorEastAsia"/>
          <w:bCs/>
          <w:sz w:val="24"/>
        </w:rPr>
        <w:t>、</w:t>
      </w:r>
      <w:r w:rsidR="00C341EA" w:rsidRPr="00FC1444">
        <w:rPr>
          <w:rFonts w:eastAsiaTheme="minorEastAsia"/>
          <w:bCs/>
          <w:sz w:val="24"/>
        </w:rPr>
        <w:t>18.102t/a</w:t>
      </w:r>
      <w:r w:rsidR="00C341EA" w:rsidRPr="00FC1444">
        <w:rPr>
          <w:rFonts w:eastAsiaTheme="minorEastAsia"/>
          <w:bCs/>
          <w:sz w:val="24"/>
        </w:rPr>
        <w:t>。</w:t>
      </w:r>
      <w:r w:rsidR="00625A6C" w:rsidRPr="00FC1444">
        <w:rPr>
          <w:rFonts w:eastAsiaTheme="minorEastAsia"/>
          <w:kern w:val="0"/>
          <w:sz w:val="24"/>
        </w:rPr>
        <w:t>故工程实施后对</w:t>
      </w:r>
      <w:r w:rsidR="00E456D6" w:rsidRPr="00FC1444">
        <w:rPr>
          <w:rFonts w:eastAsiaTheme="minorEastAsia"/>
          <w:kern w:val="0"/>
          <w:sz w:val="24"/>
        </w:rPr>
        <w:t>呼兰河、津河及努敏河</w:t>
      </w:r>
      <w:r w:rsidR="00625A6C" w:rsidRPr="00FC1444">
        <w:rPr>
          <w:rFonts w:eastAsiaTheme="minorEastAsia"/>
          <w:kern w:val="0"/>
          <w:sz w:val="24"/>
        </w:rPr>
        <w:t>水生生态环境起到一定改善作用</w:t>
      </w:r>
      <w:r w:rsidRPr="00FC1444">
        <w:rPr>
          <w:rFonts w:eastAsiaTheme="minorEastAsia"/>
          <w:kern w:val="0"/>
          <w:sz w:val="24"/>
        </w:rPr>
        <w:t>。</w:t>
      </w:r>
    </w:p>
    <w:p w:rsidR="002A5A5E" w:rsidRPr="00FC1444" w:rsidRDefault="00611CBA">
      <w:pPr>
        <w:spacing w:line="360" w:lineRule="auto"/>
        <w:ind w:firstLineChars="200" w:firstLine="480"/>
        <w:rPr>
          <w:rFonts w:eastAsiaTheme="minorEastAsia"/>
          <w:kern w:val="0"/>
          <w:sz w:val="24"/>
        </w:rPr>
      </w:pPr>
      <w:r w:rsidRPr="00FC1444">
        <w:rPr>
          <w:rFonts w:eastAsiaTheme="minorEastAsia"/>
          <w:sz w:val="24"/>
        </w:rPr>
        <w:t>项目的地表水退水口利用现有，原有工程回顾分析已包含现有工程地表水影响。本项目施工废水不外排，施工过程加强管理，对水体基本无影响。涉水工程</w:t>
      </w:r>
      <w:r w:rsidRPr="00FC1444">
        <w:rPr>
          <w:rFonts w:eastAsiaTheme="minorEastAsia"/>
          <w:sz w:val="24"/>
        </w:rPr>
        <w:lastRenderedPageBreak/>
        <w:t>为人工渠道、排水沟（农沟），不涉及天然河道。</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2</w:t>
      </w:r>
      <w:r w:rsidRPr="00FC1444">
        <w:rPr>
          <w:rFonts w:eastAsiaTheme="minorEastAsia"/>
          <w:snapToGrid w:val="0"/>
          <w:kern w:val="0"/>
          <w:sz w:val="24"/>
        </w:rPr>
        <w:t>）陆生生态</w:t>
      </w:r>
    </w:p>
    <w:p w:rsidR="002A5A5E" w:rsidRPr="00FC1444" w:rsidRDefault="00611CBA">
      <w:pPr>
        <w:spacing w:line="360" w:lineRule="auto"/>
        <w:ind w:firstLineChars="200" w:firstLine="480"/>
        <w:rPr>
          <w:rFonts w:eastAsiaTheme="minorEastAsia"/>
          <w:snapToGrid w:val="0"/>
          <w:kern w:val="0"/>
          <w:sz w:val="24"/>
          <w:lang w:bidi="en-US"/>
        </w:rPr>
      </w:pPr>
      <w:r w:rsidRPr="00FC1444">
        <w:rPr>
          <w:rFonts w:eastAsiaTheme="minorEastAsia"/>
          <w:snapToGrid w:val="0"/>
          <w:kern w:val="0"/>
          <w:sz w:val="24"/>
        </w:rPr>
        <w:t>本项目临时占地面积</w:t>
      </w:r>
      <w:r w:rsidR="008A02BD" w:rsidRPr="00FC1444">
        <w:rPr>
          <w:rFonts w:eastAsiaTheme="minorEastAsia"/>
          <w:snapToGrid w:val="0"/>
          <w:kern w:val="0"/>
          <w:sz w:val="24"/>
        </w:rPr>
        <w:t>513022</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napToGrid w:val="0"/>
          <w:kern w:val="0"/>
          <w:sz w:val="24"/>
        </w:rPr>
        <w:t>，新增</w:t>
      </w:r>
      <w:r w:rsidRPr="00FC1444">
        <w:rPr>
          <w:rFonts w:eastAsiaTheme="minorEastAsia"/>
          <w:bCs/>
          <w:snapToGrid w:val="0"/>
          <w:kern w:val="0"/>
          <w:sz w:val="24"/>
        </w:rPr>
        <w:t>永久占地总面积</w:t>
      </w:r>
      <w:r w:rsidR="00C458B4" w:rsidRPr="00FC1444">
        <w:rPr>
          <w:rFonts w:eastAsiaTheme="minorEastAsia"/>
          <w:bCs/>
          <w:snapToGrid w:val="0"/>
          <w:kern w:val="0"/>
          <w:sz w:val="24"/>
        </w:rPr>
        <w:t>22240</w:t>
      </w:r>
      <w:r w:rsidRPr="00FC1444">
        <w:rPr>
          <w:rFonts w:eastAsiaTheme="minorEastAsia"/>
          <w:bCs/>
          <w:snapToGrid w:val="0"/>
          <w:kern w:val="0"/>
          <w:sz w:val="24"/>
        </w:rPr>
        <w:t>m</w:t>
      </w:r>
      <w:r w:rsidRPr="00FC1444">
        <w:rPr>
          <w:rFonts w:eastAsiaTheme="minorEastAsia"/>
          <w:bCs/>
          <w:snapToGrid w:val="0"/>
          <w:kern w:val="0"/>
          <w:sz w:val="24"/>
          <w:vertAlign w:val="superscript"/>
        </w:rPr>
        <w:t>2</w:t>
      </w:r>
      <w:r w:rsidRPr="00FC1444">
        <w:rPr>
          <w:rFonts w:eastAsiaTheme="minorEastAsia"/>
          <w:snapToGrid w:val="0"/>
          <w:kern w:val="0"/>
          <w:sz w:val="24"/>
        </w:rPr>
        <w:t>，</w:t>
      </w:r>
      <w:r w:rsidR="00C50480" w:rsidRPr="00FC1444">
        <w:rPr>
          <w:rFonts w:eastAsiaTheme="minorEastAsia"/>
          <w:snapToGrid w:val="0"/>
          <w:kern w:val="0"/>
          <w:sz w:val="24"/>
        </w:rPr>
        <w:t>共</w:t>
      </w:r>
      <w:r w:rsidR="00AA4603" w:rsidRPr="00FC1444">
        <w:rPr>
          <w:rFonts w:eastAsiaTheme="minorEastAsia"/>
          <w:snapToGrid w:val="0"/>
          <w:kern w:val="0"/>
          <w:sz w:val="24"/>
        </w:rPr>
        <w:t>0.</w:t>
      </w:r>
      <w:r w:rsidR="00A83215" w:rsidRPr="00FC1444">
        <w:rPr>
          <w:rFonts w:eastAsiaTheme="minorEastAsia" w:hint="eastAsia"/>
          <w:snapToGrid w:val="0"/>
          <w:kern w:val="0"/>
          <w:sz w:val="24"/>
        </w:rPr>
        <w:t>54</w:t>
      </w:r>
      <w:r w:rsidR="00C50480" w:rsidRPr="00FC1444">
        <w:rPr>
          <w:rFonts w:eastAsiaTheme="minorEastAsia"/>
          <w:snapToGrid w:val="0"/>
          <w:kern w:val="0"/>
          <w:sz w:val="24"/>
        </w:rPr>
        <w:t>km</w:t>
      </w:r>
      <w:r w:rsidR="00C50480" w:rsidRPr="00FC1444">
        <w:rPr>
          <w:rFonts w:eastAsiaTheme="minorEastAsia"/>
          <w:snapToGrid w:val="0"/>
          <w:kern w:val="0"/>
          <w:sz w:val="24"/>
          <w:vertAlign w:val="superscript"/>
        </w:rPr>
        <w:t>2</w:t>
      </w:r>
      <w:r w:rsidR="00C50480" w:rsidRPr="00FC1444">
        <w:rPr>
          <w:rFonts w:eastAsiaTheme="minorEastAsia"/>
          <w:snapToGrid w:val="0"/>
          <w:kern w:val="0"/>
          <w:sz w:val="24"/>
        </w:rPr>
        <w:t>，</w:t>
      </w:r>
      <w:r w:rsidRPr="00FC1444">
        <w:rPr>
          <w:rFonts w:eastAsiaTheme="minorEastAsia"/>
          <w:snapToGrid w:val="0"/>
          <w:kern w:val="0"/>
          <w:sz w:val="24"/>
        </w:rPr>
        <w:t>小于</w:t>
      </w:r>
      <w:r w:rsidRPr="00FC1444">
        <w:rPr>
          <w:rFonts w:eastAsiaTheme="minorEastAsia"/>
          <w:snapToGrid w:val="0"/>
          <w:kern w:val="0"/>
          <w:sz w:val="24"/>
        </w:rPr>
        <w:t>20km</w:t>
      </w:r>
      <w:r w:rsidRPr="00FC1444">
        <w:rPr>
          <w:rFonts w:eastAsiaTheme="minorEastAsia"/>
          <w:snapToGrid w:val="0"/>
          <w:kern w:val="0"/>
          <w:sz w:val="24"/>
          <w:vertAlign w:val="superscript"/>
        </w:rPr>
        <w:t>2</w:t>
      </w:r>
      <w:r w:rsidRPr="00FC1444">
        <w:rPr>
          <w:rFonts w:eastAsiaTheme="minorEastAsia"/>
          <w:snapToGrid w:val="0"/>
          <w:kern w:val="0"/>
          <w:sz w:val="24"/>
        </w:rPr>
        <w:t>，</w:t>
      </w:r>
      <w:r w:rsidRPr="00FC1444">
        <w:rPr>
          <w:rFonts w:eastAsiaTheme="minorEastAsia"/>
          <w:snapToGrid w:val="0"/>
          <w:kern w:val="0"/>
          <w:sz w:val="24"/>
          <w:lang w:bidi="en-US"/>
        </w:rPr>
        <w:t>不涉及国家公园、自然保护区、世界自然遗产、自然公园、自然公园、重要生境、重要湿地、生态保护红线等生态敏感区，不属于对保护生物多样性具有重要意义的区域。</w:t>
      </w:r>
    </w:p>
    <w:p w:rsidR="002A5A5E" w:rsidRPr="00FC1444" w:rsidRDefault="00611CBA">
      <w:pPr>
        <w:spacing w:line="360" w:lineRule="auto"/>
        <w:ind w:firstLineChars="200" w:firstLine="480"/>
        <w:rPr>
          <w:rFonts w:eastAsiaTheme="minorEastAsia"/>
          <w:snapToGrid w:val="0"/>
          <w:kern w:val="0"/>
          <w:sz w:val="24"/>
          <w:lang w:bidi="zh-TW"/>
        </w:rPr>
      </w:pPr>
      <w:r w:rsidRPr="00FC1444">
        <w:rPr>
          <w:rFonts w:eastAsiaTheme="minorEastAsia"/>
          <w:snapToGrid w:val="0"/>
          <w:kern w:val="0"/>
          <w:sz w:val="24"/>
        </w:rPr>
        <w:t>根据《环境影响评价技术导则</w:t>
      </w:r>
      <w:r w:rsidRPr="00FC1444">
        <w:rPr>
          <w:rFonts w:eastAsiaTheme="minorEastAsia"/>
          <w:snapToGrid w:val="0"/>
          <w:kern w:val="0"/>
          <w:sz w:val="24"/>
        </w:rPr>
        <w:t xml:space="preserve"> </w:t>
      </w:r>
      <w:r w:rsidRPr="00FC1444">
        <w:rPr>
          <w:rFonts w:eastAsiaTheme="minorEastAsia"/>
          <w:snapToGrid w:val="0"/>
          <w:kern w:val="0"/>
          <w:sz w:val="24"/>
        </w:rPr>
        <w:t>生态影响》（</w:t>
      </w:r>
      <w:r w:rsidRPr="00FC1444">
        <w:rPr>
          <w:rFonts w:eastAsiaTheme="minorEastAsia"/>
          <w:snapToGrid w:val="0"/>
          <w:kern w:val="0"/>
          <w:sz w:val="24"/>
        </w:rPr>
        <w:t>HJ19-2022</w:t>
      </w:r>
      <w:r w:rsidRPr="00FC1444">
        <w:rPr>
          <w:rFonts w:eastAsiaTheme="minorEastAsia"/>
          <w:snapToGrid w:val="0"/>
          <w:kern w:val="0"/>
          <w:sz w:val="24"/>
        </w:rPr>
        <w:t>）</w:t>
      </w:r>
      <w:r w:rsidR="008B6C71" w:rsidRPr="00FC1444">
        <w:rPr>
          <w:rFonts w:eastAsiaTheme="minorEastAsia"/>
          <w:snapToGrid w:val="0"/>
          <w:kern w:val="0"/>
          <w:sz w:val="24"/>
        </w:rPr>
        <w:t>，</w:t>
      </w:r>
      <w:r w:rsidRPr="00FC1444">
        <w:rPr>
          <w:rFonts w:eastAsiaTheme="minorEastAsia"/>
          <w:snapToGrid w:val="0"/>
          <w:kern w:val="0"/>
          <w:sz w:val="24"/>
          <w:lang w:bidi="zh-TW"/>
        </w:rPr>
        <w:t>项目水生</w:t>
      </w:r>
      <w:r w:rsidR="00492C39" w:rsidRPr="00FC1444">
        <w:rPr>
          <w:rFonts w:eastAsiaTheme="minorEastAsia"/>
          <w:snapToGrid w:val="0"/>
          <w:kern w:val="0"/>
          <w:sz w:val="24"/>
          <w:lang w:bidi="zh-TW"/>
        </w:rPr>
        <w:t>、</w:t>
      </w:r>
      <w:r w:rsidR="00492C39" w:rsidRPr="00FC1444">
        <w:rPr>
          <w:rFonts w:eastAsiaTheme="minorEastAsia"/>
          <w:snapToGrid w:val="0"/>
          <w:kern w:val="0"/>
          <w:sz w:val="24"/>
        </w:rPr>
        <w:t>陆生</w:t>
      </w:r>
      <w:r w:rsidRPr="00FC1444">
        <w:rPr>
          <w:rFonts w:eastAsiaTheme="minorEastAsia"/>
          <w:snapToGrid w:val="0"/>
          <w:kern w:val="0"/>
          <w:sz w:val="24"/>
          <w:lang w:bidi="zh-TW"/>
        </w:rPr>
        <w:t>生态影响评价工作等级为三级。</w:t>
      </w:r>
    </w:p>
    <w:p w:rsidR="002A5A5E" w:rsidRPr="00FC1444" w:rsidRDefault="00611CBA">
      <w:pPr>
        <w:jc w:val="center"/>
        <w:rPr>
          <w:rFonts w:eastAsiaTheme="minorEastAsia"/>
          <w:kern w:val="0"/>
          <w:szCs w:val="21"/>
        </w:rPr>
      </w:pPr>
      <w:r w:rsidRPr="00FC1444">
        <w:rPr>
          <w:rFonts w:eastAsiaTheme="minorEastAsia"/>
          <w:b/>
          <w:bCs/>
          <w:smallCaps/>
          <w:szCs w:val="21"/>
        </w:rPr>
        <w:t>表</w:t>
      </w:r>
      <w:r w:rsidRPr="00FC1444">
        <w:rPr>
          <w:rFonts w:eastAsiaTheme="minorEastAsia"/>
          <w:b/>
          <w:bCs/>
          <w:smallCaps/>
          <w:szCs w:val="21"/>
        </w:rPr>
        <w:t xml:space="preserve">2-6-6  </w:t>
      </w:r>
      <w:r w:rsidRPr="00FC1444">
        <w:rPr>
          <w:rFonts w:eastAsiaTheme="minorEastAsia"/>
          <w:b/>
          <w:bCs/>
          <w:smallCaps/>
          <w:szCs w:val="21"/>
        </w:rPr>
        <w:t>生态影响评价工作等级分级表</w:t>
      </w:r>
    </w:p>
    <w:tbl>
      <w:tblPr>
        <w:tblW w:w="0" w:type="auto"/>
        <w:tblBorders>
          <w:top w:val="single" w:sz="12" w:space="0" w:color="auto"/>
          <w:bottom w:val="single" w:sz="12" w:space="0" w:color="auto"/>
          <w:insideH w:val="single" w:sz="2" w:space="0" w:color="auto"/>
          <w:insideV w:val="single" w:sz="2" w:space="0" w:color="auto"/>
        </w:tblBorders>
        <w:tblLook w:val="04A0"/>
      </w:tblPr>
      <w:tblGrid>
        <w:gridCol w:w="321"/>
        <w:gridCol w:w="621"/>
        <w:gridCol w:w="3702"/>
        <w:gridCol w:w="2977"/>
        <w:gridCol w:w="901"/>
      </w:tblGrid>
      <w:tr w:rsidR="002A5A5E" w:rsidRPr="00FC1444" w:rsidTr="00C6558F">
        <w:trPr>
          <w:trHeight w:val="340"/>
        </w:trPr>
        <w:tc>
          <w:tcPr>
            <w:tcW w:w="942" w:type="dxa"/>
            <w:gridSpan w:val="2"/>
            <w:vAlign w:val="center"/>
          </w:tcPr>
          <w:p w:rsidR="002A5A5E" w:rsidRPr="00FC1444" w:rsidRDefault="00611CBA">
            <w:pPr>
              <w:jc w:val="center"/>
              <w:rPr>
                <w:rFonts w:eastAsiaTheme="minorEastAsia"/>
                <w:smallCaps/>
                <w:szCs w:val="21"/>
              </w:rPr>
            </w:pPr>
            <w:r w:rsidRPr="00FC1444">
              <w:rPr>
                <w:rFonts w:eastAsiaTheme="minorEastAsia"/>
                <w:smallCaps/>
                <w:szCs w:val="21"/>
              </w:rPr>
              <w:t>序号</w:t>
            </w:r>
          </w:p>
        </w:tc>
        <w:tc>
          <w:tcPr>
            <w:tcW w:w="3702" w:type="dxa"/>
            <w:vAlign w:val="center"/>
          </w:tcPr>
          <w:p w:rsidR="002A5A5E" w:rsidRPr="00FC1444" w:rsidRDefault="00611CBA">
            <w:pPr>
              <w:jc w:val="center"/>
              <w:rPr>
                <w:rFonts w:eastAsiaTheme="minorEastAsia"/>
                <w:smallCaps/>
                <w:szCs w:val="21"/>
              </w:rPr>
            </w:pPr>
            <w:r w:rsidRPr="00FC1444">
              <w:rPr>
                <w:rFonts w:eastAsiaTheme="minorEastAsia"/>
                <w:smallCaps/>
                <w:szCs w:val="21"/>
              </w:rPr>
              <w:t>导则原文</w:t>
            </w:r>
          </w:p>
        </w:tc>
        <w:tc>
          <w:tcPr>
            <w:tcW w:w="2977" w:type="dxa"/>
            <w:vAlign w:val="center"/>
          </w:tcPr>
          <w:p w:rsidR="002A5A5E" w:rsidRPr="00FC1444" w:rsidRDefault="00611CBA">
            <w:pPr>
              <w:jc w:val="center"/>
              <w:rPr>
                <w:rFonts w:eastAsiaTheme="minorEastAsia"/>
                <w:smallCaps/>
                <w:szCs w:val="21"/>
              </w:rPr>
            </w:pPr>
            <w:r w:rsidRPr="00FC1444">
              <w:rPr>
                <w:rFonts w:eastAsiaTheme="minorEastAsia"/>
                <w:smallCaps/>
                <w:szCs w:val="21"/>
              </w:rPr>
              <w:t>本项目</w:t>
            </w:r>
          </w:p>
        </w:tc>
        <w:tc>
          <w:tcPr>
            <w:tcW w:w="90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评价等级</w:t>
            </w:r>
          </w:p>
        </w:tc>
      </w:tr>
      <w:tr w:rsidR="002A5A5E" w:rsidRPr="00FC1444" w:rsidTr="00C6558F">
        <w:trPr>
          <w:trHeight w:val="340"/>
        </w:trPr>
        <w:tc>
          <w:tcPr>
            <w:tcW w:w="0" w:type="auto"/>
            <w:vMerge w:val="restart"/>
            <w:vAlign w:val="center"/>
          </w:tcPr>
          <w:p w:rsidR="002A5A5E" w:rsidRPr="00FC1444" w:rsidRDefault="00611CBA">
            <w:pPr>
              <w:jc w:val="center"/>
              <w:rPr>
                <w:rFonts w:eastAsiaTheme="minorEastAsia"/>
                <w:smallCaps/>
                <w:szCs w:val="21"/>
              </w:rPr>
            </w:pPr>
            <w:r w:rsidRPr="00FC1444">
              <w:rPr>
                <w:rFonts w:eastAsiaTheme="minorEastAsia"/>
                <w:smallCaps/>
                <w:szCs w:val="21"/>
              </w:rPr>
              <w:t>1</w:t>
            </w:r>
          </w:p>
        </w:tc>
        <w:tc>
          <w:tcPr>
            <w:tcW w:w="62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a</w:t>
            </w:r>
            <w:r w:rsidRPr="00FC1444">
              <w:rPr>
                <w:rFonts w:eastAsiaTheme="minorEastAsia"/>
                <w:smallCaps/>
                <w:szCs w:val="21"/>
              </w:rPr>
              <w:t>）</w:t>
            </w:r>
          </w:p>
        </w:tc>
        <w:tc>
          <w:tcPr>
            <w:tcW w:w="3702" w:type="dxa"/>
            <w:vAlign w:val="center"/>
          </w:tcPr>
          <w:p w:rsidR="002A5A5E" w:rsidRPr="00FC1444" w:rsidRDefault="00611CBA">
            <w:pPr>
              <w:jc w:val="center"/>
              <w:rPr>
                <w:rFonts w:eastAsiaTheme="minorEastAsia"/>
                <w:smallCaps/>
                <w:szCs w:val="21"/>
              </w:rPr>
            </w:pPr>
            <w:r w:rsidRPr="00FC1444">
              <w:rPr>
                <w:rFonts w:eastAsiaTheme="minorEastAsia"/>
                <w:smallCaps/>
                <w:szCs w:val="21"/>
              </w:rPr>
              <w:t>涉及国家公园、自然保护区、世界自然遗产、重要生境时，评价等级为一级</w:t>
            </w:r>
          </w:p>
        </w:tc>
        <w:tc>
          <w:tcPr>
            <w:tcW w:w="2977" w:type="dxa"/>
            <w:vAlign w:val="center"/>
          </w:tcPr>
          <w:p w:rsidR="002A5A5E" w:rsidRPr="00FC1444" w:rsidRDefault="008B6C71" w:rsidP="00C50480">
            <w:pPr>
              <w:jc w:val="center"/>
              <w:rPr>
                <w:rFonts w:eastAsiaTheme="minorEastAsia"/>
                <w:smallCaps/>
                <w:szCs w:val="21"/>
              </w:rPr>
            </w:pPr>
            <w:r w:rsidRPr="00FC1444">
              <w:rPr>
                <w:rFonts w:eastAsiaTheme="minorEastAsia"/>
                <w:smallCaps/>
                <w:szCs w:val="21"/>
              </w:rPr>
              <w:t>不涉及</w:t>
            </w:r>
          </w:p>
        </w:tc>
        <w:tc>
          <w:tcPr>
            <w:tcW w:w="901" w:type="dxa"/>
            <w:vAlign w:val="center"/>
          </w:tcPr>
          <w:p w:rsidR="002A5A5E" w:rsidRPr="00FC1444" w:rsidRDefault="008B6C71">
            <w:pPr>
              <w:jc w:val="center"/>
              <w:rPr>
                <w:rFonts w:eastAsiaTheme="minorEastAsia"/>
                <w:smallCaps/>
                <w:szCs w:val="21"/>
              </w:rPr>
            </w:pPr>
            <w:r w:rsidRPr="00FC1444">
              <w:rPr>
                <w:rFonts w:eastAsiaTheme="minorEastAsia" w:hint="eastAsia"/>
                <w:smallCaps/>
                <w:szCs w:val="21"/>
              </w:rPr>
              <w:t>/</w:t>
            </w:r>
          </w:p>
        </w:tc>
      </w:tr>
      <w:tr w:rsidR="002A5A5E" w:rsidRPr="00FC1444" w:rsidTr="00C6558F">
        <w:trPr>
          <w:trHeight w:val="340"/>
        </w:trPr>
        <w:tc>
          <w:tcPr>
            <w:tcW w:w="0" w:type="auto"/>
            <w:vMerge/>
            <w:vAlign w:val="center"/>
          </w:tcPr>
          <w:p w:rsidR="002A5A5E" w:rsidRPr="00FC1444" w:rsidRDefault="002A5A5E">
            <w:pPr>
              <w:jc w:val="center"/>
              <w:rPr>
                <w:rFonts w:eastAsiaTheme="minorEastAsia"/>
                <w:smallCaps/>
                <w:szCs w:val="21"/>
              </w:rPr>
            </w:pPr>
          </w:p>
        </w:tc>
        <w:tc>
          <w:tcPr>
            <w:tcW w:w="62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b</w:t>
            </w:r>
            <w:r w:rsidRPr="00FC1444">
              <w:rPr>
                <w:rFonts w:eastAsiaTheme="minorEastAsia"/>
                <w:smallCaps/>
                <w:szCs w:val="21"/>
              </w:rPr>
              <w:t>）</w:t>
            </w:r>
          </w:p>
        </w:tc>
        <w:tc>
          <w:tcPr>
            <w:tcW w:w="3702" w:type="dxa"/>
            <w:vAlign w:val="center"/>
          </w:tcPr>
          <w:p w:rsidR="002A5A5E" w:rsidRPr="00FC1444" w:rsidRDefault="00611CBA">
            <w:pPr>
              <w:jc w:val="center"/>
              <w:rPr>
                <w:rFonts w:eastAsiaTheme="minorEastAsia"/>
                <w:smallCaps/>
                <w:szCs w:val="21"/>
              </w:rPr>
            </w:pPr>
            <w:r w:rsidRPr="00FC1444">
              <w:rPr>
                <w:rFonts w:eastAsiaTheme="minorEastAsia"/>
                <w:smallCaps/>
                <w:szCs w:val="21"/>
              </w:rPr>
              <w:t>涉及自然公园时，评价等级为二级</w:t>
            </w:r>
          </w:p>
        </w:tc>
        <w:tc>
          <w:tcPr>
            <w:tcW w:w="2977" w:type="dxa"/>
            <w:vAlign w:val="center"/>
          </w:tcPr>
          <w:p w:rsidR="002A5A5E" w:rsidRPr="00FC1444" w:rsidRDefault="00611CBA">
            <w:pPr>
              <w:jc w:val="center"/>
              <w:rPr>
                <w:rFonts w:eastAsiaTheme="minorEastAsia"/>
                <w:smallCaps/>
                <w:szCs w:val="21"/>
              </w:rPr>
            </w:pPr>
            <w:r w:rsidRPr="00FC1444">
              <w:rPr>
                <w:rFonts w:eastAsiaTheme="minorEastAsia"/>
                <w:smallCaps/>
                <w:szCs w:val="21"/>
              </w:rPr>
              <w:t>不涉及</w:t>
            </w:r>
          </w:p>
        </w:tc>
        <w:tc>
          <w:tcPr>
            <w:tcW w:w="90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w:t>
            </w:r>
          </w:p>
        </w:tc>
      </w:tr>
      <w:tr w:rsidR="002A5A5E" w:rsidRPr="00FC1444" w:rsidTr="00C6558F">
        <w:trPr>
          <w:trHeight w:val="340"/>
        </w:trPr>
        <w:tc>
          <w:tcPr>
            <w:tcW w:w="0" w:type="auto"/>
            <w:vMerge/>
            <w:vAlign w:val="center"/>
          </w:tcPr>
          <w:p w:rsidR="002A5A5E" w:rsidRPr="00FC1444" w:rsidRDefault="002A5A5E">
            <w:pPr>
              <w:jc w:val="center"/>
              <w:rPr>
                <w:rFonts w:eastAsiaTheme="minorEastAsia"/>
                <w:smallCaps/>
                <w:szCs w:val="21"/>
              </w:rPr>
            </w:pPr>
          </w:p>
        </w:tc>
        <w:tc>
          <w:tcPr>
            <w:tcW w:w="62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c</w:t>
            </w:r>
            <w:r w:rsidRPr="00FC1444">
              <w:rPr>
                <w:rFonts w:eastAsiaTheme="minorEastAsia"/>
                <w:smallCaps/>
                <w:szCs w:val="21"/>
              </w:rPr>
              <w:t>）</w:t>
            </w:r>
          </w:p>
        </w:tc>
        <w:tc>
          <w:tcPr>
            <w:tcW w:w="3702" w:type="dxa"/>
            <w:vAlign w:val="center"/>
          </w:tcPr>
          <w:p w:rsidR="002A5A5E" w:rsidRPr="00FC1444" w:rsidRDefault="00611CBA">
            <w:pPr>
              <w:jc w:val="center"/>
              <w:rPr>
                <w:rFonts w:eastAsiaTheme="minorEastAsia"/>
                <w:smallCaps/>
                <w:szCs w:val="21"/>
              </w:rPr>
            </w:pPr>
            <w:r w:rsidRPr="00FC1444">
              <w:rPr>
                <w:rFonts w:eastAsiaTheme="minorEastAsia"/>
                <w:smallCaps/>
                <w:szCs w:val="21"/>
              </w:rPr>
              <w:t>涉及生态保护红线时，评价等级不低于二级</w:t>
            </w:r>
          </w:p>
        </w:tc>
        <w:tc>
          <w:tcPr>
            <w:tcW w:w="2977" w:type="dxa"/>
            <w:vAlign w:val="center"/>
          </w:tcPr>
          <w:p w:rsidR="002A5A5E" w:rsidRPr="00FC1444" w:rsidRDefault="00611CBA">
            <w:pPr>
              <w:jc w:val="center"/>
              <w:rPr>
                <w:rFonts w:eastAsiaTheme="minorEastAsia"/>
                <w:smallCaps/>
                <w:szCs w:val="21"/>
              </w:rPr>
            </w:pPr>
            <w:r w:rsidRPr="00FC1444">
              <w:rPr>
                <w:rFonts w:eastAsiaTheme="minorEastAsia"/>
                <w:smallCaps/>
                <w:szCs w:val="21"/>
              </w:rPr>
              <w:t>不涉及</w:t>
            </w:r>
          </w:p>
        </w:tc>
        <w:tc>
          <w:tcPr>
            <w:tcW w:w="90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w:t>
            </w:r>
          </w:p>
        </w:tc>
      </w:tr>
      <w:tr w:rsidR="002A5A5E" w:rsidRPr="00FC1444" w:rsidTr="00C6558F">
        <w:trPr>
          <w:trHeight w:val="340"/>
        </w:trPr>
        <w:tc>
          <w:tcPr>
            <w:tcW w:w="0" w:type="auto"/>
            <w:vMerge/>
            <w:vAlign w:val="center"/>
          </w:tcPr>
          <w:p w:rsidR="002A5A5E" w:rsidRPr="00FC1444" w:rsidRDefault="002A5A5E">
            <w:pPr>
              <w:jc w:val="center"/>
              <w:rPr>
                <w:rFonts w:eastAsiaTheme="minorEastAsia"/>
                <w:smallCaps/>
                <w:szCs w:val="21"/>
              </w:rPr>
            </w:pPr>
          </w:p>
        </w:tc>
        <w:tc>
          <w:tcPr>
            <w:tcW w:w="62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d</w:t>
            </w:r>
            <w:r w:rsidRPr="00FC1444">
              <w:rPr>
                <w:rFonts w:eastAsiaTheme="minorEastAsia"/>
                <w:smallCaps/>
                <w:szCs w:val="21"/>
              </w:rPr>
              <w:t>）</w:t>
            </w:r>
          </w:p>
        </w:tc>
        <w:tc>
          <w:tcPr>
            <w:tcW w:w="3702" w:type="dxa"/>
            <w:vAlign w:val="center"/>
          </w:tcPr>
          <w:p w:rsidR="002A5A5E" w:rsidRPr="00FC1444" w:rsidRDefault="00611CBA">
            <w:pPr>
              <w:jc w:val="center"/>
              <w:rPr>
                <w:rFonts w:eastAsiaTheme="minorEastAsia"/>
                <w:smallCaps/>
                <w:szCs w:val="21"/>
              </w:rPr>
            </w:pPr>
            <w:r w:rsidRPr="00FC1444">
              <w:rPr>
                <w:rFonts w:eastAsiaTheme="minorEastAsia"/>
                <w:smallCaps/>
                <w:szCs w:val="21"/>
              </w:rPr>
              <w:t>根据</w:t>
            </w:r>
            <w:r w:rsidRPr="00FC1444">
              <w:rPr>
                <w:rFonts w:eastAsiaTheme="minorEastAsia"/>
                <w:smallCaps/>
                <w:szCs w:val="21"/>
              </w:rPr>
              <w:t xml:space="preserve"> HJ2.3 </w:t>
            </w:r>
            <w:r w:rsidRPr="00FC1444">
              <w:rPr>
                <w:rFonts w:eastAsiaTheme="minorEastAsia"/>
                <w:smallCaps/>
                <w:szCs w:val="21"/>
              </w:rPr>
              <w:t>判断属于水文要素影响型且地表水评价等级不低于二级的建设项目，生态影响评价等级不低于二级</w:t>
            </w:r>
          </w:p>
        </w:tc>
        <w:tc>
          <w:tcPr>
            <w:tcW w:w="2977" w:type="dxa"/>
            <w:vAlign w:val="center"/>
          </w:tcPr>
          <w:p w:rsidR="002A5A5E" w:rsidRPr="00FC1444" w:rsidRDefault="00611CBA">
            <w:pPr>
              <w:jc w:val="center"/>
              <w:rPr>
                <w:rFonts w:eastAsiaTheme="minorEastAsia"/>
                <w:smallCaps/>
                <w:szCs w:val="21"/>
              </w:rPr>
            </w:pPr>
            <w:r w:rsidRPr="00FC1444">
              <w:rPr>
                <w:rFonts w:eastAsiaTheme="minorEastAsia"/>
                <w:smallCaps/>
                <w:szCs w:val="21"/>
              </w:rPr>
              <w:t>本项目地表水水文要素影响型无评价等级</w:t>
            </w:r>
          </w:p>
        </w:tc>
        <w:tc>
          <w:tcPr>
            <w:tcW w:w="90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w:t>
            </w:r>
          </w:p>
        </w:tc>
      </w:tr>
      <w:tr w:rsidR="002A5A5E" w:rsidRPr="00FC1444" w:rsidTr="00C6558F">
        <w:trPr>
          <w:trHeight w:val="340"/>
        </w:trPr>
        <w:tc>
          <w:tcPr>
            <w:tcW w:w="0" w:type="auto"/>
            <w:vMerge/>
            <w:vAlign w:val="center"/>
          </w:tcPr>
          <w:p w:rsidR="002A5A5E" w:rsidRPr="00FC1444" w:rsidRDefault="002A5A5E">
            <w:pPr>
              <w:jc w:val="center"/>
              <w:rPr>
                <w:rFonts w:eastAsiaTheme="minorEastAsia"/>
                <w:smallCaps/>
                <w:szCs w:val="21"/>
              </w:rPr>
            </w:pPr>
          </w:p>
        </w:tc>
        <w:tc>
          <w:tcPr>
            <w:tcW w:w="62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e</w:t>
            </w:r>
            <w:r w:rsidRPr="00FC1444">
              <w:rPr>
                <w:rFonts w:eastAsiaTheme="minorEastAsia"/>
                <w:smallCaps/>
                <w:szCs w:val="21"/>
              </w:rPr>
              <w:t>）</w:t>
            </w:r>
          </w:p>
        </w:tc>
        <w:tc>
          <w:tcPr>
            <w:tcW w:w="3702" w:type="dxa"/>
            <w:vAlign w:val="center"/>
          </w:tcPr>
          <w:p w:rsidR="002A5A5E" w:rsidRPr="00FC1444" w:rsidRDefault="00611CBA">
            <w:pPr>
              <w:jc w:val="center"/>
              <w:rPr>
                <w:rFonts w:eastAsiaTheme="minorEastAsia"/>
                <w:smallCaps/>
                <w:szCs w:val="21"/>
              </w:rPr>
            </w:pPr>
            <w:r w:rsidRPr="00FC1444">
              <w:rPr>
                <w:rFonts w:eastAsiaTheme="minorEastAsia"/>
                <w:smallCaps/>
                <w:szCs w:val="21"/>
              </w:rPr>
              <w:t>根据</w:t>
            </w:r>
            <w:r w:rsidRPr="00FC1444">
              <w:rPr>
                <w:rFonts w:eastAsiaTheme="minorEastAsia"/>
                <w:smallCaps/>
                <w:szCs w:val="21"/>
              </w:rPr>
              <w:t xml:space="preserve"> HJ610</w:t>
            </w:r>
            <w:r w:rsidRPr="00FC1444">
              <w:rPr>
                <w:rFonts w:eastAsiaTheme="minorEastAsia"/>
                <w:smallCaps/>
                <w:szCs w:val="21"/>
              </w:rPr>
              <w:t>、</w:t>
            </w:r>
            <w:r w:rsidRPr="00FC1444">
              <w:rPr>
                <w:rFonts w:eastAsiaTheme="minorEastAsia"/>
                <w:smallCaps/>
                <w:szCs w:val="21"/>
              </w:rPr>
              <w:t xml:space="preserve">HJ964 </w:t>
            </w:r>
            <w:r w:rsidRPr="00FC1444">
              <w:rPr>
                <w:rFonts w:eastAsiaTheme="minorEastAsia"/>
                <w:smallCaps/>
                <w:szCs w:val="21"/>
              </w:rPr>
              <w:t>判断地下水水位或土壤影响范围内分布有天然林、公益林、湿地等生态保护目标的建设项目，生态影响评价等级不低于二级</w:t>
            </w:r>
          </w:p>
        </w:tc>
        <w:tc>
          <w:tcPr>
            <w:tcW w:w="2977" w:type="dxa"/>
            <w:vAlign w:val="center"/>
          </w:tcPr>
          <w:p w:rsidR="002A5A5E" w:rsidRPr="00FC1444" w:rsidRDefault="00611CBA" w:rsidP="00003BA4">
            <w:pPr>
              <w:jc w:val="center"/>
              <w:rPr>
                <w:rFonts w:eastAsiaTheme="minorEastAsia"/>
              </w:rPr>
            </w:pPr>
            <w:r w:rsidRPr="00FC1444">
              <w:rPr>
                <w:rFonts w:eastAsiaTheme="minorEastAsia"/>
                <w:smallCaps/>
                <w:szCs w:val="21"/>
              </w:rPr>
              <w:t>根据已批复《</w:t>
            </w:r>
            <w:r w:rsidR="00AE168C" w:rsidRPr="00FC1444">
              <w:rPr>
                <w:rFonts w:eastAsiaTheme="minorEastAsia"/>
                <w:smallCaps/>
                <w:szCs w:val="21"/>
              </w:rPr>
              <w:t>北林区</w:t>
            </w:r>
            <w:r w:rsidR="00AE168C" w:rsidRPr="00FC1444">
              <w:rPr>
                <w:rFonts w:eastAsiaTheme="minorEastAsia"/>
                <w:smallCaps/>
                <w:szCs w:val="21"/>
              </w:rPr>
              <w:t>2026</w:t>
            </w:r>
            <w:r w:rsidR="00AE168C" w:rsidRPr="00FC1444">
              <w:rPr>
                <w:rFonts w:eastAsiaTheme="minorEastAsia"/>
                <w:smallCaps/>
                <w:szCs w:val="21"/>
              </w:rPr>
              <w:t>年高标准农田建设项目</w:t>
            </w:r>
            <w:r w:rsidRPr="00FC1444">
              <w:rPr>
                <w:rFonts w:eastAsiaTheme="minorEastAsia"/>
                <w:smallCaps/>
                <w:szCs w:val="21"/>
              </w:rPr>
              <w:t>水资源论证报告书》可知，本项目井群地下水开采水位影响范围最大为</w:t>
            </w:r>
            <w:r w:rsidR="00003BA4" w:rsidRPr="00FC1444">
              <w:rPr>
                <w:rFonts w:eastAsiaTheme="minorEastAsia"/>
                <w:smallCaps/>
                <w:szCs w:val="21"/>
              </w:rPr>
              <w:t>1.05</w:t>
            </w:r>
            <w:r w:rsidRPr="00FC1444">
              <w:rPr>
                <w:rFonts w:eastAsiaTheme="minorEastAsia"/>
                <w:smallCaps/>
                <w:szCs w:val="21"/>
              </w:rPr>
              <w:t>米。项目无需进行土壤评价，经调查，地下水水位和土壤影响范围内未分布天然林、公益林、湿地等生态保护目标</w:t>
            </w:r>
          </w:p>
        </w:tc>
        <w:tc>
          <w:tcPr>
            <w:tcW w:w="90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w:t>
            </w:r>
          </w:p>
        </w:tc>
      </w:tr>
      <w:tr w:rsidR="002A5A5E" w:rsidRPr="00FC1444" w:rsidTr="00C6558F">
        <w:trPr>
          <w:trHeight w:val="340"/>
        </w:trPr>
        <w:tc>
          <w:tcPr>
            <w:tcW w:w="0" w:type="auto"/>
            <w:vMerge/>
            <w:vAlign w:val="center"/>
          </w:tcPr>
          <w:p w:rsidR="002A5A5E" w:rsidRPr="00FC1444" w:rsidRDefault="002A5A5E">
            <w:pPr>
              <w:jc w:val="center"/>
              <w:rPr>
                <w:rFonts w:eastAsiaTheme="minorEastAsia"/>
                <w:smallCaps/>
                <w:szCs w:val="21"/>
              </w:rPr>
            </w:pPr>
          </w:p>
        </w:tc>
        <w:tc>
          <w:tcPr>
            <w:tcW w:w="62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f</w:t>
            </w:r>
            <w:r w:rsidRPr="00FC1444">
              <w:rPr>
                <w:rFonts w:eastAsiaTheme="minorEastAsia"/>
                <w:smallCaps/>
                <w:szCs w:val="21"/>
              </w:rPr>
              <w:t>）</w:t>
            </w:r>
          </w:p>
        </w:tc>
        <w:tc>
          <w:tcPr>
            <w:tcW w:w="3702" w:type="dxa"/>
            <w:vAlign w:val="center"/>
          </w:tcPr>
          <w:p w:rsidR="002A5A5E" w:rsidRPr="00FC1444" w:rsidRDefault="00611CBA">
            <w:pPr>
              <w:jc w:val="center"/>
              <w:rPr>
                <w:rFonts w:eastAsiaTheme="minorEastAsia"/>
                <w:smallCaps/>
                <w:szCs w:val="21"/>
              </w:rPr>
            </w:pPr>
            <w:r w:rsidRPr="00FC1444">
              <w:rPr>
                <w:rFonts w:eastAsiaTheme="minorEastAsia"/>
                <w:smallCaps/>
                <w:szCs w:val="21"/>
              </w:rPr>
              <w:t>当工程占地规模大于</w:t>
            </w:r>
            <w:r w:rsidRPr="00FC1444">
              <w:rPr>
                <w:rFonts w:eastAsiaTheme="minorEastAsia"/>
                <w:smallCaps/>
                <w:szCs w:val="21"/>
              </w:rPr>
              <w:t>20</w:t>
            </w:r>
            <w:r w:rsidRPr="00FC1444">
              <w:rPr>
                <w:rFonts w:eastAsiaTheme="minorEastAsia"/>
                <w:snapToGrid w:val="0"/>
                <w:kern w:val="0"/>
                <w:szCs w:val="21"/>
              </w:rPr>
              <w:t>km</w:t>
            </w:r>
            <w:r w:rsidRPr="00FC1444">
              <w:rPr>
                <w:rFonts w:eastAsiaTheme="minorEastAsia"/>
                <w:snapToGrid w:val="0"/>
                <w:kern w:val="0"/>
                <w:szCs w:val="21"/>
                <w:vertAlign w:val="superscript"/>
              </w:rPr>
              <w:t>2</w:t>
            </w:r>
            <w:r w:rsidRPr="00FC1444">
              <w:rPr>
                <w:rFonts w:eastAsiaTheme="minorEastAsia"/>
                <w:smallCaps/>
                <w:szCs w:val="21"/>
              </w:rPr>
              <w:t>（包括永久和临时占用陆域和水域），评价等级不低于二级；改扩建项目的占地范围以新增占地（包括陆</w:t>
            </w:r>
            <w:r w:rsidRPr="00FC1444">
              <w:rPr>
                <w:rFonts w:eastAsiaTheme="minorEastAsia"/>
                <w:smallCaps/>
                <w:szCs w:val="21"/>
              </w:rPr>
              <w:t xml:space="preserve"> </w:t>
            </w:r>
            <w:r w:rsidRPr="00FC1444">
              <w:rPr>
                <w:rFonts w:eastAsiaTheme="minorEastAsia"/>
                <w:smallCaps/>
                <w:szCs w:val="21"/>
              </w:rPr>
              <w:t>域和水域）确定</w:t>
            </w:r>
          </w:p>
        </w:tc>
        <w:tc>
          <w:tcPr>
            <w:tcW w:w="2977" w:type="dxa"/>
            <w:vAlign w:val="center"/>
          </w:tcPr>
          <w:p w:rsidR="002A5A5E" w:rsidRPr="00FC1444" w:rsidRDefault="00611CBA" w:rsidP="00772BB1">
            <w:pPr>
              <w:jc w:val="center"/>
              <w:rPr>
                <w:rFonts w:eastAsiaTheme="minorEastAsia"/>
                <w:smallCaps/>
                <w:szCs w:val="21"/>
              </w:rPr>
            </w:pPr>
            <w:r w:rsidRPr="00FC1444">
              <w:rPr>
                <w:rFonts w:eastAsiaTheme="minorEastAsia"/>
                <w:bCs/>
                <w:smallCaps/>
                <w:szCs w:val="21"/>
              </w:rPr>
              <w:t>项目工程新增永久占地约为</w:t>
            </w:r>
            <w:r w:rsidR="00C458B4" w:rsidRPr="00FC1444">
              <w:rPr>
                <w:rFonts w:eastAsiaTheme="minorEastAsia"/>
                <w:bCs/>
                <w:smallCaps/>
                <w:szCs w:val="21"/>
              </w:rPr>
              <w:t>22240</w:t>
            </w:r>
            <w:r w:rsidRPr="00FC1444">
              <w:rPr>
                <w:rFonts w:eastAsiaTheme="minorEastAsia"/>
                <w:szCs w:val="21"/>
              </w:rPr>
              <w:t>m</w:t>
            </w:r>
            <w:r w:rsidRPr="00FC1444">
              <w:rPr>
                <w:rFonts w:eastAsiaTheme="minorEastAsia"/>
                <w:szCs w:val="21"/>
                <w:vertAlign w:val="superscript"/>
              </w:rPr>
              <w:t>2</w:t>
            </w:r>
            <w:r w:rsidRPr="00FC1444">
              <w:rPr>
                <w:rFonts w:eastAsiaTheme="minorEastAsia"/>
                <w:bCs/>
                <w:smallCaps/>
                <w:szCs w:val="21"/>
              </w:rPr>
              <w:t>，</w:t>
            </w:r>
            <w:r w:rsidRPr="00FC1444">
              <w:rPr>
                <w:rFonts w:eastAsiaTheme="minorEastAsia"/>
                <w:smallCaps/>
                <w:szCs w:val="21"/>
              </w:rPr>
              <w:t>临时占</w:t>
            </w:r>
            <w:r w:rsidR="008249D3" w:rsidRPr="00FC1444">
              <w:rPr>
                <w:rFonts w:eastAsiaTheme="minorEastAsia"/>
                <w:smallCaps/>
                <w:szCs w:val="21"/>
              </w:rPr>
              <w:t>地</w:t>
            </w:r>
            <w:r w:rsidR="008A02BD" w:rsidRPr="00FC1444">
              <w:rPr>
                <w:rFonts w:eastAsiaTheme="minorEastAsia"/>
                <w:smallCaps/>
                <w:szCs w:val="21"/>
              </w:rPr>
              <w:t>513022</w:t>
            </w:r>
            <w:r w:rsidRPr="00FC1444">
              <w:rPr>
                <w:rFonts w:eastAsiaTheme="minorEastAsia"/>
                <w:szCs w:val="21"/>
              </w:rPr>
              <w:t>m</w:t>
            </w:r>
            <w:r w:rsidRPr="00FC1444">
              <w:rPr>
                <w:rFonts w:eastAsiaTheme="minorEastAsia"/>
                <w:szCs w:val="21"/>
                <w:vertAlign w:val="superscript"/>
              </w:rPr>
              <w:t>2</w:t>
            </w:r>
            <w:r w:rsidRPr="00FC1444">
              <w:rPr>
                <w:rFonts w:eastAsiaTheme="minorEastAsia"/>
                <w:smallCaps/>
                <w:szCs w:val="21"/>
              </w:rPr>
              <w:t>，</w:t>
            </w:r>
            <w:r w:rsidR="00AA4603" w:rsidRPr="00FC1444">
              <w:rPr>
                <w:rFonts w:eastAsiaTheme="minorEastAsia"/>
                <w:snapToGrid w:val="0"/>
                <w:kern w:val="0"/>
                <w:szCs w:val="21"/>
              </w:rPr>
              <w:t>共</w:t>
            </w:r>
            <w:r w:rsidR="00B46A38" w:rsidRPr="00FC1444">
              <w:rPr>
                <w:rFonts w:eastAsiaTheme="minorEastAsia"/>
                <w:snapToGrid w:val="0"/>
                <w:kern w:val="0"/>
                <w:szCs w:val="21"/>
              </w:rPr>
              <w:t>0.</w:t>
            </w:r>
            <w:r w:rsidR="00B46A38" w:rsidRPr="00FC1444">
              <w:rPr>
                <w:rFonts w:eastAsiaTheme="minorEastAsia" w:hint="eastAsia"/>
                <w:snapToGrid w:val="0"/>
                <w:kern w:val="0"/>
                <w:szCs w:val="21"/>
              </w:rPr>
              <w:t>5</w:t>
            </w:r>
            <w:r w:rsidR="00AA4603" w:rsidRPr="00FC1444">
              <w:rPr>
                <w:rFonts w:eastAsiaTheme="minorEastAsia"/>
                <w:snapToGrid w:val="0"/>
                <w:kern w:val="0"/>
                <w:szCs w:val="21"/>
              </w:rPr>
              <w:t>4km</w:t>
            </w:r>
            <w:r w:rsidR="00AA4603" w:rsidRPr="00FC1444">
              <w:rPr>
                <w:rFonts w:eastAsiaTheme="minorEastAsia"/>
                <w:snapToGrid w:val="0"/>
                <w:kern w:val="0"/>
                <w:szCs w:val="21"/>
                <w:vertAlign w:val="superscript"/>
              </w:rPr>
              <w:t>2</w:t>
            </w:r>
            <w:r w:rsidR="00AA4603" w:rsidRPr="00FC1444">
              <w:rPr>
                <w:rFonts w:eastAsiaTheme="minorEastAsia"/>
                <w:smallCaps/>
                <w:szCs w:val="21"/>
              </w:rPr>
              <w:t>，</w:t>
            </w:r>
            <w:r w:rsidRPr="00FC1444">
              <w:rPr>
                <w:rFonts w:eastAsiaTheme="minorEastAsia"/>
                <w:szCs w:val="21"/>
              </w:rPr>
              <w:t>＜</w:t>
            </w:r>
            <w:r w:rsidRPr="00FC1444">
              <w:rPr>
                <w:rFonts w:eastAsiaTheme="minorEastAsia"/>
                <w:szCs w:val="21"/>
              </w:rPr>
              <w:t>20km</w:t>
            </w:r>
            <w:r w:rsidRPr="00FC1444">
              <w:rPr>
                <w:rFonts w:eastAsiaTheme="minorEastAsia"/>
                <w:szCs w:val="21"/>
                <w:vertAlign w:val="superscript"/>
              </w:rPr>
              <w:t>2</w:t>
            </w:r>
          </w:p>
        </w:tc>
        <w:tc>
          <w:tcPr>
            <w:tcW w:w="90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w:t>
            </w:r>
          </w:p>
        </w:tc>
      </w:tr>
    </w:tbl>
    <w:p w:rsidR="00BD1E8B" w:rsidRPr="00FC1444" w:rsidRDefault="00BD1E8B" w:rsidP="00AA4603">
      <w:pPr>
        <w:jc w:val="center"/>
        <w:rPr>
          <w:rFonts w:eastAsiaTheme="minorEastAsia"/>
          <w:b/>
          <w:bCs/>
          <w:smallCaps/>
          <w:szCs w:val="21"/>
        </w:rPr>
      </w:pPr>
    </w:p>
    <w:p w:rsidR="00BD1E8B" w:rsidRPr="00FC1444" w:rsidRDefault="00BD1E8B" w:rsidP="00AA4603">
      <w:pPr>
        <w:jc w:val="center"/>
        <w:rPr>
          <w:rFonts w:eastAsiaTheme="minorEastAsia"/>
          <w:b/>
          <w:bCs/>
          <w:smallCaps/>
          <w:szCs w:val="21"/>
        </w:rPr>
      </w:pPr>
    </w:p>
    <w:p w:rsidR="008B6C71" w:rsidRPr="00FC1444" w:rsidRDefault="008B6C71" w:rsidP="00AA4603">
      <w:pPr>
        <w:jc w:val="center"/>
        <w:rPr>
          <w:rFonts w:eastAsiaTheme="minorEastAsia"/>
          <w:b/>
          <w:bCs/>
          <w:smallCaps/>
          <w:szCs w:val="21"/>
        </w:rPr>
      </w:pPr>
    </w:p>
    <w:p w:rsidR="008B6C71" w:rsidRPr="00FC1444" w:rsidRDefault="008B6C71" w:rsidP="00AA4603">
      <w:pPr>
        <w:jc w:val="center"/>
        <w:rPr>
          <w:rFonts w:eastAsiaTheme="minorEastAsia"/>
          <w:b/>
          <w:bCs/>
          <w:smallCaps/>
          <w:szCs w:val="21"/>
        </w:rPr>
      </w:pPr>
    </w:p>
    <w:p w:rsidR="003F7DF2" w:rsidRPr="00FC1444" w:rsidRDefault="003F7DF2" w:rsidP="00AA4603">
      <w:pPr>
        <w:jc w:val="center"/>
        <w:rPr>
          <w:rFonts w:eastAsiaTheme="minorEastAsia"/>
          <w:b/>
          <w:bCs/>
          <w:smallCaps/>
          <w:szCs w:val="21"/>
        </w:rPr>
      </w:pPr>
    </w:p>
    <w:p w:rsidR="008B6C71" w:rsidRPr="00FC1444" w:rsidRDefault="008B6C71" w:rsidP="00AA4603">
      <w:pPr>
        <w:jc w:val="center"/>
        <w:rPr>
          <w:rFonts w:eastAsiaTheme="minorEastAsia"/>
          <w:b/>
          <w:bCs/>
          <w:smallCaps/>
          <w:szCs w:val="21"/>
        </w:rPr>
      </w:pPr>
    </w:p>
    <w:p w:rsidR="00707DE4" w:rsidRPr="00FC1444" w:rsidRDefault="00707DE4" w:rsidP="00AA4603">
      <w:pPr>
        <w:jc w:val="center"/>
        <w:rPr>
          <w:rFonts w:eastAsiaTheme="minorEastAsia"/>
          <w:b/>
          <w:bCs/>
          <w:smallCaps/>
          <w:szCs w:val="21"/>
        </w:rPr>
      </w:pPr>
    </w:p>
    <w:p w:rsidR="00707DE4" w:rsidRPr="00FC1444" w:rsidRDefault="00707DE4" w:rsidP="00AA4603">
      <w:pPr>
        <w:jc w:val="center"/>
        <w:rPr>
          <w:rFonts w:eastAsiaTheme="minorEastAsia"/>
          <w:b/>
          <w:bCs/>
          <w:smallCaps/>
          <w:szCs w:val="21"/>
        </w:rPr>
      </w:pPr>
    </w:p>
    <w:p w:rsidR="002E5E28" w:rsidRPr="00FC1444" w:rsidRDefault="002E5E28" w:rsidP="00AA4603">
      <w:pPr>
        <w:jc w:val="center"/>
        <w:rPr>
          <w:rFonts w:eastAsiaTheme="minorEastAsia"/>
          <w:b/>
          <w:bCs/>
          <w:smallCaps/>
          <w:szCs w:val="21"/>
        </w:rPr>
      </w:pPr>
    </w:p>
    <w:p w:rsidR="00AA4603" w:rsidRPr="00FC1444" w:rsidRDefault="00AA4603" w:rsidP="00AA4603">
      <w:pPr>
        <w:jc w:val="center"/>
        <w:rPr>
          <w:rFonts w:eastAsiaTheme="minorEastAsia"/>
          <w:kern w:val="0"/>
          <w:szCs w:val="21"/>
        </w:rPr>
      </w:pPr>
      <w:r w:rsidRPr="00FC1444">
        <w:rPr>
          <w:rFonts w:eastAsiaTheme="minorEastAsia"/>
          <w:b/>
          <w:bCs/>
          <w:smallCaps/>
          <w:szCs w:val="21"/>
        </w:rPr>
        <w:lastRenderedPageBreak/>
        <w:t>续表</w:t>
      </w:r>
      <w:r w:rsidRPr="00FC1444">
        <w:rPr>
          <w:rFonts w:eastAsiaTheme="minorEastAsia"/>
          <w:b/>
          <w:bCs/>
          <w:smallCaps/>
          <w:szCs w:val="21"/>
        </w:rPr>
        <w:t xml:space="preserve">2-6-6  </w:t>
      </w:r>
      <w:r w:rsidRPr="00FC1444">
        <w:rPr>
          <w:rFonts w:eastAsiaTheme="minorEastAsia"/>
          <w:b/>
          <w:bCs/>
          <w:smallCaps/>
          <w:szCs w:val="21"/>
        </w:rPr>
        <w:t>生态影响评价工作等级分级表</w:t>
      </w:r>
    </w:p>
    <w:tbl>
      <w:tblPr>
        <w:tblW w:w="0" w:type="auto"/>
        <w:tblBorders>
          <w:top w:val="single" w:sz="12" w:space="0" w:color="auto"/>
          <w:bottom w:val="single" w:sz="12" w:space="0" w:color="auto"/>
          <w:insideH w:val="single" w:sz="2" w:space="0" w:color="auto"/>
          <w:insideV w:val="single" w:sz="2" w:space="0" w:color="auto"/>
        </w:tblBorders>
        <w:tblLook w:val="04A0"/>
      </w:tblPr>
      <w:tblGrid>
        <w:gridCol w:w="321"/>
        <w:gridCol w:w="621"/>
        <w:gridCol w:w="3419"/>
        <w:gridCol w:w="2977"/>
        <w:gridCol w:w="1184"/>
      </w:tblGrid>
      <w:tr w:rsidR="00AA4603" w:rsidRPr="00FC1444">
        <w:trPr>
          <w:trHeight w:val="340"/>
        </w:trPr>
        <w:tc>
          <w:tcPr>
            <w:tcW w:w="321" w:type="dxa"/>
            <w:vMerge w:val="restart"/>
            <w:vAlign w:val="center"/>
          </w:tcPr>
          <w:p w:rsidR="00AA4603" w:rsidRPr="00FC1444" w:rsidRDefault="00AA4603">
            <w:pPr>
              <w:jc w:val="center"/>
              <w:rPr>
                <w:rFonts w:eastAsiaTheme="minorEastAsia"/>
                <w:smallCaps/>
                <w:szCs w:val="21"/>
              </w:rPr>
            </w:pPr>
            <w:r w:rsidRPr="00FC1444">
              <w:rPr>
                <w:rFonts w:eastAsiaTheme="minorEastAsia"/>
                <w:smallCaps/>
                <w:szCs w:val="21"/>
              </w:rPr>
              <w:t>1</w:t>
            </w:r>
          </w:p>
        </w:tc>
        <w:tc>
          <w:tcPr>
            <w:tcW w:w="621" w:type="dxa"/>
            <w:vAlign w:val="center"/>
          </w:tcPr>
          <w:p w:rsidR="00AA4603" w:rsidRPr="00FC1444" w:rsidRDefault="00AA4603">
            <w:pPr>
              <w:jc w:val="center"/>
              <w:rPr>
                <w:rFonts w:eastAsiaTheme="minorEastAsia"/>
                <w:smallCaps/>
                <w:szCs w:val="21"/>
              </w:rPr>
            </w:pPr>
            <w:r w:rsidRPr="00FC1444">
              <w:rPr>
                <w:rFonts w:eastAsiaTheme="minorEastAsia"/>
                <w:smallCaps/>
                <w:szCs w:val="21"/>
              </w:rPr>
              <w:t>g</w:t>
            </w:r>
            <w:r w:rsidRPr="00FC1444">
              <w:rPr>
                <w:rFonts w:eastAsiaTheme="minorEastAsia"/>
                <w:smallCaps/>
                <w:szCs w:val="21"/>
              </w:rPr>
              <w:t>）</w:t>
            </w:r>
          </w:p>
        </w:tc>
        <w:tc>
          <w:tcPr>
            <w:tcW w:w="3419" w:type="dxa"/>
            <w:vAlign w:val="center"/>
          </w:tcPr>
          <w:p w:rsidR="00AA4603" w:rsidRPr="00FC1444" w:rsidRDefault="00AA4603">
            <w:pPr>
              <w:jc w:val="center"/>
              <w:rPr>
                <w:rFonts w:eastAsiaTheme="minorEastAsia"/>
                <w:smallCaps/>
                <w:szCs w:val="21"/>
              </w:rPr>
            </w:pPr>
            <w:r w:rsidRPr="00FC1444">
              <w:rPr>
                <w:rFonts w:eastAsiaTheme="minorEastAsia"/>
                <w:smallCaps/>
                <w:szCs w:val="21"/>
              </w:rPr>
              <w:t>除本条</w:t>
            </w:r>
            <w:r w:rsidRPr="00FC1444">
              <w:rPr>
                <w:rFonts w:eastAsiaTheme="minorEastAsia"/>
                <w:smallCaps/>
                <w:szCs w:val="21"/>
              </w:rPr>
              <w:t xml:space="preserve"> a</w:t>
            </w:r>
            <w:r w:rsidRPr="00FC1444">
              <w:rPr>
                <w:rFonts w:eastAsiaTheme="minorEastAsia"/>
                <w:smallCaps/>
                <w:szCs w:val="21"/>
              </w:rPr>
              <w:t>）、</w:t>
            </w:r>
            <w:r w:rsidRPr="00FC1444">
              <w:rPr>
                <w:rFonts w:eastAsiaTheme="minorEastAsia"/>
                <w:smallCaps/>
                <w:szCs w:val="21"/>
              </w:rPr>
              <w:t>b</w:t>
            </w:r>
            <w:r w:rsidRPr="00FC1444">
              <w:rPr>
                <w:rFonts w:eastAsiaTheme="minorEastAsia"/>
                <w:smallCaps/>
                <w:szCs w:val="21"/>
              </w:rPr>
              <w:t>）、</w:t>
            </w:r>
            <w:r w:rsidRPr="00FC1444">
              <w:rPr>
                <w:rFonts w:eastAsiaTheme="minorEastAsia"/>
                <w:smallCaps/>
                <w:szCs w:val="21"/>
              </w:rPr>
              <w:t>c</w:t>
            </w:r>
            <w:r w:rsidRPr="00FC1444">
              <w:rPr>
                <w:rFonts w:eastAsiaTheme="minorEastAsia"/>
                <w:smallCaps/>
                <w:szCs w:val="21"/>
              </w:rPr>
              <w:t>）、</w:t>
            </w:r>
            <w:r w:rsidRPr="00FC1444">
              <w:rPr>
                <w:rFonts w:eastAsiaTheme="minorEastAsia"/>
                <w:smallCaps/>
                <w:szCs w:val="21"/>
              </w:rPr>
              <w:t>d</w:t>
            </w:r>
            <w:r w:rsidRPr="00FC1444">
              <w:rPr>
                <w:rFonts w:eastAsiaTheme="minorEastAsia"/>
                <w:smallCaps/>
                <w:szCs w:val="21"/>
              </w:rPr>
              <w:t>）、</w:t>
            </w:r>
            <w:r w:rsidRPr="00FC1444">
              <w:rPr>
                <w:rFonts w:eastAsiaTheme="minorEastAsia"/>
                <w:smallCaps/>
                <w:szCs w:val="21"/>
              </w:rPr>
              <w:t>e</w:t>
            </w:r>
            <w:r w:rsidRPr="00FC1444">
              <w:rPr>
                <w:rFonts w:eastAsiaTheme="minorEastAsia"/>
                <w:smallCaps/>
                <w:szCs w:val="21"/>
              </w:rPr>
              <w:t>）、</w:t>
            </w:r>
            <w:r w:rsidRPr="00FC1444">
              <w:rPr>
                <w:rFonts w:eastAsiaTheme="minorEastAsia"/>
                <w:smallCaps/>
                <w:szCs w:val="21"/>
              </w:rPr>
              <w:t>f</w:t>
            </w:r>
            <w:r w:rsidRPr="00FC1444">
              <w:rPr>
                <w:rFonts w:eastAsiaTheme="minorEastAsia"/>
                <w:smallCaps/>
                <w:szCs w:val="21"/>
              </w:rPr>
              <w:t>）以外的情况，评价等级为三级</w:t>
            </w:r>
          </w:p>
        </w:tc>
        <w:tc>
          <w:tcPr>
            <w:tcW w:w="2977" w:type="dxa"/>
            <w:vAlign w:val="center"/>
          </w:tcPr>
          <w:p w:rsidR="00AA4603" w:rsidRPr="00FC1444" w:rsidRDefault="00AA4603" w:rsidP="00AA4603">
            <w:pPr>
              <w:jc w:val="center"/>
              <w:rPr>
                <w:rFonts w:eastAsiaTheme="minorEastAsia"/>
                <w:smallCaps/>
                <w:szCs w:val="21"/>
              </w:rPr>
            </w:pPr>
            <w:r w:rsidRPr="00FC1444">
              <w:rPr>
                <w:rFonts w:eastAsiaTheme="minorEastAsia"/>
                <w:szCs w:val="21"/>
              </w:rPr>
              <w:t>陆生生态、水生生态分别判定评价等级</w:t>
            </w:r>
          </w:p>
        </w:tc>
        <w:tc>
          <w:tcPr>
            <w:tcW w:w="1184" w:type="dxa"/>
            <w:vAlign w:val="center"/>
          </w:tcPr>
          <w:p w:rsidR="00AA4603" w:rsidRPr="00FC1444" w:rsidRDefault="00AA4603" w:rsidP="00AA4603">
            <w:pPr>
              <w:jc w:val="center"/>
              <w:rPr>
                <w:rFonts w:eastAsiaTheme="minorEastAsia"/>
                <w:smallCaps/>
                <w:szCs w:val="21"/>
              </w:rPr>
            </w:pPr>
            <w:r w:rsidRPr="00FC1444">
              <w:rPr>
                <w:rFonts w:eastAsiaTheme="minorEastAsia"/>
                <w:smallCaps/>
                <w:szCs w:val="21"/>
              </w:rPr>
              <w:t>水生三级；陆生三级</w:t>
            </w:r>
          </w:p>
        </w:tc>
      </w:tr>
      <w:tr w:rsidR="002A5A5E" w:rsidRPr="00FC1444">
        <w:trPr>
          <w:trHeight w:val="340"/>
        </w:trPr>
        <w:tc>
          <w:tcPr>
            <w:tcW w:w="321" w:type="dxa"/>
            <w:vMerge/>
            <w:vAlign w:val="center"/>
          </w:tcPr>
          <w:p w:rsidR="002A5A5E" w:rsidRPr="00FC1444" w:rsidRDefault="002A5A5E">
            <w:pPr>
              <w:jc w:val="center"/>
              <w:rPr>
                <w:rFonts w:eastAsiaTheme="minorEastAsia"/>
                <w:smallCaps/>
                <w:szCs w:val="21"/>
              </w:rPr>
            </w:pPr>
          </w:p>
        </w:tc>
        <w:tc>
          <w:tcPr>
            <w:tcW w:w="621" w:type="dxa"/>
            <w:vAlign w:val="center"/>
          </w:tcPr>
          <w:p w:rsidR="002A5A5E" w:rsidRPr="00FC1444" w:rsidRDefault="00611CBA">
            <w:pPr>
              <w:jc w:val="center"/>
              <w:rPr>
                <w:rFonts w:eastAsiaTheme="minorEastAsia"/>
                <w:smallCaps/>
                <w:szCs w:val="21"/>
              </w:rPr>
            </w:pPr>
            <w:r w:rsidRPr="00FC1444">
              <w:rPr>
                <w:rFonts w:eastAsiaTheme="minorEastAsia"/>
                <w:smallCaps/>
                <w:szCs w:val="21"/>
              </w:rPr>
              <w:t>h</w:t>
            </w:r>
            <w:r w:rsidRPr="00FC1444">
              <w:rPr>
                <w:rFonts w:eastAsiaTheme="minorEastAsia"/>
                <w:smallCaps/>
                <w:szCs w:val="21"/>
              </w:rPr>
              <w:t>）</w:t>
            </w:r>
          </w:p>
        </w:tc>
        <w:tc>
          <w:tcPr>
            <w:tcW w:w="3419" w:type="dxa"/>
            <w:vAlign w:val="center"/>
          </w:tcPr>
          <w:p w:rsidR="002A5A5E" w:rsidRPr="00FC1444" w:rsidRDefault="00611CBA">
            <w:pPr>
              <w:jc w:val="center"/>
              <w:rPr>
                <w:rFonts w:eastAsiaTheme="minorEastAsia"/>
                <w:smallCaps/>
                <w:szCs w:val="21"/>
              </w:rPr>
            </w:pPr>
            <w:r w:rsidRPr="00FC1444">
              <w:rPr>
                <w:rFonts w:eastAsiaTheme="minorEastAsia"/>
                <w:smallCaps/>
                <w:szCs w:val="21"/>
              </w:rPr>
              <w:t>当评价等级判定同时符合上述多种情况时，应采用其中最高的评价等级</w:t>
            </w:r>
          </w:p>
        </w:tc>
        <w:tc>
          <w:tcPr>
            <w:tcW w:w="2977" w:type="dxa"/>
            <w:vAlign w:val="center"/>
          </w:tcPr>
          <w:p w:rsidR="002A5A5E" w:rsidRPr="00FC1444" w:rsidRDefault="00611CBA">
            <w:pPr>
              <w:jc w:val="center"/>
              <w:rPr>
                <w:rFonts w:eastAsiaTheme="minorEastAsia"/>
                <w:smallCaps/>
                <w:szCs w:val="21"/>
              </w:rPr>
            </w:pPr>
            <w:r w:rsidRPr="00FC1444">
              <w:rPr>
                <w:rFonts w:eastAsiaTheme="minorEastAsia"/>
                <w:smallCaps/>
                <w:szCs w:val="21"/>
              </w:rPr>
              <w:t>/</w:t>
            </w:r>
          </w:p>
        </w:tc>
        <w:tc>
          <w:tcPr>
            <w:tcW w:w="1184" w:type="dxa"/>
            <w:vAlign w:val="center"/>
          </w:tcPr>
          <w:p w:rsidR="002A5A5E" w:rsidRPr="00FC1444" w:rsidRDefault="00611CBA">
            <w:pPr>
              <w:jc w:val="center"/>
              <w:rPr>
                <w:rFonts w:eastAsiaTheme="minorEastAsia"/>
                <w:smallCaps/>
                <w:szCs w:val="21"/>
              </w:rPr>
            </w:pPr>
            <w:r w:rsidRPr="00FC1444">
              <w:rPr>
                <w:rFonts w:eastAsiaTheme="minorEastAsia"/>
                <w:smallCaps/>
                <w:szCs w:val="21"/>
              </w:rPr>
              <w:t>水生三级；陆生三级</w:t>
            </w:r>
          </w:p>
        </w:tc>
      </w:tr>
      <w:tr w:rsidR="002A5A5E" w:rsidRPr="00FC1444">
        <w:trPr>
          <w:trHeight w:val="340"/>
        </w:trPr>
        <w:tc>
          <w:tcPr>
            <w:tcW w:w="942" w:type="dxa"/>
            <w:gridSpan w:val="2"/>
            <w:vAlign w:val="center"/>
          </w:tcPr>
          <w:p w:rsidR="002A5A5E" w:rsidRPr="00FC1444" w:rsidRDefault="00611CBA">
            <w:pPr>
              <w:jc w:val="center"/>
              <w:rPr>
                <w:rFonts w:eastAsiaTheme="minorEastAsia"/>
                <w:smallCaps/>
                <w:szCs w:val="21"/>
              </w:rPr>
            </w:pPr>
            <w:r w:rsidRPr="00FC1444">
              <w:rPr>
                <w:rFonts w:eastAsiaTheme="minorEastAsia"/>
                <w:smallCaps/>
                <w:szCs w:val="21"/>
              </w:rPr>
              <w:t>2</w:t>
            </w:r>
          </w:p>
        </w:tc>
        <w:tc>
          <w:tcPr>
            <w:tcW w:w="3419" w:type="dxa"/>
            <w:vAlign w:val="center"/>
          </w:tcPr>
          <w:p w:rsidR="002A5A5E" w:rsidRPr="00FC1444" w:rsidRDefault="00611CBA">
            <w:pPr>
              <w:jc w:val="center"/>
              <w:rPr>
                <w:rFonts w:eastAsiaTheme="minorEastAsia"/>
                <w:smallCaps/>
                <w:szCs w:val="21"/>
              </w:rPr>
            </w:pPr>
            <w:r w:rsidRPr="00FC1444">
              <w:rPr>
                <w:rFonts w:eastAsiaTheme="minorEastAsia"/>
                <w:smallCaps/>
                <w:szCs w:val="21"/>
              </w:rPr>
              <w:t>建设项目涉及经论证对保护生物多样性具有重要意义的区域时，可适当上调评价等级</w:t>
            </w:r>
          </w:p>
        </w:tc>
        <w:tc>
          <w:tcPr>
            <w:tcW w:w="2977" w:type="dxa"/>
            <w:vAlign w:val="center"/>
          </w:tcPr>
          <w:p w:rsidR="002A5A5E" w:rsidRPr="00FC1444" w:rsidRDefault="00611CBA">
            <w:pPr>
              <w:jc w:val="center"/>
              <w:rPr>
                <w:rFonts w:eastAsiaTheme="minorEastAsia"/>
                <w:smallCaps/>
                <w:szCs w:val="21"/>
              </w:rPr>
            </w:pPr>
            <w:r w:rsidRPr="00FC1444">
              <w:rPr>
                <w:rFonts w:eastAsiaTheme="minorEastAsia"/>
                <w:smallCaps/>
                <w:szCs w:val="21"/>
              </w:rPr>
              <w:t>不涉及</w:t>
            </w:r>
          </w:p>
        </w:tc>
        <w:tc>
          <w:tcPr>
            <w:tcW w:w="1184" w:type="dxa"/>
            <w:vAlign w:val="center"/>
          </w:tcPr>
          <w:p w:rsidR="002A5A5E" w:rsidRPr="00FC1444" w:rsidRDefault="00611CBA">
            <w:pPr>
              <w:jc w:val="center"/>
              <w:rPr>
                <w:rFonts w:eastAsiaTheme="minorEastAsia"/>
                <w:smallCaps/>
                <w:szCs w:val="21"/>
              </w:rPr>
            </w:pPr>
            <w:r w:rsidRPr="00FC1444">
              <w:rPr>
                <w:rFonts w:eastAsiaTheme="minorEastAsia"/>
                <w:smallCaps/>
                <w:szCs w:val="21"/>
              </w:rPr>
              <w:t>/</w:t>
            </w:r>
          </w:p>
        </w:tc>
      </w:tr>
      <w:tr w:rsidR="002A5A5E" w:rsidRPr="00FC1444">
        <w:trPr>
          <w:trHeight w:val="340"/>
        </w:trPr>
        <w:tc>
          <w:tcPr>
            <w:tcW w:w="942" w:type="dxa"/>
            <w:gridSpan w:val="2"/>
            <w:vAlign w:val="center"/>
          </w:tcPr>
          <w:p w:rsidR="002A5A5E" w:rsidRPr="00FC1444" w:rsidRDefault="00611CBA">
            <w:pPr>
              <w:jc w:val="center"/>
              <w:rPr>
                <w:rFonts w:eastAsiaTheme="minorEastAsia"/>
                <w:smallCaps/>
                <w:szCs w:val="21"/>
              </w:rPr>
            </w:pPr>
            <w:r w:rsidRPr="00FC1444">
              <w:rPr>
                <w:rFonts w:eastAsiaTheme="minorEastAsia"/>
                <w:smallCaps/>
                <w:szCs w:val="21"/>
              </w:rPr>
              <w:t>3</w:t>
            </w:r>
          </w:p>
        </w:tc>
        <w:tc>
          <w:tcPr>
            <w:tcW w:w="3419" w:type="dxa"/>
            <w:vAlign w:val="center"/>
          </w:tcPr>
          <w:p w:rsidR="002A5A5E" w:rsidRPr="00FC1444" w:rsidRDefault="00611CBA">
            <w:pPr>
              <w:jc w:val="center"/>
              <w:rPr>
                <w:rFonts w:eastAsiaTheme="minorEastAsia"/>
                <w:smallCaps/>
                <w:szCs w:val="21"/>
              </w:rPr>
            </w:pPr>
            <w:r w:rsidRPr="00FC1444">
              <w:rPr>
                <w:rFonts w:eastAsiaTheme="minorEastAsia"/>
                <w:smallCaps/>
                <w:szCs w:val="21"/>
              </w:rPr>
              <w:t>建设项目同时涉及陆生、水生生态影响时，可针对陆生生态、水生生态分别判定评价等级</w:t>
            </w:r>
          </w:p>
        </w:tc>
        <w:tc>
          <w:tcPr>
            <w:tcW w:w="2977" w:type="dxa"/>
            <w:vAlign w:val="center"/>
          </w:tcPr>
          <w:p w:rsidR="002A5A5E" w:rsidRPr="00FC1444" w:rsidRDefault="00611CBA">
            <w:pPr>
              <w:jc w:val="center"/>
              <w:rPr>
                <w:rFonts w:eastAsiaTheme="minorEastAsia"/>
                <w:smallCaps/>
                <w:szCs w:val="21"/>
              </w:rPr>
            </w:pPr>
            <w:r w:rsidRPr="00FC1444">
              <w:rPr>
                <w:rFonts w:eastAsiaTheme="minorEastAsia"/>
                <w:szCs w:val="21"/>
              </w:rPr>
              <w:t>陆生生态、水生生态分别判定评价等级</w:t>
            </w:r>
          </w:p>
        </w:tc>
        <w:tc>
          <w:tcPr>
            <w:tcW w:w="1184" w:type="dxa"/>
            <w:vAlign w:val="center"/>
          </w:tcPr>
          <w:p w:rsidR="002A5A5E" w:rsidRPr="00FC1444" w:rsidRDefault="00611CBA" w:rsidP="008B6C71">
            <w:pPr>
              <w:rPr>
                <w:rFonts w:eastAsiaTheme="minorEastAsia"/>
                <w:smallCaps/>
                <w:szCs w:val="21"/>
              </w:rPr>
            </w:pPr>
            <w:r w:rsidRPr="00FC1444">
              <w:rPr>
                <w:rFonts w:eastAsiaTheme="minorEastAsia"/>
                <w:smallCaps/>
                <w:szCs w:val="21"/>
              </w:rPr>
              <w:t>水生三级；陆生三级</w:t>
            </w:r>
          </w:p>
        </w:tc>
      </w:tr>
      <w:tr w:rsidR="002A5A5E" w:rsidRPr="00FC1444">
        <w:trPr>
          <w:trHeight w:val="340"/>
        </w:trPr>
        <w:tc>
          <w:tcPr>
            <w:tcW w:w="942" w:type="dxa"/>
            <w:gridSpan w:val="2"/>
            <w:vAlign w:val="center"/>
          </w:tcPr>
          <w:p w:rsidR="002A5A5E" w:rsidRPr="00FC1444" w:rsidRDefault="00611CBA">
            <w:pPr>
              <w:jc w:val="center"/>
              <w:rPr>
                <w:rFonts w:eastAsiaTheme="minorEastAsia"/>
                <w:smallCaps/>
                <w:szCs w:val="21"/>
              </w:rPr>
            </w:pPr>
            <w:r w:rsidRPr="00FC1444">
              <w:rPr>
                <w:rFonts w:eastAsiaTheme="minorEastAsia"/>
                <w:smallCaps/>
                <w:szCs w:val="21"/>
              </w:rPr>
              <w:t>4</w:t>
            </w:r>
          </w:p>
        </w:tc>
        <w:tc>
          <w:tcPr>
            <w:tcW w:w="3419" w:type="dxa"/>
            <w:vAlign w:val="center"/>
          </w:tcPr>
          <w:p w:rsidR="002A5A5E" w:rsidRPr="00FC1444" w:rsidRDefault="00611CBA">
            <w:pPr>
              <w:jc w:val="center"/>
              <w:rPr>
                <w:rFonts w:eastAsiaTheme="minorEastAsia"/>
                <w:smallCaps/>
                <w:szCs w:val="21"/>
              </w:rPr>
            </w:pPr>
            <w:r w:rsidRPr="00FC1444">
              <w:rPr>
                <w:rFonts w:eastAsiaTheme="minorEastAsia"/>
                <w:smallCaps/>
                <w:szCs w:val="21"/>
              </w:rPr>
              <w:t>在矿山</w:t>
            </w:r>
            <w:r w:rsidR="00760E2B" w:rsidRPr="00FC1444">
              <w:rPr>
                <w:rFonts w:eastAsiaTheme="minorEastAsia"/>
                <w:smallCaps/>
                <w:szCs w:val="21"/>
              </w:rPr>
              <w:t>开采</w:t>
            </w:r>
            <w:r w:rsidRPr="00FC1444">
              <w:rPr>
                <w:rFonts w:eastAsiaTheme="minorEastAsia"/>
                <w:smallCaps/>
                <w:szCs w:val="21"/>
              </w:rPr>
              <w:t>可能导致矿区土地利用类型明显改变，或拦河闸坝建设可能明显改变水文情势等情况下，评价等级应上调一级</w:t>
            </w:r>
          </w:p>
        </w:tc>
        <w:tc>
          <w:tcPr>
            <w:tcW w:w="2977" w:type="dxa"/>
            <w:vAlign w:val="center"/>
          </w:tcPr>
          <w:p w:rsidR="002A5A5E" w:rsidRPr="00FC1444" w:rsidRDefault="00611CBA">
            <w:pPr>
              <w:jc w:val="center"/>
              <w:rPr>
                <w:rFonts w:eastAsiaTheme="minorEastAsia"/>
                <w:smallCaps/>
                <w:szCs w:val="21"/>
              </w:rPr>
            </w:pPr>
            <w:r w:rsidRPr="00FC1444">
              <w:rPr>
                <w:rFonts w:eastAsiaTheme="minorEastAsia"/>
                <w:smallCaps/>
                <w:szCs w:val="21"/>
              </w:rPr>
              <w:t>不涉及</w:t>
            </w:r>
          </w:p>
        </w:tc>
        <w:tc>
          <w:tcPr>
            <w:tcW w:w="1184" w:type="dxa"/>
            <w:vAlign w:val="center"/>
          </w:tcPr>
          <w:p w:rsidR="002A5A5E" w:rsidRPr="00FC1444" w:rsidRDefault="00611CBA">
            <w:pPr>
              <w:jc w:val="center"/>
              <w:rPr>
                <w:rFonts w:eastAsiaTheme="minorEastAsia"/>
                <w:smallCaps/>
                <w:szCs w:val="21"/>
              </w:rPr>
            </w:pPr>
            <w:r w:rsidRPr="00FC1444">
              <w:rPr>
                <w:rFonts w:eastAsiaTheme="minorEastAsia"/>
                <w:smallCaps/>
                <w:szCs w:val="21"/>
              </w:rPr>
              <w:t>/</w:t>
            </w:r>
          </w:p>
        </w:tc>
      </w:tr>
      <w:tr w:rsidR="002A5A5E" w:rsidRPr="00FC1444">
        <w:trPr>
          <w:trHeight w:val="340"/>
        </w:trPr>
        <w:tc>
          <w:tcPr>
            <w:tcW w:w="942" w:type="dxa"/>
            <w:gridSpan w:val="2"/>
            <w:vAlign w:val="center"/>
          </w:tcPr>
          <w:p w:rsidR="002A5A5E" w:rsidRPr="00FC1444" w:rsidRDefault="00611CBA">
            <w:pPr>
              <w:jc w:val="center"/>
              <w:rPr>
                <w:rFonts w:eastAsiaTheme="minorEastAsia"/>
                <w:smallCaps/>
                <w:szCs w:val="21"/>
              </w:rPr>
            </w:pPr>
            <w:r w:rsidRPr="00FC1444">
              <w:rPr>
                <w:rFonts w:eastAsiaTheme="minorEastAsia"/>
                <w:smallCaps/>
                <w:szCs w:val="21"/>
              </w:rPr>
              <w:t>5</w:t>
            </w:r>
          </w:p>
        </w:tc>
        <w:tc>
          <w:tcPr>
            <w:tcW w:w="3419" w:type="dxa"/>
            <w:vAlign w:val="center"/>
          </w:tcPr>
          <w:p w:rsidR="002A5A5E" w:rsidRPr="00FC1444" w:rsidRDefault="00611CBA">
            <w:pPr>
              <w:jc w:val="center"/>
              <w:rPr>
                <w:rFonts w:eastAsiaTheme="minorEastAsia"/>
                <w:smallCaps/>
                <w:szCs w:val="21"/>
              </w:rPr>
            </w:pPr>
            <w:r w:rsidRPr="00FC1444">
              <w:rPr>
                <w:rFonts w:eastAsiaTheme="minorEastAsia"/>
                <w:smallCaps/>
                <w:szCs w:val="21"/>
              </w:rPr>
              <w:t>线性工程可分段确定评价等级。线性工程地下穿越或地表跨越生态敏感区，在生态敏感区范围内无永久、临时占地时，评价等级可下调一级</w:t>
            </w:r>
          </w:p>
        </w:tc>
        <w:tc>
          <w:tcPr>
            <w:tcW w:w="2977" w:type="dxa"/>
            <w:vAlign w:val="center"/>
          </w:tcPr>
          <w:p w:rsidR="002A5A5E" w:rsidRPr="00FC1444" w:rsidRDefault="008B6C71" w:rsidP="00C50480">
            <w:pPr>
              <w:jc w:val="center"/>
              <w:rPr>
                <w:rFonts w:eastAsiaTheme="minorEastAsia"/>
                <w:smallCaps/>
                <w:szCs w:val="21"/>
              </w:rPr>
            </w:pPr>
            <w:r w:rsidRPr="00FC1444">
              <w:rPr>
                <w:rFonts w:eastAsiaTheme="minorEastAsia"/>
                <w:smallCaps/>
                <w:szCs w:val="21"/>
              </w:rPr>
              <w:t>不涉及</w:t>
            </w:r>
          </w:p>
        </w:tc>
        <w:tc>
          <w:tcPr>
            <w:tcW w:w="1184" w:type="dxa"/>
            <w:vAlign w:val="center"/>
          </w:tcPr>
          <w:p w:rsidR="002A5A5E" w:rsidRPr="00FC1444" w:rsidRDefault="00DA59F3">
            <w:pPr>
              <w:jc w:val="center"/>
              <w:rPr>
                <w:rFonts w:eastAsiaTheme="minorEastAsia"/>
                <w:smallCaps/>
                <w:szCs w:val="21"/>
              </w:rPr>
            </w:pPr>
            <w:r w:rsidRPr="00FC1444">
              <w:rPr>
                <w:rFonts w:eastAsiaTheme="minorEastAsia"/>
                <w:smallCaps/>
                <w:szCs w:val="21"/>
              </w:rPr>
              <w:t>水生三级；陆生三级</w:t>
            </w:r>
          </w:p>
        </w:tc>
      </w:tr>
      <w:tr w:rsidR="002A5A5E" w:rsidRPr="00FC1444">
        <w:trPr>
          <w:trHeight w:val="340"/>
        </w:trPr>
        <w:tc>
          <w:tcPr>
            <w:tcW w:w="942" w:type="dxa"/>
            <w:gridSpan w:val="2"/>
            <w:vAlign w:val="center"/>
          </w:tcPr>
          <w:p w:rsidR="002A5A5E" w:rsidRPr="00FC1444" w:rsidRDefault="00611CBA">
            <w:pPr>
              <w:jc w:val="center"/>
              <w:rPr>
                <w:rFonts w:eastAsiaTheme="minorEastAsia"/>
                <w:smallCaps/>
                <w:szCs w:val="21"/>
              </w:rPr>
            </w:pPr>
            <w:r w:rsidRPr="00FC1444">
              <w:rPr>
                <w:rFonts w:eastAsiaTheme="minorEastAsia"/>
                <w:smallCaps/>
                <w:szCs w:val="21"/>
              </w:rPr>
              <w:t>6</w:t>
            </w:r>
          </w:p>
        </w:tc>
        <w:tc>
          <w:tcPr>
            <w:tcW w:w="3419" w:type="dxa"/>
            <w:vAlign w:val="center"/>
          </w:tcPr>
          <w:p w:rsidR="002A5A5E" w:rsidRPr="00FC1444" w:rsidRDefault="00611CBA">
            <w:pPr>
              <w:jc w:val="center"/>
              <w:rPr>
                <w:rFonts w:eastAsiaTheme="minorEastAsia"/>
                <w:smallCaps/>
                <w:szCs w:val="21"/>
              </w:rPr>
            </w:pPr>
            <w:r w:rsidRPr="00FC1444">
              <w:rPr>
                <w:rFonts w:eastAsiaTheme="minorEastAsia"/>
                <w:smallCaps/>
                <w:szCs w:val="21"/>
              </w:rPr>
              <w:t>涉海工程评价等级判定参照</w:t>
            </w:r>
            <w:r w:rsidRPr="00FC1444">
              <w:rPr>
                <w:rFonts w:eastAsiaTheme="minorEastAsia"/>
                <w:smallCaps/>
                <w:szCs w:val="21"/>
              </w:rPr>
              <w:t xml:space="preserve"> GB/T 19485</w:t>
            </w:r>
          </w:p>
        </w:tc>
        <w:tc>
          <w:tcPr>
            <w:tcW w:w="2977" w:type="dxa"/>
            <w:vAlign w:val="center"/>
          </w:tcPr>
          <w:p w:rsidR="002A5A5E" w:rsidRPr="00FC1444" w:rsidRDefault="00611CBA">
            <w:pPr>
              <w:jc w:val="center"/>
              <w:rPr>
                <w:rFonts w:eastAsiaTheme="minorEastAsia"/>
                <w:smallCaps/>
                <w:szCs w:val="21"/>
              </w:rPr>
            </w:pPr>
            <w:r w:rsidRPr="00FC1444">
              <w:rPr>
                <w:rFonts w:eastAsiaTheme="minorEastAsia"/>
                <w:smallCaps/>
                <w:szCs w:val="21"/>
              </w:rPr>
              <w:t>不涉及</w:t>
            </w:r>
          </w:p>
        </w:tc>
        <w:tc>
          <w:tcPr>
            <w:tcW w:w="1184" w:type="dxa"/>
            <w:vAlign w:val="center"/>
          </w:tcPr>
          <w:p w:rsidR="002A5A5E" w:rsidRPr="00FC1444" w:rsidRDefault="00611CBA">
            <w:pPr>
              <w:jc w:val="center"/>
              <w:rPr>
                <w:rFonts w:eastAsiaTheme="minorEastAsia"/>
                <w:smallCaps/>
                <w:szCs w:val="21"/>
              </w:rPr>
            </w:pPr>
            <w:r w:rsidRPr="00FC1444">
              <w:rPr>
                <w:rFonts w:eastAsiaTheme="minorEastAsia"/>
                <w:smallCaps/>
                <w:szCs w:val="21"/>
              </w:rPr>
              <w:t>/</w:t>
            </w:r>
          </w:p>
        </w:tc>
      </w:tr>
      <w:tr w:rsidR="002A5A5E" w:rsidRPr="00FC1444">
        <w:trPr>
          <w:trHeight w:val="340"/>
        </w:trPr>
        <w:tc>
          <w:tcPr>
            <w:tcW w:w="942" w:type="dxa"/>
            <w:gridSpan w:val="2"/>
            <w:vAlign w:val="center"/>
          </w:tcPr>
          <w:p w:rsidR="002A5A5E" w:rsidRPr="00FC1444" w:rsidRDefault="00611CBA">
            <w:pPr>
              <w:jc w:val="center"/>
              <w:rPr>
                <w:rFonts w:eastAsiaTheme="minorEastAsia"/>
                <w:smallCaps/>
                <w:szCs w:val="21"/>
              </w:rPr>
            </w:pPr>
            <w:r w:rsidRPr="00FC1444">
              <w:rPr>
                <w:rFonts w:eastAsiaTheme="minorEastAsia"/>
                <w:smallCaps/>
                <w:szCs w:val="21"/>
              </w:rPr>
              <w:t>7</w:t>
            </w:r>
          </w:p>
        </w:tc>
        <w:tc>
          <w:tcPr>
            <w:tcW w:w="3419" w:type="dxa"/>
            <w:vAlign w:val="center"/>
          </w:tcPr>
          <w:p w:rsidR="002A5A5E" w:rsidRPr="00FC1444" w:rsidRDefault="00611CBA">
            <w:pPr>
              <w:jc w:val="center"/>
              <w:rPr>
                <w:rFonts w:eastAsiaTheme="minorEastAsia"/>
                <w:smallCaps/>
                <w:szCs w:val="21"/>
              </w:rPr>
            </w:pPr>
            <w:r w:rsidRPr="00FC1444">
              <w:rPr>
                <w:rFonts w:eastAsiaTheme="minorEastAsia"/>
                <w:smallCaps/>
                <w:szCs w:val="21"/>
              </w:rPr>
              <w:t>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tc>
        <w:tc>
          <w:tcPr>
            <w:tcW w:w="2977" w:type="dxa"/>
            <w:vAlign w:val="center"/>
          </w:tcPr>
          <w:p w:rsidR="002A5A5E" w:rsidRPr="00FC1444" w:rsidRDefault="00611CBA">
            <w:pPr>
              <w:jc w:val="center"/>
              <w:rPr>
                <w:rFonts w:eastAsiaTheme="minorEastAsia"/>
                <w:smallCaps/>
                <w:szCs w:val="21"/>
              </w:rPr>
            </w:pPr>
            <w:r w:rsidRPr="00FC1444">
              <w:rPr>
                <w:rFonts w:eastAsiaTheme="minorEastAsia"/>
                <w:smallCaps/>
                <w:szCs w:val="21"/>
              </w:rPr>
              <w:t>不涉及</w:t>
            </w:r>
          </w:p>
        </w:tc>
        <w:tc>
          <w:tcPr>
            <w:tcW w:w="1184" w:type="dxa"/>
            <w:vAlign w:val="center"/>
          </w:tcPr>
          <w:p w:rsidR="002A5A5E" w:rsidRPr="00FC1444" w:rsidRDefault="00611CBA">
            <w:pPr>
              <w:jc w:val="center"/>
              <w:rPr>
                <w:rFonts w:eastAsiaTheme="minorEastAsia"/>
                <w:smallCaps/>
                <w:szCs w:val="21"/>
              </w:rPr>
            </w:pPr>
            <w:r w:rsidRPr="00FC1444">
              <w:rPr>
                <w:rFonts w:eastAsiaTheme="minorEastAsia"/>
                <w:smallCaps/>
                <w:szCs w:val="21"/>
              </w:rPr>
              <w:t>/</w:t>
            </w:r>
          </w:p>
        </w:tc>
      </w:tr>
    </w:tbl>
    <w:p w:rsidR="002A5A5E" w:rsidRPr="00FC1444" w:rsidRDefault="00611CBA">
      <w:pPr>
        <w:pStyle w:val="30"/>
        <w:spacing w:before="100" w:beforeAutospacing="1" w:after="100" w:afterAutospacing="1" w:line="240" w:lineRule="auto"/>
        <w:ind w:firstLineChars="0" w:firstLine="0"/>
        <w:contextualSpacing/>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2.6.6</w:t>
      </w:r>
      <w:r w:rsidRPr="00FC1444">
        <w:rPr>
          <w:rFonts w:ascii="Times New Roman" w:eastAsiaTheme="minorEastAsia" w:hAnsi="Times New Roman" w:cs="Times New Roman"/>
          <w:b/>
          <w:sz w:val="28"/>
          <w:szCs w:val="28"/>
        </w:rPr>
        <w:t>土壤评价工作等级</w:t>
      </w:r>
    </w:p>
    <w:p w:rsidR="002A5A5E" w:rsidRPr="00FC1444" w:rsidRDefault="00611CBA">
      <w:pPr>
        <w:spacing w:line="360" w:lineRule="auto"/>
        <w:ind w:firstLineChars="200" w:firstLine="480"/>
        <w:contextualSpacing/>
        <w:rPr>
          <w:rFonts w:eastAsiaTheme="minorEastAsia"/>
          <w:snapToGrid w:val="0"/>
          <w:kern w:val="0"/>
          <w:sz w:val="24"/>
          <w:szCs w:val="22"/>
        </w:rPr>
      </w:pPr>
      <w:r w:rsidRPr="00FC1444">
        <w:rPr>
          <w:rFonts w:eastAsiaTheme="minorEastAsia"/>
          <w:snapToGrid w:val="0"/>
          <w:kern w:val="0"/>
          <w:sz w:val="24"/>
          <w:szCs w:val="22"/>
        </w:rPr>
        <w:t>根据《环境影响评价技术导则</w:t>
      </w:r>
      <w:r w:rsidRPr="00FC1444">
        <w:rPr>
          <w:rFonts w:eastAsiaTheme="minorEastAsia"/>
          <w:snapToGrid w:val="0"/>
          <w:kern w:val="0"/>
          <w:sz w:val="24"/>
          <w:szCs w:val="22"/>
        </w:rPr>
        <w:t xml:space="preserve"> </w:t>
      </w:r>
      <w:r w:rsidRPr="00FC1444">
        <w:rPr>
          <w:rFonts w:eastAsiaTheme="minorEastAsia"/>
          <w:snapToGrid w:val="0"/>
          <w:sz w:val="24"/>
          <w:szCs w:val="22"/>
        </w:rPr>
        <w:t>土壤环境（试行）</w:t>
      </w:r>
      <w:r w:rsidRPr="00FC1444">
        <w:rPr>
          <w:rFonts w:eastAsiaTheme="minorEastAsia"/>
          <w:snapToGrid w:val="0"/>
          <w:kern w:val="0"/>
          <w:sz w:val="24"/>
          <w:szCs w:val="22"/>
        </w:rPr>
        <w:t>》（</w:t>
      </w:r>
      <w:r w:rsidRPr="00FC1444">
        <w:rPr>
          <w:rFonts w:eastAsiaTheme="minorEastAsia"/>
          <w:snapToGrid w:val="0"/>
          <w:kern w:val="0"/>
          <w:sz w:val="24"/>
          <w:szCs w:val="22"/>
        </w:rPr>
        <w:t>HJ</w:t>
      </w:r>
      <w:r w:rsidRPr="00FC1444">
        <w:rPr>
          <w:rFonts w:eastAsiaTheme="minorEastAsia"/>
          <w:snapToGrid w:val="0"/>
          <w:sz w:val="24"/>
          <w:szCs w:val="22"/>
        </w:rPr>
        <w:t>964</w:t>
      </w:r>
      <w:r w:rsidRPr="00FC1444">
        <w:rPr>
          <w:rFonts w:eastAsiaTheme="minorEastAsia"/>
          <w:snapToGrid w:val="0"/>
          <w:kern w:val="0"/>
          <w:sz w:val="24"/>
          <w:szCs w:val="22"/>
        </w:rPr>
        <w:t>-201</w:t>
      </w:r>
      <w:r w:rsidRPr="00FC1444">
        <w:rPr>
          <w:rFonts w:eastAsiaTheme="minorEastAsia"/>
          <w:snapToGrid w:val="0"/>
          <w:sz w:val="24"/>
          <w:szCs w:val="22"/>
        </w:rPr>
        <w:t>8</w:t>
      </w:r>
      <w:r w:rsidRPr="00FC1444">
        <w:rPr>
          <w:rFonts w:eastAsiaTheme="minorEastAsia"/>
          <w:snapToGrid w:val="0"/>
          <w:kern w:val="0"/>
          <w:sz w:val="24"/>
          <w:szCs w:val="22"/>
        </w:rPr>
        <w:t>），本项目属于生态影响型项目。根据附录</w:t>
      </w:r>
      <w:r w:rsidRPr="00FC1444">
        <w:rPr>
          <w:rFonts w:eastAsiaTheme="minorEastAsia"/>
          <w:snapToGrid w:val="0"/>
          <w:kern w:val="0"/>
          <w:sz w:val="24"/>
          <w:szCs w:val="22"/>
        </w:rPr>
        <w:t>A</w:t>
      </w:r>
      <w:r w:rsidRPr="00FC1444">
        <w:rPr>
          <w:rFonts w:eastAsiaTheme="minorEastAsia"/>
          <w:snapToGrid w:val="0"/>
          <w:kern w:val="0"/>
          <w:sz w:val="24"/>
          <w:szCs w:val="22"/>
        </w:rPr>
        <w:t>土壤环境影响评价项目类别判断本项目类别，具体见表</w:t>
      </w:r>
      <w:r w:rsidRPr="00FC1444">
        <w:rPr>
          <w:rFonts w:eastAsiaTheme="minorEastAsia"/>
          <w:snapToGrid w:val="0"/>
          <w:kern w:val="0"/>
          <w:sz w:val="24"/>
          <w:szCs w:val="22"/>
        </w:rPr>
        <w:t>2-6-7</w:t>
      </w:r>
      <w:r w:rsidRPr="00FC1444">
        <w:rPr>
          <w:rFonts w:eastAsiaTheme="minorEastAsia"/>
          <w:snapToGrid w:val="0"/>
          <w:kern w:val="0"/>
          <w:sz w:val="24"/>
          <w:szCs w:val="22"/>
        </w:rPr>
        <w:t>。</w:t>
      </w:r>
    </w:p>
    <w:p w:rsidR="00AA4603" w:rsidRPr="00FC1444" w:rsidRDefault="00AA4603">
      <w:pPr>
        <w:contextualSpacing/>
        <w:jc w:val="center"/>
        <w:rPr>
          <w:rFonts w:eastAsiaTheme="minorEastAsia"/>
          <w:b/>
          <w:kern w:val="0"/>
          <w:szCs w:val="21"/>
        </w:rPr>
      </w:pPr>
    </w:p>
    <w:p w:rsidR="00AA4603" w:rsidRPr="00FC1444" w:rsidRDefault="00AA4603">
      <w:pPr>
        <w:contextualSpacing/>
        <w:jc w:val="center"/>
        <w:rPr>
          <w:rFonts w:eastAsiaTheme="minorEastAsia"/>
          <w:b/>
          <w:kern w:val="0"/>
          <w:szCs w:val="21"/>
        </w:rPr>
      </w:pPr>
    </w:p>
    <w:p w:rsidR="00AA4603" w:rsidRPr="00FC1444" w:rsidRDefault="00AA4603">
      <w:pPr>
        <w:contextualSpacing/>
        <w:jc w:val="center"/>
        <w:rPr>
          <w:rFonts w:eastAsiaTheme="minorEastAsia"/>
          <w:b/>
          <w:kern w:val="0"/>
          <w:szCs w:val="21"/>
        </w:rPr>
      </w:pPr>
    </w:p>
    <w:p w:rsidR="008B6C71" w:rsidRPr="00FC1444" w:rsidRDefault="008B6C71">
      <w:pPr>
        <w:contextualSpacing/>
        <w:jc w:val="center"/>
        <w:rPr>
          <w:rFonts w:eastAsiaTheme="minorEastAsia"/>
          <w:b/>
          <w:kern w:val="0"/>
          <w:szCs w:val="21"/>
        </w:rPr>
      </w:pPr>
    </w:p>
    <w:p w:rsidR="008B6C71" w:rsidRPr="00FC1444" w:rsidRDefault="008B6C71">
      <w:pPr>
        <w:contextualSpacing/>
        <w:jc w:val="center"/>
        <w:rPr>
          <w:rFonts w:eastAsiaTheme="minorEastAsia"/>
          <w:b/>
          <w:kern w:val="0"/>
          <w:szCs w:val="21"/>
        </w:rPr>
      </w:pPr>
    </w:p>
    <w:p w:rsidR="008B6C71" w:rsidRPr="00FC1444" w:rsidRDefault="008B6C71">
      <w:pPr>
        <w:contextualSpacing/>
        <w:jc w:val="center"/>
        <w:rPr>
          <w:rFonts w:eastAsiaTheme="minorEastAsia"/>
          <w:b/>
          <w:kern w:val="0"/>
          <w:szCs w:val="21"/>
        </w:rPr>
      </w:pPr>
    </w:p>
    <w:p w:rsidR="00AA4603" w:rsidRPr="00FC1444" w:rsidRDefault="00AA4603">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2-6-7</w:t>
      </w:r>
      <w:r w:rsidRPr="00FC1444">
        <w:rPr>
          <w:rFonts w:eastAsiaTheme="minorEastAsia"/>
          <w:b/>
          <w:kern w:val="0"/>
          <w:szCs w:val="21"/>
        </w:rPr>
        <w:t>土壤环境影响评价项目类别</w:t>
      </w:r>
    </w:p>
    <w:tbl>
      <w:tblPr>
        <w:tblW w:w="0" w:type="auto"/>
        <w:jc w:val="center"/>
        <w:tblBorders>
          <w:top w:val="single" w:sz="12" w:space="0" w:color="auto"/>
          <w:bottom w:val="single" w:sz="12" w:space="0" w:color="auto"/>
          <w:insideH w:val="single" w:sz="4" w:space="0" w:color="auto"/>
          <w:insideV w:val="single" w:sz="4" w:space="0" w:color="auto"/>
        </w:tblBorders>
        <w:tblLook w:val="04A0"/>
      </w:tblPr>
      <w:tblGrid>
        <w:gridCol w:w="1704"/>
        <w:gridCol w:w="1665"/>
        <w:gridCol w:w="2551"/>
        <w:gridCol w:w="1134"/>
        <w:gridCol w:w="1468"/>
      </w:tblGrid>
      <w:tr w:rsidR="002A5A5E" w:rsidRPr="00FC1444">
        <w:trPr>
          <w:jc w:val="center"/>
        </w:trPr>
        <w:tc>
          <w:tcPr>
            <w:tcW w:w="1704" w:type="dxa"/>
            <w:vMerge w:val="restart"/>
            <w:tcBorders>
              <w:top w:val="single" w:sz="12" w:space="0" w:color="auto"/>
              <w:left w:val="nil"/>
              <w:bottom w:val="single" w:sz="4" w:space="0" w:color="auto"/>
              <w:right w:val="single" w:sz="4" w:space="0" w:color="auto"/>
            </w:tcBorders>
            <w:vAlign w:val="center"/>
          </w:tcPr>
          <w:p w:rsidR="002A5A5E" w:rsidRPr="00FC1444" w:rsidRDefault="00611CBA">
            <w:pPr>
              <w:spacing w:line="0" w:lineRule="atLeast"/>
              <w:jc w:val="center"/>
              <w:rPr>
                <w:rFonts w:eastAsiaTheme="minorEastAsia"/>
                <w:snapToGrid w:val="0"/>
                <w:szCs w:val="21"/>
              </w:rPr>
            </w:pPr>
            <w:r w:rsidRPr="00FC1444">
              <w:rPr>
                <w:rFonts w:eastAsiaTheme="minorEastAsia"/>
                <w:snapToGrid w:val="0"/>
                <w:szCs w:val="21"/>
              </w:rPr>
              <w:t>行业类别</w:t>
            </w:r>
          </w:p>
        </w:tc>
        <w:tc>
          <w:tcPr>
            <w:tcW w:w="6818" w:type="dxa"/>
            <w:gridSpan w:val="4"/>
            <w:tcBorders>
              <w:top w:val="single" w:sz="12" w:space="0" w:color="auto"/>
              <w:left w:val="single" w:sz="4" w:space="0" w:color="auto"/>
              <w:bottom w:val="single" w:sz="4" w:space="0" w:color="auto"/>
              <w:right w:val="nil"/>
            </w:tcBorders>
            <w:vAlign w:val="center"/>
          </w:tcPr>
          <w:p w:rsidR="002A5A5E" w:rsidRPr="00FC1444" w:rsidRDefault="00611CBA">
            <w:pPr>
              <w:spacing w:line="0" w:lineRule="atLeast"/>
              <w:jc w:val="center"/>
              <w:rPr>
                <w:rFonts w:eastAsiaTheme="minorEastAsia"/>
                <w:snapToGrid w:val="0"/>
                <w:szCs w:val="21"/>
              </w:rPr>
            </w:pPr>
            <w:r w:rsidRPr="00FC1444">
              <w:rPr>
                <w:rFonts w:eastAsiaTheme="minorEastAsia"/>
                <w:snapToGrid w:val="0"/>
                <w:szCs w:val="21"/>
              </w:rPr>
              <w:t>项目类别</w:t>
            </w:r>
          </w:p>
        </w:tc>
      </w:tr>
      <w:tr w:rsidR="002A5A5E" w:rsidRPr="00FC1444">
        <w:trPr>
          <w:jc w:val="center"/>
        </w:trPr>
        <w:tc>
          <w:tcPr>
            <w:tcW w:w="0" w:type="auto"/>
            <w:vMerge/>
            <w:tcBorders>
              <w:top w:val="single" w:sz="12" w:space="0" w:color="auto"/>
              <w:left w:val="nil"/>
              <w:bottom w:val="single" w:sz="4" w:space="0" w:color="auto"/>
              <w:right w:val="single" w:sz="4" w:space="0" w:color="auto"/>
            </w:tcBorders>
            <w:vAlign w:val="center"/>
          </w:tcPr>
          <w:p w:rsidR="002A5A5E" w:rsidRPr="00FC1444" w:rsidRDefault="002A5A5E">
            <w:pPr>
              <w:widowControl/>
              <w:jc w:val="left"/>
              <w:rPr>
                <w:rFonts w:eastAsiaTheme="minorEastAsia"/>
                <w:snapToGrid w:val="0"/>
                <w:szCs w:val="21"/>
              </w:rPr>
            </w:pPr>
          </w:p>
        </w:tc>
        <w:tc>
          <w:tcPr>
            <w:tcW w:w="1665" w:type="dxa"/>
            <w:tcBorders>
              <w:top w:val="single" w:sz="4" w:space="0" w:color="auto"/>
              <w:left w:val="single" w:sz="4" w:space="0" w:color="auto"/>
              <w:bottom w:val="single" w:sz="4" w:space="0" w:color="auto"/>
              <w:right w:val="single" w:sz="4" w:space="0" w:color="auto"/>
            </w:tcBorders>
            <w:vAlign w:val="center"/>
          </w:tcPr>
          <w:p w:rsidR="002A5A5E" w:rsidRPr="00FC1444" w:rsidRDefault="00611CBA">
            <w:pPr>
              <w:spacing w:line="0" w:lineRule="atLeast"/>
              <w:jc w:val="center"/>
              <w:rPr>
                <w:rFonts w:eastAsiaTheme="minorEastAsia"/>
                <w:snapToGrid w:val="0"/>
                <w:szCs w:val="21"/>
              </w:rPr>
            </w:pPr>
            <w:r w:rsidRPr="00FC1444">
              <w:rPr>
                <w:rFonts w:eastAsiaTheme="minorEastAsia"/>
                <w:snapToGrid w:val="0"/>
                <w:szCs w:val="21"/>
              </w:rPr>
              <w:t>Ⅰ</w:t>
            </w:r>
            <w:r w:rsidRPr="00FC1444">
              <w:rPr>
                <w:rFonts w:eastAsiaTheme="minorEastAsia"/>
                <w:snapToGrid w:val="0"/>
                <w:szCs w:val="21"/>
              </w:rPr>
              <w:t>类</w:t>
            </w:r>
          </w:p>
        </w:tc>
        <w:tc>
          <w:tcPr>
            <w:tcW w:w="2551" w:type="dxa"/>
            <w:tcBorders>
              <w:top w:val="single" w:sz="4" w:space="0" w:color="auto"/>
              <w:left w:val="single" w:sz="4" w:space="0" w:color="auto"/>
              <w:bottom w:val="single" w:sz="4" w:space="0" w:color="auto"/>
              <w:right w:val="single" w:sz="4" w:space="0" w:color="auto"/>
            </w:tcBorders>
            <w:vAlign w:val="center"/>
          </w:tcPr>
          <w:p w:rsidR="002A5A5E" w:rsidRPr="00FC1444" w:rsidRDefault="00611CBA">
            <w:pPr>
              <w:spacing w:line="0" w:lineRule="atLeast"/>
              <w:jc w:val="center"/>
              <w:rPr>
                <w:rFonts w:eastAsiaTheme="minorEastAsia"/>
                <w:snapToGrid w:val="0"/>
                <w:szCs w:val="21"/>
              </w:rPr>
            </w:pPr>
            <w:r w:rsidRPr="00FC1444">
              <w:rPr>
                <w:rFonts w:eastAsiaTheme="minorEastAsia"/>
                <w:snapToGrid w:val="0"/>
                <w:szCs w:val="21"/>
              </w:rPr>
              <w:t>Ⅱ</w:t>
            </w:r>
            <w:r w:rsidRPr="00FC1444">
              <w:rPr>
                <w:rFonts w:eastAsiaTheme="minorEastAsia"/>
                <w:snapToGrid w:val="0"/>
                <w:szCs w:val="21"/>
              </w:rPr>
              <w:t>类</w:t>
            </w:r>
          </w:p>
        </w:tc>
        <w:tc>
          <w:tcPr>
            <w:tcW w:w="1134" w:type="dxa"/>
            <w:tcBorders>
              <w:top w:val="single" w:sz="4" w:space="0" w:color="auto"/>
              <w:left w:val="single" w:sz="4" w:space="0" w:color="auto"/>
              <w:bottom w:val="single" w:sz="4" w:space="0" w:color="auto"/>
              <w:right w:val="single" w:sz="4" w:space="0" w:color="auto"/>
            </w:tcBorders>
            <w:vAlign w:val="center"/>
          </w:tcPr>
          <w:p w:rsidR="002A5A5E" w:rsidRPr="00FC1444" w:rsidRDefault="00611CBA">
            <w:pPr>
              <w:spacing w:line="0" w:lineRule="atLeast"/>
              <w:jc w:val="center"/>
              <w:rPr>
                <w:rFonts w:eastAsiaTheme="minorEastAsia"/>
                <w:b/>
                <w:snapToGrid w:val="0"/>
                <w:szCs w:val="21"/>
              </w:rPr>
            </w:pPr>
            <w:r w:rsidRPr="00FC1444">
              <w:rPr>
                <w:rFonts w:eastAsiaTheme="minorEastAsia"/>
                <w:b/>
                <w:snapToGrid w:val="0"/>
                <w:szCs w:val="21"/>
              </w:rPr>
              <w:t>Ⅲ</w:t>
            </w:r>
            <w:r w:rsidRPr="00FC1444">
              <w:rPr>
                <w:rFonts w:eastAsiaTheme="minorEastAsia"/>
                <w:b/>
                <w:snapToGrid w:val="0"/>
                <w:szCs w:val="21"/>
              </w:rPr>
              <w:t>类</w:t>
            </w:r>
          </w:p>
        </w:tc>
        <w:tc>
          <w:tcPr>
            <w:tcW w:w="1468" w:type="dxa"/>
            <w:tcBorders>
              <w:top w:val="single" w:sz="4" w:space="0" w:color="auto"/>
              <w:left w:val="single" w:sz="4" w:space="0" w:color="auto"/>
              <w:bottom w:val="single" w:sz="4" w:space="0" w:color="auto"/>
              <w:right w:val="nil"/>
            </w:tcBorders>
            <w:vAlign w:val="center"/>
          </w:tcPr>
          <w:p w:rsidR="002A5A5E" w:rsidRPr="00FC1444" w:rsidRDefault="00611CBA">
            <w:pPr>
              <w:spacing w:line="0" w:lineRule="atLeast"/>
              <w:jc w:val="center"/>
              <w:rPr>
                <w:rFonts w:eastAsiaTheme="minorEastAsia"/>
                <w:snapToGrid w:val="0"/>
                <w:szCs w:val="21"/>
              </w:rPr>
            </w:pPr>
            <w:r w:rsidRPr="00FC1444">
              <w:rPr>
                <w:rFonts w:eastAsiaTheme="minorEastAsia"/>
                <w:snapToGrid w:val="0"/>
                <w:szCs w:val="21"/>
              </w:rPr>
              <w:t>Ⅳ</w:t>
            </w:r>
            <w:r w:rsidRPr="00FC1444">
              <w:rPr>
                <w:rFonts w:eastAsiaTheme="minorEastAsia"/>
                <w:snapToGrid w:val="0"/>
                <w:szCs w:val="21"/>
              </w:rPr>
              <w:t>类</w:t>
            </w:r>
          </w:p>
        </w:tc>
      </w:tr>
      <w:tr w:rsidR="002A5A5E" w:rsidRPr="00FC1444">
        <w:trPr>
          <w:jc w:val="center"/>
        </w:trPr>
        <w:tc>
          <w:tcPr>
            <w:tcW w:w="1704" w:type="dxa"/>
            <w:tcBorders>
              <w:top w:val="single" w:sz="4" w:space="0" w:color="auto"/>
              <w:left w:val="nil"/>
              <w:bottom w:val="single" w:sz="4" w:space="0" w:color="auto"/>
              <w:right w:val="single" w:sz="4" w:space="0" w:color="auto"/>
            </w:tcBorders>
            <w:vAlign w:val="center"/>
          </w:tcPr>
          <w:p w:rsidR="002A5A5E" w:rsidRPr="00FC1444" w:rsidRDefault="00611CBA">
            <w:pPr>
              <w:pStyle w:val="Default"/>
              <w:jc w:val="center"/>
              <w:rPr>
                <w:rFonts w:ascii="Times New Roman" w:eastAsiaTheme="minorEastAsia" w:hAnsi="Times New Roman" w:cs="Times New Roman"/>
                <w:color w:val="auto"/>
                <w:sz w:val="21"/>
                <w:szCs w:val="21"/>
              </w:rPr>
            </w:pPr>
            <w:r w:rsidRPr="00FC1444">
              <w:rPr>
                <w:rFonts w:ascii="Times New Roman" w:eastAsiaTheme="minorEastAsia" w:hAnsi="Times New Roman" w:cs="Times New Roman"/>
                <w:color w:val="auto"/>
                <w:sz w:val="21"/>
                <w:szCs w:val="21"/>
              </w:rPr>
              <w:t>水利</w:t>
            </w:r>
          </w:p>
        </w:tc>
        <w:tc>
          <w:tcPr>
            <w:tcW w:w="1665" w:type="dxa"/>
            <w:tcBorders>
              <w:top w:val="single" w:sz="4" w:space="0" w:color="auto"/>
              <w:left w:val="single" w:sz="4" w:space="0" w:color="auto"/>
              <w:bottom w:val="single" w:sz="4" w:space="0" w:color="auto"/>
              <w:right w:val="single" w:sz="4" w:space="0" w:color="auto"/>
            </w:tcBorders>
            <w:vAlign w:val="center"/>
          </w:tcPr>
          <w:p w:rsidR="002A5A5E" w:rsidRPr="00FC1444" w:rsidRDefault="00611CBA">
            <w:pPr>
              <w:pStyle w:val="Default"/>
              <w:jc w:val="center"/>
              <w:rPr>
                <w:rFonts w:ascii="Times New Roman" w:eastAsiaTheme="minorEastAsia" w:hAnsi="Times New Roman" w:cs="Times New Roman"/>
                <w:color w:val="auto"/>
                <w:sz w:val="21"/>
                <w:szCs w:val="21"/>
              </w:rPr>
            </w:pPr>
            <w:r w:rsidRPr="00FC1444">
              <w:rPr>
                <w:rFonts w:ascii="Times New Roman" w:eastAsiaTheme="minorEastAsia" w:hAnsi="Times New Roman" w:cs="Times New Roman"/>
                <w:color w:val="auto"/>
                <w:sz w:val="21"/>
                <w:szCs w:val="21"/>
              </w:rPr>
              <w:t>库容</w:t>
            </w:r>
            <w:r w:rsidRPr="00FC1444">
              <w:rPr>
                <w:rFonts w:ascii="Times New Roman" w:eastAsiaTheme="minorEastAsia" w:hAnsi="Times New Roman" w:cs="Times New Roman"/>
                <w:color w:val="auto"/>
                <w:sz w:val="21"/>
                <w:szCs w:val="21"/>
              </w:rPr>
              <w:t>1</w:t>
            </w:r>
            <w:r w:rsidRPr="00FC1444">
              <w:rPr>
                <w:rFonts w:ascii="Times New Roman" w:eastAsiaTheme="minorEastAsia" w:hAnsi="Times New Roman" w:cs="Times New Roman"/>
                <w:color w:val="auto"/>
                <w:sz w:val="21"/>
                <w:szCs w:val="21"/>
              </w:rPr>
              <w:t>亿</w:t>
            </w:r>
            <w:r w:rsidRPr="00FC1444">
              <w:rPr>
                <w:rFonts w:ascii="Times New Roman" w:eastAsiaTheme="minorEastAsia" w:hAnsi="Times New Roman" w:cs="Times New Roman"/>
                <w:color w:val="auto"/>
                <w:sz w:val="21"/>
                <w:szCs w:val="21"/>
              </w:rPr>
              <w:t>m</w:t>
            </w:r>
            <w:r w:rsidRPr="00FC1444">
              <w:rPr>
                <w:rFonts w:ascii="Times New Roman" w:eastAsiaTheme="minorEastAsia" w:hAnsi="Times New Roman" w:cs="Times New Roman"/>
                <w:color w:val="auto"/>
                <w:sz w:val="21"/>
                <w:szCs w:val="21"/>
                <w:vertAlign w:val="superscript"/>
              </w:rPr>
              <w:t>3</w:t>
            </w:r>
            <w:r w:rsidRPr="00FC1444">
              <w:rPr>
                <w:rFonts w:ascii="Times New Roman" w:eastAsiaTheme="minorEastAsia" w:hAnsi="Times New Roman" w:cs="Times New Roman"/>
                <w:color w:val="auto"/>
                <w:sz w:val="21"/>
                <w:szCs w:val="21"/>
              </w:rPr>
              <w:t>及以上水库；长度大于</w:t>
            </w:r>
            <w:r w:rsidRPr="00FC1444">
              <w:rPr>
                <w:rFonts w:ascii="Times New Roman" w:eastAsiaTheme="minorEastAsia" w:hAnsi="Times New Roman" w:cs="Times New Roman"/>
                <w:color w:val="auto"/>
                <w:sz w:val="21"/>
                <w:szCs w:val="21"/>
              </w:rPr>
              <w:t>1000km</w:t>
            </w:r>
            <w:r w:rsidRPr="00FC1444">
              <w:rPr>
                <w:rFonts w:ascii="Times New Roman" w:eastAsiaTheme="minorEastAsia" w:hAnsi="Times New Roman" w:cs="Times New Roman"/>
                <w:color w:val="auto"/>
                <w:sz w:val="21"/>
                <w:szCs w:val="21"/>
              </w:rPr>
              <w:t>的引水工程</w:t>
            </w:r>
          </w:p>
        </w:tc>
        <w:tc>
          <w:tcPr>
            <w:tcW w:w="2551" w:type="dxa"/>
            <w:tcBorders>
              <w:top w:val="single" w:sz="4" w:space="0" w:color="auto"/>
              <w:left w:val="single" w:sz="4" w:space="0" w:color="auto"/>
              <w:bottom w:val="single" w:sz="4" w:space="0" w:color="auto"/>
              <w:right w:val="single" w:sz="4" w:space="0" w:color="auto"/>
            </w:tcBorders>
            <w:vAlign w:val="center"/>
          </w:tcPr>
          <w:p w:rsidR="002A5A5E" w:rsidRPr="00FC1444" w:rsidRDefault="00611CBA">
            <w:pPr>
              <w:pStyle w:val="Default"/>
              <w:jc w:val="center"/>
              <w:rPr>
                <w:rFonts w:ascii="Times New Roman" w:eastAsiaTheme="minorEastAsia" w:hAnsi="Times New Roman" w:cs="Times New Roman"/>
                <w:b/>
                <w:bCs/>
                <w:color w:val="auto"/>
                <w:sz w:val="21"/>
                <w:szCs w:val="21"/>
              </w:rPr>
            </w:pPr>
            <w:r w:rsidRPr="00FC1444">
              <w:rPr>
                <w:rFonts w:ascii="Times New Roman" w:eastAsiaTheme="minorEastAsia" w:hAnsi="Times New Roman" w:cs="Times New Roman"/>
                <w:color w:val="auto"/>
                <w:sz w:val="21"/>
                <w:szCs w:val="21"/>
              </w:rPr>
              <w:t>库容</w:t>
            </w:r>
            <w:r w:rsidRPr="00FC1444">
              <w:rPr>
                <w:rFonts w:ascii="Times New Roman" w:eastAsiaTheme="minorEastAsia" w:hAnsi="Times New Roman" w:cs="Times New Roman"/>
                <w:color w:val="auto"/>
                <w:sz w:val="21"/>
                <w:szCs w:val="21"/>
              </w:rPr>
              <w:t>1000</w:t>
            </w:r>
            <w:r w:rsidRPr="00FC1444">
              <w:rPr>
                <w:rFonts w:ascii="Times New Roman" w:eastAsiaTheme="minorEastAsia" w:hAnsi="Times New Roman" w:cs="Times New Roman"/>
                <w:color w:val="auto"/>
                <w:sz w:val="21"/>
                <w:szCs w:val="21"/>
              </w:rPr>
              <w:t>万</w:t>
            </w:r>
            <w:r w:rsidRPr="00FC1444">
              <w:rPr>
                <w:rFonts w:ascii="Times New Roman" w:eastAsiaTheme="minorEastAsia" w:hAnsi="Times New Roman" w:cs="Times New Roman"/>
                <w:color w:val="auto"/>
                <w:sz w:val="21"/>
                <w:szCs w:val="21"/>
              </w:rPr>
              <w:t>m</w:t>
            </w:r>
            <w:r w:rsidRPr="00FC1444">
              <w:rPr>
                <w:rFonts w:ascii="Times New Roman" w:eastAsiaTheme="minorEastAsia" w:hAnsi="Times New Roman" w:cs="Times New Roman"/>
                <w:color w:val="auto"/>
                <w:sz w:val="21"/>
                <w:szCs w:val="21"/>
                <w:vertAlign w:val="superscript"/>
              </w:rPr>
              <w:t>3</w:t>
            </w:r>
            <w:r w:rsidRPr="00FC1444">
              <w:rPr>
                <w:rFonts w:ascii="Times New Roman" w:eastAsiaTheme="minorEastAsia" w:hAnsi="Times New Roman" w:cs="Times New Roman"/>
                <w:color w:val="auto"/>
                <w:sz w:val="21"/>
                <w:szCs w:val="21"/>
              </w:rPr>
              <w:t>至</w:t>
            </w:r>
            <w:r w:rsidRPr="00FC1444">
              <w:rPr>
                <w:rFonts w:ascii="Times New Roman" w:eastAsiaTheme="minorEastAsia" w:hAnsi="Times New Roman" w:cs="Times New Roman"/>
                <w:color w:val="auto"/>
                <w:sz w:val="21"/>
                <w:szCs w:val="21"/>
              </w:rPr>
              <w:t>1</w:t>
            </w:r>
            <w:r w:rsidRPr="00FC1444">
              <w:rPr>
                <w:rFonts w:ascii="Times New Roman" w:eastAsiaTheme="minorEastAsia" w:hAnsi="Times New Roman" w:cs="Times New Roman"/>
                <w:color w:val="auto"/>
                <w:sz w:val="21"/>
                <w:szCs w:val="21"/>
              </w:rPr>
              <w:t>亿</w:t>
            </w:r>
            <w:r w:rsidRPr="00FC1444">
              <w:rPr>
                <w:rFonts w:ascii="Times New Roman" w:eastAsiaTheme="minorEastAsia" w:hAnsi="Times New Roman" w:cs="Times New Roman"/>
                <w:color w:val="auto"/>
                <w:sz w:val="21"/>
                <w:szCs w:val="21"/>
              </w:rPr>
              <w:t>m</w:t>
            </w:r>
            <w:r w:rsidRPr="00FC1444">
              <w:rPr>
                <w:rFonts w:ascii="Times New Roman" w:eastAsiaTheme="minorEastAsia" w:hAnsi="Times New Roman" w:cs="Times New Roman"/>
                <w:color w:val="auto"/>
                <w:sz w:val="21"/>
                <w:szCs w:val="21"/>
                <w:vertAlign w:val="superscript"/>
              </w:rPr>
              <w:t>3</w:t>
            </w:r>
            <w:r w:rsidRPr="00FC1444">
              <w:rPr>
                <w:rFonts w:ascii="Times New Roman" w:eastAsiaTheme="minorEastAsia" w:hAnsi="Times New Roman" w:cs="Times New Roman"/>
                <w:color w:val="auto"/>
                <w:sz w:val="21"/>
                <w:szCs w:val="21"/>
              </w:rPr>
              <w:t>的水库；跨流域调水的引水工程</w:t>
            </w:r>
          </w:p>
        </w:tc>
        <w:tc>
          <w:tcPr>
            <w:tcW w:w="1134" w:type="dxa"/>
            <w:tcBorders>
              <w:top w:val="single" w:sz="4" w:space="0" w:color="auto"/>
              <w:left w:val="single" w:sz="4" w:space="0" w:color="auto"/>
              <w:bottom w:val="single" w:sz="4" w:space="0" w:color="auto"/>
              <w:right w:val="single" w:sz="4" w:space="0" w:color="auto"/>
            </w:tcBorders>
            <w:vAlign w:val="center"/>
          </w:tcPr>
          <w:p w:rsidR="002A5A5E" w:rsidRPr="00FC1444" w:rsidRDefault="00611CBA">
            <w:pPr>
              <w:pStyle w:val="Default"/>
              <w:jc w:val="center"/>
              <w:rPr>
                <w:rFonts w:ascii="Times New Roman" w:eastAsiaTheme="minorEastAsia" w:hAnsi="Times New Roman" w:cs="Times New Roman"/>
                <w:b/>
                <w:color w:val="auto"/>
                <w:sz w:val="21"/>
                <w:szCs w:val="21"/>
              </w:rPr>
            </w:pPr>
            <w:r w:rsidRPr="00FC1444">
              <w:rPr>
                <w:rFonts w:ascii="Times New Roman" w:eastAsiaTheme="minorEastAsia" w:hAnsi="Times New Roman" w:cs="Times New Roman"/>
                <w:b/>
                <w:color w:val="auto"/>
                <w:sz w:val="21"/>
                <w:szCs w:val="21"/>
              </w:rPr>
              <w:t>其他</w:t>
            </w:r>
          </w:p>
        </w:tc>
        <w:tc>
          <w:tcPr>
            <w:tcW w:w="1468" w:type="dxa"/>
            <w:tcBorders>
              <w:top w:val="single" w:sz="4" w:space="0" w:color="auto"/>
              <w:left w:val="single" w:sz="4" w:space="0" w:color="auto"/>
              <w:bottom w:val="single" w:sz="4" w:space="0" w:color="auto"/>
              <w:right w:val="nil"/>
            </w:tcBorders>
            <w:vAlign w:val="center"/>
          </w:tcPr>
          <w:p w:rsidR="002A5A5E" w:rsidRPr="00FC1444" w:rsidRDefault="00611CBA">
            <w:pPr>
              <w:spacing w:line="0" w:lineRule="atLeast"/>
              <w:jc w:val="center"/>
              <w:rPr>
                <w:rFonts w:eastAsiaTheme="minorEastAsia"/>
                <w:snapToGrid w:val="0"/>
                <w:szCs w:val="21"/>
              </w:rPr>
            </w:pPr>
            <w:r w:rsidRPr="00FC1444">
              <w:rPr>
                <w:rFonts w:eastAsiaTheme="minorEastAsia"/>
                <w:snapToGrid w:val="0"/>
                <w:szCs w:val="21"/>
              </w:rPr>
              <w:t>/</w:t>
            </w:r>
          </w:p>
        </w:tc>
      </w:tr>
      <w:tr w:rsidR="002A5A5E" w:rsidRPr="00FC1444">
        <w:trPr>
          <w:jc w:val="center"/>
        </w:trPr>
        <w:tc>
          <w:tcPr>
            <w:tcW w:w="1704" w:type="dxa"/>
            <w:tcBorders>
              <w:top w:val="single" w:sz="4" w:space="0" w:color="auto"/>
              <w:left w:val="nil"/>
              <w:bottom w:val="single" w:sz="12" w:space="0" w:color="auto"/>
              <w:right w:val="single" w:sz="4" w:space="0" w:color="auto"/>
            </w:tcBorders>
            <w:vAlign w:val="center"/>
          </w:tcPr>
          <w:p w:rsidR="002A5A5E" w:rsidRPr="00FC1444" w:rsidRDefault="00611CBA">
            <w:pPr>
              <w:pStyle w:val="Default"/>
              <w:jc w:val="center"/>
              <w:rPr>
                <w:rFonts w:ascii="Times New Roman" w:eastAsiaTheme="minorEastAsia" w:hAnsi="Times New Roman" w:cs="Times New Roman"/>
                <w:color w:val="auto"/>
                <w:sz w:val="21"/>
                <w:szCs w:val="21"/>
              </w:rPr>
            </w:pPr>
            <w:r w:rsidRPr="00FC1444">
              <w:rPr>
                <w:rFonts w:ascii="Times New Roman" w:eastAsiaTheme="minorEastAsia" w:hAnsi="Times New Roman" w:cs="Times New Roman"/>
                <w:color w:val="auto"/>
                <w:sz w:val="21"/>
                <w:szCs w:val="21"/>
              </w:rPr>
              <w:t>农林牧渔业</w:t>
            </w:r>
          </w:p>
        </w:tc>
        <w:tc>
          <w:tcPr>
            <w:tcW w:w="1665" w:type="dxa"/>
            <w:tcBorders>
              <w:top w:val="single" w:sz="4" w:space="0" w:color="auto"/>
              <w:left w:val="single" w:sz="4" w:space="0" w:color="auto"/>
              <w:bottom w:val="single" w:sz="12" w:space="0" w:color="auto"/>
              <w:right w:val="single" w:sz="4" w:space="0" w:color="auto"/>
            </w:tcBorders>
            <w:vAlign w:val="center"/>
          </w:tcPr>
          <w:p w:rsidR="002A5A5E" w:rsidRPr="00FC1444" w:rsidRDefault="00611CBA">
            <w:pPr>
              <w:pStyle w:val="Default"/>
              <w:jc w:val="center"/>
              <w:rPr>
                <w:rFonts w:ascii="Times New Roman" w:eastAsiaTheme="minorEastAsia" w:hAnsi="Times New Roman" w:cs="Times New Roman"/>
                <w:color w:val="auto"/>
                <w:sz w:val="21"/>
                <w:szCs w:val="21"/>
              </w:rPr>
            </w:pPr>
            <w:r w:rsidRPr="00FC1444">
              <w:rPr>
                <w:rFonts w:ascii="Times New Roman" w:eastAsiaTheme="minorEastAsia" w:hAnsi="Times New Roman" w:cs="Times New Roman"/>
                <w:color w:val="auto"/>
                <w:sz w:val="21"/>
                <w:szCs w:val="21"/>
              </w:rPr>
              <w:t>灌溉面积大于</w:t>
            </w:r>
            <w:r w:rsidRPr="00FC1444">
              <w:rPr>
                <w:rFonts w:ascii="Times New Roman" w:eastAsiaTheme="minorEastAsia" w:hAnsi="Times New Roman" w:cs="Times New Roman"/>
                <w:color w:val="auto"/>
                <w:sz w:val="21"/>
                <w:szCs w:val="21"/>
              </w:rPr>
              <w:t>50</w:t>
            </w:r>
            <w:r w:rsidRPr="00FC1444">
              <w:rPr>
                <w:rFonts w:ascii="Times New Roman" w:eastAsiaTheme="minorEastAsia" w:hAnsi="Times New Roman" w:cs="Times New Roman"/>
                <w:color w:val="auto"/>
                <w:sz w:val="21"/>
                <w:szCs w:val="21"/>
              </w:rPr>
              <w:t>万亩的灌区工程</w:t>
            </w:r>
          </w:p>
        </w:tc>
        <w:tc>
          <w:tcPr>
            <w:tcW w:w="2551" w:type="dxa"/>
            <w:tcBorders>
              <w:top w:val="single" w:sz="4" w:space="0" w:color="auto"/>
              <w:left w:val="single" w:sz="4" w:space="0" w:color="auto"/>
              <w:bottom w:val="single" w:sz="12" w:space="0" w:color="auto"/>
              <w:right w:val="single" w:sz="4" w:space="0" w:color="auto"/>
            </w:tcBorders>
            <w:vAlign w:val="center"/>
          </w:tcPr>
          <w:p w:rsidR="002A5A5E" w:rsidRPr="00FC1444" w:rsidRDefault="00611CBA">
            <w:pPr>
              <w:pStyle w:val="Default"/>
              <w:jc w:val="center"/>
              <w:rPr>
                <w:rFonts w:ascii="Times New Roman" w:eastAsiaTheme="minorEastAsia" w:hAnsi="Times New Roman" w:cs="Times New Roman"/>
                <w:color w:val="auto"/>
                <w:sz w:val="21"/>
                <w:szCs w:val="21"/>
              </w:rPr>
            </w:pPr>
            <w:r w:rsidRPr="00FC1444">
              <w:rPr>
                <w:rFonts w:ascii="Times New Roman" w:eastAsiaTheme="minorEastAsia" w:hAnsi="Times New Roman" w:cs="Times New Roman"/>
                <w:color w:val="auto"/>
                <w:sz w:val="21"/>
                <w:szCs w:val="21"/>
              </w:rPr>
              <w:t>新建</w:t>
            </w:r>
            <w:r w:rsidRPr="00FC1444">
              <w:rPr>
                <w:rFonts w:ascii="Times New Roman" w:eastAsiaTheme="minorEastAsia" w:hAnsi="Times New Roman" w:cs="Times New Roman"/>
                <w:color w:val="auto"/>
                <w:sz w:val="21"/>
                <w:szCs w:val="21"/>
              </w:rPr>
              <w:t>5</w:t>
            </w:r>
            <w:r w:rsidRPr="00FC1444">
              <w:rPr>
                <w:rFonts w:ascii="Times New Roman" w:eastAsiaTheme="minorEastAsia" w:hAnsi="Times New Roman" w:cs="Times New Roman"/>
                <w:color w:val="auto"/>
                <w:sz w:val="21"/>
                <w:szCs w:val="21"/>
              </w:rPr>
              <w:t>万亩至</w:t>
            </w:r>
            <w:r w:rsidRPr="00FC1444">
              <w:rPr>
                <w:rFonts w:ascii="Times New Roman" w:eastAsiaTheme="minorEastAsia" w:hAnsi="Times New Roman" w:cs="Times New Roman"/>
                <w:color w:val="auto"/>
                <w:sz w:val="21"/>
                <w:szCs w:val="21"/>
              </w:rPr>
              <w:t>50</w:t>
            </w:r>
            <w:r w:rsidRPr="00FC1444">
              <w:rPr>
                <w:rFonts w:ascii="Times New Roman" w:eastAsiaTheme="minorEastAsia" w:hAnsi="Times New Roman" w:cs="Times New Roman"/>
                <w:color w:val="auto"/>
                <w:sz w:val="21"/>
                <w:szCs w:val="21"/>
              </w:rPr>
              <w:t>万亩的、改造</w:t>
            </w:r>
            <w:r w:rsidRPr="00FC1444">
              <w:rPr>
                <w:rFonts w:ascii="Times New Roman" w:eastAsiaTheme="minorEastAsia" w:hAnsi="Times New Roman" w:cs="Times New Roman"/>
                <w:color w:val="auto"/>
                <w:sz w:val="21"/>
                <w:szCs w:val="21"/>
              </w:rPr>
              <w:t>30</w:t>
            </w:r>
            <w:r w:rsidRPr="00FC1444">
              <w:rPr>
                <w:rFonts w:ascii="Times New Roman" w:eastAsiaTheme="minorEastAsia" w:hAnsi="Times New Roman" w:cs="Times New Roman"/>
                <w:color w:val="auto"/>
                <w:sz w:val="21"/>
                <w:szCs w:val="21"/>
              </w:rPr>
              <w:t>万亩及以上的灌区工程</w:t>
            </w:r>
          </w:p>
        </w:tc>
        <w:tc>
          <w:tcPr>
            <w:tcW w:w="1134" w:type="dxa"/>
            <w:tcBorders>
              <w:top w:val="single" w:sz="4" w:space="0" w:color="auto"/>
              <w:left w:val="single" w:sz="4" w:space="0" w:color="auto"/>
              <w:bottom w:val="single" w:sz="12" w:space="0" w:color="auto"/>
              <w:right w:val="single" w:sz="4" w:space="0" w:color="auto"/>
            </w:tcBorders>
            <w:vAlign w:val="center"/>
          </w:tcPr>
          <w:p w:rsidR="002A5A5E" w:rsidRPr="00FC1444" w:rsidRDefault="00611CBA">
            <w:pPr>
              <w:pStyle w:val="Default"/>
              <w:jc w:val="center"/>
              <w:rPr>
                <w:rFonts w:ascii="Times New Roman" w:eastAsiaTheme="minorEastAsia" w:hAnsi="Times New Roman" w:cs="Times New Roman"/>
                <w:color w:val="auto"/>
                <w:sz w:val="21"/>
                <w:szCs w:val="21"/>
              </w:rPr>
            </w:pPr>
            <w:r w:rsidRPr="00FC1444">
              <w:rPr>
                <w:rFonts w:ascii="Times New Roman" w:eastAsiaTheme="minorEastAsia" w:hAnsi="Times New Roman" w:cs="Times New Roman"/>
                <w:color w:val="auto"/>
                <w:sz w:val="21"/>
                <w:szCs w:val="21"/>
              </w:rPr>
              <w:t>/</w:t>
            </w:r>
          </w:p>
        </w:tc>
        <w:tc>
          <w:tcPr>
            <w:tcW w:w="1468" w:type="dxa"/>
            <w:tcBorders>
              <w:top w:val="single" w:sz="4" w:space="0" w:color="auto"/>
              <w:left w:val="single" w:sz="4" w:space="0" w:color="auto"/>
              <w:bottom w:val="single" w:sz="12" w:space="0" w:color="auto"/>
              <w:right w:val="nil"/>
            </w:tcBorders>
            <w:vAlign w:val="center"/>
          </w:tcPr>
          <w:p w:rsidR="002A5A5E" w:rsidRPr="00FC1444" w:rsidRDefault="00611CBA">
            <w:pPr>
              <w:spacing w:line="0" w:lineRule="atLeast"/>
              <w:jc w:val="center"/>
              <w:rPr>
                <w:rFonts w:eastAsiaTheme="minorEastAsia"/>
                <w:b/>
                <w:snapToGrid w:val="0"/>
                <w:szCs w:val="21"/>
              </w:rPr>
            </w:pPr>
            <w:r w:rsidRPr="00FC1444">
              <w:rPr>
                <w:rFonts w:eastAsiaTheme="minorEastAsia"/>
                <w:b/>
                <w:snapToGrid w:val="0"/>
                <w:szCs w:val="21"/>
              </w:rPr>
              <w:t>其他</w:t>
            </w:r>
          </w:p>
        </w:tc>
      </w:tr>
    </w:tbl>
    <w:p w:rsidR="002A5A5E" w:rsidRPr="00FC1444" w:rsidRDefault="00611CBA">
      <w:pPr>
        <w:spacing w:line="360" w:lineRule="auto"/>
        <w:ind w:firstLineChars="200" w:firstLine="480"/>
        <w:rPr>
          <w:rFonts w:eastAsiaTheme="minorEastAsia"/>
          <w:snapToGrid w:val="0"/>
          <w:kern w:val="0"/>
          <w:sz w:val="24"/>
          <w:szCs w:val="20"/>
        </w:rPr>
      </w:pPr>
      <w:r w:rsidRPr="00FC1444">
        <w:rPr>
          <w:rFonts w:eastAsiaTheme="minorEastAsia"/>
          <w:sz w:val="24"/>
        </w:rPr>
        <w:t>本项目改扩建后旱田灌区</w:t>
      </w:r>
      <w:r w:rsidR="00D12015" w:rsidRPr="00FC1444">
        <w:rPr>
          <w:rFonts w:eastAsiaTheme="minorEastAsia"/>
          <w:sz w:val="24"/>
        </w:rPr>
        <w:t>11.84</w:t>
      </w:r>
      <w:r w:rsidRPr="00FC1444">
        <w:rPr>
          <w:rFonts w:eastAsiaTheme="minorEastAsia"/>
          <w:sz w:val="24"/>
        </w:rPr>
        <w:t>万亩，</w:t>
      </w:r>
      <w:r w:rsidRPr="00FC1444">
        <w:rPr>
          <w:rFonts w:eastAsiaTheme="minorEastAsia"/>
          <w:sz w:val="24"/>
          <w:szCs w:val="21"/>
        </w:rPr>
        <w:t>水田灌区</w:t>
      </w:r>
      <w:r w:rsidR="00D12015" w:rsidRPr="00FC1444">
        <w:rPr>
          <w:rFonts w:eastAsiaTheme="minorEastAsia"/>
          <w:sz w:val="24"/>
          <w:szCs w:val="21"/>
        </w:rPr>
        <w:t>9.16</w:t>
      </w:r>
      <w:r w:rsidRPr="00FC1444">
        <w:rPr>
          <w:rFonts w:eastAsiaTheme="minorEastAsia"/>
          <w:sz w:val="24"/>
          <w:szCs w:val="21"/>
        </w:rPr>
        <w:t>万亩</w:t>
      </w:r>
      <w:r w:rsidRPr="00FC1444">
        <w:rPr>
          <w:rFonts w:eastAsiaTheme="minorEastAsia"/>
          <w:sz w:val="24"/>
        </w:rPr>
        <w:t>，本工程属于</w:t>
      </w:r>
      <w:r w:rsidRPr="00FC1444">
        <w:rPr>
          <w:rFonts w:eastAsiaTheme="minorEastAsia"/>
          <w:sz w:val="24"/>
        </w:rPr>
        <w:t>“</w:t>
      </w:r>
      <w:r w:rsidRPr="00FC1444">
        <w:rPr>
          <w:rFonts w:eastAsiaTheme="minorEastAsia"/>
          <w:sz w:val="24"/>
        </w:rPr>
        <w:t>农林牧渔业</w:t>
      </w:r>
      <w:r w:rsidRPr="00FC1444">
        <w:rPr>
          <w:rFonts w:eastAsiaTheme="minorEastAsia"/>
          <w:sz w:val="24"/>
        </w:rPr>
        <w:t>”</w:t>
      </w:r>
      <w:r w:rsidRPr="00FC1444">
        <w:rPr>
          <w:rFonts w:eastAsiaTheme="minorEastAsia"/>
          <w:sz w:val="24"/>
        </w:rPr>
        <w:t>中的</w:t>
      </w:r>
      <w:r w:rsidRPr="00FC1444">
        <w:rPr>
          <w:rFonts w:eastAsiaTheme="minorEastAsia"/>
          <w:sz w:val="24"/>
        </w:rPr>
        <w:t>“</w:t>
      </w:r>
      <w:r w:rsidRPr="00FC1444">
        <w:rPr>
          <w:rFonts w:eastAsiaTheme="minorEastAsia"/>
          <w:sz w:val="24"/>
        </w:rPr>
        <w:t>其他</w:t>
      </w:r>
      <w:r w:rsidRPr="00FC1444">
        <w:rPr>
          <w:rFonts w:eastAsiaTheme="minorEastAsia"/>
          <w:sz w:val="24"/>
        </w:rPr>
        <w:t>”</w:t>
      </w:r>
      <w:r w:rsidRPr="00FC1444">
        <w:rPr>
          <w:rFonts w:eastAsiaTheme="minorEastAsia"/>
          <w:sz w:val="24"/>
        </w:rPr>
        <w:t>，土壤环境影响评价项目类别为</w:t>
      </w:r>
      <w:r w:rsidRPr="00FC1444">
        <w:rPr>
          <w:rFonts w:eastAsiaTheme="minorEastAsia"/>
          <w:sz w:val="24"/>
        </w:rPr>
        <w:t>IV</w:t>
      </w:r>
      <w:r w:rsidRPr="00FC1444">
        <w:rPr>
          <w:rFonts w:eastAsiaTheme="minorEastAsia"/>
          <w:sz w:val="24"/>
        </w:rPr>
        <w:t>类。</w:t>
      </w:r>
      <w:r w:rsidRPr="00FC1444">
        <w:rPr>
          <w:rFonts w:eastAsiaTheme="minorEastAsia"/>
          <w:snapToGrid w:val="0"/>
          <w:sz w:val="24"/>
          <w:szCs w:val="22"/>
        </w:rPr>
        <w:t>本项目田间建设灌溉井，日最大取地下水量</w:t>
      </w:r>
      <w:r w:rsidR="00030F6B" w:rsidRPr="00FC1444">
        <w:rPr>
          <w:rFonts w:eastAsiaTheme="minorEastAsia"/>
          <w:snapToGrid w:val="0"/>
          <w:sz w:val="24"/>
          <w:szCs w:val="22"/>
        </w:rPr>
        <w:t>约</w:t>
      </w:r>
      <w:r w:rsidRPr="00FC1444">
        <w:rPr>
          <w:rFonts w:eastAsiaTheme="minorEastAsia"/>
          <w:snapToGrid w:val="0"/>
          <w:sz w:val="24"/>
          <w:szCs w:val="22"/>
        </w:rPr>
        <w:t>为</w:t>
      </w:r>
      <w:r w:rsidR="00BB3957" w:rsidRPr="00FC1444">
        <w:rPr>
          <w:rFonts w:eastAsiaTheme="minorEastAsia"/>
          <w:snapToGrid w:val="0"/>
          <w:sz w:val="24"/>
          <w:szCs w:val="22"/>
        </w:rPr>
        <w:t>83991m</w:t>
      </w:r>
      <w:r w:rsidR="00BB3957" w:rsidRPr="00FC1444">
        <w:rPr>
          <w:rFonts w:eastAsiaTheme="minorEastAsia"/>
          <w:snapToGrid w:val="0"/>
          <w:sz w:val="24"/>
          <w:szCs w:val="22"/>
          <w:vertAlign w:val="superscript"/>
        </w:rPr>
        <w:t>3</w:t>
      </w:r>
      <w:r w:rsidRPr="00FC1444">
        <w:rPr>
          <w:rFonts w:eastAsiaTheme="minorEastAsia"/>
          <w:snapToGrid w:val="0"/>
          <w:sz w:val="24"/>
          <w:szCs w:val="22"/>
        </w:rPr>
        <w:t>，属地下水开采工程，属于</w:t>
      </w:r>
      <w:r w:rsidRPr="00FC1444">
        <w:rPr>
          <w:rFonts w:eastAsiaTheme="minorEastAsia"/>
          <w:sz w:val="24"/>
        </w:rPr>
        <w:t>“</w:t>
      </w:r>
      <w:r w:rsidRPr="00FC1444">
        <w:rPr>
          <w:rFonts w:eastAsiaTheme="minorEastAsia"/>
          <w:sz w:val="24"/>
        </w:rPr>
        <w:t>水利</w:t>
      </w:r>
      <w:r w:rsidRPr="00FC1444">
        <w:rPr>
          <w:rFonts w:eastAsiaTheme="minorEastAsia"/>
          <w:sz w:val="24"/>
        </w:rPr>
        <w:t>”</w:t>
      </w:r>
      <w:r w:rsidRPr="00FC1444">
        <w:rPr>
          <w:rFonts w:eastAsiaTheme="minorEastAsia"/>
          <w:sz w:val="24"/>
        </w:rPr>
        <w:t>中的</w:t>
      </w:r>
      <w:r w:rsidRPr="00FC1444">
        <w:rPr>
          <w:rFonts w:eastAsiaTheme="minorEastAsia"/>
          <w:sz w:val="24"/>
        </w:rPr>
        <w:t>“</w:t>
      </w:r>
      <w:r w:rsidRPr="00FC1444">
        <w:rPr>
          <w:rFonts w:eastAsiaTheme="minorEastAsia"/>
          <w:sz w:val="24"/>
        </w:rPr>
        <w:t>其他</w:t>
      </w:r>
      <w:r w:rsidRPr="00FC1444">
        <w:rPr>
          <w:rFonts w:eastAsiaTheme="minorEastAsia"/>
          <w:sz w:val="24"/>
        </w:rPr>
        <w:t>”</w:t>
      </w:r>
      <w:r w:rsidRPr="00FC1444">
        <w:rPr>
          <w:rFonts w:eastAsiaTheme="minorEastAsia"/>
          <w:snapToGrid w:val="0"/>
          <w:sz w:val="24"/>
          <w:szCs w:val="22"/>
        </w:rPr>
        <w:t>，为</w:t>
      </w:r>
      <w:r w:rsidRPr="00FC1444">
        <w:rPr>
          <w:rFonts w:eastAsiaTheme="minorEastAsia"/>
          <w:snapToGrid w:val="0"/>
          <w:sz w:val="24"/>
          <w:szCs w:val="22"/>
        </w:rPr>
        <w:t>Ⅲ</w:t>
      </w:r>
      <w:r w:rsidRPr="00FC1444">
        <w:rPr>
          <w:rFonts w:eastAsiaTheme="minorEastAsia"/>
          <w:snapToGrid w:val="0"/>
          <w:sz w:val="24"/>
          <w:szCs w:val="22"/>
        </w:rPr>
        <w:t>类项目。</w:t>
      </w:r>
    </w:p>
    <w:p w:rsidR="002A5A5E" w:rsidRPr="00FC1444" w:rsidRDefault="00611CBA">
      <w:pPr>
        <w:spacing w:line="360" w:lineRule="auto"/>
        <w:ind w:firstLineChars="200" w:firstLine="480"/>
        <w:rPr>
          <w:rFonts w:eastAsiaTheme="minorEastAsia"/>
          <w:snapToGrid w:val="0"/>
          <w:sz w:val="24"/>
          <w:szCs w:val="22"/>
        </w:rPr>
      </w:pPr>
      <w:r w:rsidRPr="00FC1444">
        <w:rPr>
          <w:rFonts w:eastAsiaTheme="minorEastAsia"/>
          <w:snapToGrid w:val="0"/>
          <w:sz w:val="24"/>
          <w:szCs w:val="22"/>
        </w:rPr>
        <w:t>本项目运营期开采地下水可能引起地下水水位变化，从而可能引起土壤盐碱化的风险，为生态影响型项目。建设项目所在地周边的土壤环境敏感程度分为敏感、较敏感、不敏感，判别依据见表</w:t>
      </w:r>
      <w:r w:rsidRPr="00FC1444">
        <w:rPr>
          <w:rFonts w:eastAsiaTheme="minorEastAsia"/>
          <w:snapToGrid w:val="0"/>
          <w:sz w:val="24"/>
          <w:szCs w:val="22"/>
        </w:rPr>
        <w:t>2-6-8</w:t>
      </w:r>
      <w:r w:rsidRPr="00FC1444">
        <w:rPr>
          <w:rFonts w:eastAsiaTheme="minorEastAsia"/>
          <w:snapToGrid w:val="0"/>
          <w:sz w:val="24"/>
          <w:szCs w:val="22"/>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2-6-8</w:t>
      </w:r>
      <w:r w:rsidRPr="00FC1444">
        <w:rPr>
          <w:rFonts w:eastAsiaTheme="minorEastAsia"/>
          <w:b/>
          <w:kern w:val="0"/>
          <w:szCs w:val="21"/>
        </w:rPr>
        <w:t>生态影响型敏感程度分级表</w:t>
      </w:r>
    </w:p>
    <w:tbl>
      <w:tblPr>
        <w:tblW w:w="4999" w:type="pct"/>
        <w:jc w:val="center"/>
        <w:tblBorders>
          <w:top w:val="single" w:sz="12" w:space="0" w:color="auto"/>
          <w:bottom w:val="single" w:sz="12" w:space="0" w:color="auto"/>
          <w:insideH w:val="single" w:sz="6" w:space="0" w:color="auto"/>
          <w:insideV w:val="single" w:sz="6" w:space="0" w:color="auto"/>
        </w:tblBorders>
        <w:tblLook w:val="04A0"/>
      </w:tblPr>
      <w:tblGrid>
        <w:gridCol w:w="855"/>
        <w:gridCol w:w="5206"/>
        <w:gridCol w:w="1062"/>
        <w:gridCol w:w="1397"/>
      </w:tblGrid>
      <w:tr w:rsidR="002A5A5E" w:rsidRPr="00FC1444">
        <w:trPr>
          <w:jc w:val="center"/>
        </w:trPr>
        <w:tc>
          <w:tcPr>
            <w:tcW w:w="502" w:type="pct"/>
            <w:vMerge w:val="restar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敏感</w:t>
            </w:r>
          </w:p>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程度</w:t>
            </w:r>
          </w:p>
        </w:tc>
        <w:tc>
          <w:tcPr>
            <w:tcW w:w="4498" w:type="pct"/>
            <w:gridSpan w:val="3"/>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判别依据</w:t>
            </w:r>
          </w:p>
        </w:tc>
      </w:tr>
      <w:tr w:rsidR="002A5A5E" w:rsidRPr="00FC1444">
        <w:trPr>
          <w:jc w:val="center"/>
        </w:trPr>
        <w:tc>
          <w:tcPr>
            <w:tcW w:w="502" w:type="pct"/>
            <w:vMerge/>
            <w:tcBorders>
              <w:tl2br w:val="nil"/>
              <w:tr2bl w:val="nil"/>
            </w:tcBorders>
            <w:vAlign w:val="center"/>
          </w:tcPr>
          <w:p w:rsidR="002A5A5E" w:rsidRPr="00FC1444" w:rsidRDefault="002A5A5E">
            <w:pPr>
              <w:autoSpaceDE w:val="0"/>
              <w:autoSpaceDN w:val="0"/>
              <w:adjustRightInd w:val="0"/>
              <w:jc w:val="center"/>
              <w:textAlignment w:val="baseline"/>
              <w:rPr>
                <w:rFonts w:eastAsiaTheme="minorEastAsia"/>
                <w:szCs w:val="21"/>
              </w:rPr>
            </w:pPr>
          </w:p>
        </w:tc>
        <w:tc>
          <w:tcPr>
            <w:tcW w:w="3055"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盐化</w:t>
            </w:r>
          </w:p>
        </w:tc>
        <w:tc>
          <w:tcPr>
            <w:tcW w:w="623"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酸化</w:t>
            </w:r>
          </w:p>
        </w:tc>
        <w:tc>
          <w:tcPr>
            <w:tcW w:w="820"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碱化</w:t>
            </w:r>
          </w:p>
        </w:tc>
      </w:tr>
      <w:tr w:rsidR="002A5A5E" w:rsidRPr="00FC1444">
        <w:trPr>
          <w:jc w:val="center"/>
        </w:trPr>
        <w:tc>
          <w:tcPr>
            <w:tcW w:w="502"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敏感</w:t>
            </w:r>
          </w:p>
        </w:tc>
        <w:tc>
          <w:tcPr>
            <w:tcW w:w="3055"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建设项目所在地干燥度</w:t>
            </w:r>
            <w:r w:rsidRPr="00FC1444">
              <w:rPr>
                <w:rFonts w:eastAsiaTheme="minorEastAsia"/>
                <w:szCs w:val="21"/>
                <w:vertAlign w:val="superscript"/>
              </w:rPr>
              <w:t>a</w:t>
            </w:r>
            <w:r w:rsidRPr="00FC1444">
              <w:rPr>
                <w:rFonts w:eastAsiaTheme="minorEastAsia"/>
                <w:szCs w:val="21"/>
              </w:rPr>
              <w:t>＞</w:t>
            </w:r>
            <w:r w:rsidRPr="00FC1444">
              <w:rPr>
                <w:rFonts w:eastAsiaTheme="minorEastAsia"/>
                <w:szCs w:val="21"/>
              </w:rPr>
              <w:t>2.5</w:t>
            </w:r>
            <w:r w:rsidRPr="00FC1444">
              <w:rPr>
                <w:rFonts w:eastAsiaTheme="minorEastAsia"/>
                <w:szCs w:val="21"/>
              </w:rPr>
              <w:t>且常年地下水位埋深＜</w:t>
            </w:r>
            <w:r w:rsidRPr="00FC1444">
              <w:rPr>
                <w:rFonts w:eastAsiaTheme="minorEastAsia"/>
                <w:szCs w:val="21"/>
              </w:rPr>
              <w:t>1.5m</w:t>
            </w:r>
            <w:r w:rsidRPr="00FC1444">
              <w:rPr>
                <w:rFonts w:eastAsiaTheme="minorEastAsia"/>
                <w:szCs w:val="21"/>
              </w:rPr>
              <w:t>的地势平坦区域；或土壤含盐量＞</w:t>
            </w:r>
            <w:r w:rsidRPr="00FC1444">
              <w:rPr>
                <w:rFonts w:eastAsiaTheme="minorEastAsia"/>
                <w:szCs w:val="21"/>
              </w:rPr>
              <w:t>4g/kg</w:t>
            </w:r>
            <w:r w:rsidRPr="00FC1444">
              <w:rPr>
                <w:rFonts w:eastAsiaTheme="minorEastAsia"/>
                <w:szCs w:val="21"/>
              </w:rPr>
              <w:t>的区域</w:t>
            </w:r>
          </w:p>
        </w:tc>
        <w:tc>
          <w:tcPr>
            <w:tcW w:w="623"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pH≤4.5</w:t>
            </w:r>
          </w:p>
        </w:tc>
        <w:tc>
          <w:tcPr>
            <w:tcW w:w="820"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pH≥9.0</w:t>
            </w:r>
          </w:p>
        </w:tc>
      </w:tr>
      <w:tr w:rsidR="002A5A5E" w:rsidRPr="00FC1444">
        <w:trPr>
          <w:jc w:val="center"/>
        </w:trPr>
        <w:tc>
          <w:tcPr>
            <w:tcW w:w="502"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较敏感</w:t>
            </w:r>
          </w:p>
        </w:tc>
        <w:tc>
          <w:tcPr>
            <w:tcW w:w="3055"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建设项目所在地干燥度＞</w:t>
            </w:r>
            <w:r w:rsidRPr="00FC1444">
              <w:rPr>
                <w:rFonts w:eastAsiaTheme="minorEastAsia"/>
                <w:szCs w:val="21"/>
              </w:rPr>
              <w:t>2.5</w:t>
            </w:r>
            <w:r w:rsidRPr="00FC1444">
              <w:rPr>
                <w:rFonts w:eastAsiaTheme="minorEastAsia"/>
                <w:szCs w:val="21"/>
              </w:rPr>
              <w:t>且常年地下水位埋深</w:t>
            </w:r>
            <w:r w:rsidRPr="00FC1444">
              <w:rPr>
                <w:rFonts w:eastAsiaTheme="minorEastAsia"/>
                <w:szCs w:val="21"/>
              </w:rPr>
              <w:t>≥1.5m</w:t>
            </w:r>
            <w:r w:rsidRPr="00FC1444">
              <w:rPr>
                <w:rFonts w:eastAsiaTheme="minorEastAsia"/>
                <w:szCs w:val="21"/>
              </w:rPr>
              <w:t>的；或</w:t>
            </w:r>
            <w:r w:rsidRPr="00FC1444">
              <w:rPr>
                <w:rFonts w:eastAsiaTheme="minorEastAsia"/>
                <w:szCs w:val="21"/>
              </w:rPr>
              <w:t>1.8</w:t>
            </w:r>
            <w:r w:rsidRPr="00FC1444">
              <w:rPr>
                <w:rFonts w:eastAsiaTheme="minorEastAsia"/>
                <w:szCs w:val="21"/>
              </w:rPr>
              <w:t>＜干燥度</w:t>
            </w:r>
            <w:r w:rsidRPr="00FC1444">
              <w:rPr>
                <w:rFonts w:eastAsiaTheme="minorEastAsia"/>
                <w:szCs w:val="21"/>
              </w:rPr>
              <w:t>≤2.5</w:t>
            </w:r>
            <w:r w:rsidRPr="00FC1444">
              <w:rPr>
                <w:rFonts w:eastAsiaTheme="minorEastAsia"/>
                <w:szCs w:val="21"/>
              </w:rPr>
              <w:t>且常年地下水位平均埋深＜</w:t>
            </w:r>
            <w:r w:rsidRPr="00FC1444">
              <w:rPr>
                <w:rFonts w:eastAsiaTheme="minorEastAsia"/>
                <w:szCs w:val="21"/>
              </w:rPr>
              <w:t>1.8m</w:t>
            </w:r>
            <w:r w:rsidRPr="00FC1444">
              <w:rPr>
                <w:rFonts w:eastAsiaTheme="minorEastAsia"/>
                <w:szCs w:val="21"/>
              </w:rPr>
              <w:t>的地势平坦区域；建设项目所在地干燥度＞</w:t>
            </w:r>
            <w:r w:rsidRPr="00FC1444">
              <w:rPr>
                <w:rFonts w:eastAsiaTheme="minorEastAsia"/>
                <w:szCs w:val="21"/>
              </w:rPr>
              <w:t>2.5</w:t>
            </w:r>
            <w:r w:rsidRPr="00FC1444">
              <w:rPr>
                <w:rFonts w:eastAsiaTheme="minorEastAsia"/>
                <w:szCs w:val="21"/>
              </w:rPr>
              <w:t>或常年地下水位埋深＜</w:t>
            </w:r>
            <w:r w:rsidRPr="00FC1444">
              <w:rPr>
                <w:rFonts w:eastAsiaTheme="minorEastAsia"/>
                <w:szCs w:val="21"/>
              </w:rPr>
              <w:t>1.5m</w:t>
            </w:r>
            <w:r w:rsidRPr="00FC1444">
              <w:rPr>
                <w:rFonts w:eastAsiaTheme="minorEastAsia"/>
                <w:szCs w:val="21"/>
              </w:rPr>
              <w:t>的平原区；或</w:t>
            </w:r>
            <w:r w:rsidRPr="00FC1444">
              <w:rPr>
                <w:rFonts w:eastAsiaTheme="minorEastAsia"/>
                <w:szCs w:val="21"/>
              </w:rPr>
              <w:t>2g/kg</w:t>
            </w:r>
            <w:r w:rsidRPr="00FC1444">
              <w:rPr>
                <w:rFonts w:eastAsiaTheme="minorEastAsia"/>
                <w:szCs w:val="21"/>
              </w:rPr>
              <w:t>＜土壤含盐量</w:t>
            </w:r>
            <w:r w:rsidRPr="00FC1444">
              <w:rPr>
                <w:rFonts w:eastAsiaTheme="minorEastAsia"/>
                <w:szCs w:val="21"/>
              </w:rPr>
              <w:t>≤4g/kg</w:t>
            </w:r>
            <w:r w:rsidRPr="00FC1444">
              <w:rPr>
                <w:rFonts w:eastAsiaTheme="minorEastAsia"/>
                <w:szCs w:val="21"/>
              </w:rPr>
              <w:t>的区域</w:t>
            </w:r>
          </w:p>
        </w:tc>
        <w:tc>
          <w:tcPr>
            <w:tcW w:w="623"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4.5</w:t>
            </w:r>
            <w:r w:rsidRPr="00FC1444">
              <w:rPr>
                <w:rFonts w:eastAsiaTheme="minorEastAsia"/>
                <w:szCs w:val="21"/>
              </w:rPr>
              <w:t>＜</w:t>
            </w:r>
            <w:r w:rsidRPr="00FC1444">
              <w:rPr>
                <w:rFonts w:eastAsiaTheme="minorEastAsia"/>
                <w:szCs w:val="21"/>
              </w:rPr>
              <w:t>pH≤5.5</w:t>
            </w:r>
          </w:p>
        </w:tc>
        <w:tc>
          <w:tcPr>
            <w:tcW w:w="820"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8.5≤pH</w:t>
            </w:r>
            <w:r w:rsidRPr="00FC1444">
              <w:rPr>
                <w:rFonts w:eastAsiaTheme="minorEastAsia"/>
                <w:szCs w:val="21"/>
              </w:rPr>
              <w:t>＜</w:t>
            </w:r>
            <w:r w:rsidRPr="00FC1444">
              <w:rPr>
                <w:rFonts w:eastAsiaTheme="minorEastAsia"/>
                <w:szCs w:val="21"/>
              </w:rPr>
              <w:t>9.0</w:t>
            </w:r>
          </w:p>
        </w:tc>
      </w:tr>
      <w:tr w:rsidR="002A5A5E" w:rsidRPr="00FC1444">
        <w:trPr>
          <w:jc w:val="center"/>
        </w:trPr>
        <w:tc>
          <w:tcPr>
            <w:tcW w:w="502"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不敏感</w:t>
            </w:r>
          </w:p>
        </w:tc>
        <w:tc>
          <w:tcPr>
            <w:tcW w:w="3055" w:type="pct"/>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其他</w:t>
            </w:r>
          </w:p>
        </w:tc>
        <w:tc>
          <w:tcPr>
            <w:tcW w:w="1443" w:type="pct"/>
            <w:gridSpan w:val="2"/>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5.5</w:t>
            </w:r>
            <w:r w:rsidRPr="00FC1444">
              <w:rPr>
                <w:rFonts w:eastAsiaTheme="minorEastAsia"/>
                <w:szCs w:val="21"/>
              </w:rPr>
              <w:t>＜</w:t>
            </w:r>
            <w:r w:rsidRPr="00FC1444">
              <w:rPr>
                <w:rFonts w:eastAsiaTheme="minorEastAsia"/>
                <w:szCs w:val="21"/>
              </w:rPr>
              <w:t>pH</w:t>
            </w:r>
            <w:r w:rsidRPr="00FC1444">
              <w:rPr>
                <w:rFonts w:eastAsiaTheme="minorEastAsia"/>
                <w:szCs w:val="21"/>
              </w:rPr>
              <w:t>＜</w:t>
            </w:r>
            <w:r w:rsidRPr="00FC1444">
              <w:rPr>
                <w:rFonts w:eastAsiaTheme="minorEastAsia"/>
                <w:szCs w:val="21"/>
              </w:rPr>
              <w:t>8.5</w:t>
            </w:r>
          </w:p>
        </w:tc>
      </w:tr>
      <w:tr w:rsidR="002A5A5E" w:rsidRPr="00FC1444">
        <w:trPr>
          <w:jc w:val="center"/>
        </w:trPr>
        <w:tc>
          <w:tcPr>
            <w:tcW w:w="5000" w:type="pct"/>
            <w:gridSpan w:val="4"/>
            <w:tcBorders>
              <w:tl2br w:val="nil"/>
              <w:tr2bl w:val="nil"/>
            </w:tcBorders>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vertAlign w:val="superscript"/>
              </w:rPr>
              <w:t>a</w:t>
            </w:r>
            <w:r w:rsidRPr="00FC1444">
              <w:rPr>
                <w:rFonts w:eastAsiaTheme="minorEastAsia"/>
                <w:szCs w:val="21"/>
              </w:rPr>
              <w:t>是指采用</w:t>
            </w:r>
            <w:r w:rsidRPr="00FC1444">
              <w:rPr>
                <w:rFonts w:eastAsiaTheme="minorEastAsia"/>
                <w:szCs w:val="21"/>
              </w:rPr>
              <w:t>E601</w:t>
            </w:r>
            <w:r w:rsidRPr="00FC1444">
              <w:rPr>
                <w:rFonts w:eastAsiaTheme="minorEastAsia"/>
                <w:szCs w:val="21"/>
              </w:rPr>
              <w:t>观测的多年平均水面蒸发量与降水量的比值，即蒸降比值。</w:t>
            </w:r>
          </w:p>
        </w:tc>
      </w:tr>
    </w:tbl>
    <w:p w:rsidR="002A5A5E" w:rsidRPr="00FC1444" w:rsidRDefault="00611CBA">
      <w:pPr>
        <w:spacing w:line="360" w:lineRule="auto"/>
        <w:ind w:firstLineChars="200" w:firstLine="480"/>
        <w:rPr>
          <w:rFonts w:eastAsiaTheme="minorEastAsia"/>
          <w:snapToGrid w:val="0"/>
          <w:sz w:val="24"/>
          <w:szCs w:val="22"/>
        </w:rPr>
      </w:pPr>
      <w:r w:rsidRPr="00FC1444">
        <w:rPr>
          <w:rFonts w:eastAsiaTheme="minorEastAsia"/>
          <w:snapToGrid w:val="0"/>
          <w:sz w:val="24"/>
          <w:szCs w:val="22"/>
        </w:rPr>
        <w:t>根据土壤环境影响评价项目类别、敏感程度划分评价工作等级，详见</w:t>
      </w:r>
      <w:r w:rsidRPr="00FC1444">
        <w:rPr>
          <w:rFonts w:eastAsiaTheme="minorEastAsia"/>
          <w:snapToGrid w:val="0"/>
          <w:sz w:val="24"/>
          <w:szCs w:val="22"/>
        </w:rPr>
        <w:t>2-6-9</w:t>
      </w:r>
      <w:r w:rsidRPr="00FC1444">
        <w:rPr>
          <w:rFonts w:eastAsiaTheme="minorEastAsia"/>
          <w:snapToGrid w:val="0"/>
          <w:sz w:val="24"/>
          <w:szCs w:val="22"/>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2-6-9</w:t>
      </w:r>
      <w:r w:rsidRPr="00FC1444">
        <w:rPr>
          <w:rFonts w:eastAsiaTheme="minorEastAsia"/>
          <w:b/>
          <w:kern w:val="0"/>
          <w:szCs w:val="21"/>
        </w:rPr>
        <w:t>生态影响性评价工作等级划分表</w:t>
      </w:r>
    </w:p>
    <w:tbl>
      <w:tblPr>
        <w:tblW w:w="4998" w:type="pct"/>
        <w:jc w:val="center"/>
        <w:tblBorders>
          <w:top w:val="single" w:sz="12" w:space="0" w:color="auto"/>
          <w:bottom w:val="single" w:sz="12" w:space="0" w:color="auto"/>
          <w:insideH w:val="single" w:sz="4" w:space="0" w:color="auto"/>
          <w:insideV w:val="single" w:sz="4" w:space="0" w:color="auto"/>
        </w:tblBorders>
        <w:tblLook w:val="04A0"/>
      </w:tblPr>
      <w:tblGrid>
        <w:gridCol w:w="2128"/>
        <w:gridCol w:w="2128"/>
        <w:gridCol w:w="2128"/>
        <w:gridCol w:w="2135"/>
      </w:tblGrid>
      <w:tr w:rsidR="002A5A5E" w:rsidRPr="00FC1444">
        <w:trPr>
          <w:trHeight w:hRule="exact" w:val="884"/>
          <w:jc w:val="center"/>
        </w:trPr>
        <w:tc>
          <w:tcPr>
            <w:tcW w:w="1249" w:type="pct"/>
            <w:tcBorders>
              <w:tl2br w:val="single" w:sz="4" w:space="0" w:color="auto"/>
            </w:tcBorders>
            <w:vAlign w:val="center"/>
          </w:tcPr>
          <w:p w:rsidR="002A5A5E" w:rsidRPr="00FC1444" w:rsidRDefault="00611CBA">
            <w:pPr>
              <w:autoSpaceDE w:val="0"/>
              <w:autoSpaceDN w:val="0"/>
              <w:adjustRightInd w:val="0"/>
              <w:spacing w:before="120" w:after="120"/>
              <w:textAlignment w:val="baseline"/>
              <w:rPr>
                <w:rFonts w:eastAsiaTheme="minorEastAsia"/>
                <w:szCs w:val="21"/>
              </w:rPr>
            </w:pPr>
            <w:r w:rsidRPr="00FC1444">
              <w:rPr>
                <w:rFonts w:eastAsiaTheme="minorEastAsia"/>
                <w:szCs w:val="21"/>
              </w:rPr>
              <w:t xml:space="preserve">         </w:t>
            </w:r>
            <w:r w:rsidRPr="00FC1444">
              <w:rPr>
                <w:rFonts w:eastAsiaTheme="minorEastAsia"/>
                <w:szCs w:val="21"/>
              </w:rPr>
              <w:t>项目类别</w:t>
            </w:r>
          </w:p>
          <w:p w:rsidR="002A5A5E" w:rsidRPr="00FC1444" w:rsidRDefault="00611CBA">
            <w:pPr>
              <w:autoSpaceDE w:val="0"/>
              <w:autoSpaceDN w:val="0"/>
              <w:adjustRightInd w:val="0"/>
              <w:spacing w:before="120" w:after="120"/>
              <w:textAlignment w:val="baseline"/>
              <w:rPr>
                <w:rFonts w:eastAsiaTheme="minorEastAsia"/>
                <w:szCs w:val="21"/>
              </w:rPr>
            </w:pPr>
            <w:r w:rsidRPr="00FC1444">
              <w:rPr>
                <w:rFonts w:eastAsiaTheme="minorEastAsia"/>
                <w:szCs w:val="21"/>
              </w:rPr>
              <w:t>敏感程度</w:t>
            </w:r>
          </w:p>
          <w:p w:rsidR="002A5A5E" w:rsidRPr="00FC1444" w:rsidRDefault="002A5A5E">
            <w:pPr>
              <w:autoSpaceDE w:val="0"/>
              <w:autoSpaceDN w:val="0"/>
              <w:adjustRightInd w:val="0"/>
              <w:spacing w:before="120" w:after="120"/>
              <w:textAlignment w:val="baseline"/>
              <w:rPr>
                <w:rFonts w:eastAsiaTheme="minorEastAsia"/>
                <w:szCs w:val="21"/>
              </w:rPr>
            </w:pPr>
          </w:p>
          <w:p w:rsidR="002A5A5E" w:rsidRPr="00FC1444" w:rsidRDefault="00611CBA">
            <w:pPr>
              <w:autoSpaceDE w:val="0"/>
              <w:autoSpaceDN w:val="0"/>
              <w:adjustRightInd w:val="0"/>
              <w:spacing w:before="120" w:after="120"/>
              <w:jc w:val="center"/>
              <w:textAlignment w:val="baseline"/>
              <w:rPr>
                <w:rFonts w:eastAsiaTheme="minorEastAsia"/>
                <w:szCs w:val="21"/>
              </w:rPr>
            </w:pPr>
            <w:r w:rsidRPr="00FC1444">
              <w:rPr>
                <w:rFonts w:eastAsiaTheme="minorEastAsia"/>
                <w:szCs w:val="21"/>
              </w:rPr>
              <w:t>评价等</w:t>
            </w:r>
          </w:p>
        </w:tc>
        <w:tc>
          <w:tcPr>
            <w:tcW w:w="1249" w:type="pct"/>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Ⅰ</w:t>
            </w:r>
            <w:r w:rsidRPr="00FC1444">
              <w:rPr>
                <w:rFonts w:eastAsiaTheme="minorEastAsia"/>
                <w:szCs w:val="21"/>
              </w:rPr>
              <w:t>类项目</w:t>
            </w:r>
          </w:p>
        </w:tc>
        <w:tc>
          <w:tcPr>
            <w:tcW w:w="1249" w:type="pct"/>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Ⅱ</w:t>
            </w:r>
            <w:r w:rsidRPr="00FC1444">
              <w:rPr>
                <w:rFonts w:eastAsiaTheme="minorEastAsia"/>
                <w:szCs w:val="21"/>
              </w:rPr>
              <w:t>类项目</w:t>
            </w:r>
          </w:p>
        </w:tc>
        <w:tc>
          <w:tcPr>
            <w:tcW w:w="1250" w:type="pct"/>
            <w:vAlign w:val="center"/>
          </w:tcPr>
          <w:p w:rsidR="002A5A5E" w:rsidRPr="00FC1444" w:rsidRDefault="00611CBA">
            <w:pPr>
              <w:autoSpaceDE w:val="0"/>
              <w:autoSpaceDN w:val="0"/>
              <w:adjustRightInd w:val="0"/>
              <w:jc w:val="center"/>
              <w:textAlignment w:val="baseline"/>
              <w:rPr>
                <w:rFonts w:eastAsiaTheme="minorEastAsia"/>
                <w:b/>
                <w:szCs w:val="21"/>
              </w:rPr>
            </w:pPr>
            <w:r w:rsidRPr="00FC1444">
              <w:rPr>
                <w:rFonts w:eastAsiaTheme="minorEastAsia"/>
                <w:b/>
                <w:szCs w:val="21"/>
              </w:rPr>
              <w:t>Ⅲ</w:t>
            </w:r>
            <w:r w:rsidRPr="00FC1444">
              <w:rPr>
                <w:rFonts w:eastAsiaTheme="minorEastAsia"/>
                <w:b/>
                <w:szCs w:val="21"/>
              </w:rPr>
              <w:t>类项目</w:t>
            </w:r>
          </w:p>
        </w:tc>
      </w:tr>
      <w:tr w:rsidR="002A5A5E" w:rsidRPr="00FC1444">
        <w:trPr>
          <w:trHeight w:hRule="exact" w:val="340"/>
          <w:jc w:val="center"/>
        </w:trPr>
        <w:tc>
          <w:tcPr>
            <w:tcW w:w="1249" w:type="pct"/>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敏感</w:t>
            </w:r>
          </w:p>
        </w:tc>
        <w:tc>
          <w:tcPr>
            <w:tcW w:w="1249" w:type="pct"/>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一级</w:t>
            </w:r>
          </w:p>
        </w:tc>
        <w:tc>
          <w:tcPr>
            <w:tcW w:w="1249" w:type="pct"/>
            <w:vAlign w:val="center"/>
          </w:tcPr>
          <w:p w:rsidR="002A5A5E" w:rsidRPr="00FC1444" w:rsidRDefault="00611CBA">
            <w:pPr>
              <w:jc w:val="center"/>
              <w:rPr>
                <w:rFonts w:eastAsiaTheme="minorEastAsia"/>
                <w:szCs w:val="21"/>
              </w:rPr>
            </w:pPr>
            <w:r w:rsidRPr="00FC1444">
              <w:rPr>
                <w:rFonts w:eastAsiaTheme="minorEastAsia"/>
                <w:szCs w:val="21"/>
              </w:rPr>
              <w:t>二级</w:t>
            </w:r>
          </w:p>
        </w:tc>
        <w:tc>
          <w:tcPr>
            <w:tcW w:w="1250" w:type="pct"/>
            <w:vAlign w:val="center"/>
          </w:tcPr>
          <w:p w:rsidR="002A5A5E" w:rsidRPr="00FC1444" w:rsidRDefault="00611CBA">
            <w:pPr>
              <w:jc w:val="center"/>
              <w:rPr>
                <w:rFonts w:eastAsiaTheme="minorEastAsia"/>
                <w:szCs w:val="21"/>
              </w:rPr>
            </w:pPr>
            <w:r w:rsidRPr="00FC1444">
              <w:rPr>
                <w:rFonts w:eastAsiaTheme="minorEastAsia"/>
                <w:szCs w:val="21"/>
              </w:rPr>
              <w:t>三级</w:t>
            </w:r>
          </w:p>
        </w:tc>
      </w:tr>
      <w:tr w:rsidR="002A5A5E" w:rsidRPr="00FC1444">
        <w:trPr>
          <w:jc w:val="center"/>
        </w:trPr>
        <w:tc>
          <w:tcPr>
            <w:tcW w:w="1249" w:type="pct"/>
            <w:vAlign w:val="center"/>
          </w:tcPr>
          <w:p w:rsidR="002A5A5E" w:rsidRPr="00FC1444" w:rsidRDefault="00611CBA">
            <w:pPr>
              <w:autoSpaceDE w:val="0"/>
              <w:autoSpaceDN w:val="0"/>
              <w:adjustRightInd w:val="0"/>
              <w:snapToGrid w:val="0"/>
              <w:jc w:val="center"/>
              <w:textAlignment w:val="baseline"/>
              <w:rPr>
                <w:rFonts w:eastAsiaTheme="minorEastAsia"/>
                <w:szCs w:val="21"/>
              </w:rPr>
            </w:pPr>
            <w:r w:rsidRPr="00FC1444">
              <w:rPr>
                <w:rFonts w:eastAsiaTheme="minorEastAsia"/>
                <w:szCs w:val="21"/>
              </w:rPr>
              <w:t>较敏感</w:t>
            </w:r>
          </w:p>
        </w:tc>
        <w:tc>
          <w:tcPr>
            <w:tcW w:w="1249" w:type="pct"/>
            <w:vAlign w:val="center"/>
          </w:tcPr>
          <w:p w:rsidR="002A5A5E" w:rsidRPr="00FC1444" w:rsidRDefault="00611CBA">
            <w:pPr>
              <w:autoSpaceDE w:val="0"/>
              <w:autoSpaceDN w:val="0"/>
              <w:adjustRightInd w:val="0"/>
              <w:snapToGrid w:val="0"/>
              <w:jc w:val="center"/>
              <w:textAlignment w:val="baseline"/>
              <w:rPr>
                <w:rFonts w:eastAsiaTheme="minorEastAsia"/>
                <w:szCs w:val="21"/>
              </w:rPr>
            </w:pPr>
            <w:r w:rsidRPr="00FC1444">
              <w:rPr>
                <w:rFonts w:eastAsiaTheme="minorEastAsia"/>
                <w:szCs w:val="21"/>
              </w:rPr>
              <w:t>二级</w:t>
            </w:r>
          </w:p>
        </w:tc>
        <w:tc>
          <w:tcPr>
            <w:tcW w:w="1249" w:type="pct"/>
            <w:vAlign w:val="center"/>
          </w:tcPr>
          <w:p w:rsidR="002A5A5E" w:rsidRPr="00FC1444" w:rsidRDefault="00611CBA">
            <w:pPr>
              <w:snapToGrid w:val="0"/>
              <w:jc w:val="center"/>
              <w:rPr>
                <w:rFonts w:eastAsiaTheme="minorEastAsia"/>
                <w:szCs w:val="21"/>
              </w:rPr>
            </w:pPr>
            <w:r w:rsidRPr="00FC1444">
              <w:rPr>
                <w:rFonts w:eastAsiaTheme="minorEastAsia"/>
                <w:szCs w:val="21"/>
              </w:rPr>
              <w:t>二级</w:t>
            </w:r>
          </w:p>
        </w:tc>
        <w:tc>
          <w:tcPr>
            <w:tcW w:w="1250" w:type="pct"/>
            <w:vAlign w:val="center"/>
          </w:tcPr>
          <w:p w:rsidR="002A5A5E" w:rsidRPr="00FC1444" w:rsidRDefault="00611CBA">
            <w:pPr>
              <w:snapToGrid w:val="0"/>
              <w:jc w:val="center"/>
              <w:rPr>
                <w:rFonts w:eastAsiaTheme="minorEastAsia"/>
                <w:szCs w:val="21"/>
              </w:rPr>
            </w:pPr>
            <w:r w:rsidRPr="00FC1444">
              <w:rPr>
                <w:rFonts w:eastAsiaTheme="minorEastAsia"/>
                <w:szCs w:val="21"/>
              </w:rPr>
              <w:t>三级</w:t>
            </w:r>
          </w:p>
        </w:tc>
      </w:tr>
      <w:tr w:rsidR="002A5A5E" w:rsidRPr="00FC1444">
        <w:trPr>
          <w:jc w:val="center"/>
        </w:trPr>
        <w:tc>
          <w:tcPr>
            <w:tcW w:w="1249" w:type="pct"/>
            <w:vAlign w:val="center"/>
          </w:tcPr>
          <w:p w:rsidR="002A5A5E" w:rsidRPr="00FC1444" w:rsidRDefault="00611CBA">
            <w:pPr>
              <w:autoSpaceDE w:val="0"/>
              <w:autoSpaceDN w:val="0"/>
              <w:adjustRightInd w:val="0"/>
              <w:jc w:val="center"/>
              <w:textAlignment w:val="baseline"/>
              <w:rPr>
                <w:rFonts w:eastAsiaTheme="minorEastAsia"/>
                <w:b/>
                <w:szCs w:val="21"/>
              </w:rPr>
            </w:pPr>
            <w:r w:rsidRPr="00FC1444">
              <w:rPr>
                <w:rFonts w:eastAsiaTheme="minorEastAsia"/>
                <w:b/>
                <w:szCs w:val="21"/>
              </w:rPr>
              <w:t>不敏感</w:t>
            </w:r>
          </w:p>
        </w:tc>
        <w:tc>
          <w:tcPr>
            <w:tcW w:w="1249" w:type="pct"/>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二级</w:t>
            </w:r>
          </w:p>
        </w:tc>
        <w:tc>
          <w:tcPr>
            <w:tcW w:w="1249" w:type="pct"/>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三级</w:t>
            </w:r>
          </w:p>
        </w:tc>
        <w:tc>
          <w:tcPr>
            <w:tcW w:w="1250" w:type="pct"/>
            <w:vAlign w:val="center"/>
          </w:tcPr>
          <w:p w:rsidR="002A5A5E" w:rsidRPr="00FC1444" w:rsidRDefault="00611CBA">
            <w:pPr>
              <w:autoSpaceDE w:val="0"/>
              <w:autoSpaceDN w:val="0"/>
              <w:adjustRightInd w:val="0"/>
              <w:jc w:val="center"/>
              <w:textAlignment w:val="baseline"/>
              <w:rPr>
                <w:rFonts w:eastAsiaTheme="minorEastAsia"/>
                <w:b/>
                <w:szCs w:val="21"/>
              </w:rPr>
            </w:pPr>
            <w:r w:rsidRPr="00FC1444">
              <w:rPr>
                <w:rFonts w:eastAsiaTheme="minorEastAsia"/>
                <w:b/>
                <w:szCs w:val="21"/>
              </w:rPr>
              <w:t>—</w:t>
            </w:r>
          </w:p>
        </w:tc>
      </w:tr>
      <w:tr w:rsidR="002A5A5E" w:rsidRPr="00FC1444">
        <w:trPr>
          <w:jc w:val="center"/>
        </w:trPr>
        <w:tc>
          <w:tcPr>
            <w:tcW w:w="5000" w:type="pct"/>
            <w:gridSpan w:val="4"/>
            <w:vAlign w:val="center"/>
          </w:tcPr>
          <w:p w:rsidR="002A5A5E" w:rsidRPr="00FC1444" w:rsidRDefault="00611CBA">
            <w:pPr>
              <w:autoSpaceDE w:val="0"/>
              <w:autoSpaceDN w:val="0"/>
              <w:adjustRightInd w:val="0"/>
              <w:jc w:val="center"/>
              <w:textAlignment w:val="baseline"/>
              <w:rPr>
                <w:rFonts w:eastAsiaTheme="minorEastAsia"/>
                <w:szCs w:val="21"/>
              </w:rPr>
            </w:pPr>
            <w:r w:rsidRPr="00FC1444">
              <w:rPr>
                <w:rFonts w:eastAsiaTheme="minorEastAsia"/>
                <w:szCs w:val="21"/>
              </w:rPr>
              <w:t>注：</w:t>
            </w:r>
            <w:r w:rsidRPr="00FC1444">
              <w:rPr>
                <w:rFonts w:eastAsiaTheme="minorEastAsia"/>
                <w:szCs w:val="21"/>
              </w:rPr>
              <w:t>“—”</w:t>
            </w:r>
            <w:r w:rsidRPr="00FC1444">
              <w:rPr>
                <w:rFonts w:eastAsiaTheme="minorEastAsia"/>
                <w:szCs w:val="21"/>
              </w:rPr>
              <w:t>表示可不开展土壤环境影响评价工作</w:t>
            </w:r>
          </w:p>
        </w:tc>
      </w:tr>
    </w:tbl>
    <w:p w:rsidR="002A5A5E" w:rsidRPr="00FC1444" w:rsidRDefault="00611CBA">
      <w:pPr>
        <w:spacing w:line="360" w:lineRule="auto"/>
        <w:ind w:firstLineChars="200" w:firstLine="480"/>
        <w:contextualSpacing/>
        <w:jc w:val="left"/>
        <w:rPr>
          <w:rFonts w:eastAsiaTheme="minorEastAsia"/>
          <w:snapToGrid w:val="0"/>
          <w:sz w:val="24"/>
          <w:szCs w:val="22"/>
        </w:rPr>
      </w:pPr>
      <w:r w:rsidRPr="00FC1444">
        <w:rPr>
          <w:rFonts w:eastAsiaTheme="minorEastAsia"/>
          <w:snapToGrid w:val="0"/>
          <w:sz w:val="24"/>
          <w:szCs w:val="22"/>
        </w:rPr>
        <w:t>本项目属于</w:t>
      </w:r>
      <w:r w:rsidRPr="00FC1444">
        <w:rPr>
          <w:rFonts w:eastAsiaTheme="minorEastAsia"/>
          <w:snapToGrid w:val="0"/>
          <w:sz w:val="24"/>
          <w:szCs w:val="22"/>
        </w:rPr>
        <w:t>Ⅲ</w:t>
      </w:r>
      <w:r w:rsidRPr="00FC1444">
        <w:rPr>
          <w:rFonts w:eastAsiaTheme="minorEastAsia"/>
          <w:snapToGrid w:val="0"/>
          <w:sz w:val="24"/>
          <w:szCs w:val="22"/>
        </w:rPr>
        <w:t>类项目，根据现状监测数据可知，项目区</w:t>
      </w:r>
      <w:r w:rsidR="00030F6B" w:rsidRPr="00FC1444">
        <w:rPr>
          <w:rFonts w:eastAsiaTheme="minorEastAsia"/>
          <w:snapToGrid w:val="0"/>
          <w:sz w:val="24"/>
          <w:szCs w:val="22"/>
        </w:rPr>
        <w:t>土壤</w:t>
      </w:r>
      <w:r w:rsidRPr="00FC1444">
        <w:rPr>
          <w:rFonts w:eastAsiaTheme="minorEastAsia"/>
          <w:snapToGrid w:val="0"/>
          <w:sz w:val="24"/>
          <w:szCs w:val="22"/>
        </w:rPr>
        <w:t>pH</w:t>
      </w:r>
      <w:r w:rsidRPr="00FC1444">
        <w:rPr>
          <w:rFonts w:eastAsiaTheme="minorEastAsia"/>
          <w:snapToGrid w:val="0"/>
          <w:sz w:val="24"/>
          <w:szCs w:val="22"/>
        </w:rPr>
        <w:t>值在</w:t>
      </w:r>
      <w:r w:rsidR="006F5CC4" w:rsidRPr="00FC1444">
        <w:rPr>
          <w:rFonts w:eastAsiaTheme="minorEastAsia" w:hint="eastAsia"/>
          <w:sz w:val="24"/>
          <w:szCs w:val="21"/>
        </w:rPr>
        <w:t>7.1</w:t>
      </w:r>
      <w:r w:rsidR="00A93CEB" w:rsidRPr="00FC1444">
        <w:rPr>
          <w:rFonts w:eastAsiaTheme="minorEastAsia"/>
          <w:sz w:val="24"/>
          <w:szCs w:val="21"/>
        </w:rPr>
        <w:t>-7.</w:t>
      </w:r>
      <w:r w:rsidR="006F5CC4" w:rsidRPr="00FC1444">
        <w:rPr>
          <w:rFonts w:eastAsiaTheme="minorEastAsia" w:hint="eastAsia"/>
          <w:sz w:val="24"/>
          <w:szCs w:val="21"/>
        </w:rPr>
        <w:t>6</w:t>
      </w:r>
      <w:r w:rsidRPr="00FC1444">
        <w:rPr>
          <w:rFonts w:eastAsiaTheme="minorEastAsia"/>
          <w:snapToGrid w:val="0"/>
          <w:sz w:val="24"/>
          <w:szCs w:val="22"/>
        </w:rPr>
        <w:lastRenderedPageBreak/>
        <w:t>之间，根据</w:t>
      </w:r>
      <w:r w:rsidRPr="00FC1444">
        <w:rPr>
          <w:rFonts w:eastAsiaTheme="minorEastAsia"/>
          <w:snapToGrid w:val="0"/>
          <w:sz w:val="24"/>
          <w:szCs w:val="22"/>
        </w:rPr>
        <w:t>pH</w:t>
      </w:r>
      <w:r w:rsidRPr="00FC1444">
        <w:rPr>
          <w:rFonts w:eastAsiaTheme="minorEastAsia"/>
          <w:snapToGrid w:val="0"/>
          <w:sz w:val="24"/>
          <w:szCs w:val="22"/>
        </w:rPr>
        <w:t>值判定为不敏感，同时项目所在区域多年平均水面蒸发量</w:t>
      </w:r>
      <w:r w:rsidRPr="00FC1444">
        <w:rPr>
          <w:rFonts w:eastAsiaTheme="minorEastAsia"/>
          <w:snapToGrid w:val="0"/>
          <w:sz w:val="24"/>
          <w:szCs w:val="22"/>
        </w:rPr>
        <w:t>9</w:t>
      </w:r>
      <w:r w:rsidR="00D12015" w:rsidRPr="00FC1444">
        <w:rPr>
          <w:rFonts w:eastAsiaTheme="minorEastAsia"/>
          <w:snapToGrid w:val="0"/>
          <w:sz w:val="24"/>
          <w:szCs w:val="22"/>
        </w:rPr>
        <w:t>25</w:t>
      </w:r>
      <w:r w:rsidRPr="00FC1444">
        <w:rPr>
          <w:rFonts w:eastAsiaTheme="minorEastAsia"/>
          <w:snapToGrid w:val="0"/>
          <w:sz w:val="24"/>
          <w:szCs w:val="22"/>
        </w:rPr>
        <w:t>mm</w:t>
      </w:r>
      <w:r w:rsidRPr="00FC1444">
        <w:rPr>
          <w:rFonts w:eastAsiaTheme="minorEastAsia"/>
          <w:snapToGrid w:val="0"/>
          <w:sz w:val="24"/>
          <w:szCs w:val="22"/>
        </w:rPr>
        <w:t>，降水量为</w:t>
      </w:r>
      <w:r w:rsidRPr="00FC1444">
        <w:rPr>
          <w:rFonts w:eastAsiaTheme="minorEastAsia"/>
          <w:snapToGrid w:val="0"/>
          <w:sz w:val="24"/>
          <w:szCs w:val="22"/>
        </w:rPr>
        <w:t>5</w:t>
      </w:r>
      <w:r w:rsidR="00D12015" w:rsidRPr="00FC1444">
        <w:rPr>
          <w:rFonts w:eastAsiaTheme="minorEastAsia"/>
          <w:snapToGrid w:val="0"/>
          <w:sz w:val="24"/>
          <w:szCs w:val="22"/>
        </w:rPr>
        <w:t>25</w:t>
      </w:r>
      <w:r w:rsidRPr="00FC1444">
        <w:rPr>
          <w:rFonts w:eastAsiaTheme="minorEastAsia"/>
          <w:snapToGrid w:val="0"/>
          <w:sz w:val="24"/>
          <w:szCs w:val="22"/>
        </w:rPr>
        <w:t>mm</w:t>
      </w:r>
      <w:r w:rsidRPr="00FC1444">
        <w:rPr>
          <w:rFonts w:eastAsiaTheme="minorEastAsia"/>
          <w:snapToGrid w:val="0"/>
          <w:sz w:val="24"/>
          <w:szCs w:val="22"/>
        </w:rPr>
        <w:t>，干燥度为</w:t>
      </w:r>
      <w:r w:rsidRPr="00FC1444">
        <w:rPr>
          <w:rFonts w:eastAsiaTheme="minorEastAsia"/>
          <w:snapToGrid w:val="0"/>
          <w:sz w:val="24"/>
          <w:szCs w:val="22"/>
        </w:rPr>
        <w:t>1.</w:t>
      </w:r>
      <w:r w:rsidR="00D12015" w:rsidRPr="00FC1444">
        <w:rPr>
          <w:rFonts w:eastAsiaTheme="minorEastAsia"/>
          <w:snapToGrid w:val="0"/>
          <w:sz w:val="24"/>
          <w:szCs w:val="22"/>
        </w:rPr>
        <w:t>8</w:t>
      </w:r>
      <w:r w:rsidRPr="00FC1444">
        <w:rPr>
          <w:rFonts w:eastAsiaTheme="minorEastAsia"/>
          <w:snapToGrid w:val="0"/>
          <w:sz w:val="24"/>
          <w:szCs w:val="22"/>
        </w:rPr>
        <w:t>，地下水位埋深约为</w:t>
      </w:r>
      <w:r w:rsidR="006F5CC4" w:rsidRPr="00FC1444">
        <w:rPr>
          <w:rFonts w:eastAsiaTheme="minorEastAsia"/>
          <w:snapToGrid w:val="0"/>
          <w:sz w:val="24"/>
          <w:szCs w:val="22"/>
        </w:rPr>
        <w:t>3.28</w:t>
      </w:r>
      <w:r w:rsidR="006F5CC4" w:rsidRPr="00FC1444">
        <w:rPr>
          <w:rFonts w:eastAsiaTheme="minorEastAsia"/>
          <w:snapToGrid w:val="0"/>
          <w:sz w:val="24"/>
          <w:szCs w:val="22"/>
        </w:rPr>
        <w:t>～</w:t>
      </w:r>
      <w:r w:rsidR="006F5CC4" w:rsidRPr="00FC1444">
        <w:rPr>
          <w:rFonts w:eastAsiaTheme="minorEastAsia"/>
          <w:snapToGrid w:val="0"/>
          <w:sz w:val="24"/>
          <w:szCs w:val="22"/>
        </w:rPr>
        <w:t>27m</w:t>
      </w:r>
      <w:r w:rsidRPr="00FC1444">
        <w:rPr>
          <w:rFonts w:eastAsiaTheme="minorEastAsia"/>
          <w:snapToGrid w:val="0"/>
          <w:sz w:val="24"/>
          <w:szCs w:val="22"/>
        </w:rPr>
        <w:t>，含盐量为</w:t>
      </w:r>
      <w:r w:rsidR="00A93CEB" w:rsidRPr="00FC1444">
        <w:rPr>
          <w:rFonts w:eastAsiaTheme="minorEastAsia"/>
          <w:sz w:val="24"/>
          <w:szCs w:val="21"/>
        </w:rPr>
        <w:t>0.</w:t>
      </w:r>
      <w:r w:rsidR="006F5CC4" w:rsidRPr="00FC1444">
        <w:rPr>
          <w:rFonts w:eastAsiaTheme="minorEastAsia" w:hint="eastAsia"/>
          <w:sz w:val="24"/>
          <w:szCs w:val="21"/>
        </w:rPr>
        <w:t>5</w:t>
      </w:r>
      <w:r w:rsidR="00A93CEB" w:rsidRPr="00FC1444">
        <w:rPr>
          <w:rFonts w:eastAsiaTheme="minorEastAsia"/>
          <w:sz w:val="24"/>
          <w:szCs w:val="21"/>
        </w:rPr>
        <w:t>-0.</w:t>
      </w:r>
      <w:r w:rsidR="006F5CC4" w:rsidRPr="00FC1444">
        <w:rPr>
          <w:rFonts w:eastAsiaTheme="minorEastAsia" w:hint="eastAsia"/>
          <w:sz w:val="24"/>
          <w:szCs w:val="21"/>
        </w:rPr>
        <w:t>8</w:t>
      </w:r>
      <w:r w:rsidRPr="00FC1444">
        <w:rPr>
          <w:rFonts w:eastAsiaTheme="minorEastAsia"/>
          <w:snapToGrid w:val="0"/>
          <w:sz w:val="24"/>
          <w:szCs w:val="22"/>
        </w:rPr>
        <w:t>g/kg</w:t>
      </w:r>
      <w:r w:rsidRPr="00FC1444">
        <w:rPr>
          <w:rFonts w:eastAsiaTheme="minorEastAsia"/>
          <w:snapToGrid w:val="0"/>
          <w:sz w:val="24"/>
          <w:szCs w:val="22"/>
        </w:rPr>
        <w:t>，故项目所在区域为不敏感，无需进行土壤评价。</w:t>
      </w:r>
    </w:p>
    <w:p w:rsidR="002A5A5E" w:rsidRPr="00FC1444" w:rsidRDefault="00611CBA">
      <w:pPr>
        <w:pStyle w:val="30"/>
        <w:spacing w:before="100" w:beforeAutospacing="1" w:after="100" w:afterAutospacing="1" w:line="240" w:lineRule="auto"/>
        <w:ind w:firstLineChars="0" w:firstLine="0"/>
        <w:contextualSpacing/>
        <w:rPr>
          <w:rFonts w:ascii="Times New Roman" w:eastAsiaTheme="minorEastAsia" w:hAnsi="Times New Roman" w:cs="Times New Roman"/>
          <w:b/>
          <w:sz w:val="28"/>
          <w:szCs w:val="28"/>
        </w:rPr>
      </w:pPr>
      <w:r w:rsidRPr="00FC1444">
        <w:rPr>
          <w:rFonts w:ascii="Times New Roman" w:eastAsiaTheme="minorEastAsia" w:hAnsi="Times New Roman" w:cs="Times New Roman"/>
          <w:b/>
          <w:sz w:val="28"/>
          <w:szCs w:val="28"/>
        </w:rPr>
        <w:t>2.6.7</w:t>
      </w:r>
      <w:r w:rsidRPr="00FC1444">
        <w:rPr>
          <w:rFonts w:ascii="Times New Roman" w:eastAsiaTheme="minorEastAsia" w:hAnsi="Times New Roman" w:cs="Times New Roman"/>
          <w:b/>
          <w:sz w:val="28"/>
          <w:szCs w:val="28"/>
        </w:rPr>
        <w:t>风险评价工作等级</w:t>
      </w:r>
    </w:p>
    <w:p w:rsidR="002A5A5E" w:rsidRPr="00FC1444" w:rsidRDefault="00611CBA">
      <w:pPr>
        <w:pStyle w:val="aff4"/>
        <w:adjustRightInd/>
        <w:snapToGrid/>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1</w:t>
      </w:r>
      <w:r w:rsidRPr="00FC1444">
        <w:rPr>
          <w:rFonts w:ascii="Times New Roman" w:hAnsi="Times New Roman" w:cs="Times New Roman"/>
        </w:rPr>
        <w:t>）风险调查</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根据《建设项目环境风险评价技术导则》（</w:t>
      </w:r>
      <w:r w:rsidRPr="00FC1444">
        <w:rPr>
          <w:rFonts w:ascii="Times New Roman" w:hAnsi="Times New Roman" w:cs="Times New Roman"/>
        </w:rPr>
        <w:t>HJ169-2018</w:t>
      </w:r>
      <w:r w:rsidRPr="00FC1444">
        <w:rPr>
          <w:rFonts w:ascii="Times New Roman" w:hAnsi="Times New Roman" w:cs="Times New Roman"/>
        </w:rPr>
        <w:t>）附录</w:t>
      </w:r>
      <w:r w:rsidRPr="00FC1444">
        <w:rPr>
          <w:rFonts w:ascii="Times New Roman" w:hAnsi="Times New Roman" w:cs="Times New Roman"/>
        </w:rPr>
        <w:t>B</w:t>
      </w:r>
      <w:r w:rsidRPr="00FC1444">
        <w:rPr>
          <w:rFonts w:ascii="Times New Roman" w:hAnsi="Times New Roman" w:cs="Times New Roman"/>
        </w:rPr>
        <w:t>及《重大危险源辨识》（</w:t>
      </w:r>
      <w:r w:rsidRPr="00FC1444">
        <w:rPr>
          <w:rFonts w:ascii="Times New Roman" w:hAnsi="Times New Roman" w:cs="Times New Roman"/>
        </w:rPr>
        <w:t>GB18218-2018</w:t>
      </w:r>
      <w:r w:rsidRPr="00FC1444">
        <w:rPr>
          <w:rFonts w:ascii="Times New Roman" w:hAnsi="Times New Roman" w:cs="Times New Roman"/>
        </w:rPr>
        <w:t>），本项目主要风险物质为</w:t>
      </w:r>
      <w:r w:rsidRPr="00FC1444">
        <w:rPr>
          <w:rFonts w:ascii="Times New Roman" w:hAnsi="Times New Roman" w:cs="Times New Roman"/>
          <w:bCs/>
        </w:rPr>
        <w:t>柴油及变压器油</w:t>
      </w:r>
      <w:r w:rsidRPr="00FC1444">
        <w:rPr>
          <w:rFonts w:ascii="Times New Roman" w:hAnsi="Times New Roman" w:cs="Times New Roman"/>
        </w:rPr>
        <w:t>。</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本项目排水工程设置</w:t>
      </w:r>
      <w:r w:rsidR="007D6514" w:rsidRPr="00FC1444">
        <w:rPr>
          <w:rFonts w:ascii="Times New Roman" w:hAnsi="Times New Roman" w:cs="Times New Roman"/>
        </w:rPr>
        <w:t>15</w:t>
      </w:r>
      <w:r w:rsidR="007D6514" w:rsidRPr="00FC1444">
        <w:rPr>
          <w:rFonts w:ascii="Times New Roman" w:hAnsi="Times New Roman" w:cs="Times New Roman"/>
        </w:rPr>
        <w:t>台</w:t>
      </w:r>
      <w:r w:rsidRPr="00FC1444">
        <w:rPr>
          <w:rFonts w:ascii="Times New Roman" w:hAnsi="Times New Roman" w:cs="Times New Roman"/>
        </w:rPr>
        <w:t>柴油机移动泵车，设置</w:t>
      </w:r>
      <w:r w:rsidRPr="00FC1444">
        <w:rPr>
          <w:rFonts w:ascii="Times New Roman" w:hAnsi="Times New Roman" w:cs="Times New Roman"/>
          <w:kern w:val="0"/>
          <w:szCs w:val="20"/>
        </w:rPr>
        <w:t>于</w:t>
      </w:r>
      <w:r w:rsidR="00D12015" w:rsidRPr="00FC1444">
        <w:rPr>
          <w:rFonts w:ascii="Times New Roman" w:hAnsi="Times New Roman" w:cs="Times New Roman"/>
          <w:kern w:val="0"/>
          <w:szCs w:val="20"/>
        </w:rPr>
        <w:t>项目区域内各村屯</w:t>
      </w:r>
      <w:r w:rsidRPr="00FC1444">
        <w:rPr>
          <w:rFonts w:ascii="Times New Roman" w:hAnsi="Times New Roman" w:cs="Times New Roman"/>
        </w:rPr>
        <w:t>，由于泵车分布较分散，各柴油机移动泵车可视为一个单独厂区，柴油最大存储量为</w:t>
      </w:r>
      <w:r w:rsidRPr="00FC1444">
        <w:rPr>
          <w:rFonts w:ascii="Times New Roman" w:hAnsi="Times New Roman" w:cs="Times New Roman"/>
        </w:rPr>
        <w:t>150L</w:t>
      </w:r>
      <w:r w:rsidRPr="00FC1444">
        <w:rPr>
          <w:rFonts w:ascii="Times New Roman" w:hAnsi="Times New Roman" w:cs="Times New Roman"/>
        </w:rPr>
        <w:t>（</w:t>
      </w:r>
      <w:r w:rsidRPr="00FC1444">
        <w:rPr>
          <w:rFonts w:ascii="Times New Roman" w:hAnsi="Times New Roman" w:cs="Times New Roman"/>
        </w:rPr>
        <w:t>0.125t</w:t>
      </w:r>
      <w:r w:rsidRPr="00FC1444">
        <w:rPr>
          <w:rFonts w:ascii="Times New Roman" w:hAnsi="Times New Roman" w:cs="Times New Roman"/>
        </w:rPr>
        <w:t>），本项目采用油浸式变压器较传统变压器的变压器油相对小，各变压器箱内变压器油存储量最大为</w:t>
      </w:r>
      <w:r w:rsidRPr="00FC1444">
        <w:rPr>
          <w:rFonts w:ascii="Times New Roman" w:hAnsi="Times New Roman" w:cs="Times New Roman"/>
        </w:rPr>
        <w:t>115kg</w:t>
      </w:r>
      <w:r w:rsidRPr="00FC1444">
        <w:rPr>
          <w:rFonts w:ascii="Times New Roman" w:hAnsi="Times New Roman" w:cs="Times New Roman"/>
        </w:rPr>
        <w:t>。运营期由于项目分散，各变压器可视为一个单独厂区，均小于</w:t>
      </w:r>
      <w:r w:rsidRPr="00FC1444">
        <w:rPr>
          <w:rFonts w:ascii="Times New Roman" w:hAnsi="Times New Roman" w:cs="Times New Roman"/>
        </w:rPr>
        <w:t>2500t</w:t>
      </w:r>
      <w:r w:rsidRPr="00FC1444">
        <w:rPr>
          <w:rFonts w:ascii="Times New Roman" w:hAnsi="Times New Roman" w:cs="Times New Roman"/>
        </w:rPr>
        <w:t>（临界量），因此根据以上分析，项目</w:t>
      </w:r>
      <w:r w:rsidRPr="00FC1444">
        <w:rPr>
          <w:rFonts w:ascii="Times New Roman" w:hAnsi="Times New Roman" w:cs="Times New Roman"/>
        </w:rPr>
        <w:t>Q</w:t>
      </w:r>
      <w:r w:rsidRPr="00FC1444">
        <w:rPr>
          <w:rFonts w:ascii="Times New Roman" w:hAnsi="Times New Roman" w:cs="Times New Roman"/>
        </w:rPr>
        <w:t>值小于</w:t>
      </w:r>
      <w:r w:rsidRPr="00FC1444">
        <w:rPr>
          <w:rFonts w:ascii="Times New Roman" w:hAnsi="Times New Roman" w:cs="Times New Roman"/>
        </w:rPr>
        <w:t>1</w:t>
      </w:r>
      <w:r w:rsidRPr="00FC1444">
        <w:rPr>
          <w:rFonts w:ascii="Times New Roman" w:hAnsi="Times New Roman" w:cs="Times New Roman"/>
        </w:rPr>
        <w:t>。</w:t>
      </w:r>
    </w:p>
    <w:p w:rsidR="002A5A5E" w:rsidRPr="00FC1444" w:rsidRDefault="00611CBA">
      <w:pPr>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 xml:space="preserve">2-6-10 </w:t>
      </w:r>
      <w:r w:rsidRPr="00FC1444">
        <w:rPr>
          <w:rFonts w:eastAsiaTheme="minorEastAsia"/>
          <w:b/>
          <w:kern w:val="0"/>
          <w:szCs w:val="21"/>
        </w:rPr>
        <w:t>项目危险物质存储情况</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959"/>
        <w:gridCol w:w="2269"/>
        <w:gridCol w:w="1558"/>
        <w:gridCol w:w="2038"/>
        <w:gridCol w:w="1698"/>
      </w:tblGrid>
      <w:tr w:rsidR="002A5A5E" w:rsidRPr="00FC1444">
        <w:tc>
          <w:tcPr>
            <w:tcW w:w="563"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序号</w:t>
            </w:r>
          </w:p>
        </w:tc>
        <w:tc>
          <w:tcPr>
            <w:tcW w:w="1331"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物质名称</w:t>
            </w:r>
          </w:p>
        </w:tc>
        <w:tc>
          <w:tcPr>
            <w:tcW w:w="914"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临界量（</w:t>
            </w:r>
            <w:r w:rsidRPr="00FC1444">
              <w:rPr>
                <w:rFonts w:eastAsiaTheme="minorEastAsia" w:hAnsi="Times New Roman"/>
                <w:snapToGrid w:val="0"/>
                <w:szCs w:val="22"/>
              </w:rPr>
              <w:t>t</w:t>
            </w:r>
            <w:r w:rsidRPr="00FC1444">
              <w:rPr>
                <w:rFonts w:eastAsiaTheme="minorEastAsia" w:hAnsi="Times New Roman"/>
                <w:snapToGrid w:val="0"/>
                <w:szCs w:val="22"/>
              </w:rPr>
              <w:t>）</w:t>
            </w:r>
          </w:p>
        </w:tc>
        <w:tc>
          <w:tcPr>
            <w:tcW w:w="1196"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单元实际储存量（</w:t>
            </w:r>
            <w:r w:rsidRPr="00FC1444">
              <w:rPr>
                <w:rFonts w:eastAsiaTheme="minorEastAsia" w:hAnsi="Times New Roman"/>
                <w:snapToGrid w:val="0"/>
                <w:szCs w:val="22"/>
              </w:rPr>
              <w:t>t</w:t>
            </w:r>
            <w:r w:rsidRPr="00FC1444">
              <w:rPr>
                <w:rFonts w:eastAsiaTheme="minorEastAsia" w:hAnsi="Times New Roman"/>
                <w:snapToGrid w:val="0"/>
                <w:szCs w:val="22"/>
              </w:rPr>
              <w:t>）</w:t>
            </w:r>
          </w:p>
        </w:tc>
        <w:tc>
          <w:tcPr>
            <w:tcW w:w="996"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q/Q</w:t>
            </w:r>
          </w:p>
        </w:tc>
      </w:tr>
      <w:tr w:rsidR="002A5A5E" w:rsidRPr="00FC1444">
        <w:tc>
          <w:tcPr>
            <w:tcW w:w="563"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1</w:t>
            </w:r>
          </w:p>
        </w:tc>
        <w:tc>
          <w:tcPr>
            <w:tcW w:w="1331"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bCs/>
                <w:snapToGrid w:val="0"/>
                <w:szCs w:val="22"/>
              </w:rPr>
              <w:t>柴油</w:t>
            </w:r>
          </w:p>
        </w:tc>
        <w:tc>
          <w:tcPr>
            <w:tcW w:w="914"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2500</w:t>
            </w:r>
          </w:p>
        </w:tc>
        <w:tc>
          <w:tcPr>
            <w:tcW w:w="1196"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0.125</w:t>
            </w:r>
          </w:p>
        </w:tc>
        <w:tc>
          <w:tcPr>
            <w:tcW w:w="996"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0.00005</w:t>
            </w:r>
          </w:p>
        </w:tc>
      </w:tr>
      <w:tr w:rsidR="002A5A5E" w:rsidRPr="00FC1444">
        <w:tc>
          <w:tcPr>
            <w:tcW w:w="563"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2</w:t>
            </w:r>
          </w:p>
        </w:tc>
        <w:tc>
          <w:tcPr>
            <w:tcW w:w="1331" w:type="pct"/>
            <w:shd w:val="clear" w:color="auto" w:fill="auto"/>
            <w:vAlign w:val="center"/>
          </w:tcPr>
          <w:p w:rsidR="002A5A5E" w:rsidRPr="00FC1444" w:rsidRDefault="00611CBA">
            <w:pPr>
              <w:pStyle w:val="aff7"/>
              <w:spacing w:line="0" w:lineRule="atLeast"/>
              <w:rPr>
                <w:rFonts w:eastAsiaTheme="minorEastAsia" w:hAnsi="Times New Roman"/>
                <w:bCs/>
                <w:snapToGrid w:val="0"/>
                <w:szCs w:val="22"/>
              </w:rPr>
            </w:pPr>
            <w:r w:rsidRPr="00FC1444">
              <w:rPr>
                <w:rFonts w:eastAsiaTheme="minorEastAsia" w:hAnsi="Times New Roman"/>
                <w:bCs/>
                <w:snapToGrid w:val="0"/>
                <w:szCs w:val="22"/>
              </w:rPr>
              <w:t>变压器油</w:t>
            </w:r>
          </w:p>
        </w:tc>
        <w:tc>
          <w:tcPr>
            <w:tcW w:w="914"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2500</w:t>
            </w:r>
          </w:p>
        </w:tc>
        <w:tc>
          <w:tcPr>
            <w:tcW w:w="1196"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0.115</w:t>
            </w:r>
          </w:p>
        </w:tc>
        <w:tc>
          <w:tcPr>
            <w:tcW w:w="996"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0.000046</w:t>
            </w:r>
          </w:p>
        </w:tc>
      </w:tr>
    </w:tbl>
    <w:p w:rsidR="002A5A5E" w:rsidRPr="00FC1444" w:rsidRDefault="00611CBA">
      <w:pPr>
        <w:ind w:firstLineChars="200" w:firstLine="480"/>
        <w:rPr>
          <w:rFonts w:eastAsiaTheme="minorEastAsia"/>
          <w:sz w:val="24"/>
        </w:rPr>
      </w:pPr>
      <w:r w:rsidRPr="00FC1444">
        <w:rPr>
          <w:rFonts w:eastAsiaTheme="minorEastAsia"/>
          <w:sz w:val="24"/>
        </w:rPr>
        <w:t>计算公式如下：</w:t>
      </w:r>
    </w:p>
    <w:p w:rsidR="002A5A5E" w:rsidRPr="00FC1444" w:rsidRDefault="00611CBA" w:rsidP="006B5CB5">
      <w:pPr>
        <w:spacing w:beforeLines="25" w:line="360" w:lineRule="auto"/>
        <w:ind w:firstLineChars="200" w:firstLine="480"/>
        <w:jc w:val="center"/>
        <w:rPr>
          <w:rFonts w:eastAsiaTheme="minorEastAsia"/>
          <w:sz w:val="24"/>
        </w:rPr>
      </w:pPr>
      <m:oMathPara>
        <m:oMath>
          <m:r>
            <m:rPr>
              <m:sty m:val="p"/>
            </m:rPr>
            <w:rPr>
              <w:rFonts w:ascii="Cambria Math" w:eastAsiaTheme="minorEastAsia"/>
              <w:sz w:val="24"/>
            </w:rPr>
            <m:t>Q=</m:t>
          </m:r>
          <m:f>
            <m:fPr>
              <m:ctrlPr>
                <w:rPr>
                  <w:rFonts w:ascii="Cambria Math" w:eastAsiaTheme="minorEastAsia" w:hAnsi="Cambria Math"/>
                  <w:sz w:val="24"/>
                </w:rPr>
              </m:ctrlPr>
            </m:fPr>
            <m:num>
              <m:sSub>
                <m:sSubPr>
                  <m:ctrlPr>
                    <w:rPr>
                      <w:rFonts w:ascii="Cambria Math" w:eastAsiaTheme="minorEastAsia" w:hAnsi="Cambria Math"/>
                      <w:sz w:val="24"/>
                    </w:rPr>
                  </m:ctrlPr>
                </m:sSubPr>
                <m:e>
                  <m:r>
                    <m:rPr>
                      <m:sty m:val="p"/>
                    </m:rPr>
                    <w:rPr>
                      <w:rFonts w:ascii="Cambria Math" w:eastAsiaTheme="minorEastAsia"/>
                      <w:sz w:val="24"/>
                    </w:rPr>
                    <m:t>q</m:t>
                  </m:r>
                </m:e>
                <m:sub>
                  <m:r>
                    <m:rPr>
                      <m:sty m:val="p"/>
                    </m:rPr>
                    <w:rPr>
                      <w:rFonts w:ascii="Cambria Math" w:eastAsiaTheme="minorEastAsia"/>
                      <w:sz w:val="24"/>
                    </w:rPr>
                    <m:t>1</m:t>
                  </m:r>
                </m:sub>
              </m:sSub>
            </m:num>
            <m:den>
              <m:sSub>
                <m:sSubPr>
                  <m:ctrlPr>
                    <w:rPr>
                      <w:rFonts w:ascii="Cambria Math" w:eastAsiaTheme="minorEastAsia" w:hAnsi="Cambria Math"/>
                      <w:sz w:val="24"/>
                    </w:rPr>
                  </m:ctrlPr>
                </m:sSubPr>
                <m:e>
                  <m:r>
                    <m:rPr>
                      <m:sty m:val="p"/>
                    </m:rPr>
                    <w:rPr>
                      <w:rFonts w:ascii="Cambria Math" w:eastAsiaTheme="minorEastAsia"/>
                      <w:sz w:val="24"/>
                    </w:rPr>
                    <m:t>Q</m:t>
                  </m:r>
                </m:e>
                <m:sub>
                  <m:r>
                    <m:rPr>
                      <m:sty m:val="p"/>
                    </m:rPr>
                    <w:rPr>
                      <w:rFonts w:ascii="Cambria Math" w:eastAsiaTheme="minorEastAsia"/>
                      <w:sz w:val="24"/>
                    </w:rPr>
                    <m:t>1</m:t>
                  </m:r>
                </m:sub>
              </m:sSub>
            </m:den>
          </m:f>
          <m:r>
            <m:rPr>
              <m:sty m:val="p"/>
            </m:rPr>
            <w:rPr>
              <w:rFonts w:ascii="Cambria Math" w:eastAsiaTheme="minorEastAsia"/>
              <w:sz w:val="24"/>
            </w:rPr>
            <m:t>+</m:t>
          </m:r>
          <m:f>
            <m:fPr>
              <m:ctrlPr>
                <w:rPr>
                  <w:rFonts w:ascii="Cambria Math" w:eastAsiaTheme="minorEastAsia" w:hAnsi="Cambria Math"/>
                  <w:sz w:val="24"/>
                </w:rPr>
              </m:ctrlPr>
            </m:fPr>
            <m:num>
              <m:sSub>
                <m:sSubPr>
                  <m:ctrlPr>
                    <w:rPr>
                      <w:rFonts w:ascii="Cambria Math" w:eastAsiaTheme="minorEastAsia" w:hAnsi="Cambria Math"/>
                      <w:sz w:val="24"/>
                    </w:rPr>
                  </m:ctrlPr>
                </m:sSubPr>
                <m:e>
                  <m:r>
                    <m:rPr>
                      <m:sty m:val="p"/>
                    </m:rPr>
                    <w:rPr>
                      <w:rFonts w:ascii="Cambria Math" w:eastAsiaTheme="minorEastAsia"/>
                      <w:sz w:val="24"/>
                    </w:rPr>
                    <m:t>q</m:t>
                  </m:r>
                </m:e>
                <m:sub>
                  <m:r>
                    <m:rPr>
                      <m:sty m:val="p"/>
                    </m:rPr>
                    <w:rPr>
                      <w:rFonts w:ascii="Cambria Math" w:eastAsiaTheme="minorEastAsia"/>
                      <w:sz w:val="24"/>
                    </w:rPr>
                    <m:t>2</m:t>
                  </m:r>
                </m:sub>
              </m:sSub>
            </m:num>
            <m:den>
              <m:sSub>
                <m:sSubPr>
                  <m:ctrlPr>
                    <w:rPr>
                      <w:rFonts w:ascii="Cambria Math" w:eastAsiaTheme="minorEastAsia" w:hAnsi="Cambria Math"/>
                      <w:sz w:val="24"/>
                    </w:rPr>
                  </m:ctrlPr>
                </m:sSubPr>
                <m:e>
                  <m:r>
                    <m:rPr>
                      <m:sty m:val="p"/>
                    </m:rPr>
                    <w:rPr>
                      <w:rFonts w:ascii="Cambria Math" w:eastAsiaTheme="minorEastAsia"/>
                      <w:sz w:val="24"/>
                    </w:rPr>
                    <m:t>Q</m:t>
                  </m:r>
                </m:e>
                <m:sub>
                  <m:r>
                    <m:rPr>
                      <m:sty m:val="p"/>
                    </m:rPr>
                    <w:rPr>
                      <w:rFonts w:ascii="Cambria Math" w:eastAsiaTheme="minorEastAsia"/>
                      <w:sz w:val="24"/>
                    </w:rPr>
                    <m:t>2</m:t>
                  </m:r>
                </m:sub>
              </m:sSub>
            </m:den>
          </m:f>
          <m:r>
            <m:rPr>
              <m:sty m:val="p"/>
            </m:rPr>
            <w:rPr>
              <w:rFonts w:ascii="Cambria Math" w:eastAsiaTheme="minorEastAsia"/>
              <w:sz w:val="24"/>
            </w:rPr>
            <m:t>+</m:t>
          </m:r>
          <m:r>
            <m:rPr>
              <m:sty m:val="p"/>
            </m:rPr>
            <w:rPr>
              <w:rFonts w:ascii="Cambria Math" w:eastAsiaTheme="minorEastAsia" w:hAnsi="Cambria Math"/>
              <w:sz w:val="24"/>
            </w:rPr>
            <m:t>⋯</m:t>
          </m:r>
          <m:f>
            <m:fPr>
              <m:ctrlPr>
                <w:rPr>
                  <w:rFonts w:ascii="Cambria Math" w:eastAsiaTheme="minorEastAsia" w:hAnsi="Cambria Math"/>
                  <w:sz w:val="24"/>
                </w:rPr>
              </m:ctrlPr>
            </m:fPr>
            <m:num>
              <m:sSub>
                <m:sSubPr>
                  <m:ctrlPr>
                    <w:rPr>
                      <w:rFonts w:ascii="Cambria Math" w:eastAsiaTheme="minorEastAsia" w:hAnsi="Cambria Math"/>
                      <w:sz w:val="24"/>
                    </w:rPr>
                  </m:ctrlPr>
                </m:sSubPr>
                <m:e>
                  <m:r>
                    <m:rPr>
                      <m:sty m:val="p"/>
                    </m:rPr>
                    <w:rPr>
                      <w:rFonts w:ascii="Cambria Math" w:eastAsiaTheme="minorEastAsia"/>
                      <w:sz w:val="24"/>
                    </w:rPr>
                    <m:t>q</m:t>
                  </m:r>
                </m:e>
                <m:sub>
                  <m:r>
                    <m:rPr>
                      <m:sty m:val="p"/>
                    </m:rPr>
                    <w:rPr>
                      <w:rFonts w:ascii="Cambria Math" w:eastAsiaTheme="minorEastAsia"/>
                      <w:sz w:val="24"/>
                    </w:rPr>
                    <m:t>n</m:t>
                  </m:r>
                </m:sub>
              </m:sSub>
            </m:num>
            <m:den>
              <m:sSub>
                <m:sSubPr>
                  <m:ctrlPr>
                    <w:rPr>
                      <w:rFonts w:ascii="Cambria Math" w:eastAsiaTheme="minorEastAsia" w:hAnsi="Cambria Math"/>
                      <w:sz w:val="24"/>
                    </w:rPr>
                  </m:ctrlPr>
                </m:sSubPr>
                <m:e>
                  <m:r>
                    <m:rPr>
                      <m:sty m:val="p"/>
                    </m:rPr>
                    <w:rPr>
                      <w:rFonts w:ascii="Cambria Math" w:eastAsiaTheme="minorEastAsia"/>
                      <w:sz w:val="24"/>
                    </w:rPr>
                    <m:t>Q</m:t>
                  </m:r>
                </m:e>
                <m:sub>
                  <m:r>
                    <m:rPr>
                      <m:sty m:val="p"/>
                    </m:rPr>
                    <w:rPr>
                      <w:rFonts w:ascii="Cambria Math" w:eastAsiaTheme="minorEastAsia"/>
                      <w:sz w:val="24"/>
                    </w:rPr>
                    <m:t>n</m:t>
                  </m:r>
                </m:sub>
              </m:sSub>
            </m:den>
          </m:f>
        </m:oMath>
      </m:oMathPara>
    </w:p>
    <w:p w:rsidR="002A5A5E" w:rsidRPr="00FC1444" w:rsidRDefault="00611CBA" w:rsidP="006B5CB5">
      <w:pPr>
        <w:spacing w:beforeLines="25" w:line="360" w:lineRule="auto"/>
        <w:ind w:firstLineChars="200" w:firstLine="480"/>
        <w:rPr>
          <w:rFonts w:eastAsiaTheme="minorEastAsia"/>
          <w:sz w:val="24"/>
        </w:rPr>
      </w:pPr>
      <w:r w:rsidRPr="00FC1444">
        <w:rPr>
          <w:rFonts w:eastAsiaTheme="minorEastAsia"/>
          <w:sz w:val="24"/>
        </w:rPr>
        <w:t>式中：</w:t>
      </w:r>
      <w:r w:rsidRPr="00FC1444">
        <w:rPr>
          <w:rFonts w:eastAsiaTheme="minorEastAsia"/>
          <w:sz w:val="24"/>
        </w:rPr>
        <w:t>q</w:t>
      </w:r>
      <w:r w:rsidRPr="00FC1444">
        <w:rPr>
          <w:rFonts w:eastAsiaTheme="minorEastAsia"/>
          <w:sz w:val="24"/>
          <w:vertAlign w:val="subscript"/>
        </w:rPr>
        <w:t>1</w:t>
      </w:r>
      <w:r w:rsidRPr="00FC1444">
        <w:rPr>
          <w:rFonts w:eastAsiaTheme="minorEastAsia"/>
          <w:sz w:val="24"/>
        </w:rPr>
        <w:t>，</w:t>
      </w:r>
      <w:r w:rsidRPr="00FC1444">
        <w:rPr>
          <w:rFonts w:eastAsiaTheme="minorEastAsia"/>
          <w:sz w:val="24"/>
        </w:rPr>
        <w:t>q</w:t>
      </w:r>
      <w:r w:rsidRPr="00FC1444">
        <w:rPr>
          <w:rFonts w:eastAsiaTheme="minorEastAsia"/>
          <w:sz w:val="24"/>
          <w:vertAlign w:val="subscript"/>
        </w:rPr>
        <w:t>2</w:t>
      </w:r>
      <w:r w:rsidRPr="00FC1444">
        <w:rPr>
          <w:rFonts w:eastAsiaTheme="minorEastAsia"/>
          <w:sz w:val="24"/>
        </w:rPr>
        <w:t>…</w:t>
      </w:r>
      <w:r w:rsidRPr="00FC1444">
        <w:rPr>
          <w:rFonts w:eastAsiaTheme="minorEastAsia"/>
          <w:sz w:val="24"/>
        </w:rPr>
        <w:t>，</w:t>
      </w:r>
      <w:r w:rsidRPr="00FC1444">
        <w:rPr>
          <w:rFonts w:eastAsiaTheme="minorEastAsia"/>
          <w:sz w:val="24"/>
        </w:rPr>
        <w:t>q</w:t>
      </w:r>
      <w:r w:rsidRPr="00FC1444">
        <w:rPr>
          <w:rFonts w:eastAsiaTheme="minorEastAsia"/>
          <w:sz w:val="24"/>
          <w:vertAlign w:val="subscript"/>
        </w:rPr>
        <w:t>n</w:t>
      </w:r>
      <w:r w:rsidRPr="00FC1444">
        <w:rPr>
          <w:rFonts w:eastAsiaTheme="minorEastAsia"/>
          <w:sz w:val="24"/>
        </w:rPr>
        <w:t>为每种危险物质实际存在量，单位为吨（</w:t>
      </w:r>
      <w:r w:rsidRPr="00FC1444">
        <w:rPr>
          <w:rFonts w:eastAsiaTheme="minorEastAsia"/>
          <w:sz w:val="24"/>
        </w:rPr>
        <w:t>t</w:t>
      </w:r>
      <w:r w:rsidRPr="00FC1444">
        <w:rPr>
          <w:rFonts w:eastAsiaTheme="minorEastAsia"/>
          <w:sz w:val="24"/>
        </w:rPr>
        <w:t>）。</w:t>
      </w:r>
    </w:p>
    <w:p w:rsidR="002A5A5E" w:rsidRPr="00FC1444" w:rsidRDefault="00611CBA" w:rsidP="006B5CB5">
      <w:pPr>
        <w:spacing w:beforeLines="25" w:line="360" w:lineRule="auto"/>
        <w:ind w:firstLineChars="200" w:firstLine="480"/>
        <w:rPr>
          <w:rFonts w:eastAsiaTheme="minorEastAsia"/>
          <w:sz w:val="24"/>
        </w:rPr>
      </w:pPr>
      <w:r w:rsidRPr="00FC1444">
        <w:rPr>
          <w:rFonts w:eastAsiaTheme="minorEastAsia"/>
          <w:sz w:val="24"/>
        </w:rPr>
        <w:t>Q</w:t>
      </w:r>
      <w:r w:rsidRPr="00FC1444">
        <w:rPr>
          <w:rFonts w:eastAsiaTheme="minorEastAsia"/>
          <w:sz w:val="24"/>
          <w:vertAlign w:val="subscript"/>
        </w:rPr>
        <w:t>1</w:t>
      </w:r>
      <w:r w:rsidRPr="00FC1444">
        <w:rPr>
          <w:rFonts w:eastAsiaTheme="minorEastAsia"/>
          <w:sz w:val="24"/>
        </w:rPr>
        <w:t>，</w:t>
      </w:r>
      <w:r w:rsidRPr="00FC1444">
        <w:rPr>
          <w:rFonts w:eastAsiaTheme="minorEastAsia"/>
          <w:sz w:val="24"/>
        </w:rPr>
        <w:t>Q</w:t>
      </w:r>
      <w:r w:rsidRPr="00FC1444">
        <w:rPr>
          <w:rFonts w:eastAsiaTheme="minorEastAsia"/>
          <w:sz w:val="24"/>
          <w:vertAlign w:val="subscript"/>
        </w:rPr>
        <w:t>2</w:t>
      </w:r>
      <w:r w:rsidRPr="00FC1444">
        <w:rPr>
          <w:rFonts w:eastAsiaTheme="minorEastAsia"/>
          <w:sz w:val="24"/>
        </w:rPr>
        <w:t>…</w:t>
      </w:r>
      <w:r w:rsidRPr="00FC1444">
        <w:rPr>
          <w:rFonts w:eastAsiaTheme="minorEastAsia"/>
          <w:sz w:val="24"/>
        </w:rPr>
        <w:t>，</w:t>
      </w:r>
      <w:r w:rsidRPr="00FC1444">
        <w:rPr>
          <w:rFonts w:eastAsiaTheme="minorEastAsia"/>
          <w:sz w:val="24"/>
        </w:rPr>
        <w:t>Q</w:t>
      </w:r>
      <w:r w:rsidRPr="00FC1444">
        <w:rPr>
          <w:rFonts w:eastAsiaTheme="minorEastAsia"/>
          <w:sz w:val="24"/>
          <w:vertAlign w:val="subscript"/>
        </w:rPr>
        <w:t>n</w:t>
      </w:r>
      <w:r w:rsidRPr="00FC1444">
        <w:rPr>
          <w:rFonts w:eastAsiaTheme="minorEastAsia"/>
          <w:sz w:val="24"/>
        </w:rPr>
        <w:t>为与各危险物质相对应的生产场所或贮存区的临界量，</w:t>
      </w:r>
      <w:r w:rsidRPr="00FC1444">
        <w:rPr>
          <w:rFonts w:eastAsiaTheme="minorEastAsia"/>
          <w:sz w:val="24"/>
        </w:rPr>
        <w:t>t</w:t>
      </w:r>
      <w:r w:rsidRPr="00FC1444">
        <w:rPr>
          <w:rFonts w:eastAsiaTheme="minorEastAsia"/>
          <w:sz w:val="24"/>
        </w:rPr>
        <w:t>。</w:t>
      </w:r>
    </w:p>
    <w:p w:rsidR="002A5A5E" w:rsidRPr="00FC1444" w:rsidRDefault="00611CBA">
      <w:pPr>
        <w:spacing w:line="360" w:lineRule="auto"/>
        <w:ind w:firstLineChars="200" w:firstLine="480"/>
        <w:contextualSpacing/>
        <w:jc w:val="left"/>
        <w:rPr>
          <w:rFonts w:eastAsiaTheme="minorEastAsia"/>
          <w:snapToGrid w:val="0"/>
          <w:sz w:val="24"/>
        </w:rPr>
      </w:pPr>
      <w:r w:rsidRPr="00FC1444">
        <w:rPr>
          <w:rFonts w:eastAsiaTheme="minorEastAsia"/>
          <w:sz w:val="24"/>
        </w:rPr>
        <w:t>根据《建设项目环境风险评价技术导则》（</w:t>
      </w:r>
      <w:r w:rsidRPr="00FC1444">
        <w:rPr>
          <w:rFonts w:eastAsiaTheme="minorEastAsia"/>
          <w:sz w:val="24"/>
        </w:rPr>
        <w:t>HJ169-2018</w:t>
      </w:r>
      <w:r w:rsidRPr="00FC1444">
        <w:rPr>
          <w:rFonts w:eastAsiaTheme="minorEastAsia"/>
          <w:sz w:val="24"/>
        </w:rPr>
        <w:t>）附录</w:t>
      </w:r>
      <w:r w:rsidRPr="00FC1444">
        <w:rPr>
          <w:rFonts w:eastAsiaTheme="minorEastAsia"/>
          <w:sz w:val="24"/>
        </w:rPr>
        <w:t>C</w:t>
      </w:r>
      <w:r w:rsidRPr="00FC1444">
        <w:rPr>
          <w:rFonts w:eastAsiaTheme="minorEastAsia"/>
          <w:sz w:val="24"/>
        </w:rPr>
        <w:t>，当</w:t>
      </w:r>
      <w:r w:rsidRPr="00FC1444">
        <w:rPr>
          <w:rFonts w:eastAsiaTheme="minorEastAsia"/>
          <w:sz w:val="24"/>
        </w:rPr>
        <w:t>Q&lt;1</w:t>
      </w:r>
      <w:r w:rsidRPr="00FC1444">
        <w:rPr>
          <w:rFonts w:eastAsiaTheme="minorEastAsia"/>
          <w:sz w:val="24"/>
        </w:rPr>
        <w:t>时，可直接判定该项目环境风险潜势为</w:t>
      </w:r>
      <w:r w:rsidRPr="00FC1444">
        <w:rPr>
          <w:rFonts w:eastAsiaTheme="minorEastAsia"/>
          <w:sz w:val="24"/>
        </w:rPr>
        <w:t>Ⅰ</w:t>
      </w:r>
      <w:r w:rsidRPr="00FC1444">
        <w:rPr>
          <w:rFonts w:eastAsiaTheme="minorEastAsia"/>
          <w:sz w:val="24"/>
        </w:rPr>
        <w:t>。本次风险评价等级为简单分析。</w:t>
      </w: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52" w:name="_Toc208906230"/>
      <w:r w:rsidRPr="00FC1444">
        <w:rPr>
          <w:rFonts w:eastAsiaTheme="minorEastAsia"/>
          <w:b/>
          <w:bCs/>
          <w:kern w:val="44"/>
          <w:sz w:val="30"/>
          <w:szCs w:val="30"/>
        </w:rPr>
        <w:t>2.7</w:t>
      </w:r>
      <w:r w:rsidRPr="00FC1444">
        <w:rPr>
          <w:rFonts w:eastAsiaTheme="minorEastAsia"/>
          <w:b/>
          <w:bCs/>
          <w:kern w:val="44"/>
          <w:sz w:val="30"/>
          <w:szCs w:val="30"/>
        </w:rPr>
        <w:t>评价范围及评价时段</w:t>
      </w:r>
      <w:bookmarkEnd w:id="52"/>
    </w:p>
    <w:p w:rsidR="002A5A5E" w:rsidRPr="00FC1444" w:rsidRDefault="00611CBA">
      <w:pPr>
        <w:pStyle w:val="30"/>
        <w:spacing w:before="100" w:beforeAutospacing="1" w:after="100" w:afterAutospacing="1" w:line="240" w:lineRule="auto"/>
        <w:ind w:firstLineChars="0" w:firstLine="0"/>
        <w:contextualSpacing/>
        <w:rPr>
          <w:rFonts w:ascii="Times New Roman" w:eastAsiaTheme="minorEastAsia" w:hAnsi="Times New Roman" w:cs="Times New Roman"/>
          <w:b/>
          <w:sz w:val="28"/>
          <w:szCs w:val="28"/>
        </w:rPr>
      </w:pPr>
      <w:bookmarkStart w:id="53" w:name="_Toc11758479"/>
      <w:r w:rsidRPr="00FC1444">
        <w:rPr>
          <w:rFonts w:ascii="Times New Roman" w:eastAsiaTheme="minorEastAsia" w:hAnsi="Times New Roman" w:cs="Times New Roman"/>
          <w:b/>
          <w:sz w:val="28"/>
          <w:szCs w:val="28"/>
        </w:rPr>
        <w:t>2.7.1</w:t>
      </w:r>
      <w:r w:rsidRPr="00FC1444">
        <w:rPr>
          <w:rFonts w:ascii="Times New Roman" w:eastAsiaTheme="minorEastAsia" w:hAnsi="Times New Roman" w:cs="Times New Roman"/>
          <w:b/>
          <w:sz w:val="28"/>
          <w:szCs w:val="28"/>
        </w:rPr>
        <w:t>评价范围</w:t>
      </w:r>
      <w:bookmarkEnd w:id="53"/>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1</w:t>
      </w:r>
      <w:r w:rsidRPr="00FC1444">
        <w:rPr>
          <w:rFonts w:eastAsiaTheme="minorEastAsia"/>
          <w:snapToGrid w:val="0"/>
          <w:kern w:val="0"/>
          <w:sz w:val="24"/>
        </w:rPr>
        <w:t>）地下水：</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根据评价区域环境特点、建设项目工程污染特征及环境影响评价工作等级要求，确定各环境要素评价范围。</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lastRenderedPageBreak/>
        <w:t>地下水评价范围确定依据：</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根据</w:t>
      </w:r>
      <w:r w:rsidRPr="00FC1444">
        <w:rPr>
          <w:rFonts w:eastAsiaTheme="minorEastAsia"/>
          <w:kern w:val="0"/>
          <w:sz w:val="24"/>
        </w:rPr>
        <w:t xml:space="preserve"> HJ610-2016</w:t>
      </w:r>
      <w:r w:rsidRPr="00FC1444">
        <w:rPr>
          <w:rFonts w:eastAsiaTheme="minorEastAsia"/>
          <w:kern w:val="0"/>
          <w:sz w:val="24"/>
        </w:rPr>
        <w:t>《环境影响评价技术导则</w:t>
      </w:r>
      <w:r w:rsidRPr="00FC1444">
        <w:rPr>
          <w:rFonts w:eastAsiaTheme="minorEastAsia"/>
          <w:kern w:val="0"/>
          <w:sz w:val="24"/>
        </w:rPr>
        <w:t xml:space="preserve"> </w:t>
      </w:r>
      <w:r w:rsidRPr="00FC1444">
        <w:rPr>
          <w:rFonts w:eastAsiaTheme="minorEastAsia"/>
          <w:kern w:val="0"/>
          <w:sz w:val="24"/>
        </w:rPr>
        <w:t>地下水环境》规定，本项目地下水评价范围采用公式计算法，计算公式如下：</w:t>
      </w:r>
    </w:p>
    <w:p w:rsidR="002A5A5E" w:rsidRPr="00FC1444" w:rsidRDefault="00611CBA" w:rsidP="00611CBA">
      <w:pPr>
        <w:spacing w:line="360" w:lineRule="auto"/>
        <w:ind w:firstLineChars="77" w:firstLine="185"/>
        <w:jc w:val="center"/>
        <w:rPr>
          <w:rFonts w:eastAsiaTheme="minorEastAsia"/>
          <w:sz w:val="24"/>
          <w:szCs w:val="22"/>
        </w:rPr>
      </w:pPr>
      <w:r w:rsidRPr="00FC1444">
        <w:rPr>
          <w:rFonts w:eastAsiaTheme="minorEastAsia"/>
          <w:sz w:val="24"/>
          <w:szCs w:val="22"/>
        </w:rPr>
        <w:t>L=a×K×I×T/ne</w:t>
      </w:r>
    </w:p>
    <w:p w:rsidR="002A5A5E" w:rsidRPr="00FC1444" w:rsidRDefault="00611CBA" w:rsidP="00611CBA">
      <w:pPr>
        <w:spacing w:line="360" w:lineRule="auto"/>
        <w:ind w:firstLineChars="77" w:firstLine="185"/>
        <w:rPr>
          <w:rFonts w:eastAsiaTheme="minorEastAsia"/>
          <w:sz w:val="24"/>
          <w:szCs w:val="22"/>
        </w:rPr>
      </w:pPr>
      <w:r w:rsidRPr="00FC1444">
        <w:rPr>
          <w:rFonts w:eastAsiaTheme="minorEastAsia"/>
          <w:sz w:val="24"/>
          <w:szCs w:val="22"/>
        </w:rPr>
        <w:t>式中：</w:t>
      </w:r>
      <w:r w:rsidRPr="00FC1444">
        <w:rPr>
          <w:rFonts w:eastAsiaTheme="minorEastAsia"/>
          <w:sz w:val="24"/>
          <w:szCs w:val="22"/>
        </w:rPr>
        <w:t>L—</w:t>
      </w:r>
      <w:r w:rsidRPr="00FC1444">
        <w:rPr>
          <w:rFonts w:eastAsiaTheme="minorEastAsia"/>
          <w:sz w:val="24"/>
          <w:szCs w:val="22"/>
        </w:rPr>
        <w:t>下游迁移距离，</w:t>
      </w:r>
      <w:r w:rsidRPr="00FC1444">
        <w:rPr>
          <w:rFonts w:eastAsiaTheme="minorEastAsia"/>
          <w:sz w:val="24"/>
          <w:szCs w:val="22"/>
        </w:rPr>
        <w:t>m</w:t>
      </w:r>
      <w:r w:rsidRPr="00FC1444">
        <w:rPr>
          <w:rFonts w:eastAsiaTheme="minorEastAsia"/>
          <w:sz w:val="24"/>
          <w:szCs w:val="22"/>
        </w:rPr>
        <w:t>；</w:t>
      </w:r>
    </w:p>
    <w:p w:rsidR="002A5A5E" w:rsidRPr="00FC1444" w:rsidRDefault="00611CBA" w:rsidP="00611CBA">
      <w:pPr>
        <w:spacing w:line="360" w:lineRule="auto"/>
        <w:ind w:firstLineChars="77" w:firstLine="185"/>
        <w:rPr>
          <w:rFonts w:eastAsiaTheme="minorEastAsia"/>
          <w:sz w:val="24"/>
          <w:szCs w:val="22"/>
        </w:rPr>
      </w:pPr>
      <w:r w:rsidRPr="00FC1444">
        <w:rPr>
          <w:rFonts w:eastAsiaTheme="minorEastAsia"/>
          <w:sz w:val="24"/>
          <w:szCs w:val="22"/>
        </w:rPr>
        <w:t xml:space="preserve">         a—</w:t>
      </w:r>
      <w:r w:rsidRPr="00FC1444">
        <w:rPr>
          <w:rFonts w:eastAsiaTheme="minorEastAsia"/>
          <w:sz w:val="24"/>
          <w:szCs w:val="22"/>
        </w:rPr>
        <w:t>变化系数，</w:t>
      </w:r>
      <w:r w:rsidRPr="00FC1444">
        <w:rPr>
          <w:rFonts w:eastAsiaTheme="minorEastAsia"/>
          <w:sz w:val="24"/>
          <w:szCs w:val="22"/>
        </w:rPr>
        <w:t>a≥1</w:t>
      </w:r>
      <w:r w:rsidRPr="00FC1444">
        <w:rPr>
          <w:rFonts w:eastAsiaTheme="minorEastAsia"/>
          <w:sz w:val="24"/>
          <w:szCs w:val="22"/>
        </w:rPr>
        <w:t>，一般取</w:t>
      </w:r>
      <w:r w:rsidRPr="00FC1444">
        <w:rPr>
          <w:rFonts w:eastAsiaTheme="minorEastAsia"/>
          <w:sz w:val="24"/>
          <w:szCs w:val="22"/>
        </w:rPr>
        <w:t>2</w:t>
      </w:r>
      <w:r w:rsidRPr="00FC1444">
        <w:rPr>
          <w:rFonts w:eastAsiaTheme="minorEastAsia"/>
          <w:sz w:val="24"/>
          <w:szCs w:val="22"/>
        </w:rPr>
        <w:t>，本项目取</w:t>
      </w:r>
      <w:r w:rsidRPr="00FC1444">
        <w:rPr>
          <w:rFonts w:eastAsiaTheme="minorEastAsia"/>
          <w:sz w:val="24"/>
          <w:szCs w:val="22"/>
        </w:rPr>
        <w:t>2</w:t>
      </w:r>
      <w:r w:rsidRPr="00FC1444">
        <w:rPr>
          <w:rFonts w:eastAsiaTheme="minorEastAsia"/>
          <w:sz w:val="24"/>
          <w:szCs w:val="22"/>
        </w:rPr>
        <w:t>；</w:t>
      </w:r>
    </w:p>
    <w:p w:rsidR="002A5A5E" w:rsidRPr="00FC1444" w:rsidRDefault="00611CBA" w:rsidP="00611CBA">
      <w:pPr>
        <w:spacing w:line="360" w:lineRule="auto"/>
        <w:ind w:firstLineChars="77" w:firstLine="185"/>
        <w:rPr>
          <w:rFonts w:eastAsiaTheme="minorEastAsia"/>
          <w:sz w:val="24"/>
          <w:szCs w:val="22"/>
        </w:rPr>
      </w:pPr>
      <w:r w:rsidRPr="00FC1444">
        <w:rPr>
          <w:rFonts w:eastAsiaTheme="minorEastAsia"/>
          <w:sz w:val="24"/>
          <w:szCs w:val="22"/>
        </w:rPr>
        <w:t xml:space="preserve">         K—</w:t>
      </w:r>
      <w:r w:rsidRPr="00FC1444">
        <w:rPr>
          <w:rFonts w:eastAsiaTheme="minorEastAsia"/>
          <w:sz w:val="24"/>
          <w:szCs w:val="22"/>
        </w:rPr>
        <w:t>渗透系数，</w:t>
      </w:r>
      <w:r w:rsidRPr="00FC1444">
        <w:rPr>
          <w:rFonts w:eastAsiaTheme="minorEastAsia"/>
          <w:sz w:val="24"/>
          <w:szCs w:val="22"/>
        </w:rPr>
        <w:t>m/d</w:t>
      </w:r>
      <w:r w:rsidRPr="00FC1444">
        <w:rPr>
          <w:rFonts w:eastAsiaTheme="minorEastAsia"/>
          <w:sz w:val="24"/>
          <w:szCs w:val="22"/>
        </w:rPr>
        <w:t>，数据来源</w:t>
      </w:r>
      <w:r w:rsidRPr="00FC1444">
        <w:rPr>
          <w:rFonts w:eastAsiaTheme="minorEastAsia"/>
          <w:sz w:val="24"/>
          <w:szCs w:val="22"/>
        </w:rPr>
        <w:t>“</w:t>
      </w:r>
      <w:r w:rsidRPr="00FC1444">
        <w:rPr>
          <w:rFonts w:eastAsiaTheme="minorEastAsia"/>
          <w:sz w:val="24"/>
          <w:szCs w:val="22"/>
        </w:rPr>
        <w:t>《</w:t>
      </w:r>
      <w:r w:rsidR="00AE168C" w:rsidRPr="00FC1444">
        <w:rPr>
          <w:rFonts w:eastAsiaTheme="minorEastAsia"/>
          <w:sz w:val="24"/>
          <w:szCs w:val="22"/>
        </w:rPr>
        <w:t>北林区</w:t>
      </w:r>
      <w:r w:rsidR="00AE168C" w:rsidRPr="00FC1444">
        <w:rPr>
          <w:rFonts w:eastAsiaTheme="minorEastAsia"/>
          <w:sz w:val="24"/>
          <w:szCs w:val="22"/>
        </w:rPr>
        <w:t>2026</w:t>
      </w:r>
      <w:r w:rsidR="00AE168C" w:rsidRPr="00FC1444">
        <w:rPr>
          <w:rFonts w:eastAsiaTheme="minorEastAsia"/>
          <w:sz w:val="24"/>
          <w:szCs w:val="22"/>
        </w:rPr>
        <w:t>年高标准农田建设项目</w:t>
      </w:r>
      <w:r w:rsidRPr="00FC1444">
        <w:rPr>
          <w:rFonts w:eastAsiaTheme="minorEastAsia"/>
          <w:sz w:val="24"/>
          <w:szCs w:val="22"/>
        </w:rPr>
        <w:t>水资源论证报告</w:t>
      </w:r>
      <w:r w:rsidR="00DD0748" w:rsidRPr="00FC1444">
        <w:rPr>
          <w:rFonts w:eastAsiaTheme="minorEastAsia"/>
          <w:sz w:val="24"/>
          <w:szCs w:val="22"/>
        </w:rPr>
        <w:t>书</w:t>
      </w:r>
      <w:r w:rsidRPr="00FC1444">
        <w:rPr>
          <w:rFonts w:eastAsiaTheme="minorEastAsia"/>
          <w:sz w:val="24"/>
          <w:szCs w:val="22"/>
        </w:rPr>
        <w:t>》</w:t>
      </w:r>
      <w:r w:rsidRPr="00FC1444">
        <w:rPr>
          <w:rFonts w:eastAsiaTheme="minorEastAsia"/>
          <w:sz w:val="24"/>
          <w:szCs w:val="22"/>
        </w:rPr>
        <w:t>”</w:t>
      </w:r>
      <w:r w:rsidRPr="00FC1444">
        <w:rPr>
          <w:rFonts w:eastAsiaTheme="minorEastAsia"/>
          <w:sz w:val="24"/>
        </w:rPr>
        <w:t>，渗透系数取</w:t>
      </w:r>
      <w:r w:rsidRPr="00FC1444">
        <w:rPr>
          <w:rFonts w:eastAsiaTheme="minorEastAsia"/>
          <w:sz w:val="24"/>
        </w:rPr>
        <w:t>25m/d</w:t>
      </w:r>
      <w:r w:rsidRPr="00FC1444">
        <w:rPr>
          <w:rFonts w:eastAsiaTheme="minorEastAsia"/>
          <w:sz w:val="24"/>
          <w:szCs w:val="22"/>
        </w:rPr>
        <w:t>；</w:t>
      </w:r>
    </w:p>
    <w:p w:rsidR="002A5A5E" w:rsidRPr="00FC1444" w:rsidRDefault="00611CBA" w:rsidP="00611CBA">
      <w:pPr>
        <w:spacing w:line="360" w:lineRule="auto"/>
        <w:ind w:firstLineChars="77" w:firstLine="185"/>
        <w:rPr>
          <w:rFonts w:eastAsiaTheme="minorEastAsia"/>
          <w:sz w:val="24"/>
          <w:szCs w:val="22"/>
        </w:rPr>
      </w:pPr>
      <w:r w:rsidRPr="00FC1444">
        <w:rPr>
          <w:rFonts w:eastAsiaTheme="minorEastAsia"/>
          <w:sz w:val="24"/>
          <w:szCs w:val="22"/>
        </w:rPr>
        <w:t xml:space="preserve">         I—</w:t>
      </w:r>
      <w:r w:rsidRPr="00FC1444">
        <w:rPr>
          <w:rFonts w:eastAsiaTheme="minorEastAsia"/>
          <w:sz w:val="24"/>
          <w:szCs w:val="22"/>
        </w:rPr>
        <w:t>水力坡度，无量纲，数据来源</w:t>
      </w:r>
      <w:r w:rsidRPr="00FC1444">
        <w:rPr>
          <w:rFonts w:eastAsiaTheme="minorEastAsia"/>
          <w:sz w:val="24"/>
          <w:szCs w:val="22"/>
        </w:rPr>
        <w:t>“</w:t>
      </w:r>
      <w:r w:rsidRPr="00FC1444">
        <w:rPr>
          <w:rFonts w:eastAsiaTheme="minorEastAsia"/>
          <w:sz w:val="24"/>
          <w:szCs w:val="22"/>
        </w:rPr>
        <w:t>《</w:t>
      </w:r>
      <w:r w:rsidR="00AE168C" w:rsidRPr="00FC1444">
        <w:rPr>
          <w:rFonts w:eastAsiaTheme="minorEastAsia"/>
          <w:sz w:val="24"/>
          <w:szCs w:val="22"/>
        </w:rPr>
        <w:t>北林区</w:t>
      </w:r>
      <w:r w:rsidR="00AE168C" w:rsidRPr="00FC1444">
        <w:rPr>
          <w:rFonts w:eastAsiaTheme="minorEastAsia"/>
          <w:sz w:val="24"/>
          <w:szCs w:val="22"/>
        </w:rPr>
        <w:t>2026</w:t>
      </w:r>
      <w:r w:rsidR="00AE168C" w:rsidRPr="00FC1444">
        <w:rPr>
          <w:rFonts w:eastAsiaTheme="minorEastAsia"/>
          <w:sz w:val="24"/>
          <w:szCs w:val="22"/>
        </w:rPr>
        <w:t>年高标准农田建设项目</w:t>
      </w:r>
      <w:r w:rsidRPr="00FC1444">
        <w:rPr>
          <w:rFonts w:eastAsiaTheme="minorEastAsia"/>
          <w:sz w:val="24"/>
          <w:szCs w:val="22"/>
        </w:rPr>
        <w:t>水资源论证报告</w:t>
      </w:r>
      <w:r w:rsidR="00DD0748" w:rsidRPr="00FC1444">
        <w:rPr>
          <w:rFonts w:eastAsiaTheme="minorEastAsia"/>
          <w:sz w:val="24"/>
          <w:szCs w:val="22"/>
        </w:rPr>
        <w:t>书</w:t>
      </w:r>
      <w:r w:rsidRPr="00FC1444">
        <w:rPr>
          <w:rFonts w:eastAsiaTheme="minorEastAsia"/>
          <w:sz w:val="24"/>
          <w:szCs w:val="22"/>
        </w:rPr>
        <w:t>》</w:t>
      </w:r>
      <w:r w:rsidRPr="00FC1444">
        <w:rPr>
          <w:rFonts w:eastAsiaTheme="minorEastAsia"/>
          <w:sz w:val="24"/>
          <w:szCs w:val="22"/>
        </w:rPr>
        <w:t>”</w:t>
      </w:r>
      <w:r w:rsidRPr="00FC1444">
        <w:rPr>
          <w:rFonts w:eastAsiaTheme="minorEastAsia"/>
          <w:iCs/>
          <w:sz w:val="24"/>
          <w:szCs w:val="22"/>
        </w:rPr>
        <w:t>，</w:t>
      </w:r>
      <w:r w:rsidRPr="00FC1444">
        <w:rPr>
          <w:rFonts w:eastAsiaTheme="minorEastAsia"/>
          <w:sz w:val="24"/>
          <w:szCs w:val="22"/>
        </w:rPr>
        <w:t>本项目取</w:t>
      </w:r>
      <w:r w:rsidR="00DD3285" w:rsidRPr="00FC1444">
        <w:rPr>
          <w:rFonts w:eastAsiaTheme="minorEastAsia" w:hint="eastAsia"/>
          <w:sz w:val="24"/>
          <w:szCs w:val="22"/>
        </w:rPr>
        <w:t>0.61</w:t>
      </w:r>
      <w:r w:rsidRPr="00FC1444">
        <w:rPr>
          <w:rFonts w:eastAsiaTheme="minorEastAsia"/>
          <w:sz w:val="24"/>
          <w:szCs w:val="22"/>
          <w:lang w:val="en-GB"/>
        </w:rPr>
        <w:t>‰</w:t>
      </w:r>
      <w:r w:rsidRPr="00FC1444">
        <w:rPr>
          <w:rFonts w:eastAsiaTheme="minorEastAsia"/>
          <w:sz w:val="24"/>
          <w:lang w:val="en-GB"/>
        </w:rPr>
        <w:t>；</w:t>
      </w:r>
    </w:p>
    <w:p w:rsidR="002A5A5E" w:rsidRPr="00FC1444" w:rsidRDefault="00611CBA" w:rsidP="00611CBA">
      <w:pPr>
        <w:spacing w:line="360" w:lineRule="auto"/>
        <w:ind w:firstLineChars="77" w:firstLine="185"/>
        <w:rPr>
          <w:rFonts w:eastAsiaTheme="minorEastAsia"/>
          <w:sz w:val="24"/>
          <w:szCs w:val="22"/>
        </w:rPr>
      </w:pPr>
      <w:r w:rsidRPr="00FC1444">
        <w:rPr>
          <w:rFonts w:eastAsiaTheme="minorEastAsia"/>
          <w:sz w:val="24"/>
          <w:szCs w:val="22"/>
        </w:rPr>
        <w:t xml:space="preserve">         T—</w:t>
      </w:r>
      <w:r w:rsidRPr="00FC1444">
        <w:rPr>
          <w:rFonts w:eastAsiaTheme="minorEastAsia"/>
          <w:sz w:val="24"/>
          <w:szCs w:val="22"/>
        </w:rPr>
        <w:t>质点迁移天数，</w:t>
      </w:r>
      <w:r w:rsidRPr="00FC1444">
        <w:rPr>
          <w:rFonts w:eastAsiaTheme="minorEastAsia"/>
          <w:kern w:val="0"/>
          <w:sz w:val="24"/>
          <w:lang w:val="de-DE"/>
        </w:rPr>
        <w:t>5000</w:t>
      </w:r>
      <w:r w:rsidRPr="00FC1444">
        <w:rPr>
          <w:rFonts w:eastAsiaTheme="minorEastAsia"/>
          <w:sz w:val="24"/>
          <w:szCs w:val="22"/>
        </w:rPr>
        <w:t>d</w:t>
      </w:r>
      <w:r w:rsidRPr="00FC1444">
        <w:rPr>
          <w:rFonts w:eastAsiaTheme="minorEastAsia"/>
          <w:sz w:val="24"/>
          <w:szCs w:val="22"/>
        </w:rPr>
        <w:t>；</w:t>
      </w:r>
    </w:p>
    <w:p w:rsidR="002A5A5E" w:rsidRPr="00FC1444" w:rsidRDefault="00611CBA" w:rsidP="00611CBA">
      <w:pPr>
        <w:spacing w:line="360" w:lineRule="auto"/>
        <w:ind w:firstLineChars="77" w:firstLine="185"/>
        <w:contextualSpacing/>
        <w:rPr>
          <w:rFonts w:eastAsiaTheme="minorEastAsia"/>
          <w:sz w:val="24"/>
          <w:szCs w:val="22"/>
        </w:rPr>
      </w:pPr>
      <w:r w:rsidRPr="00FC1444">
        <w:rPr>
          <w:rFonts w:eastAsiaTheme="minorEastAsia"/>
          <w:sz w:val="24"/>
          <w:szCs w:val="22"/>
        </w:rPr>
        <w:t xml:space="preserve">         n</w:t>
      </w:r>
      <w:r w:rsidRPr="00FC1444">
        <w:rPr>
          <w:rFonts w:eastAsiaTheme="minorEastAsia"/>
          <w:sz w:val="24"/>
          <w:szCs w:val="22"/>
          <w:vertAlign w:val="subscript"/>
        </w:rPr>
        <w:t>e</w:t>
      </w:r>
      <w:r w:rsidRPr="00FC1444">
        <w:rPr>
          <w:rFonts w:eastAsiaTheme="minorEastAsia"/>
          <w:sz w:val="24"/>
          <w:szCs w:val="22"/>
        </w:rPr>
        <w:t>—</w:t>
      </w:r>
      <w:r w:rsidRPr="00FC1444">
        <w:rPr>
          <w:rFonts w:eastAsiaTheme="minorEastAsia"/>
          <w:sz w:val="24"/>
          <w:szCs w:val="22"/>
        </w:rPr>
        <w:t>有效孔隙度，无量纲，数据来源</w:t>
      </w:r>
      <w:r w:rsidRPr="00FC1444">
        <w:rPr>
          <w:rFonts w:eastAsiaTheme="minorEastAsia"/>
          <w:sz w:val="24"/>
          <w:szCs w:val="22"/>
        </w:rPr>
        <w:t>“</w:t>
      </w:r>
      <w:r w:rsidRPr="00FC1444">
        <w:rPr>
          <w:rFonts w:eastAsiaTheme="minorEastAsia"/>
          <w:sz w:val="24"/>
          <w:szCs w:val="22"/>
        </w:rPr>
        <w:t>《</w:t>
      </w:r>
      <w:r w:rsidR="00AE168C" w:rsidRPr="00FC1444">
        <w:rPr>
          <w:rFonts w:eastAsiaTheme="minorEastAsia"/>
          <w:sz w:val="24"/>
          <w:szCs w:val="22"/>
        </w:rPr>
        <w:t>北林区</w:t>
      </w:r>
      <w:r w:rsidR="00AE168C" w:rsidRPr="00FC1444">
        <w:rPr>
          <w:rFonts w:eastAsiaTheme="minorEastAsia"/>
          <w:sz w:val="24"/>
          <w:szCs w:val="22"/>
        </w:rPr>
        <w:t>2026</w:t>
      </w:r>
      <w:r w:rsidR="00AE168C" w:rsidRPr="00FC1444">
        <w:rPr>
          <w:rFonts w:eastAsiaTheme="minorEastAsia"/>
          <w:sz w:val="24"/>
          <w:szCs w:val="22"/>
        </w:rPr>
        <w:t>年高标准农田建设项目</w:t>
      </w:r>
      <w:r w:rsidRPr="00FC1444">
        <w:rPr>
          <w:rFonts w:eastAsiaTheme="minorEastAsia"/>
          <w:sz w:val="24"/>
          <w:szCs w:val="22"/>
        </w:rPr>
        <w:t>水资源论证报告</w:t>
      </w:r>
      <w:r w:rsidR="00DD0748" w:rsidRPr="00FC1444">
        <w:rPr>
          <w:rFonts w:eastAsiaTheme="minorEastAsia"/>
          <w:sz w:val="24"/>
          <w:szCs w:val="22"/>
        </w:rPr>
        <w:t>书</w:t>
      </w:r>
      <w:r w:rsidRPr="00FC1444">
        <w:rPr>
          <w:rFonts w:eastAsiaTheme="minorEastAsia"/>
          <w:sz w:val="24"/>
          <w:szCs w:val="22"/>
        </w:rPr>
        <w:t>》</w:t>
      </w:r>
      <w:r w:rsidRPr="00FC1444">
        <w:rPr>
          <w:rFonts w:eastAsiaTheme="minorEastAsia"/>
          <w:sz w:val="24"/>
          <w:szCs w:val="22"/>
        </w:rPr>
        <w:t>”</w:t>
      </w:r>
      <w:r w:rsidRPr="00FC1444">
        <w:rPr>
          <w:rFonts w:eastAsiaTheme="minorEastAsia"/>
          <w:sz w:val="24"/>
        </w:rPr>
        <w:t>，</w:t>
      </w:r>
      <w:r w:rsidRPr="00FC1444">
        <w:rPr>
          <w:rFonts w:eastAsiaTheme="minorEastAsia"/>
          <w:sz w:val="24"/>
          <w:szCs w:val="22"/>
        </w:rPr>
        <w:t>本项目取</w:t>
      </w:r>
      <w:r w:rsidRPr="00FC1444">
        <w:rPr>
          <w:rFonts w:eastAsiaTheme="minorEastAsia"/>
          <w:sz w:val="24"/>
          <w:szCs w:val="22"/>
        </w:rPr>
        <w:t>0.2</w:t>
      </w:r>
      <w:r w:rsidRPr="00FC1444">
        <w:rPr>
          <w:rFonts w:eastAsiaTheme="minorEastAsia"/>
          <w:sz w:val="24"/>
          <w:szCs w:val="22"/>
        </w:rPr>
        <w:t>；</w:t>
      </w:r>
    </w:p>
    <w:p w:rsidR="002A5A5E" w:rsidRPr="00FC1444" w:rsidRDefault="00611CBA" w:rsidP="00611CBA">
      <w:pPr>
        <w:spacing w:line="360" w:lineRule="auto"/>
        <w:ind w:firstLineChars="77" w:firstLine="185"/>
        <w:contextualSpacing/>
        <w:rPr>
          <w:rFonts w:eastAsiaTheme="minorEastAsia"/>
          <w:sz w:val="24"/>
          <w:szCs w:val="22"/>
        </w:rPr>
      </w:pPr>
      <w:r w:rsidRPr="00FC1444">
        <w:rPr>
          <w:rFonts w:eastAsiaTheme="minorEastAsia"/>
          <w:sz w:val="24"/>
          <w:szCs w:val="22"/>
        </w:rPr>
        <w:t xml:space="preserve">      </w:t>
      </w:r>
      <w:r w:rsidRPr="00FC1444">
        <w:rPr>
          <w:rFonts w:eastAsiaTheme="minorEastAsia"/>
          <w:sz w:val="24"/>
          <w:szCs w:val="22"/>
        </w:rPr>
        <w:t>则：评价范围</w:t>
      </w:r>
      <w:r w:rsidRPr="00FC1444">
        <w:rPr>
          <w:rFonts w:eastAsiaTheme="minorEastAsia"/>
          <w:sz w:val="24"/>
          <w:szCs w:val="22"/>
        </w:rPr>
        <w:t>L=2×25×</w:t>
      </w:r>
      <w:r w:rsidR="00DD3285" w:rsidRPr="00FC1444">
        <w:rPr>
          <w:rFonts w:eastAsiaTheme="minorEastAsia" w:hint="eastAsia"/>
          <w:sz w:val="24"/>
          <w:szCs w:val="22"/>
        </w:rPr>
        <w:t>0.61</w:t>
      </w:r>
      <w:r w:rsidRPr="00FC1444">
        <w:rPr>
          <w:rFonts w:eastAsiaTheme="minorEastAsia"/>
          <w:sz w:val="24"/>
          <w:lang w:val="en-GB"/>
        </w:rPr>
        <w:t>‰</w:t>
      </w:r>
      <w:r w:rsidRPr="00FC1444">
        <w:rPr>
          <w:rFonts w:eastAsiaTheme="minorEastAsia"/>
          <w:sz w:val="24"/>
          <w:szCs w:val="22"/>
        </w:rPr>
        <w:t>×5000/0.2=</w:t>
      </w:r>
      <w:r w:rsidR="00DD3285" w:rsidRPr="00FC1444">
        <w:rPr>
          <w:rFonts w:eastAsiaTheme="minorEastAsia" w:hint="eastAsia"/>
          <w:sz w:val="24"/>
          <w:szCs w:val="22"/>
        </w:rPr>
        <w:t>763</w:t>
      </w:r>
      <w:r w:rsidRPr="00FC1444">
        <w:rPr>
          <w:rFonts w:eastAsiaTheme="minorEastAsia"/>
          <w:sz w:val="24"/>
          <w:szCs w:val="22"/>
        </w:rPr>
        <w:t>m</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根据计算可知，地下水评价范围以</w:t>
      </w:r>
      <w:r w:rsidR="00143F4D" w:rsidRPr="00FC1444">
        <w:rPr>
          <w:rFonts w:eastAsiaTheme="minorEastAsia"/>
          <w:kern w:val="0"/>
          <w:sz w:val="24"/>
        </w:rPr>
        <w:t>灌溉井片区</w:t>
      </w:r>
      <w:r w:rsidRPr="00FC1444">
        <w:rPr>
          <w:rFonts w:eastAsiaTheme="minorEastAsia"/>
          <w:kern w:val="0"/>
          <w:sz w:val="24"/>
        </w:rPr>
        <w:t>为中心</w:t>
      </w:r>
      <w:r w:rsidR="00143F4D" w:rsidRPr="00FC1444">
        <w:rPr>
          <w:rFonts w:eastAsiaTheme="minorEastAsia"/>
          <w:kern w:val="0"/>
          <w:sz w:val="24"/>
        </w:rPr>
        <w:t>下游外延</w:t>
      </w:r>
      <w:r w:rsidR="00DD3285" w:rsidRPr="00FC1444">
        <w:rPr>
          <w:rFonts w:eastAsiaTheme="minorEastAsia" w:hint="eastAsia"/>
          <w:kern w:val="0"/>
          <w:sz w:val="24"/>
        </w:rPr>
        <w:t>763</w:t>
      </w:r>
      <w:r w:rsidR="00143F4D" w:rsidRPr="00FC1444">
        <w:rPr>
          <w:rFonts w:eastAsiaTheme="minorEastAsia"/>
          <w:kern w:val="0"/>
          <w:sz w:val="24"/>
        </w:rPr>
        <w:t>m</w:t>
      </w:r>
      <w:r w:rsidRPr="00FC1444">
        <w:rPr>
          <w:rFonts w:eastAsiaTheme="minorEastAsia"/>
          <w:kern w:val="0"/>
          <w:sz w:val="24"/>
        </w:rPr>
        <w:t>，两侧</w:t>
      </w:r>
      <w:r w:rsidR="004639A2" w:rsidRPr="00FC1444">
        <w:rPr>
          <w:rFonts w:eastAsiaTheme="minorEastAsia"/>
          <w:kern w:val="0"/>
          <w:sz w:val="24"/>
        </w:rPr>
        <w:t>、上游</w:t>
      </w:r>
      <w:r w:rsidRPr="00FC1444">
        <w:rPr>
          <w:rFonts w:eastAsiaTheme="minorEastAsia"/>
          <w:kern w:val="0"/>
          <w:sz w:val="24"/>
        </w:rPr>
        <w:t>外延</w:t>
      </w:r>
      <w:r w:rsidR="00DD3285" w:rsidRPr="00FC1444">
        <w:rPr>
          <w:rFonts w:eastAsiaTheme="minorEastAsia" w:hint="eastAsia"/>
          <w:kern w:val="0"/>
          <w:sz w:val="24"/>
        </w:rPr>
        <w:t>382</w:t>
      </w:r>
      <w:r w:rsidRPr="00FC1444">
        <w:rPr>
          <w:rFonts w:eastAsiaTheme="minorEastAsia"/>
          <w:kern w:val="0"/>
          <w:sz w:val="24"/>
        </w:rPr>
        <w:t>m</w:t>
      </w:r>
      <w:r w:rsidRPr="00FC1444">
        <w:rPr>
          <w:rFonts w:eastAsiaTheme="minorEastAsia"/>
          <w:kern w:val="0"/>
          <w:sz w:val="24"/>
        </w:rPr>
        <w:t>作为评价范围。</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w:t>
      </w:r>
      <w:r w:rsidRPr="00FC1444">
        <w:rPr>
          <w:rFonts w:eastAsiaTheme="minorEastAsia"/>
          <w:kern w:val="0"/>
          <w:sz w:val="24"/>
        </w:rPr>
        <w:t>2</w:t>
      </w:r>
      <w:r w:rsidRPr="00FC1444">
        <w:rPr>
          <w:rFonts w:eastAsiaTheme="minorEastAsia"/>
          <w:kern w:val="0"/>
          <w:sz w:val="24"/>
        </w:rPr>
        <w:t>）地表水</w:t>
      </w:r>
    </w:p>
    <w:p w:rsidR="002A5A5E" w:rsidRPr="00FC1444" w:rsidRDefault="00611CBA">
      <w:pPr>
        <w:spacing w:line="360" w:lineRule="auto"/>
        <w:ind w:firstLineChars="200" w:firstLine="480"/>
        <w:contextualSpacing/>
        <w:rPr>
          <w:rFonts w:eastAsiaTheme="minorEastAsia"/>
          <w:snapToGrid w:val="0"/>
          <w:sz w:val="24"/>
        </w:rPr>
      </w:pPr>
      <w:r w:rsidRPr="00FC1444">
        <w:rPr>
          <w:rFonts w:eastAsiaTheme="minorEastAsia"/>
          <w:kern w:val="0"/>
          <w:sz w:val="24"/>
        </w:rPr>
        <w:t>本工程水污染影响型地表水环境评价等级为三级</w:t>
      </w:r>
      <w:r w:rsidRPr="00FC1444">
        <w:rPr>
          <w:rFonts w:eastAsiaTheme="minorEastAsia"/>
          <w:kern w:val="0"/>
          <w:sz w:val="24"/>
        </w:rPr>
        <w:t>B</w:t>
      </w:r>
      <w:r w:rsidRPr="00FC1444">
        <w:rPr>
          <w:rFonts w:eastAsiaTheme="minorEastAsia"/>
          <w:kern w:val="0"/>
          <w:sz w:val="24"/>
        </w:rPr>
        <w:t>，无需设置地表水评价范围。本项目实施前后退水量减少，</w:t>
      </w:r>
      <w:r w:rsidRPr="00FC1444">
        <w:rPr>
          <w:rFonts w:eastAsiaTheme="minorEastAsia"/>
          <w:snapToGrid w:val="0"/>
          <w:sz w:val="24"/>
        </w:rPr>
        <w:t>对流量无影响，对下游水文情势无影响。根据</w:t>
      </w:r>
      <w:r w:rsidRPr="00FC1444">
        <w:rPr>
          <w:rFonts w:eastAsiaTheme="minorEastAsia"/>
          <w:snapToGrid w:val="0"/>
          <w:sz w:val="24"/>
          <w:szCs w:val="20"/>
        </w:rPr>
        <w:t>《环境影响评价技术导则</w:t>
      </w:r>
      <w:r w:rsidRPr="00FC1444">
        <w:rPr>
          <w:rFonts w:eastAsiaTheme="minorEastAsia"/>
          <w:snapToGrid w:val="0"/>
          <w:sz w:val="24"/>
          <w:szCs w:val="20"/>
        </w:rPr>
        <w:t>—</w:t>
      </w:r>
      <w:r w:rsidRPr="00FC1444">
        <w:rPr>
          <w:rFonts w:eastAsiaTheme="minorEastAsia"/>
          <w:snapToGrid w:val="0"/>
          <w:sz w:val="24"/>
          <w:szCs w:val="20"/>
        </w:rPr>
        <w:t>地表水环境》（</w:t>
      </w:r>
      <w:r w:rsidRPr="00FC1444">
        <w:rPr>
          <w:rFonts w:eastAsiaTheme="minorEastAsia"/>
          <w:snapToGrid w:val="0"/>
          <w:sz w:val="24"/>
          <w:szCs w:val="20"/>
        </w:rPr>
        <w:t>HJ2.3-2018</w:t>
      </w:r>
      <w:r w:rsidRPr="00FC1444">
        <w:rPr>
          <w:rFonts w:eastAsiaTheme="minorEastAsia"/>
          <w:snapToGrid w:val="0"/>
          <w:sz w:val="24"/>
          <w:szCs w:val="20"/>
        </w:rPr>
        <w:t>），</w:t>
      </w:r>
      <w:r w:rsidRPr="00FC1444">
        <w:rPr>
          <w:rFonts w:eastAsiaTheme="minorEastAsia"/>
          <w:snapToGrid w:val="0"/>
          <w:sz w:val="24"/>
        </w:rPr>
        <w:t>评价影响应覆盖水体天然性状发生变化的水域，因此判定水文影响评价</w:t>
      </w:r>
      <w:r w:rsidRPr="00FC1444">
        <w:rPr>
          <w:rFonts w:eastAsiaTheme="minorEastAsia"/>
          <w:snapToGrid w:val="0"/>
          <w:sz w:val="24"/>
          <w:szCs w:val="20"/>
        </w:rPr>
        <w:t>范围如下：</w:t>
      </w:r>
    </w:p>
    <w:p w:rsidR="003C598F" w:rsidRPr="00FC1444" w:rsidRDefault="003C598F" w:rsidP="003C598F">
      <w:pPr>
        <w:spacing w:line="360" w:lineRule="auto"/>
        <w:ind w:firstLineChars="200" w:firstLine="480"/>
        <w:contextualSpacing/>
        <w:rPr>
          <w:rFonts w:eastAsiaTheme="minorEastAsia"/>
          <w:kern w:val="0"/>
          <w:sz w:val="24"/>
        </w:rPr>
      </w:pPr>
      <w:r w:rsidRPr="00FC1444">
        <w:rPr>
          <w:rFonts w:eastAsiaTheme="minorEastAsia"/>
          <w:kern w:val="0"/>
          <w:sz w:val="24"/>
        </w:rPr>
        <w:t>呼兰河：</w:t>
      </w:r>
      <w:r w:rsidR="002A51BB" w:rsidRPr="00FC1444">
        <w:rPr>
          <w:rFonts w:eastAsiaTheme="minorEastAsia"/>
          <w:kern w:val="0"/>
          <w:sz w:val="24"/>
        </w:rPr>
        <w:t>入</w:t>
      </w:r>
      <w:r w:rsidRPr="00FC1444">
        <w:rPr>
          <w:rFonts w:eastAsiaTheme="minorEastAsia"/>
          <w:kern w:val="0"/>
          <w:sz w:val="24"/>
        </w:rPr>
        <w:t>呼兰河退水口上游</w:t>
      </w:r>
      <w:r w:rsidRPr="00FC1444">
        <w:rPr>
          <w:rFonts w:eastAsiaTheme="minorEastAsia"/>
          <w:kern w:val="0"/>
          <w:sz w:val="24"/>
        </w:rPr>
        <w:t>500m</w:t>
      </w:r>
      <w:r w:rsidRPr="00FC1444">
        <w:rPr>
          <w:rFonts w:eastAsiaTheme="minorEastAsia"/>
          <w:kern w:val="0"/>
          <w:sz w:val="24"/>
        </w:rPr>
        <w:t>至退水口下游</w:t>
      </w:r>
      <w:r w:rsidRPr="00FC1444">
        <w:rPr>
          <w:rFonts w:eastAsiaTheme="minorEastAsia"/>
          <w:kern w:val="0"/>
          <w:sz w:val="24"/>
        </w:rPr>
        <w:t>1000m</w:t>
      </w:r>
      <w:r w:rsidRPr="00FC1444">
        <w:rPr>
          <w:rFonts w:eastAsiaTheme="minorEastAsia"/>
          <w:kern w:val="0"/>
          <w:sz w:val="24"/>
        </w:rPr>
        <w:t>；绥胜干沟汇入呼兰河口上游</w:t>
      </w:r>
      <w:r w:rsidRPr="00FC1444">
        <w:rPr>
          <w:rFonts w:eastAsiaTheme="minorEastAsia"/>
          <w:kern w:val="0"/>
          <w:sz w:val="24"/>
        </w:rPr>
        <w:t>500m</w:t>
      </w:r>
      <w:r w:rsidRPr="00FC1444">
        <w:rPr>
          <w:rFonts w:eastAsiaTheme="minorEastAsia"/>
          <w:kern w:val="0"/>
          <w:sz w:val="24"/>
        </w:rPr>
        <w:t>至下游</w:t>
      </w:r>
      <w:r w:rsidRPr="00FC1444">
        <w:rPr>
          <w:rFonts w:eastAsiaTheme="minorEastAsia"/>
          <w:kern w:val="0"/>
          <w:sz w:val="24"/>
        </w:rPr>
        <w:t>1000m</w:t>
      </w:r>
      <w:r w:rsidR="00341992" w:rsidRPr="00FC1444">
        <w:rPr>
          <w:rFonts w:eastAsiaTheme="minorEastAsia"/>
          <w:kern w:val="0"/>
          <w:sz w:val="24"/>
        </w:rPr>
        <w:t>。评价河段长度共</w:t>
      </w:r>
      <w:r w:rsidRPr="00FC1444">
        <w:rPr>
          <w:rFonts w:eastAsiaTheme="minorEastAsia" w:hint="eastAsia"/>
          <w:kern w:val="0"/>
          <w:sz w:val="24"/>
        </w:rPr>
        <w:t>4.5</w:t>
      </w:r>
      <w:r w:rsidRPr="00FC1444">
        <w:rPr>
          <w:rFonts w:eastAsiaTheme="minorEastAsia"/>
          <w:kern w:val="0"/>
          <w:sz w:val="24"/>
        </w:rPr>
        <w:t>km</w:t>
      </w:r>
      <w:r w:rsidRPr="00FC1444">
        <w:rPr>
          <w:rFonts w:eastAsiaTheme="minorEastAsia"/>
          <w:kern w:val="0"/>
          <w:sz w:val="24"/>
        </w:rPr>
        <w:t>；</w:t>
      </w:r>
    </w:p>
    <w:p w:rsidR="003C598F" w:rsidRPr="00FC1444" w:rsidRDefault="003C598F" w:rsidP="003C598F">
      <w:pPr>
        <w:spacing w:line="360" w:lineRule="auto"/>
        <w:ind w:firstLineChars="200" w:firstLine="480"/>
        <w:contextualSpacing/>
        <w:rPr>
          <w:rFonts w:eastAsiaTheme="minorEastAsia"/>
          <w:kern w:val="0"/>
          <w:sz w:val="24"/>
        </w:rPr>
      </w:pPr>
      <w:r w:rsidRPr="00FC1444">
        <w:rPr>
          <w:rFonts w:eastAsiaTheme="minorEastAsia" w:hint="eastAsia"/>
          <w:kern w:val="0"/>
          <w:sz w:val="24"/>
        </w:rPr>
        <w:t>努敏</w:t>
      </w:r>
      <w:r w:rsidRPr="00FC1444">
        <w:rPr>
          <w:rFonts w:eastAsiaTheme="minorEastAsia"/>
          <w:kern w:val="0"/>
          <w:sz w:val="24"/>
        </w:rPr>
        <w:t>河：</w:t>
      </w:r>
      <w:r w:rsidR="002A51BB" w:rsidRPr="00FC1444">
        <w:rPr>
          <w:rFonts w:eastAsiaTheme="minorEastAsia"/>
          <w:kern w:val="0"/>
          <w:sz w:val="24"/>
        </w:rPr>
        <w:t>入</w:t>
      </w:r>
      <w:r w:rsidRPr="00FC1444">
        <w:rPr>
          <w:rFonts w:eastAsiaTheme="minorEastAsia" w:hint="eastAsia"/>
          <w:kern w:val="0"/>
          <w:sz w:val="24"/>
        </w:rPr>
        <w:t>努敏</w:t>
      </w:r>
      <w:r w:rsidRPr="00FC1444">
        <w:rPr>
          <w:rFonts w:eastAsiaTheme="minorEastAsia"/>
          <w:kern w:val="0"/>
          <w:sz w:val="24"/>
        </w:rPr>
        <w:t>河退水口上游</w:t>
      </w:r>
      <w:r w:rsidRPr="00FC1444">
        <w:rPr>
          <w:rFonts w:eastAsiaTheme="minorEastAsia"/>
          <w:kern w:val="0"/>
          <w:sz w:val="24"/>
        </w:rPr>
        <w:t>500m</w:t>
      </w:r>
      <w:r w:rsidRPr="00FC1444">
        <w:rPr>
          <w:rFonts w:eastAsiaTheme="minorEastAsia"/>
          <w:kern w:val="0"/>
          <w:sz w:val="24"/>
        </w:rPr>
        <w:t>至退水口下游</w:t>
      </w:r>
      <w:r w:rsidRPr="00FC1444">
        <w:rPr>
          <w:rFonts w:eastAsiaTheme="minorEastAsia"/>
          <w:kern w:val="0"/>
          <w:sz w:val="24"/>
        </w:rPr>
        <w:t>1000m</w:t>
      </w:r>
      <w:r w:rsidRPr="00FC1444">
        <w:rPr>
          <w:rFonts w:eastAsiaTheme="minorEastAsia"/>
          <w:kern w:val="0"/>
          <w:sz w:val="24"/>
        </w:rPr>
        <w:t>。评价河段长度为</w:t>
      </w:r>
      <w:r w:rsidRPr="00FC1444">
        <w:rPr>
          <w:rFonts w:eastAsiaTheme="minorEastAsia" w:hint="eastAsia"/>
          <w:kern w:val="0"/>
          <w:sz w:val="24"/>
        </w:rPr>
        <w:t>7</w:t>
      </w:r>
      <w:r w:rsidRPr="00FC1444">
        <w:rPr>
          <w:rFonts w:eastAsiaTheme="minorEastAsia"/>
          <w:kern w:val="0"/>
          <w:sz w:val="24"/>
        </w:rPr>
        <w:t>km</w:t>
      </w:r>
      <w:r w:rsidRPr="00FC1444">
        <w:rPr>
          <w:rFonts w:eastAsiaTheme="minorEastAsia"/>
          <w:kern w:val="0"/>
          <w:sz w:val="24"/>
        </w:rPr>
        <w:t>；</w:t>
      </w:r>
    </w:p>
    <w:p w:rsidR="003C598F" w:rsidRPr="00FC1444" w:rsidRDefault="003C598F" w:rsidP="003C598F">
      <w:pPr>
        <w:spacing w:line="360" w:lineRule="auto"/>
        <w:ind w:firstLineChars="200" w:firstLine="480"/>
        <w:contextualSpacing/>
        <w:rPr>
          <w:rFonts w:eastAsiaTheme="minorEastAsia"/>
          <w:kern w:val="0"/>
          <w:sz w:val="24"/>
        </w:rPr>
      </w:pPr>
      <w:r w:rsidRPr="00FC1444">
        <w:rPr>
          <w:rFonts w:eastAsiaTheme="minorEastAsia"/>
          <w:kern w:val="0"/>
          <w:sz w:val="24"/>
        </w:rPr>
        <w:t>津河：</w:t>
      </w:r>
      <w:r w:rsidR="002A51BB" w:rsidRPr="00FC1444">
        <w:rPr>
          <w:rFonts w:eastAsiaTheme="minorEastAsia"/>
          <w:kern w:val="0"/>
          <w:sz w:val="24"/>
        </w:rPr>
        <w:t>入</w:t>
      </w:r>
      <w:r w:rsidRPr="00FC1444">
        <w:rPr>
          <w:rFonts w:eastAsiaTheme="minorEastAsia"/>
          <w:kern w:val="0"/>
          <w:sz w:val="24"/>
        </w:rPr>
        <w:t>津河退水口上游</w:t>
      </w:r>
      <w:r w:rsidRPr="00FC1444">
        <w:rPr>
          <w:rFonts w:eastAsiaTheme="minorEastAsia"/>
          <w:kern w:val="0"/>
          <w:sz w:val="24"/>
        </w:rPr>
        <w:t>500m</w:t>
      </w:r>
      <w:r w:rsidRPr="00FC1444">
        <w:rPr>
          <w:rFonts w:eastAsiaTheme="minorEastAsia"/>
          <w:kern w:val="0"/>
          <w:sz w:val="24"/>
        </w:rPr>
        <w:t>至退水口下游</w:t>
      </w:r>
      <w:r w:rsidRPr="00FC1444">
        <w:rPr>
          <w:rFonts w:eastAsiaTheme="minorEastAsia"/>
          <w:kern w:val="0"/>
          <w:sz w:val="24"/>
        </w:rPr>
        <w:t>1000m</w:t>
      </w:r>
      <w:r w:rsidRPr="00FC1444">
        <w:rPr>
          <w:rFonts w:eastAsiaTheme="minorEastAsia"/>
          <w:kern w:val="0"/>
          <w:sz w:val="24"/>
        </w:rPr>
        <w:t>。评价河段长度为</w:t>
      </w:r>
      <w:r w:rsidRPr="00FC1444">
        <w:rPr>
          <w:rFonts w:eastAsiaTheme="minorEastAsia" w:hint="eastAsia"/>
          <w:kern w:val="0"/>
          <w:sz w:val="24"/>
        </w:rPr>
        <w:t>2.5</w:t>
      </w:r>
      <w:r w:rsidRPr="00FC1444">
        <w:rPr>
          <w:rFonts w:eastAsiaTheme="minorEastAsia"/>
          <w:kern w:val="0"/>
          <w:sz w:val="24"/>
        </w:rPr>
        <w:t>km</w:t>
      </w:r>
      <w:r w:rsidRPr="00FC1444">
        <w:rPr>
          <w:rFonts w:eastAsiaTheme="minorEastAsia"/>
          <w:kern w:val="0"/>
          <w:sz w:val="24"/>
        </w:rPr>
        <w:t>。</w:t>
      </w:r>
    </w:p>
    <w:p w:rsidR="002A5A5E" w:rsidRPr="00FC1444" w:rsidRDefault="002A5A5E">
      <w:pPr>
        <w:spacing w:line="360" w:lineRule="auto"/>
        <w:ind w:firstLineChars="200" w:firstLine="480"/>
        <w:contextualSpacing/>
        <w:rPr>
          <w:rFonts w:eastAsiaTheme="minorEastAsia"/>
          <w:snapToGrid w:val="0"/>
          <w:sz w:val="24"/>
          <w:szCs w:val="20"/>
        </w:rPr>
        <w:sectPr w:rsidR="002A5A5E" w:rsidRPr="00FC1444">
          <w:pgSz w:w="11906" w:h="16838"/>
          <w:pgMar w:top="1440" w:right="1800" w:bottom="1440" w:left="1800" w:header="851" w:footer="992" w:gutter="0"/>
          <w:cols w:space="425"/>
          <w:docGrid w:type="lines" w:linePitch="312"/>
        </w:sectPr>
      </w:pPr>
    </w:p>
    <w:p w:rsidR="002A5A5E" w:rsidRPr="00FC1444" w:rsidRDefault="003C598F">
      <w:pPr>
        <w:spacing w:line="360" w:lineRule="auto"/>
        <w:ind w:firstLineChars="200" w:firstLine="480"/>
        <w:contextualSpacing/>
        <w:jc w:val="center"/>
        <w:rPr>
          <w:rFonts w:eastAsiaTheme="minorEastAsia"/>
          <w:snapToGrid w:val="0"/>
          <w:kern w:val="0"/>
          <w:sz w:val="24"/>
        </w:rPr>
      </w:pPr>
      <w:r w:rsidRPr="00FC1444">
        <w:rPr>
          <w:rFonts w:eastAsiaTheme="minorEastAsia"/>
          <w:noProof/>
          <w:sz w:val="24"/>
          <w:szCs w:val="20"/>
        </w:rPr>
        <w:lastRenderedPageBreak/>
        <w:drawing>
          <wp:anchor distT="0" distB="0" distL="114300" distR="114300" simplePos="0" relativeHeight="251850752" behindDoc="0" locked="0" layoutInCell="1" allowOverlap="1">
            <wp:simplePos x="0" y="0"/>
            <wp:positionH relativeFrom="column">
              <wp:posOffset>7155815</wp:posOffset>
            </wp:positionH>
            <wp:positionV relativeFrom="paragraph">
              <wp:posOffset>55880</wp:posOffset>
            </wp:positionV>
            <wp:extent cx="764540" cy="712470"/>
            <wp:effectExtent l="19050" t="0" r="0" b="0"/>
            <wp:wrapNone/>
            <wp:docPr id="679" name="图片 29" descr="E:\xwechat_files\wxid_mq55o8x17m3l21_57cf\temp\RWTemp\2026-09\9e20f478899dc29eb19741386f9343c8\cf5832beccbae337fe08c2bfaa8c1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wechat_files\wxid_mq55o8x17m3l21_57cf\temp\RWTemp\2026-09\9e20f478899dc29eb19741386f9343c8\cf5832beccbae337fe08c2bfaa8c1c9d.png"/>
                    <pic:cNvPicPr>
                      <a:picLocks noChangeAspect="1" noChangeArrowheads="1"/>
                    </pic:cNvPicPr>
                  </pic:nvPicPr>
                  <pic:blipFill>
                    <a:blip r:embed="rId23"/>
                    <a:srcRect/>
                    <a:stretch>
                      <a:fillRect/>
                    </a:stretch>
                  </pic:blipFill>
                  <pic:spPr bwMode="auto">
                    <a:xfrm>
                      <a:off x="0" y="0"/>
                      <a:ext cx="764540" cy="712470"/>
                    </a:xfrm>
                    <a:prstGeom prst="rect">
                      <a:avLst/>
                    </a:prstGeom>
                    <a:noFill/>
                    <a:ln w="9525">
                      <a:noFill/>
                      <a:miter lim="800000"/>
                      <a:headEnd/>
                      <a:tailEnd/>
                    </a:ln>
                  </pic:spPr>
                </pic:pic>
              </a:graphicData>
            </a:graphic>
          </wp:anchor>
        </w:drawing>
      </w:r>
      <w:r w:rsidR="009840DD" w:rsidRPr="00FC1444">
        <w:rPr>
          <w:rFonts w:eastAsiaTheme="minorEastAsia"/>
          <w:noProof/>
          <w:sz w:val="24"/>
          <w:szCs w:val="20"/>
        </w:rPr>
        <w:pict>
          <v:shape id="_x0000_s697232" style="position:absolute;left:0;text-align:left;margin-left:149.15pt;margin-top:311.8pt;width:11.6pt;height:7.55pt;flip:x;z-index:251887616;mso-position-horizontal-relative:text;mso-position-vertical-relative:text" coordsize="224,355" path="m,l93,149,224,355,186,336e" filled="f" strokecolor="yellow" strokeweight="3pt">
            <v:path arrowok="t"/>
          </v:shape>
        </w:pict>
      </w:r>
      <w:r w:rsidR="009840DD" w:rsidRPr="00FC1444">
        <w:rPr>
          <w:rFonts w:eastAsiaTheme="minorEastAsia"/>
          <w:noProof/>
          <w:sz w:val="24"/>
          <w:szCs w:val="20"/>
        </w:rPr>
        <w:pict>
          <v:shape id="_x0000_s697231" style="position:absolute;left:0;text-align:left;margin-left:527.1pt;margin-top:113.65pt;width:18.65pt;height:11.75pt;flip:x;z-index:251886592;mso-position-horizontal-relative:text;mso-position-vertical-relative:text" coordsize="224,355" path="m,l93,149,224,355,186,336e" filled="f" strokecolor="yellow" strokeweight="3pt">
            <v:path arrowok="t"/>
          </v:shape>
        </w:pict>
      </w:r>
      <w:r w:rsidR="009840DD" w:rsidRPr="00FC1444">
        <w:rPr>
          <w:rFonts w:eastAsiaTheme="minorEastAsia"/>
          <w:noProof/>
          <w:sz w:val="24"/>
          <w:szCs w:val="20"/>
        </w:rPr>
        <w:pict>
          <v:polyline id="_x0000_s697230" style="position:absolute;left:0;text-align:left;z-index:251885568;mso-position-horizontal-relative:text;mso-position-vertical-relative:text" points="462.9pt,196.15pt,467.55pt,203.6pt,474.1pt,213.9pt,472.2pt,212.95pt" coordsize="224,355" filled="f" strokecolor="yellow" strokeweight="3pt">
            <v:path arrowok="t"/>
          </v:polyline>
        </w:pict>
      </w:r>
      <w:r w:rsidR="009840DD" w:rsidRPr="00FC1444">
        <w:rPr>
          <w:rFonts w:eastAsiaTheme="minorEastAsia"/>
          <w:noProof/>
          <w:sz w:val="24"/>
          <w:szCs w:val="20"/>
        </w:rPr>
        <w:pict>
          <v:polyline id="_x0000_s697229" style="position:absolute;left:0;text-align:left;z-index:251884544;mso-position-horizontal-relative:text;mso-position-vertical-relative:text" points="482.5pt,39.05pt,480.95pt,42.7pt,480.95pt,53.6pt,464.75pt,91.4pt" coordsize="355,1047" filled="f" strokecolor="yellow" strokeweight="3pt">
            <v:path arrowok="t"/>
          </v:polyline>
        </w:pict>
      </w:r>
      <w:r w:rsidR="009840DD" w:rsidRPr="00FC1444">
        <w:rPr>
          <w:rFonts w:eastAsiaTheme="minorEastAsia"/>
          <w:noProof/>
          <w:sz w:val="24"/>
          <w:szCs w:val="20"/>
        </w:rPr>
        <w:pict>
          <v:polyline id="_x0000_s697220" style="position:absolute;left:0;text-align:left;z-index:251875328;mso-position-horizontal-relative:text;mso-position-vertical-relative:text" points="456.3pt,163.4pt,459.6pt,191.25pt,468pt,207.2pt,480.75pt,228pt,519.75pt,237.75pt,537.75pt,236.25pt,590.25pt,222.75pt" coordsize="2679,1487" filled="f" strokecolor="#00b0f0" strokeweight="2.25pt">
            <v:path arrowok="t"/>
          </v:polyline>
        </w:pict>
      </w:r>
      <w:r w:rsidR="009840DD" w:rsidRPr="00FC1444">
        <w:rPr>
          <w:rFonts w:eastAsiaTheme="minorEastAsia"/>
          <w:noProof/>
          <w:sz w:val="24"/>
          <w:szCs w:val="20"/>
        </w:rPr>
        <w:pict>
          <v:polyline id="_x0000_s697218" style="position:absolute;left:0;text-align:left;z-index:251873280;mso-position-horizontal-relative:text;mso-position-vertical-relative:text" points="494.25pt,6.75pt,485.25pt,33.75pt,478.5pt,53.6pt,474.75pt,76.1pt,464.25pt,86.25pt,455.25pt,99.75pt,426pt,113.25pt,391.55pt,129pt,372.75pt,148.5pt,362.8pt,175.55pt,362.8pt,212.05pt" coordsize="2629,4106" filled="f" strokecolor="#00b0f0" strokeweight="2.25pt">
            <v:path arrowok="t"/>
          </v:polyline>
        </w:pict>
      </w:r>
      <w:r w:rsidR="009840DD" w:rsidRPr="00FC1444">
        <w:rPr>
          <w:rFonts w:eastAsiaTheme="minorEastAsia"/>
          <w:noProof/>
          <w:sz w:val="24"/>
          <w:szCs w:val="20"/>
        </w:rPr>
        <w:pict>
          <v:shape id="_x0000_s697228" style="position:absolute;left:0;text-align:left;margin-left:535.65pt;margin-top:113.65pt;width:5.05pt;height:3.55pt;flip:y;z-index:251883520;mso-position-horizontal-relative:text;mso-position-vertical-relative:text" coordsize="262,125" path="m,125l32,104,262,e" filled="f" fillcolor="#00b0f0" strokecolor="#00b050" strokeweight="2.25pt">
            <v:path arrowok="t"/>
          </v:shape>
        </w:pict>
      </w:r>
      <w:r w:rsidR="009840DD" w:rsidRPr="00FC1444">
        <w:rPr>
          <w:rFonts w:eastAsiaTheme="minorEastAsia"/>
          <w:noProof/>
          <w:sz w:val="24"/>
          <w:szCs w:val="20"/>
        </w:rPr>
        <w:pict>
          <v:shape id="_x0000_s697227" style="position:absolute;left:0;text-align:left;margin-left:527.1pt;margin-top:118.4pt;width:5.05pt;height:3.55pt;flip:y;z-index:251882496;mso-position-horizontal-relative:text;mso-position-vertical-relative:text" coordsize="262,125" path="m,125l32,104,262,e" filled="f" fillcolor="#00b0f0" strokecolor="#00b050" strokeweight="2.25pt">
            <v:path arrowok="t"/>
          </v:shape>
        </w:pict>
      </w:r>
      <w:r w:rsidR="009840DD" w:rsidRPr="00FC1444">
        <w:rPr>
          <w:rFonts w:eastAsiaTheme="minorEastAsia"/>
          <w:noProof/>
          <w:sz w:val="24"/>
          <w:szCs w:val="20"/>
        </w:rPr>
        <w:pict>
          <v:shape id="_x0000_s697226" style="position:absolute;left:0;text-align:left;margin-left:480.95pt;margin-top:42.7pt;width:13.3pt;height:3.8pt;z-index:251881472;mso-position-horizontal-relative:text;mso-position-vertical-relative:text" coordsize="262,125" path="m,125l32,104,262,e" filled="f" fillcolor="#00b0f0" strokecolor="#00b050" strokeweight="2.25pt">
            <v:path arrowok="t"/>
          </v:shape>
        </w:pict>
      </w:r>
      <w:r w:rsidR="009840DD" w:rsidRPr="00FC1444">
        <w:rPr>
          <w:rFonts w:eastAsiaTheme="minorEastAsia"/>
          <w:noProof/>
          <w:sz w:val="24"/>
          <w:szCs w:val="20"/>
        </w:rPr>
        <w:pict>
          <v:shape id="_x0000_s697225" style="position:absolute;left:0;text-align:left;margin-left:486.6pt;margin-top:28.4pt;width:7.65pt;height:3.8pt;z-index:251880448;mso-position-horizontal-relative:text;mso-position-vertical-relative:text" coordsize="262,125" path="m,125l32,104,262,e" filled="f" fillcolor="#00b0f0" strokecolor="#00b050" strokeweight="2.25pt">
            <v:path arrowok="t"/>
          </v:shape>
        </w:pict>
      </w:r>
      <w:r w:rsidR="009840DD" w:rsidRPr="00FC1444">
        <w:rPr>
          <w:rFonts w:eastAsiaTheme="minorEastAsia"/>
          <w:noProof/>
          <w:sz w:val="24"/>
          <w:szCs w:val="20"/>
        </w:rPr>
        <w:pict>
          <v:shape id="_x0000_s697224" style="position:absolute;left:0;text-align:left;margin-left:515.1pt;margin-top:125.4pt;width:5.05pt;height:3.55pt;flip:y;z-index:251879424;mso-position-horizontal-relative:text;mso-position-vertical-relative:text" coordsize="262,125" path="m,125l32,104,262,e" filled="f" fillcolor="#00b0f0" strokecolor="#00b050" strokeweight="2.25pt">
            <v:path arrowok="t"/>
          </v:shape>
        </w:pict>
      </w:r>
      <w:r w:rsidR="009840DD" w:rsidRPr="00FC1444">
        <w:rPr>
          <w:rFonts w:eastAsiaTheme="minorEastAsia"/>
          <w:noProof/>
          <w:sz w:val="24"/>
          <w:szCs w:val="20"/>
        </w:rPr>
        <w:pict>
          <v:shape id="_x0000_s697223" style="position:absolute;left:0;text-align:left;margin-left:459.6pt;margin-top:207.2pt;width:9.1pt;height:3.8pt;z-index:251878400;mso-position-horizontal-relative:text;mso-position-vertical-relative:text" coordsize="262,125" path="m,125l32,104,262,e" filled="f" fillcolor="#00b0f0" strokecolor="#00b050" strokeweight="2.25pt">
            <v:path arrowok="t"/>
          </v:shape>
        </w:pict>
      </w:r>
      <w:r w:rsidR="009840DD" w:rsidRPr="00FC1444">
        <w:rPr>
          <w:rFonts w:eastAsiaTheme="minorEastAsia"/>
          <w:noProof/>
          <w:sz w:val="24"/>
          <w:szCs w:val="20"/>
        </w:rPr>
        <w:pict>
          <v:shape id="_x0000_s697222" style="position:absolute;left:0;text-align:left;margin-left:465.5pt;margin-top:198.75pt;width:9.1pt;height:3.8pt;z-index:251877376;mso-position-horizontal-relative:text;mso-position-vertical-relative:text" coordsize="262,125" path="m,125l32,104,262,e" filled="f" fillcolor="#00b0f0" strokecolor="#00b050" strokeweight="2.25pt">
            <v:path arrowok="t"/>
          </v:shape>
        </w:pict>
      </w:r>
      <w:r w:rsidR="009840DD" w:rsidRPr="00FC1444">
        <w:rPr>
          <w:rFonts w:eastAsiaTheme="minorEastAsia"/>
          <w:noProof/>
          <w:sz w:val="24"/>
          <w:szCs w:val="20"/>
        </w:rPr>
        <w:pict>
          <v:polyline id="_x0000_s697171" style="position:absolute;left:0;text-align:left;z-index:251828224;mso-position-horizontal-relative:text;mso-position-vertical-relative:text" points="314.75pt,339.75pt,316.35pt,338.7pt,327.85pt,333.5pt" coordsize="262,125" filled="f" fillcolor="#00b0f0" strokecolor="#00b050" strokeweight="2.25pt">
            <v:path arrowok="t"/>
          </v:polyline>
        </w:pict>
      </w:r>
      <w:r w:rsidR="009840DD" w:rsidRPr="00FC1444">
        <w:rPr>
          <w:rFonts w:eastAsiaTheme="minorEastAsia"/>
          <w:sz w:val="24"/>
          <w:szCs w:val="20"/>
        </w:rPr>
        <w:pict>
          <v:shape id="_x0000_s696895" type="#_x0000_t32" style="position:absolute;left:0;text-align:left;margin-left:584.9pt;margin-top:339.75pt;width:15.6pt;height:.05pt;z-index:251719680;mso-position-horizontal-relative:text;mso-position-vertical-relative:text" o:connectortype="straight" strokecolor="#00b050" strokeweight="2.25pt"/>
        </w:pict>
      </w:r>
      <w:r w:rsidR="009840DD" w:rsidRPr="00FC1444">
        <w:rPr>
          <w:rFonts w:eastAsiaTheme="minorEastAsia"/>
          <w:noProof/>
          <w:sz w:val="24"/>
          <w:szCs w:val="20"/>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697172" type="#_x0000_t61" style="position:absolute;left:0;text-align:left;margin-left:192.15pt;margin-top:340.4pt;width:60.15pt;height:22.5pt;z-index:251829248;mso-position-horizontal-relative:text;mso-position-vertical-relative:text" adj="40866,-5856" filled="f" strokecolor="#00b0f0">
            <v:textbox style="mso-next-textbox:#_x0000_s697172">
              <w:txbxContent>
                <w:p w:rsidR="006F5CC4" w:rsidRPr="00C95C47" w:rsidRDefault="006F5CC4" w:rsidP="00861FEF">
                  <w:pPr>
                    <w:rPr>
                      <w:b/>
                      <w:color w:val="00B0F0"/>
                    </w:rPr>
                  </w:pPr>
                  <w:r w:rsidRPr="00C95C47">
                    <w:rPr>
                      <w:b/>
                      <w:color w:val="00B0F0"/>
                    </w:rPr>
                    <w:t>绥胜干沟</w:t>
                  </w:r>
                </w:p>
              </w:txbxContent>
            </v:textbox>
          </v:shape>
        </w:pict>
      </w:r>
      <w:r w:rsidR="009840DD" w:rsidRPr="00FC1444">
        <w:rPr>
          <w:rFonts w:eastAsiaTheme="minorEastAsia"/>
          <w:sz w:val="24"/>
          <w:szCs w:val="20"/>
        </w:rPr>
        <w:pict>
          <v:shape id="_x0000_s697039" type="#_x0000_t61" style="position:absolute;left:0;text-align:left;margin-left:531.7pt;margin-top:184.7pt;width:38.95pt;height:22.5pt;z-index:251740160;mso-position-horizontal-relative:text;mso-position-vertical-relative:text" adj="10564,40944" filled="f" strokecolor="#00b0f0">
            <v:textbox style="mso-next-textbox:#_x0000_s697039">
              <w:txbxContent>
                <w:p w:rsidR="006F5CC4" w:rsidRPr="00C95C47" w:rsidRDefault="006F5CC4">
                  <w:pPr>
                    <w:rPr>
                      <w:b/>
                      <w:color w:val="00B0F0"/>
                    </w:rPr>
                  </w:pPr>
                  <w:r w:rsidRPr="00C95C47">
                    <w:rPr>
                      <w:rFonts w:hint="eastAsia"/>
                      <w:b/>
                      <w:color w:val="00B0F0"/>
                    </w:rPr>
                    <w:t>津</w:t>
                  </w:r>
                  <w:r w:rsidRPr="00C95C47">
                    <w:rPr>
                      <w:b/>
                      <w:color w:val="00B0F0"/>
                    </w:rPr>
                    <w:t>河</w:t>
                  </w:r>
                </w:p>
              </w:txbxContent>
            </v:textbox>
          </v:shape>
        </w:pict>
      </w:r>
      <w:r w:rsidR="009840DD" w:rsidRPr="00FC1444">
        <w:rPr>
          <w:rFonts w:eastAsiaTheme="minorEastAsia"/>
          <w:noProof/>
          <w:sz w:val="24"/>
          <w:szCs w:val="20"/>
        </w:rPr>
        <w:pict>
          <v:polyline id="_x0000_s697221" style="position:absolute;left:0;text-align:left;z-index:251876352;mso-position-horizontal-relative:text;mso-position-vertical-relative:text" points="323.25pt,340.4pt,304.5pt,335.25pt,284.15pt,331.5pt,267pt,327pt,245.25pt,324pt,201.75pt,328.5pt,167.25pt,321pt,156.75pt,316.5pt" coordsize="3330,478" filled="f" strokecolor="#00b0f0" strokeweight="2.25pt">
            <v:path arrowok="t"/>
          </v:polyline>
        </w:pict>
      </w:r>
      <w:r w:rsidR="009840DD" w:rsidRPr="00FC1444">
        <w:rPr>
          <w:rFonts w:eastAsiaTheme="minorEastAsia"/>
          <w:sz w:val="24"/>
          <w:szCs w:val="20"/>
        </w:rPr>
        <w:pict>
          <v:shape id="_x0000_s697030" type="#_x0000_t61" style="position:absolute;left:0;text-align:left;margin-left:292.85pt;margin-top:184.7pt;width:47.25pt;height:22.5pt;z-index:251832320;mso-position-horizontal-relative:text;mso-position-vertical-relative:text" adj="14171,46608" filled="f" strokecolor="#00b0f0">
            <v:textbox style="mso-next-textbox:#_x0000_s697030">
              <w:txbxContent>
                <w:p w:rsidR="006F5CC4" w:rsidRPr="00C95C47" w:rsidRDefault="006F5CC4">
                  <w:pPr>
                    <w:rPr>
                      <w:b/>
                      <w:color w:val="00B0F0"/>
                    </w:rPr>
                  </w:pPr>
                  <w:r w:rsidRPr="00C95C47">
                    <w:rPr>
                      <w:rFonts w:hint="eastAsia"/>
                      <w:b/>
                      <w:color w:val="00B0F0"/>
                    </w:rPr>
                    <w:t>呼兰河</w:t>
                  </w:r>
                </w:p>
              </w:txbxContent>
            </v:textbox>
          </v:shape>
        </w:pict>
      </w:r>
      <w:r w:rsidR="009840DD" w:rsidRPr="00FC1444">
        <w:rPr>
          <w:rFonts w:eastAsiaTheme="minorEastAsia"/>
          <w:noProof/>
          <w:sz w:val="24"/>
          <w:szCs w:val="20"/>
        </w:rPr>
        <w:pict>
          <v:polyline id="_x0000_s697219" style="position:absolute;left:0;text-align:left;z-index:251874304;mso-position-horizontal-relative:text;mso-position-vertical-relative:text" points="129pt,340.4pt,174pt,298.5pt,216.75pt,279.75pt,265.4pt,266.25pt,334.5pt,225.75pt,374.25pt,209.25pt,410.95pt,189.95pt,484.5pt,149.25pt,525.75pt,127.5pt,573pt,100.5pt,600.5pt,90.75pt" coordsize="9430,4993" filled="f" strokecolor="#00b0f0" strokeweight="2.25pt">
            <v:path arrowok="t"/>
          </v:polyline>
        </w:pict>
      </w:r>
      <w:r w:rsidR="009840DD" w:rsidRPr="00FC1444">
        <w:rPr>
          <w:rFonts w:eastAsiaTheme="minorEastAsia"/>
          <w:noProof/>
          <w:sz w:val="24"/>
          <w:szCs w:val="20"/>
        </w:rPr>
        <w:pict>
          <v:shape id="_x0000_s697216" type="#_x0000_t61" style="position:absolute;left:0;text-align:left;margin-left:410.95pt;margin-top:53.6pt;width:48.65pt;height:22.5pt;z-index:251872256;mso-position-horizontal-relative:text;mso-position-vertical-relative:text" adj="31612,-9600" filled="f" strokecolor="#00b0f0">
            <v:textbox style="mso-next-textbox:#_x0000_s697216">
              <w:txbxContent>
                <w:p w:rsidR="006F5CC4" w:rsidRPr="00C95C47" w:rsidRDefault="006F5CC4" w:rsidP="00AB239C">
                  <w:pPr>
                    <w:rPr>
                      <w:b/>
                      <w:color w:val="00B0F0"/>
                    </w:rPr>
                  </w:pPr>
                  <w:r w:rsidRPr="00C95C47">
                    <w:rPr>
                      <w:rFonts w:hint="eastAsia"/>
                      <w:b/>
                      <w:color w:val="00B0F0"/>
                    </w:rPr>
                    <w:t>努敏</w:t>
                  </w:r>
                  <w:r w:rsidRPr="00C95C47">
                    <w:rPr>
                      <w:b/>
                      <w:color w:val="00B0F0"/>
                    </w:rPr>
                    <w:t>河</w:t>
                  </w:r>
                </w:p>
              </w:txbxContent>
            </v:textbox>
          </v:shape>
        </w:pict>
      </w:r>
      <w:r w:rsidR="009840DD" w:rsidRPr="00FC1444">
        <w:rPr>
          <w:rFonts w:eastAsiaTheme="minorEastAsia"/>
          <w:sz w:val="24"/>
          <w:szCs w:val="20"/>
        </w:rPr>
        <w:pict>
          <v:shape id="_x0000_s696893" type="#_x0000_t32" style="position:absolute;left:0;text-align:left;margin-left:584.9pt;margin-top:355.1pt;width:15.6pt;height:0;z-index:251718656;mso-position-horizontal-relative:text;mso-position-vertical-relative:text" o:connectortype="straight" strokecolor="yellow" strokeweight="2.25pt"/>
        </w:pict>
      </w:r>
      <w:r w:rsidR="009840DD" w:rsidRPr="00FC1444">
        <w:rPr>
          <w:rFonts w:eastAsiaTheme="minorEastAsia"/>
          <w:sz w:val="24"/>
          <w:szCs w:val="20"/>
        </w:rPr>
        <w:pict>
          <v:shapetype id="_x0000_t202" coordsize="21600,21600" o:spt="202" path="m,l,21600r21600,l21600,xe">
            <v:stroke joinstyle="miter"/>
            <v:path gradientshapeok="t" o:connecttype="rect"/>
          </v:shapetype>
          <v:shape id="_x0000_s696887" type="#_x0000_t202" style="position:absolute;left:0;text-align:left;margin-left:515.1pt;margin-top:310.85pt;width:109.3pt;height:75.65pt;z-index:251717632;mso-position-horizontal-relative:text;mso-position-vertical-relative:text" fillcolor="#bfbfbf">
            <v:textbox style="mso-next-textbox:#_x0000_s696887">
              <w:txbxContent>
                <w:p w:rsidR="006F5CC4" w:rsidRDefault="006F5CC4">
                  <w:pPr>
                    <w:jc w:val="center"/>
                  </w:pPr>
                  <w:r>
                    <w:rPr>
                      <w:rFonts w:hint="eastAsia"/>
                    </w:rPr>
                    <w:t>图例</w:t>
                  </w:r>
                </w:p>
                <w:p w:rsidR="006F5CC4" w:rsidRDefault="006F5CC4">
                  <w:pPr>
                    <w:jc w:val="left"/>
                  </w:pPr>
                  <w:r>
                    <w:rPr>
                      <w:rFonts w:hint="eastAsia"/>
                    </w:rPr>
                    <w:t>排水渠道：</w:t>
                  </w:r>
                </w:p>
                <w:p w:rsidR="006F5CC4" w:rsidRDefault="006F5CC4">
                  <w:pPr>
                    <w:jc w:val="left"/>
                  </w:pPr>
                  <w:r>
                    <w:t>评价范围：</w:t>
                  </w:r>
                </w:p>
                <w:p w:rsidR="006F5CC4" w:rsidRDefault="006F5CC4">
                  <w:pPr>
                    <w:jc w:val="left"/>
                  </w:pPr>
                  <w:r>
                    <w:t>比例尺：</w:t>
                  </w:r>
                  <w:r>
                    <w:rPr>
                      <w:rFonts w:hint="eastAsia"/>
                    </w:rPr>
                    <w:t>1:395261</w:t>
                  </w:r>
                </w:p>
              </w:txbxContent>
            </v:textbox>
          </v:shape>
        </w:pict>
      </w:r>
      <w:r w:rsidR="00FC768F" w:rsidRPr="00FC1444">
        <w:rPr>
          <w:rFonts w:eastAsiaTheme="minorEastAsia"/>
          <w:snapToGrid w:val="0"/>
          <w:kern w:val="0"/>
          <w:sz w:val="24"/>
        </w:rPr>
        <w:t xml:space="preserve"> </w:t>
      </w:r>
      <w:r w:rsidR="00AB239C" w:rsidRPr="00FC1444">
        <w:rPr>
          <w:rFonts w:eastAsiaTheme="minorEastAsia"/>
          <w:noProof/>
          <w:kern w:val="0"/>
          <w:sz w:val="24"/>
        </w:rPr>
        <w:drawing>
          <wp:inline distT="0" distB="0" distL="0" distR="0">
            <wp:extent cx="6599953" cy="4853280"/>
            <wp:effectExtent l="19050" t="19050" r="10397" b="23520"/>
            <wp:docPr id="23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srcRect/>
                    <a:stretch>
                      <a:fillRect/>
                    </a:stretch>
                  </pic:blipFill>
                  <pic:spPr bwMode="auto">
                    <a:xfrm>
                      <a:off x="0" y="0"/>
                      <a:ext cx="6600655" cy="4853796"/>
                    </a:xfrm>
                    <a:prstGeom prst="rect">
                      <a:avLst/>
                    </a:prstGeom>
                    <a:noFill/>
                    <a:ln w="9525">
                      <a:solidFill>
                        <a:schemeClr val="tx1"/>
                      </a:solidFill>
                      <a:miter lim="800000"/>
                      <a:headEnd/>
                      <a:tailEnd/>
                    </a:ln>
                  </pic:spPr>
                </pic:pic>
              </a:graphicData>
            </a:graphic>
          </wp:inline>
        </w:drawing>
      </w:r>
    </w:p>
    <w:p w:rsidR="002A5A5E" w:rsidRPr="00FC1444" w:rsidRDefault="00611CBA">
      <w:pPr>
        <w:contextualSpacing/>
        <w:jc w:val="center"/>
        <w:rPr>
          <w:rFonts w:eastAsiaTheme="minorEastAsia"/>
          <w:b/>
          <w:snapToGrid w:val="0"/>
          <w:kern w:val="0"/>
          <w:szCs w:val="21"/>
        </w:rPr>
        <w:sectPr w:rsidR="002A5A5E" w:rsidRPr="00FC1444">
          <w:pgSz w:w="16838" w:h="11906" w:orient="landscape"/>
          <w:pgMar w:top="1800" w:right="1440" w:bottom="1800" w:left="1440" w:header="851" w:footer="992" w:gutter="0"/>
          <w:cols w:space="425"/>
          <w:docGrid w:type="lines" w:linePitch="312"/>
        </w:sectPr>
      </w:pPr>
      <w:r w:rsidRPr="00FC1444">
        <w:rPr>
          <w:rFonts w:eastAsiaTheme="minorEastAsia"/>
          <w:b/>
          <w:smallCaps/>
          <w:szCs w:val="21"/>
        </w:rPr>
        <w:t>图</w:t>
      </w:r>
      <w:r w:rsidRPr="00FC1444">
        <w:rPr>
          <w:rFonts w:eastAsiaTheme="minorEastAsia"/>
          <w:b/>
          <w:smallCaps/>
          <w:szCs w:val="21"/>
        </w:rPr>
        <w:t>2-7-1</w:t>
      </w:r>
      <w:r w:rsidRPr="00FC1444">
        <w:rPr>
          <w:rFonts w:eastAsiaTheme="minorEastAsia"/>
          <w:b/>
          <w:smallCaps/>
          <w:szCs w:val="21"/>
        </w:rPr>
        <w:t>地表水评价范围及水生生态评价范围图</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lastRenderedPageBreak/>
        <w:t>（</w:t>
      </w:r>
      <w:r w:rsidRPr="00FC1444">
        <w:rPr>
          <w:rFonts w:eastAsiaTheme="minorEastAsia"/>
          <w:snapToGrid w:val="0"/>
          <w:kern w:val="0"/>
          <w:sz w:val="24"/>
        </w:rPr>
        <w:t>3</w:t>
      </w:r>
      <w:r w:rsidRPr="00FC1444">
        <w:rPr>
          <w:rFonts w:eastAsiaTheme="minorEastAsia"/>
          <w:snapToGrid w:val="0"/>
          <w:kern w:val="0"/>
          <w:sz w:val="24"/>
        </w:rPr>
        <w:t>）生态环境</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ascii="宋体" w:hAnsi="宋体" w:cs="宋体" w:hint="eastAsia"/>
          <w:snapToGrid w:val="0"/>
          <w:kern w:val="0"/>
          <w:sz w:val="24"/>
        </w:rPr>
        <w:t>①</w:t>
      </w:r>
      <w:r w:rsidRPr="00FC1444">
        <w:rPr>
          <w:rFonts w:eastAsiaTheme="minorEastAsia"/>
          <w:snapToGrid w:val="0"/>
          <w:kern w:val="0"/>
          <w:sz w:val="24"/>
        </w:rPr>
        <w:t>水生生态</w:t>
      </w:r>
    </w:p>
    <w:p w:rsidR="002A5A5E" w:rsidRPr="00FC1444" w:rsidRDefault="00611CBA" w:rsidP="003A7922">
      <w:pPr>
        <w:spacing w:line="360" w:lineRule="auto"/>
        <w:ind w:firstLineChars="200" w:firstLine="480"/>
        <w:contextualSpacing/>
        <w:rPr>
          <w:rFonts w:eastAsiaTheme="minorEastAsia"/>
          <w:snapToGrid w:val="0"/>
          <w:sz w:val="24"/>
          <w:szCs w:val="20"/>
        </w:rPr>
      </w:pPr>
      <w:r w:rsidRPr="00FC1444">
        <w:rPr>
          <w:rFonts w:eastAsiaTheme="minorEastAsia"/>
          <w:kern w:val="0"/>
          <w:sz w:val="24"/>
        </w:rPr>
        <w:t>本项目实施前后退水量减少，</w:t>
      </w:r>
      <w:r w:rsidRPr="00FC1444">
        <w:rPr>
          <w:rFonts w:eastAsiaTheme="minorEastAsia"/>
          <w:snapToGrid w:val="0"/>
          <w:sz w:val="24"/>
          <w:szCs w:val="20"/>
        </w:rPr>
        <w:t>结合工程实施对水环境及水文情势的影响以及水功能区分布情况确定本项目水生生态评价范围与地表水评价范围一致：</w:t>
      </w:r>
    </w:p>
    <w:p w:rsidR="002A5A5E" w:rsidRPr="00FC1444" w:rsidRDefault="00C95C47">
      <w:pPr>
        <w:spacing w:line="360" w:lineRule="auto"/>
        <w:ind w:firstLineChars="200" w:firstLine="480"/>
        <w:contextualSpacing/>
        <w:rPr>
          <w:rFonts w:eastAsiaTheme="minorEastAsia"/>
          <w:snapToGrid w:val="0"/>
          <w:sz w:val="24"/>
          <w:szCs w:val="20"/>
        </w:rPr>
      </w:pPr>
      <w:r w:rsidRPr="00FC1444">
        <w:rPr>
          <w:rFonts w:eastAsiaTheme="minorEastAsia" w:hint="eastAsia"/>
          <w:kern w:val="0"/>
          <w:sz w:val="24"/>
        </w:rPr>
        <w:t>呼兰河</w:t>
      </w:r>
      <w:r w:rsidR="00AA366B" w:rsidRPr="00FC1444">
        <w:rPr>
          <w:rFonts w:eastAsiaTheme="minorEastAsia"/>
          <w:kern w:val="0"/>
          <w:sz w:val="24"/>
        </w:rPr>
        <w:t>：</w:t>
      </w:r>
      <w:r w:rsidR="002A51BB" w:rsidRPr="00FC1444">
        <w:rPr>
          <w:rFonts w:eastAsiaTheme="minorEastAsia"/>
          <w:kern w:val="0"/>
          <w:sz w:val="24"/>
        </w:rPr>
        <w:t>入</w:t>
      </w:r>
      <w:r w:rsidR="00C36903" w:rsidRPr="00FC1444">
        <w:rPr>
          <w:rFonts w:eastAsiaTheme="minorEastAsia" w:hint="eastAsia"/>
          <w:kern w:val="0"/>
          <w:sz w:val="24"/>
        </w:rPr>
        <w:t>呼兰河</w:t>
      </w:r>
      <w:r w:rsidR="00AA366B" w:rsidRPr="00FC1444">
        <w:rPr>
          <w:rFonts w:eastAsiaTheme="minorEastAsia"/>
          <w:kern w:val="0"/>
          <w:sz w:val="24"/>
        </w:rPr>
        <w:t>退水口</w:t>
      </w:r>
      <w:r w:rsidR="00AA366B" w:rsidRPr="00FC1444">
        <w:rPr>
          <w:rFonts w:eastAsiaTheme="minorEastAsia"/>
          <w:snapToGrid w:val="0"/>
          <w:kern w:val="0"/>
          <w:sz w:val="24"/>
        </w:rPr>
        <w:t>上游</w:t>
      </w:r>
      <w:r w:rsidR="00AA366B" w:rsidRPr="00FC1444">
        <w:rPr>
          <w:rFonts w:eastAsiaTheme="minorEastAsia"/>
          <w:kern w:val="0"/>
          <w:sz w:val="24"/>
        </w:rPr>
        <w:t>500m</w:t>
      </w:r>
      <w:r w:rsidR="00AA366B" w:rsidRPr="00FC1444">
        <w:rPr>
          <w:rFonts w:eastAsiaTheme="minorEastAsia"/>
          <w:kern w:val="0"/>
          <w:sz w:val="24"/>
        </w:rPr>
        <w:t>至</w:t>
      </w:r>
      <w:r w:rsidR="00C36903" w:rsidRPr="00FC1444">
        <w:rPr>
          <w:rFonts w:eastAsiaTheme="minorEastAsia"/>
          <w:kern w:val="0"/>
          <w:sz w:val="24"/>
        </w:rPr>
        <w:t>退水口</w:t>
      </w:r>
      <w:r w:rsidR="00AA366B" w:rsidRPr="00FC1444">
        <w:rPr>
          <w:rFonts w:eastAsiaTheme="minorEastAsia"/>
          <w:kern w:val="0"/>
          <w:sz w:val="24"/>
        </w:rPr>
        <w:t>下游</w:t>
      </w:r>
      <w:r w:rsidR="00AA366B" w:rsidRPr="00FC1444">
        <w:rPr>
          <w:rFonts w:eastAsiaTheme="minorEastAsia"/>
          <w:kern w:val="0"/>
          <w:sz w:val="24"/>
        </w:rPr>
        <w:t>1000m</w:t>
      </w:r>
      <w:r w:rsidR="00BD3DB0" w:rsidRPr="00FC1444">
        <w:rPr>
          <w:rFonts w:eastAsiaTheme="minorEastAsia"/>
          <w:kern w:val="0"/>
          <w:sz w:val="24"/>
        </w:rPr>
        <w:t>；绥胜干沟</w:t>
      </w:r>
      <w:r w:rsidR="003C598F" w:rsidRPr="00FC1444">
        <w:rPr>
          <w:rFonts w:eastAsiaTheme="minorEastAsia"/>
          <w:kern w:val="0"/>
          <w:sz w:val="24"/>
        </w:rPr>
        <w:t>汇</w:t>
      </w:r>
      <w:r w:rsidR="00BD3DB0" w:rsidRPr="00FC1444">
        <w:rPr>
          <w:rFonts w:eastAsiaTheme="minorEastAsia"/>
          <w:kern w:val="0"/>
          <w:sz w:val="24"/>
        </w:rPr>
        <w:t>入呼兰河口</w:t>
      </w:r>
      <w:r w:rsidR="00BD3DB0" w:rsidRPr="00FC1444">
        <w:rPr>
          <w:rFonts w:eastAsiaTheme="minorEastAsia"/>
          <w:snapToGrid w:val="0"/>
          <w:kern w:val="0"/>
          <w:sz w:val="24"/>
        </w:rPr>
        <w:t>上游</w:t>
      </w:r>
      <w:r w:rsidR="00BD3DB0" w:rsidRPr="00FC1444">
        <w:rPr>
          <w:rFonts w:eastAsiaTheme="minorEastAsia"/>
          <w:kern w:val="0"/>
          <w:sz w:val="24"/>
        </w:rPr>
        <w:t>500m</w:t>
      </w:r>
      <w:r w:rsidR="00BD3DB0" w:rsidRPr="00FC1444">
        <w:rPr>
          <w:rFonts w:eastAsiaTheme="minorEastAsia"/>
          <w:kern w:val="0"/>
          <w:sz w:val="24"/>
        </w:rPr>
        <w:t>至下游</w:t>
      </w:r>
      <w:r w:rsidR="00BD3DB0" w:rsidRPr="00FC1444">
        <w:rPr>
          <w:rFonts w:eastAsiaTheme="minorEastAsia"/>
          <w:kern w:val="0"/>
          <w:sz w:val="24"/>
        </w:rPr>
        <w:t>1000m</w:t>
      </w:r>
      <w:r w:rsidR="00AA366B" w:rsidRPr="00FC1444">
        <w:rPr>
          <w:rFonts w:eastAsiaTheme="minorEastAsia"/>
          <w:kern w:val="0"/>
          <w:sz w:val="24"/>
        </w:rPr>
        <w:t>。评价河段长度</w:t>
      </w:r>
      <w:r w:rsidR="00BD3DB0" w:rsidRPr="00FC1444">
        <w:rPr>
          <w:rFonts w:eastAsiaTheme="minorEastAsia"/>
          <w:kern w:val="0"/>
          <w:sz w:val="24"/>
        </w:rPr>
        <w:t>共</w:t>
      </w:r>
      <w:r w:rsidR="00BD3DB0" w:rsidRPr="00FC1444">
        <w:rPr>
          <w:rFonts w:eastAsiaTheme="minorEastAsia" w:hint="eastAsia"/>
          <w:kern w:val="0"/>
          <w:sz w:val="24"/>
        </w:rPr>
        <w:t>4.5</w:t>
      </w:r>
      <w:r w:rsidR="00AA366B" w:rsidRPr="00FC1444">
        <w:rPr>
          <w:rFonts w:eastAsiaTheme="minorEastAsia"/>
          <w:kern w:val="0"/>
          <w:sz w:val="24"/>
        </w:rPr>
        <w:t>km</w:t>
      </w:r>
      <w:r w:rsidR="00611CBA" w:rsidRPr="00FC1444">
        <w:rPr>
          <w:rFonts w:eastAsiaTheme="minorEastAsia"/>
          <w:snapToGrid w:val="0"/>
          <w:sz w:val="24"/>
          <w:szCs w:val="20"/>
        </w:rPr>
        <w:t>；</w:t>
      </w:r>
    </w:p>
    <w:p w:rsidR="002E5E28" w:rsidRPr="00FC1444" w:rsidRDefault="00C95C47">
      <w:pPr>
        <w:spacing w:line="360" w:lineRule="auto"/>
        <w:ind w:firstLineChars="200" w:firstLine="480"/>
        <w:contextualSpacing/>
        <w:rPr>
          <w:rFonts w:eastAsiaTheme="minorEastAsia"/>
          <w:snapToGrid w:val="0"/>
          <w:sz w:val="24"/>
          <w:szCs w:val="20"/>
        </w:rPr>
      </w:pPr>
      <w:r w:rsidRPr="00FC1444">
        <w:rPr>
          <w:rFonts w:eastAsiaTheme="minorEastAsia" w:hint="eastAsia"/>
          <w:kern w:val="0"/>
          <w:sz w:val="24"/>
        </w:rPr>
        <w:t>努敏</w:t>
      </w:r>
      <w:r w:rsidR="002E5E28" w:rsidRPr="00FC1444">
        <w:rPr>
          <w:rFonts w:eastAsiaTheme="minorEastAsia"/>
          <w:kern w:val="0"/>
          <w:sz w:val="24"/>
        </w:rPr>
        <w:t>河：</w:t>
      </w:r>
      <w:r w:rsidR="002A51BB" w:rsidRPr="00FC1444">
        <w:rPr>
          <w:rFonts w:eastAsiaTheme="minorEastAsia"/>
          <w:kern w:val="0"/>
          <w:sz w:val="24"/>
        </w:rPr>
        <w:t>入</w:t>
      </w:r>
      <w:r w:rsidRPr="00FC1444">
        <w:rPr>
          <w:rFonts w:eastAsiaTheme="minorEastAsia" w:hint="eastAsia"/>
          <w:kern w:val="0"/>
          <w:sz w:val="24"/>
        </w:rPr>
        <w:t>努敏</w:t>
      </w:r>
      <w:r w:rsidR="002E5E28" w:rsidRPr="00FC1444">
        <w:rPr>
          <w:rFonts w:eastAsiaTheme="minorEastAsia"/>
          <w:kern w:val="0"/>
          <w:sz w:val="24"/>
        </w:rPr>
        <w:t>河退水口上游</w:t>
      </w:r>
      <w:r w:rsidR="002E5E28" w:rsidRPr="00FC1444">
        <w:rPr>
          <w:rFonts w:eastAsiaTheme="minorEastAsia"/>
          <w:kern w:val="0"/>
          <w:sz w:val="24"/>
        </w:rPr>
        <w:t>500m</w:t>
      </w:r>
      <w:r w:rsidR="002E5E28" w:rsidRPr="00FC1444">
        <w:rPr>
          <w:rFonts w:eastAsiaTheme="minorEastAsia"/>
          <w:kern w:val="0"/>
          <w:sz w:val="24"/>
        </w:rPr>
        <w:t>至退水口下游</w:t>
      </w:r>
      <w:r w:rsidR="002E5E28" w:rsidRPr="00FC1444">
        <w:rPr>
          <w:rFonts w:eastAsiaTheme="minorEastAsia"/>
          <w:kern w:val="0"/>
          <w:sz w:val="24"/>
        </w:rPr>
        <w:t>1000m</w:t>
      </w:r>
      <w:r w:rsidR="002E5E28" w:rsidRPr="00FC1444">
        <w:rPr>
          <w:rFonts w:eastAsiaTheme="minorEastAsia"/>
          <w:kern w:val="0"/>
          <w:sz w:val="24"/>
        </w:rPr>
        <w:t>。评价河段长度为</w:t>
      </w:r>
      <w:r w:rsidR="00BD3DB0" w:rsidRPr="00FC1444">
        <w:rPr>
          <w:rFonts w:eastAsiaTheme="minorEastAsia" w:hint="eastAsia"/>
          <w:kern w:val="0"/>
          <w:sz w:val="24"/>
        </w:rPr>
        <w:t>7</w:t>
      </w:r>
      <w:r w:rsidR="002E5E28" w:rsidRPr="00FC1444">
        <w:rPr>
          <w:rFonts w:eastAsiaTheme="minorEastAsia"/>
          <w:kern w:val="0"/>
          <w:sz w:val="24"/>
        </w:rPr>
        <w:t>km</w:t>
      </w:r>
      <w:r w:rsidR="002E5E28" w:rsidRPr="00FC1444">
        <w:rPr>
          <w:rFonts w:eastAsiaTheme="minorEastAsia"/>
          <w:kern w:val="0"/>
          <w:sz w:val="24"/>
        </w:rPr>
        <w:t>；</w:t>
      </w:r>
    </w:p>
    <w:p w:rsidR="002A5A5E" w:rsidRPr="00FC1444" w:rsidRDefault="00C95C47">
      <w:pPr>
        <w:spacing w:line="360" w:lineRule="auto"/>
        <w:ind w:firstLineChars="200" w:firstLine="480"/>
        <w:contextualSpacing/>
        <w:rPr>
          <w:rFonts w:eastAsiaTheme="minorEastAsia"/>
          <w:kern w:val="0"/>
          <w:sz w:val="24"/>
        </w:rPr>
      </w:pPr>
      <w:r w:rsidRPr="00FC1444">
        <w:rPr>
          <w:rFonts w:eastAsiaTheme="minorEastAsia" w:hint="eastAsia"/>
          <w:kern w:val="0"/>
          <w:sz w:val="24"/>
        </w:rPr>
        <w:t>津</w:t>
      </w:r>
      <w:r w:rsidR="00AA366B" w:rsidRPr="00FC1444">
        <w:rPr>
          <w:rFonts w:eastAsiaTheme="minorEastAsia"/>
          <w:kern w:val="0"/>
          <w:sz w:val="24"/>
        </w:rPr>
        <w:t>河：</w:t>
      </w:r>
      <w:r w:rsidR="002A51BB" w:rsidRPr="00FC1444">
        <w:rPr>
          <w:rFonts w:eastAsiaTheme="minorEastAsia"/>
          <w:kern w:val="0"/>
          <w:sz w:val="24"/>
        </w:rPr>
        <w:t>入</w:t>
      </w:r>
      <w:r w:rsidRPr="00FC1444">
        <w:rPr>
          <w:rFonts w:eastAsiaTheme="minorEastAsia" w:hint="eastAsia"/>
          <w:kern w:val="0"/>
          <w:sz w:val="24"/>
        </w:rPr>
        <w:t>津</w:t>
      </w:r>
      <w:r w:rsidR="00AA366B" w:rsidRPr="00FC1444">
        <w:rPr>
          <w:rFonts w:eastAsiaTheme="minorEastAsia"/>
          <w:kern w:val="0"/>
          <w:sz w:val="24"/>
        </w:rPr>
        <w:t>河退水口上游</w:t>
      </w:r>
      <w:r w:rsidR="00AA366B" w:rsidRPr="00FC1444">
        <w:rPr>
          <w:rFonts w:eastAsiaTheme="minorEastAsia"/>
          <w:kern w:val="0"/>
          <w:sz w:val="24"/>
        </w:rPr>
        <w:t>500m</w:t>
      </w:r>
      <w:r w:rsidR="00AA366B" w:rsidRPr="00FC1444">
        <w:rPr>
          <w:rFonts w:eastAsiaTheme="minorEastAsia"/>
          <w:kern w:val="0"/>
          <w:sz w:val="24"/>
        </w:rPr>
        <w:t>至退水口下游</w:t>
      </w:r>
      <w:r w:rsidR="00AA366B" w:rsidRPr="00FC1444">
        <w:rPr>
          <w:rFonts w:eastAsiaTheme="minorEastAsia"/>
          <w:kern w:val="0"/>
          <w:sz w:val="24"/>
        </w:rPr>
        <w:t>1000m</w:t>
      </w:r>
      <w:r w:rsidR="00AA366B" w:rsidRPr="00FC1444">
        <w:rPr>
          <w:rFonts w:eastAsiaTheme="minorEastAsia"/>
          <w:kern w:val="0"/>
          <w:sz w:val="24"/>
        </w:rPr>
        <w:t>。评价河段长度为</w:t>
      </w:r>
      <w:r w:rsidR="00BD3DB0" w:rsidRPr="00FC1444">
        <w:rPr>
          <w:rFonts w:eastAsiaTheme="minorEastAsia" w:hint="eastAsia"/>
          <w:kern w:val="0"/>
          <w:sz w:val="24"/>
        </w:rPr>
        <w:t>2.5</w:t>
      </w:r>
      <w:r w:rsidR="00AA366B" w:rsidRPr="00FC1444">
        <w:rPr>
          <w:rFonts w:eastAsiaTheme="minorEastAsia"/>
          <w:kern w:val="0"/>
          <w:sz w:val="24"/>
        </w:rPr>
        <w:t>km</w:t>
      </w:r>
      <w:r w:rsidR="00AA366B" w:rsidRPr="00FC1444">
        <w:rPr>
          <w:rFonts w:eastAsiaTheme="minorEastAsia"/>
          <w:kern w:val="0"/>
          <w:sz w:val="24"/>
        </w:rPr>
        <w:t>。</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ascii="宋体" w:hAnsi="宋体" w:cs="宋体" w:hint="eastAsia"/>
          <w:snapToGrid w:val="0"/>
          <w:kern w:val="0"/>
          <w:sz w:val="24"/>
        </w:rPr>
        <w:t>②</w:t>
      </w:r>
      <w:r w:rsidRPr="00FC1444">
        <w:rPr>
          <w:rFonts w:eastAsiaTheme="minorEastAsia"/>
          <w:snapToGrid w:val="0"/>
          <w:kern w:val="0"/>
          <w:sz w:val="24"/>
        </w:rPr>
        <w:t>陆生生态</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根据评价工作等级要求，考虑本项目所在区域的地形、地理特征，评价范围为工程及施工场地用地边界</w:t>
      </w:r>
      <w:r w:rsidRPr="00FC1444">
        <w:rPr>
          <w:rFonts w:eastAsiaTheme="minorEastAsia"/>
          <w:snapToGrid w:val="0"/>
          <w:kern w:val="0"/>
          <w:sz w:val="24"/>
        </w:rPr>
        <w:t>300m</w:t>
      </w:r>
      <w:r w:rsidRPr="00FC1444">
        <w:rPr>
          <w:rFonts w:eastAsiaTheme="minorEastAsia"/>
          <w:snapToGrid w:val="0"/>
          <w:kern w:val="0"/>
          <w:sz w:val="24"/>
        </w:rPr>
        <w:t>范围。</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4</w:t>
      </w:r>
      <w:r w:rsidRPr="00FC1444">
        <w:rPr>
          <w:rFonts w:eastAsiaTheme="minorEastAsia"/>
          <w:snapToGrid w:val="0"/>
          <w:kern w:val="0"/>
          <w:sz w:val="24"/>
        </w:rPr>
        <w:t>）噪声</w:t>
      </w:r>
    </w:p>
    <w:p w:rsidR="002A5A5E" w:rsidRPr="00FC1444" w:rsidRDefault="00611CBA">
      <w:pPr>
        <w:spacing w:line="360" w:lineRule="auto"/>
        <w:ind w:firstLineChars="200" w:firstLine="480"/>
        <w:contextualSpacing/>
        <w:rPr>
          <w:rFonts w:eastAsiaTheme="minorEastAsia"/>
          <w:snapToGrid w:val="0"/>
          <w:kern w:val="0"/>
          <w:sz w:val="24"/>
        </w:rPr>
      </w:pPr>
      <w:r w:rsidRPr="00FC1444">
        <w:rPr>
          <w:sz w:val="24"/>
        </w:rPr>
        <w:t>本项目声环境评价范围为工程两侧及井房厂界外</w:t>
      </w:r>
      <w:r w:rsidRPr="00FC1444">
        <w:rPr>
          <w:sz w:val="24"/>
        </w:rPr>
        <w:t>200m</w:t>
      </w:r>
      <w:r w:rsidRPr="00FC1444">
        <w:rPr>
          <w:sz w:val="24"/>
        </w:rPr>
        <w:t>范围以内区域。</w:t>
      </w:r>
    </w:p>
    <w:p w:rsidR="002A5A5E" w:rsidRPr="00FC1444" w:rsidRDefault="00611CBA">
      <w:pPr>
        <w:tabs>
          <w:tab w:val="left" w:leader="middleDot" w:pos="0"/>
        </w:tabs>
        <w:spacing w:line="360" w:lineRule="auto"/>
        <w:ind w:firstLineChars="200" w:firstLine="480"/>
        <w:contextualSpacing/>
        <w:rPr>
          <w:rFonts w:eastAsiaTheme="minorEastAsia"/>
          <w:sz w:val="24"/>
        </w:rPr>
      </w:pPr>
      <w:r w:rsidRPr="00FC1444">
        <w:rPr>
          <w:rFonts w:eastAsiaTheme="minorEastAsia"/>
          <w:sz w:val="24"/>
        </w:rPr>
        <w:t>根据工程特征与环境现状确定该项目评价范围见表</w:t>
      </w:r>
      <w:r w:rsidRPr="00FC1444">
        <w:rPr>
          <w:rFonts w:eastAsiaTheme="minorEastAsia"/>
          <w:sz w:val="24"/>
        </w:rPr>
        <w:t>2-7-1</w:t>
      </w:r>
      <w:r w:rsidRPr="00FC1444">
        <w:rPr>
          <w:rFonts w:eastAsiaTheme="minorEastAsia"/>
          <w:sz w:val="24"/>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 xml:space="preserve">2-7-1 </w:t>
      </w:r>
      <w:r w:rsidRPr="00FC1444">
        <w:rPr>
          <w:rFonts w:eastAsiaTheme="minorEastAsia"/>
          <w:b/>
          <w:kern w:val="0"/>
          <w:szCs w:val="21"/>
        </w:rPr>
        <w:t>工程评价范围表</w:t>
      </w:r>
    </w:p>
    <w:tbl>
      <w:tblPr>
        <w:tblW w:w="8060" w:type="dxa"/>
        <w:jc w:val="center"/>
        <w:tblBorders>
          <w:top w:val="single" w:sz="12" w:space="0" w:color="000000"/>
          <w:bottom w:val="single" w:sz="12" w:space="0" w:color="000000"/>
          <w:insideH w:val="single" w:sz="6" w:space="0" w:color="000000"/>
          <w:insideV w:val="single" w:sz="6" w:space="0" w:color="000000"/>
        </w:tblBorders>
        <w:tblLook w:val="04A0"/>
      </w:tblPr>
      <w:tblGrid>
        <w:gridCol w:w="1114"/>
        <w:gridCol w:w="6946"/>
      </w:tblGrid>
      <w:tr w:rsidR="002A5A5E" w:rsidRPr="00FC1444" w:rsidTr="003C598F">
        <w:trPr>
          <w:trHeight w:val="253"/>
          <w:jc w:val="center"/>
        </w:trPr>
        <w:tc>
          <w:tcPr>
            <w:tcW w:w="1114" w:type="dxa"/>
            <w:vAlign w:val="center"/>
          </w:tcPr>
          <w:p w:rsidR="002A5A5E" w:rsidRPr="00FC1444" w:rsidRDefault="00611CBA">
            <w:pPr>
              <w:jc w:val="center"/>
              <w:rPr>
                <w:rFonts w:eastAsiaTheme="minorEastAsia"/>
                <w:szCs w:val="21"/>
              </w:rPr>
            </w:pPr>
            <w:r w:rsidRPr="00FC1444">
              <w:rPr>
                <w:rFonts w:eastAsiaTheme="minorEastAsia"/>
                <w:kern w:val="0"/>
                <w:szCs w:val="21"/>
              </w:rPr>
              <w:t>评价因子</w:t>
            </w:r>
          </w:p>
        </w:tc>
        <w:tc>
          <w:tcPr>
            <w:tcW w:w="6946" w:type="dxa"/>
            <w:vAlign w:val="center"/>
          </w:tcPr>
          <w:p w:rsidR="002A5A5E" w:rsidRPr="00FC1444" w:rsidRDefault="00611CBA">
            <w:pPr>
              <w:jc w:val="center"/>
              <w:rPr>
                <w:rFonts w:eastAsiaTheme="minorEastAsia"/>
                <w:szCs w:val="21"/>
              </w:rPr>
            </w:pPr>
            <w:r w:rsidRPr="00FC1444">
              <w:rPr>
                <w:rFonts w:eastAsiaTheme="minorEastAsia"/>
                <w:kern w:val="0"/>
                <w:szCs w:val="21"/>
              </w:rPr>
              <w:t>评价范围</w:t>
            </w:r>
          </w:p>
        </w:tc>
      </w:tr>
      <w:tr w:rsidR="002A5A5E" w:rsidRPr="00FC1444" w:rsidTr="003C598F">
        <w:trPr>
          <w:trHeight w:val="253"/>
          <w:jc w:val="center"/>
        </w:trPr>
        <w:tc>
          <w:tcPr>
            <w:tcW w:w="1114"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地表水</w:t>
            </w:r>
          </w:p>
        </w:tc>
        <w:tc>
          <w:tcPr>
            <w:tcW w:w="6946" w:type="dxa"/>
            <w:vAlign w:val="center"/>
          </w:tcPr>
          <w:p w:rsidR="003C598F" w:rsidRPr="00FC1444" w:rsidRDefault="003C598F" w:rsidP="003C598F">
            <w:pPr>
              <w:contextualSpacing/>
              <w:rPr>
                <w:rFonts w:eastAsiaTheme="minorEastAsia"/>
                <w:kern w:val="0"/>
                <w:szCs w:val="21"/>
              </w:rPr>
            </w:pPr>
            <w:r w:rsidRPr="00FC1444">
              <w:rPr>
                <w:rFonts w:eastAsiaTheme="minorEastAsia"/>
                <w:kern w:val="0"/>
                <w:szCs w:val="21"/>
              </w:rPr>
              <w:t>呼兰河：</w:t>
            </w:r>
            <w:r w:rsidR="002A51BB" w:rsidRPr="00FC1444">
              <w:rPr>
                <w:rFonts w:eastAsiaTheme="minorEastAsia"/>
                <w:kern w:val="0"/>
                <w:szCs w:val="21"/>
              </w:rPr>
              <w:t>入</w:t>
            </w:r>
            <w:r w:rsidRPr="00FC1444">
              <w:rPr>
                <w:rFonts w:eastAsiaTheme="minorEastAsia"/>
                <w:kern w:val="0"/>
                <w:szCs w:val="21"/>
              </w:rPr>
              <w:t>呼兰河退水口上游</w:t>
            </w:r>
            <w:r w:rsidRPr="00FC1444">
              <w:rPr>
                <w:rFonts w:eastAsiaTheme="minorEastAsia"/>
                <w:kern w:val="0"/>
                <w:szCs w:val="21"/>
              </w:rPr>
              <w:t>500m</w:t>
            </w:r>
            <w:r w:rsidRPr="00FC1444">
              <w:rPr>
                <w:rFonts w:eastAsiaTheme="minorEastAsia"/>
                <w:kern w:val="0"/>
                <w:szCs w:val="21"/>
              </w:rPr>
              <w:t>至退水口下游</w:t>
            </w:r>
            <w:r w:rsidRPr="00FC1444">
              <w:rPr>
                <w:rFonts w:eastAsiaTheme="minorEastAsia"/>
                <w:kern w:val="0"/>
                <w:szCs w:val="21"/>
              </w:rPr>
              <w:t>1000m</w:t>
            </w:r>
            <w:r w:rsidRPr="00FC1444">
              <w:rPr>
                <w:rFonts w:eastAsiaTheme="minorEastAsia"/>
                <w:kern w:val="0"/>
                <w:szCs w:val="21"/>
              </w:rPr>
              <w:t>；绥胜干沟汇入呼兰河口上游</w:t>
            </w:r>
            <w:r w:rsidRPr="00FC1444">
              <w:rPr>
                <w:rFonts w:eastAsiaTheme="minorEastAsia"/>
                <w:kern w:val="0"/>
                <w:szCs w:val="21"/>
              </w:rPr>
              <w:t>500m</w:t>
            </w:r>
            <w:r w:rsidRPr="00FC1444">
              <w:rPr>
                <w:rFonts w:eastAsiaTheme="minorEastAsia"/>
                <w:kern w:val="0"/>
                <w:szCs w:val="21"/>
              </w:rPr>
              <w:t>至下游</w:t>
            </w:r>
            <w:r w:rsidRPr="00FC1444">
              <w:rPr>
                <w:rFonts w:eastAsiaTheme="minorEastAsia"/>
                <w:kern w:val="0"/>
                <w:szCs w:val="21"/>
              </w:rPr>
              <w:t>1000m</w:t>
            </w:r>
            <w:r w:rsidR="00341992" w:rsidRPr="00FC1444">
              <w:rPr>
                <w:rFonts w:eastAsiaTheme="minorEastAsia"/>
                <w:kern w:val="0"/>
                <w:szCs w:val="21"/>
              </w:rPr>
              <w:t>。评价河段长度共</w:t>
            </w:r>
            <w:r w:rsidRPr="00FC1444">
              <w:rPr>
                <w:rFonts w:eastAsiaTheme="minorEastAsia" w:hint="eastAsia"/>
                <w:kern w:val="0"/>
                <w:szCs w:val="21"/>
              </w:rPr>
              <w:t>4.5</w:t>
            </w:r>
            <w:r w:rsidRPr="00FC1444">
              <w:rPr>
                <w:rFonts w:eastAsiaTheme="minorEastAsia"/>
                <w:kern w:val="0"/>
                <w:szCs w:val="21"/>
              </w:rPr>
              <w:t>km</w:t>
            </w:r>
            <w:r w:rsidRPr="00FC1444">
              <w:rPr>
                <w:rFonts w:eastAsiaTheme="minorEastAsia"/>
                <w:kern w:val="0"/>
                <w:szCs w:val="21"/>
              </w:rPr>
              <w:t>；</w:t>
            </w:r>
          </w:p>
          <w:p w:rsidR="003C598F" w:rsidRPr="00FC1444" w:rsidRDefault="003C598F" w:rsidP="003C598F">
            <w:pPr>
              <w:contextualSpacing/>
              <w:rPr>
                <w:rFonts w:eastAsiaTheme="minorEastAsia"/>
                <w:kern w:val="0"/>
                <w:szCs w:val="21"/>
              </w:rPr>
            </w:pPr>
            <w:r w:rsidRPr="00FC1444">
              <w:rPr>
                <w:rFonts w:eastAsiaTheme="minorEastAsia" w:hint="eastAsia"/>
                <w:kern w:val="0"/>
                <w:szCs w:val="21"/>
              </w:rPr>
              <w:t>努敏</w:t>
            </w:r>
            <w:r w:rsidRPr="00FC1444">
              <w:rPr>
                <w:rFonts w:eastAsiaTheme="minorEastAsia"/>
                <w:kern w:val="0"/>
                <w:szCs w:val="21"/>
              </w:rPr>
              <w:t>河：</w:t>
            </w:r>
            <w:r w:rsidR="002A51BB" w:rsidRPr="00FC1444">
              <w:rPr>
                <w:rFonts w:eastAsiaTheme="minorEastAsia"/>
                <w:kern w:val="0"/>
                <w:szCs w:val="21"/>
              </w:rPr>
              <w:t>入</w:t>
            </w:r>
            <w:r w:rsidRPr="00FC1444">
              <w:rPr>
                <w:rFonts w:eastAsiaTheme="minorEastAsia" w:hint="eastAsia"/>
                <w:kern w:val="0"/>
                <w:szCs w:val="21"/>
              </w:rPr>
              <w:t>努敏</w:t>
            </w:r>
            <w:r w:rsidRPr="00FC1444">
              <w:rPr>
                <w:rFonts w:eastAsiaTheme="minorEastAsia"/>
                <w:kern w:val="0"/>
                <w:szCs w:val="21"/>
              </w:rPr>
              <w:t>河退水口上游</w:t>
            </w:r>
            <w:r w:rsidRPr="00FC1444">
              <w:rPr>
                <w:rFonts w:eastAsiaTheme="minorEastAsia"/>
                <w:kern w:val="0"/>
                <w:szCs w:val="21"/>
              </w:rPr>
              <w:t>500m</w:t>
            </w:r>
            <w:r w:rsidRPr="00FC1444">
              <w:rPr>
                <w:rFonts w:eastAsiaTheme="minorEastAsia"/>
                <w:kern w:val="0"/>
                <w:szCs w:val="21"/>
              </w:rPr>
              <w:t>至退水口下游</w:t>
            </w:r>
            <w:r w:rsidRPr="00FC1444">
              <w:rPr>
                <w:rFonts w:eastAsiaTheme="minorEastAsia"/>
                <w:kern w:val="0"/>
                <w:szCs w:val="21"/>
              </w:rPr>
              <w:t>1000m</w:t>
            </w:r>
            <w:r w:rsidRPr="00FC1444">
              <w:rPr>
                <w:rFonts w:eastAsiaTheme="minorEastAsia"/>
                <w:kern w:val="0"/>
                <w:szCs w:val="21"/>
              </w:rPr>
              <w:t>。评价河段长度为</w:t>
            </w:r>
            <w:r w:rsidRPr="00FC1444">
              <w:rPr>
                <w:rFonts w:eastAsiaTheme="minorEastAsia" w:hint="eastAsia"/>
                <w:kern w:val="0"/>
                <w:szCs w:val="21"/>
              </w:rPr>
              <w:t>7</w:t>
            </w:r>
            <w:r w:rsidRPr="00FC1444">
              <w:rPr>
                <w:rFonts w:eastAsiaTheme="minorEastAsia"/>
                <w:kern w:val="0"/>
                <w:szCs w:val="21"/>
              </w:rPr>
              <w:t>km</w:t>
            </w:r>
            <w:r w:rsidRPr="00FC1444">
              <w:rPr>
                <w:rFonts w:eastAsiaTheme="minorEastAsia"/>
                <w:kern w:val="0"/>
                <w:szCs w:val="21"/>
              </w:rPr>
              <w:t>；</w:t>
            </w:r>
          </w:p>
          <w:p w:rsidR="002A5A5E" w:rsidRPr="00FC1444" w:rsidRDefault="003C598F" w:rsidP="003C598F">
            <w:pPr>
              <w:contextualSpacing/>
              <w:rPr>
                <w:rFonts w:eastAsiaTheme="minorEastAsia"/>
                <w:kern w:val="0"/>
                <w:szCs w:val="21"/>
              </w:rPr>
            </w:pPr>
            <w:r w:rsidRPr="00FC1444">
              <w:rPr>
                <w:rFonts w:eastAsiaTheme="minorEastAsia"/>
                <w:kern w:val="0"/>
                <w:szCs w:val="21"/>
              </w:rPr>
              <w:t>津河：</w:t>
            </w:r>
            <w:r w:rsidR="002A51BB" w:rsidRPr="00FC1444">
              <w:rPr>
                <w:rFonts w:eastAsiaTheme="minorEastAsia"/>
                <w:kern w:val="0"/>
                <w:szCs w:val="21"/>
              </w:rPr>
              <w:t>入</w:t>
            </w:r>
            <w:r w:rsidRPr="00FC1444">
              <w:rPr>
                <w:rFonts w:eastAsiaTheme="minorEastAsia"/>
                <w:kern w:val="0"/>
                <w:szCs w:val="21"/>
              </w:rPr>
              <w:t>津河退水口上游</w:t>
            </w:r>
            <w:r w:rsidRPr="00FC1444">
              <w:rPr>
                <w:rFonts w:eastAsiaTheme="minorEastAsia"/>
                <w:kern w:val="0"/>
                <w:szCs w:val="21"/>
              </w:rPr>
              <w:t>500m</w:t>
            </w:r>
            <w:r w:rsidRPr="00FC1444">
              <w:rPr>
                <w:rFonts w:eastAsiaTheme="minorEastAsia"/>
                <w:kern w:val="0"/>
                <w:szCs w:val="21"/>
              </w:rPr>
              <w:t>至退水口下游</w:t>
            </w:r>
            <w:r w:rsidRPr="00FC1444">
              <w:rPr>
                <w:rFonts w:eastAsiaTheme="minorEastAsia"/>
                <w:kern w:val="0"/>
                <w:szCs w:val="21"/>
              </w:rPr>
              <w:t>1000m</w:t>
            </w:r>
            <w:r w:rsidRPr="00FC1444">
              <w:rPr>
                <w:rFonts w:eastAsiaTheme="minorEastAsia"/>
                <w:kern w:val="0"/>
                <w:szCs w:val="21"/>
              </w:rPr>
              <w:t>。评价河段长度为</w:t>
            </w:r>
            <w:r w:rsidRPr="00FC1444">
              <w:rPr>
                <w:rFonts w:eastAsiaTheme="minorEastAsia" w:hint="eastAsia"/>
                <w:kern w:val="0"/>
                <w:szCs w:val="21"/>
              </w:rPr>
              <w:t>2.5</w:t>
            </w:r>
            <w:r w:rsidRPr="00FC1444">
              <w:rPr>
                <w:rFonts w:eastAsiaTheme="minorEastAsia"/>
                <w:kern w:val="0"/>
                <w:szCs w:val="21"/>
              </w:rPr>
              <w:t>km</w:t>
            </w:r>
          </w:p>
        </w:tc>
      </w:tr>
      <w:tr w:rsidR="002A5A5E" w:rsidRPr="00FC1444" w:rsidTr="003C598F">
        <w:trPr>
          <w:trHeight w:val="253"/>
          <w:jc w:val="center"/>
        </w:trPr>
        <w:tc>
          <w:tcPr>
            <w:tcW w:w="1114"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环境空气</w:t>
            </w:r>
          </w:p>
        </w:tc>
        <w:tc>
          <w:tcPr>
            <w:tcW w:w="6946" w:type="dxa"/>
            <w:vAlign w:val="center"/>
          </w:tcPr>
          <w:p w:rsidR="002A5A5E" w:rsidRPr="00FC1444" w:rsidRDefault="00611CBA">
            <w:pPr>
              <w:jc w:val="left"/>
              <w:rPr>
                <w:rFonts w:eastAsiaTheme="minorEastAsia"/>
                <w:kern w:val="0"/>
                <w:szCs w:val="21"/>
              </w:rPr>
            </w:pPr>
            <w:r w:rsidRPr="00FC1444">
              <w:rPr>
                <w:rFonts w:eastAsiaTheme="minorEastAsia"/>
                <w:kern w:val="0"/>
                <w:szCs w:val="21"/>
              </w:rPr>
              <w:t>不设置评价范围</w:t>
            </w:r>
          </w:p>
        </w:tc>
      </w:tr>
      <w:tr w:rsidR="002A5A5E" w:rsidRPr="00FC1444" w:rsidTr="003C598F">
        <w:trPr>
          <w:trHeight w:val="263"/>
          <w:jc w:val="center"/>
        </w:trPr>
        <w:tc>
          <w:tcPr>
            <w:tcW w:w="1114" w:type="dxa"/>
            <w:vAlign w:val="center"/>
          </w:tcPr>
          <w:p w:rsidR="002A5A5E" w:rsidRPr="00FC1444" w:rsidRDefault="00611CBA">
            <w:pPr>
              <w:jc w:val="center"/>
              <w:rPr>
                <w:rFonts w:eastAsiaTheme="minorEastAsia"/>
                <w:szCs w:val="21"/>
              </w:rPr>
            </w:pPr>
            <w:r w:rsidRPr="00FC1444">
              <w:rPr>
                <w:rFonts w:eastAsiaTheme="minorEastAsia"/>
                <w:kern w:val="0"/>
                <w:szCs w:val="21"/>
              </w:rPr>
              <w:t>地下水</w:t>
            </w:r>
          </w:p>
        </w:tc>
        <w:tc>
          <w:tcPr>
            <w:tcW w:w="6946" w:type="dxa"/>
            <w:vAlign w:val="center"/>
          </w:tcPr>
          <w:p w:rsidR="002A5A5E" w:rsidRPr="00FC1444" w:rsidRDefault="00611CBA" w:rsidP="002A51BB">
            <w:pPr>
              <w:jc w:val="left"/>
              <w:rPr>
                <w:rFonts w:eastAsiaTheme="minorEastAsia"/>
                <w:szCs w:val="21"/>
              </w:rPr>
            </w:pPr>
            <w:r w:rsidRPr="00FC1444">
              <w:rPr>
                <w:rFonts w:eastAsiaTheme="minorEastAsia"/>
                <w:szCs w:val="21"/>
              </w:rPr>
              <w:t>沿地下水流向，灌溉井片区</w:t>
            </w:r>
            <w:r w:rsidR="00143F4D" w:rsidRPr="00FC1444">
              <w:rPr>
                <w:rFonts w:eastAsiaTheme="minorEastAsia"/>
                <w:szCs w:val="21"/>
              </w:rPr>
              <w:t>上游</w:t>
            </w:r>
            <w:r w:rsidR="002E5E28" w:rsidRPr="00FC1444">
              <w:rPr>
                <w:rFonts w:eastAsiaTheme="minorEastAsia" w:hint="eastAsia"/>
                <w:szCs w:val="21"/>
              </w:rPr>
              <w:t>382</w:t>
            </w:r>
            <w:r w:rsidR="00143F4D" w:rsidRPr="00FC1444">
              <w:rPr>
                <w:rFonts w:eastAsiaTheme="minorEastAsia"/>
                <w:szCs w:val="21"/>
              </w:rPr>
              <w:t>m</w:t>
            </w:r>
            <w:r w:rsidR="00143F4D" w:rsidRPr="00FC1444">
              <w:rPr>
                <w:rFonts w:eastAsiaTheme="minorEastAsia"/>
                <w:szCs w:val="21"/>
              </w:rPr>
              <w:t>，下游</w:t>
            </w:r>
            <w:r w:rsidR="002E5E28" w:rsidRPr="00FC1444">
              <w:rPr>
                <w:rFonts w:eastAsiaTheme="minorEastAsia" w:hint="eastAsia"/>
                <w:szCs w:val="21"/>
              </w:rPr>
              <w:t>763</w:t>
            </w:r>
            <w:r w:rsidR="00143F4D" w:rsidRPr="00FC1444">
              <w:rPr>
                <w:rFonts w:eastAsiaTheme="minorEastAsia"/>
                <w:szCs w:val="21"/>
              </w:rPr>
              <w:t>m</w:t>
            </w:r>
            <w:r w:rsidRPr="00FC1444">
              <w:rPr>
                <w:rFonts w:eastAsiaTheme="minorEastAsia"/>
                <w:szCs w:val="21"/>
              </w:rPr>
              <w:t>，左侧</w:t>
            </w:r>
            <w:r w:rsidR="002E5E28" w:rsidRPr="00FC1444">
              <w:rPr>
                <w:rFonts w:eastAsiaTheme="minorEastAsia" w:hint="eastAsia"/>
                <w:szCs w:val="21"/>
              </w:rPr>
              <w:t>382</w:t>
            </w:r>
            <w:r w:rsidRPr="00FC1444">
              <w:rPr>
                <w:rFonts w:eastAsiaTheme="minorEastAsia"/>
                <w:szCs w:val="21"/>
              </w:rPr>
              <w:t>m</w:t>
            </w:r>
            <w:r w:rsidRPr="00FC1444">
              <w:rPr>
                <w:rFonts w:eastAsiaTheme="minorEastAsia"/>
                <w:szCs w:val="21"/>
              </w:rPr>
              <w:t>，右侧</w:t>
            </w:r>
            <w:r w:rsidR="002E5E28" w:rsidRPr="00FC1444">
              <w:rPr>
                <w:rFonts w:eastAsiaTheme="minorEastAsia" w:hint="eastAsia"/>
                <w:szCs w:val="21"/>
              </w:rPr>
              <w:t>382</w:t>
            </w:r>
            <w:r w:rsidRPr="00FC1444">
              <w:rPr>
                <w:rFonts w:eastAsiaTheme="minorEastAsia"/>
                <w:szCs w:val="21"/>
              </w:rPr>
              <w:t>m</w:t>
            </w:r>
            <w:r w:rsidRPr="00FC1444">
              <w:rPr>
                <w:rFonts w:eastAsiaTheme="minorEastAsia"/>
                <w:szCs w:val="21"/>
              </w:rPr>
              <w:t>范围的多边形</w:t>
            </w:r>
          </w:p>
        </w:tc>
      </w:tr>
      <w:tr w:rsidR="002A5A5E" w:rsidRPr="00FC1444" w:rsidTr="003C598F">
        <w:trPr>
          <w:trHeight w:val="253"/>
          <w:jc w:val="center"/>
        </w:trPr>
        <w:tc>
          <w:tcPr>
            <w:tcW w:w="1114" w:type="dxa"/>
            <w:vAlign w:val="center"/>
          </w:tcPr>
          <w:p w:rsidR="002A5A5E" w:rsidRPr="00FC1444" w:rsidRDefault="00611CBA">
            <w:pPr>
              <w:jc w:val="center"/>
              <w:rPr>
                <w:rFonts w:eastAsiaTheme="minorEastAsia"/>
                <w:szCs w:val="21"/>
              </w:rPr>
            </w:pPr>
            <w:r w:rsidRPr="00FC1444">
              <w:rPr>
                <w:rFonts w:eastAsiaTheme="minorEastAsia"/>
                <w:kern w:val="0"/>
                <w:szCs w:val="21"/>
              </w:rPr>
              <w:t>噪声</w:t>
            </w:r>
          </w:p>
        </w:tc>
        <w:tc>
          <w:tcPr>
            <w:tcW w:w="6946" w:type="dxa"/>
            <w:vAlign w:val="center"/>
          </w:tcPr>
          <w:p w:rsidR="002A5A5E" w:rsidRPr="00FC1444" w:rsidRDefault="00611CBA">
            <w:pPr>
              <w:jc w:val="left"/>
              <w:rPr>
                <w:rFonts w:eastAsiaTheme="minorEastAsia"/>
                <w:szCs w:val="21"/>
              </w:rPr>
            </w:pPr>
            <w:r w:rsidRPr="00FC1444">
              <w:rPr>
                <w:rFonts w:eastAsiaTheme="minorEastAsia"/>
                <w:kern w:val="0"/>
                <w:szCs w:val="21"/>
              </w:rPr>
              <w:t>工程两侧及井房厂界外</w:t>
            </w:r>
            <w:r w:rsidRPr="00FC1444">
              <w:rPr>
                <w:rFonts w:eastAsiaTheme="minorEastAsia"/>
                <w:kern w:val="0"/>
                <w:szCs w:val="21"/>
              </w:rPr>
              <w:t>200m</w:t>
            </w:r>
            <w:r w:rsidRPr="00FC1444">
              <w:rPr>
                <w:rFonts w:eastAsiaTheme="minorEastAsia"/>
                <w:kern w:val="0"/>
                <w:szCs w:val="21"/>
              </w:rPr>
              <w:t>范围</w:t>
            </w:r>
          </w:p>
        </w:tc>
      </w:tr>
      <w:tr w:rsidR="002A5A5E" w:rsidRPr="00FC1444" w:rsidTr="003C598F">
        <w:trPr>
          <w:trHeight w:val="72"/>
          <w:jc w:val="center"/>
        </w:trPr>
        <w:tc>
          <w:tcPr>
            <w:tcW w:w="1114" w:type="dxa"/>
            <w:vAlign w:val="center"/>
          </w:tcPr>
          <w:p w:rsidR="002A5A5E" w:rsidRPr="00FC1444" w:rsidRDefault="00611CBA">
            <w:pPr>
              <w:tabs>
                <w:tab w:val="left" w:leader="middleDot" w:pos="0"/>
              </w:tabs>
              <w:jc w:val="center"/>
              <w:rPr>
                <w:rFonts w:eastAsiaTheme="minorEastAsia"/>
                <w:szCs w:val="21"/>
              </w:rPr>
            </w:pPr>
            <w:r w:rsidRPr="00FC1444">
              <w:rPr>
                <w:rFonts w:eastAsiaTheme="minorEastAsia"/>
                <w:szCs w:val="21"/>
              </w:rPr>
              <w:t>生态</w:t>
            </w:r>
          </w:p>
        </w:tc>
        <w:tc>
          <w:tcPr>
            <w:tcW w:w="6946" w:type="dxa"/>
            <w:vAlign w:val="center"/>
          </w:tcPr>
          <w:p w:rsidR="002A5A5E" w:rsidRPr="00FC1444" w:rsidRDefault="00611CBA">
            <w:pPr>
              <w:tabs>
                <w:tab w:val="left" w:leader="middleDot" w:pos="0"/>
              </w:tabs>
              <w:jc w:val="left"/>
              <w:rPr>
                <w:rFonts w:eastAsiaTheme="minorEastAsia"/>
                <w:kern w:val="0"/>
                <w:szCs w:val="21"/>
              </w:rPr>
            </w:pPr>
            <w:r w:rsidRPr="00FC1444">
              <w:rPr>
                <w:rFonts w:eastAsiaTheme="minorEastAsia"/>
                <w:kern w:val="0"/>
                <w:szCs w:val="21"/>
              </w:rPr>
              <w:t>陆</w:t>
            </w:r>
            <w:r w:rsidRPr="00FC1444">
              <w:rPr>
                <w:rFonts w:eastAsiaTheme="minorEastAsia"/>
                <w:szCs w:val="21"/>
              </w:rPr>
              <w:t>生生态</w:t>
            </w:r>
            <w:r w:rsidRPr="00FC1444">
              <w:rPr>
                <w:rFonts w:eastAsiaTheme="minorEastAsia"/>
                <w:kern w:val="0"/>
                <w:szCs w:val="21"/>
              </w:rPr>
              <w:t>：工程及施工场地用地边界</w:t>
            </w:r>
            <w:r w:rsidRPr="00FC1444">
              <w:rPr>
                <w:rFonts w:eastAsiaTheme="minorEastAsia"/>
                <w:kern w:val="0"/>
                <w:szCs w:val="21"/>
              </w:rPr>
              <w:t>300m</w:t>
            </w:r>
            <w:r w:rsidRPr="00FC1444">
              <w:rPr>
                <w:rFonts w:eastAsiaTheme="minorEastAsia"/>
                <w:kern w:val="0"/>
                <w:szCs w:val="21"/>
              </w:rPr>
              <w:t>范围；</w:t>
            </w:r>
          </w:p>
          <w:p w:rsidR="002A5A5E" w:rsidRPr="00FC1444" w:rsidRDefault="00611CBA">
            <w:pPr>
              <w:tabs>
                <w:tab w:val="left" w:leader="middleDot" w:pos="0"/>
              </w:tabs>
              <w:rPr>
                <w:rFonts w:eastAsiaTheme="minorEastAsia"/>
                <w:szCs w:val="21"/>
              </w:rPr>
            </w:pPr>
            <w:r w:rsidRPr="00FC1444">
              <w:rPr>
                <w:rFonts w:eastAsiaTheme="minorEastAsia"/>
                <w:kern w:val="0"/>
                <w:szCs w:val="21"/>
              </w:rPr>
              <w:t>水生</w:t>
            </w:r>
            <w:r w:rsidRPr="00FC1444">
              <w:rPr>
                <w:rFonts w:eastAsiaTheme="minorEastAsia"/>
                <w:szCs w:val="21"/>
              </w:rPr>
              <w:t>生态</w:t>
            </w:r>
            <w:r w:rsidRPr="00FC1444">
              <w:rPr>
                <w:rFonts w:eastAsiaTheme="minorEastAsia"/>
                <w:kern w:val="0"/>
                <w:szCs w:val="21"/>
              </w:rPr>
              <w:t>：同地表水评价范围</w:t>
            </w:r>
          </w:p>
        </w:tc>
      </w:tr>
    </w:tbl>
    <w:p w:rsidR="002A5A5E" w:rsidRPr="00FC1444" w:rsidRDefault="00611CBA">
      <w:pPr>
        <w:keepNext/>
        <w:keepLines/>
        <w:spacing w:before="100" w:beforeAutospacing="1" w:after="100" w:afterAutospacing="1"/>
        <w:outlineLvl w:val="2"/>
        <w:rPr>
          <w:rFonts w:eastAsiaTheme="minorEastAsia"/>
          <w:b/>
          <w:sz w:val="28"/>
          <w:szCs w:val="28"/>
        </w:rPr>
      </w:pPr>
      <w:bookmarkStart w:id="54" w:name="_Toc524431294"/>
      <w:bookmarkStart w:id="55" w:name="_Toc15991636"/>
      <w:r w:rsidRPr="00FC1444">
        <w:rPr>
          <w:rFonts w:eastAsiaTheme="minorEastAsia"/>
          <w:b/>
          <w:sz w:val="28"/>
          <w:szCs w:val="28"/>
        </w:rPr>
        <w:t>2.7.2</w:t>
      </w:r>
      <w:r w:rsidRPr="00FC1444">
        <w:rPr>
          <w:rFonts w:eastAsiaTheme="minorEastAsia"/>
          <w:b/>
          <w:sz w:val="28"/>
          <w:szCs w:val="28"/>
        </w:rPr>
        <w:t>评价时段</w:t>
      </w:r>
      <w:bookmarkEnd w:id="54"/>
      <w:bookmarkEnd w:id="55"/>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评价时段为施工期、运营期。由于本项目施工期对生</w:t>
      </w:r>
      <w:r w:rsidR="00341992" w:rsidRPr="00FC1444">
        <w:rPr>
          <w:rFonts w:eastAsiaTheme="minorEastAsia"/>
          <w:snapToGrid w:val="0"/>
          <w:kern w:val="0"/>
          <w:sz w:val="24"/>
        </w:rPr>
        <w:t>态环境等产生影响，运营期地下水开采对地下水资源等产生影响，故</w:t>
      </w:r>
      <w:r w:rsidRPr="00FC1444">
        <w:rPr>
          <w:rFonts w:eastAsiaTheme="minorEastAsia"/>
          <w:snapToGrid w:val="0"/>
          <w:kern w:val="0"/>
          <w:sz w:val="24"/>
        </w:rPr>
        <w:t>本项目施工期及运营期均为重点评</w:t>
      </w:r>
      <w:r w:rsidRPr="00FC1444">
        <w:rPr>
          <w:rFonts w:eastAsiaTheme="minorEastAsia"/>
          <w:snapToGrid w:val="0"/>
          <w:kern w:val="0"/>
          <w:sz w:val="24"/>
        </w:rPr>
        <w:lastRenderedPageBreak/>
        <w:t>价时段。</w:t>
      </w: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56" w:name="_Toc208906231"/>
      <w:r w:rsidRPr="00FC1444">
        <w:rPr>
          <w:rFonts w:eastAsiaTheme="minorEastAsia"/>
          <w:b/>
          <w:bCs/>
          <w:kern w:val="44"/>
          <w:sz w:val="30"/>
          <w:szCs w:val="30"/>
        </w:rPr>
        <w:t>2.8</w:t>
      </w:r>
      <w:r w:rsidRPr="00FC1444">
        <w:rPr>
          <w:rFonts w:eastAsiaTheme="minorEastAsia"/>
          <w:b/>
          <w:bCs/>
          <w:kern w:val="44"/>
          <w:sz w:val="30"/>
          <w:szCs w:val="30"/>
        </w:rPr>
        <w:t>污染控制与环境保护目标</w:t>
      </w:r>
      <w:bookmarkEnd w:id="56"/>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2.8.1</w:t>
      </w:r>
      <w:r w:rsidRPr="00FC1444">
        <w:rPr>
          <w:rFonts w:eastAsiaTheme="minorEastAsia"/>
          <w:b/>
          <w:sz w:val="28"/>
          <w:szCs w:val="28"/>
        </w:rPr>
        <w:t>污染控制</w:t>
      </w:r>
    </w:p>
    <w:p w:rsidR="002A5A5E" w:rsidRPr="00FC1444" w:rsidRDefault="00611CBA">
      <w:pPr>
        <w:spacing w:line="360" w:lineRule="auto"/>
        <w:ind w:firstLineChars="200" w:firstLine="480"/>
        <w:rPr>
          <w:rFonts w:eastAsiaTheme="minorEastAsia"/>
          <w:snapToGrid w:val="0"/>
          <w:sz w:val="24"/>
        </w:rPr>
      </w:pPr>
      <w:r w:rsidRPr="00FC1444">
        <w:rPr>
          <w:rFonts w:eastAsiaTheme="minorEastAsia"/>
          <w:snapToGrid w:val="0"/>
          <w:sz w:val="24"/>
        </w:rPr>
        <w:t>本评价区内无国家、省级自然保护区，名胜古迹，以及重要人文设施及水源地，项目区现状为草地、耕地等。根据项目特点及周边环境要素，确定本项目控制污染与环境保护目标为：</w:t>
      </w:r>
    </w:p>
    <w:p w:rsidR="002A5A5E" w:rsidRPr="00FC1444" w:rsidRDefault="00611CBA">
      <w:pPr>
        <w:tabs>
          <w:tab w:val="right" w:leader="dot" w:pos="8505"/>
        </w:tabs>
        <w:spacing w:line="360" w:lineRule="auto"/>
        <w:ind w:firstLineChars="200" w:firstLine="480"/>
        <w:rPr>
          <w:rFonts w:eastAsiaTheme="minorEastAsia"/>
          <w:sz w:val="24"/>
        </w:rPr>
      </w:pPr>
      <w:r w:rsidRPr="00FC1444">
        <w:rPr>
          <w:rFonts w:eastAsiaTheme="minorEastAsia"/>
          <w:snapToGrid w:val="0"/>
          <w:kern w:val="0"/>
          <w:sz w:val="24"/>
        </w:rPr>
        <w:t>（</w:t>
      </w:r>
      <w:r w:rsidRPr="00FC1444">
        <w:rPr>
          <w:rFonts w:eastAsiaTheme="minorEastAsia"/>
          <w:snapToGrid w:val="0"/>
          <w:kern w:val="0"/>
          <w:sz w:val="24"/>
        </w:rPr>
        <w:t>1</w:t>
      </w:r>
      <w:r w:rsidRPr="00FC1444">
        <w:rPr>
          <w:rFonts w:eastAsiaTheme="minorEastAsia"/>
          <w:snapToGrid w:val="0"/>
          <w:kern w:val="0"/>
          <w:sz w:val="24"/>
        </w:rPr>
        <w:t>）控制施工过程中产生的扬尘，</w:t>
      </w:r>
      <w:r w:rsidRPr="00FC1444">
        <w:rPr>
          <w:rFonts w:eastAsiaTheme="minorEastAsia"/>
          <w:sz w:val="24"/>
        </w:rPr>
        <w:t>满足《大气污染物综合排放标准》（</w:t>
      </w:r>
      <w:r w:rsidRPr="00FC1444">
        <w:rPr>
          <w:rFonts w:eastAsiaTheme="minorEastAsia"/>
          <w:sz w:val="24"/>
        </w:rPr>
        <w:t>GB16297-1996</w:t>
      </w:r>
      <w:r w:rsidRPr="00FC1444">
        <w:rPr>
          <w:rFonts w:eastAsiaTheme="minorEastAsia"/>
          <w:sz w:val="24"/>
        </w:rPr>
        <w:t>）表</w:t>
      </w:r>
      <w:r w:rsidRPr="00FC1444">
        <w:rPr>
          <w:rFonts w:eastAsiaTheme="minorEastAsia"/>
          <w:sz w:val="24"/>
        </w:rPr>
        <w:t>2</w:t>
      </w:r>
      <w:r w:rsidRPr="00FC1444">
        <w:rPr>
          <w:rFonts w:eastAsiaTheme="minorEastAsia"/>
          <w:sz w:val="24"/>
        </w:rPr>
        <w:t>无组织排放监控浓度限值要求。</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2</w:t>
      </w:r>
      <w:r w:rsidRPr="00FC1444">
        <w:rPr>
          <w:rFonts w:eastAsiaTheme="minorEastAsia"/>
          <w:snapToGrid w:val="0"/>
          <w:kern w:val="0"/>
          <w:sz w:val="24"/>
        </w:rPr>
        <w:t>）控制噪声源强，采取有效措施，施工期满足</w:t>
      </w:r>
      <w:r w:rsidRPr="00FC1444">
        <w:rPr>
          <w:rFonts w:eastAsiaTheme="minorEastAsia"/>
          <w:sz w:val="24"/>
        </w:rPr>
        <w:t>《建筑施工噪声排放标准》（</w:t>
      </w:r>
      <w:r w:rsidRPr="00FC1444">
        <w:rPr>
          <w:rFonts w:eastAsiaTheme="minorEastAsia"/>
          <w:sz w:val="24"/>
        </w:rPr>
        <w:t>GB12523-2025)</w:t>
      </w:r>
      <w:r w:rsidRPr="00FC1444">
        <w:rPr>
          <w:rFonts w:eastAsiaTheme="minorEastAsia"/>
          <w:sz w:val="24"/>
        </w:rPr>
        <w:t>、运营期井房厂界</w:t>
      </w:r>
      <w:r w:rsidRPr="00FC1444">
        <w:rPr>
          <w:rFonts w:eastAsiaTheme="minorEastAsia"/>
          <w:bCs/>
          <w:sz w:val="24"/>
        </w:rPr>
        <w:t>噪声执行《工业企业厂界环境噪声排放标准》（</w:t>
      </w:r>
      <w:r w:rsidRPr="00FC1444">
        <w:rPr>
          <w:rFonts w:eastAsiaTheme="minorEastAsia"/>
          <w:bCs/>
          <w:sz w:val="24"/>
        </w:rPr>
        <w:t>GB12348-2008</w:t>
      </w:r>
      <w:r w:rsidRPr="00FC1444">
        <w:rPr>
          <w:rFonts w:eastAsiaTheme="minorEastAsia"/>
          <w:bCs/>
          <w:sz w:val="24"/>
        </w:rPr>
        <w:t>）表</w:t>
      </w:r>
      <w:r w:rsidRPr="00FC1444">
        <w:rPr>
          <w:rFonts w:eastAsiaTheme="minorEastAsia"/>
          <w:bCs/>
          <w:sz w:val="24"/>
        </w:rPr>
        <w:t>1</w:t>
      </w:r>
      <w:r w:rsidRPr="00FC1444">
        <w:rPr>
          <w:rFonts w:eastAsiaTheme="minorEastAsia"/>
          <w:bCs/>
          <w:sz w:val="24"/>
        </w:rPr>
        <w:t>中</w:t>
      </w:r>
      <w:r w:rsidRPr="00FC1444">
        <w:rPr>
          <w:rFonts w:eastAsiaTheme="minorEastAsia"/>
          <w:bCs/>
          <w:sz w:val="24"/>
        </w:rPr>
        <w:t>1</w:t>
      </w:r>
      <w:r w:rsidRPr="00FC1444">
        <w:rPr>
          <w:rFonts w:eastAsiaTheme="minorEastAsia"/>
          <w:bCs/>
          <w:sz w:val="24"/>
        </w:rPr>
        <w:t>类标准</w:t>
      </w:r>
      <w:r w:rsidRPr="00FC1444">
        <w:rPr>
          <w:rFonts w:eastAsiaTheme="minorEastAsia"/>
          <w:snapToGrid w:val="0"/>
          <w:kern w:val="0"/>
          <w:sz w:val="24"/>
        </w:rPr>
        <w:t>。</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3</w:t>
      </w:r>
      <w:r w:rsidRPr="00FC1444">
        <w:rPr>
          <w:rFonts w:eastAsiaTheme="minorEastAsia"/>
          <w:snapToGrid w:val="0"/>
          <w:kern w:val="0"/>
          <w:sz w:val="24"/>
        </w:rPr>
        <w:t>）控制占地范围，采取有效措施，保护评价区域植被，防止水土流失。</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4</w:t>
      </w:r>
      <w:r w:rsidRPr="00FC1444">
        <w:rPr>
          <w:rFonts w:eastAsiaTheme="minorEastAsia"/>
          <w:snapToGrid w:val="0"/>
          <w:kern w:val="0"/>
          <w:sz w:val="24"/>
        </w:rPr>
        <w:t>）控制地下水开采量，采取节水措施，</w:t>
      </w:r>
      <w:r w:rsidRPr="00FC1444">
        <w:rPr>
          <w:rFonts w:eastAsiaTheme="minorEastAsia"/>
          <w:sz w:val="24"/>
        </w:rPr>
        <w:t>提高灌溉保证率，加强水资源保护，合理开发利用水资源，加强地下水资源的保护，防止地下水超采，减少对地下水资源的影响。</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2.8.2</w:t>
      </w:r>
      <w:r w:rsidRPr="00FC1444">
        <w:rPr>
          <w:rFonts w:eastAsiaTheme="minorEastAsia"/>
          <w:b/>
          <w:sz w:val="28"/>
          <w:szCs w:val="28"/>
        </w:rPr>
        <w:t>主要环境保护目标</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sz w:val="24"/>
        </w:rPr>
        <w:t>根据项目选址、选线位置及周边环境特征，环境空气及声环境</w:t>
      </w:r>
      <w:r w:rsidRPr="00FC1444">
        <w:rPr>
          <w:rFonts w:eastAsiaTheme="minorEastAsia"/>
          <w:snapToGrid w:val="0"/>
          <w:kern w:val="0"/>
          <w:sz w:val="24"/>
        </w:rPr>
        <w:t>保护目标分布图见附图</w:t>
      </w:r>
      <w:r w:rsidRPr="00FC1444">
        <w:rPr>
          <w:rFonts w:eastAsiaTheme="minorEastAsia"/>
          <w:snapToGrid w:val="0"/>
          <w:kern w:val="0"/>
          <w:sz w:val="24"/>
        </w:rPr>
        <w:t>7-1~7-2</w:t>
      </w:r>
      <w:r w:rsidRPr="00FC1444">
        <w:rPr>
          <w:rFonts w:eastAsiaTheme="minorEastAsia"/>
          <w:snapToGrid w:val="0"/>
          <w:kern w:val="0"/>
          <w:sz w:val="24"/>
        </w:rPr>
        <w:t>。</w:t>
      </w:r>
    </w:p>
    <w:p w:rsidR="002A5A5E" w:rsidRPr="00FC1444" w:rsidRDefault="002A5A5E">
      <w:pPr>
        <w:contextualSpacing/>
        <w:jc w:val="center"/>
        <w:rPr>
          <w:rFonts w:eastAsiaTheme="minorEastAsia"/>
          <w:b/>
          <w:kern w:val="0"/>
          <w:szCs w:val="21"/>
        </w:rPr>
      </w:pPr>
      <w:bookmarkStart w:id="57" w:name="_Hlk10463811"/>
    </w:p>
    <w:p w:rsidR="002A5A5E" w:rsidRPr="00FC1444" w:rsidRDefault="002A5A5E">
      <w:pPr>
        <w:contextualSpacing/>
        <w:jc w:val="center"/>
        <w:rPr>
          <w:rFonts w:eastAsiaTheme="minorEastAsia"/>
          <w:b/>
          <w:kern w:val="0"/>
          <w:szCs w:val="21"/>
        </w:rPr>
      </w:pPr>
    </w:p>
    <w:p w:rsidR="002A5A5E" w:rsidRPr="00FC1444" w:rsidRDefault="002A5A5E">
      <w:pPr>
        <w:contextualSpacing/>
        <w:jc w:val="center"/>
        <w:rPr>
          <w:rFonts w:eastAsiaTheme="minorEastAsia"/>
          <w:b/>
          <w:kern w:val="0"/>
          <w:szCs w:val="21"/>
        </w:rPr>
      </w:pPr>
    </w:p>
    <w:p w:rsidR="00AA366B" w:rsidRPr="00FC1444" w:rsidRDefault="00AA366B">
      <w:pPr>
        <w:contextualSpacing/>
        <w:jc w:val="center"/>
        <w:rPr>
          <w:rFonts w:eastAsiaTheme="minorEastAsia"/>
          <w:b/>
          <w:kern w:val="0"/>
          <w:szCs w:val="21"/>
        </w:rPr>
      </w:pPr>
    </w:p>
    <w:p w:rsidR="00AA366B" w:rsidRPr="00FC1444" w:rsidRDefault="00AA366B">
      <w:pPr>
        <w:contextualSpacing/>
        <w:jc w:val="center"/>
        <w:rPr>
          <w:rFonts w:eastAsiaTheme="minorEastAsia"/>
          <w:b/>
          <w:kern w:val="0"/>
          <w:szCs w:val="21"/>
        </w:rPr>
      </w:pPr>
    </w:p>
    <w:p w:rsidR="00AA366B" w:rsidRPr="00FC1444" w:rsidRDefault="00AA366B">
      <w:pPr>
        <w:contextualSpacing/>
        <w:jc w:val="center"/>
        <w:rPr>
          <w:rFonts w:eastAsiaTheme="minorEastAsia"/>
          <w:b/>
          <w:kern w:val="0"/>
          <w:szCs w:val="21"/>
        </w:rPr>
      </w:pPr>
    </w:p>
    <w:p w:rsidR="00AA366B" w:rsidRPr="00FC1444" w:rsidRDefault="00AA366B">
      <w:pPr>
        <w:contextualSpacing/>
        <w:jc w:val="center"/>
        <w:rPr>
          <w:rFonts w:eastAsiaTheme="minorEastAsia"/>
          <w:b/>
          <w:kern w:val="0"/>
          <w:szCs w:val="21"/>
        </w:rPr>
      </w:pPr>
    </w:p>
    <w:p w:rsidR="002A5A5E" w:rsidRPr="00FC1444" w:rsidRDefault="002A5A5E">
      <w:pPr>
        <w:contextualSpacing/>
        <w:jc w:val="center"/>
        <w:rPr>
          <w:rFonts w:eastAsiaTheme="minorEastAsia"/>
          <w:b/>
          <w:kern w:val="0"/>
          <w:szCs w:val="21"/>
        </w:rPr>
      </w:pPr>
    </w:p>
    <w:p w:rsidR="002A5A5E" w:rsidRPr="00FC1444" w:rsidRDefault="002A5A5E">
      <w:pPr>
        <w:contextualSpacing/>
        <w:jc w:val="center"/>
        <w:rPr>
          <w:rFonts w:eastAsiaTheme="minorEastAsia"/>
          <w:b/>
          <w:kern w:val="0"/>
          <w:szCs w:val="21"/>
        </w:rPr>
      </w:pPr>
    </w:p>
    <w:p w:rsidR="002A5A5E" w:rsidRPr="00FC1444" w:rsidRDefault="002A5A5E">
      <w:pPr>
        <w:contextualSpacing/>
        <w:jc w:val="center"/>
        <w:rPr>
          <w:rFonts w:eastAsiaTheme="minorEastAsia"/>
          <w:b/>
          <w:kern w:val="0"/>
          <w:szCs w:val="21"/>
        </w:rPr>
      </w:pPr>
    </w:p>
    <w:p w:rsidR="002A5A5E" w:rsidRPr="00FC1444" w:rsidRDefault="002A5A5E">
      <w:pPr>
        <w:contextualSpacing/>
        <w:jc w:val="center"/>
        <w:rPr>
          <w:rFonts w:eastAsiaTheme="minorEastAsia"/>
          <w:b/>
          <w:kern w:val="0"/>
          <w:szCs w:val="21"/>
        </w:rPr>
      </w:pPr>
    </w:p>
    <w:p w:rsidR="002A5A5E" w:rsidRPr="00FC1444" w:rsidRDefault="002A5A5E">
      <w:pPr>
        <w:contextualSpacing/>
        <w:jc w:val="center"/>
        <w:rPr>
          <w:rFonts w:eastAsiaTheme="minorEastAsia"/>
          <w:b/>
          <w:kern w:val="0"/>
          <w:szCs w:val="21"/>
        </w:rPr>
      </w:pPr>
    </w:p>
    <w:p w:rsidR="002A5A5E" w:rsidRPr="00FC1444" w:rsidRDefault="002A5A5E">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2-8-1</w:t>
      </w:r>
      <w:r w:rsidRPr="00FC1444">
        <w:rPr>
          <w:rFonts w:eastAsiaTheme="minorEastAsia"/>
          <w:b/>
          <w:kern w:val="0"/>
          <w:szCs w:val="21"/>
        </w:rPr>
        <w:t>施工期及运营期环境空气</w:t>
      </w:r>
      <w:r w:rsidR="0024201F" w:rsidRPr="00FC1444">
        <w:rPr>
          <w:rFonts w:eastAsiaTheme="minorEastAsia"/>
          <w:b/>
          <w:kern w:val="0"/>
          <w:szCs w:val="21"/>
        </w:rPr>
        <w:t>及声环境</w:t>
      </w:r>
      <w:r w:rsidRPr="00FC1444">
        <w:rPr>
          <w:rFonts w:eastAsiaTheme="minorEastAsia"/>
          <w:b/>
          <w:kern w:val="0"/>
          <w:szCs w:val="21"/>
        </w:rPr>
        <w:t>保护目标一览表</w:t>
      </w:r>
    </w:p>
    <w:tbl>
      <w:tblPr>
        <w:tblW w:w="808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26"/>
        <w:gridCol w:w="830"/>
        <w:gridCol w:w="993"/>
        <w:gridCol w:w="708"/>
        <w:gridCol w:w="567"/>
        <w:gridCol w:w="851"/>
        <w:gridCol w:w="1417"/>
        <w:gridCol w:w="1389"/>
      </w:tblGrid>
      <w:tr w:rsidR="00F57E89" w:rsidRPr="00FC1444" w:rsidTr="009F0A2E">
        <w:trPr>
          <w:trHeight w:val="270"/>
          <w:jc w:val="center"/>
        </w:trPr>
        <w:tc>
          <w:tcPr>
            <w:tcW w:w="1326" w:type="dxa"/>
            <w:vMerge w:val="restart"/>
            <w:shd w:val="clear" w:color="auto" w:fill="auto"/>
            <w:vAlign w:val="center"/>
          </w:tcPr>
          <w:p w:rsidR="00F57E89" w:rsidRPr="00FC1444" w:rsidRDefault="00F57E89" w:rsidP="00F57E89">
            <w:pPr>
              <w:adjustRightInd w:val="0"/>
              <w:snapToGrid w:val="0"/>
              <w:spacing w:line="0" w:lineRule="atLeast"/>
              <w:jc w:val="center"/>
              <w:rPr>
                <w:rFonts w:eastAsiaTheme="minorEastAsia"/>
                <w:snapToGrid w:val="0"/>
                <w:szCs w:val="21"/>
              </w:rPr>
            </w:pPr>
            <w:bookmarkStart w:id="58" w:name="_Hlk10134467"/>
            <w:r w:rsidRPr="00FC1444">
              <w:rPr>
                <w:rFonts w:eastAsiaTheme="minorEastAsia"/>
                <w:snapToGrid w:val="0"/>
                <w:szCs w:val="21"/>
              </w:rPr>
              <w:t>名称</w:t>
            </w:r>
          </w:p>
        </w:tc>
        <w:tc>
          <w:tcPr>
            <w:tcW w:w="1823" w:type="dxa"/>
            <w:gridSpan w:val="2"/>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坐标（</w:t>
            </w:r>
            <w:r w:rsidRPr="00FC1444">
              <w:rPr>
                <w:rFonts w:eastAsiaTheme="minorEastAsia"/>
                <w:snapToGrid w:val="0"/>
                <w:szCs w:val="21"/>
              </w:rPr>
              <w:t>°</w:t>
            </w:r>
            <w:r w:rsidRPr="00FC1444">
              <w:rPr>
                <w:rFonts w:eastAsiaTheme="minorEastAsia"/>
                <w:snapToGrid w:val="0"/>
                <w:szCs w:val="21"/>
              </w:rPr>
              <w:t>）</w:t>
            </w:r>
          </w:p>
        </w:tc>
        <w:tc>
          <w:tcPr>
            <w:tcW w:w="708"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保护对象</w:t>
            </w:r>
          </w:p>
        </w:tc>
        <w:tc>
          <w:tcPr>
            <w:tcW w:w="567"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保护</w:t>
            </w:r>
          </w:p>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内容</w:t>
            </w:r>
          </w:p>
        </w:tc>
        <w:tc>
          <w:tcPr>
            <w:tcW w:w="851"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环境功能区</w:t>
            </w:r>
          </w:p>
        </w:tc>
        <w:tc>
          <w:tcPr>
            <w:tcW w:w="1417"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工程</w:t>
            </w:r>
          </w:p>
        </w:tc>
        <w:tc>
          <w:tcPr>
            <w:tcW w:w="1389" w:type="dxa"/>
            <w:vMerge w:val="restart"/>
            <w:shd w:val="clear" w:color="auto" w:fill="auto"/>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相对工程方位及最近距离</w:t>
            </w:r>
            <w:r w:rsidRPr="00FC1444">
              <w:rPr>
                <w:rFonts w:eastAsiaTheme="minorEastAsia"/>
                <w:snapToGrid w:val="0"/>
                <w:szCs w:val="21"/>
              </w:rPr>
              <w:t>m</w:t>
            </w:r>
          </w:p>
        </w:tc>
      </w:tr>
      <w:tr w:rsidR="00F57E89" w:rsidRPr="00FC1444" w:rsidTr="009F0A2E">
        <w:trPr>
          <w:trHeight w:val="270"/>
          <w:jc w:val="center"/>
        </w:trPr>
        <w:tc>
          <w:tcPr>
            <w:tcW w:w="1326" w:type="dxa"/>
            <w:vMerge/>
            <w:shd w:val="clear" w:color="auto" w:fill="auto"/>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30" w:type="dxa"/>
            <w:vAlign w:val="center"/>
          </w:tcPr>
          <w:p w:rsidR="00F57E89" w:rsidRPr="00FC1444" w:rsidRDefault="00F57E89" w:rsidP="00F57E89">
            <w:pPr>
              <w:adjustRightInd w:val="0"/>
              <w:snapToGrid w:val="0"/>
              <w:spacing w:line="0" w:lineRule="atLeast"/>
              <w:jc w:val="center"/>
              <w:rPr>
                <w:rFonts w:eastAsiaTheme="minorEastAsia"/>
                <w:snapToGrid w:val="0"/>
                <w:kern w:val="0"/>
                <w:szCs w:val="21"/>
              </w:rPr>
            </w:pPr>
            <w:r w:rsidRPr="00FC1444">
              <w:rPr>
                <w:rFonts w:eastAsiaTheme="minorEastAsia"/>
                <w:snapToGrid w:val="0"/>
                <w:kern w:val="0"/>
                <w:szCs w:val="21"/>
              </w:rPr>
              <w:t>东经</w:t>
            </w:r>
          </w:p>
        </w:tc>
        <w:tc>
          <w:tcPr>
            <w:tcW w:w="993" w:type="dxa"/>
            <w:vAlign w:val="center"/>
          </w:tcPr>
          <w:p w:rsidR="00F57E89" w:rsidRPr="00FC1444" w:rsidRDefault="00F57E89" w:rsidP="00F57E89">
            <w:pPr>
              <w:adjustRightInd w:val="0"/>
              <w:snapToGrid w:val="0"/>
              <w:spacing w:line="0" w:lineRule="atLeast"/>
              <w:jc w:val="center"/>
              <w:rPr>
                <w:rFonts w:eastAsiaTheme="minorEastAsia"/>
                <w:snapToGrid w:val="0"/>
                <w:kern w:val="0"/>
                <w:szCs w:val="21"/>
              </w:rPr>
            </w:pPr>
            <w:r w:rsidRPr="00FC1444">
              <w:rPr>
                <w:rFonts w:eastAsiaTheme="minorEastAsia"/>
                <w:snapToGrid w:val="0"/>
                <w:kern w:val="0"/>
                <w:szCs w:val="21"/>
              </w:rPr>
              <w:t>北纬</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389" w:type="dxa"/>
            <w:vMerge/>
            <w:shd w:val="clear" w:color="auto" w:fill="auto"/>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r>
      <w:tr w:rsidR="00F57E89" w:rsidRPr="00FC1444" w:rsidTr="009F0A2E">
        <w:trPr>
          <w:trHeight w:val="118"/>
          <w:jc w:val="center"/>
        </w:trPr>
        <w:tc>
          <w:tcPr>
            <w:tcW w:w="1326" w:type="dxa"/>
            <w:vMerge w:val="restart"/>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hint="eastAsia"/>
                <w:szCs w:val="21"/>
              </w:rPr>
              <w:t>胜利二村</w:t>
            </w:r>
          </w:p>
        </w:tc>
        <w:tc>
          <w:tcPr>
            <w:tcW w:w="830" w:type="dxa"/>
            <w:vMerge w:val="restart"/>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126.4703350</w:t>
            </w:r>
          </w:p>
        </w:tc>
        <w:tc>
          <w:tcPr>
            <w:tcW w:w="993" w:type="dxa"/>
            <w:vMerge w:val="restart"/>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46.304486</w:t>
            </w:r>
          </w:p>
        </w:tc>
        <w:tc>
          <w:tcPr>
            <w:tcW w:w="708"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农村人群集中区</w:t>
            </w:r>
          </w:p>
        </w:tc>
        <w:tc>
          <w:tcPr>
            <w:tcW w:w="567"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人群</w:t>
            </w:r>
          </w:p>
        </w:tc>
        <w:tc>
          <w:tcPr>
            <w:tcW w:w="851"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环境空气：二类区；声环境：一类区</w:t>
            </w: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井</w:t>
            </w:r>
            <w:r w:rsidRPr="00FC1444">
              <w:rPr>
                <w:rFonts w:eastAsiaTheme="minorEastAsia" w:hint="eastAsia"/>
                <w:snapToGrid w:val="0"/>
                <w:szCs w:val="21"/>
              </w:rPr>
              <w:t>6-10</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N4</w:t>
            </w:r>
            <w:r w:rsidRPr="00FC1444">
              <w:rPr>
                <w:rFonts w:eastAsiaTheme="minorEastAsia"/>
                <w:snapToGrid w:val="0"/>
                <w:szCs w:val="21"/>
              </w:rPr>
              <w:t>0</w:t>
            </w:r>
          </w:p>
        </w:tc>
      </w:tr>
      <w:tr w:rsidR="00F57E89" w:rsidRPr="00FC1444" w:rsidTr="009F0A2E">
        <w:trPr>
          <w:trHeight w:val="118"/>
          <w:jc w:val="center"/>
        </w:trPr>
        <w:tc>
          <w:tcPr>
            <w:tcW w:w="1326" w:type="dxa"/>
            <w:vMerge/>
            <w:shd w:val="clear" w:color="auto" w:fill="auto"/>
            <w:vAlign w:val="center"/>
          </w:tcPr>
          <w:p w:rsidR="00F57E89" w:rsidRPr="00FC1444" w:rsidRDefault="00F57E89" w:rsidP="00F57E89">
            <w:pPr>
              <w:spacing w:line="0" w:lineRule="atLeast"/>
              <w:jc w:val="center"/>
              <w:rPr>
                <w:szCs w:val="21"/>
              </w:rPr>
            </w:pPr>
          </w:p>
        </w:tc>
        <w:tc>
          <w:tcPr>
            <w:tcW w:w="830" w:type="dxa"/>
            <w:vMerge/>
            <w:vAlign w:val="center"/>
          </w:tcPr>
          <w:p w:rsidR="00F57E89" w:rsidRPr="00FC1444" w:rsidRDefault="00F57E89" w:rsidP="00F57E89">
            <w:pPr>
              <w:spacing w:line="0" w:lineRule="atLeast"/>
              <w:jc w:val="center"/>
              <w:rPr>
                <w:rFonts w:eastAsiaTheme="minorEastAsia"/>
                <w:szCs w:val="21"/>
              </w:rPr>
            </w:pPr>
          </w:p>
        </w:tc>
        <w:tc>
          <w:tcPr>
            <w:tcW w:w="993" w:type="dxa"/>
            <w:vMerge/>
            <w:vAlign w:val="center"/>
          </w:tcPr>
          <w:p w:rsidR="00F57E89" w:rsidRPr="00FC1444" w:rsidRDefault="00F57E89" w:rsidP="00F57E89">
            <w:pPr>
              <w:spacing w:line="0" w:lineRule="atLeast"/>
              <w:jc w:val="center"/>
              <w:rPr>
                <w:rFonts w:eastAsiaTheme="minorEastAsia"/>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井</w:t>
            </w:r>
            <w:r w:rsidRPr="00FC1444">
              <w:rPr>
                <w:rFonts w:eastAsiaTheme="minorEastAsia" w:hint="eastAsia"/>
                <w:snapToGrid w:val="0"/>
                <w:szCs w:val="21"/>
              </w:rPr>
              <w:t>49/50</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S160</w:t>
            </w:r>
          </w:p>
        </w:tc>
      </w:tr>
      <w:tr w:rsidR="00F57E89" w:rsidRPr="00FC1444" w:rsidTr="009F0A2E">
        <w:trPr>
          <w:trHeight w:val="176"/>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机耕</w:t>
            </w:r>
            <w:r w:rsidRPr="00FC1444">
              <w:rPr>
                <w:rFonts w:eastAsiaTheme="minorEastAsia"/>
                <w:snapToGrid w:val="0"/>
                <w:szCs w:val="21"/>
              </w:rPr>
              <w:t>路</w:t>
            </w:r>
            <w:r w:rsidRPr="00FC1444">
              <w:rPr>
                <w:rFonts w:eastAsiaTheme="minorEastAsia" w:hint="eastAsia"/>
                <w:snapToGrid w:val="0"/>
                <w:szCs w:val="21"/>
              </w:rPr>
              <w:t>11</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S1</w:t>
            </w:r>
            <w:r w:rsidRPr="00FC1444">
              <w:rPr>
                <w:rFonts w:eastAsiaTheme="minorEastAsia"/>
                <w:snapToGrid w:val="0"/>
                <w:szCs w:val="21"/>
              </w:rPr>
              <w:t>20</w:t>
            </w:r>
          </w:p>
        </w:tc>
      </w:tr>
      <w:tr w:rsidR="00F57E89" w:rsidRPr="00FC1444" w:rsidTr="009F0A2E">
        <w:trPr>
          <w:trHeight w:val="513"/>
          <w:jc w:val="center"/>
        </w:trPr>
        <w:tc>
          <w:tcPr>
            <w:tcW w:w="1326" w:type="dxa"/>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东沟子</w:t>
            </w:r>
          </w:p>
        </w:tc>
        <w:tc>
          <w:tcPr>
            <w:tcW w:w="830"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126.4802638</w:t>
            </w:r>
          </w:p>
        </w:tc>
        <w:tc>
          <w:tcPr>
            <w:tcW w:w="993"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46.320581</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32</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N155</w:t>
            </w:r>
          </w:p>
        </w:tc>
      </w:tr>
      <w:tr w:rsidR="00F57E89" w:rsidRPr="00FC1444" w:rsidTr="009F0A2E">
        <w:trPr>
          <w:trHeight w:val="301"/>
          <w:jc w:val="center"/>
        </w:trPr>
        <w:tc>
          <w:tcPr>
            <w:tcW w:w="1326" w:type="dxa"/>
            <w:vMerge w:val="restart"/>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刘海楼屯</w:t>
            </w:r>
          </w:p>
        </w:tc>
        <w:tc>
          <w:tcPr>
            <w:tcW w:w="830"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126.4919036</w:t>
            </w:r>
          </w:p>
        </w:tc>
        <w:tc>
          <w:tcPr>
            <w:tcW w:w="993"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46.312760</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7</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napToGrid w:val="0"/>
                <w:szCs w:val="21"/>
              </w:rPr>
              <w:t>S30</w:t>
            </w:r>
          </w:p>
        </w:tc>
      </w:tr>
      <w:tr w:rsidR="00F57E89" w:rsidRPr="00FC1444" w:rsidTr="009F0A2E">
        <w:trPr>
          <w:trHeight w:val="283"/>
          <w:jc w:val="center"/>
        </w:trPr>
        <w:tc>
          <w:tcPr>
            <w:tcW w:w="1326" w:type="dxa"/>
            <w:vMerge/>
            <w:shd w:val="clear" w:color="auto" w:fill="auto"/>
            <w:vAlign w:val="center"/>
          </w:tcPr>
          <w:p w:rsidR="00F57E89" w:rsidRPr="00FC1444" w:rsidRDefault="00F57E89" w:rsidP="00F57E89">
            <w:pPr>
              <w:spacing w:line="0" w:lineRule="atLeast"/>
              <w:jc w:val="center"/>
              <w:rPr>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8</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napToGrid w:val="0"/>
                <w:szCs w:val="21"/>
              </w:rPr>
              <w:t>N</w:t>
            </w:r>
            <w:r w:rsidRPr="00FC1444">
              <w:rPr>
                <w:rFonts w:eastAsiaTheme="minorEastAsia" w:hint="eastAsia"/>
                <w:szCs w:val="21"/>
              </w:rPr>
              <w:t>40</w:t>
            </w:r>
          </w:p>
        </w:tc>
      </w:tr>
      <w:tr w:rsidR="00F57E89" w:rsidRPr="00FC1444" w:rsidTr="009F0A2E">
        <w:trPr>
          <w:trHeight w:val="178"/>
          <w:jc w:val="center"/>
        </w:trPr>
        <w:tc>
          <w:tcPr>
            <w:tcW w:w="1326" w:type="dxa"/>
            <w:vMerge w:val="restart"/>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旭升村</w:t>
            </w:r>
          </w:p>
        </w:tc>
        <w:tc>
          <w:tcPr>
            <w:tcW w:w="830"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126.5037249</w:t>
            </w:r>
          </w:p>
        </w:tc>
        <w:tc>
          <w:tcPr>
            <w:tcW w:w="993"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46.312739</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井</w:t>
            </w:r>
            <w:r w:rsidRPr="00FC1444">
              <w:rPr>
                <w:rFonts w:eastAsiaTheme="minorEastAsia" w:hint="eastAsia"/>
                <w:snapToGrid w:val="0"/>
                <w:szCs w:val="21"/>
              </w:rPr>
              <w:t>21/22</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napToGrid w:val="0"/>
                <w:szCs w:val="21"/>
              </w:rPr>
              <w:t>S</w:t>
            </w:r>
            <w:r w:rsidRPr="00FC1444">
              <w:rPr>
                <w:rFonts w:eastAsiaTheme="minorEastAsia" w:hint="eastAsia"/>
                <w:szCs w:val="21"/>
              </w:rPr>
              <w:t>30</w:t>
            </w:r>
          </w:p>
        </w:tc>
      </w:tr>
      <w:tr w:rsidR="00F57E89" w:rsidRPr="00FC1444" w:rsidTr="009F0A2E">
        <w:trPr>
          <w:trHeight w:val="333"/>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井</w:t>
            </w:r>
            <w:r w:rsidRPr="00FC1444">
              <w:rPr>
                <w:rFonts w:eastAsiaTheme="minorEastAsia" w:hint="eastAsia"/>
                <w:snapToGrid w:val="0"/>
                <w:szCs w:val="21"/>
              </w:rPr>
              <w:t>23</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E3</w:t>
            </w:r>
            <w:r w:rsidRPr="00FC1444">
              <w:rPr>
                <w:rFonts w:eastAsiaTheme="minorEastAsia"/>
                <w:szCs w:val="21"/>
              </w:rPr>
              <w:t>0</w:t>
            </w:r>
          </w:p>
        </w:tc>
      </w:tr>
      <w:tr w:rsidR="00F57E89" w:rsidRPr="00FC1444" w:rsidTr="009F0A2E">
        <w:trPr>
          <w:trHeight w:val="134"/>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9</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N5</w:t>
            </w:r>
            <w:r w:rsidRPr="00FC1444">
              <w:rPr>
                <w:rFonts w:eastAsiaTheme="minorEastAsia"/>
                <w:szCs w:val="21"/>
              </w:rPr>
              <w:t>0</w:t>
            </w:r>
          </w:p>
        </w:tc>
      </w:tr>
      <w:tr w:rsidR="00F57E89" w:rsidRPr="00FC1444" w:rsidTr="009F0A2E">
        <w:trPr>
          <w:trHeight w:val="180"/>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snapToGrid w:val="0"/>
                <w:szCs w:val="21"/>
              </w:rPr>
              <w:t>机耕路</w:t>
            </w:r>
            <w:r w:rsidRPr="00FC1444">
              <w:rPr>
                <w:rFonts w:eastAsiaTheme="minorEastAsia" w:hint="eastAsia"/>
                <w:snapToGrid w:val="0"/>
                <w:szCs w:val="21"/>
              </w:rPr>
              <w:t>10</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S30</w:t>
            </w:r>
          </w:p>
        </w:tc>
      </w:tr>
      <w:tr w:rsidR="00F57E89" w:rsidRPr="00FC1444" w:rsidTr="009F0A2E">
        <w:trPr>
          <w:trHeight w:val="395"/>
          <w:jc w:val="center"/>
        </w:trPr>
        <w:tc>
          <w:tcPr>
            <w:tcW w:w="1326" w:type="dxa"/>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曹家炉</w:t>
            </w:r>
          </w:p>
        </w:tc>
        <w:tc>
          <w:tcPr>
            <w:tcW w:w="830"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126.4531850</w:t>
            </w:r>
          </w:p>
        </w:tc>
        <w:tc>
          <w:tcPr>
            <w:tcW w:w="993"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46.304008</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2</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N5</w:t>
            </w:r>
          </w:p>
        </w:tc>
      </w:tr>
      <w:tr w:rsidR="00F57E89" w:rsidRPr="00FC1444" w:rsidTr="009F0A2E">
        <w:trPr>
          <w:trHeight w:val="178"/>
          <w:jc w:val="center"/>
        </w:trPr>
        <w:tc>
          <w:tcPr>
            <w:tcW w:w="1326" w:type="dxa"/>
            <w:vMerge w:val="restart"/>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刘家沟</w:t>
            </w:r>
          </w:p>
        </w:tc>
        <w:tc>
          <w:tcPr>
            <w:tcW w:w="830"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126.5004419</w:t>
            </w:r>
          </w:p>
        </w:tc>
        <w:tc>
          <w:tcPr>
            <w:tcW w:w="993"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46.325193</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snapToGrid w:val="0"/>
                <w:szCs w:val="21"/>
              </w:rPr>
              <w:t>-</w:t>
            </w:r>
            <w:r w:rsidRPr="00FC1444">
              <w:rPr>
                <w:rFonts w:eastAsiaTheme="minorEastAsia" w:hint="eastAsia"/>
                <w:snapToGrid w:val="0"/>
                <w:szCs w:val="21"/>
              </w:rPr>
              <w:t>1</w:t>
            </w:r>
            <w:r w:rsidRPr="00FC1444">
              <w:rPr>
                <w:rFonts w:eastAsiaTheme="minorEastAsia"/>
                <w:snapToGrid w:val="0"/>
                <w:szCs w:val="21"/>
              </w:rPr>
              <w:t>2</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E30</w:t>
            </w:r>
          </w:p>
        </w:tc>
      </w:tr>
      <w:tr w:rsidR="00F57E89" w:rsidRPr="00FC1444" w:rsidTr="009F0A2E">
        <w:trPr>
          <w:trHeight w:val="178"/>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snapToGrid w:val="0"/>
                <w:szCs w:val="21"/>
              </w:rPr>
              <w:t>-</w:t>
            </w:r>
            <w:r w:rsidRPr="00FC1444">
              <w:rPr>
                <w:rFonts w:eastAsiaTheme="minorEastAsia" w:hint="eastAsia"/>
                <w:snapToGrid w:val="0"/>
                <w:szCs w:val="21"/>
              </w:rPr>
              <w:t>80</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N1</w:t>
            </w:r>
            <w:r w:rsidRPr="00FC1444">
              <w:rPr>
                <w:rFonts w:eastAsiaTheme="minorEastAsia"/>
                <w:szCs w:val="21"/>
              </w:rPr>
              <w:t>0</w:t>
            </w:r>
          </w:p>
        </w:tc>
      </w:tr>
      <w:tr w:rsidR="00F57E89" w:rsidRPr="00FC1444" w:rsidTr="009F0A2E">
        <w:trPr>
          <w:trHeight w:val="178"/>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35</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N30</w:t>
            </w:r>
          </w:p>
        </w:tc>
      </w:tr>
      <w:tr w:rsidR="00F57E89" w:rsidRPr="00FC1444" w:rsidTr="009F0A2E">
        <w:trPr>
          <w:trHeight w:val="178"/>
          <w:jc w:val="center"/>
        </w:trPr>
        <w:tc>
          <w:tcPr>
            <w:tcW w:w="1326" w:type="dxa"/>
            <w:vMerge w:val="restart"/>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崔家窝棚</w:t>
            </w:r>
          </w:p>
        </w:tc>
        <w:tc>
          <w:tcPr>
            <w:tcW w:w="830"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126.5117669</w:t>
            </w:r>
          </w:p>
        </w:tc>
        <w:tc>
          <w:tcPr>
            <w:tcW w:w="993"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46.330040</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44</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S10</w:t>
            </w:r>
          </w:p>
        </w:tc>
      </w:tr>
      <w:tr w:rsidR="00F57E89" w:rsidRPr="00FC1444" w:rsidTr="009F0A2E">
        <w:trPr>
          <w:trHeight w:val="178"/>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szCs w:val="21"/>
              </w:rPr>
              <w:t>土地平整</w:t>
            </w:r>
            <w:r w:rsidRPr="00FC1444">
              <w:rPr>
                <w:rFonts w:eastAsiaTheme="minorEastAsia" w:hint="eastAsia"/>
                <w:szCs w:val="21"/>
              </w:rPr>
              <w:t>3</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S50</w:t>
            </w:r>
          </w:p>
        </w:tc>
      </w:tr>
      <w:tr w:rsidR="00F57E89" w:rsidRPr="00FC1444" w:rsidTr="009F0A2E">
        <w:trPr>
          <w:trHeight w:val="178"/>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snapToGrid w:val="0"/>
                <w:szCs w:val="21"/>
              </w:rPr>
              <w:t>-</w:t>
            </w:r>
            <w:r w:rsidRPr="00FC1444">
              <w:rPr>
                <w:rFonts w:eastAsiaTheme="minorEastAsia" w:hint="eastAsia"/>
                <w:snapToGrid w:val="0"/>
                <w:szCs w:val="21"/>
              </w:rPr>
              <w:t>66</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SE130</w:t>
            </w:r>
          </w:p>
        </w:tc>
      </w:tr>
      <w:tr w:rsidR="00F57E89" w:rsidRPr="00FC1444" w:rsidTr="009F0A2E">
        <w:trPr>
          <w:trHeight w:val="199"/>
          <w:jc w:val="center"/>
        </w:trPr>
        <w:tc>
          <w:tcPr>
            <w:tcW w:w="1326" w:type="dxa"/>
            <w:vMerge w:val="restart"/>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hint="eastAsia"/>
                <w:szCs w:val="21"/>
              </w:rPr>
              <w:t>黄家屯</w:t>
            </w:r>
          </w:p>
        </w:tc>
        <w:tc>
          <w:tcPr>
            <w:tcW w:w="830"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126.5153154</w:t>
            </w:r>
          </w:p>
        </w:tc>
        <w:tc>
          <w:tcPr>
            <w:tcW w:w="993"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46.332064</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1</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NW70</w:t>
            </w:r>
          </w:p>
        </w:tc>
      </w:tr>
      <w:tr w:rsidR="00F57E89" w:rsidRPr="00FC1444" w:rsidTr="009F0A2E">
        <w:trPr>
          <w:trHeight w:val="178"/>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68</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N140</w:t>
            </w:r>
          </w:p>
        </w:tc>
      </w:tr>
      <w:tr w:rsidR="00F57E89" w:rsidRPr="00FC1444" w:rsidTr="009F0A2E">
        <w:trPr>
          <w:trHeight w:val="178"/>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3</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W10</w:t>
            </w:r>
          </w:p>
        </w:tc>
      </w:tr>
      <w:tr w:rsidR="00F57E89" w:rsidRPr="00FC1444" w:rsidTr="009F0A2E">
        <w:trPr>
          <w:trHeight w:val="178"/>
          <w:jc w:val="center"/>
        </w:trPr>
        <w:tc>
          <w:tcPr>
            <w:tcW w:w="1326" w:type="dxa"/>
            <w:vMerge w:val="restart"/>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hint="eastAsia"/>
                <w:szCs w:val="21"/>
              </w:rPr>
              <w:t>荆家屯</w:t>
            </w:r>
          </w:p>
        </w:tc>
        <w:tc>
          <w:tcPr>
            <w:tcW w:w="830" w:type="dxa"/>
            <w:vMerge w:val="restart"/>
            <w:vAlign w:val="center"/>
          </w:tcPr>
          <w:p w:rsidR="00F57E89" w:rsidRPr="00FC1444" w:rsidRDefault="00F57E89" w:rsidP="00F57E89">
            <w:pPr>
              <w:rPr>
                <w:rFonts w:eastAsiaTheme="minorEastAsia"/>
                <w:szCs w:val="21"/>
              </w:rPr>
            </w:pPr>
            <w:r w:rsidRPr="00FC1444">
              <w:rPr>
                <w:rFonts w:eastAsiaTheme="minorEastAsia"/>
                <w:szCs w:val="21"/>
              </w:rPr>
              <w:t>126.5205726</w:t>
            </w:r>
          </w:p>
        </w:tc>
        <w:tc>
          <w:tcPr>
            <w:tcW w:w="993"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46.330169</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涵</w:t>
            </w:r>
            <w:r w:rsidRPr="00FC1444">
              <w:rPr>
                <w:rFonts w:eastAsiaTheme="minorEastAsia" w:hint="eastAsia"/>
                <w:snapToGrid w:val="0"/>
                <w:szCs w:val="21"/>
              </w:rPr>
              <w:t>8</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S60</w:t>
            </w:r>
          </w:p>
        </w:tc>
      </w:tr>
      <w:tr w:rsidR="00F57E89" w:rsidRPr="00FC1444" w:rsidTr="00C0294E">
        <w:trPr>
          <w:trHeight w:val="443"/>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7</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N145</w:t>
            </w:r>
          </w:p>
        </w:tc>
      </w:tr>
      <w:tr w:rsidR="00F57E89" w:rsidRPr="00FC1444" w:rsidTr="009F0A2E">
        <w:trPr>
          <w:trHeight w:val="178"/>
          <w:jc w:val="center"/>
        </w:trPr>
        <w:tc>
          <w:tcPr>
            <w:tcW w:w="1326" w:type="dxa"/>
            <w:vMerge w:val="restart"/>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hint="eastAsia"/>
                <w:szCs w:val="21"/>
              </w:rPr>
              <w:t>联胜村</w:t>
            </w:r>
          </w:p>
        </w:tc>
        <w:tc>
          <w:tcPr>
            <w:tcW w:w="830" w:type="dxa"/>
            <w:vMerge w:val="restart"/>
            <w:vAlign w:val="center"/>
          </w:tcPr>
          <w:p w:rsidR="00F57E89" w:rsidRPr="00FC1444" w:rsidRDefault="00F57E89" w:rsidP="00F57E89">
            <w:pPr>
              <w:rPr>
                <w:rFonts w:eastAsiaTheme="minorEastAsia"/>
                <w:szCs w:val="21"/>
              </w:rPr>
            </w:pPr>
            <w:r w:rsidRPr="00FC1444">
              <w:rPr>
                <w:rFonts w:eastAsiaTheme="minorEastAsia"/>
                <w:szCs w:val="21"/>
              </w:rPr>
              <w:t>126.4913850</w:t>
            </w:r>
          </w:p>
        </w:tc>
        <w:tc>
          <w:tcPr>
            <w:tcW w:w="993"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46.332273</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5</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S20</w:t>
            </w:r>
          </w:p>
        </w:tc>
      </w:tr>
      <w:tr w:rsidR="00F57E89" w:rsidRPr="00FC1444" w:rsidTr="009F0A2E">
        <w:trPr>
          <w:trHeight w:val="178"/>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napToGrid w:val="0"/>
                <w:szCs w:val="21"/>
              </w:rPr>
              <w:t>生产路</w:t>
            </w:r>
            <w:r w:rsidRPr="00FC1444">
              <w:rPr>
                <w:rFonts w:eastAsiaTheme="minorEastAsia" w:hint="eastAsia"/>
                <w:snapToGrid w:val="0"/>
                <w:szCs w:val="21"/>
              </w:rPr>
              <w:t>9</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S30</w:t>
            </w:r>
          </w:p>
        </w:tc>
      </w:tr>
      <w:tr w:rsidR="00F57E89" w:rsidRPr="00FC1444" w:rsidTr="00C0294E">
        <w:trPr>
          <w:trHeight w:val="217"/>
          <w:jc w:val="center"/>
        </w:trPr>
        <w:tc>
          <w:tcPr>
            <w:tcW w:w="1326" w:type="dxa"/>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王家屯</w:t>
            </w:r>
          </w:p>
        </w:tc>
        <w:tc>
          <w:tcPr>
            <w:tcW w:w="830"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126.4949075</w:t>
            </w:r>
          </w:p>
        </w:tc>
        <w:tc>
          <w:tcPr>
            <w:tcW w:w="993"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46.333680</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14</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W10</w:t>
            </w:r>
          </w:p>
        </w:tc>
      </w:tr>
      <w:tr w:rsidR="00F57E89" w:rsidRPr="00FC1444" w:rsidTr="009F0A2E">
        <w:trPr>
          <w:trHeight w:val="162"/>
          <w:jc w:val="center"/>
        </w:trPr>
        <w:tc>
          <w:tcPr>
            <w:tcW w:w="1326" w:type="dxa"/>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赵家屯</w:t>
            </w:r>
          </w:p>
        </w:tc>
        <w:tc>
          <w:tcPr>
            <w:tcW w:w="830" w:type="dxa"/>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126.4916631</w:t>
            </w:r>
          </w:p>
        </w:tc>
        <w:tc>
          <w:tcPr>
            <w:tcW w:w="993" w:type="dxa"/>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46.340402</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生产</w:t>
            </w:r>
            <w:r w:rsidRPr="00FC1444">
              <w:rPr>
                <w:rFonts w:eastAsiaTheme="minorEastAsia"/>
                <w:snapToGrid w:val="0"/>
                <w:szCs w:val="21"/>
              </w:rPr>
              <w:t>路</w:t>
            </w:r>
            <w:r w:rsidRPr="00FC1444">
              <w:rPr>
                <w:rFonts w:eastAsiaTheme="minorEastAsia" w:hint="eastAsia"/>
                <w:snapToGrid w:val="0"/>
                <w:szCs w:val="21"/>
              </w:rPr>
              <w:t>11</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S20</w:t>
            </w:r>
          </w:p>
        </w:tc>
      </w:tr>
      <w:tr w:rsidR="00F57E89" w:rsidRPr="00FC1444" w:rsidTr="009F0A2E">
        <w:trPr>
          <w:trHeight w:val="101"/>
          <w:jc w:val="center"/>
        </w:trPr>
        <w:tc>
          <w:tcPr>
            <w:tcW w:w="1326" w:type="dxa"/>
            <w:vMerge w:val="restart"/>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陈凤梧屯</w:t>
            </w:r>
          </w:p>
        </w:tc>
        <w:tc>
          <w:tcPr>
            <w:tcW w:w="830"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126.5039864</w:t>
            </w:r>
          </w:p>
        </w:tc>
        <w:tc>
          <w:tcPr>
            <w:tcW w:w="993"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46.335903</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3</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N15</w:t>
            </w:r>
          </w:p>
        </w:tc>
      </w:tr>
      <w:tr w:rsidR="00F57E89" w:rsidRPr="00FC1444" w:rsidTr="009F0A2E">
        <w:trPr>
          <w:trHeight w:val="229"/>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生产</w:t>
            </w:r>
            <w:r w:rsidRPr="00FC1444">
              <w:rPr>
                <w:rFonts w:eastAsiaTheme="minorEastAsia"/>
                <w:snapToGrid w:val="0"/>
                <w:szCs w:val="21"/>
              </w:rPr>
              <w:t>路</w:t>
            </w:r>
            <w:r w:rsidRPr="00FC1444">
              <w:rPr>
                <w:rFonts w:eastAsiaTheme="minorEastAsia" w:hint="eastAsia"/>
                <w:snapToGrid w:val="0"/>
                <w:szCs w:val="21"/>
              </w:rPr>
              <w:t>17</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E20</w:t>
            </w:r>
          </w:p>
        </w:tc>
      </w:tr>
      <w:tr w:rsidR="00F57E89" w:rsidRPr="00FC1444" w:rsidTr="009F0A2E">
        <w:trPr>
          <w:trHeight w:val="279"/>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14</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W40</w:t>
            </w:r>
          </w:p>
        </w:tc>
      </w:tr>
      <w:tr w:rsidR="00F57E89" w:rsidRPr="00FC1444" w:rsidTr="00C0294E">
        <w:trPr>
          <w:trHeight w:val="215"/>
          <w:jc w:val="center"/>
        </w:trPr>
        <w:tc>
          <w:tcPr>
            <w:tcW w:w="1326" w:type="dxa"/>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hint="eastAsia"/>
                <w:szCs w:val="21"/>
              </w:rPr>
              <w:t>曹</w:t>
            </w:r>
            <w:r w:rsidRPr="00FC1444">
              <w:rPr>
                <w:rFonts w:eastAsiaTheme="minorEastAsia"/>
                <w:szCs w:val="21"/>
              </w:rPr>
              <w:t>家屯</w:t>
            </w:r>
          </w:p>
        </w:tc>
        <w:tc>
          <w:tcPr>
            <w:tcW w:w="830"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126.5051499</w:t>
            </w:r>
          </w:p>
        </w:tc>
        <w:tc>
          <w:tcPr>
            <w:tcW w:w="993"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46.343307</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15</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N45</w:t>
            </w:r>
          </w:p>
        </w:tc>
      </w:tr>
      <w:tr w:rsidR="00F57E89" w:rsidRPr="00FC1444" w:rsidTr="009F0A2E">
        <w:trPr>
          <w:trHeight w:val="178"/>
          <w:jc w:val="center"/>
        </w:trPr>
        <w:tc>
          <w:tcPr>
            <w:tcW w:w="1326" w:type="dxa"/>
            <w:vMerge w:val="restart"/>
            <w:shd w:val="clear" w:color="auto" w:fill="auto"/>
            <w:vAlign w:val="center"/>
          </w:tcPr>
          <w:p w:rsidR="00F57E89" w:rsidRPr="00FC1444" w:rsidRDefault="00F57E89" w:rsidP="00F57E89">
            <w:pPr>
              <w:spacing w:line="0" w:lineRule="atLeast"/>
              <w:jc w:val="center"/>
              <w:rPr>
                <w:rFonts w:eastAsiaTheme="minorEastAsia"/>
                <w:szCs w:val="21"/>
              </w:rPr>
            </w:pPr>
            <w:r w:rsidRPr="00FC1444">
              <w:rPr>
                <w:rFonts w:eastAsiaTheme="minorEastAsia"/>
                <w:szCs w:val="21"/>
              </w:rPr>
              <w:t>李荒子屯</w:t>
            </w:r>
          </w:p>
        </w:tc>
        <w:tc>
          <w:tcPr>
            <w:tcW w:w="830"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126.4759662</w:t>
            </w:r>
          </w:p>
        </w:tc>
        <w:tc>
          <w:tcPr>
            <w:tcW w:w="993" w:type="dxa"/>
            <w:vMerge w:val="restart"/>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46.332934</w:t>
            </w: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E25</w:t>
            </w:r>
          </w:p>
        </w:tc>
      </w:tr>
      <w:tr w:rsidR="00F57E89" w:rsidRPr="00FC1444" w:rsidTr="009F0A2E">
        <w:trPr>
          <w:trHeight w:val="333"/>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生产</w:t>
            </w:r>
            <w:r w:rsidRPr="00FC1444">
              <w:rPr>
                <w:rFonts w:eastAsiaTheme="minorEastAsia"/>
                <w:snapToGrid w:val="0"/>
                <w:szCs w:val="21"/>
              </w:rPr>
              <w:t>路</w:t>
            </w:r>
            <w:r w:rsidRPr="00FC1444">
              <w:rPr>
                <w:rFonts w:eastAsiaTheme="minorEastAsia" w:hint="eastAsia"/>
                <w:snapToGrid w:val="0"/>
                <w:szCs w:val="21"/>
              </w:rPr>
              <w:t>13</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N160</w:t>
            </w:r>
          </w:p>
        </w:tc>
      </w:tr>
      <w:tr w:rsidR="00F57E89" w:rsidRPr="00FC1444" w:rsidTr="009F0A2E">
        <w:trPr>
          <w:trHeight w:val="134"/>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15</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W10</w:t>
            </w:r>
          </w:p>
        </w:tc>
      </w:tr>
      <w:tr w:rsidR="00F57E89" w:rsidRPr="00FC1444" w:rsidTr="009F0A2E">
        <w:trPr>
          <w:trHeight w:val="180"/>
          <w:jc w:val="center"/>
        </w:trPr>
        <w:tc>
          <w:tcPr>
            <w:tcW w:w="1326" w:type="dxa"/>
            <w:vMerge/>
            <w:shd w:val="clear" w:color="auto" w:fill="auto"/>
            <w:vAlign w:val="center"/>
          </w:tcPr>
          <w:p w:rsidR="00F57E89" w:rsidRPr="00FC1444" w:rsidRDefault="00F57E89" w:rsidP="00F57E89">
            <w:pPr>
              <w:spacing w:line="0" w:lineRule="atLeast"/>
              <w:jc w:val="center"/>
              <w:rPr>
                <w:rFonts w:eastAsiaTheme="minorEastAsia"/>
                <w:szCs w:val="21"/>
              </w:rPr>
            </w:pPr>
          </w:p>
        </w:tc>
        <w:tc>
          <w:tcPr>
            <w:tcW w:w="830"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FC1444"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snapToGrid w:val="0"/>
                <w:szCs w:val="21"/>
              </w:rPr>
              <w:t>机耕路</w:t>
            </w:r>
            <w:r w:rsidRPr="00FC1444">
              <w:rPr>
                <w:rFonts w:eastAsiaTheme="minorEastAsia" w:hint="eastAsia"/>
                <w:snapToGrid w:val="0"/>
                <w:szCs w:val="21"/>
              </w:rPr>
              <w:t>10</w:t>
            </w:r>
          </w:p>
        </w:tc>
        <w:tc>
          <w:tcPr>
            <w:tcW w:w="1389" w:type="dxa"/>
            <w:shd w:val="clear" w:color="auto" w:fill="auto"/>
            <w:vAlign w:val="center"/>
          </w:tcPr>
          <w:p w:rsidR="00F57E89" w:rsidRPr="00FC1444" w:rsidRDefault="00F57E89" w:rsidP="00F57E89">
            <w:pPr>
              <w:adjustRightInd w:val="0"/>
              <w:snapToGrid w:val="0"/>
              <w:spacing w:line="0" w:lineRule="atLeast"/>
              <w:jc w:val="center"/>
              <w:rPr>
                <w:rFonts w:eastAsiaTheme="minorEastAsia"/>
                <w:szCs w:val="21"/>
              </w:rPr>
            </w:pPr>
            <w:r w:rsidRPr="00FC1444">
              <w:rPr>
                <w:rFonts w:eastAsiaTheme="minorEastAsia" w:hint="eastAsia"/>
                <w:szCs w:val="21"/>
              </w:rPr>
              <w:t>S30</w:t>
            </w:r>
          </w:p>
        </w:tc>
      </w:tr>
    </w:tbl>
    <w:p w:rsidR="00F57E89" w:rsidRPr="00FC1444" w:rsidRDefault="00F57E89"/>
    <w:p w:rsidR="00F57E89" w:rsidRPr="00FC1444" w:rsidRDefault="00F57E89"/>
    <w:p w:rsidR="00C0294E" w:rsidRPr="00FC1444" w:rsidRDefault="00C0294E"/>
    <w:p w:rsidR="00C0294E" w:rsidRPr="00FC1444" w:rsidRDefault="00C0294E"/>
    <w:p w:rsidR="00FB5EB0" w:rsidRPr="00FC1444" w:rsidRDefault="00FB5EB0" w:rsidP="00FB5EB0">
      <w:pPr>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2-8-1</w:t>
      </w:r>
      <w:r w:rsidRPr="00FC1444">
        <w:rPr>
          <w:rFonts w:eastAsiaTheme="minorEastAsia"/>
          <w:b/>
          <w:kern w:val="0"/>
          <w:szCs w:val="21"/>
        </w:rPr>
        <w:t>施工期及运营期环境空气及声环境保护目标一览表</w:t>
      </w:r>
    </w:p>
    <w:tbl>
      <w:tblPr>
        <w:tblW w:w="808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26"/>
        <w:gridCol w:w="830"/>
        <w:gridCol w:w="993"/>
        <w:gridCol w:w="708"/>
        <w:gridCol w:w="567"/>
        <w:gridCol w:w="851"/>
        <w:gridCol w:w="1417"/>
        <w:gridCol w:w="1389"/>
      </w:tblGrid>
      <w:tr w:rsidR="0050150B" w:rsidRPr="00FC1444" w:rsidTr="009F0A2E">
        <w:trPr>
          <w:trHeight w:val="395"/>
          <w:jc w:val="center"/>
        </w:trPr>
        <w:tc>
          <w:tcPr>
            <w:tcW w:w="1326" w:type="dxa"/>
            <w:vMerge w:val="restart"/>
            <w:shd w:val="clear" w:color="auto" w:fill="auto"/>
            <w:vAlign w:val="center"/>
          </w:tcPr>
          <w:p w:rsidR="0050150B" w:rsidRPr="00FC1444" w:rsidRDefault="0050150B" w:rsidP="009F0A2E">
            <w:pPr>
              <w:spacing w:line="0" w:lineRule="atLeast"/>
              <w:jc w:val="center"/>
              <w:rPr>
                <w:rFonts w:eastAsiaTheme="minorEastAsia"/>
                <w:szCs w:val="21"/>
              </w:rPr>
            </w:pPr>
            <w:r w:rsidRPr="00FC1444">
              <w:rPr>
                <w:rFonts w:eastAsiaTheme="minorEastAsia"/>
                <w:szCs w:val="21"/>
              </w:rPr>
              <w:t>张家窝棚</w:t>
            </w:r>
          </w:p>
        </w:tc>
        <w:tc>
          <w:tcPr>
            <w:tcW w:w="830"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127.0602403</w:t>
            </w:r>
          </w:p>
        </w:tc>
        <w:tc>
          <w:tcPr>
            <w:tcW w:w="993"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46.430452</w:t>
            </w:r>
          </w:p>
        </w:tc>
        <w:tc>
          <w:tcPr>
            <w:tcW w:w="708"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农村人群集中区</w:t>
            </w:r>
          </w:p>
        </w:tc>
        <w:tc>
          <w:tcPr>
            <w:tcW w:w="567"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人群</w:t>
            </w:r>
          </w:p>
        </w:tc>
        <w:tc>
          <w:tcPr>
            <w:tcW w:w="851"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环境空气：二类区；声环境：一类区</w:t>
            </w: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3</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W10</w:t>
            </w:r>
          </w:p>
        </w:tc>
      </w:tr>
      <w:tr w:rsidR="0050150B" w:rsidRPr="00FC1444" w:rsidTr="009F0A2E">
        <w:trPr>
          <w:trHeight w:val="39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4</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W30</w:t>
            </w:r>
          </w:p>
        </w:tc>
      </w:tr>
      <w:tr w:rsidR="0050150B" w:rsidRPr="00FC1444" w:rsidTr="009F0A2E">
        <w:trPr>
          <w:trHeight w:val="39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9</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N100</w:t>
            </w:r>
          </w:p>
        </w:tc>
      </w:tr>
      <w:tr w:rsidR="0050150B" w:rsidRPr="00FC1444" w:rsidTr="009F0A2E">
        <w:trPr>
          <w:trHeight w:val="178"/>
          <w:jc w:val="center"/>
        </w:trPr>
        <w:tc>
          <w:tcPr>
            <w:tcW w:w="1326" w:type="dxa"/>
            <w:vMerge w:val="restart"/>
            <w:shd w:val="clear" w:color="auto" w:fill="auto"/>
            <w:vAlign w:val="center"/>
          </w:tcPr>
          <w:p w:rsidR="0050150B" w:rsidRPr="00FC1444" w:rsidRDefault="0050150B" w:rsidP="00F57E89">
            <w:pPr>
              <w:spacing w:line="0" w:lineRule="atLeast"/>
              <w:jc w:val="center"/>
              <w:rPr>
                <w:rFonts w:eastAsiaTheme="minorEastAsia"/>
                <w:szCs w:val="21"/>
              </w:rPr>
            </w:pPr>
            <w:r w:rsidRPr="00FC1444">
              <w:rPr>
                <w:rFonts w:eastAsiaTheme="minorEastAsia"/>
                <w:szCs w:val="21"/>
              </w:rPr>
              <w:t>小张家窝棚</w:t>
            </w:r>
          </w:p>
        </w:tc>
        <w:tc>
          <w:tcPr>
            <w:tcW w:w="830"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127.0701826</w:t>
            </w:r>
          </w:p>
        </w:tc>
        <w:tc>
          <w:tcPr>
            <w:tcW w:w="993"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46.431391</w:t>
            </w: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E20</w:t>
            </w:r>
          </w:p>
        </w:tc>
      </w:tr>
      <w:tr w:rsidR="0050150B" w:rsidRPr="00FC1444" w:rsidTr="009F0A2E">
        <w:trPr>
          <w:trHeight w:val="178"/>
          <w:jc w:val="center"/>
        </w:trPr>
        <w:tc>
          <w:tcPr>
            <w:tcW w:w="1326" w:type="dxa"/>
            <w:vMerge/>
            <w:shd w:val="clear" w:color="auto" w:fill="auto"/>
            <w:vAlign w:val="center"/>
          </w:tcPr>
          <w:p w:rsidR="0050150B" w:rsidRPr="00FC1444" w:rsidRDefault="0050150B" w:rsidP="00F57E89">
            <w:pPr>
              <w:spacing w:line="0" w:lineRule="atLeast"/>
              <w:jc w:val="center"/>
              <w:rPr>
                <w:rFonts w:eastAsiaTheme="minorEastAsia"/>
                <w:szCs w:val="21"/>
              </w:rPr>
            </w:pPr>
          </w:p>
        </w:tc>
        <w:tc>
          <w:tcPr>
            <w:tcW w:w="830"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13</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W40</w:t>
            </w:r>
          </w:p>
        </w:tc>
      </w:tr>
      <w:tr w:rsidR="0050150B" w:rsidRPr="00FC1444" w:rsidTr="009F0A2E">
        <w:trPr>
          <w:trHeight w:val="178"/>
          <w:jc w:val="center"/>
        </w:trPr>
        <w:tc>
          <w:tcPr>
            <w:tcW w:w="1326" w:type="dxa"/>
            <w:vMerge/>
            <w:shd w:val="clear" w:color="auto" w:fill="auto"/>
            <w:vAlign w:val="center"/>
          </w:tcPr>
          <w:p w:rsidR="0050150B" w:rsidRPr="00FC1444" w:rsidRDefault="0050150B" w:rsidP="00F57E89">
            <w:pPr>
              <w:spacing w:line="0" w:lineRule="atLeast"/>
              <w:jc w:val="center"/>
              <w:rPr>
                <w:rFonts w:eastAsiaTheme="minorEastAsia"/>
                <w:szCs w:val="21"/>
              </w:rPr>
            </w:pPr>
          </w:p>
        </w:tc>
        <w:tc>
          <w:tcPr>
            <w:tcW w:w="830"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44</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N70</w:t>
            </w:r>
          </w:p>
        </w:tc>
      </w:tr>
      <w:tr w:rsidR="0050150B" w:rsidRPr="00FC1444" w:rsidTr="009F0A2E">
        <w:trPr>
          <w:trHeight w:val="178"/>
          <w:jc w:val="center"/>
        </w:trPr>
        <w:tc>
          <w:tcPr>
            <w:tcW w:w="1326" w:type="dxa"/>
            <w:vMerge w:val="restart"/>
            <w:shd w:val="clear" w:color="auto" w:fill="auto"/>
            <w:vAlign w:val="center"/>
          </w:tcPr>
          <w:p w:rsidR="0050150B" w:rsidRPr="00FC1444" w:rsidRDefault="0050150B" w:rsidP="00F57E89">
            <w:pPr>
              <w:spacing w:line="0" w:lineRule="atLeast"/>
              <w:jc w:val="center"/>
              <w:rPr>
                <w:rFonts w:eastAsiaTheme="minorEastAsia"/>
                <w:szCs w:val="21"/>
              </w:rPr>
            </w:pPr>
            <w:r w:rsidRPr="00FC1444">
              <w:rPr>
                <w:rFonts w:eastAsiaTheme="minorEastAsia"/>
                <w:szCs w:val="21"/>
              </w:rPr>
              <w:t>于</w:t>
            </w:r>
            <w:r w:rsidRPr="00FC1444">
              <w:rPr>
                <w:rFonts w:eastAsiaTheme="minorEastAsia" w:hint="eastAsia"/>
                <w:szCs w:val="21"/>
              </w:rPr>
              <w:t>磕巴屯</w:t>
            </w:r>
          </w:p>
        </w:tc>
        <w:tc>
          <w:tcPr>
            <w:tcW w:w="830"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127.0839303</w:t>
            </w:r>
          </w:p>
        </w:tc>
        <w:tc>
          <w:tcPr>
            <w:tcW w:w="993"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46.423539</w:t>
            </w: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6</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W20</w:t>
            </w:r>
          </w:p>
        </w:tc>
      </w:tr>
      <w:tr w:rsidR="0050150B" w:rsidRPr="00FC1444" w:rsidTr="009F0A2E">
        <w:trPr>
          <w:trHeight w:val="178"/>
          <w:jc w:val="center"/>
        </w:trPr>
        <w:tc>
          <w:tcPr>
            <w:tcW w:w="1326" w:type="dxa"/>
            <w:vMerge/>
            <w:shd w:val="clear" w:color="auto" w:fill="auto"/>
            <w:vAlign w:val="center"/>
          </w:tcPr>
          <w:p w:rsidR="0050150B" w:rsidRPr="00FC1444" w:rsidRDefault="0050150B" w:rsidP="00F57E89">
            <w:pPr>
              <w:spacing w:line="0" w:lineRule="atLeast"/>
              <w:jc w:val="center"/>
              <w:rPr>
                <w:rFonts w:eastAsiaTheme="minorEastAsia"/>
                <w:szCs w:val="21"/>
              </w:rPr>
            </w:pPr>
          </w:p>
        </w:tc>
        <w:tc>
          <w:tcPr>
            <w:tcW w:w="830"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snapToGrid w:val="0"/>
                <w:szCs w:val="21"/>
              </w:rPr>
              <w:t>涵</w:t>
            </w:r>
            <w:r w:rsidRPr="00FC1444">
              <w:rPr>
                <w:rFonts w:eastAsiaTheme="minorEastAsia" w:hint="eastAsia"/>
                <w:snapToGrid w:val="0"/>
                <w:szCs w:val="21"/>
              </w:rPr>
              <w:t>6</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W70</w:t>
            </w:r>
          </w:p>
        </w:tc>
      </w:tr>
      <w:tr w:rsidR="0050150B" w:rsidRPr="00FC1444" w:rsidTr="009F0A2E">
        <w:trPr>
          <w:trHeight w:val="199"/>
          <w:jc w:val="center"/>
        </w:trPr>
        <w:tc>
          <w:tcPr>
            <w:tcW w:w="1326" w:type="dxa"/>
            <w:vMerge w:val="restart"/>
            <w:shd w:val="clear" w:color="auto" w:fill="auto"/>
            <w:vAlign w:val="center"/>
          </w:tcPr>
          <w:p w:rsidR="0050150B" w:rsidRPr="00FC1444" w:rsidRDefault="0050150B" w:rsidP="00F57E89">
            <w:pPr>
              <w:spacing w:line="0" w:lineRule="atLeast"/>
              <w:jc w:val="center"/>
              <w:rPr>
                <w:rFonts w:eastAsiaTheme="minorEastAsia"/>
                <w:szCs w:val="21"/>
              </w:rPr>
            </w:pPr>
            <w:r w:rsidRPr="00FC1444">
              <w:rPr>
                <w:rFonts w:eastAsiaTheme="minorEastAsia"/>
                <w:szCs w:val="21"/>
              </w:rPr>
              <w:t>陈家店屯</w:t>
            </w:r>
          </w:p>
        </w:tc>
        <w:tc>
          <w:tcPr>
            <w:tcW w:w="830"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127.0912133</w:t>
            </w:r>
          </w:p>
        </w:tc>
        <w:tc>
          <w:tcPr>
            <w:tcW w:w="993"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46.430346</w:t>
            </w: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10</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N140</w:t>
            </w:r>
          </w:p>
        </w:tc>
      </w:tr>
      <w:tr w:rsidR="0050150B" w:rsidRPr="00FC1444" w:rsidTr="009F0A2E">
        <w:trPr>
          <w:trHeight w:val="178"/>
          <w:jc w:val="center"/>
        </w:trPr>
        <w:tc>
          <w:tcPr>
            <w:tcW w:w="1326" w:type="dxa"/>
            <w:vMerge/>
            <w:shd w:val="clear" w:color="auto" w:fill="auto"/>
            <w:vAlign w:val="center"/>
          </w:tcPr>
          <w:p w:rsidR="0050150B" w:rsidRPr="00FC1444" w:rsidRDefault="0050150B" w:rsidP="00F57E89">
            <w:pPr>
              <w:spacing w:line="0" w:lineRule="atLeast"/>
              <w:jc w:val="center"/>
              <w:rPr>
                <w:rFonts w:eastAsiaTheme="minorEastAsia"/>
                <w:szCs w:val="21"/>
              </w:rPr>
            </w:pPr>
          </w:p>
        </w:tc>
        <w:tc>
          <w:tcPr>
            <w:tcW w:w="830"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7</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S170</w:t>
            </w:r>
          </w:p>
        </w:tc>
      </w:tr>
      <w:tr w:rsidR="0050150B" w:rsidRPr="00FC1444" w:rsidTr="009F0A2E">
        <w:trPr>
          <w:trHeight w:val="178"/>
          <w:jc w:val="center"/>
        </w:trPr>
        <w:tc>
          <w:tcPr>
            <w:tcW w:w="1326" w:type="dxa"/>
            <w:vMerge w:val="restart"/>
            <w:shd w:val="clear" w:color="auto" w:fill="auto"/>
            <w:vAlign w:val="center"/>
          </w:tcPr>
          <w:p w:rsidR="0050150B" w:rsidRPr="00FC1444" w:rsidRDefault="0050150B" w:rsidP="00F57E89">
            <w:pPr>
              <w:spacing w:line="0" w:lineRule="atLeast"/>
              <w:jc w:val="center"/>
              <w:rPr>
                <w:rFonts w:eastAsiaTheme="minorEastAsia"/>
                <w:szCs w:val="21"/>
              </w:rPr>
            </w:pPr>
            <w:r w:rsidRPr="00FC1444">
              <w:rPr>
                <w:rFonts w:eastAsiaTheme="minorEastAsia"/>
                <w:szCs w:val="21"/>
              </w:rPr>
              <w:t>冷家屯</w:t>
            </w:r>
          </w:p>
        </w:tc>
        <w:tc>
          <w:tcPr>
            <w:tcW w:w="830" w:type="dxa"/>
            <w:vMerge w:val="restart"/>
            <w:vAlign w:val="center"/>
          </w:tcPr>
          <w:p w:rsidR="0050150B" w:rsidRPr="00FC1444" w:rsidRDefault="0050150B" w:rsidP="00F57E89">
            <w:pPr>
              <w:rPr>
                <w:rFonts w:eastAsiaTheme="minorEastAsia"/>
                <w:szCs w:val="21"/>
              </w:rPr>
            </w:pPr>
            <w:r w:rsidRPr="00FC1444">
              <w:rPr>
                <w:rFonts w:eastAsiaTheme="minorEastAsia"/>
                <w:szCs w:val="21"/>
              </w:rPr>
              <w:t>127.0932140</w:t>
            </w:r>
          </w:p>
        </w:tc>
        <w:tc>
          <w:tcPr>
            <w:tcW w:w="993"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46.433418</w:t>
            </w: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5</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S10</w:t>
            </w:r>
          </w:p>
        </w:tc>
      </w:tr>
      <w:tr w:rsidR="0050150B" w:rsidRPr="00FC1444" w:rsidTr="009F0A2E">
        <w:trPr>
          <w:trHeight w:val="214"/>
          <w:jc w:val="center"/>
        </w:trPr>
        <w:tc>
          <w:tcPr>
            <w:tcW w:w="1326" w:type="dxa"/>
            <w:vMerge/>
            <w:shd w:val="clear" w:color="auto" w:fill="auto"/>
            <w:vAlign w:val="center"/>
          </w:tcPr>
          <w:p w:rsidR="0050150B" w:rsidRPr="00FC1444" w:rsidRDefault="0050150B" w:rsidP="00F57E89">
            <w:pPr>
              <w:spacing w:line="0" w:lineRule="atLeast"/>
              <w:jc w:val="center"/>
              <w:rPr>
                <w:rFonts w:eastAsiaTheme="minorEastAsia"/>
                <w:szCs w:val="21"/>
              </w:rPr>
            </w:pPr>
          </w:p>
        </w:tc>
        <w:tc>
          <w:tcPr>
            <w:tcW w:w="830"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12</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N10</w:t>
            </w:r>
          </w:p>
        </w:tc>
      </w:tr>
      <w:tr w:rsidR="0050150B" w:rsidRPr="00FC1444" w:rsidTr="009F0A2E">
        <w:trPr>
          <w:trHeight w:val="178"/>
          <w:jc w:val="center"/>
        </w:trPr>
        <w:tc>
          <w:tcPr>
            <w:tcW w:w="1326" w:type="dxa"/>
            <w:vMerge w:val="restart"/>
            <w:shd w:val="clear" w:color="auto" w:fill="auto"/>
            <w:vAlign w:val="center"/>
          </w:tcPr>
          <w:p w:rsidR="0050150B" w:rsidRPr="00FC1444" w:rsidRDefault="0050150B" w:rsidP="00F57E89">
            <w:pPr>
              <w:spacing w:line="0" w:lineRule="atLeast"/>
              <w:jc w:val="center"/>
              <w:rPr>
                <w:rFonts w:eastAsiaTheme="minorEastAsia"/>
                <w:szCs w:val="21"/>
              </w:rPr>
            </w:pPr>
            <w:r w:rsidRPr="00FC1444">
              <w:rPr>
                <w:rFonts w:eastAsiaTheme="minorEastAsia"/>
                <w:szCs w:val="21"/>
              </w:rPr>
              <w:t>侯家屯</w:t>
            </w:r>
          </w:p>
        </w:tc>
        <w:tc>
          <w:tcPr>
            <w:tcW w:w="830" w:type="dxa"/>
            <w:vMerge w:val="restart"/>
            <w:vAlign w:val="center"/>
          </w:tcPr>
          <w:p w:rsidR="0050150B" w:rsidRPr="00FC1444" w:rsidRDefault="0050150B" w:rsidP="00F57E89">
            <w:pPr>
              <w:rPr>
                <w:rFonts w:eastAsiaTheme="minorEastAsia"/>
                <w:szCs w:val="21"/>
              </w:rPr>
            </w:pPr>
            <w:r w:rsidRPr="00FC1444">
              <w:rPr>
                <w:rFonts w:eastAsiaTheme="minorEastAsia"/>
                <w:szCs w:val="21"/>
              </w:rPr>
              <w:t>127.0803364</w:t>
            </w:r>
          </w:p>
        </w:tc>
        <w:tc>
          <w:tcPr>
            <w:tcW w:w="993"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46.435144</w:t>
            </w: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13</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E15</w:t>
            </w:r>
          </w:p>
        </w:tc>
      </w:tr>
      <w:tr w:rsidR="0050150B" w:rsidRPr="00FC1444" w:rsidTr="009F0A2E">
        <w:trPr>
          <w:trHeight w:val="178"/>
          <w:jc w:val="center"/>
        </w:trPr>
        <w:tc>
          <w:tcPr>
            <w:tcW w:w="1326" w:type="dxa"/>
            <w:vMerge/>
            <w:shd w:val="clear" w:color="auto" w:fill="auto"/>
            <w:vAlign w:val="center"/>
          </w:tcPr>
          <w:p w:rsidR="0050150B" w:rsidRPr="00FC1444" w:rsidRDefault="0050150B" w:rsidP="00F57E89">
            <w:pPr>
              <w:spacing w:line="0" w:lineRule="atLeast"/>
              <w:jc w:val="center"/>
              <w:rPr>
                <w:rFonts w:eastAsiaTheme="minorEastAsia"/>
                <w:szCs w:val="21"/>
              </w:rPr>
            </w:pPr>
          </w:p>
        </w:tc>
        <w:tc>
          <w:tcPr>
            <w:tcW w:w="830"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snapToGrid w:val="0"/>
                <w:szCs w:val="21"/>
              </w:rPr>
              <w:t>涵</w:t>
            </w:r>
            <w:r w:rsidRPr="00FC1444">
              <w:rPr>
                <w:rFonts w:eastAsiaTheme="minorEastAsia" w:hint="eastAsia"/>
                <w:snapToGrid w:val="0"/>
                <w:szCs w:val="21"/>
              </w:rPr>
              <w:t>12</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W20</w:t>
            </w:r>
          </w:p>
        </w:tc>
      </w:tr>
      <w:tr w:rsidR="0050150B" w:rsidRPr="00FC1444" w:rsidTr="009F0A2E">
        <w:trPr>
          <w:trHeight w:val="312"/>
          <w:jc w:val="center"/>
        </w:trPr>
        <w:tc>
          <w:tcPr>
            <w:tcW w:w="1326" w:type="dxa"/>
            <w:vMerge w:val="restart"/>
            <w:shd w:val="clear" w:color="auto" w:fill="auto"/>
            <w:vAlign w:val="center"/>
          </w:tcPr>
          <w:p w:rsidR="0050150B" w:rsidRPr="00FC1444" w:rsidRDefault="0050150B" w:rsidP="00F57E89">
            <w:pPr>
              <w:spacing w:line="0" w:lineRule="atLeast"/>
              <w:jc w:val="center"/>
              <w:rPr>
                <w:rFonts w:eastAsiaTheme="minorEastAsia"/>
                <w:szCs w:val="21"/>
              </w:rPr>
            </w:pPr>
            <w:r w:rsidRPr="00FC1444">
              <w:rPr>
                <w:rFonts w:eastAsiaTheme="minorEastAsia" w:hint="eastAsia"/>
                <w:szCs w:val="21"/>
              </w:rPr>
              <w:t>孔</w:t>
            </w:r>
            <w:r w:rsidRPr="00FC1444">
              <w:rPr>
                <w:rFonts w:eastAsiaTheme="minorEastAsia"/>
                <w:szCs w:val="21"/>
              </w:rPr>
              <w:t>家屯</w:t>
            </w:r>
          </w:p>
        </w:tc>
        <w:tc>
          <w:tcPr>
            <w:tcW w:w="830"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127.0657162</w:t>
            </w:r>
          </w:p>
        </w:tc>
        <w:tc>
          <w:tcPr>
            <w:tcW w:w="993"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46.441643</w:t>
            </w: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8</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N30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F57E89">
            <w:pPr>
              <w:spacing w:line="0" w:lineRule="atLeast"/>
              <w:jc w:val="center"/>
              <w:rPr>
                <w:rFonts w:eastAsiaTheme="minorEastAsia"/>
                <w:szCs w:val="21"/>
              </w:rPr>
            </w:pPr>
          </w:p>
        </w:tc>
        <w:tc>
          <w:tcPr>
            <w:tcW w:w="830"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72</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S150</w:t>
            </w:r>
          </w:p>
        </w:tc>
      </w:tr>
      <w:tr w:rsidR="0050150B" w:rsidRPr="00FC1444" w:rsidTr="009F0A2E">
        <w:trPr>
          <w:trHeight w:val="275"/>
          <w:jc w:val="center"/>
        </w:trPr>
        <w:tc>
          <w:tcPr>
            <w:tcW w:w="1326" w:type="dxa"/>
            <w:vMerge w:val="restart"/>
            <w:shd w:val="clear" w:color="auto" w:fill="auto"/>
            <w:vAlign w:val="center"/>
          </w:tcPr>
          <w:p w:rsidR="0050150B" w:rsidRPr="00FC1444" w:rsidRDefault="0050150B" w:rsidP="00F57E89">
            <w:pPr>
              <w:spacing w:line="0" w:lineRule="atLeast"/>
              <w:jc w:val="center"/>
              <w:rPr>
                <w:rFonts w:eastAsiaTheme="minorEastAsia"/>
                <w:szCs w:val="21"/>
              </w:rPr>
            </w:pPr>
            <w:r w:rsidRPr="00FC1444">
              <w:rPr>
                <w:rFonts w:eastAsiaTheme="minorEastAsia"/>
                <w:szCs w:val="21"/>
              </w:rPr>
              <w:t>民胜村</w:t>
            </w:r>
          </w:p>
        </w:tc>
        <w:tc>
          <w:tcPr>
            <w:tcW w:w="830"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127.0624294</w:t>
            </w:r>
          </w:p>
        </w:tc>
        <w:tc>
          <w:tcPr>
            <w:tcW w:w="993"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46.442611</w:t>
            </w: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1</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N60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F57E89">
            <w:pPr>
              <w:spacing w:line="0" w:lineRule="atLeast"/>
              <w:jc w:val="center"/>
              <w:rPr>
                <w:rFonts w:eastAsiaTheme="minorEastAsia"/>
                <w:szCs w:val="21"/>
              </w:rPr>
            </w:pPr>
          </w:p>
        </w:tc>
        <w:tc>
          <w:tcPr>
            <w:tcW w:w="830"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2</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N30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F57E89">
            <w:pPr>
              <w:spacing w:line="0" w:lineRule="atLeast"/>
              <w:jc w:val="center"/>
              <w:rPr>
                <w:rFonts w:eastAsiaTheme="minorEastAsia"/>
                <w:szCs w:val="21"/>
              </w:rPr>
            </w:pPr>
          </w:p>
        </w:tc>
        <w:tc>
          <w:tcPr>
            <w:tcW w:w="830"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7</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N20</w:t>
            </w:r>
          </w:p>
        </w:tc>
      </w:tr>
      <w:tr w:rsidR="0050150B" w:rsidRPr="00FC1444" w:rsidTr="009F0A2E">
        <w:trPr>
          <w:trHeight w:val="275"/>
          <w:jc w:val="center"/>
        </w:trPr>
        <w:tc>
          <w:tcPr>
            <w:tcW w:w="1326" w:type="dxa"/>
            <w:vMerge w:val="restart"/>
            <w:shd w:val="clear" w:color="auto" w:fill="auto"/>
            <w:vAlign w:val="center"/>
          </w:tcPr>
          <w:p w:rsidR="0050150B" w:rsidRPr="00FC1444" w:rsidRDefault="0050150B" w:rsidP="00F57E89">
            <w:pPr>
              <w:spacing w:line="0" w:lineRule="atLeast"/>
              <w:jc w:val="center"/>
              <w:rPr>
                <w:rFonts w:eastAsiaTheme="minorEastAsia"/>
                <w:szCs w:val="21"/>
              </w:rPr>
            </w:pPr>
            <w:r w:rsidRPr="00FC1444">
              <w:rPr>
                <w:rFonts w:eastAsiaTheme="minorEastAsia"/>
                <w:szCs w:val="21"/>
              </w:rPr>
              <w:t>王家屯</w:t>
            </w:r>
          </w:p>
        </w:tc>
        <w:tc>
          <w:tcPr>
            <w:tcW w:w="830"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127.0541305</w:t>
            </w:r>
          </w:p>
        </w:tc>
        <w:tc>
          <w:tcPr>
            <w:tcW w:w="993"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46.444972</w:t>
            </w: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W25</w:t>
            </w:r>
          </w:p>
        </w:tc>
      </w:tr>
      <w:tr w:rsidR="0050150B" w:rsidRPr="00FC1444" w:rsidTr="009F0A2E">
        <w:trPr>
          <w:trHeight w:val="275"/>
          <w:jc w:val="center"/>
        </w:trPr>
        <w:tc>
          <w:tcPr>
            <w:tcW w:w="1326" w:type="dxa"/>
            <w:vMerge/>
            <w:shd w:val="clear" w:color="auto" w:fill="auto"/>
            <w:vAlign w:val="center"/>
          </w:tcPr>
          <w:p w:rsidR="0050150B" w:rsidRPr="00FC1444" w:rsidRDefault="0050150B" w:rsidP="00F57E89">
            <w:pPr>
              <w:spacing w:line="0" w:lineRule="atLeast"/>
              <w:jc w:val="center"/>
              <w:rPr>
                <w:rFonts w:eastAsiaTheme="minorEastAsia"/>
                <w:szCs w:val="21"/>
              </w:rPr>
            </w:pPr>
          </w:p>
        </w:tc>
        <w:tc>
          <w:tcPr>
            <w:tcW w:w="830"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4</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W110</w:t>
            </w:r>
          </w:p>
        </w:tc>
      </w:tr>
      <w:tr w:rsidR="0050150B" w:rsidRPr="00FC1444" w:rsidTr="00D41946">
        <w:trPr>
          <w:trHeight w:val="527"/>
          <w:jc w:val="center"/>
        </w:trPr>
        <w:tc>
          <w:tcPr>
            <w:tcW w:w="1326" w:type="dxa"/>
            <w:vMerge w:val="restart"/>
            <w:shd w:val="clear" w:color="auto" w:fill="auto"/>
            <w:vAlign w:val="center"/>
          </w:tcPr>
          <w:p w:rsidR="0050150B" w:rsidRPr="00FC1444" w:rsidRDefault="0050150B" w:rsidP="00F57E89">
            <w:pPr>
              <w:spacing w:line="0" w:lineRule="atLeast"/>
              <w:jc w:val="center"/>
              <w:rPr>
                <w:rFonts w:eastAsiaTheme="minorEastAsia"/>
                <w:szCs w:val="21"/>
              </w:rPr>
            </w:pPr>
            <w:r w:rsidRPr="00FC1444">
              <w:rPr>
                <w:rFonts w:eastAsiaTheme="minorEastAsia" w:hint="eastAsia"/>
                <w:szCs w:val="21"/>
              </w:rPr>
              <w:t>津河镇</w:t>
            </w:r>
          </w:p>
        </w:tc>
        <w:tc>
          <w:tcPr>
            <w:tcW w:w="830"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127.0909492</w:t>
            </w:r>
          </w:p>
        </w:tc>
        <w:tc>
          <w:tcPr>
            <w:tcW w:w="993"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46.435899</w:t>
            </w: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restart"/>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环境空气：二类区；声环境：二类区</w:t>
            </w: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20</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N40</w:t>
            </w:r>
          </w:p>
        </w:tc>
      </w:tr>
      <w:tr w:rsidR="0050150B" w:rsidRPr="00FC1444" w:rsidTr="00D41946">
        <w:trPr>
          <w:trHeight w:val="563"/>
          <w:jc w:val="center"/>
        </w:trPr>
        <w:tc>
          <w:tcPr>
            <w:tcW w:w="1326" w:type="dxa"/>
            <w:vMerge/>
            <w:shd w:val="clear" w:color="auto" w:fill="auto"/>
            <w:vAlign w:val="center"/>
          </w:tcPr>
          <w:p w:rsidR="0050150B" w:rsidRPr="00FC1444" w:rsidRDefault="0050150B" w:rsidP="00F57E89">
            <w:pPr>
              <w:spacing w:line="0" w:lineRule="atLeast"/>
              <w:jc w:val="center"/>
              <w:rPr>
                <w:rFonts w:eastAsiaTheme="minorEastAsia"/>
                <w:szCs w:val="21"/>
              </w:rPr>
            </w:pPr>
          </w:p>
        </w:tc>
        <w:tc>
          <w:tcPr>
            <w:tcW w:w="830"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16</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E40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F57E89">
            <w:pPr>
              <w:spacing w:line="0" w:lineRule="atLeast"/>
              <w:jc w:val="center"/>
              <w:rPr>
                <w:rFonts w:eastAsiaTheme="minorEastAsia"/>
                <w:szCs w:val="21"/>
              </w:rPr>
            </w:pPr>
          </w:p>
        </w:tc>
        <w:tc>
          <w:tcPr>
            <w:tcW w:w="830"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F57E89">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13</w:t>
            </w:r>
          </w:p>
        </w:tc>
        <w:tc>
          <w:tcPr>
            <w:tcW w:w="1389" w:type="dxa"/>
            <w:shd w:val="clear" w:color="auto" w:fill="auto"/>
            <w:vAlign w:val="center"/>
          </w:tcPr>
          <w:p w:rsidR="0050150B" w:rsidRPr="00FC1444" w:rsidRDefault="0050150B" w:rsidP="00F57E89">
            <w:pPr>
              <w:adjustRightInd w:val="0"/>
              <w:snapToGrid w:val="0"/>
              <w:spacing w:line="0" w:lineRule="atLeast"/>
              <w:jc w:val="center"/>
              <w:rPr>
                <w:rFonts w:eastAsiaTheme="minorEastAsia"/>
                <w:szCs w:val="21"/>
              </w:rPr>
            </w:pPr>
            <w:r w:rsidRPr="00FC1444">
              <w:rPr>
                <w:rFonts w:eastAsiaTheme="minorEastAsia" w:hint="eastAsia"/>
                <w:szCs w:val="21"/>
              </w:rPr>
              <w:t>S130</w:t>
            </w:r>
          </w:p>
        </w:tc>
      </w:tr>
      <w:tr w:rsidR="0050150B" w:rsidRPr="00FC1444" w:rsidTr="009F0A2E">
        <w:trPr>
          <w:trHeight w:val="101"/>
          <w:jc w:val="center"/>
        </w:trPr>
        <w:tc>
          <w:tcPr>
            <w:tcW w:w="1326" w:type="dxa"/>
            <w:vMerge w:val="restart"/>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hint="eastAsia"/>
                <w:szCs w:val="21"/>
              </w:rPr>
              <w:t>津北村</w:t>
            </w:r>
          </w:p>
        </w:tc>
        <w:tc>
          <w:tcPr>
            <w:tcW w:w="830" w:type="dxa"/>
            <w:vMerge w:val="restart"/>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127.0832336</w:t>
            </w:r>
          </w:p>
        </w:tc>
        <w:tc>
          <w:tcPr>
            <w:tcW w:w="993" w:type="dxa"/>
            <w:vMerge w:val="restart"/>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46.443578</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环境空气：二类区；声环境：一类区</w:t>
            </w: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17</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N150</w:t>
            </w:r>
          </w:p>
        </w:tc>
      </w:tr>
      <w:tr w:rsidR="0050150B" w:rsidRPr="00FC1444" w:rsidTr="009F0A2E">
        <w:trPr>
          <w:trHeight w:val="64"/>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6</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napToGrid w:val="0"/>
                <w:szCs w:val="21"/>
              </w:rPr>
              <w:t>N</w:t>
            </w:r>
            <w:r w:rsidRPr="00FC1444">
              <w:rPr>
                <w:rFonts w:eastAsiaTheme="minorEastAsia" w:hint="eastAsia"/>
                <w:szCs w:val="21"/>
              </w:rPr>
              <w:t>150</w:t>
            </w:r>
          </w:p>
        </w:tc>
      </w:tr>
      <w:tr w:rsidR="0050150B" w:rsidRPr="00FC1444" w:rsidTr="009F0A2E">
        <w:trPr>
          <w:trHeight w:val="178"/>
          <w:jc w:val="center"/>
        </w:trPr>
        <w:tc>
          <w:tcPr>
            <w:tcW w:w="1326" w:type="dxa"/>
            <w:vMerge w:val="restart"/>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乔家洼子</w:t>
            </w:r>
          </w:p>
        </w:tc>
        <w:tc>
          <w:tcPr>
            <w:tcW w:w="830"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127.0747609</w:t>
            </w:r>
          </w:p>
        </w:tc>
        <w:tc>
          <w:tcPr>
            <w:tcW w:w="993"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46.451802</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22</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SE10</w:t>
            </w:r>
          </w:p>
        </w:tc>
      </w:tr>
      <w:tr w:rsidR="0050150B" w:rsidRPr="00FC1444" w:rsidTr="009F0A2E">
        <w:trPr>
          <w:trHeight w:val="191"/>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5</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SE120</w:t>
            </w:r>
          </w:p>
        </w:tc>
      </w:tr>
      <w:tr w:rsidR="0050150B" w:rsidRPr="00FC1444" w:rsidTr="009F0A2E">
        <w:trPr>
          <w:trHeight w:val="181"/>
          <w:jc w:val="center"/>
        </w:trPr>
        <w:tc>
          <w:tcPr>
            <w:tcW w:w="1326" w:type="dxa"/>
            <w:vMerge w:val="restart"/>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孙土包</w:t>
            </w:r>
          </w:p>
        </w:tc>
        <w:tc>
          <w:tcPr>
            <w:tcW w:w="830"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127.0850025</w:t>
            </w:r>
          </w:p>
        </w:tc>
        <w:tc>
          <w:tcPr>
            <w:tcW w:w="993"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46.451426</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10</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S120</w:t>
            </w:r>
          </w:p>
        </w:tc>
      </w:tr>
      <w:tr w:rsidR="0050150B" w:rsidRPr="00FC1444" w:rsidTr="009F0A2E">
        <w:trPr>
          <w:trHeight w:val="199"/>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11</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S160</w:t>
            </w:r>
          </w:p>
        </w:tc>
      </w:tr>
      <w:tr w:rsidR="0050150B" w:rsidRPr="00FC1444" w:rsidTr="009F0A2E">
        <w:trPr>
          <w:trHeight w:val="178"/>
          <w:jc w:val="center"/>
        </w:trPr>
        <w:tc>
          <w:tcPr>
            <w:tcW w:w="1326" w:type="dxa"/>
            <w:vMerge w:val="restart"/>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黑瞎沟</w:t>
            </w:r>
          </w:p>
        </w:tc>
        <w:tc>
          <w:tcPr>
            <w:tcW w:w="830"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127.0913818</w:t>
            </w:r>
          </w:p>
        </w:tc>
        <w:tc>
          <w:tcPr>
            <w:tcW w:w="993"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46.444140</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21</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S40</w:t>
            </w:r>
          </w:p>
        </w:tc>
      </w:tr>
      <w:tr w:rsidR="0050150B" w:rsidRPr="00FC1444" w:rsidTr="009F0A2E">
        <w:trPr>
          <w:trHeight w:val="178"/>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22</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S50</w:t>
            </w:r>
          </w:p>
        </w:tc>
      </w:tr>
      <w:tr w:rsidR="0050150B" w:rsidRPr="00FC1444" w:rsidTr="009F0A2E">
        <w:trPr>
          <w:trHeight w:val="178"/>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23</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N90</w:t>
            </w:r>
          </w:p>
        </w:tc>
      </w:tr>
      <w:tr w:rsidR="0050150B" w:rsidRPr="00FC1444" w:rsidTr="009F0A2E">
        <w:trPr>
          <w:trHeight w:val="178"/>
          <w:jc w:val="center"/>
        </w:trPr>
        <w:tc>
          <w:tcPr>
            <w:tcW w:w="1326" w:type="dxa"/>
            <w:vMerge w:val="restart"/>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王家屯</w:t>
            </w:r>
          </w:p>
        </w:tc>
        <w:tc>
          <w:tcPr>
            <w:tcW w:w="830"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127.0821562</w:t>
            </w:r>
          </w:p>
        </w:tc>
        <w:tc>
          <w:tcPr>
            <w:tcW w:w="993"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46.453379</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14</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S15</w:t>
            </w:r>
          </w:p>
        </w:tc>
      </w:tr>
      <w:tr w:rsidR="0050150B" w:rsidRPr="00FC1444" w:rsidTr="009F0A2E">
        <w:trPr>
          <w:trHeight w:val="178"/>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szCs w:val="21"/>
              </w:rPr>
              <w:t>涵</w:t>
            </w:r>
            <w:r w:rsidRPr="00FC1444">
              <w:rPr>
                <w:rFonts w:eastAsiaTheme="minorEastAsia" w:hint="eastAsia"/>
                <w:szCs w:val="21"/>
              </w:rPr>
              <w:t>23</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E15</w:t>
            </w:r>
          </w:p>
        </w:tc>
      </w:tr>
      <w:tr w:rsidR="0050150B" w:rsidRPr="00FC1444" w:rsidTr="009F0A2E">
        <w:trPr>
          <w:trHeight w:val="513"/>
          <w:jc w:val="center"/>
        </w:trPr>
        <w:tc>
          <w:tcPr>
            <w:tcW w:w="1326" w:type="dxa"/>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肖家屯</w:t>
            </w:r>
          </w:p>
        </w:tc>
        <w:tc>
          <w:tcPr>
            <w:tcW w:w="830"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127.0753212</w:t>
            </w:r>
          </w:p>
        </w:tc>
        <w:tc>
          <w:tcPr>
            <w:tcW w:w="993"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46.461530</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zCs w:val="21"/>
              </w:rPr>
              <w:t>涵</w:t>
            </w:r>
            <w:r w:rsidRPr="00FC1444">
              <w:rPr>
                <w:rFonts w:eastAsiaTheme="minorEastAsia" w:hint="eastAsia"/>
                <w:szCs w:val="21"/>
              </w:rPr>
              <w:t>29</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W100</w:t>
            </w:r>
          </w:p>
        </w:tc>
      </w:tr>
      <w:tr w:rsidR="0050150B" w:rsidRPr="00FC1444" w:rsidTr="009F0A2E">
        <w:trPr>
          <w:trHeight w:val="178"/>
          <w:jc w:val="center"/>
        </w:trPr>
        <w:tc>
          <w:tcPr>
            <w:tcW w:w="1326" w:type="dxa"/>
            <w:vMerge w:val="restart"/>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沈家屯</w:t>
            </w:r>
          </w:p>
        </w:tc>
        <w:tc>
          <w:tcPr>
            <w:tcW w:w="830" w:type="dxa"/>
            <w:vMerge w:val="restart"/>
            <w:vAlign w:val="center"/>
          </w:tcPr>
          <w:p w:rsidR="0050150B" w:rsidRPr="00FC1444" w:rsidRDefault="0050150B" w:rsidP="0050150B">
            <w:pPr>
              <w:rPr>
                <w:rFonts w:eastAsiaTheme="minorEastAsia"/>
                <w:szCs w:val="21"/>
              </w:rPr>
            </w:pPr>
            <w:r w:rsidRPr="00FC1444">
              <w:rPr>
                <w:rFonts w:eastAsiaTheme="minorEastAsia"/>
                <w:szCs w:val="21"/>
              </w:rPr>
              <w:t>127.0820558</w:t>
            </w:r>
          </w:p>
        </w:tc>
        <w:tc>
          <w:tcPr>
            <w:tcW w:w="993"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46.463020</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20</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W20</w:t>
            </w:r>
          </w:p>
        </w:tc>
      </w:tr>
      <w:tr w:rsidR="0050150B" w:rsidRPr="00FC1444" w:rsidTr="009F0A2E">
        <w:trPr>
          <w:trHeight w:val="214"/>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土地平整</w:t>
            </w:r>
            <w:r w:rsidRPr="00FC1444">
              <w:rPr>
                <w:rFonts w:eastAsiaTheme="minorEastAsia" w:hint="eastAsia"/>
                <w:snapToGrid w:val="0"/>
                <w:szCs w:val="21"/>
              </w:rPr>
              <w:t>6</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SE30</w:t>
            </w:r>
          </w:p>
        </w:tc>
      </w:tr>
      <w:tr w:rsidR="0050150B" w:rsidRPr="00FC1444" w:rsidTr="009F0A2E">
        <w:trPr>
          <w:trHeight w:val="178"/>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rPr>
                <w:rFonts w:eastAsiaTheme="minorEastAsia"/>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渠道</w:t>
            </w:r>
            <w:r w:rsidRPr="00FC1444">
              <w:rPr>
                <w:rFonts w:eastAsiaTheme="minorEastAsia" w:hint="eastAsia"/>
                <w:snapToGrid w:val="0"/>
                <w:szCs w:val="21"/>
              </w:rPr>
              <w:t>11</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SE30</w:t>
            </w:r>
          </w:p>
        </w:tc>
      </w:tr>
      <w:tr w:rsidR="0050150B" w:rsidRPr="00FC1444" w:rsidTr="009F0A2E">
        <w:trPr>
          <w:trHeight w:val="178"/>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snapToGrid w:val="0"/>
                <w:szCs w:val="21"/>
              </w:rPr>
              <w:t>涵</w:t>
            </w:r>
            <w:r w:rsidRPr="00FC1444">
              <w:rPr>
                <w:rFonts w:eastAsiaTheme="minorEastAsia" w:hint="eastAsia"/>
                <w:snapToGrid w:val="0"/>
                <w:szCs w:val="21"/>
              </w:rPr>
              <w:t>22</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N30</w:t>
            </w:r>
          </w:p>
        </w:tc>
      </w:tr>
      <w:tr w:rsidR="0050150B" w:rsidRPr="00FC1444" w:rsidTr="009F0A2E">
        <w:trPr>
          <w:trHeight w:val="312"/>
          <w:jc w:val="center"/>
        </w:trPr>
        <w:tc>
          <w:tcPr>
            <w:tcW w:w="1326" w:type="dxa"/>
            <w:vMerge w:val="restart"/>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平安屯</w:t>
            </w:r>
          </w:p>
        </w:tc>
        <w:tc>
          <w:tcPr>
            <w:tcW w:w="830"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127.0853079</w:t>
            </w:r>
          </w:p>
        </w:tc>
        <w:tc>
          <w:tcPr>
            <w:tcW w:w="993"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46.464593</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土地平整</w:t>
            </w:r>
            <w:r w:rsidRPr="00FC1444">
              <w:rPr>
                <w:rFonts w:eastAsiaTheme="minorEastAsia" w:hint="eastAsia"/>
                <w:snapToGrid w:val="0"/>
                <w:szCs w:val="21"/>
              </w:rPr>
              <w:t>11</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E150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渠道</w:t>
            </w:r>
            <w:r w:rsidRPr="00FC1444">
              <w:rPr>
                <w:rFonts w:eastAsiaTheme="minorEastAsia" w:hint="eastAsia"/>
                <w:snapToGrid w:val="0"/>
                <w:szCs w:val="21"/>
              </w:rPr>
              <w:t>17</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E150</w:t>
            </w:r>
          </w:p>
        </w:tc>
      </w:tr>
    </w:tbl>
    <w:p w:rsidR="00FB5EB0" w:rsidRPr="00FC1444" w:rsidRDefault="00FB5EB0" w:rsidP="00FB5EB0">
      <w:pPr>
        <w:jc w:val="center"/>
        <w:rPr>
          <w:rFonts w:eastAsiaTheme="minorEastAsia"/>
          <w:b/>
        </w:rPr>
      </w:pPr>
      <w:r w:rsidRPr="00FC1444">
        <w:rPr>
          <w:rFonts w:eastAsiaTheme="minorEastAsia"/>
          <w:b/>
          <w:kern w:val="0"/>
          <w:szCs w:val="21"/>
        </w:rPr>
        <w:lastRenderedPageBreak/>
        <w:t>续表</w:t>
      </w:r>
      <w:r w:rsidRPr="00FC1444">
        <w:rPr>
          <w:rFonts w:eastAsiaTheme="minorEastAsia"/>
          <w:b/>
          <w:kern w:val="0"/>
          <w:szCs w:val="21"/>
        </w:rPr>
        <w:t>2-8-1</w:t>
      </w:r>
      <w:r w:rsidRPr="00FC1444">
        <w:rPr>
          <w:rFonts w:eastAsiaTheme="minorEastAsia"/>
          <w:b/>
          <w:kern w:val="0"/>
          <w:szCs w:val="21"/>
        </w:rPr>
        <w:t>施工期及运营期环境空气及声环境保护目标一览表</w:t>
      </w:r>
    </w:p>
    <w:tbl>
      <w:tblPr>
        <w:tblW w:w="808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26"/>
        <w:gridCol w:w="830"/>
        <w:gridCol w:w="993"/>
        <w:gridCol w:w="708"/>
        <w:gridCol w:w="567"/>
        <w:gridCol w:w="851"/>
        <w:gridCol w:w="1417"/>
        <w:gridCol w:w="1389"/>
      </w:tblGrid>
      <w:tr w:rsidR="0050150B" w:rsidRPr="00FC1444" w:rsidTr="009F0A2E">
        <w:trPr>
          <w:trHeight w:val="355"/>
          <w:jc w:val="center"/>
        </w:trPr>
        <w:tc>
          <w:tcPr>
            <w:tcW w:w="1326" w:type="dxa"/>
            <w:shd w:val="clear" w:color="auto" w:fill="auto"/>
            <w:vAlign w:val="center"/>
          </w:tcPr>
          <w:p w:rsidR="0050150B" w:rsidRPr="00FC1444" w:rsidRDefault="0050150B" w:rsidP="009F0A2E">
            <w:pPr>
              <w:spacing w:line="0" w:lineRule="atLeast"/>
              <w:jc w:val="center"/>
              <w:rPr>
                <w:rFonts w:eastAsiaTheme="minorEastAsia"/>
                <w:szCs w:val="21"/>
              </w:rPr>
            </w:pPr>
            <w:r w:rsidRPr="00FC1444">
              <w:rPr>
                <w:rFonts w:eastAsiaTheme="minorEastAsia"/>
                <w:szCs w:val="21"/>
              </w:rPr>
              <w:t>冯家屯</w:t>
            </w:r>
          </w:p>
        </w:tc>
        <w:tc>
          <w:tcPr>
            <w:tcW w:w="830"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127.0925755</w:t>
            </w:r>
          </w:p>
        </w:tc>
        <w:tc>
          <w:tcPr>
            <w:tcW w:w="993"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46.460493</w:t>
            </w:r>
          </w:p>
        </w:tc>
        <w:tc>
          <w:tcPr>
            <w:tcW w:w="708"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农村人群集中区</w:t>
            </w:r>
          </w:p>
        </w:tc>
        <w:tc>
          <w:tcPr>
            <w:tcW w:w="567"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人群</w:t>
            </w:r>
          </w:p>
        </w:tc>
        <w:tc>
          <w:tcPr>
            <w:tcW w:w="851"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环境空气：二类区；声环境：一类区</w:t>
            </w: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29</w:t>
            </w:r>
          </w:p>
        </w:tc>
        <w:tc>
          <w:tcPr>
            <w:tcW w:w="1389" w:type="dxa"/>
            <w:shd w:val="clear" w:color="auto" w:fill="auto"/>
            <w:vAlign w:val="center"/>
          </w:tcPr>
          <w:p w:rsidR="0050150B" w:rsidRPr="00FC1444" w:rsidRDefault="00D41946" w:rsidP="009F0A2E">
            <w:pPr>
              <w:adjustRightInd w:val="0"/>
              <w:snapToGrid w:val="0"/>
              <w:spacing w:line="0" w:lineRule="atLeast"/>
              <w:jc w:val="center"/>
              <w:rPr>
                <w:rFonts w:eastAsiaTheme="minorEastAsia"/>
                <w:szCs w:val="21"/>
              </w:rPr>
            </w:pPr>
            <w:r w:rsidRPr="00FC1444">
              <w:rPr>
                <w:rFonts w:eastAsiaTheme="minorEastAsia" w:hint="eastAsia"/>
                <w:szCs w:val="21"/>
              </w:rPr>
              <w:t>N</w:t>
            </w:r>
            <w:r w:rsidR="0050150B" w:rsidRPr="00FC1444">
              <w:rPr>
                <w:rFonts w:eastAsiaTheme="minorEastAsia" w:hint="eastAsia"/>
                <w:szCs w:val="21"/>
              </w:rPr>
              <w:t>60</w:t>
            </w:r>
          </w:p>
        </w:tc>
      </w:tr>
      <w:tr w:rsidR="0050150B" w:rsidRPr="00FC1444" w:rsidTr="009F0A2E">
        <w:trPr>
          <w:trHeight w:val="275"/>
          <w:jc w:val="center"/>
        </w:trPr>
        <w:tc>
          <w:tcPr>
            <w:tcW w:w="1326" w:type="dxa"/>
            <w:vMerge w:val="restart"/>
            <w:shd w:val="clear" w:color="auto" w:fill="auto"/>
            <w:vAlign w:val="center"/>
          </w:tcPr>
          <w:p w:rsidR="0050150B" w:rsidRPr="00FC1444" w:rsidRDefault="0050150B" w:rsidP="009F0A2E">
            <w:pPr>
              <w:spacing w:line="0" w:lineRule="atLeast"/>
              <w:jc w:val="center"/>
              <w:rPr>
                <w:rFonts w:eastAsiaTheme="minorEastAsia"/>
                <w:szCs w:val="21"/>
              </w:rPr>
            </w:pPr>
            <w:r w:rsidRPr="00FC1444">
              <w:rPr>
                <w:rFonts w:eastAsiaTheme="minorEastAsia"/>
                <w:szCs w:val="21"/>
              </w:rPr>
              <w:t>四不漏</w:t>
            </w:r>
          </w:p>
        </w:tc>
        <w:tc>
          <w:tcPr>
            <w:tcW w:w="830"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127.1017974</w:t>
            </w:r>
          </w:p>
        </w:tc>
        <w:tc>
          <w:tcPr>
            <w:tcW w:w="993"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46.453967</w:t>
            </w: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5</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N40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2</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N20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51</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S80</w:t>
            </w:r>
          </w:p>
        </w:tc>
      </w:tr>
      <w:tr w:rsidR="0050150B" w:rsidRPr="00FC1444" w:rsidTr="009F0A2E">
        <w:trPr>
          <w:trHeight w:val="275"/>
          <w:jc w:val="center"/>
        </w:trPr>
        <w:tc>
          <w:tcPr>
            <w:tcW w:w="1326" w:type="dxa"/>
            <w:vMerge w:val="restart"/>
            <w:shd w:val="clear" w:color="auto" w:fill="auto"/>
            <w:vAlign w:val="center"/>
          </w:tcPr>
          <w:p w:rsidR="0050150B" w:rsidRPr="00FC1444" w:rsidRDefault="0050150B" w:rsidP="009F0A2E">
            <w:pPr>
              <w:spacing w:line="0" w:lineRule="atLeast"/>
              <w:jc w:val="center"/>
              <w:rPr>
                <w:rFonts w:eastAsiaTheme="minorEastAsia"/>
                <w:szCs w:val="21"/>
              </w:rPr>
            </w:pPr>
            <w:r w:rsidRPr="00FC1444">
              <w:rPr>
                <w:rFonts w:eastAsiaTheme="minorEastAsia"/>
                <w:szCs w:val="21"/>
              </w:rPr>
              <w:t>郭芳店</w:t>
            </w:r>
          </w:p>
        </w:tc>
        <w:tc>
          <w:tcPr>
            <w:tcW w:w="830"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127.1044006</w:t>
            </w:r>
          </w:p>
        </w:tc>
        <w:tc>
          <w:tcPr>
            <w:tcW w:w="993"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46.452937</w:t>
            </w: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67</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W30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47</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S40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3</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E45</w:t>
            </w:r>
          </w:p>
        </w:tc>
      </w:tr>
      <w:tr w:rsidR="0050150B" w:rsidRPr="00FC1444" w:rsidTr="009F0A2E">
        <w:trPr>
          <w:trHeight w:val="275"/>
          <w:jc w:val="center"/>
        </w:trPr>
        <w:tc>
          <w:tcPr>
            <w:tcW w:w="1326" w:type="dxa"/>
            <w:vMerge w:val="restart"/>
            <w:shd w:val="clear" w:color="auto" w:fill="auto"/>
            <w:vAlign w:val="center"/>
          </w:tcPr>
          <w:p w:rsidR="0050150B" w:rsidRPr="00FC1444" w:rsidRDefault="0050150B" w:rsidP="009F0A2E">
            <w:pPr>
              <w:spacing w:line="0" w:lineRule="atLeast"/>
              <w:jc w:val="center"/>
              <w:rPr>
                <w:rFonts w:eastAsiaTheme="minorEastAsia"/>
                <w:szCs w:val="21"/>
              </w:rPr>
            </w:pPr>
            <w:r w:rsidRPr="00FC1444">
              <w:rPr>
                <w:rFonts w:eastAsiaTheme="minorEastAsia" w:hint="eastAsia"/>
                <w:szCs w:val="21"/>
              </w:rPr>
              <w:t>前孔屯</w:t>
            </w:r>
          </w:p>
        </w:tc>
        <w:tc>
          <w:tcPr>
            <w:tcW w:w="830"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127.1130239</w:t>
            </w:r>
          </w:p>
        </w:tc>
        <w:tc>
          <w:tcPr>
            <w:tcW w:w="993"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46.462514</w:t>
            </w: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38</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N20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57</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W120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2</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N20</w:t>
            </w:r>
          </w:p>
        </w:tc>
      </w:tr>
      <w:tr w:rsidR="0050150B" w:rsidRPr="00FC1444" w:rsidTr="009F0A2E">
        <w:trPr>
          <w:trHeight w:val="275"/>
          <w:jc w:val="center"/>
        </w:trPr>
        <w:tc>
          <w:tcPr>
            <w:tcW w:w="1326" w:type="dxa"/>
            <w:vMerge w:val="restart"/>
            <w:shd w:val="clear" w:color="auto" w:fill="auto"/>
            <w:vAlign w:val="center"/>
          </w:tcPr>
          <w:p w:rsidR="0050150B" w:rsidRPr="00FC1444" w:rsidRDefault="0050150B" w:rsidP="009F0A2E">
            <w:pPr>
              <w:spacing w:line="0" w:lineRule="atLeast"/>
              <w:jc w:val="center"/>
              <w:rPr>
                <w:rFonts w:eastAsiaTheme="minorEastAsia"/>
                <w:szCs w:val="21"/>
              </w:rPr>
            </w:pPr>
            <w:r w:rsidRPr="00FC1444">
              <w:rPr>
                <w:rFonts w:eastAsiaTheme="minorEastAsia"/>
                <w:szCs w:val="21"/>
              </w:rPr>
              <w:t>靠河村</w:t>
            </w:r>
          </w:p>
        </w:tc>
        <w:tc>
          <w:tcPr>
            <w:tcW w:w="830"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127.1021564</w:t>
            </w:r>
          </w:p>
        </w:tc>
        <w:tc>
          <w:tcPr>
            <w:tcW w:w="993"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46.464107</w:t>
            </w: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61</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N20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机电井</w:t>
            </w:r>
            <w:r w:rsidRPr="00FC1444">
              <w:rPr>
                <w:rFonts w:eastAsiaTheme="minorEastAsia" w:hint="eastAsia"/>
                <w:snapToGrid w:val="0"/>
                <w:szCs w:val="21"/>
              </w:rPr>
              <w:t>65</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N10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43</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N50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6</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N30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15</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W20</w:t>
            </w:r>
          </w:p>
        </w:tc>
      </w:tr>
      <w:tr w:rsidR="0050150B" w:rsidRPr="00FC1444" w:rsidTr="009F0A2E">
        <w:trPr>
          <w:trHeight w:val="373"/>
          <w:jc w:val="center"/>
        </w:trPr>
        <w:tc>
          <w:tcPr>
            <w:tcW w:w="1326" w:type="dxa"/>
            <w:shd w:val="clear" w:color="auto" w:fill="auto"/>
            <w:vAlign w:val="center"/>
          </w:tcPr>
          <w:p w:rsidR="0050150B" w:rsidRPr="00FC1444" w:rsidRDefault="0050150B" w:rsidP="009F0A2E">
            <w:pPr>
              <w:spacing w:line="0" w:lineRule="atLeast"/>
              <w:jc w:val="center"/>
              <w:rPr>
                <w:rFonts w:eastAsiaTheme="minorEastAsia"/>
                <w:szCs w:val="21"/>
              </w:rPr>
            </w:pPr>
            <w:r w:rsidRPr="00FC1444">
              <w:rPr>
                <w:rFonts w:eastAsiaTheme="minorEastAsia"/>
                <w:szCs w:val="21"/>
              </w:rPr>
              <w:t>义合村</w:t>
            </w:r>
          </w:p>
        </w:tc>
        <w:tc>
          <w:tcPr>
            <w:tcW w:w="830"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127.1227092</w:t>
            </w:r>
          </w:p>
        </w:tc>
        <w:tc>
          <w:tcPr>
            <w:tcW w:w="993"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46.524123</w:t>
            </w: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179</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W85</w:t>
            </w:r>
          </w:p>
        </w:tc>
      </w:tr>
      <w:tr w:rsidR="0050150B" w:rsidRPr="00FC1444" w:rsidTr="009F0A2E">
        <w:trPr>
          <w:trHeight w:val="451"/>
          <w:jc w:val="center"/>
        </w:trPr>
        <w:tc>
          <w:tcPr>
            <w:tcW w:w="1326" w:type="dxa"/>
            <w:shd w:val="clear" w:color="auto" w:fill="auto"/>
            <w:vAlign w:val="center"/>
          </w:tcPr>
          <w:p w:rsidR="0050150B" w:rsidRPr="00FC1444" w:rsidRDefault="0050150B" w:rsidP="009F0A2E">
            <w:pPr>
              <w:spacing w:line="0" w:lineRule="atLeast"/>
              <w:jc w:val="center"/>
              <w:rPr>
                <w:rFonts w:eastAsiaTheme="minorEastAsia"/>
                <w:szCs w:val="21"/>
              </w:rPr>
            </w:pPr>
            <w:r w:rsidRPr="00FC1444">
              <w:rPr>
                <w:rFonts w:eastAsiaTheme="minorEastAsia"/>
                <w:szCs w:val="21"/>
              </w:rPr>
              <w:t>张连生屯</w:t>
            </w:r>
          </w:p>
        </w:tc>
        <w:tc>
          <w:tcPr>
            <w:tcW w:w="830"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127.1356120</w:t>
            </w:r>
          </w:p>
        </w:tc>
        <w:tc>
          <w:tcPr>
            <w:tcW w:w="993"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46.523370</w:t>
            </w: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3</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S10</w:t>
            </w:r>
          </w:p>
        </w:tc>
      </w:tr>
      <w:tr w:rsidR="0050150B" w:rsidRPr="00FC1444" w:rsidTr="009F0A2E">
        <w:trPr>
          <w:trHeight w:val="275"/>
          <w:jc w:val="center"/>
        </w:trPr>
        <w:tc>
          <w:tcPr>
            <w:tcW w:w="1326" w:type="dxa"/>
            <w:vMerge w:val="restart"/>
            <w:shd w:val="clear" w:color="auto" w:fill="auto"/>
            <w:vAlign w:val="center"/>
          </w:tcPr>
          <w:p w:rsidR="0050150B" w:rsidRPr="00FC1444" w:rsidRDefault="0050150B" w:rsidP="009F0A2E">
            <w:pPr>
              <w:spacing w:line="0" w:lineRule="atLeast"/>
              <w:jc w:val="center"/>
              <w:rPr>
                <w:rFonts w:eastAsiaTheme="minorEastAsia"/>
                <w:szCs w:val="21"/>
              </w:rPr>
            </w:pPr>
            <w:r w:rsidRPr="00FC1444">
              <w:rPr>
                <w:rFonts w:eastAsiaTheme="minorEastAsia"/>
                <w:szCs w:val="21"/>
              </w:rPr>
              <w:t>于路屯</w:t>
            </w:r>
          </w:p>
        </w:tc>
        <w:tc>
          <w:tcPr>
            <w:tcW w:w="830"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127.1310157</w:t>
            </w:r>
          </w:p>
        </w:tc>
        <w:tc>
          <w:tcPr>
            <w:tcW w:w="993" w:type="dxa"/>
            <w:vMerge w:val="restart"/>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46.530670</w:t>
            </w: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N75</w:t>
            </w:r>
          </w:p>
        </w:tc>
      </w:tr>
      <w:tr w:rsidR="0050150B" w:rsidRPr="00FC1444" w:rsidTr="009F0A2E">
        <w:trPr>
          <w:trHeight w:val="275"/>
          <w:jc w:val="center"/>
        </w:trPr>
        <w:tc>
          <w:tcPr>
            <w:tcW w:w="1326" w:type="dxa"/>
            <w:vMerge/>
            <w:shd w:val="clear" w:color="auto" w:fill="auto"/>
            <w:vAlign w:val="center"/>
          </w:tcPr>
          <w:p w:rsidR="0050150B" w:rsidRPr="00FC1444" w:rsidRDefault="0050150B" w:rsidP="009F0A2E">
            <w:pPr>
              <w:spacing w:line="0" w:lineRule="atLeast"/>
              <w:jc w:val="center"/>
              <w:rPr>
                <w:rFonts w:eastAsiaTheme="minorEastAsia"/>
                <w:szCs w:val="21"/>
              </w:rPr>
            </w:pPr>
          </w:p>
        </w:tc>
        <w:tc>
          <w:tcPr>
            <w:tcW w:w="830"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178</w:t>
            </w:r>
          </w:p>
        </w:tc>
        <w:tc>
          <w:tcPr>
            <w:tcW w:w="1389" w:type="dxa"/>
            <w:shd w:val="clear" w:color="auto" w:fill="auto"/>
            <w:vAlign w:val="center"/>
          </w:tcPr>
          <w:p w:rsidR="0050150B" w:rsidRPr="00FC1444" w:rsidRDefault="0050150B" w:rsidP="009F0A2E">
            <w:pPr>
              <w:adjustRightInd w:val="0"/>
              <w:snapToGrid w:val="0"/>
              <w:spacing w:line="0" w:lineRule="atLeast"/>
              <w:jc w:val="center"/>
              <w:rPr>
                <w:rFonts w:eastAsiaTheme="minorEastAsia"/>
                <w:szCs w:val="21"/>
              </w:rPr>
            </w:pPr>
            <w:r w:rsidRPr="00FC1444">
              <w:rPr>
                <w:rFonts w:eastAsiaTheme="minorEastAsia" w:hint="eastAsia"/>
                <w:szCs w:val="21"/>
              </w:rPr>
              <w:t>N180</w:t>
            </w:r>
          </w:p>
        </w:tc>
      </w:tr>
      <w:tr w:rsidR="0050150B" w:rsidRPr="00FC1444" w:rsidTr="009F0A2E">
        <w:trPr>
          <w:trHeight w:val="290"/>
          <w:jc w:val="center"/>
        </w:trPr>
        <w:tc>
          <w:tcPr>
            <w:tcW w:w="1326" w:type="dxa"/>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朱广仁</w:t>
            </w:r>
          </w:p>
        </w:tc>
        <w:tc>
          <w:tcPr>
            <w:tcW w:w="830"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127.1342292</w:t>
            </w:r>
          </w:p>
        </w:tc>
        <w:tc>
          <w:tcPr>
            <w:tcW w:w="993"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46.535978</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S15</w:t>
            </w:r>
          </w:p>
        </w:tc>
      </w:tr>
      <w:tr w:rsidR="0050150B" w:rsidRPr="00FC1444" w:rsidTr="009F0A2E">
        <w:trPr>
          <w:trHeight w:val="275"/>
          <w:jc w:val="center"/>
        </w:trPr>
        <w:tc>
          <w:tcPr>
            <w:tcW w:w="1326" w:type="dxa"/>
            <w:vMerge w:val="restart"/>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张银匠</w:t>
            </w:r>
          </w:p>
        </w:tc>
        <w:tc>
          <w:tcPr>
            <w:tcW w:w="830"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127.1439919</w:t>
            </w:r>
          </w:p>
        </w:tc>
        <w:tc>
          <w:tcPr>
            <w:tcW w:w="993"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46.535925</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69</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NW35</w:t>
            </w:r>
          </w:p>
        </w:tc>
      </w:tr>
      <w:tr w:rsidR="0050150B" w:rsidRPr="00FC1444" w:rsidTr="009F0A2E">
        <w:trPr>
          <w:trHeight w:val="275"/>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7</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W70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2</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NW35</w:t>
            </w:r>
          </w:p>
        </w:tc>
      </w:tr>
      <w:tr w:rsidR="0050150B" w:rsidRPr="00FC1444" w:rsidTr="009F0A2E">
        <w:trPr>
          <w:trHeight w:val="275"/>
          <w:jc w:val="center"/>
        </w:trPr>
        <w:tc>
          <w:tcPr>
            <w:tcW w:w="1326" w:type="dxa"/>
            <w:vMerge w:val="restart"/>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东围屯</w:t>
            </w:r>
          </w:p>
        </w:tc>
        <w:tc>
          <w:tcPr>
            <w:tcW w:w="830"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127.1523834</w:t>
            </w:r>
          </w:p>
        </w:tc>
        <w:tc>
          <w:tcPr>
            <w:tcW w:w="993"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46.542071</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45</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S55</w:t>
            </w:r>
          </w:p>
        </w:tc>
      </w:tr>
      <w:tr w:rsidR="0050150B" w:rsidRPr="00FC1444" w:rsidTr="009F0A2E">
        <w:trPr>
          <w:trHeight w:val="275"/>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12</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N88</w:t>
            </w:r>
          </w:p>
        </w:tc>
      </w:tr>
      <w:tr w:rsidR="0050150B" w:rsidRPr="00FC1444" w:rsidTr="009F0A2E">
        <w:trPr>
          <w:trHeight w:val="275"/>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3</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N88</w:t>
            </w:r>
          </w:p>
        </w:tc>
      </w:tr>
      <w:tr w:rsidR="0050150B" w:rsidRPr="00FC1444" w:rsidTr="009F0A2E">
        <w:trPr>
          <w:trHeight w:val="275"/>
          <w:jc w:val="center"/>
        </w:trPr>
        <w:tc>
          <w:tcPr>
            <w:tcW w:w="1326" w:type="dxa"/>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傅家屯</w:t>
            </w:r>
          </w:p>
        </w:tc>
        <w:tc>
          <w:tcPr>
            <w:tcW w:w="830"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127.1215273</w:t>
            </w:r>
          </w:p>
        </w:tc>
        <w:tc>
          <w:tcPr>
            <w:tcW w:w="993"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46.541480</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1</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E10</w:t>
            </w:r>
          </w:p>
        </w:tc>
      </w:tr>
      <w:tr w:rsidR="0050150B" w:rsidRPr="00FC1444" w:rsidTr="009F0A2E">
        <w:trPr>
          <w:trHeight w:val="275"/>
          <w:jc w:val="center"/>
        </w:trPr>
        <w:tc>
          <w:tcPr>
            <w:tcW w:w="1326" w:type="dxa"/>
            <w:vMerge w:val="restart"/>
            <w:tcBorders>
              <w:top w:val="single" w:sz="4" w:space="0" w:color="auto"/>
              <w:right w:val="single" w:sz="4" w:space="0" w:color="auto"/>
            </w:tcBorders>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侯家屯</w:t>
            </w:r>
          </w:p>
        </w:tc>
        <w:tc>
          <w:tcPr>
            <w:tcW w:w="830" w:type="dxa"/>
            <w:vMerge w:val="restart"/>
            <w:tcBorders>
              <w:top w:val="single" w:sz="4" w:space="0" w:color="auto"/>
              <w:left w:val="single" w:sz="4" w:space="0" w:color="auto"/>
              <w:right w:val="single" w:sz="4" w:space="0" w:color="auto"/>
            </w:tcBorders>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127.1249069</w:t>
            </w:r>
          </w:p>
        </w:tc>
        <w:tc>
          <w:tcPr>
            <w:tcW w:w="993" w:type="dxa"/>
            <w:vMerge w:val="restart"/>
            <w:tcBorders>
              <w:top w:val="single" w:sz="4" w:space="0" w:color="auto"/>
              <w:left w:val="single" w:sz="4" w:space="0" w:color="auto"/>
            </w:tcBorders>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46.544815</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tcBorders>
              <w:top w:val="single" w:sz="4" w:space="0" w:color="auto"/>
              <w:bottom w:val="single" w:sz="4" w:space="0" w:color="auto"/>
              <w:right w:val="single" w:sz="4" w:space="0" w:color="auto"/>
            </w:tcBorders>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tcBorders>
              <w:top w:val="single" w:sz="4" w:space="0" w:color="auto"/>
              <w:left w:val="single" w:sz="4" w:space="0" w:color="auto"/>
              <w:bottom w:val="single" w:sz="4" w:space="0" w:color="auto"/>
            </w:tcBorders>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N45</w:t>
            </w:r>
          </w:p>
        </w:tc>
      </w:tr>
      <w:tr w:rsidR="0050150B" w:rsidRPr="00FC1444" w:rsidTr="009F0A2E">
        <w:trPr>
          <w:trHeight w:val="275"/>
          <w:jc w:val="center"/>
        </w:trPr>
        <w:tc>
          <w:tcPr>
            <w:tcW w:w="1326" w:type="dxa"/>
            <w:vMerge/>
            <w:tcBorders>
              <w:right w:val="single" w:sz="4" w:space="0" w:color="auto"/>
            </w:tcBorders>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tcBorders>
              <w:left w:val="single" w:sz="4" w:space="0" w:color="auto"/>
              <w:right w:val="single" w:sz="4" w:space="0" w:color="auto"/>
            </w:tcBorders>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tcBorders>
              <w:left w:val="single" w:sz="4" w:space="0" w:color="auto"/>
            </w:tcBorders>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tcBorders>
              <w:top w:val="single" w:sz="4" w:space="0" w:color="auto"/>
              <w:bottom w:val="single" w:sz="4" w:space="0" w:color="auto"/>
              <w:right w:val="single" w:sz="4" w:space="0" w:color="auto"/>
            </w:tcBorders>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3</w:t>
            </w:r>
          </w:p>
        </w:tc>
        <w:tc>
          <w:tcPr>
            <w:tcW w:w="1389" w:type="dxa"/>
            <w:tcBorders>
              <w:top w:val="single" w:sz="4" w:space="0" w:color="auto"/>
              <w:left w:val="single" w:sz="4" w:space="0" w:color="auto"/>
              <w:bottom w:val="single" w:sz="4" w:space="0" w:color="auto"/>
            </w:tcBorders>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W60</w:t>
            </w:r>
          </w:p>
        </w:tc>
      </w:tr>
      <w:tr w:rsidR="0050150B" w:rsidRPr="00FC1444" w:rsidTr="009F0A2E">
        <w:trPr>
          <w:trHeight w:val="275"/>
          <w:jc w:val="center"/>
        </w:trPr>
        <w:tc>
          <w:tcPr>
            <w:tcW w:w="1326" w:type="dxa"/>
            <w:tcBorders>
              <w:right w:val="single" w:sz="4" w:space="0" w:color="auto"/>
            </w:tcBorders>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陶家屯</w:t>
            </w:r>
          </w:p>
        </w:tc>
        <w:tc>
          <w:tcPr>
            <w:tcW w:w="830" w:type="dxa"/>
            <w:tcBorders>
              <w:left w:val="single" w:sz="4" w:space="0" w:color="auto"/>
              <w:right w:val="single" w:sz="4" w:space="0" w:color="auto"/>
            </w:tcBorders>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127.1317998</w:t>
            </w:r>
          </w:p>
        </w:tc>
        <w:tc>
          <w:tcPr>
            <w:tcW w:w="993" w:type="dxa"/>
            <w:tcBorders>
              <w:left w:val="single" w:sz="4" w:space="0" w:color="auto"/>
            </w:tcBorders>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46.550105</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tcBorders>
              <w:top w:val="single" w:sz="4" w:space="0" w:color="auto"/>
              <w:bottom w:val="single" w:sz="4" w:space="0" w:color="auto"/>
              <w:right w:val="single" w:sz="4" w:space="0" w:color="auto"/>
            </w:tcBorders>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tcBorders>
              <w:top w:val="single" w:sz="4" w:space="0" w:color="auto"/>
              <w:left w:val="single" w:sz="4" w:space="0" w:color="auto"/>
              <w:bottom w:val="single" w:sz="4" w:space="0" w:color="auto"/>
            </w:tcBorders>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S30</w:t>
            </w:r>
          </w:p>
        </w:tc>
      </w:tr>
      <w:tr w:rsidR="0050150B" w:rsidRPr="00FC1444" w:rsidTr="009F0A2E">
        <w:trPr>
          <w:trHeight w:val="357"/>
          <w:jc w:val="center"/>
        </w:trPr>
        <w:tc>
          <w:tcPr>
            <w:tcW w:w="1326" w:type="dxa"/>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三合屯</w:t>
            </w:r>
          </w:p>
        </w:tc>
        <w:tc>
          <w:tcPr>
            <w:tcW w:w="830"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127.1406587</w:t>
            </w:r>
          </w:p>
        </w:tc>
        <w:tc>
          <w:tcPr>
            <w:tcW w:w="993"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46.552379</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W30</w:t>
            </w:r>
          </w:p>
        </w:tc>
      </w:tr>
      <w:tr w:rsidR="0050150B" w:rsidRPr="00FC1444" w:rsidTr="009F0A2E">
        <w:trPr>
          <w:trHeight w:val="275"/>
          <w:jc w:val="center"/>
        </w:trPr>
        <w:tc>
          <w:tcPr>
            <w:tcW w:w="1326" w:type="dxa"/>
            <w:vMerge w:val="restart"/>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徐申屯</w:t>
            </w:r>
          </w:p>
        </w:tc>
        <w:tc>
          <w:tcPr>
            <w:tcW w:w="830"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127.1448687</w:t>
            </w:r>
          </w:p>
        </w:tc>
        <w:tc>
          <w:tcPr>
            <w:tcW w:w="993"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46.553993</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过水路面</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E20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W50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W50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7</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E20</w:t>
            </w:r>
          </w:p>
        </w:tc>
      </w:tr>
      <w:tr w:rsidR="0050150B" w:rsidRPr="00FC1444" w:rsidTr="009F0A2E">
        <w:trPr>
          <w:trHeight w:val="422"/>
          <w:jc w:val="center"/>
        </w:trPr>
        <w:tc>
          <w:tcPr>
            <w:tcW w:w="1326" w:type="dxa"/>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孙刚烧锅</w:t>
            </w:r>
          </w:p>
        </w:tc>
        <w:tc>
          <w:tcPr>
            <w:tcW w:w="830"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127.1556719</w:t>
            </w:r>
          </w:p>
        </w:tc>
        <w:tc>
          <w:tcPr>
            <w:tcW w:w="993"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46.545804</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机耕路</w:t>
            </w:r>
            <w:r w:rsidRPr="00FC1444">
              <w:rPr>
                <w:rFonts w:eastAsiaTheme="minorEastAsia" w:hint="eastAsia"/>
                <w:snapToGrid w:val="0"/>
                <w:szCs w:val="21"/>
              </w:rPr>
              <w:t>5</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S10</w:t>
            </w:r>
          </w:p>
        </w:tc>
      </w:tr>
      <w:tr w:rsidR="0050150B" w:rsidRPr="00FC1444" w:rsidTr="009F0A2E">
        <w:trPr>
          <w:trHeight w:val="359"/>
          <w:jc w:val="center"/>
        </w:trPr>
        <w:tc>
          <w:tcPr>
            <w:tcW w:w="1326" w:type="dxa"/>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蒋家岗</w:t>
            </w:r>
          </w:p>
        </w:tc>
        <w:tc>
          <w:tcPr>
            <w:tcW w:w="830"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127.1624297</w:t>
            </w:r>
          </w:p>
        </w:tc>
        <w:tc>
          <w:tcPr>
            <w:tcW w:w="993"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46.550583</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土地平整</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S25</w:t>
            </w:r>
          </w:p>
        </w:tc>
      </w:tr>
      <w:tr w:rsidR="0050150B" w:rsidRPr="00FC1444" w:rsidTr="009F0A2E">
        <w:trPr>
          <w:trHeight w:val="275"/>
          <w:jc w:val="center"/>
        </w:trPr>
        <w:tc>
          <w:tcPr>
            <w:tcW w:w="1326" w:type="dxa"/>
            <w:vMerge w:val="restart"/>
            <w:shd w:val="clear" w:color="auto" w:fill="auto"/>
            <w:vAlign w:val="center"/>
          </w:tcPr>
          <w:p w:rsidR="0050150B" w:rsidRPr="00FC1444" w:rsidRDefault="0050150B" w:rsidP="0050150B">
            <w:pPr>
              <w:spacing w:line="0" w:lineRule="atLeast"/>
              <w:jc w:val="center"/>
              <w:rPr>
                <w:rFonts w:eastAsiaTheme="minorEastAsia"/>
                <w:szCs w:val="21"/>
              </w:rPr>
            </w:pPr>
            <w:r w:rsidRPr="00FC1444">
              <w:rPr>
                <w:rFonts w:eastAsiaTheme="minorEastAsia"/>
                <w:szCs w:val="21"/>
              </w:rPr>
              <w:t>三间房</w:t>
            </w:r>
          </w:p>
        </w:tc>
        <w:tc>
          <w:tcPr>
            <w:tcW w:w="830"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127.1737527</w:t>
            </w:r>
          </w:p>
        </w:tc>
        <w:tc>
          <w:tcPr>
            <w:tcW w:w="993" w:type="dxa"/>
            <w:vMerge w:val="restart"/>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46.545554</w:t>
            </w: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86</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E30</w:t>
            </w:r>
          </w:p>
        </w:tc>
      </w:tr>
      <w:tr w:rsidR="0050150B" w:rsidRPr="00FC1444" w:rsidTr="009F0A2E">
        <w:trPr>
          <w:trHeight w:val="275"/>
          <w:jc w:val="center"/>
        </w:trPr>
        <w:tc>
          <w:tcPr>
            <w:tcW w:w="1326" w:type="dxa"/>
            <w:vMerge/>
            <w:shd w:val="clear" w:color="auto" w:fill="auto"/>
            <w:vAlign w:val="center"/>
          </w:tcPr>
          <w:p w:rsidR="0050150B" w:rsidRPr="00FC1444" w:rsidRDefault="0050150B" w:rsidP="0050150B">
            <w:pPr>
              <w:spacing w:line="0" w:lineRule="atLeast"/>
              <w:jc w:val="center"/>
              <w:rPr>
                <w:rFonts w:eastAsiaTheme="minorEastAsia"/>
                <w:szCs w:val="21"/>
              </w:rPr>
            </w:pPr>
          </w:p>
        </w:tc>
        <w:tc>
          <w:tcPr>
            <w:tcW w:w="830"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FC1444"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FC1444" w:rsidRDefault="0050150B"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w:t>
            </w:r>
          </w:p>
        </w:tc>
        <w:tc>
          <w:tcPr>
            <w:tcW w:w="1389" w:type="dxa"/>
            <w:shd w:val="clear" w:color="auto" w:fill="auto"/>
            <w:vAlign w:val="center"/>
          </w:tcPr>
          <w:p w:rsidR="0050150B" w:rsidRPr="00FC1444" w:rsidRDefault="0050150B" w:rsidP="0050150B">
            <w:pPr>
              <w:adjustRightInd w:val="0"/>
              <w:snapToGrid w:val="0"/>
              <w:spacing w:line="0" w:lineRule="atLeast"/>
              <w:jc w:val="center"/>
              <w:rPr>
                <w:rFonts w:eastAsiaTheme="minorEastAsia"/>
                <w:szCs w:val="21"/>
              </w:rPr>
            </w:pPr>
            <w:r w:rsidRPr="00FC1444">
              <w:rPr>
                <w:rFonts w:eastAsiaTheme="minorEastAsia" w:hint="eastAsia"/>
                <w:szCs w:val="21"/>
              </w:rPr>
              <w:t>E10</w:t>
            </w:r>
          </w:p>
        </w:tc>
      </w:tr>
    </w:tbl>
    <w:p w:rsidR="0050150B" w:rsidRPr="00FC1444" w:rsidRDefault="0050150B"/>
    <w:p w:rsidR="0050150B" w:rsidRPr="00FC1444" w:rsidRDefault="0050150B"/>
    <w:p w:rsidR="00311756" w:rsidRPr="00FC1444" w:rsidRDefault="00311756" w:rsidP="00311756">
      <w:pPr>
        <w:jc w:val="center"/>
        <w:rPr>
          <w:rFonts w:eastAsiaTheme="minorEastAsia"/>
        </w:rPr>
      </w:pPr>
      <w:r w:rsidRPr="00FC1444">
        <w:rPr>
          <w:rFonts w:eastAsiaTheme="minorEastAsia"/>
          <w:b/>
          <w:kern w:val="0"/>
          <w:szCs w:val="21"/>
        </w:rPr>
        <w:lastRenderedPageBreak/>
        <w:t>续表</w:t>
      </w:r>
      <w:r w:rsidRPr="00FC1444">
        <w:rPr>
          <w:rFonts w:eastAsiaTheme="minorEastAsia"/>
          <w:b/>
          <w:kern w:val="0"/>
          <w:szCs w:val="21"/>
        </w:rPr>
        <w:t>2-8-1</w:t>
      </w:r>
      <w:r w:rsidRPr="00FC1444">
        <w:rPr>
          <w:rFonts w:eastAsiaTheme="minorEastAsia"/>
          <w:b/>
          <w:kern w:val="0"/>
          <w:szCs w:val="21"/>
        </w:rPr>
        <w:t>施工期及运营期环境空气及声环境保护目标一览表</w:t>
      </w:r>
    </w:p>
    <w:tbl>
      <w:tblPr>
        <w:tblW w:w="808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26"/>
        <w:gridCol w:w="830"/>
        <w:gridCol w:w="993"/>
        <w:gridCol w:w="708"/>
        <w:gridCol w:w="567"/>
        <w:gridCol w:w="851"/>
        <w:gridCol w:w="1417"/>
        <w:gridCol w:w="1389"/>
      </w:tblGrid>
      <w:tr w:rsidR="00ED047C" w:rsidRPr="00FC1444" w:rsidTr="009F0A2E">
        <w:trPr>
          <w:trHeight w:val="275"/>
          <w:jc w:val="center"/>
        </w:trPr>
        <w:tc>
          <w:tcPr>
            <w:tcW w:w="1326" w:type="dxa"/>
            <w:vMerge w:val="restart"/>
            <w:shd w:val="clear" w:color="auto" w:fill="auto"/>
            <w:vAlign w:val="center"/>
          </w:tcPr>
          <w:p w:rsidR="00ED047C" w:rsidRPr="00FC1444" w:rsidRDefault="00ED047C" w:rsidP="009F0A2E">
            <w:pPr>
              <w:spacing w:line="0" w:lineRule="atLeast"/>
              <w:jc w:val="center"/>
              <w:rPr>
                <w:rFonts w:eastAsiaTheme="minorEastAsia"/>
                <w:szCs w:val="21"/>
              </w:rPr>
            </w:pPr>
            <w:r w:rsidRPr="00FC1444">
              <w:rPr>
                <w:rFonts w:eastAsiaTheme="minorEastAsia"/>
                <w:szCs w:val="21"/>
              </w:rPr>
              <w:t>向阳堡</w:t>
            </w:r>
          </w:p>
        </w:tc>
        <w:tc>
          <w:tcPr>
            <w:tcW w:w="830" w:type="dxa"/>
            <w:vMerge w:val="restart"/>
            <w:vAlign w:val="center"/>
          </w:tcPr>
          <w:p w:rsidR="00ED047C" w:rsidRPr="00FC1444" w:rsidRDefault="00ED047C"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127.1715801</w:t>
            </w:r>
          </w:p>
        </w:tc>
        <w:tc>
          <w:tcPr>
            <w:tcW w:w="993" w:type="dxa"/>
            <w:vMerge w:val="restart"/>
            <w:vAlign w:val="center"/>
          </w:tcPr>
          <w:p w:rsidR="00ED047C" w:rsidRPr="00FC1444" w:rsidRDefault="00ED047C"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46.551470</w:t>
            </w:r>
          </w:p>
        </w:tc>
        <w:tc>
          <w:tcPr>
            <w:tcW w:w="708" w:type="dxa"/>
            <w:vMerge w:val="restart"/>
            <w:vAlign w:val="center"/>
          </w:tcPr>
          <w:p w:rsidR="00ED047C" w:rsidRPr="00FC1444" w:rsidRDefault="00ED047C"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农村人群集中区</w:t>
            </w:r>
          </w:p>
        </w:tc>
        <w:tc>
          <w:tcPr>
            <w:tcW w:w="567" w:type="dxa"/>
            <w:vMerge w:val="restart"/>
            <w:vAlign w:val="center"/>
          </w:tcPr>
          <w:p w:rsidR="00ED047C" w:rsidRPr="00FC1444" w:rsidRDefault="00ED047C"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人群</w:t>
            </w:r>
          </w:p>
        </w:tc>
        <w:tc>
          <w:tcPr>
            <w:tcW w:w="851" w:type="dxa"/>
            <w:vMerge w:val="restart"/>
            <w:vAlign w:val="center"/>
          </w:tcPr>
          <w:p w:rsidR="00ED047C" w:rsidRPr="00FC1444" w:rsidRDefault="00ED047C"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环境空气：二类区；声环境：一类区</w:t>
            </w:r>
          </w:p>
        </w:tc>
        <w:tc>
          <w:tcPr>
            <w:tcW w:w="1417" w:type="dxa"/>
            <w:vAlign w:val="center"/>
          </w:tcPr>
          <w:p w:rsidR="00ED047C" w:rsidRPr="00FC1444" w:rsidRDefault="00ED047C"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85</w:t>
            </w:r>
          </w:p>
        </w:tc>
        <w:tc>
          <w:tcPr>
            <w:tcW w:w="1389" w:type="dxa"/>
            <w:shd w:val="clear" w:color="auto" w:fill="auto"/>
            <w:vAlign w:val="center"/>
          </w:tcPr>
          <w:p w:rsidR="00ED047C" w:rsidRPr="00FC1444" w:rsidRDefault="00ED047C" w:rsidP="009F0A2E">
            <w:pPr>
              <w:adjustRightInd w:val="0"/>
              <w:snapToGrid w:val="0"/>
              <w:spacing w:line="0" w:lineRule="atLeast"/>
              <w:jc w:val="center"/>
              <w:rPr>
                <w:rFonts w:eastAsiaTheme="minorEastAsia"/>
                <w:szCs w:val="21"/>
              </w:rPr>
            </w:pPr>
            <w:r w:rsidRPr="00FC1444">
              <w:rPr>
                <w:rFonts w:eastAsiaTheme="minorEastAsia" w:hint="eastAsia"/>
                <w:szCs w:val="21"/>
              </w:rPr>
              <w:t>W30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9F0A2E">
            <w:pPr>
              <w:spacing w:line="0" w:lineRule="atLeast"/>
              <w:jc w:val="center"/>
              <w:rPr>
                <w:rFonts w:eastAsiaTheme="minorEastAsia"/>
                <w:szCs w:val="21"/>
              </w:rPr>
            </w:pPr>
          </w:p>
        </w:tc>
        <w:tc>
          <w:tcPr>
            <w:tcW w:w="830" w:type="dxa"/>
            <w:vMerge/>
            <w:vAlign w:val="center"/>
          </w:tcPr>
          <w:p w:rsidR="00ED047C" w:rsidRPr="00FC1444" w:rsidRDefault="00ED047C" w:rsidP="009F0A2E">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9F0A2E">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9F0A2E">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9F0A2E">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9F0A2E">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w:t>
            </w:r>
          </w:p>
        </w:tc>
        <w:tc>
          <w:tcPr>
            <w:tcW w:w="1389" w:type="dxa"/>
            <w:shd w:val="clear" w:color="auto" w:fill="auto"/>
            <w:vAlign w:val="center"/>
          </w:tcPr>
          <w:p w:rsidR="00ED047C" w:rsidRPr="00FC1444" w:rsidRDefault="00ED047C" w:rsidP="009F0A2E">
            <w:pPr>
              <w:adjustRightInd w:val="0"/>
              <w:snapToGrid w:val="0"/>
              <w:spacing w:line="0" w:lineRule="atLeast"/>
              <w:jc w:val="center"/>
              <w:rPr>
                <w:rFonts w:eastAsiaTheme="minorEastAsia"/>
                <w:szCs w:val="21"/>
              </w:rPr>
            </w:pPr>
            <w:r w:rsidRPr="00FC1444">
              <w:rPr>
                <w:rFonts w:eastAsiaTheme="minorEastAsia" w:hint="eastAsia"/>
                <w:szCs w:val="21"/>
              </w:rPr>
              <w:t>W80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9F0A2E">
            <w:pPr>
              <w:spacing w:line="0" w:lineRule="atLeast"/>
              <w:jc w:val="center"/>
              <w:rPr>
                <w:rFonts w:eastAsiaTheme="minorEastAsia"/>
                <w:szCs w:val="21"/>
              </w:rPr>
            </w:pPr>
          </w:p>
        </w:tc>
        <w:tc>
          <w:tcPr>
            <w:tcW w:w="830" w:type="dxa"/>
            <w:vMerge/>
            <w:vAlign w:val="center"/>
          </w:tcPr>
          <w:p w:rsidR="00ED047C" w:rsidRPr="00FC1444" w:rsidRDefault="00ED047C" w:rsidP="009F0A2E">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9F0A2E">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9F0A2E">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9F0A2E">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9F0A2E">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13</w:t>
            </w:r>
          </w:p>
        </w:tc>
        <w:tc>
          <w:tcPr>
            <w:tcW w:w="1389" w:type="dxa"/>
            <w:shd w:val="clear" w:color="auto" w:fill="auto"/>
            <w:vAlign w:val="center"/>
          </w:tcPr>
          <w:p w:rsidR="00ED047C" w:rsidRPr="00FC1444" w:rsidRDefault="00ED047C" w:rsidP="009F0A2E">
            <w:pPr>
              <w:adjustRightInd w:val="0"/>
              <w:snapToGrid w:val="0"/>
              <w:spacing w:line="0" w:lineRule="atLeast"/>
              <w:jc w:val="center"/>
              <w:rPr>
                <w:rFonts w:eastAsiaTheme="minorEastAsia"/>
                <w:szCs w:val="21"/>
              </w:rPr>
            </w:pPr>
            <w:r w:rsidRPr="00FC1444">
              <w:rPr>
                <w:rFonts w:eastAsiaTheme="minorEastAsia" w:hint="eastAsia"/>
                <w:szCs w:val="21"/>
              </w:rPr>
              <w:t>W80</w:t>
            </w:r>
          </w:p>
        </w:tc>
      </w:tr>
      <w:tr w:rsidR="00ED047C" w:rsidRPr="00FC1444" w:rsidTr="009F0A2E">
        <w:trPr>
          <w:trHeight w:val="429"/>
          <w:jc w:val="center"/>
        </w:trPr>
        <w:tc>
          <w:tcPr>
            <w:tcW w:w="1326" w:type="dxa"/>
            <w:shd w:val="clear" w:color="auto" w:fill="auto"/>
            <w:vAlign w:val="center"/>
          </w:tcPr>
          <w:p w:rsidR="00ED047C" w:rsidRPr="00FC1444" w:rsidRDefault="00ED047C" w:rsidP="0050150B">
            <w:pPr>
              <w:spacing w:line="0" w:lineRule="atLeast"/>
              <w:jc w:val="center"/>
              <w:rPr>
                <w:rFonts w:eastAsiaTheme="minorEastAsia"/>
                <w:szCs w:val="21"/>
              </w:rPr>
            </w:pPr>
            <w:r w:rsidRPr="00FC1444">
              <w:rPr>
                <w:rFonts w:eastAsiaTheme="minorEastAsia" w:hint="eastAsia"/>
                <w:szCs w:val="21"/>
              </w:rPr>
              <w:t>刘家崴子</w:t>
            </w:r>
          </w:p>
        </w:tc>
        <w:tc>
          <w:tcPr>
            <w:tcW w:w="830" w:type="dxa"/>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127.1738223</w:t>
            </w:r>
          </w:p>
        </w:tc>
        <w:tc>
          <w:tcPr>
            <w:tcW w:w="993" w:type="dxa"/>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46.554516</w:t>
            </w:r>
          </w:p>
        </w:tc>
        <w:tc>
          <w:tcPr>
            <w:tcW w:w="708"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19</w:t>
            </w:r>
          </w:p>
        </w:tc>
        <w:tc>
          <w:tcPr>
            <w:tcW w:w="1389" w:type="dxa"/>
            <w:shd w:val="clear" w:color="auto" w:fill="auto"/>
            <w:vAlign w:val="center"/>
          </w:tcPr>
          <w:p w:rsidR="00ED047C" w:rsidRPr="00FC1444" w:rsidRDefault="00ED047C" w:rsidP="0050150B">
            <w:pPr>
              <w:adjustRightInd w:val="0"/>
              <w:snapToGrid w:val="0"/>
              <w:spacing w:line="0" w:lineRule="atLeast"/>
              <w:jc w:val="center"/>
              <w:rPr>
                <w:rFonts w:eastAsiaTheme="minorEastAsia"/>
                <w:szCs w:val="21"/>
              </w:rPr>
            </w:pPr>
            <w:r w:rsidRPr="00FC1444">
              <w:rPr>
                <w:rFonts w:eastAsiaTheme="minorEastAsia" w:hint="eastAsia"/>
                <w:szCs w:val="21"/>
              </w:rPr>
              <w:t>S5</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50150B">
            <w:pPr>
              <w:spacing w:line="0" w:lineRule="atLeast"/>
              <w:jc w:val="center"/>
              <w:rPr>
                <w:rFonts w:eastAsiaTheme="minorEastAsia"/>
                <w:szCs w:val="21"/>
              </w:rPr>
            </w:pPr>
            <w:r w:rsidRPr="00FC1444">
              <w:rPr>
                <w:rFonts w:eastAsiaTheme="minorEastAsia"/>
                <w:szCs w:val="21"/>
              </w:rPr>
              <w:t>金伏村</w:t>
            </w:r>
          </w:p>
        </w:tc>
        <w:tc>
          <w:tcPr>
            <w:tcW w:w="830" w:type="dxa"/>
            <w:vMerge w:val="restart"/>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127.1542969</w:t>
            </w:r>
          </w:p>
        </w:tc>
        <w:tc>
          <w:tcPr>
            <w:tcW w:w="993" w:type="dxa"/>
            <w:vMerge w:val="restart"/>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46.561499</w:t>
            </w:r>
          </w:p>
        </w:tc>
        <w:tc>
          <w:tcPr>
            <w:tcW w:w="708"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D41946" w:rsidP="0050150B">
            <w:pPr>
              <w:adjustRightInd w:val="0"/>
              <w:snapToGrid w:val="0"/>
              <w:spacing w:line="0" w:lineRule="atLeast"/>
              <w:jc w:val="center"/>
              <w:rPr>
                <w:rFonts w:eastAsiaTheme="minorEastAsia"/>
                <w:szCs w:val="21"/>
              </w:rPr>
            </w:pPr>
            <w:r w:rsidRPr="00FC1444">
              <w:rPr>
                <w:rFonts w:eastAsiaTheme="minorEastAsia" w:hint="eastAsia"/>
                <w:szCs w:val="21"/>
              </w:rPr>
              <w:t>S</w:t>
            </w:r>
            <w:r w:rsidR="00ED047C" w:rsidRPr="00FC1444">
              <w:rPr>
                <w:rFonts w:eastAsiaTheme="minorEastAsia" w:hint="eastAsia"/>
                <w:szCs w:val="21"/>
              </w:rPr>
              <w:t>30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50150B">
            <w:pPr>
              <w:spacing w:line="0" w:lineRule="atLeast"/>
              <w:jc w:val="center"/>
              <w:rPr>
                <w:rFonts w:eastAsiaTheme="minorEastAsia"/>
                <w:szCs w:val="21"/>
              </w:rPr>
            </w:pPr>
          </w:p>
        </w:tc>
        <w:tc>
          <w:tcPr>
            <w:tcW w:w="830"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ED047C" w:rsidRPr="00FC1444" w:rsidRDefault="00D41946" w:rsidP="0050150B">
            <w:pPr>
              <w:adjustRightInd w:val="0"/>
              <w:snapToGrid w:val="0"/>
              <w:spacing w:line="0" w:lineRule="atLeast"/>
              <w:jc w:val="center"/>
              <w:rPr>
                <w:rFonts w:eastAsiaTheme="minorEastAsia"/>
                <w:szCs w:val="21"/>
              </w:rPr>
            </w:pPr>
            <w:r w:rsidRPr="00FC1444">
              <w:rPr>
                <w:rFonts w:eastAsiaTheme="minorEastAsia" w:hint="eastAsia"/>
                <w:szCs w:val="21"/>
              </w:rPr>
              <w:t>W</w:t>
            </w:r>
            <w:r w:rsidR="00ED047C" w:rsidRPr="00FC1444">
              <w:rPr>
                <w:rFonts w:eastAsiaTheme="minorEastAsia" w:hint="eastAsia"/>
                <w:szCs w:val="21"/>
              </w:rPr>
              <w:t>25</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50150B">
            <w:pPr>
              <w:spacing w:line="0" w:lineRule="atLeast"/>
              <w:jc w:val="center"/>
              <w:rPr>
                <w:rFonts w:eastAsiaTheme="minorEastAsia"/>
                <w:szCs w:val="21"/>
              </w:rPr>
            </w:pPr>
            <w:r w:rsidRPr="00FC1444">
              <w:rPr>
                <w:rFonts w:eastAsiaTheme="minorEastAsia"/>
                <w:szCs w:val="21"/>
              </w:rPr>
              <w:t>前杨屯</w:t>
            </w:r>
          </w:p>
        </w:tc>
        <w:tc>
          <w:tcPr>
            <w:tcW w:w="830" w:type="dxa"/>
            <w:vMerge w:val="restart"/>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127.1711765</w:t>
            </w:r>
          </w:p>
        </w:tc>
        <w:tc>
          <w:tcPr>
            <w:tcW w:w="993" w:type="dxa"/>
            <w:vMerge w:val="restart"/>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46.563685</w:t>
            </w:r>
          </w:p>
        </w:tc>
        <w:tc>
          <w:tcPr>
            <w:tcW w:w="708"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50150B">
            <w:pPr>
              <w:adjustRightInd w:val="0"/>
              <w:snapToGrid w:val="0"/>
              <w:spacing w:line="0" w:lineRule="atLeast"/>
              <w:jc w:val="center"/>
              <w:rPr>
                <w:rFonts w:eastAsiaTheme="minorEastAsia"/>
                <w:szCs w:val="21"/>
              </w:rPr>
            </w:pPr>
            <w:r w:rsidRPr="00FC1444">
              <w:rPr>
                <w:rFonts w:eastAsiaTheme="minorEastAsia" w:hint="eastAsia"/>
                <w:szCs w:val="21"/>
              </w:rPr>
              <w:t>S10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50150B">
            <w:pPr>
              <w:spacing w:line="0" w:lineRule="atLeast"/>
              <w:jc w:val="center"/>
              <w:rPr>
                <w:rFonts w:eastAsiaTheme="minorEastAsia"/>
                <w:szCs w:val="21"/>
              </w:rPr>
            </w:pPr>
          </w:p>
        </w:tc>
        <w:tc>
          <w:tcPr>
            <w:tcW w:w="830"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机耕路</w:t>
            </w:r>
            <w:r w:rsidRPr="00FC1444">
              <w:rPr>
                <w:rFonts w:eastAsiaTheme="minorEastAsia" w:hint="eastAsia"/>
                <w:snapToGrid w:val="0"/>
                <w:szCs w:val="21"/>
              </w:rPr>
              <w:t>1</w:t>
            </w:r>
          </w:p>
        </w:tc>
        <w:tc>
          <w:tcPr>
            <w:tcW w:w="1389" w:type="dxa"/>
            <w:shd w:val="clear" w:color="auto" w:fill="auto"/>
            <w:vAlign w:val="center"/>
          </w:tcPr>
          <w:p w:rsidR="00ED047C" w:rsidRPr="00FC1444" w:rsidRDefault="00ED047C" w:rsidP="0050150B">
            <w:pPr>
              <w:adjustRightInd w:val="0"/>
              <w:snapToGrid w:val="0"/>
              <w:spacing w:line="0" w:lineRule="atLeast"/>
              <w:jc w:val="center"/>
              <w:rPr>
                <w:rFonts w:eastAsiaTheme="minorEastAsia"/>
                <w:szCs w:val="21"/>
              </w:rPr>
            </w:pPr>
            <w:r w:rsidRPr="00FC1444">
              <w:rPr>
                <w:rFonts w:eastAsiaTheme="minorEastAsia" w:hint="eastAsia"/>
                <w:szCs w:val="21"/>
              </w:rPr>
              <w:t>S10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50150B">
            <w:pPr>
              <w:spacing w:line="0" w:lineRule="atLeast"/>
              <w:jc w:val="center"/>
              <w:rPr>
                <w:rFonts w:eastAsiaTheme="minorEastAsia"/>
                <w:szCs w:val="21"/>
              </w:rPr>
            </w:pPr>
            <w:r w:rsidRPr="00FC1444">
              <w:rPr>
                <w:rFonts w:eastAsiaTheme="minorEastAsia" w:hint="eastAsia"/>
                <w:szCs w:val="21"/>
              </w:rPr>
              <w:t>民喜村</w:t>
            </w:r>
          </w:p>
        </w:tc>
        <w:tc>
          <w:tcPr>
            <w:tcW w:w="830" w:type="dxa"/>
            <w:vMerge w:val="restart"/>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127.1640557</w:t>
            </w:r>
          </w:p>
        </w:tc>
        <w:tc>
          <w:tcPr>
            <w:tcW w:w="993" w:type="dxa"/>
            <w:vMerge w:val="restart"/>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46.570095</w:t>
            </w:r>
          </w:p>
        </w:tc>
        <w:tc>
          <w:tcPr>
            <w:tcW w:w="708"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50150B">
            <w:pPr>
              <w:adjustRightInd w:val="0"/>
              <w:snapToGrid w:val="0"/>
              <w:spacing w:line="0" w:lineRule="atLeast"/>
              <w:jc w:val="center"/>
              <w:rPr>
                <w:rFonts w:eastAsiaTheme="minorEastAsia"/>
                <w:szCs w:val="21"/>
              </w:rPr>
            </w:pPr>
            <w:r w:rsidRPr="00FC1444">
              <w:rPr>
                <w:rFonts w:eastAsiaTheme="minorEastAsia" w:hint="eastAsia"/>
                <w:szCs w:val="21"/>
              </w:rPr>
              <w:t>E190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50150B">
            <w:pPr>
              <w:spacing w:line="0" w:lineRule="atLeast"/>
              <w:jc w:val="center"/>
              <w:rPr>
                <w:rFonts w:eastAsiaTheme="minorEastAsia"/>
                <w:szCs w:val="21"/>
              </w:rPr>
            </w:pPr>
          </w:p>
        </w:tc>
        <w:tc>
          <w:tcPr>
            <w:tcW w:w="830"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机耕路</w:t>
            </w:r>
            <w:r w:rsidRPr="00FC1444">
              <w:rPr>
                <w:rFonts w:eastAsiaTheme="minorEastAsia" w:hint="eastAsia"/>
                <w:snapToGrid w:val="0"/>
                <w:szCs w:val="21"/>
              </w:rPr>
              <w:t>4</w:t>
            </w:r>
          </w:p>
        </w:tc>
        <w:tc>
          <w:tcPr>
            <w:tcW w:w="1389" w:type="dxa"/>
            <w:shd w:val="clear" w:color="auto" w:fill="auto"/>
            <w:vAlign w:val="center"/>
          </w:tcPr>
          <w:p w:rsidR="00ED047C" w:rsidRPr="00FC1444" w:rsidRDefault="00ED047C" w:rsidP="0050150B">
            <w:pPr>
              <w:adjustRightInd w:val="0"/>
              <w:snapToGrid w:val="0"/>
              <w:spacing w:line="0" w:lineRule="atLeast"/>
              <w:jc w:val="center"/>
              <w:rPr>
                <w:rFonts w:eastAsiaTheme="minorEastAsia"/>
                <w:szCs w:val="21"/>
              </w:rPr>
            </w:pPr>
            <w:r w:rsidRPr="00FC1444">
              <w:rPr>
                <w:rFonts w:eastAsiaTheme="minorEastAsia" w:hint="eastAsia"/>
                <w:szCs w:val="21"/>
              </w:rPr>
              <w:t>E10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50150B">
            <w:pPr>
              <w:spacing w:line="0" w:lineRule="atLeast"/>
              <w:jc w:val="center"/>
              <w:rPr>
                <w:rFonts w:eastAsiaTheme="minorEastAsia"/>
                <w:szCs w:val="21"/>
              </w:rPr>
            </w:pPr>
            <w:r w:rsidRPr="00FC1444">
              <w:rPr>
                <w:rFonts w:eastAsiaTheme="minorEastAsia"/>
                <w:szCs w:val="21"/>
              </w:rPr>
              <w:t>后金伏</w:t>
            </w:r>
          </w:p>
        </w:tc>
        <w:tc>
          <w:tcPr>
            <w:tcW w:w="830" w:type="dxa"/>
            <w:vMerge w:val="restart"/>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127.1501217</w:t>
            </w:r>
          </w:p>
        </w:tc>
        <w:tc>
          <w:tcPr>
            <w:tcW w:w="993" w:type="dxa"/>
            <w:vMerge w:val="restart"/>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46.572220</w:t>
            </w:r>
          </w:p>
        </w:tc>
        <w:tc>
          <w:tcPr>
            <w:tcW w:w="708"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50150B">
            <w:pPr>
              <w:adjustRightInd w:val="0"/>
              <w:snapToGrid w:val="0"/>
              <w:spacing w:line="0" w:lineRule="atLeast"/>
              <w:jc w:val="center"/>
              <w:rPr>
                <w:rFonts w:eastAsiaTheme="minorEastAsia"/>
                <w:szCs w:val="21"/>
              </w:rPr>
            </w:pPr>
            <w:r w:rsidRPr="00FC1444">
              <w:rPr>
                <w:rFonts w:eastAsiaTheme="minorEastAsia" w:hint="eastAsia"/>
                <w:szCs w:val="21"/>
              </w:rPr>
              <w:t>NE10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50150B">
            <w:pPr>
              <w:spacing w:line="0" w:lineRule="atLeast"/>
              <w:jc w:val="center"/>
              <w:rPr>
                <w:rFonts w:eastAsiaTheme="minorEastAsia"/>
                <w:szCs w:val="21"/>
              </w:rPr>
            </w:pPr>
          </w:p>
        </w:tc>
        <w:tc>
          <w:tcPr>
            <w:tcW w:w="830"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50150B">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ED047C" w:rsidRPr="00FC1444" w:rsidRDefault="00ED047C" w:rsidP="0050150B">
            <w:pPr>
              <w:adjustRightInd w:val="0"/>
              <w:snapToGrid w:val="0"/>
              <w:spacing w:line="0" w:lineRule="atLeast"/>
              <w:jc w:val="center"/>
              <w:rPr>
                <w:rFonts w:eastAsiaTheme="minorEastAsia"/>
                <w:szCs w:val="21"/>
              </w:rPr>
            </w:pPr>
            <w:r w:rsidRPr="00FC1444">
              <w:rPr>
                <w:rFonts w:eastAsiaTheme="minorEastAsia" w:hint="eastAsia"/>
                <w:szCs w:val="21"/>
              </w:rPr>
              <w:t>NE10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宁家店</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127.1223516</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46.583741</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106</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1</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4</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S120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温家屯</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127.1301686</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46.590409</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79</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NE50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12</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SW100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17</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SW30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hint="eastAsia"/>
                <w:szCs w:val="21"/>
              </w:rPr>
              <w:t>宋占武</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127.1326251</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46.591651</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56</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S100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12</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E160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17</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E25</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郭家油坊</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127.1218118</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46.590795</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42</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S75</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2</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E75</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1</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E75</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徐磨坊</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127.1226075</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46.594175</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33</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S70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5</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E30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3</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W30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hint="eastAsia"/>
                <w:szCs w:val="21"/>
              </w:rPr>
              <w:t>万兴店</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127.1328336</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46.593817</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10</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W30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3</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E40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王子阳</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127.1458065</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46.593913</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r w:rsidRPr="00FC1444">
              <w:rPr>
                <w:rFonts w:eastAsiaTheme="minorEastAsia" w:hint="eastAsia"/>
                <w:snapToGrid w:val="0"/>
                <w:szCs w:val="21"/>
              </w:rPr>
              <w:t>22</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S45</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r w:rsidRPr="00FC1444">
              <w:rPr>
                <w:rFonts w:eastAsiaTheme="minorEastAsia" w:hint="eastAsia"/>
                <w:snapToGrid w:val="0"/>
                <w:szCs w:val="21"/>
              </w:rPr>
              <w:t>73</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E110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于江水</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127.1433462</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47.000602</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7</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N40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r w:rsidRPr="00FC1444">
              <w:rPr>
                <w:rFonts w:eastAsiaTheme="minorEastAsia" w:hint="eastAsia"/>
                <w:snapToGrid w:val="0"/>
                <w:szCs w:val="21"/>
              </w:rPr>
              <w:t>8</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E15</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民发村</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127.1255319</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47.002289</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S35</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N30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N30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朱旺屯</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127.1236934</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47.015079</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N20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S20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S80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太安村</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127.1324518</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47.020938</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排水沟</w:t>
            </w:r>
            <w:r w:rsidRPr="00FC1444">
              <w:rPr>
                <w:rFonts w:eastAsiaTheme="minorEastAsia" w:hint="eastAsia"/>
                <w:snapToGrid w:val="0"/>
                <w:szCs w:val="21"/>
              </w:rPr>
              <w:t>6</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SW120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NE35</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毕甲奎</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127.1225501</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47.024207</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排水沟</w:t>
            </w:r>
            <w:r w:rsidRPr="00FC1444">
              <w:rPr>
                <w:rFonts w:eastAsiaTheme="minorEastAsia" w:hint="eastAsia"/>
                <w:snapToGrid w:val="0"/>
                <w:szCs w:val="21"/>
              </w:rPr>
              <w:t>7</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N115</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E15</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E15</w:t>
            </w:r>
          </w:p>
        </w:tc>
      </w:tr>
    </w:tbl>
    <w:p w:rsidR="00ED047C" w:rsidRPr="00FC1444" w:rsidRDefault="00ED047C"/>
    <w:p w:rsidR="00ED047C" w:rsidRPr="00FC1444" w:rsidRDefault="00ED047C"/>
    <w:p w:rsidR="00311756" w:rsidRPr="00FC1444" w:rsidRDefault="00311756" w:rsidP="00311756">
      <w:pPr>
        <w:jc w:val="center"/>
        <w:rPr>
          <w:rFonts w:eastAsiaTheme="minorEastAsia"/>
          <w:b/>
        </w:rPr>
      </w:pPr>
      <w:r w:rsidRPr="00FC1444">
        <w:rPr>
          <w:rFonts w:eastAsiaTheme="minorEastAsia"/>
          <w:b/>
          <w:kern w:val="0"/>
          <w:szCs w:val="21"/>
        </w:rPr>
        <w:lastRenderedPageBreak/>
        <w:t>续表</w:t>
      </w:r>
      <w:r w:rsidRPr="00FC1444">
        <w:rPr>
          <w:rFonts w:eastAsiaTheme="minorEastAsia"/>
          <w:b/>
          <w:kern w:val="0"/>
          <w:szCs w:val="21"/>
        </w:rPr>
        <w:t>2-8-1</w:t>
      </w:r>
      <w:r w:rsidRPr="00FC1444">
        <w:rPr>
          <w:rFonts w:eastAsiaTheme="minorEastAsia"/>
          <w:b/>
          <w:kern w:val="0"/>
          <w:szCs w:val="21"/>
        </w:rPr>
        <w:t>施工期及运营期环境空气及声环境保护目标一览表</w:t>
      </w:r>
    </w:p>
    <w:tbl>
      <w:tblPr>
        <w:tblW w:w="808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26"/>
        <w:gridCol w:w="830"/>
        <w:gridCol w:w="993"/>
        <w:gridCol w:w="708"/>
        <w:gridCol w:w="567"/>
        <w:gridCol w:w="851"/>
        <w:gridCol w:w="1417"/>
        <w:gridCol w:w="1389"/>
      </w:tblGrid>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bookmarkStart w:id="59" w:name="_Hlk10134549"/>
            <w:bookmarkEnd w:id="58"/>
            <w:r w:rsidRPr="00FC1444">
              <w:rPr>
                <w:rFonts w:eastAsiaTheme="minorEastAsia"/>
                <w:szCs w:val="21"/>
              </w:rPr>
              <w:t>张景春屯</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127.1340179</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47.025254</w:t>
            </w:r>
          </w:p>
        </w:tc>
        <w:tc>
          <w:tcPr>
            <w:tcW w:w="708" w:type="dxa"/>
            <w:vMerge w:val="restart"/>
            <w:vAlign w:val="center"/>
          </w:tcPr>
          <w:p w:rsidR="00ED047C" w:rsidRPr="00FC1444" w:rsidRDefault="00ED047C"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农村人群集中区</w:t>
            </w:r>
          </w:p>
        </w:tc>
        <w:tc>
          <w:tcPr>
            <w:tcW w:w="567" w:type="dxa"/>
            <w:vMerge w:val="restart"/>
            <w:vAlign w:val="center"/>
          </w:tcPr>
          <w:p w:rsidR="00ED047C" w:rsidRPr="00FC1444" w:rsidRDefault="00ED047C"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人群</w:t>
            </w:r>
          </w:p>
        </w:tc>
        <w:tc>
          <w:tcPr>
            <w:tcW w:w="851" w:type="dxa"/>
            <w:vMerge w:val="restart"/>
            <w:vAlign w:val="center"/>
          </w:tcPr>
          <w:p w:rsidR="00ED047C" w:rsidRPr="00FC1444" w:rsidRDefault="00ED047C"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环境空气：二类区；声环境：一类区</w:t>
            </w: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S20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S20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华家屯</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127.1439467</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47.022743</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N60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E30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苑家屯</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127.1519172</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47.021617</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W30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N30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W50</w:t>
            </w:r>
          </w:p>
        </w:tc>
      </w:tr>
      <w:tr w:rsidR="00ED047C" w:rsidRPr="00FC1444" w:rsidTr="009F0A2E">
        <w:trPr>
          <w:trHeight w:val="519"/>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民富村</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127.1500787</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47.025670</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排水沟</w:t>
            </w:r>
            <w:r w:rsidRPr="00FC1444">
              <w:rPr>
                <w:rFonts w:eastAsiaTheme="minorEastAsia" w:hint="eastAsia"/>
                <w:snapToGrid w:val="0"/>
                <w:szCs w:val="21"/>
              </w:rPr>
              <w:t>2</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E15</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魏家屯</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127.1534467</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47.031196</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E20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廖家屯</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127.1456152</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47.031838</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2</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E20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E30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西窝棚</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127.1333343</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47.031291</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E80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E80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S40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胡四麻子</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127.1331393</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47.012020</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W50</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机耕路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E20</w:t>
            </w:r>
          </w:p>
        </w:tc>
      </w:tr>
      <w:tr w:rsidR="00ED047C" w:rsidRPr="00FC1444" w:rsidTr="009F0A2E">
        <w:trPr>
          <w:trHeight w:val="275"/>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张华国屯</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127.1415888</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47.013405</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生产路</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E15</w:t>
            </w:r>
          </w:p>
        </w:tc>
      </w:tr>
      <w:tr w:rsidR="00ED047C" w:rsidRPr="00FC1444" w:rsidTr="009F0A2E">
        <w:trPr>
          <w:trHeight w:val="275"/>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涵</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E15</w:t>
            </w:r>
          </w:p>
        </w:tc>
      </w:tr>
    </w:tbl>
    <w:p w:rsidR="00311756" w:rsidRPr="00FC1444" w:rsidRDefault="00311756"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p>
    <w:p w:rsidR="00F57E89" w:rsidRPr="00FC1444" w:rsidRDefault="00F57E89" w:rsidP="00311756">
      <w:pPr>
        <w:contextualSpacing/>
        <w:jc w:val="center"/>
        <w:rPr>
          <w:rFonts w:eastAsiaTheme="minorEastAsia"/>
          <w:b/>
          <w:kern w:val="0"/>
          <w:szCs w:val="21"/>
        </w:rPr>
      </w:pPr>
    </w:p>
    <w:p w:rsidR="00F57E89" w:rsidRPr="00FC1444" w:rsidRDefault="00F57E89" w:rsidP="00311756">
      <w:pPr>
        <w:contextualSpacing/>
        <w:jc w:val="center"/>
        <w:rPr>
          <w:rFonts w:eastAsiaTheme="minorEastAsia"/>
          <w:b/>
          <w:kern w:val="0"/>
          <w:szCs w:val="21"/>
        </w:rPr>
      </w:pPr>
    </w:p>
    <w:p w:rsidR="00F57E89" w:rsidRPr="00FC1444" w:rsidRDefault="00F57E89" w:rsidP="00311756">
      <w:pPr>
        <w:contextualSpacing/>
        <w:jc w:val="center"/>
        <w:rPr>
          <w:rFonts w:eastAsiaTheme="minorEastAsia"/>
          <w:b/>
          <w:kern w:val="0"/>
          <w:szCs w:val="21"/>
        </w:rPr>
      </w:pPr>
    </w:p>
    <w:p w:rsidR="00F57E89" w:rsidRPr="00FC1444" w:rsidRDefault="00F57E89" w:rsidP="00311756">
      <w:pPr>
        <w:contextualSpacing/>
        <w:jc w:val="center"/>
        <w:rPr>
          <w:rFonts w:eastAsiaTheme="minorEastAsia"/>
          <w:b/>
          <w:kern w:val="0"/>
          <w:szCs w:val="21"/>
        </w:rPr>
      </w:pPr>
    </w:p>
    <w:p w:rsidR="00F57E89" w:rsidRPr="00FC1444" w:rsidRDefault="00F57E89" w:rsidP="00311756">
      <w:pPr>
        <w:contextualSpacing/>
        <w:jc w:val="center"/>
        <w:rPr>
          <w:rFonts w:eastAsiaTheme="minorEastAsia"/>
          <w:b/>
          <w:kern w:val="0"/>
          <w:szCs w:val="21"/>
        </w:rPr>
      </w:pPr>
    </w:p>
    <w:p w:rsidR="00F57E89" w:rsidRPr="00FC1444" w:rsidRDefault="00F57E89" w:rsidP="00311756">
      <w:pPr>
        <w:contextualSpacing/>
        <w:jc w:val="center"/>
        <w:rPr>
          <w:rFonts w:eastAsiaTheme="minorEastAsia"/>
          <w:b/>
          <w:kern w:val="0"/>
          <w:szCs w:val="21"/>
        </w:rPr>
      </w:pPr>
    </w:p>
    <w:p w:rsidR="00F57E89" w:rsidRPr="00FC1444" w:rsidRDefault="00F57E89" w:rsidP="00311756">
      <w:pPr>
        <w:contextualSpacing/>
        <w:jc w:val="center"/>
        <w:rPr>
          <w:rFonts w:eastAsiaTheme="minorEastAsia"/>
          <w:b/>
          <w:kern w:val="0"/>
          <w:szCs w:val="21"/>
        </w:rPr>
      </w:pPr>
    </w:p>
    <w:p w:rsidR="00F57E89" w:rsidRPr="00FC1444" w:rsidRDefault="00F57E89" w:rsidP="00311756">
      <w:pPr>
        <w:contextualSpacing/>
        <w:jc w:val="center"/>
        <w:rPr>
          <w:rFonts w:eastAsiaTheme="minorEastAsia"/>
          <w:b/>
          <w:kern w:val="0"/>
          <w:szCs w:val="21"/>
        </w:rPr>
      </w:pPr>
    </w:p>
    <w:p w:rsidR="00F57E89" w:rsidRPr="00FC1444" w:rsidRDefault="00F57E89" w:rsidP="00311756">
      <w:pPr>
        <w:contextualSpacing/>
        <w:jc w:val="center"/>
        <w:rPr>
          <w:rFonts w:eastAsiaTheme="minorEastAsia"/>
          <w:b/>
          <w:kern w:val="0"/>
          <w:szCs w:val="21"/>
        </w:rPr>
      </w:pPr>
    </w:p>
    <w:p w:rsidR="00F57E89" w:rsidRPr="00FC1444" w:rsidRDefault="00F57E89" w:rsidP="00311756">
      <w:pPr>
        <w:contextualSpacing/>
        <w:jc w:val="center"/>
        <w:rPr>
          <w:rFonts w:eastAsiaTheme="minorEastAsia"/>
          <w:b/>
          <w:kern w:val="0"/>
          <w:szCs w:val="21"/>
        </w:rPr>
      </w:pPr>
    </w:p>
    <w:p w:rsidR="00F57E89" w:rsidRPr="00FC1444" w:rsidRDefault="00F57E89" w:rsidP="00311756">
      <w:pPr>
        <w:contextualSpacing/>
        <w:jc w:val="center"/>
        <w:rPr>
          <w:rFonts w:eastAsiaTheme="minorEastAsia"/>
          <w:b/>
          <w:kern w:val="0"/>
          <w:szCs w:val="21"/>
        </w:rPr>
      </w:pPr>
    </w:p>
    <w:p w:rsidR="00F57E89" w:rsidRPr="00FC1444" w:rsidRDefault="00F57E89" w:rsidP="00311756">
      <w:pPr>
        <w:contextualSpacing/>
        <w:jc w:val="center"/>
        <w:rPr>
          <w:rFonts w:eastAsiaTheme="minorEastAsia"/>
          <w:b/>
          <w:kern w:val="0"/>
          <w:szCs w:val="21"/>
        </w:rPr>
      </w:pPr>
    </w:p>
    <w:p w:rsidR="00311756" w:rsidRPr="00FC1444" w:rsidRDefault="00311756" w:rsidP="00311756">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2-8-2</w:t>
      </w:r>
      <w:r w:rsidRPr="00FC1444">
        <w:rPr>
          <w:rFonts w:eastAsiaTheme="minorEastAsia"/>
          <w:b/>
          <w:kern w:val="0"/>
          <w:szCs w:val="21"/>
        </w:rPr>
        <w:t>重点施工工区周边保护目标分布情况一览表</w:t>
      </w:r>
    </w:p>
    <w:tbl>
      <w:tblPr>
        <w:tblW w:w="808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26"/>
        <w:gridCol w:w="830"/>
        <w:gridCol w:w="993"/>
        <w:gridCol w:w="708"/>
        <w:gridCol w:w="567"/>
        <w:gridCol w:w="851"/>
        <w:gridCol w:w="1417"/>
        <w:gridCol w:w="1389"/>
      </w:tblGrid>
      <w:tr w:rsidR="00ED047C" w:rsidRPr="00FC1444" w:rsidTr="009F0A2E">
        <w:trPr>
          <w:trHeight w:val="270"/>
          <w:jc w:val="center"/>
        </w:trPr>
        <w:tc>
          <w:tcPr>
            <w:tcW w:w="1326" w:type="dxa"/>
            <w:vMerge w:val="restart"/>
            <w:shd w:val="clear" w:color="auto" w:fill="auto"/>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名称</w:t>
            </w:r>
          </w:p>
        </w:tc>
        <w:tc>
          <w:tcPr>
            <w:tcW w:w="1823" w:type="dxa"/>
            <w:gridSpan w:val="2"/>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坐标（</w:t>
            </w:r>
            <w:r w:rsidRPr="00FC1444">
              <w:rPr>
                <w:rFonts w:eastAsiaTheme="minorEastAsia"/>
                <w:snapToGrid w:val="0"/>
                <w:szCs w:val="21"/>
              </w:rPr>
              <w:t>°</w:t>
            </w:r>
            <w:r w:rsidRPr="00FC1444">
              <w:rPr>
                <w:rFonts w:eastAsiaTheme="minorEastAsia"/>
                <w:snapToGrid w:val="0"/>
                <w:szCs w:val="21"/>
              </w:rPr>
              <w:t>）</w:t>
            </w:r>
          </w:p>
        </w:tc>
        <w:tc>
          <w:tcPr>
            <w:tcW w:w="708"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保护对象</w:t>
            </w:r>
          </w:p>
        </w:tc>
        <w:tc>
          <w:tcPr>
            <w:tcW w:w="567"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保护</w:t>
            </w:r>
          </w:p>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内容</w:t>
            </w:r>
          </w:p>
        </w:tc>
        <w:tc>
          <w:tcPr>
            <w:tcW w:w="851"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环境功能区</w:t>
            </w:r>
          </w:p>
        </w:tc>
        <w:tc>
          <w:tcPr>
            <w:tcW w:w="1417"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工程</w:t>
            </w:r>
          </w:p>
        </w:tc>
        <w:tc>
          <w:tcPr>
            <w:tcW w:w="1389" w:type="dxa"/>
            <w:vMerge w:val="restart"/>
            <w:shd w:val="clear" w:color="auto" w:fill="auto"/>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相对工程方位及最近距离</w:t>
            </w:r>
            <w:r w:rsidRPr="00FC1444">
              <w:rPr>
                <w:rFonts w:eastAsiaTheme="minorEastAsia"/>
                <w:snapToGrid w:val="0"/>
                <w:szCs w:val="21"/>
              </w:rPr>
              <w:t>m</w:t>
            </w:r>
          </w:p>
        </w:tc>
      </w:tr>
      <w:tr w:rsidR="00ED047C" w:rsidRPr="00FC1444" w:rsidTr="009F0A2E">
        <w:trPr>
          <w:trHeight w:val="270"/>
          <w:jc w:val="center"/>
        </w:trPr>
        <w:tc>
          <w:tcPr>
            <w:tcW w:w="1326" w:type="dxa"/>
            <w:vMerge/>
            <w:shd w:val="clear" w:color="auto" w:fill="auto"/>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kern w:val="0"/>
                <w:szCs w:val="21"/>
              </w:rPr>
            </w:pPr>
            <w:r w:rsidRPr="00FC1444">
              <w:rPr>
                <w:rFonts w:eastAsiaTheme="minorEastAsia"/>
                <w:snapToGrid w:val="0"/>
                <w:kern w:val="0"/>
                <w:szCs w:val="21"/>
              </w:rPr>
              <w:t>东经</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kern w:val="0"/>
                <w:szCs w:val="21"/>
              </w:rPr>
            </w:pPr>
            <w:r w:rsidRPr="00FC1444">
              <w:rPr>
                <w:rFonts w:eastAsiaTheme="minorEastAsia"/>
                <w:snapToGrid w:val="0"/>
                <w:kern w:val="0"/>
                <w:szCs w:val="21"/>
              </w:rPr>
              <w:t>北纬</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389" w:type="dxa"/>
            <w:vMerge/>
            <w:shd w:val="clear" w:color="auto" w:fill="auto"/>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r>
      <w:tr w:rsidR="00ED047C" w:rsidRPr="00FC1444" w:rsidTr="009F0A2E">
        <w:trPr>
          <w:trHeight w:val="290"/>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hint="eastAsia"/>
                <w:szCs w:val="21"/>
              </w:rPr>
              <w:t>黄家屯</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126.5153154</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46.332064</w:t>
            </w:r>
          </w:p>
        </w:tc>
        <w:tc>
          <w:tcPr>
            <w:tcW w:w="708"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农村人群集中区</w:t>
            </w:r>
          </w:p>
        </w:tc>
        <w:tc>
          <w:tcPr>
            <w:tcW w:w="567"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人群</w:t>
            </w:r>
          </w:p>
        </w:tc>
        <w:tc>
          <w:tcPr>
            <w:tcW w:w="851"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环境空气：二类区；声环境：一类区</w:t>
            </w: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3</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W10</w:t>
            </w:r>
          </w:p>
        </w:tc>
      </w:tr>
      <w:tr w:rsidR="00ED047C" w:rsidRPr="00FC1444" w:rsidTr="009F0A2E">
        <w:trPr>
          <w:trHeight w:val="225"/>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李荒子屯</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126.4759662</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46.332934</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E25</w:t>
            </w:r>
          </w:p>
        </w:tc>
      </w:tr>
      <w:tr w:rsidR="00ED047C" w:rsidRPr="00FC1444" w:rsidTr="009F0A2E">
        <w:trPr>
          <w:trHeight w:val="431"/>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张家窝棚</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127.0602403</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46.430452</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4</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W30</w:t>
            </w:r>
          </w:p>
        </w:tc>
      </w:tr>
      <w:tr w:rsidR="00ED047C" w:rsidRPr="00FC1444" w:rsidTr="009F0A2E">
        <w:trPr>
          <w:trHeight w:val="367"/>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小张家窝棚</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127.0701826</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46.431391</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E20</w:t>
            </w:r>
          </w:p>
        </w:tc>
      </w:tr>
      <w:tr w:rsidR="00ED047C" w:rsidRPr="00FC1444" w:rsidTr="009F0A2E">
        <w:trPr>
          <w:trHeight w:val="317"/>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民胜村</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127.0624294</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46.442611</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7</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N20</w:t>
            </w:r>
          </w:p>
        </w:tc>
      </w:tr>
      <w:tr w:rsidR="00ED047C" w:rsidRPr="00FC1444" w:rsidTr="009F0A2E">
        <w:trPr>
          <w:trHeight w:val="580"/>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王家屯</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127.0541305</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46.444972</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W25</w:t>
            </w:r>
          </w:p>
        </w:tc>
      </w:tr>
      <w:tr w:rsidR="00ED047C" w:rsidRPr="00FC1444" w:rsidTr="009F0A2E">
        <w:trPr>
          <w:trHeight w:val="219"/>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hint="eastAsia"/>
                <w:szCs w:val="21"/>
              </w:rPr>
              <w:t>津河镇</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127.0909492</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46.435899</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13</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S130</w:t>
            </w:r>
          </w:p>
        </w:tc>
      </w:tr>
      <w:tr w:rsidR="00ED047C" w:rsidRPr="00FC1444" w:rsidTr="009F0A2E">
        <w:trPr>
          <w:trHeight w:val="181"/>
          <w:jc w:val="center"/>
        </w:trPr>
        <w:tc>
          <w:tcPr>
            <w:tcW w:w="1326" w:type="dxa"/>
            <w:vMerge w:val="restart"/>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孙土包</w:t>
            </w:r>
          </w:p>
        </w:tc>
        <w:tc>
          <w:tcPr>
            <w:tcW w:w="830"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127.0850025</w:t>
            </w:r>
          </w:p>
        </w:tc>
        <w:tc>
          <w:tcPr>
            <w:tcW w:w="993" w:type="dxa"/>
            <w:vMerge w:val="restart"/>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46.451426</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10</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S120</w:t>
            </w:r>
          </w:p>
        </w:tc>
      </w:tr>
      <w:tr w:rsidR="00ED047C" w:rsidRPr="00FC1444" w:rsidTr="009F0A2E">
        <w:trPr>
          <w:trHeight w:val="199"/>
          <w:jc w:val="center"/>
        </w:trPr>
        <w:tc>
          <w:tcPr>
            <w:tcW w:w="1326" w:type="dxa"/>
            <w:vMerge/>
            <w:shd w:val="clear" w:color="auto" w:fill="auto"/>
            <w:vAlign w:val="center"/>
          </w:tcPr>
          <w:p w:rsidR="00ED047C" w:rsidRPr="00FC1444" w:rsidRDefault="00ED047C" w:rsidP="00ED047C">
            <w:pPr>
              <w:spacing w:line="0" w:lineRule="atLeast"/>
              <w:jc w:val="center"/>
              <w:rPr>
                <w:rFonts w:eastAsiaTheme="minorEastAsia"/>
                <w:szCs w:val="21"/>
              </w:rPr>
            </w:pPr>
          </w:p>
        </w:tc>
        <w:tc>
          <w:tcPr>
            <w:tcW w:w="830"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11</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S160</w:t>
            </w:r>
          </w:p>
        </w:tc>
      </w:tr>
      <w:tr w:rsidR="00ED047C" w:rsidRPr="00FC1444" w:rsidTr="009F0A2E">
        <w:trPr>
          <w:trHeight w:val="291"/>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四不漏</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127.1017974</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46.453967</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5</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N40</w:t>
            </w:r>
          </w:p>
        </w:tc>
      </w:tr>
      <w:tr w:rsidR="00ED047C" w:rsidRPr="00FC1444" w:rsidTr="009F0A2E">
        <w:trPr>
          <w:trHeight w:val="77"/>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hint="eastAsia"/>
                <w:szCs w:val="21"/>
              </w:rPr>
              <w:t>前孔屯</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127.1130239</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46.462514</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2</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N20</w:t>
            </w:r>
          </w:p>
        </w:tc>
      </w:tr>
      <w:tr w:rsidR="00ED047C" w:rsidRPr="00FC1444" w:rsidTr="009F0A2E">
        <w:trPr>
          <w:trHeight w:val="447"/>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靠河村</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127.1021564</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46.464107</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6</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N30</w:t>
            </w:r>
          </w:p>
        </w:tc>
      </w:tr>
      <w:tr w:rsidR="00ED047C" w:rsidRPr="00FC1444" w:rsidTr="009F0A2E">
        <w:trPr>
          <w:trHeight w:val="511"/>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于路屯</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127.1310157</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46.530670</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N75</w:t>
            </w:r>
          </w:p>
        </w:tc>
      </w:tr>
      <w:tr w:rsidR="00ED047C" w:rsidRPr="00FC1444" w:rsidTr="009F0A2E">
        <w:trPr>
          <w:trHeight w:val="405"/>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东围屯</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127.1523834</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46.542071</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3</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N88</w:t>
            </w:r>
          </w:p>
        </w:tc>
      </w:tr>
      <w:tr w:rsidR="00ED047C" w:rsidRPr="00FC1444" w:rsidTr="009F0A2E">
        <w:trPr>
          <w:trHeight w:val="580"/>
          <w:jc w:val="center"/>
        </w:trPr>
        <w:tc>
          <w:tcPr>
            <w:tcW w:w="1326" w:type="dxa"/>
            <w:tcBorders>
              <w:top w:val="single" w:sz="4" w:space="0" w:color="auto"/>
              <w:bottom w:val="single" w:sz="4" w:space="0" w:color="auto"/>
              <w:right w:val="single" w:sz="4" w:space="0" w:color="auto"/>
            </w:tcBorders>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侯家屯</w:t>
            </w:r>
          </w:p>
        </w:tc>
        <w:tc>
          <w:tcPr>
            <w:tcW w:w="830" w:type="dxa"/>
            <w:tcBorders>
              <w:top w:val="single" w:sz="4" w:space="0" w:color="auto"/>
              <w:left w:val="single" w:sz="4" w:space="0" w:color="auto"/>
              <w:bottom w:val="single" w:sz="4" w:space="0" w:color="auto"/>
              <w:right w:val="single" w:sz="4" w:space="0" w:color="auto"/>
            </w:tcBorders>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127.1249069</w:t>
            </w:r>
          </w:p>
        </w:tc>
        <w:tc>
          <w:tcPr>
            <w:tcW w:w="993" w:type="dxa"/>
            <w:tcBorders>
              <w:top w:val="single" w:sz="4" w:space="0" w:color="auto"/>
              <w:left w:val="single" w:sz="4" w:space="0" w:color="auto"/>
              <w:bottom w:val="single" w:sz="4" w:space="0" w:color="auto"/>
            </w:tcBorders>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46.544815</w:t>
            </w:r>
          </w:p>
        </w:tc>
        <w:tc>
          <w:tcPr>
            <w:tcW w:w="708" w:type="dxa"/>
            <w:vMerge/>
            <w:tcBorders>
              <w:bottom w:val="single" w:sz="4" w:space="0" w:color="auto"/>
            </w:tcBorders>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tcBorders>
              <w:bottom w:val="single" w:sz="4" w:space="0" w:color="auto"/>
            </w:tcBorders>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tcBorders>
              <w:bottom w:val="single" w:sz="4" w:space="0" w:color="auto"/>
            </w:tcBorders>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tcBorders>
              <w:top w:val="single" w:sz="4" w:space="0" w:color="auto"/>
              <w:bottom w:val="single" w:sz="4" w:space="0" w:color="auto"/>
              <w:right w:val="single" w:sz="4" w:space="0" w:color="auto"/>
            </w:tcBorders>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3</w:t>
            </w:r>
          </w:p>
        </w:tc>
        <w:tc>
          <w:tcPr>
            <w:tcW w:w="1389" w:type="dxa"/>
            <w:tcBorders>
              <w:top w:val="single" w:sz="4" w:space="0" w:color="auto"/>
              <w:left w:val="single" w:sz="4" w:space="0" w:color="auto"/>
              <w:bottom w:val="single" w:sz="4" w:space="0" w:color="auto"/>
            </w:tcBorders>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W60</w:t>
            </w:r>
          </w:p>
        </w:tc>
      </w:tr>
      <w:tr w:rsidR="00ED047C" w:rsidRPr="00FC1444" w:rsidTr="009F0A2E">
        <w:trPr>
          <w:trHeight w:val="503"/>
          <w:jc w:val="center"/>
        </w:trPr>
        <w:tc>
          <w:tcPr>
            <w:tcW w:w="1326" w:type="dxa"/>
            <w:tcBorders>
              <w:bottom w:val="single" w:sz="4" w:space="0" w:color="auto"/>
            </w:tcBorders>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徐申屯</w:t>
            </w:r>
          </w:p>
        </w:tc>
        <w:tc>
          <w:tcPr>
            <w:tcW w:w="830" w:type="dxa"/>
            <w:tcBorders>
              <w:bottom w:val="single" w:sz="4" w:space="0" w:color="auto"/>
            </w:tcBorders>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127.1448687</w:t>
            </w:r>
          </w:p>
        </w:tc>
        <w:tc>
          <w:tcPr>
            <w:tcW w:w="993" w:type="dxa"/>
            <w:tcBorders>
              <w:bottom w:val="single" w:sz="4" w:space="0" w:color="auto"/>
            </w:tcBorders>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46.553993</w:t>
            </w:r>
          </w:p>
        </w:tc>
        <w:tc>
          <w:tcPr>
            <w:tcW w:w="708" w:type="dxa"/>
            <w:vMerge/>
            <w:tcBorders>
              <w:bottom w:val="single" w:sz="4" w:space="0" w:color="auto"/>
            </w:tcBorders>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tcBorders>
              <w:bottom w:val="single" w:sz="4" w:space="0" w:color="auto"/>
            </w:tcBorders>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tcBorders>
              <w:bottom w:val="single" w:sz="4" w:space="0" w:color="auto"/>
            </w:tcBorders>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tcBorders>
              <w:bottom w:val="single" w:sz="4" w:space="0" w:color="auto"/>
            </w:tcBorders>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7</w:t>
            </w:r>
          </w:p>
        </w:tc>
        <w:tc>
          <w:tcPr>
            <w:tcW w:w="1389" w:type="dxa"/>
            <w:tcBorders>
              <w:bottom w:val="single" w:sz="4" w:space="0" w:color="auto"/>
            </w:tcBorders>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E20</w:t>
            </w:r>
          </w:p>
        </w:tc>
      </w:tr>
      <w:tr w:rsidR="00ED047C" w:rsidRPr="00FC1444" w:rsidTr="009F0A2E">
        <w:trPr>
          <w:trHeight w:val="580"/>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三间房</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127.1737527</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46.545554</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E10</w:t>
            </w:r>
          </w:p>
        </w:tc>
      </w:tr>
      <w:tr w:rsidR="00ED047C" w:rsidRPr="00FC1444" w:rsidTr="009F0A2E">
        <w:trPr>
          <w:trHeight w:val="392"/>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向阳堡</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127.1715801</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46.551470</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1</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W80</w:t>
            </w:r>
          </w:p>
        </w:tc>
      </w:tr>
      <w:tr w:rsidR="00ED047C" w:rsidRPr="00FC1444" w:rsidTr="009F0A2E">
        <w:trPr>
          <w:trHeight w:val="383"/>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宁家店</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127.1223516</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46.583741</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4</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S120</w:t>
            </w:r>
          </w:p>
        </w:tc>
      </w:tr>
      <w:tr w:rsidR="00ED047C" w:rsidRPr="00FC1444" w:rsidTr="009F0A2E">
        <w:trPr>
          <w:trHeight w:val="460"/>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太安村</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127.1324518</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47.020938</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排水沟</w:t>
            </w:r>
            <w:r w:rsidRPr="00FC1444">
              <w:rPr>
                <w:rFonts w:eastAsiaTheme="minorEastAsia" w:hint="eastAsia"/>
                <w:snapToGrid w:val="0"/>
                <w:szCs w:val="21"/>
              </w:rPr>
              <w:t>6</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SW120</w:t>
            </w:r>
          </w:p>
        </w:tc>
      </w:tr>
      <w:tr w:rsidR="00ED047C" w:rsidRPr="00FC1444" w:rsidTr="009F0A2E">
        <w:trPr>
          <w:trHeight w:val="298"/>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毕甲奎</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127.1225501</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47.024207</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排水沟</w:t>
            </w:r>
            <w:r w:rsidRPr="00FC1444">
              <w:rPr>
                <w:rFonts w:eastAsiaTheme="minorEastAsia" w:hint="eastAsia"/>
                <w:snapToGrid w:val="0"/>
                <w:szCs w:val="21"/>
              </w:rPr>
              <w:t>7</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N115</w:t>
            </w:r>
          </w:p>
        </w:tc>
      </w:tr>
      <w:tr w:rsidR="00ED047C" w:rsidRPr="00FC1444" w:rsidTr="009F0A2E">
        <w:trPr>
          <w:trHeight w:val="519"/>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民富村</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127.1500787</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47.025670</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hint="eastAsia"/>
                <w:snapToGrid w:val="0"/>
                <w:szCs w:val="21"/>
              </w:rPr>
              <w:t>排水沟</w:t>
            </w:r>
            <w:r w:rsidRPr="00FC1444">
              <w:rPr>
                <w:rFonts w:eastAsiaTheme="minorEastAsia" w:hint="eastAsia"/>
                <w:snapToGrid w:val="0"/>
                <w:szCs w:val="21"/>
              </w:rPr>
              <w:t>2</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E15</w:t>
            </w:r>
          </w:p>
        </w:tc>
      </w:tr>
      <w:tr w:rsidR="00ED047C" w:rsidRPr="00FC1444" w:rsidTr="009F0A2E">
        <w:trPr>
          <w:trHeight w:val="580"/>
          <w:jc w:val="center"/>
        </w:trPr>
        <w:tc>
          <w:tcPr>
            <w:tcW w:w="1326" w:type="dxa"/>
            <w:shd w:val="clear" w:color="auto" w:fill="auto"/>
            <w:vAlign w:val="center"/>
          </w:tcPr>
          <w:p w:rsidR="00ED047C" w:rsidRPr="00FC1444" w:rsidRDefault="00ED047C" w:rsidP="00ED047C">
            <w:pPr>
              <w:spacing w:line="0" w:lineRule="atLeast"/>
              <w:jc w:val="center"/>
              <w:rPr>
                <w:rFonts w:eastAsiaTheme="minorEastAsia"/>
                <w:szCs w:val="21"/>
              </w:rPr>
            </w:pPr>
            <w:r w:rsidRPr="00FC1444">
              <w:rPr>
                <w:rFonts w:eastAsiaTheme="minorEastAsia"/>
                <w:szCs w:val="21"/>
              </w:rPr>
              <w:t>廖家屯</w:t>
            </w:r>
          </w:p>
        </w:tc>
        <w:tc>
          <w:tcPr>
            <w:tcW w:w="830"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127.1456152</w:t>
            </w:r>
          </w:p>
        </w:tc>
        <w:tc>
          <w:tcPr>
            <w:tcW w:w="993"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47.031838</w:t>
            </w:r>
          </w:p>
        </w:tc>
        <w:tc>
          <w:tcPr>
            <w:tcW w:w="708"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FC1444"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FC1444" w:rsidRDefault="00ED047C" w:rsidP="00ED047C">
            <w:pPr>
              <w:adjustRightInd w:val="0"/>
              <w:snapToGrid w:val="0"/>
              <w:spacing w:line="0" w:lineRule="atLeast"/>
              <w:jc w:val="center"/>
              <w:rPr>
                <w:rFonts w:eastAsiaTheme="minorEastAsia"/>
                <w:snapToGrid w:val="0"/>
                <w:szCs w:val="21"/>
              </w:rPr>
            </w:pPr>
            <w:r w:rsidRPr="00FC1444">
              <w:rPr>
                <w:rFonts w:eastAsiaTheme="minorEastAsia"/>
                <w:snapToGrid w:val="0"/>
                <w:szCs w:val="21"/>
              </w:rPr>
              <w:t>排水沟</w:t>
            </w:r>
            <w:r w:rsidRPr="00FC1444">
              <w:rPr>
                <w:rFonts w:eastAsiaTheme="minorEastAsia" w:hint="eastAsia"/>
                <w:snapToGrid w:val="0"/>
                <w:szCs w:val="21"/>
              </w:rPr>
              <w:t>2</w:t>
            </w:r>
          </w:p>
        </w:tc>
        <w:tc>
          <w:tcPr>
            <w:tcW w:w="1389" w:type="dxa"/>
            <w:shd w:val="clear" w:color="auto" w:fill="auto"/>
            <w:vAlign w:val="center"/>
          </w:tcPr>
          <w:p w:rsidR="00ED047C" w:rsidRPr="00FC1444" w:rsidRDefault="00ED047C" w:rsidP="00ED047C">
            <w:pPr>
              <w:adjustRightInd w:val="0"/>
              <w:snapToGrid w:val="0"/>
              <w:spacing w:line="0" w:lineRule="atLeast"/>
              <w:jc w:val="center"/>
              <w:rPr>
                <w:rFonts w:eastAsiaTheme="minorEastAsia"/>
                <w:szCs w:val="21"/>
              </w:rPr>
            </w:pPr>
            <w:r w:rsidRPr="00FC1444">
              <w:rPr>
                <w:rFonts w:eastAsiaTheme="minorEastAsia" w:hint="eastAsia"/>
                <w:szCs w:val="21"/>
              </w:rPr>
              <w:t>E20</w:t>
            </w:r>
          </w:p>
        </w:tc>
      </w:tr>
    </w:tbl>
    <w:p w:rsidR="002A5A5E" w:rsidRPr="00FC1444" w:rsidRDefault="00611CBA">
      <w:pPr>
        <w:spacing w:line="360" w:lineRule="auto"/>
        <w:ind w:firstLineChars="200" w:firstLine="480"/>
        <w:contextualSpacing/>
        <w:rPr>
          <w:rFonts w:eastAsiaTheme="minorEastAsia"/>
          <w:snapToGrid w:val="0"/>
          <w:sz w:val="24"/>
        </w:rPr>
      </w:pPr>
      <w:r w:rsidRPr="00FC1444">
        <w:rPr>
          <w:rFonts w:eastAsiaTheme="minorEastAsia"/>
          <w:sz w:val="24"/>
        </w:rPr>
        <w:t>根据黑龙江省生态环境分区管控数据应用平台出具的《</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生态环境分区管控分析报告》可见，本项目工程占地及评价区域</w:t>
      </w:r>
      <w:r w:rsidRPr="00FC1444">
        <w:rPr>
          <w:rFonts w:eastAsiaTheme="minorEastAsia"/>
          <w:sz w:val="24"/>
        </w:rPr>
        <w:lastRenderedPageBreak/>
        <w:t>内不涉及生态保护红线、</w:t>
      </w:r>
      <w:r w:rsidRPr="00FC1444">
        <w:rPr>
          <w:rFonts w:eastAsiaTheme="minorEastAsia"/>
          <w:snapToGrid w:val="0"/>
          <w:sz w:val="24"/>
        </w:rPr>
        <w:t>国家、省、市重点保护文物、森林公园、地质公园、天然林、公益林、重要湿地等生态保护目标。</w:t>
      </w:r>
    </w:p>
    <w:p w:rsidR="002A5A5E" w:rsidRPr="00FC1444" w:rsidRDefault="00611CBA" w:rsidP="00003BA4">
      <w:pPr>
        <w:spacing w:line="360" w:lineRule="auto"/>
        <w:ind w:firstLineChars="200" w:firstLine="480"/>
        <w:contextualSpacing/>
        <w:rPr>
          <w:rFonts w:eastAsiaTheme="minorEastAsia"/>
          <w:sz w:val="24"/>
        </w:rPr>
      </w:pPr>
      <w:r w:rsidRPr="00FC1444">
        <w:rPr>
          <w:rFonts w:eastAsiaTheme="minorEastAsia"/>
          <w:snapToGrid w:val="0"/>
          <w:sz w:val="24"/>
        </w:rPr>
        <w:t>根据</w:t>
      </w:r>
      <w:r w:rsidRPr="00FC1444">
        <w:rPr>
          <w:rFonts w:eastAsiaTheme="minorEastAsia"/>
          <w:sz w:val="24"/>
        </w:rPr>
        <w:t>已批复</w:t>
      </w:r>
      <w:r w:rsidRPr="00FC1444">
        <w:rPr>
          <w:rFonts w:eastAsiaTheme="minorEastAsia"/>
          <w:snapToGrid w:val="0"/>
          <w:sz w:val="24"/>
        </w:rPr>
        <w:t>《</w:t>
      </w:r>
      <w:r w:rsidR="00AE168C" w:rsidRPr="00FC1444">
        <w:rPr>
          <w:rFonts w:eastAsiaTheme="minorEastAsia"/>
          <w:snapToGrid w:val="0"/>
          <w:sz w:val="24"/>
        </w:rPr>
        <w:t>北林区</w:t>
      </w:r>
      <w:r w:rsidR="00AE168C" w:rsidRPr="00FC1444">
        <w:rPr>
          <w:rFonts w:eastAsiaTheme="minorEastAsia"/>
          <w:snapToGrid w:val="0"/>
          <w:sz w:val="24"/>
        </w:rPr>
        <w:t>2026</w:t>
      </w:r>
      <w:r w:rsidR="00AE168C" w:rsidRPr="00FC1444">
        <w:rPr>
          <w:rFonts w:eastAsiaTheme="minorEastAsia"/>
          <w:snapToGrid w:val="0"/>
          <w:sz w:val="24"/>
        </w:rPr>
        <w:t>年高标准农田建设项目</w:t>
      </w:r>
      <w:r w:rsidRPr="00FC1444">
        <w:rPr>
          <w:rFonts w:eastAsiaTheme="minorEastAsia"/>
          <w:snapToGrid w:val="0"/>
          <w:sz w:val="24"/>
        </w:rPr>
        <w:t>水资源论证报告书》可知，本项目井群地下水开采水位影响范围最大为</w:t>
      </w:r>
      <w:r w:rsidR="00003BA4" w:rsidRPr="00FC1444">
        <w:rPr>
          <w:rFonts w:eastAsiaTheme="minorEastAsia"/>
          <w:snapToGrid w:val="0"/>
          <w:sz w:val="24"/>
        </w:rPr>
        <w:t>1.05</w:t>
      </w:r>
      <w:r w:rsidRPr="00FC1444">
        <w:rPr>
          <w:rFonts w:eastAsiaTheme="minorEastAsia"/>
          <w:snapToGrid w:val="0"/>
          <w:sz w:val="24"/>
        </w:rPr>
        <w:t>m</w:t>
      </w:r>
      <w:r w:rsidRPr="00FC1444">
        <w:rPr>
          <w:rFonts w:eastAsiaTheme="minorEastAsia"/>
          <w:snapToGrid w:val="0"/>
          <w:sz w:val="24"/>
        </w:rPr>
        <w:t>，经调查，地下水水位影响范围内未分布天然林、公益林、湿地等生态保护目标。</w:t>
      </w:r>
      <w:r w:rsidR="00DE64E8" w:rsidRPr="00FC1444">
        <w:rPr>
          <w:rFonts w:eastAsiaTheme="minorEastAsia"/>
          <w:b/>
          <w:snapToGrid w:val="0"/>
          <w:sz w:val="24"/>
        </w:rPr>
        <w:t xml:space="preserve"> </w:t>
      </w:r>
    </w:p>
    <w:p w:rsidR="002A5A5E" w:rsidRPr="00FC1444" w:rsidRDefault="00611CBA">
      <w:pPr>
        <w:spacing w:line="360" w:lineRule="auto"/>
        <w:ind w:firstLineChars="200" w:firstLine="480"/>
        <w:contextualSpacing/>
        <w:rPr>
          <w:rFonts w:eastAsiaTheme="minorEastAsia"/>
          <w:snapToGrid w:val="0"/>
          <w:sz w:val="24"/>
        </w:rPr>
      </w:pPr>
      <w:r w:rsidRPr="00FC1444">
        <w:rPr>
          <w:rFonts w:eastAsiaTheme="minorEastAsia"/>
          <w:snapToGrid w:val="0"/>
          <w:sz w:val="24"/>
        </w:rPr>
        <w:t>本项目现有退水路线不涉及重要水生生物的自然产卵场、索饵场、越冬场和洄游通道。</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2-8-</w:t>
      </w:r>
      <w:r w:rsidR="009C6B86" w:rsidRPr="00FC1444">
        <w:rPr>
          <w:rFonts w:eastAsiaTheme="minorEastAsia"/>
          <w:b/>
          <w:kern w:val="0"/>
          <w:szCs w:val="21"/>
        </w:rPr>
        <w:t>3</w:t>
      </w:r>
      <w:r w:rsidRPr="00FC1444">
        <w:rPr>
          <w:rFonts w:eastAsiaTheme="minorEastAsia"/>
          <w:b/>
          <w:kern w:val="0"/>
          <w:szCs w:val="21"/>
        </w:rPr>
        <w:t xml:space="preserve"> </w:t>
      </w:r>
      <w:r w:rsidRPr="00FC1444">
        <w:rPr>
          <w:rFonts w:eastAsiaTheme="minorEastAsia"/>
          <w:b/>
          <w:kern w:val="0"/>
          <w:szCs w:val="21"/>
        </w:rPr>
        <w:t>生态环境保护目标一览表</w:t>
      </w:r>
    </w:p>
    <w:tbl>
      <w:tblPr>
        <w:tblW w:w="5000" w:type="pct"/>
        <w:jc w:val="center"/>
        <w:tblBorders>
          <w:top w:val="single" w:sz="12" w:space="0" w:color="auto"/>
          <w:bottom w:val="single" w:sz="12" w:space="0" w:color="auto"/>
          <w:insideH w:val="single" w:sz="2" w:space="0" w:color="auto"/>
          <w:insideV w:val="single" w:sz="2" w:space="0" w:color="auto"/>
        </w:tblBorders>
        <w:tblCellMar>
          <w:left w:w="0" w:type="dxa"/>
          <w:right w:w="0" w:type="dxa"/>
        </w:tblCellMar>
        <w:tblLook w:val="04A0"/>
      </w:tblPr>
      <w:tblGrid>
        <w:gridCol w:w="678"/>
        <w:gridCol w:w="1581"/>
        <w:gridCol w:w="1693"/>
        <w:gridCol w:w="1693"/>
        <w:gridCol w:w="701"/>
        <w:gridCol w:w="1960"/>
      </w:tblGrid>
      <w:tr w:rsidR="002A5A5E" w:rsidRPr="00FC1444">
        <w:trPr>
          <w:trHeight w:val="602"/>
          <w:jc w:val="center"/>
        </w:trPr>
        <w:tc>
          <w:tcPr>
            <w:tcW w:w="408" w:type="pct"/>
            <w:vAlign w:val="center"/>
          </w:tcPr>
          <w:p w:rsidR="002A5A5E" w:rsidRPr="00FC1444" w:rsidRDefault="00611CBA">
            <w:pPr>
              <w:jc w:val="center"/>
              <w:rPr>
                <w:rFonts w:eastAsiaTheme="minorEastAsia"/>
                <w:kern w:val="0"/>
                <w:szCs w:val="21"/>
              </w:rPr>
            </w:pPr>
            <w:r w:rsidRPr="00FC1444">
              <w:rPr>
                <w:rFonts w:eastAsiaTheme="minorEastAsia"/>
                <w:kern w:val="0"/>
                <w:szCs w:val="21"/>
              </w:rPr>
              <w:t>类别</w:t>
            </w:r>
          </w:p>
        </w:tc>
        <w:tc>
          <w:tcPr>
            <w:tcW w:w="952" w:type="pct"/>
            <w:vAlign w:val="center"/>
          </w:tcPr>
          <w:p w:rsidR="002A5A5E" w:rsidRPr="00FC1444" w:rsidRDefault="00611CBA">
            <w:pPr>
              <w:jc w:val="center"/>
              <w:rPr>
                <w:rFonts w:eastAsiaTheme="minorEastAsia"/>
                <w:kern w:val="0"/>
                <w:szCs w:val="21"/>
              </w:rPr>
            </w:pPr>
            <w:r w:rsidRPr="00FC1444">
              <w:rPr>
                <w:rFonts w:eastAsiaTheme="minorEastAsia"/>
                <w:kern w:val="0"/>
                <w:szCs w:val="21"/>
              </w:rPr>
              <w:t>名称</w:t>
            </w:r>
          </w:p>
        </w:tc>
        <w:tc>
          <w:tcPr>
            <w:tcW w:w="1019" w:type="pct"/>
            <w:vAlign w:val="center"/>
          </w:tcPr>
          <w:p w:rsidR="002A5A5E" w:rsidRPr="00FC1444" w:rsidRDefault="00611CBA">
            <w:pPr>
              <w:jc w:val="center"/>
              <w:rPr>
                <w:rFonts w:eastAsiaTheme="minorEastAsia"/>
                <w:kern w:val="0"/>
                <w:szCs w:val="21"/>
              </w:rPr>
            </w:pPr>
            <w:r w:rsidRPr="00FC1444">
              <w:t>环境功能</w:t>
            </w:r>
          </w:p>
        </w:tc>
        <w:tc>
          <w:tcPr>
            <w:tcW w:w="1019" w:type="pct"/>
            <w:vAlign w:val="center"/>
          </w:tcPr>
          <w:p w:rsidR="002A5A5E" w:rsidRPr="00FC1444" w:rsidRDefault="00611CBA">
            <w:pPr>
              <w:jc w:val="center"/>
              <w:rPr>
                <w:rFonts w:eastAsiaTheme="minorEastAsia"/>
              </w:rPr>
            </w:pPr>
            <w:r w:rsidRPr="00FC1444">
              <w:rPr>
                <w:rFonts w:eastAsiaTheme="minorEastAsia"/>
                <w:kern w:val="0"/>
                <w:szCs w:val="21"/>
              </w:rPr>
              <w:t>对应区位关系</w:t>
            </w:r>
          </w:p>
        </w:tc>
        <w:tc>
          <w:tcPr>
            <w:tcW w:w="422" w:type="pct"/>
            <w:vAlign w:val="center"/>
          </w:tcPr>
          <w:p w:rsidR="002A5A5E" w:rsidRPr="00FC1444" w:rsidRDefault="00611CBA">
            <w:pPr>
              <w:jc w:val="center"/>
              <w:rPr>
                <w:rFonts w:eastAsiaTheme="minorEastAsia"/>
              </w:rPr>
            </w:pPr>
            <w:r w:rsidRPr="00FC1444">
              <w:rPr>
                <w:rFonts w:eastAsiaTheme="minorEastAsia"/>
                <w:kern w:val="0"/>
                <w:szCs w:val="21"/>
              </w:rPr>
              <w:t>占用情况</w:t>
            </w:r>
          </w:p>
        </w:tc>
        <w:tc>
          <w:tcPr>
            <w:tcW w:w="1180" w:type="pct"/>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保护要求</w:t>
            </w:r>
          </w:p>
        </w:tc>
      </w:tr>
      <w:tr w:rsidR="002A5A5E" w:rsidRPr="00FC1444">
        <w:trPr>
          <w:trHeight w:val="268"/>
          <w:jc w:val="center"/>
        </w:trPr>
        <w:tc>
          <w:tcPr>
            <w:tcW w:w="408" w:type="pct"/>
            <w:vMerge w:val="restart"/>
            <w:vAlign w:val="center"/>
          </w:tcPr>
          <w:p w:rsidR="002A5A5E" w:rsidRPr="00FC1444" w:rsidRDefault="00611CBA">
            <w:pPr>
              <w:jc w:val="center"/>
              <w:rPr>
                <w:rFonts w:eastAsiaTheme="minorEastAsia"/>
                <w:snapToGrid w:val="0"/>
                <w:szCs w:val="21"/>
              </w:rPr>
            </w:pPr>
            <w:r w:rsidRPr="00FC1444">
              <w:rPr>
                <w:rFonts w:eastAsiaTheme="minorEastAsia"/>
              </w:rPr>
              <w:t>陆生生态</w:t>
            </w:r>
          </w:p>
        </w:tc>
        <w:tc>
          <w:tcPr>
            <w:tcW w:w="952" w:type="pct"/>
            <w:vAlign w:val="center"/>
          </w:tcPr>
          <w:p w:rsidR="002A5A5E" w:rsidRPr="00FC1444" w:rsidRDefault="00611CBA">
            <w:pPr>
              <w:jc w:val="center"/>
              <w:rPr>
                <w:rFonts w:eastAsiaTheme="minorEastAsia"/>
                <w:snapToGrid w:val="0"/>
                <w:szCs w:val="21"/>
              </w:rPr>
            </w:pPr>
            <w:r w:rsidRPr="00FC1444">
              <w:rPr>
                <w:rFonts w:eastAsiaTheme="minorEastAsia"/>
              </w:rPr>
              <w:t>黑土地</w:t>
            </w:r>
          </w:p>
        </w:tc>
        <w:tc>
          <w:tcPr>
            <w:tcW w:w="1019" w:type="pct"/>
            <w:vAlign w:val="center"/>
          </w:tcPr>
          <w:p w:rsidR="002A5A5E" w:rsidRPr="00FC1444" w:rsidRDefault="00611CBA">
            <w:pPr>
              <w:jc w:val="center"/>
              <w:rPr>
                <w:rFonts w:eastAsiaTheme="minorEastAsia"/>
                <w:snapToGrid w:val="0"/>
                <w:szCs w:val="21"/>
              </w:rPr>
            </w:pPr>
            <w:r w:rsidRPr="00FC1444">
              <w:t>粮食生产、固碳</w:t>
            </w:r>
          </w:p>
        </w:tc>
        <w:tc>
          <w:tcPr>
            <w:tcW w:w="1441" w:type="pct"/>
            <w:gridSpan w:val="2"/>
            <w:vAlign w:val="center"/>
          </w:tcPr>
          <w:p w:rsidR="002A5A5E" w:rsidRPr="00FC1444" w:rsidRDefault="00611CBA">
            <w:pPr>
              <w:jc w:val="center"/>
              <w:rPr>
                <w:rFonts w:eastAsiaTheme="minorEastAsia"/>
                <w:smallCaps/>
              </w:rPr>
            </w:pPr>
            <w:r w:rsidRPr="00FC1444">
              <w:rPr>
                <w:rFonts w:eastAsiaTheme="minorEastAsia"/>
                <w:snapToGrid w:val="0"/>
                <w:szCs w:val="21"/>
              </w:rPr>
              <w:t>工程建设占地（田块整治工程）及评价范围</w:t>
            </w:r>
          </w:p>
        </w:tc>
        <w:tc>
          <w:tcPr>
            <w:tcW w:w="1180" w:type="pct"/>
            <w:vAlign w:val="center"/>
          </w:tcPr>
          <w:p w:rsidR="002A5A5E" w:rsidRPr="00FC1444" w:rsidRDefault="00611CBA">
            <w:pPr>
              <w:spacing w:line="0" w:lineRule="atLeast"/>
              <w:jc w:val="center"/>
              <w:rPr>
                <w:rFonts w:eastAsiaTheme="minorEastAsia"/>
                <w:szCs w:val="22"/>
              </w:rPr>
            </w:pPr>
            <w:r w:rsidRPr="00FC1444">
              <w:rPr>
                <w:bCs/>
              </w:rPr>
              <w:t>耕作层表土剥离，严格保护，合理利用</w:t>
            </w:r>
          </w:p>
        </w:tc>
      </w:tr>
      <w:tr w:rsidR="002A5A5E" w:rsidRPr="00FC1444">
        <w:trPr>
          <w:trHeight w:val="456"/>
          <w:jc w:val="center"/>
        </w:trPr>
        <w:tc>
          <w:tcPr>
            <w:tcW w:w="408" w:type="pct"/>
            <w:vMerge/>
            <w:vAlign w:val="center"/>
          </w:tcPr>
          <w:p w:rsidR="002A5A5E" w:rsidRPr="00FC1444" w:rsidRDefault="002A5A5E">
            <w:pPr>
              <w:jc w:val="center"/>
              <w:rPr>
                <w:rFonts w:eastAsiaTheme="minorEastAsia"/>
                <w:snapToGrid w:val="0"/>
                <w:szCs w:val="21"/>
              </w:rPr>
            </w:pPr>
          </w:p>
        </w:tc>
        <w:tc>
          <w:tcPr>
            <w:tcW w:w="952" w:type="pct"/>
            <w:vAlign w:val="center"/>
          </w:tcPr>
          <w:p w:rsidR="002A5A5E" w:rsidRPr="00FC1444" w:rsidRDefault="00611CBA">
            <w:pPr>
              <w:jc w:val="center"/>
              <w:rPr>
                <w:rFonts w:eastAsiaTheme="minorEastAsia"/>
                <w:snapToGrid w:val="0"/>
                <w:szCs w:val="21"/>
              </w:rPr>
            </w:pPr>
            <w:r w:rsidRPr="00FC1444">
              <w:rPr>
                <w:rFonts w:eastAsiaTheme="minorEastAsia"/>
              </w:rPr>
              <w:t>永久基本农田</w:t>
            </w:r>
          </w:p>
        </w:tc>
        <w:tc>
          <w:tcPr>
            <w:tcW w:w="1019" w:type="pct"/>
            <w:vAlign w:val="center"/>
          </w:tcPr>
          <w:p w:rsidR="002A5A5E" w:rsidRPr="00FC1444" w:rsidRDefault="00611CBA">
            <w:pPr>
              <w:jc w:val="center"/>
              <w:rPr>
                <w:rFonts w:eastAsiaTheme="minorEastAsia"/>
                <w:snapToGrid w:val="0"/>
                <w:szCs w:val="21"/>
              </w:rPr>
            </w:pPr>
            <w:r w:rsidRPr="00FC1444">
              <w:t>具有重要的农业生产功能和农村生态功能</w:t>
            </w:r>
          </w:p>
        </w:tc>
        <w:tc>
          <w:tcPr>
            <w:tcW w:w="1441" w:type="pct"/>
            <w:gridSpan w:val="2"/>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工程建设占地（田块整治工程）及评价范围</w:t>
            </w:r>
          </w:p>
        </w:tc>
        <w:tc>
          <w:tcPr>
            <w:tcW w:w="1180" w:type="pct"/>
            <w:vAlign w:val="center"/>
          </w:tcPr>
          <w:p w:rsidR="002A5A5E" w:rsidRPr="00FC1444" w:rsidRDefault="00611CBA">
            <w:pPr>
              <w:spacing w:line="0" w:lineRule="atLeast"/>
              <w:jc w:val="center"/>
              <w:rPr>
                <w:rFonts w:eastAsiaTheme="minorEastAsia"/>
                <w:smallCaps/>
              </w:rPr>
            </w:pPr>
            <w:r w:rsidRPr="00FC1444">
              <w:rPr>
                <w:rFonts w:eastAsiaTheme="minorEastAsia"/>
                <w:bCs/>
                <w:smallCaps/>
              </w:rPr>
              <w:t>严格保护</w:t>
            </w:r>
            <w:r w:rsidRPr="00FC1444">
              <w:rPr>
                <w:rFonts w:eastAsiaTheme="minorEastAsia"/>
                <w:smallCaps/>
              </w:rPr>
              <w:t>永久基本农田</w:t>
            </w:r>
          </w:p>
        </w:tc>
      </w:tr>
      <w:tr w:rsidR="00652A20" w:rsidRPr="00FC1444">
        <w:trPr>
          <w:trHeight w:val="386"/>
          <w:jc w:val="center"/>
        </w:trPr>
        <w:tc>
          <w:tcPr>
            <w:tcW w:w="408" w:type="pct"/>
            <w:vAlign w:val="center"/>
          </w:tcPr>
          <w:p w:rsidR="00652A20" w:rsidRPr="00FC1444" w:rsidRDefault="00652A20">
            <w:pPr>
              <w:jc w:val="center"/>
              <w:rPr>
                <w:rFonts w:eastAsiaTheme="minorEastAsia"/>
                <w:snapToGrid w:val="0"/>
                <w:szCs w:val="21"/>
              </w:rPr>
            </w:pPr>
            <w:r w:rsidRPr="00FC1444">
              <w:rPr>
                <w:rFonts w:eastAsiaTheme="minorEastAsia"/>
              </w:rPr>
              <w:t>水生生态</w:t>
            </w:r>
          </w:p>
        </w:tc>
        <w:tc>
          <w:tcPr>
            <w:tcW w:w="952" w:type="pct"/>
            <w:vAlign w:val="center"/>
          </w:tcPr>
          <w:p w:rsidR="00652A20" w:rsidRPr="00FC1444" w:rsidRDefault="008B6C71">
            <w:pPr>
              <w:jc w:val="center"/>
              <w:rPr>
                <w:rFonts w:eastAsiaTheme="minorEastAsia"/>
                <w:snapToGrid w:val="0"/>
                <w:szCs w:val="21"/>
              </w:rPr>
            </w:pPr>
            <w:r w:rsidRPr="00FC1444">
              <w:rPr>
                <w:rFonts w:eastAsiaTheme="minorEastAsia" w:hint="eastAsia"/>
                <w:snapToGrid w:val="0"/>
              </w:rPr>
              <w:t>呼兰河、</w:t>
            </w:r>
            <w:r w:rsidRPr="00FC1444">
              <w:rPr>
                <w:rFonts w:eastAsiaTheme="minorEastAsia"/>
                <w:snapToGrid w:val="0"/>
              </w:rPr>
              <w:t>津河、</w:t>
            </w:r>
            <w:r w:rsidRPr="00FC1444">
              <w:rPr>
                <w:rFonts w:eastAsiaTheme="minorEastAsia" w:hint="eastAsia"/>
                <w:snapToGrid w:val="0"/>
              </w:rPr>
              <w:t>努敏河</w:t>
            </w:r>
          </w:p>
        </w:tc>
        <w:tc>
          <w:tcPr>
            <w:tcW w:w="1019" w:type="pct"/>
            <w:vAlign w:val="center"/>
          </w:tcPr>
          <w:p w:rsidR="00652A20" w:rsidRPr="00FC1444" w:rsidRDefault="001D127C" w:rsidP="001D127C">
            <w:pPr>
              <w:jc w:val="center"/>
              <w:rPr>
                <w:rFonts w:eastAsiaTheme="minorEastAsia"/>
                <w:snapToGrid w:val="0"/>
                <w:szCs w:val="21"/>
              </w:rPr>
            </w:pPr>
            <w:r w:rsidRPr="00FC1444">
              <w:t>渔业、生态保护、农业灌溉等</w:t>
            </w:r>
          </w:p>
        </w:tc>
        <w:tc>
          <w:tcPr>
            <w:tcW w:w="1019" w:type="pct"/>
            <w:vAlign w:val="center"/>
          </w:tcPr>
          <w:p w:rsidR="00652A20" w:rsidRPr="00FC1444" w:rsidRDefault="00652A20" w:rsidP="00B526E5">
            <w:pPr>
              <w:jc w:val="center"/>
              <w:rPr>
                <w:rFonts w:eastAsiaTheme="minorEastAsia"/>
                <w:snapToGrid w:val="0"/>
                <w:szCs w:val="21"/>
              </w:rPr>
            </w:pPr>
            <w:r w:rsidRPr="00FC1444">
              <w:rPr>
                <w:rFonts w:eastAsiaTheme="minorEastAsia"/>
                <w:smallCaps/>
              </w:rPr>
              <w:t>水田退水承泄区，</w:t>
            </w:r>
            <w:r w:rsidRPr="00FC1444">
              <w:rPr>
                <w:rFonts w:eastAsiaTheme="minorEastAsia"/>
                <w:kern w:val="0"/>
              </w:rPr>
              <w:t>退水口位于</w:t>
            </w:r>
            <w:r w:rsidR="00B526E5" w:rsidRPr="00FC1444">
              <w:rPr>
                <w:rFonts w:eastAsiaTheme="minorEastAsia"/>
                <w:kern w:val="0"/>
              </w:rPr>
              <w:t>绥胜干沟、原有沟</w:t>
            </w:r>
          </w:p>
        </w:tc>
        <w:tc>
          <w:tcPr>
            <w:tcW w:w="422" w:type="pct"/>
            <w:vAlign w:val="center"/>
          </w:tcPr>
          <w:p w:rsidR="00652A20" w:rsidRPr="00FC1444" w:rsidRDefault="00652A20">
            <w:pPr>
              <w:jc w:val="center"/>
              <w:rPr>
                <w:rFonts w:eastAsiaTheme="minorEastAsia"/>
                <w:snapToGrid w:val="0"/>
                <w:szCs w:val="21"/>
              </w:rPr>
            </w:pPr>
            <w:r w:rsidRPr="00FC1444">
              <w:rPr>
                <w:rFonts w:eastAsiaTheme="minorEastAsia"/>
                <w:snapToGrid w:val="0"/>
                <w:szCs w:val="21"/>
              </w:rPr>
              <w:t>不占用</w:t>
            </w:r>
          </w:p>
        </w:tc>
        <w:tc>
          <w:tcPr>
            <w:tcW w:w="1180" w:type="pct"/>
            <w:vAlign w:val="center"/>
          </w:tcPr>
          <w:p w:rsidR="00652A20" w:rsidRPr="00FC1444" w:rsidRDefault="00652A20">
            <w:pPr>
              <w:spacing w:line="0" w:lineRule="atLeast"/>
              <w:jc w:val="center"/>
              <w:rPr>
                <w:rFonts w:eastAsiaTheme="minorEastAsia"/>
                <w:smallCaps/>
              </w:rPr>
            </w:pPr>
            <w:r w:rsidRPr="00FC1444">
              <w:t>工程排水不得对</w:t>
            </w:r>
            <w:r w:rsidRPr="00FC1444">
              <w:rPr>
                <w:rStyle w:val="CharChar"/>
                <w:rFonts w:eastAsiaTheme="minorEastAsia" w:hAnsi="Times New Roman"/>
              </w:rPr>
              <w:t>鱼类资源、浮游、底栖生物、水生生物的多样性</w:t>
            </w:r>
            <w:r w:rsidRPr="00FC1444">
              <w:t>及生境等造成不利影响</w:t>
            </w:r>
          </w:p>
        </w:tc>
      </w:tr>
    </w:tbl>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2-8-</w:t>
      </w:r>
      <w:r w:rsidR="009C6B86" w:rsidRPr="00FC1444">
        <w:rPr>
          <w:rFonts w:eastAsiaTheme="minorEastAsia"/>
          <w:b/>
          <w:kern w:val="0"/>
          <w:szCs w:val="21"/>
        </w:rPr>
        <w:t>4</w:t>
      </w:r>
      <w:r w:rsidRPr="00FC1444">
        <w:rPr>
          <w:rFonts w:eastAsiaTheme="minorEastAsia"/>
          <w:b/>
          <w:kern w:val="0"/>
          <w:szCs w:val="21"/>
        </w:rPr>
        <w:t xml:space="preserve"> </w:t>
      </w:r>
      <w:r w:rsidRPr="00FC1444">
        <w:rPr>
          <w:rFonts w:eastAsiaTheme="minorEastAsia"/>
          <w:b/>
          <w:kern w:val="0"/>
          <w:szCs w:val="21"/>
        </w:rPr>
        <w:t>地表水环境保护目标一览表</w:t>
      </w:r>
    </w:p>
    <w:tbl>
      <w:tblPr>
        <w:tblW w:w="8333"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710"/>
        <w:gridCol w:w="1289"/>
        <w:gridCol w:w="992"/>
        <w:gridCol w:w="2977"/>
        <w:gridCol w:w="2365"/>
      </w:tblGrid>
      <w:tr w:rsidR="002A5A5E" w:rsidRPr="00FC1444" w:rsidTr="00E33931">
        <w:trPr>
          <w:trHeight w:val="266"/>
          <w:jc w:val="center"/>
        </w:trPr>
        <w:tc>
          <w:tcPr>
            <w:tcW w:w="710" w:type="dxa"/>
            <w:vAlign w:val="center"/>
          </w:tcPr>
          <w:p w:rsidR="002A5A5E" w:rsidRPr="00FC1444" w:rsidRDefault="00611CBA">
            <w:pPr>
              <w:pStyle w:val="aff7"/>
              <w:spacing w:line="0" w:lineRule="atLeast"/>
              <w:contextualSpacing/>
              <w:rPr>
                <w:rFonts w:eastAsiaTheme="minorEastAsia" w:hAnsi="Times New Roman"/>
                <w:snapToGrid w:val="0"/>
              </w:rPr>
            </w:pPr>
            <w:r w:rsidRPr="00FC1444">
              <w:rPr>
                <w:rFonts w:eastAsiaTheme="minorEastAsia" w:hAnsi="Times New Roman"/>
                <w:snapToGrid w:val="0"/>
              </w:rPr>
              <w:t>环境要素</w:t>
            </w:r>
          </w:p>
        </w:tc>
        <w:tc>
          <w:tcPr>
            <w:tcW w:w="1289" w:type="dxa"/>
            <w:vAlign w:val="center"/>
          </w:tcPr>
          <w:p w:rsidR="002A5A5E" w:rsidRPr="00FC1444" w:rsidRDefault="00611CBA">
            <w:pPr>
              <w:pStyle w:val="aff7"/>
              <w:spacing w:line="0" w:lineRule="atLeast"/>
              <w:contextualSpacing/>
              <w:rPr>
                <w:rFonts w:eastAsiaTheme="minorEastAsia" w:hAnsi="Times New Roman"/>
                <w:snapToGrid w:val="0"/>
              </w:rPr>
            </w:pPr>
            <w:r w:rsidRPr="00FC1444">
              <w:rPr>
                <w:rFonts w:eastAsiaTheme="minorEastAsia" w:hAnsi="Times New Roman"/>
                <w:snapToGrid w:val="0"/>
              </w:rPr>
              <w:t>敏感点名称</w:t>
            </w:r>
          </w:p>
        </w:tc>
        <w:tc>
          <w:tcPr>
            <w:tcW w:w="992" w:type="dxa"/>
            <w:vAlign w:val="center"/>
          </w:tcPr>
          <w:p w:rsidR="002A5A5E" w:rsidRPr="00FC1444" w:rsidRDefault="00611CBA">
            <w:pPr>
              <w:pStyle w:val="aff7"/>
              <w:spacing w:line="0" w:lineRule="atLeast"/>
              <w:contextualSpacing/>
              <w:rPr>
                <w:rFonts w:eastAsiaTheme="minorEastAsia" w:hAnsi="Times New Roman"/>
                <w:snapToGrid w:val="0"/>
              </w:rPr>
            </w:pPr>
            <w:r w:rsidRPr="00FC1444">
              <w:rPr>
                <w:rFonts w:eastAsiaTheme="minorEastAsia" w:hAnsi="Times New Roman"/>
                <w:snapToGrid w:val="0"/>
              </w:rPr>
              <w:t>保护对象</w:t>
            </w:r>
          </w:p>
        </w:tc>
        <w:tc>
          <w:tcPr>
            <w:tcW w:w="2977" w:type="dxa"/>
            <w:vAlign w:val="center"/>
          </w:tcPr>
          <w:p w:rsidR="002A5A5E" w:rsidRPr="00FC1444" w:rsidRDefault="00611CBA">
            <w:pPr>
              <w:pStyle w:val="aff7"/>
              <w:adjustRightInd w:val="0"/>
              <w:snapToGrid w:val="0"/>
              <w:rPr>
                <w:rFonts w:eastAsiaTheme="minorEastAsia" w:hAnsi="Times New Roman"/>
                <w:snapToGrid w:val="0"/>
              </w:rPr>
            </w:pPr>
            <w:r w:rsidRPr="00FC1444">
              <w:rPr>
                <w:rFonts w:eastAsiaTheme="minorEastAsia" w:hAnsi="Times New Roman"/>
                <w:smallCaps/>
              </w:rPr>
              <w:t>与工程关系</w:t>
            </w:r>
          </w:p>
        </w:tc>
        <w:tc>
          <w:tcPr>
            <w:tcW w:w="2365" w:type="dxa"/>
            <w:shd w:val="clear" w:color="auto" w:fill="auto"/>
            <w:vAlign w:val="center"/>
          </w:tcPr>
          <w:p w:rsidR="002A5A5E" w:rsidRPr="00FC1444" w:rsidRDefault="00611CBA">
            <w:pPr>
              <w:pStyle w:val="aff7"/>
              <w:spacing w:line="0" w:lineRule="atLeast"/>
              <w:contextualSpacing/>
              <w:rPr>
                <w:rFonts w:eastAsiaTheme="minorEastAsia" w:hAnsi="Times New Roman"/>
                <w:snapToGrid w:val="0"/>
              </w:rPr>
            </w:pPr>
            <w:r w:rsidRPr="00FC1444">
              <w:rPr>
                <w:rFonts w:eastAsiaTheme="minorEastAsia" w:hAnsi="Times New Roman"/>
                <w:snapToGrid w:val="0"/>
              </w:rPr>
              <w:t>保护要求</w:t>
            </w:r>
          </w:p>
        </w:tc>
      </w:tr>
      <w:tr w:rsidR="00E33931" w:rsidRPr="00FC1444" w:rsidTr="00E33931">
        <w:trPr>
          <w:trHeight w:val="516"/>
          <w:jc w:val="center"/>
        </w:trPr>
        <w:tc>
          <w:tcPr>
            <w:tcW w:w="710" w:type="dxa"/>
            <w:vMerge w:val="restart"/>
            <w:vAlign w:val="center"/>
          </w:tcPr>
          <w:p w:rsidR="00E33931" w:rsidRPr="00FC1444" w:rsidRDefault="00E33931">
            <w:pPr>
              <w:pStyle w:val="aff7"/>
              <w:spacing w:line="0" w:lineRule="atLeast"/>
              <w:contextualSpacing/>
              <w:rPr>
                <w:rFonts w:eastAsiaTheme="minorEastAsia" w:hAnsi="Times New Roman"/>
                <w:snapToGrid w:val="0"/>
              </w:rPr>
            </w:pPr>
            <w:r w:rsidRPr="00FC1444">
              <w:rPr>
                <w:rFonts w:eastAsiaTheme="minorEastAsia" w:hAnsi="Times New Roman"/>
                <w:snapToGrid w:val="0"/>
              </w:rPr>
              <w:t>地表水</w:t>
            </w:r>
          </w:p>
        </w:tc>
        <w:tc>
          <w:tcPr>
            <w:tcW w:w="1289" w:type="dxa"/>
            <w:vAlign w:val="center"/>
          </w:tcPr>
          <w:p w:rsidR="00E33931" w:rsidRPr="00FC1444" w:rsidRDefault="00E33931" w:rsidP="00591DC4">
            <w:pPr>
              <w:pStyle w:val="aff7"/>
              <w:spacing w:line="0" w:lineRule="atLeast"/>
              <w:contextualSpacing/>
              <w:rPr>
                <w:rFonts w:eastAsiaTheme="minorEastAsia" w:hAnsi="Times New Roman"/>
                <w:snapToGrid w:val="0"/>
              </w:rPr>
            </w:pPr>
            <w:r w:rsidRPr="00FC1444">
              <w:rPr>
                <w:rFonts w:eastAsiaTheme="minorEastAsia" w:hAnsi="Times New Roman" w:hint="eastAsia"/>
                <w:snapToGrid w:val="0"/>
              </w:rPr>
              <w:t>呼兰河</w:t>
            </w:r>
          </w:p>
        </w:tc>
        <w:tc>
          <w:tcPr>
            <w:tcW w:w="992" w:type="dxa"/>
            <w:vMerge w:val="restart"/>
            <w:vAlign w:val="center"/>
          </w:tcPr>
          <w:p w:rsidR="00E33931" w:rsidRPr="00FC1444" w:rsidRDefault="00E33931" w:rsidP="00591DC4">
            <w:pPr>
              <w:jc w:val="center"/>
              <w:rPr>
                <w:rFonts w:eastAsiaTheme="minorEastAsia"/>
                <w:smallCaps/>
                <w:szCs w:val="21"/>
              </w:rPr>
            </w:pPr>
            <w:r w:rsidRPr="00FC1444">
              <w:rPr>
                <w:rFonts w:eastAsiaTheme="minorEastAsia"/>
                <w:smallCaps/>
                <w:szCs w:val="21"/>
              </w:rPr>
              <w:t>水质及水生生态环境</w:t>
            </w:r>
          </w:p>
        </w:tc>
        <w:tc>
          <w:tcPr>
            <w:tcW w:w="2977" w:type="dxa"/>
            <w:vAlign w:val="center"/>
          </w:tcPr>
          <w:p w:rsidR="00E33931" w:rsidRPr="00FC1444" w:rsidRDefault="00E33931" w:rsidP="00591DC4">
            <w:pPr>
              <w:pStyle w:val="aff7"/>
              <w:spacing w:line="0" w:lineRule="atLeast"/>
              <w:contextualSpacing/>
              <w:rPr>
                <w:rFonts w:eastAsiaTheme="minorEastAsia" w:hAnsi="Times New Roman"/>
                <w:snapToGrid w:val="0"/>
              </w:rPr>
            </w:pPr>
            <w:r w:rsidRPr="00FC1444">
              <w:rPr>
                <w:rFonts w:eastAsiaTheme="minorEastAsia" w:hAnsi="Times New Roman"/>
                <w:smallCaps/>
              </w:rPr>
              <w:t>水田退水承泄区，</w:t>
            </w:r>
            <w:r w:rsidRPr="00FC1444">
              <w:rPr>
                <w:rFonts w:eastAsiaTheme="minorEastAsia" w:hAnsi="Times New Roman"/>
                <w:kern w:val="0"/>
              </w:rPr>
              <w:t>退水口位于</w:t>
            </w:r>
            <w:r w:rsidRPr="00FC1444">
              <w:rPr>
                <w:rFonts w:eastAsiaTheme="minorEastAsia" w:hAnsi="Times New Roman" w:hint="eastAsia"/>
                <w:kern w:val="0"/>
              </w:rPr>
              <w:t>绥胜干沟、原有</w:t>
            </w:r>
            <w:r w:rsidRPr="00FC1444">
              <w:rPr>
                <w:rFonts w:eastAsiaTheme="minorEastAsia" w:hAnsi="Times New Roman"/>
                <w:kern w:val="0"/>
              </w:rPr>
              <w:t>沟，汇入</w:t>
            </w:r>
            <w:r w:rsidRPr="00FC1444">
              <w:rPr>
                <w:rFonts w:eastAsiaTheme="minorEastAsia" w:hAnsi="Times New Roman" w:hint="eastAsia"/>
                <w:snapToGrid w:val="0"/>
              </w:rPr>
              <w:t>呼兰河</w:t>
            </w:r>
          </w:p>
        </w:tc>
        <w:tc>
          <w:tcPr>
            <w:tcW w:w="2365" w:type="dxa"/>
            <w:vMerge w:val="restart"/>
            <w:shd w:val="clear" w:color="auto" w:fill="auto"/>
            <w:vAlign w:val="center"/>
          </w:tcPr>
          <w:p w:rsidR="00E33931" w:rsidRPr="00FC1444" w:rsidRDefault="00E33931" w:rsidP="00617E39">
            <w:pPr>
              <w:pStyle w:val="aff7"/>
              <w:spacing w:line="0" w:lineRule="atLeast"/>
              <w:contextualSpacing/>
              <w:rPr>
                <w:rFonts w:eastAsiaTheme="minorEastAsia" w:hAnsi="Times New Roman"/>
              </w:rPr>
            </w:pPr>
            <w:r w:rsidRPr="00FC1444">
              <w:rPr>
                <w:rFonts w:hAnsi="Times New Roman"/>
                <w:spacing w:val="3"/>
              </w:rPr>
              <w:t>维持现状水质类别，水质</w:t>
            </w:r>
            <w:r w:rsidRPr="00FC1444">
              <w:rPr>
                <w:rFonts w:hAnsi="Times New Roman"/>
                <w:spacing w:val="5"/>
              </w:rPr>
              <w:t>不恶化；</w:t>
            </w:r>
            <w:r w:rsidRPr="00FC1444">
              <w:rPr>
                <w:rFonts w:eastAsiaTheme="minorEastAsia" w:hAnsi="Times New Roman"/>
              </w:rPr>
              <w:t>《地表水环境质量标准》（</w:t>
            </w:r>
            <w:r w:rsidRPr="00FC1444">
              <w:rPr>
                <w:rFonts w:eastAsiaTheme="minorEastAsia" w:hAnsi="Times New Roman"/>
              </w:rPr>
              <w:t>GB3838-2002</w:t>
            </w:r>
            <w:r w:rsidRPr="00FC1444">
              <w:rPr>
                <w:rFonts w:eastAsiaTheme="minorEastAsia" w:hAnsi="Times New Roman"/>
              </w:rPr>
              <w:t>）</w:t>
            </w:r>
            <w:r w:rsidR="009840DD" w:rsidRPr="00FC1444">
              <w:rPr>
                <w:rFonts w:eastAsiaTheme="minorEastAsia" w:hAnsi="Times New Roman"/>
                <w:bCs/>
              </w:rPr>
              <w:fldChar w:fldCharType="begin"/>
            </w:r>
            <w:r w:rsidRPr="00FC1444">
              <w:rPr>
                <w:rFonts w:eastAsiaTheme="minorEastAsia" w:hAnsi="Times New Roman"/>
                <w:bCs/>
              </w:rPr>
              <w:instrText xml:space="preserve"> = 3 \* ROMAN </w:instrText>
            </w:r>
            <w:r w:rsidR="009840DD" w:rsidRPr="00FC1444">
              <w:rPr>
                <w:rFonts w:eastAsiaTheme="minorEastAsia" w:hAnsi="Times New Roman"/>
                <w:bCs/>
              </w:rPr>
              <w:fldChar w:fldCharType="separate"/>
            </w:r>
            <w:r w:rsidRPr="00FC1444">
              <w:rPr>
                <w:rFonts w:eastAsiaTheme="minorEastAsia" w:hAnsi="Times New Roman"/>
                <w:bCs/>
                <w:noProof/>
              </w:rPr>
              <w:t>III</w:t>
            </w:r>
            <w:r w:rsidR="009840DD" w:rsidRPr="00FC1444">
              <w:rPr>
                <w:rFonts w:eastAsiaTheme="minorEastAsia" w:hAnsi="Times New Roman"/>
                <w:bCs/>
              </w:rPr>
              <w:fldChar w:fldCharType="end"/>
            </w:r>
            <w:r w:rsidRPr="00FC1444">
              <w:rPr>
                <w:rFonts w:eastAsiaTheme="minorEastAsia" w:hAnsi="Times New Roman"/>
              </w:rPr>
              <w:t>类</w:t>
            </w:r>
          </w:p>
        </w:tc>
      </w:tr>
      <w:tr w:rsidR="00E33931" w:rsidRPr="00FC1444" w:rsidTr="00E33931">
        <w:trPr>
          <w:trHeight w:val="516"/>
          <w:jc w:val="center"/>
        </w:trPr>
        <w:tc>
          <w:tcPr>
            <w:tcW w:w="710" w:type="dxa"/>
            <w:vMerge/>
            <w:vAlign w:val="center"/>
          </w:tcPr>
          <w:p w:rsidR="00E33931" w:rsidRPr="00FC1444" w:rsidRDefault="00E33931">
            <w:pPr>
              <w:pStyle w:val="aff7"/>
              <w:spacing w:line="0" w:lineRule="atLeast"/>
              <w:contextualSpacing/>
              <w:rPr>
                <w:rFonts w:eastAsiaTheme="minorEastAsia" w:hAnsi="Times New Roman"/>
                <w:snapToGrid w:val="0"/>
              </w:rPr>
            </w:pPr>
          </w:p>
        </w:tc>
        <w:tc>
          <w:tcPr>
            <w:tcW w:w="1289" w:type="dxa"/>
            <w:vAlign w:val="center"/>
          </w:tcPr>
          <w:p w:rsidR="00E33931" w:rsidRPr="00FC1444" w:rsidRDefault="00E33931">
            <w:pPr>
              <w:pStyle w:val="aff7"/>
              <w:spacing w:line="0" w:lineRule="atLeast"/>
              <w:contextualSpacing/>
              <w:rPr>
                <w:rFonts w:eastAsiaTheme="minorEastAsia" w:hAnsi="Times New Roman"/>
                <w:snapToGrid w:val="0"/>
              </w:rPr>
            </w:pPr>
            <w:r w:rsidRPr="00FC1444">
              <w:rPr>
                <w:rFonts w:eastAsiaTheme="minorEastAsia" w:hAnsi="Times New Roman"/>
                <w:snapToGrid w:val="0"/>
              </w:rPr>
              <w:t>津河</w:t>
            </w:r>
          </w:p>
        </w:tc>
        <w:tc>
          <w:tcPr>
            <w:tcW w:w="992" w:type="dxa"/>
            <w:vMerge/>
            <w:vAlign w:val="center"/>
          </w:tcPr>
          <w:p w:rsidR="00E33931" w:rsidRPr="00FC1444" w:rsidRDefault="00E33931">
            <w:pPr>
              <w:jc w:val="center"/>
              <w:rPr>
                <w:rFonts w:eastAsiaTheme="minorEastAsia"/>
                <w:smallCaps/>
                <w:szCs w:val="21"/>
              </w:rPr>
            </w:pPr>
          </w:p>
        </w:tc>
        <w:tc>
          <w:tcPr>
            <w:tcW w:w="2977" w:type="dxa"/>
            <w:vAlign w:val="center"/>
          </w:tcPr>
          <w:p w:rsidR="00E33931" w:rsidRPr="00FC1444" w:rsidRDefault="00E33931">
            <w:pPr>
              <w:pStyle w:val="aff7"/>
              <w:spacing w:line="0" w:lineRule="atLeast"/>
              <w:contextualSpacing/>
              <w:rPr>
                <w:rFonts w:eastAsiaTheme="minorEastAsia" w:hAnsi="Times New Roman"/>
                <w:snapToGrid w:val="0"/>
              </w:rPr>
            </w:pPr>
            <w:r w:rsidRPr="00FC1444">
              <w:rPr>
                <w:rFonts w:eastAsiaTheme="minorEastAsia" w:hAnsi="Times New Roman"/>
                <w:smallCaps/>
              </w:rPr>
              <w:t>水田退水承泄区，</w:t>
            </w:r>
            <w:r w:rsidRPr="00FC1444">
              <w:rPr>
                <w:rFonts w:eastAsiaTheme="minorEastAsia" w:hAnsi="Times New Roman"/>
                <w:kern w:val="0"/>
              </w:rPr>
              <w:t>退水口位于</w:t>
            </w:r>
            <w:r w:rsidRPr="00FC1444">
              <w:rPr>
                <w:rFonts w:eastAsiaTheme="minorEastAsia" w:hAnsi="Times New Roman" w:hint="eastAsia"/>
                <w:kern w:val="0"/>
              </w:rPr>
              <w:t>原有</w:t>
            </w:r>
            <w:r w:rsidRPr="00FC1444">
              <w:rPr>
                <w:rFonts w:eastAsiaTheme="minorEastAsia" w:hAnsi="Times New Roman"/>
                <w:kern w:val="0"/>
              </w:rPr>
              <w:t>沟，汇入</w:t>
            </w:r>
            <w:r w:rsidRPr="00FC1444">
              <w:rPr>
                <w:rFonts w:eastAsiaTheme="minorEastAsia" w:hAnsi="Times New Roman"/>
                <w:snapToGrid w:val="0"/>
              </w:rPr>
              <w:t>津河</w:t>
            </w:r>
          </w:p>
        </w:tc>
        <w:tc>
          <w:tcPr>
            <w:tcW w:w="2365" w:type="dxa"/>
            <w:vMerge/>
            <w:shd w:val="clear" w:color="auto" w:fill="auto"/>
            <w:vAlign w:val="center"/>
          </w:tcPr>
          <w:p w:rsidR="00E33931" w:rsidRPr="00FC1444" w:rsidRDefault="00E33931" w:rsidP="00617E39">
            <w:pPr>
              <w:pStyle w:val="aff7"/>
              <w:spacing w:line="0" w:lineRule="atLeast"/>
              <w:contextualSpacing/>
              <w:rPr>
                <w:rFonts w:eastAsiaTheme="minorEastAsia" w:hAnsi="Times New Roman"/>
              </w:rPr>
            </w:pPr>
          </w:p>
        </w:tc>
      </w:tr>
      <w:tr w:rsidR="00E33931" w:rsidRPr="00FC1444" w:rsidTr="00E33931">
        <w:trPr>
          <w:trHeight w:val="516"/>
          <w:jc w:val="center"/>
        </w:trPr>
        <w:tc>
          <w:tcPr>
            <w:tcW w:w="710" w:type="dxa"/>
            <w:vMerge/>
            <w:vAlign w:val="center"/>
          </w:tcPr>
          <w:p w:rsidR="00E33931" w:rsidRPr="00FC1444" w:rsidRDefault="00E33931">
            <w:pPr>
              <w:pStyle w:val="aff7"/>
              <w:spacing w:line="0" w:lineRule="atLeast"/>
              <w:contextualSpacing/>
              <w:rPr>
                <w:rFonts w:eastAsiaTheme="minorEastAsia" w:hAnsi="Times New Roman"/>
                <w:snapToGrid w:val="0"/>
              </w:rPr>
            </w:pPr>
          </w:p>
        </w:tc>
        <w:tc>
          <w:tcPr>
            <w:tcW w:w="1289" w:type="dxa"/>
            <w:vAlign w:val="center"/>
          </w:tcPr>
          <w:p w:rsidR="00E33931" w:rsidRPr="00FC1444" w:rsidRDefault="00E33931">
            <w:pPr>
              <w:pStyle w:val="aff7"/>
              <w:spacing w:line="0" w:lineRule="atLeast"/>
              <w:contextualSpacing/>
              <w:rPr>
                <w:rFonts w:eastAsiaTheme="minorEastAsia" w:hAnsi="Times New Roman"/>
                <w:snapToGrid w:val="0"/>
              </w:rPr>
            </w:pPr>
            <w:r w:rsidRPr="00FC1444">
              <w:rPr>
                <w:rFonts w:eastAsiaTheme="minorEastAsia" w:hAnsi="Times New Roman" w:hint="eastAsia"/>
                <w:snapToGrid w:val="0"/>
              </w:rPr>
              <w:t>努敏河</w:t>
            </w:r>
          </w:p>
        </w:tc>
        <w:tc>
          <w:tcPr>
            <w:tcW w:w="992" w:type="dxa"/>
            <w:vMerge/>
            <w:vAlign w:val="center"/>
          </w:tcPr>
          <w:p w:rsidR="00E33931" w:rsidRPr="00FC1444" w:rsidRDefault="00E33931">
            <w:pPr>
              <w:jc w:val="center"/>
              <w:rPr>
                <w:rFonts w:eastAsiaTheme="minorEastAsia"/>
                <w:smallCaps/>
                <w:szCs w:val="21"/>
              </w:rPr>
            </w:pPr>
          </w:p>
        </w:tc>
        <w:tc>
          <w:tcPr>
            <w:tcW w:w="2977" w:type="dxa"/>
            <w:vAlign w:val="center"/>
          </w:tcPr>
          <w:p w:rsidR="00E33931" w:rsidRPr="00FC1444" w:rsidRDefault="00E33931">
            <w:pPr>
              <w:pStyle w:val="aff7"/>
              <w:spacing w:line="0" w:lineRule="atLeast"/>
              <w:contextualSpacing/>
              <w:rPr>
                <w:rFonts w:eastAsiaTheme="minorEastAsia" w:hAnsi="Times New Roman"/>
                <w:snapToGrid w:val="0"/>
              </w:rPr>
            </w:pPr>
            <w:r w:rsidRPr="00FC1444">
              <w:rPr>
                <w:rFonts w:eastAsiaTheme="minorEastAsia" w:hAnsi="Times New Roman"/>
                <w:smallCaps/>
              </w:rPr>
              <w:t>水田退水承泄区，</w:t>
            </w:r>
            <w:r w:rsidRPr="00FC1444">
              <w:rPr>
                <w:rFonts w:eastAsiaTheme="minorEastAsia" w:hAnsi="Times New Roman"/>
                <w:kern w:val="0"/>
              </w:rPr>
              <w:t>退水口位于</w:t>
            </w:r>
            <w:r w:rsidRPr="00FC1444">
              <w:rPr>
                <w:rFonts w:eastAsiaTheme="minorEastAsia" w:hAnsi="Times New Roman" w:hint="eastAsia"/>
                <w:kern w:val="0"/>
              </w:rPr>
              <w:t>原有</w:t>
            </w:r>
            <w:r w:rsidRPr="00FC1444">
              <w:rPr>
                <w:rFonts w:eastAsiaTheme="minorEastAsia" w:hAnsi="Times New Roman"/>
                <w:kern w:val="0"/>
              </w:rPr>
              <w:t>沟，汇入</w:t>
            </w:r>
            <w:r w:rsidRPr="00FC1444">
              <w:rPr>
                <w:rFonts w:eastAsiaTheme="minorEastAsia" w:hAnsi="Times New Roman" w:hint="eastAsia"/>
                <w:snapToGrid w:val="0"/>
              </w:rPr>
              <w:t>努敏河</w:t>
            </w:r>
          </w:p>
        </w:tc>
        <w:tc>
          <w:tcPr>
            <w:tcW w:w="2365" w:type="dxa"/>
            <w:vMerge/>
            <w:shd w:val="clear" w:color="auto" w:fill="auto"/>
            <w:vAlign w:val="center"/>
          </w:tcPr>
          <w:p w:rsidR="00E33931" w:rsidRPr="00FC1444" w:rsidRDefault="00E33931">
            <w:pPr>
              <w:pStyle w:val="aff7"/>
              <w:spacing w:line="0" w:lineRule="atLeast"/>
              <w:contextualSpacing/>
              <w:rPr>
                <w:rFonts w:eastAsiaTheme="minorEastAsia" w:hAnsi="Times New Roman"/>
                <w:snapToGrid w:val="0"/>
              </w:rPr>
            </w:pPr>
          </w:p>
        </w:tc>
      </w:tr>
    </w:tbl>
    <w:p w:rsidR="00ED047C" w:rsidRPr="00FC1444" w:rsidRDefault="00ED047C">
      <w:pPr>
        <w:contextualSpacing/>
        <w:jc w:val="center"/>
        <w:rPr>
          <w:rFonts w:eastAsiaTheme="minorEastAsia"/>
          <w:b/>
          <w:kern w:val="0"/>
          <w:szCs w:val="21"/>
        </w:rPr>
      </w:pPr>
      <w:bookmarkStart w:id="60" w:name="OLE_LINK5"/>
      <w:bookmarkStart w:id="61" w:name="OLE_LINK4"/>
      <w:bookmarkStart w:id="62" w:name="OLE_LINK10"/>
      <w:bookmarkStart w:id="63" w:name="OLE_LINK9"/>
    </w:p>
    <w:p w:rsidR="00ED047C" w:rsidRPr="00FC1444" w:rsidRDefault="00ED047C">
      <w:pPr>
        <w:contextualSpacing/>
        <w:jc w:val="center"/>
        <w:rPr>
          <w:rFonts w:eastAsiaTheme="minorEastAsia"/>
          <w:b/>
          <w:kern w:val="0"/>
          <w:szCs w:val="21"/>
        </w:rPr>
      </w:pPr>
    </w:p>
    <w:p w:rsidR="008B6C71" w:rsidRPr="00FC1444" w:rsidRDefault="008B6C71">
      <w:pPr>
        <w:contextualSpacing/>
        <w:jc w:val="center"/>
        <w:rPr>
          <w:rFonts w:eastAsiaTheme="minorEastAsia"/>
          <w:b/>
          <w:kern w:val="0"/>
          <w:szCs w:val="21"/>
        </w:rPr>
      </w:pPr>
    </w:p>
    <w:p w:rsidR="008B6C71" w:rsidRPr="00FC1444" w:rsidRDefault="008B6C71">
      <w:pPr>
        <w:contextualSpacing/>
        <w:jc w:val="center"/>
        <w:rPr>
          <w:rFonts w:eastAsiaTheme="minorEastAsia"/>
          <w:b/>
          <w:kern w:val="0"/>
          <w:szCs w:val="21"/>
        </w:rPr>
      </w:pPr>
    </w:p>
    <w:p w:rsidR="008B6C71" w:rsidRPr="00FC1444" w:rsidRDefault="008B6C71">
      <w:pPr>
        <w:contextualSpacing/>
        <w:jc w:val="center"/>
        <w:rPr>
          <w:rFonts w:eastAsiaTheme="minorEastAsia"/>
          <w:b/>
          <w:kern w:val="0"/>
          <w:szCs w:val="21"/>
        </w:rPr>
      </w:pPr>
    </w:p>
    <w:p w:rsidR="00E33931" w:rsidRPr="00FC1444" w:rsidRDefault="00E33931">
      <w:pPr>
        <w:contextualSpacing/>
        <w:jc w:val="center"/>
        <w:rPr>
          <w:rFonts w:eastAsiaTheme="minorEastAsia"/>
          <w:b/>
          <w:kern w:val="0"/>
          <w:szCs w:val="21"/>
        </w:rPr>
      </w:pPr>
    </w:p>
    <w:p w:rsidR="00E33931" w:rsidRPr="00FC1444" w:rsidRDefault="00E33931">
      <w:pPr>
        <w:contextualSpacing/>
        <w:jc w:val="center"/>
        <w:rPr>
          <w:rFonts w:eastAsiaTheme="minorEastAsia"/>
          <w:b/>
          <w:kern w:val="0"/>
          <w:szCs w:val="21"/>
        </w:rPr>
      </w:pPr>
    </w:p>
    <w:p w:rsidR="008B6C71" w:rsidRPr="00FC1444" w:rsidRDefault="008B6C71">
      <w:pPr>
        <w:contextualSpacing/>
        <w:jc w:val="center"/>
        <w:rPr>
          <w:rFonts w:eastAsiaTheme="minorEastAsia"/>
          <w:b/>
          <w:kern w:val="0"/>
          <w:szCs w:val="21"/>
        </w:rPr>
      </w:pPr>
    </w:p>
    <w:p w:rsidR="008B6C71" w:rsidRPr="00FC1444" w:rsidRDefault="008B6C71">
      <w:pPr>
        <w:contextualSpacing/>
        <w:jc w:val="center"/>
        <w:rPr>
          <w:rFonts w:eastAsiaTheme="minorEastAsia"/>
          <w:b/>
          <w:kern w:val="0"/>
          <w:szCs w:val="21"/>
        </w:rPr>
      </w:pPr>
    </w:p>
    <w:p w:rsidR="008B6C71" w:rsidRPr="00FC1444" w:rsidRDefault="008B6C71">
      <w:pPr>
        <w:contextualSpacing/>
        <w:jc w:val="center"/>
        <w:rPr>
          <w:rFonts w:eastAsiaTheme="minorEastAsia"/>
          <w:b/>
          <w:kern w:val="0"/>
          <w:szCs w:val="21"/>
        </w:rPr>
      </w:pPr>
    </w:p>
    <w:p w:rsidR="008B6C71" w:rsidRPr="00FC1444" w:rsidRDefault="008B6C71">
      <w:pPr>
        <w:contextualSpacing/>
        <w:jc w:val="center"/>
        <w:rPr>
          <w:rFonts w:eastAsiaTheme="minorEastAsia"/>
          <w:b/>
          <w:kern w:val="0"/>
          <w:szCs w:val="21"/>
        </w:rPr>
      </w:pPr>
    </w:p>
    <w:p w:rsidR="008B6C71" w:rsidRPr="00FC1444" w:rsidRDefault="008B6C71">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2-8-</w:t>
      </w:r>
      <w:r w:rsidR="009C6B86" w:rsidRPr="00FC1444">
        <w:rPr>
          <w:rFonts w:eastAsiaTheme="minorEastAsia"/>
          <w:b/>
          <w:kern w:val="0"/>
          <w:szCs w:val="21"/>
        </w:rPr>
        <w:t xml:space="preserve">5 </w:t>
      </w:r>
      <w:r w:rsidRPr="00FC1444">
        <w:rPr>
          <w:rFonts w:eastAsiaTheme="minorEastAsia"/>
          <w:b/>
          <w:kern w:val="0"/>
          <w:szCs w:val="21"/>
        </w:rPr>
        <w:t>地下水环境保护目标一览表</w:t>
      </w:r>
    </w:p>
    <w:tbl>
      <w:tblPr>
        <w:tblW w:w="8368"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740"/>
        <w:gridCol w:w="1276"/>
        <w:gridCol w:w="709"/>
        <w:gridCol w:w="679"/>
        <w:gridCol w:w="900"/>
        <w:gridCol w:w="830"/>
        <w:gridCol w:w="485"/>
        <w:gridCol w:w="649"/>
        <w:gridCol w:w="1142"/>
        <w:gridCol w:w="958"/>
      </w:tblGrid>
      <w:tr w:rsidR="002A5A5E" w:rsidRPr="00FC1444" w:rsidTr="00014F60">
        <w:trPr>
          <w:trHeight w:val="247"/>
          <w:jc w:val="center"/>
        </w:trPr>
        <w:tc>
          <w:tcPr>
            <w:tcW w:w="740" w:type="dxa"/>
            <w:vAlign w:val="center"/>
          </w:tcPr>
          <w:bookmarkEnd w:id="57"/>
          <w:bookmarkEnd w:id="59"/>
          <w:bookmarkEnd w:id="60"/>
          <w:bookmarkEnd w:id="61"/>
          <w:p w:rsidR="002A5A5E" w:rsidRPr="00FC1444" w:rsidRDefault="00611CBA">
            <w:pPr>
              <w:pStyle w:val="aff7"/>
              <w:spacing w:line="0" w:lineRule="atLeast"/>
              <w:contextualSpacing/>
              <w:rPr>
                <w:rFonts w:eastAsiaTheme="minorEastAsia" w:hAnsi="Times New Roman"/>
                <w:snapToGrid w:val="0"/>
              </w:rPr>
            </w:pPr>
            <w:r w:rsidRPr="00FC1444">
              <w:rPr>
                <w:rFonts w:eastAsiaTheme="minorEastAsia" w:hAnsi="Times New Roman"/>
                <w:snapToGrid w:val="0"/>
              </w:rPr>
              <w:t>环境要素</w:t>
            </w:r>
          </w:p>
        </w:tc>
        <w:tc>
          <w:tcPr>
            <w:tcW w:w="3564" w:type="dxa"/>
            <w:gridSpan w:val="4"/>
            <w:vAlign w:val="center"/>
          </w:tcPr>
          <w:p w:rsidR="002A5A5E" w:rsidRPr="00FC1444" w:rsidRDefault="00611CBA">
            <w:pPr>
              <w:pStyle w:val="aff7"/>
              <w:adjustRightInd w:val="0"/>
              <w:snapToGrid w:val="0"/>
              <w:rPr>
                <w:rFonts w:eastAsiaTheme="minorEastAsia" w:hAnsi="Times New Roman"/>
                <w:snapToGrid w:val="0"/>
              </w:rPr>
            </w:pPr>
            <w:r w:rsidRPr="00FC1444">
              <w:rPr>
                <w:rFonts w:eastAsiaTheme="minorEastAsia" w:hAnsi="Times New Roman"/>
                <w:snapToGrid w:val="0"/>
              </w:rPr>
              <w:t>保护对象</w:t>
            </w:r>
          </w:p>
        </w:tc>
        <w:tc>
          <w:tcPr>
            <w:tcW w:w="830" w:type="dxa"/>
            <w:vAlign w:val="center"/>
          </w:tcPr>
          <w:p w:rsidR="002A5A5E" w:rsidRPr="00FC1444" w:rsidRDefault="00611CBA">
            <w:pPr>
              <w:pStyle w:val="aff7"/>
              <w:adjustRightInd w:val="0"/>
              <w:snapToGrid w:val="0"/>
              <w:rPr>
                <w:rFonts w:eastAsiaTheme="minorEastAsia" w:hAnsi="Times New Roman"/>
                <w:snapToGrid w:val="0"/>
              </w:rPr>
            </w:pPr>
            <w:r w:rsidRPr="00FC1444">
              <w:rPr>
                <w:rFonts w:eastAsiaTheme="minorEastAsia" w:hAnsi="Times New Roman"/>
                <w:snapToGrid w:val="0"/>
              </w:rPr>
              <w:t>坐标</w:t>
            </w:r>
          </w:p>
        </w:tc>
        <w:tc>
          <w:tcPr>
            <w:tcW w:w="485" w:type="dxa"/>
            <w:vAlign w:val="center"/>
          </w:tcPr>
          <w:p w:rsidR="002A5A5E" w:rsidRPr="00FC1444" w:rsidRDefault="00611CBA">
            <w:pPr>
              <w:pStyle w:val="aff7"/>
              <w:adjustRightInd w:val="0"/>
              <w:snapToGrid w:val="0"/>
              <w:rPr>
                <w:rFonts w:eastAsiaTheme="minorEastAsia" w:hAnsi="Times New Roman"/>
                <w:snapToGrid w:val="0"/>
              </w:rPr>
            </w:pPr>
            <w:r w:rsidRPr="00FC1444">
              <w:rPr>
                <w:rFonts w:eastAsiaTheme="minorEastAsia" w:hAnsi="Times New Roman"/>
                <w:snapToGrid w:val="0"/>
              </w:rPr>
              <w:t>取水层</w:t>
            </w:r>
          </w:p>
        </w:tc>
        <w:tc>
          <w:tcPr>
            <w:tcW w:w="649" w:type="dxa"/>
            <w:vAlign w:val="center"/>
          </w:tcPr>
          <w:p w:rsidR="002A5A5E" w:rsidRPr="00FC1444" w:rsidRDefault="00611CBA">
            <w:pPr>
              <w:pStyle w:val="aff7"/>
              <w:adjustRightInd w:val="0"/>
              <w:snapToGrid w:val="0"/>
              <w:rPr>
                <w:rFonts w:eastAsiaTheme="minorEastAsia" w:hAnsi="Times New Roman"/>
                <w:snapToGrid w:val="0"/>
              </w:rPr>
            </w:pPr>
            <w:r w:rsidRPr="00FC1444">
              <w:rPr>
                <w:rFonts w:eastAsiaTheme="minorEastAsia" w:hAnsi="Times New Roman"/>
                <w:snapToGrid w:val="0"/>
              </w:rPr>
              <w:t>工程</w:t>
            </w:r>
          </w:p>
        </w:tc>
        <w:tc>
          <w:tcPr>
            <w:tcW w:w="1142" w:type="dxa"/>
            <w:vAlign w:val="center"/>
          </w:tcPr>
          <w:p w:rsidR="002A5A5E" w:rsidRPr="00FC1444" w:rsidRDefault="00611CBA">
            <w:pPr>
              <w:pStyle w:val="aff7"/>
              <w:adjustRightInd w:val="0"/>
              <w:snapToGrid w:val="0"/>
              <w:rPr>
                <w:rFonts w:eastAsiaTheme="minorEastAsia" w:hAnsi="Times New Roman"/>
                <w:snapToGrid w:val="0"/>
              </w:rPr>
            </w:pPr>
            <w:r w:rsidRPr="00FC1444">
              <w:rPr>
                <w:rFonts w:eastAsiaTheme="minorEastAsia" w:hAnsi="Times New Roman"/>
                <w:snapToGrid w:val="0"/>
              </w:rPr>
              <w:t>相对工程方位及最近距离</w:t>
            </w:r>
            <w:r w:rsidRPr="00FC1444">
              <w:rPr>
                <w:rFonts w:eastAsiaTheme="minorEastAsia" w:hAnsi="Times New Roman"/>
                <w:snapToGrid w:val="0"/>
              </w:rPr>
              <w:t>m</w:t>
            </w:r>
          </w:p>
        </w:tc>
        <w:tc>
          <w:tcPr>
            <w:tcW w:w="958" w:type="dxa"/>
            <w:shd w:val="clear" w:color="auto" w:fill="auto"/>
            <w:vAlign w:val="center"/>
          </w:tcPr>
          <w:p w:rsidR="002A5A5E" w:rsidRPr="00FC1444" w:rsidRDefault="00611CBA">
            <w:pPr>
              <w:pStyle w:val="aff7"/>
              <w:spacing w:line="0" w:lineRule="atLeast"/>
              <w:contextualSpacing/>
              <w:rPr>
                <w:rFonts w:eastAsiaTheme="minorEastAsia" w:hAnsi="Times New Roman"/>
                <w:snapToGrid w:val="0"/>
              </w:rPr>
            </w:pPr>
            <w:r w:rsidRPr="00FC1444">
              <w:rPr>
                <w:rFonts w:eastAsiaTheme="minorEastAsia" w:hAnsi="Times New Roman"/>
                <w:snapToGrid w:val="0"/>
              </w:rPr>
              <w:t>保护要求</w:t>
            </w:r>
          </w:p>
        </w:tc>
      </w:tr>
      <w:tr w:rsidR="00014F60" w:rsidRPr="00FC1444" w:rsidTr="00014F60">
        <w:trPr>
          <w:trHeight w:val="184"/>
          <w:jc w:val="center"/>
        </w:trPr>
        <w:tc>
          <w:tcPr>
            <w:tcW w:w="740" w:type="dxa"/>
            <w:vMerge w:val="restart"/>
            <w:vAlign w:val="center"/>
          </w:tcPr>
          <w:p w:rsidR="00014F60" w:rsidRPr="00FC1444" w:rsidRDefault="00014F60" w:rsidP="00591DC4">
            <w:pPr>
              <w:pStyle w:val="aff7"/>
              <w:spacing w:line="0" w:lineRule="atLeast"/>
              <w:contextualSpacing/>
              <w:rPr>
                <w:rFonts w:eastAsiaTheme="minorEastAsia" w:hAnsi="Times New Roman"/>
                <w:snapToGrid w:val="0"/>
                <w:szCs w:val="22"/>
              </w:rPr>
            </w:pPr>
            <w:r w:rsidRPr="00FC1444">
              <w:rPr>
                <w:rFonts w:eastAsiaTheme="minorEastAsia" w:hAnsi="Times New Roman"/>
                <w:snapToGrid w:val="0"/>
                <w:szCs w:val="22"/>
              </w:rPr>
              <w:t>地下水</w:t>
            </w:r>
          </w:p>
        </w:tc>
        <w:tc>
          <w:tcPr>
            <w:tcW w:w="1276" w:type="dxa"/>
            <w:vAlign w:val="center"/>
          </w:tcPr>
          <w:p w:rsidR="00014F60" w:rsidRPr="00FC1444" w:rsidRDefault="00014F60" w:rsidP="00014F60">
            <w:pPr>
              <w:jc w:val="center"/>
              <w:rPr>
                <w:rFonts w:eastAsiaTheme="minorEastAsia"/>
                <w:szCs w:val="21"/>
              </w:rPr>
            </w:pPr>
            <w:r w:rsidRPr="00FC1444">
              <w:rPr>
                <w:rFonts w:eastAsiaTheme="minorEastAsia" w:hint="eastAsia"/>
                <w:szCs w:val="21"/>
              </w:rPr>
              <w:t>胜利二村（刘海楼）饮水水源井</w:t>
            </w:r>
            <w:r w:rsidRPr="00FC1444">
              <w:rPr>
                <w:rFonts w:eastAsiaTheme="minorEastAsia"/>
              </w:rPr>
              <w:t>（井深</w:t>
            </w:r>
            <w:r w:rsidRPr="00FC1444">
              <w:rPr>
                <w:rFonts w:eastAsiaTheme="minorEastAsia" w:hint="eastAsia"/>
              </w:rPr>
              <w:t>128</w:t>
            </w:r>
            <w:r w:rsidRPr="00FC1444">
              <w:rPr>
                <w:rFonts w:eastAsiaTheme="minorEastAsia"/>
              </w:rPr>
              <w:t>m</w:t>
            </w:r>
            <w:r w:rsidRPr="00FC1444">
              <w:rPr>
                <w:rFonts w:eastAsiaTheme="minorEastAsia"/>
              </w:rPr>
              <w:t>）</w:t>
            </w:r>
          </w:p>
        </w:tc>
        <w:tc>
          <w:tcPr>
            <w:tcW w:w="709" w:type="dxa"/>
            <w:vAlign w:val="center"/>
          </w:tcPr>
          <w:p w:rsidR="00014F60" w:rsidRPr="00FC1444" w:rsidRDefault="00014F60">
            <w:pPr>
              <w:jc w:val="center"/>
              <w:rPr>
                <w:rFonts w:eastAsiaTheme="minorEastAsia"/>
                <w:szCs w:val="21"/>
              </w:rPr>
            </w:pPr>
            <w:r w:rsidRPr="00FC1444">
              <w:rPr>
                <w:rFonts w:eastAsiaTheme="minorEastAsia"/>
                <w:szCs w:val="21"/>
              </w:rPr>
              <w:t>一级保护区（</w:t>
            </w:r>
            <w:r w:rsidRPr="00FC1444">
              <w:rPr>
                <w:rFonts w:eastAsiaTheme="minorEastAsia"/>
                <w:szCs w:val="21"/>
              </w:rPr>
              <w:t>30m</w:t>
            </w:r>
            <w:r w:rsidRPr="00FC1444">
              <w:rPr>
                <w:rFonts w:eastAsiaTheme="minorEastAsia"/>
                <w:szCs w:val="21"/>
              </w:rPr>
              <w:t>）</w:t>
            </w:r>
          </w:p>
        </w:tc>
        <w:tc>
          <w:tcPr>
            <w:tcW w:w="679" w:type="dxa"/>
            <w:vAlign w:val="center"/>
          </w:tcPr>
          <w:p w:rsidR="00014F60" w:rsidRPr="00FC1444" w:rsidRDefault="00014F60" w:rsidP="00A062ED">
            <w:pPr>
              <w:jc w:val="center"/>
              <w:rPr>
                <w:rFonts w:eastAsiaTheme="minorEastAsia"/>
              </w:rPr>
            </w:pPr>
            <w:r w:rsidRPr="00FC1444">
              <w:rPr>
                <w:rFonts w:eastAsiaTheme="minorEastAsia"/>
                <w:szCs w:val="21"/>
              </w:rPr>
              <w:t>供水人数</w:t>
            </w:r>
            <w:r w:rsidR="00A062ED" w:rsidRPr="00FC1444">
              <w:rPr>
                <w:rFonts w:eastAsiaTheme="minorEastAsia" w:hint="eastAsia"/>
                <w:szCs w:val="21"/>
              </w:rPr>
              <w:t>5200</w:t>
            </w:r>
            <w:r w:rsidRPr="00FC1444">
              <w:rPr>
                <w:rFonts w:eastAsiaTheme="minorEastAsia"/>
                <w:szCs w:val="21"/>
              </w:rPr>
              <w:t>人</w:t>
            </w:r>
          </w:p>
        </w:tc>
        <w:tc>
          <w:tcPr>
            <w:tcW w:w="900" w:type="dxa"/>
            <w:vAlign w:val="center"/>
          </w:tcPr>
          <w:p w:rsidR="00014F60" w:rsidRPr="00FC1444" w:rsidRDefault="00014F60" w:rsidP="002D52E6">
            <w:pPr>
              <w:jc w:val="center"/>
              <w:rPr>
                <w:rFonts w:eastAsiaTheme="minorEastAsia"/>
                <w:szCs w:val="21"/>
              </w:rPr>
            </w:pPr>
            <w:r w:rsidRPr="00FC1444">
              <w:rPr>
                <w:rFonts w:eastAsiaTheme="minorEastAsia"/>
                <w:szCs w:val="21"/>
              </w:rPr>
              <w:t>供水规模</w:t>
            </w:r>
            <w:r w:rsidR="002D52E6" w:rsidRPr="00FC1444">
              <w:rPr>
                <w:rFonts w:eastAsiaTheme="minorEastAsia" w:hint="eastAsia"/>
                <w:szCs w:val="21"/>
              </w:rPr>
              <w:t>9</w:t>
            </w:r>
            <w:r w:rsidRPr="00FC1444">
              <w:rPr>
                <w:rFonts w:eastAsiaTheme="minorEastAsia"/>
                <w:szCs w:val="21"/>
              </w:rPr>
              <w:t>0m³/d</w:t>
            </w:r>
          </w:p>
        </w:tc>
        <w:tc>
          <w:tcPr>
            <w:tcW w:w="830" w:type="dxa"/>
            <w:vAlign w:val="center"/>
          </w:tcPr>
          <w:p w:rsidR="00014F60" w:rsidRPr="00FC1444" w:rsidRDefault="00014F60">
            <w:pPr>
              <w:jc w:val="center"/>
              <w:rPr>
                <w:rFonts w:eastAsiaTheme="minorEastAsia"/>
                <w:szCs w:val="21"/>
              </w:rPr>
            </w:pPr>
            <w:r w:rsidRPr="00FC1444">
              <w:rPr>
                <w:rFonts w:eastAsiaTheme="minorEastAsia"/>
                <w:szCs w:val="21"/>
              </w:rPr>
              <w:t>126.5015907</w:t>
            </w:r>
            <w:r w:rsidRPr="00FC1444">
              <w:rPr>
                <w:rFonts w:eastAsiaTheme="minorEastAsia"/>
                <w:szCs w:val="21"/>
              </w:rPr>
              <w:t>，</w:t>
            </w:r>
            <w:r w:rsidRPr="00FC1444">
              <w:rPr>
                <w:rFonts w:eastAsiaTheme="minorEastAsia"/>
                <w:szCs w:val="21"/>
              </w:rPr>
              <w:t>46.312732</w:t>
            </w:r>
          </w:p>
        </w:tc>
        <w:tc>
          <w:tcPr>
            <w:tcW w:w="485" w:type="dxa"/>
            <w:vAlign w:val="center"/>
          </w:tcPr>
          <w:p w:rsidR="00014F60" w:rsidRPr="00FC1444" w:rsidRDefault="007E1943">
            <w:pPr>
              <w:jc w:val="center"/>
              <w:rPr>
                <w:rFonts w:eastAsiaTheme="minorEastAsia"/>
                <w:szCs w:val="21"/>
              </w:rPr>
            </w:pPr>
            <w:r w:rsidRPr="00FC1444">
              <w:rPr>
                <w:rFonts w:eastAsiaTheme="minorEastAsia" w:hint="eastAsia"/>
                <w:szCs w:val="21"/>
              </w:rPr>
              <w:t>承压水</w:t>
            </w:r>
          </w:p>
        </w:tc>
        <w:tc>
          <w:tcPr>
            <w:tcW w:w="649" w:type="dxa"/>
            <w:vAlign w:val="center"/>
          </w:tcPr>
          <w:p w:rsidR="00014F60" w:rsidRPr="00FC1444" w:rsidRDefault="006D78F2" w:rsidP="006D78F2">
            <w:pPr>
              <w:jc w:val="center"/>
              <w:rPr>
                <w:rFonts w:eastAsiaTheme="minorEastAsia"/>
                <w:szCs w:val="21"/>
              </w:rPr>
            </w:pPr>
            <w:r w:rsidRPr="00FC1444">
              <w:rPr>
                <w:rFonts w:eastAsiaTheme="minorEastAsia"/>
                <w:szCs w:val="21"/>
              </w:rPr>
              <w:t>绥胜</w:t>
            </w:r>
            <w:r w:rsidR="00014F60" w:rsidRPr="00FC1444">
              <w:rPr>
                <w:rFonts w:eastAsiaTheme="minorEastAsia"/>
                <w:szCs w:val="21"/>
              </w:rPr>
              <w:t>2</w:t>
            </w:r>
            <w:r w:rsidRPr="00FC1444">
              <w:rPr>
                <w:rFonts w:eastAsiaTheme="minorEastAsia" w:hint="eastAsia"/>
                <w:szCs w:val="21"/>
              </w:rPr>
              <w:t>1</w:t>
            </w:r>
            <w:r w:rsidR="00014F60" w:rsidRPr="00FC1444">
              <w:rPr>
                <w:rFonts w:eastAsiaTheme="minorEastAsia"/>
                <w:szCs w:val="21"/>
              </w:rPr>
              <w:t>#</w:t>
            </w:r>
            <w:r w:rsidRPr="00FC1444">
              <w:rPr>
                <w:rFonts w:eastAsiaTheme="minorEastAsia" w:hint="eastAsia"/>
                <w:szCs w:val="21"/>
              </w:rPr>
              <w:t>机电</w:t>
            </w:r>
            <w:r w:rsidR="00014F60" w:rsidRPr="00FC1444">
              <w:rPr>
                <w:rFonts w:eastAsiaTheme="minorEastAsia"/>
                <w:szCs w:val="21"/>
              </w:rPr>
              <w:t>井</w:t>
            </w:r>
          </w:p>
        </w:tc>
        <w:tc>
          <w:tcPr>
            <w:tcW w:w="1142" w:type="dxa"/>
            <w:vAlign w:val="center"/>
          </w:tcPr>
          <w:p w:rsidR="00014F60" w:rsidRPr="00FC1444" w:rsidRDefault="00014F60" w:rsidP="00CF30B4">
            <w:pPr>
              <w:pStyle w:val="aff7"/>
              <w:spacing w:line="0" w:lineRule="atLeast"/>
              <w:contextualSpacing/>
              <w:rPr>
                <w:rFonts w:eastAsiaTheme="minorEastAsia" w:hAnsi="Times New Roman"/>
                <w:snapToGrid w:val="0"/>
                <w:szCs w:val="22"/>
              </w:rPr>
            </w:pPr>
            <w:r w:rsidRPr="00FC1444">
              <w:rPr>
                <w:rFonts w:eastAsiaTheme="minorEastAsia" w:hAnsi="Times New Roman"/>
                <w:snapToGrid w:val="0"/>
                <w:szCs w:val="22"/>
              </w:rPr>
              <w:t>NW</w:t>
            </w:r>
            <w:r w:rsidR="00CF30B4" w:rsidRPr="00FC1444">
              <w:rPr>
                <w:rFonts w:eastAsiaTheme="minorEastAsia" w:hAnsi="Times New Roman" w:hint="eastAsia"/>
                <w:snapToGrid w:val="0"/>
                <w:szCs w:val="22"/>
              </w:rPr>
              <w:t>400</w:t>
            </w:r>
          </w:p>
        </w:tc>
        <w:tc>
          <w:tcPr>
            <w:tcW w:w="958" w:type="dxa"/>
            <w:vMerge w:val="restart"/>
            <w:shd w:val="clear" w:color="auto" w:fill="auto"/>
            <w:vAlign w:val="center"/>
          </w:tcPr>
          <w:p w:rsidR="00014F60" w:rsidRPr="00FC1444" w:rsidRDefault="00014F60" w:rsidP="00591DC4">
            <w:pPr>
              <w:pStyle w:val="aff7"/>
              <w:spacing w:line="0" w:lineRule="atLeast"/>
              <w:contextualSpacing/>
              <w:rPr>
                <w:rFonts w:eastAsiaTheme="minorEastAsia" w:hAnsi="Times New Roman"/>
                <w:snapToGrid w:val="0"/>
                <w:szCs w:val="22"/>
              </w:rPr>
            </w:pPr>
            <w:r w:rsidRPr="00FC1444">
              <w:rPr>
                <w:rFonts w:eastAsiaTheme="minorEastAsia" w:hAnsi="Times New Roman"/>
                <w:snapToGrid w:val="0"/>
                <w:szCs w:val="22"/>
              </w:rPr>
              <w:t>《地下水质量标准》（</w:t>
            </w:r>
            <w:r w:rsidRPr="00FC1444">
              <w:rPr>
                <w:rFonts w:eastAsiaTheme="minorEastAsia" w:hAnsi="Times New Roman"/>
                <w:snapToGrid w:val="0"/>
                <w:szCs w:val="22"/>
              </w:rPr>
              <w:t>GB/T14848-2017</w:t>
            </w:r>
            <w:r w:rsidRPr="00FC1444">
              <w:rPr>
                <w:rFonts w:eastAsiaTheme="minorEastAsia" w:hAnsi="Times New Roman"/>
                <w:snapToGrid w:val="0"/>
                <w:szCs w:val="22"/>
              </w:rPr>
              <w:t>）</w:t>
            </w:r>
            <w:r w:rsidRPr="00FC1444">
              <w:rPr>
                <w:rFonts w:eastAsiaTheme="minorEastAsia" w:hAnsi="Times New Roman"/>
                <w:snapToGrid w:val="0"/>
                <w:szCs w:val="22"/>
              </w:rPr>
              <w:t xml:space="preserve">III </w:t>
            </w:r>
            <w:r w:rsidRPr="00FC1444">
              <w:rPr>
                <w:rFonts w:eastAsiaTheme="minorEastAsia" w:hAnsi="Times New Roman"/>
                <w:snapToGrid w:val="0"/>
                <w:szCs w:val="22"/>
              </w:rPr>
              <w:t>类标准</w:t>
            </w:r>
          </w:p>
        </w:tc>
      </w:tr>
      <w:tr w:rsidR="00014F60" w:rsidRPr="00FC1444" w:rsidTr="00014F60">
        <w:trPr>
          <w:trHeight w:val="184"/>
          <w:jc w:val="center"/>
        </w:trPr>
        <w:tc>
          <w:tcPr>
            <w:tcW w:w="740" w:type="dxa"/>
            <w:vMerge/>
            <w:vAlign w:val="center"/>
          </w:tcPr>
          <w:p w:rsidR="00014F60" w:rsidRPr="00FC1444" w:rsidRDefault="00014F60" w:rsidP="00591DC4">
            <w:pPr>
              <w:pStyle w:val="aff7"/>
              <w:spacing w:line="0" w:lineRule="atLeast"/>
              <w:contextualSpacing/>
              <w:rPr>
                <w:rFonts w:eastAsiaTheme="minorEastAsia" w:hAnsi="Times New Roman"/>
                <w:snapToGrid w:val="0"/>
                <w:szCs w:val="22"/>
              </w:rPr>
            </w:pPr>
          </w:p>
        </w:tc>
        <w:tc>
          <w:tcPr>
            <w:tcW w:w="1276" w:type="dxa"/>
            <w:vAlign w:val="center"/>
          </w:tcPr>
          <w:p w:rsidR="00014F60" w:rsidRPr="00FC1444" w:rsidRDefault="00014F60" w:rsidP="00014F60">
            <w:pPr>
              <w:jc w:val="center"/>
              <w:rPr>
                <w:rFonts w:eastAsiaTheme="minorEastAsia"/>
                <w:szCs w:val="21"/>
              </w:rPr>
            </w:pPr>
            <w:r w:rsidRPr="00FC1444">
              <w:rPr>
                <w:rFonts w:eastAsiaTheme="minorEastAsia" w:hint="eastAsia"/>
                <w:szCs w:val="21"/>
              </w:rPr>
              <w:t>胜利三饮用水源井</w:t>
            </w:r>
            <w:r w:rsidRPr="00FC1444">
              <w:rPr>
                <w:rFonts w:eastAsiaTheme="minorEastAsia"/>
              </w:rPr>
              <w:t>（井深</w:t>
            </w:r>
            <w:r w:rsidRPr="00FC1444">
              <w:rPr>
                <w:rFonts w:eastAsiaTheme="minorEastAsia" w:hint="eastAsia"/>
              </w:rPr>
              <w:t>12</w:t>
            </w:r>
            <w:r w:rsidRPr="00FC1444">
              <w:rPr>
                <w:rFonts w:eastAsiaTheme="minorEastAsia"/>
              </w:rPr>
              <w:t>0m</w:t>
            </w:r>
            <w:r w:rsidRPr="00FC1444">
              <w:rPr>
                <w:rFonts w:eastAsiaTheme="minorEastAsia"/>
              </w:rPr>
              <w:t>）</w:t>
            </w:r>
          </w:p>
        </w:tc>
        <w:tc>
          <w:tcPr>
            <w:tcW w:w="709" w:type="dxa"/>
            <w:vAlign w:val="center"/>
          </w:tcPr>
          <w:p w:rsidR="00014F60" w:rsidRPr="00FC1444" w:rsidRDefault="00014F60">
            <w:pPr>
              <w:jc w:val="center"/>
              <w:rPr>
                <w:rFonts w:eastAsiaTheme="minorEastAsia"/>
                <w:szCs w:val="21"/>
              </w:rPr>
            </w:pPr>
            <w:r w:rsidRPr="00FC1444">
              <w:rPr>
                <w:rFonts w:eastAsiaTheme="minorEastAsia"/>
                <w:szCs w:val="21"/>
              </w:rPr>
              <w:t>一级保护区（</w:t>
            </w:r>
            <w:r w:rsidRPr="00FC1444">
              <w:rPr>
                <w:rFonts w:eastAsiaTheme="minorEastAsia"/>
                <w:szCs w:val="21"/>
              </w:rPr>
              <w:t>30m</w:t>
            </w:r>
            <w:r w:rsidRPr="00FC1444">
              <w:rPr>
                <w:rFonts w:eastAsiaTheme="minorEastAsia"/>
                <w:szCs w:val="21"/>
              </w:rPr>
              <w:t>）</w:t>
            </w:r>
          </w:p>
        </w:tc>
        <w:tc>
          <w:tcPr>
            <w:tcW w:w="679" w:type="dxa"/>
            <w:vAlign w:val="center"/>
          </w:tcPr>
          <w:p w:rsidR="00014F60" w:rsidRPr="00FC1444" w:rsidRDefault="002D52E6" w:rsidP="00A062ED">
            <w:pPr>
              <w:jc w:val="center"/>
              <w:rPr>
                <w:rFonts w:eastAsiaTheme="minorEastAsia"/>
              </w:rPr>
            </w:pPr>
            <w:r w:rsidRPr="00FC1444">
              <w:rPr>
                <w:rFonts w:eastAsiaTheme="minorEastAsia"/>
                <w:szCs w:val="21"/>
              </w:rPr>
              <w:t>供水人数</w:t>
            </w:r>
            <w:r w:rsidR="00A062ED" w:rsidRPr="00FC1444">
              <w:rPr>
                <w:rFonts w:eastAsiaTheme="minorEastAsia" w:hint="eastAsia"/>
                <w:szCs w:val="21"/>
              </w:rPr>
              <w:t>5500</w:t>
            </w:r>
            <w:r w:rsidRPr="00FC1444">
              <w:rPr>
                <w:rFonts w:eastAsiaTheme="minorEastAsia"/>
                <w:szCs w:val="21"/>
              </w:rPr>
              <w:t>人</w:t>
            </w:r>
          </w:p>
        </w:tc>
        <w:tc>
          <w:tcPr>
            <w:tcW w:w="900" w:type="dxa"/>
            <w:vAlign w:val="center"/>
          </w:tcPr>
          <w:p w:rsidR="00014F60" w:rsidRPr="00FC1444" w:rsidRDefault="00014F60" w:rsidP="002D52E6">
            <w:pPr>
              <w:jc w:val="center"/>
              <w:rPr>
                <w:rFonts w:eastAsiaTheme="minorEastAsia"/>
                <w:szCs w:val="21"/>
              </w:rPr>
            </w:pPr>
            <w:r w:rsidRPr="00FC1444">
              <w:rPr>
                <w:rFonts w:eastAsiaTheme="minorEastAsia"/>
                <w:szCs w:val="21"/>
              </w:rPr>
              <w:t>供水规模</w:t>
            </w:r>
            <w:r w:rsidR="002D52E6" w:rsidRPr="00FC1444">
              <w:rPr>
                <w:rFonts w:eastAsiaTheme="minorEastAsia" w:hint="eastAsia"/>
                <w:szCs w:val="21"/>
              </w:rPr>
              <w:t>9</w:t>
            </w:r>
            <w:r w:rsidRPr="00FC1444">
              <w:rPr>
                <w:rFonts w:eastAsiaTheme="minorEastAsia"/>
                <w:szCs w:val="21"/>
              </w:rPr>
              <w:t>0m³/d</w:t>
            </w:r>
          </w:p>
        </w:tc>
        <w:tc>
          <w:tcPr>
            <w:tcW w:w="830" w:type="dxa"/>
            <w:vAlign w:val="center"/>
          </w:tcPr>
          <w:p w:rsidR="00014F60" w:rsidRPr="00FC1444" w:rsidRDefault="00014F60">
            <w:pPr>
              <w:jc w:val="center"/>
              <w:rPr>
                <w:rFonts w:eastAsiaTheme="minorEastAsia"/>
                <w:szCs w:val="21"/>
              </w:rPr>
            </w:pPr>
            <w:r w:rsidRPr="00FC1444">
              <w:rPr>
                <w:rFonts w:eastAsiaTheme="minorEastAsia"/>
                <w:szCs w:val="21"/>
              </w:rPr>
              <w:t>126.4616351</w:t>
            </w:r>
            <w:r w:rsidRPr="00FC1444">
              <w:rPr>
                <w:rFonts w:eastAsiaTheme="minorEastAsia"/>
                <w:szCs w:val="21"/>
              </w:rPr>
              <w:t>，</w:t>
            </w:r>
            <w:r w:rsidRPr="00FC1444">
              <w:rPr>
                <w:rFonts w:eastAsiaTheme="minorEastAsia"/>
                <w:szCs w:val="21"/>
              </w:rPr>
              <w:t>46.321523</w:t>
            </w:r>
          </w:p>
        </w:tc>
        <w:tc>
          <w:tcPr>
            <w:tcW w:w="485" w:type="dxa"/>
            <w:vAlign w:val="center"/>
          </w:tcPr>
          <w:p w:rsidR="00014F60" w:rsidRPr="00FC1444" w:rsidRDefault="007E1943">
            <w:pPr>
              <w:jc w:val="center"/>
              <w:rPr>
                <w:rFonts w:eastAsiaTheme="minorEastAsia"/>
                <w:szCs w:val="21"/>
              </w:rPr>
            </w:pPr>
            <w:r w:rsidRPr="00FC1444">
              <w:rPr>
                <w:rFonts w:eastAsiaTheme="minorEastAsia" w:hint="eastAsia"/>
                <w:szCs w:val="21"/>
              </w:rPr>
              <w:t>承压水</w:t>
            </w:r>
          </w:p>
        </w:tc>
        <w:tc>
          <w:tcPr>
            <w:tcW w:w="649" w:type="dxa"/>
            <w:vAlign w:val="center"/>
          </w:tcPr>
          <w:p w:rsidR="00014F60" w:rsidRPr="00FC1444" w:rsidRDefault="006D78F2" w:rsidP="006D78F2">
            <w:pPr>
              <w:jc w:val="center"/>
              <w:rPr>
                <w:rFonts w:eastAsiaTheme="minorEastAsia"/>
                <w:szCs w:val="21"/>
              </w:rPr>
            </w:pPr>
            <w:r w:rsidRPr="00FC1444">
              <w:rPr>
                <w:rFonts w:eastAsiaTheme="minorEastAsia"/>
                <w:szCs w:val="21"/>
              </w:rPr>
              <w:t>绥胜</w:t>
            </w:r>
            <w:r w:rsidRPr="00FC1444">
              <w:rPr>
                <w:rFonts w:eastAsiaTheme="minorEastAsia" w:hint="eastAsia"/>
                <w:szCs w:val="21"/>
              </w:rPr>
              <w:t>30</w:t>
            </w:r>
            <w:r w:rsidRPr="00FC1444">
              <w:rPr>
                <w:rFonts w:eastAsiaTheme="minorEastAsia"/>
                <w:szCs w:val="21"/>
              </w:rPr>
              <w:t>#</w:t>
            </w:r>
            <w:r w:rsidRPr="00FC1444">
              <w:rPr>
                <w:rFonts w:eastAsiaTheme="minorEastAsia" w:hint="eastAsia"/>
                <w:szCs w:val="21"/>
              </w:rPr>
              <w:t>机电</w:t>
            </w:r>
            <w:r w:rsidRPr="00FC1444">
              <w:rPr>
                <w:rFonts w:eastAsiaTheme="minorEastAsia"/>
                <w:szCs w:val="21"/>
              </w:rPr>
              <w:t>井</w:t>
            </w:r>
          </w:p>
        </w:tc>
        <w:tc>
          <w:tcPr>
            <w:tcW w:w="1142" w:type="dxa"/>
            <w:vAlign w:val="center"/>
          </w:tcPr>
          <w:p w:rsidR="00014F60" w:rsidRPr="00FC1444" w:rsidRDefault="00014F60" w:rsidP="00CF30B4">
            <w:pPr>
              <w:pStyle w:val="aff7"/>
              <w:spacing w:line="0" w:lineRule="atLeast"/>
              <w:contextualSpacing/>
              <w:rPr>
                <w:rFonts w:eastAsiaTheme="minorEastAsia" w:hAnsi="Times New Roman"/>
                <w:snapToGrid w:val="0"/>
                <w:szCs w:val="22"/>
              </w:rPr>
            </w:pPr>
            <w:r w:rsidRPr="00FC1444">
              <w:rPr>
                <w:rFonts w:eastAsiaTheme="minorEastAsia" w:hAnsi="Times New Roman"/>
                <w:snapToGrid w:val="0"/>
                <w:szCs w:val="22"/>
              </w:rPr>
              <w:t>NW</w:t>
            </w:r>
            <w:r w:rsidR="00CF30B4" w:rsidRPr="00FC1444">
              <w:rPr>
                <w:rFonts w:eastAsiaTheme="minorEastAsia" w:hAnsi="Times New Roman" w:hint="eastAsia"/>
                <w:snapToGrid w:val="0"/>
                <w:szCs w:val="22"/>
              </w:rPr>
              <w:t>2200</w:t>
            </w:r>
          </w:p>
        </w:tc>
        <w:tc>
          <w:tcPr>
            <w:tcW w:w="958" w:type="dxa"/>
            <w:vMerge/>
            <w:shd w:val="clear" w:color="auto" w:fill="auto"/>
            <w:vAlign w:val="center"/>
          </w:tcPr>
          <w:p w:rsidR="00014F60" w:rsidRPr="00FC1444" w:rsidRDefault="00014F60" w:rsidP="00591DC4">
            <w:pPr>
              <w:pStyle w:val="aff7"/>
              <w:spacing w:line="0" w:lineRule="atLeast"/>
              <w:contextualSpacing/>
              <w:rPr>
                <w:rFonts w:eastAsiaTheme="minorEastAsia" w:hAnsi="Times New Roman"/>
                <w:snapToGrid w:val="0"/>
                <w:szCs w:val="22"/>
              </w:rPr>
            </w:pPr>
          </w:p>
        </w:tc>
      </w:tr>
      <w:tr w:rsidR="00014F60" w:rsidRPr="00FC1444" w:rsidTr="00014F60">
        <w:trPr>
          <w:trHeight w:val="184"/>
          <w:jc w:val="center"/>
        </w:trPr>
        <w:tc>
          <w:tcPr>
            <w:tcW w:w="740" w:type="dxa"/>
            <w:vMerge/>
            <w:vAlign w:val="center"/>
          </w:tcPr>
          <w:p w:rsidR="00014F60" w:rsidRPr="00FC1444" w:rsidRDefault="00014F60" w:rsidP="00591DC4">
            <w:pPr>
              <w:pStyle w:val="aff7"/>
              <w:spacing w:line="0" w:lineRule="atLeast"/>
              <w:contextualSpacing/>
              <w:rPr>
                <w:rFonts w:eastAsiaTheme="minorEastAsia" w:hAnsi="Times New Roman"/>
                <w:snapToGrid w:val="0"/>
                <w:szCs w:val="22"/>
              </w:rPr>
            </w:pPr>
          </w:p>
        </w:tc>
        <w:tc>
          <w:tcPr>
            <w:tcW w:w="1276" w:type="dxa"/>
            <w:vAlign w:val="center"/>
          </w:tcPr>
          <w:p w:rsidR="00014F60" w:rsidRPr="00FC1444" w:rsidRDefault="00014F60" w:rsidP="00014F60">
            <w:pPr>
              <w:jc w:val="center"/>
              <w:rPr>
                <w:rFonts w:eastAsiaTheme="minorEastAsia"/>
                <w:szCs w:val="21"/>
              </w:rPr>
            </w:pPr>
            <w:r w:rsidRPr="00FC1444">
              <w:rPr>
                <w:rFonts w:eastAsiaTheme="minorEastAsia" w:hint="eastAsia"/>
                <w:szCs w:val="21"/>
              </w:rPr>
              <w:t>胜利四村正白四屯饮用水源井</w:t>
            </w:r>
            <w:r w:rsidRPr="00FC1444">
              <w:rPr>
                <w:rFonts w:eastAsiaTheme="minorEastAsia"/>
                <w:szCs w:val="21"/>
              </w:rPr>
              <w:t>（</w:t>
            </w:r>
            <w:r w:rsidRPr="00FC1444">
              <w:rPr>
                <w:rFonts w:eastAsiaTheme="minorEastAsia"/>
              </w:rPr>
              <w:t>井深</w:t>
            </w:r>
            <w:r w:rsidRPr="00FC1444">
              <w:rPr>
                <w:rFonts w:eastAsiaTheme="minorEastAsia" w:hint="eastAsia"/>
              </w:rPr>
              <w:t>120</w:t>
            </w:r>
            <w:r w:rsidRPr="00FC1444">
              <w:rPr>
                <w:rFonts w:eastAsiaTheme="minorEastAsia"/>
              </w:rPr>
              <w:t>m</w:t>
            </w:r>
            <w:r w:rsidRPr="00FC1444">
              <w:rPr>
                <w:rFonts w:eastAsiaTheme="minorEastAsia"/>
                <w:szCs w:val="21"/>
              </w:rPr>
              <w:t>）</w:t>
            </w:r>
          </w:p>
        </w:tc>
        <w:tc>
          <w:tcPr>
            <w:tcW w:w="709" w:type="dxa"/>
            <w:vAlign w:val="center"/>
          </w:tcPr>
          <w:p w:rsidR="00014F60" w:rsidRPr="00FC1444" w:rsidRDefault="00014F60">
            <w:pPr>
              <w:jc w:val="center"/>
              <w:rPr>
                <w:rFonts w:eastAsiaTheme="minorEastAsia"/>
                <w:szCs w:val="21"/>
              </w:rPr>
            </w:pPr>
            <w:r w:rsidRPr="00FC1444">
              <w:rPr>
                <w:rFonts w:eastAsiaTheme="minorEastAsia"/>
                <w:szCs w:val="21"/>
              </w:rPr>
              <w:t>一级保护区（</w:t>
            </w:r>
            <w:r w:rsidRPr="00FC1444">
              <w:rPr>
                <w:rFonts w:eastAsiaTheme="minorEastAsia"/>
                <w:szCs w:val="21"/>
              </w:rPr>
              <w:t>30m</w:t>
            </w:r>
            <w:r w:rsidRPr="00FC1444">
              <w:rPr>
                <w:rFonts w:eastAsiaTheme="minorEastAsia"/>
                <w:szCs w:val="21"/>
              </w:rPr>
              <w:t>）</w:t>
            </w:r>
          </w:p>
        </w:tc>
        <w:tc>
          <w:tcPr>
            <w:tcW w:w="679" w:type="dxa"/>
            <w:vAlign w:val="center"/>
          </w:tcPr>
          <w:p w:rsidR="00014F60" w:rsidRPr="00FC1444" w:rsidRDefault="00014F60">
            <w:pPr>
              <w:jc w:val="center"/>
              <w:rPr>
                <w:rFonts w:eastAsiaTheme="minorEastAsia"/>
                <w:szCs w:val="21"/>
              </w:rPr>
            </w:pPr>
            <w:r w:rsidRPr="00FC1444">
              <w:rPr>
                <w:rFonts w:eastAsiaTheme="minorEastAsia"/>
                <w:szCs w:val="21"/>
              </w:rPr>
              <w:t>供水人数</w:t>
            </w:r>
            <w:r w:rsidRPr="00FC1444">
              <w:rPr>
                <w:rFonts w:eastAsiaTheme="minorEastAsia"/>
                <w:szCs w:val="21"/>
              </w:rPr>
              <w:t>3725</w:t>
            </w:r>
            <w:r w:rsidRPr="00FC1444">
              <w:rPr>
                <w:rFonts w:eastAsiaTheme="minorEastAsia"/>
                <w:szCs w:val="21"/>
              </w:rPr>
              <w:t>人</w:t>
            </w:r>
          </w:p>
        </w:tc>
        <w:tc>
          <w:tcPr>
            <w:tcW w:w="900" w:type="dxa"/>
            <w:vAlign w:val="center"/>
          </w:tcPr>
          <w:p w:rsidR="00014F60" w:rsidRPr="00FC1444" w:rsidRDefault="00014F60" w:rsidP="002D52E6">
            <w:pPr>
              <w:jc w:val="center"/>
              <w:rPr>
                <w:rFonts w:eastAsiaTheme="minorEastAsia"/>
                <w:szCs w:val="21"/>
              </w:rPr>
            </w:pPr>
            <w:r w:rsidRPr="00FC1444">
              <w:rPr>
                <w:rFonts w:eastAsiaTheme="minorEastAsia"/>
                <w:szCs w:val="21"/>
              </w:rPr>
              <w:t>供水规模</w:t>
            </w:r>
            <w:r w:rsidR="002D52E6" w:rsidRPr="00FC1444">
              <w:rPr>
                <w:rFonts w:eastAsiaTheme="minorEastAsia" w:hint="eastAsia"/>
                <w:szCs w:val="21"/>
              </w:rPr>
              <w:t>240</w:t>
            </w:r>
            <w:r w:rsidRPr="00FC1444">
              <w:rPr>
                <w:rFonts w:eastAsiaTheme="minorEastAsia"/>
                <w:szCs w:val="21"/>
              </w:rPr>
              <w:t>m³/d</w:t>
            </w:r>
          </w:p>
        </w:tc>
        <w:tc>
          <w:tcPr>
            <w:tcW w:w="830" w:type="dxa"/>
            <w:vAlign w:val="center"/>
          </w:tcPr>
          <w:p w:rsidR="00014F60" w:rsidRPr="00FC1444" w:rsidRDefault="00014F60">
            <w:pPr>
              <w:jc w:val="center"/>
              <w:rPr>
                <w:rFonts w:eastAsiaTheme="minorEastAsia"/>
                <w:szCs w:val="21"/>
              </w:rPr>
            </w:pPr>
            <w:r w:rsidRPr="00FC1444">
              <w:rPr>
                <w:rFonts w:eastAsiaTheme="minorEastAsia"/>
                <w:szCs w:val="21"/>
              </w:rPr>
              <w:t>126.4532193</w:t>
            </w:r>
            <w:r w:rsidRPr="00FC1444">
              <w:rPr>
                <w:rFonts w:eastAsiaTheme="minorEastAsia"/>
                <w:szCs w:val="21"/>
              </w:rPr>
              <w:t>，</w:t>
            </w:r>
            <w:r w:rsidRPr="00FC1444">
              <w:rPr>
                <w:rFonts w:eastAsiaTheme="minorEastAsia"/>
                <w:szCs w:val="21"/>
              </w:rPr>
              <w:t>46.334224</w:t>
            </w:r>
          </w:p>
        </w:tc>
        <w:tc>
          <w:tcPr>
            <w:tcW w:w="485" w:type="dxa"/>
            <w:vAlign w:val="center"/>
          </w:tcPr>
          <w:p w:rsidR="00014F60" w:rsidRPr="00FC1444" w:rsidRDefault="007E1943">
            <w:pPr>
              <w:jc w:val="center"/>
              <w:rPr>
                <w:rFonts w:eastAsiaTheme="minorEastAsia"/>
                <w:szCs w:val="21"/>
              </w:rPr>
            </w:pPr>
            <w:r w:rsidRPr="00FC1444">
              <w:rPr>
                <w:rFonts w:eastAsiaTheme="minorEastAsia" w:hint="eastAsia"/>
                <w:szCs w:val="21"/>
              </w:rPr>
              <w:t>承压水</w:t>
            </w:r>
          </w:p>
        </w:tc>
        <w:tc>
          <w:tcPr>
            <w:tcW w:w="649" w:type="dxa"/>
            <w:vAlign w:val="center"/>
          </w:tcPr>
          <w:p w:rsidR="00014F60" w:rsidRPr="00FC1444" w:rsidRDefault="00FF5E07">
            <w:pPr>
              <w:jc w:val="center"/>
              <w:rPr>
                <w:rFonts w:eastAsiaTheme="minorEastAsia"/>
                <w:szCs w:val="21"/>
              </w:rPr>
            </w:pPr>
            <w:r w:rsidRPr="00FC1444">
              <w:rPr>
                <w:rFonts w:eastAsiaTheme="minorEastAsia"/>
                <w:szCs w:val="21"/>
              </w:rPr>
              <w:t>绥胜</w:t>
            </w:r>
            <w:r w:rsidRPr="00FC1444">
              <w:rPr>
                <w:rFonts w:eastAsiaTheme="minorEastAsia" w:hint="eastAsia"/>
                <w:szCs w:val="21"/>
              </w:rPr>
              <w:t>30</w:t>
            </w:r>
            <w:r w:rsidRPr="00FC1444">
              <w:rPr>
                <w:rFonts w:eastAsiaTheme="minorEastAsia"/>
                <w:szCs w:val="21"/>
              </w:rPr>
              <w:t>#</w:t>
            </w:r>
            <w:r w:rsidRPr="00FC1444">
              <w:rPr>
                <w:rFonts w:eastAsiaTheme="minorEastAsia" w:hint="eastAsia"/>
                <w:szCs w:val="21"/>
              </w:rPr>
              <w:t>机电</w:t>
            </w:r>
            <w:r w:rsidRPr="00FC1444">
              <w:rPr>
                <w:rFonts w:eastAsiaTheme="minorEastAsia"/>
                <w:szCs w:val="21"/>
              </w:rPr>
              <w:t>井</w:t>
            </w:r>
          </w:p>
        </w:tc>
        <w:tc>
          <w:tcPr>
            <w:tcW w:w="1142" w:type="dxa"/>
            <w:vAlign w:val="center"/>
          </w:tcPr>
          <w:p w:rsidR="00014F60" w:rsidRPr="00FC1444" w:rsidRDefault="00FF5E07" w:rsidP="00CF30B4">
            <w:pPr>
              <w:pStyle w:val="aff7"/>
              <w:spacing w:line="0" w:lineRule="atLeast"/>
              <w:contextualSpacing/>
              <w:rPr>
                <w:rFonts w:eastAsiaTheme="minorEastAsia" w:hAnsi="Times New Roman"/>
                <w:snapToGrid w:val="0"/>
                <w:szCs w:val="22"/>
              </w:rPr>
            </w:pPr>
            <w:r w:rsidRPr="00FC1444">
              <w:rPr>
                <w:rFonts w:eastAsiaTheme="minorEastAsia" w:hAnsi="Times New Roman"/>
                <w:snapToGrid w:val="0"/>
                <w:szCs w:val="22"/>
              </w:rPr>
              <w:t>NW</w:t>
            </w:r>
            <w:r w:rsidR="00CF30B4" w:rsidRPr="00FC1444">
              <w:rPr>
                <w:rFonts w:eastAsiaTheme="minorEastAsia" w:hAnsi="Times New Roman" w:hint="eastAsia"/>
                <w:snapToGrid w:val="0"/>
                <w:szCs w:val="22"/>
              </w:rPr>
              <w:t>5000</w:t>
            </w:r>
          </w:p>
        </w:tc>
        <w:tc>
          <w:tcPr>
            <w:tcW w:w="958" w:type="dxa"/>
            <w:vMerge/>
            <w:shd w:val="clear" w:color="auto" w:fill="auto"/>
            <w:vAlign w:val="center"/>
          </w:tcPr>
          <w:p w:rsidR="00014F60" w:rsidRPr="00FC1444" w:rsidRDefault="00014F60" w:rsidP="00591DC4">
            <w:pPr>
              <w:pStyle w:val="aff7"/>
              <w:spacing w:line="0" w:lineRule="atLeast"/>
              <w:contextualSpacing/>
              <w:rPr>
                <w:rFonts w:eastAsiaTheme="minorEastAsia" w:hAnsi="Times New Roman"/>
                <w:snapToGrid w:val="0"/>
                <w:szCs w:val="22"/>
              </w:rPr>
            </w:pPr>
          </w:p>
        </w:tc>
      </w:tr>
      <w:tr w:rsidR="00014F60" w:rsidRPr="00FC1444" w:rsidTr="00014F60">
        <w:trPr>
          <w:trHeight w:val="184"/>
          <w:jc w:val="center"/>
        </w:trPr>
        <w:tc>
          <w:tcPr>
            <w:tcW w:w="740" w:type="dxa"/>
            <w:vMerge/>
            <w:vAlign w:val="center"/>
          </w:tcPr>
          <w:p w:rsidR="00014F60" w:rsidRPr="00FC1444" w:rsidRDefault="00014F60" w:rsidP="00591DC4">
            <w:pPr>
              <w:pStyle w:val="aff7"/>
              <w:spacing w:line="0" w:lineRule="atLeast"/>
              <w:contextualSpacing/>
              <w:rPr>
                <w:rFonts w:eastAsiaTheme="minorEastAsia" w:hAnsi="Times New Roman"/>
                <w:snapToGrid w:val="0"/>
                <w:szCs w:val="22"/>
              </w:rPr>
            </w:pPr>
          </w:p>
        </w:tc>
        <w:tc>
          <w:tcPr>
            <w:tcW w:w="1276" w:type="dxa"/>
            <w:vAlign w:val="center"/>
          </w:tcPr>
          <w:p w:rsidR="00014F60" w:rsidRPr="00FC1444" w:rsidRDefault="00014F60" w:rsidP="00014F60">
            <w:pPr>
              <w:jc w:val="center"/>
              <w:rPr>
                <w:rFonts w:eastAsiaTheme="minorEastAsia"/>
                <w:szCs w:val="21"/>
              </w:rPr>
            </w:pPr>
            <w:r w:rsidRPr="00FC1444">
              <w:rPr>
                <w:rFonts w:eastAsiaTheme="minorEastAsia" w:hint="eastAsia"/>
                <w:szCs w:val="21"/>
              </w:rPr>
              <w:t>胜利二村正白二屯饮用水源井</w:t>
            </w:r>
            <w:r w:rsidRPr="00FC1444">
              <w:rPr>
                <w:rFonts w:eastAsiaTheme="minorEastAsia"/>
              </w:rPr>
              <w:t>（井深</w:t>
            </w:r>
            <w:r w:rsidRPr="00FC1444">
              <w:rPr>
                <w:rFonts w:eastAsiaTheme="minorEastAsia" w:hint="eastAsia"/>
              </w:rPr>
              <w:t>120</w:t>
            </w:r>
            <w:r w:rsidRPr="00FC1444">
              <w:rPr>
                <w:rFonts w:eastAsiaTheme="minorEastAsia"/>
              </w:rPr>
              <w:t>m</w:t>
            </w:r>
            <w:r w:rsidRPr="00FC1444">
              <w:rPr>
                <w:rFonts w:eastAsiaTheme="minorEastAsia"/>
              </w:rPr>
              <w:t>）</w:t>
            </w:r>
          </w:p>
        </w:tc>
        <w:tc>
          <w:tcPr>
            <w:tcW w:w="709" w:type="dxa"/>
            <w:vAlign w:val="center"/>
          </w:tcPr>
          <w:p w:rsidR="00014F60" w:rsidRPr="00FC1444" w:rsidRDefault="00014F60">
            <w:pPr>
              <w:jc w:val="center"/>
              <w:rPr>
                <w:rFonts w:eastAsiaTheme="minorEastAsia"/>
                <w:szCs w:val="21"/>
              </w:rPr>
            </w:pPr>
            <w:r w:rsidRPr="00FC1444">
              <w:rPr>
                <w:rFonts w:eastAsiaTheme="minorEastAsia"/>
                <w:szCs w:val="21"/>
              </w:rPr>
              <w:t>一级保护区（</w:t>
            </w:r>
            <w:r w:rsidRPr="00FC1444">
              <w:rPr>
                <w:rFonts w:eastAsiaTheme="minorEastAsia"/>
                <w:szCs w:val="21"/>
              </w:rPr>
              <w:t>30m</w:t>
            </w:r>
            <w:r w:rsidRPr="00FC1444">
              <w:rPr>
                <w:rFonts w:eastAsiaTheme="minorEastAsia"/>
                <w:szCs w:val="21"/>
              </w:rPr>
              <w:t>）</w:t>
            </w:r>
          </w:p>
        </w:tc>
        <w:tc>
          <w:tcPr>
            <w:tcW w:w="679" w:type="dxa"/>
            <w:vAlign w:val="center"/>
          </w:tcPr>
          <w:p w:rsidR="00014F60" w:rsidRPr="00FC1444" w:rsidRDefault="00014F60" w:rsidP="00A062ED">
            <w:pPr>
              <w:jc w:val="center"/>
              <w:rPr>
                <w:rFonts w:eastAsiaTheme="minorEastAsia"/>
                <w:szCs w:val="21"/>
              </w:rPr>
            </w:pPr>
            <w:r w:rsidRPr="00FC1444">
              <w:rPr>
                <w:rFonts w:eastAsiaTheme="minorEastAsia"/>
                <w:szCs w:val="21"/>
              </w:rPr>
              <w:t>供水人数</w:t>
            </w:r>
            <w:r w:rsidRPr="00FC1444">
              <w:rPr>
                <w:rFonts w:eastAsiaTheme="minorEastAsia"/>
                <w:szCs w:val="21"/>
              </w:rPr>
              <w:t>26</w:t>
            </w:r>
            <w:r w:rsidR="00A062ED" w:rsidRPr="00FC1444">
              <w:rPr>
                <w:rFonts w:eastAsiaTheme="minorEastAsia" w:hint="eastAsia"/>
                <w:szCs w:val="21"/>
              </w:rPr>
              <w:t>00</w:t>
            </w:r>
            <w:r w:rsidRPr="00FC1444">
              <w:rPr>
                <w:rFonts w:eastAsiaTheme="minorEastAsia"/>
                <w:szCs w:val="21"/>
              </w:rPr>
              <w:t>人</w:t>
            </w:r>
          </w:p>
        </w:tc>
        <w:tc>
          <w:tcPr>
            <w:tcW w:w="900" w:type="dxa"/>
            <w:vAlign w:val="center"/>
          </w:tcPr>
          <w:p w:rsidR="00014F60" w:rsidRPr="00FC1444" w:rsidRDefault="00014F60">
            <w:pPr>
              <w:jc w:val="center"/>
              <w:rPr>
                <w:rFonts w:eastAsiaTheme="minorEastAsia"/>
                <w:szCs w:val="21"/>
              </w:rPr>
            </w:pPr>
            <w:r w:rsidRPr="00FC1444">
              <w:rPr>
                <w:rFonts w:eastAsiaTheme="minorEastAsia"/>
                <w:szCs w:val="21"/>
              </w:rPr>
              <w:t>供水规模</w:t>
            </w:r>
            <w:r w:rsidR="00927FDD" w:rsidRPr="00FC1444">
              <w:rPr>
                <w:rFonts w:eastAsiaTheme="minorEastAsia" w:hint="eastAsia"/>
                <w:szCs w:val="21"/>
              </w:rPr>
              <w:t>90</w:t>
            </w:r>
            <w:r w:rsidRPr="00FC1444">
              <w:rPr>
                <w:rFonts w:eastAsiaTheme="minorEastAsia"/>
                <w:szCs w:val="21"/>
              </w:rPr>
              <w:t>m³/d</w:t>
            </w:r>
          </w:p>
        </w:tc>
        <w:tc>
          <w:tcPr>
            <w:tcW w:w="830" w:type="dxa"/>
            <w:vAlign w:val="center"/>
          </w:tcPr>
          <w:p w:rsidR="00014F60" w:rsidRPr="00FC1444" w:rsidRDefault="00014F60" w:rsidP="00014F60">
            <w:pPr>
              <w:jc w:val="center"/>
              <w:rPr>
                <w:rFonts w:eastAsiaTheme="minorEastAsia"/>
                <w:szCs w:val="21"/>
              </w:rPr>
            </w:pPr>
            <w:r w:rsidRPr="00FC1444">
              <w:rPr>
                <w:rFonts w:eastAsiaTheme="minorEastAsia"/>
                <w:szCs w:val="21"/>
              </w:rPr>
              <w:t>126.4701497</w:t>
            </w:r>
            <w:r w:rsidRPr="00FC1444">
              <w:rPr>
                <w:rFonts w:eastAsiaTheme="minorEastAsia"/>
                <w:szCs w:val="21"/>
              </w:rPr>
              <w:t>，</w:t>
            </w:r>
            <w:r w:rsidRPr="00FC1444">
              <w:rPr>
                <w:rFonts w:eastAsiaTheme="minorEastAsia"/>
                <w:szCs w:val="21"/>
              </w:rPr>
              <w:t>46.305108</w:t>
            </w:r>
          </w:p>
        </w:tc>
        <w:tc>
          <w:tcPr>
            <w:tcW w:w="485" w:type="dxa"/>
            <w:vAlign w:val="center"/>
          </w:tcPr>
          <w:p w:rsidR="00014F60" w:rsidRPr="00FC1444" w:rsidRDefault="007E1943">
            <w:pPr>
              <w:jc w:val="center"/>
              <w:rPr>
                <w:rFonts w:eastAsiaTheme="minorEastAsia"/>
                <w:szCs w:val="21"/>
              </w:rPr>
            </w:pPr>
            <w:r w:rsidRPr="00FC1444">
              <w:rPr>
                <w:rFonts w:eastAsiaTheme="minorEastAsia" w:hint="eastAsia"/>
                <w:szCs w:val="21"/>
              </w:rPr>
              <w:t>承压水</w:t>
            </w:r>
          </w:p>
        </w:tc>
        <w:tc>
          <w:tcPr>
            <w:tcW w:w="649" w:type="dxa"/>
            <w:vAlign w:val="center"/>
          </w:tcPr>
          <w:p w:rsidR="00014F60" w:rsidRPr="00FC1444" w:rsidRDefault="006D78F2" w:rsidP="006D78F2">
            <w:pPr>
              <w:jc w:val="center"/>
              <w:rPr>
                <w:rFonts w:eastAsiaTheme="minorEastAsia"/>
                <w:szCs w:val="21"/>
              </w:rPr>
            </w:pPr>
            <w:r w:rsidRPr="00FC1444">
              <w:rPr>
                <w:rFonts w:eastAsiaTheme="minorEastAsia"/>
                <w:szCs w:val="21"/>
              </w:rPr>
              <w:t>绥胜</w:t>
            </w:r>
            <w:r w:rsidRPr="00FC1444">
              <w:rPr>
                <w:rFonts w:eastAsiaTheme="minorEastAsia" w:hint="eastAsia"/>
                <w:szCs w:val="21"/>
              </w:rPr>
              <w:t>31</w:t>
            </w:r>
            <w:r w:rsidRPr="00FC1444">
              <w:rPr>
                <w:rFonts w:eastAsiaTheme="minorEastAsia"/>
                <w:szCs w:val="21"/>
              </w:rPr>
              <w:t>#</w:t>
            </w:r>
            <w:r w:rsidRPr="00FC1444">
              <w:rPr>
                <w:rFonts w:eastAsiaTheme="minorEastAsia" w:hint="eastAsia"/>
                <w:szCs w:val="21"/>
              </w:rPr>
              <w:t>机电</w:t>
            </w:r>
            <w:r w:rsidRPr="00FC1444">
              <w:rPr>
                <w:rFonts w:eastAsiaTheme="minorEastAsia"/>
                <w:szCs w:val="21"/>
              </w:rPr>
              <w:t>井</w:t>
            </w:r>
          </w:p>
        </w:tc>
        <w:tc>
          <w:tcPr>
            <w:tcW w:w="1142" w:type="dxa"/>
            <w:vAlign w:val="center"/>
          </w:tcPr>
          <w:p w:rsidR="00014F60" w:rsidRPr="00FC1444" w:rsidRDefault="00FF5E07" w:rsidP="00CF30B4">
            <w:pPr>
              <w:pStyle w:val="aff7"/>
              <w:spacing w:line="0" w:lineRule="atLeast"/>
              <w:contextualSpacing/>
              <w:rPr>
                <w:rFonts w:eastAsiaTheme="minorEastAsia" w:hAnsi="Times New Roman"/>
                <w:snapToGrid w:val="0"/>
                <w:szCs w:val="22"/>
              </w:rPr>
            </w:pPr>
            <w:r w:rsidRPr="00FC1444">
              <w:rPr>
                <w:rFonts w:eastAsiaTheme="minorEastAsia" w:hAnsi="Times New Roman" w:hint="eastAsia"/>
                <w:snapToGrid w:val="0"/>
                <w:szCs w:val="22"/>
              </w:rPr>
              <w:t>NE</w:t>
            </w:r>
            <w:r w:rsidR="00CF30B4" w:rsidRPr="00FC1444">
              <w:rPr>
                <w:rFonts w:eastAsiaTheme="minorEastAsia" w:hAnsi="Times New Roman" w:hint="eastAsia"/>
                <w:snapToGrid w:val="0"/>
                <w:szCs w:val="22"/>
              </w:rPr>
              <w:t>600</w:t>
            </w:r>
          </w:p>
        </w:tc>
        <w:tc>
          <w:tcPr>
            <w:tcW w:w="958" w:type="dxa"/>
            <w:vMerge/>
            <w:shd w:val="clear" w:color="auto" w:fill="auto"/>
            <w:vAlign w:val="center"/>
          </w:tcPr>
          <w:p w:rsidR="00014F60" w:rsidRPr="00FC1444" w:rsidRDefault="00014F60" w:rsidP="00591DC4">
            <w:pPr>
              <w:pStyle w:val="aff7"/>
              <w:spacing w:line="0" w:lineRule="atLeast"/>
              <w:contextualSpacing/>
              <w:rPr>
                <w:rFonts w:eastAsiaTheme="minorEastAsia" w:hAnsi="Times New Roman"/>
                <w:snapToGrid w:val="0"/>
                <w:szCs w:val="22"/>
              </w:rPr>
            </w:pPr>
          </w:p>
        </w:tc>
      </w:tr>
      <w:tr w:rsidR="00014F60" w:rsidRPr="00FC1444" w:rsidTr="00014F60">
        <w:trPr>
          <w:trHeight w:val="184"/>
          <w:jc w:val="center"/>
        </w:trPr>
        <w:tc>
          <w:tcPr>
            <w:tcW w:w="740" w:type="dxa"/>
            <w:vMerge/>
            <w:vAlign w:val="center"/>
          </w:tcPr>
          <w:p w:rsidR="00014F60" w:rsidRPr="00FC1444" w:rsidRDefault="00014F60">
            <w:pPr>
              <w:pStyle w:val="aff7"/>
              <w:spacing w:line="0" w:lineRule="atLeast"/>
              <w:contextualSpacing/>
              <w:rPr>
                <w:rFonts w:eastAsiaTheme="minorEastAsia" w:hAnsi="Times New Roman"/>
                <w:snapToGrid w:val="0"/>
                <w:szCs w:val="22"/>
              </w:rPr>
            </w:pPr>
          </w:p>
        </w:tc>
        <w:tc>
          <w:tcPr>
            <w:tcW w:w="1276" w:type="dxa"/>
            <w:vAlign w:val="center"/>
          </w:tcPr>
          <w:p w:rsidR="00014F60" w:rsidRPr="00FC1444" w:rsidRDefault="00014F60" w:rsidP="00014F60">
            <w:pPr>
              <w:jc w:val="center"/>
              <w:rPr>
                <w:rFonts w:eastAsiaTheme="minorEastAsia"/>
                <w:szCs w:val="21"/>
              </w:rPr>
            </w:pPr>
            <w:r w:rsidRPr="00FC1444">
              <w:rPr>
                <w:rFonts w:eastAsiaTheme="minorEastAsia" w:hint="eastAsia"/>
                <w:szCs w:val="21"/>
              </w:rPr>
              <w:t>津河镇饮用水源井</w:t>
            </w:r>
            <w:r w:rsidRPr="00FC1444">
              <w:rPr>
                <w:rFonts w:eastAsiaTheme="minorEastAsia"/>
              </w:rPr>
              <w:t>（井深</w:t>
            </w:r>
            <w:r w:rsidRPr="00FC1444">
              <w:rPr>
                <w:rFonts w:eastAsiaTheme="minorEastAsia" w:hint="eastAsia"/>
              </w:rPr>
              <w:t>130</w:t>
            </w:r>
            <w:r w:rsidRPr="00FC1444">
              <w:rPr>
                <w:rFonts w:eastAsiaTheme="minorEastAsia"/>
              </w:rPr>
              <w:t>m</w:t>
            </w:r>
            <w:r w:rsidRPr="00FC1444">
              <w:rPr>
                <w:rFonts w:eastAsiaTheme="minorEastAsia"/>
              </w:rPr>
              <w:t>）</w:t>
            </w:r>
          </w:p>
        </w:tc>
        <w:tc>
          <w:tcPr>
            <w:tcW w:w="709" w:type="dxa"/>
            <w:vAlign w:val="center"/>
          </w:tcPr>
          <w:p w:rsidR="00014F60" w:rsidRPr="00FC1444" w:rsidRDefault="00014F60">
            <w:pPr>
              <w:jc w:val="center"/>
              <w:rPr>
                <w:rFonts w:eastAsiaTheme="minorEastAsia"/>
                <w:szCs w:val="21"/>
              </w:rPr>
            </w:pPr>
            <w:r w:rsidRPr="00FC1444">
              <w:rPr>
                <w:rFonts w:eastAsiaTheme="minorEastAsia"/>
                <w:szCs w:val="21"/>
              </w:rPr>
              <w:t>一级保护区（</w:t>
            </w:r>
            <w:r w:rsidRPr="00FC1444">
              <w:rPr>
                <w:rFonts w:eastAsiaTheme="minorEastAsia"/>
                <w:szCs w:val="21"/>
              </w:rPr>
              <w:t>30m</w:t>
            </w:r>
            <w:r w:rsidRPr="00FC1444">
              <w:rPr>
                <w:rFonts w:eastAsiaTheme="minorEastAsia"/>
                <w:szCs w:val="21"/>
              </w:rPr>
              <w:t>）</w:t>
            </w:r>
          </w:p>
        </w:tc>
        <w:tc>
          <w:tcPr>
            <w:tcW w:w="679" w:type="dxa"/>
            <w:vAlign w:val="center"/>
          </w:tcPr>
          <w:p w:rsidR="00014F60" w:rsidRPr="00FC1444" w:rsidRDefault="00014F60" w:rsidP="00A062ED">
            <w:pPr>
              <w:jc w:val="center"/>
              <w:rPr>
                <w:rFonts w:eastAsiaTheme="minorEastAsia"/>
              </w:rPr>
            </w:pPr>
            <w:r w:rsidRPr="00FC1444">
              <w:rPr>
                <w:rFonts w:eastAsiaTheme="minorEastAsia"/>
                <w:szCs w:val="21"/>
              </w:rPr>
              <w:t>供水人数</w:t>
            </w:r>
            <w:r w:rsidRPr="00FC1444">
              <w:rPr>
                <w:rFonts w:eastAsiaTheme="minorEastAsia"/>
                <w:szCs w:val="21"/>
              </w:rPr>
              <w:t>28</w:t>
            </w:r>
            <w:r w:rsidR="00A062ED" w:rsidRPr="00FC1444">
              <w:rPr>
                <w:rFonts w:eastAsiaTheme="minorEastAsia" w:hint="eastAsia"/>
                <w:szCs w:val="21"/>
              </w:rPr>
              <w:t>50</w:t>
            </w:r>
            <w:r w:rsidRPr="00FC1444">
              <w:rPr>
                <w:rFonts w:eastAsiaTheme="minorEastAsia"/>
                <w:szCs w:val="21"/>
              </w:rPr>
              <w:t>人</w:t>
            </w:r>
          </w:p>
        </w:tc>
        <w:tc>
          <w:tcPr>
            <w:tcW w:w="900" w:type="dxa"/>
            <w:vAlign w:val="center"/>
          </w:tcPr>
          <w:p w:rsidR="00014F60" w:rsidRPr="00FC1444" w:rsidRDefault="00014F60" w:rsidP="00927FDD">
            <w:pPr>
              <w:jc w:val="center"/>
              <w:rPr>
                <w:rFonts w:eastAsiaTheme="minorEastAsia"/>
                <w:szCs w:val="21"/>
              </w:rPr>
            </w:pPr>
            <w:r w:rsidRPr="00FC1444">
              <w:rPr>
                <w:rFonts w:eastAsiaTheme="minorEastAsia"/>
                <w:szCs w:val="21"/>
              </w:rPr>
              <w:t>供水规模</w:t>
            </w:r>
            <w:r w:rsidR="00927FDD" w:rsidRPr="00FC1444">
              <w:rPr>
                <w:rFonts w:eastAsiaTheme="minorEastAsia" w:hint="eastAsia"/>
                <w:szCs w:val="21"/>
              </w:rPr>
              <w:t>120</w:t>
            </w:r>
            <w:r w:rsidRPr="00FC1444">
              <w:rPr>
                <w:rFonts w:eastAsiaTheme="minorEastAsia"/>
                <w:szCs w:val="21"/>
              </w:rPr>
              <w:t>m³/d</w:t>
            </w:r>
          </w:p>
        </w:tc>
        <w:tc>
          <w:tcPr>
            <w:tcW w:w="830" w:type="dxa"/>
            <w:vAlign w:val="center"/>
          </w:tcPr>
          <w:p w:rsidR="00014F60" w:rsidRPr="00FC1444" w:rsidRDefault="00014F60">
            <w:pPr>
              <w:jc w:val="center"/>
              <w:rPr>
                <w:rFonts w:eastAsiaTheme="minorEastAsia"/>
                <w:szCs w:val="21"/>
              </w:rPr>
            </w:pPr>
            <w:r w:rsidRPr="00FC1444">
              <w:rPr>
                <w:rFonts w:eastAsiaTheme="minorEastAsia"/>
                <w:szCs w:val="21"/>
              </w:rPr>
              <w:t>127.0907428</w:t>
            </w:r>
            <w:r w:rsidRPr="00FC1444">
              <w:rPr>
                <w:rFonts w:eastAsiaTheme="minorEastAsia"/>
                <w:szCs w:val="21"/>
              </w:rPr>
              <w:t>，</w:t>
            </w:r>
            <w:r w:rsidRPr="00FC1444">
              <w:rPr>
                <w:rFonts w:eastAsiaTheme="minorEastAsia"/>
                <w:szCs w:val="21"/>
              </w:rPr>
              <w:t>46.435405</w:t>
            </w:r>
          </w:p>
        </w:tc>
        <w:tc>
          <w:tcPr>
            <w:tcW w:w="485" w:type="dxa"/>
            <w:vAlign w:val="center"/>
          </w:tcPr>
          <w:p w:rsidR="00014F60" w:rsidRPr="00FC1444" w:rsidRDefault="007E1943">
            <w:pPr>
              <w:jc w:val="center"/>
              <w:rPr>
                <w:rFonts w:eastAsiaTheme="minorEastAsia"/>
                <w:szCs w:val="21"/>
              </w:rPr>
            </w:pPr>
            <w:r w:rsidRPr="00FC1444">
              <w:rPr>
                <w:rFonts w:eastAsiaTheme="minorEastAsia" w:hint="eastAsia"/>
                <w:szCs w:val="21"/>
              </w:rPr>
              <w:t>承压水</w:t>
            </w:r>
          </w:p>
        </w:tc>
        <w:tc>
          <w:tcPr>
            <w:tcW w:w="649" w:type="dxa"/>
            <w:vAlign w:val="center"/>
          </w:tcPr>
          <w:p w:rsidR="00014F60" w:rsidRPr="00FC1444" w:rsidRDefault="0067343E" w:rsidP="007A1F1B">
            <w:pPr>
              <w:jc w:val="center"/>
              <w:rPr>
                <w:rFonts w:eastAsiaTheme="minorEastAsia"/>
                <w:szCs w:val="21"/>
              </w:rPr>
            </w:pPr>
            <w:r w:rsidRPr="00FC1444">
              <w:rPr>
                <w:rFonts w:eastAsiaTheme="minorEastAsia"/>
                <w:szCs w:val="21"/>
              </w:rPr>
              <w:t>津河</w:t>
            </w:r>
            <w:r w:rsidRPr="00FC1444">
              <w:rPr>
                <w:rFonts w:eastAsiaTheme="minorEastAsia" w:hint="eastAsia"/>
                <w:szCs w:val="21"/>
              </w:rPr>
              <w:t>20</w:t>
            </w:r>
            <w:r w:rsidRPr="00FC1444">
              <w:rPr>
                <w:rFonts w:eastAsiaTheme="minorEastAsia"/>
                <w:szCs w:val="21"/>
              </w:rPr>
              <w:t>#</w:t>
            </w:r>
            <w:r w:rsidRPr="00FC1444">
              <w:rPr>
                <w:rFonts w:eastAsiaTheme="minorEastAsia" w:hint="eastAsia"/>
                <w:szCs w:val="21"/>
              </w:rPr>
              <w:t>机电</w:t>
            </w:r>
            <w:r w:rsidRPr="00FC1444">
              <w:rPr>
                <w:rFonts w:eastAsiaTheme="minorEastAsia"/>
                <w:szCs w:val="21"/>
              </w:rPr>
              <w:t>井</w:t>
            </w:r>
          </w:p>
        </w:tc>
        <w:tc>
          <w:tcPr>
            <w:tcW w:w="1142" w:type="dxa"/>
            <w:vAlign w:val="center"/>
          </w:tcPr>
          <w:p w:rsidR="00014F60" w:rsidRPr="00FC1444" w:rsidRDefault="0067343E" w:rsidP="00CF30B4">
            <w:pPr>
              <w:pStyle w:val="aff7"/>
              <w:spacing w:line="0" w:lineRule="atLeast"/>
              <w:contextualSpacing/>
              <w:rPr>
                <w:rFonts w:eastAsiaTheme="minorEastAsia" w:hAnsi="Times New Roman"/>
                <w:snapToGrid w:val="0"/>
                <w:szCs w:val="22"/>
              </w:rPr>
            </w:pPr>
            <w:r w:rsidRPr="00FC1444">
              <w:rPr>
                <w:rFonts w:eastAsiaTheme="minorEastAsia" w:hAnsi="Times New Roman"/>
                <w:snapToGrid w:val="0"/>
                <w:szCs w:val="22"/>
              </w:rPr>
              <w:t>NW</w:t>
            </w:r>
            <w:r w:rsidR="00CF30B4" w:rsidRPr="00FC1444">
              <w:rPr>
                <w:rFonts w:eastAsiaTheme="minorEastAsia" w:hAnsi="Times New Roman" w:hint="eastAsia"/>
                <w:snapToGrid w:val="0"/>
                <w:szCs w:val="22"/>
              </w:rPr>
              <w:t>50</w:t>
            </w:r>
          </w:p>
        </w:tc>
        <w:tc>
          <w:tcPr>
            <w:tcW w:w="958" w:type="dxa"/>
            <w:vMerge/>
            <w:shd w:val="clear" w:color="auto" w:fill="auto"/>
            <w:vAlign w:val="center"/>
          </w:tcPr>
          <w:p w:rsidR="00014F60" w:rsidRPr="00FC1444" w:rsidRDefault="00014F60">
            <w:pPr>
              <w:pStyle w:val="aff7"/>
              <w:spacing w:line="0" w:lineRule="atLeast"/>
              <w:contextualSpacing/>
              <w:rPr>
                <w:rFonts w:eastAsiaTheme="minorEastAsia" w:hAnsi="Times New Roman"/>
                <w:snapToGrid w:val="0"/>
                <w:szCs w:val="22"/>
              </w:rPr>
            </w:pPr>
          </w:p>
        </w:tc>
      </w:tr>
      <w:tr w:rsidR="00014F60" w:rsidRPr="00FC1444" w:rsidTr="00014F60">
        <w:trPr>
          <w:trHeight w:val="184"/>
          <w:jc w:val="center"/>
        </w:trPr>
        <w:tc>
          <w:tcPr>
            <w:tcW w:w="740" w:type="dxa"/>
            <w:vMerge/>
            <w:vAlign w:val="center"/>
          </w:tcPr>
          <w:p w:rsidR="00014F60" w:rsidRPr="00FC1444" w:rsidRDefault="00014F60">
            <w:pPr>
              <w:pStyle w:val="aff7"/>
              <w:spacing w:line="0" w:lineRule="atLeast"/>
              <w:contextualSpacing/>
              <w:rPr>
                <w:rFonts w:eastAsiaTheme="minorEastAsia" w:hAnsi="Times New Roman"/>
                <w:snapToGrid w:val="0"/>
                <w:szCs w:val="22"/>
              </w:rPr>
            </w:pPr>
          </w:p>
        </w:tc>
        <w:tc>
          <w:tcPr>
            <w:tcW w:w="1276" w:type="dxa"/>
            <w:vAlign w:val="center"/>
          </w:tcPr>
          <w:p w:rsidR="00014F60" w:rsidRPr="00FC1444" w:rsidRDefault="00014F60" w:rsidP="00014F60">
            <w:pPr>
              <w:jc w:val="center"/>
              <w:rPr>
                <w:rFonts w:eastAsiaTheme="minorEastAsia"/>
                <w:szCs w:val="21"/>
              </w:rPr>
            </w:pPr>
            <w:r w:rsidRPr="00FC1444">
              <w:rPr>
                <w:rFonts w:eastAsiaTheme="minorEastAsia" w:hint="eastAsia"/>
                <w:szCs w:val="21"/>
              </w:rPr>
              <w:t>津河镇（民胜村）饮用水源井</w:t>
            </w:r>
            <w:r w:rsidRPr="00FC1444">
              <w:rPr>
                <w:rFonts w:eastAsiaTheme="minorEastAsia"/>
              </w:rPr>
              <w:t>（井深</w:t>
            </w:r>
            <w:r w:rsidRPr="00FC1444">
              <w:rPr>
                <w:rFonts w:eastAsiaTheme="minorEastAsia" w:hint="eastAsia"/>
              </w:rPr>
              <w:t>130</w:t>
            </w:r>
            <w:r w:rsidRPr="00FC1444">
              <w:rPr>
                <w:rFonts w:eastAsiaTheme="minorEastAsia"/>
              </w:rPr>
              <w:t>m</w:t>
            </w:r>
            <w:r w:rsidRPr="00FC1444">
              <w:rPr>
                <w:rFonts w:eastAsiaTheme="minorEastAsia"/>
              </w:rPr>
              <w:t>）</w:t>
            </w:r>
          </w:p>
        </w:tc>
        <w:tc>
          <w:tcPr>
            <w:tcW w:w="709" w:type="dxa"/>
            <w:vAlign w:val="center"/>
          </w:tcPr>
          <w:p w:rsidR="00014F60" w:rsidRPr="00FC1444" w:rsidRDefault="00014F60" w:rsidP="00014F60">
            <w:pPr>
              <w:jc w:val="center"/>
              <w:rPr>
                <w:rFonts w:eastAsiaTheme="minorEastAsia"/>
                <w:szCs w:val="21"/>
              </w:rPr>
            </w:pPr>
            <w:r w:rsidRPr="00FC1444">
              <w:rPr>
                <w:rFonts w:eastAsiaTheme="minorEastAsia"/>
                <w:szCs w:val="21"/>
              </w:rPr>
              <w:t>一级保护区（</w:t>
            </w:r>
            <w:r w:rsidRPr="00FC1444">
              <w:rPr>
                <w:rFonts w:eastAsiaTheme="minorEastAsia"/>
                <w:szCs w:val="21"/>
              </w:rPr>
              <w:t>30m</w:t>
            </w:r>
            <w:r w:rsidRPr="00FC1444">
              <w:rPr>
                <w:rFonts w:eastAsiaTheme="minorEastAsia"/>
                <w:szCs w:val="21"/>
              </w:rPr>
              <w:t>）</w:t>
            </w:r>
          </w:p>
        </w:tc>
        <w:tc>
          <w:tcPr>
            <w:tcW w:w="679" w:type="dxa"/>
            <w:vAlign w:val="center"/>
          </w:tcPr>
          <w:p w:rsidR="00014F60" w:rsidRPr="00FC1444" w:rsidRDefault="00014F60" w:rsidP="00014F60">
            <w:pPr>
              <w:jc w:val="center"/>
              <w:rPr>
                <w:rFonts w:eastAsiaTheme="minorEastAsia"/>
              </w:rPr>
            </w:pPr>
            <w:r w:rsidRPr="00FC1444">
              <w:rPr>
                <w:rFonts w:eastAsiaTheme="minorEastAsia"/>
                <w:szCs w:val="21"/>
              </w:rPr>
              <w:t>供水人数</w:t>
            </w:r>
            <w:r w:rsidRPr="00FC1444">
              <w:rPr>
                <w:rFonts w:eastAsiaTheme="minorEastAsia"/>
                <w:szCs w:val="21"/>
              </w:rPr>
              <w:t>2854</w:t>
            </w:r>
            <w:r w:rsidRPr="00FC1444">
              <w:rPr>
                <w:rFonts w:eastAsiaTheme="minorEastAsia"/>
                <w:szCs w:val="21"/>
              </w:rPr>
              <w:t>人</w:t>
            </w:r>
          </w:p>
        </w:tc>
        <w:tc>
          <w:tcPr>
            <w:tcW w:w="900" w:type="dxa"/>
            <w:vAlign w:val="center"/>
          </w:tcPr>
          <w:p w:rsidR="00014F60" w:rsidRPr="00FC1444" w:rsidRDefault="00014F60" w:rsidP="00927FDD">
            <w:pPr>
              <w:jc w:val="center"/>
              <w:rPr>
                <w:rFonts w:eastAsiaTheme="minorEastAsia"/>
                <w:szCs w:val="21"/>
              </w:rPr>
            </w:pPr>
            <w:r w:rsidRPr="00FC1444">
              <w:rPr>
                <w:rFonts w:eastAsiaTheme="minorEastAsia"/>
                <w:szCs w:val="21"/>
              </w:rPr>
              <w:t>供水规模</w:t>
            </w:r>
            <w:r w:rsidR="00927FDD" w:rsidRPr="00FC1444">
              <w:rPr>
                <w:rFonts w:eastAsiaTheme="minorEastAsia" w:hint="eastAsia"/>
                <w:szCs w:val="21"/>
              </w:rPr>
              <w:t>120</w:t>
            </w:r>
            <w:r w:rsidRPr="00FC1444">
              <w:rPr>
                <w:rFonts w:eastAsiaTheme="minorEastAsia"/>
                <w:szCs w:val="21"/>
              </w:rPr>
              <w:t>m³/d</w:t>
            </w:r>
          </w:p>
        </w:tc>
        <w:tc>
          <w:tcPr>
            <w:tcW w:w="830" w:type="dxa"/>
            <w:vAlign w:val="center"/>
          </w:tcPr>
          <w:p w:rsidR="00014F60" w:rsidRPr="00FC1444" w:rsidRDefault="00014F60" w:rsidP="00014F60">
            <w:pPr>
              <w:jc w:val="center"/>
              <w:rPr>
                <w:rFonts w:eastAsiaTheme="minorEastAsia"/>
                <w:szCs w:val="21"/>
              </w:rPr>
            </w:pPr>
            <w:r w:rsidRPr="00FC1444">
              <w:rPr>
                <w:rFonts w:eastAsiaTheme="minorEastAsia"/>
                <w:szCs w:val="21"/>
              </w:rPr>
              <w:t>127.0627989</w:t>
            </w:r>
            <w:r w:rsidRPr="00FC1444">
              <w:rPr>
                <w:rFonts w:eastAsiaTheme="minorEastAsia"/>
                <w:szCs w:val="21"/>
              </w:rPr>
              <w:t>，</w:t>
            </w:r>
            <w:r w:rsidRPr="00FC1444">
              <w:rPr>
                <w:rFonts w:eastAsiaTheme="minorEastAsia"/>
                <w:szCs w:val="21"/>
              </w:rPr>
              <w:t>46.441557</w:t>
            </w:r>
          </w:p>
        </w:tc>
        <w:tc>
          <w:tcPr>
            <w:tcW w:w="485" w:type="dxa"/>
            <w:vAlign w:val="center"/>
          </w:tcPr>
          <w:p w:rsidR="00014F60" w:rsidRPr="00FC1444" w:rsidRDefault="007E1943" w:rsidP="00014F60">
            <w:pPr>
              <w:jc w:val="center"/>
              <w:rPr>
                <w:rFonts w:eastAsiaTheme="minorEastAsia"/>
                <w:szCs w:val="21"/>
              </w:rPr>
            </w:pPr>
            <w:r w:rsidRPr="00FC1444">
              <w:rPr>
                <w:rFonts w:eastAsiaTheme="minorEastAsia" w:hint="eastAsia"/>
                <w:szCs w:val="21"/>
              </w:rPr>
              <w:t>承压水</w:t>
            </w:r>
          </w:p>
        </w:tc>
        <w:tc>
          <w:tcPr>
            <w:tcW w:w="649" w:type="dxa"/>
            <w:vAlign w:val="center"/>
          </w:tcPr>
          <w:p w:rsidR="00014F60" w:rsidRPr="00FC1444" w:rsidRDefault="0067343E" w:rsidP="0067343E">
            <w:pPr>
              <w:jc w:val="center"/>
              <w:rPr>
                <w:rFonts w:eastAsiaTheme="minorEastAsia"/>
                <w:szCs w:val="21"/>
              </w:rPr>
            </w:pPr>
            <w:r w:rsidRPr="00FC1444">
              <w:rPr>
                <w:rFonts w:eastAsiaTheme="minorEastAsia"/>
                <w:szCs w:val="21"/>
              </w:rPr>
              <w:t>津河</w:t>
            </w:r>
            <w:r w:rsidRPr="00FC1444">
              <w:rPr>
                <w:rFonts w:eastAsiaTheme="minorEastAsia" w:hint="eastAsia"/>
                <w:szCs w:val="21"/>
              </w:rPr>
              <w:t>72</w:t>
            </w:r>
            <w:r w:rsidRPr="00FC1444">
              <w:rPr>
                <w:rFonts w:eastAsiaTheme="minorEastAsia"/>
                <w:szCs w:val="21"/>
              </w:rPr>
              <w:t>#</w:t>
            </w:r>
            <w:r w:rsidRPr="00FC1444">
              <w:rPr>
                <w:rFonts w:eastAsiaTheme="minorEastAsia" w:hint="eastAsia"/>
                <w:szCs w:val="21"/>
              </w:rPr>
              <w:t>机电</w:t>
            </w:r>
            <w:r w:rsidRPr="00FC1444">
              <w:rPr>
                <w:rFonts w:eastAsiaTheme="minorEastAsia"/>
                <w:szCs w:val="21"/>
              </w:rPr>
              <w:t>井</w:t>
            </w:r>
          </w:p>
        </w:tc>
        <w:tc>
          <w:tcPr>
            <w:tcW w:w="1142" w:type="dxa"/>
            <w:vAlign w:val="center"/>
          </w:tcPr>
          <w:p w:rsidR="00014F60" w:rsidRPr="00FC1444" w:rsidRDefault="00014F60" w:rsidP="00CF30B4">
            <w:pPr>
              <w:pStyle w:val="aff7"/>
              <w:spacing w:line="0" w:lineRule="atLeast"/>
              <w:contextualSpacing/>
              <w:rPr>
                <w:rFonts w:eastAsiaTheme="minorEastAsia" w:hAnsi="Times New Roman"/>
                <w:snapToGrid w:val="0"/>
                <w:szCs w:val="22"/>
              </w:rPr>
            </w:pPr>
            <w:r w:rsidRPr="00FC1444">
              <w:rPr>
                <w:rFonts w:eastAsiaTheme="minorEastAsia" w:hAnsi="Times New Roman"/>
                <w:snapToGrid w:val="0"/>
                <w:szCs w:val="22"/>
              </w:rPr>
              <w:t>SW</w:t>
            </w:r>
            <w:r w:rsidR="00CF30B4" w:rsidRPr="00FC1444">
              <w:rPr>
                <w:rFonts w:eastAsiaTheme="minorEastAsia" w:hAnsi="Times New Roman" w:hint="eastAsia"/>
                <w:snapToGrid w:val="0"/>
                <w:szCs w:val="22"/>
              </w:rPr>
              <w:t>700</w:t>
            </w:r>
          </w:p>
        </w:tc>
        <w:tc>
          <w:tcPr>
            <w:tcW w:w="958" w:type="dxa"/>
            <w:vMerge/>
            <w:shd w:val="clear" w:color="auto" w:fill="auto"/>
            <w:vAlign w:val="center"/>
          </w:tcPr>
          <w:p w:rsidR="00014F60" w:rsidRPr="00FC1444" w:rsidRDefault="00014F60">
            <w:pPr>
              <w:pStyle w:val="aff7"/>
              <w:spacing w:line="0" w:lineRule="atLeast"/>
              <w:contextualSpacing/>
              <w:rPr>
                <w:rFonts w:eastAsiaTheme="minorEastAsia" w:hAnsi="Times New Roman"/>
                <w:snapToGrid w:val="0"/>
                <w:szCs w:val="22"/>
              </w:rPr>
            </w:pPr>
          </w:p>
        </w:tc>
      </w:tr>
      <w:tr w:rsidR="00014F60" w:rsidRPr="00FC1444" w:rsidTr="00014F60">
        <w:trPr>
          <w:trHeight w:val="184"/>
          <w:jc w:val="center"/>
        </w:trPr>
        <w:tc>
          <w:tcPr>
            <w:tcW w:w="740" w:type="dxa"/>
            <w:vMerge/>
            <w:vAlign w:val="center"/>
          </w:tcPr>
          <w:p w:rsidR="00014F60" w:rsidRPr="00FC1444" w:rsidRDefault="00014F60">
            <w:pPr>
              <w:pStyle w:val="aff7"/>
              <w:spacing w:line="0" w:lineRule="atLeast"/>
              <w:contextualSpacing/>
              <w:rPr>
                <w:rFonts w:eastAsiaTheme="minorEastAsia" w:hAnsi="Times New Roman"/>
                <w:snapToGrid w:val="0"/>
                <w:szCs w:val="22"/>
              </w:rPr>
            </w:pPr>
          </w:p>
        </w:tc>
        <w:tc>
          <w:tcPr>
            <w:tcW w:w="1276" w:type="dxa"/>
            <w:vAlign w:val="center"/>
          </w:tcPr>
          <w:p w:rsidR="00014F60" w:rsidRPr="00FC1444" w:rsidRDefault="00014F60" w:rsidP="00014F60">
            <w:pPr>
              <w:jc w:val="center"/>
              <w:rPr>
                <w:rFonts w:eastAsiaTheme="minorEastAsia"/>
                <w:szCs w:val="21"/>
              </w:rPr>
            </w:pPr>
            <w:r w:rsidRPr="00FC1444">
              <w:rPr>
                <w:rFonts w:eastAsiaTheme="minorEastAsia" w:hint="eastAsia"/>
                <w:szCs w:val="21"/>
              </w:rPr>
              <w:t>津河镇（果园村）饮用水源井</w:t>
            </w:r>
            <w:r w:rsidRPr="00FC1444">
              <w:rPr>
                <w:rFonts w:eastAsiaTheme="minorEastAsia"/>
              </w:rPr>
              <w:t>（井深</w:t>
            </w:r>
            <w:r w:rsidRPr="00FC1444">
              <w:rPr>
                <w:rFonts w:eastAsiaTheme="minorEastAsia" w:hint="eastAsia"/>
              </w:rPr>
              <w:t>130</w:t>
            </w:r>
            <w:r w:rsidRPr="00FC1444">
              <w:rPr>
                <w:rFonts w:eastAsiaTheme="minorEastAsia"/>
              </w:rPr>
              <w:t>m</w:t>
            </w:r>
            <w:r w:rsidRPr="00FC1444">
              <w:rPr>
                <w:rFonts w:eastAsiaTheme="minorEastAsia"/>
              </w:rPr>
              <w:t>）</w:t>
            </w:r>
          </w:p>
        </w:tc>
        <w:tc>
          <w:tcPr>
            <w:tcW w:w="709" w:type="dxa"/>
            <w:vAlign w:val="center"/>
          </w:tcPr>
          <w:p w:rsidR="00014F60" w:rsidRPr="00FC1444" w:rsidRDefault="00014F60" w:rsidP="00014F60">
            <w:pPr>
              <w:jc w:val="center"/>
              <w:rPr>
                <w:rFonts w:eastAsiaTheme="minorEastAsia"/>
                <w:szCs w:val="21"/>
              </w:rPr>
            </w:pPr>
            <w:r w:rsidRPr="00FC1444">
              <w:rPr>
                <w:rFonts w:eastAsiaTheme="minorEastAsia"/>
                <w:szCs w:val="21"/>
              </w:rPr>
              <w:t>一级保护区（</w:t>
            </w:r>
            <w:r w:rsidRPr="00FC1444">
              <w:rPr>
                <w:rFonts w:eastAsiaTheme="minorEastAsia"/>
                <w:szCs w:val="21"/>
              </w:rPr>
              <w:t>30m</w:t>
            </w:r>
            <w:r w:rsidRPr="00FC1444">
              <w:rPr>
                <w:rFonts w:eastAsiaTheme="minorEastAsia"/>
                <w:szCs w:val="21"/>
              </w:rPr>
              <w:t>）</w:t>
            </w:r>
          </w:p>
        </w:tc>
        <w:tc>
          <w:tcPr>
            <w:tcW w:w="679" w:type="dxa"/>
            <w:vAlign w:val="center"/>
          </w:tcPr>
          <w:p w:rsidR="00014F60" w:rsidRPr="00FC1444" w:rsidRDefault="00014F60" w:rsidP="00A062ED">
            <w:pPr>
              <w:jc w:val="center"/>
              <w:rPr>
                <w:rFonts w:eastAsiaTheme="minorEastAsia"/>
              </w:rPr>
            </w:pPr>
            <w:r w:rsidRPr="00FC1444">
              <w:rPr>
                <w:rFonts w:eastAsiaTheme="minorEastAsia"/>
                <w:szCs w:val="21"/>
              </w:rPr>
              <w:t>供水人数</w:t>
            </w:r>
            <w:r w:rsidRPr="00FC1444">
              <w:rPr>
                <w:rFonts w:eastAsiaTheme="minorEastAsia"/>
                <w:szCs w:val="21"/>
              </w:rPr>
              <w:t>2</w:t>
            </w:r>
            <w:r w:rsidR="00A062ED" w:rsidRPr="00FC1444">
              <w:rPr>
                <w:rFonts w:eastAsiaTheme="minorEastAsia" w:hint="eastAsia"/>
                <w:szCs w:val="21"/>
              </w:rPr>
              <w:t>580</w:t>
            </w:r>
            <w:r w:rsidRPr="00FC1444">
              <w:rPr>
                <w:rFonts w:eastAsiaTheme="minorEastAsia"/>
                <w:szCs w:val="21"/>
              </w:rPr>
              <w:t>人</w:t>
            </w:r>
          </w:p>
        </w:tc>
        <w:tc>
          <w:tcPr>
            <w:tcW w:w="900" w:type="dxa"/>
            <w:vAlign w:val="center"/>
          </w:tcPr>
          <w:p w:rsidR="00014F60" w:rsidRPr="00FC1444" w:rsidRDefault="00014F60" w:rsidP="00927FDD">
            <w:pPr>
              <w:jc w:val="center"/>
              <w:rPr>
                <w:rFonts w:eastAsiaTheme="minorEastAsia"/>
                <w:szCs w:val="21"/>
              </w:rPr>
            </w:pPr>
            <w:r w:rsidRPr="00FC1444">
              <w:rPr>
                <w:rFonts w:eastAsiaTheme="minorEastAsia"/>
                <w:szCs w:val="21"/>
              </w:rPr>
              <w:t>供水规模</w:t>
            </w:r>
            <w:r w:rsidR="00927FDD" w:rsidRPr="00FC1444">
              <w:rPr>
                <w:rFonts w:eastAsiaTheme="minorEastAsia" w:hint="eastAsia"/>
                <w:szCs w:val="21"/>
              </w:rPr>
              <w:t>120</w:t>
            </w:r>
            <w:r w:rsidRPr="00FC1444">
              <w:rPr>
                <w:rFonts w:eastAsiaTheme="minorEastAsia"/>
                <w:szCs w:val="21"/>
              </w:rPr>
              <w:t>m³/d</w:t>
            </w:r>
          </w:p>
        </w:tc>
        <w:tc>
          <w:tcPr>
            <w:tcW w:w="830" w:type="dxa"/>
            <w:vAlign w:val="center"/>
          </w:tcPr>
          <w:p w:rsidR="00014F60" w:rsidRPr="00FC1444" w:rsidRDefault="00014F60" w:rsidP="00014F60">
            <w:pPr>
              <w:jc w:val="center"/>
              <w:rPr>
                <w:rFonts w:eastAsiaTheme="minorEastAsia"/>
                <w:szCs w:val="21"/>
              </w:rPr>
            </w:pPr>
            <w:r w:rsidRPr="00FC1444">
              <w:rPr>
                <w:rFonts w:eastAsiaTheme="minorEastAsia"/>
                <w:szCs w:val="21"/>
              </w:rPr>
              <w:t>127.0616653</w:t>
            </w:r>
            <w:r w:rsidRPr="00FC1444">
              <w:rPr>
                <w:rFonts w:eastAsiaTheme="minorEastAsia"/>
                <w:szCs w:val="21"/>
              </w:rPr>
              <w:t>，</w:t>
            </w:r>
            <w:r w:rsidRPr="00FC1444">
              <w:rPr>
                <w:rFonts w:eastAsiaTheme="minorEastAsia"/>
                <w:szCs w:val="21"/>
              </w:rPr>
              <w:t>46.454545</w:t>
            </w:r>
          </w:p>
        </w:tc>
        <w:tc>
          <w:tcPr>
            <w:tcW w:w="485" w:type="dxa"/>
            <w:vAlign w:val="center"/>
          </w:tcPr>
          <w:p w:rsidR="00014F60" w:rsidRPr="00FC1444" w:rsidRDefault="007E1943" w:rsidP="00014F60">
            <w:pPr>
              <w:jc w:val="center"/>
              <w:rPr>
                <w:rFonts w:eastAsiaTheme="minorEastAsia"/>
                <w:szCs w:val="21"/>
              </w:rPr>
            </w:pPr>
            <w:r w:rsidRPr="00FC1444">
              <w:rPr>
                <w:rFonts w:eastAsiaTheme="minorEastAsia" w:hint="eastAsia"/>
                <w:szCs w:val="21"/>
              </w:rPr>
              <w:t>承压水</w:t>
            </w:r>
          </w:p>
        </w:tc>
        <w:tc>
          <w:tcPr>
            <w:tcW w:w="649" w:type="dxa"/>
            <w:vAlign w:val="center"/>
          </w:tcPr>
          <w:p w:rsidR="00014F60" w:rsidRPr="00FC1444" w:rsidRDefault="0067343E" w:rsidP="0067343E">
            <w:pPr>
              <w:jc w:val="center"/>
              <w:rPr>
                <w:rFonts w:eastAsiaTheme="minorEastAsia"/>
                <w:szCs w:val="21"/>
              </w:rPr>
            </w:pPr>
            <w:r w:rsidRPr="00FC1444">
              <w:rPr>
                <w:rFonts w:eastAsiaTheme="minorEastAsia"/>
                <w:szCs w:val="21"/>
              </w:rPr>
              <w:t>津河</w:t>
            </w:r>
            <w:r w:rsidRPr="00FC1444">
              <w:rPr>
                <w:rFonts w:eastAsiaTheme="minorEastAsia" w:hint="eastAsia"/>
                <w:szCs w:val="21"/>
              </w:rPr>
              <w:t>5</w:t>
            </w:r>
            <w:r w:rsidRPr="00FC1444">
              <w:rPr>
                <w:rFonts w:eastAsiaTheme="minorEastAsia"/>
                <w:szCs w:val="21"/>
              </w:rPr>
              <w:t>#</w:t>
            </w:r>
            <w:r w:rsidRPr="00FC1444">
              <w:rPr>
                <w:rFonts w:eastAsiaTheme="minorEastAsia" w:hint="eastAsia"/>
                <w:szCs w:val="21"/>
              </w:rPr>
              <w:t>机电</w:t>
            </w:r>
            <w:r w:rsidRPr="00FC1444">
              <w:rPr>
                <w:rFonts w:eastAsiaTheme="minorEastAsia"/>
                <w:szCs w:val="21"/>
              </w:rPr>
              <w:t>井</w:t>
            </w:r>
          </w:p>
        </w:tc>
        <w:tc>
          <w:tcPr>
            <w:tcW w:w="1142" w:type="dxa"/>
            <w:vAlign w:val="center"/>
          </w:tcPr>
          <w:p w:rsidR="00014F60" w:rsidRPr="00FC1444" w:rsidRDefault="0067343E" w:rsidP="00CF30B4">
            <w:pPr>
              <w:pStyle w:val="aff7"/>
              <w:spacing w:line="0" w:lineRule="atLeast"/>
              <w:contextualSpacing/>
              <w:rPr>
                <w:rFonts w:eastAsiaTheme="minorEastAsia" w:hAnsi="Times New Roman"/>
                <w:snapToGrid w:val="0"/>
                <w:szCs w:val="22"/>
              </w:rPr>
            </w:pPr>
            <w:r w:rsidRPr="00FC1444">
              <w:rPr>
                <w:rFonts w:eastAsiaTheme="minorEastAsia" w:hAnsi="Times New Roman" w:hint="eastAsia"/>
                <w:snapToGrid w:val="0"/>
                <w:szCs w:val="22"/>
              </w:rPr>
              <w:t>N</w:t>
            </w:r>
            <w:r w:rsidR="00CF30B4" w:rsidRPr="00FC1444">
              <w:rPr>
                <w:rFonts w:eastAsiaTheme="minorEastAsia" w:hAnsi="Times New Roman" w:hint="eastAsia"/>
                <w:snapToGrid w:val="0"/>
                <w:szCs w:val="22"/>
              </w:rPr>
              <w:t>1100</w:t>
            </w:r>
          </w:p>
        </w:tc>
        <w:tc>
          <w:tcPr>
            <w:tcW w:w="958" w:type="dxa"/>
            <w:vMerge/>
            <w:shd w:val="clear" w:color="auto" w:fill="auto"/>
            <w:vAlign w:val="center"/>
          </w:tcPr>
          <w:p w:rsidR="00014F60" w:rsidRPr="00FC1444" w:rsidRDefault="00014F60">
            <w:pPr>
              <w:pStyle w:val="aff7"/>
              <w:spacing w:line="0" w:lineRule="atLeast"/>
              <w:contextualSpacing/>
              <w:rPr>
                <w:rFonts w:eastAsiaTheme="minorEastAsia" w:hAnsi="Times New Roman"/>
                <w:snapToGrid w:val="0"/>
                <w:szCs w:val="22"/>
              </w:rPr>
            </w:pPr>
          </w:p>
        </w:tc>
      </w:tr>
      <w:tr w:rsidR="00014F60" w:rsidRPr="00FC1444" w:rsidTr="00014F60">
        <w:trPr>
          <w:trHeight w:val="184"/>
          <w:jc w:val="center"/>
        </w:trPr>
        <w:tc>
          <w:tcPr>
            <w:tcW w:w="740" w:type="dxa"/>
            <w:vMerge/>
            <w:vAlign w:val="center"/>
          </w:tcPr>
          <w:p w:rsidR="00014F60" w:rsidRPr="00FC1444" w:rsidRDefault="00014F60">
            <w:pPr>
              <w:pStyle w:val="aff7"/>
              <w:spacing w:line="0" w:lineRule="atLeast"/>
              <w:contextualSpacing/>
              <w:rPr>
                <w:rFonts w:eastAsiaTheme="minorEastAsia" w:hAnsi="Times New Roman"/>
                <w:snapToGrid w:val="0"/>
                <w:szCs w:val="22"/>
              </w:rPr>
            </w:pPr>
          </w:p>
        </w:tc>
        <w:tc>
          <w:tcPr>
            <w:tcW w:w="1276" w:type="dxa"/>
            <w:vAlign w:val="center"/>
          </w:tcPr>
          <w:p w:rsidR="00014F60" w:rsidRPr="00FC1444" w:rsidRDefault="00014F60" w:rsidP="00014F60">
            <w:pPr>
              <w:jc w:val="center"/>
              <w:rPr>
                <w:rFonts w:eastAsiaTheme="minorEastAsia"/>
                <w:szCs w:val="21"/>
              </w:rPr>
            </w:pPr>
            <w:r w:rsidRPr="00FC1444">
              <w:rPr>
                <w:rFonts w:eastAsiaTheme="minorEastAsia" w:hint="eastAsia"/>
                <w:szCs w:val="21"/>
              </w:rPr>
              <w:t>津河镇（靠河村）饮用水源井</w:t>
            </w:r>
            <w:r w:rsidRPr="00FC1444">
              <w:rPr>
                <w:rFonts w:eastAsiaTheme="minorEastAsia"/>
              </w:rPr>
              <w:t>（井深</w:t>
            </w:r>
            <w:r w:rsidRPr="00FC1444">
              <w:rPr>
                <w:rFonts w:eastAsiaTheme="minorEastAsia" w:hint="eastAsia"/>
              </w:rPr>
              <w:t>130</w:t>
            </w:r>
            <w:r w:rsidRPr="00FC1444">
              <w:rPr>
                <w:rFonts w:eastAsiaTheme="minorEastAsia"/>
              </w:rPr>
              <w:t>m</w:t>
            </w:r>
            <w:r w:rsidRPr="00FC1444">
              <w:rPr>
                <w:rFonts w:eastAsiaTheme="minorEastAsia"/>
              </w:rPr>
              <w:t>）</w:t>
            </w:r>
          </w:p>
        </w:tc>
        <w:tc>
          <w:tcPr>
            <w:tcW w:w="709" w:type="dxa"/>
            <w:vAlign w:val="center"/>
          </w:tcPr>
          <w:p w:rsidR="00014F60" w:rsidRPr="00FC1444" w:rsidRDefault="00014F60" w:rsidP="00014F60">
            <w:pPr>
              <w:jc w:val="center"/>
              <w:rPr>
                <w:rFonts w:eastAsiaTheme="minorEastAsia"/>
                <w:szCs w:val="21"/>
              </w:rPr>
            </w:pPr>
            <w:r w:rsidRPr="00FC1444">
              <w:rPr>
                <w:rFonts w:eastAsiaTheme="minorEastAsia"/>
                <w:szCs w:val="21"/>
              </w:rPr>
              <w:t>一级保护区（</w:t>
            </w:r>
            <w:r w:rsidRPr="00FC1444">
              <w:rPr>
                <w:rFonts w:eastAsiaTheme="minorEastAsia"/>
                <w:szCs w:val="21"/>
              </w:rPr>
              <w:t>30m</w:t>
            </w:r>
            <w:r w:rsidRPr="00FC1444">
              <w:rPr>
                <w:rFonts w:eastAsiaTheme="minorEastAsia"/>
                <w:szCs w:val="21"/>
              </w:rPr>
              <w:t>）</w:t>
            </w:r>
          </w:p>
        </w:tc>
        <w:tc>
          <w:tcPr>
            <w:tcW w:w="679" w:type="dxa"/>
            <w:vAlign w:val="center"/>
          </w:tcPr>
          <w:p w:rsidR="00014F60" w:rsidRPr="00FC1444" w:rsidRDefault="00014F60" w:rsidP="00A062ED">
            <w:pPr>
              <w:jc w:val="center"/>
              <w:rPr>
                <w:rFonts w:eastAsiaTheme="minorEastAsia"/>
              </w:rPr>
            </w:pPr>
            <w:r w:rsidRPr="00FC1444">
              <w:rPr>
                <w:rFonts w:eastAsiaTheme="minorEastAsia"/>
                <w:szCs w:val="21"/>
              </w:rPr>
              <w:t>供水人数</w:t>
            </w:r>
            <w:r w:rsidRPr="00FC1444">
              <w:rPr>
                <w:rFonts w:eastAsiaTheme="minorEastAsia"/>
                <w:szCs w:val="21"/>
              </w:rPr>
              <w:t>2</w:t>
            </w:r>
            <w:r w:rsidR="00A062ED" w:rsidRPr="00FC1444">
              <w:rPr>
                <w:rFonts w:eastAsiaTheme="minorEastAsia" w:hint="eastAsia"/>
                <w:szCs w:val="21"/>
              </w:rPr>
              <w:t>450</w:t>
            </w:r>
            <w:r w:rsidRPr="00FC1444">
              <w:rPr>
                <w:rFonts w:eastAsiaTheme="minorEastAsia"/>
                <w:szCs w:val="21"/>
              </w:rPr>
              <w:t>人</w:t>
            </w:r>
          </w:p>
        </w:tc>
        <w:tc>
          <w:tcPr>
            <w:tcW w:w="900" w:type="dxa"/>
            <w:vAlign w:val="center"/>
          </w:tcPr>
          <w:p w:rsidR="00014F60" w:rsidRPr="00FC1444" w:rsidRDefault="00014F60" w:rsidP="00927FDD">
            <w:pPr>
              <w:jc w:val="center"/>
              <w:rPr>
                <w:rFonts w:eastAsiaTheme="minorEastAsia"/>
                <w:szCs w:val="21"/>
              </w:rPr>
            </w:pPr>
            <w:r w:rsidRPr="00FC1444">
              <w:rPr>
                <w:rFonts w:eastAsiaTheme="minorEastAsia"/>
                <w:szCs w:val="21"/>
              </w:rPr>
              <w:t>供水规模</w:t>
            </w:r>
            <w:r w:rsidR="00927FDD" w:rsidRPr="00FC1444">
              <w:rPr>
                <w:rFonts w:eastAsiaTheme="minorEastAsia" w:hint="eastAsia"/>
                <w:szCs w:val="21"/>
              </w:rPr>
              <w:t>120</w:t>
            </w:r>
            <w:r w:rsidRPr="00FC1444">
              <w:rPr>
                <w:rFonts w:eastAsiaTheme="minorEastAsia"/>
                <w:szCs w:val="21"/>
              </w:rPr>
              <w:t>m³/d</w:t>
            </w:r>
          </w:p>
        </w:tc>
        <w:tc>
          <w:tcPr>
            <w:tcW w:w="830" w:type="dxa"/>
            <w:vAlign w:val="center"/>
          </w:tcPr>
          <w:p w:rsidR="00014F60" w:rsidRPr="00FC1444" w:rsidRDefault="00014F60" w:rsidP="00014F60">
            <w:pPr>
              <w:jc w:val="center"/>
              <w:rPr>
                <w:rFonts w:eastAsiaTheme="minorEastAsia"/>
                <w:szCs w:val="21"/>
              </w:rPr>
            </w:pPr>
            <w:r w:rsidRPr="00FC1444">
              <w:rPr>
                <w:rFonts w:eastAsiaTheme="minorEastAsia"/>
                <w:szCs w:val="21"/>
              </w:rPr>
              <w:t>127.0922550</w:t>
            </w:r>
            <w:r w:rsidRPr="00FC1444">
              <w:rPr>
                <w:rFonts w:eastAsiaTheme="minorEastAsia"/>
                <w:szCs w:val="21"/>
              </w:rPr>
              <w:t>，</w:t>
            </w:r>
            <w:r w:rsidRPr="00FC1444">
              <w:rPr>
                <w:rFonts w:eastAsiaTheme="minorEastAsia"/>
                <w:szCs w:val="21"/>
              </w:rPr>
              <w:t>46.455336</w:t>
            </w:r>
          </w:p>
        </w:tc>
        <w:tc>
          <w:tcPr>
            <w:tcW w:w="485" w:type="dxa"/>
            <w:vAlign w:val="center"/>
          </w:tcPr>
          <w:p w:rsidR="00014F60" w:rsidRPr="00FC1444" w:rsidRDefault="007E1943" w:rsidP="00014F60">
            <w:pPr>
              <w:jc w:val="center"/>
              <w:rPr>
                <w:rFonts w:eastAsiaTheme="minorEastAsia"/>
                <w:szCs w:val="21"/>
              </w:rPr>
            </w:pPr>
            <w:r w:rsidRPr="00FC1444">
              <w:rPr>
                <w:rFonts w:eastAsiaTheme="minorEastAsia" w:hint="eastAsia"/>
                <w:szCs w:val="21"/>
              </w:rPr>
              <w:t>承压水</w:t>
            </w:r>
          </w:p>
        </w:tc>
        <w:tc>
          <w:tcPr>
            <w:tcW w:w="649" w:type="dxa"/>
            <w:vAlign w:val="center"/>
          </w:tcPr>
          <w:p w:rsidR="00014F60" w:rsidRPr="00FC1444" w:rsidRDefault="0067343E" w:rsidP="0067343E">
            <w:pPr>
              <w:jc w:val="center"/>
              <w:rPr>
                <w:rFonts w:eastAsiaTheme="minorEastAsia"/>
                <w:szCs w:val="21"/>
              </w:rPr>
            </w:pPr>
            <w:r w:rsidRPr="00FC1444">
              <w:rPr>
                <w:rFonts w:eastAsiaTheme="minorEastAsia"/>
                <w:szCs w:val="21"/>
              </w:rPr>
              <w:t>津河</w:t>
            </w:r>
            <w:r w:rsidRPr="00FC1444">
              <w:rPr>
                <w:rFonts w:eastAsiaTheme="minorEastAsia" w:hint="eastAsia"/>
                <w:szCs w:val="21"/>
              </w:rPr>
              <w:t>54</w:t>
            </w:r>
            <w:r w:rsidRPr="00FC1444">
              <w:rPr>
                <w:rFonts w:eastAsiaTheme="minorEastAsia"/>
                <w:szCs w:val="21"/>
              </w:rPr>
              <w:t>#</w:t>
            </w:r>
            <w:r w:rsidRPr="00FC1444">
              <w:rPr>
                <w:rFonts w:eastAsiaTheme="minorEastAsia" w:hint="eastAsia"/>
                <w:szCs w:val="21"/>
              </w:rPr>
              <w:t>机电</w:t>
            </w:r>
            <w:r w:rsidRPr="00FC1444">
              <w:rPr>
                <w:rFonts w:eastAsiaTheme="minorEastAsia"/>
                <w:szCs w:val="21"/>
              </w:rPr>
              <w:t>井</w:t>
            </w:r>
          </w:p>
        </w:tc>
        <w:tc>
          <w:tcPr>
            <w:tcW w:w="1142" w:type="dxa"/>
            <w:vAlign w:val="center"/>
          </w:tcPr>
          <w:p w:rsidR="00014F60" w:rsidRPr="00FC1444" w:rsidRDefault="00A61EEF" w:rsidP="00CF30B4">
            <w:pPr>
              <w:pStyle w:val="aff7"/>
              <w:spacing w:line="0" w:lineRule="atLeast"/>
              <w:contextualSpacing/>
              <w:rPr>
                <w:rFonts w:eastAsiaTheme="minorEastAsia" w:hAnsi="Times New Roman"/>
                <w:snapToGrid w:val="0"/>
                <w:szCs w:val="22"/>
              </w:rPr>
            </w:pPr>
            <w:r w:rsidRPr="00FC1444">
              <w:rPr>
                <w:rFonts w:eastAsiaTheme="minorEastAsia" w:hAnsi="Times New Roman" w:hint="eastAsia"/>
                <w:snapToGrid w:val="0"/>
                <w:szCs w:val="22"/>
              </w:rPr>
              <w:t>N</w:t>
            </w:r>
            <w:r w:rsidR="00CF30B4" w:rsidRPr="00FC1444">
              <w:rPr>
                <w:rFonts w:eastAsiaTheme="minorEastAsia" w:hAnsi="Times New Roman" w:hint="eastAsia"/>
                <w:snapToGrid w:val="0"/>
                <w:szCs w:val="22"/>
              </w:rPr>
              <w:t>660</w:t>
            </w:r>
          </w:p>
        </w:tc>
        <w:tc>
          <w:tcPr>
            <w:tcW w:w="958" w:type="dxa"/>
            <w:vMerge/>
            <w:shd w:val="clear" w:color="auto" w:fill="auto"/>
            <w:vAlign w:val="center"/>
          </w:tcPr>
          <w:p w:rsidR="00014F60" w:rsidRPr="00FC1444" w:rsidRDefault="00014F60">
            <w:pPr>
              <w:pStyle w:val="aff7"/>
              <w:spacing w:line="0" w:lineRule="atLeast"/>
              <w:contextualSpacing/>
              <w:rPr>
                <w:rFonts w:eastAsiaTheme="minorEastAsia" w:hAnsi="Times New Roman"/>
                <w:snapToGrid w:val="0"/>
                <w:szCs w:val="22"/>
              </w:rPr>
            </w:pPr>
          </w:p>
        </w:tc>
      </w:tr>
    </w:tbl>
    <w:p w:rsidR="00014F60" w:rsidRPr="00FC1444" w:rsidRDefault="00014F60" w:rsidP="00014F60">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 xml:space="preserve">2-8-5 </w:t>
      </w:r>
      <w:r w:rsidRPr="00FC1444">
        <w:rPr>
          <w:rFonts w:eastAsiaTheme="minorEastAsia"/>
          <w:b/>
          <w:kern w:val="0"/>
          <w:szCs w:val="21"/>
        </w:rPr>
        <w:t>地下水环境保护目标一览表</w:t>
      </w:r>
    </w:p>
    <w:tbl>
      <w:tblPr>
        <w:tblW w:w="8368"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740"/>
        <w:gridCol w:w="1276"/>
        <w:gridCol w:w="709"/>
        <w:gridCol w:w="679"/>
        <w:gridCol w:w="900"/>
        <w:gridCol w:w="830"/>
        <w:gridCol w:w="485"/>
        <w:gridCol w:w="649"/>
        <w:gridCol w:w="1142"/>
        <w:gridCol w:w="958"/>
      </w:tblGrid>
      <w:tr w:rsidR="00014F60" w:rsidRPr="00FC1444" w:rsidTr="00014F60">
        <w:trPr>
          <w:trHeight w:val="184"/>
          <w:jc w:val="center"/>
        </w:trPr>
        <w:tc>
          <w:tcPr>
            <w:tcW w:w="740" w:type="dxa"/>
            <w:vAlign w:val="center"/>
          </w:tcPr>
          <w:p w:rsidR="00014F60" w:rsidRPr="00FC1444" w:rsidRDefault="00014F60">
            <w:pPr>
              <w:pStyle w:val="aff7"/>
              <w:spacing w:line="0" w:lineRule="atLeast"/>
              <w:contextualSpacing/>
              <w:rPr>
                <w:rFonts w:eastAsiaTheme="minorEastAsia" w:hAnsi="Times New Roman"/>
                <w:snapToGrid w:val="0"/>
                <w:szCs w:val="22"/>
              </w:rPr>
            </w:pPr>
            <w:r w:rsidRPr="00FC1444">
              <w:rPr>
                <w:rFonts w:eastAsiaTheme="minorEastAsia" w:hAnsi="Times New Roman"/>
                <w:snapToGrid w:val="0"/>
                <w:szCs w:val="22"/>
              </w:rPr>
              <w:t>地下水</w:t>
            </w:r>
          </w:p>
        </w:tc>
        <w:tc>
          <w:tcPr>
            <w:tcW w:w="1276" w:type="dxa"/>
            <w:vAlign w:val="center"/>
          </w:tcPr>
          <w:p w:rsidR="00014F60" w:rsidRPr="00FC1444" w:rsidRDefault="00014F60" w:rsidP="00014F60">
            <w:pPr>
              <w:jc w:val="center"/>
              <w:rPr>
                <w:rFonts w:eastAsiaTheme="minorEastAsia"/>
                <w:szCs w:val="21"/>
              </w:rPr>
            </w:pPr>
            <w:r w:rsidRPr="00FC1444">
              <w:rPr>
                <w:rFonts w:eastAsiaTheme="minorEastAsia" w:hint="eastAsia"/>
                <w:szCs w:val="21"/>
              </w:rPr>
              <w:t>津河镇（松林村）饮用水源井</w:t>
            </w:r>
            <w:r w:rsidRPr="00FC1444">
              <w:rPr>
                <w:rFonts w:eastAsiaTheme="minorEastAsia"/>
              </w:rPr>
              <w:t>（井深</w:t>
            </w:r>
            <w:r w:rsidRPr="00FC1444">
              <w:rPr>
                <w:rFonts w:eastAsiaTheme="minorEastAsia" w:hint="eastAsia"/>
              </w:rPr>
              <w:t>130</w:t>
            </w:r>
            <w:r w:rsidRPr="00FC1444">
              <w:rPr>
                <w:rFonts w:eastAsiaTheme="minorEastAsia"/>
              </w:rPr>
              <w:t>m</w:t>
            </w:r>
            <w:r w:rsidRPr="00FC1444">
              <w:rPr>
                <w:rFonts w:eastAsiaTheme="minorEastAsia"/>
              </w:rPr>
              <w:t>）</w:t>
            </w:r>
          </w:p>
        </w:tc>
        <w:tc>
          <w:tcPr>
            <w:tcW w:w="709" w:type="dxa"/>
            <w:vAlign w:val="center"/>
          </w:tcPr>
          <w:p w:rsidR="00014F60" w:rsidRPr="00FC1444" w:rsidRDefault="00014F60" w:rsidP="00014F60">
            <w:pPr>
              <w:jc w:val="center"/>
              <w:rPr>
                <w:rFonts w:eastAsiaTheme="minorEastAsia"/>
                <w:szCs w:val="21"/>
              </w:rPr>
            </w:pPr>
            <w:r w:rsidRPr="00FC1444">
              <w:rPr>
                <w:rFonts w:eastAsiaTheme="minorEastAsia"/>
                <w:szCs w:val="21"/>
              </w:rPr>
              <w:t>一级保护区（</w:t>
            </w:r>
            <w:r w:rsidRPr="00FC1444">
              <w:rPr>
                <w:rFonts w:eastAsiaTheme="minorEastAsia"/>
                <w:szCs w:val="21"/>
              </w:rPr>
              <w:t>30m</w:t>
            </w:r>
            <w:r w:rsidRPr="00FC1444">
              <w:rPr>
                <w:rFonts w:eastAsiaTheme="minorEastAsia"/>
                <w:szCs w:val="21"/>
              </w:rPr>
              <w:t>）</w:t>
            </w:r>
          </w:p>
        </w:tc>
        <w:tc>
          <w:tcPr>
            <w:tcW w:w="679" w:type="dxa"/>
            <w:vAlign w:val="center"/>
          </w:tcPr>
          <w:p w:rsidR="00014F60" w:rsidRPr="00FC1444" w:rsidRDefault="00014F60" w:rsidP="00A062ED">
            <w:pPr>
              <w:jc w:val="center"/>
              <w:rPr>
                <w:rFonts w:eastAsiaTheme="minorEastAsia"/>
              </w:rPr>
            </w:pPr>
            <w:r w:rsidRPr="00FC1444">
              <w:rPr>
                <w:rFonts w:eastAsiaTheme="minorEastAsia"/>
                <w:szCs w:val="21"/>
              </w:rPr>
              <w:t>供水人数</w:t>
            </w:r>
            <w:r w:rsidRPr="00FC1444">
              <w:rPr>
                <w:rFonts w:eastAsiaTheme="minorEastAsia"/>
                <w:szCs w:val="21"/>
              </w:rPr>
              <w:t>285</w:t>
            </w:r>
            <w:r w:rsidR="00A062ED" w:rsidRPr="00FC1444">
              <w:rPr>
                <w:rFonts w:eastAsiaTheme="minorEastAsia" w:hint="eastAsia"/>
                <w:szCs w:val="21"/>
              </w:rPr>
              <w:t>0</w:t>
            </w:r>
            <w:r w:rsidRPr="00FC1444">
              <w:rPr>
                <w:rFonts w:eastAsiaTheme="minorEastAsia"/>
                <w:szCs w:val="21"/>
              </w:rPr>
              <w:t>人</w:t>
            </w:r>
          </w:p>
        </w:tc>
        <w:tc>
          <w:tcPr>
            <w:tcW w:w="900" w:type="dxa"/>
            <w:vAlign w:val="center"/>
          </w:tcPr>
          <w:p w:rsidR="00014F60" w:rsidRPr="00FC1444" w:rsidRDefault="00014F60" w:rsidP="00927FDD">
            <w:pPr>
              <w:jc w:val="center"/>
              <w:rPr>
                <w:rFonts w:eastAsiaTheme="minorEastAsia"/>
                <w:szCs w:val="21"/>
              </w:rPr>
            </w:pPr>
            <w:r w:rsidRPr="00FC1444">
              <w:rPr>
                <w:rFonts w:eastAsiaTheme="minorEastAsia"/>
                <w:szCs w:val="21"/>
              </w:rPr>
              <w:t>供水规模</w:t>
            </w:r>
            <w:r w:rsidR="00927FDD" w:rsidRPr="00FC1444">
              <w:rPr>
                <w:rFonts w:eastAsiaTheme="minorEastAsia" w:hint="eastAsia"/>
                <w:szCs w:val="21"/>
              </w:rPr>
              <w:t>120</w:t>
            </w:r>
            <w:r w:rsidRPr="00FC1444">
              <w:rPr>
                <w:rFonts w:eastAsiaTheme="minorEastAsia"/>
                <w:szCs w:val="21"/>
              </w:rPr>
              <w:t>m³/d</w:t>
            </w:r>
          </w:p>
        </w:tc>
        <w:tc>
          <w:tcPr>
            <w:tcW w:w="830" w:type="dxa"/>
            <w:vAlign w:val="center"/>
          </w:tcPr>
          <w:p w:rsidR="00014F60" w:rsidRPr="00FC1444" w:rsidRDefault="00014F60" w:rsidP="00014F60">
            <w:pPr>
              <w:jc w:val="center"/>
              <w:rPr>
                <w:rFonts w:eastAsiaTheme="minorEastAsia"/>
                <w:szCs w:val="21"/>
              </w:rPr>
            </w:pPr>
            <w:r w:rsidRPr="00FC1444">
              <w:rPr>
                <w:rFonts w:eastAsiaTheme="minorEastAsia"/>
                <w:szCs w:val="21"/>
              </w:rPr>
              <w:t>127.0704373</w:t>
            </w:r>
            <w:r w:rsidRPr="00FC1444">
              <w:rPr>
                <w:rFonts w:eastAsiaTheme="minorEastAsia"/>
                <w:szCs w:val="21"/>
              </w:rPr>
              <w:t>，</w:t>
            </w:r>
            <w:r w:rsidRPr="00FC1444">
              <w:rPr>
                <w:rFonts w:eastAsiaTheme="minorEastAsia"/>
                <w:szCs w:val="21"/>
              </w:rPr>
              <w:t>46.472226</w:t>
            </w:r>
          </w:p>
        </w:tc>
        <w:tc>
          <w:tcPr>
            <w:tcW w:w="485" w:type="dxa"/>
            <w:vAlign w:val="center"/>
          </w:tcPr>
          <w:p w:rsidR="00014F60" w:rsidRPr="00FC1444" w:rsidRDefault="007E1943" w:rsidP="00014F60">
            <w:pPr>
              <w:jc w:val="center"/>
              <w:rPr>
                <w:rFonts w:eastAsiaTheme="minorEastAsia"/>
                <w:szCs w:val="21"/>
              </w:rPr>
            </w:pPr>
            <w:r w:rsidRPr="00FC1444">
              <w:rPr>
                <w:rFonts w:eastAsiaTheme="minorEastAsia" w:hint="eastAsia"/>
                <w:szCs w:val="21"/>
              </w:rPr>
              <w:t>承压水</w:t>
            </w:r>
          </w:p>
        </w:tc>
        <w:tc>
          <w:tcPr>
            <w:tcW w:w="649" w:type="dxa"/>
            <w:vAlign w:val="center"/>
          </w:tcPr>
          <w:p w:rsidR="00014F60" w:rsidRPr="00FC1444" w:rsidRDefault="0067343E" w:rsidP="0067343E">
            <w:pPr>
              <w:jc w:val="center"/>
              <w:rPr>
                <w:rFonts w:eastAsiaTheme="minorEastAsia"/>
                <w:szCs w:val="21"/>
              </w:rPr>
            </w:pPr>
            <w:r w:rsidRPr="00FC1444">
              <w:rPr>
                <w:rFonts w:eastAsiaTheme="minorEastAsia"/>
                <w:szCs w:val="21"/>
              </w:rPr>
              <w:t>津河</w:t>
            </w:r>
            <w:r w:rsidRPr="00FC1444">
              <w:rPr>
                <w:rFonts w:eastAsiaTheme="minorEastAsia" w:hint="eastAsia"/>
                <w:szCs w:val="21"/>
              </w:rPr>
              <w:t>65</w:t>
            </w:r>
            <w:r w:rsidRPr="00FC1444">
              <w:rPr>
                <w:rFonts w:eastAsiaTheme="minorEastAsia"/>
                <w:szCs w:val="21"/>
              </w:rPr>
              <w:t>#</w:t>
            </w:r>
            <w:r w:rsidRPr="00FC1444">
              <w:rPr>
                <w:rFonts w:eastAsiaTheme="minorEastAsia" w:hint="eastAsia"/>
                <w:szCs w:val="21"/>
              </w:rPr>
              <w:t>机电</w:t>
            </w:r>
            <w:r w:rsidRPr="00FC1444">
              <w:rPr>
                <w:rFonts w:eastAsiaTheme="minorEastAsia"/>
                <w:szCs w:val="21"/>
              </w:rPr>
              <w:t>井</w:t>
            </w:r>
          </w:p>
        </w:tc>
        <w:tc>
          <w:tcPr>
            <w:tcW w:w="1142" w:type="dxa"/>
            <w:vAlign w:val="center"/>
          </w:tcPr>
          <w:p w:rsidR="00014F60" w:rsidRPr="00FC1444" w:rsidRDefault="00A61EEF" w:rsidP="00CF30B4">
            <w:pPr>
              <w:pStyle w:val="aff7"/>
              <w:spacing w:line="0" w:lineRule="atLeast"/>
              <w:contextualSpacing/>
              <w:rPr>
                <w:rFonts w:eastAsiaTheme="minorEastAsia" w:hAnsi="Times New Roman"/>
                <w:snapToGrid w:val="0"/>
                <w:szCs w:val="22"/>
              </w:rPr>
            </w:pPr>
            <w:r w:rsidRPr="00FC1444">
              <w:rPr>
                <w:rFonts w:eastAsiaTheme="minorEastAsia" w:hAnsi="Times New Roman" w:hint="eastAsia"/>
                <w:snapToGrid w:val="0"/>
                <w:szCs w:val="22"/>
              </w:rPr>
              <w:t>N</w:t>
            </w:r>
            <w:r w:rsidR="00014F60" w:rsidRPr="00FC1444">
              <w:rPr>
                <w:rFonts w:eastAsiaTheme="minorEastAsia" w:hAnsi="Times New Roman"/>
                <w:snapToGrid w:val="0"/>
                <w:szCs w:val="22"/>
              </w:rPr>
              <w:t>W</w:t>
            </w:r>
            <w:r w:rsidR="00CF30B4" w:rsidRPr="00FC1444">
              <w:rPr>
                <w:rFonts w:eastAsiaTheme="minorEastAsia" w:hAnsi="Times New Roman" w:hint="eastAsia"/>
                <w:snapToGrid w:val="0"/>
                <w:szCs w:val="22"/>
              </w:rPr>
              <w:t>4100</w:t>
            </w:r>
          </w:p>
        </w:tc>
        <w:tc>
          <w:tcPr>
            <w:tcW w:w="958" w:type="dxa"/>
            <w:shd w:val="clear" w:color="auto" w:fill="auto"/>
            <w:vAlign w:val="center"/>
          </w:tcPr>
          <w:p w:rsidR="00014F60" w:rsidRPr="00FC1444" w:rsidRDefault="00014F60">
            <w:pPr>
              <w:pStyle w:val="aff7"/>
              <w:spacing w:line="0" w:lineRule="atLeast"/>
              <w:contextualSpacing/>
              <w:rPr>
                <w:rFonts w:eastAsiaTheme="minorEastAsia" w:hAnsi="Times New Roman"/>
                <w:snapToGrid w:val="0"/>
                <w:szCs w:val="22"/>
              </w:rPr>
            </w:pPr>
            <w:r w:rsidRPr="00FC1444">
              <w:rPr>
                <w:rFonts w:eastAsiaTheme="minorEastAsia" w:hAnsi="Times New Roman"/>
                <w:snapToGrid w:val="0"/>
                <w:szCs w:val="22"/>
              </w:rPr>
              <w:t>《地下水质量标准》（</w:t>
            </w:r>
            <w:r w:rsidRPr="00FC1444">
              <w:rPr>
                <w:rFonts w:eastAsiaTheme="minorEastAsia" w:hAnsi="Times New Roman"/>
                <w:snapToGrid w:val="0"/>
                <w:szCs w:val="22"/>
              </w:rPr>
              <w:t>GB/T14848-2017</w:t>
            </w:r>
            <w:r w:rsidRPr="00FC1444">
              <w:rPr>
                <w:rFonts w:eastAsiaTheme="minorEastAsia" w:hAnsi="Times New Roman"/>
                <w:snapToGrid w:val="0"/>
                <w:szCs w:val="22"/>
              </w:rPr>
              <w:t>）</w:t>
            </w:r>
            <w:r w:rsidRPr="00FC1444">
              <w:rPr>
                <w:rFonts w:eastAsiaTheme="minorEastAsia" w:hAnsi="Times New Roman"/>
                <w:snapToGrid w:val="0"/>
                <w:szCs w:val="22"/>
              </w:rPr>
              <w:t xml:space="preserve">III </w:t>
            </w:r>
            <w:r w:rsidRPr="00FC1444">
              <w:rPr>
                <w:rFonts w:eastAsiaTheme="minorEastAsia" w:hAnsi="Times New Roman"/>
                <w:snapToGrid w:val="0"/>
                <w:szCs w:val="22"/>
              </w:rPr>
              <w:t>类标准</w:t>
            </w:r>
          </w:p>
        </w:tc>
      </w:tr>
    </w:tbl>
    <w:bookmarkEnd w:id="62"/>
    <w:bookmarkEnd w:id="63"/>
    <w:p w:rsidR="002A5A5E" w:rsidRPr="00FC1444" w:rsidRDefault="009840DD">
      <w:pPr>
        <w:spacing w:line="0" w:lineRule="atLeast"/>
        <w:contextualSpacing/>
        <w:jc w:val="center"/>
        <w:rPr>
          <w:rFonts w:eastAsiaTheme="minorEastAsia"/>
          <w:b/>
          <w:kern w:val="0"/>
          <w:szCs w:val="21"/>
        </w:rPr>
      </w:pPr>
      <w:r w:rsidRPr="00FC1444">
        <w:rPr>
          <w:rFonts w:eastAsiaTheme="minorEastAsia"/>
          <w:b/>
          <w:noProof/>
          <w:kern w:val="0"/>
          <w:szCs w:val="21"/>
        </w:rPr>
        <w:pict>
          <v:shape id="_x0000_s697209" type="#_x0000_t61" style="position:absolute;left:0;text-align:left;margin-left:175.8pt;margin-top:290.25pt;width:92.85pt;height:27.1pt;z-index:251866112;mso-position-horizontal-relative:text;mso-position-vertical-relative:text" adj="-12271,-49457" filled="f" strokecolor="yellow">
            <v:textbox style="mso-next-textbox:#_x0000_s697209">
              <w:txbxContent>
                <w:p w:rsidR="006F5CC4" w:rsidRPr="006D78F2" w:rsidRDefault="006F5CC4" w:rsidP="006D78F2">
                  <w:pPr>
                    <w:rPr>
                      <w:color w:val="FFFF00"/>
                    </w:rPr>
                  </w:pPr>
                  <w:r w:rsidRPr="006D78F2">
                    <w:rPr>
                      <w:rFonts w:eastAsiaTheme="minorEastAsia"/>
                      <w:color w:val="FFFF00"/>
                      <w:szCs w:val="21"/>
                    </w:rPr>
                    <w:t>绥胜</w:t>
                  </w:r>
                  <w:r>
                    <w:rPr>
                      <w:rFonts w:eastAsiaTheme="minorEastAsia" w:hint="eastAsia"/>
                      <w:color w:val="FFFF00"/>
                      <w:szCs w:val="21"/>
                    </w:rPr>
                    <w:t>31</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F5CC4" w:rsidRPr="006D78F2" w:rsidRDefault="006F5CC4" w:rsidP="006D78F2"/>
              </w:txbxContent>
            </v:textbox>
          </v:shape>
        </w:pict>
      </w:r>
      <w:r w:rsidRPr="00FC1444">
        <w:rPr>
          <w:rFonts w:eastAsiaTheme="minorEastAsia"/>
          <w:b/>
          <w:kern w:val="0"/>
          <w:szCs w:val="21"/>
        </w:rPr>
        <w:pict>
          <v:shape id="_x0000_s696857" type="#_x0000_t61" style="position:absolute;left:0;text-align:left;margin-left:1.9pt;margin-top:177.5pt;width:92.85pt;height:27.1pt;z-index:251713536;mso-position-horizontal-relative:text;mso-position-vertical-relative:text" adj="24962,42483" filled="f" strokecolor="yellow">
            <v:textbox style="mso-next-textbox:#_x0000_s696857">
              <w:txbxContent>
                <w:p w:rsidR="006F5CC4" w:rsidRPr="006D78F2" w:rsidRDefault="006F5CC4" w:rsidP="006D78F2">
                  <w:pPr>
                    <w:rPr>
                      <w:color w:val="FFFF00"/>
                    </w:rPr>
                  </w:pPr>
                  <w:r w:rsidRPr="006D78F2">
                    <w:rPr>
                      <w:rFonts w:eastAsiaTheme="minorEastAsia"/>
                      <w:color w:val="FFFF00"/>
                      <w:szCs w:val="21"/>
                    </w:rPr>
                    <w:t>绥胜</w:t>
                  </w:r>
                  <w:r>
                    <w:rPr>
                      <w:rFonts w:eastAsiaTheme="minorEastAsia" w:hint="eastAsia"/>
                      <w:color w:val="FFFF00"/>
                      <w:szCs w:val="21"/>
                    </w:rPr>
                    <w:t>30</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F5CC4" w:rsidRPr="006D78F2" w:rsidRDefault="006F5CC4" w:rsidP="006D78F2"/>
              </w:txbxContent>
            </v:textbox>
          </v:shape>
        </w:pict>
      </w:r>
      <w:r w:rsidRPr="00FC1444">
        <w:rPr>
          <w:rFonts w:eastAsiaTheme="minorEastAsia"/>
          <w:b/>
          <w:kern w:val="0"/>
          <w:szCs w:val="21"/>
        </w:rPr>
        <w:pict>
          <v:shape id="_x0000_s696851" type="#_x0000_t61" style="position:absolute;left:0;text-align:left;margin-left:233.3pt;margin-top:263.15pt;width:96.7pt;height:27.1pt;z-index:251710464;mso-position-horizontal-relative:text;mso-position-vertical-relative:text" adj="11157,-35030" filled="f" strokecolor="yellow">
            <v:textbox style="mso-next-textbox:#_x0000_s696851">
              <w:txbxContent>
                <w:p w:rsidR="006F5CC4" w:rsidRPr="006D78F2" w:rsidRDefault="006F5CC4" w:rsidP="006D78F2">
                  <w:pPr>
                    <w:rPr>
                      <w:color w:val="FFFF00"/>
                    </w:rPr>
                  </w:pPr>
                  <w:r w:rsidRPr="006D78F2">
                    <w:rPr>
                      <w:rFonts w:eastAsiaTheme="minorEastAsia"/>
                      <w:color w:val="FFFF00"/>
                      <w:szCs w:val="21"/>
                    </w:rPr>
                    <w:t>绥胜</w:t>
                  </w:r>
                  <w:r w:rsidRPr="006D78F2">
                    <w:rPr>
                      <w:rFonts w:eastAsiaTheme="minorEastAsia"/>
                      <w:color w:val="FFFF00"/>
                      <w:szCs w:val="21"/>
                    </w:rPr>
                    <w:t>2</w:t>
                  </w:r>
                  <w:r w:rsidRPr="006D78F2">
                    <w:rPr>
                      <w:rFonts w:eastAsiaTheme="minorEastAsia" w:hint="eastAsia"/>
                      <w:color w:val="FFFF00"/>
                      <w:szCs w:val="21"/>
                    </w:rPr>
                    <w:t>1</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txbxContent>
            </v:textbox>
          </v:shape>
        </w:pict>
      </w:r>
      <w:r w:rsidR="00FF5E07" w:rsidRPr="00FC1444">
        <w:rPr>
          <w:rFonts w:eastAsiaTheme="minorEastAsia"/>
          <w:b/>
          <w:noProof/>
          <w:kern w:val="0"/>
          <w:szCs w:val="21"/>
        </w:rPr>
        <w:drawing>
          <wp:anchor distT="0" distB="0" distL="114300" distR="114300" simplePos="0" relativeHeight="251715584" behindDoc="0" locked="0" layoutInCell="1" allowOverlap="1">
            <wp:simplePos x="0" y="0"/>
            <wp:positionH relativeFrom="column">
              <wp:posOffset>90170</wp:posOffset>
            </wp:positionH>
            <wp:positionV relativeFrom="paragraph">
              <wp:posOffset>3731260</wp:posOffset>
            </wp:positionV>
            <wp:extent cx="116840" cy="177165"/>
            <wp:effectExtent l="19050" t="0" r="0" b="0"/>
            <wp:wrapNone/>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5"/>
                    <a:srcRect/>
                    <a:stretch>
                      <a:fillRect/>
                    </a:stretch>
                  </pic:blipFill>
                  <pic:spPr>
                    <a:xfrm>
                      <a:off x="0" y="0"/>
                      <a:ext cx="116840" cy="177165"/>
                    </a:xfrm>
                    <a:prstGeom prst="rect">
                      <a:avLst/>
                    </a:prstGeom>
                    <a:noFill/>
                    <a:ln w="9525">
                      <a:noFill/>
                      <a:miter lim="800000"/>
                      <a:headEnd/>
                      <a:tailEnd/>
                    </a:ln>
                  </pic:spPr>
                </pic:pic>
              </a:graphicData>
            </a:graphic>
          </wp:anchor>
        </w:drawing>
      </w:r>
      <w:r w:rsidRPr="00FC1444">
        <w:rPr>
          <w:rFonts w:eastAsiaTheme="minorEastAsia"/>
          <w:b/>
          <w:kern w:val="0"/>
          <w:szCs w:val="21"/>
        </w:rPr>
        <w:pict>
          <v:oval id="_x0000_s696859" style="position:absolute;left:0;text-align:left;margin-left:6.4pt;margin-top:310.75pt;width:12.15pt;height:9.8pt;z-index:251716608;mso-position-horizontal-relative:text;mso-position-vertical-relative:text" fillcolor="#365f91" strokecolor="red"/>
        </w:pict>
      </w:r>
      <w:r w:rsidRPr="00FC1444">
        <w:rPr>
          <w:rFonts w:eastAsiaTheme="minorEastAsia"/>
          <w:b/>
          <w:kern w:val="0"/>
          <w:szCs w:val="21"/>
        </w:rPr>
        <w:pict>
          <v:shape id="_x0000_s696858" type="#_x0000_t202" style="position:absolute;left:0;text-align:left;margin-left:1.9pt;margin-top:271.6pt;width:87.15pt;height:55.95pt;z-index:251714560;mso-position-horizontal-relative:text;mso-position-vertical-relative:text" fillcolor="#f2f2f2">
            <v:textbox style="mso-next-textbox:#_x0000_s696858">
              <w:txbxContent>
                <w:p w:rsidR="006F5CC4" w:rsidRDefault="006F5CC4">
                  <w:pPr>
                    <w:jc w:val="center"/>
                    <w:rPr>
                      <w:rFonts w:hAnsi="宋体"/>
                      <w:szCs w:val="21"/>
                    </w:rPr>
                  </w:pPr>
                  <w:r>
                    <w:rPr>
                      <w:rFonts w:hAnsi="宋体" w:hint="eastAsia"/>
                      <w:szCs w:val="21"/>
                    </w:rPr>
                    <w:t>图</w:t>
                  </w:r>
                  <w:r>
                    <w:rPr>
                      <w:rFonts w:hAnsi="宋体" w:hint="eastAsia"/>
                      <w:szCs w:val="21"/>
                    </w:rPr>
                    <w:t xml:space="preserve">  </w:t>
                  </w:r>
                  <w:r>
                    <w:rPr>
                      <w:rFonts w:hAnsi="宋体" w:hint="eastAsia"/>
                      <w:szCs w:val="21"/>
                    </w:rPr>
                    <w:t>例</w:t>
                  </w:r>
                </w:p>
                <w:p w:rsidR="006F5CC4" w:rsidRDefault="006F5CC4">
                  <w:pPr>
                    <w:ind w:leftChars="100" w:left="210"/>
                    <w:rPr>
                      <w:rFonts w:hAnsi="宋体"/>
                      <w:szCs w:val="21"/>
                    </w:rPr>
                  </w:pPr>
                  <w:r>
                    <w:rPr>
                      <w:rFonts w:hAnsi="宋体" w:hint="eastAsia"/>
                      <w:szCs w:val="21"/>
                    </w:rPr>
                    <w:t>水源井位置保护区范围</w:t>
                  </w:r>
                </w:p>
              </w:txbxContent>
            </v:textbox>
          </v:shape>
        </w:pict>
      </w:r>
      <w:r w:rsidR="00FF5E07" w:rsidRPr="00FC1444">
        <w:rPr>
          <w:rFonts w:eastAsiaTheme="minorEastAsia"/>
          <w:b/>
          <w:noProof/>
          <w:kern w:val="0"/>
          <w:szCs w:val="21"/>
        </w:rPr>
        <w:drawing>
          <wp:anchor distT="0" distB="0" distL="114300" distR="114300" simplePos="0" relativeHeight="251852800" behindDoc="0" locked="0" layoutInCell="1" allowOverlap="1">
            <wp:simplePos x="0" y="0"/>
            <wp:positionH relativeFrom="column">
              <wp:posOffset>4535104</wp:posOffset>
            </wp:positionH>
            <wp:positionV relativeFrom="paragraph">
              <wp:posOffset>24585</wp:posOffset>
            </wp:positionV>
            <wp:extent cx="755697" cy="709684"/>
            <wp:effectExtent l="19050" t="0" r="6303" b="0"/>
            <wp:wrapNone/>
            <wp:docPr id="680" name="图片 29" descr="E:\xwechat_files\wxid_mq55o8x17m3l21_57cf\temp\RWTemp\2026-09\9e20f478899dc29eb19741386f9343c8\cf5832beccbae337fe08c2bfaa8c1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wechat_files\wxid_mq55o8x17m3l21_57cf\temp\RWTemp\2026-09\9e20f478899dc29eb19741386f9343c8\cf5832beccbae337fe08c2bfaa8c1c9d.png"/>
                    <pic:cNvPicPr>
                      <a:picLocks noChangeAspect="1" noChangeArrowheads="1"/>
                    </pic:cNvPicPr>
                  </pic:nvPicPr>
                  <pic:blipFill>
                    <a:blip r:embed="rId23"/>
                    <a:srcRect/>
                    <a:stretch>
                      <a:fillRect/>
                    </a:stretch>
                  </pic:blipFill>
                  <pic:spPr bwMode="auto">
                    <a:xfrm>
                      <a:off x="0" y="0"/>
                      <a:ext cx="755697" cy="709684"/>
                    </a:xfrm>
                    <a:prstGeom prst="rect">
                      <a:avLst/>
                    </a:prstGeom>
                    <a:noFill/>
                    <a:ln w="9525">
                      <a:noFill/>
                      <a:miter lim="800000"/>
                      <a:headEnd/>
                      <a:tailEnd/>
                    </a:ln>
                  </pic:spPr>
                </pic:pic>
              </a:graphicData>
            </a:graphic>
          </wp:anchor>
        </w:drawing>
      </w:r>
      <w:r w:rsidR="00FF5E07" w:rsidRPr="00FC1444">
        <w:rPr>
          <w:rFonts w:eastAsiaTheme="minorEastAsia"/>
          <w:b/>
          <w:noProof/>
          <w:kern w:val="0"/>
          <w:szCs w:val="21"/>
        </w:rPr>
        <w:drawing>
          <wp:inline distT="0" distB="0" distL="0" distR="0">
            <wp:extent cx="5274310" cy="4142122"/>
            <wp:effectExtent l="19050" t="19050" r="21590" b="10778"/>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srcRect/>
                    <a:stretch>
                      <a:fillRect/>
                    </a:stretch>
                  </pic:blipFill>
                  <pic:spPr bwMode="auto">
                    <a:xfrm>
                      <a:off x="0" y="0"/>
                      <a:ext cx="5274310" cy="4142122"/>
                    </a:xfrm>
                    <a:prstGeom prst="rect">
                      <a:avLst/>
                    </a:prstGeom>
                    <a:noFill/>
                    <a:ln w="9525">
                      <a:solidFill>
                        <a:schemeClr val="tx1"/>
                      </a:solidFill>
                      <a:miter lim="800000"/>
                      <a:headEnd/>
                      <a:tailEnd/>
                    </a:ln>
                  </pic:spPr>
                </pic:pic>
              </a:graphicData>
            </a:graphic>
          </wp:inline>
        </w:drawing>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2-8-</w:t>
      </w:r>
      <w:r w:rsidR="00B0065C" w:rsidRPr="00FC1444">
        <w:rPr>
          <w:rFonts w:eastAsiaTheme="minorEastAsia"/>
          <w:b/>
          <w:kern w:val="0"/>
          <w:szCs w:val="21"/>
        </w:rPr>
        <w:t>2</w:t>
      </w:r>
      <w:r w:rsidRPr="00FC1444">
        <w:rPr>
          <w:rFonts w:eastAsiaTheme="minorEastAsia"/>
          <w:b/>
          <w:kern w:val="0"/>
          <w:szCs w:val="21"/>
        </w:rPr>
        <w:t>集中式饮用水源井位置、保护区范围与本项目工程灌溉井位置关系图（</w:t>
      </w:r>
      <w:r w:rsidRPr="00FC1444">
        <w:rPr>
          <w:rFonts w:eastAsiaTheme="minorEastAsia"/>
          <w:b/>
          <w:kern w:val="0"/>
          <w:szCs w:val="21"/>
        </w:rPr>
        <w:t>1</w:t>
      </w:r>
      <w:r w:rsidRPr="00FC1444">
        <w:rPr>
          <w:rFonts w:eastAsiaTheme="minorEastAsia"/>
          <w:b/>
          <w:kern w:val="0"/>
          <w:szCs w:val="21"/>
        </w:rPr>
        <w:t>）</w:t>
      </w:r>
    </w:p>
    <w:p w:rsidR="002A5A5E" w:rsidRPr="00FC1444" w:rsidRDefault="006D78F2">
      <w:pPr>
        <w:contextualSpacing/>
        <w:jc w:val="center"/>
        <w:rPr>
          <w:rFonts w:eastAsiaTheme="minorEastAsia"/>
          <w:b/>
          <w:kern w:val="0"/>
          <w:szCs w:val="21"/>
        </w:rPr>
      </w:pPr>
      <w:r w:rsidRPr="00FC1444">
        <w:rPr>
          <w:rFonts w:eastAsiaTheme="minorEastAsia"/>
          <w:b/>
          <w:kern w:val="0"/>
          <w:szCs w:val="21"/>
        </w:rPr>
        <w:t xml:space="preserve"> </w:t>
      </w:r>
      <w:r w:rsidR="00906D64" w:rsidRPr="00FC1444">
        <w:rPr>
          <w:rFonts w:eastAsiaTheme="minorEastAsia"/>
          <w:b/>
          <w:noProof/>
          <w:kern w:val="0"/>
          <w:szCs w:val="21"/>
        </w:rPr>
        <w:lastRenderedPageBreak/>
        <w:drawing>
          <wp:inline distT="0" distB="0" distL="0" distR="0">
            <wp:extent cx="5274310" cy="4442053"/>
            <wp:effectExtent l="19050" t="19050" r="21590" b="15647"/>
            <wp:docPr id="22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srcRect/>
                    <a:stretch>
                      <a:fillRect/>
                    </a:stretch>
                  </pic:blipFill>
                  <pic:spPr bwMode="auto">
                    <a:xfrm>
                      <a:off x="0" y="0"/>
                      <a:ext cx="5274310" cy="4442053"/>
                    </a:xfrm>
                    <a:prstGeom prst="rect">
                      <a:avLst/>
                    </a:prstGeom>
                    <a:noFill/>
                    <a:ln w="9525">
                      <a:solidFill>
                        <a:schemeClr val="tx1"/>
                      </a:solidFill>
                      <a:miter lim="800000"/>
                      <a:headEnd/>
                      <a:tailEnd/>
                    </a:ln>
                  </pic:spPr>
                </pic:pic>
              </a:graphicData>
            </a:graphic>
          </wp:inline>
        </w:drawing>
      </w:r>
    </w:p>
    <w:p w:rsidR="002A5A5E" w:rsidRPr="00FC1444" w:rsidRDefault="009840DD">
      <w:pPr>
        <w:contextualSpacing/>
        <w:jc w:val="center"/>
        <w:rPr>
          <w:rFonts w:eastAsiaTheme="minorEastAsia"/>
          <w:b/>
          <w:kern w:val="0"/>
          <w:szCs w:val="21"/>
        </w:rPr>
      </w:pPr>
      <w:r w:rsidRPr="00FC1444">
        <w:rPr>
          <w:rFonts w:eastAsiaTheme="minorEastAsia"/>
          <w:b/>
          <w:noProof/>
          <w:kern w:val="0"/>
          <w:szCs w:val="21"/>
        </w:rPr>
        <w:pict>
          <v:shape id="_x0000_s697215" type="#_x0000_t61" style="position:absolute;left:0;text-align:left;margin-left:239.95pt;margin-top:-322.75pt;width:86.25pt;height:27.1pt;z-index:251871232" adj="16291,37063" filled="f" strokecolor="yellow">
            <v:textbox style="mso-next-textbox:#_x0000_s697215">
              <w:txbxContent>
                <w:p w:rsidR="006F5CC4" w:rsidRPr="006D78F2" w:rsidRDefault="006F5CC4" w:rsidP="004E4A20">
                  <w:pPr>
                    <w:rPr>
                      <w:color w:val="FFFF00"/>
                    </w:rPr>
                  </w:pPr>
                  <w:r>
                    <w:rPr>
                      <w:rFonts w:eastAsiaTheme="minorEastAsia"/>
                      <w:color w:val="FFFF00"/>
                      <w:szCs w:val="21"/>
                    </w:rPr>
                    <w:t>津河</w:t>
                  </w:r>
                  <w:r>
                    <w:rPr>
                      <w:rFonts w:eastAsiaTheme="minorEastAsia" w:hint="eastAsia"/>
                      <w:color w:val="FFFF00"/>
                      <w:szCs w:val="21"/>
                    </w:rPr>
                    <w:t>65</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F5CC4" w:rsidRPr="006D78F2" w:rsidRDefault="006F5CC4" w:rsidP="004E4A20"/>
              </w:txbxContent>
            </v:textbox>
          </v:shape>
        </w:pict>
      </w:r>
      <w:r w:rsidRPr="00FC1444">
        <w:rPr>
          <w:rFonts w:eastAsiaTheme="minorEastAsia"/>
          <w:b/>
          <w:noProof/>
          <w:kern w:val="0"/>
          <w:szCs w:val="21"/>
        </w:rPr>
        <w:pict>
          <v:shape id="_x0000_s697214" type="#_x0000_t61" style="position:absolute;left:0;text-align:left;margin-left:270.7pt;margin-top:-175.3pt;width:86.25pt;height:27.1pt;z-index:251870208" adj="-388,-6735" filled="f" strokecolor="yellow">
            <v:textbox style="mso-next-textbox:#_x0000_s697214">
              <w:txbxContent>
                <w:p w:rsidR="006F5CC4" w:rsidRPr="006D78F2" w:rsidRDefault="006F5CC4" w:rsidP="00BF4D1D">
                  <w:pPr>
                    <w:rPr>
                      <w:color w:val="FFFF00"/>
                    </w:rPr>
                  </w:pPr>
                  <w:r>
                    <w:rPr>
                      <w:rFonts w:eastAsiaTheme="minorEastAsia"/>
                      <w:color w:val="FFFF00"/>
                      <w:szCs w:val="21"/>
                    </w:rPr>
                    <w:t>津河</w:t>
                  </w:r>
                  <w:r>
                    <w:rPr>
                      <w:rFonts w:eastAsiaTheme="minorEastAsia" w:hint="eastAsia"/>
                      <w:color w:val="FFFF00"/>
                      <w:szCs w:val="21"/>
                    </w:rPr>
                    <w:t>54</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F5CC4" w:rsidRPr="006D78F2" w:rsidRDefault="006F5CC4" w:rsidP="00BF4D1D"/>
              </w:txbxContent>
            </v:textbox>
          </v:shape>
        </w:pict>
      </w:r>
      <w:r w:rsidRPr="00FC1444">
        <w:rPr>
          <w:rFonts w:eastAsiaTheme="minorEastAsia"/>
          <w:b/>
          <w:noProof/>
          <w:kern w:val="0"/>
          <w:szCs w:val="21"/>
        </w:rPr>
        <w:pict>
          <v:shape id="_x0000_s697212" type="#_x0000_t61" style="position:absolute;left:0;text-align:left;margin-left:103.4pt;margin-top:-131.75pt;width:86.45pt;height:27.1pt;z-index:251868160" adj="2873,35469" filled="f" strokecolor="yellow">
            <v:textbox style="mso-next-textbox:#_x0000_s697212">
              <w:txbxContent>
                <w:p w:rsidR="006F5CC4" w:rsidRPr="006D78F2" w:rsidRDefault="006F5CC4" w:rsidP="00BF4D1D">
                  <w:pPr>
                    <w:rPr>
                      <w:color w:val="FFFF00"/>
                    </w:rPr>
                  </w:pPr>
                  <w:r>
                    <w:rPr>
                      <w:rFonts w:eastAsiaTheme="minorEastAsia"/>
                      <w:color w:val="FFFF00"/>
                      <w:szCs w:val="21"/>
                    </w:rPr>
                    <w:t>津河</w:t>
                  </w:r>
                  <w:r>
                    <w:rPr>
                      <w:rFonts w:eastAsiaTheme="minorEastAsia" w:hint="eastAsia"/>
                      <w:color w:val="FFFF00"/>
                      <w:szCs w:val="21"/>
                    </w:rPr>
                    <w:t>72</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F5CC4" w:rsidRPr="006D78F2" w:rsidRDefault="006F5CC4" w:rsidP="00BF4D1D"/>
              </w:txbxContent>
            </v:textbox>
          </v:shape>
        </w:pict>
      </w:r>
      <w:r w:rsidRPr="00FC1444">
        <w:rPr>
          <w:rFonts w:eastAsiaTheme="minorEastAsia"/>
          <w:b/>
          <w:noProof/>
          <w:kern w:val="0"/>
          <w:szCs w:val="21"/>
        </w:rPr>
        <w:pict>
          <v:shape id="_x0000_s697213" type="#_x0000_t61" style="position:absolute;left:0;text-align:left;margin-left:270.7pt;margin-top:-35.3pt;width:88.3pt;height:27.1pt;z-index:251869184" adj="-6030,-4065" filled="f" strokecolor="yellow">
            <v:textbox style="mso-next-textbox:#_x0000_s697213">
              <w:txbxContent>
                <w:p w:rsidR="006F5CC4" w:rsidRPr="006D78F2" w:rsidRDefault="006F5CC4" w:rsidP="00BF4D1D">
                  <w:pPr>
                    <w:rPr>
                      <w:color w:val="FFFF00"/>
                    </w:rPr>
                  </w:pPr>
                  <w:r>
                    <w:rPr>
                      <w:rFonts w:eastAsiaTheme="minorEastAsia"/>
                      <w:color w:val="FFFF00"/>
                      <w:szCs w:val="21"/>
                    </w:rPr>
                    <w:t>津河</w:t>
                  </w:r>
                  <w:r>
                    <w:rPr>
                      <w:rFonts w:eastAsiaTheme="minorEastAsia" w:hint="eastAsia"/>
                      <w:color w:val="FFFF00"/>
                      <w:szCs w:val="21"/>
                    </w:rPr>
                    <w:t>20</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F5CC4" w:rsidRPr="006D78F2" w:rsidRDefault="006F5CC4" w:rsidP="00BF4D1D"/>
              </w:txbxContent>
            </v:textbox>
          </v:shape>
        </w:pict>
      </w:r>
      <w:r w:rsidRPr="00FC1444">
        <w:rPr>
          <w:rFonts w:eastAsiaTheme="minorEastAsia"/>
          <w:b/>
          <w:noProof/>
          <w:kern w:val="0"/>
          <w:szCs w:val="21"/>
        </w:rPr>
        <w:pict>
          <v:shape id="_x0000_s697211" type="#_x0000_t61" style="position:absolute;left:0;text-align:left;margin-left:6.45pt;margin-top:-187.25pt;width:82.85pt;height:27.1pt;z-index:251867136" adj="19123,30049" filled="f" strokecolor="yellow">
            <v:textbox style="mso-next-textbox:#_x0000_s697211">
              <w:txbxContent>
                <w:p w:rsidR="006F5CC4" w:rsidRPr="006D78F2" w:rsidRDefault="006F5CC4" w:rsidP="00BF4D1D">
                  <w:pPr>
                    <w:rPr>
                      <w:color w:val="FFFF00"/>
                    </w:rPr>
                  </w:pPr>
                  <w:r>
                    <w:rPr>
                      <w:rFonts w:eastAsiaTheme="minorEastAsia"/>
                      <w:color w:val="FFFF00"/>
                      <w:szCs w:val="21"/>
                    </w:rPr>
                    <w:t>津河</w:t>
                  </w:r>
                  <w:r>
                    <w:rPr>
                      <w:rFonts w:eastAsiaTheme="minorEastAsia" w:hint="eastAsia"/>
                      <w:color w:val="FFFF00"/>
                      <w:szCs w:val="21"/>
                    </w:rPr>
                    <w:t>5</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F5CC4" w:rsidRPr="006D78F2" w:rsidRDefault="006F5CC4" w:rsidP="00BF4D1D"/>
              </w:txbxContent>
            </v:textbox>
          </v:shape>
        </w:pict>
      </w:r>
      <w:r w:rsidR="00906D64" w:rsidRPr="00FC1444">
        <w:rPr>
          <w:rFonts w:eastAsiaTheme="minorEastAsia"/>
          <w:b/>
          <w:noProof/>
          <w:kern w:val="0"/>
          <w:szCs w:val="21"/>
        </w:rPr>
        <w:drawing>
          <wp:anchor distT="0" distB="0" distL="114300" distR="114300" simplePos="0" relativeHeight="251737088" behindDoc="0" locked="0" layoutInCell="1" allowOverlap="1">
            <wp:simplePos x="0" y="0"/>
            <wp:positionH relativeFrom="column">
              <wp:posOffset>23363</wp:posOffset>
            </wp:positionH>
            <wp:positionV relativeFrom="paragraph">
              <wp:posOffset>-718006</wp:posOffset>
            </wp:positionV>
            <wp:extent cx="1076241" cy="664234"/>
            <wp:effectExtent l="19050" t="0" r="0" b="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8"/>
                    <a:srcRect/>
                    <a:stretch>
                      <a:fillRect/>
                    </a:stretch>
                  </pic:blipFill>
                  <pic:spPr>
                    <a:xfrm>
                      <a:off x="0" y="0"/>
                      <a:ext cx="1076241" cy="664234"/>
                    </a:xfrm>
                    <a:prstGeom prst="rect">
                      <a:avLst/>
                    </a:prstGeom>
                    <a:noFill/>
                    <a:ln w="9525">
                      <a:noFill/>
                      <a:miter lim="800000"/>
                      <a:headEnd/>
                      <a:tailEnd/>
                    </a:ln>
                  </pic:spPr>
                </pic:pic>
              </a:graphicData>
            </a:graphic>
          </wp:anchor>
        </w:drawing>
      </w:r>
      <w:r w:rsidR="00FF5E07" w:rsidRPr="00FC1444">
        <w:rPr>
          <w:rFonts w:eastAsiaTheme="minorEastAsia"/>
          <w:b/>
          <w:noProof/>
          <w:kern w:val="0"/>
          <w:szCs w:val="21"/>
        </w:rPr>
        <w:drawing>
          <wp:anchor distT="0" distB="0" distL="114300" distR="114300" simplePos="0" relativeHeight="251854848" behindDoc="0" locked="0" layoutInCell="1" allowOverlap="1">
            <wp:simplePos x="0" y="0"/>
            <wp:positionH relativeFrom="column">
              <wp:posOffset>4526352</wp:posOffset>
            </wp:positionH>
            <wp:positionV relativeFrom="paragraph">
              <wp:posOffset>-4496375</wp:posOffset>
            </wp:positionV>
            <wp:extent cx="765954" cy="724619"/>
            <wp:effectExtent l="19050" t="0" r="0" b="0"/>
            <wp:wrapNone/>
            <wp:docPr id="681" name="图片 29" descr="E:\xwechat_files\wxid_mq55o8x17m3l21_57cf\temp\RWTemp\2026-09\9e20f478899dc29eb19741386f9343c8\cf5832beccbae337fe08c2bfaa8c1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wechat_files\wxid_mq55o8x17m3l21_57cf\temp\RWTemp\2026-09\9e20f478899dc29eb19741386f9343c8\cf5832beccbae337fe08c2bfaa8c1c9d.png"/>
                    <pic:cNvPicPr>
                      <a:picLocks noChangeAspect="1" noChangeArrowheads="1"/>
                    </pic:cNvPicPr>
                  </pic:nvPicPr>
                  <pic:blipFill>
                    <a:blip r:embed="rId23"/>
                    <a:srcRect/>
                    <a:stretch>
                      <a:fillRect/>
                    </a:stretch>
                  </pic:blipFill>
                  <pic:spPr bwMode="auto">
                    <a:xfrm>
                      <a:off x="0" y="0"/>
                      <a:ext cx="765954" cy="724619"/>
                    </a:xfrm>
                    <a:prstGeom prst="rect">
                      <a:avLst/>
                    </a:prstGeom>
                    <a:noFill/>
                    <a:ln w="9525">
                      <a:noFill/>
                      <a:miter lim="800000"/>
                      <a:headEnd/>
                      <a:tailEnd/>
                    </a:ln>
                  </pic:spPr>
                </pic:pic>
              </a:graphicData>
            </a:graphic>
          </wp:anchor>
        </w:drawing>
      </w:r>
      <w:r w:rsidR="00611CBA" w:rsidRPr="00FC1444">
        <w:rPr>
          <w:rFonts w:eastAsiaTheme="minorEastAsia"/>
          <w:b/>
          <w:kern w:val="0"/>
          <w:szCs w:val="21"/>
        </w:rPr>
        <w:t>图</w:t>
      </w:r>
      <w:r w:rsidR="00611CBA" w:rsidRPr="00FC1444">
        <w:rPr>
          <w:rFonts w:eastAsiaTheme="minorEastAsia"/>
          <w:b/>
          <w:kern w:val="0"/>
          <w:szCs w:val="21"/>
        </w:rPr>
        <w:t>2-8-</w:t>
      </w:r>
      <w:r w:rsidR="00B0065C" w:rsidRPr="00FC1444">
        <w:rPr>
          <w:rFonts w:eastAsiaTheme="minorEastAsia"/>
          <w:b/>
          <w:kern w:val="0"/>
          <w:szCs w:val="21"/>
        </w:rPr>
        <w:t>3</w:t>
      </w:r>
      <w:r w:rsidR="00611CBA" w:rsidRPr="00FC1444">
        <w:rPr>
          <w:rFonts w:eastAsiaTheme="minorEastAsia"/>
          <w:b/>
          <w:kern w:val="0"/>
          <w:szCs w:val="21"/>
        </w:rPr>
        <w:t>集中式饮用水源井位置、保护区范围与本项目工程灌溉井位置关系图（</w:t>
      </w:r>
      <w:r w:rsidR="00611CBA" w:rsidRPr="00FC1444">
        <w:rPr>
          <w:rFonts w:eastAsiaTheme="minorEastAsia"/>
          <w:b/>
          <w:kern w:val="0"/>
          <w:szCs w:val="21"/>
        </w:rPr>
        <w:t>2</w:t>
      </w:r>
      <w:r w:rsidR="00C23EB6" w:rsidRPr="00FC1444">
        <w:rPr>
          <w:rFonts w:eastAsiaTheme="minorEastAsia"/>
          <w:b/>
          <w:kern w:val="0"/>
          <w:szCs w:val="21"/>
        </w:rPr>
        <w:t>）</w:t>
      </w:r>
    </w:p>
    <w:p w:rsidR="007A1F1B" w:rsidRPr="00FC1444" w:rsidRDefault="007A1F1B">
      <w:pPr>
        <w:contextualSpacing/>
        <w:jc w:val="center"/>
        <w:rPr>
          <w:rFonts w:eastAsiaTheme="minorEastAsia"/>
          <w:b/>
          <w:kern w:val="0"/>
          <w:szCs w:val="21"/>
        </w:rPr>
        <w:sectPr w:rsidR="007A1F1B" w:rsidRPr="00FC1444">
          <w:pgSz w:w="11906" w:h="16838"/>
          <w:pgMar w:top="1440" w:right="1800" w:bottom="1440" w:left="1800" w:header="851" w:footer="992" w:gutter="0"/>
          <w:cols w:space="425"/>
          <w:docGrid w:type="lines" w:linePitch="312"/>
        </w:sectPr>
      </w:pPr>
    </w:p>
    <w:p w:rsidR="002A5A5E" w:rsidRPr="00FC1444" w:rsidRDefault="00611CBA">
      <w:pPr>
        <w:widowControl/>
        <w:tabs>
          <w:tab w:val="left" w:leader="middleDot" w:pos="7371"/>
        </w:tabs>
        <w:spacing w:before="100" w:beforeAutospacing="1" w:after="100" w:afterAutospacing="1"/>
        <w:jc w:val="left"/>
        <w:outlineLvl w:val="0"/>
        <w:rPr>
          <w:rFonts w:eastAsiaTheme="minorEastAsia"/>
          <w:b/>
          <w:kern w:val="0"/>
          <w:sz w:val="32"/>
          <w:szCs w:val="32"/>
        </w:rPr>
      </w:pPr>
      <w:bookmarkStart w:id="64" w:name="_Toc208906232"/>
      <w:r w:rsidRPr="00FC1444">
        <w:rPr>
          <w:rFonts w:eastAsiaTheme="minorEastAsia"/>
          <w:b/>
          <w:kern w:val="0"/>
          <w:sz w:val="32"/>
          <w:szCs w:val="32"/>
        </w:rPr>
        <w:lastRenderedPageBreak/>
        <w:t>3</w:t>
      </w:r>
      <w:r w:rsidRPr="00FC1444">
        <w:rPr>
          <w:rFonts w:eastAsiaTheme="minorEastAsia"/>
          <w:b/>
          <w:kern w:val="0"/>
          <w:sz w:val="32"/>
          <w:szCs w:val="32"/>
        </w:rPr>
        <w:t>建设项目工程分析</w:t>
      </w:r>
      <w:bookmarkEnd w:id="64"/>
    </w:p>
    <w:p w:rsidR="002A5A5E" w:rsidRPr="00FC1444" w:rsidRDefault="00611CBA">
      <w:pPr>
        <w:spacing w:before="100" w:beforeAutospacing="1" w:after="100" w:afterAutospacing="1"/>
        <w:jc w:val="left"/>
        <w:outlineLvl w:val="1"/>
        <w:rPr>
          <w:rFonts w:eastAsiaTheme="minorEastAsia"/>
          <w:b/>
          <w:bCs/>
          <w:kern w:val="44"/>
          <w:sz w:val="30"/>
          <w:szCs w:val="30"/>
        </w:rPr>
      </w:pPr>
      <w:bookmarkStart w:id="65" w:name="_Toc208906233"/>
      <w:r w:rsidRPr="00FC1444">
        <w:rPr>
          <w:rFonts w:eastAsiaTheme="minorEastAsia"/>
          <w:b/>
          <w:bCs/>
          <w:kern w:val="44"/>
          <w:sz w:val="30"/>
          <w:szCs w:val="30"/>
        </w:rPr>
        <w:t>3.1</w:t>
      </w:r>
      <w:r w:rsidRPr="00FC1444">
        <w:rPr>
          <w:rFonts w:eastAsiaTheme="minorEastAsia"/>
          <w:b/>
          <w:bCs/>
          <w:kern w:val="44"/>
          <w:sz w:val="30"/>
          <w:szCs w:val="30"/>
        </w:rPr>
        <w:t>原有工程回顾性分析</w:t>
      </w:r>
      <w:bookmarkEnd w:id="65"/>
    </w:p>
    <w:p w:rsidR="002A5A5E" w:rsidRPr="00FC1444" w:rsidRDefault="00611CBA">
      <w:pPr>
        <w:spacing w:before="100" w:beforeAutospacing="1" w:after="100" w:afterAutospacing="1" w:line="360" w:lineRule="auto"/>
        <w:contextualSpacing/>
        <w:outlineLvl w:val="2"/>
        <w:rPr>
          <w:rFonts w:eastAsiaTheme="minorEastAsia"/>
          <w:b/>
          <w:kern w:val="0"/>
          <w:sz w:val="28"/>
          <w:szCs w:val="28"/>
        </w:rPr>
      </w:pPr>
      <w:r w:rsidRPr="00FC1444">
        <w:rPr>
          <w:rFonts w:eastAsiaTheme="minorEastAsia"/>
          <w:b/>
          <w:kern w:val="0"/>
          <w:sz w:val="28"/>
          <w:szCs w:val="28"/>
        </w:rPr>
        <w:t>3.1.1</w:t>
      </w:r>
      <w:r w:rsidRPr="00FC1444">
        <w:rPr>
          <w:rFonts w:eastAsiaTheme="minorEastAsia"/>
          <w:b/>
          <w:kern w:val="0"/>
          <w:sz w:val="28"/>
          <w:szCs w:val="28"/>
        </w:rPr>
        <w:t>水源工程、排水工程现状</w:t>
      </w:r>
    </w:p>
    <w:p w:rsidR="00564E89" w:rsidRPr="00FC1444" w:rsidRDefault="00611CBA">
      <w:pPr>
        <w:pStyle w:val="aaa"/>
        <w:spacing w:line="360" w:lineRule="auto"/>
        <w:ind w:firstLine="480"/>
        <w:rPr>
          <w:rFonts w:eastAsiaTheme="minorEastAsia" w:hAnsi="Times New Roman"/>
        </w:rPr>
      </w:pPr>
      <w:r w:rsidRPr="00FC1444">
        <w:rPr>
          <w:rFonts w:eastAsiaTheme="minorEastAsia" w:hAnsi="Times New Roman"/>
        </w:rPr>
        <w:t>项目区域共</w:t>
      </w:r>
      <w:r w:rsidR="00D12015" w:rsidRPr="00FC1444">
        <w:rPr>
          <w:rFonts w:eastAsiaTheme="minorEastAsia" w:hAnsi="Times New Roman"/>
          <w:bCs/>
        </w:rPr>
        <w:t>11.84</w:t>
      </w:r>
      <w:r w:rsidRPr="00FC1444">
        <w:rPr>
          <w:rFonts w:eastAsiaTheme="minorEastAsia" w:hAnsi="Times New Roman"/>
          <w:bCs/>
          <w:snapToGrid w:val="0"/>
        </w:rPr>
        <w:t>万亩旱田，</w:t>
      </w:r>
      <w:r w:rsidR="00D12015" w:rsidRPr="00FC1444">
        <w:rPr>
          <w:rFonts w:eastAsiaTheme="minorEastAsia" w:hAnsi="Times New Roman"/>
          <w:bCs/>
          <w:snapToGrid w:val="0"/>
        </w:rPr>
        <w:t>均</w:t>
      </w:r>
      <w:r w:rsidRPr="00FC1444">
        <w:rPr>
          <w:rFonts w:eastAsiaTheme="minorEastAsia" w:hAnsi="Times New Roman"/>
        </w:rPr>
        <w:t>依靠天然降水。</w:t>
      </w:r>
    </w:p>
    <w:p w:rsidR="002A5A5E" w:rsidRPr="00FC1444" w:rsidRDefault="00611CBA">
      <w:pPr>
        <w:pStyle w:val="aaa"/>
        <w:spacing w:line="360" w:lineRule="auto"/>
        <w:ind w:firstLine="480"/>
        <w:rPr>
          <w:rFonts w:eastAsiaTheme="minorEastAsia" w:hAnsi="Times New Roman"/>
        </w:rPr>
      </w:pPr>
      <w:r w:rsidRPr="00FC1444">
        <w:rPr>
          <w:rFonts w:eastAsiaTheme="minorEastAsia" w:hAnsi="Times New Roman"/>
        </w:rPr>
        <w:t>项目区域共</w:t>
      </w:r>
      <w:r w:rsidR="00D12015" w:rsidRPr="00FC1444">
        <w:rPr>
          <w:rFonts w:eastAsiaTheme="minorEastAsia" w:hAnsi="Times New Roman"/>
        </w:rPr>
        <w:t>9.16</w:t>
      </w:r>
      <w:r w:rsidRPr="00FC1444">
        <w:rPr>
          <w:rFonts w:eastAsiaTheme="minorEastAsia" w:hAnsi="Times New Roman"/>
        </w:rPr>
        <w:t>万亩水田，</w:t>
      </w:r>
      <w:r w:rsidRPr="00FC1444">
        <w:rPr>
          <w:rFonts w:eastAsiaTheme="minorEastAsia" w:hAnsi="Times New Roman"/>
          <w:bCs/>
        </w:rPr>
        <w:t>水田采用</w:t>
      </w:r>
      <w:r w:rsidRPr="00FC1444">
        <w:rPr>
          <w:rFonts w:eastAsiaTheme="minorEastAsia" w:hAnsi="Times New Roman"/>
          <w:szCs w:val="21"/>
        </w:rPr>
        <w:t>地下水</w:t>
      </w:r>
      <w:r w:rsidRPr="00FC1444">
        <w:rPr>
          <w:rFonts w:eastAsiaTheme="minorEastAsia" w:hAnsi="Times New Roman"/>
          <w:bCs/>
        </w:rPr>
        <w:t>井灌的方式</w:t>
      </w:r>
      <w:r w:rsidR="00E37BA1" w:rsidRPr="00FC1444">
        <w:rPr>
          <w:rFonts w:eastAsiaTheme="minorEastAsia" w:hAnsi="Times New Roman"/>
          <w:bCs/>
        </w:rPr>
        <w:t>，</w:t>
      </w:r>
      <w:r w:rsidRPr="00FC1444">
        <w:rPr>
          <w:rFonts w:eastAsiaTheme="minorEastAsia" w:hAnsi="Times New Roman"/>
        </w:rPr>
        <w:t>农户自行抽取</w:t>
      </w:r>
      <w:r w:rsidR="00D12015" w:rsidRPr="00FC1444">
        <w:rPr>
          <w:rFonts w:eastAsiaTheme="minorEastAsia" w:hAnsi="Times New Roman"/>
        </w:rPr>
        <w:t>501</w:t>
      </w:r>
      <w:r w:rsidRPr="00FC1444">
        <w:rPr>
          <w:rFonts w:eastAsiaTheme="minorEastAsia" w:hAnsi="Times New Roman"/>
        </w:rPr>
        <w:t>眼机电井地下水进行灌溉，并且多年运行下来基</w:t>
      </w:r>
      <w:r w:rsidR="00760E2B" w:rsidRPr="00FC1444">
        <w:rPr>
          <w:rFonts w:eastAsiaTheme="minorEastAsia" w:hAnsi="Times New Roman"/>
        </w:rPr>
        <w:t>本能够满足水田的生长需求。本项目建设完成后，现有地下水井依然沿用</w:t>
      </w:r>
      <w:r w:rsidRPr="00FC1444">
        <w:rPr>
          <w:rFonts w:eastAsiaTheme="minorEastAsia" w:hAnsi="Times New Roman"/>
        </w:rPr>
        <w:t>。</w:t>
      </w:r>
    </w:p>
    <w:p w:rsidR="002A5A5E" w:rsidRPr="00FC1444" w:rsidRDefault="00611CBA">
      <w:pPr>
        <w:pStyle w:val="aaa"/>
        <w:spacing w:line="360" w:lineRule="auto"/>
        <w:ind w:firstLine="480"/>
        <w:rPr>
          <w:rFonts w:eastAsiaTheme="minorEastAsia" w:hAnsi="Times New Roman"/>
        </w:rPr>
      </w:pPr>
      <w:r w:rsidRPr="00FC1444">
        <w:rPr>
          <w:rFonts w:eastAsiaTheme="minorEastAsia" w:hAnsi="Times New Roman"/>
        </w:rPr>
        <w:t>（</w:t>
      </w:r>
      <w:r w:rsidRPr="00FC1444">
        <w:rPr>
          <w:rFonts w:eastAsiaTheme="minorEastAsia" w:hAnsi="Times New Roman"/>
        </w:rPr>
        <w:t>1</w:t>
      </w:r>
      <w:r w:rsidRPr="00FC1444">
        <w:rPr>
          <w:rFonts w:eastAsiaTheme="minorEastAsia" w:hAnsi="Times New Roman"/>
        </w:rPr>
        <w:t>）水源</w:t>
      </w:r>
    </w:p>
    <w:p w:rsidR="002A5A5E" w:rsidRPr="00FC1444" w:rsidRDefault="00611CBA">
      <w:pPr>
        <w:pStyle w:val="aaa"/>
        <w:spacing w:line="360" w:lineRule="auto"/>
        <w:ind w:firstLine="480"/>
        <w:rPr>
          <w:rFonts w:eastAsiaTheme="minorEastAsia" w:hAnsi="Times New Roman"/>
        </w:rPr>
      </w:pPr>
      <w:r w:rsidRPr="00FC1444">
        <w:rPr>
          <w:rFonts w:eastAsiaTheme="minorEastAsia" w:hAnsi="Times New Roman"/>
        </w:rPr>
        <w:t>项目区现有</w:t>
      </w:r>
      <w:r w:rsidR="00D12015" w:rsidRPr="00FC1444">
        <w:rPr>
          <w:rFonts w:eastAsiaTheme="minorEastAsia" w:hAnsi="Times New Roman"/>
        </w:rPr>
        <w:t>水田</w:t>
      </w:r>
      <w:r w:rsidRPr="00FC1444">
        <w:rPr>
          <w:rFonts w:eastAsiaTheme="minorEastAsia" w:hAnsi="Times New Roman"/>
        </w:rPr>
        <w:t>农业灌溉机电井</w:t>
      </w:r>
      <w:r w:rsidR="00D12015" w:rsidRPr="00FC1444">
        <w:rPr>
          <w:rFonts w:eastAsiaTheme="minorEastAsia" w:hAnsi="Times New Roman"/>
        </w:rPr>
        <w:t>501</w:t>
      </w:r>
      <w:r w:rsidRPr="00FC1444">
        <w:rPr>
          <w:rFonts w:eastAsiaTheme="minorEastAsia" w:hAnsi="Times New Roman"/>
        </w:rPr>
        <w:t>眼，现有机井运行状况良好，井深</w:t>
      </w:r>
      <w:r w:rsidR="00D12015" w:rsidRPr="00FC1444">
        <w:rPr>
          <w:rFonts w:eastAsiaTheme="minorEastAsia" w:hAnsi="Times New Roman"/>
        </w:rPr>
        <w:t>100</w:t>
      </w:r>
      <w:r w:rsidRPr="00FC1444">
        <w:rPr>
          <w:rFonts w:eastAsiaTheme="minorEastAsia" w:hAnsi="Times New Roman"/>
        </w:rPr>
        <w:t>m</w:t>
      </w:r>
      <w:r w:rsidRPr="00FC1444">
        <w:rPr>
          <w:rFonts w:eastAsiaTheme="minorEastAsia" w:hAnsi="Times New Roman"/>
        </w:rPr>
        <w:t>，单井出水量</w:t>
      </w:r>
      <w:r w:rsidR="00435915" w:rsidRPr="00FC1444">
        <w:rPr>
          <w:rFonts w:eastAsiaTheme="minorEastAsia" w:hAnsi="Times New Roman"/>
        </w:rPr>
        <w:t>30</w:t>
      </w:r>
      <w:r w:rsidRPr="00FC1444">
        <w:rPr>
          <w:rFonts w:eastAsiaTheme="minorEastAsia" w:hAnsi="Times New Roman"/>
        </w:rPr>
        <w:t>m³/h</w:t>
      </w:r>
      <w:r w:rsidRPr="00FC1444">
        <w:rPr>
          <w:rFonts w:eastAsiaTheme="minorEastAsia" w:hAnsi="Times New Roman"/>
        </w:rPr>
        <w:t>，取水层为第四系松散岩类孔隙承压水，均为农民自打井。</w:t>
      </w:r>
    </w:p>
    <w:p w:rsidR="002A5A5E" w:rsidRPr="00FC1444" w:rsidRDefault="00611CBA">
      <w:pPr>
        <w:pStyle w:val="aaa"/>
        <w:spacing w:line="360" w:lineRule="auto"/>
        <w:ind w:firstLine="480"/>
        <w:rPr>
          <w:rFonts w:eastAsiaTheme="minorEastAsia" w:hAnsi="Times New Roman"/>
        </w:rPr>
      </w:pPr>
      <w:r w:rsidRPr="00FC1444">
        <w:rPr>
          <w:rFonts w:eastAsiaTheme="minorEastAsia" w:hAnsi="Times New Roman"/>
        </w:rPr>
        <w:t>（</w:t>
      </w:r>
      <w:r w:rsidRPr="00FC1444">
        <w:rPr>
          <w:rFonts w:eastAsiaTheme="minorEastAsia" w:hAnsi="Times New Roman"/>
        </w:rPr>
        <w:t>2</w:t>
      </w:r>
      <w:r w:rsidRPr="00FC1444">
        <w:rPr>
          <w:rFonts w:eastAsiaTheme="minorEastAsia" w:hAnsi="Times New Roman"/>
        </w:rPr>
        <w:t>）现状用水量</w:t>
      </w:r>
    </w:p>
    <w:p w:rsidR="002A5A5E" w:rsidRPr="00FC1444" w:rsidRDefault="00611CBA">
      <w:pPr>
        <w:widowControl/>
        <w:spacing w:line="360" w:lineRule="auto"/>
        <w:ind w:firstLineChars="200" w:firstLine="422"/>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3-1-1</w:t>
      </w:r>
      <w:r w:rsidRPr="00FC1444">
        <w:rPr>
          <w:rFonts w:eastAsiaTheme="minorEastAsia"/>
          <w:b/>
          <w:kern w:val="0"/>
          <w:szCs w:val="21"/>
        </w:rPr>
        <w:t>水田区取水量表</w:t>
      </w:r>
    </w:p>
    <w:tbl>
      <w:tblPr>
        <w:tblW w:w="5000" w:type="pct"/>
        <w:tblBorders>
          <w:top w:val="single" w:sz="12" w:space="0" w:color="000000"/>
          <w:bottom w:val="single" w:sz="12" w:space="0" w:color="000000"/>
          <w:insideH w:val="single" w:sz="4" w:space="0" w:color="000000"/>
          <w:insideV w:val="single" w:sz="4" w:space="0" w:color="000000"/>
        </w:tblBorders>
        <w:tblLook w:val="04A0"/>
      </w:tblPr>
      <w:tblGrid>
        <w:gridCol w:w="1378"/>
        <w:gridCol w:w="1382"/>
        <w:gridCol w:w="1386"/>
        <w:gridCol w:w="1558"/>
        <w:gridCol w:w="1386"/>
        <w:gridCol w:w="1432"/>
      </w:tblGrid>
      <w:tr w:rsidR="002A5A5E" w:rsidRPr="00FC1444">
        <w:trPr>
          <w:trHeight w:val="403"/>
        </w:trPr>
        <w:tc>
          <w:tcPr>
            <w:tcW w:w="808" w:type="pct"/>
            <w:vMerge w:val="restart"/>
            <w:vAlign w:val="center"/>
          </w:tcPr>
          <w:p w:rsidR="002A5A5E" w:rsidRPr="00FC1444" w:rsidRDefault="00611CBA">
            <w:pPr>
              <w:widowControl/>
              <w:jc w:val="center"/>
              <w:textAlignment w:val="center"/>
              <w:rPr>
                <w:rFonts w:eastAsiaTheme="minorEastAsia"/>
                <w:szCs w:val="21"/>
              </w:rPr>
            </w:pPr>
            <w:r w:rsidRPr="00FC1444">
              <w:rPr>
                <w:rFonts w:eastAsiaTheme="minorEastAsia"/>
                <w:kern w:val="0"/>
                <w:szCs w:val="21"/>
              </w:rPr>
              <w:t>水源</w:t>
            </w:r>
          </w:p>
        </w:tc>
        <w:tc>
          <w:tcPr>
            <w:tcW w:w="811" w:type="pct"/>
            <w:vMerge w:val="restart"/>
            <w:vAlign w:val="center"/>
          </w:tcPr>
          <w:p w:rsidR="002A5A5E" w:rsidRPr="00FC1444" w:rsidRDefault="00611CBA">
            <w:pPr>
              <w:widowControl/>
              <w:jc w:val="center"/>
              <w:textAlignment w:val="center"/>
              <w:rPr>
                <w:rFonts w:eastAsiaTheme="minorEastAsia"/>
                <w:szCs w:val="21"/>
              </w:rPr>
            </w:pPr>
            <w:r w:rsidRPr="00FC1444">
              <w:rPr>
                <w:rFonts w:eastAsiaTheme="minorEastAsia"/>
                <w:kern w:val="0"/>
                <w:szCs w:val="21"/>
              </w:rPr>
              <w:t>灌溉方式</w:t>
            </w:r>
          </w:p>
        </w:tc>
        <w:tc>
          <w:tcPr>
            <w:tcW w:w="813" w:type="pct"/>
            <w:vAlign w:val="center"/>
          </w:tcPr>
          <w:p w:rsidR="002A5A5E" w:rsidRPr="00FC1444" w:rsidRDefault="00611CBA">
            <w:pPr>
              <w:widowControl/>
              <w:jc w:val="center"/>
              <w:textAlignment w:val="center"/>
              <w:rPr>
                <w:rFonts w:eastAsiaTheme="minorEastAsia"/>
                <w:szCs w:val="21"/>
              </w:rPr>
            </w:pPr>
            <w:r w:rsidRPr="00FC1444">
              <w:rPr>
                <w:rFonts w:eastAsiaTheme="minorEastAsia"/>
                <w:kern w:val="0"/>
                <w:szCs w:val="21"/>
              </w:rPr>
              <w:t>灌溉面积</w:t>
            </w:r>
          </w:p>
        </w:tc>
        <w:tc>
          <w:tcPr>
            <w:tcW w:w="914" w:type="pct"/>
            <w:vAlign w:val="center"/>
          </w:tcPr>
          <w:p w:rsidR="002A5A5E" w:rsidRPr="00FC1444" w:rsidRDefault="005160F5" w:rsidP="00FE2486">
            <w:pPr>
              <w:widowControl/>
              <w:jc w:val="center"/>
              <w:textAlignment w:val="center"/>
              <w:rPr>
                <w:rFonts w:eastAsiaTheme="minorEastAsia"/>
                <w:szCs w:val="21"/>
              </w:rPr>
            </w:pPr>
            <w:r w:rsidRPr="00FC1444">
              <w:rPr>
                <w:rFonts w:eastAsiaTheme="minorEastAsia"/>
                <w:kern w:val="0"/>
                <w:szCs w:val="21"/>
              </w:rPr>
              <w:t>灌溉</w:t>
            </w:r>
            <w:r w:rsidR="00611CBA" w:rsidRPr="00FC1444">
              <w:rPr>
                <w:rFonts w:eastAsiaTheme="minorEastAsia"/>
                <w:kern w:val="0"/>
                <w:szCs w:val="21"/>
              </w:rPr>
              <w:t>定额</w:t>
            </w:r>
          </w:p>
        </w:tc>
        <w:tc>
          <w:tcPr>
            <w:tcW w:w="813" w:type="pct"/>
            <w:vMerge w:val="restart"/>
            <w:vAlign w:val="center"/>
          </w:tcPr>
          <w:p w:rsidR="002A5A5E" w:rsidRPr="00FC1444" w:rsidRDefault="00611CBA">
            <w:pPr>
              <w:widowControl/>
              <w:jc w:val="center"/>
              <w:textAlignment w:val="center"/>
              <w:rPr>
                <w:rFonts w:eastAsiaTheme="minorEastAsia"/>
                <w:szCs w:val="21"/>
              </w:rPr>
            </w:pPr>
            <w:r w:rsidRPr="00FC1444">
              <w:rPr>
                <w:rFonts w:eastAsiaTheme="minorEastAsia"/>
                <w:kern w:val="0"/>
                <w:szCs w:val="21"/>
              </w:rPr>
              <w:t>灌溉水利用系数</w:t>
            </w:r>
          </w:p>
        </w:tc>
        <w:tc>
          <w:tcPr>
            <w:tcW w:w="840" w:type="pct"/>
            <w:vAlign w:val="center"/>
          </w:tcPr>
          <w:p w:rsidR="002A5A5E" w:rsidRPr="00FC1444" w:rsidRDefault="00611CBA">
            <w:pPr>
              <w:widowControl/>
              <w:jc w:val="center"/>
              <w:textAlignment w:val="center"/>
              <w:rPr>
                <w:rFonts w:eastAsiaTheme="minorEastAsia"/>
                <w:szCs w:val="21"/>
              </w:rPr>
            </w:pPr>
            <w:r w:rsidRPr="00FC1444">
              <w:rPr>
                <w:rFonts w:eastAsiaTheme="minorEastAsia"/>
                <w:kern w:val="0"/>
                <w:szCs w:val="21"/>
              </w:rPr>
              <w:t>取水量</w:t>
            </w:r>
          </w:p>
        </w:tc>
      </w:tr>
      <w:tr w:rsidR="002A5A5E" w:rsidRPr="00FC1444" w:rsidTr="00E37BA1">
        <w:trPr>
          <w:trHeight w:val="303"/>
        </w:trPr>
        <w:tc>
          <w:tcPr>
            <w:tcW w:w="808" w:type="pct"/>
            <w:vMerge/>
            <w:vAlign w:val="center"/>
          </w:tcPr>
          <w:p w:rsidR="002A5A5E" w:rsidRPr="00FC1444" w:rsidRDefault="002A5A5E">
            <w:pPr>
              <w:widowControl/>
              <w:jc w:val="center"/>
              <w:rPr>
                <w:rFonts w:eastAsiaTheme="minorEastAsia"/>
                <w:szCs w:val="21"/>
              </w:rPr>
            </w:pPr>
          </w:p>
        </w:tc>
        <w:tc>
          <w:tcPr>
            <w:tcW w:w="811" w:type="pct"/>
            <w:vMerge/>
            <w:vAlign w:val="center"/>
          </w:tcPr>
          <w:p w:rsidR="002A5A5E" w:rsidRPr="00FC1444" w:rsidRDefault="002A5A5E">
            <w:pPr>
              <w:widowControl/>
              <w:jc w:val="center"/>
              <w:rPr>
                <w:rFonts w:eastAsiaTheme="minorEastAsia"/>
                <w:szCs w:val="21"/>
              </w:rPr>
            </w:pPr>
          </w:p>
        </w:tc>
        <w:tc>
          <w:tcPr>
            <w:tcW w:w="813" w:type="pct"/>
            <w:vAlign w:val="center"/>
          </w:tcPr>
          <w:p w:rsidR="002A5A5E" w:rsidRPr="00FC1444" w:rsidRDefault="00611CBA">
            <w:pPr>
              <w:widowControl/>
              <w:jc w:val="center"/>
              <w:textAlignment w:val="center"/>
              <w:rPr>
                <w:rFonts w:eastAsiaTheme="minorEastAsia"/>
                <w:szCs w:val="21"/>
              </w:rPr>
            </w:pPr>
            <w:r w:rsidRPr="00FC1444">
              <w:rPr>
                <w:rFonts w:eastAsiaTheme="minorEastAsia"/>
                <w:kern w:val="0"/>
                <w:szCs w:val="21"/>
              </w:rPr>
              <w:t>（万亩）</w:t>
            </w:r>
          </w:p>
        </w:tc>
        <w:tc>
          <w:tcPr>
            <w:tcW w:w="914" w:type="pct"/>
            <w:vAlign w:val="center"/>
          </w:tcPr>
          <w:p w:rsidR="002A5A5E" w:rsidRPr="00FC1444" w:rsidRDefault="00611CBA">
            <w:pPr>
              <w:widowControl/>
              <w:jc w:val="center"/>
              <w:textAlignment w:val="center"/>
              <w:rPr>
                <w:rFonts w:eastAsiaTheme="minorEastAsia"/>
                <w:szCs w:val="21"/>
              </w:rPr>
            </w:pPr>
            <w:r w:rsidRPr="00FC1444">
              <w:rPr>
                <w:rFonts w:eastAsiaTheme="minorEastAsia"/>
                <w:kern w:val="0"/>
                <w:szCs w:val="21"/>
              </w:rPr>
              <w:t>m</w:t>
            </w:r>
            <w:r w:rsidRPr="00FC1444">
              <w:rPr>
                <w:rFonts w:eastAsiaTheme="minorEastAsia"/>
                <w:kern w:val="0"/>
                <w:szCs w:val="21"/>
                <w:vertAlign w:val="superscript"/>
              </w:rPr>
              <w:t>3</w:t>
            </w:r>
            <w:r w:rsidRPr="00FC1444">
              <w:rPr>
                <w:rFonts w:eastAsiaTheme="minorEastAsia"/>
                <w:kern w:val="0"/>
                <w:szCs w:val="21"/>
              </w:rPr>
              <w:t>/</w:t>
            </w:r>
            <w:r w:rsidRPr="00FC1444">
              <w:rPr>
                <w:rFonts w:eastAsiaTheme="minorEastAsia"/>
                <w:kern w:val="0"/>
                <w:szCs w:val="21"/>
              </w:rPr>
              <w:t>亩</w:t>
            </w:r>
          </w:p>
        </w:tc>
        <w:tc>
          <w:tcPr>
            <w:tcW w:w="813" w:type="pct"/>
            <w:vMerge/>
            <w:vAlign w:val="center"/>
          </w:tcPr>
          <w:p w:rsidR="002A5A5E" w:rsidRPr="00FC1444" w:rsidRDefault="002A5A5E">
            <w:pPr>
              <w:widowControl/>
              <w:jc w:val="center"/>
              <w:rPr>
                <w:rFonts w:eastAsiaTheme="minorEastAsia"/>
                <w:szCs w:val="21"/>
              </w:rPr>
            </w:pPr>
          </w:p>
        </w:tc>
        <w:tc>
          <w:tcPr>
            <w:tcW w:w="840" w:type="pct"/>
            <w:vAlign w:val="center"/>
          </w:tcPr>
          <w:p w:rsidR="002A5A5E" w:rsidRPr="00FC1444" w:rsidRDefault="00611CBA">
            <w:pPr>
              <w:widowControl/>
              <w:jc w:val="center"/>
              <w:textAlignment w:val="center"/>
              <w:rPr>
                <w:rFonts w:eastAsiaTheme="minorEastAsia"/>
                <w:szCs w:val="21"/>
              </w:rPr>
            </w:pPr>
            <w:r w:rsidRPr="00FC1444">
              <w:rPr>
                <w:rFonts w:eastAsiaTheme="minorEastAsia"/>
                <w:kern w:val="0"/>
                <w:szCs w:val="21"/>
              </w:rPr>
              <w:t>（万</w:t>
            </w:r>
            <w:r w:rsidRPr="00FC1444">
              <w:rPr>
                <w:rFonts w:eastAsiaTheme="minorEastAsia"/>
                <w:kern w:val="0"/>
                <w:szCs w:val="21"/>
              </w:rPr>
              <w:t>m</w:t>
            </w:r>
            <w:r w:rsidRPr="00FC1444">
              <w:rPr>
                <w:rFonts w:eastAsiaTheme="minorEastAsia"/>
                <w:kern w:val="0"/>
                <w:szCs w:val="21"/>
                <w:vertAlign w:val="superscript"/>
              </w:rPr>
              <w:t>3</w:t>
            </w:r>
            <w:r w:rsidRPr="00FC1444">
              <w:rPr>
                <w:rFonts w:eastAsiaTheme="minorEastAsia"/>
                <w:kern w:val="0"/>
                <w:szCs w:val="21"/>
              </w:rPr>
              <w:t>）</w:t>
            </w:r>
          </w:p>
        </w:tc>
      </w:tr>
      <w:tr w:rsidR="002A5A5E" w:rsidRPr="00FC1444">
        <w:trPr>
          <w:trHeight w:val="272"/>
        </w:trPr>
        <w:tc>
          <w:tcPr>
            <w:tcW w:w="808" w:type="pct"/>
            <w:noWrap/>
            <w:vAlign w:val="center"/>
          </w:tcPr>
          <w:p w:rsidR="002A5A5E" w:rsidRPr="00FC1444" w:rsidRDefault="00611CBA">
            <w:pPr>
              <w:widowControl/>
              <w:jc w:val="center"/>
              <w:textAlignment w:val="center"/>
              <w:rPr>
                <w:rFonts w:eastAsiaTheme="minorEastAsia"/>
                <w:szCs w:val="21"/>
              </w:rPr>
            </w:pPr>
            <w:r w:rsidRPr="00FC1444">
              <w:rPr>
                <w:rFonts w:eastAsiaTheme="minorEastAsia"/>
                <w:kern w:val="0"/>
                <w:szCs w:val="21"/>
              </w:rPr>
              <w:t>地下水</w:t>
            </w:r>
          </w:p>
        </w:tc>
        <w:tc>
          <w:tcPr>
            <w:tcW w:w="811" w:type="pct"/>
            <w:noWrap/>
            <w:vAlign w:val="center"/>
          </w:tcPr>
          <w:p w:rsidR="002A5A5E" w:rsidRPr="00FC1444" w:rsidRDefault="00611CBA">
            <w:pPr>
              <w:widowControl/>
              <w:jc w:val="center"/>
              <w:textAlignment w:val="center"/>
              <w:rPr>
                <w:rFonts w:eastAsiaTheme="minorEastAsia"/>
                <w:szCs w:val="21"/>
              </w:rPr>
            </w:pPr>
            <w:r w:rsidRPr="00FC1444">
              <w:rPr>
                <w:rFonts w:eastAsiaTheme="minorEastAsia"/>
                <w:kern w:val="0"/>
                <w:szCs w:val="21"/>
              </w:rPr>
              <w:t>井灌</w:t>
            </w:r>
          </w:p>
        </w:tc>
        <w:tc>
          <w:tcPr>
            <w:tcW w:w="813" w:type="pct"/>
            <w:noWrap/>
            <w:vAlign w:val="center"/>
          </w:tcPr>
          <w:p w:rsidR="002A5A5E" w:rsidRPr="00FC1444" w:rsidRDefault="004443BA">
            <w:pPr>
              <w:widowControl/>
              <w:jc w:val="center"/>
              <w:textAlignment w:val="center"/>
              <w:rPr>
                <w:rFonts w:eastAsiaTheme="minorEastAsia"/>
                <w:szCs w:val="21"/>
              </w:rPr>
            </w:pPr>
            <w:r w:rsidRPr="00FC1444">
              <w:rPr>
                <w:rFonts w:eastAsiaTheme="minorEastAsia"/>
                <w:kern w:val="0"/>
                <w:szCs w:val="21"/>
              </w:rPr>
              <w:t>9.16</w:t>
            </w:r>
          </w:p>
        </w:tc>
        <w:tc>
          <w:tcPr>
            <w:tcW w:w="914" w:type="pct"/>
            <w:vAlign w:val="center"/>
          </w:tcPr>
          <w:p w:rsidR="002A5A5E" w:rsidRPr="00FC1444" w:rsidRDefault="000B5DD1">
            <w:pPr>
              <w:widowControl/>
              <w:jc w:val="center"/>
              <w:textAlignment w:val="center"/>
              <w:rPr>
                <w:rFonts w:eastAsiaTheme="minorEastAsia"/>
                <w:szCs w:val="21"/>
              </w:rPr>
            </w:pPr>
            <w:r w:rsidRPr="00FC1444">
              <w:rPr>
                <w:rFonts w:eastAsiaTheme="minorEastAsia"/>
                <w:kern w:val="0"/>
                <w:szCs w:val="21"/>
              </w:rPr>
              <w:t>685</w:t>
            </w:r>
          </w:p>
        </w:tc>
        <w:tc>
          <w:tcPr>
            <w:tcW w:w="813" w:type="pct"/>
            <w:noWrap/>
            <w:vAlign w:val="center"/>
          </w:tcPr>
          <w:p w:rsidR="002A5A5E" w:rsidRPr="00FC1444" w:rsidRDefault="00611CBA">
            <w:pPr>
              <w:widowControl/>
              <w:jc w:val="center"/>
              <w:textAlignment w:val="center"/>
              <w:rPr>
                <w:rFonts w:eastAsiaTheme="minorEastAsia"/>
                <w:szCs w:val="21"/>
              </w:rPr>
            </w:pPr>
            <w:r w:rsidRPr="00FC1444">
              <w:rPr>
                <w:rFonts w:eastAsiaTheme="minorEastAsia"/>
                <w:kern w:val="0"/>
                <w:szCs w:val="21"/>
              </w:rPr>
              <w:t>0.67</w:t>
            </w:r>
          </w:p>
        </w:tc>
        <w:tc>
          <w:tcPr>
            <w:tcW w:w="840" w:type="pct"/>
            <w:noWrap/>
            <w:vAlign w:val="center"/>
          </w:tcPr>
          <w:p w:rsidR="002A5A5E" w:rsidRPr="00FC1444" w:rsidRDefault="004443BA">
            <w:pPr>
              <w:widowControl/>
              <w:jc w:val="center"/>
              <w:textAlignment w:val="center"/>
              <w:rPr>
                <w:rFonts w:eastAsiaTheme="minorEastAsia"/>
                <w:szCs w:val="21"/>
              </w:rPr>
            </w:pPr>
            <w:r w:rsidRPr="00FC1444">
              <w:rPr>
                <w:rFonts w:eastAsiaTheme="minorEastAsia"/>
                <w:kern w:val="0"/>
                <w:szCs w:val="21"/>
              </w:rPr>
              <w:t>6274.6</w:t>
            </w:r>
          </w:p>
        </w:tc>
      </w:tr>
    </w:tbl>
    <w:p w:rsidR="002A5A5E" w:rsidRPr="00FC1444" w:rsidRDefault="00611CBA">
      <w:pPr>
        <w:pStyle w:val="aaa"/>
        <w:spacing w:line="360" w:lineRule="auto"/>
        <w:ind w:firstLine="480"/>
        <w:rPr>
          <w:rFonts w:eastAsiaTheme="minorEastAsia" w:hAnsi="Times New Roman"/>
        </w:rPr>
      </w:pPr>
      <w:r w:rsidRPr="00FC1444">
        <w:rPr>
          <w:rFonts w:eastAsiaTheme="minorEastAsia" w:hAnsi="Times New Roman"/>
        </w:rPr>
        <w:t>（</w:t>
      </w:r>
      <w:r w:rsidRPr="00FC1444">
        <w:rPr>
          <w:rFonts w:eastAsiaTheme="minorEastAsia" w:hAnsi="Times New Roman"/>
        </w:rPr>
        <w:t>3</w:t>
      </w:r>
      <w:r w:rsidRPr="00FC1444">
        <w:rPr>
          <w:rFonts w:eastAsiaTheme="minorEastAsia" w:hAnsi="Times New Roman"/>
        </w:rPr>
        <w:t>）排水工程</w:t>
      </w:r>
    </w:p>
    <w:p w:rsidR="002A5A5E" w:rsidRPr="00FC1444" w:rsidRDefault="00E456D6" w:rsidP="00E456D6">
      <w:pPr>
        <w:widowControl/>
        <w:spacing w:line="360" w:lineRule="auto"/>
        <w:ind w:firstLineChars="200" w:firstLine="480"/>
        <w:rPr>
          <w:rFonts w:eastAsiaTheme="minorEastAsia"/>
          <w:sz w:val="24"/>
        </w:rPr>
      </w:pPr>
      <w:r w:rsidRPr="00FC1444">
        <w:rPr>
          <w:rFonts w:eastAsiaTheme="minorEastAsia" w:hint="eastAsia"/>
          <w:sz w:val="24"/>
        </w:rPr>
        <w:t>项目区排水工程已基本形成规模，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Pr="00FC1444">
        <w:rPr>
          <w:kern w:val="0"/>
          <w:sz w:val="24"/>
        </w:rPr>
        <w:t>本项目现有水田排污口位于绥胜干沟及原有沟，属于自然沟渠</w:t>
      </w:r>
      <w:r w:rsidR="00DE0D88" w:rsidRPr="00FC1444">
        <w:rPr>
          <w:kern w:val="0"/>
          <w:sz w:val="24"/>
        </w:rPr>
        <w:t>，经咨询当地相关管理部门，无需进行审批登记管理，不进行管控。</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3.1.2</w:t>
      </w:r>
      <w:r w:rsidRPr="00FC1444">
        <w:rPr>
          <w:rFonts w:eastAsiaTheme="minorEastAsia"/>
          <w:b/>
          <w:sz w:val="28"/>
          <w:szCs w:val="28"/>
        </w:rPr>
        <w:t>工程区内现有工程现状</w:t>
      </w:r>
    </w:p>
    <w:p w:rsidR="002A5A5E" w:rsidRPr="00FC1444" w:rsidRDefault="004443BA">
      <w:pPr>
        <w:widowControl/>
        <w:spacing w:line="360" w:lineRule="auto"/>
        <w:ind w:firstLineChars="200" w:firstLine="480"/>
        <w:rPr>
          <w:rFonts w:eastAsiaTheme="minorEastAsia"/>
          <w:kern w:val="0"/>
          <w:sz w:val="24"/>
        </w:rPr>
      </w:pPr>
      <w:r w:rsidRPr="00FC1444">
        <w:rPr>
          <w:rFonts w:eastAsiaTheme="minorEastAsia"/>
          <w:sz w:val="24"/>
        </w:rPr>
        <w:t>机电井：项目区土地以耕地为主，耕地种植以粮食为重点</w:t>
      </w:r>
      <w:r w:rsidR="00611CBA" w:rsidRPr="00FC1444">
        <w:rPr>
          <w:rFonts w:eastAsiaTheme="minorEastAsia"/>
          <w:sz w:val="24"/>
        </w:rPr>
        <w:t>，水田灌溉方式均为地下水井灌。项目区现有农业灌溉机电井</w:t>
      </w:r>
      <w:r w:rsidRPr="00FC1444">
        <w:rPr>
          <w:rFonts w:eastAsiaTheme="minorEastAsia"/>
          <w:sz w:val="24"/>
        </w:rPr>
        <w:t>501</w:t>
      </w:r>
      <w:r w:rsidR="00611CBA" w:rsidRPr="00FC1444">
        <w:rPr>
          <w:rFonts w:eastAsiaTheme="minorEastAsia"/>
          <w:sz w:val="24"/>
        </w:rPr>
        <w:t>眼，现有机井运行状况良好，井</w:t>
      </w:r>
      <w:r w:rsidR="00611CBA" w:rsidRPr="00FC1444">
        <w:rPr>
          <w:rFonts w:eastAsiaTheme="minorEastAsia"/>
          <w:sz w:val="24"/>
        </w:rPr>
        <w:lastRenderedPageBreak/>
        <w:t>深</w:t>
      </w:r>
      <w:r w:rsidRPr="00FC1444">
        <w:rPr>
          <w:rFonts w:eastAsiaTheme="minorEastAsia"/>
          <w:sz w:val="24"/>
        </w:rPr>
        <w:t>100</w:t>
      </w:r>
      <w:r w:rsidR="00611CBA" w:rsidRPr="00FC1444">
        <w:rPr>
          <w:rFonts w:eastAsiaTheme="minorEastAsia"/>
          <w:sz w:val="24"/>
        </w:rPr>
        <w:t>m</w:t>
      </w:r>
      <w:r w:rsidR="00611CBA" w:rsidRPr="00FC1444">
        <w:rPr>
          <w:rFonts w:eastAsiaTheme="minorEastAsia"/>
          <w:sz w:val="24"/>
        </w:rPr>
        <w:t>，单井出水量</w:t>
      </w:r>
      <w:r w:rsidR="00A575CC" w:rsidRPr="00FC1444">
        <w:rPr>
          <w:rFonts w:eastAsiaTheme="minorEastAsia"/>
          <w:sz w:val="24"/>
        </w:rPr>
        <w:t>30</w:t>
      </w:r>
      <w:r w:rsidR="00611CBA" w:rsidRPr="00FC1444">
        <w:rPr>
          <w:rFonts w:eastAsiaTheme="minorEastAsia"/>
          <w:sz w:val="24"/>
        </w:rPr>
        <w:t>m³/h</w:t>
      </w:r>
      <w:r w:rsidR="00611CBA" w:rsidRPr="00FC1444">
        <w:rPr>
          <w:rFonts w:eastAsiaTheme="minorEastAsia"/>
          <w:sz w:val="24"/>
        </w:rPr>
        <w:t>，取水层为</w:t>
      </w:r>
      <w:r w:rsidR="0079178B" w:rsidRPr="00FC1444">
        <w:rPr>
          <w:rFonts w:eastAsiaTheme="minorEastAsia"/>
          <w:sz w:val="24"/>
        </w:rPr>
        <w:t>承压水</w:t>
      </w:r>
      <w:r w:rsidR="00611CBA" w:rsidRPr="00FC1444">
        <w:rPr>
          <w:rFonts w:eastAsiaTheme="minorEastAsia"/>
          <w:sz w:val="24"/>
        </w:rPr>
        <w:t>。井管均为钢管，现有农业灌溉机电井均为种植户自发建设，后期维护均由种植户自行承担解决，费用较高。春季干旱时旱作地区仅部分实施了坐水种灌溉，地下水开采率不足</w:t>
      </w:r>
      <w:r w:rsidR="00611CBA" w:rsidRPr="00FC1444">
        <w:rPr>
          <w:rFonts w:eastAsiaTheme="minorEastAsia"/>
          <w:sz w:val="24"/>
        </w:rPr>
        <w:t>50%</w:t>
      </w:r>
      <w:r w:rsidR="00611CBA" w:rsidRPr="00FC1444">
        <w:rPr>
          <w:rFonts w:eastAsiaTheme="minorEastAsia"/>
          <w:sz w:val="24"/>
        </w:rPr>
        <w:t>，水田区由于基础设施薄弱，起井费用较大，严重影响农民增收。干旱制约着农业生产健康发展，投入能力不足，基础设施薄弱，水源开发不到位，农业生产和农业经济稳定性发展保障力不强，不能完全解决靠天吃饭的状态，作物产量没有保障，旱作区急需增加抗旱水源工程，水田区急需解决现有井配电问题</w:t>
      </w:r>
      <w:r w:rsidR="00611CBA" w:rsidRPr="00FC1444">
        <w:rPr>
          <w:rFonts w:eastAsiaTheme="minorEastAsia"/>
          <w:kern w:val="0"/>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田间灌溉渠道：根据当地的种植习惯，水田种植作物为水稻，由种植户自行利用原有地上渠，进行自流或二级提水灌溉，在干旱时期启用补水井。多年运行上游渠道跑漏水。水资源浪费严重，灌区无法发挥效益，项目区内渠道急需治理。</w:t>
      </w:r>
    </w:p>
    <w:p w:rsidR="002A5A5E" w:rsidRPr="00FC1444" w:rsidRDefault="00611CBA">
      <w:pPr>
        <w:widowControl/>
        <w:spacing w:line="360" w:lineRule="auto"/>
        <w:ind w:firstLineChars="200" w:firstLine="480"/>
        <w:rPr>
          <w:rFonts w:eastAsiaTheme="minorEastAsia"/>
          <w:sz w:val="24"/>
        </w:rPr>
      </w:pPr>
      <w:r w:rsidRPr="00FC1444">
        <w:rPr>
          <w:rFonts w:eastAsiaTheme="minorEastAsia"/>
          <w:sz w:val="24"/>
        </w:rPr>
        <w:t>建筑物：项目区内现有田间建筑物大多数为简易涵管，涵管直径一般在</w:t>
      </w:r>
      <w:r w:rsidR="00231C56" w:rsidRPr="00FC1444">
        <w:rPr>
          <w:rFonts w:eastAsiaTheme="minorEastAsia"/>
          <w:sz w:val="24"/>
        </w:rPr>
        <w:t>φ6</w:t>
      </w:r>
      <w:r w:rsidRPr="00FC1444">
        <w:rPr>
          <w:rFonts w:eastAsiaTheme="minorEastAsia"/>
          <w:sz w:val="24"/>
        </w:rPr>
        <w:t>0</w:t>
      </w:r>
      <w:r w:rsidRPr="00FC1444">
        <w:rPr>
          <w:rFonts w:eastAsiaTheme="minorEastAsia"/>
          <w:sz w:val="24"/>
        </w:rPr>
        <w:t>～</w:t>
      </w:r>
      <w:r w:rsidRPr="00FC1444">
        <w:rPr>
          <w:rFonts w:eastAsiaTheme="minorEastAsia"/>
          <w:sz w:val="24"/>
        </w:rPr>
        <w:t>φ100</w:t>
      </w:r>
      <w:r w:rsidRPr="00FC1444">
        <w:rPr>
          <w:rFonts w:eastAsiaTheme="minorEastAsia"/>
          <w:sz w:val="24"/>
        </w:rPr>
        <w:t>之间，洞径较小且部分破损严重无法继续使用，现有桥涵多为简易圆涵标准较低，不利于机耕，降低了农机作业效率，增加了生产经营成本，急需新建。本次规划对项目区内洞径较小不满足排水要求、破损严重不满足交通要求的涵洞进行拆除重建，新建后过路涵洞均为有基涵洞，保证项目区内交通、排水要求。</w:t>
      </w:r>
    </w:p>
    <w:p w:rsidR="002A5A5E" w:rsidRPr="00FC1444" w:rsidRDefault="00611CBA">
      <w:pPr>
        <w:widowControl/>
        <w:spacing w:line="360" w:lineRule="auto"/>
        <w:ind w:firstLineChars="200" w:firstLine="480"/>
        <w:rPr>
          <w:rFonts w:eastAsiaTheme="minorEastAsia"/>
          <w:sz w:val="24"/>
        </w:rPr>
      </w:pPr>
      <w:r w:rsidRPr="00FC1444">
        <w:rPr>
          <w:rFonts w:eastAsiaTheme="minorEastAsia"/>
          <w:sz w:val="24"/>
        </w:rPr>
        <w:t>交通：项目区内有村村通贯穿项目区，对外交通方便，项目区内路网也已基本形成，现状村村通水泥路面均为四级公路标准，满足项目建设交通和材料运输的要求。本次对项目区内村村通道路完全利用，这些道路是项目区对外交通重要保障。但现有田间道路标准较低、土路面、基本无路基，部分路段翻浆比较严重，宽度在</w:t>
      </w:r>
      <w:r w:rsidRPr="00FC1444">
        <w:rPr>
          <w:rFonts w:eastAsiaTheme="minorEastAsia"/>
          <w:sz w:val="24"/>
        </w:rPr>
        <w:t>3.5m</w:t>
      </w:r>
      <w:r w:rsidRPr="00FC1444">
        <w:rPr>
          <w:rFonts w:eastAsiaTheme="minorEastAsia"/>
          <w:sz w:val="24"/>
        </w:rPr>
        <w:t>～</w:t>
      </w:r>
      <w:r w:rsidRPr="00FC1444">
        <w:rPr>
          <w:rFonts w:eastAsiaTheme="minorEastAsia"/>
          <w:sz w:val="24"/>
        </w:rPr>
        <w:t>5.5m</w:t>
      </w:r>
      <w:r w:rsidRPr="00FC1444">
        <w:rPr>
          <w:rFonts w:eastAsiaTheme="minorEastAsia"/>
          <w:sz w:val="24"/>
        </w:rPr>
        <w:t>之间。项目区地势起伏跌宕，由于年久失修，多数道路破坏比较严重，加上道路不进行管护，破坏比较严重，路面排水，路面积水严重排水不畅，雨天泥泞难行，直接给农业生产、运输、经营造成影响，应对田间道路进行全面规划建设。</w:t>
      </w:r>
    </w:p>
    <w:p w:rsidR="002A5A5E" w:rsidRPr="00FC1444" w:rsidRDefault="00611CBA">
      <w:pPr>
        <w:widowControl/>
        <w:spacing w:line="360" w:lineRule="auto"/>
        <w:ind w:firstLineChars="200" w:firstLine="480"/>
        <w:rPr>
          <w:rFonts w:eastAsiaTheme="minorEastAsia"/>
          <w:sz w:val="24"/>
        </w:rPr>
      </w:pPr>
      <w:r w:rsidRPr="00FC1444">
        <w:rPr>
          <w:rFonts w:eastAsiaTheme="minorEastAsia"/>
          <w:sz w:val="24"/>
        </w:rPr>
        <w:t>电力设施：</w:t>
      </w:r>
      <w:bookmarkStart w:id="66" w:name="_Toc29328"/>
      <w:r w:rsidRPr="00FC1444">
        <w:rPr>
          <w:rFonts w:eastAsiaTheme="minorEastAsia"/>
          <w:sz w:val="24"/>
        </w:rPr>
        <w:t>项目区电力能满足农业生产、居民生活和农副产品加工的动力需求。用电由各乡镇供给，项目区内农村电网改造已基本完成，用电量可以满足，供电可靠</w:t>
      </w:r>
      <w:bookmarkEnd w:id="66"/>
      <w:r w:rsidRPr="00FC1444">
        <w:rPr>
          <w:rFonts w:eastAsiaTheme="minorEastAsia"/>
          <w:sz w:val="24"/>
        </w:rPr>
        <w:t>，并且能够满足项目区新打机电井的动力需求。</w:t>
      </w:r>
    </w:p>
    <w:p w:rsidR="002A5A5E" w:rsidRPr="00FC1444" w:rsidRDefault="00611CBA">
      <w:pPr>
        <w:widowControl/>
        <w:spacing w:line="360" w:lineRule="auto"/>
        <w:ind w:firstLineChars="200" w:firstLine="480"/>
        <w:rPr>
          <w:rFonts w:eastAsiaTheme="minorEastAsia"/>
          <w:sz w:val="24"/>
        </w:rPr>
      </w:pPr>
      <w:r w:rsidRPr="00FC1444">
        <w:rPr>
          <w:rFonts w:eastAsiaTheme="minorEastAsia"/>
          <w:sz w:val="24"/>
        </w:rPr>
        <w:lastRenderedPageBreak/>
        <w:t>排水沟：项目区排水工程已基本形成规模，现状干沟运行较好，均达到十年一遇的设计标准。由于现状干沟道运行良好，本次规划尽量现有排水设施，不打乱原有排水现状，仅对有内涝现象区域进行排水沟清淤，以保证排水流畅。</w:t>
      </w:r>
    </w:p>
    <w:p w:rsidR="002A5A5E" w:rsidRPr="00FC1444" w:rsidRDefault="00611CBA">
      <w:pPr>
        <w:numPr>
          <w:ilvl w:val="2"/>
          <w:numId w:val="0"/>
        </w:numPr>
        <w:tabs>
          <w:tab w:val="left" w:pos="851"/>
        </w:tabs>
        <w:spacing w:line="360" w:lineRule="auto"/>
        <w:ind w:left="709" w:hanging="709"/>
        <w:outlineLvl w:val="2"/>
        <w:rPr>
          <w:rFonts w:eastAsiaTheme="minorEastAsia"/>
          <w:kern w:val="0"/>
          <w:sz w:val="24"/>
        </w:rPr>
      </w:pPr>
      <w:r w:rsidRPr="00FC1444">
        <w:rPr>
          <w:rFonts w:eastAsiaTheme="minorEastAsia"/>
          <w:b/>
          <w:sz w:val="28"/>
          <w:szCs w:val="28"/>
        </w:rPr>
        <w:t>3.1.3</w:t>
      </w:r>
      <w:r w:rsidRPr="00FC1444">
        <w:rPr>
          <w:rFonts w:eastAsiaTheme="minorEastAsia"/>
          <w:b/>
          <w:sz w:val="28"/>
          <w:szCs w:val="28"/>
        </w:rPr>
        <w:t>环境影响回顾性评价</w:t>
      </w:r>
    </w:p>
    <w:p w:rsidR="002A5A5E" w:rsidRPr="00FC1444" w:rsidRDefault="00611CBA">
      <w:pPr>
        <w:numPr>
          <w:ilvl w:val="3"/>
          <w:numId w:val="0"/>
        </w:numPr>
        <w:tabs>
          <w:tab w:val="left" w:pos="1134"/>
        </w:tabs>
        <w:spacing w:line="360" w:lineRule="auto"/>
        <w:ind w:left="851" w:hanging="851"/>
        <w:outlineLvl w:val="3"/>
        <w:rPr>
          <w:rFonts w:eastAsiaTheme="minorEastAsia"/>
          <w:kern w:val="0"/>
          <w:sz w:val="24"/>
          <w:szCs w:val="20"/>
        </w:rPr>
      </w:pPr>
      <w:r w:rsidRPr="00FC1444">
        <w:rPr>
          <w:rFonts w:eastAsiaTheme="minorEastAsia"/>
          <w:b/>
          <w:sz w:val="24"/>
        </w:rPr>
        <w:t>3.1.3.1</w:t>
      </w:r>
      <w:r w:rsidRPr="00FC1444">
        <w:rPr>
          <w:rFonts w:eastAsiaTheme="minorEastAsia"/>
          <w:b/>
          <w:sz w:val="24"/>
        </w:rPr>
        <w:t>原有工程环保手续履行情况</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项目区曾建设黑龙江省新增千亿斤粮食产能工程建设项目（</w:t>
      </w:r>
      <w:r w:rsidR="00B05DC9" w:rsidRPr="00FC1444">
        <w:rPr>
          <w:rFonts w:eastAsiaTheme="minorEastAsia"/>
          <w:kern w:val="0"/>
          <w:sz w:val="24"/>
        </w:rPr>
        <w:t>绥化市北林区</w:t>
      </w:r>
      <w:r w:rsidR="00B05DC9" w:rsidRPr="00FC1444">
        <w:rPr>
          <w:rFonts w:eastAsiaTheme="minorEastAsia"/>
          <w:kern w:val="0"/>
          <w:sz w:val="24"/>
        </w:rPr>
        <w:t>2012</w:t>
      </w:r>
      <w:r w:rsidRPr="00FC1444">
        <w:rPr>
          <w:rFonts w:eastAsiaTheme="minorEastAsia"/>
          <w:kern w:val="0"/>
          <w:sz w:val="24"/>
        </w:rPr>
        <w:t>年）、黑龙江省农业综合开发土地治理项目（</w:t>
      </w:r>
      <w:r w:rsidR="00B05DC9" w:rsidRPr="00FC1444">
        <w:rPr>
          <w:rFonts w:eastAsiaTheme="minorEastAsia"/>
          <w:kern w:val="0"/>
          <w:sz w:val="24"/>
        </w:rPr>
        <w:t>绥化市</w:t>
      </w:r>
      <w:r w:rsidR="00B05DC9" w:rsidRPr="00FC1444">
        <w:rPr>
          <w:rFonts w:eastAsiaTheme="minorEastAsia"/>
          <w:kern w:val="0"/>
          <w:sz w:val="24"/>
        </w:rPr>
        <w:t>2013</w:t>
      </w:r>
      <w:r w:rsidRPr="00FC1444">
        <w:rPr>
          <w:rFonts w:eastAsiaTheme="minorEastAsia"/>
          <w:kern w:val="0"/>
          <w:sz w:val="24"/>
        </w:rPr>
        <w:t>年）、黑龙江省</w:t>
      </w:r>
      <w:r w:rsidRPr="00FC1444">
        <w:rPr>
          <w:rFonts w:eastAsiaTheme="minorEastAsia"/>
          <w:kern w:val="0"/>
          <w:sz w:val="24"/>
        </w:rPr>
        <w:t>“</w:t>
      </w:r>
      <w:r w:rsidRPr="00FC1444">
        <w:rPr>
          <w:rFonts w:eastAsiaTheme="minorEastAsia"/>
          <w:kern w:val="0"/>
          <w:sz w:val="24"/>
        </w:rPr>
        <w:t>节水增粮行动</w:t>
      </w:r>
      <w:r w:rsidRPr="00FC1444">
        <w:rPr>
          <w:rFonts w:eastAsiaTheme="minorEastAsia"/>
          <w:kern w:val="0"/>
          <w:sz w:val="24"/>
        </w:rPr>
        <w:t>”</w:t>
      </w:r>
      <w:r w:rsidRPr="00FC1444">
        <w:rPr>
          <w:rFonts w:eastAsiaTheme="minorEastAsia"/>
          <w:kern w:val="0"/>
          <w:sz w:val="24"/>
        </w:rPr>
        <w:t>建设项目（</w:t>
      </w:r>
      <w:r w:rsidR="00B05DC9" w:rsidRPr="00FC1444">
        <w:rPr>
          <w:rFonts w:eastAsiaTheme="minorEastAsia"/>
          <w:kern w:val="0"/>
          <w:sz w:val="24"/>
        </w:rPr>
        <w:t>绥化市北林区</w:t>
      </w:r>
      <w:r w:rsidR="00B05DC9" w:rsidRPr="00FC1444">
        <w:rPr>
          <w:rFonts w:eastAsiaTheme="minorEastAsia"/>
          <w:kern w:val="0"/>
          <w:sz w:val="24"/>
        </w:rPr>
        <w:t>2012</w:t>
      </w:r>
      <w:r w:rsidR="00B05DC9" w:rsidRPr="00FC1444">
        <w:rPr>
          <w:rFonts w:eastAsiaTheme="minorEastAsia"/>
          <w:kern w:val="0"/>
          <w:sz w:val="24"/>
        </w:rPr>
        <w:t>年）</w:t>
      </w:r>
      <w:r w:rsidRPr="00FC1444">
        <w:rPr>
          <w:rFonts w:eastAsiaTheme="minorEastAsia"/>
          <w:kern w:val="0"/>
          <w:sz w:val="24"/>
        </w:rPr>
        <w:t>、</w:t>
      </w:r>
      <w:r w:rsidR="00B05DC9" w:rsidRPr="00FC1444">
        <w:rPr>
          <w:rFonts w:eastAsiaTheme="minorEastAsia"/>
          <w:kern w:val="0"/>
          <w:sz w:val="24"/>
        </w:rPr>
        <w:t>绥化市北林区</w:t>
      </w:r>
      <w:r w:rsidRPr="00FC1444">
        <w:rPr>
          <w:rFonts w:eastAsiaTheme="minorEastAsia"/>
          <w:kern w:val="0"/>
          <w:sz w:val="24"/>
        </w:rPr>
        <w:t>201</w:t>
      </w:r>
      <w:r w:rsidR="00B05DC9" w:rsidRPr="00FC1444">
        <w:rPr>
          <w:rFonts w:eastAsiaTheme="minorEastAsia"/>
          <w:kern w:val="0"/>
          <w:sz w:val="24"/>
        </w:rPr>
        <w:t>8</w:t>
      </w:r>
      <w:r w:rsidRPr="00FC1444">
        <w:rPr>
          <w:rFonts w:eastAsiaTheme="minorEastAsia"/>
          <w:kern w:val="0"/>
          <w:sz w:val="24"/>
        </w:rPr>
        <w:t>年高效节水灌溉项目、</w:t>
      </w:r>
      <w:r w:rsidR="00B05DC9" w:rsidRPr="00FC1444">
        <w:rPr>
          <w:rFonts w:eastAsiaTheme="minorEastAsia"/>
          <w:kern w:val="0"/>
          <w:sz w:val="24"/>
        </w:rPr>
        <w:t>绥化市北林区</w:t>
      </w:r>
      <w:r w:rsidR="00B05DC9" w:rsidRPr="00FC1444">
        <w:rPr>
          <w:rFonts w:eastAsiaTheme="minorEastAsia"/>
          <w:kern w:val="0"/>
          <w:sz w:val="24"/>
        </w:rPr>
        <w:t>2014</w:t>
      </w:r>
      <w:r w:rsidR="00B05DC9" w:rsidRPr="00FC1444">
        <w:rPr>
          <w:rFonts w:eastAsiaTheme="minorEastAsia"/>
          <w:kern w:val="0"/>
          <w:sz w:val="24"/>
        </w:rPr>
        <w:t>年田间工程建设项目、绥化市西长发镇东北一村和正黄一村土地整治项目、津河灌区绥化市津河镇等</w:t>
      </w:r>
      <w:r w:rsidR="00B05DC9" w:rsidRPr="00FC1444">
        <w:rPr>
          <w:rFonts w:eastAsiaTheme="minorEastAsia"/>
          <w:kern w:val="0"/>
          <w:sz w:val="24"/>
        </w:rPr>
        <w:t>3</w:t>
      </w:r>
      <w:r w:rsidR="00B05DC9" w:rsidRPr="00FC1444">
        <w:rPr>
          <w:rFonts w:eastAsiaTheme="minorEastAsia"/>
          <w:kern w:val="0"/>
          <w:sz w:val="24"/>
        </w:rPr>
        <w:t>个乡（镇）土地整治项目等</w:t>
      </w:r>
      <w:r w:rsidRPr="00FC1444">
        <w:rPr>
          <w:rFonts w:eastAsiaTheme="minorEastAsia"/>
          <w:kern w:val="0"/>
          <w:sz w:val="24"/>
        </w:rPr>
        <w:t>。</w:t>
      </w:r>
    </w:p>
    <w:p w:rsidR="002A5A5E" w:rsidRPr="00FC1444" w:rsidRDefault="00611CBA">
      <w:pPr>
        <w:numPr>
          <w:ilvl w:val="3"/>
          <w:numId w:val="0"/>
        </w:numPr>
        <w:tabs>
          <w:tab w:val="left" w:pos="1134"/>
        </w:tabs>
        <w:spacing w:line="360" w:lineRule="auto"/>
        <w:ind w:left="851" w:hanging="851"/>
        <w:outlineLvl w:val="3"/>
        <w:rPr>
          <w:rFonts w:eastAsiaTheme="minorEastAsia"/>
          <w:b/>
          <w:sz w:val="24"/>
        </w:rPr>
      </w:pPr>
      <w:r w:rsidRPr="00FC1444">
        <w:rPr>
          <w:rFonts w:eastAsiaTheme="minorEastAsia"/>
          <w:b/>
          <w:sz w:val="24"/>
        </w:rPr>
        <w:t>3.1.3.2</w:t>
      </w:r>
      <w:r w:rsidRPr="00FC1444">
        <w:rPr>
          <w:rFonts w:eastAsiaTheme="minorEastAsia"/>
          <w:b/>
          <w:sz w:val="24"/>
        </w:rPr>
        <w:t>原有工程环境影响回顾性评价</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本项目原有工程目前尚无实际统计的项目污染物排放情况。原有工程施工期已结束，其环境影响已随施工的结束消失。根据现场勘查，项目区无施工期遗留的生态环境问题。</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w:t>
      </w:r>
      <w:r w:rsidRPr="00FC1444">
        <w:rPr>
          <w:rFonts w:eastAsiaTheme="minorEastAsia"/>
          <w:kern w:val="0"/>
          <w:sz w:val="24"/>
        </w:rPr>
        <w:t>1</w:t>
      </w:r>
      <w:r w:rsidRPr="00FC1444">
        <w:rPr>
          <w:rFonts w:eastAsiaTheme="minorEastAsia"/>
          <w:kern w:val="0"/>
          <w:sz w:val="24"/>
        </w:rPr>
        <w:t>）地表水环境</w:t>
      </w:r>
    </w:p>
    <w:p w:rsidR="002A5A5E" w:rsidRPr="00FC1444" w:rsidRDefault="009840DD">
      <w:pPr>
        <w:spacing w:line="360" w:lineRule="auto"/>
        <w:ind w:firstLineChars="200" w:firstLine="480"/>
        <w:jc w:val="left"/>
        <w:rPr>
          <w:rFonts w:eastAsiaTheme="minorEastAsia"/>
          <w:kern w:val="0"/>
          <w:sz w:val="24"/>
        </w:rPr>
      </w:pPr>
      <w:r w:rsidRPr="00FC1444">
        <w:rPr>
          <w:rFonts w:eastAsiaTheme="minorEastAsia"/>
          <w:kern w:val="0"/>
          <w:sz w:val="24"/>
        </w:rPr>
        <w:fldChar w:fldCharType="begin"/>
      </w:r>
      <w:r w:rsidR="00611CBA" w:rsidRPr="00FC1444">
        <w:rPr>
          <w:rFonts w:eastAsiaTheme="minorEastAsia"/>
          <w:kern w:val="0"/>
          <w:sz w:val="24"/>
        </w:rPr>
        <w:instrText xml:space="preserve"> = 1 \* GB3 </w:instrText>
      </w:r>
      <w:r w:rsidRPr="00FC1444">
        <w:rPr>
          <w:rFonts w:eastAsiaTheme="minorEastAsia"/>
          <w:kern w:val="0"/>
          <w:sz w:val="24"/>
        </w:rPr>
        <w:fldChar w:fldCharType="separate"/>
      </w:r>
      <w:r w:rsidR="00611CBA" w:rsidRPr="00FC1444">
        <w:rPr>
          <w:rFonts w:ascii="宋体" w:hAnsi="宋体" w:cs="宋体" w:hint="eastAsia"/>
          <w:kern w:val="0"/>
          <w:sz w:val="24"/>
        </w:rPr>
        <w:t>①</w:t>
      </w:r>
      <w:r w:rsidRPr="00FC1444">
        <w:rPr>
          <w:rFonts w:eastAsiaTheme="minorEastAsia"/>
          <w:kern w:val="0"/>
          <w:sz w:val="24"/>
        </w:rPr>
        <w:fldChar w:fldCharType="end"/>
      </w:r>
      <w:r w:rsidR="00611CBA" w:rsidRPr="00FC1444">
        <w:rPr>
          <w:rFonts w:eastAsiaTheme="minorEastAsia"/>
          <w:kern w:val="0"/>
          <w:sz w:val="24"/>
        </w:rPr>
        <w:t>化肥、农药使用情况调查</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rPr>
        <w:t>根据调查资料，化肥、农药使用用量需要根据防治对象、生长环境、病情和虫情、土壤肥力等因素综合考虑，以下为项目区普遍农药、化肥的用量：</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rPr>
        <w:t>1</w:t>
      </w:r>
      <w:r w:rsidRPr="00FC1444">
        <w:rPr>
          <w:rFonts w:ascii="Times New Roman" w:hAnsi="Times New Roman" w:cs="Times New Roman"/>
        </w:rPr>
        <w:t>）水稻亩施肥量</w:t>
      </w:r>
      <w:r w:rsidRPr="00FC1444">
        <w:rPr>
          <w:rFonts w:ascii="Times New Roman" w:hAnsi="Times New Roman" w:cs="Times New Roman"/>
        </w:rPr>
        <w:t>53</w:t>
      </w:r>
      <w:r w:rsidRPr="00FC1444">
        <w:rPr>
          <w:rFonts w:ascii="Times New Roman" w:hAnsi="Times New Roman" w:cs="Times New Roman"/>
        </w:rPr>
        <w:t>公斤，玉米亩施肥量</w:t>
      </w:r>
      <w:r w:rsidRPr="00FC1444">
        <w:rPr>
          <w:rFonts w:ascii="Times New Roman" w:hAnsi="Times New Roman" w:cs="Times New Roman"/>
        </w:rPr>
        <w:t>68</w:t>
      </w:r>
      <w:r w:rsidRPr="00FC1444">
        <w:rPr>
          <w:rFonts w:ascii="Times New Roman" w:hAnsi="Times New Roman" w:cs="Times New Roman"/>
        </w:rPr>
        <w:t>公斤；</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rPr>
        <w:t>2</w:t>
      </w:r>
      <w:r w:rsidRPr="00FC1444">
        <w:rPr>
          <w:rFonts w:ascii="Times New Roman" w:hAnsi="Times New Roman" w:cs="Times New Roman"/>
        </w:rPr>
        <w:t>）水稻亩施药量</w:t>
      </w:r>
      <w:r w:rsidRPr="00FC1444">
        <w:rPr>
          <w:rFonts w:ascii="Times New Roman" w:hAnsi="Times New Roman" w:cs="Times New Roman"/>
        </w:rPr>
        <w:t>0.56</w:t>
      </w:r>
      <w:r w:rsidRPr="00FC1444">
        <w:rPr>
          <w:rFonts w:ascii="Times New Roman" w:hAnsi="Times New Roman" w:cs="Times New Roman"/>
        </w:rPr>
        <w:t>公斤，玉米亩施药量</w:t>
      </w:r>
      <w:r w:rsidRPr="00FC1444">
        <w:rPr>
          <w:rFonts w:ascii="Times New Roman" w:hAnsi="Times New Roman" w:cs="Times New Roman"/>
        </w:rPr>
        <w:t>0.51</w:t>
      </w:r>
      <w:r w:rsidRPr="00FC1444">
        <w:rPr>
          <w:rFonts w:ascii="Times New Roman" w:hAnsi="Times New Roman" w:cs="Times New Roman"/>
        </w:rPr>
        <w:t>公斤，大豆亩施药量</w:t>
      </w:r>
      <w:r w:rsidRPr="00FC1444">
        <w:rPr>
          <w:rFonts w:ascii="Times New Roman" w:hAnsi="Times New Roman" w:cs="Times New Roman"/>
        </w:rPr>
        <w:t>0.46</w:t>
      </w:r>
      <w:r w:rsidRPr="00FC1444">
        <w:rPr>
          <w:rFonts w:ascii="Times New Roman" w:hAnsi="Times New Roman" w:cs="Times New Roman"/>
        </w:rPr>
        <w:t>公斤。</w:t>
      </w:r>
    </w:p>
    <w:p w:rsidR="002A5A5E" w:rsidRPr="00FC1444" w:rsidRDefault="009840DD">
      <w:pPr>
        <w:spacing w:line="360" w:lineRule="auto"/>
        <w:ind w:firstLineChars="200" w:firstLine="480"/>
        <w:jc w:val="left"/>
        <w:rPr>
          <w:rFonts w:eastAsiaTheme="minorEastAsia"/>
          <w:sz w:val="24"/>
        </w:rPr>
      </w:pPr>
      <w:r w:rsidRPr="00FC1444">
        <w:rPr>
          <w:rFonts w:eastAsiaTheme="minorEastAsia"/>
          <w:sz w:val="24"/>
        </w:rPr>
        <w:fldChar w:fldCharType="begin"/>
      </w:r>
      <w:r w:rsidR="00611CBA" w:rsidRPr="00FC1444">
        <w:rPr>
          <w:rFonts w:eastAsiaTheme="minorEastAsia"/>
          <w:sz w:val="24"/>
        </w:rPr>
        <w:instrText xml:space="preserve"> = 2 \* GB3 </w:instrText>
      </w:r>
      <w:r w:rsidRPr="00FC1444">
        <w:rPr>
          <w:rFonts w:eastAsiaTheme="minorEastAsia"/>
          <w:sz w:val="24"/>
        </w:rPr>
        <w:fldChar w:fldCharType="separate"/>
      </w:r>
      <w:r w:rsidR="00611CBA" w:rsidRPr="00FC1444">
        <w:rPr>
          <w:rFonts w:ascii="宋体" w:hAnsi="宋体" w:cs="宋体" w:hint="eastAsia"/>
          <w:sz w:val="24"/>
        </w:rPr>
        <w:t>②</w:t>
      </w:r>
      <w:r w:rsidRPr="00FC1444">
        <w:rPr>
          <w:rFonts w:eastAsiaTheme="minorEastAsia"/>
          <w:sz w:val="24"/>
        </w:rPr>
        <w:fldChar w:fldCharType="end"/>
      </w:r>
      <w:r w:rsidR="00611CBA" w:rsidRPr="00FC1444">
        <w:rPr>
          <w:rFonts w:eastAsiaTheme="minorEastAsia"/>
          <w:sz w:val="24"/>
        </w:rPr>
        <w:t>退水承泄区</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sz w:val="24"/>
        </w:rPr>
        <w:t>项目</w:t>
      </w:r>
      <w:r w:rsidR="00625A6C" w:rsidRPr="00FC1444">
        <w:rPr>
          <w:rFonts w:eastAsiaTheme="minorEastAsia"/>
          <w:sz w:val="24"/>
        </w:rPr>
        <w:t>片区内</w:t>
      </w:r>
      <w:r w:rsidR="00AC69F4" w:rsidRPr="00FC1444">
        <w:rPr>
          <w:rFonts w:eastAsiaTheme="minorEastAsia"/>
          <w:sz w:val="24"/>
        </w:rPr>
        <w:t>排水承泄区为津河、呼兰河、努敏河</w:t>
      </w:r>
      <w:r w:rsidRPr="00FC1444">
        <w:rPr>
          <w:rFonts w:eastAsiaTheme="minorEastAsia"/>
          <w:kern w:val="0"/>
          <w:sz w:val="24"/>
        </w:rPr>
        <w:t>。</w:t>
      </w:r>
    </w:p>
    <w:p w:rsidR="00386D57" w:rsidRPr="00FC1444" w:rsidRDefault="00386D57" w:rsidP="00386D57">
      <w:pPr>
        <w:spacing w:line="360" w:lineRule="auto"/>
        <w:ind w:firstLineChars="200" w:firstLine="480"/>
        <w:rPr>
          <w:rFonts w:eastAsiaTheme="minorEastAsia"/>
          <w:bCs/>
          <w:sz w:val="24"/>
        </w:rPr>
      </w:pPr>
      <w:r w:rsidRPr="00FC1444">
        <w:rPr>
          <w:rFonts w:eastAsiaTheme="minorEastAsia"/>
          <w:kern w:val="24"/>
          <w:sz w:val="24"/>
        </w:rPr>
        <w:t>根据</w:t>
      </w:r>
      <w:r w:rsidRPr="00FC1444">
        <w:rPr>
          <w:rFonts w:eastAsiaTheme="minorEastAsia"/>
          <w:kern w:val="0"/>
          <w:sz w:val="24"/>
        </w:rPr>
        <w:t>《</w:t>
      </w:r>
      <w:r w:rsidRPr="00FC1444">
        <w:rPr>
          <w:rFonts w:eastAsiaTheme="minorEastAsia"/>
          <w:kern w:val="0"/>
          <w:sz w:val="24"/>
        </w:rPr>
        <w:t>2025</w:t>
      </w:r>
      <w:r w:rsidRPr="00FC1444">
        <w:rPr>
          <w:rFonts w:eastAsiaTheme="minorEastAsia"/>
          <w:kern w:val="0"/>
          <w:sz w:val="24"/>
        </w:rPr>
        <w:t>年绥化市环境质量年报》，</w:t>
      </w:r>
      <w:r w:rsidRPr="00FC1444">
        <w:rPr>
          <w:rFonts w:eastAsiaTheme="minorEastAsia" w:hint="eastAsia"/>
          <w:sz w:val="24"/>
        </w:rPr>
        <w:t>呼兰河</w:t>
      </w:r>
      <w:r w:rsidRPr="00FC1444">
        <w:rPr>
          <w:rFonts w:eastAsiaTheme="minorEastAsia"/>
          <w:bCs/>
          <w:kern w:val="0"/>
          <w:sz w:val="24"/>
        </w:rPr>
        <w:t>绥望桥断面、</w:t>
      </w:r>
      <w:r w:rsidRPr="00FC1444">
        <w:rPr>
          <w:rFonts w:eastAsiaTheme="minorEastAsia" w:hint="eastAsia"/>
          <w:bCs/>
          <w:kern w:val="0"/>
          <w:sz w:val="24"/>
        </w:rPr>
        <w:t>榆林镇鞍山屯断面</w:t>
      </w:r>
      <w:r w:rsidRPr="00FC1444">
        <w:rPr>
          <w:rFonts w:eastAsiaTheme="minorEastAsia"/>
          <w:bCs/>
          <w:kern w:val="0"/>
          <w:sz w:val="24"/>
          <w:szCs w:val="21"/>
        </w:rPr>
        <w:t>水质目标为</w:t>
      </w:r>
      <w:r w:rsidRPr="00FC1444">
        <w:rPr>
          <w:rFonts w:eastAsiaTheme="minorEastAsia"/>
          <w:bCs/>
          <w:kern w:val="0"/>
          <w:sz w:val="24"/>
          <w:szCs w:val="21"/>
        </w:rPr>
        <w:t>Ⅲ</w:t>
      </w:r>
      <w:r w:rsidRPr="00FC1444">
        <w:rPr>
          <w:rFonts w:eastAsiaTheme="minorEastAsia"/>
          <w:bCs/>
          <w:kern w:val="0"/>
          <w:sz w:val="24"/>
          <w:szCs w:val="21"/>
        </w:rPr>
        <w:t>类。</w:t>
      </w:r>
      <w:r w:rsidRPr="00FC1444">
        <w:rPr>
          <w:rFonts w:eastAsiaTheme="minorEastAsia" w:hint="eastAsia"/>
          <w:bCs/>
          <w:kern w:val="0"/>
          <w:sz w:val="24"/>
          <w:szCs w:val="21"/>
        </w:rPr>
        <w:t>努敏河绥化市断面</w:t>
      </w:r>
      <w:r w:rsidRPr="00FC1444">
        <w:rPr>
          <w:rFonts w:eastAsiaTheme="minorEastAsia"/>
          <w:bCs/>
          <w:kern w:val="0"/>
          <w:sz w:val="24"/>
        </w:rPr>
        <w:t>水质目标为</w:t>
      </w:r>
      <w:r w:rsidRPr="00FC1444">
        <w:rPr>
          <w:rFonts w:eastAsiaTheme="minorEastAsia"/>
          <w:bCs/>
          <w:kern w:val="0"/>
          <w:sz w:val="24"/>
          <w:szCs w:val="21"/>
        </w:rPr>
        <w:t>Ⅲ</w:t>
      </w:r>
      <w:r w:rsidRPr="00FC1444">
        <w:rPr>
          <w:rFonts w:eastAsiaTheme="minorEastAsia"/>
          <w:bCs/>
          <w:kern w:val="0"/>
          <w:sz w:val="24"/>
        </w:rPr>
        <w:t>类。</w:t>
      </w:r>
      <w:r w:rsidRPr="00FC1444">
        <w:rPr>
          <w:rFonts w:eastAsiaTheme="minorEastAsia"/>
          <w:sz w:val="24"/>
        </w:rPr>
        <w:t>津河</w:t>
      </w:r>
      <w:r w:rsidRPr="00FC1444">
        <w:rPr>
          <w:rFonts w:eastAsiaTheme="minorEastAsia"/>
          <w:bCs/>
          <w:kern w:val="0"/>
          <w:sz w:val="24"/>
        </w:rPr>
        <w:t>未划分水功能区，</w:t>
      </w:r>
      <w:r w:rsidRPr="00FC1444">
        <w:rPr>
          <w:rFonts w:eastAsiaTheme="minorEastAsia"/>
          <w:sz w:val="24"/>
        </w:rPr>
        <w:t>津河</w:t>
      </w:r>
      <w:r w:rsidRPr="00FC1444">
        <w:rPr>
          <w:rFonts w:eastAsiaTheme="minorEastAsia"/>
          <w:bCs/>
          <w:kern w:val="0"/>
          <w:sz w:val="24"/>
        </w:rPr>
        <w:t>汇入</w:t>
      </w:r>
      <w:r w:rsidRPr="00FC1444">
        <w:rPr>
          <w:rFonts w:eastAsiaTheme="minorEastAsia" w:hint="eastAsia"/>
          <w:bCs/>
          <w:kern w:val="0"/>
          <w:sz w:val="24"/>
        </w:rPr>
        <w:t>呼兰</w:t>
      </w:r>
      <w:r w:rsidRPr="00FC1444">
        <w:rPr>
          <w:rFonts w:eastAsiaTheme="minorEastAsia"/>
          <w:bCs/>
          <w:kern w:val="0"/>
          <w:sz w:val="24"/>
        </w:rPr>
        <w:t>河，</w:t>
      </w:r>
      <w:r w:rsidRPr="00FC1444">
        <w:rPr>
          <w:rFonts w:eastAsiaTheme="minorEastAsia" w:hint="eastAsia"/>
          <w:bCs/>
          <w:kern w:val="0"/>
          <w:sz w:val="24"/>
        </w:rPr>
        <w:t>呼兰</w:t>
      </w:r>
      <w:r w:rsidRPr="00FC1444">
        <w:rPr>
          <w:rFonts w:eastAsiaTheme="minorEastAsia"/>
          <w:bCs/>
          <w:kern w:val="0"/>
          <w:sz w:val="24"/>
        </w:rPr>
        <w:t>河绥望桥断面水质目标为</w:t>
      </w:r>
      <w:r w:rsidRPr="00FC1444">
        <w:rPr>
          <w:rFonts w:eastAsiaTheme="minorEastAsia"/>
          <w:bCs/>
          <w:kern w:val="0"/>
          <w:sz w:val="24"/>
          <w:szCs w:val="21"/>
        </w:rPr>
        <w:t>Ⅲ</w:t>
      </w:r>
      <w:r w:rsidRPr="00FC1444">
        <w:rPr>
          <w:rFonts w:eastAsiaTheme="minorEastAsia"/>
          <w:bCs/>
          <w:kern w:val="0"/>
          <w:sz w:val="24"/>
        </w:rPr>
        <w:t>类，</w:t>
      </w:r>
      <w:r w:rsidRPr="00FC1444">
        <w:rPr>
          <w:rFonts w:eastAsiaTheme="minorEastAsia"/>
          <w:sz w:val="24"/>
        </w:rPr>
        <w:t>津河</w:t>
      </w:r>
      <w:r w:rsidRPr="00FC1444">
        <w:rPr>
          <w:rFonts w:eastAsiaTheme="minorEastAsia"/>
          <w:bCs/>
          <w:kern w:val="0"/>
          <w:sz w:val="24"/>
        </w:rPr>
        <w:t>参照</w:t>
      </w:r>
      <w:r w:rsidRPr="00FC1444">
        <w:rPr>
          <w:rFonts w:eastAsiaTheme="minorEastAsia" w:hint="eastAsia"/>
          <w:bCs/>
          <w:kern w:val="0"/>
          <w:sz w:val="24"/>
        </w:rPr>
        <w:t>呼兰</w:t>
      </w:r>
      <w:r w:rsidRPr="00FC1444">
        <w:rPr>
          <w:rFonts w:eastAsiaTheme="minorEastAsia"/>
          <w:bCs/>
          <w:kern w:val="0"/>
          <w:sz w:val="24"/>
        </w:rPr>
        <w:t>河执行</w:t>
      </w:r>
      <w:r w:rsidRPr="00FC1444">
        <w:rPr>
          <w:rFonts w:eastAsiaTheme="minorEastAsia"/>
          <w:bCs/>
          <w:sz w:val="24"/>
        </w:rPr>
        <w:t>。</w:t>
      </w:r>
      <w:r w:rsidRPr="00FC1444">
        <w:rPr>
          <w:rFonts w:eastAsiaTheme="minorEastAsia" w:hint="eastAsia"/>
          <w:sz w:val="24"/>
        </w:rPr>
        <w:t>2025</w:t>
      </w:r>
      <w:r w:rsidRPr="00FC1444">
        <w:rPr>
          <w:rFonts w:eastAsiaTheme="minorEastAsia" w:hint="eastAsia"/>
          <w:sz w:val="24"/>
        </w:rPr>
        <w:t>年</w:t>
      </w:r>
      <w:r w:rsidRPr="00FC1444">
        <w:rPr>
          <w:rFonts w:eastAsiaTheme="minorEastAsia"/>
          <w:bCs/>
          <w:sz w:val="24"/>
        </w:rPr>
        <w:t>绥望桥断面、榆林镇鞍山屯</w:t>
      </w:r>
      <w:r w:rsidRPr="00FC1444">
        <w:rPr>
          <w:rFonts w:eastAsiaTheme="minorEastAsia"/>
          <w:bCs/>
          <w:kern w:val="0"/>
          <w:sz w:val="24"/>
        </w:rPr>
        <w:t>断面、努敏河绥化市断面水质类别均为</w:t>
      </w:r>
      <w:r w:rsidRPr="00FC1444">
        <w:rPr>
          <w:rFonts w:eastAsiaTheme="minorEastAsia"/>
          <w:bCs/>
          <w:kern w:val="0"/>
          <w:sz w:val="24"/>
        </w:rPr>
        <w:t>Ⅲ</w:t>
      </w:r>
      <w:r w:rsidRPr="00FC1444">
        <w:rPr>
          <w:rFonts w:eastAsiaTheme="minorEastAsia"/>
          <w:bCs/>
          <w:kern w:val="0"/>
          <w:sz w:val="24"/>
        </w:rPr>
        <w:t>类，满足</w:t>
      </w:r>
      <w:r w:rsidRPr="00FC1444">
        <w:rPr>
          <w:rFonts w:eastAsiaTheme="minorEastAsia"/>
          <w:sz w:val="24"/>
        </w:rPr>
        <w:t>水体类别要求</w:t>
      </w:r>
      <w:r w:rsidRPr="00FC1444">
        <w:rPr>
          <w:rFonts w:eastAsiaTheme="minorEastAsia"/>
          <w:bCs/>
          <w:kern w:val="0"/>
          <w:sz w:val="24"/>
        </w:rPr>
        <w:t>。</w:t>
      </w:r>
    </w:p>
    <w:p w:rsidR="002A5A5E" w:rsidRPr="00FC1444" w:rsidRDefault="006F1CDC">
      <w:pPr>
        <w:spacing w:line="360" w:lineRule="auto"/>
        <w:ind w:firstLineChars="200" w:firstLine="480"/>
        <w:rPr>
          <w:rFonts w:eastAsiaTheme="minorEastAsia"/>
          <w:bCs/>
          <w:kern w:val="0"/>
          <w:sz w:val="24"/>
          <w:szCs w:val="21"/>
        </w:rPr>
      </w:pPr>
      <w:r w:rsidRPr="00FC1444">
        <w:rPr>
          <w:rFonts w:eastAsiaTheme="minorEastAsia"/>
          <w:smallCaps/>
          <w:sz w:val="24"/>
        </w:rPr>
        <w:lastRenderedPageBreak/>
        <w:t>灌区建设多年，区域水生生态系统经过长时间的演替，已形成稳定的适合现有鱼类及水生生物生长繁殖的生境和生态系统。</w:t>
      </w:r>
      <w:r w:rsidR="00611CBA" w:rsidRPr="00FC1444">
        <w:rPr>
          <w:rFonts w:eastAsiaTheme="minorEastAsia"/>
          <w:sz w:val="24"/>
        </w:rPr>
        <w:t xml:space="preserve"> </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w:t>
      </w:r>
      <w:r w:rsidRPr="00FC1444">
        <w:rPr>
          <w:rFonts w:eastAsiaTheme="minorEastAsia"/>
          <w:kern w:val="0"/>
          <w:sz w:val="24"/>
        </w:rPr>
        <w:t>2</w:t>
      </w:r>
      <w:r w:rsidRPr="00FC1444">
        <w:rPr>
          <w:rFonts w:eastAsiaTheme="minorEastAsia"/>
          <w:kern w:val="0"/>
          <w:sz w:val="24"/>
        </w:rPr>
        <w:t>）地下水环境</w:t>
      </w:r>
    </w:p>
    <w:p w:rsidR="002A5A5E" w:rsidRPr="00FC1444" w:rsidRDefault="001456AB">
      <w:pPr>
        <w:spacing w:line="360" w:lineRule="auto"/>
        <w:ind w:firstLineChars="200" w:firstLine="480"/>
        <w:rPr>
          <w:rFonts w:eastAsiaTheme="minorEastAsia"/>
          <w:sz w:val="24"/>
        </w:rPr>
      </w:pPr>
      <w:r w:rsidRPr="00FC1444">
        <w:rPr>
          <w:rFonts w:eastAsiaTheme="minorEastAsia"/>
          <w:snapToGrid w:val="0"/>
          <w:kern w:val="0"/>
          <w:sz w:val="24"/>
        </w:rPr>
        <w:t>黑龙江省建设技术发展中心有限公司</w:t>
      </w:r>
      <w:r w:rsidR="00891513" w:rsidRPr="00FC1444">
        <w:rPr>
          <w:rFonts w:eastAsiaTheme="minorEastAsia"/>
          <w:bCs/>
          <w:sz w:val="24"/>
        </w:rPr>
        <w:t>于</w:t>
      </w:r>
      <w:r w:rsidR="00891513" w:rsidRPr="00FC1444">
        <w:rPr>
          <w:rFonts w:eastAsiaTheme="minorEastAsia"/>
          <w:bCs/>
          <w:sz w:val="24"/>
        </w:rPr>
        <w:t>2026</w:t>
      </w:r>
      <w:r w:rsidR="00891513" w:rsidRPr="00FC1444">
        <w:rPr>
          <w:rFonts w:eastAsiaTheme="minorEastAsia"/>
          <w:bCs/>
          <w:sz w:val="24"/>
        </w:rPr>
        <w:t>年</w:t>
      </w:r>
      <w:r w:rsidRPr="00FC1444">
        <w:rPr>
          <w:rFonts w:eastAsiaTheme="minorEastAsia"/>
          <w:bCs/>
          <w:sz w:val="24"/>
        </w:rPr>
        <w:t>3</w:t>
      </w:r>
      <w:r w:rsidR="00891513" w:rsidRPr="00FC1444">
        <w:rPr>
          <w:rFonts w:eastAsiaTheme="minorEastAsia"/>
          <w:bCs/>
          <w:sz w:val="24"/>
        </w:rPr>
        <w:t>月编制的《</w:t>
      </w:r>
      <w:r w:rsidR="00AE168C" w:rsidRPr="00FC1444">
        <w:rPr>
          <w:rFonts w:eastAsiaTheme="minorEastAsia"/>
          <w:bCs/>
          <w:sz w:val="24"/>
        </w:rPr>
        <w:t>北林区</w:t>
      </w:r>
      <w:r w:rsidR="00AE168C" w:rsidRPr="00FC1444">
        <w:rPr>
          <w:rFonts w:eastAsiaTheme="minorEastAsia"/>
          <w:bCs/>
          <w:sz w:val="24"/>
        </w:rPr>
        <w:t>2026</w:t>
      </w:r>
      <w:r w:rsidR="00AE168C" w:rsidRPr="00FC1444">
        <w:rPr>
          <w:rFonts w:eastAsiaTheme="minorEastAsia"/>
          <w:bCs/>
          <w:sz w:val="24"/>
        </w:rPr>
        <w:t>年高标准农田建设项目</w:t>
      </w:r>
      <w:r w:rsidR="00891513" w:rsidRPr="00FC1444">
        <w:rPr>
          <w:rFonts w:eastAsiaTheme="minorEastAsia"/>
          <w:bCs/>
          <w:sz w:val="24"/>
        </w:rPr>
        <w:t>水资源论证报告书》已通过专家审查。</w:t>
      </w:r>
      <w:r w:rsidR="00611CBA" w:rsidRPr="00FC1444">
        <w:rPr>
          <w:rFonts w:eastAsiaTheme="minorEastAsia"/>
          <w:sz w:val="24"/>
        </w:rPr>
        <w:t>根据水资源论证报告书结论，</w:t>
      </w:r>
      <w:r w:rsidR="00555CA4" w:rsidRPr="00FC1444">
        <w:rPr>
          <w:sz w:val="24"/>
        </w:rPr>
        <w:t>项目范围</w:t>
      </w:r>
      <w:r w:rsidR="005511F0" w:rsidRPr="00FC1444">
        <w:rPr>
          <w:rFonts w:eastAsiaTheme="minorEastAsia"/>
          <w:sz w:val="24"/>
        </w:rPr>
        <w:t>北林</w:t>
      </w:r>
      <w:r w:rsidR="00555CA4" w:rsidRPr="00FC1444">
        <w:rPr>
          <w:sz w:val="24"/>
        </w:rPr>
        <w:t>区地下水可开采量为</w:t>
      </w:r>
      <w:r w:rsidR="00555CA4" w:rsidRPr="00FC1444">
        <w:rPr>
          <w:sz w:val="24"/>
        </w:rPr>
        <w:t>31238×10</w:t>
      </w:r>
      <w:r w:rsidR="00555CA4" w:rsidRPr="00FC1444">
        <w:rPr>
          <w:sz w:val="24"/>
          <w:vertAlign w:val="superscript"/>
        </w:rPr>
        <w:t>4</w:t>
      </w:r>
      <w:r w:rsidR="00555CA4" w:rsidRPr="00FC1444">
        <w:rPr>
          <w:sz w:val="24"/>
        </w:rPr>
        <w:t>m</w:t>
      </w:r>
      <w:r w:rsidR="00555CA4" w:rsidRPr="00FC1444">
        <w:rPr>
          <w:sz w:val="24"/>
          <w:vertAlign w:val="superscript"/>
        </w:rPr>
        <w:t>3</w:t>
      </w:r>
      <w:r w:rsidR="00555CA4" w:rsidRPr="00FC1444">
        <w:rPr>
          <w:sz w:val="24"/>
        </w:rPr>
        <w:t>，现状年地下水用水量</w:t>
      </w:r>
      <w:r w:rsidR="00555CA4" w:rsidRPr="00FC1444">
        <w:rPr>
          <w:rFonts w:eastAsiaTheme="minorEastAsia"/>
          <w:sz w:val="24"/>
        </w:rPr>
        <w:t>（含现状农民自打井取水）</w:t>
      </w:r>
      <w:r w:rsidR="00555CA4" w:rsidRPr="00FC1444">
        <w:rPr>
          <w:sz w:val="24"/>
        </w:rPr>
        <w:t>14857×10</w:t>
      </w:r>
      <w:r w:rsidR="00555CA4" w:rsidRPr="00FC1444">
        <w:rPr>
          <w:sz w:val="24"/>
          <w:vertAlign w:val="superscript"/>
        </w:rPr>
        <w:t>4</w:t>
      </w:r>
      <w:r w:rsidR="00555CA4" w:rsidRPr="00FC1444">
        <w:rPr>
          <w:sz w:val="24"/>
        </w:rPr>
        <w:t>m</w:t>
      </w:r>
      <w:r w:rsidR="00555CA4" w:rsidRPr="00FC1444">
        <w:rPr>
          <w:sz w:val="24"/>
          <w:vertAlign w:val="superscript"/>
        </w:rPr>
        <w:t>3</w:t>
      </w:r>
      <w:r w:rsidR="00555CA4" w:rsidRPr="00FC1444">
        <w:rPr>
          <w:sz w:val="24"/>
        </w:rPr>
        <w:t>，开发利用程度为</w:t>
      </w:r>
      <w:r w:rsidR="00555CA4" w:rsidRPr="00FC1444">
        <w:rPr>
          <w:sz w:val="24"/>
        </w:rPr>
        <w:t>48%</w:t>
      </w:r>
      <w:r w:rsidR="00555CA4" w:rsidRPr="00FC1444">
        <w:rPr>
          <w:sz w:val="24"/>
        </w:rPr>
        <w:t>，</w:t>
      </w:r>
      <w:r w:rsidR="00611CBA" w:rsidRPr="00FC1444">
        <w:rPr>
          <w:rFonts w:eastAsiaTheme="minorEastAsia"/>
          <w:sz w:val="24"/>
        </w:rPr>
        <w:t>地下水资源具备开发潜力。</w:t>
      </w:r>
    </w:p>
    <w:p w:rsidR="002A5A5E" w:rsidRPr="00FC1444" w:rsidRDefault="00611CBA">
      <w:pPr>
        <w:spacing w:line="360" w:lineRule="auto"/>
        <w:ind w:firstLineChars="200" w:firstLine="480"/>
        <w:jc w:val="left"/>
        <w:rPr>
          <w:rFonts w:eastAsiaTheme="minorEastAsia"/>
          <w:kern w:val="0"/>
          <w:sz w:val="24"/>
          <w:szCs w:val="20"/>
        </w:rPr>
      </w:pPr>
      <w:r w:rsidRPr="00FC1444">
        <w:rPr>
          <w:rFonts w:eastAsiaTheme="minorEastAsia"/>
          <w:smallCaps/>
          <w:kern w:val="0"/>
          <w:sz w:val="24"/>
          <w:szCs w:val="20"/>
        </w:rPr>
        <w:t>本项目所在区域地下水水质状况良好，</w:t>
      </w:r>
      <w:r w:rsidR="00654DDA" w:rsidRPr="00FC1444">
        <w:rPr>
          <w:rFonts w:eastAsiaTheme="minorEastAsia"/>
          <w:smallCaps/>
          <w:kern w:val="0"/>
          <w:sz w:val="24"/>
          <w:szCs w:val="20"/>
        </w:rPr>
        <w:t>铁、</w:t>
      </w:r>
      <w:r w:rsidR="00902F59" w:rsidRPr="00FC1444">
        <w:rPr>
          <w:sz w:val="24"/>
        </w:rPr>
        <w:t>锰超标，由于原生地质条件导致，其余监测因子均符合《地下水质量标准》（</w:t>
      </w:r>
      <w:r w:rsidR="00902F59" w:rsidRPr="00FC1444">
        <w:rPr>
          <w:sz w:val="24"/>
        </w:rPr>
        <w:t>GB/T14848-2017</w:t>
      </w:r>
      <w:r w:rsidR="00902F59" w:rsidRPr="00FC1444">
        <w:rPr>
          <w:sz w:val="24"/>
        </w:rPr>
        <w:t>）中</w:t>
      </w:r>
      <w:r w:rsidR="00902F59" w:rsidRPr="00FC1444">
        <w:rPr>
          <w:sz w:val="24"/>
        </w:rPr>
        <w:t>Ⅲ</w:t>
      </w:r>
      <w:r w:rsidR="00902F59" w:rsidRPr="00FC1444">
        <w:rPr>
          <w:sz w:val="24"/>
        </w:rPr>
        <w:t>类标准</w:t>
      </w:r>
      <w:r w:rsidR="00902F59" w:rsidRPr="00FC1444">
        <w:rPr>
          <w:rFonts w:eastAsiaTheme="minorEastAsia"/>
          <w:sz w:val="24"/>
        </w:rPr>
        <w:t>。石油类未检出，满足《地表水环境质量标准》（</w:t>
      </w:r>
      <w:r w:rsidR="00902F59" w:rsidRPr="00FC1444">
        <w:rPr>
          <w:rFonts w:eastAsiaTheme="minorEastAsia"/>
          <w:sz w:val="24"/>
        </w:rPr>
        <w:t>GB3838-2002</w:t>
      </w:r>
      <w:r w:rsidR="00902F59" w:rsidRPr="00FC1444">
        <w:rPr>
          <w:rFonts w:eastAsiaTheme="minorEastAsia"/>
          <w:sz w:val="24"/>
        </w:rPr>
        <w:t>）</w:t>
      </w:r>
      <w:r w:rsidR="009840DD" w:rsidRPr="00FC1444">
        <w:rPr>
          <w:rFonts w:eastAsiaTheme="minorEastAsia"/>
          <w:bCs/>
          <w:sz w:val="24"/>
        </w:rPr>
        <w:fldChar w:fldCharType="begin"/>
      </w:r>
      <w:r w:rsidR="004B63C1" w:rsidRPr="00FC1444">
        <w:rPr>
          <w:rFonts w:eastAsiaTheme="minorEastAsia"/>
          <w:bCs/>
          <w:sz w:val="24"/>
        </w:rPr>
        <w:instrText xml:space="preserve"> = 2 \* ROMAN </w:instrText>
      </w:r>
      <w:r w:rsidR="009840DD" w:rsidRPr="00FC1444">
        <w:rPr>
          <w:rFonts w:eastAsiaTheme="minorEastAsia"/>
          <w:bCs/>
          <w:sz w:val="24"/>
        </w:rPr>
        <w:fldChar w:fldCharType="separate"/>
      </w:r>
      <w:r w:rsidR="004B63C1" w:rsidRPr="00FC1444">
        <w:rPr>
          <w:rFonts w:eastAsiaTheme="minorEastAsia"/>
          <w:bCs/>
          <w:sz w:val="24"/>
        </w:rPr>
        <w:t>II</w:t>
      </w:r>
      <w:r w:rsidR="009840DD" w:rsidRPr="00FC1444">
        <w:rPr>
          <w:rFonts w:eastAsiaTheme="minorEastAsia"/>
          <w:bCs/>
          <w:sz w:val="24"/>
        </w:rPr>
        <w:fldChar w:fldCharType="end"/>
      </w:r>
      <w:r w:rsidR="00902F59" w:rsidRPr="00FC1444">
        <w:rPr>
          <w:rFonts w:eastAsiaTheme="minorEastAsia"/>
          <w:sz w:val="24"/>
        </w:rPr>
        <w:t>类标准</w:t>
      </w:r>
      <w:r w:rsidR="00902F59" w:rsidRPr="00FC1444">
        <w:rPr>
          <w:rFonts w:eastAsiaTheme="minorEastAsia"/>
          <w:smallCaps/>
          <w:kern w:val="0"/>
          <w:sz w:val="24"/>
          <w:szCs w:val="20"/>
        </w:rPr>
        <w:t>。</w:t>
      </w:r>
    </w:p>
    <w:p w:rsidR="002A5A5E" w:rsidRPr="00FC1444" w:rsidRDefault="00611CBA">
      <w:pPr>
        <w:spacing w:line="360" w:lineRule="auto"/>
        <w:ind w:firstLineChars="200" w:firstLine="480"/>
        <w:jc w:val="left"/>
        <w:rPr>
          <w:rFonts w:eastAsiaTheme="minorEastAsia"/>
          <w:smallCaps/>
          <w:kern w:val="0"/>
          <w:sz w:val="24"/>
          <w:szCs w:val="20"/>
        </w:rPr>
      </w:pPr>
      <w:r w:rsidRPr="00FC1444">
        <w:rPr>
          <w:rFonts w:eastAsiaTheme="minorEastAsia"/>
          <w:smallCaps/>
          <w:kern w:val="0"/>
          <w:sz w:val="24"/>
          <w:szCs w:val="20"/>
        </w:rPr>
        <w:t>（</w:t>
      </w:r>
      <w:r w:rsidRPr="00FC1444">
        <w:rPr>
          <w:rFonts w:eastAsiaTheme="minorEastAsia"/>
          <w:smallCaps/>
          <w:kern w:val="0"/>
          <w:sz w:val="24"/>
          <w:szCs w:val="20"/>
        </w:rPr>
        <w:t>3</w:t>
      </w:r>
      <w:r w:rsidRPr="00FC1444">
        <w:rPr>
          <w:rFonts w:eastAsiaTheme="minorEastAsia"/>
          <w:smallCaps/>
          <w:kern w:val="0"/>
          <w:sz w:val="24"/>
          <w:szCs w:val="20"/>
        </w:rPr>
        <w:t>）生态环境现状</w:t>
      </w:r>
    </w:p>
    <w:p w:rsidR="002A5A5E" w:rsidRPr="00FC1444" w:rsidRDefault="00611CBA">
      <w:pPr>
        <w:spacing w:line="360" w:lineRule="auto"/>
        <w:ind w:firstLineChars="200" w:firstLine="480"/>
        <w:jc w:val="left"/>
        <w:rPr>
          <w:rFonts w:eastAsiaTheme="minorEastAsia"/>
          <w:smallCaps/>
          <w:kern w:val="0"/>
          <w:sz w:val="24"/>
          <w:szCs w:val="20"/>
        </w:rPr>
      </w:pPr>
      <w:r w:rsidRPr="00FC1444">
        <w:rPr>
          <w:rFonts w:eastAsiaTheme="minorEastAsia"/>
          <w:smallCaps/>
          <w:kern w:val="0"/>
          <w:sz w:val="24"/>
          <w:szCs w:val="20"/>
        </w:rPr>
        <w:t>现有灌区</w:t>
      </w:r>
      <w:r w:rsidRPr="00FC1444">
        <w:rPr>
          <w:rFonts w:eastAsiaTheme="minorEastAsia"/>
          <w:kern w:val="0"/>
          <w:sz w:val="24"/>
          <w:szCs w:val="20"/>
        </w:rPr>
        <w:t>建设年代较早</w:t>
      </w:r>
      <w:r w:rsidRPr="00FC1444">
        <w:rPr>
          <w:rFonts w:eastAsiaTheme="minorEastAsia"/>
          <w:smallCaps/>
          <w:kern w:val="0"/>
          <w:sz w:val="24"/>
          <w:szCs w:val="20"/>
        </w:rPr>
        <w:t>。工程建设施工时间较短，在施工时采取了相应的环境保护措施，严格控制施工范围在永久占地范围内，施工结束后对临时占地恢复原地类，施工过程中未对周围环境产生影响。</w:t>
      </w:r>
    </w:p>
    <w:p w:rsidR="002A5A5E" w:rsidRPr="00FC1444" w:rsidRDefault="00611CBA">
      <w:pPr>
        <w:spacing w:line="360" w:lineRule="auto"/>
        <w:ind w:firstLineChars="200" w:firstLine="480"/>
        <w:jc w:val="left"/>
        <w:rPr>
          <w:rFonts w:eastAsiaTheme="minorEastAsia"/>
          <w:smallCaps/>
          <w:kern w:val="0"/>
          <w:sz w:val="24"/>
          <w:szCs w:val="20"/>
        </w:rPr>
      </w:pPr>
      <w:r w:rsidRPr="00FC1444">
        <w:rPr>
          <w:rFonts w:eastAsiaTheme="minorEastAsia"/>
          <w:smallCaps/>
          <w:kern w:val="0"/>
          <w:sz w:val="24"/>
          <w:szCs w:val="20"/>
        </w:rPr>
        <w:t>从整体上看，原有灌区工程灌排体系相对较为完善，引水渠道和排水渠道等线性工程对生境的切割和阻隔作用已经存在，工程的建设不可避免地对生态环境产生了一定影响，但是没有造成该区植被类型消失、植物种类灭绝，灌区目前没有发生土壤潜育化、沼泽化、盐渍化、沙化等现象，施工结束后已采取了植被恢复措施，对生态环境造成的环境影响在可接受范围内。工程的实施有利于灌区内小气候的改善，湿度增加，温度适宜，加上绿色覆盖面的增加，区内田成块、路相通，美化自然景观。</w:t>
      </w:r>
    </w:p>
    <w:p w:rsidR="002A5A5E" w:rsidRPr="00FC1444" w:rsidRDefault="00611CBA">
      <w:pPr>
        <w:spacing w:line="360" w:lineRule="auto"/>
        <w:ind w:firstLineChars="200" w:firstLine="480"/>
        <w:jc w:val="left"/>
        <w:rPr>
          <w:rFonts w:eastAsiaTheme="minorEastAsia"/>
          <w:smallCaps/>
          <w:kern w:val="0"/>
          <w:sz w:val="24"/>
          <w:szCs w:val="20"/>
        </w:rPr>
      </w:pPr>
      <w:r w:rsidRPr="00FC1444">
        <w:rPr>
          <w:rFonts w:eastAsiaTheme="minorEastAsia"/>
          <w:smallCaps/>
          <w:kern w:val="0"/>
          <w:sz w:val="24"/>
          <w:szCs w:val="20"/>
        </w:rPr>
        <w:t>灌区已运行多年，由于水流冲刷原因，对坡面的植被造成破坏，渠道边坡等局部水土流失、输水效率低、渗漏损失大等。</w:t>
      </w:r>
    </w:p>
    <w:p w:rsidR="002A5A5E" w:rsidRPr="00FC1444" w:rsidRDefault="00611CBA">
      <w:pPr>
        <w:spacing w:line="360" w:lineRule="auto"/>
        <w:ind w:firstLineChars="200" w:firstLine="480"/>
        <w:jc w:val="left"/>
        <w:rPr>
          <w:rFonts w:eastAsiaTheme="minorEastAsia"/>
          <w:smallCaps/>
          <w:kern w:val="0"/>
          <w:sz w:val="24"/>
          <w:szCs w:val="20"/>
        </w:rPr>
      </w:pPr>
      <w:r w:rsidRPr="00FC1444">
        <w:rPr>
          <w:rFonts w:eastAsiaTheme="minorEastAsia"/>
          <w:smallCaps/>
          <w:kern w:val="0"/>
          <w:sz w:val="24"/>
          <w:szCs w:val="20"/>
        </w:rPr>
        <w:t>根据生态环境质量现状评价，评价范围内水田、旱地所占比例多，景观优势度高，因此整体来看评价区的生物恢复力较高；耕地景观优势度明显高于林地，所以评价区内基质主要为耕地，其基质地位比较容易维持；评价区种群源的持久性和可达性较高；评价区中景观的基质为耕地，其连通性较好，连接度较好，在景观水平上，景观组织的开放性较好，对景观受外界干扰冲击和生态恢复具有积</w:t>
      </w:r>
      <w:r w:rsidRPr="00FC1444">
        <w:rPr>
          <w:rFonts w:eastAsiaTheme="minorEastAsia"/>
          <w:smallCaps/>
          <w:kern w:val="0"/>
          <w:sz w:val="24"/>
          <w:szCs w:val="20"/>
        </w:rPr>
        <w:lastRenderedPageBreak/>
        <w:t>极意义。对陆生生态影响较小。</w:t>
      </w:r>
    </w:p>
    <w:p w:rsidR="002A5A5E" w:rsidRPr="00FC1444" w:rsidRDefault="00611CBA">
      <w:pPr>
        <w:spacing w:line="360" w:lineRule="auto"/>
        <w:ind w:firstLineChars="200" w:firstLine="480"/>
        <w:jc w:val="left"/>
        <w:rPr>
          <w:rFonts w:eastAsiaTheme="minorEastAsia"/>
          <w:smallCaps/>
          <w:kern w:val="0"/>
          <w:sz w:val="24"/>
          <w:szCs w:val="20"/>
        </w:rPr>
      </w:pPr>
      <w:r w:rsidRPr="00FC1444">
        <w:rPr>
          <w:rFonts w:eastAsiaTheme="minorEastAsia"/>
          <w:smallCaps/>
          <w:kern w:val="0"/>
          <w:sz w:val="24"/>
          <w:szCs w:val="20"/>
        </w:rPr>
        <w:t>综上所述，灌区的运行未对所在区域生态环境造成较大影响</w:t>
      </w:r>
      <w:r w:rsidR="006F1CDC" w:rsidRPr="00FC1444">
        <w:rPr>
          <w:rFonts w:eastAsiaTheme="minorEastAsia"/>
          <w:smallCaps/>
          <w:kern w:val="0"/>
          <w:sz w:val="24"/>
          <w:szCs w:val="20"/>
        </w:rPr>
        <w:t>。</w:t>
      </w:r>
      <w:r w:rsidR="006F1CDC" w:rsidRPr="00FC1444">
        <w:rPr>
          <w:rFonts w:eastAsiaTheme="minorEastAsia"/>
          <w:smallCaps/>
          <w:kern w:val="0"/>
          <w:sz w:val="24"/>
          <w:szCs w:val="20"/>
        </w:rPr>
        <w:t xml:space="preserve"> </w:t>
      </w:r>
    </w:p>
    <w:p w:rsidR="002A5A5E" w:rsidRPr="00FC1444" w:rsidRDefault="00611CBA">
      <w:pPr>
        <w:adjustRightInd w:val="0"/>
        <w:snapToGrid w:val="0"/>
        <w:spacing w:line="360" w:lineRule="auto"/>
        <w:ind w:firstLineChars="200" w:firstLine="480"/>
        <w:rPr>
          <w:rFonts w:eastAsiaTheme="minorEastAsia"/>
          <w:sz w:val="24"/>
          <w:szCs w:val="22"/>
        </w:rPr>
      </w:pPr>
      <w:r w:rsidRPr="00FC1444">
        <w:rPr>
          <w:rFonts w:eastAsiaTheme="minorEastAsia"/>
          <w:sz w:val="24"/>
          <w:szCs w:val="22"/>
        </w:rPr>
        <w:t>（</w:t>
      </w:r>
      <w:r w:rsidRPr="00FC1444">
        <w:rPr>
          <w:rFonts w:eastAsiaTheme="minorEastAsia"/>
          <w:sz w:val="24"/>
          <w:szCs w:val="22"/>
        </w:rPr>
        <w:t>4</w:t>
      </w:r>
      <w:r w:rsidRPr="00FC1444">
        <w:rPr>
          <w:rFonts w:eastAsiaTheme="minorEastAsia"/>
          <w:sz w:val="24"/>
          <w:szCs w:val="22"/>
        </w:rPr>
        <w:t>）土壤</w:t>
      </w:r>
    </w:p>
    <w:p w:rsidR="002A5A5E" w:rsidRPr="00FC1444" w:rsidRDefault="00A93CEB">
      <w:pPr>
        <w:adjustRightInd w:val="0"/>
        <w:snapToGrid w:val="0"/>
        <w:spacing w:line="360" w:lineRule="auto"/>
        <w:ind w:firstLineChars="200" w:firstLine="480"/>
        <w:rPr>
          <w:rFonts w:eastAsiaTheme="minorEastAsia"/>
          <w:smallCaps/>
          <w:kern w:val="0"/>
          <w:sz w:val="24"/>
          <w:szCs w:val="20"/>
        </w:rPr>
      </w:pPr>
      <w:r w:rsidRPr="00FC1444">
        <w:rPr>
          <w:rFonts w:eastAsiaTheme="minorEastAsia"/>
          <w:sz w:val="24"/>
          <w:szCs w:val="21"/>
        </w:rPr>
        <w:t>根据土壤现状监测结果，</w:t>
      </w:r>
      <w:r w:rsidRPr="00FC1444">
        <w:rPr>
          <w:rFonts w:eastAsiaTheme="minorEastAsia"/>
          <w:sz w:val="24"/>
          <w:szCs w:val="21"/>
        </w:rPr>
        <w:t>3</w:t>
      </w:r>
      <w:r w:rsidRPr="00FC1444">
        <w:rPr>
          <w:rFonts w:eastAsiaTheme="minorEastAsia"/>
          <w:sz w:val="24"/>
          <w:szCs w:val="21"/>
        </w:rPr>
        <w:t>个监测点</w:t>
      </w:r>
      <w:r w:rsidRPr="00FC1444">
        <w:rPr>
          <w:rFonts w:eastAsiaTheme="minorEastAsia"/>
          <w:sz w:val="24"/>
          <w:szCs w:val="21"/>
        </w:rPr>
        <w:t>pH</w:t>
      </w:r>
      <w:r w:rsidRPr="00FC1444">
        <w:rPr>
          <w:rFonts w:eastAsiaTheme="minorEastAsia"/>
          <w:sz w:val="24"/>
          <w:szCs w:val="21"/>
        </w:rPr>
        <w:t>值在</w:t>
      </w:r>
      <w:r w:rsidRPr="00FC1444">
        <w:rPr>
          <w:rFonts w:eastAsiaTheme="minorEastAsia"/>
          <w:sz w:val="24"/>
          <w:szCs w:val="21"/>
        </w:rPr>
        <w:t>6.17-7.31</w:t>
      </w:r>
      <w:r w:rsidRPr="00FC1444">
        <w:rPr>
          <w:rFonts w:eastAsiaTheme="minorEastAsia"/>
          <w:sz w:val="24"/>
          <w:szCs w:val="21"/>
        </w:rPr>
        <w:t>之间，含盐量为</w:t>
      </w:r>
      <w:r w:rsidRPr="00FC1444">
        <w:rPr>
          <w:rFonts w:eastAsiaTheme="minorEastAsia"/>
          <w:sz w:val="24"/>
          <w:szCs w:val="21"/>
        </w:rPr>
        <w:t>0.4-0.9g/kg</w:t>
      </w:r>
      <w:r w:rsidRPr="00FC1444">
        <w:rPr>
          <w:rFonts w:eastAsiaTheme="minorEastAsia"/>
          <w:sz w:val="24"/>
        </w:rPr>
        <w:t>。均</w:t>
      </w:r>
      <w:r w:rsidRPr="00FC1444">
        <w:rPr>
          <w:rFonts w:eastAsiaTheme="minorEastAsia"/>
          <w:sz w:val="24"/>
          <w:szCs w:val="21"/>
        </w:rPr>
        <w:t>满足《土壤环境质量</w:t>
      </w:r>
      <w:r w:rsidRPr="00FC1444">
        <w:rPr>
          <w:rFonts w:eastAsiaTheme="minorEastAsia"/>
          <w:sz w:val="24"/>
          <w:szCs w:val="21"/>
        </w:rPr>
        <w:t xml:space="preserve"> </w:t>
      </w:r>
      <w:r w:rsidRPr="00FC1444">
        <w:rPr>
          <w:rFonts w:eastAsiaTheme="minorEastAsia"/>
          <w:sz w:val="24"/>
          <w:szCs w:val="21"/>
        </w:rPr>
        <w:t>农用地土壤污染风险管控标准（试行）》（</w:t>
      </w:r>
      <w:r w:rsidRPr="00FC1444">
        <w:rPr>
          <w:rFonts w:eastAsiaTheme="minorEastAsia"/>
          <w:sz w:val="24"/>
          <w:szCs w:val="21"/>
        </w:rPr>
        <w:t>GB15618-2018</w:t>
      </w:r>
      <w:r w:rsidRPr="00FC1444">
        <w:rPr>
          <w:rFonts w:eastAsiaTheme="minorEastAsia"/>
          <w:sz w:val="24"/>
          <w:szCs w:val="21"/>
        </w:rPr>
        <w:t>）表</w:t>
      </w:r>
      <w:r w:rsidRPr="00FC1444">
        <w:rPr>
          <w:rFonts w:eastAsiaTheme="minorEastAsia"/>
          <w:sz w:val="24"/>
          <w:szCs w:val="21"/>
        </w:rPr>
        <w:t>1</w:t>
      </w:r>
      <w:r w:rsidRPr="00FC1444">
        <w:rPr>
          <w:rFonts w:eastAsiaTheme="minorEastAsia"/>
          <w:sz w:val="24"/>
          <w:szCs w:val="21"/>
        </w:rPr>
        <w:t>中标准限值</w:t>
      </w:r>
      <w:r w:rsidR="00611CBA" w:rsidRPr="00FC1444">
        <w:rPr>
          <w:rFonts w:eastAsiaTheme="minorEastAsia"/>
          <w:sz w:val="24"/>
          <w:szCs w:val="22"/>
        </w:rPr>
        <w:t>。土壤未</w:t>
      </w:r>
      <w:r w:rsidR="00611CBA" w:rsidRPr="00FC1444">
        <w:rPr>
          <w:rFonts w:eastAsiaTheme="minorEastAsia"/>
          <w:smallCaps/>
          <w:kern w:val="0"/>
          <w:sz w:val="24"/>
          <w:szCs w:val="20"/>
        </w:rPr>
        <w:t>发生土壤盐渍化、酸化、碱化。</w:t>
      </w:r>
      <w:r w:rsidR="006F1CDC" w:rsidRPr="00FC1444">
        <w:rPr>
          <w:rFonts w:eastAsiaTheme="minorEastAsia"/>
          <w:smallCaps/>
          <w:kern w:val="0"/>
          <w:sz w:val="24"/>
          <w:szCs w:val="20"/>
        </w:rPr>
        <w:t>多年耕作形成成熟耕作层，土壤有机质、黏粒形成稳定缓冲体系。</w:t>
      </w:r>
    </w:p>
    <w:p w:rsidR="002A5A5E" w:rsidRPr="00FC1444" w:rsidRDefault="00611CBA">
      <w:pPr>
        <w:adjustRightInd w:val="0"/>
        <w:snapToGrid w:val="0"/>
        <w:spacing w:line="360" w:lineRule="auto"/>
        <w:ind w:firstLineChars="200" w:firstLine="480"/>
        <w:rPr>
          <w:rFonts w:eastAsiaTheme="minorEastAsia"/>
          <w:smallCaps/>
          <w:kern w:val="0"/>
          <w:sz w:val="24"/>
          <w:szCs w:val="20"/>
        </w:rPr>
      </w:pPr>
      <w:r w:rsidRPr="00FC1444">
        <w:rPr>
          <w:rFonts w:eastAsiaTheme="minorEastAsia"/>
          <w:smallCaps/>
          <w:kern w:val="0"/>
          <w:sz w:val="24"/>
          <w:szCs w:val="20"/>
        </w:rPr>
        <w:t>（</w:t>
      </w:r>
      <w:r w:rsidRPr="00FC1444">
        <w:rPr>
          <w:rFonts w:eastAsiaTheme="minorEastAsia"/>
          <w:smallCaps/>
          <w:kern w:val="0"/>
          <w:sz w:val="24"/>
          <w:szCs w:val="20"/>
        </w:rPr>
        <w:t>5</w:t>
      </w:r>
      <w:r w:rsidRPr="00FC1444">
        <w:rPr>
          <w:rFonts w:eastAsiaTheme="minorEastAsia"/>
          <w:smallCaps/>
          <w:kern w:val="0"/>
          <w:sz w:val="24"/>
          <w:szCs w:val="20"/>
        </w:rPr>
        <w:t>）水文及水资源</w:t>
      </w:r>
    </w:p>
    <w:p w:rsidR="002A5A5E" w:rsidRPr="00FC1444" w:rsidRDefault="00611CBA">
      <w:pPr>
        <w:adjustRightInd w:val="0"/>
        <w:snapToGrid w:val="0"/>
        <w:spacing w:line="360" w:lineRule="auto"/>
        <w:ind w:firstLineChars="200" w:firstLine="480"/>
        <w:rPr>
          <w:rFonts w:eastAsiaTheme="minorEastAsia"/>
          <w:sz w:val="24"/>
          <w:szCs w:val="22"/>
        </w:rPr>
      </w:pPr>
      <w:r w:rsidRPr="00FC1444">
        <w:rPr>
          <w:rFonts w:eastAsiaTheme="minorEastAsia"/>
          <w:sz w:val="24"/>
          <w:szCs w:val="22"/>
        </w:rPr>
        <w:t>灌区干渠上现有部分涵洞、过水路面等渠系建筑物部分已到达合理使用年限，老化破损严重，年久失修，无法继续满足基本灌溉需求；渠道衬砌长度较短，渗漏损失大，导致渠道输水效率低，部分输水渠段跑、冒、漏严重，致使渠道沿程水损失较大，水资源浪费严重。项目区部分排水沟淤积严重，排水不畅。</w:t>
      </w:r>
    </w:p>
    <w:p w:rsidR="002A5A5E" w:rsidRPr="00FC1444" w:rsidRDefault="00611CBA" w:rsidP="006F1CDC">
      <w:pPr>
        <w:adjustRightInd w:val="0"/>
        <w:snapToGrid w:val="0"/>
        <w:spacing w:line="360" w:lineRule="auto"/>
        <w:ind w:firstLineChars="200" w:firstLine="480"/>
        <w:rPr>
          <w:rFonts w:eastAsiaTheme="minorEastAsia"/>
          <w:sz w:val="24"/>
          <w:szCs w:val="22"/>
        </w:rPr>
      </w:pPr>
      <w:r w:rsidRPr="00FC1444">
        <w:rPr>
          <w:rFonts w:eastAsiaTheme="minorEastAsia"/>
          <w:sz w:val="24"/>
          <w:szCs w:val="22"/>
        </w:rPr>
        <w:t>综上，</w:t>
      </w:r>
      <w:r w:rsidR="006F1CDC" w:rsidRPr="00FC1444">
        <w:rPr>
          <w:rFonts w:eastAsiaTheme="minorEastAsia"/>
          <w:sz w:val="24"/>
          <w:szCs w:val="22"/>
        </w:rPr>
        <w:t>根据本项目现状监测</w:t>
      </w:r>
      <w:r w:rsidR="007D62F3" w:rsidRPr="00FC1444">
        <w:rPr>
          <w:rFonts w:eastAsiaTheme="minorEastAsia"/>
          <w:sz w:val="24"/>
          <w:szCs w:val="22"/>
        </w:rPr>
        <w:t>及</w:t>
      </w:r>
      <w:r w:rsidR="006F1CDC" w:rsidRPr="00FC1444">
        <w:rPr>
          <w:rFonts w:eastAsiaTheme="minorEastAsia"/>
          <w:sz w:val="24"/>
          <w:szCs w:val="22"/>
        </w:rPr>
        <w:t>《</w:t>
      </w:r>
      <w:r w:rsidR="00BA4E4D" w:rsidRPr="00FC1444">
        <w:rPr>
          <w:rFonts w:eastAsiaTheme="minorEastAsia"/>
          <w:sz w:val="24"/>
          <w:szCs w:val="22"/>
        </w:rPr>
        <w:t>2025</w:t>
      </w:r>
      <w:r w:rsidR="00BA4E4D" w:rsidRPr="00FC1444">
        <w:rPr>
          <w:rFonts w:eastAsiaTheme="minorEastAsia"/>
          <w:sz w:val="24"/>
          <w:szCs w:val="22"/>
        </w:rPr>
        <w:t>年绥化市环境质量年报</w:t>
      </w:r>
      <w:r w:rsidR="006F1CDC" w:rsidRPr="00FC1444">
        <w:rPr>
          <w:rFonts w:eastAsiaTheme="minorEastAsia"/>
          <w:sz w:val="24"/>
          <w:szCs w:val="22"/>
        </w:rPr>
        <w:t>》，现有工程区运行多年，未导致地表水、地下水</w:t>
      </w:r>
      <w:r w:rsidRPr="00FC1444">
        <w:rPr>
          <w:rFonts w:eastAsiaTheme="minorEastAsia"/>
          <w:sz w:val="24"/>
          <w:szCs w:val="22"/>
        </w:rPr>
        <w:t>、土壤环境发生恶化。</w:t>
      </w:r>
      <w:r w:rsidR="006F1CDC" w:rsidRPr="00FC1444">
        <w:rPr>
          <w:rFonts w:eastAsiaTheme="minorEastAsia"/>
          <w:sz w:val="24"/>
          <w:szCs w:val="22"/>
        </w:rPr>
        <w:t>区域地下水资源具备开发潜力。现有水田退水的影响经过多年的演替，已形成稳定的适合现有鱼类及水生生物生长繁殖的生境和生态系统。本项目现有水田退水未导致</w:t>
      </w:r>
      <w:r w:rsidR="00B526E5" w:rsidRPr="00FC1444">
        <w:rPr>
          <w:bCs/>
          <w:sz w:val="24"/>
        </w:rPr>
        <w:t>津河、呼兰河、努敏河</w:t>
      </w:r>
      <w:r w:rsidR="006F1CDC" w:rsidRPr="00FC1444">
        <w:rPr>
          <w:rFonts w:eastAsiaTheme="minorEastAsia"/>
          <w:sz w:val="24"/>
          <w:szCs w:val="22"/>
        </w:rPr>
        <w:t>水生生态环境发生恶化。</w:t>
      </w:r>
    </w:p>
    <w:p w:rsidR="002A5A5E" w:rsidRPr="00FC1444" w:rsidRDefault="00611CBA">
      <w:pPr>
        <w:numPr>
          <w:ilvl w:val="3"/>
          <w:numId w:val="0"/>
        </w:numPr>
        <w:tabs>
          <w:tab w:val="left" w:pos="1134"/>
        </w:tabs>
        <w:spacing w:line="360" w:lineRule="auto"/>
        <w:ind w:left="851" w:hanging="851"/>
        <w:outlineLvl w:val="3"/>
        <w:rPr>
          <w:rFonts w:eastAsiaTheme="minorEastAsia"/>
          <w:kern w:val="0"/>
          <w:sz w:val="24"/>
          <w:szCs w:val="20"/>
        </w:rPr>
      </w:pPr>
      <w:r w:rsidRPr="00FC1444">
        <w:rPr>
          <w:rFonts w:eastAsiaTheme="minorEastAsia"/>
          <w:b/>
          <w:sz w:val="24"/>
        </w:rPr>
        <w:t>3.1.3.3</w:t>
      </w:r>
      <w:r w:rsidRPr="00FC1444">
        <w:rPr>
          <w:rFonts w:eastAsiaTheme="minorEastAsia"/>
          <w:b/>
          <w:sz w:val="24"/>
        </w:rPr>
        <w:t>现状存在的生态环境问题以及</w:t>
      </w:r>
      <w:r w:rsidRPr="00FC1444">
        <w:rPr>
          <w:rFonts w:eastAsiaTheme="minorEastAsia"/>
          <w:b/>
          <w:sz w:val="24"/>
        </w:rPr>
        <w:t>“</w:t>
      </w:r>
      <w:r w:rsidRPr="00FC1444">
        <w:rPr>
          <w:rFonts w:eastAsiaTheme="minorEastAsia"/>
          <w:b/>
          <w:sz w:val="24"/>
        </w:rPr>
        <w:t>以新带老</w:t>
      </w:r>
      <w:r w:rsidRPr="00FC1444">
        <w:rPr>
          <w:rFonts w:eastAsiaTheme="minorEastAsia"/>
          <w:b/>
          <w:sz w:val="24"/>
        </w:rPr>
        <w:t>”</w:t>
      </w:r>
      <w:r w:rsidRPr="00FC1444">
        <w:rPr>
          <w:rFonts w:eastAsiaTheme="minorEastAsia"/>
          <w:b/>
          <w:sz w:val="24"/>
        </w:rPr>
        <w:t>措施</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本项目实施即对原有输水渠道和渠系构筑物进行改造维护，项目实施后原输水渠道将恢复设计输水能力，提高灌溉设计保证率，节水效益显著提高，促进区域健康发展。</w:t>
      </w:r>
    </w:p>
    <w:p w:rsidR="002A5A5E" w:rsidRPr="00FC1444" w:rsidRDefault="00611CBA">
      <w:pPr>
        <w:contextualSpacing/>
        <w:jc w:val="center"/>
        <w:rPr>
          <w:rFonts w:eastAsiaTheme="minorEastAsia"/>
          <w:b/>
          <w:kern w:val="0"/>
          <w:szCs w:val="21"/>
        </w:rPr>
      </w:pPr>
      <w:bookmarkStart w:id="67" w:name="_Hlk150932396"/>
      <w:r w:rsidRPr="00FC1444">
        <w:rPr>
          <w:rFonts w:eastAsiaTheme="minorEastAsia"/>
          <w:b/>
          <w:kern w:val="0"/>
          <w:szCs w:val="21"/>
        </w:rPr>
        <w:t>表</w:t>
      </w:r>
      <w:r w:rsidR="002A51BB" w:rsidRPr="00FC1444">
        <w:rPr>
          <w:rFonts w:eastAsiaTheme="minorEastAsia"/>
          <w:b/>
          <w:kern w:val="0"/>
          <w:szCs w:val="21"/>
        </w:rPr>
        <w:t>3-1-</w:t>
      </w:r>
      <w:r w:rsidR="002A51BB" w:rsidRPr="00FC1444">
        <w:rPr>
          <w:rFonts w:eastAsiaTheme="minorEastAsia" w:hint="eastAsia"/>
          <w:b/>
          <w:kern w:val="0"/>
          <w:szCs w:val="21"/>
        </w:rPr>
        <w:t>2</w:t>
      </w:r>
      <w:r w:rsidRPr="00FC1444">
        <w:rPr>
          <w:rFonts w:eastAsiaTheme="minorEastAsia"/>
          <w:b/>
          <w:kern w:val="0"/>
          <w:szCs w:val="21"/>
        </w:rPr>
        <w:t xml:space="preserve"> </w:t>
      </w:r>
      <w:r w:rsidRPr="00FC1444">
        <w:rPr>
          <w:rFonts w:eastAsiaTheme="minorEastAsia"/>
          <w:b/>
          <w:kern w:val="0"/>
          <w:szCs w:val="21"/>
        </w:rPr>
        <w:t>现状主要生态环境问题及整改措施</w:t>
      </w:r>
    </w:p>
    <w:tbl>
      <w:tblPr>
        <w:tblW w:w="8444" w:type="dxa"/>
        <w:tblBorders>
          <w:top w:val="single" w:sz="12" w:space="0" w:color="auto"/>
          <w:bottom w:val="single" w:sz="12" w:space="0" w:color="auto"/>
          <w:insideH w:val="single" w:sz="6" w:space="0" w:color="auto"/>
          <w:insideV w:val="single" w:sz="6" w:space="0" w:color="auto"/>
        </w:tblBorders>
        <w:tblLook w:val="04A0"/>
      </w:tblPr>
      <w:tblGrid>
        <w:gridCol w:w="940"/>
        <w:gridCol w:w="4271"/>
        <w:gridCol w:w="3233"/>
      </w:tblGrid>
      <w:tr w:rsidR="002A5A5E" w:rsidRPr="00FC1444" w:rsidTr="00707DE4">
        <w:trPr>
          <w:trHeight w:val="425"/>
        </w:trPr>
        <w:tc>
          <w:tcPr>
            <w:tcW w:w="940" w:type="dxa"/>
            <w:vAlign w:val="center"/>
          </w:tcPr>
          <w:p w:rsidR="002A5A5E" w:rsidRPr="00FC1444" w:rsidRDefault="00611CBA">
            <w:pPr>
              <w:adjustRightInd w:val="0"/>
              <w:snapToGrid w:val="0"/>
              <w:jc w:val="center"/>
              <w:rPr>
                <w:rFonts w:eastAsiaTheme="minorEastAsia"/>
                <w:spacing w:val="-4"/>
                <w:kern w:val="0"/>
                <w:szCs w:val="20"/>
              </w:rPr>
            </w:pPr>
            <w:r w:rsidRPr="00FC1444">
              <w:rPr>
                <w:rFonts w:eastAsiaTheme="minorEastAsia"/>
                <w:spacing w:val="-4"/>
                <w:kern w:val="0"/>
                <w:szCs w:val="20"/>
              </w:rPr>
              <w:t>类别</w:t>
            </w:r>
          </w:p>
        </w:tc>
        <w:tc>
          <w:tcPr>
            <w:tcW w:w="4271" w:type="dxa"/>
            <w:vAlign w:val="center"/>
          </w:tcPr>
          <w:p w:rsidR="002A5A5E" w:rsidRPr="00FC1444" w:rsidRDefault="00611CBA">
            <w:pPr>
              <w:adjustRightInd w:val="0"/>
              <w:snapToGrid w:val="0"/>
              <w:jc w:val="center"/>
              <w:rPr>
                <w:rFonts w:eastAsiaTheme="minorEastAsia"/>
                <w:spacing w:val="-4"/>
                <w:kern w:val="0"/>
                <w:szCs w:val="20"/>
              </w:rPr>
            </w:pPr>
            <w:r w:rsidRPr="00FC1444">
              <w:rPr>
                <w:rFonts w:eastAsiaTheme="minorEastAsia"/>
                <w:spacing w:val="-4"/>
                <w:kern w:val="0"/>
                <w:szCs w:val="20"/>
              </w:rPr>
              <w:t>存在问题</w:t>
            </w:r>
          </w:p>
        </w:tc>
        <w:tc>
          <w:tcPr>
            <w:tcW w:w="3233" w:type="dxa"/>
            <w:vAlign w:val="center"/>
          </w:tcPr>
          <w:p w:rsidR="002A5A5E" w:rsidRPr="00FC1444" w:rsidRDefault="00611CBA">
            <w:pPr>
              <w:adjustRightInd w:val="0"/>
              <w:snapToGrid w:val="0"/>
              <w:jc w:val="center"/>
              <w:rPr>
                <w:rFonts w:eastAsiaTheme="minorEastAsia"/>
                <w:spacing w:val="-4"/>
                <w:kern w:val="0"/>
                <w:szCs w:val="20"/>
              </w:rPr>
            </w:pPr>
            <w:r w:rsidRPr="00FC1444">
              <w:rPr>
                <w:rFonts w:eastAsiaTheme="minorEastAsia"/>
                <w:spacing w:val="-4"/>
                <w:kern w:val="0"/>
                <w:szCs w:val="20"/>
              </w:rPr>
              <w:t>整改措施</w:t>
            </w:r>
          </w:p>
        </w:tc>
      </w:tr>
      <w:tr w:rsidR="002A5A5E" w:rsidRPr="00FC1444" w:rsidTr="00707DE4">
        <w:trPr>
          <w:trHeight w:val="876"/>
        </w:trPr>
        <w:tc>
          <w:tcPr>
            <w:tcW w:w="940" w:type="dxa"/>
            <w:vAlign w:val="center"/>
          </w:tcPr>
          <w:p w:rsidR="002A5A5E" w:rsidRPr="00FC1444" w:rsidRDefault="00611CBA">
            <w:pPr>
              <w:adjustRightInd w:val="0"/>
              <w:snapToGrid w:val="0"/>
              <w:jc w:val="center"/>
              <w:rPr>
                <w:rFonts w:eastAsiaTheme="minorEastAsia"/>
                <w:spacing w:val="-4"/>
                <w:kern w:val="0"/>
                <w:szCs w:val="20"/>
              </w:rPr>
            </w:pPr>
            <w:r w:rsidRPr="00FC1444">
              <w:rPr>
                <w:rFonts w:eastAsiaTheme="minorEastAsia"/>
                <w:spacing w:val="-4"/>
                <w:kern w:val="0"/>
                <w:szCs w:val="20"/>
              </w:rPr>
              <w:t>水文及水资源</w:t>
            </w:r>
          </w:p>
        </w:tc>
        <w:tc>
          <w:tcPr>
            <w:tcW w:w="4271" w:type="dxa"/>
            <w:vAlign w:val="center"/>
          </w:tcPr>
          <w:p w:rsidR="002A5A5E" w:rsidRPr="00FC1444" w:rsidRDefault="00611CBA" w:rsidP="00372CE0">
            <w:pPr>
              <w:adjustRightInd w:val="0"/>
              <w:snapToGrid w:val="0"/>
              <w:jc w:val="left"/>
              <w:rPr>
                <w:rFonts w:eastAsiaTheme="minorEastAsia"/>
                <w:spacing w:val="-4"/>
                <w:kern w:val="0"/>
                <w:szCs w:val="20"/>
              </w:rPr>
            </w:pPr>
            <w:r w:rsidRPr="00FC1444">
              <w:rPr>
                <w:rFonts w:eastAsiaTheme="minorEastAsia"/>
                <w:spacing w:val="-4"/>
                <w:kern w:val="0"/>
                <w:szCs w:val="21"/>
              </w:rPr>
              <w:t>灌区</w:t>
            </w:r>
            <w:r w:rsidR="00A575CC" w:rsidRPr="00FC1444">
              <w:rPr>
                <w:rFonts w:eastAsiaTheme="minorEastAsia"/>
                <w:spacing w:val="-4"/>
                <w:kern w:val="0"/>
                <w:szCs w:val="20"/>
              </w:rPr>
              <w:t>干渠上现有部分涵洞</w:t>
            </w:r>
            <w:r w:rsidRPr="00FC1444">
              <w:rPr>
                <w:rFonts w:eastAsiaTheme="minorEastAsia"/>
                <w:spacing w:val="-4"/>
                <w:kern w:val="0"/>
                <w:szCs w:val="20"/>
              </w:rPr>
              <w:t>已到达合理使用年限，老化破损严重，年久失修，无法继续满足基本灌溉需求；项目区部分排水沟淤积严重，排水不畅。</w:t>
            </w:r>
          </w:p>
        </w:tc>
        <w:tc>
          <w:tcPr>
            <w:tcW w:w="3233" w:type="dxa"/>
            <w:vAlign w:val="center"/>
          </w:tcPr>
          <w:p w:rsidR="002A5A5E" w:rsidRPr="00FC1444" w:rsidRDefault="00611CBA">
            <w:pPr>
              <w:adjustRightInd w:val="0"/>
              <w:snapToGrid w:val="0"/>
              <w:jc w:val="left"/>
              <w:rPr>
                <w:rFonts w:eastAsiaTheme="minorEastAsia"/>
                <w:spacing w:val="-4"/>
                <w:kern w:val="0"/>
                <w:szCs w:val="20"/>
              </w:rPr>
            </w:pPr>
            <w:r w:rsidRPr="00FC1444">
              <w:rPr>
                <w:rFonts w:eastAsiaTheme="minorEastAsia"/>
                <w:spacing w:val="-4"/>
                <w:kern w:val="0"/>
                <w:szCs w:val="20"/>
              </w:rPr>
              <w:t>对建筑物进行新建或拆除重建。</w:t>
            </w:r>
          </w:p>
          <w:p w:rsidR="002A5A5E" w:rsidRPr="00FC1444" w:rsidRDefault="00611CBA">
            <w:pPr>
              <w:adjustRightInd w:val="0"/>
              <w:snapToGrid w:val="0"/>
              <w:jc w:val="left"/>
              <w:rPr>
                <w:rFonts w:eastAsiaTheme="minorEastAsia"/>
                <w:spacing w:val="-4"/>
                <w:kern w:val="0"/>
                <w:szCs w:val="20"/>
              </w:rPr>
            </w:pPr>
            <w:r w:rsidRPr="00FC1444">
              <w:rPr>
                <w:rFonts w:eastAsiaTheme="minorEastAsia"/>
                <w:spacing w:val="-4"/>
                <w:kern w:val="0"/>
                <w:szCs w:val="20"/>
              </w:rPr>
              <w:t>对部分现有排水沟进行清淤、衬砌。</w:t>
            </w:r>
          </w:p>
        </w:tc>
      </w:tr>
      <w:tr w:rsidR="002A5A5E" w:rsidRPr="00FC1444" w:rsidTr="00707DE4">
        <w:trPr>
          <w:trHeight w:val="537"/>
        </w:trPr>
        <w:tc>
          <w:tcPr>
            <w:tcW w:w="940" w:type="dxa"/>
            <w:vAlign w:val="center"/>
          </w:tcPr>
          <w:p w:rsidR="002A5A5E" w:rsidRPr="00FC1444" w:rsidRDefault="00611CBA">
            <w:pPr>
              <w:adjustRightInd w:val="0"/>
              <w:snapToGrid w:val="0"/>
              <w:jc w:val="center"/>
              <w:rPr>
                <w:rFonts w:eastAsiaTheme="minorEastAsia"/>
                <w:spacing w:val="-4"/>
                <w:kern w:val="0"/>
                <w:szCs w:val="20"/>
              </w:rPr>
            </w:pPr>
            <w:r w:rsidRPr="00FC1444">
              <w:rPr>
                <w:rFonts w:eastAsiaTheme="minorEastAsia"/>
                <w:spacing w:val="-4"/>
                <w:kern w:val="0"/>
                <w:szCs w:val="20"/>
              </w:rPr>
              <w:t>地表水</w:t>
            </w:r>
          </w:p>
        </w:tc>
        <w:tc>
          <w:tcPr>
            <w:tcW w:w="4271" w:type="dxa"/>
            <w:vAlign w:val="center"/>
          </w:tcPr>
          <w:p w:rsidR="002A5A5E" w:rsidRPr="00FC1444" w:rsidRDefault="00611CBA" w:rsidP="00DE0D88">
            <w:pPr>
              <w:adjustRightInd w:val="0"/>
              <w:snapToGrid w:val="0"/>
              <w:jc w:val="left"/>
              <w:rPr>
                <w:rFonts w:eastAsiaTheme="minorEastAsia"/>
                <w:spacing w:val="-4"/>
                <w:kern w:val="0"/>
                <w:szCs w:val="20"/>
              </w:rPr>
            </w:pPr>
            <w:r w:rsidRPr="00FC1444">
              <w:rPr>
                <w:rFonts w:eastAsiaTheme="minorEastAsia"/>
                <w:spacing w:val="-4"/>
                <w:kern w:val="0"/>
                <w:szCs w:val="20"/>
              </w:rPr>
              <w:t>农田退水对水环境产生一定的影响。</w:t>
            </w:r>
            <w:r w:rsidRPr="00FC1444">
              <w:rPr>
                <w:rFonts w:eastAsiaTheme="minorEastAsia"/>
                <w:spacing w:val="-4"/>
                <w:kern w:val="0"/>
                <w:szCs w:val="20"/>
              </w:rPr>
              <w:t xml:space="preserve"> </w:t>
            </w:r>
          </w:p>
        </w:tc>
        <w:tc>
          <w:tcPr>
            <w:tcW w:w="3233" w:type="dxa"/>
            <w:vAlign w:val="center"/>
          </w:tcPr>
          <w:p w:rsidR="002A5A5E" w:rsidRPr="00FC1444" w:rsidRDefault="00611CBA" w:rsidP="00DE0D88">
            <w:pPr>
              <w:adjustRightInd w:val="0"/>
              <w:snapToGrid w:val="0"/>
              <w:jc w:val="left"/>
              <w:rPr>
                <w:rFonts w:eastAsiaTheme="minorEastAsia"/>
                <w:spacing w:val="-4"/>
                <w:kern w:val="0"/>
                <w:szCs w:val="20"/>
              </w:rPr>
            </w:pPr>
            <w:r w:rsidRPr="00FC1444">
              <w:rPr>
                <w:rFonts w:eastAsiaTheme="minorEastAsia"/>
                <w:spacing w:val="-4"/>
                <w:kern w:val="0"/>
                <w:szCs w:val="20"/>
              </w:rPr>
              <w:t>运行期加强管理，科学、合理使用化肥，减少农药化肥的施用。</w:t>
            </w:r>
          </w:p>
        </w:tc>
      </w:tr>
      <w:tr w:rsidR="002A5A5E" w:rsidRPr="00FC1444" w:rsidTr="00707DE4">
        <w:trPr>
          <w:trHeight w:val="847"/>
        </w:trPr>
        <w:tc>
          <w:tcPr>
            <w:tcW w:w="940" w:type="dxa"/>
            <w:vAlign w:val="center"/>
          </w:tcPr>
          <w:p w:rsidR="002A5A5E" w:rsidRPr="00FC1444" w:rsidRDefault="00611CBA">
            <w:pPr>
              <w:adjustRightInd w:val="0"/>
              <w:snapToGrid w:val="0"/>
              <w:jc w:val="center"/>
              <w:rPr>
                <w:rFonts w:eastAsiaTheme="minorEastAsia"/>
                <w:spacing w:val="-4"/>
                <w:kern w:val="0"/>
                <w:szCs w:val="20"/>
              </w:rPr>
            </w:pPr>
            <w:r w:rsidRPr="00FC1444">
              <w:rPr>
                <w:rFonts w:eastAsiaTheme="minorEastAsia"/>
                <w:spacing w:val="-4"/>
                <w:kern w:val="0"/>
                <w:szCs w:val="20"/>
              </w:rPr>
              <w:t>陆生</w:t>
            </w:r>
          </w:p>
          <w:p w:rsidR="002A5A5E" w:rsidRPr="00FC1444" w:rsidRDefault="00611CBA">
            <w:pPr>
              <w:adjustRightInd w:val="0"/>
              <w:snapToGrid w:val="0"/>
              <w:jc w:val="center"/>
              <w:rPr>
                <w:rFonts w:eastAsiaTheme="minorEastAsia"/>
                <w:spacing w:val="-4"/>
                <w:kern w:val="0"/>
                <w:szCs w:val="20"/>
              </w:rPr>
            </w:pPr>
            <w:r w:rsidRPr="00FC1444">
              <w:rPr>
                <w:rFonts w:eastAsiaTheme="minorEastAsia"/>
                <w:spacing w:val="-4"/>
                <w:kern w:val="0"/>
                <w:szCs w:val="20"/>
              </w:rPr>
              <w:t>生态</w:t>
            </w:r>
          </w:p>
        </w:tc>
        <w:tc>
          <w:tcPr>
            <w:tcW w:w="4271" w:type="dxa"/>
            <w:vAlign w:val="center"/>
          </w:tcPr>
          <w:p w:rsidR="002A5A5E" w:rsidRPr="00FC1444" w:rsidRDefault="00372CE0">
            <w:pPr>
              <w:adjustRightInd w:val="0"/>
              <w:snapToGrid w:val="0"/>
              <w:jc w:val="left"/>
              <w:rPr>
                <w:rFonts w:eastAsiaTheme="minorEastAsia"/>
                <w:spacing w:val="-4"/>
                <w:kern w:val="0"/>
                <w:szCs w:val="20"/>
              </w:rPr>
            </w:pPr>
            <w:r w:rsidRPr="00FC1444">
              <w:rPr>
                <w:rFonts w:eastAsiaTheme="minorEastAsia"/>
                <w:spacing w:val="-4"/>
                <w:kern w:val="0"/>
                <w:szCs w:val="20"/>
              </w:rPr>
              <w:t>渠道衬砌长度较短，渗漏损失大，导致渠道输水效率低，部分输水渠段跑、冒、漏严重，致使渠道沿程水损失较大，水资源浪费严重。</w:t>
            </w:r>
          </w:p>
        </w:tc>
        <w:tc>
          <w:tcPr>
            <w:tcW w:w="3233" w:type="dxa"/>
            <w:vAlign w:val="center"/>
          </w:tcPr>
          <w:p w:rsidR="002A5A5E" w:rsidRPr="00FC1444" w:rsidRDefault="00611CBA">
            <w:pPr>
              <w:adjustRightInd w:val="0"/>
              <w:snapToGrid w:val="0"/>
              <w:jc w:val="left"/>
              <w:rPr>
                <w:rFonts w:eastAsiaTheme="minorEastAsia"/>
                <w:spacing w:val="-4"/>
                <w:kern w:val="0"/>
                <w:szCs w:val="22"/>
              </w:rPr>
            </w:pPr>
            <w:r w:rsidRPr="00FC1444">
              <w:rPr>
                <w:rFonts w:eastAsiaTheme="minorEastAsia"/>
                <w:spacing w:val="-4"/>
                <w:kern w:val="0"/>
                <w:szCs w:val="22"/>
              </w:rPr>
              <w:t>本工程</w:t>
            </w:r>
            <w:r w:rsidR="002424E6" w:rsidRPr="00FC1444">
              <w:rPr>
                <w:rFonts w:eastAsiaTheme="minorEastAsia"/>
                <w:bCs/>
                <w:spacing w:val="-4"/>
                <w:kern w:val="0"/>
                <w:szCs w:val="22"/>
              </w:rPr>
              <w:t>对现有渠道进行衬砌</w:t>
            </w:r>
            <w:r w:rsidRPr="00FC1444">
              <w:rPr>
                <w:rFonts w:eastAsiaTheme="minorEastAsia"/>
                <w:spacing w:val="-4"/>
                <w:kern w:val="0"/>
                <w:szCs w:val="22"/>
              </w:rPr>
              <w:t>，减轻水土流失。</w:t>
            </w:r>
          </w:p>
        </w:tc>
      </w:tr>
    </w:tbl>
    <w:p w:rsidR="002A5A5E" w:rsidRPr="00FC1444" w:rsidRDefault="00611CBA">
      <w:pPr>
        <w:keepNext/>
        <w:keepLines/>
        <w:spacing w:before="100" w:beforeAutospacing="1" w:after="100" w:afterAutospacing="1"/>
        <w:outlineLvl w:val="2"/>
        <w:rPr>
          <w:rFonts w:eastAsiaTheme="minorEastAsia"/>
          <w:b/>
          <w:sz w:val="28"/>
          <w:szCs w:val="28"/>
        </w:rPr>
      </w:pPr>
      <w:bookmarkStart w:id="68" w:name="_Toc112420350"/>
      <w:bookmarkStart w:id="69" w:name="_Toc182022280"/>
      <w:bookmarkStart w:id="70" w:name="_Toc113078920"/>
      <w:bookmarkStart w:id="71" w:name="_Toc118086779"/>
      <w:bookmarkStart w:id="72" w:name="_Toc11758487"/>
      <w:bookmarkEnd w:id="67"/>
      <w:r w:rsidRPr="00FC1444">
        <w:rPr>
          <w:rFonts w:eastAsiaTheme="minorEastAsia"/>
          <w:b/>
          <w:sz w:val="28"/>
          <w:szCs w:val="28"/>
        </w:rPr>
        <w:lastRenderedPageBreak/>
        <w:t>3.1.</w:t>
      </w:r>
      <w:bookmarkEnd w:id="68"/>
      <w:bookmarkEnd w:id="69"/>
      <w:bookmarkEnd w:id="70"/>
      <w:bookmarkEnd w:id="71"/>
      <w:r w:rsidRPr="00FC1444">
        <w:rPr>
          <w:rFonts w:eastAsiaTheme="minorEastAsia"/>
          <w:b/>
          <w:sz w:val="28"/>
          <w:szCs w:val="28"/>
        </w:rPr>
        <w:t>4</w:t>
      </w:r>
      <w:r w:rsidRPr="00FC1444">
        <w:rPr>
          <w:rFonts w:eastAsiaTheme="minorEastAsia"/>
          <w:b/>
          <w:sz w:val="28"/>
          <w:szCs w:val="28"/>
        </w:rPr>
        <w:t>项目名称及基本组成</w:t>
      </w:r>
      <w:bookmarkEnd w:id="72"/>
    </w:p>
    <w:p w:rsidR="002A5A5E" w:rsidRPr="00FC1444" w:rsidRDefault="00611CBA">
      <w:pPr>
        <w:widowControl/>
        <w:spacing w:line="360" w:lineRule="auto"/>
        <w:ind w:firstLineChars="200" w:firstLine="480"/>
        <w:rPr>
          <w:rFonts w:eastAsiaTheme="minorEastAsia"/>
          <w:kern w:val="0"/>
          <w:sz w:val="24"/>
        </w:rPr>
      </w:pPr>
      <w:r w:rsidRPr="00FC1444">
        <w:rPr>
          <w:rFonts w:eastAsiaTheme="minorEastAsia"/>
          <w:kern w:val="0"/>
          <w:sz w:val="24"/>
        </w:rPr>
        <w:t>项目名称：</w:t>
      </w:r>
      <w:r w:rsidR="00AE168C" w:rsidRPr="00FC1444">
        <w:rPr>
          <w:rFonts w:eastAsiaTheme="minorEastAsia"/>
          <w:kern w:val="0"/>
          <w:sz w:val="24"/>
        </w:rPr>
        <w:t>北林区</w:t>
      </w:r>
      <w:r w:rsidR="00AE168C" w:rsidRPr="00FC1444">
        <w:rPr>
          <w:rFonts w:eastAsiaTheme="minorEastAsia"/>
          <w:kern w:val="0"/>
          <w:sz w:val="24"/>
        </w:rPr>
        <w:t>2026</w:t>
      </w:r>
      <w:r w:rsidR="00AE168C" w:rsidRPr="00FC1444">
        <w:rPr>
          <w:rFonts w:eastAsiaTheme="minorEastAsia"/>
          <w:kern w:val="0"/>
          <w:sz w:val="24"/>
        </w:rPr>
        <w:t>年高标准农田建设项目</w:t>
      </w:r>
    </w:p>
    <w:p w:rsidR="002A5A5E" w:rsidRPr="00FC1444" w:rsidRDefault="00611CBA">
      <w:pPr>
        <w:widowControl/>
        <w:spacing w:line="360" w:lineRule="auto"/>
        <w:ind w:firstLineChars="200" w:firstLine="480"/>
        <w:rPr>
          <w:rFonts w:eastAsiaTheme="minorEastAsia"/>
          <w:kern w:val="0"/>
          <w:sz w:val="24"/>
        </w:rPr>
      </w:pPr>
      <w:r w:rsidRPr="00FC1444">
        <w:rPr>
          <w:rFonts w:eastAsiaTheme="minorEastAsia"/>
          <w:kern w:val="0"/>
          <w:sz w:val="24"/>
        </w:rPr>
        <w:t>项目建设单位：</w:t>
      </w:r>
      <w:r w:rsidR="00EE4022" w:rsidRPr="00FC1444">
        <w:rPr>
          <w:rFonts w:eastAsiaTheme="minorEastAsia"/>
          <w:kern w:val="0"/>
          <w:sz w:val="24"/>
        </w:rPr>
        <w:t>绥化市</w:t>
      </w:r>
      <w:r w:rsidR="00AE168C" w:rsidRPr="00FC1444">
        <w:rPr>
          <w:rFonts w:eastAsiaTheme="minorEastAsia"/>
          <w:kern w:val="0"/>
          <w:sz w:val="24"/>
        </w:rPr>
        <w:t>北林区农业农村局</w:t>
      </w:r>
    </w:p>
    <w:p w:rsidR="002A5A5E" w:rsidRPr="00FC1444" w:rsidRDefault="00611CBA">
      <w:pPr>
        <w:widowControl/>
        <w:spacing w:line="360" w:lineRule="auto"/>
        <w:ind w:firstLineChars="200" w:firstLine="480"/>
        <w:rPr>
          <w:rFonts w:eastAsiaTheme="minorEastAsia"/>
          <w:kern w:val="0"/>
          <w:sz w:val="24"/>
        </w:rPr>
      </w:pPr>
      <w:r w:rsidRPr="00FC1444">
        <w:rPr>
          <w:rFonts w:eastAsiaTheme="minorEastAsia"/>
          <w:kern w:val="0"/>
          <w:sz w:val="24"/>
        </w:rPr>
        <w:t>项目性质：改扩建</w:t>
      </w:r>
    </w:p>
    <w:p w:rsidR="002A5A5E" w:rsidRPr="00FC1444" w:rsidRDefault="00611CBA">
      <w:pPr>
        <w:pStyle w:val="aff4"/>
        <w:adjustRightInd/>
        <w:snapToGrid/>
        <w:jc w:val="both"/>
        <w:rPr>
          <w:rFonts w:ascii="Times New Roman" w:hAnsi="Times New Roman" w:cs="Times New Roman"/>
          <w:snapToGrid w:val="0"/>
          <w:kern w:val="0"/>
        </w:rPr>
      </w:pPr>
      <w:r w:rsidRPr="00FC1444">
        <w:rPr>
          <w:rFonts w:ascii="Times New Roman" w:hAnsi="Times New Roman" w:cs="Times New Roman"/>
        </w:rPr>
        <w:t>建设地点：</w:t>
      </w:r>
      <w:r w:rsidR="00433F49" w:rsidRPr="00FC1444">
        <w:rPr>
          <w:rFonts w:ascii="Times New Roman" w:hAnsi="Times New Roman" w:cs="Times New Roman"/>
          <w:snapToGrid w:val="0"/>
          <w:kern w:val="0"/>
        </w:rPr>
        <w:t>黑龙江省绥化市北林区绥胜镇富强村、胜利二村；津河镇民胜村、津河村、靠河村；五营乡互相村、东围村、金伏村；三河镇太安村、永德村、合作村</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项目区曾实施过的国土、发改、农业开发等各类建设项目的地块，本次称为改造提升任务项目区，曾经无建设项目的，本次称为新建任务项目区。</w:t>
      </w:r>
    </w:p>
    <w:p w:rsidR="002A5A5E" w:rsidRPr="00FC1444" w:rsidRDefault="00611CBA">
      <w:pPr>
        <w:widowControl/>
        <w:spacing w:line="360" w:lineRule="auto"/>
        <w:ind w:firstLineChars="200" w:firstLine="422"/>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3-1-</w:t>
      </w:r>
      <w:r w:rsidR="002A51BB" w:rsidRPr="00FC1444">
        <w:rPr>
          <w:rFonts w:eastAsiaTheme="minorEastAsia" w:hint="eastAsia"/>
          <w:b/>
          <w:kern w:val="0"/>
          <w:szCs w:val="21"/>
        </w:rPr>
        <w:t>3</w:t>
      </w:r>
      <w:r w:rsidRPr="00FC1444">
        <w:rPr>
          <w:rFonts w:eastAsiaTheme="minorEastAsia"/>
          <w:b/>
          <w:kern w:val="0"/>
          <w:szCs w:val="21"/>
        </w:rPr>
        <w:t>项目区耕地面积表</w:t>
      </w:r>
    </w:p>
    <w:p w:rsidR="00E268F3" w:rsidRPr="00FC1444" w:rsidRDefault="00291DFE" w:rsidP="00291DFE">
      <w:pPr>
        <w:widowControl/>
        <w:spacing w:line="360" w:lineRule="auto"/>
        <w:rPr>
          <w:rFonts w:eastAsiaTheme="minorEastAsia"/>
          <w:b/>
          <w:kern w:val="0"/>
          <w:szCs w:val="21"/>
        </w:rPr>
      </w:pPr>
      <w:r w:rsidRPr="00FC1444">
        <w:rPr>
          <w:rFonts w:eastAsiaTheme="minorEastAsia"/>
          <w:b/>
          <w:noProof/>
          <w:kern w:val="0"/>
          <w:szCs w:val="21"/>
        </w:rPr>
        <w:drawing>
          <wp:inline distT="0" distB="0" distL="0" distR="0">
            <wp:extent cx="5274310" cy="2910136"/>
            <wp:effectExtent l="19050" t="0" r="2540" b="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srcRect/>
                    <a:stretch>
                      <a:fillRect/>
                    </a:stretch>
                  </pic:blipFill>
                  <pic:spPr bwMode="auto">
                    <a:xfrm>
                      <a:off x="0" y="0"/>
                      <a:ext cx="5274310" cy="2910136"/>
                    </a:xfrm>
                    <a:prstGeom prst="rect">
                      <a:avLst/>
                    </a:prstGeom>
                    <a:noFill/>
                    <a:ln w="9525">
                      <a:noFill/>
                      <a:miter lim="800000"/>
                      <a:headEnd/>
                      <a:tailEnd/>
                    </a:ln>
                  </pic:spPr>
                </pic:pic>
              </a:graphicData>
            </a:graphic>
          </wp:inline>
        </w:drawing>
      </w:r>
    </w:p>
    <w:p w:rsidR="002A51BB" w:rsidRPr="00FC1444" w:rsidRDefault="002A51BB" w:rsidP="00E268F3">
      <w:pPr>
        <w:contextualSpacing/>
        <w:jc w:val="center"/>
        <w:rPr>
          <w:rFonts w:eastAsiaTheme="minorEastAsia"/>
          <w:b/>
          <w:kern w:val="0"/>
          <w:szCs w:val="21"/>
        </w:rPr>
      </w:pPr>
    </w:p>
    <w:p w:rsidR="002A51BB" w:rsidRPr="00FC1444" w:rsidRDefault="002A51BB" w:rsidP="00E268F3">
      <w:pPr>
        <w:contextualSpacing/>
        <w:jc w:val="center"/>
        <w:rPr>
          <w:rFonts w:eastAsiaTheme="minorEastAsia"/>
          <w:b/>
          <w:kern w:val="0"/>
          <w:szCs w:val="21"/>
        </w:rPr>
      </w:pPr>
    </w:p>
    <w:p w:rsidR="002A51BB" w:rsidRPr="00FC1444" w:rsidRDefault="002A51BB" w:rsidP="00E268F3">
      <w:pPr>
        <w:contextualSpacing/>
        <w:jc w:val="center"/>
        <w:rPr>
          <w:rFonts w:eastAsiaTheme="minorEastAsia"/>
          <w:b/>
          <w:kern w:val="0"/>
          <w:szCs w:val="21"/>
        </w:rPr>
      </w:pPr>
    </w:p>
    <w:p w:rsidR="002A51BB" w:rsidRPr="00FC1444" w:rsidRDefault="002A51BB" w:rsidP="00E268F3">
      <w:pPr>
        <w:contextualSpacing/>
        <w:jc w:val="center"/>
        <w:rPr>
          <w:rFonts w:eastAsiaTheme="minorEastAsia"/>
          <w:b/>
          <w:kern w:val="0"/>
          <w:szCs w:val="21"/>
        </w:rPr>
      </w:pPr>
    </w:p>
    <w:p w:rsidR="002A51BB" w:rsidRPr="00FC1444" w:rsidRDefault="002A51BB" w:rsidP="00E268F3">
      <w:pPr>
        <w:contextualSpacing/>
        <w:jc w:val="center"/>
        <w:rPr>
          <w:rFonts w:eastAsiaTheme="minorEastAsia"/>
          <w:b/>
          <w:kern w:val="0"/>
          <w:szCs w:val="21"/>
        </w:rPr>
      </w:pPr>
    </w:p>
    <w:p w:rsidR="002A51BB" w:rsidRPr="00FC1444" w:rsidRDefault="002A51BB" w:rsidP="00E268F3">
      <w:pPr>
        <w:contextualSpacing/>
        <w:jc w:val="center"/>
        <w:rPr>
          <w:rFonts w:eastAsiaTheme="minorEastAsia"/>
          <w:b/>
          <w:kern w:val="0"/>
          <w:szCs w:val="21"/>
        </w:rPr>
      </w:pPr>
    </w:p>
    <w:p w:rsidR="002A51BB" w:rsidRPr="00FC1444" w:rsidRDefault="002A51BB" w:rsidP="00E268F3">
      <w:pPr>
        <w:contextualSpacing/>
        <w:jc w:val="center"/>
        <w:rPr>
          <w:rFonts w:eastAsiaTheme="minorEastAsia"/>
          <w:b/>
          <w:kern w:val="0"/>
          <w:szCs w:val="21"/>
        </w:rPr>
      </w:pPr>
    </w:p>
    <w:p w:rsidR="002A51BB" w:rsidRPr="00FC1444" w:rsidRDefault="002A51BB" w:rsidP="00E268F3">
      <w:pPr>
        <w:contextualSpacing/>
        <w:jc w:val="center"/>
        <w:rPr>
          <w:rFonts w:eastAsiaTheme="minorEastAsia"/>
          <w:b/>
          <w:kern w:val="0"/>
          <w:szCs w:val="21"/>
        </w:rPr>
      </w:pPr>
    </w:p>
    <w:p w:rsidR="002A51BB" w:rsidRPr="00FC1444" w:rsidRDefault="002A51BB" w:rsidP="00E268F3">
      <w:pPr>
        <w:contextualSpacing/>
        <w:jc w:val="center"/>
        <w:rPr>
          <w:rFonts w:eastAsiaTheme="minorEastAsia"/>
          <w:b/>
          <w:kern w:val="0"/>
          <w:szCs w:val="21"/>
        </w:rPr>
      </w:pPr>
    </w:p>
    <w:p w:rsidR="002A51BB" w:rsidRPr="00FC1444" w:rsidRDefault="002A51BB" w:rsidP="00E268F3">
      <w:pPr>
        <w:contextualSpacing/>
        <w:jc w:val="center"/>
        <w:rPr>
          <w:rFonts w:eastAsiaTheme="minorEastAsia"/>
          <w:b/>
          <w:kern w:val="0"/>
          <w:szCs w:val="21"/>
        </w:rPr>
      </w:pPr>
    </w:p>
    <w:p w:rsidR="002A51BB" w:rsidRPr="00FC1444" w:rsidRDefault="002A51BB" w:rsidP="00E268F3">
      <w:pPr>
        <w:contextualSpacing/>
        <w:jc w:val="center"/>
        <w:rPr>
          <w:rFonts w:eastAsiaTheme="minorEastAsia"/>
          <w:b/>
          <w:kern w:val="0"/>
          <w:szCs w:val="21"/>
        </w:rPr>
      </w:pPr>
    </w:p>
    <w:p w:rsidR="002A51BB" w:rsidRPr="00FC1444" w:rsidRDefault="002A51BB" w:rsidP="00E268F3">
      <w:pPr>
        <w:contextualSpacing/>
        <w:jc w:val="center"/>
        <w:rPr>
          <w:rFonts w:eastAsiaTheme="minorEastAsia"/>
          <w:b/>
          <w:kern w:val="0"/>
          <w:szCs w:val="21"/>
        </w:rPr>
      </w:pPr>
    </w:p>
    <w:p w:rsidR="002A51BB" w:rsidRPr="00FC1444" w:rsidRDefault="002A51BB" w:rsidP="00E268F3">
      <w:pPr>
        <w:contextualSpacing/>
        <w:jc w:val="center"/>
        <w:rPr>
          <w:rFonts w:eastAsiaTheme="minorEastAsia"/>
          <w:b/>
          <w:kern w:val="0"/>
          <w:szCs w:val="21"/>
        </w:rPr>
      </w:pPr>
    </w:p>
    <w:p w:rsidR="00E268F3" w:rsidRPr="00FC1444" w:rsidRDefault="00E268F3" w:rsidP="00E268F3">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3-1-</w:t>
      </w:r>
      <w:r w:rsidR="002A51BB" w:rsidRPr="00FC1444">
        <w:rPr>
          <w:rFonts w:eastAsiaTheme="minorEastAsia" w:hint="eastAsia"/>
          <w:b/>
          <w:kern w:val="0"/>
          <w:szCs w:val="21"/>
        </w:rPr>
        <w:t>4</w:t>
      </w:r>
      <w:r w:rsidRPr="00FC1444">
        <w:rPr>
          <w:rFonts w:eastAsiaTheme="minorEastAsia"/>
          <w:b/>
          <w:kern w:val="0"/>
          <w:szCs w:val="21"/>
        </w:rPr>
        <w:t>项目区分布及坐标范围表</w:t>
      </w:r>
    </w:p>
    <w:p w:rsidR="00291DFE" w:rsidRPr="00FC1444" w:rsidRDefault="00291DFE" w:rsidP="00291DFE">
      <w:pPr>
        <w:spacing w:line="360" w:lineRule="auto"/>
        <w:rPr>
          <w:rFonts w:eastAsiaTheme="minorEastAsia"/>
          <w:snapToGrid w:val="0"/>
          <w:kern w:val="0"/>
          <w:sz w:val="24"/>
        </w:rPr>
      </w:pPr>
      <w:r w:rsidRPr="00FC1444">
        <w:rPr>
          <w:rFonts w:eastAsiaTheme="minorEastAsia"/>
          <w:noProof/>
          <w:kern w:val="0"/>
          <w:sz w:val="24"/>
        </w:rPr>
        <w:drawing>
          <wp:inline distT="0" distB="0" distL="0" distR="0">
            <wp:extent cx="5274310" cy="4145031"/>
            <wp:effectExtent l="19050" t="0" r="2540" b="0"/>
            <wp:docPr id="8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0"/>
                    <a:srcRect/>
                    <a:stretch>
                      <a:fillRect/>
                    </a:stretch>
                  </pic:blipFill>
                  <pic:spPr bwMode="auto">
                    <a:xfrm>
                      <a:off x="0" y="0"/>
                      <a:ext cx="5274310" cy="4145031"/>
                    </a:xfrm>
                    <a:prstGeom prst="rect">
                      <a:avLst/>
                    </a:prstGeom>
                    <a:noFill/>
                    <a:ln w="9525">
                      <a:noFill/>
                      <a:miter lim="800000"/>
                      <a:headEnd/>
                      <a:tailEnd/>
                    </a:ln>
                  </pic:spPr>
                </pic:pic>
              </a:graphicData>
            </a:graphic>
          </wp:inline>
        </w:drawing>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工程投资：</w:t>
      </w:r>
      <w:r w:rsidR="00D622BA" w:rsidRPr="00FC1444">
        <w:rPr>
          <w:rFonts w:eastAsiaTheme="minorEastAsia"/>
          <w:snapToGrid w:val="0"/>
          <w:kern w:val="0"/>
          <w:sz w:val="24"/>
        </w:rPr>
        <w:t>51585</w:t>
      </w:r>
      <w:r w:rsidR="00D622BA" w:rsidRPr="00FC1444">
        <w:rPr>
          <w:rFonts w:eastAsiaTheme="minorEastAsia"/>
          <w:snapToGrid w:val="0"/>
          <w:kern w:val="0"/>
          <w:sz w:val="24"/>
        </w:rPr>
        <w:t>万元</w:t>
      </w:r>
    </w:p>
    <w:p w:rsidR="002A5A5E" w:rsidRPr="00FC1444" w:rsidRDefault="00611CBA">
      <w:pPr>
        <w:spacing w:line="360" w:lineRule="auto"/>
        <w:ind w:firstLineChars="200" w:firstLine="480"/>
        <w:rPr>
          <w:rFonts w:eastAsiaTheme="minorEastAsia"/>
          <w:kern w:val="0"/>
          <w:sz w:val="24"/>
          <w:szCs w:val="20"/>
          <w:vertAlign w:val="superscript"/>
        </w:rPr>
      </w:pPr>
      <w:r w:rsidRPr="00FC1444">
        <w:rPr>
          <w:rFonts w:eastAsiaTheme="minorEastAsia"/>
          <w:snapToGrid w:val="0"/>
          <w:kern w:val="0"/>
          <w:sz w:val="24"/>
        </w:rPr>
        <w:t>占地面积：</w:t>
      </w:r>
      <w:r w:rsidRPr="00FC1444">
        <w:rPr>
          <w:rFonts w:eastAsiaTheme="minorEastAsia"/>
          <w:bCs/>
          <w:snapToGrid w:val="0"/>
          <w:kern w:val="0"/>
          <w:sz w:val="24"/>
        </w:rPr>
        <w:t>项目工程</w:t>
      </w:r>
      <w:r w:rsidRPr="00FC1444">
        <w:rPr>
          <w:rFonts w:eastAsiaTheme="minorEastAsia"/>
          <w:bCs/>
          <w:sz w:val="24"/>
        </w:rPr>
        <w:t>永久占地约</w:t>
      </w:r>
      <w:r w:rsidR="00C458B4" w:rsidRPr="00FC1444">
        <w:rPr>
          <w:rFonts w:eastAsiaTheme="minorEastAsia"/>
          <w:bCs/>
          <w:sz w:val="24"/>
        </w:rPr>
        <w:t>1443</w:t>
      </w:r>
      <w:r w:rsidR="00C458B4" w:rsidRPr="00FC1444">
        <w:rPr>
          <w:rFonts w:eastAsiaTheme="minorEastAsia"/>
          <w:bCs/>
          <w:sz w:val="24"/>
        </w:rPr>
        <w:t>万</w:t>
      </w:r>
      <w:r w:rsidRPr="00FC1444">
        <w:rPr>
          <w:rFonts w:eastAsiaTheme="minorEastAsia"/>
          <w:bCs/>
          <w:sz w:val="24"/>
        </w:rPr>
        <w:t>m</w:t>
      </w:r>
      <w:r w:rsidRPr="00FC1444">
        <w:rPr>
          <w:rFonts w:eastAsiaTheme="minorEastAsia"/>
          <w:bCs/>
          <w:sz w:val="24"/>
          <w:vertAlign w:val="superscript"/>
        </w:rPr>
        <w:t>2</w:t>
      </w:r>
      <w:r w:rsidRPr="00FC1444">
        <w:rPr>
          <w:rFonts w:eastAsiaTheme="minorEastAsia"/>
          <w:bCs/>
          <w:sz w:val="24"/>
        </w:rPr>
        <w:t>（</w:t>
      </w:r>
      <w:r w:rsidR="00E268F3" w:rsidRPr="00FC1444">
        <w:rPr>
          <w:rFonts w:eastAsiaTheme="minorEastAsia"/>
          <w:bCs/>
          <w:sz w:val="24"/>
        </w:rPr>
        <w:t>其中新增约</w:t>
      </w:r>
      <w:r w:rsidR="00C458B4" w:rsidRPr="00FC1444">
        <w:rPr>
          <w:rFonts w:eastAsiaTheme="minorEastAsia"/>
          <w:bCs/>
          <w:sz w:val="24"/>
        </w:rPr>
        <w:t>22240</w:t>
      </w:r>
      <w:r w:rsidRPr="00FC1444">
        <w:rPr>
          <w:rFonts w:eastAsiaTheme="minorEastAsia"/>
          <w:bCs/>
          <w:sz w:val="24"/>
        </w:rPr>
        <w:t>m</w:t>
      </w:r>
      <w:r w:rsidRPr="00FC1444">
        <w:rPr>
          <w:rFonts w:eastAsiaTheme="minorEastAsia"/>
          <w:bCs/>
          <w:sz w:val="24"/>
          <w:vertAlign w:val="superscript"/>
        </w:rPr>
        <w:t>2</w:t>
      </w:r>
      <w:r w:rsidRPr="00FC1444">
        <w:rPr>
          <w:rFonts w:eastAsiaTheme="minorEastAsia"/>
          <w:bCs/>
          <w:sz w:val="24"/>
        </w:rPr>
        <w:t>），</w:t>
      </w:r>
      <w:r w:rsidRPr="00FC1444">
        <w:rPr>
          <w:rFonts w:eastAsiaTheme="minorEastAsia"/>
          <w:kern w:val="0"/>
          <w:sz w:val="24"/>
          <w:szCs w:val="20"/>
        </w:rPr>
        <w:t>临时占用共</w:t>
      </w:r>
      <w:r w:rsidR="008A02BD" w:rsidRPr="00FC1444">
        <w:rPr>
          <w:rFonts w:eastAsiaTheme="minorEastAsia"/>
          <w:kern w:val="0"/>
          <w:sz w:val="24"/>
          <w:szCs w:val="20"/>
        </w:rPr>
        <w:t>513022</w:t>
      </w:r>
      <w:r w:rsidRPr="00FC1444">
        <w:rPr>
          <w:rFonts w:eastAsiaTheme="minorEastAsia"/>
          <w:kern w:val="0"/>
          <w:sz w:val="24"/>
          <w:szCs w:val="20"/>
        </w:rPr>
        <w:t>m</w:t>
      </w:r>
      <w:r w:rsidRPr="00FC1444">
        <w:rPr>
          <w:rFonts w:eastAsiaTheme="minorEastAsia"/>
          <w:kern w:val="0"/>
          <w:sz w:val="24"/>
          <w:szCs w:val="20"/>
          <w:vertAlign w:val="superscript"/>
        </w:rPr>
        <w:t>2</w:t>
      </w:r>
    </w:p>
    <w:p w:rsidR="002A5A5E" w:rsidRPr="00FC1444" w:rsidRDefault="00611CBA">
      <w:pPr>
        <w:pStyle w:val="aff4"/>
        <w:adjustRightInd/>
        <w:snapToGrid/>
        <w:jc w:val="both"/>
        <w:rPr>
          <w:rFonts w:ascii="Times New Roman" w:hAnsi="Times New Roman" w:cs="Times New Roman"/>
          <w:snapToGrid w:val="0"/>
          <w:kern w:val="0"/>
        </w:rPr>
      </w:pPr>
      <w:r w:rsidRPr="00FC1444">
        <w:rPr>
          <w:rFonts w:ascii="Times New Roman" w:hAnsi="Times New Roman" w:cs="Times New Roman"/>
          <w:snapToGrid w:val="0"/>
          <w:kern w:val="0"/>
        </w:rPr>
        <w:t>建设任务：本项目建设内容主要为</w:t>
      </w:r>
      <w:r w:rsidRPr="00FC1444">
        <w:rPr>
          <w:rFonts w:ascii="Times New Roman" w:hAnsi="Times New Roman" w:cs="Times New Roman"/>
        </w:rPr>
        <w:t>田块整治工程、灌溉与排水工程、田间道路工程、农田输配电工程</w:t>
      </w:r>
      <w:r w:rsidR="00D622BA" w:rsidRPr="00FC1444">
        <w:rPr>
          <w:rFonts w:ascii="Times New Roman" w:hAnsi="Times New Roman" w:cs="Times New Roman"/>
        </w:rPr>
        <w:t>、</w:t>
      </w:r>
      <w:r w:rsidR="00D622BA" w:rsidRPr="00FC1444">
        <w:rPr>
          <w:rFonts w:ascii="Times New Roman" w:hAnsi="Times New Roman" w:cs="Times New Roman"/>
          <w:szCs w:val="21"/>
        </w:rPr>
        <w:t>农田防护及生态环境保护工程</w:t>
      </w:r>
      <w:r w:rsidRPr="00FC1444">
        <w:rPr>
          <w:rFonts w:ascii="Times New Roman" w:hAnsi="Times New Roman" w:cs="Times New Roman"/>
          <w:snapToGrid w:val="0"/>
          <w:kern w:val="0"/>
        </w:rPr>
        <w:t>。</w:t>
      </w:r>
      <w:r w:rsidR="00434746" w:rsidRPr="00FC1444">
        <w:rPr>
          <w:rFonts w:ascii="Times New Roman" w:hAnsi="Times New Roman" w:cs="Times New Roman"/>
          <w:snapToGrid w:val="0"/>
          <w:kern w:val="0"/>
        </w:rPr>
        <w:t>项目建设前后耕地面积不变。</w:t>
      </w:r>
      <w:r w:rsidR="00D622BA" w:rsidRPr="00FC1444">
        <w:rPr>
          <w:rFonts w:ascii="Times New Roman" w:hAnsi="Times New Roman" w:cs="Times New Roman"/>
          <w:bCs/>
          <w:snapToGrid w:val="0"/>
          <w:kern w:val="0"/>
        </w:rPr>
        <w:t>建设</w:t>
      </w:r>
      <w:r w:rsidR="00D622BA" w:rsidRPr="00FC1444">
        <w:rPr>
          <w:rFonts w:ascii="Times New Roman" w:hAnsi="Times New Roman" w:cs="Times New Roman"/>
          <w:bCs/>
          <w:snapToGrid w:val="0"/>
          <w:kern w:val="0"/>
        </w:rPr>
        <w:t>21</w:t>
      </w:r>
      <w:r w:rsidR="00D622BA" w:rsidRPr="00FC1444">
        <w:rPr>
          <w:rFonts w:ascii="Times New Roman" w:hAnsi="Times New Roman" w:cs="Times New Roman"/>
          <w:bCs/>
          <w:snapToGrid w:val="0"/>
          <w:kern w:val="0"/>
        </w:rPr>
        <w:t>万亩高标准农田（旱田</w:t>
      </w:r>
      <w:r w:rsidR="00D622BA" w:rsidRPr="00FC1444">
        <w:rPr>
          <w:rFonts w:ascii="Times New Roman" w:hAnsi="Times New Roman" w:cs="Times New Roman"/>
          <w:bCs/>
          <w:snapToGrid w:val="0"/>
          <w:kern w:val="0"/>
        </w:rPr>
        <w:t>11.84</w:t>
      </w:r>
      <w:r w:rsidR="00D622BA" w:rsidRPr="00FC1444">
        <w:rPr>
          <w:rFonts w:ascii="Times New Roman" w:hAnsi="Times New Roman" w:cs="Times New Roman"/>
          <w:bCs/>
          <w:snapToGrid w:val="0"/>
          <w:kern w:val="0"/>
        </w:rPr>
        <w:t>万亩，水田</w:t>
      </w:r>
      <w:r w:rsidR="00D622BA" w:rsidRPr="00FC1444">
        <w:rPr>
          <w:rFonts w:ascii="Times New Roman" w:hAnsi="Times New Roman" w:cs="Times New Roman"/>
          <w:bCs/>
          <w:snapToGrid w:val="0"/>
          <w:kern w:val="0"/>
        </w:rPr>
        <w:t>9.16</w:t>
      </w:r>
      <w:r w:rsidR="00D622BA" w:rsidRPr="00FC1444">
        <w:rPr>
          <w:rFonts w:ascii="Times New Roman" w:hAnsi="Times New Roman" w:cs="Times New Roman"/>
          <w:bCs/>
          <w:snapToGrid w:val="0"/>
          <w:kern w:val="0"/>
        </w:rPr>
        <w:t>万亩）</w:t>
      </w:r>
    </w:p>
    <w:p w:rsidR="002A5A5E" w:rsidRPr="00FC1444" w:rsidRDefault="00611CBA">
      <w:pPr>
        <w:pStyle w:val="aff4"/>
        <w:adjustRightInd/>
        <w:snapToGrid/>
        <w:jc w:val="both"/>
        <w:rPr>
          <w:rFonts w:ascii="Times New Roman" w:hAnsi="Times New Roman" w:cs="Times New Roman"/>
          <w:snapToGrid w:val="0"/>
          <w:kern w:val="0"/>
        </w:rPr>
      </w:pPr>
      <w:r w:rsidRPr="00FC1444">
        <w:rPr>
          <w:rFonts w:ascii="Times New Roman" w:hAnsi="Times New Roman" w:cs="Times New Roman"/>
          <w:snapToGrid w:val="0"/>
          <w:kern w:val="0"/>
        </w:rPr>
        <w:t>（一）田块整治工程</w:t>
      </w:r>
    </w:p>
    <w:p w:rsidR="002A5A5E" w:rsidRPr="00FC1444" w:rsidRDefault="00591495">
      <w:pPr>
        <w:pStyle w:val="aff4"/>
        <w:adjustRightInd/>
        <w:snapToGrid/>
        <w:jc w:val="both"/>
        <w:rPr>
          <w:rFonts w:ascii="Times New Roman" w:hAnsi="Times New Roman" w:cs="Times New Roman"/>
          <w:snapToGrid w:val="0"/>
          <w:kern w:val="0"/>
        </w:rPr>
      </w:pPr>
      <w:r w:rsidRPr="00FC1444">
        <w:rPr>
          <w:rFonts w:ascii="Times New Roman" w:hAnsi="Times New Roman" w:cs="Times New Roman"/>
          <w:bCs/>
          <w:snapToGrid w:val="0"/>
          <w:kern w:val="0"/>
        </w:rPr>
        <w:t>旱田土地平整面积</w:t>
      </w:r>
      <w:r w:rsidRPr="00FC1444">
        <w:rPr>
          <w:rFonts w:ascii="Times New Roman" w:hAnsi="Times New Roman" w:cs="Times New Roman"/>
          <w:bCs/>
          <w:snapToGrid w:val="0"/>
          <w:kern w:val="0"/>
        </w:rPr>
        <w:t>1298.97</w:t>
      </w:r>
      <w:r w:rsidRPr="00FC1444">
        <w:rPr>
          <w:rFonts w:ascii="Times New Roman" w:hAnsi="Times New Roman" w:cs="Times New Roman"/>
          <w:bCs/>
          <w:snapToGrid w:val="0"/>
          <w:kern w:val="0"/>
        </w:rPr>
        <w:t>亩</w:t>
      </w:r>
      <w:r w:rsidR="00DF6D38" w:rsidRPr="00FC1444">
        <w:rPr>
          <w:rFonts w:ascii="Times New Roman" w:hAnsi="Times New Roman" w:cs="Times New Roman"/>
          <w:bCs/>
          <w:snapToGrid w:val="0"/>
          <w:kern w:val="0"/>
        </w:rPr>
        <w:t>，</w:t>
      </w:r>
      <w:r w:rsidRPr="00FC1444">
        <w:rPr>
          <w:rFonts w:ascii="Times New Roman" w:hAnsi="Times New Roman" w:cs="Times New Roman"/>
          <w:bCs/>
          <w:snapToGrid w:val="0"/>
          <w:kern w:val="0"/>
        </w:rPr>
        <w:t>低洼地土地平整面积</w:t>
      </w:r>
      <w:r w:rsidRPr="00FC1444">
        <w:rPr>
          <w:rFonts w:ascii="Times New Roman" w:hAnsi="Times New Roman" w:cs="Times New Roman"/>
          <w:bCs/>
          <w:snapToGrid w:val="0"/>
          <w:kern w:val="0"/>
        </w:rPr>
        <w:t>2032.55</w:t>
      </w:r>
      <w:r w:rsidRPr="00FC1444">
        <w:rPr>
          <w:rFonts w:ascii="Times New Roman" w:hAnsi="Times New Roman" w:cs="Times New Roman"/>
          <w:bCs/>
          <w:snapToGrid w:val="0"/>
          <w:kern w:val="0"/>
        </w:rPr>
        <w:t>亩</w:t>
      </w:r>
      <w:r w:rsidR="00DF6D38" w:rsidRPr="00FC1444">
        <w:rPr>
          <w:rFonts w:ascii="Times New Roman" w:hAnsi="Times New Roman" w:cs="Times New Roman"/>
          <w:bCs/>
          <w:snapToGrid w:val="0"/>
          <w:kern w:val="0"/>
        </w:rPr>
        <w:t>；</w:t>
      </w:r>
      <w:r w:rsidRPr="00FC1444">
        <w:rPr>
          <w:rFonts w:ascii="Times New Roman" w:hAnsi="Times New Roman" w:cs="Times New Roman"/>
          <w:bCs/>
          <w:snapToGrid w:val="0"/>
          <w:kern w:val="0"/>
        </w:rPr>
        <w:t>水田格田改造面积</w:t>
      </w:r>
      <w:r w:rsidRPr="00FC1444">
        <w:rPr>
          <w:rFonts w:ascii="Times New Roman" w:hAnsi="Times New Roman" w:cs="Times New Roman"/>
          <w:bCs/>
          <w:snapToGrid w:val="0"/>
          <w:kern w:val="0"/>
        </w:rPr>
        <w:t>17212.82</w:t>
      </w:r>
      <w:r w:rsidRPr="00FC1444">
        <w:rPr>
          <w:rFonts w:ascii="Times New Roman" w:hAnsi="Times New Roman" w:cs="Times New Roman"/>
          <w:bCs/>
          <w:snapToGrid w:val="0"/>
          <w:kern w:val="0"/>
        </w:rPr>
        <w:t>亩</w:t>
      </w:r>
      <w:r w:rsidR="00DF6D38" w:rsidRPr="00FC1444">
        <w:rPr>
          <w:rFonts w:ascii="Times New Roman" w:hAnsi="Times New Roman" w:cs="Times New Roman"/>
          <w:bCs/>
          <w:snapToGrid w:val="0"/>
          <w:kern w:val="0"/>
        </w:rPr>
        <w:t>；</w:t>
      </w:r>
      <w:r w:rsidRPr="00FC1444">
        <w:rPr>
          <w:rFonts w:ascii="Times New Roman" w:hAnsi="Times New Roman" w:cs="Times New Roman"/>
          <w:bCs/>
          <w:snapToGrid w:val="0"/>
          <w:kern w:val="0"/>
        </w:rPr>
        <w:t>坑塘回填</w:t>
      </w:r>
      <w:r w:rsidRPr="00FC1444">
        <w:rPr>
          <w:rFonts w:ascii="Times New Roman" w:hAnsi="Times New Roman" w:cs="Times New Roman"/>
          <w:bCs/>
          <w:snapToGrid w:val="0"/>
          <w:kern w:val="0"/>
        </w:rPr>
        <w:t>5.21</w:t>
      </w:r>
      <w:r w:rsidRPr="00FC1444">
        <w:rPr>
          <w:rFonts w:ascii="Times New Roman" w:hAnsi="Times New Roman" w:cs="Times New Roman"/>
          <w:bCs/>
          <w:snapToGrid w:val="0"/>
          <w:kern w:val="0"/>
        </w:rPr>
        <w:t>亩</w:t>
      </w:r>
      <w:r w:rsidR="00216445" w:rsidRPr="00FC1444">
        <w:rPr>
          <w:rFonts w:ascii="Times New Roman" w:hAnsi="Times New Roman" w:cs="Times New Roman"/>
          <w:bCs/>
          <w:snapToGrid w:val="0"/>
          <w:kern w:val="0"/>
        </w:rPr>
        <w:t>；土地深松、深翻及抛洒有机肥总面积</w:t>
      </w:r>
      <w:r w:rsidR="00216445" w:rsidRPr="00FC1444">
        <w:rPr>
          <w:rFonts w:ascii="Times New Roman" w:hAnsi="Times New Roman" w:cs="Times New Roman"/>
          <w:bCs/>
          <w:snapToGrid w:val="0"/>
          <w:kern w:val="0"/>
        </w:rPr>
        <w:t>84626</w:t>
      </w:r>
      <w:r w:rsidR="00216445" w:rsidRPr="00FC1444">
        <w:rPr>
          <w:rFonts w:ascii="Times New Roman" w:hAnsi="Times New Roman" w:cs="Times New Roman"/>
          <w:bCs/>
          <w:snapToGrid w:val="0"/>
          <w:kern w:val="0"/>
        </w:rPr>
        <w:t>亩</w:t>
      </w:r>
    </w:p>
    <w:p w:rsidR="002A5A5E" w:rsidRPr="00FC1444" w:rsidRDefault="00611CBA">
      <w:pPr>
        <w:pStyle w:val="aff4"/>
        <w:adjustRightInd/>
        <w:snapToGrid/>
        <w:jc w:val="both"/>
        <w:rPr>
          <w:rFonts w:ascii="Times New Roman" w:hAnsi="Times New Roman" w:cs="Times New Roman"/>
          <w:snapToGrid w:val="0"/>
          <w:kern w:val="0"/>
        </w:rPr>
      </w:pPr>
      <w:r w:rsidRPr="00FC1444">
        <w:rPr>
          <w:rFonts w:ascii="Times New Roman" w:hAnsi="Times New Roman" w:cs="Times New Roman"/>
          <w:snapToGrid w:val="0"/>
          <w:kern w:val="0"/>
        </w:rPr>
        <w:t>（二）灌溉与排水工程</w:t>
      </w:r>
    </w:p>
    <w:p w:rsidR="002A5A5E" w:rsidRPr="00FC1444" w:rsidRDefault="00611CBA">
      <w:pPr>
        <w:pStyle w:val="aff4"/>
        <w:adjustRightInd/>
        <w:snapToGrid/>
        <w:jc w:val="both"/>
        <w:rPr>
          <w:rFonts w:ascii="Times New Roman" w:hAnsi="Times New Roman" w:cs="Times New Roman"/>
          <w:snapToGrid w:val="0"/>
          <w:kern w:val="0"/>
        </w:rPr>
      </w:pPr>
      <w:r w:rsidRPr="00FC1444">
        <w:rPr>
          <w:rFonts w:ascii="Times New Roman" w:hAnsi="Times New Roman" w:cs="Times New Roman"/>
          <w:snapToGrid w:val="0"/>
          <w:kern w:val="0"/>
        </w:rPr>
        <w:t>建筑物工程：</w:t>
      </w:r>
      <w:r w:rsidR="00DF6D38" w:rsidRPr="00FC1444">
        <w:rPr>
          <w:rFonts w:ascii="Times New Roman" w:hAnsi="Times New Roman" w:cs="Times New Roman"/>
          <w:bCs/>
          <w:snapToGrid w:val="0"/>
          <w:kern w:val="0"/>
        </w:rPr>
        <w:t>新建建筑物</w:t>
      </w:r>
      <w:r w:rsidR="00DF6D38" w:rsidRPr="00FC1444">
        <w:rPr>
          <w:rFonts w:ascii="Times New Roman" w:hAnsi="Times New Roman" w:cs="Times New Roman"/>
          <w:bCs/>
          <w:snapToGrid w:val="0"/>
          <w:kern w:val="0"/>
        </w:rPr>
        <w:t>1450</w:t>
      </w:r>
      <w:r w:rsidR="00DF6D38" w:rsidRPr="00FC1444">
        <w:rPr>
          <w:rFonts w:ascii="Times New Roman" w:hAnsi="Times New Roman" w:cs="Times New Roman"/>
          <w:bCs/>
          <w:snapToGrid w:val="0"/>
          <w:kern w:val="0"/>
        </w:rPr>
        <w:t>座，其中：涵洞</w:t>
      </w:r>
      <w:r w:rsidR="00DF6D38" w:rsidRPr="00FC1444">
        <w:rPr>
          <w:rFonts w:ascii="Times New Roman" w:hAnsi="Times New Roman" w:cs="Times New Roman"/>
          <w:bCs/>
          <w:snapToGrid w:val="0"/>
          <w:kern w:val="0"/>
        </w:rPr>
        <w:t>707</w:t>
      </w:r>
      <w:r w:rsidR="00DF6D38" w:rsidRPr="00FC1444">
        <w:rPr>
          <w:rFonts w:ascii="Times New Roman" w:hAnsi="Times New Roman" w:cs="Times New Roman"/>
          <w:bCs/>
          <w:snapToGrid w:val="0"/>
          <w:kern w:val="0"/>
        </w:rPr>
        <w:t>座</w:t>
      </w:r>
      <w:r w:rsidR="00DF6D38" w:rsidRPr="00FC1444">
        <w:rPr>
          <w:rFonts w:ascii="Times New Roman" w:hAnsi="Times New Roman" w:cs="Times New Roman"/>
          <w:snapToGrid w:val="0"/>
          <w:kern w:val="0"/>
        </w:rPr>
        <w:t>（其中</w:t>
      </w:r>
      <w:r w:rsidR="000037AB" w:rsidRPr="00FC1444">
        <w:rPr>
          <w:rFonts w:ascii="Times New Roman" w:hAnsi="Times New Roman" w:cs="Times New Roman"/>
          <w:snapToGrid w:val="0"/>
          <w:kern w:val="0"/>
        </w:rPr>
        <w:t>10</w:t>
      </w:r>
      <w:r w:rsidR="000037AB" w:rsidRPr="00FC1444">
        <w:rPr>
          <w:rFonts w:ascii="Times New Roman" w:hAnsi="Times New Roman" w:cs="Times New Roman"/>
          <w:snapToGrid w:val="0"/>
          <w:kern w:val="0"/>
        </w:rPr>
        <w:t>座现有涵洞</w:t>
      </w:r>
      <w:r w:rsidR="00DF6D38" w:rsidRPr="00FC1444">
        <w:rPr>
          <w:rFonts w:ascii="Times New Roman" w:hAnsi="Times New Roman" w:cs="Times New Roman"/>
          <w:snapToGrid w:val="0"/>
          <w:kern w:val="0"/>
        </w:rPr>
        <w:t>拆除重建）</w:t>
      </w:r>
      <w:r w:rsidR="00DF6D38" w:rsidRPr="00FC1444">
        <w:rPr>
          <w:rFonts w:ascii="Times New Roman" w:hAnsi="Times New Roman" w:cs="Times New Roman"/>
          <w:bCs/>
          <w:snapToGrid w:val="0"/>
          <w:kern w:val="0"/>
        </w:rPr>
        <w:t>，过水路面</w:t>
      </w:r>
      <w:r w:rsidR="00DF6D38" w:rsidRPr="00FC1444">
        <w:rPr>
          <w:rFonts w:ascii="Times New Roman" w:hAnsi="Times New Roman" w:cs="Times New Roman"/>
          <w:bCs/>
          <w:snapToGrid w:val="0"/>
          <w:kern w:val="0"/>
        </w:rPr>
        <w:t>742</w:t>
      </w:r>
      <w:r w:rsidR="00DF6D38" w:rsidRPr="00FC1444">
        <w:rPr>
          <w:rFonts w:ascii="Times New Roman" w:hAnsi="Times New Roman" w:cs="Times New Roman"/>
          <w:bCs/>
          <w:snapToGrid w:val="0"/>
          <w:kern w:val="0"/>
        </w:rPr>
        <w:t>座，渡槽</w:t>
      </w:r>
      <w:r w:rsidR="00DF6D38" w:rsidRPr="00FC1444">
        <w:rPr>
          <w:rFonts w:ascii="Times New Roman" w:hAnsi="Times New Roman" w:cs="Times New Roman"/>
          <w:bCs/>
          <w:snapToGrid w:val="0"/>
          <w:kern w:val="0"/>
        </w:rPr>
        <w:t>1</w:t>
      </w:r>
      <w:r w:rsidR="00DF6D38" w:rsidRPr="00FC1444">
        <w:rPr>
          <w:rFonts w:ascii="Times New Roman" w:hAnsi="Times New Roman" w:cs="Times New Roman"/>
          <w:bCs/>
          <w:snapToGrid w:val="0"/>
          <w:kern w:val="0"/>
        </w:rPr>
        <w:t>座</w:t>
      </w:r>
    </w:p>
    <w:p w:rsidR="002A5A5E" w:rsidRPr="00FC1444" w:rsidRDefault="00611CBA">
      <w:pPr>
        <w:pStyle w:val="aff4"/>
        <w:adjustRightInd/>
        <w:snapToGrid/>
        <w:jc w:val="both"/>
        <w:rPr>
          <w:rFonts w:ascii="Times New Roman" w:hAnsi="Times New Roman" w:cs="Times New Roman"/>
          <w:snapToGrid w:val="0"/>
          <w:kern w:val="0"/>
        </w:rPr>
      </w:pPr>
      <w:r w:rsidRPr="00FC1444">
        <w:rPr>
          <w:rFonts w:ascii="Times New Roman" w:hAnsi="Times New Roman" w:cs="Times New Roman"/>
          <w:snapToGrid w:val="0"/>
          <w:kern w:val="0"/>
        </w:rPr>
        <w:t>灌溉工程：</w:t>
      </w:r>
      <w:r w:rsidR="008B71D4" w:rsidRPr="00FC1444">
        <w:rPr>
          <w:rFonts w:ascii="Times New Roman" w:hAnsi="Times New Roman" w:cs="Times New Roman"/>
        </w:rPr>
        <w:t>本项目</w:t>
      </w:r>
      <w:r w:rsidR="008B71D4" w:rsidRPr="00FC1444">
        <w:rPr>
          <w:rFonts w:ascii="Times New Roman" w:hAnsi="Times New Roman" w:cs="Times New Roman"/>
          <w:kern w:val="0"/>
        </w:rPr>
        <w:t>旱田</w:t>
      </w:r>
      <w:r w:rsidR="008B71D4" w:rsidRPr="00FC1444">
        <w:rPr>
          <w:rFonts w:ascii="Times New Roman" w:hAnsi="Times New Roman" w:cs="Times New Roman"/>
          <w:bCs/>
        </w:rPr>
        <w:t>新建机电井</w:t>
      </w:r>
      <w:r w:rsidR="008B71D4" w:rsidRPr="00FC1444">
        <w:rPr>
          <w:rFonts w:ascii="Times New Roman" w:hAnsi="Times New Roman" w:cs="Times New Roman"/>
          <w:bCs/>
        </w:rPr>
        <w:t>156</w:t>
      </w:r>
      <w:r w:rsidR="008B71D4" w:rsidRPr="00FC1444">
        <w:rPr>
          <w:rFonts w:ascii="Times New Roman" w:hAnsi="Times New Roman" w:cs="Times New Roman"/>
          <w:bCs/>
        </w:rPr>
        <w:t>眼，其中</w:t>
      </w:r>
      <w:r w:rsidR="008B71D4" w:rsidRPr="00FC1444">
        <w:rPr>
          <w:rFonts w:ascii="Times New Roman" w:hAnsi="Times New Roman" w:cs="Times New Roman"/>
          <w:bCs/>
        </w:rPr>
        <w:t>35</w:t>
      </w:r>
      <w:r w:rsidR="008B71D4" w:rsidRPr="00FC1444">
        <w:rPr>
          <w:rFonts w:ascii="Times New Roman" w:hAnsi="Times New Roman" w:cs="Times New Roman"/>
          <w:bCs/>
        </w:rPr>
        <w:t>口滴灌井（水肥一体化），</w:t>
      </w:r>
      <w:r w:rsidR="008B71D4" w:rsidRPr="00FC1444">
        <w:rPr>
          <w:rFonts w:ascii="Times New Roman" w:hAnsi="Times New Roman" w:cs="Times New Roman"/>
          <w:bCs/>
        </w:rPr>
        <w:t>121</w:t>
      </w:r>
      <w:r w:rsidR="008B71D4" w:rsidRPr="00FC1444">
        <w:rPr>
          <w:rFonts w:ascii="Times New Roman" w:hAnsi="Times New Roman" w:cs="Times New Roman"/>
          <w:bCs/>
        </w:rPr>
        <w:t>口抗旱井（干旱时使用），</w:t>
      </w:r>
      <w:r w:rsidR="008B71D4" w:rsidRPr="00FC1444">
        <w:rPr>
          <w:rFonts w:ascii="Times New Roman" w:hAnsi="Times New Roman" w:cs="Times New Roman"/>
        </w:rPr>
        <w:t>运营期设计</w:t>
      </w:r>
      <w:r w:rsidR="008B71D4" w:rsidRPr="00FC1444">
        <w:rPr>
          <w:rFonts w:ascii="Times New Roman" w:hAnsi="Times New Roman" w:cs="Times New Roman"/>
          <w:bCs/>
        </w:rPr>
        <w:t>抗旱井</w:t>
      </w:r>
      <w:r w:rsidR="008B71D4" w:rsidRPr="00FC1444">
        <w:rPr>
          <w:rFonts w:ascii="Times New Roman" w:hAnsi="Times New Roman" w:cs="Times New Roman"/>
        </w:rPr>
        <w:t>每年</w:t>
      </w:r>
      <w:r w:rsidR="008B71D4" w:rsidRPr="00FC1444">
        <w:rPr>
          <w:rFonts w:ascii="Times New Roman" w:hAnsi="Times New Roman" w:cs="Times New Roman" w:hint="eastAsia"/>
        </w:rPr>
        <w:t>4</w:t>
      </w:r>
      <w:r w:rsidR="008B71D4" w:rsidRPr="00FC1444">
        <w:rPr>
          <w:rFonts w:ascii="Times New Roman" w:hAnsi="Times New Roman" w:cs="Times New Roman"/>
        </w:rPr>
        <w:t>-7</w:t>
      </w:r>
      <w:r w:rsidR="008B71D4" w:rsidRPr="00FC1444">
        <w:rPr>
          <w:rFonts w:ascii="Times New Roman" w:hAnsi="Times New Roman" w:cs="Times New Roman"/>
        </w:rPr>
        <w:t>月干旱时灌水</w:t>
      </w:r>
      <w:r w:rsidR="008B71D4" w:rsidRPr="00FC1444">
        <w:rPr>
          <w:rFonts w:ascii="Times New Roman" w:hAnsi="Times New Roman" w:cs="Times New Roman"/>
        </w:rPr>
        <w:t>1</w:t>
      </w:r>
      <w:r w:rsidR="008B71D4" w:rsidRPr="00FC1444">
        <w:rPr>
          <w:rFonts w:ascii="Times New Roman" w:hAnsi="Times New Roman" w:cs="Times New Roman" w:hint="eastAsia"/>
        </w:rPr>
        <w:t>0</w:t>
      </w:r>
      <w:r w:rsidR="008B71D4" w:rsidRPr="00FC1444">
        <w:rPr>
          <w:rFonts w:ascii="Times New Roman" w:hAnsi="Times New Roman" w:cs="Times New Roman"/>
        </w:rPr>
        <w:t>d</w:t>
      </w:r>
      <w:r w:rsidR="008B71D4" w:rsidRPr="00FC1444">
        <w:rPr>
          <w:rFonts w:ascii="Times New Roman" w:hAnsi="Times New Roman" w:cs="Times New Roman"/>
        </w:rPr>
        <w:t>，每</w:t>
      </w:r>
      <w:r w:rsidR="008B71D4" w:rsidRPr="00FC1444">
        <w:rPr>
          <w:rFonts w:ascii="Times New Roman" w:hAnsi="Times New Roman" w:cs="Times New Roman"/>
        </w:rPr>
        <w:lastRenderedPageBreak/>
        <w:t>天灌溉时间约为</w:t>
      </w:r>
      <w:r w:rsidR="008B71D4" w:rsidRPr="00FC1444">
        <w:rPr>
          <w:rFonts w:ascii="Times New Roman" w:hAnsi="Times New Roman" w:cs="Times New Roman" w:hint="eastAsia"/>
        </w:rPr>
        <w:t>7</w:t>
      </w:r>
      <w:r w:rsidR="008B71D4" w:rsidRPr="00FC1444">
        <w:rPr>
          <w:rFonts w:ascii="Times New Roman" w:hAnsi="Times New Roman" w:cs="Times New Roman"/>
        </w:rPr>
        <w:t>h</w:t>
      </w:r>
      <w:r w:rsidR="008B71D4" w:rsidRPr="00FC1444">
        <w:rPr>
          <w:rFonts w:ascii="Times New Roman" w:hAnsi="Times New Roman" w:cs="Times New Roman"/>
        </w:rPr>
        <w:t>，总灌水时间约</w:t>
      </w:r>
      <w:r w:rsidR="008B71D4" w:rsidRPr="00FC1444">
        <w:rPr>
          <w:rFonts w:ascii="Times New Roman" w:hAnsi="Times New Roman" w:cs="Times New Roman" w:hint="eastAsia"/>
        </w:rPr>
        <w:t>7</w:t>
      </w:r>
      <w:r w:rsidR="008B71D4" w:rsidRPr="00FC1444">
        <w:rPr>
          <w:rFonts w:ascii="Times New Roman" w:hAnsi="Times New Roman" w:cs="Times New Roman"/>
        </w:rPr>
        <w:t>0h</w:t>
      </w:r>
      <w:r w:rsidR="008B71D4" w:rsidRPr="00FC1444">
        <w:rPr>
          <w:rFonts w:ascii="Times New Roman" w:hAnsi="Times New Roman" w:cs="Times New Roman"/>
        </w:rPr>
        <w:t>，设计单井涌水量为</w:t>
      </w:r>
      <w:r w:rsidR="008B71D4" w:rsidRPr="00FC1444">
        <w:rPr>
          <w:rFonts w:ascii="Times New Roman" w:hAnsi="Times New Roman" w:cs="Times New Roman"/>
        </w:rPr>
        <w:t>30m</w:t>
      </w:r>
      <w:r w:rsidR="008B71D4" w:rsidRPr="00FC1444">
        <w:rPr>
          <w:rFonts w:ascii="Times New Roman" w:hAnsi="Times New Roman" w:cs="Times New Roman"/>
          <w:vertAlign w:val="superscript"/>
        </w:rPr>
        <w:t>3</w:t>
      </w:r>
      <w:r w:rsidR="008B71D4" w:rsidRPr="00FC1444">
        <w:rPr>
          <w:rFonts w:ascii="Times New Roman" w:hAnsi="Times New Roman" w:cs="Times New Roman"/>
        </w:rPr>
        <w:t>/h</w:t>
      </w:r>
      <w:r w:rsidR="008B71D4" w:rsidRPr="00FC1444">
        <w:rPr>
          <w:rFonts w:ascii="Times New Roman" w:hAnsi="Times New Roman" w:cs="Times New Roman" w:hint="eastAsia"/>
        </w:rPr>
        <w:t>。</w:t>
      </w:r>
      <w:r w:rsidR="008B71D4" w:rsidRPr="00FC1444">
        <w:rPr>
          <w:rFonts w:ascii="Times New Roman" w:hAnsi="Times New Roman" w:cs="Times New Roman"/>
          <w:bCs/>
        </w:rPr>
        <w:t>滴灌井全生育周期灌溉总天数</w:t>
      </w:r>
      <w:r w:rsidR="008B71D4" w:rsidRPr="00FC1444">
        <w:rPr>
          <w:rFonts w:ascii="Times New Roman" w:hAnsi="Times New Roman" w:cs="Times New Roman" w:hint="eastAsia"/>
          <w:bCs/>
        </w:rPr>
        <w:t>32</w:t>
      </w:r>
      <w:r w:rsidR="008B71D4" w:rsidRPr="00FC1444">
        <w:rPr>
          <w:rFonts w:ascii="Times New Roman" w:hAnsi="Times New Roman" w:cs="Times New Roman"/>
          <w:bCs/>
        </w:rPr>
        <w:t>d</w:t>
      </w:r>
      <w:r w:rsidR="008B71D4" w:rsidRPr="00FC1444">
        <w:rPr>
          <w:rFonts w:ascii="Times New Roman" w:hAnsi="Times New Roman" w:cs="Times New Roman"/>
          <w:bCs/>
        </w:rPr>
        <w:t>，</w:t>
      </w:r>
      <w:r w:rsidR="008B71D4" w:rsidRPr="00FC1444">
        <w:rPr>
          <w:rFonts w:ascii="Times New Roman" w:hAnsi="Times New Roman" w:cs="Times New Roman"/>
        </w:rPr>
        <w:t>每天灌溉时间约为</w:t>
      </w:r>
      <w:r w:rsidR="008B71D4" w:rsidRPr="00FC1444">
        <w:rPr>
          <w:rFonts w:ascii="Times New Roman" w:hAnsi="Times New Roman" w:cs="Times New Roman"/>
        </w:rPr>
        <w:t>20h</w:t>
      </w:r>
      <w:r w:rsidR="008B71D4" w:rsidRPr="00FC1444">
        <w:rPr>
          <w:rFonts w:ascii="Times New Roman" w:hAnsi="Times New Roman" w:cs="Times New Roman"/>
        </w:rPr>
        <w:t>，总灌水时间约</w:t>
      </w:r>
      <w:r w:rsidR="008B71D4" w:rsidRPr="00FC1444">
        <w:rPr>
          <w:rFonts w:ascii="Times New Roman" w:hAnsi="Times New Roman" w:cs="Times New Roman" w:hint="eastAsia"/>
        </w:rPr>
        <w:t>640</w:t>
      </w:r>
      <w:r w:rsidR="008B71D4" w:rsidRPr="00FC1444">
        <w:rPr>
          <w:rFonts w:ascii="Times New Roman" w:hAnsi="Times New Roman" w:cs="Times New Roman"/>
        </w:rPr>
        <w:t>h</w:t>
      </w:r>
      <w:r w:rsidR="008B71D4" w:rsidRPr="00FC1444">
        <w:rPr>
          <w:rFonts w:ascii="Times New Roman" w:hAnsi="Times New Roman" w:cs="Times New Roman"/>
        </w:rPr>
        <w:t>，设计单井涌水量为</w:t>
      </w:r>
      <w:r w:rsidR="008B71D4" w:rsidRPr="00FC1444">
        <w:rPr>
          <w:rFonts w:ascii="Times New Roman" w:hAnsi="Times New Roman" w:cs="Times New Roman"/>
        </w:rPr>
        <w:t>30m</w:t>
      </w:r>
      <w:r w:rsidR="008B71D4" w:rsidRPr="00FC1444">
        <w:rPr>
          <w:rFonts w:ascii="Times New Roman" w:hAnsi="Times New Roman" w:cs="Times New Roman"/>
          <w:vertAlign w:val="superscript"/>
        </w:rPr>
        <w:t>3</w:t>
      </w:r>
      <w:r w:rsidR="008B71D4" w:rsidRPr="00FC1444">
        <w:rPr>
          <w:rFonts w:ascii="Times New Roman" w:hAnsi="Times New Roman" w:cs="Times New Roman"/>
        </w:rPr>
        <w:t>/h</w:t>
      </w:r>
      <w:r w:rsidR="008B71D4" w:rsidRPr="00FC1444">
        <w:rPr>
          <w:rFonts w:ascii="Times New Roman" w:hAnsi="Times New Roman" w:cs="Times New Roman"/>
        </w:rPr>
        <w:t>。根据项目区的灌溉定额和灌溉水利用系数，项目区地下水取水量为</w:t>
      </w:r>
      <w:r w:rsidR="008B71D4" w:rsidRPr="00FC1444">
        <w:rPr>
          <w:rFonts w:ascii="Times New Roman" w:hAnsi="Times New Roman" w:cs="Times New Roman"/>
        </w:rPr>
        <w:t>92.83</w:t>
      </w:r>
      <w:r w:rsidR="008B71D4" w:rsidRPr="00FC1444">
        <w:rPr>
          <w:rFonts w:ascii="Times New Roman" w:hAnsi="Times New Roman" w:cs="Times New Roman"/>
        </w:rPr>
        <w:t>万</w:t>
      </w:r>
      <w:r w:rsidR="008B71D4" w:rsidRPr="00FC1444">
        <w:rPr>
          <w:rFonts w:ascii="Times New Roman" w:hAnsi="Times New Roman" w:cs="Times New Roman"/>
        </w:rPr>
        <w:t>m³/a</w:t>
      </w:r>
      <w:r w:rsidR="008B71D4" w:rsidRPr="00FC1444">
        <w:rPr>
          <w:rFonts w:ascii="Times New Roman" w:hAnsi="Times New Roman" w:cs="Times New Roman"/>
        </w:rPr>
        <w:t>（其中</w:t>
      </w:r>
      <w:r w:rsidR="008B71D4" w:rsidRPr="00FC1444">
        <w:rPr>
          <w:rFonts w:ascii="Times New Roman" w:hAnsi="Times New Roman" w:cs="Times New Roman"/>
          <w:bCs/>
        </w:rPr>
        <w:t>抗旱井</w:t>
      </w:r>
      <w:r w:rsidR="008B71D4" w:rsidRPr="00FC1444">
        <w:rPr>
          <w:rFonts w:ascii="Times New Roman" w:hAnsi="Times New Roman" w:cs="Times New Roman" w:hint="eastAsia"/>
          <w:bCs/>
        </w:rPr>
        <w:t>23.67</w:t>
      </w:r>
      <w:r w:rsidR="008B71D4" w:rsidRPr="00FC1444">
        <w:rPr>
          <w:rFonts w:ascii="Times New Roman" w:hAnsi="Times New Roman" w:cs="Times New Roman"/>
          <w:bCs/>
        </w:rPr>
        <w:t>万</w:t>
      </w:r>
      <w:r w:rsidR="008B71D4" w:rsidRPr="00FC1444">
        <w:rPr>
          <w:rFonts w:ascii="Times New Roman" w:hAnsi="Times New Roman" w:cs="Times New Roman"/>
        </w:rPr>
        <w:t>m³/a</w:t>
      </w:r>
      <w:r w:rsidR="008B71D4" w:rsidRPr="00FC1444">
        <w:rPr>
          <w:rFonts w:ascii="Times New Roman" w:hAnsi="Times New Roman" w:cs="Times New Roman"/>
        </w:rPr>
        <w:t>、</w:t>
      </w:r>
      <w:r w:rsidR="008B71D4" w:rsidRPr="00FC1444">
        <w:rPr>
          <w:rFonts w:ascii="Times New Roman" w:hAnsi="Times New Roman" w:cs="Times New Roman"/>
          <w:bCs/>
        </w:rPr>
        <w:t>滴灌井</w:t>
      </w:r>
      <w:r w:rsidR="008B71D4" w:rsidRPr="00FC1444">
        <w:rPr>
          <w:rFonts w:ascii="Times New Roman" w:hAnsi="Times New Roman" w:cs="Times New Roman" w:hint="eastAsia"/>
          <w:bCs/>
        </w:rPr>
        <w:t>69.16</w:t>
      </w:r>
      <w:r w:rsidR="008B71D4" w:rsidRPr="00FC1444">
        <w:rPr>
          <w:rFonts w:ascii="Times New Roman" w:hAnsi="Times New Roman" w:cs="Times New Roman"/>
          <w:bCs/>
        </w:rPr>
        <w:t>万</w:t>
      </w:r>
      <w:r w:rsidR="008B71D4" w:rsidRPr="00FC1444">
        <w:rPr>
          <w:rFonts w:ascii="Times New Roman" w:hAnsi="Times New Roman" w:cs="Times New Roman"/>
        </w:rPr>
        <w:t>m³/a</w:t>
      </w:r>
      <w:r w:rsidR="008B71D4" w:rsidRPr="00FC1444">
        <w:rPr>
          <w:rFonts w:ascii="Times New Roman" w:hAnsi="Times New Roman" w:cs="Times New Roman"/>
        </w:rPr>
        <w:t>），日取水量约为</w:t>
      </w:r>
      <w:r w:rsidR="008B71D4" w:rsidRPr="00FC1444">
        <w:rPr>
          <w:rFonts w:ascii="Times New Roman" w:hAnsi="Times New Roman" w:cs="Times New Roman" w:hint="eastAsia"/>
        </w:rPr>
        <w:t>45283</w:t>
      </w:r>
      <w:r w:rsidR="008B71D4" w:rsidRPr="00FC1444">
        <w:rPr>
          <w:rFonts w:ascii="Times New Roman" w:hAnsi="Times New Roman" w:cs="Times New Roman"/>
        </w:rPr>
        <w:t>m</w:t>
      </w:r>
      <w:r w:rsidR="008B71D4" w:rsidRPr="00FC1444">
        <w:rPr>
          <w:rFonts w:ascii="Times New Roman" w:hAnsi="Times New Roman" w:cs="Times New Roman"/>
          <w:vertAlign w:val="superscript"/>
        </w:rPr>
        <w:t>3</w:t>
      </w:r>
      <w:r w:rsidR="008B71D4" w:rsidRPr="00FC1444">
        <w:rPr>
          <w:rFonts w:ascii="Times New Roman" w:hAnsi="Times New Roman" w:cs="Times New Roman"/>
        </w:rPr>
        <w:t>（其中</w:t>
      </w:r>
      <w:r w:rsidR="008B71D4" w:rsidRPr="00FC1444">
        <w:rPr>
          <w:rFonts w:ascii="Times New Roman" w:hAnsi="Times New Roman" w:cs="Times New Roman"/>
          <w:bCs/>
        </w:rPr>
        <w:t>抗旱井</w:t>
      </w:r>
      <w:r w:rsidR="008B71D4" w:rsidRPr="00FC1444">
        <w:rPr>
          <w:rFonts w:ascii="Times New Roman" w:hAnsi="Times New Roman" w:cs="Times New Roman" w:hint="eastAsia"/>
          <w:bCs/>
        </w:rPr>
        <w:t>23670</w:t>
      </w:r>
      <w:r w:rsidR="008B71D4" w:rsidRPr="00FC1444">
        <w:rPr>
          <w:rFonts w:ascii="Times New Roman" w:hAnsi="Times New Roman" w:cs="Times New Roman"/>
        </w:rPr>
        <w:t>m³</w:t>
      </w:r>
      <w:r w:rsidR="008B71D4" w:rsidRPr="00FC1444">
        <w:rPr>
          <w:rFonts w:ascii="Times New Roman" w:hAnsi="Times New Roman" w:cs="Times New Roman"/>
        </w:rPr>
        <w:t>、</w:t>
      </w:r>
      <w:r w:rsidR="008B71D4" w:rsidRPr="00FC1444">
        <w:rPr>
          <w:rFonts w:ascii="Times New Roman" w:hAnsi="Times New Roman" w:cs="Times New Roman"/>
          <w:bCs/>
        </w:rPr>
        <w:t>滴灌井</w:t>
      </w:r>
      <w:r w:rsidR="008B71D4" w:rsidRPr="00FC1444">
        <w:rPr>
          <w:rFonts w:ascii="Times New Roman" w:hAnsi="Times New Roman" w:cs="Times New Roman" w:hint="eastAsia"/>
          <w:bCs/>
        </w:rPr>
        <w:t>21613</w:t>
      </w:r>
      <w:r w:rsidR="008B71D4" w:rsidRPr="00FC1444">
        <w:rPr>
          <w:rFonts w:ascii="Times New Roman" w:hAnsi="Times New Roman" w:cs="Times New Roman"/>
        </w:rPr>
        <w:t>m³</w:t>
      </w:r>
      <w:r w:rsidR="008B71D4" w:rsidRPr="00FC1444">
        <w:rPr>
          <w:rFonts w:ascii="Times New Roman" w:hAnsi="Times New Roman" w:cs="Times New Roman"/>
        </w:rPr>
        <w:t>）。</w:t>
      </w:r>
      <w:r w:rsidR="004451AD" w:rsidRPr="00FC1444">
        <w:rPr>
          <w:rFonts w:ascii="Times New Roman" w:hAnsi="Times New Roman" w:cs="Times New Roman"/>
          <w:kern w:val="0"/>
        </w:rPr>
        <w:t>灌溉面积</w:t>
      </w:r>
      <w:r w:rsidR="00C11725" w:rsidRPr="00FC1444">
        <w:rPr>
          <w:rFonts w:ascii="Times New Roman" w:hAnsi="Times New Roman" w:cs="Times New Roman"/>
          <w:kern w:val="0"/>
        </w:rPr>
        <w:t>44802</w:t>
      </w:r>
      <w:r w:rsidR="004451AD" w:rsidRPr="00FC1444">
        <w:rPr>
          <w:rFonts w:ascii="Times New Roman" w:hAnsi="Times New Roman" w:cs="Times New Roman"/>
          <w:kern w:val="0"/>
        </w:rPr>
        <w:t>亩，均为旱田，无水田</w:t>
      </w:r>
      <w:r w:rsidRPr="00FC1444">
        <w:rPr>
          <w:rFonts w:ascii="Times New Roman" w:hAnsi="Times New Roman" w:cs="Times New Roman"/>
          <w:kern w:val="0"/>
        </w:rPr>
        <w:t>。</w:t>
      </w:r>
      <w:r w:rsidR="00B13464" w:rsidRPr="00FC1444">
        <w:rPr>
          <w:rFonts w:ascii="Times New Roman" w:hAnsi="Times New Roman" w:cs="Times New Roman"/>
          <w:bCs/>
          <w:snapToGrid w:val="0"/>
          <w:kern w:val="0"/>
        </w:rPr>
        <w:t>水肥一体灌溉面积</w:t>
      </w:r>
      <w:r w:rsidR="00B13464" w:rsidRPr="00FC1444">
        <w:rPr>
          <w:rFonts w:ascii="Times New Roman" w:hAnsi="Times New Roman" w:cs="Times New Roman"/>
          <w:bCs/>
          <w:snapToGrid w:val="0"/>
          <w:kern w:val="0"/>
        </w:rPr>
        <w:t>11285</w:t>
      </w:r>
      <w:r w:rsidR="00B13464" w:rsidRPr="00FC1444">
        <w:rPr>
          <w:rFonts w:ascii="Times New Roman" w:hAnsi="Times New Roman" w:cs="Times New Roman"/>
          <w:bCs/>
          <w:snapToGrid w:val="0"/>
          <w:kern w:val="0"/>
        </w:rPr>
        <w:t>亩</w:t>
      </w:r>
    </w:p>
    <w:p w:rsidR="002A5A5E" w:rsidRPr="00FC1444" w:rsidRDefault="00611CBA">
      <w:pPr>
        <w:pStyle w:val="aff4"/>
        <w:adjustRightInd/>
        <w:snapToGrid/>
        <w:jc w:val="both"/>
        <w:rPr>
          <w:rFonts w:ascii="Times New Roman" w:hAnsi="Times New Roman" w:cs="Times New Roman"/>
          <w:snapToGrid w:val="0"/>
          <w:kern w:val="0"/>
        </w:rPr>
      </w:pPr>
      <w:r w:rsidRPr="00FC1444">
        <w:rPr>
          <w:rFonts w:ascii="Times New Roman" w:hAnsi="Times New Roman" w:cs="Times New Roman"/>
          <w:snapToGrid w:val="0"/>
          <w:kern w:val="0"/>
        </w:rPr>
        <w:t>排水工程：购置移动泵车</w:t>
      </w:r>
      <w:r w:rsidR="007D6514" w:rsidRPr="00FC1444">
        <w:rPr>
          <w:rFonts w:ascii="Times New Roman" w:hAnsi="Times New Roman" w:cs="Times New Roman"/>
          <w:snapToGrid w:val="0"/>
          <w:kern w:val="0"/>
        </w:rPr>
        <w:t>15</w:t>
      </w:r>
      <w:r w:rsidR="007D6514" w:rsidRPr="00FC1444">
        <w:rPr>
          <w:rFonts w:ascii="Times New Roman" w:hAnsi="Times New Roman" w:cs="Times New Roman"/>
          <w:snapToGrid w:val="0"/>
          <w:kern w:val="0"/>
        </w:rPr>
        <w:t>台</w:t>
      </w:r>
      <w:r w:rsidRPr="00FC1444">
        <w:rPr>
          <w:rFonts w:ascii="Times New Roman" w:hAnsi="Times New Roman" w:cs="Times New Roman"/>
          <w:snapToGrid w:val="0"/>
          <w:kern w:val="0"/>
        </w:rPr>
        <w:t>，流量为</w:t>
      </w:r>
      <w:r w:rsidR="004451AD" w:rsidRPr="00FC1444">
        <w:rPr>
          <w:rFonts w:ascii="Times New Roman" w:hAnsi="Times New Roman" w:cs="Times New Roman"/>
          <w:snapToGrid w:val="0"/>
          <w:kern w:val="0"/>
        </w:rPr>
        <w:t>6</w:t>
      </w:r>
      <w:r w:rsidRPr="00FC1444">
        <w:rPr>
          <w:rFonts w:ascii="Times New Roman" w:hAnsi="Times New Roman" w:cs="Times New Roman"/>
          <w:snapToGrid w:val="0"/>
          <w:kern w:val="0"/>
        </w:rPr>
        <w:t>00m³/h</w:t>
      </w:r>
      <w:r w:rsidRPr="00FC1444">
        <w:rPr>
          <w:rFonts w:ascii="Times New Roman" w:hAnsi="Times New Roman" w:cs="Times New Roman"/>
          <w:snapToGrid w:val="0"/>
          <w:kern w:val="0"/>
        </w:rPr>
        <w:t>；</w:t>
      </w:r>
      <w:r w:rsidR="001E1C9B" w:rsidRPr="00FC1444">
        <w:rPr>
          <w:rFonts w:ascii="Times New Roman" w:hAnsi="Times New Roman" w:cs="Times New Roman"/>
          <w:bCs/>
        </w:rPr>
        <w:t>排水沟清淤</w:t>
      </w:r>
      <w:r w:rsidR="001E1C9B" w:rsidRPr="00FC1444">
        <w:rPr>
          <w:rFonts w:ascii="Times New Roman" w:hAnsi="Times New Roman" w:cs="Times New Roman"/>
          <w:bCs/>
        </w:rPr>
        <w:t>69.926km</w:t>
      </w:r>
      <w:r w:rsidRPr="00FC1444">
        <w:rPr>
          <w:rFonts w:ascii="Times New Roman" w:hAnsi="Times New Roman" w:cs="Times New Roman"/>
          <w:bCs/>
        </w:rPr>
        <w:t>，排水沟护砌</w:t>
      </w:r>
      <w:r w:rsidR="00DA426A" w:rsidRPr="00FC1444">
        <w:rPr>
          <w:rFonts w:ascii="Times New Roman" w:hAnsi="Times New Roman" w:cs="Times New Roman" w:hint="eastAsia"/>
          <w:bCs/>
        </w:rPr>
        <w:t>69.926</w:t>
      </w:r>
      <w:r w:rsidRPr="00FC1444">
        <w:rPr>
          <w:rFonts w:ascii="Times New Roman" w:hAnsi="Times New Roman" w:cs="Times New Roman"/>
          <w:bCs/>
        </w:rPr>
        <w:t>km</w:t>
      </w:r>
    </w:p>
    <w:p w:rsidR="002A5A5E" w:rsidRPr="00FC1444" w:rsidRDefault="00611CBA">
      <w:pPr>
        <w:pStyle w:val="aff4"/>
        <w:adjustRightInd/>
        <w:snapToGrid/>
        <w:jc w:val="both"/>
        <w:rPr>
          <w:rFonts w:ascii="Times New Roman" w:hAnsi="Times New Roman" w:cs="Times New Roman"/>
          <w:snapToGrid w:val="0"/>
          <w:kern w:val="0"/>
        </w:rPr>
      </w:pPr>
      <w:r w:rsidRPr="00FC1444">
        <w:rPr>
          <w:rFonts w:ascii="Times New Roman" w:hAnsi="Times New Roman" w:cs="Times New Roman"/>
          <w:snapToGrid w:val="0"/>
          <w:kern w:val="0"/>
        </w:rPr>
        <w:t>（三）田间道路工程</w:t>
      </w:r>
    </w:p>
    <w:p w:rsidR="002A5A5E" w:rsidRPr="00FC1444" w:rsidRDefault="00B13464">
      <w:pPr>
        <w:pStyle w:val="aff4"/>
        <w:adjustRightInd/>
        <w:snapToGrid/>
        <w:jc w:val="both"/>
        <w:rPr>
          <w:rFonts w:ascii="Times New Roman" w:hAnsi="Times New Roman" w:cs="Times New Roman"/>
          <w:snapToGrid w:val="0"/>
          <w:kern w:val="0"/>
        </w:rPr>
      </w:pPr>
      <w:r w:rsidRPr="00FC1444">
        <w:rPr>
          <w:rFonts w:ascii="Times New Roman" w:hAnsi="Times New Roman" w:cs="Times New Roman"/>
          <w:bCs/>
          <w:snapToGrid w:val="0"/>
          <w:kern w:val="0"/>
        </w:rPr>
        <w:t>修缮道路</w:t>
      </w:r>
      <w:r w:rsidRPr="00FC1444">
        <w:rPr>
          <w:rFonts w:ascii="Times New Roman" w:hAnsi="Times New Roman" w:cs="Times New Roman"/>
          <w:bCs/>
          <w:snapToGrid w:val="0"/>
          <w:kern w:val="0"/>
        </w:rPr>
        <w:t>184</w:t>
      </w:r>
      <w:r w:rsidRPr="00FC1444">
        <w:rPr>
          <w:rFonts w:ascii="Times New Roman" w:hAnsi="Times New Roman" w:cs="Times New Roman"/>
          <w:bCs/>
          <w:snapToGrid w:val="0"/>
          <w:kern w:val="0"/>
        </w:rPr>
        <w:t>条，共</w:t>
      </w:r>
      <w:r w:rsidRPr="00FC1444">
        <w:rPr>
          <w:rFonts w:ascii="Times New Roman" w:hAnsi="Times New Roman" w:cs="Times New Roman"/>
          <w:bCs/>
          <w:snapToGrid w:val="0"/>
          <w:kern w:val="0"/>
        </w:rPr>
        <w:t>145.33km</w:t>
      </w:r>
      <w:r w:rsidR="00DF6D38" w:rsidRPr="00FC1444">
        <w:rPr>
          <w:rFonts w:ascii="Times New Roman" w:hAnsi="Times New Roman" w:cs="Times New Roman"/>
          <w:bCs/>
          <w:snapToGrid w:val="0"/>
          <w:kern w:val="0"/>
        </w:rPr>
        <w:t>，其中：</w:t>
      </w:r>
      <w:r w:rsidRPr="00FC1444">
        <w:rPr>
          <w:rFonts w:ascii="Times New Roman" w:hAnsi="Times New Roman" w:cs="Times New Roman"/>
          <w:bCs/>
          <w:snapToGrid w:val="0"/>
          <w:kern w:val="0"/>
        </w:rPr>
        <w:t>机耕路（混凝土路面）</w:t>
      </w:r>
      <w:r w:rsidRPr="00FC1444">
        <w:rPr>
          <w:rFonts w:ascii="Times New Roman" w:hAnsi="Times New Roman" w:cs="Times New Roman"/>
          <w:bCs/>
          <w:snapToGrid w:val="0"/>
          <w:kern w:val="0"/>
        </w:rPr>
        <w:t>67</w:t>
      </w:r>
      <w:r w:rsidRPr="00FC1444">
        <w:rPr>
          <w:rFonts w:ascii="Times New Roman" w:hAnsi="Times New Roman" w:cs="Times New Roman"/>
          <w:bCs/>
          <w:snapToGrid w:val="0"/>
          <w:kern w:val="0"/>
        </w:rPr>
        <w:t>条，共</w:t>
      </w:r>
      <w:r w:rsidRPr="00FC1444">
        <w:rPr>
          <w:rFonts w:ascii="Times New Roman" w:hAnsi="Times New Roman" w:cs="Times New Roman"/>
          <w:bCs/>
          <w:snapToGrid w:val="0"/>
          <w:kern w:val="0"/>
        </w:rPr>
        <w:t>54.083km</w:t>
      </w:r>
      <w:r w:rsidRPr="00FC1444">
        <w:rPr>
          <w:rFonts w:ascii="Times New Roman" w:hAnsi="Times New Roman" w:cs="Times New Roman"/>
          <w:bCs/>
          <w:snapToGrid w:val="0"/>
          <w:kern w:val="0"/>
        </w:rPr>
        <w:t>；生产路（砂石路面）</w:t>
      </w:r>
      <w:r w:rsidRPr="00FC1444">
        <w:rPr>
          <w:rFonts w:ascii="Times New Roman" w:hAnsi="Times New Roman" w:cs="Times New Roman"/>
          <w:bCs/>
          <w:snapToGrid w:val="0"/>
          <w:kern w:val="0"/>
        </w:rPr>
        <w:t>117</w:t>
      </w:r>
      <w:r w:rsidRPr="00FC1444">
        <w:rPr>
          <w:rFonts w:ascii="Times New Roman" w:hAnsi="Times New Roman" w:cs="Times New Roman"/>
          <w:bCs/>
          <w:snapToGrid w:val="0"/>
          <w:kern w:val="0"/>
        </w:rPr>
        <w:t>条，共</w:t>
      </w:r>
      <w:r w:rsidRPr="00FC1444">
        <w:rPr>
          <w:rFonts w:ascii="Times New Roman" w:hAnsi="Times New Roman" w:cs="Times New Roman"/>
          <w:bCs/>
          <w:snapToGrid w:val="0"/>
          <w:kern w:val="0"/>
        </w:rPr>
        <w:t>91.248km</w:t>
      </w:r>
    </w:p>
    <w:p w:rsidR="002A5A5E" w:rsidRPr="00FC1444" w:rsidRDefault="00611CBA">
      <w:pPr>
        <w:pStyle w:val="aff4"/>
        <w:adjustRightInd/>
        <w:snapToGrid/>
        <w:jc w:val="both"/>
        <w:rPr>
          <w:rFonts w:ascii="Times New Roman" w:hAnsi="Times New Roman" w:cs="Times New Roman"/>
          <w:snapToGrid w:val="0"/>
          <w:kern w:val="0"/>
        </w:rPr>
      </w:pPr>
      <w:r w:rsidRPr="00FC1444">
        <w:rPr>
          <w:rFonts w:ascii="Times New Roman" w:hAnsi="Times New Roman" w:cs="Times New Roman"/>
          <w:snapToGrid w:val="0"/>
          <w:kern w:val="0"/>
        </w:rPr>
        <w:t>（四）农田输配电工程</w:t>
      </w:r>
    </w:p>
    <w:p w:rsidR="002A5A5E" w:rsidRPr="00FC1444" w:rsidRDefault="00141045">
      <w:pPr>
        <w:pStyle w:val="aff4"/>
        <w:adjustRightInd/>
        <w:snapToGrid/>
        <w:jc w:val="both"/>
        <w:rPr>
          <w:rFonts w:ascii="Times New Roman" w:hAnsi="Times New Roman" w:cs="Times New Roman"/>
          <w:bCs/>
        </w:rPr>
      </w:pPr>
      <w:r w:rsidRPr="00FC1444">
        <w:rPr>
          <w:rFonts w:ascii="Times New Roman" w:hAnsi="Times New Roman" w:cs="Times New Roman"/>
          <w:bCs/>
        </w:rPr>
        <w:t>新建</w:t>
      </w:r>
      <w:r w:rsidRPr="00FC1444">
        <w:rPr>
          <w:rFonts w:ascii="Times New Roman" w:hAnsi="Times New Roman" w:cs="Times New Roman"/>
          <w:bCs/>
        </w:rPr>
        <w:t>10kV</w:t>
      </w:r>
      <w:r w:rsidRPr="00FC1444">
        <w:rPr>
          <w:rFonts w:ascii="Times New Roman" w:hAnsi="Times New Roman" w:cs="Times New Roman"/>
          <w:bCs/>
        </w:rPr>
        <w:t>高压线路</w:t>
      </w:r>
      <w:r w:rsidRPr="00FC1444">
        <w:rPr>
          <w:rFonts w:ascii="Times New Roman" w:hAnsi="Times New Roman" w:cs="Times New Roman"/>
          <w:bCs/>
        </w:rPr>
        <w:t>111.836km</w:t>
      </w:r>
      <w:r w:rsidRPr="00FC1444">
        <w:rPr>
          <w:rFonts w:ascii="Times New Roman" w:hAnsi="Times New Roman" w:cs="Times New Roman"/>
          <w:bCs/>
        </w:rPr>
        <w:t>；新建</w:t>
      </w:r>
      <w:r w:rsidRPr="00FC1444">
        <w:rPr>
          <w:rFonts w:ascii="Times New Roman" w:hAnsi="Times New Roman" w:cs="Times New Roman"/>
          <w:bCs/>
        </w:rPr>
        <w:t>0.4kV</w:t>
      </w:r>
      <w:r w:rsidRPr="00FC1444">
        <w:rPr>
          <w:rFonts w:ascii="Times New Roman" w:hAnsi="Times New Roman" w:cs="Times New Roman"/>
          <w:bCs/>
        </w:rPr>
        <w:t>低压线路</w:t>
      </w:r>
      <w:r w:rsidRPr="00FC1444">
        <w:rPr>
          <w:rFonts w:ascii="Times New Roman" w:hAnsi="Times New Roman" w:cs="Times New Roman"/>
          <w:bCs/>
        </w:rPr>
        <w:t>21.73km</w:t>
      </w:r>
      <w:r w:rsidR="00611CBA" w:rsidRPr="00FC1444">
        <w:rPr>
          <w:rFonts w:ascii="Times New Roman" w:hAnsi="Times New Roman" w:cs="Times New Roman"/>
          <w:bCs/>
        </w:rPr>
        <w:t>。配套</w:t>
      </w:r>
      <w:r w:rsidR="003D06B8" w:rsidRPr="00FC1444">
        <w:rPr>
          <w:rFonts w:ascii="Times New Roman" w:hAnsi="Times New Roman" w:cs="Times New Roman"/>
          <w:bCs/>
        </w:rPr>
        <w:t>变压器</w:t>
      </w:r>
      <w:r w:rsidR="00DF0EB9" w:rsidRPr="00FC1444">
        <w:rPr>
          <w:rFonts w:ascii="Times New Roman" w:hAnsi="Times New Roman" w:cs="Times New Roman"/>
          <w:bCs/>
        </w:rPr>
        <w:t>97</w:t>
      </w:r>
      <w:r w:rsidR="00DF0EB9" w:rsidRPr="00FC1444">
        <w:rPr>
          <w:rFonts w:ascii="Times New Roman" w:hAnsi="Times New Roman" w:cs="Times New Roman"/>
          <w:bCs/>
        </w:rPr>
        <w:t>台</w:t>
      </w:r>
    </w:p>
    <w:p w:rsidR="00D622BA" w:rsidRPr="00FC1444" w:rsidRDefault="00D622BA">
      <w:pPr>
        <w:pStyle w:val="aff4"/>
        <w:adjustRightInd/>
        <w:snapToGrid/>
        <w:jc w:val="both"/>
        <w:rPr>
          <w:rFonts w:ascii="Times New Roman" w:hAnsi="Times New Roman" w:cs="Times New Roman"/>
          <w:szCs w:val="21"/>
        </w:rPr>
      </w:pPr>
      <w:r w:rsidRPr="00FC1444">
        <w:rPr>
          <w:rFonts w:ascii="Times New Roman" w:hAnsi="Times New Roman" w:cs="Times New Roman"/>
          <w:bCs/>
        </w:rPr>
        <w:t>（五）</w:t>
      </w:r>
      <w:r w:rsidRPr="00FC1444">
        <w:rPr>
          <w:rFonts w:ascii="Times New Roman" w:hAnsi="Times New Roman" w:cs="Times New Roman"/>
          <w:szCs w:val="21"/>
        </w:rPr>
        <w:t>农田防护及生态环境保护工程</w:t>
      </w:r>
    </w:p>
    <w:p w:rsidR="00D622BA" w:rsidRPr="00FC1444" w:rsidRDefault="00DE7DE3">
      <w:pPr>
        <w:pStyle w:val="aff4"/>
        <w:adjustRightInd/>
        <w:snapToGrid/>
        <w:jc w:val="both"/>
        <w:rPr>
          <w:rFonts w:ascii="Times New Roman" w:hAnsi="Times New Roman" w:cs="Times New Roman"/>
          <w:bCs/>
        </w:rPr>
      </w:pPr>
      <w:r w:rsidRPr="00FC1444">
        <w:rPr>
          <w:rFonts w:ascii="Times New Roman" w:hAnsi="Times New Roman" w:cs="Times New Roman"/>
        </w:rPr>
        <w:t>规划农田防护林</w:t>
      </w:r>
      <w:r w:rsidRPr="00FC1444">
        <w:rPr>
          <w:rFonts w:ascii="Times New Roman" w:hAnsi="Times New Roman" w:cs="Times New Roman"/>
        </w:rPr>
        <w:t>2638</w:t>
      </w:r>
      <w:r w:rsidRPr="00FC1444">
        <w:rPr>
          <w:rFonts w:ascii="Times New Roman" w:hAnsi="Times New Roman" w:cs="Times New Roman"/>
        </w:rPr>
        <w:t>株，栽种樟子松</w:t>
      </w:r>
      <w:r w:rsidRPr="00FC1444">
        <w:rPr>
          <w:rFonts w:ascii="Times New Roman" w:hAnsi="Times New Roman" w:cs="Times New Roman"/>
        </w:rPr>
        <w:t>637</w:t>
      </w:r>
      <w:r w:rsidRPr="00FC1444">
        <w:rPr>
          <w:rFonts w:ascii="Times New Roman" w:hAnsi="Times New Roman" w:cs="Times New Roman"/>
        </w:rPr>
        <w:t>株，栽种杨树</w:t>
      </w:r>
      <w:r w:rsidRPr="00FC1444">
        <w:rPr>
          <w:rFonts w:ascii="Times New Roman" w:hAnsi="Times New Roman" w:cs="Times New Roman"/>
        </w:rPr>
        <w:t>2001</w:t>
      </w:r>
      <w:r w:rsidRPr="00FC1444">
        <w:rPr>
          <w:rFonts w:ascii="Times New Roman" w:hAnsi="Times New Roman" w:cs="Times New Roman"/>
        </w:rPr>
        <w:t>株；</w:t>
      </w:r>
      <w:r w:rsidR="00591495" w:rsidRPr="00FC1444">
        <w:rPr>
          <w:rFonts w:ascii="Times New Roman" w:hAnsi="Times New Roman" w:cs="Times New Roman"/>
          <w:bCs/>
        </w:rPr>
        <w:t>沟头防护</w:t>
      </w:r>
      <w:r w:rsidR="00591495" w:rsidRPr="00FC1444">
        <w:rPr>
          <w:rFonts w:ascii="Times New Roman" w:hAnsi="Times New Roman" w:cs="Times New Roman"/>
          <w:bCs/>
        </w:rPr>
        <w:t>1</w:t>
      </w:r>
      <w:r w:rsidR="00591495" w:rsidRPr="00FC1444">
        <w:rPr>
          <w:rFonts w:ascii="Times New Roman" w:hAnsi="Times New Roman" w:cs="Times New Roman"/>
          <w:bCs/>
        </w:rPr>
        <w:t>座；侵蚀沟治理</w:t>
      </w:r>
      <w:r w:rsidR="00591495" w:rsidRPr="00FC1444">
        <w:rPr>
          <w:rFonts w:ascii="Times New Roman" w:hAnsi="Times New Roman" w:cs="Times New Roman"/>
          <w:bCs/>
        </w:rPr>
        <w:t>0.063</w:t>
      </w:r>
      <w:r w:rsidR="00591495" w:rsidRPr="00FC1444">
        <w:rPr>
          <w:rFonts w:ascii="Times New Roman" w:hAnsi="Times New Roman" w:cs="Times New Roman"/>
          <w:bCs/>
        </w:rPr>
        <w:t>公里</w:t>
      </w:r>
    </w:p>
    <w:p w:rsidR="002A5A5E" w:rsidRPr="00FC1444" w:rsidRDefault="00611CBA">
      <w:pPr>
        <w:keepNext/>
        <w:keepLines/>
        <w:spacing w:before="100" w:beforeAutospacing="1" w:after="100" w:afterAutospacing="1"/>
        <w:outlineLvl w:val="2"/>
        <w:rPr>
          <w:rFonts w:eastAsiaTheme="minorEastAsia"/>
          <w:b/>
          <w:sz w:val="28"/>
          <w:szCs w:val="28"/>
        </w:rPr>
      </w:pPr>
      <w:bookmarkStart w:id="73" w:name="_Toc15991641"/>
      <w:r w:rsidRPr="00FC1444">
        <w:rPr>
          <w:rFonts w:eastAsiaTheme="minorEastAsia"/>
          <w:b/>
          <w:sz w:val="28"/>
          <w:szCs w:val="28"/>
        </w:rPr>
        <w:t>3.1.5</w:t>
      </w:r>
      <w:r w:rsidRPr="00FC1444">
        <w:rPr>
          <w:rFonts w:eastAsiaTheme="minorEastAsia"/>
          <w:b/>
          <w:sz w:val="28"/>
          <w:szCs w:val="28"/>
        </w:rPr>
        <w:t>建设规模及建设内容</w:t>
      </w:r>
      <w:bookmarkEnd w:id="73"/>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具体建设内容见表</w:t>
      </w:r>
      <w:r w:rsidRPr="00FC1444">
        <w:rPr>
          <w:rFonts w:ascii="Times New Roman" w:hAnsi="Times New Roman" w:cs="Times New Roman"/>
        </w:rPr>
        <w:t>3-1-</w:t>
      </w:r>
      <w:r w:rsidR="002A51BB" w:rsidRPr="00FC1444">
        <w:rPr>
          <w:rFonts w:ascii="Times New Roman" w:hAnsi="Times New Roman" w:cs="Times New Roman" w:hint="eastAsia"/>
        </w:rPr>
        <w:t>5</w:t>
      </w:r>
      <w:r w:rsidRPr="00FC1444">
        <w:rPr>
          <w:rFonts w:ascii="Times New Roman" w:hAnsi="Times New Roman" w:cs="Times New Roman"/>
        </w:rPr>
        <w:t>。</w:t>
      </w:r>
    </w:p>
    <w:p w:rsidR="00291DFE" w:rsidRPr="00FC1444" w:rsidRDefault="00291DFE">
      <w:pPr>
        <w:contextualSpacing/>
        <w:jc w:val="center"/>
        <w:rPr>
          <w:rFonts w:eastAsiaTheme="minorEastAsia"/>
          <w:b/>
          <w:kern w:val="0"/>
          <w:szCs w:val="21"/>
        </w:rPr>
      </w:pPr>
    </w:p>
    <w:p w:rsidR="00291DFE" w:rsidRPr="00FC1444" w:rsidRDefault="00291DFE">
      <w:pPr>
        <w:contextualSpacing/>
        <w:jc w:val="center"/>
        <w:rPr>
          <w:rFonts w:eastAsiaTheme="minorEastAsia"/>
          <w:b/>
          <w:kern w:val="0"/>
          <w:szCs w:val="21"/>
        </w:rPr>
      </w:pPr>
    </w:p>
    <w:p w:rsidR="00291DFE" w:rsidRPr="00FC1444" w:rsidRDefault="00291DFE">
      <w:pPr>
        <w:contextualSpacing/>
        <w:jc w:val="center"/>
        <w:rPr>
          <w:rFonts w:eastAsiaTheme="minorEastAsia"/>
          <w:b/>
          <w:kern w:val="0"/>
          <w:szCs w:val="21"/>
        </w:rPr>
      </w:pPr>
    </w:p>
    <w:p w:rsidR="00291DFE" w:rsidRPr="00FC1444" w:rsidRDefault="00291DFE">
      <w:pPr>
        <w:contextualSpacing/>
        <w:jc w:val="center"/>
        <w:rPr>
          <w:rFonts w:eastAsiaTheme="minorEastAsia"/>
          <w:b/>
          <w:kern w:val="0"/>
          <w:szCs w:val="21"/>
        </w:rPr>
      </w:pPr>
    </w:p>
    <w:p w:rsidR="00291DFE" w:rsidRPr="00FC1444" w:rsidRDefault="00291DFE">
      <w:pPr>
        <w:contextualSpacing/>
        <w:jc w:val="center"/>
        <w:rPr>
          <w:rFonts w:eastAsiaTheme="minorEastAsia"/>
          <w:b/>
          <w:kern w:val="0"/>
          <w:szCs w:val="21"/>
        </w:rPr>
      </w:pPr>
    </w:p>
    <w:p w:rsidR="00291DFE" w:rsidRPr="00FC1444" w:rsidRDefault="00291DFE">
      <w:pPr>
        <w:contextualSpacing/>
        <w:jc w:val="center"/>
        <w:rPr>
          <w:rFonts w:eastAsiaTheme="minorEastAsia"/>
          <w:b/>
          <w:kern w:val="0"/>
          <w:szCs w:val="21"/>
        </w:rPr>
      </w:pPr>
    </w:p>
    <w:p w:rsidR="00291DFE" w:rsidRPr="00FC1444" w:rsidRDefault="00291DFE">
      <w:pPr>
        <w:contextualSpacing/>
        <w:jc w:val="center"/>
        <w:rPr>
          <w:rFonts w:eastAsiaTheme="minorEastAsia"/>
          <w:b/>
          <w:kern w:val="0"/>
          <w:szCs w:val="21"/>
        </w:rPr>
      </w:pPr>
    </w:p>
    <w:p w:rsidR="00DA426A" w:rsidRPr="00FC1444" w:rsidRDefault="00DA426A">
      <w:pPr>
        <w:contextualSpacing/>
        <w:jc w:val="center"/>
        <w:rPr>
          <w:rFonts w:eastAsiaTheme="minorEastAsia"/>
          <w:b/>
          <w:kern w:val="0"/>
          <w:szCs w:val="21"/>
        </w:rPr>
      </w:pPr>
    </w:p>
    <w:p w:rsidR="00DA426A" w:rsidRPr="00FC1444" w:rsidRDefault="00DA426A">
      <w:pPr>
        <w:contextualSpacing/>
        <w:jc w:val="center"/>
        <w:rPr>
          <w:rFonts w:eastAsiaTheme="minorEastAsia"/>
          <w:b/>
          <w:kern w:val="0"/>
          <w:szCs w:val="21"/>
        </w:rPr>
      </w:pPr>
    </w:p>
    <w:p w:rsidR="00291DFE" w:rsidRPr="00FC1444" w:rsidRDefault="00291DFE">
      <w:pPr>
        <w:contextualSpacing/>
        <w:jc w:val="center"/>
        <w:rPr>
          <w:rFonts w:eastAsiaTheme="minorEastAsia"/>
          <w:b/>
          <w:kern w:val="0"/>
          <w:szCs w:val="21"/>
        </w:rPr>
      </w:pPr>
    </w:p>
    <w:p w:rsidR="00291DFE" w:rsidRPr="00FC1444" w:rsidRDefault="00291DFE">
      <w:pPr>
        <w:contextualSpacing/>
        <w:jc w:val="center"/>
        <w:rPr>
          <w:rFonts w:eastAsiaTheme="minorEastAsia"/>
          <w:b/>
          <w:kern w:val="0"/>
          <w:szCs w:val="21"/>
        </w:rPr>
      </w:pPr>
    </w:p>
    <w:p w:rsidR="00591495" w:rsidRPr="00FC1444" w:rsidRDefault="00591495">
      <w:pPr>
        <w:contextualSpacing/>
        <w:jc w:val="center"/>
        <w:rPr>
          <w:rFonts w:eastAsiaTheme="minorEastAsia"/>
          <w:b/>
          <w:kern w:val="0"/>
          <w:szCs w:val="21"/>
        </w:rPr>
      </w:pPr>
    </w:p>
    <w:p w:rsidR="00591495" w:rsidRPr="00FC1444" w:rsidRDefault="00591495">
      <w:pPr>
        <w:contextualSpacing/>
        <w:jc w:val="center"/>
        <w:rPr>
          <w:rFonts w:eastAsiaTheme="minorEastAsia"/>
          <w:b/>
          <w:kern w:val="0"/>
          <w:szCs w:val="21"/>
        </w:rPr>
      </w:pPr>
    </w:p>
    <w:p w:rsidR="00291DFE" w:rsidRPr="00FC1444" w:rsidRDefault="00291DFE">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3-1-</w:t>
      </w:r>
      <w:r w:rsidR="002A51BB" w:rsidRPr="00FC1444">
        <w:rPr>
          <w:rFonts w:eastAsiaTheme="minorEastAsia" w:hint="eastAsia"/>
          <w:b/>
          <w:kern w:val="0"/>
          <w:szCs w:val="21"/>
        </w:rPr>
        <w:t>5</w:t>
      </w:r>
      <w:r w:rsidRPr="00FC1444">
        <w:rPr>
          <w:rFonts w:eastAsiaTheme="minorEastAsia"/>
          <w:b/>
          <w:kern w:val="0"/>
          <w:szCs w:val="21"/>
        </w:rPr>
        <w:t>工程组成一览表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673"/>
        <w:gridCol w:w="852"/>
        <w:gridCol w:w="5814"/>
        <w:gridCol w:w="1183"/>
      </w:tblGrid>
      <w:tr w:rsidR="002A5A5E" w:rsidRPr="00FC1444" w:rsidTr="00AB10DD">
        <w:trPr>
          <w:trHeight w:val="44"/>
          <w:jc w:val="center"/>
        </w:trPr>
        <w:tc>
          <w:tcPr>
            <w:tcW w:w="395" w:type="pct"/>
            <w:vAlign w:val="center"/>
          </w:tcPr>
          <w:p w:rsidR="002A5A5E" w:rsidRPr="00FC1444" w:rsidRDefault="00611CBA">
            <w:pPr>
              <w:pStyle w:val="aff7"/>
              <w:spacing w:line="0" w:lineRule="atLeast"/>
              <w:contextualSpacing/>
              <w:rPr>
                <w:rFonts w:eastAsiaTheme="minorEastAsia" w:hAnsi="Times New Roman"/>
              </w:rPr>
            </w:pPr>
            <w:bookmarkStart w:id="74" w:name="_Hlk527725606"/>
            <w:r w:rsidRPr="00FC1444">
              <w:rPr>
                <w:rFonts w:eastAsiaTheme="minorEastAsia" w:hAnsi="Times New Roman"/>
              </w:rPr>
              <w:t>工程类别</w:t>
            </w:r>
          </w:p>
        </w:tc>
        <w:tc>
          <w:tcPr>
            <w:tcW w:w="500" w:type="pct"/>
            <w:vAlign w:val="center"/>
          </w:tcPr>
          <w:p w:rsidR="002A5A5E" w:rsidRPr="00FC1444" w:rsidRDefault="00611CBA">
            <w:pPr>
              <w:pStyle w:val="aff7"/>
              <w:spacing w:line="0" w:lineRule="atLeast"/>
              <w:contextualSpacing/>
              <w:rPr>
                <w:rFonts w:eastAsiaTheme="minorEastAsia" w:hAnsi="Times New Roman"/>
              </w:rPr>
            </w:pPr>
            <w:r w:rsidRPr="00FC1444">
              <w:rPr>
                <w:rFonts w:eastAsiaTheme="minorEastAsia" w:hAnsi="Times New Roman"/>
              </w:rPr>
              <w:t>工程名称</w:t>
            </w:r>
          </w:p>
        </w:tc>
        <w:tc>
          <w:tcPr>
            <w:tcW w:w="3411" w:type="pct"/>
            <w:vAlign w:val="center"/>
          </w:tcPr>
          <w:p w:rsidR="002A5A5E" w:rsidRPr="00FC1444" w:rsidRDefault="00611CBA">
            <w:pPr>
              <w:pStyle w:val="aff7"/>
              <w:spacing w:line="0" w:lineRule="atLeast"/>
              <w:contextualSpacing/>
              <w:rPr>
                <w:rFonts w:eastAsiaTheme="minorEastAsia" w:hAnsi="Times New Roman"/>
              </w:rPr>
            </w:pPr>
            <w:r w:rsidRPr="00FC1444">
              <w:rPr>
                <w:rFonts w:eastAsiaTheme="minorEastAsia" w:hAnsi="Times New Roman"/>
              </w:rPr>
              <w:t>建筑规模</w:t>
            </w:r>
          </w:p>
        </w:tc>
        <w:tc>
          <w:tcPr>
            <w:tcW w:w="694" w:type="pct"/>
            <w:vAlign w:val="center"/>
          </w:tcPr>
          <w:p w:rsidR="002A5A5E" w:rsidRPr="00FC1444" w:rsidRDefault="00611CBA">
            <w:pPr>
              <w:pStyle w:val="aff7"/>
              <w:spacing w:line="0" w:lineRule="atLeast"/>
              <w:contextualSpacing/>
              <w:rPr>
                <w:rFonts w:eastAsiaTheme="minorEastAsia" w:hAnsi="Times New Roman"/>
              </w:rPr>
            </w:pPr>
            <w:r w:rsidRPr="00FC1444">
              <w:rPr>
                <w:rFonts w:eastAsiaTheme="minorEastAsia" w:hAnsi="Times New Roman"/>
              </w:rPr>
              <w:t>备注</w:t>
            </w:r>
          </w:p>
        </w:tc>
      </w:tr>
      <w:tr w:rsidR="00291DFE" w:rsidRPr="00FC1444" w:rsidTr="00AB10DD">
        <w:trPr>
          <w:trHeight w:val="528"/>
          <w:jc w:val="center"/>
        </w:trPr>
        <w:tc>
          <w:tcPr>
            <w:tcW w:w="395" w:type="pct"/>
            <w:vMerge w:val="restart"/>
            <w:vAlign w:val="center"/>
          </w:tcPr>
          <w:p w:rsidR="00291DFE" w:rsidRPr="00FC1444" w:rsidRDefault="00291DFE">
            <w:pPr>
              <w:pStyle w:val="aff7"/>
              <w:spacing w:line="0" w:lineRule="atLeast"/>
              <w:contextualSpacing/>
              <w:rPr>
                <w:rFonts w:eastAsiaTheme="minorEastAsia" w:hAnsi="Times New Roman"/>
              </w:rPr>
            </w:pPr>
            <w:r w:rsidRPr="00FC1444">
              <w:rPr>
                <w:rFonts w:eastAsiaTheme="minorEastAsia" w:hAnsi="Times New Roman"/>
              </w:rPr>
              <w:t>主体工程</w:t>
            </w:r>
          </w:p>
        </w:tc>
        <w:tc>
          <w:tcPr>
            <w:tcW w:w="500" w:type="pct"/>
            <w:vMerge w:val="restart"/>
            <w:vAlign w:val="center"/>
          </w:tcPr>
          <w:p w:rsidR="00291DFE" w:rsidRPr="00FC1444" w:rsidRDefault="00291DFE">
            <w:pPr>
              <w:jc w:val="center"/>
              <w:rPr>
                <w:rFonts w:eastAsiaTheme="minorEastAsia"/>
                <w:szCs w:val="21"/>
              </w:rPr>
            </w:pPr>
            <w:r w:rsidRPr="00FC1444">
              <w:rPr>
                <w:rFonts w:eastAsiaTheme="minorEastAsia"/>
                <w:szCs w:val="21"/>
              </w:rPr>
              <w:t>灌溉工程</w:t>
            </w:r>
          </w:p>
        </w:tc>
        <w:tc>
          <w:tcPr>
            <w:tcW w:w="3411" w:type="pct"/>
            <w:vAlign w:val="center"/>
          </w:tcPr>
          <w:p w:rsidR="00291DFE" w:rsidRPr="00FC1444" w:rsidRDefault="008B71D4" w:rsidP="00824D61">
            <w:pPr>
              <w:pStyle w:val="2fc"/>
              <w:jc w:val="left"/>
              <w:rPr>
                <w:rFonts w:eastAsiaTheme="minorEastAsia"/>
                <w:snapToGrid w:val="0"/>
                <w:kern w:val="0"/>
              </w:rPr>
            </w:pPr>
            <w:r w:rsidRPr="00FC1444">
              <w:rPr>
                <w:rFonts w:eastAsiaTheme="minorEastAsia"/>
                <w:snapToGrid w:val="0"/>
                <w:kern w:val="0"/>
              </w:rPr>
              <w:t>本项目旱田</w:t>
            </w:r>
            <w:r w:rsidRPr="00FC1444">
              <w:rPr>
                <w:rFonts w:eastAsiaTheme="minorEastAsia"/>
                <w:bCs/>
                <w:snapToGrid w:val="0"/>
                <w:kern w:val="0"/>
              </w:rPr>
              <w:t>新建机电井</w:t>
            </w:r>
            <w:r w:rsidRPr="00FC1444">
              <w:rPr>
                <w:rFonts w:eastAsiaTheme="minorEastAsia"/>
                <w:bCs/>
                <w:snapToGrid w:val="0"/>
                <w:kern w:val="0"/>
              </w:rPr>
              <w:t>156</w:t>
            </w:r>
            <w:r w:rsidRPr="00FC1444">
              <w:rPr>
                <w:rFonts w:eastAsiaTheme="minorEastAsia"/>
                <w:bCs/>
                <w:snapToGrid w:val="0"/>
                <w:kern w:val="0"/>
              </w:rPr>
              <w:t>眼，其中</w:t>
            </w:r>
            <w:r w:rsidRPr="00FC1444">
              <w:rPr>
                <w:rFonts w:eastAsiaTheme="minorEastAsia"/>
                <w:bCs/>
                <w:snapToGrid w:val="0"/>
                <w:kern w:val="0"/>
              </w:rPr>
              <w:t>35</w:t>
            </w:r>
            <w:r w:rsidRPr="00FC1444">
              <w:rPr>
                <w:rFonts w:eastAsiaTheme="minorEastAsia"/>
                <w:bCs/>
                <w:snapToGrid w:val="0"/>
                <w:kern w:val="0"/>
              </w:rPr>
              <w:t>口滴灌井（水肥一体化），</w:t>
            </w:r>
            <w:r w:rsidRPr="00FC1444">
              <w:rPr>
                <w:rFonts w:eastAsiaTheme="minorEastAsia"/>
                <w:bCs/>
                <w:snapToGrid w:val="0"/>
                <w:kern w:val="0"/>
              </w:rPr>
              <w:t>121</w:t>
            </w:r>
            <w:r w:rsidRPr="00FC1444">
              <w:rPr>
                <w:rFonts w:eastAsiaTheme="minorEastAsia"/>
                <w:bCs/>
                <w:snapToGrid w:val="0"/>
                <w:kern w:val="0"/>
              </w:rPr>
              <w:t>口抗旱井（干旱时使用），</w:t>
            </w:r>
            <w:r w:rsidRPr="00FC1444">
              <w:rPr>
                <w:rFonts w:eastAsiaTheme="minorEastAsia"/>
                <w:snapToGrid w:val="0"/>
                <w:kern w:val="0"/>
              </w:rPr>
              <w:t>运营期设计</w:t>
            </w:r>
            <w:r w:rsidRPr="00FC1444">
              <w:rPr>
                <w:rFonts w:eastAsiaTheme="minorEastAsia"/>
                <w:bCs/>
                <w:snapToGrid w:val="0"/>
                <w:kern w:val="0"/>
              </w:rPr>
              <w:t>抗旱井</w:t>
            </w:r>
            <w:r w:rsidRPr="00FC1444">
              <w:rPr>
                <w:rFonts w:eastAsiaTheme="minorEastAsia"/>
                <w:snapToGrid w:val="0"/>
                <w:kern w:val="0"/>
              </w:rPr>
              <w:t>每年</w:t>
            </w:r>
            <w:r w:rsidRPr="00FC1444">
              <w:rPr>
                <w:rFonts w:eastAsiaTheme="minorEastAsia" w:hint="eastAsia"/>
                <w:snapToGrid w:val="0"/>
                <w:kern w:val="0"/>
              </w:rPr>
              <w:t>4</w:t>
            </w:r>
            <w:r w:rsidRPr="00FC1444">
              <w:rPr>
                <w:rFonts w:eastAsiaTheme="minorEastAsia"/>
                <w:snapToGrid w:val="0"/>
                <w:kern w:val="0"/>
              </w:rPr>
              <w:t>-7</w:t>
            </w:r>
            <w:r w:rsidRPr="00FC1444">
              <w:rPr>
                <w:rFonts w:eastAsiaTheme="minorEastAsia"/>
                <w:snapToGrid w:val="0"/>
                <w:kern w:val="0"/>
              </w:rPr>
              <w:t>月干旱时灌水</w:t>
            </w:r>
            <w:r w:rsidRPr="00FC1444">
              <w:rPr>
                <w:rFonts w:eastAsiaTheme="minorEastAsia"/>
                <w:snapToGrid w:val="0"/>
                <w:kern w:val="0"/>
              </w:rPr>
              <w:t>1</w:t>
            </w:r>
            <w:r w:rsidRPr="00FC1444">
              <w:rPr>
                <w:rFonts w:eastAsiaTheme="minorEastAsia" w:hint="eastAsia"/>
                <w:snapToGrid w:val="0"/>
                <w:kern w:val="0"/>
              </w:rPr>
              <w:t>0</w:t>
            </w:r>
            <w:r w:rsidRPr="00FC1444">
              <w:rPr>
                <w:rFonts w:eastAsiaTheme="minorEastAsia"/>
                <w:snapToGrid w:val="0"/>
                <w:kern w:val="0"/>
              </w:rPr>
              <w:t>d</w:t>
            </w:r>
            <w:r w:rsidRPr="00FC1444">
              <w:rPr>
                <w:rFonts w:eastAsiaTheme="minorEastAsia"/>
                <w:snapToGrid w:val="0"/>
                <w:kern w:val="0"/>
              </w:rPr>
              <w:t>，每天灌溉时间约为</w:t>
            </w:r>
            <w:r w:rsidRPr="00FC1444">
              <w:rPr>
                <w:rFonts w:eastAsiaTheme="minorEastAsia" w:hint="eastAsia"/>
                <w:snapToGrid w:val="0"/>
                <w:kern w:val="0"/>
              </w:rPr>
              <w:t>7</w:t>
            </w:r>
            <w:r w:rsidRPr="00FC1444">
              <w:rPr>
                <w:rFonts w:eastAsiaTheme="minorEastAsia"/>
                <w:snapToGrid w:val="0"/>
                <w:kern w:val="0"/>
              </w:rPr>
              <w:t>h</w:t>
            </w:r>
            <w:r w:rsidRPr="00FC1444">
              <w:rPr>
                <w:rFonts w:eastAsiaTheme="minorEastAsia"/>
                <w:snapToGrid w:val="0"/>
                <w:kern w:val="0"/>
              </w:rPr>
              <w:t>，总灌水时间约</w:t>
            </w:r>
            <w:r w:rsidRPr="00FC1444">
              <w:rPr>
                <w:rFonts w:eastAsiaTheme="minorEastAsia" w:hint="eastAsia"/>
                <w:snapToGrid w:val="0"/>
                <w:kern w:val="0"/>
              </w:rPr>
              <w:t>7</w:t>
            </w:r>
            <w:r w:rsidRPr="00FC1444">
              <w:rPr>
                <w:rFonts w:eastAsiaTheme="minorEastAsia"/>
                <w:snapToGrid w:val="0"/>
                <w:kern w:val="0"/>
              </w:rPr>
              <w:t>0h</w:t>
            </w:r>
            <w:r w:rsidRPr="00FC1444">
              <w:rPr>
                <w:rFonts w:eastAsiaTheme="minorEastAsia"/>
                <w:snapToGrid w:val="0"/>
                <w:kern w:val="0"/>
              </w:rPr>
              <w:t>，设计单井涌水量为</w:t>
            </w:r>
            <w:r w:rsidRPr="00FC1444">
              <w:rPr>
                <w:rFonts w:eastAsiaTheme="minorEastAsia"/>
                <w:snapToGrid w:val="0"/>
                <w:kern w:val="0"/>
              </w:rPr>
              <w:t>30m</w:t>
            </w:r>
            <w:r w:rsidRPr="00FC1444">
              <w:rPr>
                <w:rFonts w:eastAsiaTheme="minorEastAsia"/>
                <w:snapToGrid w:val="0"/>
                <w:kern w:val="0"/>
                <w:vertAlign w:val="superscript"/>
              </w:rPr>
              <w:t>3</w:t>
            </w:r>
            <w:r w:rsidRPr="00FC1444">
              <w:rPr>
                <w:rFonts w:eastAsiaTheme="minorEastAsia"/>
                <w:snapToGrid w:val="0"/>
                <w:kern w:val="0"/>
              </w:rPr>
              <w:t>/h</w:t>
            </w:r>
            <w:r w:rsidRPr="00FC1444">
              <w:rPr>
                <w:rFonts w:eastAsiaTheme="minorEastAsia" w:hint="eastAsia"/>
                <w:snapToGrid w:val="0"/>
                <w:kern w:val="0"/>
              </w:rPr>
              <w:t>。</w:t>
            </w:r>
            <w:r w:rsidRPr="00FC1444">
              <w:rPr>
                <w:rFonts w:eastAsiaTheme="minorEastAsia"/>
                <w:bCs/>
                <w:snapToGrid w:val="0"/>
                <w:kern w:val="0"/>
              </w:rPr>
              <w:t>滴灌井全生育周期灌溉总天数</w:t>
            </w:r>
            <w:r w:rsidRPr="00FC1444">
              <w:rPr>
                <w:rFonts w:eastAsiaTheme="minorEastAsia" w:hint="eastAsia"/>
                <w:bCs/>
                <w:snapToGrid w:val="0"/>
                <w:kern w:val="0"/>
              </w:rPr>
              <w:t>32</w:t>
            </w:r>
            <w:r w:rsidRPr="00FC1444">
              <w:rPr>
                <w:rFonts w:eastAsiaTheme="minorEastAsia"/>
                <w:bCs/>
                <w:snapToGrid w:val="0"/>
                <w:kern w:val="0"/>
              </w:rPr>
              <w:t>d</w:t>
            </w:r>
            <w:r w:rsidRPr="00FC1444">
              <w:rPr>
                <w:rFonts w:eastAsiaTheme="minorEastAsia"/>
                <w:bCs/>
                <w:snapToGrid w:val="0"/>
                <w:kern w:val="0"/>
              </w:rPr>
              <w:t>，</w:t>
            </w:r>
            <w:r w:rsidRPr="00FC1444">
              <w:rPr>
                <w:rFonts w:eastAsiaTheme="minorEastAsia"/>
                <w:snapToGrid w:val="0"/>
                <w:kern w:val="0"/>
              </w:rPr>
              <w:t>每天灌溉时间约为</w:t>
            </w:r>
            <w:r w:rsidRPr="00FC1444">
              <w:rPr>
                <w:rFonts w:eastAsiaTheme="minorEastAsia"/>
                <w:snapToGrid w:val="0"/>
                <w:kern w:val="0"/>
              </w:rPr>
              <w:t>20h</w:t>
            </w:r>
            <w:r w:rsidRPr="00FC1444">
              <w:rPr>
                <w:rFonts w:eastAsiaTheme="minorEastAsia"/>
                <w:snapToGrid w:val="0"/>
                <w:kern w:val="0"/>
              </w:rPr>
              <w:t>，总灌水时间约</w:t>
            </w:r>
            <w:r w:rsidRPr="00FC1444">
              <w:rPr>
                <w:rFonts w:eastAsiaTheme="minorEastAsia" w:hint="eastAsia"/>
                <w:snapToGrid w:val="0"/>
                <w:kern w:val="0"/>
              </w:rPr>
              <w:t>640</w:t>
            </w:r>
            <w:r w:rsidRPr="00FC1444">
              <w:rPr>
                <w:rFonts w:eastAsiaTheme="minorEastAsia"/>
                <w:snapToGrid w:val="0"/>
                <w:kern w:val="0"/>
              </w:rPr>
              <w:t>h</w:t>
            </w:r>
            <w:r w:rsidRPr="00FC1444">
              <w:rPr>
                <w:rFonts w:eastAsiaTheme="minorEastAsia"/>
                <w:snapToGrid w:val="0"/>
                <w:kern w:val="0"/>
              </w:rPr>
              <w:t>，设计单井涌水量为</w:t>
            </w:r>
            <w:r w:rsidRPr="00FC1444">
              <w:rPr>
                <w:rFonts w:eastAsiaTheme="minorEastAsia"/>
                <w:snapToGrid w:val="0"/>
                <w:kern w:val="0"/>
              </w:rPr>
              <w:t>30m</w:t>
            </w:r>
            <w:r w:rsidRPr="00FC1444">
              <w:rPr>
                <w:rFonts w:eastAsiaTheme="minorEastAsia"/>
                <w:snapToGrid w:val="0"/>
                <w:kern w:val="0"/>
                <w:vertAlign w:val="superscript"/>
              </w:rPr>
              <w:t>3</w:t>
            </w:r>
            <w:r w:rsidRPr="00FC1444">
              <w:rPr>
                <w:rFonts w:eastAsiaTheme="minorEastAsia"/>
                <w:snapToGrid w:val="0"/>
                <w:kern w:val="0"/>
              </w:rPr>
              <w:t>/h</w:t>
            </w:r>
            <w:r w:rsidRPr="00FC1444">
              <w:rPr>
                <w:rFonts w:eastAsiaTheme="minorEastAsia"/>
                <w:snapToGrid w:val="0"/>
                <w:kern w:val="0"/>
              </w:rPr>
              <w:t>。根据项目区的灌溉定额和灌溉水利用系数，项目区地下水取水量为</w:t>
            </w:r>
            <w:r w:rsidRPr="00FC1444">
              <w:rPr>
                <w:rFonts w:eastAsiaTheme="minorEastAsia"/>
                <w:snapToGrid w:val="0"/>
                <w:kern w:val="0"/>
              </w:rPr>
              <w:t>92.83</w:t>
            </w:r>
            <w:r w:rsidRPr="00FC1444">
              <w:rPr>
                <w:rFonts w:eastAsiaTheme="minorEastAsia"/>
                <w:snapToGrid w:val="0"/>
                <w:kern w:val="0"/>
              </w:rPr>
              <w:t>万</w:t>
            </w:r>
            <w:r w:rsidRPr="00FC1444">
              <w:rPr>
                <w:rFonts w:eastAsiaTheme="minorEastAsia"/>
                <w:snapToGrid w:val="0"/>
                <w:kern w:val="0"/>
              </w:rPr>
              <w:t>m³/a</w:t>
            </w:r>
            <w:r w:rsidRPr="00FC1444">
              <w:rPr>
                <w:rFonts w:eastAsiaTheme="minorEastAsia"/>
                <w:snapToGrid w:val="0"/>
                <w:kern w:val="0"/>
              </w:rPr>
              <w:t>（其中</w:t>
            </w:r>
            <w:r w:rsidRPr="00FC1444">
              <w:rPr>
                <w:rFonts w:eastAsiaTheme="minorEastAsia"/>
                <w:bCs/>
                <w:snapToGrid w:val="0"/>
                <w:kern w:val="0"/>
              </w:rPr>
              <w:t>抗旱井</w:t>
            </w:r>
            <w:r w:rsidRPr="00FC1444">
              <w:rPr>
                <w:rFonts w:eastAsiaTheme="minorEastAsia" w:hint="eastAsia"/>
                <w:bCs/>
                <w:snapToGrid w:val="0"/>
                <w:kern w:val="0"/>
              </w:rPr>
              <w:t>23.67</w:t>
            </w:r>
            <w:r w:rsidRPr="00FC1444">
              <w:rPr>
                <w:rFonts w:eastAsiaTheme="minorEastAsia"/>
                <w:bCs/>
                <w:snapToGrid w:val="0"/>
                <w:kern w:val="0"/>
              </w:rPr>
              <w:t>万</w:t>
            </w:r>
            <w:r w:rsidRPr="00FC1444">
              <w:rPr>
                <w:rFonts w:eastAsiaTheme="minorEastAsia"/>
                <w:snapToGrid w:val="0"/>
                <w:kern w:val="0"/>
              </w:rPr>
              <w:t>m³/a</w:t>
            </w:r>
            <w:r w:rsidRPr="00FC1444">
              <w:rPr>
                <w:rFonts w:eastAsiaTheme="minorEastAsia"/>
                <w:snapToGrid w:val="0"/>
                <w:kern w:val="0"/>
              </w:rPr>
              <w:t>、</w:t>
            </w:r>
            <w:r w:rsidRPr="00FC1444">
              <w:rPr>
                <w:rFonts w:eastAsiaTheme="minorEastAsia"/>
                <w:bCs/>
                <w:snapToGrid w:val="0"/>
                <w:kern w:val="0"/>
              </w:rPr>
              <w:t>滴灌井</w:t>
            </w:r>
            <w:r w:rsidRPr="00FC1444">
              <w:rPr>
                <w:rFonts w:eastAsiaTheme="minorEastAsia" w:hint="eastAsia"/>
                <w:bCs/>
                <w:snapToGrid w:val="0"/>
                <w:kern w:val="0"/>
              </w:rPr>
              <w:t>69.16</w:t>
            </w:r>
            <w:r w:rsidRPr="00FC1444">
              <w:rPr>
                <w:rFonts w:eastAsiaTheme="minorEastAsia"/>
                <w:bCs/>
                <w:snapToGrid w:val="0"/>
                <w:kern w:val="0"/>
              </w:rPr>
              <w:t>万</w:t>
            </w:r>
            <w:r w:rsidRPr="00FC1444">
              <w:rPr>
                <w:rFonts w:eastAsiaTheme="minorEastAsia"/>
                <w:snapToGrid w:val="0"/>
                <w:kern w:val="0"/>
              </w:rPr>
              <w:t>m³/a</w:t>
            </w:r>
            <w:r w:rsidRPr="00FC1444">
              <w:rPr>
                <w:rFonts w:eastAsiaTheme="minorEastAsia"/>
                <w:snapToGrid w:val="0"/>
                <w:kern w:val="0"/>
              </w:rPr>
              <w:t>），日取水量约为</w:t>
            </w:r>
            <w:r w:rsidRPr="00FC1444">
              <w:rPr>
                <w:rFonts w:eastAsiaTheme="minorEastAsia" w:hint="eastAsia"/>
                <w:snapToGrid w:val="0"/>
                <w:kern w:val="0"/>
              </w:rPr>
              <w:t>45283</w:t>
            </w:r>
            <w:r w:rsidRPr="00FC1444">
              <w:rPr>
                <w:rFonts w:eastAsiaTheme="minorEastAsia"/>
                <w:snapToGrid w:val="0"/>
                <w:kern w:val="0"/>
              </w:rPr>
              <w:t>m</w:t>
            </w:r>
            <w:r w:rsidRPr="00FC1444">
              <w:rPr>
                <w:rFonts w:eastAsiaTheme="minorEastAsia"/>
                <w:snapToGrid w:val="0"/>
                <w:kern w:val="0"/>
                <w:vertAlign w:val="superscript"/>
              </w:rPr>
              <w:t>3</w:t>
            </w:r>
            <w:r w:rsidRPr="00FC1444">
              <w:rPr>
                <w:rFonts w:eastAsiaTheme="minorEastAsia"/>
                <w:snapToGrid w:val="0"/>
                <w:kern w:val="0"/>
              </w:rPr>
              <w:t>（其中</w:t>
            </w:r>
            <w:r w:rsidRPr="00FC1444">
              <w:rPr>
                <w:rFonts w:eastAsiaTheme="minorEastAsia"/>
                <w:bCs/>
                <w:snapToGrid w:val="0"/>
                <w:kern w:val="0"/>
              </w:rPr>
              <w:t>抗旱井</w:t>
            </w:r>
            <w:r w:rsidRPr="00FC1444">
              <w:rPr>
                <w:rFonts w:eastAsiaTheme="minorEastAsia" w:hint="eastAsia"/>
                <w:bCs/>
                <w:snapToGrid w:val="0"/>
                <w:kern w:val="0"/>
              </w:rPr>
              <w:t>23670</w:t>
            </w:r>
            <w:r w:rsidRPr="00FC1444">
              <w:rPr>
                <w:rFonts w:eastAsiaTheme="minorEastAsia"/>
                <w:snapToGrid w:val="0"/>
                <w:kern w:val="0"/>
              </w:rPr>
              <w:t>m³</w:t>
            </w:r>
            <w:r w:rsidRPr="00FC1444">
              <w:rPr>
                <w:rFonts w:eastAsiaTheme="minorEastAsia"/>
                <w:snapToGrid w:val="0"/>
                <w:kern w:val="0"/>
              </w:rPr>
              <w:t>、</w:t>
            </w:r>
            <w:r w:rsidRPr="00FC1444">
              <w:rPr>
                <w:rFonts w:eastAsiaTheme="minorEastAsia"/>
                <w:bCs/>
                <w:snapToGrid w:val="0"/>
                <w:kern w:val="0"/>
              </w:rPr>
              <w:t>滴灌井</w:t>
            </w:r>
            <w:r w:rsidRPr="00FC1444">
              <w:rPr>
                <w:rFonts w:eastAsiaTheme="minorEastAsia" w:hint="eastAsia"/>
                <w:bCs/>
                <w:snapToGrid w:val="0"/>
                <w:kern w:val="0"/>
              </w:rPr>
              <w:t>21613</w:t>
            </w:r>
            <w:r w:rsidRPr="00FC1444">
              <w:rPr>
                <w:rFonts w:eastAsiaTheme="minorEastAsia"/>
                <w:snapToGrid w:val="0"/>
                <w:kern w:val="0"/>
              </w:rPr>
              <w:t>m³</w:t>
            </w:r>
            <w:r w:rsidRPr="00FC1444">
              <w:rPr>
                <w:rFonts w:eastAsiaTheme="minorEastAsia"/>
                <w:snapToGrid w:val="0"/>
                <w:kern w:val="0"/>
              </w:rPr>
              <w:t>）</w:t>
            </w:r>
            <w:r w:rsidR="00291DFE" w:rsidRPr="00FC1444">
              <w:rPr>
                <w:rFonts w:eastAsiaTheme="minorEastAsia"/>
                <w:snapToGrid w:val="0"/>
                <w:kern w:val="0"/>
              </w:rPr>
              <w:t>。灌溉面积</w:t>
            </w:r>
            <w:r w:rsidR="00C11725" w:rsidRPr="00FC1444">
              <w:rPr>
                <w:rFonts w:eastAsiaTheme="minorEastAsia"/>
                <w:snapToGrid w:val="0"/>
                <w:kern w:val="0"/>
              </w:rPr>
              <w:t>44802</w:t>
            </w:r>
            <w:r w:rsidR="00291DFE" w:rsidRPr="00FC1444">
              <w:rPr>
                <w:rFonts w:eastAsiaTheme="minorEastAsia"/>
                <w:snapToGrid w:val="0"/>
                <w:kern w:val="0"/>
              </w:rPr>
              <w:t>亩，均为旱田，无水田</w:t>
            </w:r>
          </w:p>
        </w:tc>
        <w:tc>
          <w:tcPr>
            <w:tcW w:w="694" w:type="pct"/>
            <w:vMerge w:val="restart"/>
            <w:vAlign w:val="center"/>
          </w:tcPr>
          <w:p w:rsidR="00291DFE" w:rsidRPr="00FC1444" w:rsidRDefault="00291DFE">
            <w:pPr>
              <w:pStyle w:val="aff7"/>
              <w:spacing w:line="0" w:lineRule="atLeast"/>
              <w:contextualSpacing/>
              <w:rPr>
                <w:rFonts w:eastAsiaTheme="minorEastAsia" w:hAnsi="Times New Roman"/>
              </w:rPr>
            </w:pPr>
            <w:r w:rsidRPr="00FC1444">
              <w:rPr>
                <w:rFonts w:eastAsiaTheme="minorEastAsia" w:hAnsi="Times New Roman"/>
              </w:rPr>
              <w:t>修缮现有渠道；其余均为新建</w:t>
            </w:r>
          </w:p>
        </w:tc>
      </w:tr>
      <w:tr w:rsidR="00291DFE" w:rsidRPr="00FC1444" w:rsidTr="00AB10DD">
        <w:trPr>
          <w:trHeight w:val="528"/>
          <w:jc w:val="center"/>
        </w:trPr>
        <w:tc>
          <w:tcPr>
            <w:tcW w:w="395" w:type="pct"/>
            <w:vMerge/>
            <w:vAlign w:val="center"/>
          </w:tcPr>
          <w:p w:rsidR="00291DFE" w:rsidRPr="00FC1444" w:rsidRDefault="00291DFE">
            <w:pPr>
              <w:pStyle w:val="aff7"/>
              <w:spacing w:line="0" w:lineRule="atLeast"/>
              <w:contextualSpacing/>
              <w:rPr>
                <w:rFonts w:eastAsiaTheme="minorEastAsia" w:hAnsi="Times New Roman"/>
              </w:rPr>
            </w:pPr>
          </w:p>
        </w:tc>
        <w:tc>
          <w:tcPr>
            <w:tcW w:w="500" w:type="pct"/>
            <w:vMerge/>
            <w:vAlign w:val="center"/>
          </w:tcPr>
          <w:p w:rsidR="00291DFE" w:rsidRPr="00FC1444" w:rsidRDefault="00291DFE">
            <w:pPr>
              <w:jc w:val="center"/>
              <w:rPr>
                <w:rFonts w:eastAsiaTheme="minorEastAsia"/>
                <w:szCs w:val="21"/>
              </w:rPr>
            </w:pPr>
          </w:p>
        </w:tc>
        <w:tc>
          <w:tcPr>
            <w:tcW w:w="3411" w:type="pct"/>
            <w:vAlign w:val="center"/>
          </w:tcPr>
          <w:p w:rsidR="00291DFE" w:rsidRPr="00FC1444" w:rsidRDefault="00B13464" w:rsidP="00DD5FB6">
            <w:pPr>
              <w:pStyle w:val="2fc"/>
              <w:jc w:val="left"/>
              <w:rPr>
                <w:rFonts w:eastAsiaTheme="minorEastAsia"/>
                <w:bCs/>
                <w:snapToGrid w:val="0"/>
                <w:kern w:val="0"/>
              </w:rPr>
            </w:pPr>
            <w:r w:rsidRPr="00FC1444">
              <w:rPr>
                <w:rFonts w:eastAsiaTheme="minorEastAsia"/>
                <w:bCs/>
                <w:snapToGrid w:val="0"/>
                <w:kern w:val="0"/>
              </w:rPr>
              <w:t>水肥一体灌溉面积</w:t>
            </w:r>
            <w:r w:rsidRPr="00FC1444">
              <w:rPr>
                <w:rFonts w:eastAsiaTheme="minorEastAsia"/>
                <w:bCs/>
                <w:snapToGrid w:val="0"/>
                <w:kern w:val="0"/>
              </w:rPr>
              <w:t>11285</w:t>
            </w:r>
            <w:r w:rsidRPr="00FC1444">
              <w:rPr>
                <w:rFonts w:eastAsiaTheme="minorEastAsia"/>
                <w:bCs/>
                <w:snapToGrid w:val="0"/>
                <w:kern w:val="0"/>
              </w:rPr>
              <w:t>亩</w:t>
            </w:r>
            <w:r w:rsidR="00291DFE" w:rsidRPr="00FC1444">
              <w:rPr>
                <w:rFonts w:eastAsiaTheme="minorEastAsia"/>
                <w:bCs/>
                <w:snapToGrid w:val="0"/>
                <w:kern w:val="0"/>
              </w:rPr>
              <w:t>。水源为</w:t>
            </w:r>
            <w:r w:rsidR="00291DFE" w:rsidRPr="00FC1444">
              <w:rPr>
                <w:rFonts w:eastAsiaTheme="minorEastAsia"/>
                <w:bCs/>
                <w:snapToGrid w:val="0"/>
                <w:kern w:val="0"/>
              </w:rPr>
              <w:t>70</w:t>
            </w:r>
            <w:r w:rsidR="00291DFE" w:rsidRPr="00FC1444">
              <w:rPr>
                <w:rFonts w:eastAsiaTheme="minorEastAsia"/>
                <w:bCs/>
                <w:snapToGrid w:val="0"/>
                <w:kern w:val="0"/>
              </w:rPr>
              <w:t>口滴灌井。滴灌带铺设在垄上两行玉米正中间。采用滴灌带滴头流量为</w:t>
            </w:r>
            <w:r w:rsidR="00291DFE" w:rsidRPr="00FC1444">
              <w:rPr>
                <w:rFonts w:eastAsiaTheme="minorEastAsia"/>
                <w:bCs/>
                <w:snapToGrid w:val="0"/>
                <w:kern w:val="0"/>
              </w:rPr>
              <w:t>0.8L/h</w:t>
            </w:r>
            <w:r w:rsidR="00291DFE" w:rsidRPr="00FC1444">
              <w:rPr>
                <w:rFonts w:eastAsiaTheme="minorEastAsia"/>
                <w:bCs/>
                <w:snapToGrid w:val="0"/>
                <w:kern w:val="0"/>
              </w:rPr>
              <w:t>，滴头间距为</w:t>
            </w:r>
            <w:r w:rsidR="00291DFE" w:rsidRPr="00FC1444">
              <w:rPr>
                <w:rFonts w:eastAsiaTheme="minorEastAsia"/>
                <w:bCs/>
                <w:snapToGrid w:val="0"/>
                <w:kern w:val="0"/>
              </w:rPr>
              <w:t>30cm</w:t>
            </w:r>
            <w:r w:rsidR="00291DFE" w:rsidRPr="00FC1444">
              <w:rPr>
                <w:rFonts w:eastAsiaTheme="minorEastAsia"/>
                <w:bCs/>
                <w:snapToGrid w:val="0"/>
                <w:kern w:val="0"/>
              </w:rPr>
              <w:t>。建设水肥一体化系统</w:t>
            </w:r>
            <w:r w:rsidR="00291DFE" w:rsidRPr="00FC1444">
              <w:rPr>
                <w:rFonts w:eastAsiaTheme="minorEastAsia"/>
                <w:bCs/>
                <w:snapToGrid w:val="0"/>
                <w:kern w:val="0"/>
              </w:rPr>
              <w:t>70</w:t>
            </w:r>
            <w:r w:rsidR="00291DFE" w:rsidRPr="00FC1444">
              <w:rPr>
                <w:rFonts w:eastAsiaTheme="minorEastAsia"/>
                <w:bCs/>
                <w:snapToGrid w:val="0"/>
                <w:kern w:val="0"/>
              </w:rPr>
              <w:t>套。系统首部应用潜水泵加压，经过灌溉集成首部输送到田间作物根系。系统首部安装有压力表、排气阀等仪器和设备。施肥系统通过施肥机进行加压，每个系统配备</w:t>
            </w:r>
            <w:r w:rsidR="00291DFE" w:rsidRPr="00FC1444">
              <w:rPr>
                <w:rFonts w:eastAsiaTheme="minorEastAsia"/>
                <w:bCs/>
                <w:snapToGrid w:val="0"/>
                <w:kern w:val="0"/>
              </w:rPr>
              <w:t>1</w:t>
            </w:r>
            <w:r w:rsidR="00291DFE" w:rsidRPr="00FC1444">
              <w:rPr>
                <w:rFonts w:eastAsiaTheme="minorEastAsia"/>
                <w:bCs/>
                <w:snapToGrid w:val="0"/>
                <w:kern w:val="0"/>
              </w:rPr>
              <w:t>个方肥料桶。各地块肥料通过定量的方式进行控制，以此实现施肥系统的管理。肥料采用商品有机肥，符合《有机肥标准》（</w:t>
            </w:r>
            <w:r w:rsidR="00291DFE" w:rsidRPr="00FC1444">
              <w:rPr>
                <w:rFonts w:eastAsiaTheme="minorEastAsia"/>
                <w:bCs/>
                <w:snapToGrid w:val="0"/>
                <w:kern w:val="0"/>
              </w:rPr>
              <w:t>NY525-2021</w:t>
            </w:r>
            <w:r w:rsidR="00291DFE" w:rsidRPr="00FC1444">
              <w:rPr>
                <w:rFonts w:eastAsiaTheme="minorEastAsia"/>
                <w:bCs/>
                <w:snapToGrid w:val="0"/>
                <w:kern w:val="0"/>
              </w:rPr>
              <w:t>）标准，不产生异味</w:t>
            </w:r>
          </w:p>
        </w:tc>
        <w:tc>
          <w:tcPr>
            <w:tcW w:w="694" w:type="pct"/>
            <w:vMerge/>
            <w:vAlign w:val="center"/>
          </w:tcPr>
          <w:p w:rsidR="00291DFE" w:rsidRPr="00FC1444" w:rsidRDefault="00291DFE">
            <w:pPr>
              <w:pStyle w:val="aff7"/>
              <w:spacing w:line="0" w:lineRule="atLeast"/>
              <w:contextualSpacing/>
              <w:rPr>
                <w:rFonts w:eastAsiaTheme="minorEastAsia" w:hAnsi="Times New Roman"/>
              </w:rPr>
            </w:pPr>
          </w:p>
        </w:tc>
      </w:tr>
      <w:tr w:rsidR="00291DFE" w:rsidRPr="00FC1444" w:rsidTr="00AB10DD">
        <w:trPr>
          <w:trHeight w:val="528"/>
          <w:jc w:val="center"/>
        </w:trPr>
        <w:tc>
          <w:tcPr>
            <w:tcW w:w="395" w:type="pct"/>
            <w:vMerge/>
            <w:vAlign w:val="center"/>
          </w:tcPr>
          <w:p w:rsidR="00291DFE" w:rsidRPr="00FC1444" w:rsidRDefault="00291DFE">
            <w:pPr>
              <w:pStyle w:val="aff7"/>
              <w:spacing w:line="0" w:lineRule="atLeast"/>
              <w:contextualSpacing/>
              <w:rPr>
                <w:rFonts w:eastAsiaTheme="minorEastAsia" w:hAnsi="Times New Roman"/>
              </w:rPr>
            </w:pPr>
          </w:p>
        </w:tc>
        <w:tc>
          <w:tcPr>
            <w:tcW w:w="500" w:type="pct"/>
            <w:vAlign w:val="center"/>
          </w:tcPr>
          <w:p w:rsidR="00291DFE" w:rsidRPr="00FC1444" w:rsidRDefault="00291DFE">
            <w:pPr>
              <w:jc w:val="center"/>
              <w:rPr>
                <w:rFonts w:eastAsiaTheme="minorEastAsia"/>
                <w:szCs w:val="21"/>
              </w:rPr>
            </w:pPr>
            <w:r w:rsidRPr="00FC1444">
              <w:rPr>
                <w:rFonts w:eastAsiaTheme="minorEastAsia"/>
                <w:szCs w:val="21"/>
              </w:rPr>
              <w:t>建筑物工程</w:t>
            </w:r>
          </w:p>
        </w:tc>
        <w:tc>
          <w:tcPr>
            <w:tcW w:w="3411" w:type="pct"/>
            <w:vAlign w:val="center"/>
          </w:tcPr>
          <w:p w:rsidR="00291DFE" w:rsidRPr="00FC1444" w:rsidRDefault="00291DFE" w:rsidP="000037AB">
            <w:pPr>
              <w:pStyle w:val="2fc"/>
              <w:jc w:val="left"/>
              <w:rPr>
                <w:rFonts w:eastAsiaTheme="minorEastAsia"/>
                <w:snapToGrid w:val="0"/>
                <w:kern w:val="0"/>
              </w:rPr>
            </w:pPr>
            <w:r w:rsidRPr="00FC1444">
              <w:rPr>
                <w:rFonts w:eastAsiaTheme="minorEastAsia"/>
                <w:bCs/>
                <w:snapToGrid w:val="0"/>
                <w:kern w:val="0"/>
              </w:rPr>
              <w:t>新建建筑物</w:t>
            </w:r>
            <w:r w:rsidRPr="00FC1444">
              <w:rPr>
                <w:rFonts w:eastAsiaTheme="minorEastAsia"/>
                <w:bCs/>
                <w:snapToGrid w:val="0"/>
                <w:kern w:val="0"/>
              </w:rPr>
              <w:t>1450</w:t>
            </w:r>
            <w:r w:rsidRPr="00FC1444">
              <w:rPr>
                <w:rFonts w:eastAsiaTheme="minorEastAsia"/>
                <w:bCs/>
                <w:snapToGrid w:val="0"/>
                <w:kern w:val="0"/>
              </w:rPr>
              <w:t>座，其中：涵洞</w:t>
            </w:r>
            <w:r w:rsidRPr="00FC1444">
              <w:rPr>
                <w:rFonts w:eastAsiaTheme="minorEastAsia"/>
                <w:bCs/>
                <w:snapToGrid w:val="0"/>
                <w:kern w:val="0"/>
              </w:rPr>
              <w:t>707</w:t>
            </w:r>
            <w:r w:rsidRPr="00FC1444">
              <w:rPr>
                <w:rFonts w:eastAsiaTheme="minorEastAsia"/>
                <w:bCs/>
                <w:snapToGrid w:val="0"/>
                <w:kern w:val="0"/>
              </w:rPr>
              <w:t>座</w:t>
            </w:r>
            <w:r w:rsidRPr="00FC1444">
              <w:rPr>
                <w:rFonts w:eastAsiaTheme="minorEastAsia"/>
                <w:snapToGrid w:val="0"/>
                <w:kern w:val="0"/>
              </w:rPr>
              <w:t>（其中</w:t>
            </w:r>
            <w:r w:rsidRPr="00FC1444">
              <w:rPr>
                <w:rFonts w:eastAsiaTheme="minorEastAsia"/>
                <w:snapToGrid w:val="0"/>
                <w:kern w:val="0"/>
              </w:rPr>
              <w:t>10</w:t>
            </w:r>
            <w:r w:rsidRPr="00FC1444">
              <w:rPr>
                <w:rFonts w:eastAsiaTheme="minorEastAsia"/>
                <w:snapToGrid w:val="0"/>
                <w:kern w:val="0"/>
              </w:rPr>
              <w:t>座现有涵洞拆除重建）</w:t>
            </w:r>
            <w:r w:rsidRPr="00FC1444">
              <w:rPr>
                <w:rFonts w:eastAsiaTheme="minorEastAsia"/>
                <w:bCs/>
                <w:snapToGrid w:val="0"/>
                <w:kern w:val="0"/>
              </w:rPr>
              <w:t>，过水路面</w:t>
            </w:r>
            <w:r w:rsidRPr="00FC1444">
              <w:rPr>
                <w:rFonts w:eastAsiaTheme="minorEastAsia"/>
                <w:bCs/>
                <w:snapToGrid w:val="0"/>
                <w:kern w:val="0"/>
              </w:rPr>
              <w:t>742</w:t>
            </w:r>
            <w:r w:rsidRPr="00FC1444">
              <w:rPr>
                <w:rFonts w:eastAsiaTheme="minorEastAsia"/>
                <w:bCs/>
                <w:snapToGrid w:val="0"/>
                <w:kern w:val="0"/>
              </w:rPr>
              <w:t>座，渡槽</w:t>
            </w:r>
            <w:r w:rsidRPr="00FC1444">
              <w:rPr>
                <w:rFonts w:eastAsiaTheme="minorEastAsia"/>
                <w:bCs/>
                <w:snapToGrid w:val="0"/>
                <w:kern w:val="0"/>
              </w:rPr>
              <w:t>1</w:t>
            </w:r>
            <w:r w:rsidRPr="00FC1444">
              <w:rPr>
                <w:rFonts w:eastAsiaTheme="minorEastAsia"/>
                <w:bCs/>
                <w:snapToGrid w:val="0"/>
                <w:kern w:val="0"/>
              </w:rPr>
              <w:t>座</w:t>
            </w:r>
          </w:p>
        </w:tc>
        <w:tc>
          <w:tcPr>
            <w:tcW w:w="694" w:type="pct"/>
            <w:vAlign w:val="center"/>
          </w:tcPr>
          <w:p w:rsidR="00291DFE" w:rsidRPr="00FC1444" w:rsidRDefault="00291DFE" w:rsidP="00730492">
            <w:pPr>
              <w:pStyle w:val="aff7"/>
              <w:spacing w:line="0" w:lineRule="atLeast"/>
              <w:contextualSpacing/>
              <w:rPr>
                <w:rFonts w:eastAsiaTheme="minorEastAsia" w:hAnsi="Times New Roman"/>
                <w:snapToGrid w:val="0"/>
                <w:kern w:val="0"/>
              </w:rPr>
            </w:pPr>
            <w:r w:rsidRPr="00FC1444">
              <w:rPr>
                <w:rFonts w:eastAsiaTheme="minorEastAsia" w:hAnsi="Times New Roman"/>
                <w:snapToGrid w:val="0"/>
                <w:kern w:val="0"/>
              </w:rPr>
              <w:t>部分拆除重建；</w:t>
            </w:r>
            <w:r w:rsidRPr="00FC1444">
              <w:rPr>
                <w:rFonts w:eastAsiaTheme="minorEastAsia" w:hAnsi="Times New Roman"/>
              </w:rPr>
              <w:t>其余</w:t>
            </w:r>
            <w:r w:rsidRPr="00FC1444">
              <w:rPr>
                <w:rFonts w:eastAsiaTheme="minorEastAsia" w:hAnsi="Times New Roman"/>
                <w:snapToGrid w:val="0"/>
                <w:kern w:val="0"/>
              </w:rPr>
              <w:t>新建</w:t>
            </w:r>
          </w:p>
        </w:tc>
      </w:tr>
      <w:tr w:rsidR="00291DFE" w:rsidRPr="00FC1444" w:rsidTr="00AB10DD">
        <w:trPr>
          <w:trHeight w:val="528"/>
          <w:jc w:val="center"/>
        </w:trPr>
        <w:tc>
          <w:tcPr>
            <w:tcW w:w="395" w:type="pct"/>
            <w:vMerge/>
            <w:vAlign w:val="center"/>
          </w:tcPr>
          <w:p w:rsidR="00291DFE" w:rsidRPr="00FC1444" w:rsidRDefault="00291DFE">
            <w:pPr>
              <w:pStyle w:val="aff7"/>
              <w:spacing w:line="0" w:lineRule="atLeast"/>
              <w:contextualSpacing/>
              <w:rPr>
                <w:rFonts w:eastAsiaTheme="minorEastAsia" w:hAnsi="Times New Roman"/>
              </w:rPr>
            </w:pPr>
          </w:p>
        </w:tc>
        <w:tc>
          <w:tcPr>
            <w:tcW w:w="500" w:type="pct"/>
            <w:vAlign w:val="center"/>
          </w:tcPr>
          <w:p w:rsidR="00291DFE" w:rsidRPr="00FC1444" w:rsidRDefault="00291DFE">
            <w:pPr>
              <w:jc w:val="center"/>
              <w:rPr>
                <w:rFonts w:eastAsiaTheme="minorEastAsia"/>
                <w:szCs w:val="21"/>
              </w:rPr>
            </w:pPr>
            <w:r w:rsidRPr="00FC1444">
              <w:rPr>
                <w:rFonts w:eastAsiaTheme="minorEastAsia"/>
                <w:szCs w:val="21"/>
              </w:rPr>
              <w:t>排水工程</w:t>
            </w:r>
          </w:p>
        </w:tc>
        <w:tc>
          <w:tcPr>
            <w:tcW w:w="3411" w:type="pct"/>
            <w:vAlign w:val="center"/>
          </w:tcPr>
          <w:p w:rsidR="00291DFE" w:rsidRPr="00FC1444" w:rsidRDefault="00291DFE" w:rsidP="00730492">
            <w:pPr>
              <w:pStyle w:val="2fc"/>
              <w:jc w:val="left"/>
              <w:rPr>
                <w:rFonts w:eastAsiaTheme="minorEastAsia"/>
                <w:snapToGrid w:val="0"/>
                <w:kern w:val="0"/>
              </w:rPr>
            </w:pPr>
            <w:r w:rsidRPr="00FC1444">
              <w:rPr>
                <w:rFonts w:eastAsiaTheme="minorEastAsia"/>
                <w:snapToGrid w:val="0"/>
                <w:kern w:val="0"/>
              </w:rPr>
              <w:t>排水沟（农沟）清淤长度</w:t>
            </w:r>
            <w:r w:rsidR="009A7624" w:rsidRPr="00FC1444">
              <w:rPr>
                <w:rFonts w:eastAsiaTheme="minorEastAsia"/>
                <w:snapToGrid w:val="0"/>
                <w:kern w:val="0"/>
              </w:rPr>
              <w:t>40.638km</w:t>
            </w:r>
            <w:r w:rsidRPr="00FC1444">
              <w:rPr>
                <w:rFonts w:eastAsiaTheme="minorEastAsia"/>
                <w:snapToGrid w:val="0"/>
                <w:kern w:val="0"/>
              </w:rPr>
              <w:t>；清淤采用挖掘机和人工结合的方式进行，清淤深度约为</w:t>
            </w:r>
            <w:r w:rsidRPr="00FC1444">
              <w:rPr>
                <w:rFonts w:eastAsiaTheme="minorEastAsia"/>
                <w:snapToGrid w:val="0"/>
                <w:kern w:val="0"/>
              </w:rPr>
              <w:t>18cm</w:t>
            </w:r>
            <w:r w:rsidRPr="00FC1444">
              <w:rPr>
                <w:rFonts w:eastAsiaTheme="minorEastAsia"/>
                <w:snapToGrid w:val="0"/>
                <w:kern w:val="0"/>
              </w:rPr>
              <w:t>，宽度约为</w:t>
            </w:r>
            <w:r w:rsidRPr="00FC1444">
              <w:rPr>
                <w:rFonts w:eastAsiaTheme="minorEastAsia"/>
                <w:snapToGrid w:val="0"/>
                <w:kern w:val="0"/>
              </w:rPr>
              <w:t>1m</w:t>
            </w:r>
            <w:r w:rsidRPr="00FC1444">
              <w:rPr>
                <w:rFonts w:eastAsiaTheme="minorEastAsia"/>
                <w:snapToGrid w:val="0"/>
                <w:kern w:val="0"/>
              </w:rPr>
              <w:t>，总清淤量</w:t>
            </w:r>
            <w:r w:rsidR="00F10409" w:rsidRPr="00FC1444">
              <w:rPr>
                <w:rFonts w:eastAsiaTheme="minorEastAsia" w:hint="eastAsia"/>
                <w:snapToGrid w:val="0"/>
                <w:kern w:val="0"/>
              </w:rPr>
              <w:t>3</w:t>
            </w:r>
            <w:r w:rsidRPr="00FC1444">
              <w:rPr>
                <w:rFonts w:eastAsiaTheme="minorEastAsia"/>
                <w:snapToGrid w:val="0"/>
                <w:kern w:val="0"/>
              </w:rPr>
              <w:t>550m</w:t>
            </w:r>
            <w:r w:rsidRPr="00FC1444">
              <w:rPr>
                <w:rFonts w:eastAsiaTheme="minorEastAsia"/>
                <w:snapToGrid w:val="0"/>
                <w:kern w:val="0"/>
                <w:vertAlign w:val="superscript"/>
              </w:rPr>
              <w:t>3</w:t>
            </w:r>
            <w:r w:rsidRPr="00FC1444">
              <w:rPr>
                <w:rFonts w:eastAsiaTheme="minorEastAsia"/>
                <w:snapToGrid w:val="0"/>
                <w:kern w:val="0"/>
              </w:rPr>
              <w:t>，</w:t>
            </w:r>
            <w:r w:rsidRPr="00FC1444">
              <w:rPr>
                <w:rFonts w:eastAsiaTheme="minorEastAsia"/>
                <w:bCs/>
              </w:rPr>
              <w:t>排水沟淤泥培至工程附近</w:t>
            </w:r>
            <w:r w:rsidRPr="00FC1444">
              <w:rPr>
                <w:rFonts w:eastAsiaTheme="minorEastAsia"/>
                <w:bCs/>
              </w:rPr>
              <w:t>200</w:t>
            </w:r>
            <w:r w:rsidRPr="00FC1444">
              <w:rPr>
                <w:rFonts w:eastAsiaTheme="minorEastAsia"/>
                <w:bCs/>
              </w:rPr>
              <w:t>米范围内无环境保护目标的排水沟两侧</w:t>
            </w:r>
            <w:r w:rsidRPr="00FC1444">
              <w:rPr>
                <w:rFonts w:eastAsiaTheme="minorEastAsia"/>
                <w:snapToGrid w:val="0"/>
                <w:kern w:val="0"/>
              </w:rPr>
              <w:t>；排水沟格宾石笼护砌</w:t>
            </w:r>
            <w:r w:rsidRPr="00FC1444">
              <w:rPr>
                <w:bCs/>
              </w:rPr>
              <w:t>78.697</w:t>
            </w:r>
            <w:r w:rsidRPr="00FC1444">
              <w:rPr>
                <w:rFonts w:eastAsiaTheme="minorEastAsia"/>
                <w:snapToGrid w:val="0"/>
                <w:kern w:val="0"/>
              </w:rPr>
              <w:t>km</w:t>
            </w:r>
            <w:r w:rsidRPr="00FC1444">
              <w:rPr>
                <w:rFonts w:eastAsiaTheme="minorEastAsia"/>
                <w:snapToGrid w:val="0"/>
                <w:kern w:val="0"/>
              </w:rPr>
              <w:t>；设置移动泵车</w:t>
            </w:r>
            <w:r w:rsidR="007D6514" w:rsidRPr="00FC1444">
              <w:rPr>
                <w:rFonts w:eastAsiaTheme="minorEastAsia"/>
                <w:snapToGrid w:val="0"/>
                <w:kern w:val="0"/>
              </w:rPr>
              <w:t>15</w:t>
            </w:r>
            <w:r w:rsidR="007D6514" w:rsidRPr="00FC1444">
              <w:rPr>
                <w:rFonts w:eastAsiaTheme="minorEastAsia"/>
                <w:snapToGrid w:val="0"/>
                <w:kern w:val="0"/>
              </w:rPr>
              <w:t>台</w:t>
            </w:r>
            <w:r w:rsidRPr="00FC1444">
              <w:rPr>
                <w:rFonts w:eastAsiaTheme="minorEastAsia"/>
                <w:snapToGrid w:val="0"/>
                <w:kern w:val="0"/>
              </w:rPr>
              <w:t>，流量为</w:t>
            </w:r>
            <w:r w:rsidRPr="00FC1444">
              <w:rPr>
                <w:rFonts w:eastAsiaTheme="minorEastAsia"/>
                <w:snapToGrid w:val="0"/>
                <w:kern w:val="0"/>
              </w:rPr>
              <w:t>600m³/h</w:t>
            </w:r>
          </w:p>
        </w:tc>
        <w:tc>
          <w:tcPr>
            <w:tcW w:w="694" w:type="pct"/>
            <w:vAlign w:val="center"/>
          </w:tcPr>
          <w:p w:rsidR="00291DFE" w:rsidRPr="00FC1444" w:rsidRDefault="00291DFE">
            <w:pPr>
              <w:pStyle w:val="aff7"/>
              <w:spacing w:line="0" w:lineRule="atLeast"/>
              <w:contextualSpacing/>
              <w:rPr>
                <w:rFonts w:eastAsiaTheme="minorEastAsia" w:hAnsi="Times New Roman"/>
              </w:rPr>
            </w:pPr>
            <w:r w:rsidRPr="00FC1444">
              <w:rPr>
                <w:rFonts w:eastAsiaTheme="minorEastAsia" w:hAnsi="Times New Roman"/>
              </w:rPr>
              <w:t>对现有</w:t>
            </w:r>
            <w:r w:rsidRPr="00FC1444">
              <w:rPr>
                <w:rFonts w:eastAsiaTheme="minorEastAsia" w:hAnsi="Times New Roman"/>
                <w:snapToGrid w:val="0"/>
                <w:kern w:val="0"/>
              </w:rPr>
              <w:t>排水沟清淤、护砌</w:t>
            </w:r>
          </w:p>
        </w:tc>
      </w:tr>
      <w:tr w:rsidR="00291DFE" w:rsidRPr="00FC1444" w:rsidTr="00AB10DD">
        <w:trPr>
          <w:trHeight w:val="528"/>
          <w:jc w:val="center"/>
        </w:trPr>
        <w:tc>
          <w:tcPr>
            <w:tcW w:w="395" w:type="pct"/>
            <w:vMerge/>
            <w:vAlign w:val="center"/>
          </w:tcPr>
          <w:p w:rsidR="00291DFE" w:rsidRPr="00FC1444" w:rsidRDefault="00291DFE" w:rsidP="004031CB">
            <w:pPr>
              <w:pStyle w:val="aff7"/>
              <w:spacing w:line="0" w:lineRule="atLeast"/>
              <w:contextualSpacing/>
              <w:rPr>
                <w:rFonts w:eastAsiaTheme="minorEastAsia" w:hAnsi="Times New Roman"/>
              </w:rPr>
            </w:pPr>
          </w:p>
        </w:tc>
        <w:tc>
          <w:tcPr>
            <w:tcW w:w="500" w:type="pct"/>
            <w:vAlign w:val="center"/>
          </w:tcPr>
          <w:p w:rsidR="00291DFE" w:rsidRPr="00FC1444" w:rsidRDefault="00291DFE">
            <w:pPr>
              <w:widowControl/>
              <w:jc w:val="center"/>
              <w:rPr>
                <w:rFonts w:eastAsiaTheme="minorEastAsia"/>
                <w:bCs/>
                <w:kern w:val="0"/>
                <w:szCs w:val="21"/>
              </w:rPr>
            </w:pPr>
            <w:r w:rsidRPr="00FC1444">
              <w:rPr>
                <w:rFonts w:eastAsiaTheme="minorEastAsia"/>
                <w:kern w:val="0"/>
                <w:szCs w:val="21"/>
              </w:rPr>
              <w:t>田间道路工程</w:t>
            </w:r>
          </w:p>
        </w:tc>
        <w:tc>
          <w:tcPr>
            <w:tcW w:w="3411" w:type="pct"/>
            <w:vAlign w:val="center"/>
          </w:tcPr>
          <w:p w:rsidR="00291DFE" w:rsidRPr="00FC1444" w:rsidRDefault="00291DFE" w:rsidP="00DF6D38">
            <w:pPr>
              <w:jc w:val="left"/>
              <w:rPr>
                <w:rFonts w:eastAsiaTheme="minorEastAsia"/>
                <w:snapToGrid w:val="0"/>
                <w:kern w:val="0"/>
                <w:szCs w:val="21"/>
              </w:rPr>
            </w:pPr>
            <w:r w:rsidRPr="00FC1444">
              <w:rPr>
                <w:rFonts w:eastAsiaTheme="minorEastAsia"/>
                <w:snapToGrid w:val="0"/>
                <w:kern w:val="0"/>
                <w:szCs w:val="21"/>
              </w:rPr>
              <w:t>现有田间道路均为土路；本项目修缮</w:t>
            </w:r>
            <w:r w:rsidRPr="00FC1444">
              <w:rPr>
                <w:rFonts w:eastAsiaTheme="minorEastAsia"/>
              </w:rPr>
              <w:t>现有</w:t>
            </w:r>
            <w:r w:rsidRPr="00FC1444">
              <w:rPr>
                <w:rFonts w:eastAsiaTheme="minorEastAsia"/>
                <w:snapToGrid w:val="0"/>
                <w:kern w:val="0"/>
                <w:szCs w:val="21"/>
              </w:rPr>
              <w:t>田间道路</w:t>
            </w:r>
            <w:r w:rsidRPr="00FC1444">
              <w:rPr>
                <w:rFonts w:eastAsiaTheme="minorEastAsia"/>
                <w:snapToGrid w:val="0"/>
                <w:kern w:val="0"/>
                <w:szCs w:val="21"/>
              </w:rPr>
              <w:t>792</w:t>
            </w:r>
            <w:r w:rsidRPr="00FC1444">
              <w:rPr>
                <w:rFonts w:eastAsiaTheme="minorEastAsia"/>
                <w:snapToGrid w:val="0"/>
                <w:kern w:val="0"/>
                <w:szCs w:val="21"/>
              </w:rPr>
              <w:t>条，</w:t>
            </w:r>
            <w:r w:rsidRPr="00FC1444">
              <w:rPr>
                <w:rFonts w:eastAsiaTheme="minorEastAsia"/>
              </w:rPr>
              <w:t>不拓宽，不新开垦道路</w:t>
            </w:r>
            <w:r w:rsidRPr="00FC1444">
              <w:rPr>
                <w:rFonts w:eastAsiaTheme="minorEastAsia"/>
                <w:snapToGrid w:val="0"/>
                <w:kern w:val="0"/>
                <w:szCs w:val="21"/>
              </w:rPr>
              <w:t>，其中：机耕路（土路改为水泥混凝土路）</w:t>
            </w:r>
            <w:r w:rsidRPr="00FC1444">
              <w:rPr>
                <w:rFonts w:eastAsiaTheme="minorEastAsia"/>
                <w:bCs/>
                <w:snapToGrid w:val="0"/>
                <w:kern w:val="0"/>
                <w:szCs w:val="21"/>
              </w:rPr>
              <w:t>157</w:t>
            </w:r>
            <w:r w:rsidRPr="00FC1444">
              <w:rPr>
                <w:rFonts w:eastAsiaTheme="minorEastAsia"/>
                <w:bCs/>
                <w:snapToGrid w:val="0"/>
                <w:kern w:val="0"/>
                <w:szCs w:val="21"/>
              </w:rPr>
              <w:t>条，共</w:t>
            </w:r>
            <w:r w:rsidRPr="00FC1444">
              <w:rPr>
                <w:rFonts w:eastAsiaTheme="minorEastAsia"/>
                <w:bCs/>
                <w:snapToGrid w:val="0"/>
                <w:kern w:val="0"/>
                <w:szCs w:val="21"/>
              </w:rPr>
              <w:t>129.289km</w:t>
            </w:r>
            <w:r w:rsidRPr="00FC1444">
              <w:rPr>
                <w:rFonts w:eastAsiaTheme="minorEastAsia"/>
                <w:kern w:val="0"/>
                <w:szCs w:val="21"/>
              </w:rPr>
              <w:t>，路面宽</w:t>
            </w:r>
            <w:r w:rsidRPr="00FC1444">
              <w:rPr>
                <w:rFonts w:eastAsiaTheme="minorEastAsia"/>
                <w:kern w:val="0"/>
                <w:szCs w:val="21"/>
              </w:rPr>
              <w:t>4m</w:t>
            </w:r>
            <w:r w:rsidRPr="00FC1444">
              <w:rPr>
                <w:rFonts w:eastAsiaTheme="minorEastAsia"/>
                <w:kern w:val="0"/>
                <w:szCs w:val="21"/>
              </w:rPr>
              <w:t>、</w:t>
            </w:r>
            <w:r w:rsidRPr="00FC1444">
              <w:rPr>
                <w:rFonts w:eastAsiaTheme="minorEastAsia"/>
                <w:kern w:val="0"/>
                <w:szCs w:val="21"/>
              </w:rPr>
              <w:t>4.5m</w:t>
            </w:r>
            <w:r w:rsidRPr="00FC1444">
              <w:rPr>
                <w:rFonts w:eastAsiaTheme="minorEastAsia"/>
                <w:snapToGrid w:val="0"/>
                <w:kern w:val="0"/>
                <w:szCs w:val="21"/>
              </w:rPr>
              <w:t>，生产路（土路改为砂石路）</w:t>
            </w:r>
            <w:r w:rsidRPr="00FC1444">
              <w:rPr>
                <w:rFonts w:eastAsiaTheme="minorEastAsia"/>
                <w:bCs/>
                <w:snapToGrid w:val="0"/>
                <w:kern w:val="0"/>
                <w:szCs w:val="21"/>
              </w:rPr>
              <w:t>635</w:t>
            </w:r>
            <w:r w:rsidRPr="00FC1444">
              <w:rPr>
                <w:rFonts w:eastAsiaTheme="minorEastAsia"/>
                <w:bCs/>
                <w:snapToGrid w:val="0"/>
                <w:kern w:val="0"/>
                <w:szCs w:val="21"/>
              </w:rPr>
              <w:t>条，共</w:t>
            </w:r>
            <w:r w:rsidRPr="00FC1444">
              <w:rPr>
                <w:rFonts w:eastAsiaTheme="minorEastAsia"/>
                <w:bCs/>
                <w:snapToGrid w:val="0"/>
                <w:kern w:val="0"/>
                <w:szCs w:val="21"/>
              </w:rPr>
              <w:t>408.223km</w:t>
            </w:r>
            <w:r w:rsidRPr="00FC1444">
              <w:rPr>
                <w:rFonts w:eastAsiaTheme="minorEastAsia"/>
                <w:snapToGrid w:val="0"/>
                <w:kern w:val="0"/>
                <w:szCs w:val="21"/>
              </w:rPr>
              <w:t>，</w:t>
            </w:r>
            <w:r w:rsidRPr="00FC1444">
              <w:rPr>
                <w:rFonts w:eastAsiaTheme="minorEastAsia"/>
                <w:kern w:val="0"/>
                <w:szCs w:val="21"/>
              </w:rPr>
              <w:t>路面宽</w:t>
            </w:r>
            <w:r w:rsidRPr="00FC1444">
              <w:rPr>
                <w:rFonts w:eastAsiaTheme="minorEastAsia"/>
                <w:kern w:val="0"/>
                <w:szCs w:val="21"/>
              </w:rPr>
              <w:t>3m</w:t>
            </w:r>
            <w:r w:rsidRPr="00FC1444">
              <w:rPr>
                <w:rFonts w:eastAsiaTheme="minorEastAsia"/>
                <w:kern w:val="0"/>
                <w:szCs w:val="21"/>
              </w:rPr>
              <w:t>、</w:t>
            </w:r>
            <w:r w:rsidRPr="00FC1444">
              <w:rPr>
                <w:rFonts w:eastAsiaTheme="minorEastAsia"/>
                <w:kern w:val="0"/>
                <w:szCs w:val="21"/>
              </w:rPr>
              <w:t>3.5m</w:t>
            </w:r>
          </w:p>
        </w:tc>
        <w:tc>
          <w:tcPr>
            <w:tcW w:w="694" w:type="pct"/>
            <w:vAlign w:val="center"/>
          </w:tcPr>
          <w:p w:rsidR="00291DFE" w:rsidRPr="00FC1444" w:rsidRDefault="00291DFE">
            <w:pPr>
              <w:pStyle w:val="aff7"/>
              <w:spacing w:line="0" w:lineRule="atLeast"/>
              <w:contextualSpacing/>
              <w:rPr>
                <w:rFonts w:eastAsiaTheme="minorEastAsia" w:hAnsi="Times New Roman"/>
              </w:rPr>
            </w:pPr>
            <w:r w:rsidRPr="00FC1444">
              <w:rPr>
                <w:rFonts w:eastAsiaTheme="minorEastAsia" w:hAnsi="Times New Roman"/>
              </w:rPr>
              <w:t>修缮现有道路</w:t>
            </w:r>
          </w:p>
        </w:tc>
      </w:tr>
      <w:tr w:rsidR="00291DFE" w:rsidRPr="00FC1444" w:rsidTr="00AB10DD">
        <w:trPr>
          <w:trHeight w:val="528"/>
          <w:jc w:val="center"/>
        </w:trPr>
        <w:tc>
          <w:tcPr>
            <w:tcW w:w="395" w:type="pct"/>
            <w:vMerge/>
            <w:vAlign w:val="center"/>
          </w:tcPr>
          <w:p w:rsidR="00291DFE" w:rsidRPr="00FC1444" w:rsidRDefault="00291DFE" w:rsidP="004031CB">
            <w:pPr>
              <w:pStyle w:val="aff7"/>
              <w:spacing w:line="0" w:lineRule="atLeast"/>
              <w:contextualSpacing/>
              <w:rPr>
                <w:rFonts w:eastAsiaTheme="minorEastAsia" w:hAnsi="Times New Roman"/>
              </w:rPr>
            </w:pPr>
          </w:p>
        </w:tc>
        <w:tc>
          <w:tcPr>
            <w:tcW w:w="500" w:type="pct"/>
            <w:vAlign w:val="center"/>
          </w:tcPr>
          <w:p w:rsidR="00291DFE" w:rsidRPr="00FC1444" w:rsidRDefault="00291DFE">
            <w:pPr>
              <w:widowControl/>
              <w:jc w:val="center"/>
              <w:rPr>
                <w:rFonts w:eastAsiaTheme="minorEastAsia"/>
                <w:bCs/>
                <w:kern w:val="0"/>
                <w:szCs w:val="21"/>
              </w:rPr>
            </w:pPr>
            <w:r w:rsidRPr="00FC1444">
              <w:rPr>
                <w:rFonts w:eastAsiaTheme="minorEastAsia"/>
                <w:bCs/>
                <w:kern w:val="0"/>
                <w:szCs w:val="21"/>
              </w:rPr>
              <w:t>农田输配电工程</w:t>
            </w:r>
          </w:p>
        </w:tc>
        <w:tc>
          <w:tcPr>
            <w:tcW w:w="3411" w:type="pct"/>
            <w:vAlign w:val="center"/>
          </w:tcPr>
          <w:p w:rsidR="00291DFE" w:rsidRPr="00FC1444" w:rsidRDefault="00141045" w:rsidP="008B2E12">
            <w:pPr>
              <w:pStyle w:val="15"/>
              <w:autoSpaceDE w:val="0"/>
              <w:autoSpaceDN w:val="0"/>
              <w:jc w:val="left"/>
              <w:rPr>
                <w:b w:val="0"/>
                <w:bCs w:val="0"/>
                <w:kern w:val="0"/>
                <w:sz w:val="21"/>
                <w:szCs w:val="21"/>
              </w:rPr>
            </w:pPr>
            <w:r w:rsidRPr="00FC1444">
              <w:rPr>
                <w:b w:val="0"/>
                <w:bCs w:val="0"/>
                <w:kern w:val="0"/>
                <w:sz w:val="21"/>
                <w:szCs w:val="21"/>
              </w:rPr>
              <w:t>新建</w:t>
            </w:r>
            <w:r w:rsidRPr="00FC1444">
              <w:rPr>
                <w:b w:val="0"/>
                <w:bCs w:val="0"/>
                <w:kern w:val="0"/>
                <w:sz w:val="21"/>
                <w:szCs w:val="21"/>
              </w:rPr>
              <w:t>10kV</w:t>
            </w:r>
            <w:r w:rsidRPr="00FC1444">
              <w:rPr>
                <w:b w:val="0"/>
                <w:bCs w:val="0"/>
                <w:kern w:val="0"/>
                <w:sz w:val="21"/>
                <w:szCs w:val="21"/>
              </w:rPr>
              <w:t>高压线路</w:t>
            </w:r>
            <w:r w:rsidRPr="00FC1444">
              <w:rPr>
                <w:b w:val="0"/>
                <w:bCs w:val="0"/>
                <w:kern w:val="0"/>
                <w:sz w:val="21"/>
                <w:szCs w:val="21"/>
              </w:rPr>
              <w:t>111.836km</w:t>
            </w:r>
            <w:r w:rsidRPr="00FC1444">
              <w:rPr>
                <w:b w:val="0"/>
                <w:bCs w:val="0"/>
                <w:kern w:val="0"/>
                <w:sz w:val="21"/>
                <w:szCs w:val="21"/>
              </w:rPr>
              <w:t>；新建</w:t>
            </w:r>
            <w:r w:rsidRPr="00FC1444">
              <w:rPr>
                <w:b w:val="0"/>
                <w:bCs w:val="0"/>
                <w:kern w:val="0"/>
                <w:sz w:val="21"/>
                <w:szCs w:val="21"/>
              </w:rPr>
              <w:t>0.4kV</w:t>
            </w:r>
            <w:r w:rsidRPr="00FC1444">
              <w:rPr>
                <w:b w:val="0"/>
                <w:bCs w:val="0"/>
                <w:kern w:val="0"/>
                <w:sz w:val="21"/>
                <w:szCs w:val="21"/>
              </w:rPr>
              <w:t>低压线路</w:t>
            </w:r>
            <w:r w:rsidRPr="00FC1444">
              <w:rPr>
                <w:b w:val="0"/>
                <w:bCs w:val="0"/>
                <w:kern w:val="0"/>
                <w:sz w:val="21"/>
                <w:szCs w:val="21"/>
              </w:rPr>
              <w:t>21.73km</w:t>
            </w:r>
            <w:r w:rsidR="00291DFE" w:rsidRPr="00FC1444">
              <w:rPr>
                <w:b w:val="0"/>
                <w:bCs w:val="0"/>
                <w:kern w:val="0"/>
                <w:sz w:val="21"/>
                <w:szCs w:val="21"/>
              </w:rPr>
              <w:t>。配套变压器</w:t>
            </w:r>
            <w:r w:rsidR="00DF0EB9" w:rsidRPr="00FC1444">
              <w:rPr>
                <w:b w:val="0"/>
                <w:bCs w:val="0"/>
                <w:kern w:val="0"/>
                <w:sz w:val="21"/>
                <w:szCs w:val="21"/>
              </w:rPr>
              <w:t>97</w:t>
            </w:r>
            <w:r w:rsidR="00DF0EB9" w:rsidRPr="00FC1444">
              <w:rPr>
                <w:b w:val="0"/>
                <w:bCs w:val="0"/>
                <w:kern w:val="0"/>
                <w:sz w:val="21"/>
                <w:szCs w:val="21"/>
              </w:rPr>
              <w:t>台</w:t>
            </w:r>
            <w:r w:rsidR="00291DFE" w:rsidRPr="00FC1444">
              <w:rPr>
                <w:b w:val="0"/>
                <w:bCs w:val="0"/>
                <w:kern w:val="0"/>
                <w:sz w:val="21"/>
                <w:szCs w:val="21"/>
              </w:rPr>
              <w:t>，变压器型号为</w:t>
            </w:r>
            <w:r w:rsidR="00291DFE" w:rsidRPr="00FC1444">
              <w:rPr>
                <w:b w:val="0"/>
                <w:bCs w:val="0"/>
                <w:kern w:val="0"/>
                <w:sz w:val="21"/>
                <w:szCs w:val="21"/>
              </w:rPr>
              <w:t>S20-M-30kVA</w:t>
            </w:r>
            <w:r w:rsidR="00291DFE" w:rsidRPr="00FC1444">
              <w:rPr>
                <w:b w:val="0"/>
                <w:bCs w:val="0"/>
                <w:kern w:val="0"/>
                <w:sz w:val="21"/>
                <w:szCs w:val="21"/>
              </w:rPr>
              <w:t>、</w:t>
            </w:r>
            <w:r w:rsidR="00291DFE" w:rsidRPr="00FC1444">
              <w:rPr>
                <w:b w:val="0"/>
                <w:bCs w:val="0"/>
                <w:kern w:val="0"/>
                <w:sz w:val="21"/>
                <w:szCs w:val="21"/>
              </w:rPr>
              <w:t>S20-M-50kVA</w:t>
            </w:r>
            <w:r w:rsidR="00291DFE" w:rsidRPr="00FC1444">
              <w:rPr>
                <w:b w:val="0"/>
                <w:bCs w:val="0"/>
                <w:kern w:val="0"/>
                <w:sz w:val="21"/>
                <w:szCs w:val="21"/>
              </w:rPr>
              <w:t>、</w:t>
            </w:r>
            <w:r w:rsidR="00291DFE" w:rsidRPr="00FC1444">
              <w:rPr>
                <w:b w:val="0"/>
                <w:bCs w:val="0"/>
                <w:kern w:val="0"/>
                <w:sz w:val="21"/>
                <w:szCs w:val="21"/>
              </w:rPr>
              <w:t>S20-M-80kVA</w:t>
            </w:r>
          </w:p>
        </w:tc>
        <w:tc>
          <w:tcPr>
            <w:tcW w:w="694" w:type="pct"/>
            <w:vAlign w:val="center"/>
          </w:tcPr>
          <w:p w:rsidR="00291DFE" w:rsidRPr="00FC1444" w:rsidRDefault="00291DFE">
            <w:pPr>
              <w:pStyle w:val="aff7"/>
              <w:spacing w:line="0" w:lineRule="atLeast"/>
              <w:contextualSpacing/>
              <w:rPr>
                <w:rFonts w:eastAsiaTheme="minorEastAsia" w:hAnsi="Times New Roman"/>
              </w:rPr>
            </w:pPr>
            <w:r w:rsidRPr="00FC1444">
              <w:rPr>
                <w:rFonts w:eastAsiaTheme="minorEastAsia" w:hAnsi="Times New Roman"/>
              </w:rPr>
              <w:t>新建</w:t>
            </w:r>
          </w:p>
        </w:tc>
      </w:tr>
      <w:tr w:rsidR="00291DFE" w:rsidRPr="00FC1444" w:rsidTr="00AB10DD">
        <w:trPr>
          <w:trHeight w:val="528"/>
          <w:jc w:val="center"/>
        </w:trPr>
        <w:tc>
          <w:tcPr>
            <w:tcW w:w="395" w:type="pct"/>
            <w:vMerge/>
            <w:vAlign w:val="center"/>
          </w:tcPr>
          <w:p w:rsidR="00291DFE" w:rsidRPr="00FC1444" w:rsidRDefault="00291DFE" w:rsidP="004031CB">
            <w:pPr>
              <w:pStyle w:val="aff7"/>
              <w:spacing w:line="0" w:lineRule="atLeast"/>
              <w:contextualSpacing/>
              <w:rPr>
                <w:rFonts w:eastAsiaTheme="minorEastAsia" w:hAnsi="Times New Roman"/>
              </w:rPr>
            </w:pPr>
          </w:p>
        </w:tc>
        <w:tc>
          <w:tcPr>
            <w:tcW w:w="500" w:type="pct"/>
            <w:vAlign w:val="center"/>
          </w:tcPr>
          <w:p w:rsidR="00291DFE" w:rsidRPr="00FC1444" w:rsidRDefault="00291DFE">
            <w:pPr>
              <w:pStyle w:val="aff7"/>
              <w:spacing w:line="0" w:lineRule="atLeast"/>
              <w:contextualSpacing/>
              <w:rPr>
                <w:rFonts w:eastAsiaTheme="minorEastAsia" w:hAnsi="Times New Roman"/>
              </w:rPr>
            </w:pPr>
            <w:r w:rsidRPr="00FC1444">
              <w:rPr>
                <w:rFonts w:eastAsiaTheme="minorEastAsia" w:hAnsi="Times New Roman"/>
                <w:snapToGrid w:val="0"/>
                <w:kern w:val="0"/>
              </w:rPr>
              <w:t>田块整治工程</w:t>
            </w:r>
          </w:p>
        </w:tc>
        <w:tc>
          <w:tcPr>
            <w:tcW w:w="3411" w:type="pct"/>
            <w:vAlign w:val="center"/>
          </w:tcPr>
          <w:p w:rsidR="00291DFE" w:rsidRPr="00FC1444" w:rsidRDefault="00591495" w:rsidP="00591495">
            <w:pPr>
              <w:pStyle w:val="aff7"/>
              <w:spacing w:line="0" w:lineRule="atLeast"/>
              <w:contextualSpacing/>
              <w:jc w:val="left"/>
              <w:rPr>
                <w:rFonts w:eastAsiaTheme="minorEastAsia" w:hAnsi="Times New Roman"/>
                <w:snapToGrid w:val="0"/>
                <w:kern w:val="0"/>
              </w:rPr>
            </w:pPr>
            <w:r w:rsidRPr="00FC1444">
              <w:rPr>
                <w:rFonts w:eastAsiaTheme="minorEastAsia" w:hAnsi="Times New Roman"/>
                <w:bCs/>
                <w:snapToGrid w:val="0"/>
                <w:kern w:val="0"/>
              </w:rPr>
              <w:t>旱田土地平整面积</w:t>
            </w:r>
            <w:r w:rsidRPr="00FC1444">
              <w:rPr>
                <w:rFonts w:eastAsiaTheme="minorEastAsia" w:hAnsi="Times New Roman"/>
                <w:bCs/>
                <w:snapToGrid w:val="0"/>
                <w:kern w:val="0"/>
              </w:rPr>
              <w:t>1298.97</w:t>
            </w:r>
            <w:r w:rsidRPr="00FC1444">
              <w:rPr>
                <w:rFonts w:eastAsiaTheme="minorEastAsia" w:hAnsi="Times New Roman"/>
                <w:bCs/>
                <w:snapToGrid w:val="0"/>
                <w:kern w:val="0"/>
              </w:rPr>
              <w:t>亩</w:t>
            </w:r>
            <w:r w:rsidR="00291DFE" w:rsidRPr="00FC1444">
              <w:rPr>
                <w:rFonts w:eastAsiaTheme="minorEastAsia" w:hAnsi="Times New Roman"/>
                <w:bCs/>
                <w:snapToGrid w:val="0"/>
                <w:kern w:val="0"/>
              </w:rPr>
              <w:t>；</w:t>
            </w:r>
            <w:r w:rsidRPr="00FC1444">
              <w:rPr>
                <w:rFonts w:eastAsiaTheme="minorEastAsia" w:hAnsi="Times New Roman"/>
                <w:bCs/>
                <w:snapToGrid w:val="0"/>
                <w:kern w:val="0"/>
              </w:rPr>
              <w:t>低洼地土地平整面积</w:t>
            </w:r>
            <w:r w:rsidRPr="00FC1444">
              <w:rPr>
                <w:rFonts w:eastAsiaTheme="minorEastAsia" w:hAnsi="Times New Roman"/>
                <w:bCs/>
                <w:snapToGrid w:val="0"/>
                <w:kern w:val="0"/>
              </w:rPr>
              <w:t>2032.55</w:t>
            </w:r>
            <w:r w:rsidRPr="00FC1444">
              <w:rPr>
                <w:rFonts w:eastAsiaTheme="minorEastAsia" w:hAnsi="Times New Roman"/>
                <w:bCs/>
                <w:snapToGrid w:val="0"/>
                <w:kern w:val="0"/>
              </w:rPr>
              <w:t>亩</w:t>
            </w:r>
            <w:r w:rsidR="00291DFE" w:rsidRPr="00FC1444">
              <w:rPr>
                <w:rFonts w:eastAsiaTheme="minorEastAsia" w:hAnsi="Times New Roman"/>
                <w:bCs/>
                <w:snapToGrid w:val="0"/>
                <w:kern w:val="0"/>
              </w:rPr>
              <w:t>；</w:t>
            </w:r>
            <w:r w:rsidRPr="00FC1444">
              <w:rPr>
                <w:rFonts w:eastAsiaTheme="minorEastAsia" w:hAnsi="Times New Roman"/>
                <w:bCs/>
                <w:snapToGrid w:val="0"/>
                <w:kern w:val="0"/>
              </w:rPr>
              <w:t>水田格田改造面积</w:t>
            </w:r>
            <w:r w:rsidRPr="00FC1444">
              <w:rPr>
                <w:rFonts w:eastAsiaTheme="minorEastAsia" w:hAnsi="Times New Roman"/>
                <w:bCs/>
                <w:snapToGrid w:val="0"/>
                <w:kern w:val="0"/>
              </w:rPr>
              <w:t>17212.82</w:t>
            </w:r>
            <w:r w:rsidRPr="00FC1444">
              <w:rPr>
                <w:rFonts w:eastAsiaTheme="minorEastAsia" w:hAnsi="Times New Roman"/>
                <w:bCs/>
                <w:snapToGrid w:val="0"/>
                <w:kern w:val="0"/>
              </w:rPr>
              <w:t>亩</w:t>
            </w:r>
            <w:r w:rsidR="00291DFE" w:rsidRPr="00FC1444">
              <w:rPr>
                <w:rFonts w:eastAsiaTheme="minorEastAsia" w:hAnsi="Times New Roman"/>
                <w:bCs/>
                <w:snapToGrid w:val="0"/>
                <w:kern w:val="0"/>
              </w:rPr>
              <w:t>；</w:t>
            </w:r>
            <w:r w:rsidRPr="00FC1444">
              <w:rPr>
                <w:rFonts w:eastAsiaTheme="minorEastAsia" w:hAnsi="Times New Roman"/>
                <w:bCs/>
                <w:snapToGrid w:val="0"/>
                <w:kern w:val="0"/>
              </w:rPr>
              <w:t>坑塘回填</w:t>
            </w:r>
            <w:r w:rsidRPr="00FC1444">
              <w:rPr>
                <w:rFonts w:eastAsiaTheme="minorEastAsia" w:hAnsi="Times New Roman"/>
                <w:bCs/>
                <w:snapToGrid w:val="0"/>
                <w:kern w:val="0"/>
              </w:rPr>
              <w:t>5.21</w:t>
            </w:r>
            <w:r w:rsidRPr="00FC1444">
              <w:rPr>
                <w:rFonts w:eastAsiaTheme="minorEastAsia" w:hAnsi="Times New Roman"/>
                <w:bCs/>
                <w:snapToGrid w:val="0"/>
                <w:kern w:val="0"/>
              </w:rPr>
              <w:t>亩</w:t>
            </w:r>
            <w:r w:rsidR="00216445" w:rsidRPr="00FC1444">
              <w:rPr>
                <w:rFonts w:eastAsiaTheme="minorEastAsia" w:hAnsi="Times New Roman"/>
                <w:bCs/>
                <w:snapToGrid w:val="0"/>
                <w:kern w:val="0"/>
              </w:rPr>
              <w:t>；</w:t>
            </w:r>
            <w:r w:rsidR="00216445" w:rsidRPr="00FC1444">
              <w:rPr>
                <w:rFonts w:hAnsi="Times New Roman"/>
                <w:bCs/>
                <w:snapToGrid w:val="0"/>
                <w:kern w:val="0"/>
              </w:rPr>
              <w:t>土地深松、深翻及抛洒有机肥总面积</w:t>
            </w:r>
            <w:r w:rsidR="00216445" w:rsidRPr="00FC1444">
              <w:rPr>
                <w:rFonts w:hAnsi="Times New Roman"/>
                <w:bCs/>
                <w:snapToGrid w:val="0"/>
                <w:kern w:val="0"/>
              </w:rPr>
              <w:t>84626</w:t>
            </w:r>
            <w:r w:rsidR="00216445" w:rsidRPr="00FC1444">
              <w:rPr>
                <w:rFonts w:hAnsi="Times New Roman"/>
                <w:bCs/>
                <w:snapToGrid w:val="0"/>
                <w:kern w:val="0"/>
              </w:rPr>
              <w:t>亩</w:t>
            </w:r>
          </w:p>
        </w:tc>
        <w:tc>
          <w:tcPr>
            <w:tcW w:w="694" w:type="pct"/>
            <w:vAlign w:val="center"/>
          </w:tcPr>
          <w:p w:rsidR="00291DFE" w:rsidRPr="00FC1444" w:rsidRDefault="00291DFE">
            <w:pPr>
              <w:pStyle w:val="aff7"/>
              <w:spacing w:line="0" w:lineRule="atLeast"/>
              <w:contextualSpacing/>
              <w:rPr>
                <w:rFonts w:eastAsiaTheme="minorEastAsia" w:hAnsi="Times New Roman"/>
              </w:rPr>
            </w:pPr>
            <w:r w:rsidRPr="00FC1444">
              <w:rPr>
                <w:rFonts w:eastAsiaTheme="minorEastAsia" w:hAnsi="Times New Roman"/>
                <w:bCs/>
                <w:snapToGrid w:val="0"/>
                <w:kern w:val="0"/>
              </w:rPr>
              <w:t>均为</w:t>
            </w:r>
            <w:r w:rsidRPr="00FC1444">
              <w:rPr>
                <w:rFonts w:eastAsiaTheme="minorEastAsia" w:hAnsi="Times New Roman"/>
              </w:rPr>
              <w:t>现有农田</w:t>
            </w:r>
          </w:p>
        </w:tc>
      </w:tr>
      <w:tr w:rsidR="00291DFE" w:rsidRPr="00FC1444" w:rsidTr="00AB10DD">
        <w:trPr>
          <w:trHeight w:val="528"/>
          <w:jc w:val="center"/>
        </w:trPr>
        <w:tc>
          <w:tcPr>
            <w:tcW w:w="395" w:type="pct"/>
            <w:vMerge/>
            <w:vAlign w:val="center"/>
          </w:tcPr>
          <w:p w:rsidR="00291DFE" w:rsidRPr="00FC1444" w:rsidRDefault="00291DFE" w:rsidP="004031CB">
            <w:pPr>
              <w:pStyle w:val="aff7"/>
              <w:spacing w:line="0" w:lineRule="atLeast"/>
              <w:contextualSpacing/>
              <w:rPr>
                <w:rFonts w:eastAsiaTheme="minorEastAsia" w:hAnsi="Times New Roman"/>
              </w:rPr>
            </w:pPr>
          </w:p>
        </w:tc>
        <w:tc>
          <w:tcPr>
            <w:tcW w:w="500" w:type="pct"/>
            <w:vAlign w:val="center"/>
          </w:tcPr>
          <w:p w:rsidR="00291DFE" w:rsidRPr="00FC1444" w:rsidRDefault="00291DFE">
            <w:pPr>
              <w:pStyle w:val="aff7"/>
              <w:spacing w:line="0" w:lineRule="atLeast"/>
              <w:contextualSpacing/>
              <w:rPr>
                <w:rFonts w:eastAsiaTheme="minorEastAsia" w:hAnsi="Times New Roman"/>
                <w:snapToGrid w:val="0"/>
                <w:kern w:val="0"/>
              </w:rPr>
            </w:pPr>
            <w:r w:rsidRPr="00FC1444">
              <w:rPr>
                <w:rFonts w:eastAsiaTheme="minorEastAsia" w:hAnsi="Times New Roman"/>
              </w:rPr>
              <w:t>农田防护及生态环境保护工程</w:t>
            </w:r>
          </w:p>
        </w:tc>
        <w:tc>
          <w:tcPr>
            <w:tcW w:w="3411" w:type="pct"/>
            <w:vAlign w:val="center"/>
          </w:tcPr>
          <w:p w:rsidR="00291DFE" w:rsidRPr="00FC1444" w:rsidRDefault="00DE7DE3" w:rsidP="00DE7DE3">
            <w:pPr>
              <w:pStyle w:val="aff7"/>
              <w:spacing w:line="0" w:lineRule="atLeast"/>
              <w:contextualSpacing/>
              <w:jc w:val="left"/>
              <w:rPr>
                <w:rFonts w:eastAsiaTheme="minorEastAsia" w:hAnsi="Times New Roman"/>
                <w:bCs/>
                <w:snapToGrid w:val="0"/>
                <w:kern w:val="0"/>
              </w:rPr>
            </w:pPr>
            <w:r w:rsidRPr="00FC1444">
              <w:rPr>
                <w:rFonts w:eastAsiaTheme="minorEastAsia" w:hAnsi="Times New Roman"/>
                <w:bCs/>
                <w:snapToGrid w:val="0"/>
                <w:kern w:val="0"/>
              </w:rPr>
              <w:t>规划农田防护林</w:t>
            </w:r>
            <w:r w:rsidRPr="00FC1444">
              <w:rPr>
                <w:rFonts w:eastAsiaTheme="minorEastAsia" w:hAnsi="Times New Roman"/>
                <w:bCs/>
                <w:snapToGrid w:val="0"/>
                <w:kern w:val="0"/>
              </w:rPr>
              <w:t>2638</w:t>
            </w:r>
            <w:r w:rsidRPr="00FC1444">
              <w:rPr>
                <w:rFonts w:eastAsiaTheme="minorEastAsia" w:hAnsi="Times New Roman"/>
                <w:bCs/>
                <w:snapToGrid w:val="0"/>
                <w:kern w:val="0"/>
              </w:rPr>
              <w:t>株，栽种樟子松</w:t>
            </w:r>
            <w:r w:rsidRPr="00FC1444">
              <w:rPr>
                <w:rFonts w:eastAsiaTheme="minorEastAsia" w:hAnsi="Times New Roman"/>
                <w:bCs/>
                <w:snapToGrid w:val="0"/>
                <w:kern w:val="0"/>
              </w:rPr>
              <w:t>637</w:t>
            </w:r>
            <w:r w:rsidRPr="00FC1444">
              <w:rPr>
                <w:rFonts w:eastAsiaTheme="minorEastAsia" w:hAnsi="Times New Roman"/>
                <w:bCs/>
                <w:snapToGrid w:val="0"/>
                <w:kern w:val="0"/>
              </w:rPr>
              <w:t>株，栽种杨树</w:t>
            </w:r>
            <w:r w:rsidRPr="00FC1444">
              <w:rPr>
                <w:rFonts w:eastAsiaTheme="minorEastAsia" w:hAnsi="Times New Roman"/>
                <w:bCs/>
                <w:snapToGrid w:val="0"/>
                <w:kern w:val="0"/>
              </w:rPr>
              <w:t>2001</w:t>
            </w:r>
            <w:r w:rsidRPr="00FC1444">
              <w:rPr>
                <w:rFonts w:eastAsiaTheme="minorEastAsia" w:hAnsi="Times New Roman"/>
                <w:bCs/>
                <w:snapToGrid w:val="0"/>
                <w:kern w:val="0"/>
              </w:rPr>
              <w:t>株；沟头防护</w:t>
            </w:r>
            <w:r w:rsidRPr="00FC1444">
              <w:rPr>
                <w:rFonts w:eastAsiaTheme="minorEastAsia" w:hAnsi="Times New Roman"/>
                <w:bCs/>
                <w:snapToGrid w:val="0"/>
                <w:kern w:val="0"/>
              </w:rPr>
              <w:t>1</w:t>
            </w:r>
            <w:r w:rsidRPr="00FC1444">
              <w:rPr>
                <w:rFonts w:eastAsiaTheme="minorEastAsia" w:hAnsi="Times New Roman"/>
                <w:bCs/>
                <w:snapToGrid w:val="0"/>
                <w:kern w:val="0"/>
              </w:rPr>
              <w:t>座；侵蚀沟治理</w:t>
            </w:r>
            <w:r w:rsidRPr="00FC1444">
              <w:rPr>
                <w:rFonts w:eastAsiaTheme="minorEastAsia" w:hAnsi="Times New Roman"/>
                <w:bCs/>
                <w:snapToGrid w:val="0"/>
                <w:kern w:val="0"/>
              </w:rPr>
              <w:t>0.063</w:t>
            </w:r>
            <w:r w:rsidRPr="00FC1444">
              <w:rPr>
                <w:rFonts w:eastAsiaTheme="minorEastAsia" w:hAnsi="Times New Roman"/>
                <w:bCs/>
                <w:snapToGrid w:val="0"/>
                <w:kern w:val="0"/>
              </w:rPr>
              <w:t>公里</w:t>
            </w:r>
          </w:p>
        </w:tc>
        <w:tc>
          <w:tcPr>
            <w:tcW w:w="694" w:type="pct"/>
            <w:vAlign w:val="center"/>
          </w:tcPr>
          <w:p w:rsidR="00291DFE" w:rsidRPr="00FC1444" w:rsidRDefault="00291DFE">
            <w:pPr>
              <w:pStyle w:val="aff7"/>
              <w:spacing w:line="0" w:lineRule="atLeast"/>
              <w:contextualSpacing/>
              <w:rPr>
                <w:rFonts w:eastAsiaTheme="minorEastAsia" w:hAnsi="Times New Roman"/>
                <w:bCs/>
                <w:snapToGrid w:val="0"/>
                <w:kern w:val="0"/>
              </w:rPr>
            </w:pPr>
            <w:r w:rsidRPr="00FC1444">
              <w:rPr>
                <w:rFonts w:eastAsiaTheme="minorEastAsia" w:hAnsi="Times New Roman"/>
                <w:bCs/>
                <w:snapToGrid w:val="0"/>
                <w:kern w:val="0"/>
              </w:rPr>
              <w:t>新建</w:t>
            </w:r>
          </w:p>
        </w:tc>
      </w:tr>
      <w:tr w:rsidR="00DD5FB6" w:rsidRPr="00FC1444" w:rsidTr="00DD5FB6">
        <w:trPr>
          <w:trHeight w:val="528"/>
          <w:jc w:val="center"/>
        </w:trPr>
        <w:tc>
          <w:tcPr>
            <w:tcW w:w="895" w:type="pct"/>
            <w:gridSpan w:val="2"/>
            <w:vAlign w:val="center"/>
          </w:tcPr>
          <w:p w:rsidR="00DD5FB6" w:rsidRPr="00FC1444" w:rsidRDefault="00DD5FB6">
            <w:pPr>
              <w:pStyle w:val="aff7"/>
              <w:spacing w:line="0" w:lineRule="atLeast"/>
              <w:contextualSpacing/>
              <w:rPr>
                <w:rFonts w:eastAsiaTheme="minorEastAsia" w:hAnsi="Times New Roman"/>
                <w:snapToGrid w:val="0"/>
                <w:kern w:val="0"/>
              </w:rPr>
            </w:pPr>
            <w:r w:rsidRPr="00FC1444">
              <w:rPr>
                <w:rFonts w:eastAsiaTheme="minorEastAsia" w:hAnsi="Times New Roman"/>
                <w:snapToGrid w:val="0"/>
                <w:kern w:val="0"/>
              </w:rPr>
              <w:t>占地情况</w:t>
            </w:r>
          </w:p>
        </w:tc>
        <w:tc>
          <w:tcPr>
            <w:tcW w:w="4105" w:type="pct"/>
            <w:gridSpan w:val="2"/>
            <w:vAlign w:val="center"/>
          </w:tcPr>
          <w:p w:rsidR="00DD5FB6" w:rsidRPr="00FC1444" w:rsidRDefault="00DD5FB6" w:rsidP="0014551D">
            <w:pPr>
              <w:pStyle w:val="aff7"/>
              <w:spacing w:line="0" w:lineRule="atLeast"/>
              <w:contextualSpacing/>
              <w:jc w:val="left"/>
              <w:rPr>
                <w:rFonts w:eastAsiaTheme="minorEastAsia" w:hAnsi="Times New Roman"/>
                <w:bCs/>
                <w:snapToGrid w:val="0"/>
                <w:kern w:val="0"/>
              </w:rPr>
            </w:pPr>
            <w:r w:rsidRPr="00FC1444">
              <w:rPr>
                <w:rFonts w:eastAsiaTheme="minorEastAsia" w:hAnsi="Times New Roman"/>
                <w:bCs/>
                <w:snapToGrid w:val="0"/>
                <w:kern w:val="0"/>
              </w:rPr>
              <w:t>工程永久占地类型为草地、交通运输用地、水利设施用地、坑塘水面</w:t>
            </w:r>
            <w:r w:rsidR="00AA4603" w:rsidRPr="00FC1444">
              <w:rPr>
                <w:rFonts w:eastAsiaTheme="minorEastAsia" w:hAnsi="Times New Roman"/>
                <w:bCs/>
                <w:snapToGrid w:val="0"/>
                <w:kern w:val="0"/>
              </w:rPr>
              <w:t>，</w:t>
            </w:r>
            <w:r w:rsidRPr="00FC1444">
              <w:rPr>
                <w:rFonts w:eastAsiaTheme="minorEastAsia" w:hAnsi="Times New Roman"/>
                <w:bCs/>
                <w:snapToGrid w:val="0"/>
                <w:kern w:val="0"/>
              </w:rPr>
              <w:t>永久占地约</w:t>
            </w:r>
            <w:r w:rsidR="00C458B4" w:rsidRPr="00FC1444">
              <w:rPr>
                <w:rFonts w:eastAsiaTheme="minorEastAsia" w:hAnsi="Times New Roman"/>
                <w:bCs/>
                <w:snapToGrid w:val="0"/>
                <w:kern w:val="0"/>
              </w:rPr>
              <w:t>1443</w:t>
            </w:r>
            <w:r w:rsidR="00C458B4" w:rsidRPr="00FC1444">
              <w:rPr>
                <w:rFonts w:eastAsiaTheme="minorEastAsia" w:hAnsi="Times New Roman"/>
                <w:bCs/>
                <w:snapToGrid w:val="0"/>
                <w:kern w:val="0"/>
              </w:rPr>
              <w:t>万</w:t>
            </w:r>
            <w:r w:rsidRPr="00FC1444">
              <w:rPr>
                <w:rFonts w:eastAsiaTheme="minorEastAsia" w:hAnsi="Times New Roman"/>
                <w:bCs/>
                <w:snapToGrid w:val="0"/>
                <w:kern w:val="0"/>
              </w:rPr>
              <w:t>m</w:t>
            </w:r>
            <w:r w:rsidRPr="00FC1444">
              <w:rPr>
                <w:rFonts w:eastAsiaTheme="minorEastAsia" w:hAnsi="Times New Roman"/>
                <w:bCs/>
                <w:snapToGrid w:val="0"/>
                <w:kern w:val="0"/>
                <w:vertAlign w:val="superscript"/>
              </w:rPr>
              <w:t>2</w:t>
            </w:r>
            <w:r w:rsidRPr="00FC1444">
              <w:rPr>
                <w:rFonts w:eastAsiaTheme="minorEastAsia" w:hAnsi="Times New Roman"/>
                <w:bCs/>
                <w:snapToGrid w:val="0"/>
                <w:kern w:val="0"/>
              </w:rPr>
              <w:t>（其中新增约</w:t>
            </w:r>
            <w:r w:rsidR="00C458B4" w:rsidRPr="00FC1444">
              <w:rPr>
                <w:rFonts w:eastAsiaTheme="minorEastAsia" w:hAnsi="Times New Roman"/>
                <w:bCs/>
                <w:snapToGrid w:val="0"/>
                <w:kern w:val="0"/>
              </w:rPr>
              <w:t>22240</w:t>
            </w:r>
            <w:r w:rsidRPr="00FC1444">
              <w:rPr>
                <w:rFonts w:eastAsiaTheme="minorEastAsia" w:hAnsi="Times New Roman"/>
                <w:bCs/>
                <w:snapToGrid w:val="0"/>
                <w:kern w:val="0"/>
              </w:rPr>
              <w:t>m</w:t>
            </w:r>
            <w:r w:rsidRPr="00FC1444">
              <w:rPr>
                <w:rFonts w:eastAsiaTheme="minorEastAsia" w:hAnsi="Times New Roman"/>
                <w:bCs/>
                <w:snapToGrid w:val="0"/>
                <w:kern w:val="0"/>
                <w:vertAlign w:val="superscript"/>
              </w:rPr>
              <w:t>2</w:t>
            </w:r>
            <w:r w:rsidRPr="00FC1444">
              <w:rPr>
                <w:rFonts w:eastAsiaTheme="minorEastAsia" w:hAnsi="Times New Roman"/>
                <w:bCs/>
                <w:snapToGrid w:val="0"/>
                <w:kern w:val="0"/>
              </w:rPr>
              <w:t>）；临时占地类型为旱地、草地</w:t>
            </w:r>
            <w:r w:rsidR="00AA4603" w:rsidRPr="00FC1444">
              <w:rPr>
                <w:rFonts w:eastAsiaTheme="minorEastAsia" w:hAnsi="Times New Roman"/>
                <w:bCs/>
                <w:snapToGrid w:val="0"/>
                <w:kern w:val="0"/>
              </w:rPr>
              <w:t>，临时占用</w:t>
            </w:r>
            <w:r w:rsidR="008A02BD" w:rsidRPr="00FC1444">
              <w:rPr>
                <w:rFonts w:eastAsiaTheme="minorEastAsia" w:hAnsi="Times New Roman"/>
                <w:bCs/>
                <w:snapToGrid w:val="0"/>
                <w:kern w:val="0"/>
              </w:rPr>
              <w:t>513022</w:t>
            </w:r>
            <w:r w:rsidR="00AA4603" w:rsidRPr="00FC1444">
              <w:rPr>
                <w:rFonts w:eastAsiaTheme="minorEastAsia" w:hAnsi="Times New Roman"/>
                <w:bCs/>
                <w:snapToGrid w:val="0"/>
                <w:kern w:val="0"/>
              </w:rPr>
              <w:t>m</w:t>
            </w:r>
            <w:r w:rsidR="00AA4603" w:rsidRPr="00FC1444">
              <w:rPr>
                <w:rFonts w:eastAsiaTheme="minorEastAsia" w:hAnsi="Times New Roman"/>
                <w:bCs/>
                <w:snapToGrid w:val="0"/>
                <w:kern w:val="0"/>
                <w:vertAlign w:val="superscript"/>
              </w:rPr>
              <w:t>2</w:t>
            </w:r>
          </w:p>
        </w:tc>
      </w:tr>
    </w:tbl>
    <w:p w:rsidR="00291DFE" w:rsidRPr="00FC1444" w:rsidRDefault="00291DFE"/>
    <w:p w:rsidR="00824D61" w:rsidRPr="00FC1444" w:rsidRDefault="00824D61"/>
    <w:p w:rsidR="00291DFE" w:rsidRPr="00FC1444" w:rsidRDefault="00291DFE" w:rsidP="00291DFE">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3-1-</w:t>
      </w:r>
      <w:r w:rsidR="002A51BB" w:rsidRPr="00FC1444">
        <w:rPr>
          <w:rFonts w:eastAsiaTheme="minorEastAsia" w:hint="eastAsia"/>
          <w:b/>
          <w:kern w:val="0"/>
          <w:szCs w:val="21"/>
        </w:rPr>
        <w:t>5</w:t>
      </w:r>
      <w:r w:rsidRPr="00FC1444">
        <w:rPr>
          <w:rFonts w:eastAsiaTheme="minorEastAsia"/>
          <w:b/>
          <w:kern w:val="0"/>
          <w:szCs w:val="21"/>
        </w:rPr>
        <w:t>工程组成一览表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673"/>
        <w:gridCol w:w="852"/>
        <w:gridCol w:w="5814"/>
        <w:gridCol w:w="1183"/>
      </w:tblGrid>
      <w:tr w:rsidR="00DD5FB6" w:rsidRPr="00FC1444" w:rsidTr="00DD5FB6">
        <w:trPr>
          <w:trHeight w:val="528"/>
          <w:jc w:val="center"/>
        </w:trPr>
        <w:tc>
          <w:tcPr>
            <w:tcW w:w="895" w:type="pct"/>
            <w:gridSpan w:val="2"/>
            <w:vAlign w:val="center"/>
          </w:tcPr>
          <w:p w:rsidR="00DD5FB6" w:rsidRPr="00FC1444" w:rsidRDefault="00DD5FB6">
            <w:pPr>
              <w:pStyle w:val="aff7"/>
              <w:spacing w:line="0" w:lineRule="atLeast"/>
              <w:contextualSpacing/>
              <w:rPr>
                <w:rFonts w:eastAsiaTheme="minorEastAsia" w:hAnsi="Times New Roman"/>
                <w:snapToGrid w:val="0"/>
                <w:kern w:val="0"/>
              </w:rPr>
            </w:pPr>
            <w:r w:rsidRPr="00FC1444">
              <w:rPr>
                <w:rFonts w:eastAsiaTheme="minorEastAsia" w:hAnsi="Times New Roman"/>
                <w:snapToGrid w:val="0"/>
                <w:kern w:val="0"/>
              </w:rPr>
              <w:t>临时占地恢复方案</w:t>
            </w:r>
          </w:p>
        </w:tc>
        <w:tc>
          <w:tcPr>
            <w:tcW w:w="4105" w:type="pct"/>
            <w:gridSpan w:val="2"/>
            <w:vAlign w:val="center"/>
          </w:tcPr>
          <w:p w:rsidR="00DD5FB6" w:rsidRPr="00FC1444" w:rsidRDefault="00DD5FB6" w:rsidP="0014551D">
            <w:pPr>
              <w:pStyle w:val="aff7"/>
              <w:spacing w:line="0" w:lineRule="atLeast"/>
              <w:contextualSpacing/>
              <w:jc w:val="left"/>
              <w:rPr>
                <w:rFonts w:eastAsiaTheme="minorEastAsia" w:hAnsi="Times New Roman"/>
                <w:snapToGrid w:val="0"/>
                <w:kern w:val="0"/>
              </w:rPr>
            </w:pPr>
            <w:r w:rsidRPr="00FC1444">
              <w:rPr>
                <w:rFonts w:eastAsiaTheme="minorEastAsia" w:hAnsi="Times New Roman"/>
                <w:snapToGrid w:val="0"/>
                <w:kern w:val="0"/>
              </w:rPr>
              <w:t>输配电工程表土及土方临时堆存在施工沿线，分区存放，设置临时拦挡并采用密目网苫盖，施工结束后分层回填，</w:t>
            </w:r>
            <w:r w:rsidR="00617138" w:rsidRPr="00FC1444">
              <w:rPr>
                <w:rFonts w:eastAsiaTheme="minorEastAsia" w:hAnsi="Times New Roman"/>
                <w:snapToGrid w:val="0"/>
                <w:kern w:val="0"/>
              </w:rPr>
              <w:t>施工场地恢复现状草地，</w:t>
            </w:r>
            <w:r w:rsidR="00C77AF5" w:rsidRPr="00FC1444">
              <w:rPr>
                <w:rFonts w:eastAsiaTheme="minorEastAsia" w:hAnsi="Times New Roman"/>
                <w:snapToGrid w:val="0"/>
                <w:kern w:val="0"/>
              </w:rPr>
              <w:t>播撒草籽面积</w:t>
            </w:r>
            <w:r w:rsidR="00C77AF5" w:rsidRPr="00FC1444">
              <w:rPr>
                <w:rFonts w:eastAsiaTheme="minorEastAsia" w:hAnsi="Times New Roman"/>
                <w:snapToGrid w:val="0"/>
                <w:kern w:val="0"/>
              </w:rPr>
              <w:t>456842</w:t>
            </w:r>
            <w:r w:rsidRPr="00FC1444">
              <w:rPr>
                <w:rFonts w:eastAsiaTheme="minorEastAsia" w:hAnsi="Times New Roman"/>
                <w:snapToGrid w:val="0"/>
                <w:kern w:val="0"/>
              </w:rPr>
              <w:t>m</w:t>
            </w:r>
            <w:r w:rsidRPr="00FC1444">
              <w:rPr>
                <w:rFonts w:eastAsiaTheme="minorEastAsia" w:hAnsi="Times New Roman"/>
                <w:snapToGrid w:val="0"/>
                <w:kern w:val="0"/>
                <w:vertAlign w:val="superscript"/>
              </w:rPr>
              <w:t>2</w:t>
            </w:r>
            <w:r w:rsidRPr="00FC1444">
              <w:rPr>
                <w:rFonts w:eastAsiaTheme="minorEastAsia" w:hAnsi="Times New Roman"/>
                <w:snapToGrid w:val="0"/>
                <w:kern w:val="0"/>
              </w:rPr>
              <w:t>，草籽选用紫花苜蓿等，种草密度</w:t>
            </w:r>
            <w:r w:rsidRPr="00FC1444">
              <w:rPr>
                <w:rFonts w:eastAsiaTheme="minorEastAsia" w:hAnsi="Times New Roman"/>
                <w:snapToGrid w:val="0"/>
                <w:kern w:val="0"/>
              </w:rPr>
              <w:t>80kg/</w:t>
            </w:r>
            <w:r w:rsidRPr="00FC1444">
              <w:rPr>
                <w:rFonts w:eastAsiaTheme="minorEastAsia" w:hAnsi="Times New Roman"/>
                <w:snapToGrid w:val="0"/>
                <w:kern w:val="0"/>
              </w:rPr>
              <w:t>公顷，</w:t>
            </w:r>
            <w:r w:rsidR="00C77AF5" w:rsidRPr="00FC1444">
              <w:rPr>
                <w:rFonts w:eastAsiaTheme="minorEastAsia" w:hAnsi="Times New Roman"/>
                <w:snapToGrid w:val="0"/>
                <w:kern w:val="0"/>
              </w:rPr>
              <w:t>恢复旱地</w:t>
            </w:r>
            <w:r w:rsidR="00C77AF5" w:rsidRPr="00FC1444">
              <w:rPr>
                <w:rFonts w:eastAsiaTheme="minorEastAsia" w:hAnsi="Times New Roman"/>
                <w:snapToGrid w:val="0"/>
                <w:kern w:val="0"/>
              </w:rPr>
              <w:t>22560m</w:t>
            </w:r>
            <w:r w:rsidRPr="00FC1444">
              <w:rPr>
                <w:rFonts w:eastAsiaTheme="minorEastAsia" w:hAnsi="Times New Roman"/>
                <w:snapToGrid w:val="0"/>
                <w:kern w:val="0"/>
                <w:vertAlign w:val="superscript"/>
              </w:rPr>
              <w:t>2</w:t>
            </w:r>
            <w:r w:rsidRPr="00FC1444">
              <w:rPr>
                <w:rFonts w:eastAsiaTheme="minorEastAsia" w:hAnsi="Times New Roman"/>
                <w:snapToGrid w:val="0"/>
                <w:kern w:val="0"/>
              </w:rPr>
              <w:t>；灌溉井工程剥离表土、开挖土方暂存于施工场地内，分区存放，设置临时拦挡并采用密目网苫盖，施工结束后施工场地、临时道路恢复为旱地，</w:t>
            </w:r>
            <w:r w:rsidR="00C77AF5" w:rsidRPr="00FC1444">
              <w:rPr>
                <w:rFonts w:eastAsiaTheme="minorEastAsia" w:hAnsi="Times New Roman"/>
                <w:snapToGrid w:val="0"/>
                <w:kern w:val="0"/>
              </w:rPr>
              <w:t>恢复面积</w:t>
            </w:r>
            <w:r w:rsidR="00C77AF5" w:rsidRPr="00FC1444">
              <w:rPr>
                <w:rFonts w:eastAsiaTheme="minorEastAsia" w:hAnsi="Times New Roman"/>
                <w:snapToGrid w:val="0"/>
                <w:kern w:val="0"/>
              </w:rPr>
              <w:t>4620</w:t>
            </w:r>
            <w:r w:rsidRPr="00FC1444">
              <w:rPr>
                <w:rFonts w:eastAsiaTheme="minorEastAsia" w:hAnsi="Times New Roman"/>
                <w:snapToGrid w:val="0"/>
                <w:kern w:val="0"/>
              </w:rPr>
              <w:t>m</w:t>
            </w:r>
            <w:r w:rsidRPr="00FC1444">
              <w:rPr>
                <w:rFonts w:eastAsiaTheme="minorEastAsia" w:hAnsi="Times New Roman"/>
                <w:snapToGrid w:val="0"/>
                <w:kern w:val="0"/>
                <w:vertAlign w:val="superscript"/>
              </w:rPr>
              <w:t>2</w:t>
            </w:r>
            <w:r w:rsidRPr="00FC1444">
              <w:rPr>
                <w:rFonts w:eastAsiaTheme="minorEastAsia" w:hAnsi="Times New Roman"/>
                <w:snapToGrid w:val="0"/>
                <w:kern w:val="0"/>
              </w:rPr>
              <w:t>；涵洞等建筑物工程剥离表土、开挖土方暂存于施工场地内，分区存放，设置临时拦挡并采用密目网苫盖，施工结束后施工场地恢复为草地，播撒草籽面积</w:t>
            </w:r>
            <w:r w:rsidRPr="00FC1444">
              <w:rPr>
                <w:rFonts w:eastAsiaTheme="minorEastAsia" w:hAnsi="Times New Roman"/>
                <w:snapToGrid w:val="0"/>
                <w:kern w:val="0"/>
              </w:rPr>
              <w:t>18500m</w:t>
            </w:r>
            <w:r w:rsidRPr="00FC1444">
              <w:rPr>
                <w:rFonts w:eastAsiaTheme="minorEastAsia" w:hAnsi="Times New Roman"/>
                <w:snapToGrid w:val="0"/>
                <w:kern w:val="0"/>
                <w:vertAlign w:val="superscript"/>
              </w:rPr>
              <w:t>2</w:t>
            </w:r>
            <w:r w:rsidRPr="00FC1444">
              <w:rPr>
                <w:rFonts w:eastAsiaTheme="minorEastAsia" w:hAnsi="Times New Roman"/>
                <w:snapToGrid w:val="0"/>
                <w:kern w:val="0"/>
              </w:rPr>
              <w:t>，草籽选用紫花苜蓿等，种草密度</w:t>
            </w:r>
            <w:r w:rsidRPr="00FC1444">
              <w:rPr>
                <w:rFonts w:eastAsiaTheme="minorEastAsia" w:hAnsi="Times New Roman"/>
                <w:snapToGrid w:val="0"/>
                <w:kern w:val="0"/>
              </w:rPr>
              <w:t>80kg/</w:t>
            </w:r>
            <w:r w:rsidRPr="00FC1444">
              <w:rPr>
                <w:rFonts w:eastAsiaTheme="minorEastAsia" w:hAnsi="Times New Roman"/>
                <w:snapToGrid w:val="0"/>
                <w:kern w:val="0"/>
              </w:rPr>
              <w:t>公顷，恢复旱地</w:t>
            </w:r>
            <w:r w:rsidRPr="00FC1444">
              <w:rPr>
                <w:rFonts w:eastAsiaTheme="minorEastAsia" w:hAnsi="Times New Roman"/>
                <w:snapToGrid w:val="0"/>
                <w:kern w:val="0"/>
              </w:rPr>
              <w:t>10500m</w:t>
            </w:r>
            <w:r w:rsidRPr="00FC1444">
              <w:rPr>
                <w:rFonts w:eastAsiaTheme="minorEastAsia" w:hAnsi="Times New Roman"/>
                <w:snapToGrid w:val="0"/>
                <w:kern w:val="0"/>
                <w:vertAlign w:val="superscript"/>
              </w:rPr>
              <w:t>2</w:t>
            </w:r>
            <w:r w:rsidRPr="00FC1444">
              <w:rPr>
                <w:rFonts w:eastAsiaTheme="minorEastAsia" w:hAnsi="Times New Roman"/>
                <w:snapToGrid w:val="0"/>
                <w:kern w:val="0"/>
              </w:rPr>
              <w:t>。使临时占地土地利用类型、植被覆盖度、生物量等恢复为原有水平。减少由于工程施工对其景观、生态、水土保持等方面的不利影响。表土暂存场</w:t>
            </w:r>
            <w:r w:rsidRPr="00FC1444">
              <w:rPr>
                <w:rFonts w:eastAsiaTheme="minorEastAsia" w:hAnsi="Times New Roman"/>
                <w:bCs/>
                <w:kern w:val="0"/>
              </w:rPr>
              <w:t>堆高在</w:t>
            </w:r>
            <w:r w:rsidRPr="00FC1444">
              <w:rPr>
                <w:rFonts w:eastAsiaTheme="minorEastAsia" w:hAnsi="Times New Roman"/>
                <w:bCs/>
                <w:kern w:val="0"/>
              </w:rPr>
              <w:t>3m</w:t>
            </w:r>
            <w:r w:rsidRPr="00FC1444">
              <w:rPr>
                <w:rFonts w:eastAsiaTheme="minorEastAsia" w:hAnsi="Times New Roman"/>
                <w:bCs/>
                <w:kern w:val="0"/>
              </w:rPr>
              <w:t>以内，坡比</w:t>
            </w:r>
            <w:r w:rsidRPr="00FC1444">
              <w:rPr>
                <w:rFonts w:eastAsiaTheme="minorEastAsia" w:hAnsi="Times New Roman"/>
                <w:bCs/>
                <w:kern w:val="0"/>
              </w:rPr>
              <w:t>1</w:t>
            </w:r>
            <w:r w:rsidRPr="00FC1444">
              <w:rPr>
                <w:rFonts w:eastAsiaTheme="minorEastAsia" w:hAnsi="Times New Roman"/>
                <w:bCs/>
                <w:kern w:val="0"/>
              </w:rPr>
              <w:t>：</w:t>
            </w:r>
            <w:r w:rsidRPr="00FC1444">
              <w:rPr>
                <w:rFonts w:eastAsiaTheme="minorEastAsia" w:hAnsi="Times New Roman"/>
                <w:bCs/>
                <w:kern w:val="0"/>
              </w:rPr>
              <w:t>1</w:t>
            </w:r>
            <w:r w:rsidRPr="00FC1444">
              <w:rPr>
                <w:rFonts w:eastAsiaTheme="minorEastAsia" w:hAnsi="Times New Roman"/>
                <w:bCs/>
                <w:kern w:val="0"/>
              </w:rPr>
              <w:t>，可以保证堆土的稳定性及安全性。堆放地宜相对低凹、周围相对平缓，并设置排水设施</w:t>
            </w:r>
          </w:p>
        </w:tc>
      </w:tr>
      <w:tr w:rsidR="00DD5FB6" w:rsidRPr="00FC1444" w:rsidTr="00DD5FB6">
        <w:trPr>
          <w:trHeight w:val="528"/>
          <w:jc w:val="center"/>
        </w:trPr>
        <w:tc>
          <w:tcPr>
            <w:tcW w:w="895" w:type="pct"/>
            <w:gridSpan w:val="2"/>
            <w:vAlign w:val="center"/>
          </w:tcPr>
          <w:p w:rsidR="00DD5FB6" w:rsidRPr="00FC1444" w:rsidRDefault="00DD5FB6">
            <w:pPr>
              <w:pStyle w:val="aff7"/>
              <w:spacing w:line="0" w:lineRule="atLeast"/>
              <w:contextualSpacing/>
              <w:rPr>
                <w:rFonts w:eastAsiaTheme="minorEastAsia" w:hAnsi="Times New Roman"/>
                <w:snapToGrid w:val="0"/>
                <w:kern w:val="0"/>
              </w:rPr>
            </w:pPr>
            <w:r w:rsidRPr="00FC1444">
              <w:rPr>
                <w:rFonts w:eastAsiaTheme="minorEastAsia" w:hAnsi="Times New Roman"/>
                <w:snapToGrid w:val="0"/>
                <w:kern w:val="0"/>
              </w:rPr>
              <w:t>建设周期</w:t>
            </w:r>
          </w:p>
        </w:tc>
        <w:tc>
          <w:tcPr>
            <w:tcW w:w="4105" w:type="pct"/>
            <w:gridSpan w:val="2"/>
            <w:vAlign w:val="center"/>
          </w:tcPr>
          <w:p w:rsidR="00DD5FB6" w:rsidRPr="00FC1444" w:rsidRDefault="00DD5FB6" w:rsidP="0014551D">
            <w:pPr>
              <w:pStyle w:val="aff7"/>
              <w:spacing w:line="0" w:lineRule="atLeast"/>
              <w:contextualSpacing/>
              <w:jc w:val="left"/>
              <w:rPr>
                <w:rFonts w:eastAsiaTheme="minorEastAsia" w:hAnsi="Times New Roman"/>
                <w:bCs/>
                <w:snapToGrid w:val="0"/>
                <w:kern w:val="0"/>
              </w:rPr>
            </w:pPr>
            <w:r w:rsidRPr="00FC1444">
              <w:rPr>
                <w:rFonts w:eastAsiaTheme="minorEastAsia" w:hAnsi="Times New Roman"/>
                <w:bCs/>
                <w:snapToGrid w:val="0"/>
                <w:kern w:val="0"/>
              </w:rPr>
              <w:t>项目建设期为</w:t>
            </w:r>
            <w:r w:rsidR="00D41946" w:rsidRPr="00FC1444">
              <w:rPr>
                <w:rFonts w:eastAsiaTheme="minorEastAsia" w:hAnsi="Times New Roman"/>
                <w:bCs/>
                <w:snapToGrid w:val="0"/>
                <w:kern w:val="0"/>
              </w:rPr>
              <w:t>2026</w:t>
            </w:r>
            <w:r w:rsidR="00D41946" w:rsidRPr="00FC1444">
              <w:rPr>
                <w:rFonts w:eastAsiaTheme="minorEastAsia" w:hAnsi="Times New Roman"/>
                <w:bCs/>
                <w:snapToGrid w:val="0"/>
                <w:kern w:val="0"/>
              </w:rPr>
              <w:t>年</w:t>
            </w:r>
            <w:r w:rsidR="00D41946" w:rsidRPr="00FC1444">
              <w:rPr>
                <w:rFonts w:eastAsiaTheme="minorEastAsia" w:hAnsi="Times New Roman"/>
                <w:bCs/>
                <w:snapToGrid w:val="0"/>
                <w:kern w:val="0"/>
              </w:rPr>
              <w:t>1</w:t>
            </w:r>
            <w:r w:rsidR="00D41946" w:rsidRPr="00FC1444">
              <w:rPr>
                <w:rFonts w:eastAsiaTheme="minorEastAsia" w:hAnsi="Times New Roman" w:hint="eastAsia"/>
                <w:bCs/>
                <w:snapToGrid w:val="0"/>
                <w:kern w:val="0"/>
              </w:rPr>
              <w:t>1</w:t>
            </w:r>
            <w:r w:rsidR="00D41946" w:rsidRPr="00FC1444">
              <w:rPr>
                <w:rFonts w:eastAsiaTheme="minorEastAsia" w:hAnsi="Times New Roman"/>
                <w:bCs/>
                <w:snapToGrid w:val="0"/>
                <w:kern w:val="0"/>
              </w:rPr>
              <w:t>月～</w:t>
            </w:r>
            <w:r w:rsidR="00D41946" w:rsidRPr="00FC1444">
              <w:rPr>
                <w:rFonts w:eastAsiaTheme="minorEastAsia" w:hAnsi="Times New Roman"/>
                <w:bCs/>
                <w:snapToGrid w:val="0"/>
                <w:kern w:val="0"/>
              </w:rPr>
              <w:t>2028</w:t>
            </w:r>
            <w:r w:rsidR="00D41946" w:rsidRPr="00FC1444">
              <w:rPr>
                <w:rFonts w:eastAsiaTheme="minorEastAsia" w:hAnsi="Times New Roman"/>
                <w:bCs/>
                <w:snapToGrid w:val="0"/>
                <w:kern w:val="0"/>
              </w:rPr>
              <w:t>年</w:t>
            </w:r>
            <w:r w:rsidR="00D41946" w:rsidRPr="00FC1444">
              <w:rPr>
                <w:rFonts w:eastAsiaTheme="minorEastAsia" w:hAnsi="Times New Roman" w:hint="eastAsia"/>
                <w:bCs/>
                <w:snapToGrid w:val="0"/>
                <w:kern w:val="0"/>
              </w:rPr>
              <w:t>9</w:t>
            </w:r>
            <w:r w:rsidR="00D41946" w:rsidRPr="00FC1444">
              <w:rPr>
                <w:rFonts w:eastAsiaTheme="minorEastAsia" w:hAnsi="Times New Roman"/>
                <w:bCs/>
                <w:snapToGrid w:val="0"/>
                <w:kern w:val="0"/>
              </w:rPr>
              <w:t>月</w:t>
            </w:r>
            <w:r w:rsidRPr="00FC1444">
              <w:rPr>
                <w:rFonts w:eastAsiaTheme="minorEastAsia" w:hAnsi="Times New Roman"/>
                <w:bCs/>
                <w:snapToGrid w:val="0"/>
                <w:kern w:val="0"/>
              </w:rPr>
              <w:t>，工期</w:t>
            </w:r>
            <w:r w:rsidR="00D41946" w:rsidRPr="00FC1444">
              <w:rPr>
                <w:rFonts w:eastAsiaTheme="minorEastAsia" w:hAnsi="Times New Roman" w:hint="eastAsia"/>
                <w:bCs/>
                <w:snapToGrid w:val="0"/>
                <w:kern w:val="0"/>
              </w:rPr>
              <w:t>23</w:t>
            </w:r>
            <w:r w:rsidRPr="00FC1444">
              <w:rPr>
                <w:rFonts w:eastAsiaTheme="minorEastAsia" w:hAnsi="Times New Roman"/>
                <w:bCs/>
                <w:snapToGrid w:val="0"/>
                <w:kern w:val="0"/>
              </w:rPr>
              <w:t>个月</w:t>
            </w:r>
          </w:p>
        </w:tc>
      </w:tr>
      <w:tr w:rsidR="00DD5FB6" w:rsidRPr="00FC1444" w:rsidTr="00DD5FB6">
        <w:trPr>
          <w:trHeight w:val="103"/>
          <w:jc w:val="center"/>
        </w:trPr>
        <w:tc>
          <w:tcPr>
            <w:tcW w:w="895" w:type="pct"/>
            <w:gridSpan w:val="2"/>
            <w:vAlign w:val="center"/>
          </w:tcPr>
          <w:p w:rsidR="00DD5FB6" w:rsidRPr="00FC1444" w:rsidRDefault="00DD5FB6">
            <w:pPr>
              <w:jc w:val="center"/>
              <w:rPr>
                <w:rFonts w:eastAsiaTheme="minorEastAsia"/>
                <w:szCs w:val="21"/>
              </w:rPr>
            </w:pPr>
            <w:r w:rsidRPr="00FC1444">
              <w:rPr>
                <w:rFonts w:eastAsiaTheme="minorEastAsia"/>
                <w:szCs w:val="21"/>
              </w:rPr>
              <w:t>土石方工程</w:t>
            </w:r>
          </w:p>
        </w:tc>
        <w:tc>
          <w:tcPr>
            <w:tcW w:w="4105" w:type="pct"/>
            <w:gridSpan w:val="2"/>
            <w:vAlign w:val="center"/>
          </w:tcPr>
          <w:p w:rsidR="00DD5FB6" w:rsidRPr="00FC1444" w:rsidRDefault="00DD5FB6" w:rsidP="00DC0AC5">
            <w:pPr>
              <w:pStyle w:val="aff7"/>
              <w:spacing w:line="0" w:lineRule="atLeast"/>
              <w:contextualSpacing/>
              <w:jc w:val="left"/>
              <w:rPr>
                <w:rFonts w:eastAsiaTheme="minorEastAsia" w:hAnsi="Times New Roman"/>
              </w:rPr>
            </w:pPr>
            <w:r w:rsidRPr="00FC1444">
              <w:rPr>
                <w:rFonts w:eastAsiaTheme="minorEastAsia" w:hAnsi="Times New Roman"/>
              </w:rPr>
              <w:t>土方开挖</w:t>
            </w:r>
            <w:r w:rsidR="00A43F49" w:rsidRPr="00FC1444">
              <w:rPr>
                <w:rFonts w:eastAsiaTheme="minorEastAsia" w:hAnsi="Times New Roman" w:hint="eastAsia"/>
              </w:rPr>
              <w:t>435.6</w:t>
            </w:r>
            <w:r w:rsidRPr="00FC1444">
              <w:rPr>
                <w:rFonts w:eastAsiaTheme="minorEastAsia" w:hAnsi="Times New Roman"/>
              </w:rPr>
              <w:t>万</w:t>
            </w:r>
            <w:r w:rsidRPr="00FC1444">
              <w:rPr>
                <w:rFonts w:eastAsiaTheme="minorEastAsia" w:hAnsi="Times New Roman"/>
              </w:rPr>
              <w:t>m</w:t>
            </w:r>
            <w:r w:rsidRPr="00FC1444">
              <w:rPr>
                <w:rFonts w:eastAsiaTheme="minorEastAsia" w:hAnsi="Times New Roman"/>
                <w:vertAlign w:val="superscript"/>
              </w:rPr>
              <w:t>3</w:t>
            </w:r>
            <w:r w:rsidRPr="00FC1444">
              <w:rPr>
                <w:rFonts w:eastAsiaTheme="minorEastAsia" w:hAnsi="Times New Roman"/>
              </w:rPr>
              <w:t>（含表土</w:t>
            </w:r>
            <w:r w:rsidR="00DC0AC5" w:rsidRPr="00FC1444">
              <w:rPr>
                <w:rFonts w:eastAsiaTheme="minorEastAsia" w:hAnsi="Times New Roman" w:hint="eastAsia"/>
              </w:rPr>
              <w:t>357.6</w:t>
            </w:r>
            <w:r w:rsidRPr="00FC1444">
              <w:rPr>
                <w:rFonts w:eastAsiaTheme="minorEastAsia" w:hAnsi="Times New Roman"/>
              </w:rPr>
              <w:t>万</w:t>
            </w:r>
            <w:r w:rsidRPr="00FC1444">
              <w:rPr>
                <w:rFonts w:eastAsiaTheme="minorEastAsia" w:hAnsi="Times New Roman"/>
              </w:rPr>
              <w:t>m</w:t>
            </w:r>
            <w:r w:rsidRPr="00FC1444">
              <w:rPr>
                <w:rFonts w:eastAsiaTheme="minorEastAsia" w:hAnsi="Times New Roman"/>
                <w:vertAlign w:val="superscript"/>
              </w:rPr>
              <w:t>3</w:t>
            </w:r>
            <w:r w:rsidRPr="00FC1444">
              <w:rPr>
                <w:rFonts w:eastAsiaTheme="minorEastAsia" w:hAnsi="Times New Roman"/>
              </w:rPr>
              <w:t>）。土方回填</w:t>
            </w:r>
            <w:r w:rsidR="00A43F49" w:rsidRPr="00FC1444">
              <w:rPr>
                <w:rFonts w:eastAsiaTheme="minorEastAsia" w:hAnsi="Times New Roman" w:hint="eastAsia"/>
              </w:rPr>
              <w:t>471.6</w:t>
            </w:r>
            <w:r w:rsidRPr="00FC1444">
              <w:rPr>
                <w:rFonts w:eastAsiaTheme="minorEastAsia" w:hAnsi="Times New Roman"/>
              </w:rPr>
              <w:t>万</w:t>
            </w:r>
            <w:r w:rsidRPr="00FC1444">
              <w:rPr>
                <w:rFonts w:eastAsiaTheme="minorEastAsia" w:hAnsi="Times New Roman"/>
              </w:rPr>
              <w:t>m</w:t>
            </w:r>
            <w:r w:rsidRPr="00FC1444">
              <w:rPr>
                <w:rFonts w:eastAsiaTheme="minorEastAsia" w:hAnsi="Times New Roman"/>
                <w:vertAlign w:val="superscript"/>
              </w:rPr>
              <w:t>3</w:t>
            </w:r>
            <w:r w:rsidRPr="00FC1444">
              <w:rPr>
                <w:rFonts w:eastAsiaTheme="minorEastAsia" w:hAnsi="Times New Roman"/>
              </w:rPr>
              <w:t>（含表土</w:t>
            </w:r>
            <w:r w:rsidR="00DC0AC5" w:rsidRPr="00FC1444">
              <w:rPr>
                <w:rFonts w:eastAsiaTheme="minorEastAsia" w:hAnsi="Times New Roman" w:hint="eastAsia"/>
              </w:rPr>
              <w:t>357.6</w:t>
            </w:r>
            <w:r w:rsidRPr="00FC1444">
              <w:rPr>
                <w:rFonts w:eastAsiaTheme="minorEastAsia" w:hAnsi="Times New Roman"/>
              </w:rPr>
              <w:t>万</w:t>
            </w:r>
            <w:r w:rsidRPr="00FC1444">
              <w:rPr>
                <w:rFonts w:eastAsiaTheme="minorEastAsia" w:hAnsi="Times New Roman"/>
              </w:rPr>
              <w:t>m</w:t>
            </w:r>
            <w:r w:rsidRPr="00FC1444">
              <w:rPr>
                <w:rFonts w:eastAsiaTheme="minorEastAsia" w:hAnsi="Times New Roman"/>
                <w:vertAlign w:val="superscript"/>
              </w:rPr>
              <w:t>3</w:t>
            </w:r>
            <w:r w:rsidRPr="00FC1444">
              <w:rPr>
                <w:rFonts w:eastAsiaTheme="minorEastAsia" w:hAnsi="Times New Roman"/>
              </w:rPr>
              <w:t>）。利用方</w:t>
            </w:r>
            <w:r w:rsidR="00A43F49" w:rsidRPr="00FC1444">
              <w:rPr>
                <w:rFonts w:eastAsiaTheme="minorEastAsia" w:hAnsi="Times New Roman" w:hint="eastAsia"/>
              </w:rPr>
              <w:t>413</w:t>
            </w:r>
            <w:r w:rsidRPr="00FC1444">
              <w:rPr>
                <w:rFonts w:eastAsiaTheme="minorEastAsia" w:hAnsi="Times New Roman"/>
              </w:rPr>
              <w:t>万</w:t>
            </w:r>
            <w:r w:rsidRPr="00FC1444">
              <w:rPr>
                <w:rFonts w:eastAsiaTheme="minorEastAsia" w:hAnsi="Times New Roman"/>
              </w:rPr>
              <w:t>m</w:t>
            </w:r>
            <w:r w:rsidRPr="00FC1444">
              <w:rPr>
                <w:rFonts w:eastAsiaTheme="minorEastAsia" w:hAnsi="Times New Roman"/>
                <w:vertAlign w:val="superscript"/>
              </w:rPr>
              <w:t>3</w:t>
            </w:r>
            <w:r w:rsidRPr="00FC1444">
              <w:rPr>
                <w:rFonts w:eastAsiaTheme="minorEastAsia" w:hAnsi="Times New Roman"/>
              </w:rPr>
              <w:t>（含表土</w:t>
            </w:r>
            <w:r w:rsidR="00DC0AC5" w:rsidRPr="00FC1444">
              <w:rPr>
                <w:rFonts w:eastAsiaTheme="minorEastAsia" w:hAnsi="Times New Roman" w:hint="eastAsia"/>
              </w:rPr>
              <w:t>357.6</w:t>
            </w:r>
            <w:r w:rsidRPr="00FC1444">
              <w:rPr>
                <w:rFonts w:eastAsiaTheme="minorEastAsia" w:hAnsi="Times New Roman"/>
              </w:rPr>
              <w:t>万</w:t>
            </w:r>
            <w:r w:rsidRPr="00FC1444">
              <w:rPr>
                <w:rFonts w:eastAsiaTheme="minorEastAsia" w:hAnsi="Times New Roman"/>
              </w:rPr>
              <w:t>m</w:t>
            </w:r>
            <w:r w:rsidRPr="00FC1444">
              <w:rPr>
                <w:rFonts w:eastAsiaTheme="minorEastAsia" w:hAnsi="Times New Roman"/>
                <w:vertAlign w:val="superscript"/>
              </w:rPr>
              <w:t>3</w:t>
            </w:r>
            <w:r w:rsidRPr="00FC1444">
              <w:rPr>
                <w:rFonts w:eastAsiaTheme="minorEastAsia" w:hAnsi="Times New Roman"/>
              </w:rPr>
              <w:t>），借方</w:t>
            </w:r>
            <w:r w:rsidR="00A43F49" w:rsidRPr="00FC1444">
              <w:rPr>
                <w:rFonts w:eastAsiaTheme="minorEastAsia" w:hAnsi="Times New Roman" w:hint="eastAsia"/>
              </w:rPr>
              <w:t>58.6</w:t>
            </w:r>
            <w:r w:rsidRPr="00FC1444">
              <w:rPr>
                <w:rFonts w:eastAsiaTheme="minorEastAsia" w:hAnsi="Times New Roman"/>
              </w:rPr>
              <w:t>万</w:t>
            </w:r>
            <w:r w:rsidRPr="00FC1444">
              <w:rPr>
                <w:rFonts w:eastAsiaTheme="minorEastAsia" w:hAnsi="Times New Roman"/>
              </w:rPr>
              <w:t>m</w:t>
            </w:r>
            <w:r w:rsidRPr="00FC1444">
              <w:rPr>
                <w:rFonts w:eastAsiaTheme="minorEastAsia" w:hAnsi="Times New Roman"/>
                <w:vertAlign w:val="superscript"/>
              </w:rPr>
              <w:t>3</w:t>
            </w:r>
            <w:r w:rsidRPr="00FC1444">
              <w:rPr>
                <w:rFonts w:eastAsiaTheme="minorEastAsia" w:hAnsi="Times New Roman"/>
              </w:rPr>
              <w:t>。弃方</w:t>
            </w:r>
            <w:r w:rsidR="00A43F49" w:rsidRPr="00FC1444">
              <w:rPr>
                <w:rFonts w:eastAsiaTheme="minorEastAsia" w:hAnsi="Times New Roman" w:hint="eastAsia"/>
              </w:rPr>
              <w:t>22.6</w:t>
            </w:r>
            <w:r w:rsidRPr="00FC1444">
              <w:rPr>
                <w:rFonts w:eastAsiaTheme="minorEastAsia" w:hAnsi="Times New Roman"/>
              </w:rPr>
              <w:t>万</w:t>
            </w:r>
            <w:r w:rsidRPr="00FC1444">
              <w:rPr>
                <w:rFonts w:eastAsiaTheme="minorEastAsia" w:hAnsi="Times New Roman"/>
              </w:rPr>
              <w:t>m</w:t>
            </w:r>
            <w:r w:rsidRPr="00FC1444">
              <w:rPr>
                <w:rFonts w:eastAsiaTheme="minorEastAsia" w:hAnsi="Times New Roman"/>
                <w:vertAlign w:val="superscript"/>
              </w:rPr>
              <w:t>3</w:t>
            </w:r>
            <w:r w:rsidRPr="00FC1444">
              <w:rPr>
                <w:rFonts w:eastAsiaTheme="minorEastAsia" w:hAnsi="Times New Roman"/>
              </w:rPr>
              <w:t>（建筑垃圾大部分用于</w:t>
            </w:r>
            <w:r w:rsidRPr="00FC1444">
              <w:rPr>
                <w:rFonts w:eastAsiaTheme="minorEastAsia" w:hAnsi="Times New Roman"/>
                <w:snapToGrid w:val="0"/>
                <w:kern w:val="0"/>
              </w:rPr>
              <w:t>田块整治工程，剩余</w:t>
            </w:r>
            <w:r w:rsidRPr="00FC1444">
              <w:rPr>
                <w:rFonts w:eastAsiaTheme="minorEastAsia" w:hAnsi="Times New Roman"/>
              </w:rPr>
              <w:t>及时送至建材公司回用，废泥浆风干后用于周围道路平整，</w:t>
            </w:r>
            <w:r w:rsidR="00730492" w:rsidRPr="00FC1444">
              <w:rPr>
                <w:rFonts w:eastAsiaTheme="minorEastAsia" w:hAnsi="Times New Roman"/>
                <w:bCs/>
              </w:rPr>
              <w:t>排水沟淤泥培至工程附近</w:t>
            </w:r>
            <w:r w:rsidR="00730492" w:rsidRPr="00FC1444">
              <w:rPr>
                <w:rFonts w:eastAsiaTheme="minorEastAsia" w:hAnsi="Times New Roman"/>
                <w:bCs/>
              </w:rPr>
              <w:t>200</w:t>
            </w:r>
            <w:r w:rsidR="00730492" w:rsidRPr="00FC1444">
              <w:rPr>
                <w:rFonts w:eastAsiaTheme="minorEastAsia" w:hAnsi="Times New Roman"/>
                <w:bCs/>
              </w:rPr>
              <w:t>米范围内无环境保护目标的排水沟两侧</w:t>
            </w:r>
            <w:r w:rsidRPr="00FC1444">
              <w:rPr>
                <w:rFonts w:eastAsiaTheme="minorEastAsia" w:hAnsi="Times New Roman"/>
              </w:rPr>
              <w:t>）</w:t>
            </w:r>
          </w:p>
        </w:tc>
      </w:tr>
      <w:tr w:rsidR="00386D57" w:rsidRPr="00FC1444" w:rsidTr="00AB10DD">
        <w:trPr>
          <w:trHeight w:val="103"/>
          <w:jc w:val="center"/>
        </w:trPr>
        <w:tc>
          <w:tcPr>
            <w:tcW w:w="395" w:type="pct"/>
            <w:vMerge w:val="restart"/>
            <w:vAlign w:val="center"/>
          </w:tcPr>
          <w:p w:rsidR="00386D57" w:rsidRPr="00FC1444" w:rsidRDefault="00386D57" w:rsidP="009D380C">
            <w:pPr>
              <w:pStyle w:val="aff7"/>
              <w:spacing w:line="0" w:lineRule="atLeast"/>
              <w:contextualSpacing/>
              <w:rPr>
                <w:rFonts w:eastAsiaTheme="minorEastAsia" w:hAnsi="Times New Roman"/>
              </w:rPr>
            </w:pPr>
            <w:r w:rsidRPr="00FC1444">
              <w:rPr>
                <w:rFonts w:eastAsiaTheme="minorEastAsia" w:hAnsi="Times New Roman"/>
              </w:rPr>
              <w:t>临时工程</w:t>
            </w:r>
          </w:p>
        </w:tc>
        <w:tc>
          <w:tcPr>
            <w:tcW w:w="500" w:type="pct"/>
            <w:vAlign w:val="center"/>
          </w:tcPr>
          <w:p w:rsidR="00386D57" w:rsidRPr="00FC1444" w:rsidRDefault="00386D57">
            <w:pPr>
              <w:jc w:val="center"/>
              <w:rPr>
                <w:rFonts w:eastAsiaTheme="minorEastAsia"/>
                <w:szCs w:val="21"/>
              </w:rPr>
            </w:pPr>
            <w:r w:rsidRPr="00FC1444">
              <w:rPr>
                <w:rFonts w:eastAsiaTheme="minorEastAsia"/>
                <w:szCs w:val="21"/>
              </w:rPr>
              <w:t>施工道路</w:t>
            </w:r>
          </w:p>
        </w:tc>
        <w:tc>
          <w:tcPr>
            <w:tcW w:w="3411" w:type="pct"/>
            <w:vAlign w:val="center"/>
          </w:tcPr>
          <w:p w:rsidR="00386D57" w:rsidRPr="00FC1444" w:rsidRDefault="00386D57">
            <w:pPr>
              <w:spacing w:line="0" w:lineRule="atLeast"/>
              <w:jc w:val="left"/>
              <w:rPr>
                <w:rFonts w:eastAsiaTheme="minorEastAsia"/>
                <w:szCs w:val="21"/>
              </w:rPr>
            </w:pPr>
            <w:r w:rsidRPr="00FC1444">
              <w:rPr>
                <w:rFonts w:eastAsiaTheme="minorEastAsia"/>
                <w:szCs w:val="21"/>
              </w:rPr>
              <w:t>大部分工程利用现有水泥路、砂石路及村地头路。</w:t>
            </w:r>
            <w:r w:rsidRPr="00FC1444">
              <w:rPr>
                <w:rFonts w:eastAsiaTheme="minorEastAsia"/>
                <w:bCs/>
                <w:kern w:val="0"/>
                <w:szCs w:val="21"/>
              </w:rPr>
              <w:t>输配电</w:t>
            </w:r>
            <w:r w:rsidRPr="00FC1444">
              <w:rPr>
                <w:rFonts w:eastAsiaTheme="minorEastAsia"/>
                <w:szCs w:val="21"/>
              </w:rPr>
              <w:t>、排水、涵洞等</w:t>
            </w:r>
            <w:r w:rsidRPr="00FC1444">
              <w:rPr>
                <w:rFonts w:eastAsiaTheme="minorEastAsia"/>
                <w:bCs/>
                <w:kern w:val="0"/>
                <w:szCs w:val="21"/>
              </w:rPr>
              <w:t>工程</w:t>
            </w:r>
            <w:r w:rsidRPr="00FC1444">
              <w:rPr>
                <w:rFonts w:eastAsiaTheme="minorEastAsia"/>
              </w:rPr>
              <w:t>地点均距离道路较近，</w:t>
            </w:r>
            <w:r w:rsidRPr="00FC1444">
              <w:rPr>
                <w:rFonts w:eastAsiaTheme="minorEastAsia"/>
                <w:szCs w:val="21"/>
              </w:rPr>
              <w:t>不设置临时道路；</w:t>
            </w:r>
            <w:r w:rsidRPr="00FC1444">
              <w:rPr>
                <w:rFonts w:eastAsiaTheme="minorEastAsia"/>
              </w:rPr>
              <w:t>灌溉井工程运输机械进入施工场地过程中占用少量农田，</w:t>
            </w:r>
            <w:r w:rsidRPr="00FC1444">
              <w:rPr>
                <w:rFonts w:eastAsiaTheme="minorEastAsia"/>
                <w:szCs w:val="21"/>
              </w:rPr>
              <w:t>作为临时道路（宽约</w:t>
            </w:r>
            <w:r w:rsidRPr="00FC1444">
              <w:rPr>
                <w:rFonts w:eastAsiaTheme="minorEastAsia"/>
                <w:szCs w:val="21"/>
              </w:rPr>
              <w:t>2m</w:t>
            </w:r>
            <w:r w:rsidRPr="00FC1444">
              <w:rPr>
                <w:rFonts w:eastAsiaTheme="minorEastAsia"/>
                <w:szCs w:val="21"/>
              </w:rPr>
              <w:t>，临时占地共约</w:t>
            </w:r>
            <w:r w:rsidRPr="00FC1444">
              <w:rPr>
                <w:rFonts w:eastAsiaTheme="minorEastAsia"/>
                <w:szCs w:val="21"/>
              </w:rPr>
              <w:t>2640m</w:t>
            </w:r>
            <w:r w:rsidRPr="00FC1444">
              <w:rPr>
                <w:rFonts w:eastAsiaTheme="minorEastAsia"/>
                <w:szCs w:val="21"/>
                <w:vertAlign w:val="superscript"/>
              </w:rPr>
              <w:t>2</w:t>
            </w:r>
            <w:r w:rsidRPr="00FC1444">
              <w:rPr>
                <w:rFonts w:eastAsiaTheme="minorEastAsia"/>
                <w:szCs w:val="21"/>
              </w:rPr>
              <w:t>）</w:t>
            </w:r>
          </w:p>
        </w:tc>
        <w:tc>
          <w:tcPr>
            <w:tcW w:w="694" w:type="pct"/>
            <w:vAlign w:val="center"/>
          </w:tcPr>
          <w:p w:rsidR="00386D57" w:rsidRPr="00FC1444" w:rsidRDefault="00386D57">
            <w:pPr>
              <w:pStyle w:val="aff7"/>
              <w:spacing w:line="0" w:lineRule="atLeast"/>
              <w:contextualSpacing/>
              <w:rPr>
                <w:rFonts w:eastAsiaTheme="minorEastAsia" w:hAnsi="Times New Roman"/>
              </w:rPr>
            </w:pPr>
            <w:r w:rsidRPr="00FC1444">
              <w:rPr>
                <w:rFonts w:eastAsiaTheme="minorEastAsia" w:hAnsi="Times New Roman"/>
              </w:rPr>
              <w:t>灌溉井工程新建；其余依托现有</w:t>
            </w:r>
          </w:p>
        </w:tc>
      </w:tr>
      <w:tr w:rsidR="00386D57" w:rsidRPr="00FC1444" w:rsidTr="00AB10DD">
        <w:trPr>
          <w:trHeight w:val="103"/>
          <w:jc w:val="center"/>
        </w:trPr>
        <w:tc>
          <w:tcPr>
            <w:tcW w:w="395" w:type="pct"/>
            <w:vMerge/>
            <w:vAlign w:val="center"/>
          </w:tcPr>
          <w:p w:rsidR="00386D57" w:rsidRPr="00FC1444" w:rsidRDefault="00386D57" w:rsidP="009D380C">
            <w:pPr>
              <w:pStyle w:val="aff7"/>
              <w:spacing w:line="0" w:lineRule="atLeast"/>
              <w:contextualSpacing/>
              <w:rPr>
                <w:rFonts w:eastAsiaTheme="minorEastAsia" w:hAnsi="Times New Roman"/>
              </w:rPr>
            </w:pPr>
          </w:p>
        </w:tc>
        <w:tc>
          <w:tcPr>
            <w:tcW w:w="500" w:type="pct"/>
            <w:vAlign w:val="center"/>
          </w:tcPr>
          <w:p w:rsidR="00386D57" w:rsidRPr="00FC1444" w:rsidRDefault="00386D57">
            <w:pPr>
              <w:jc w:val="center"/>
              <w:rPr>
                <w:rFonts w:eastAsiaTheme="minorEastAsia"/>
                <w:szCs w:val="21"/>
              </w:rPr>
            </w:pPr>
            <w:r w:rsidRPr="00FC1444">
              <w:rPr>
                <w:rFonts w:eastAsiaTheme="minorEastAsia"/>
                <w:szCs w:val="21"/>
              </w:rPr>
              <w:t>施工场地</w:t>
            </w:r>
          </w:p>
        </w:tc>
        <w:tc>
          <w:tcPr>
            <w:tcW w:w="3411" w:type="pct"/>
            <w:vAlign w:val="center"/>
          </w:tcPr>
          <w:p w:rsidR="00386D57" w:rsidRPr="00FC1444" w:rsidRDefault="00386D57" w:rsidP="0014551D">
            <w:pPr>
              <w:spacing w:line="0" w:lineRule="atLeast"/>
              <w:jc w:val="left"/>
              <w:rPr>
                <w:rFonts w:eastAsiaTheme="minorEastAsia"/>
                <w:szCs w:val="21"/>
              </w:rPr>
            </w:pPr>
            <w:r w:rsidRPr="00FC1444">
              <w:rPr>
                <w:rFonts w:eastAsiaTheme="minorEastAsia"/>
                <w:szCs w:val="21"/>
              </w:rPr>
              <w:t>田间道路工程在现有道路基础上修建，现有</w:t>
            </w:r>
            <w:r w:rsidRPr="00FC1444">
              <w:rPr>
                <w:rFonts w:eastAsiaTheme="minorEastAsia"/>
                <w:snapToGrid w:val="0"/>
                <w:kern w:val="0"/>
              </w:rPr>
              <w:t>灌溉渠道衬砌，</w:t>
            </w:r>
            <w:r w:rsidRPr="00FC1444">
              <w:rPr>
                <w:rFonts w:eastAsiaTheme="minorEastAsia"/>
                <w:szCs w:val="21"/>
              </w:rPr>
              <w:t>现有排水沟清淤，田块整治工程</w:t>
            </w:r>
            <w:r w:rsidRPr="00FC1444">
              <w:rPr>
                <w:rFonts w:eastAsiaTheme="minorEastAsia"/>
                <w:bCs/>
              </w:rPr>
              <w:t>在永久占地范围内</w:t>
            </w:r>
            <w:r w:rsidRPr="00FC1444">
              <w:rPr>
                <w:rFonts w:eastAsiaTheme="minorEastAsia"/>
                <w:szCs w:val="21"/>
              </w:rPr>
              <w:t>，不新增临时占地；</w:t>
            </w:r>
            <w:r w:rsidR="0014551D" w:rsidRPr="00FC1444">
              <w:rPr>
                <w:rFonts w:eastAsiaTheme="minorEastAsia"/>
                <w:szCs w:val="21"/>
              </w:rPr>
              <w:t>机电井工程每口设置</w:t>
            </w:r>
            <w:r w:rsidR="0014551D" w:rsidRPr="00FC1444">
              <w:rPr>
                <w:rFonts w:eastAsiaTheme="minorEastAsia"/>
                <w:szCs w:val="21"/>
              </w:rPr>
              <w:t>1</w:t>
            </w:r>
            <w:r w:rsidR="0014551D" w:rsidRPr="00FC1444">
              <w:rPr>
                <w:rFonts w:eastAsiaTheme="minorEastAsia"/>
                <w:szCs w:val="21"/>
              </w:rPr>
              <w:t>处</w:t>
            </w:r>
            <w:r w:rsidR="0014551D" w:rsidRPr="00FC1444">
              <w:rPr>
                <w:rFonts w:eastAsiaTheme="minorEastAsia"/>
                <w:szCs w:val="21"/>
              </w:rPr>
              <w:t>20m</w:t>
            </w:r>
            <w:r w:rsidR="0014551D" w:rsidRPr="00FC1444">
              <w:rPr>
                <w:rFonts w:eastAsiaTheme="minorEastAsia"/>
                <w:szCs w:val="21"/>
                <w:vertAlign w:val="superscript"/>
              </w:rPr>
              <w:t>2</w:t>
            </w:r>
            <w:r w:rsidR="0014551D" w:rsidRPr="00FC1444">
              <w:rPr>
                <w:rFonts w:eastAsiaTheme="minorEastAsia"/>
                <w:szCs w:val="21"/>
              </w:rPr>
              <w:t>临时占地，共</w:t>
            </w:r>
            <w:r w:rsidR="0014551D" w:rsidRPr="00FC1444">
              <w:rPr>
                <w:rFonts w:eastAsiaTheme="minorEastAsia" w:hint="eastAsia"/>
                <w:szCs w:val="21"/>
              </w:rPr>
              <w:t>3120</w:t>
            </w:r>
            <w:r w:rsidR="0014551D" w:rsidRPr="00FC1444">
              <w:rPr>
                <w:rFonts w:eastAsiaTheme="minorEastAsia"/>
                <w:szCs w:val="21"/>
              </w:rPr>
              <w:t>m</w:t>
            </w:r>
            <w:r w:rsidR="0014551D" w:rsidRPr="00FC1444">
              <w:rPr>
                <w:rFonts w:eastAsiaTheme="minorEastAsia"/>
                <w:szCs w:val="21"/>
                <w:vertAlign w:val="superscript"/>
              </w:rPr>
              <w:t>2</w:t>
            </w:r>
            <w:r w:rsidR="0014551D" w:rsidRPr="00FC1444">
              <w:rPr>
                <w:rFonts w:eastAsiaTheme="minorEastAsia"/>
                <w:szCs w:val="21"/>
              </w:rPr>
              <w:t>；灌溉井工程临时道路，临时占地共约</w:t>
            </w:r>
            <w:r w:rsidR="0014551D" w:rsidRPr="00FC1444">
              <w:rPr>
                <w:rFonts w:eastAsiaTheme="minorEastAsia" w:hint="eastAsia"/>
                <w:szCs w:val="21"/>
              </w:rPr>
              <w:t>1500</w:t>
            </w:r>
            <w:r w:rsidR="0014551D" w:rsidRPr="00FC1444">
              <w:rPr>
                <w:rFonts w:eastAsiaTheme="minorEastAsia"/>
                <w:szCs w:val="21"/>
              </w:rPr>
              <w:t>m</w:t>
            </w:r>
            <w:r w:rsidR="0014551D" w:rsidRPr="00FC1444">
              <w:rPr>
                <w:rFonts w:eastAsiaTheme="minorEastAsia"/>
                <w:szCs w:val="21"/>
                <w:vertAlign w:val="superscript"/>
              </w:rPr>
              <w:t>2</w:t>
            </w:r>
            <w:r w:rsidR="0014551D" w:rsidRPr="00FC1444">
              <w:rPr>
                <w:rFonts w:eastAsiaTheme="minorEastAsia"/>
                <w:szCs w:val="21"/>
              </w:rPr>
              <w:t>；涵洞等建筑物工程每座设置</w:t>
            </w:r>
            <w:r w:rsidR="0014551D" w:rsidRPr="00FC1444">
              <w:rPr>
                <w:rFonts w:eastAsiaTheme="minorEastAsia"/>
                <w:szCs w:val="21"/>
              </w:rPr>
              <w:t>1</w:t>
            </w:r>
            <w:r w:rsidR="0014551D" w:rsidRPr="00FC1444">
              <w:rPr>
                <w:rFonts w:eastAsiaTheme="minorEastAsia"/>
                <w:szCs w:val="21"/>
              </w:rPr>
              <w:t>处</w:t>
            </w:r>
            <w:r w:rsidR="0014551D" w:rsidRPr="00FC1444">
              <w:rPr>
                <w:rFonts w:eastAsiaTheme="minorEastAsia"/>
                <w:szCs w:val="21"/>
              </w:rPr>
              <w:t>20m</w:t>
            </w:r>
            <w:r w:rsidR="0014551D" w:rsidRPr="00FC1444">
              <w:rPr>
                <w:rFonts w:eastAsiaTheme="minorEastAsia"/>
                <w:szCs w:val="21"/>
                <w:vertAlign w:val="superscript"/>
              </w:rPr>
              <w:t>2</w:t>
            </w:r>
            <w:r w:rsidR="0014551D" w:rsidRPr="00FC1444">
              <w:rPr>
                <w:rFonts w:eastAsiaTheme="minorEastAsia"/>
                <w:szCs w:val="21"/>
              </w:rPr>
              <w:t>临时占地，共</w:t>
            </w:r>
            <w:r w:rsidR="0014551D" w:rsidRPr="00FC1444">
              <w:rPr>
                <w:rFonts w:eastAsiaTheme="minorEastAsia"/>
                <w:szCs w:val="21"/>
              </w:rPr>
              <w:t>29000m</w:t>
            </w:r>
            <w:r w:rsidR="0014551D" w:rsidRPr="00FC1444">
              <w:rPr>
                <w:rFonts w:eastAsiaTheme="minorEastAsia"/>
                <w:szCs w:val="21"/>
                <w:vertAlign w:val="superscript"/>
              </w:rPr>
              <w:t>2</w:t>
            </w:r>
            <w:r w:rsidR="0014551D" w:rsidRPr="00FC1444">
              <w:rPr>
                <w:rFonts w:eastAsiaTheme="minorEastAsia"/>
                <w:szCs w:val="21"/>
              </w:rPr>
              <w:t>。农田输配电工程高压地埋输电线路</w:t>
            </w:r>
            <w:r w:rsidR="0014551D" w:rsidRPr="00FC1444">
              <w:rPr>
                <w:rFonts w:eastAsiaTheme="minorEastAsia" w:hint="eastAsia"/>
                <w:szCs w:val="21"/>
              </w:rPr>
              <w:t>111.836</w:t>
            </w:r>
            <w:r w:rsidR="0014551D" w:rsidRPr="00FC1444">
              <w:rPr>
                <w:rFonts w:eastAsiaTheme="minorEastAsia"/>
                <w:szCs w:val="21"/>
              </w:rPr>
              <w:t>公里，低压地埋电线路</w:t>
            </w:r>
            <w:r w:rsidR="0014551D" w:rsidRPr="00FC1444">
              <w:rPr>
                <w:rFonts w:eastAsiaTheme="minorEastAsia" w:hint="eastAsia"/>
                <w:szCs w:val="21"/>
              </w:rPr>
              <w:t>21.73</w:t>
            </w:r>
            <w:r w:rsidR="0014551D" w:rsidRPr="00FC1444">
              <w:rPr>
                <w:rFonts w:eastAsiaTheme="minorEastAsia"/>
                <w:szCs w:val="21"/>
              </w:rPr>
              <w:t>公里，高压电缆开挖宽度为</w:t>
            </w:r>
            <w:r w:rsidR="0014551D" w:rsidRPr="00FC1444">
              <w:rPr>
                <w:rFonts w:eastAsiaTheme="minorEastAsia"/>
                <w:szCs w:val="21"/>
              </w:rPr>
              <w:t>0.6m</w:t>
            </w:r>
            <w:r w:rsidR="0014551D" w:rsidRPr="00FC1444">
              <w:rPr>
                <w:rFonts w:eastAsiaTheme="minorEastAsia" w:hint="eastAsia"/>
                <w:szCs w:val="21"/>
              </w:rPr>
              <w:t>，</w:t>
            </w:r>
            <w:r w:rsidR="0014551D" w:rsidRPr="00FC1444">
              <w:rPr>
                <w:rFonts w:eastAsiaTheme="minorEastAsia"/>
                <w:szCs w:val="21"/>
              </w:rPr>
              <w:t>低压电缆开挖宽度为</w:t>
            </w:r>
            <w:r w:rsidR="0014551D" w:rsidRPr="00FC1444">
              <w:rPr>
                <w:rFonts w:eastAsiaTheme="minorEastAsia"/>
                <w:szCs w:val="21"/>
              </w:rPr>
              <w:t>0.4m</w:t>
            </w:r>
            <w:r w:rsidR="0014551D" w:rsidRPr="00FC1444">
              <w:rPr>
                <w:rFonts w:eastAsiaTheme="minorEastAsia"/>
                <w:szCs w:val="21"/>
              </w:rPr>
              <w:t>，沿线一侧外扩</w:t>
            </w:r>
            <w:r w:rsidR="0014551D" w:rsidRPr="00FC1444">
              <w:rPr>
                <w:rFonts w:eastAsiaTheme="minorEastAsia"/>
                <w:szCs w:val="21"/>
              </w:rPr>
              <w:t>3m</w:t>
            </w:r>
            <w:r w:rsidR="0014551D" w:rsidRPr="00FC1444">
              <w:rPr>
                <w:rFonts w:eastAsiaTheme="minorEastAsia"/>
                <w:szCs w:val="21"/>
              </w:rPr>
              <w:t>为临时占地施工场地，共设置</w:t>
            </w:r>
            <w:r w:rsidR="0014551D" w:rsidRPr="00FC1444">
              <w:rPr>
                <w:rFonts w:eastAsiaTheme="minorEastAsia"/>
                <w:szCs w:val="21"/>
              </w:rPr>
              <w:t>194</w:t>
            </w:r>
            <w:r w:rsidR="0014551D" w:rsidRPr="00FC1444">
              <w:rPr>
                <w:rFonts w:eastAsiaTheme="minorEastAsia"/>
                <w:szCs w:val="21"/>
              </w:rPr>
              <w:t>根水泥电杆，变压器为杆上变压器，每处设置</w:t>
            </w:r>
            <w:r w:rsidR="0014551D" w:rsidRPr="00FC1444">
              <w:rPr>
                <w:rFonts w:eastAsiaTheme="minorEastAsia"/>
                <w:szCs w:val="21"/>
              </w:rPr>
              <w:t>15m</w:t>
            </w:r>
            <w:r w:rsidR="0014551D" w:rsidRPr="00FC1444">
              <w:rPr>
                <w:rFonts w:eastAsiaTheme="minorEastAsia"/>
                <w:szCs w:val="21"/>
                <w:vertAlign w:val="superscript"/>
              </w:rPr>
              <w:t>2</w:t>
            </w:r>
            <w:r w:rsidR="0014551D" w:rsidRPr="00FC1444">
              <w:rPr>
                <w:rFonts w:eastAsiaTheme="minorEastAsia"/>
                <w:szCs w:val="21"/>
              </w:rPr>
              <w:t>临时占地，临时占地共</w:t>
            </w:r>
            <w:r w:rsidR="0014551D" w:rsidRPr="00FC1444">
              <w:rPr>
                <w:rFonts w:eastAsiaTheme="minorEastAsia" w:hint="eastAsia"/>
                <w:szCs w:val="21"/>
              </w:rPr>
              <w:t>479402</w:t>
            </w:r>
            <w:r w:rsidR="0014551D" w:rsidRPr="00FC1444">
              <w:rPr>
                <w:rFonts w:eastAsiaTheme="minorEastAsia"/>
                <w:szCs w:val="21"/>
              </w:rPr>
              <w:t>m</w:t>
            </w:r>
            <w:r w:rsidR="0014551D" w:rsidRPr="00FC1444">
              <w:rPr>
                <w:rFonts w:eastAsiaTheme="minorEastAsia"/>
                <w:szCs w:val="21"/>
                <w:vertAlign w:val="superscript"/>
              </w:rPr>
              <w:t>2</w:t>
            </w:r>
          </w:p>
        </w:tc>
        <w:tc>
          <w:tcPr>
            <w:tcW w:w="694" w:type="pct"/>
            <w:vAlign w:val="center"/>
          </w:tcPr>
          <w:p w:rsidR="00386D57" w:rsidRPr="00FC1444" w:rsidRDefault="00386D57">
            <w:pPr>
              <w:pStyle w:val="aff7"/>
              <w:spacing w:line="0" w:lineRule="atLeast"/>
              <w:contextualSpacing/>
              <w:rPr>
                <w:rFonts w:eastAsiaTheme="minorEastAsia" w:hAnsi="Times New Roman"/>
              </w:rPr>
            </w:pPr>
            <w:r w:rsidRPr="00FC1444">
              <w:rPr>
                <w:rFonts w:eastAsiaTheme="minorEastAsia" w:hAnsi="Times New Roman"/>
              </w:rPr>
              <w:t>新建</w:t>
            </w:r>
            <w:r w:rsidRPr="00FC1444">
              <w:rPr>
                <w:rFonts w:eastAsiaTheme="minorEastAsia" w:hAnsi="Times New Roman"/>
              </w:rPr>
              <w:t>/</w:t>
            </w:r>
            <w:r w:rsidRPr="00FC1444">
              <w:rPr>
                <w:rFonts w:eastAsiaTheme="minorEastAsia" w:hAnsi="Times New Roman"/>
              </w:rPr>
              <w:t>依托</w:t>
            </w:r>
          </w:p>
        </w:tc>
      </w:tr>
      <w:tr w:rsidR="00386D57" w:rsidRPr="00FC1444" w:rsidTr="00AB10DD">
        <w:trPr>
          <w:trHeight w:val="103"/>
          <w:jc w:val="center"/>
        </w:trPr>
        <w:tc>
          <w:tcPr>
            <w:tcW w:w="395" w:type="pct"/>
            <w:vMerge/>
            <w:vAlign w:val="center"/>
          </w:tcPr>
          <w:p w:rsidR="00386D57" w:rsidRPr="00FC1444" w:rsidRDefault="00386D57">
            <w:pPr>
              <w:pStyle w:val="aff7"/>
              <w:spacing w:line="0" w:lineRule="atLeast"/>
              <w:contextualSpacing/>
              <w:rPr>
                <w:rFonts w:eastAsiaTheme="minorEastAsia" w:hAnsi="Times New Roman"/>
              </w:rPr>
            </w:pPr>
          </w:p>
        </w:tc>
        <w:tc>
          <w:tcPr>
            <w:tcW w:w="500" w:type="pct"/>
            <w:vAlign w:val="center"/>
          </w:tcPr>
          <w:p w:rsidR="00386D57" w:rsidRPr="00FC1444" w:rsidRDefault="00386D57">
            <w:pPr>
              <w:jc w:val="center"/>
              <w:rPr>
                <w:rFonts w:eastAsiaTheme="minorEastAsia"/>
                <w:szCs w:val="21"/>
              </w:rPr>
            </w:pPr>
            <w:r w:rsidRPr="00FC1444">
              <w:rPr>
                <w:rFonts w:eastAsiaTheme="minorEastAsia"/>
                <w:szCs w:val="21"/>
              </w:rPr>
              <w:t>生活区</w:t>
            </w:r>
          </w:p>
        </w:tc>
        <w:tc>
          <w:tcPr>
            <w:tcW w:w="3411" w:type="pct"/>
            <w:vAlign w:val="center"/>
          </w:tcPr>
          <w:p w:rsidR="00386D57" w:rsidRPr="00FC1444" w:rsidRDefault="00386D57">
            <w:pPr>
              <w:spacing w:line="0" w:lineRule="atLeast"/>
              <w:jc w:val="left"/>
              <w:rPr>
                <w:rFonts w:eastAsiaTheme="minorEastAsia"/>
                <w:szCs w:val="21"/>
              </w:rPr>
            </w:pPr>
            <w:r w:rsidRPr="00FC1444">
              <w:rPr>
                <w:rFonts w:eastAsiaTheme="minorEastAsia"/>
                <w:szCs w:val="21"/>
              </w:rPr>
              <w:t>生活区依托附近民房，因此，不设置施工生活区</w:t>
            </w:r>
          </w:p>
        </w:tc>
        <w:tc>
          <w:tcPr>
            <w:tcW w:w="694" w:type="pct"/>
            <w:vAlign w:val="center"/>
          </w:tcPr>
          <w:p w:rsidR="00386D57" w:rsidRPr="00FC1444" w:rsidRDefault="00386D57">
            <w:pPr>
              <w:pStyle w:val="aff7"/>
              <w:spacing w:line="0" w:lineRule="atLeast"/>
              <w:contextualSpacing/>
              <w:rPr>
                <w:rFonts w:eastAsiaTheme="minorEastAsia" w:hAnsi="Times New Roman"/>
              </w:rPr>
            </w:pPr>
            <w:r w:rsidRPr="00FC1444">
              <w:rPr>
                <w:rFonts w:eastAsiaTheme="minorEastAsia" w:hAnsi="Times New Roman"/>
              </w:rPr>
              <w:t>依托</w:t>
            </w:r>
          </w:p>
        </w:tc>
      </w:tr>
      <w:tr w:rsidR="00386D57" w:rsidRPr="00FC1444" w:rsidTr="00AB10DD">
        <w:trPr>
          <w:trHeight w:val="64"/>
          <w:jc w:val="center"/>
        </w:trPr>
        <w:tc>
          <w:tcPr>
            <w:tcW w:w="395" w:type="pct"/>
            <w:vMerge/>
            <w:vAlign w:val="center"/>
          </w:tcPr>
          <w:p w:rsidR="00386D57" w:rsidRPr="00FC1444" w:rsidRDefault="00386D57">
            <w:pPr>
              <w:pStyle w:val="aff7"/>
              <w:spacing w:line="0" w:lineRule="atLeast"/>
              <w:contextualSpacing/>
              <w:rPr>
                <w:rFonts w:eastAsiaTheme="minorEastAsia" w:hAnsi="Times New Roman"/>
              </w:rPr>
            </w:pPr>
          </w:p>
        </w:tc>
        <w:tc>
          <w:tcPr>
            <w:tcW w:w="500" w:type="pct"/>
            <w:vAlign w:val="center"/>
          </w:tcPr>
          <w:p w:rsidR="00386D57" w:rsidRPr="00FC1444" w:rsidRDefault="00386D57">
            <w:pPr>
              <w:jc w:val="center"/>
              <w:rPr>
                <w:rFonts w:eastAsiaTheme="minorEastAsia"/>
                <w:szCs w:val="21"/>
              </w:rPr>
            </w:pPr>
            <w:r w:rsidRPr="00FC1444">
              <w:rPr>
                <w:rFonts w:eastAsiaTheme="minorEastAsia"/>
                <w:szCs w:val="21"/>
              </w:rPr>
              <w:t>堆料场</w:t>
            </w:r>
          </w:p>
        </w:tc>
        <w:tc>
          <w:tcPr>
            <w:tcW w:w="3411" w:type="pct"/>
            <w:vAlign w:val="center"/>
          </w:tcPr>
          <w:p w:rsidR="00386D57" w:rsidRPr="00FC1444" w:rsidRDefault="00386D57" w:rsidP="00D61453">
            <w:pPr>
              <w:spacing w:line="0" w:lineRule="atLeast"/>
              <w:jc w:val="left"/>
              <w:rPr>
                <w:rFonts w:eastAsiaTheme="minorEastAsia"/>
                <w:szCs w:val="21"/>
              </w:rPr>
            </w:pPr>
            <w:r w:rsidRPr="00FC1444">
              <w:rPr>
                <w:rFonts w:eastAsiaTheme="minorEastAsia"/>
                <w:bCs/>
                <w:szCs w:val="21"/>
              </w:rPr>
              <w:t>农田输配电工程</w:t>
            </w:r>
            <w:r w:rsidRPr="00FC1444">
              <w:rPr>
                <w:rFonts w:eastAsiaTheme="minorEastAsia"/>
                <w:szCs w:val="21"/>
              </w:rPr>
              <w:t>沿线一侧外扩</w:t>
            </w:r>
            <w:r w:rsidRPr="00FC1444">
              <w:rPr>
                <w:rFonts w:eastAsiaTheme="minorEastAsia"/>
                <w:szCs w:val="21"/>
              </w:rPr>
              <w:t>3m</w:t>
            </w:r>
            <w:r w:rsidRPr="00FC1444">
              <w:rPr>
                <w:rFonts w:eastAsiaTheme="minorEastAsia"/>
                <w:szCs w:val="21"/>
              </w:rPr>
              <w:t>为临时占地施工场地，共设置</w:t>
            </w:r>
            <w:r w:rsidRPr="00FC1444">
              <w:rPr>
                <w:rFonts w:eastAsiaTheme="minorEastAsia"/>
                <w:szCs w:val="21"/>
              </w:rPr>
              <w:t>194</w:t>
            </w:r>
            <w:r w:rsidRPr="00FC1444">
              <w:rPr>
                <w:rFonts w:eastAsiaTheme="minorEastAsia"/>
                <w:szCs w:val="21"/>
              </w:rPr>
              <w:t>根水泥电杆，变压器为杆上变压器，每处设置</w:t>
            </w:r>
            <w:r w:rsidRPr="00FC1444">
              <w:rPr>
                <w:rFonts w:eastAsiaTheme="minorEastAsia"/>
                <w:szCs w:val="21"/>
              </w:rPr>
              <w:t>15m</w:t>
            </w:r>
            <w:r w:rsidRPr="00FC1444">
              <w:rPr>
                <w:rFonts w:eastAsiaTheme="minorEastAsia"/>
                <w:szCs w:val="21"/>
                <w:vertAlign w:val="superscript"/>
              </w:rPr>
              <w:t>2</w:t>
            </w:r>
            <w:r w:rsidRPr="00FC1444">
              <w:rPr>
                <w:rFonts w:eastAsiaTheme="minorEastAsia"/>
                <w:szCs w:val="21"/>
              </w:rPr>
              <w:t>临时占地，施工材料均沿线堆放在施工范围内，不设集中堆料场；机电井及涵洞等建筑物工程施工材料堆放在施工场地内，堆高</w:t>
            </w:r>
            <w:r w:rsidRPr="00FC1444">
              <w:rPr>
                <w:rFonts w:eastAsiaTheme="minorEastAsia"/>
                <w:szCs w:val="21"/>
              </w:rPr>
              <w:t>0.5m</w:t>
            </w:r>
            <w:r w:rsidRPr="00FC1444">
              <w:rPr>
                <w:rFonts w:eastAsiaTheme="minorEastAsia"/>
                <w:szCs w:val="21"/>
              </w:rPr>
              <w:t>；田间道路工程、排水工程、田块整治工程施工材料堆放在永久占地内，不设集中堆料场</w:t>
            </w:r>
          </w:p>
        </w:tc>
        <w:tc>
          <w:tcPr>
            <w:tcW w:w="694" w:type="pct"/>
            <w:vAlign w:val="center"/>
          </w:tcPr>
          <w:p w:rsidR="00386D57" w:rsidRPr="00FC1444" w:rsidRDefault="00386D57">
            <w:pPr>
              <w:pStyle w:val="aff7"/>
              <w:spacing w:line="0" w:lineRule="atLeast"/>
              <w:contextualSpacing/>
              <w:rPr>
                <w:rFonts w:eastAsiaTheme="minorEastAsia" w:hAnsi="Times New Roman"/>
              </w:rPr>
            </w:pPr>
            <w:r w:rsidRPr="00FC1444">
              <w:rPr>
                <w:rFonts w:eastAsiaTheme="minorEastAsia" w:hAnsi="Times New Roman"/>
              </w:rPr>
              <w:t>新建</w:t>
            </w:r>
          </w:p>
        </w:tc>
      </w:tr>
      <w:tr w:rsidR="00386D57" w:rsidRPr="00FC1444" w:rsidTr="00AB10DD">
        <w:trPr>
          <w:trHeight w:val="64"/>
          <w:jc w:val="center"/>
        </w:trPr>
        <w:tc>
          <w:tcPr>
            <w:tcW w:w="395" w:type="pct"/>
            <w:vMerge/>
            <w:vAlign w:val="center"/>
          </w:tcPr>
          <w:p w:rsidR="00386D57" w:rsidRPr="00FC1444" w:rsidRDefault="00386D57">
            <w:pPr>
              <w:pStyle w:val="aff7"/>
              <w:spacing w:line="0" w:lineRule="atLeast"/>
              <w:contextualSpacing/>
              <w:rPr>
                <w:rFonts w:eastAsiaTheme="minorEastAsia" w:hAnsi="Times New Roman"/>
              </w:rPr>
            </w:pPr>
          </w:p>
        </w:tc>
        <w:tc>
          <w:tcPr>
            <w:tcW w:w="500" w:type="pct"/>
            <w:vAlign w:val="center"/>
          </w:tcPr>
          <w:p w:rsidR="00386D57" w:rsidRPr="00FC1444" w:rsidRDefault="00386D57">
            <w:pPr>
              <w:jc w:val="center"/>
              <w:rPr>
                <w:rFonts w:eastAsiaTheme="minorEastAsia"/>
                <w:szCs w:val="21"/>
              </w:rPr>
            </w:pPr>
            <w:r w:rsidRPr="00FC1444">
              <w:rPr>
                <w:rFonts w:eastAsiaTheme="minorEastAsia"/>
                <w:szCs w:val="21"/>
              </w:rPr>
              <w:t>取弃土场</w:t>
            </w:r>
          </w:p>
        </w:tc>
        <w:tc>
          <w:tcPr>
            <w:tcW w:w="3411" w:type="pct"/>
            <w:vAlign w:val="center"/>
          </w:tcPr>
          <w:p w:rsidR="00386D57" w:rsidRPr="00FC1444" w:rsidRDefault="00386D57" w:rsidP="00802862">
            <w:pPr>
              <w:spacing w:line="0" w:lineRule="atLeast"/>
              <w:jc w:val="left"/>
              <w:rPr>
                <w:rFonts w:eastAsiaTheme="minorEastAsia"/>
                <w:szCs w:val="21"/>
              </w:rPr>
            </w:pPr>
            <w:r w:rsidRPr="00FC1444">
              <w:rPr>
                <w:rFonts w:eastAsiaTheme="minorEastAsia" w:hint="eastAsia"/>
                <w:snapToGrid w:val="0"/>
                <w:kern w:val="0"/>
              </w:rPr>
              <w:t>本项目</w:t>
            </w:r>
            <w:r w:rsidRPr="00FC1444">
              <w:rPr>
                <w:rFonts w:eastAsiaTheme="minorEastAsia"/>
                <w:snapToGrid w:val="0"/>
                <w:kern w:val="0"/>
              </w:rPr>
              <w:t>不设置取土场。</w:t>
            </w:r>
            <w:r w:rsidR="00802862" w:rsidRPr="00FC1444">
              <w:rPr>
                <w:rFonts w:eastAsiaTheme="minorEastAsia"/>
                <w:szCs w:val="21"/>
              </w:rPr>
              <w:t>施工期项目区水泥、钢筋混凝土结构件，钢筋</w:t>
            </w:r>
            <w:r w:rsidR="00802862" w:rsidRPr="00FC1444">
              <w:rPr>
                <w:rFonts w:hint="eastAsia"/>
              </w:rPr>
              <w:t>从哈尔滨购买，钢筋从绥化市购买，汽油、柴油从绥化市加油站购买，砂子、石料从巴彦县购买</w:t>
            </w:r>
            <w:r w:rsidRPr="00FC1444">
              <w:rPr>
                <w:rFonts w:eastAsiaTheme="minorEastAsia"/>
                <w:szCs w:val="21"/>
              </w:rPr>
              <w:t>，可满足项目需求；施工期间土方均堆存于施工范围内，施工结束后表土全部用于临时工程土地恢复及</w:t>
            </w:r>
            <w:r w:rsidRPr="00FC1444">
              <w:rPr>
                <w:rFonts w:eastAsiaTheme="minorEastAsia"/>
                <w:snapToGrid w:val="0"/>
                <w:kern w:val="0"/>
              </w:rPr>
              <w:t>田块整治工程</w:t>
            </w:r>
            <w:r w:rsidRPr="00FC1444">
              <w:rPr>
                <w:rFonts w:eastAsiaTheme="minorEastAsia"/>
                <w:szCs w:val="21"/>
              </w:rPr>
              <w:t>。建筑垃圾大部分用于</w:t>
            </w:r>
            <w:r w:rsidRPr="00FC1444">
              <w:rPr>
                <w:rFonts w:eastAsiaTheme="minorEastAsia"/>
                <w:snapToGrid w:val="0"/>
                <w:kern w:val="0"/>
              </w:rPr>
              <w:t>田块整治工程，剩余</w:t>
            </w:r>
            <w:r w:rsidRPr="00FC1444">
              <w:rPr>
                <w:rFonts w:eastAsiaTheme="minorEastAsia"/>
                <w:szCs w:val="21"/>
              </w:rPr>
              <w:t>及时送至建材公司回用。废泥浆风干后用于周围道路平整。</w:t>
            </w:r>
            <w:r w:rsidRPr="00FC1444">
              <w:rPr>
                <w:rFonts w:eastAsiaTheme="minorEastAsia"/>
                <w:bCs/>
              </w:rPr>
              <w:t>排水沟淤泥培至工程附近</w:t>
            </w:r>
            <w:r w:rsidRPr="00FC1444">
              <w:rPr>
                <w:rFonts w:eastAsiaTheme="minorEastAsia"/>
                <w:bCs/>
              </w:rPr>
              <w:t>200</w:t>
            </w:r>
            <w:r w:rsidRPr="00FC1444">
              <w:rPr>
                <w:rFonts w:eastAsiaTheme="minorEastAsia"/>
                <w:bCs/>
              </w:rPr>
              <w:t>米范围内无环境保护目标的排水沟两侧</w:t>
            </w:r>
            <w:r w:rsidRPr="00FC1444">
              <w:rPr>
                <w:rFonts w:eastAsiaTheme="minorEastAsia"/>
                <w:szCs w:val="21"/>
              </w:rPr>
              <w:t>。因此不设置弃土场</w:t>
            </w:r>
          </w:p>
        </w:tc>
        <w:tc>
          <w:tcPr>
            <w:tcW w:w="694" w:type="pct"/>
            <w:vAlign w:val="center"/>
          </w:tcPr>
          <w:p w:rsidR="00386D57" w:rsidRPr="00FC1444" w:rsidRDefault="00386D57">
            <w:pPr>
              <w:pStyle w:val="aff4"/>
              <w:spacing w:line="0" w:lineRule="atLeast"/>
              <w:ind w:firstLineChars="0" w:firstLine="0"/>
              <w:contextualSpacing/>
              <w:jc w:val="center"/>
              <w:rPr>
                <w:rFonts w:ascii="Times New Roman" w:hAnsi="Times New Roman" w:cs="Times New Roman"/>
                <w:sz w:val="21"/>
                <w:szCs w:val="21"/>
              </w:rPr>
            </w:pPr>
            <w:r w:rsidRPr="00FC1444">
              <w:rPr>
                <w:rFonts w:ascii="Times New Roman" w:hAnsi="Times New Roman" w:cs="Times New Roman"/>
                <w:sz w:val="21"/>
                <w:szCs w:val="21"/>
              </w:rPr>
              <w:t>依托</w:t>
            </w:r>
          </w:p>
        </w:tc>
      </w:tr>
    </w:tbl>
    <w:p w:rsidR="00386D57" w:rsidRPr="00FC1444" w:rsidRDefault="00386D57" w:rsidP="00386D57">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3-1-</w:t>
      </w:r>
      <w:r w:rsidR="002A51BB" w:rsidRPr="00FC1444">
        <w:rPr>
          <w:rFonts w:eastAsiaTheme="minorEastAsia" w:hint="eastAsia"/>
          <w:b/>
          <w:kern w:val="0"/>
          <w:szCs w:val="21"/>
        </w:rPr>
        <w:t>5</w:t>
      </w:r>
      <w:r w:rsidRPr="00FC1444">
        <w:rPr>
          <w:rFonts w:eastAsiaTheme="minorEastAsia"/>
          <w:b/>
          <w:kern w:val="0"/>
          <w:szCs w:val="21"/>
        </w:rPr>
        <w:t>工程组成一览表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673"/>
        <w:gridCol w:w="852"/>
        <w:gridCol w:w="6097"/>
        <w:gridCol w:w="900"/>
      </w:tblGrid>
      <w:tr w:rsidR="00DD5FB6" w:rsidRPr="00FC1444" w:rsidTr="00386D57">
        <w:trPr>
          <w:trHeight w:val="64"/>
          <w:jc w:val="center"/>
        </w:trPr>
        <w:tc>
          <w:tcPr>
            <w:tcW w:w="395" w:type="pct"/>
            <w:vMerge w:val="restart"/>
            <w:vAlign w:val="center"/>
          </w:tcPr>
          <w:p w:rsidR="00DD5FB6" w:rsidRPr="00FC1444" w:rsidRDefault="00DD5FB6" w:rsidP="009D380C">
            <w:pPr>
              <w:pStyle w:val="aff7"/>
              <w:spacing w:line="0" w:lineRule="atLeast"/>
              <w:contextualSpacing/>
              <w:rPr>
                <w:rFonts w:eastAsiaTheme="minorEastAsia" w:hAnsi="Times New Roman"/>
              </w:rPr>
            </w:pPr>
            <w:r w:rsidRPr="00FC1444">
              <w:rPr>
                <w:rFonts w:eastAsiaTheme="minorEastAsia" w:hAnsi="Times New Roman"/>
              </w:rPr>
              <w:t>公用工程</w:t>
            </w:r>
          </w:p>
        </w:tc>
        <w:tc>
          <w:tcPr>
            <w:tcW w:w="500" w:type="pct"/>
            <w:vAlign w:val="center"/>
          </w:tcPr>
          <w:p w:rsidR="00DD5FB6" w:rsidRPr="00FC1444" w:rsidRDefault="00DD5FB6">
            <w:pPr>
              <w:jc w:val="center"/>
              <w:rPr>
                <w:rFonts w:eastAsiaTheme="minorEastAsia"/>
                <w:szCs w:val="21"/>
              </w:rPr>
            </w:pPr>
            <w:r w:rsidRPr="00FC1444">
              <w:rPr>
                <w:rFonts w:eastAsiaTheme="minorEastAsia"/>
                <w:szCs w:val="21"/>
              </w:rPr>
              <w:t>移动式不锈钢沉淀池</w:t>
            </w:r>
          </w:p>
        </w:tc>
        <w:tc>
          <w:tcPr>
            <w:tcW w:w="3577" w:type="pct"/>
            <w:vAlign w:val="center"/>
          </w:tcPr>
          <w:p w:rsidR="00DD5FB6" w:rsidRPr="00FC1444" w:rsidRDefault="00DD5FB6" w:rsidP="0061289D">
            <w:pPr>
              <w:spacing w:line="0" w:lineRule="atLeast"/>
              <w:jc w:val="left"/>
              <w:rPr>
                <w:rFonts w:eastAsiaTheme="minorEastAsia"/>
                <w:szCs w:val="21"/>
              </w:rPr>
            </w:pPr>
            <w:r w:rsidRPr="00FC1444">
              <w:rPr>
                <w:rFonts w:eastAsiaTheme="minorEastAsia"/>
                <w:szCs w:val="22"/>
              </w:rPr>
              <w:t>废泥浆</w:t>
            </w:r>
            <w:r w:rsidRPr="00FC1444">
              <w:rPr>
                <w:rFonts w:eastAsiaTheme="minorEastAsia"/>
              </w:rPr>
              <w:t>暂存于施工场地</w:t>
            </w:r>
            <w:r w:rsidR="006974EB" w:rsidRPr="00FC1444">
              <w:rPr>
                <w:rFonts w:eastAsiaTheme="minorEastAsia"/>
              </w:rPr>
              <w:t>1</w:t>
            </w:r>
            <w:r w:rsidR="006974EB" w:rsidRPr="00FC1444">
              <w:rPr>
                <w:rFonts w:eastAsiaTheme="minorEastAsia"/>
              </w:rPr>
              <w:t>个</w:t>
            </w:r>
            <w:r w:rsidR="006974EB" w:rsidRPr="00FC1444">
              <w:rPr>
                <w:rFonts w:eastAsiaTheme="minorEastAsia"/>
              </w:rPr>
              <w:t>10</w:t>
            </w:r>
            <w:r w:rsidRPr="00FC1444">
              <w:rPr>
                <w:rFonts w:eastAsiaTheme="minorEastAsia"/>
                <w:szCs w:val="22"/>
              </w:rPr>
              <w:t>m</w:t>
            </w:r>
            <w:r w:rsidRPr="00FC1444">
              <w:rPr>
                <w:rFonts w:eastAsiaTheme="minorEastAsia"/>
                <w:szCs w:val="22"/>
                <w:vertAlign w:val="superscript"/>
              </w:rPr>
              <w:t>3</w:t>
            </w:r>
            <w:r w:rsidRPr="00FC1444">
              <w:rPr>
                <w:rFonts w:eastAsiaTheme="minorEastAsia"/>
              </w:rPr>
              <w:t>移动式不锈钢沉淀池内，沉淀后上层清水用于洒水降尘，下层钻井</w:t>
            </w:r>
            <w:r w:rsidRPr="00FC1444">
              <w:rPr>
                <w:rFonts w:eastAsiaTheme="minorEastAsia"/>
                <w:bCs/>
              </w:rPr>
              <w:t>泥浆自然干化后用于周围路面平整</w:t>
            </w:r>
          </w:p>
        </w:tc>
        <w:tc>
          <w:tcPr>
            <w:tcW w:w="528" w:type="pct"/>
            <w:vMerge w:val="restart"/>
            <w:vAlign w:val="center"/>
          </w:tcPr>
          <w:p w:rsidR="00DD5FB6" w:rsidRPr="00FC1444" w:rsidRDefault="00DD5FB6" w:rsidP="00DD5FB6">
            <w:pPr>
              <w:pStyle w:val="aff4"/>
              <w:spacing w:line="0" w:lineRule="atLeast"/>
              <w:ind w:firstLineChars="0" w:firstLine="0"/>
              <w:contextualSpacing/>
              <w:jc w:val="center"/>
              <w:rPr>
                <w:rFonts w:ascii="Times New Roman" w:hAnsi="Times New Roman" w:cs="Times New Roman"/>
                <w:sz w:val="21"/>
                <w:szCs w:val="21"/>
              </w:rPr>
            </w:pPr>
            <w:r w:rsidRPr="00FC1444">
              <w:rPr>
                <w:rFonts w:ascii="Times New Roman" w:hAnsi="Times New Roman" w:cs="Times New Roman"/>
                <w:sz w:val="21"/>
                <w:szCs w:val="21"/>
              </w:rPr>
              <w:t>新建</w:t>
            </w:r>
          </w:p>
        </w:tc>
      </w:tr>
      <w:tr w:rsidR="00DD5FB6" w:rsidRPr="00FC1444" w:rsidTr="00386D57">
        <w:trPr>
          <w:trHeight w:val="64"/>
          <w:jc w:val="center"/>
        </w:trPr>
        <w:tc>
          <w:tcPr>
            <w:tcW w:w="395" w:type="pct"/>
            <w:vMerge/>
            <w:vAlign w:val="center"/>
          </w:tcPr>
          <w:p w:rsidR="00DD5FB6" w:rsidRPr="00FC1444" w:rsidRDefault="00DD5FB6" w:rsidP="009D380C">
            <w:pPr>
              <w:pStyle w:val="aff7"/>
              <w:spacing w:line="0" w:lineRule="atLeast"/>
              <w:contextualSpacing/>
              <w:rPr>
                <w:rFonts w:eastAsiaTheme="minorEastAsia" w:hAnsi="Times New Roman"/>
              </w:rPr>
            </w:pPr>
          </w:p>
        </w:tc>
        <w:tc>
          <w:tcPr>
            <w:tcW w:w="500" w:type="pct"/>
            <w:vAlign w:val="center"/>
          </w:tcPr>
          <w:p w:rsidR="00DD5FB6" w:rsidRPr="00FC1444" w:rsidRDefault="00DD5FB6">
            <w:pPr>
              <w:jc w:val="center"/>
              <w:rPr>
                <w:rFonts w:eastAsiaTheme="minorEastAsia"/>
                <w:szCs w:val="21"/>
              </w:rPr>
            </w:pPr>
            <w:r w:rsidRPr="00FC1444">
              <w:rPr>
                <w:rFonts w:eastAsiaTheme="minorEastAsia"/>
                <w:szCs w:val="21"/>
              </w:rPr>
              <w:t>表土堆场</w:t>
            </w:r>
          </w:p>
        </w:tc>
        <w:tc>
          <w:tcPr>
            <w:tcW w:w="3577" w:type="pct"/>
            <w:vAlign w:val="center"/>
          </w:tcPr>
          <w:p w:rsidR="00DD5FB6" w:rsidRPr="00FC1444" w:rsidRDefault="00DD5FB6" w:rsidP="0014551D">
            <w:pPr>
              <w:spacing w:line="0" w:lineRule="atLeast"/>
              <w:jc w:val="left"/>
              <w:rPr>
                <w:rFonts w:eastAsiaTheme="minorEastAsia"/>
                <w:szCs w:val="21"/>
              </w:rPr>
            </w:pPr>
            <w:r w:rsidRPr="00FC1444">
              <w:rPr>
                <w:rFonts w:eastAsiaTheme="minorEastAsia"/>
                <w:szCs w:val="21"/>
              </w:rPr>
              <w:t>剥离的表土量共</w:t>
            </w:r>
            <w:r w:rsidR="0014551D" w:rsidRPr="00FC1444">
              <w:rPr>
                <w:rFonts w:eastAsiaTheme="minorEastAsia" w:hint="eastAsia"/>
                <w:szCs w:val="21"/>
              </w:rPr>
              <w:t>3575738</w:t>
            </w:r>
            <w:r w:rsidRPr="00FC1444">
              <w:rPr>
                <w:rFonts w:eastAsiaTheme="minorEastAsia"/>
                <w:szCs w:val="21"/>
              </w:rPr>
              <w:t>m</w:t>
            </w:r>
            <w:r w:rsidRPr="00FC1444">
              <w:rPr>
                <w:rFonts w:eastAsiaTheme="minorEastAsia"/>
                <w:szCs w:val="21"/>
                <w:vertAlign w:val="superscript"/>
              </w:rPr>
              <w:t>3</w:t>
            </w:r>
            <w:r w:rsidRPr="00FC1444">
              <w:rPr>
                <w:rFonts w:eastAsiaTheme="minorEastAsia"/>
                <w:szCs w:val="21"/>
              </w:rPr>
              <w:t>，灌溉工程、</w:t>
            </w:r>
            <w:r w:rsidRPr="00FC1444">
              <w:rPr>
                <w:rFonts w:eastAsiaTheme="minorEastAsia"/>
                <w:bCs/>
                <w:szCs w:val="21"/>
              </w:rPr>
              <w:t>农田输配电工程、建筑物工程等</w:t>
            </w:r>
            <w:r w:rsidRPr="00FC1444">
              <w:rPr>
                <w:rFonts w:eastAsiaTheme="minorEastAsia"/>
                <w:szCs w:val="21"/>
              </w:rPr>
              <w:t>永久占地剥离表土在施工现场贮存，用于田块整治工程</w:t>
            </w:r>
            <w:r w:rsidR="00BC0DDF" w:rsidRPr="00FC1444">
              <w:rPr>
                <w:rFonts w:eastAsiaTheme="minorEastAsia"/>
                <w:szCs w:val="21"/>
              </w:rPr>
              <w:t>低洼地土地平整</w:t>
            </w:r>
            <w:r w:rsidRPr="00FC1444">
              <w:rPr>
                <w:rFonts w:eastAsiaTheme="minorEastAsia"/>
                <w:szCs w:val="21"/>
              </w:rPr>
              <w:t>；灌溉工程、</w:t>
            </w:r>
            <w:r w:rsidRPr="00FC1444">
              <w:rPr>
                <w:rFonts w:eastAsiaTheme="minorEastAsia"/>
                <w:bCs/>
                <w:szCs w:val="21"/>
              </w:rPr>
              <w:t>农田输配电</w:t>
            </w:r>
            <w:r w:rsidRPr="00FC1444">
              <w:rPr>
                <w:rFonts w:eastAsiaTheme="minorEastAsia"/>
                <w:szCs w:val="21"/>
              </w:rPr>
              <w:t>、建筑物工程等临时占地剥离表土堆放在施工场地内，施工结束后表土全部用于临时工程土地恢复，</w:t>
            </w:r>
            <w:r w:rsidRPr="00FC1444">
              <w:rPr>
                <w:rFonts w:eastAsiaTheme="minorEastAsia"/>
                <w:snapToGrid w:val="0"/>
                <w:kern w:val="0"/>
                <w:szCs w:val="21"/>
              </w:rPr>
              <w:t>田块整治工程</w:t>
            </w:r>
            <w:r w:rsidRPr="00FC1444">
              <w:rPr>
                <w:rFonts w:eastAsiaTheme="minorEastAsia"/>
                <w:szCs w:val="21"/>
              </w:rPr>
              <w:t>剥离表土在施工现场贮存，用于田块整治工程表土恢复</w:t>
            </w:r>
          </w:p>
        </w:tc>
        <w:tc>
          <w:tcPr>
            <w:tcW w:w="528" w:type="pct"/>
            <w:vMerge/>
            <w:vAlign w:val="center"/>
          </w:tcPr>
          <w:p w:rsidR="00DD5FB6" w:rsidRPr="00FC1444" w:rsidRDefault="00DD5FB6">
            <w:pPr>
              <w:pStyle w:val="aff4"/>
              <w:adjustRightInd/>
              <w:snapToGrid/>
              <w:spacing w:line="0" w:lineRule="atLeast"/>
              <w:ind w:firstLineChars="0" w:firstLine="0"/>
              <w:contextualSpacing/>
              <w:jc w:val="center"/>
              <w:rPr>
                <w:rFonts w:ascii="Times New Roman" w:hAnsi="Times New Roman" w:cs="Times New Roman"/>
                <w:sz w:val="21"/>
                <w:szCs w:val="21"/>
              </w:rPr>
            </w:pPr>
          </w:p>
        </w:tc>
      </w:tr>
      <w:tr w:rsidR="00DD5FB6" w:rsidRPr="00FC1444" w:rsidTr="00386D57">
        <w:trPr>
          <w:trHeight w:val="64"/>
          <w:jc w:val="center"/>
        </w:trPr>
        <w:tc>
          <w:tcPr>
            <w:tcW w:w="395" w:type="pct"/>
            <w:vMerge/>
            <w:vAlign w:val="center"/>
          </w:tcPr>
          <w:p w:rsidR="00DD5FB6" w:rsidRPr="00FC1444" w:rsidRDefault="00DD5FB6">
            <w:pPr>
              <w:pStyle w:val="aff7"/>
              <w:spacing w:line="0" w:lineRule="atLeast"/>
              <w:contextualSpacing/>
              <w:rPr>
                <w:rFonts w:eastAsiaTheme="minorEastAsia" w:hAnsi="Times New Roman"/>
              </w:rPr>
            </w:pPr>
          </w:p>
        </w:tc>
        <w:tc>
          <w:tcPr>
            <w:tcW w:w="500" w:type="pct"/>
            <w:vAlign w:val="center"/>
          </w:tcPr>
          <w:p w:rsidR="00DD5FB6" w:rsidRPr="00FC1444" w:rsidRDefault="00DD5FB6">
            <w:pPr>
              <w:pStyle w:val="aff7"/>
              <w:spacing w:line="0" w:lineRule="atLeast"/>
              <w:contextualSpacing/>
              <w:rPr>
                <w:rFonts w:eastAsiaTheme="minorEastAsia" w:hAnsi="Times New Roman"/>
              </w:rPr>
            </w:pPr>
            <w:r w:rsidRPr="00FC1444">
              <w:rPr>
                <w:rFonts w:eastAsiaTheme="minorEastAsia" w:hAnsi="Times New Roman"/>
              </w:rPr>
              <w:t>供电</w:t>
            </w:r>
          </w:p>
        </w:tc>
        <w:tc>
          <w:tcPr>
            <w:tcW w:w="3577" w:type="pct"/>
            <w:vAlign w:val="center"/>
          </w:tcPr>
          <w:p w:rsidR="00DD5FB6" w:rsidRPr="00FC1444" w:rsidRDefault="00DD5FB6">
            <w:pPr>
              <w:pStyle w:val="aff7"/>
              <w:spacing w:line="0" w:lineRule="atLeast"/>
              <w:contextualSpacing/>
              <w:jc w:val="left"/>
              <w:rPr>
                <w:rFonts w:eastAsiaTheme="minorEastAsia" w:hAnsi="Times New Roman"/>
              </w:rPr>
            </w:pPr>
            <w:r w:rsidRPr="00FC1444">
              <w:rPr>
                <w:rFonts w:eastAsiaTheme="minorEastAsia" w:hAnsi="Times New Roman"/>
              </w:rPr>
              <w:t>本项目施工期</w:t>
            </w:r>
            <w:r w:rsidRPr="00FC1444">
              <w:rPr>
                <w:rFonts w:eastAsiaTheme="minorEastAsia" w:hAnsi="Times New Roman"/>
                <w:kern w:val="0"/>
                <w:szCs w:val="20"/>
              </w:rPr>
              <w:t>主要利用工程区附近的农用供电线路解决，部分施工期用电分散，施工时间短，用电量小，从系统电源接线供电不经济，拟配备柴油发电机组供电</w:t>
            </w:r>
            <w:r w:rsidRPr="00FC1444">
              <w:rPr>
                <w:rFonts w:eastAsiaTheme="minorEastAsia" w:hAnsi="Times New Roman"/>
              </w:rPr>
              <w:t>；本项目新建灌溉井均由配套建设的输配电系统供电，可以满足项目用电需求</w:t>
            </w:r>
          </w:p>
        </w:tc>
        <w:tc>
          <w:tcPr>
            <w:tcW w:w="528" w:type="pct"/>
            <w:vMerge w:val="restart"/>
            <w:vAlign w:val="center"/>
          </w:tcPr>
          <w:p w:rsidR="00DD5FB6" w:rsidRPr="00FC1444" w:rsidRDefault="00DD5FB6">
            <w:pPr>
              <w:pStyle w:val="aff7"/>
              <w:spacing w:line="0" w:lineRule="atLeast"/>
              <w:contextualSpacing/>
              <w:rPr>
                <w:rFonts w:eastAsiaTheme="minorEastAsia" w:hAnsi="Times New Roman"/>
              </w:rPr>
            </w:pPr>
            <w:r w:rsidRPr="00FC1444">
              <w:rPr>
                <w:rFonts w:eastAsiaTheme="minorEastAsia" w:hAnsi="Times New Roman"/>
              </w:rPr>
              <w:t>依托</w:t>
            </w:r>
            <w:r w:rsidRPr="00FC1444">
              <w:rPr>
                <w:rFonts w:eastAsiaTheme="minorEastAsia" w:hAnsi="Times New Roman"/>
              </w:rPr>
              <w:t>/</w:t>
            </w:r>
            <w:r w:rsidRPr="00FC1444">
              <w:rPr>
                <w:rFonts w:eastAsiaTheme="minorEastAsia" w:hAnsi="Times New Roman"/>
              </w:rPr>
              <w:t>新建</w:t>
            </w:r>
          </w:p>
        </w:tc>
      </w:tr>
      <w:tr w:rsidR="00DD5FB6" w:rsidRPr="00FC1444" w:rsidTr="00386D57">
        <w:trPr>
          <w:trHeight w:val="340"/>
          <w:jc w:val="center"/>
        </w:trPr>
        <w:tc>
          <w:tcPr>
            <w:tcW w:w="395" w:type="pct"/>
            <w:vMerge/>
            <w:vAlign w:val="center"/>
          </w:tcPr>
          <w:p w:rsidR="00DD5FB6" w:rsidRPr="00FC1444" w:rsidRDefault="00DD5FB6">
            <w:pPr>
              <w:pStyle w:val="aff7"/>
              <w:spacing w:line="0" w:lineRule="atLeast"/>
              <w:contextualSpacing/>
              <w:rPr>
                <w:rFonts w:eastAsiaTheme="minorEastAsia" w:hAnsi="Times New Roman"/>
              </w:rPr>
            </w:pPr>
          </w:p>
        </w:tc>
        <w:tc>
          <w:tcPr>
            <w:tcW w:w="500" w:type="pct"/>
            <w:vAlign w:val="center"/>
          </w:tcPr>
          <w:p w:rsidR="00DD5FB6" w:rsidRPr="00FC1444" w:rsidRDefault="00DD5FB6">
            <w:pPr>
              <w:pStyle w:val="aff7"/>
              <w:spacing w:line="0" w:lineRule="atLeast"/>
              <w:contextualSpacing/>
              <w:rPr>
                <w:rFonts w:eastAsiaTheme="minorEastAsia" w:hAnsi="Times New Roman"/>
              </w:rPr>
            </w:pPr>
            <w:r w:rsidRPr="00FC1444">
              <w:rPr>
                <w:rFonts w:eastAsiaTheme="minorEastAsia" w:hAnsi="Times New Roman"/>
              </w:rPr>
              <w:t>给水</w:t>
            </w:r>
          </w:p>
        </w:tc>
        <w:tc>
          <w:tcPr>
            <w:tcW w:w="3577" w:type="pct"/>
            <w:vAlign w:val="center"/>
          </w:tcPr>
          <w:p w:rsidR="00DD5FB6" w:rsidRPr="00FC1444" w:rsidRDefault="00DD5FB6">
            <w:pPr>
              <w:pStyle w:val="aff7"/>
              <w:spacing w:line="0" w:lineRule="atLeast"/>
              <w:contextualSpacing/>
              <w:jc w:val="left"/>
              <w:rPr>
                <w:rFonts w:eastAsiaTheme="minorEastAsia" w:hAnsi="Times New Roman"/>
              </w:rPr>
            </w:pPr>
            <w:r w:rsidRPr="00FC1444">
              <w:rPr>
                <w:rFonts w:eastAsiaTheme="minorEastAsia" w:hAnsi="Times New Roman"/>
              </w:rPr>
              <w:t>施工期用水由附近村屯现有水井供给；运营期旱田由现有及新建地下水灌溉井供给，水田依托现有地下水灌溉井供给</w:t>
            </w:r>
          </w:p>
        </w:tc>
        <w:tc>
          <w:tcPr>
            <w:tcW w:w="528" w:type="pct"/>
            <w:vMerge/>
            <w:vAlign w:val="center"/>
          </w:tcPr>
          <w:p w:rsidR="00DD5FB6" w:rsidRPr="00FC1444" w:rsidRDefault="00DD5FB6">
            <w:pPr>
              <w:pStyle w:val="aff7"/>
              <w:spacing w:line="0" w:lineRule="atLeast"/>
              <w:contextualSpacing/>
              <w:rPr>
                <w:rFonts w:eastAsiaTheme="minorEastAsia" w:hAnsi="Times New Roman"/>
              </w:rPr>
            </w:pPr>
          </w:p>
        </w:tc>
      </w:tr>
      <w:tr w:rsidR="00DD5FB6" w:rsidRPr="00FC1444" w:rsidTr="00386D57">
        <w:trPr>
          <w:trHeight w:val="340"/>
          <w:jc w:val="center"/>
        </w:trPr>
        <w:tc>
          <w:tcPr>
            <w:tcW w:w="395" w:type="pct"/>
            <w:vMerge/>
            <w:vAlign w:val="center"/>
          </w:tcPr>
          <w:p w:rsidR="00DD5FB6" w:rsidRPr="00FC1444" w:rsidRDefault="00DD5FB6">
            <w:pPr>
              <w:pStyle w:val="aff7"/>
              <w:spacing w:line="0" w:lineRule="atLeast"/>
              <w:contextualSpacing/>
              <w:rPr>
                <w:rFonts w:eastAsiaTheme="minorEastAsia" w:hAnsi="Times New Roman"/>
              </w:rPr>
            </w:pPr>
          </w:p>
        </w:tc>
        <w:tc>
          <w:tcPr>
            <w:tcW w:w="500" w:type="pct"/>
            <w:vAlign w:val="center"/>
          </w:tcPr>
          <w:p w:rsidR="00DD5FB6" w:rsidRPr="00FC1444" w:rsidRDefault="00DD5FB6">
            <w:pPr>
              <w:pStyle w:val="aff7"/>
              <w:spacing w:line="0" w:lineRule="atLeast"/>
              <w:contextualSpacing/>
              <w:rPr>
                <w:rFonts w:eastAsiaTheme="minorEastAsia" w:hAnsi="Times New Roman"/>
              </w:rPr>
            </w:pPr>
            <w:r w:rsidRPr="00FC1444">
              <w:rPr>
                <w:rFonts w:eastAsiaTheme="minorEastAsia" w:hAnsi="Times New Roman"/>
              </w:rPr>
              <w:t>排水</w:t>
            </w:r>
          </w:p>
        </w:tc>
        <w:tc>
          <w:tcPr>
            <w:tcW w:w="3577" w:type="pct"/>
            <w:vAlign w:val="center"/>
          </w:tcPr>
          <w:p w:rsidR="00DD5FB6" w:rsidRPr="00FC1444" w:rsidRDefault="00DD5FB6" w:rsidP="0061289D">
            <w:pPr>
              <w:pStyle w:val="aff7"/>
              <w:spacing w:line="0" w:lineRule="atLeast"/>
              <w:contextualSpacing/>
              <w:jc w:val="left"/>
              <w:rPr>
                <w:rFonts w:eastAsiaTheme="minorEastAsia" w:hAnsi="Times New Roman"/>
                <w:b/>
                <w:bCs/>
              </w:rPr>
            </w:pPr>
            <w:r w:rsidRPr="00FC1444">
              <w:rPr>
                <w:rFonts w:eastAsiaTheme="minorEastAsia" w:hAnsi="Times New Roman"/>
              </w:rPr>
              <w:t>施工期</w:t>
            </w:r>
            <w:r w:rsidRPr="00FC1444">
              <w:rPr>
                <w:rFonts w:eastAsiaTheme="minorEastAsia" w:hAnsi="Times New Roman"/>
                <w:bCs/>
              </w:rPr>
              <w:t>生活污水依托附近民房防渗旱厕，定期清掏，外运堆肥，不外排</w:t>
            </w:r>
            <w:r w:rsidRPr="00FC1444">
              <w:rPr>
                <w:rFonts w:eastAsiaTheme="minorEastAsia" w:hAnsi="Times New Roman"/>
              </w:rPr>
              <w:t>。洗井废水用于洒水降尘。钻井泥浆循环利用，</w:t>
            </w:r>
            <w:r w:rsidRPr="00FC1444">
              <w:rPr>
                <w:rFonts w:eastAsiaTheme="minorEastAsia" w:hAnsi="Times New Roman"/>
                <w:szCs w:val="22"/>
              </w:rPr>
              <w:t>废泥浆</w:t>
            </w:r>
            <w:r w:rsidRPr="00FC1444">
              <w:rPr>
                <w:rFonts w:eastAsiaTheme="minorEastAsia" w:hAnsi="Times New Roman"/>
              </w:rPr>
              <w:t>暂存于施工场地</w:t>
            </w:r>
            <w:r w:rsidR="006974EB" w:rsidRPr="00FC1444">
              <w:rPr>
                <w:rFonts w:eastAsiaTheme="minorEastAsia" w:hAnsi="Times New Roman"/>
              </w:rPr>
              <w:t>1</w:t>
            </w:r>
            <w:r w:rsidR="006974EB" w:rsidRPr="00FC1444">
              <w:rPr>
                <w:rFonts w:eastAsiaTheme="minorEastAsia" w:hAnsi="Times New Roman"/>
              </w:rPr>
              <w:t>个</w:t>
            </w:r>
            <w:r w:rsidR="006974EB" w:rsidRPr="00FC1444">
              <w:rPr>
                <w:rFonts w:eastAsiaTheme="minorEastAsia" w:hAnsi="Times New Roman"/>
              </w:rPr>
              <w:t>10</w:t>
            </w:r>
            <w:r w:rsidRPr="00FC1444">
              <w:rPr>
                <w:rFonts w:eastAsiaTheme="minorEastAsia" w:hAnsi="Times New Roman"/>
                <w:szCs w:val="22"/>
              </w:rPr>
              <w:t>m</w:t>
            </w:r>
            <w:r w:rsidRPr="00FC1444">
              <w:rPr>
                <w:rFonts w:eastAsiaTheme="minorEastAsia" w:hAnsi="Times New Roman"/>
                <w:szCs w:val="22"/>
                <w:vertAlign w:val="superscript"/>
              </w:rPr>
              <w:t>3</w:t>
            </w:r>
            <w:r w:rsidRPr="00FC1444">
              <w:rPr>
                <w:rFonts w:eastAsiaTheme="minorEastAsia" w:hAnsi="Times New Roman"/>
              </w:rPr>
              <w:t>移动式不锈钢沉淀池内，沉淀后上层清水用于洒水降尘，下层钻井</w:t>
            </w:r>
            <w:r w:rsidRPr="00FC1444">
              <w:rPr>
                <w:rFonts w:eastAsiaTheme="minorEastAsia" w:hAnsi="Times New Roman"/>
                <w:bCs/>
              </w:rPr>
              <w:t>泥浆自然干化后用于周围路面平整。</w:t>
            </w:r>
            <w:r w:rsidR="00B13779" w:rsidRPr="00FC1444">
              <w:rPr>
                <w:rFonts w:eastAsiaTheme="minorEastAsia" w:hAnsi="Times New Roman"/>
                <w:bCs/>
              </w:rPr>
              <w:t>清淤工程污泥铺摊前先根据地势铺设</w:t>
            </w:r>
            <w:r w:rsidR="00B13779" w:rsidRPr="00FC1444">
              <w:rPr>
                <w:rFonts w:eastAsiaTheme="minorEastAsia" w:hAnsi="Times New Roman"/>
                <w:bCs/>
              </w:rPr>
              <w:t>5cm</w:t>
            </w:r>
            <w:r w:rsidR="00B13779" w:rsidRPr="00FC1444">
              <w:rPr>
                <w:rFonts w:eastAsiaTheme="minorEastAsia" w:hAnsi="Times New Roman"/>
                <w:bCs/>
              </w:rPr>
              <w:t>卵石层、</w:t>
            </w:r>
            <w:r w:rsidR="00B13779" w:rsidRPr="00FC1444">
              <w:rPr>
                <w:rFonts w:eastAsiaTheme="minorEastAsia" w:hAnsi="Times New Roman"/>
                <w:bCs/>
              </w:rPr>
              <w:t>20cm</w:t>
            </w:r>
            <w:r w:rsidR="00B13779" w:rsidRPr="00FC1444">
              <w:rPr>
                <w:rFonts w:eastAsiaTheme="minorEastAsia" w:hAnsi="Times New Roman"/>
                <w:bCs/>
              </w:rPr>
              <w:t>砂子层，形成一侧临沟渠偏低、另一侧靠农田偏高的坡度，防止淤泥沥水渗入周边</w:t>
            </w:r>
            <w:r w:rsidR="00933E3D" w:rsidRPr="00FC1444">
              <w:rPr>
                <w:rFonts w:eastAsiaTheme="minorEastAsia" w:hAnsi="Times New Roman"/>
                <w:bCs/>
              </w:rPr>
              <w:t>农田。污泥沥水与渠道内水质基本一致，经过滤处理后排至原有渠道内</w:t>
            </w:r>
            <w:r w:rsidRPr="00FC1444">
              <w:rPr>
                <w:rFonts w:eastAsiaTheme="minorEastAsia" w:hAnsi="Times New Roman"/>
                <w:bCs/>
              </w:rPr>
              <w:t>；</w:t>
            </w:r>
            <w:r w:rsidRPr="00FC1444">
              <w:rPr>
                <w:rFonts w:eastAsiaTheme="minorEastAsia" w:hAnsi="Times New Roman"/>
              </w:rPr>
              <w:t>运营期</w:t>
            </w:r>
            <w:r w:rsidRPr="00FC1444">
              <w:rPr>
                <w:rFonts w:eastAsiaTheme="minorEastAsia" w:hAnsi="Times New Roman"/>
                <w:bCs/>
              </w:rPr>
              <w:t>项目区水田排水工程已基本形成规模，片区内</w:t>
            </w:r>
            <w:r w:rsidR="00AC69F4" w:rsidRPr="00FC1444">
              <w:rPr>
                <w:rFonts w:eastAsiaTheme="minorEastAsia" w:hAnsi="Times New Roman"/>
                <w:bCs/>
              </w:rPr>
              <w:t>排水承泄区为津河、呼兰河、努敏河</w:t>
            </w:r>
            <w:r w:rsidRPr="00FC1444">
              <w:rPr>
                <w:rFonts w:eastAsiaTheme="minorEastAsia" w:hAnsi="Times New Roman"/>
                <w:bCs/>
              </w:rPr>
              <w:t>，</w:t>
            </w:r>
            <w:r w:rsidR="00E008D1" w:rsidRPr="00FC1444">
              <w:rPr>
                <w:rFonts w:eastAsiaTheme="minorEastAsia" w:hAnsi="Times New Roman"/>
                <w:bCs/>
              </w:rPr>
              <w:t>项目建成后灌区年退水量与现状相比减少</w:t>
            </w:r>
            <w:r w:rsidR="00E008D1" w:rsidRPr="00FC1444">
              <w:rPr>
                <w:rFonts w:eastAsiaTheme="minorEastAsia" w:hAnsi="Times New Roman"/>
                <w:bCs/>
              </w:rPr>
              <w:t>431</w:t>
            </w:r>
            <w:r w:rsidR="00E008D1" w:rsidRPr="00FC1444">
              <w:rPr>
                <w:rFonts w:eastAsiaTheme="minorEastAsia" w:hAnsi="Times New Roman"/>
                <w:bCs/>
              </w:rPr>
              <w:t>万</w:t>
            </w:r>
            <w:r w:rsidRPr="00FC1444">
              <w:rPr>
                <w:rFonts w:eastAsiaTheme="minorEastAsia" w:hAnsi="Times New Roman"/>
                <w:bCs/>
              </w:rPr>
              <w:t>m</w:t>
            </w:r>
            <w:r w:rsidRPr="00FC1444">
              <w:rPr>
                <w:rFonts w:eastAsiaTheme="minorEastAsia" w:hAnsi="Times New Roman"/>
                <w:bCs/>
                <w:vertAlign w:val="superscript"/>
              </w:rPr>
              <w:t>3</w:t>
            </w:r>
          </w:p>
        </w:tc>
        <w:tc>
          <w:tcPr>
            <w:tcW w:w="528" w:type="pct"/>
            <w:vAlign w:val="center"/>
          </w:tcPr>
          <w:p w:rsidR="00DD5FB6" w:rsidRPr="00FC1444" w:rsidRDefault="00DD5FB6">
            <w:pPr>
              <w:pStyle w:val="aff7"/>
              <w:spacing w:line="0" w:lineRule="atLeast"/>
              <w:contextualSpacing/>
              <w:rPr>
                <w:rFonts w:eastAsiaTheme="minorEastAsia" w:hAnsi="Times New Roman"/>
              </w:rPr>
            </w:pPr>
            <w:r w:rsidRPr="00FC1444">
              <w:rPr>
                <w:rFonts w:eastAsiaTheme="minorEastAsia" w:hAnsi="Times New Roman"/>
              </w:rPr>
              <w:t>依托</w:t>
            </w:r>
            <w:r w:rsidRPr="00FC1444">
              <w:rPr>
                <w:rFonts w:eastAsiaTheme="minorEastAsia" w:hAnsi="Times New Roman"/>
              </w:rPr>
              <w:t>/</w:t>
            </w:r>
            <w:r w:rsidRPr="00FC1444">
              <w:rPr>
                <w:rFonts w:eastAsiaTheme="minorEastAsia" w:hAnsi="Times New Roman"/>
              </w:rPr>
              <w:t>新建</w:t>
            </w:r>
          </w:p>
        </w:tc>
      </w:tr>
      <w:tr w:rsidR="00DD5FB6" w:rsidRPr="00FC1444" w:rsidTr="00386D57">
        <w:trPr>
          <w:trHeight w:val="340"/>
          <w:jc w:val="center"/>
        </w:trPr>
        <w:tc>
          <w:tcPr>
            <w:tcW w:w="395" w:type="pct"/>
            <w:vMerge/>
            <w:vAlign w:val="center"/>
          </w:tcPr>
          <w:p w:rsidR="00DD5FB6" w:rsidRPr="00FC1444" w:rsidRDefault="00DD5FB6">
            <w:pPr>
              <w:pStyle w:val="aff7"/>
              <w:spacing w:line="0" w:lineRule="atLeast"/>
              <w:contextualSpacing/>
              <w:rPr>
                <w:rFonts w:eastAsiaTheme="minorEastAsia" w:hAnsi="Times New Roman"/>
              </w:rPr>
            </w:pPr>
          </w:p>
        </w:tc>
        <w:tc>
          <w:tcPr>
            <w:tcW w:w="500" w:type="pct"/>
            <w:vAlign w:val="center"/>
          </w:tcPr>
          <w:p w:rsidR="00DD5FB6" w:rsidRPr="00FC1444" w:rsidRDefault="00DD5FB6">
            <w:pPr>
              <w:pStyle w:val="aff7"/>
              <w:spacing w:line="0" w:lineRule="atLeast"/>
              <w:contextualSpacing/>
              <w:rPr>
                <w:rFonts w:eastAsiaTheme="minorEastAsia" w:hAnsi="Times New Roman"/>
              </w:rPr>
            </w:pPr>
            <w:bookmarkStart w:id="75" w:name="_Hlk527725718"/>
            <w:r w:rsidRPr="00FC1444">
              <w:rPr>
                <w:rFonts w:eastAsiaTheme="minorEastAsia" w:hAnsi="Times New Roman"/>
              </w:rPr>
              <w:t>供热</w:t>
            </w:r>
            <w:bookmarkEnd w:id="75"/>
          </w:p>
        </w:tc>
        <w:tc>
          <w:tcPr>
            <w:tcW w:w="3577" w:type="pct"/>
            <w:vAlign w:val="center"/>
          </w:tcPr>
          <w:p w:rsidR="00DD5FB6" w:rsidRPr="00FC1444" w:rsidRDefault="00DD5FB6">
            <w:pPr>
              <w:pStyle w:val="aff7"/>
              <w:spacing w:line="0" w:lineRule="atLeast"/>
              <w:contextualSpacing/>
              <w:jc w:val="left"/>
              <w:rPr>
                <w:rFonts w:eastAsiaTheme="minorEastAsia" w:hAnsi="Times New Roman"/>
              </w:rPr>
            </w:pPr>
            <w:r w:rsidRPr="00FC1444">
              <w:rPr>
                <w:rFonts w:eastAsiaTheme="minorEastAsia" w:hAnsi="Times New Roman"/>
                <w:snapToGrid w:val="0"/>
                <w:kern w:val="0"/>
              </w:rPr>
              <w:t>本项目冬季不供暖，亦无采暖工程</w:t>
            </w:r>
          </w:p>
        </w:tc>
        <w:tc>
          <w:tcPr>
            <w:tcW w:w="528" w:type="pct"/>
            <w:vAlign w:val="center"/>
          </w:tcPr>
          <w:p w:rsidR="00DD5FB6" w:rsidRPr="00FC1444" w:rsidRDefault="00DD5FB6">
            <w:pPr>
              <w:pStyle w:val="aff7"/>
              <w:spacing w:line="0" w:lineRule="atLeast"/>
              <w:contextualSpacing/>
              <w:rPr>
                <w:rFonts w:eastAsiaTheme="minorEastAsia" w:hAnsi="Times New Roman"/>
              </w:rPr>
            </w:pPr>
            <w:r w:rsidRPr="00FC1444">
              <w:rPr>
                <w:rFonts w:eastAsiaTheme="minorEastAsia" w:hAnsi="Times New Roman"/>
              </w:rPr>
              <w:t>/</w:t>
            </w:r>
          </w:p>
        </w:tc>
      </w:tr>
      <w:tr w:rsidR="00957CE3" w:rsidRPr="00FC1444" w:rsidTr="00386D57">
        <w:trPr>
          <w:trHeight w:val="508"/>
          <w:jc w:val="center"/>
        </w:trPr>
        <w:tc>
          <w:tcPr>
            <w:tcW w:w="395" w:type="pct"/>
            <w:vMerge w:val="restart"/>
            <w:vAlign w:val="center"/>
          </w:tcPr>
          <w:p w:rsidR="00957CE3" w:rsidRPr="00FC1444" w:rsidRDefault="00957CE3">
            <w:pPr>
              <w:pStyle w:val="aff7"/>
              <w:spacing w:line="0" w:lineRule="atLeast"/>
              <w:rPr>
                <w:rFonts w:eastAsiaTheme="minorEastAsia" w:hAnsi="Times New Roman"/>
              </w:rPr>
            </w:pPr>
            <w:r w:rsidRPr="00FC1444">
              <w:rPr>
                <w:rFonts w:eastAsiaTheme="minorEastAsia" w:hAnsi="Times New Roman"/>
              </w:rPr>
              <w:t>环保工程</w:t>
            </w:r>
          </w:p>
        </w:tc>
        <w:tc>
          <w:tcPr>
            <w:tcW w:w="500" w:type="pct"/>
            <w:vMerge w:val="restart"/>
            <w:vAlign w:val="center"/>
          </w:tcPr>
          <w:p w:rsidR="00957CE3" w:rsidRPr="00FC1444" w:rsidRDefault="00957CE3">
            <w:pPr>
              <w:pStyle w:val="aff7"/>
              <w:spacing w:line="0" w:lineRule="atLeast"/>
              <w:rPr>
                <w:rFonts w:eastAsiaTheme="minorEastAsia" w:hAnsi="Times New Roman"/>
              </w:rPr>
            </w:pPr>
            <w:r w:rsidRPr="00FC1444">
              <w:rPr>
                <w:rFonts w:eastAsiaTheme="minorEastAsia" w:hAnsi="Times New Roman"/>
              </w:rPr>
              <w:t>废气</w:t>
            </w:r>
          </w:p>
        </w:tc>
        <w:tc>
          <w:tcPr>
            <w:tcW w:w="3577" w:type="pct"/>
            <w:vAlign w:val="center"/>
          </w:tcPr>
          <w:p w:rsidR="00957CE3" w:rsidRPr="00FC1444" w:rsidRDefault="00957CE3">
            <w:pPr>
              <w:rPr>
                <w:rFonts w:eastAsiaTheme="minorEastAsia"/>
                <w:szCs w:val="21"/>
              </w:rPr>
            </w:pPr>
            <w:r w:rsidRPr="00FC1444">
              <w:rPr>
                <w:rFonts w:eastAsiaTheme="minorEastAsia"/>
              </w:rPr>
              <w:t>施工期施工现场使用商品混凝土、预拌砂浆，严禁现场搅拌；建筑材料密闭存放或严密覆盖，严禁露天放置；余料及时回收；施工期间，</w:t>
            </w:r>
            <w:r w:rsidR="00341992" w:rsidRPr="00FC1444">
              <w:rPr>
                <w:rFonts w:eastAsiaTheme="minorEastAsia"/>
              </w:rPr>
              <w:t>施工单位在非</w:t>
            </w:r>
            <w:r w:rsidRPr="00FC1444">
              <w:rPr>
                <w:rFonts w:eastAsiaTheme="minorEastAsia"/>
              </w:rPr>
              <w:t>冬季时期制定洒水降尘制度，配套洒水车，专人负责，对施工场地及施工道路洒水抑尘；施工地面及时压实并及时采取洒水降尘措施，天气干燥时增加洒水密度与频率；施工现场运送土方、渣土的车辆封闭或遮盖严密，严禁使用未办理相关手续的渣土等运输车辆，严禁沿路遗撒和随意倾倒；途经施工区村屯干道的运输车辆，实行限速管理，时速应小于</w:t>
            </w:r>
            <w:r w:rsidRPr="00FC1444">
              <w:rPr>
                <w:rFonts w:eastAsiaTheme="minorEastAsia"/>
              </w:rPr>
              <w:t>20km/h</w:t>
            </w:r>
            <w:r w:rsidRPr="00FC1444">
              <w:rPr>
                <w:rFonts w:eastAsiaTheme="minorEastAsia"/>
              </w:rPr>
              <w:t>，非冬季干旱、多风天气，路段每天洒水不少于两次；加强运输车辆的维护、保养，避免尾气超标排放；灌溉井、田间道路、涵洞、变压器、排水沟清淤等工程在距离环境保护目标较近位置施工时（</w:t>
            </w:r>
            <w:r w:rsidR="00D41946" w:rsidRPr="00FC1444">
              <w:rPr>
                <w:rFonts w:eastAsiaTheme="minorEastAsia"/>
              </w:rPr>
              <w:t>如胜利二村、东沟子等村屯</w:t>
            </w:r>
            <w:r w:rsidRPr="00FC1444">
              <w:rPr>
                <w:rFonts w:eastAsiaTheme="minorEastAsia"/>
              </w:rPr>
              <w:t>，具体村屯名称见表</w:t>
            </w:r>
            <w:r w:rsidRPr="00FC1444">
              <w:rPr>
                <w:rFonts w:eastAsiaTheme="minorEastAsia"/>
              </w:rPr>
              <w:t>2-8-1</w:t>
            </w:r>
            <w:r w:rsidRPr="00FC1444">
              <w:rPr>
                <w:rFonts w:eastAsiaTheme="minorEastAsia"/>
              </w:rPr>
              <w:t>），应设置施工围挡，将施工场地及施工人员与居民分离开，保证施工安全、减少扬尘逸散；合理安排清淤时间，喷洒微生物除臭剂，排水沟淤泥</w:t>
            </w:r>
            <w:r w:rsidRPr="00FC1444">
              <w:rPr>
                <w:rFonts w:eastAsiaTheme="minorEastAsia"/>
                <w:bCs/>
              </w:rPr>
              <w:t>培至工程附近</w:t>
            </w:r>
            <w:r w:rsidRPr="00FC1444">
              <w:rPr>
                <w:rFonts w:eastAsiaTheme="minorEastAsia"/>
                <w:bCs/>
              </w:rPr>
              <w:t>200</w:t>
            </w:r>
            <w:r w:rsidRPr="00FC1444">
              <w:rPr>
                <w:rFonts w:eastAsiaTheme="minorEastAsia"/>
                <w:bCs/>
              </w:rPr>
              <w:t>米范围内无环境保护目标的排水沟两侧（</w:t>
            </w:r>
            <w:r w:rsidR="00386D57" w:rsidRPr="00FC1444">
              <w:rPr>
                <w:rFonts w:eastAsiaTheme="minorEastAsia"/>
                <w:bCs/>
              </w:rPr>
              <w:t>避开黄家屯、李荒子屯等</w:t>
            </w:r>
            <w:r w:rsidR="00386D57" w:rsidRPr="00FC1444">
              <w:rPr>
                <w:rFonts w:eastAsiaTheme="minorEastAsia"/>
                <w:bCs/>
              </w:rPr>
              <w:t>22</w:t>
            </w:r>
            <w:r w:rsidR="00386D57" w:rsidRPr="00FC1444">
              <w:rPr>
                <w:rFonts w:eastAsiaTheme="minorEastAsia"/>
                <w:bCs/>
              </w:rPr>
              <w:t>个村屯</w:t>
            </w:r>
            <w:r w:rsidRPr="00FC1444">
              <w:rPr>
                <w:rFonts w:eastAsiaTheme="minorEastAsia"/>
                <w:bCs/>
              </w:rPr>
              <w:t>，具体见表</w:t>
            </w:r>
            <w:r w:rsidRPr="00FC1444">
              <w:rPr>
                <w:rFonts w:eastAsiaTheme="minorEastAsia"/>
                <w:bCs/>
              </w:rPr>
              <w:t>2-8-2</w:t>
            </w:r>
            <w:r w:rsidRPr="00FC1444">
              <w:rPr>
                <w:rFonts w:eastAsiaTheme="minorEastAsia"/>
                <w:bCs/>
              </w:rPr>
              <w:t>）</w:t>
            </w:r>
          </w:p>
        </w:tc>
        <w:tc>
          <w:tcPr>
            <w:tcW w:w="528" w:type="pct"/>
            <w:vMerge w:val="restart"/>
            <w:vAlign w:val="center"/>
          </w:tcPr>
          <w:p w:rsidR="00957CE3" w:rsidRPr="00FC1444" w:rsidRDefault="00957CE3">
            <w:pPr>
              <w:pStyle w:val="aff7"/>
              <w:spacing w:line="0" w:lineRule="atLeast"/>
              <w:rPr>
                <w:rFonts w:eastAsiaTheme="minorEastAsia" w:hAnsi="Times New Roman"/>
              </w:rPr>
            </w:pPr>
            <w:r w:rsidRPr="00FC1444">
              <w:rPr>
                <w:rFonts w:eastAsiaTheme="minorEastAsia" w:hAnsi="Times New Roman"/>
              </w:rPr>
              <w:t>新建</w:t>
            </w:r>
          </w:p>
        </w:tc>
      </w:tr>
      <w:tr w:rsidR="00957CE3" w:rsidRPr="00FC1444" w:rsidTr="00386D57">
        <w:trPr>
          <w:trHeight w:val="508"/>
          <w:jc w:val="center"/>
        </w:trPr>
        <w:tc>
          <w:tcPr>
            <w:tcW w:w="395" w:type="pct"/>
            <w:vMerge/>
            <w:vAlign w:val="center"/>
          </w:tcPr>
          <w:p w:rsidR="00957CE3" w:rsidRPr="00FC1444" w:rsidRDefault="00957CE3">
            <w:pPr>
              <w:pStyle w:val="aff7"/>
              <w:spacing w:line="0" w:lineRule="atLeast"/>
              <w:rPr>
                <w:rFonts w:eastAsiaTheme="minorEastAsia" w:hAnsi="Times New Roman"/>
              </w:rPr>
            </w:pPr>
          </w:p>
        </w:tc>
        <w:tc>
          <w:tcPr>
            <w:tcW w:w="500" w:type="pct"/>
            <w:vMerge/>
            <w:vAlign w:val="center"/>
          </w:tcPr>
          <w:p w:rsidR="00957CE3" w:rsidRPr="00FC1444" w:rsidRDefault="00957CE3">
            <w:pPr>
              <w:pStyle w:val="aff7"/>
              <w:spacing w:line="0" w:lineRule="atLeast"/>
              <w:rPr>
                <w:rFonts w:eastAsiaTheme="minorEastAsia" w:hAnsi="Times New Roman"/>
              </w:rPr>
            </w:pPr>
          </w:p>
        </w:tc>
        <w:tc>
          <w:tcPr>
            <w:tcW w:w="3577" w:type="pct"/>
            <w:vAlign w:val="center"/>
          </w:tcPr>
          <w:p w:rsidR="00957CE3" w:rsidRPr="00FC1444" w:rsidRDefault="00957CE3">
            <w:pPr>
              <w:rPr>
                <w:rFonts w:eastAsiaTheme="minorEastAsia"/>
              </w:rPr>
            </w:pPr>
            <w:r w:rsidRPr="00FC1444">
              <w:rPr>
                <w:rFonts w:eastAsiaTheme="minorEastAsia"/>
              </w:rPr>
              <w:t>运营期</w:t>
            </w:r>
            <w:r w:rsidRPr="00FC1444">
              <w:rPr>
                <w:rFonts w:eastAsiaTheme="minorEastAsia"/>
                <w:kern w:val="0"/>
                <w:szCs w:val="21"/>
              </w:rPr>
              <w:t>田间道路</w:t>
            </w:r>
            <w:r w:rsidRPr="00FC1444">
              <w:rPr>
                <w:rFonts w:eastAsiaTheme="minorEastAsia"/>
              </w:rPr>
              <w:t>车辆通过会产生少量汽车尾气，采取限速措施；排水沟仅在降水无法排出情况下采用柴油机移动泵车进行排水，使用时间较短，采用轻质柴油，减少柴油机移动泵车废气影响</w:t>
            </w:r>
          </w:p>
        </w:tc>
        <w:tc>
          <w:tcPr>
            <w:tcW w:w="528" w:type="pct"/>
            <w:vMerge/>
            <w:vAlign w:val="center"/>
          </w:tcPr>
          <w:p w:rsidR="00957CE3" w:rsidRPr="00FC1444" w:rsidRDefault="00957CE3">
            <w:pPr>
              <w:pStyle w:val="aff7"/>
              <w:spacing w:line="0" w:lineRule="atLeast"/>
              <w:rPr>
                <w:rFonts w:eastAsiaTheme="minorEastAsia" w:hAnsi="Times New Roman"/>
              </w:rPr>
            </w:pPr>
          </w:p>
        </w:tc>
      </w:tr>
    </w:tbl>
    <w:p w:rsidR="00386D57" w:rsidRPr="00FC1444" w:rsidRDefault="00386D57"/>
    <w:p w:rsidR="00386D57" w:rsidRPr="00FC1444" w:rsidRDefault="00386D57" w:rsidP="00386D57">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3-1-</w:t>
      </w:r>
      <w:r w:rsidR="002A51BB" w:rsidRPr="00FC1444">
        <w:rPr>
          <w:rFonts w:eastAsiaTheme="minorEastAsia" w:hint="eastAsia"/>
          <w:b/>
          <w:kern w:val="0"/>
          <w:szCs w:val="21"/>
        </w:rPr>
        <w:t>5</w:t>
      </w:r>
      <w:r w:rsidRPr="00FC1444">
        <w:rPr>
          <w:rFonts w:eastAsiaTheme="minorEastAsia"/>
          <w:b/>
          <w:kern w:val="0"/>
          <w:szCs w:val="21"/>
        </w:rPr>
        <w:t>工程组成一览表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673"/>
        <w:gridCol w:w="852"/>
        <w:gridCol w:w="6097"/>
        <w:gridCol w:w="900"/>
      </w:tblGrid>
      <w:tr w:rsidR="00386D57" w:rsidRPr="00FC1444" w:rsidTr="00386D57">
        <w:trPr>
          <w:trHeight w:val="340"/>
          <w:jc w:val="center"/>
        </w:trPr>
        <w:tc>
          <w:tcPr>
            <w:tcW w:w="395" w:type="pct"/>
            <w:vMerge w:val="restart"/>
            <w:vAlign w:val="center"/>
          </w:tcPr>
          <w:p w:rsidR="00386D57" w:rsidRPr="00FC1444" w:rsidRDefault="00386D57" w:rsidP="004031CB">
            <w:pPr>
              <w:pStyle w:val="aff7"/>
              <w:spacing w:line="0" w:lineRule="atLeast"/>
              <w:rPr>
                <w:rFonts w:eastAsiaTheme="minorEastAsia" w:hAnsi="Times New Roman"/>
              </w:rPr>
            </w:pPr>
            <w:r w:rsidRPr="00FC1444">
              <w:rPr>
                <w:rFonts w:eastAsiaTheme="minorEastAsia" w:hAnsi="Times New Roman"/>
              </w:rPr>
              <w:t>环保工程</w:t>
            </w:r>
          </w:p>
        </w:tc>
        <w:tc>
          <w:tcPr>
            <w:tcW w:w="500" w:type="pct"/>
            <w:vAlign w:val="center"/>
          </w:tcPr>
          <w:p w:rsidR="00386D57" w:rsidRPr="00FC1444" w:rsidRDefault="00386D57">
            <w:pPr>
              <w:pStyle w:val="aff7"/>
              <w:spacing w:line="0" w:lineRule="atLeast"/>
              <w:rPr>
                <w:rFonts w:eastAsiaTheme="minorEastAsia" w:hAnsi="Times New Roman"/>
              </w:rPr>
            </w:pPr>
            <w:r w:rsidRPr="00FC1444">
              <w:rPr>
                <w:rFonts w:eastAsiaTheme="minorEastAsia" w:hAnsi="Times New Roman"/>
              </w:rPr>
              <w:t>废水</w:t>
            </w:r>
          </w:p>
        </w:tc>
        <w:tc>
          <w:tcPr>
            <w:tcW w:w="3577" w:type="pct"/>
            <w:vAlign w:val="center"/>
          </w:tcPr>
          <w:p w:rsidR="00386D57" w:rsidRPr="00FC1444" w:rsidRDefault="00386D57">
            <w:pPr>
              <w:pStyle w:val="aff7"/>
              <w:spacing w:line="0" w:lineRule="atLeast"/>
              <w:jc w:val="left"/>
              <w:rPr>
                <w:rFonts w:eastAsiaTheme="minorEastAsia" w:hAnsi="Times New Roman"/>
              </w:rPr>
            </w:pPr>
            <w:r w:rsidRPr="00FC1444">
              <w:rPr>
                <w:rFonts w:eastAsiaTheme="minorEastAsia" w:hAnsi="Times New Roman"/>
              </w:rPr>
              <w:t>施工期</w:t>
            </w:r>
            <w:r w:rsidRPr="00FC1444">
              <w:rPr>
                <w:rFonts w:eastAsiaTheme="minorEastAsia" w:hAnsi="Times New Roman"/>
                <w:bCs/>
              </w:rPr>
              <w:t>生活污水依托附近民房防渗旱厕，定期清掏，外运堆肥，不外排</w:t>
            </w:r>
            <w:r w:rsidRPr="00FC1444">
              <w:rPr>
                <w:rFonts w:eastAsiaTheme="minorEastAsia" w:hAnsi="Times New Roman"/>
              </w:rPr>
              <w:t>。洗井废水用于洒水降尘。钻井泥浆循环利用，</w:t>
            </w:r>
            <w:r w:rsidRPr="00FC1444">
              <w:rPr>
                <w:rFonts w:eastAsiaTheme="minorEastAsia" w:hAnsi="Times New Roman"/>
                <w:szCs w:val="22"/>
              </w:rPr>
              <w:t>废泥浆</w:t>
            </w:r>
            <w:r w:rsidRPr="00FC1444">
              <w:rPr>
                <w:rFonts w:eastAsiaTheme="minorEastAsia" w:hAnsi="Times New Roman"/>
              </w:rPr>
              <w:t>暂存于施工场地</w:t>
            </w:r>
            <w:r w:rsidRPr="00FC1444">
              <w:rPr>
                <w:rFonts w:eastAsiaTheme="minorEastAsia" w:hAnsi="Times New Roman"/>
              </w:rPr>
              <w:t>1</w:t>
            </w:r>
            <w:r w:rsidRPr="00FC1444">
              <w:rPr>
                <w:rFonts w:eastAsiaTheme="minorEastAsia" w:hAnsi="Times New Roman"/>
              </w:rPr>
              <w:t>个</w:t>
            </w:r>
            <w:r w:rsidRPr="00FC1444">
              <w:rPr>
                <w:rFonts w:eastAsiaTheme="minorEastAsia" w:hAnsi="Times New Roman"/>
              </w:rPr>
              <w:t>10</w:t>
            </w:r>
            <w:r w:rsidRPr="00FC1444">
              <w:rPr>
                <w:rFonts w:eastAsiaTheme="minorEastAsia" w:hAnsi="Times New Roman"/>
                <w:szCs w:val="22"/>
              </w:rPr>
              <w:t>m</w:t>
            </w:r>
            <w:r w:rsidRPr="00FC1444">
              <w:rPr>
                <w:rFonts w:eastAsiaTheme="minorEastAsia" w:hAnsi="Times New Roman"/>
                <w:szCs w:val="22"/>
                <w:vertAlign w:val="superscript"/>
              </w:rPr>
              <w:t>3</w:t>
            </w:r>
            <w:r w:rsidRPr="00FC1444">
              <w:rPr>
                <w:rFonts w:eastAsiaTheme="minorEastAsia" w:hAnsi="Times New Roman"/>
              </w:rPr>
              <w:t>移动式不锈钢沉淀池内，沉淀后上层清水用于洒水降尘，下层钻井</w:t>
            </w:r>
            <w:r w:rsidRPr="00FC1444">
              <w:rPr>
                <w:rFonts w:eastAsiaTheme="minorEastAsia" w:hAnsi="Times New Roman"/>
                <w:bCs/>
              </w:rPr>
              <w:t>泥浆自然干化后用于周围路面平整。清淤工程污泥铺摊前先根据地势铺设</w:t>
            </w:r>
            <w:r w:rsidRPr="00FC1444">
              <w:rPr>
                <w:rFonts w:eastAsiaTheme="minorEastAsia" w:hAnsi="Times New Roman"/>
                <w:bCs/>
              </w:rPr>
              <w:t>5cm</w:t>
            </w:r>
            <w:r w:rsidRPr="00FC1444">
              <w:rPr>
                <w:rFonts w:eastAsiaTheme="minorEastAsia" w:hAnsi="Times New Roman"/>
                <w:bCs/>
              </w:rPr>
              <w:t>卵石层、</w:t>
            </w:r>
            <w:r w:rsidRPr="00FC1444">
              <w:rPr>
                <w:rFonts w:eastAsiaTheme="minorEastAsia" w:hAnsi="Times New Roman"/>
                <w:bCs/>
              </w:rPr>
              <w:t>20cm</w:t>
            </w:r>
            <w:r w:rsidRPr="00FC1444">
              <w:rPr>
                <w:rFonts w:eastAsiaTheme="minorEastAsia" w:hAnsi="Times New Roman"/>
                <w:bCs/>
              </w:rPr>
              <w:t>砂子层，形成一侧临沟渠偏低、另一侧靠农田偏高的坡度，防止淤泥沥水渗入周边农田。污泥沥水与渠道内水质基本一致，经过滤处理后排至原有渠道内；</w:t>
            </w:r>
            <w:r w:rsidRPr="00FC1444">
              <w:rPr>
                <w:rFonts w:eastAsiaTheme="minorEastAsia" w:hAnsi="Times New Roman"/>
              </w:rPr>
              <w:t>运营期</w:t>
            </w:r>
            <w:r w:rsidRPr="00FC1444">
              <w:rPr>
                <w:rFonts w:eastAsiaTheme="minorEastAsia" w:hAnsi="Times New Roman"/>
                <w:bCs/>
              </w:rPr>
              <w:t>项目区水田排水工程已基本形成规模，片区内排水承泄区为津河、呼兰河、努敏河，</w:t>
            </w:r>
            <w:r w:rsidR="00E008D1" w:rsidRPr="00FC1444">
              <w:rPr>
                <w:rFonts w:eastAsiaTheme="minorEastAsia" w:hAnsi="Times New Roman"/>
                <w:bCs/>
              </w:rPr>
              <w:t>项目建成后灌区年退水量与现状相比减少</w:t>
            </w:r>
            <w:r w:rsidR="00E008D1" w:rsidRPr="00FC1444">
              <w:rPr>
                <w:rFonts w:eastAsiaTheme="minorEastAsia" w:hAnsi="Times New Roman"/>
                <w:bCs/>
              </w:rPr>
              <w:t>431</w:t>
            </w:r>
            <w:r w:rsidR="00E008D1" w:rsidRPr="00FC1444">
              <w:rPr>
                <w:rFonts w:eastAsiaTheme="minorEastAsia" w:hAnsi="Times New Roman"/>
                <w:bCs/>
              </w:rPr>
              <w:t>万</w:t>
            </w:r>
            <w:r w:rsidRPr="00FC1444">
              <w:rPr>
                <w:rFonts w:eastAsiaTheme="minorEastAsia" w:hAnsi="Times New Roman"/>
                <w:bCs/>
              </w:rPr>
              <w:t>m</w:t>
            </w:r>
            <w:r w:rsidRPr="00FC1444">
              <w:rPr>
                <w:rFonts w:eastAsiaTheme="minorEastAsia" w:hAnsi="Times New Roman"/>
                <w:bCs/>
                <w:vertAlign w:val="superscript"/>
              </w:rPr>
              <w:t>3</w:t>
            </w:r>
          </w:p>
        </w:tc>
        <w:tc>
          <w:tcPr>
            <w:tcW w:w="528" w:type="pct"/>
            <w:vAlign w:val="center"/>
          </w:tcPr>
          <w:p w:rsidR="00386D57" w:rsidRPr="00FC1444" w:rsidRDefault="00386D57">
            <w:pPr>
              <w:pStyle w:val="aff7"/>
              <w:spacing w:line="0" w:lineRule="atLeast"/>
              <w:rPr>
                <w:rFonts w:eastAsiaTheme="minorEastAsia" w:hAnsi="Times New Roman"/>
              </w:rPr>
            </w:pPr>
            <w:r w:rsidRPr="00FC1444">
              <w:rPr>
                <w:rFonts w:eastAsiaTheme="minorEastAsia" w:hAnsi="Times New Roman"/>
              </w:rPr>
              <w:t>依托</w:t>
            </w:r>
            <w:r w:rsidRPr="00FC1444">
              <w:rPr>
                <w:rFonts w:eastAsiaTheme="minorEastAsia" w:hAnsi="Times New Roman"/>
              </w:rPr>
              <w:t>/</w:t>
            </w:r>
            <w:r w:rsidRPr="00FC1444">
              <w:rPr>
                <w:rFonts w:eastAsiaTheme="minorEastAsia" w:hAnsi="Times New Roman"/>
              </w:rPr>
              <w:t>新建</w:t>
            </w:r>
          </w:p>
        </w:tc>
      </w:tr>
      <w:tr w:rsidR="00386D57" w:rsidRPr="00FC1444" w:rsidTr="00386D57">
        <w:trPr>
          <w:trHeight w:val="340"/>
          <w:jc w:val="center"/>
        </w:trPr>
        <w:tc>
          <w:tcPr>
            <w:tcW w:w="395" w:type="pct"/>
            <w:vMerge/>
            <w:vAlign w:val="center"/>
          </w:tcPr>
          <w:p w:rsidR="00386D57" w:rsidRPr="00FC1444" w:rsidRDefault="00386D57" w:rsidP="004031CB">
            <w:pPr>
              <w:pStyle w:val="aff7"/>
              <w:spacing w:line="0" w:lineRule="atLeast"/>
              <w:rPr>
                <w:rFonts w:eastAsiaTheme="minorEastAsia" w:hAnsi="Times New Roman"/>
              </w:rPr>
            </w:pPr>
          </w:p>
        </w:tc>
        <w:tc>
          <w:tcPr>
            <w:tcW w:w="500" w:type="pct"/>
            <w:vMerge w:val="restart"/>
            <w:vAlign w:val="center"/>
          </w:tcPr>
          <w:p w:rsidR="00386D57" w:rsidRPr="00FC1444" w:rsidRDefault="00386D57">
            <w:pPr>
              <w:pStyle w:val="aff7"/>
              <w:spacing w:line="0" w:lineRule="atLeast"/>
              <w:rPr>
                <w:rFonts w:eastAsiaTheme="minorEastAsia" w:hAnsi="Times New Roman"/>
              </w:rPr>
            </w:pPr>
            <w:r w:rsidRPr="00FC1444">
              <w:rPr>
                <w:rFonts w:eastAsiaTheme="minorEastAsia" w:hAnsi="Times New Roman"/>
              </w:rPr>
              <w:t>噪声</w:t>
            </w:r>
          </w:p>
        </w:tc>
        <w:tc>
          <w:tcPr>
            <w:tcW w:w="3577" w:type="pct"/>
            <w:vAlign w:val="center"/>
          </w:tcPr>
          <w:p w:rsidR="00386D57" w:rsidRPr="00FC1444" w:rsidRDefault="00386D57">
            <w:pPr>
              <w:pStyle w:val="aff7"/>
              <w:spacing w:line="0" w:lineRule="atLeast"/>
              <w:jc w:val="left"/>
              <w:rPr>
                <w:rFonts w:eastAsiaTheme="minorEastAsia" w:hAnsi="Times New Roman"/>
              </w:rPr>
            </w:pPr>
            <w:r w:rsidRPr="00FC1444">
              <w:rPr>
                <w:rFonts w:eastAsiaTheme="minorEastAsia" w:hAnsi="Times New Roman"/>
              </w:rPr>
              <w:t>在</w:t>
            </w:r>
            <w:r w:rsidRPr="00FC1444">
              <w:rPr>
                <w:rFonts w:eastAsiaTheme="minorEastAsia" w:hAnsi="Times New Roman"/>
              </w:rPr>
              <w:t>10m</w:t>
            </w:r>
            <w:r w:rsidRPr="00FC1444">
              <w:rPr>
                <w:rFonts w:eastAsiaTheme="minorEastAsia" w:hAnsi="Times New Roman"/>
              </w:rPr>
              <w:t>以内分布有居民（</w:t>
            </w:r>
            <w:r w:rsidR="00D41946" w:rsidRPr="00FC1444">
              <w:rPr>
                <w:rFonts w:eastAsiaTheme="minorEastAsia" w:hAnsi="Times New Roman"/>
              </w:rPr>
              <w:t>曹家炉、刘家沟、崔家窝棚等村屯，共</w:t>
            </w:r>
            <w:r w:rsidR="00D41946" w:rsidRPr="00FC1444">
              <w:rPr>
                <w:rFonts w:eastAsiaTheme="minorEastAsia" w:hAnsi="Times New Roman"/>
              </w:rPr>
              <w:t>19</w:t>
            </w:r>
            <w:r w:rsidR="00D41946" w:rsidRPr="00FC1444">
              <w:rPr>
                <w:rFonts w:eastAsiaTheme="minorEastAsia" w:hAnsi="Times New Roman"/>
              </w:rPr>
              <w:t>处，</w:t>
            </w:r>
            <w:r w:rsidRPr="00FC1444">
              <w:rPr>
                <w:rFonts w:eastAsiaTheme="minorEastAsia" w:hAnsi="Times New Roman"/>
              </w:rPr>
              <w:t>具体村屯名称见表</w:t>
            </w:r>
            <w:r w:rsidRPr="00FC1444">
              <w:rPr>
                <w:rFonts w:eastAsiaTheme="minorEastAsia" w:hAnsi="Times New Roman"/>
              </w:rPr>
              <w:t>2-8-1</w:t>
            </w:r>
            <w:r w:rsidRPr="00FC1444">
              <w:rPr>
                <w:rFonts w:eastAsiaTheme="minorEastAsia" w:hAnsi="Times New Roman"/>
              </w:rPr>
              <w:t>）的灌溉与排水、田间道路、涵洞等建筑物、</w:t>
            </w:r>
            <w:r w:rsidRPr="00FC1444">
              <w:rPr>
                <w:rFonts w:eastAsiaTheme="minorEastAsia" w:hAnsi="Times New Roman"/>
                <w:bCs/>
              </w:rPr>
              <w:t>输配电</w:t>
            </w:r>
            <w:r w:rsidRPr="00FC1444">
              <w:rPr>
                <w:rFonts w:eastAsiaTheme="minorEastAsia" w:hAnsi="Times New Roman"/>
              </w:rPr>
              <w:t>工程处设置双层移动隔声屏障，高度为</w:t>
            </w:r>
            <w:r w:rsidRPr="00FC1444">
              <w:rPr>
                <w:rFonts w:eastAsiaTheme="minorEastAsia" w:hAnsi="Times New Roman"/>
              </w:rPr>
              <w:t>2m</w:t>
            </w:r>
            <w:r w:rsidRPr="00FC1444">
              <w:rPr>
                <w:rFonts w:eastAsiaTheme="minorEastAsia" w:hAnsi="Times New Roman"/>
              </w:rPr>
              <w:t>，长度超出敏感目标两侧各</w:t>
            </w:r>
            <w:r w:rsidRPr="00FC1444">
              <w:rPr>
                <w:rFonts w:eastAsiaTheme="minorEastAsia" w:hAnsi="Times New Roman"/>
              </w:rPr>
              <w:t>10m</w:t>
            </w:r>
            <w:r w:rsidRPr="00FC1444">
              <w:rPr>
                <w:rFonts w:eastAsiaTheme="minorEastAsia" w:hAnsi="Times New Roman"/>
              </w:rPr>
              <w:t>；对施工机械和车辆进行维护保养；运输车辆在经过沿线村屯时采取减速慢行、禁止鸣笛等管理措施，</w:t>
            </w:r>
            <w:r w:rsidRPr="00FC1444">
              <w:rPr>
                <w:rFonts w:eastAsiaTheme="minorEastAsia" w:hAnsi="Times New Roman"/>
                <w:bCs/>
              </w:rPr>
              <w:t>控制车速不超过</w:t>
            </w:r>
            <w:r w:rsidRPr="00FC1444">
              <w:rPr>
                <w:rFonts w:eastAsiaTheme="minorEastAsia" w:hAnsi="Times New Roman"/>
                <w:bCs/>
              </w:rPr>
              <w:t>20km/h</w:t>
            </w:r>
            <w:r w:rsidRPr="00FC1444">
              <w:rPr>
                <w:rFonts w:eastAsiaTheme="minorEastAsia" w:hAnsi="Times New Roman"/>
              </w:rPr>
              <w:t>；合理布置施工现场，尽量让高噪声设备远离敏感点一侧布置。加强施工期环境管理，尽量避免高噪声机械设备集中使用或几台声功率相同的设备同时、同点作业，以减少作业时的噪声声级。合理安排施工作业时间，禁止夜间（</w:t>
            </w:r>
            <w:r w:rsidRPr="00FC1444">
              <w:rPr>
                <w:rFonts w:eastAsiaTheme="minorEastAsia" w:hAnsi="Times New Roman"/>
              </w:rPr>
              <w:t>22:00-6:00</w:t>
            </w:r>
            <w:r w:rsidRPr="00FC1444">
              <w:rPr>
                <w:rFonts w:eastAsiaTheme="minorEastAsia" w:hAnsi="Times New Roman"/>
              </w:rPr>
              <w:t>）施工；</w:t>
            </w:r>
            <w:r w:rsidRPr="00FC1444">
              <w:rPr>
                <w:rFonts w:eastAsiaTheme="minorEastAsia" w:hAnsi="Times New Roman"/>
                <w:bCs/>
              </w:rPr>
              <w:t>加强施工期噪声监测，确保声环境功能区达标</w:t>
            </w:r>
          </w:p>
        </w:tc>
        <w:tc>
          <w:tcPr>
            <w:tcW w:w="528" w:type="pct"/>
            <w:vMerge w:val="restart"/>
            <w:vAlign w:val="center"/>
          </w:tcPr>
          <w:p w:rsidR="00386D57" w:rsidRPr="00FC1444" w:rsidRDefault="00386D57">
            <w:pPr>
              <w:contextualSpacing/>
              <w:jc w:val="center"/>
              <w:rPr>
                <w:rFonts w:eastAsiaTheme="minorEastAsia"/>
                <w:kern w:val="0"/>
                <w:szCs w:val="21"/>
              </w:rPr>
            </w:pPr>
            <w:r w:rsidRPr="00FC1444">
              <w:rPr>
                <w:rFonts w:eastAsiaTheme="minorEastAsia"/>
                <w:kern w:val="0"/>
                <w:szCs w:val="21"/>
              </w:rPr>
              <w:t>新建</w:t>
            </w:r>
          </w:p>
        </w:tc>
      </w:tr>
      <w:tr w:rsidR="00386D57" w:rsidRPr="00FC1444" w:rsidTr="00386D57">
        <w:trPr>
          <w:trHeight w:val="340"/>
          <w:jc w:val="center"/>
        </w:trPr>
        <w:tc>
          <w:tcPr>
            <w:tcW w:w="395" w:type="pct"/>
            <w:vMerge/>
            <w:vAlign w:val="center"/>
          </w:tcPr>
          <w:p w:rsidR="00386D57" w:rsidRPr="00FC1444" w:rsidRDefault="00386D57" w:rsidP="004031CB">
            <w:pPr>
              <w:pStyle w:val="aff7"/>
              <w:spacing w:line="0" w:lineRule="atLeast"/>
              <w:rPr>
                <w:rFonts w:eastAsiaTheme="minorEastAsia" w:hAnsi="Times New Roman"/>
              </w:rPr>
            </w:pPr>
          </w:p>
        </w:tc>
        <w:tc>
          <w:tcPr>
            <w:tcW w:w="500" w:type="pct"/>
            <w:vMerge/>
            <w:vAlign w:val="center"/>
          </w:tcPr>
          <w:p w:rsidR="00386D57" w:rsidRPr="00FC1444" w:rsidRDefault="00386D57">
            <w:pPr>
              <w:pStyle w:val="aff7"/>
              <w:spacing w:line="0" w:lineRule="atLeast"/>
              <w:rPr>
                <w:rFonts w:eastAsiaTheme="minorEastAsia" w:hAnsi="Times New Roman"/>
              </w:rPr>
            </w:pPr>
          </w:p>
        </w:tc>
        <w:tc>
          <w:tcPr>
            <w:tcW w:w="3577" w:type="pct"/>
            <w:vAlign w:val="center"/>
          </w:tcPr>
          <w:p w:rsidR="00386D57" w:rsidRPr="00FC1444" w:rsidRDefault="00386D57">
            <w:pPr>
              <w:pStyle w:val="aff7"/>
              <w:spacing w:line="0" w:lineRule="atLeast"/>
              <w:jc w:val="left"/>
              <w:rPr>
                <w:rFonts w:eastAsiaTheme="minorEastAsia" w:hAnsi="Times New Roman"/>
              </w:rPr>
            </w:pPr>
            <w:r w:rsidRPr="00FC1444">
              <w:rPr>
                <w:rFonts w:eastAsiaTheme="minorEastAsia" w:hAnsi="Times New Roman"/>
              </w:rPr>
              <w:t>运营期潜水泵、水肥一体化设备位于井房内，潜水泵位于地下，潜水泵、水肥一体化设备采取减振措施；变压器基础减振；临近敏感目标的道路处设置限速、禁鸣标识</w:t>
            </w:r>
          </w:p>
        </w:tc>
        <w:tc>
          <w:tcPr>
            <w:tcW w:w="528" w:type="pct"/>
            <w:vMerge/>
            <w:vAlign w:val="center"/>
          </w:tcPr>
          <w:p w:rsidR="00386D57" w:rsidRPr="00FC1444" w:rsidRDefault="00386D57">
            <w:pPr>
              <w:pStyle w:val="aff7"/>
              <w:spacing w:line="0" w:lineRule="atLeast"/>
              <w:rPr>
                <w:rFonts w:eastAsiaTheme="minorEastAsia" w:hAnsi="Times New Roman"/>
              </w:rPr>
            </w:pPr>
          </w:p>
        </w:tc>
      </w:tr>
      <w:tr w:rsidR="00386D57" w:rsidRPr="00FC1444" w:rsidTr="00386D57">
        <w:trPr>
          <w:trHeight w:val="340"/>
          <w:jc w:val="center"/>
        </w:trPr>
        <w:tc>
          <w:tcPr>
            <w:tcW w:w="395" w:type="pct"/>
            <w:vMerge/>
            <w:vAlign w:val="center"/>
          </w:tcPr>
          <w:p w:rsidR="00386D57" w:rsidRPr="00FC1444" w:rsidRDefault="00386D57" w:rsidP="004031CB">
            <w:pPr>
              <w:pStyle w:val="aff7"/>
              <w:spacing w:line="0" w:lineRule="atLeast"/>
              <w:rPr>
                <w:rFonts w:eastAsiaTheme="minorEastAsia" w:hAnsi="Times New Roman"/>
              </w:rPr>
            </w:pPr>
          </w:p>
        </w:tc>
        <w:tc>
          <w:tcPr>
            <w:tcW w:w="500" w:type="pct"/>
            <w:vAlign w:val="center"/>
          </w:tcPr>
          <w:p w:rsidR="00386D57" w:rsidRPr="00FC1444" w:rsidRDefault="00386D57">
            <w:pPr>
              <w:pStyle w:val="aff7"/>
              <w:spacing w:line="0" w:lineRule="atLeast"/>
              <w:rPr>
                <w:rFonts w:eastAsiaTheme="minorEastAsia" w:hAnsi="Times New Roman"/>
              </w:rPr>
            </w:pPr>
            <w:r w:rsidRPr="00FC1444">
              <w:rPr>
                <w:rFonts w:eastAsiaTheme="minorEastAsia" w:hAnsi="Times New Roman"/>
              </w:rPr>
              <w:t>固废</w:t>
            </w:r>
          </w:p>
        </w:tc>
        <w:tc>
          <w:tcPr>
            <w:tcW w:w="3577" w:type="pct"/>
            <w:vAlign w:val="center"/>
          </w:tcPr>
          <w:p w:rsidR="00386D57" w:rsidRPr="00FC1444" w:rsidRDefault="00386D57" w:rsidP="009E4DCE">
            <w:pPr>
              <w:pStyle w:val="aff7"/>
              <w:spacing w:line="0" w:lineRule="atLeast"/>
              <w:jc w:val="left"/>
              <w:rPr>
                <w:rFonts w:eastAsiaTheme="minorEastAsia" w:hAnsi="Times New Roman"/>
              </w:rPr>
            </w:pPr>
            <w:r w:rsidRPr="00FC1444">
              <w:rPr>
                <w:rFonts w:eastAsiaTheme="minorEastAsia" w:hAnsi="Times New Roman"/>
              </w:rPr>
              <w:t>施工期建筑垃圾大部分用于</w:t>
            </w:r>
            <w:r w:rsidRPr="00FC1444">
              <w:rPr>
                <w:rFonts w:eastAsiaTheme="minorEastAsia" w:hAnsi="Times New Roman"/>
                <w:snapToGrid w:val="0"/>
                <w:kern w:val="0"/>
              </w:rPr>
              <w:t>田块整治工程，剩余送至建筑公司回用，</w:t>
            </w:r>
            <w:r w:rsidRPr="00FC1444">
              <w:rPr>
                <w:rFonts w:eastAsiaTheme="minorEastAsia" w:hAnsi="Times New Roman"/>
              </w:rPr>
              <w:t>建筑垃圾进行堆填利用前应开展本底调查及风险评估。</w:t>
            </w:r>
            <w:r w:rsidRPr="00FC1444">
              <w:rPr>
                <w:rFonts w:eastAsiaTheme="minorEastAsia" w:hAnsi="Times New Roman"/>
                <w:snapToGrid w:val="0"/>
                <w:kern w:val="0"/>
              </w:rPr>
              <w:t>废包装袋外售废品收购站</w:t>
            </w:r>
            <w:r w:rsidRPr="00FC1444">
              <w:rPr>
                <w:rFonts w:eastAsiaTheme="minorEastAsia" w:hAnsi="Times New Roman"/>
              </w:rPr>
              <w:t>；钻井泥浆循环利用，</w:t>
            </w:r>
            <w:r w:rsidRPr="00FC1444">
              <w:rPr>
                <w:rFonts w:eastAsiaTheme="minorEastAsia" w:hAnsi="Times New Roman"/>
                <w:szCs w:val="22"/>
              </w:rPr>
              <w:t>废泥浆</w:t>
            </w:r>
            <w:r w:rsidRPr="00FC1444">
              <w:rPr>
                <w:rFonts w:eastAsiaTheme="minorEastAsia" w:hAnsi="Times New Roman"/>
              </w:rPr>
              <w:t>暂存于施工场地</w:t>
            </w:r>
            <w:r w:rsidRPr="00FC1444">
              <w:rPr>
                <w:rFonts w:eastAsiaTheme="minorEastAsia" w:hAnsi="Times New Roman"/>
              </w:rPr>
              <w:t>1</w:t>
            </w:r>
            <w:r w:rsidRPr="00FC1444">
              <w:rPr>
                <w:rFonts w:eastAsiaTheme="minorEastAsia" w:hAnsi="Times New Roman"/>
              </w:rPr>
              <w:t>个</w:t>
            </w:r>
            <w:r w:rsidRPr="00FC1444">
              <w:rPr>
                <w:rFonts w:eastAsiaTheme="minorEastAsia" w:hAnsi="Times New Roman"/>
              </w:rPr>
              <w:t>10</w:t>
            </w:r>
            <w:r w:rsidRPr="00FC1444">
              <w:rPr>
                <w:rFonts w:eastAsiaTheme="minorEastAsia" w:hAnsi="Times New Roman"/>
                <w:szCs w:val="22"/>
              </w:rPr>
              <w:t>m</w:t>
            </w:r>
            <w:r w:rsidRPr="00FC1444">
              <w:rPr>
                <w:rFonts w:eastAsiaTheme="minorEastAsia" w:hAnsi="Times New Roman"/>
                <w:szCs w:val="22"/>
                <w:vertAlign w:val="superscript"/>
              </w:rPr>
              <w:t>3</w:t>
            </w:r>
            <w:r w:rsidRPr="00FC1444">
              <w:rPr>
                <w:rFonts w:eastAsiaTheme="minorEastAsia" w:hAnsi="Times New Roman"/>
              </w:rPr>
              <w:t>移动式不锈钢沉淀池内，沉淀后上层清水用于洒水降尘，下层钻井</w:t>
            </w:r>
            <w:r w:rsidRPr="00FC1444">
              <w:rPr>
                <w:rFonts w:eastAsiaTheme="minorEastAsia" w:hAnsi="Times New Roman"/>
                <w:bCs/>
              </w:rPr>
              <w:t>泥浆自然干化后用于周围路面平整</w:t>
            </w:r>
            <w:r w:rsidRPr="00FC1444">
              <w:rPr>
                <w:rFonts w:eastAsiaTheme="minorEastAsia" w:hAnsi="Times New Roman"/>
              </w:rPr>
              <w:t>；</w:t>
            </w:r>
            <w:r w:rsidRPr="00FC1444">
              <w:rPr>
                <w:rFonts w:eastAsiaTheme="minorEastAsia" w:hAnsi="Times New Roman"/>
                <w:snapToGrid w:val="0"/>
                <w:kern w:val="0"/>
              </w:rPr>
              <w:t>表土全部用于临时工程土地恢复及田块整治工程；施工人员产生的生活垃圾集中收集后由市政环卫部门统一清运处置</w:t>
            </w:r>
            <w:r w:rsidRPr="00FC1444">
              <w:rPr>
                <w:rFonts w:eastAsiaTheme="minorEastAsia" w:hAnsi="Times New Roman"/>
              </w:rPr>
              <w:t>；</w:t>
            </w:r>
            <w:r w:rsidRPr="00FC1444">
              <w:rPr>
                <w:rFonts w:eastAsiaTheme="minorEastAsia" w:hAnsi="Times New Roman"/>
                <w:bCs/>
              </w:rPr>
              <w:t>排水沟淤泥培至工程附近</w:t>
            </w:r>
            <w:r w:rsidRPr="00FC1444">
              <w:rPr>
                <w:rFonts w:eastAsiaTheme="minorEastAsia" w:hAnsi="Times New Roman"/>
                <w:bCs/>
              </w:rPr>
              <w:t>200</w:t>
            </w:r>
            <w:r w:rsidRPr="00FC1444">
              <w:rPr>
                <w:rFonts w:eastAsiaTheme="minorEastAsia" w:hAnsi="Times New Roman"/>
                <w:bCs/>
              </w:rPr>
              <w:t>米范围内无环境保护目标的排水沟两侧（避开黄家屯、李荒子屯等</w:t>
            </w:r>
            <w:r w:rsidRPr="00FC1444">
              <w:rPr>
                <w:rFonts w:eastAsiaTheme="minorEastAsia" w:hAnsi="Times New Roman"/>
                <w:bCs/>
              </w:rPr>
              <w:t>22</w:t>
            </w:r>
            <w:r w:rsidRPr="00FC1444">
              <w:rPr>
                <w:rFonts w:eastAsiaTheme="minorEastAsia" w:hAnsi="Times New Roman"/>
                <w:bCs/>
              </w:rPr>
              <w:t>个村屯，具体见表</w:t>
            </w:r>
            <w:r w:rsidRPr="00FC1444">
              <w:rPr>
                <w:rFonts w:eastAsiaTheme="minorEastAsia" w:hAnsi="Times New Roman"/>
                <w:bCs/>
              </w:rPr>
              <w:t>2-8-2</w:t>
            </w:r>
            <w:r w:rsidRPr="00FC1444">
              <w:rPr>
                <w:rFonts w:eastAsiaTheme="minorEastAsia" w:hAnsi="Times New Roman"/>
                <w:bCs/>
              </w:rPr>
              <w:t>）</w:t>
            </w:r>
            <w:r w:rsidRPr="00FC1444">
              <w:rPr>
                <w:rFonts w:eastAsiaTheme="minorEastAsia" w:hAnsi="Times New Roman"/>
                <w:snapToGrid w:val="0"/>
                <w:kern w:val="0"/>
              </w:rPr>
              <w:t>；</w:t>
            </w:r>
            <w:r w:rsidRPr="00FC1444">
              <w:rPr>
                <w:rFonts w:eastAsiaTheme="minorEastAsia" w:hAnsi="Times New Roman"/>
                <w:bCs/>
              </w:rPr>
              <w:t>废肥料包装袋，外售废品收购站</w:t>
            </w:r>
            <w:r w:rsidRPr="00FC1444">
              <w:rPr>
                <w:rFonts w:eastAsiaTheme="minorEastAsia" w:hAnsi="Times New Roman"/>
                <w:snapToGrid w:val="0"/>
                <w:kern w:val="0"/>
              </w:rPr>
              <w:t>；</w:t>
            </w:r>
            <w:r w:rsidRPr="00FC1444">
              <w:rPr>
                <w:rFonts w:eastAsiaTheme="minorEastAsia" w:hAnsi="Times New Roman"/>
              </w:rPr>
              <w:t>运营期秸秆、</w:t>
            </w:r>
            <w:r w:rsidRPr="00FC1444">
              <w:rPr>
                <w:rFonts w:eastAsiaTheme="minorEastAsia" w:hAnsi="Times New Roman"/>
                <w:bCs/>
              </w:rPr>
              <w:t>废肥料包装袋</w:t>
            </w:r>
            <w:r w:rsidRPr="00FC1444">
              <w:rPr>
                <w:rFonts w:hAnsi="Times New Roman"/>
                <w:bCs/>
              </w:rPr>
              <w:t>由当地农民负责外售综合利用；农业使用者及时收集</w:t>
            </w:r>
            <w:r w:rsidRPr="00FC1444">
              <w:rPr>
                <w:rFonts w:eastAsiaTheme="minorEastAsia" w:hAnsi="Times New Roman"/>
                <w:bCs/>
              </w:rPr>
              <w:t>农药包装物，由并交回农药经营者或回收站</w:t>
            </w:r>
          </w:p>
        </w:tc>
        <w:tc>
          <w:tcPr>
            <w:tcW w:w="528" w:type="pct"/>
            <w:vAlign w:val="center"/>
          </w:tcPr>
          <w:p w:rsidR="00386D57" w:rsidRPr="00FC1444" w:rsidRDefault="00386D57" w:rsidP="00DD5FB6">
            <w:pPr>
              <w:contextualSpacing/>
              <w:jc w:val="center"/>
              <w:rPr>
                <w:rFonts w:eastAsiaTheme="minorEastAsia"/>
              </w:rPr>
            </w:pPr>
            <w:r w:rsidRPr="00FC1444">
              <w:rPr>
                <w:rFonts w:eastAsiaTheme="minorEastAsia"/>
              </w:rPr>
              <w:t>新建</w:t>
            </w:r>
          </w:p>
        </w:tc>
      </w:tr>
      <w:tr w:rsidR="00386D57" w:rsidRPr="00FC1444" w:rsidTr="00386D57">
        <w:trPr>
          <w:trHeight w:val="340"/>
          <w:jc w:val="center"/>
        </w:trPr>
        <w:tc>
          <w:tcPr>
            <w:tcW w:w="395" w:type="pct"/>
            <w:vMerge/>
            <w:vAlign w:val="center"/>
          </w:tcPr>
          <w:p w:rsidR="00386D57" w:rsidRPr="00FC1444" w:rsidRDefault="00386D57">
            <w:pPr>
              <w:pStyle w:val="aff7"/>
              <w:spacing w:line="0" w:lineRule="atLeast"/>
              <w:rPr>
                <w:rFonts w:eastAsiaTheme="minorEastAsia" w:hAnsi="Times New Roman"/>
              </w:rPr>
            </w:pPr>
          </w:p>
        </w:tc>
        <w:tc>
          <w:tcPr>
            <w:tcW w:w="500" w:type="pct"/>
            <w:vAlign w:val="center"/>
          </w:tcPr>
          <w:p w:rsidR="00386D57" w:rsidRPr="00FC1444" w:rsidRDefault="00386D57">
            <w:pPr>
              <w:pStyle w:val="aff7"/>
              <w:spacing w:line="0" w:lineRule="atLeast"/>
              <w:rPr>
                <w:rFonts w:eastAsiaTheme="minorEastAsia" w:hAnsi="Times New Roman"/>
              </w:rPr>
            </w:pPr>
            <w:r w:rsidRPr="00FC1444">
              <w:rPr>
                <w:rFonts w:eastAsiaTheme="minorEastAsia" w:hAnsi="Times New Roman"/>
              </w:rPr>
              <w:t>生态</w:t>
            </w:r>
          </w:p>
        </w:tc>
        <w:tc>
          <w:tcPr>
            <w:tcW w:w="3577" w:type="pct"/>
            <w:vAlign w:val="center"/>
          </w:tcPr>
          <w:p w:rsidR="00386D57" w:rsidRPr="00FC1444" w:rsidRDefault="00386D57">
            <w:pPr>
              <w:pStyle w:val="aff7"/>
              <w:spacing w:line="0" w:lineRule="atLeast"/>
              <w:jc w:val="left"/>
              <w:rPr>
                <w:rFonts w:eastAsiaTheme="minorEastAsia" w:hAnsi="Times New Roman"/>
              </w:rPr>
            </w:pPr>
            <w:r w:rsidRPr="00FC1444">
              <w:rPr>
                <w:rFonts w:eastAsiaTheme="minorEastAsia" w:hAnsi="Times New Roman"/>
              </w:rPr>
              <w:t>建设单位为生态恢复工程实施责任主体</w:t>
            </w:r>
            <w:r w:rsidRPr="00FC1444">
              <w:rPr>
                <w:rFonts w:eastAsiaTheme="minorEastAsia" w:hAnsi="Times New Roman"/>
                <w:snapToGrid w:val="0"/>
                <w:kern w:val="0"/>
              </w:rPr>
              <w:t>；严格控制施工范围，对施工人员进行生态保护教育；施工单位优化施工工艺和施工时序，夜间、雨天及大风天不施工；涵洞等建筑物工程施工过程禁止施工生产废水排放至沟渠内；施工过程中采取</w:t>
            </w:r>
            <w:r w:rsidRPr="00FC1444">
              <w:rPr>
                <w:rFonts w:eastAsiaTheme="minorEastAsia" w:hAnsi="Times New Roman"/>
                <w:snapToGrid w:val="0"/>
                <w:kern w:val="0"/>
              </w:rPr>
              <w:t>“</w:t>
            </w:r>
            <w:r w:rsidRPr="00FC1444">
              <w:rPr>
                <w:rFonts w:eastAsiaTheme="minorEastAsia" w:hAnsi="Times New Roman"/>
                <w:snapToGrid w:val="0"/>
                <w:kern w:val="0"/>
              </w:rPr>
              <w:t>边施工、边修复</w:t>
            </w:r>
            <w:r w:rsidRPr="00FC1444">
              <w:rPr>
                <w:rFonts w:eastAsiaTheme="minorEastAsia" w:hAnsi="Times New Roman"/>
                <w:snapToGrid w:val="0"/>
                <w:kern w:val="0"/>
              </w:rPr>
              <w:t>”</w:t>
            </w:r>
            <w:r w:rsidRPr="00FC1444">
              <w:rPr>
                <w:rFonts w:eastAsiaTheme="minorEastAsia" w:hAnsi="Times New Roman"/>
                <w:snapToGrid w:val="0"/>
                <w:kern w:val="0"/>
              </w:rPr>
              <w:t>措施</w:t>
            </w:r>
          </w:p>
        </w:tc>
        <w:tc>
          <w:tcPr>
            <w:tcW w:w="528" w:type="pct"/>
            <w:vMerge w:val="restart"/>
            <w:vAlign w:val="center"/>
          </w:tcPr>
          <w:p w:rsidR="00386D57" w:rsidRPr="00FC1444" w:rsidRDefault="00386D57">
            <w:pPr>
              <w:pStyle w:val="aff7"/>
              <w:spacing w:line="0" w:lineRule="atLeast"/>
              <w:rPr>
                <w:rFonts w:eastAsiaTheme="minorEastAsia" w:hAnsi="Times New Roman"/>
              </w:rPr>
            </w:pPr>
            <w:r w:rsidRPr="00FC1444">
              <w:rPr>
                <w:rFonts w:eastAsiaTheme="minorEastAsia" w:hAnsi="Times New Roman"/>
              </w:rPr>
              <w:t>新建</w:t>
            </w:r>
          </w:p>
        </w:tc>
      </w:tr>
      <w:tr w:rsidR="00386D57" w:rsidRPr="00FC1444" w:rsidTr="00386D57">
        <w:trPr>
          <w:trHeight w:val="340"/>
          <w:jc w:val="center"/>
        </w:trPr>
        <w:tc>
          <w:tcPr>
            <w:tcW w:w="395" w:type="pct"/>
            <w:vMerge/>
            <w:vAlign w:val="center"/>
          </w:tcPr>
          <w:p w:rsidR="00386D57" w:rsidRPr="00FC1444" w:rsidRDefault="00386D57">
            <w:pPr>
              <w:pStyle w:val="aff7"/>
              <w:spacing w:line="0" w:lineRule="atLeast"/>
              <w:rPr>
                <w:rFonts w:eastAsiaTheme="minorEastAsia" w:hAnsi="Times New Roman"/>
              </w:rPr>
            </w:pPr>
          </w:p>
        </w:tc>
        <w:tc>
          <w:tcPr>
            <w:tcW w:w="500" w:type="pct"/>
            <w:vAlign w:val="center"/>
          </w:tcPr>
          <w:p w:rsidR="00386D57" w:rsidRPr="00FC1444" w:rsidRDefault="00386D57">
            <w:pPr>
              <w:pStyle w:val="aff7"/>
              <w:spacing w:line="0" w:lineRule="atLeast"/>
              <w:rPr>
                <w:rFonts w:eastAsiaTheme="minorEastAsia" w:hAnsi="Times New Roman"/>
              </w:rPr>
            </w:pPr>
            <w:r w:rsidRPr="00FC1444">
              <w:rPr>
                <w:rFonts w:eastAsiaTheme="minorEastAsia" w:hAnsi="Times New Roman"/>
              </w:rPr>
              <w:t>环境风险</w:t>
            </w:r>
          </w:p>
        </w:tc>
        <w:tc>
          <w:tcPr>
            <w:tcW w:w="3577" w:type="pct"/>
            <w:vAlign w:val="center"/>
          </w:tcPr>
          <w:p w:rsidR="00386D57" w:rsidRPr="00FC1444" w:rsidRDefault="00386D57">
            <w:pPr>
              <w:pStyle w:val="aff7"/>
              <w:spacing w:line="0" w:lineRule="atLeast"/>
              <w:jc w:val="both"/>
              <w:rPr>
                <w:rFonts w:eastAsiaTheme="minorEastAsia" w:hAnsi="Times New Roman"/>
              </w:rPr>
            </w:pPr>
            <w:r w:rsidRPr="00FC1444">
              <w:rPr>
                <w:rFonts w:eastAsiaTheme="minorEastAsia" w:hAnsi="Times New Roman"/>
              </w:rPr>
              <w:t>选取项目</w:t>
            </w:r>
            <w:r w:rsidRPr="00FC1444">
              <w:rPr>
                <w:rFonts w:eastAsiaTheme="minorEastAsia" w:hAnsi="Times New Roman"/>
              </w:rPr>
              <w:t>3</w:t>
            </w:r>
            <w:r w:rsidRPr="00FC1444">
              <w:rPr>
                <w:rFonts w:eastAsiaTheme="minorEastAsia" w:hAnsi="Times New Roman"/>
              </w:rPr>
              <w:t>口灌溉井作为跟踪监测井；制定突发环境事件应急预案，说明各种可能发生的突发环境事件情景及应急处置措施</w:t>
            </w:r>
          </w:p>
        </w:tc>
        <w:tc>
          <w:tcPr>
            <w:tcW w:w="528" w:type="pct"/>
            <w:vMerge/>
            <w:vAlign w:val="center"/>
          </w:tcPr>
          <w:p w:rsidR="00386D57" w:rsidRPr="00FC1444" w:rsidRDefault="00386D57">
            <w:pPr>
              <w:pStyle w:val="aff7"/>
              <w:spacing w:line="0" w:lineRule="atLeast"/>
              <w:rPr>
                <w:rFonts w:eastAsiaTheme="minorEastAsia" w:hAnsi="Times New Roman"/>
              </w:rPr>
            </w:pPr>
          </w:p>
        </w:tc>
      </w:tr>
    </w:tbl>
    <w:p w:rsidR="002A5A5E" w:rsidRPr="00FC1444" w:rsidRDefault="00611CBA">
      <w:pPr>
        <w:spacing w:before="100" w:beforeAutospacing="1" w:after="100" w:afterAutospacing="1"/>
        <w:contextualSpacing/>
        <w:jc w:val="left"/>
        <w:outlineLvl w:val="2"/>
        <w:rPr>
          <w:rFonts w:eastAsiaTheme="minorEastAsia"/>
          <w:b/>
          <w:bCs/>
          <w:kern w:val="44"/>
          <w:sz w:val="30"/>
          <w:szCs w:val="30"/>
        </w:rPr>
      </w:pPr>
      <w:bookmarkStart w:id="76" w:name="_Toc184823203"/>
      <w:bookmarkEnd w:id="74"/>
      <w:r w:rsidRPr="00FC1444">
        <w:rPr>
          <w:rFonts w:eastAsiaTheme="minorEastAsia"/>
          <w:b/>
          <w:bCs/>
          <w:kern w:val="44"/>
          <w:sz w:val="30"/>
          <w:szCs w:val="30"/>
        </w:rPr>
        <w:t>3.1.6</w:t>
      </w:r>
      <w:r w:rsidRPr="00FC1444">
        <w:rPr>
          <w:rFonts w:eastAsiaTheme="minorEastAsia"/>
          <w:b/>
          <w:bCs/>
          <w:kern w:val="44"/>
          <w:sz w:val="30"/>
          <w:szCs w:val="30"/>
        </w:rPr>
        <w:t>工程设计</w:t>
      </w:r>
      <w:bookmarkEnd w:id="76"/>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3.1.6.1</w:t>
      </w:r>
      <w:r w:rsidRPr="00FC1444">
        <w:rPr>
          <w:rFonts w:eastAsiaTheme="minorEastAsia"/>
          <w:b/>
          <w:sz w:val="24"/>
        </w:rPr>
        <w:t>灌溉与排水工程</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）灌溉工程</w:t>
      </w:r>
    </w:p>
    <w:p w:rsidR="00434746" w:rsidRPr="00FC1444" w:rsidRDefault="00F74DEA" w:rsidP="00386D57">
      <w:pPr>
        <w:spacing w:line="360" w:lineRule="auto"/>
        <w:ind w:firstLineChars="200" w:firstLine="480"/>
        <w:rPr>
          <w:rFonts w:eastAsiaTheme="minorEastAsia"/>
          <w:sz w:val="24"/>
        </w:rPr>
      </w:pPr>
      <w:r w:rsidRPr="00FC1444">
        <w:rPr>
          <w:rFonts w:eastAsiaTheme="minorEastAsia"/>
          <w:sz w:val="24"/>
        </w:rPr>
        <w:lastRenderedPageBreak/>
        <w:t>旱田：</w:t>
      </w:r>
      <w:r w:rsidR="00B40846" w:rsidRPr="00FC1444">
        <w:rPr>
          <w:rFonts w:eastAsiaTheme="minorEastAsia"/>
          <w:sz w:val="24"/>
        </w:rPr>
        <w:t>本项目建设前后</w:t>
      </w:r>
      <w:r w:rsidR="00434746" w:rsidRPr="00FC1444">
        <w:rPr>
          <w:rFonts w:eastAsiaTheme="minorEastAsia"/>
          <w:sz w:val="24"/>
        </w:rPr>
        <w:t>项目区</w:t>
      </w:r>
      <w:r w:rsidR="00B40846" w:rsidRPr="00FC1444">
        <w:rPr>
          <w:rFonts w:eastAsiaTheme="minorEastAsia"/>
          <w:sz w:val="24"/>
        </w:rPr>
        <w:t>旱地</w:t>
      </w:r>
      <w:r w:rsidR="00434746" w:rsidRPr="00FC1444">
        <w:rPr>
          <w:rFonts w:eastAsiaTheme="minorEastAsia"/>
          <w:sz w:val="24"/>
        </w:rPr>
        <w:t>面积</w:t>
      </w:r>
      <w:r w:rsidR="00B40846" w:rsidRPr="00FC1444">
        <w:rPr>
          <w:rFonts w:eastAsiaTheme="minorEastAsia"/>
          <w:sz w:val="24"/>
        </w:rPr>
        <w:t>不变，仍为</w:t>
      </w:r>
      <w:r w:rsidR="00291DFE" w:rsidRPr="00FC1444">
        <w:rPr>
          <w:rFonts w:eastAsiaTheme="minorEastAsia"/>
          <w:bCs/>
          <w:sz w:val="24"/>
        </w:rPr>
        <w:t>11.84</w:t>
      </w:r>
      <w:r w:rsidR="00B40846" w:rsidRPr="00FC1444">
        <w:rPr>
          <w:rFonts w:eastAsiaTheme="minorEastAsia"/>
          <w:bCs/>
          <w:sz w:val="24"/>
        </w:rPr>
        <w:t>万亩。</w:t>
      </w:r>
      <w:r w:rsidR="0086311D" w:rsidRPr="00FC1444">
        <w:rPr>
          <w:rFonts w:eastAsiaTheme="minorEastAsia"/>
          <w:sz w:val="24"/>
        </w:rPr>
        <w:t>根据《</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0086311D" w:rsidRPr="00FC1444">
        <w:rPr>
          <w:rFonts w:eastAsiaTheme="minorEastAsia"/>
          <w:sz w:val="24"/>
        </w:rPr>
        <w:t>水资源论证报告书》《节水灌溉工程技术规范》和《黑龙江：用水定额》（</w:t>
      </w:r>
      <w:r w:rsidR="0086311D" w:rsidRPr="00FC1444">
        <w:rPr>
          <w:rFonts w:eastAsiaTheme="minorEastAsia"/>
          <w:sz w:val="24"/>
        </w:rPr>
        <w:t>DB23/T 727-2025</w:t>
      </w:r>
      <w:r w:rsidR="0086311D" w:rsidRPr="00FC1444">
        <w:rPr>
          <w:rFonts w:eastAsiaTheme="minorEastAsia"/>
          <w:sz w:val="24"/>
        </w:rPr>
        <w:t>），本项目实施后，项目区</w:t>
      </w:r>
      <w:r w:rsidR="00E208B8" w:rsidRPr="00FC1444">
        <w:rPr>
          <w:rFonts w:eastAsiaTheme="minorEastAsia"/>
          <w:sz w:val="24"/>
        </w:rPr>
        <w:t>旱田</w:t>
      </w:r>
      <w:r w:rsidR="0086311D" w:rsidRPr="00FC1444">
        <w:rPr>
          <w:rFonts w:eastAsiaTheme="minorEastAsia"/>
          <w:sz w:val="24"/>
        </w:rPr>
        <w:t>设计灌溉保证率为</w:t>
      </w:r>
      <w:r w:rsidR="0086311D" w:rsidRPr="00FC1444">
        <w:rPr>
          <w:rFonts w:eastAsiaTheme="minorEastAsia"/>
          <w:sz w:val="24"/>
        </w:rPr>
        <w:t>90%</w:t>
      </w:r>
      <w:r w:rsidR="0086311D" w:rsidRPr="00FC1444">
        <w:rPr>
          <w:rFonts w:eastAsiaTheme="minorEastAsia"/>
          <w:sz w:val="24"/>
        </w:rPr>
        <w:t>，坐水种灌溉定额</w:t>
      </w:r>
      <w:r w:rsidR="0086311D" w:rsidRPr="00FC1444">
        <w:rPr>
          <w:rFonts w:eastAsiaTheme="minorEastAsia"/>
          <w:sz w:val="24"/>
        </w:rPr>
        <w:t>6m</w:t>
      </w:r>
      <w:r w:rsidR="0086311D" w:rsidRPr="00FC1444">
        <w:rPr>
          <w:rFonts w:eastAsiaTheme="minorEastAsia"/>
          <w:sz w:val="24"/>
          <w:vertAlign w:val="superscript"/>
        </w:rPr>
        <w:t>3</w:t>
      </w:r>
      <w:r w:rsidR="0086311D" w:rsidRPr="00FC1444">
        <w:rPr>
          <w:rFonts w:eastAsiaTheme="minorEastAsia"/>
          <w:sz w:val="24"/>
        </w:rPr>
        <w:t>/</w:t>
      </w:r>
      <w:r w:rsidR="0086311D" w:rsidRPr="00FC1444">
        <w:rPr>
          <w:rFonts w:eastAsiaTheme="minorEastAsia"/>
          <w:sz w:val="24"/>
        </w:rPr>
        <w:t>亩，</w:t>
      </w:r>
      <w:r w:rsidR="00FD6E06" w:rsidRPr="00FC1444">
        <w:rPr>
          <w:rFonts w:eastAsiaTheme="minorEastAsia"/>
          <w:sz w:val="24"/>
        </w:rPr>
        <w:t>灌溉水利用系数</w:t>
      </w:r>
      <w:r w:rsidR="00FD6E06" w:rsidRPr="00FC1444">
        <w:rPr>
          <w:rFonts w:eastAsiaTheme="minorEastAsia"/>
          <w:sz w:val="24"/>
        </w:rPr>
        <w:t>0.85</w:t>
      </w:r>
      <w:r w:rsidR="00E208B8" w:rsidRPr="00FC1444">
        <w:rPr>
          <w:rFonts w:eastAsiaTheme="minorEastAsia"/>
          <w:sz w:val="24"/>
        </w:rPr>
        <w:t>，坐水种灌溉面积共</w:t>
      </w:r>
      <w:r w:rsidR="00371E5B" w:rsidRPr="00FC1444">
        <w:rPr>
          <w:rFonts w:eastAsiaTheme="minorEastAsia"/>
          <w:sz w:val="24"/>
        </w:rPr>
        <w:t>33517</w:t>
      </w:r>
      <w:r w:rsidR="00E208B8" w:rsidRPr="00FC1444">
        <w:rPr>
          <w:rFonts w:eastAsiaTheme="minorEastAsia"/>
          <w:sz w:val="24"/>
        </w:rPr>
        <w:t>亩</w:t>
      </w:r>
      <w:r w:rsidR="0086311D" w:rsidRPr="00FC1444">
        <w:rPr>
          <w:rFonts w:eastAsiaTheme="minorEastAsia"/>
          <w:sz w:val="24"/>
        </w:rPr>
        <w:t>，滴灌</w:t>
      </w:r>
      <w:r w:rsidR="00AA2342" w:rsidRPr="00FC1444">
        <w:rPr>
          <w:rFonts w:eastAsiaTheme="minorEastAsia"/>
          <w:sz w:val="24"/>
        </w:rPr>
        <w:t>（</w:t>
      </w:r>
      <w:r w:rsidR="00AA2342" w:rsidRPr="00FC1444">
        <w:rPr>
          <w:rFonts w:eastAsiaTheme="minorEastAsia"/>
          <w:bCs/>
          <w:sz w:val="24"/>
        </w:rPr>
        <w:t>水肥一体化灌溉</w:t>
      </w:r>
      <w:r w:rsidR="00AA2342" w:rsidRPr="00FC1444">
        <w:rPr>
          <w:rFonts w:eastAsiaTheme="minorEastAsia"/>
          <w:sz w:val="24"/>
        </w:rPr>
        <w:t>）</w:t>
      </w:r>
      <w:r w:rsidR="0086311D" w:rsidRPr="00FC1444">
        <w:rPr>
          <w:rFonts w:eastAsiaTheme="minorEastAsia"/>
          <w:sz w:val="24"/>
        </w:rPr>
        <w:t>定额为</w:t>
      </w:r>
      <w:r w:rsidR="00C11725" w:rsidRPr="00FC1444">
        <w:rPr>
          <w:rFonts w:eastAsiaTheme="minorEastAsia"/>
          <w:sz w:val="24"/>
        </w:rPr>
        <w:t>57</w:t>
      </w:r>
      <w:r w:rsidR="0086311D" w:rsidRPr="00FC1444">
        <w:rPr>
          <w:rFonts w:eastAsiaTheme="minorEastAsia"/>
          <w:sz w:val="24"/>
        </w:rPr>
        <w:t>m</w:t>
      </w:r>
      <w:r w:rsidR="0086311D" w:rsidRPr="00FC1444">
        <w:rPr>
          <w:rFonts w:eastAsiaTheme="minorEastAsia"/>
          <w:sz w:val="24"/>
          <w:vertAlign w:val="superscript"/>
        </w:rPr>
        <w:t>3</w:t>
      </w:r>
      <w:r w:rsidR="0086311D" w:rsidRPr="00FC1444">
        <w:rPr>
          <w:rFonts w:eastAsiaTheme="minorEastAsia"/>
          <w:sz w:val="24"/>
        </w:rPr>
        <w:t>/</w:t>
      </w:r>
      <w:r w:rsidR="00E208B8" w:rsidRPr="00FC1444">
        <w:rPr>
          <w:rFonts w:eastAsiaTheme="minorEastAsia"/>
          <w:sz w:val="24"/>
        </w:rPr>
        <w:t>亩，滴灌灌溉水利用系数</w:t>
      </w:r>
      <w:r w:rsidR="0086311D" w:rsidRPr="00FC1444">
        <w:rPr>
          <w:rFonts w:eastAsiaTheme="minorEastAsia"/>
          <w:sz w:val="24"/>
        </w:rPr>
        <w:t>0.93</w:t>
      </w:r>
      <w:r w:rsidR="00E208B8" w:rsidRPr="00FC1444">
        <w:rPr>
          <w:rFonts w:eastAsiaTheme="minorEastAsia"/>
          <w:sz w:val="24"/>
        </w:rPr>
        <w:t>，滴灌灌溉面积</w:t>
      </w:r>
      <w:r w:rsidR="00291DFE" w:rsidRPr="00FC1444">
        <w:rPr>
          <w:rFonts w:eastAsiaTheme="minorEastAsia"/>
          <w:sz w:val="24"/>
        </w:rPr>
        <w:t>11285</w:t>
      </w:r>
      <w:r w:rsidR="00291DFE" w:rsidRPr="00FC1444">
        <w:rPr>
          <w:rFonts w:eastAsiaTheme="minorEastAsia"/>
          <w:sz w:val="24"/>
        </w:rPr>
        <w:t>亩</w:t>
      </w:r>
      <w:r w:rsidR="0086311D" w:rsidRPr="00FC1444">
        <w:rPr>
          <w:rFonts w:eastAsiaTheme="minorEastAsia"/>
          <w:sz w:val="24"/>
        </w:rPr>
        <w:t>。</w:t>
      </w:r>
    </w:p>
    <w:p w:rsidR="0086311D" w:rsidRPr="00FC1444" w:rsidRDefault="00AA2342" w:rsidP="00F74DEA">
      <w:pPr>
        <w:spacing w:line="360" w:lineRule="auto"/>
        <w:ind w:firstLineChars="200" w:firstLine="480"/>
        <w:rPr>
          <w:rFonts w:eastAsiaTheme="minorEastAsia"/>
          <w:kern w:val="0"/>
          <w:sz w:val="24"/>
          <w:szCs w:val="22"/>
        </w:rPr>
      </w:pPr>
      <w:r w:rsidRPr="00FC1444">
        <w:rPr>
          <w:rFonts w:eastAsiaTheme="minorEastAsia"/>
          <w:sz w:val="24"/>
        </w:rPr>
        <w:t>项目实施后，旱地</w:t>
      </w:r>
      <w:r w:rsidRPr="00FC1444">
        <w:rPr>
          <w:rFonts w:eastAsiaTheme="minorEastAsia"/>
          <w:kern w:val="0"/>
          <w:sz w:val="24"/>
        </w:rPr>
        <w:t>灌溉面积</w:t>
      </w:r>
      <w:r w:rsidR="00C11725" w:rsidRPr="00FC1444">
        <w:rPr>
          <w:rFonts w:eastAsiaTheme="minorEastAsia"/>
          <w:kern w:val="0"/>
          <w:sz w:val="24"/>
        </w:rPr>
        <w:t>44802</w:t>
      </w:r>
      <w:r w:rsidRPr="00FC1444">
        <w:rPr>
          <w:rFonts w:eastAsiaTheme="minorEastAsia"/>
          <w:kern w:val="0"/>
          <w:sz w:val="24"/>
        </w:rPr>
        <w:t>亩。</w:t>
      </w:r>
      <w:r w:rsidR="002C2F0E" w:rsidRPr="00FC1444">
        <w:rPr>
          <w:rFonts w:eastAsiaTheme="minorEastAsia"/>
          <w:kern w:val="0"/>
          <w:sz w:val="24"/>
        </w:rPr>
        <w:t>旱田</w:t>
      </w:r>
      <w:r w:rsidRPr="00FC1444">
        <w:rPr>
          <w:rFonts w:eastAsiaTheme="minorEastAsia"/>
          <w:kern w:val="0"/>
          <w:sz w:val="24"/>
        </w:rPr>
        <w:t>取水量</w:t>
      </w:r>
      <w:r w:rsidRPr="00FC1444">
        <w:rPr>
          <w:rFonts w:eastAsiaTheme="minorEastAsia"/>
          <w:kern w:val="0"/>
          <w:sz w:val="24"/>
        </w:rPr>
        <w:t>=</w:t>
      </w:r>
      <w:r w:rsidRPr="00FC1444">
        <w:rPr>
          <w:rFonts w:eastAsiaTheme="minorEastAsia"/>
          <w:kern w:val="0"/>
          <w:sz w:val="24"/>
        </w:rPr>
        <w:t>灌溉面积</w:t>
      </w:r>
      <w:r w:rsidRPr="00FC1444">
        <w:rPr>
          <w:rFonts w:eastAsiaTheme="minorEastAsia"/>
          <w:kern w:val="0"/>
          <w:sz w:val="24"/>
        </w:rPr>
        <w:t>×</w:t>
      </w:r>
      <w:r w:rsidR="00C50B3C" w:rsidRPr="00FC1444">
        <w:rPr>
          <w:rFonts w:eastAsiaTheme="minorEastAsia"/>
          <w:sz w:val="24"/>
        </w:rPr>
        <w:t>灌溉</w:t>
      </w:r>
      <w:r w:rsidRPr="00FC1444">
        <w:rPr>
          <w:rFonts w:eastAsiaTheme="minorEastAsia"/>
          <w:sz w:val="24"/>
        </w:rPr>
        <w:t>定额</w:t>
      </w:r>
      <w:r w:rsidRPr="00FC1444">
        <w:rPr>
          <w:rFonts w:eastAsiaTheme="minorEastAsia"/>
          <w:kern w:val="0"/>
          <w:sz w:val="24"/>
        </w:rPr>
        <w:t>。</w:t>
      </w:r>
      <w:r w:rsidRPr="00FC1444">
        <w:rPr>
          <w:rFonts w:eastAsiaTheme="minorEastAsia"/>
          <w:bCs/>
          <w:sz w:val="24"/>
          <w:szCs w:val="21"/>
        </w:rPr>
        <w:t>经计算，</w:t>
      </w:r>
      <w:r w:rsidR="00434746" w:rsidRPr="00FC1444">
        <w:rPr>
          <w:rFonts w:eastAsiaTheme="minorEastAsia"/>
          <w:sz w:val="24"/>
        </w:rPr>
        <w:t>地下水最大年取水量为</w:t>
      </w:r>
      <w:r w:rsidR="00371E5B" w:rsidRPr="00FC1444">
        <w:rPr>
          <w:rFonts w:eastAsiaTheme="minorEastAsia"/>
          <w:sz w:val="24"/>
        </w:rPr>
        <w:t>92.83</w:t>
      </w:r>
      <w:r w:rsidR="00371E5B" w:rsidRPr="00FC1444">
        <w:rPr>
          <w:rFonts w:eastAsiaTheme="minorEastAsia"/>
          <w:sz w:val="24"/>
        </w:rPr>
        <w:t>万</w:t>
      </w:r>
      <w:r w:rsidR="00434746" w:rsidRPr="00FC1444">
        <w:rPr>
          <w:rFonts w:eastAsiaTheme="minorEastAsia"/>
          <w:sz w:val="24"/>
        </w:rPr>
        <w:t>m</w:t>
      </w:r>
      <w:r w:rsidR="00434746" w:rsidRPr="00FC1444">
        <w:rPr>
          <w:rFonts w:eastAsiaTheme="minorEastAsia"/>
          <w:sz w:val="24"/>
          <w:vertAlign w:val="superscript"/>
        </w:rPr>
        <w:t>3</w:t>
      </w:r>
      <w:r w:rsidR="00434746" w:rsidRPr="00FC1444">
        <w:rPr>
          <w:rFonts w:eastAsiaTheme="minorEastAsia"/>
          <w:sz w:val="24"/>
        </w:rPr>
        <w:t>。</w:t>
      </w:r>
      <w:r w:rsidRPr="00FC1444">
        <w:rPr>
          <w:rFonts w:eastAsiaTheme="minorEastAsia"/>
          <w:bCs/>
          <w:sz w:val="24"/>
          <w:szCs w:val="21"/>
        </w:rPr>
        <w:t>本次新建灌溉井</w:t>
      </w:r>
      <w:r w:rsidR="00DD3A44" w:rsidRPr="00FC1444">
        <w:rPr>
          <w:rFonts w:eastAsiaTheme="minorEastAsia"/>
          <w:bCs/>
          <w:sz w:val="24"/>
          <w:szCs w:val="21"/>
        </w:rPr>
        <w:t>156</w:t>
      </w:r>
      <w:r w:rsidR="00DD3A44" w:rsidRPr="00FC1444">
        <w:rPr>
          <w:rFonts w:eastAsiaTheme="minorEastAsia"/>
          <w:bCs/>
          <w:sz w:val="24"/>
          <w:szCs w:val="21"/>
        </w:rPr>
        <w:t>眼</w:t>
      </w:r>
      <w:r w:rsidRPr="00FC1444">
        <w:rPr>
          <w:rFonts w:eastAsiaTheme="minorEastAsia"/>
          <w:bCs/>
          <w:sz w:val="24"/>
          <w:szCs w:val="21"/>
        </w:rPr>
        <w:t>，</w:t>
      </w:r>
      <w:r w:rsidR="00434746" w:rsidRPr="00FC1444">
        <w:rPr>
          <w:rFonts w:eastAsiaTheme="minorEastAsia"/>
          <w:sz w:val="24"/>
        </w:rPr>
        <w:t>本项目已取得</w:t>
      </w:r>
      <w:r w:rsidR="00DC2B3B" w:rsidRPr="00FC1444">
        <w:rPr>
          <w:rFonts w:eastAsiaTheme="minorEastAsia"/>
          <w:sz w:val="24"/>
        </w:rPr>
        <w:t>《准予取水许可决定书复》</w:t>
      </w:r>
      <w:r w:rsidR="00CA729B" w:rsidRPr="00FC1444">
        <w:rPr>
          <w:rFonts w:eastAsiaTheme="minorEastAsia"/>
          <w:sz w:val="24"/>
        </w:rPr>
        <w:t>文号：取水（绥北水）准字〔</w:t>
      </w:r>
      <w:r w:rsidR="00CA729B" w:rsidRPr="00FC1444">
        <w:rPr>
          <w:rFonts w:eastAsiaTheme="minorEastAsia"/>
          <w:sz w:val="24"/>
        </w:rPr>
        <w:t>2026</w:t>
      </w:r>
      <w:r w:rsidR="00CA729B" w:rsidRPr="00FC1444">
        <w:rPr>
          <w:rFonts w:eastAsiaTheme="minorEastAsia"/>
          <w:sz w:val="24"/>
        </w:rPr>
        <w:t>〕第</w:t>
      </w:r>
      <w:r w:rsidR="00CA729B" w:rsidRPr="00FC1444">
        <w:rPr>
          <w:rFonts w:eastAsiaTheme="minorEastAsia"/>
          <w:sz w:val="24"/>
        </w:rPr>
        <w:t>50</w:t>
      </w:r>
      <w:r w:rsidR="00CA729B" w:rsidRPr="00FC1444">
        <w:rPr>
          <w:rFonts w:eastAsiaTheme="minorEastAsia"/>
          <w:sz w:val="24"/>
        </w:rPr>
        <w:t>号</w:t>
      </w:r>
      <w:r w:rsidR="00434746" w:rsidRPr="00FC1444">
        <w:rPr>
          <w:rFonts w:eastAsiaTheme="minorEastAsia"/>
          <w:sz w:val="24"/>
        </w:rPr>
        <w:t>。项目实施前无灌溉措施。</w:t>
      </w:r>
      <w:r w:rsidR="0086311D" w:rsidRPr="00FC1444">
        <w:rPr>
          <w:rFonts w:eastAsiaTheme="minorEastAsia"/>
          <w:sz w:val="24"/>
        </w:rPr>
        <w:t>各项目区</w:t>
      </w:r>
      <w:r w:rsidR="00E208B8" w:rsidRPr="00FC1444">
        <w:rPr>
          <w:rFonts w:eastAsiaTheme="minorEastAsia"/>
          <w:sz w:val="24"/>
        </w:rPr>
        <w:t>旱田</w:t>
      </w:r>
      <w:r w:rsidR="0086311D" w:rsidRPr="00FC1444">
        <w:rPr>
          <w:rFonts w:eastAsiaTheme="minorEastAsia"/>
          <w:sz w:val="24"/>
        </w:rPr>
        <w:t>需水量</w:t>
      </w:r>
      <w:r w:rsidRPr="00FC1444">
        <w:rPr>
          <w:rFonts w:eastAsiaTheme="minorEastAsia"/>
          <w:sz w:val="24"/>
        </w:rPr>
        <w:t>计算结果</w:t>
      </w:r>
      <w:r w:rsidR="0086311D" w:rsidRPr="00FC1444">
        <w:rPr>
          <w:rFonts w:eastAsiaTheme="minorEastAsia"/>
          <w:sz w:val="24"/>
        </w:rPr>
        <w:t>见下表。</w:t>
      </w:r>
    </w:p>
    <w:p w:rsidR="0086311D" w:rsidRPr="00FC1444" w:rsidRDefault="0086311D" w:rsidP="0086311D">
      <w:pPr>
        <w:contextualSpacing/>
        <w:jc w:val="center"/>
        <w:rPr>
          <w:kern w:val="0"/>
          <w:szCs w:val="21"/>
        </w:rPr>
      </w:pPr>
      <w:r w:rsidRPr="00FC1444">
        <w:rPr>
          <w:rFonts w:eastAsiaTheme="minorEastAsia"/>
          <w:b/>
          <w:kern w:val="0"/>
          <w:szCs w:val="21"/>
        </w:rPr>
        <w:t>表</w:t>
      </w:r>
      <w:r w:rsidR="00291DFE" w:rsidRPr="00FC1444">
        <w:rPr>
          <w:rFonts w:eastAsiaTheme="minorEastAsia"/>
          <w:b/>
          <w:kern w:val="0"/>
          <w:szCs w:val="21"/>
        </w:rPr>
        <w:t>3-1-</w:t>
      </w:r>
      <w:r w:rsidR="002A51BB" w:rsidRPr="00FC1444">
        <w:rPr>
          <w:rFonts w:eastAsiaTheme="minorEastAsia" w:hint="eastAsia"/>
          <w:b/>
          <w:kern w:val="0"/>
          <w:szCs w:val="21"/>
        </w:rPr>
        <w:t>6</w:t>
      </w:r>
      <w:r w:rsidRPr="00FC1444">
        <w:rPr>
          <w:rFonts w:eastAsiaTheme="minorEastAsia"/>
          <w:b/>
          <w:kern w:val="0"/>
          <w:szCs w:val="21"/>
        </w:rPr>
        <w:t>各项目区</w:t>
      </w:r>
      <w:r w:rsidR="00AA2342" w:rsidRPr="00FC1444">
        <w:rPr>
          <w:rFonts w:eastAsiaTheme="minorEastAsia"/>
          <w:b/>
          <w:kern w:val="0"/>
          <w:szCs w:val="21"/>
        </w:rPr>
        <w:t>旱田</w:t>
      </w:r>
      <w:r w:rsidRPr="00FC1444">
        <w:rPr>
          <w:rFonts w:eastAsiaTheme="minorEastAsia"/>
          <w:b/>
          <w:kern w:val="0"/>
          <w:szCs w:val="21"/>
        </w:rPr>
        <w:t>需水量一览表</w:t>
      </w:r>
    </w:p>
    <w:tbl>
      <w:tblPr>
        <w:tblW w:w="8317"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917"/>
        <w:gridCol w:w="1402"/>
        <w:gridCol w:w="877"/>
        <w:gridCol w:w="993"/>
        <w:gridCol w:w="752"/>
        <w:gridCol w:w="1053"/>
        <w:gridCol w:w="1282"/>
        <w:gridCol w:w="41"/>
      </w:tblGrid>
      <w:tr w:rsidR="005160F5" w:rsidRPr="00FC1444" w:rsidTr="006B16EA">
        <w:trPr>
          <w:gridAfter w:val="1"/>
          <w:wAfter w:w="41" w:type="dxa"/>
          <w:trHeight w:val="455"/>
          <w:tblHeader/>
          <w:jc w:val="center"/>
        </w:trPr>
        <w:tc>
          <w:tcPr>
            <w:tcW w:w="1917" w:type="dxa"/>
            <w:vMerge w:val="restart"/>
            <w:vAlign w:val="center"/>
          </w:tcPr>
          <w:p w:rsidR="005160F5" w:rsidRPr="00FC1444" w:rsidRDefault="005160F5" w:rsidP="0093401E">
            <w:pPr>
              <w:widowControl/>
              <w:jc w:val="center"/>
              <w:textAlignment w:val="center"/>
              <w:rPr>
                <w:rFonts w:eastAsiaTheme="minorEastAsia"/>
                <w:kern w:val="0"/>
                <w:szCs w:val="21"/>
              </w:rPr>
            </w:pPr>
            <w:r w:rsidRPr="00FC1444">
              <w:rPr>
                <w:rFonts w:eastAsiaTheme="minorEastAsia"/>
                <w:kern w:val="0"/>
                <w:szCs w:val="21"/>
              </w:rPr>
              <w:t>片区</w:t>
            </w:r>
          </w:p>
        </w:tc>
        <w:tc>
          <w:tcPr>
            <w:tcW w:w="2279" w:type="dxa"/>
            <w:gridSpan w:val="2"/>
            <w:vAlign w:val="center"/>
          </w:tcPr>
          <w:p w:rsidR="005160F5" w:rsidRPr="00FC1444" w:rsidRDefault="005160F5" w:rsidP="0093401E">
            <w:pPr>
              <w:widowControl/>
              <w:jc w:val="center"/>
              <w:textAlignment w:val="center"/>
              <w:rPr>
                <w:rFonts w:eastAsiaTheme="minorEastAsia"/>
                <w:kern w:val="0"/>
                <w:szCs w:val="21"/>
              </w:rPr>
            </w:pPr>
            <w:r w:rsidRPr="00FC1444">
              <w:rPr>
                <w:rFonts w:eastAsiaTheme="minorEastAsia"/>
                <w:kern w:val="0"/>
                <w:szCs w:val="21"/>
              </w:rPr>
              <w:t>灌溉面积（亩）</w:t>
            </w:r>
          </w:p>
        </w:tc>
        <w:tc>
          <w:tcPr>
            <w:tcW w:w="1745" w:type="dxa"/>
            <w:gridSpan w:val="2"/>
            <w:vAlign w:val="center"/>
          </w:tcPr>
          <w:p w:rsidR="005160F5" w:rsidRPr="00FC1444" w:rsidRDefault="005160F5" w:rsidP="0093401E">
            <w:pPr>
              <w:jc w:val="center"/>
              <w:textAlignment w:val="center"/>
              <w:rPr>
                <w:rFonts w:eastAsiaTheme="minorEastAsia"/>
                <w:kern w:val="0"/>
                <w:szCs w:val="21"/>
              </w:rPr>
            </w:pPr>
            <w:r w:rsidRPr="00FC1444">
              <w:rPr>
                <w:rFonts w:eastAsiaTheme="minorEastAsia"/>
                <w:kern w:val="0"/>
                <w:szCs w:val="21"/>
              </w:rPr>
              <w:t>灌溉定额（</w:t>
            </w:r>
            <w:r w:rsidRPr="00FC1444">
              <w:rPr>
                <w:rFonts w:eastAsiaTheme="minorEastAsia"/>
                <w:kern w:val="0"/>
                <w:szCs w:val="21"/>
              </w:rPr>
              <w:t>m</w:t>
            </w:r>
            <w:r w:rsidRPr="00FC1444">
              <w:rPr>
                <w:rFonts w:eastAsiaTheme="minorEastAsia"/>
                <w:kern w:val="0"/>
                <w:szCs w:val="21"/>
                <w:vertAlign w:val="superscript"/>
              </w:rPr>
              <w:t>3</w:t>
            </w:r>
            <w:r w:rsidRPr="00FC1444">
              <w:rPr>
                <w:rFonts w:eastAsiaTheme="minorEastAsia"/>
                <w:kern w:val="0"/>
                <w:szCs w:val="21"/>
              </w:rPr>
              <w:t>/</w:t>
            </w:r>
            <w:r w:rsidRPr="00FC1444">
              <w:rPr>
                <w:rFonts w:eastAsiaTheme="minorEastAsia"/>
                <w:kern w:val="0"/>
                <w:szCs w:val="21"/>
              </w:rPr>
              <w:t>亩）</w:t>
            </w:r>
          </w:p>
        </w:tc>
        <w:tc>
          <w:tcPr>
            <w:tcW w:w="2335" w:type="dxa"/>
            <w:gridSpan w:val="2"/>
            <w:vAlign w:val="center"/>
          </w:tcPr>
          <w:p w:rsidR="005160F5" w:rsidRPr="00FC1444" w:rsidRDefault="005160F5" w:rsidP="0093401E">
            <w:pPr>
              <w:jc w:val="center"/>
              <w:textAlignment w:val="center"/>
              <w:rPr>
                <w:rFonts w:eastAsiaTheme="minorEastAsia"/>
                <w:kern w:val="0"/>
                <w:szCs w:val="21"/>
              </w:rPr>
            </w:pPr>
            <w:r w:rsidRPr="00FC1444">
              <w:rPr>
                <w:rFonts w:eastAsiaTheme="minorEastAsia"/>
                <w:kern w:val="0"/>
                <w:szCs w:val="21"/>
              </w:rPr>
              <w:t>灌溉需水量（万</w:t>
            </w:r>
            <w:r w:rsidRPr="00FC1444">
              <w:rPr>
                <w:rFonts w:eastAsiaTheme="minorEastAsia"/>
                <w:kern w:val="0"/>
                <w:szCs w:val="21"/>
              </w:rPr>
              <w:t>m</w:t>
            </w:r>
            <w:r w:rsidRPr="00FC1444">
              <w:rPr>
                <w:rFonts w:eastAsiaTheme="minorEastAsia"/>
                <w:kern w:val="0"/>
                <w:szCs w:val="21"/>
                <w:vertAlign w:val="superscript"/>
              </w:rPr>
              <w:t>3</w:t>
            </w:r>
            <w:r w:rsidRPr="00FC1444">
              <w:rPr>
                <w:rFonts w:eastAsiaTheme="minorEastAsia"/>
                <w:kern w:val="0"/>
                <w:szCs w:val="21"/>
              </w:rPr>
              <w:t>）</w:t>
            </w:r>
          </w:p>
        </w:tc>
      </w:tr>
      <w:tr w:rsidR="005160F5" w:rsidRPr="00FC1444" w:rsidTr="006B16EA">
        <w:trPr>
          <w:trHeight w:val="830"/>
          <w:jc w:val="center"/>
        </w:trPr>
        <w:tc>
          <w:tcPr>
            <w:tcW w:w="1917" w:type="dxa"/>
            <w:vMerge/>
            <w:vAlign w:val="center"/>
          </w:tcPr>
          <w:p w:rsidR="005160F5" w:rsidRPr="00FC1444" w:rsidRDefault="005160F5" w:rsidP="0093401E">
            <w:pPr>
              <w:widowControl/>
              <w:jc w:val="center"/>
              <w:textAlignment w:val="center"/>
              <w:rPr>
                <w:rFonts w:eastAsiaTheme="minorEastAsia"/>
                <w:kern w:val="0"/>
                <w:szCs w:val="21"/>
              </w:rPr>
            </w:pPr>
          </w:p>
        </w:tc>
        <w:tc>
          <w:tcPr>
            <w:tcW w:w="1402" w:type="dxa"/>
            <w:vAlign w:val="center"/>
          </w:tcPr>
          <w:p w:rsidR="005160F5" w:rsidRPr="00FC1444" w:rsidRDefault="005160F5" w:rsidP="0093401E">
            <w:pPr>
              <w:widowControl/>
              <w:jc w:val="center"/>
              <w:textAlignment w:val="center"/>
              <w:rPr>
                <w:rFonts w:eastAsiaTheme="minorEastAsia"/>
                <w:kern w:val="0"/>
                <w:szCs w:val="21"/>
              </w:rPr>
            </w:pPr>
            <w:r w:rsidRPr="00FC1444">
              <w:rPr>
                <w:bCs/>
                <w:szCs w:val="21"/>
              </w:rPr>
              <w:t>坐水种</w:t>
            </w:r>
          </w:p>
        </w:tc>
        <w:tc>
          <w:tcPr>
            <w:tcW w:w="877" w:type="dxa"/>
            <w:vAlign w:val="center"/>
          </w:tcPr>
          <w:p w:rsidR="005160F5" w:rsidRPr="00FC1444" w:rsidRDefault="005160F5" w:rsidP="0093401E">
            <w:pPr>
              <w:widowControl/>
              <w:jc w:val="center"/>
              <w:textAlignment w:val="center"/>
              <w:rPr>
                <w:rFonts w:eastAsiaTheme="minorEastAsia"/>
                <w:kern w:val="0"/>
                <w:szCs w:val="21"/>
              </w:rPr>
            </w:pPr>
            <w:r w:rsidRPr="00FC1444">
              <w:rPr>
                <w:rFonts w:eastAsiaTheme="minorEastAsia"/>
                <w:kern w:val="0"/>
                <w:szCs w:val="21"/>
              </w:rPr>
              <w:t>滴灌</w:t>
            </w:r>
          </w:p>
        </w:tc>
        <w:tc>
          <w:tcPr>
            <w:tcW w:w="993" w:type="dxa"/>
            <w:vAlign w:val="center"/>
          </w:tcPr>
          <w:p w:rsidR="005160F5" w:rsidRPr="00FC1444" w:rsidRDefault="005160F5" w:rsidP="0093401E">
            <w:pPr>
              <w:widowControl/>
              <w:jc w:val="center"/>
              <w:textAlignment w:val="center"/>
              <w:rPr>
                <w:rFonts w:eastAsiaTheme="minorEastAsia"/>
                <w:kern w:val="0"/>
                <w:szCs w:val="21"/>
              </w:rPr>
            </w:pPr>
            <w:r w:rsidRPr="00FC1444">
              <w:rPr>
                <w:bCs/>
                <w:szCs w:val="21"/>
              </w:rPr>
              <w:t>坐水种</w:t>
            </w:r>
          </w:p>
        </w:tc>
        <w:tc>
          <w:tcPr>
            <w:tcW w:w="752" w:type="dxa"/>
            <w:vAlign w:val="center"/>
          </w:tcPr>
          <w:p w:rsidR="005160F5" w:rsidRPr="00FC1444" w:rsidRDefault="005160F5" w:rsidP="0093401E">
            <w:pPr>
              <w:widowControl/>
              <w:jc w:val="center"/>
              <w:textAlignment w:val="center"/>
              <w:rPr>
                <w:rFonts w:eastAsiaTheme="minorEastAsia"/>
                <w:kern w:val="0"/>
                <w:szCs w:val="21"/>
              </w:rPr>
            </w:pPr>
            <w:r w:rsidRPr="00FC1444">
              <w:rPr>
                <w:rFonts w:eastAsiaTheme="minorEastAsia"/>
                <w:kern w:val="0"/>
                <w:szCs w:val="21"/>
              </w:rPr>
              <w:t>滴灌</w:t>
            </w:r>
          </w:p>
        </w:tc>
        <w:tc>
          <w:tcPr>
            <w:tcW w:w="1053" w:type="dxa"/>
            <w:vAlign w:val="center"/>
          </w:tcPr>
          <w:p w:rsidR="005160F5" w:rsidRPr="00FC1444" w:rsidRDefault="005160F5" w:rsidP="0093401E">
            <w:pPr>
              <w:widowControl/>
              <w:jc w:val="center"/>
              <w:textAlignment w:val="center"/>
              <w:rPr>
                <w:rFonts w:eastAsiaTheme="minorEastAsia"/>
                <w:kern w:val="0"/>
                <w:szCs w:val="21"/>
              </w:rPr>
            </w:pPr>
            <w:r w:rsidRPr="00FC1444">
              <w:rPr>
                <w:bCs/>
                <w:szCs w:val="21"/>
              </w:rPr>
              <w:t>坐水种（抗旱井）</w:t>
            </w:r>
          </w:p>
        </w:tc>
        <w:tc>
          <w:tcPr>
            <w:tcW w:w="1323" w:type="dxa"/>
            <w:gridSpan w:val="2"/>
            <w:vAlign w:val="center"/>
          </w:tcPr>
          <w:p w:rsidR="005160F5" w:rsidRPr="00FC1444" w:rsidRDefault="005160F5" w:rsidP="0093401E">
            <w:pPr>
              <w:widowControl/>
              <w:jc w:val="center"/>
              <w:textAlignment w:val="center"/>
              <w:rPr>
                <w:rFonts w:eastAsiaTheme="minorEastAsia"/>
                <w:kern w:val="0"/>
                <w:szCs w:val="21"/>
              </w:rPr>
            </w:pPr>
            <w:r w:rsidRPr="00FC1444">
              <w:rPr>
                <w:rFonts w:eastAsiaTheme="minorEastAsia"/>
                <w:kern w:val="0"/>
                <w:szCs w:val="21"/>
              </w:rPr>
              <w:t>滴灌（水肥一体化）</w:t>
            </w:r>
          </w:p>
        </w:tc>
      </w:tr>
      <w:tr w:rsidR="005160F5" w:rsidRPr="00FC1444" w:rsidTr="006B16EA">
        <w:trPr>
          <w:gridAfter w:val="1"/>
          <w:wAfter w:w="41" w:type="dxa"/>
          <w:trHeight w:val="489"/>
          <w:jc w:val="center"/>
        </w:trPr>
        <w:tc>
          <w:tcPr>
            <w:tcW w:w="1917" w:type="dxa"/>
            <w:vAlign w:val="center"/>
          </w:tcPr>
          <w:p w:rsidR="005160F5" w:rsidRPr="00FC1444" w:rsidRDefault="003A195F" w:rsidP="0093401E">
            <w:pPr>
              <w:widowControl/>
              <w:jc w:val="center"/>
              <w:textAlignment w:val="center"/>
              <w:rPr>
                <w:rFonts w:eastAsiaTheme="minorEastAsia"/>
                <w:kern w:val="0"/>
                <w:szCs w:val="21"/>
              </w:rPr>
            </w:pPr>
            <w:r w:rsidRPr="00FC1444">
              <w:rPr>
                <w:rFonts w:eastAsia="瀹嬩綋"/>
                <w:szCs w:val="21"/>
              </w:rPr>
              <w:t>绥胜镇</w:t>
            </w:r>
            <w:r w:rsidR="005160F5" w:rsidRPr="00FC1444">
              <w:rPr>
                <w:rFonts w:eastAsia="瀹嬩綋"/>
                <w:szCs w:val="21"/>
              </w:rPr>
              <w:t>片区</w:t>
            </w:r>
          </w:p>
        </w:tc>
        <w:tc>
          <w:tcPr>
            <w:tcW w:w="1402" w:type="dxa"/>
            <w:vAlign w:val="center"/>
          </w:tcPr>
          <w:p w:rsidR="005160F5" w:rsidRPr="00FC1444" w:rsidRDefault="003A195F" w:rsidP="0093401E">
            <w:pPr>
              <w:widowControl/>
              <w:jc w:val="center"/>
              <w:textAlignment w:val="center"/>
              <w:rPr>
                <w:rFonts w:eastAsiaTheme="minorEastAsia"/>
                <w:kern w:val="0"/>
                <w:szCs w:val="21"/>
              </w:rPr>
            </w:pPr>
            <w:r w:rsidRPr="00FC1444">
              <w:rPr>
                <w:rFonts w:eastAsiaTheme="minorEastAsia"/>
                <w:kern w:val="0"/>
                <w:szCs w:val="21"/>
              </w:rPr>
              <w:t>18282</w:t>
            </w:r>
          </w:p>
        </w:tc>
        <w:tc>
          <w:tcPr>
            <w:tcW w:w="877" w:type="dxa"/>
            <w:vAlign w:val="center"/>
          </w:tcPr>
          <w:p w:rsidR="005160F5" w:rsidRPr="00FC1444" w:rsidRDefault="003A195F" w:rsidP="0093401E">
            <w:pPr>
              <w:widowControl/>
              <w:jc w:val="center"/>
              <w:textAlignment w:val="center"/>
              <w:rPr>
                <w:rFonts w:eastAsiaTheme="minorEastAsia"/>
                <w:kern w:val="0"/>
                <w:szCs w:val="21"/>
              </w:rPr>
            </w:pPr>
            <w:r w:rsidRPr="00FC1444">
              <w:rPr>
                <w:rFonts w:eastAsiaTheme="minorEastAsia"/>
                <w:kern w:val="0"/>
                <w:szCs w:val="21"/>
              </w:rPr>
              <w:t>5057</w:t>
            </w:r>
          </w:p>
        </w:tc>
        <w:tc>
          <w:tcPr>
            <w:tcW w:w="993" w:type="dxa"/>
            <w:vAlign w:val="center"/>
          </w:tcPr>
          <w:p w:rsidR="005160F5" w:rsidRPr="00FC1444" w:rsidRDefault="005160F5" w:rsidP="0093401E">
            <w:pPr>
              <w:widowControl/>
              <w:jc w:val="center"/>
              <w:textAlignment w:val="center"/>
              <w:rPr>
                <w:rFonts w:eastAsiaTheme="minorEastAsia"/>
                <w:kern w:val="0"/>
                <w:szCs w:val="21"/>
              </w:rPr>
            </w:pPr>
            <w:r w:rsidRPr="00FC1444">
              <w:rPr>
                <w:rFonts w:eastAsiaTheme="minorEastAsia"/>
                <w:kern w:val="0"/>
                <w:szCs w:val="21"/>
              </w:rPr>
              <w:t>6</w:t>
            </w:r>
          </w:p>
        </w:tc>
        <w:tc>
          <w:tcPr>
            <w:tcW w:w="752" w:type="dxa"/>
            <w:vAlign w:val="center"/>
          </w:tcPr>
          <w:p w:rsidR="005160F5" w:rsidRPr="00FC1444" w:rsidRDefault="00C11725" w:rsidP="0093401E">
            <w:pPr>
              <w:widowControl/>
              <w:jc w:val="center"/>
              <w:textAlignment w:val="center"/>
              <w:rPr>
                <w:rFonts w:eastAsiaTheme="minorEastAsia"/>
                <w:kern w:val="0"/>
                <w:szCs w:val="21"/>
              </w:rPr>
            </w:pPr>
            <w:r w:rsidRPr="00FC1444">
              <w:rPr>
                <w:rFonts w:eastAsiaTheme="minorEastAsia"/>
                <w:kern w:val="0"/>
                <w:szCs w:val="21"/>
              </w:rPr>
              <w:t>57</w:t>
            </w:r>
          </w:p>
        </w:tc>
        <w:tc>
          <w:tcPr>
            <w:tcW w:w="1053" w:type="dxa"/>
            <w:vAlign w:val="center"/>
          </w:tcPr>
          <w:p w:rsidR="005160F5" w:rsidRPr="00FC1444" w:rsidRDefault="00C11725" w:rsidP="0093401E">
            <w:pPr>
              <w:widowControl/>
              <w:jc w:val="center"/>
              <w:textAlignment w:val="center"/>
              <w:rPr>
                <w:rFonts w:eastAsiaTheme="minorEastAsia"/>
                <w:kern w:val="0"/>
                <w:szCs w:val="21"/>
              </w:rPr>
            </w:pPr>
            <w:r w:rsidRPr="00FC1444">
              <w:rPr>
                <w:rFonts w:eastAsiaTheme="minorEastAsia"/>
                <w:kern w:val="0"/>
                <w:szCs w:val="21"/>
              </w:rPr>
              <w:t>44.1</w:t>
            </w:r>
          </w:p>
        </w:tc>
        <w:tc>
          <w:tcPr>
            <w:tcW w:w="1282" w:type="dxa"/>
            <w:vAlign w:val="center"/>
          </w:tcPr>
          <w:p w:rsidR="005160F5" w:rsidRPr="00FC1444" w:rsidRDefault="00C11725" w:rsidP="003A195F">
            <w:pPr>
              <w:widowControl/>
              <w:jc w:val="center"/>
              <w:textAlignment w:val="center"/>
              <w:rPr>
                <w:rFonts w:eastAsiaTheme="minorEastAsia"/>
                <w:kern w:val="0"/>
                <w:szCs w:val="21"/>
              </w:rPr>
            </w:pPr>
            <w:r w:rsidRPr="00FC1444">
              <w:rPr>
                <w:rFonts w:eastAsiaTheme="minorEastAsia"/>
                <w:kern w:val="0"/>
                <w:szCs w:val="21"/>
              </w:rPr>
              <w:t>31.3</w:t>
            </w:r>
          </w:p>
        </w:tc>
      </w:tr>
      <w:tr w:rsidR="005160F5" w:rsidRPr="00FC1444" w:rsidTr="006B16EA">
        <w:trPr>
          <w:gridAfter w:val="1"/>
          <w:wAfter w:w="41" w:type="dxa"/>
          <w:trHeight w:val="489"/>
          <w:jc w:val="center"/>
        </w:trPr>
        <w:tc>
          <w:tcPr>
            <w:tcW w:w="1917" w:type="dxa"/>
            <w:vAlign w:val="center"/>
          </w:tcPr>
          <w:p w:rsidR="005160F5" w:rsidRPr="00FC1444" w:rsidRDefault="003A195F" w:rsidP="0093401E">
            <w:pPr>
              <w:widowControl/>
              <w:jc w:val="center"/>
              <w:textAlignment w:val="center"/>
              <w:rPr>
                <w:rFonts w:eastAsia="瀹嬩綋"/>
                <w:szCs w:val="21"/>
              </w:rPr>
            </w:pPr>
            <w:r w:rsidRPr="00FC1444">
              <w:rPr>
                <w:rFonts w:eastAsia="瀹嬩綋"/>
                <w:szCs w:val="21"/>
              </w:rPr>
              <w:t>津河镇</w:t>
            </w:r>
            <w:r w:rsidR="005160F5" w:rsidRPr="00FC1444">
              <w:rPr>
                <w:rFonts w:eastAsia="瀹嬩綋"/>
                <w:szCs w:val="21"/>
              </w:rPr>
              <w:t>片区</w:t>
            </w:r>
          </w:p>
        </w:tc>
        <w:tc>
          <w:tcPr>
            <w:tcW w:w="1402" w:type="dxa"/>
            <w:vAlign w:val="center"/>
          </w:tcPr>
          <w:p w:rsidR="005160F5" w:rsidRPr="00FC1444" w:rsidRDefault="003A195F" w:rsidP="0093401E">
            <w:pPr>
              <w:widowControl/>
              <w:jc w:val="center"/>
              <w:textAlignment w:val="center"/>
              <w:rPr>
                <w:rFonts w:eastAsiaTheme="minorEastAsia"/>
                <w:kern w:val="0"/>
                <w:szCs w:val="21"/>
              </w:rPr>
            </w:pPr>
            <w:r w:rsidRPr="00FC1444">
              <w:rPr>
                <w:rFonts w:eastAsiaTheme="minorEastAsia"/>
                <w:kern w:val="0"/>
                <w:szCs w:val="21"/>
              </w:rPr>
              <w:t>15235</w:t>
            </w:r>
          </w:p>
        </w:tc>
        <w:tc>
          <w:tcPr>
            <w:tcW w:w="877" w:type="dxa"/>
            <w:vAlign w:val="center"/>
          </w:tcPr>
          <w:p w:rsidR="005160F5" w:rsidRPr="00FC1444" w:rsidRDefault="003A195F" w:rsidP="0093401E">
            <w:pPr>
              <w:widowControl/>
              <w:jc w:val="center"/>
              <w:textAlignment w:val="center"/>
              <w:rPr>
                <w:rFonts w:eastAsiaTheme="minorEastAsia"/>
                <w:kern w:val="0"/>
                <w:szCs w:val="21"/>
              </w:rPr>
            </w:pPr>
            <w:r w:rsidRPr="00FC1444">
              <w:rPr>
                <w:rFonts w:eastAsiaTheme="minorEastAsia"/>
                <w:kern w:val="0"/>
                <w:szCs w:val="21"/>
              </w:rPr>
              <w:t>6210</w:t>
            </w:r>
          </w:p>
        </w:tc>
        <w:tc>
          <w:tcPr>
            <w:tcW w:w="993" w:type="dxa"/>
            <w:vAlign w:val="center"/>
          </w:tcPr>
          <w:p w:rsidR="005160F5" w:rsidRPr="00FC1444" w:rsidRDefault="005160F5" w:rsidP="0093401E">
            <w:pPr>
              <w:widowControl/>
              <w:jc w:val="center"/>
              <w:textAlignment w:val="center"/>
              <w:rPr>
                <w:rFonts w:eastAsiaTheme="minorEastAsia"/>
                <w:kern w:val="0"/>
                <w:szCs w:val="21"/>
              </w:rPr>
            </w:pPr>
            <w:r w:rsidRPr="00FC1444">
              <w:rPr>
                <w:rFonts w:eastAsiaTheme="minorEastAsia"/>
                <w:kern w:val="0"/>
                <w:szCs w:val="21"/>
              </w:rPr>
              <w:t>6</w:t>
            </w:r>
          </w:p>
        </w:tc>
        <w:tc>
          <w:tcPr>
            <w:tcW w:w="752" w:type="dxa"/>
            <w:vAlign w:val="center"/>
          </w:tcPr>
          <w:p w:rsidR="005160F5" w:rsidRPr="00FC1444" w:rsidRDefault="00C11725" w:rsidP="0093401E">
            <w:pPr>
              <w:widowControl/>
              <w:jc w:val="center"/>
              <w:textAlignment w:val="center"/>
              <w:rPr>
                <w:rFonts w:eastAsiaTheme="minorEastAsia"/>
                <w:kern w:val="0"/>
                <w:szCs w:val="21"/>
              </w:rPr>
            </w:pPr>
            <w:r w:rsidRPr="00FC1444">
              <w:rPr>
                <w:rFonts w:eastAsiaTheme="minorEastAsia"/>
                <w:kern w:val="0"/>
                <w:szCs w:val="21"/>
              </w:rPr>
              <w:t>57</w:t>
            </w:r>
          </w:p>
        </w:tc>
        <w:tc>
          <w:tcPr>
            <w:tcW w:w="1053" w:type="dxa"/>
            <w:vAlign w:val="center"/>
          </w:tcPr>
          <w:p w:rsidR="005160F5" w:rsidRPr="00FC1444" w:rsidRDefault="00C11725" w:rsidP="0093401E">
            <w:pPr>
              <w:widowControl/>
              <w:jc w:val="center"/>
              <w:textAlignment w:val="center"/>
              <w:rPr>
                <w:rFonts w:eastAsiaTheme="minorEastAsia"/>
                <w:kern w:val="0"/>
                <w:szCs w:val="21"/>
              </w:rPr>
            </w:pPr>
            <w:r w:rsidRPr="00FC1444">
              <w:rPr>
                <w:rFonts w:eastAsiaTheme="minorEastAsia"/>
                <w:kern w:val="0"/>
                <w:szCs w:val="21"/>
              </w:rPr>
              <w:t>48.82</w:t>
            </w:r>
          </w:p>
        </w:tc>
        <w:tc>
          <w:tcPr>
            <w:tcW w:w="1282" w:type="dxa"/>
            <w:vAlign w:val="center"/>
          </w:tcPr>
          <w:p w:rsidR="005160F5" w:rsidRPr="00FC1444" w:rsidRDefault="00C11725" w:rsidP="0093401E">
            <w:pPr>
              <w:widowControl/>
              <w:jc w:val="center"/>
              <w:textAlignment w:val="center"/>
              <w:rPr>
                <w:rFonts w:eastAsiaTheme="minorEastAsia"/>
                <w:kern w:val="0"/>
                <w:szCs w:val="21"/>
              </w:rPr>
            </w:pPr>
            <w:r w:rsidRPr="00FC1444">
              <w:rPr>
                <w:rFonts w:eastAsiaTheme="minorEastAsia"/>
                <w:kern w:val="0"/>
                <w:szCs w:val="21"/>
              </w:rPr>
              <w:t>38.06</w:t>
            </w:r>
          </w:p>
        </w:tc>
      </w:tr>
      <w:tr w:rsidR="005160F5" w:rsidRPr="00FC1444" w:rsidTr="006B16EA">
        <w:trPr>
          <w:gridAfter w:val="1"/>
          <w:wAfter w:w="41" w:type="dxa"/>
          <w:trHeight w:val="489"/>
          <w:jc w:val="center"/>
        </w:trPr>
        <w:tc>
          <w:tcPr>
            <w:tcW w:w="1917" w:type="dxa"/>
            <w:vAlign w:val="center"/>
          </w:tcPr>
          <w:p w:rsidR="005160F5" w:rsidRPr="00FC1444" w:rsidRDefault="005160F5" w:rsidP="0093401E">
            <w:pPr>
              <w:widowControl/>
              <w:jc w:val="center"/>
              <w:textAlignment w:val="center"/>
              <w:rPr>
                <w:rFonts w:eastAsiaTheme="minorEastAsia"/>
                <w:kern w:val="0"/>
                <w:szCs w:val="21"/>
              </w:rPr>
            </w:pPr>
            <w:r w:rsidRPr="00FC1444">
              <w:rPr>
                <w:rFonts w:eastAsiaTheme="minorEastAsia"/>
                <w:kern w:val="0"/>
                <w:szCs w:val="21"/>
              </w:rPr>
              <w:t>合计</w:t>
            </w:r>
          </w:p>
        </w:tc>
        <w:tc>
          <w:tcPr>
            <w:tcW w:w="2279" w:type="dxa"/>
            <w:gridSpan w:val="2"/>
            <w:vAlign w:val="center"/>
          </w:tcPr>
          <w:p w:rsidR="005160F5" w:rsidRPr="00FC1444" w:rsidRDefault="003A195F" w:rsidP="0093401E">
            <w:pPr>
              <w:widowControl/>
              <w:jc w:val="center"/>
              <w:textAlignment w:val="center"/>
              <w:rPr>
                <w:rFonts w:eastAsiaTheme="minorEastAsia"/>
                <w:kern w:val="0"/>
                <w:szCs w:val="21"/>
              </w:rPr>
            </w:pPr>
            <w:r w:rsidRPr="00FC1444">
              <w:rPr>
                <w:rFonts w:eastAsiaTheme="minorEastAsia"/>
                <w:kern w:val="0"/>
                <w:szCs w:val="21"/>
              </w:rPr>
              <w:t>33517</w:t>
            </w:r>
          </w:p>
        </w:tc>
        <w:tc>
          <w:tcPr>
            <w:tcW w:w="993" w:type="dxa"/>
            <w:vAlign w:val="center"/>
          </w:tcPr>
          <w:p w:rsidR="005160F5" w:rsidRPr="00FC1444" w:rsidRDefault="005160F5" w:rsidP="0093401E">
            <w:pPr>
              <w:widowControl/>
              <w:jc w:val="center"/>
              <w:textAlignment w:val="center"/>
              <w:rPr>
                <w:rFonts w:eastAsiaTheme="minorEastAsia"/>
                <w:kern w:val="0"/>
                <w:szCs w:val="21"/>
              </w:rPr>
            </w:pPr>
            <w:r w:rsidRPr="00FC1444">
              <w:rPr>
                <w:rFonts w:eastAsiaTheme="minorEastAsia"/>
                <w:kern w:val="0"/>
                <w:szCs w:val="21"/>
              </w:rPr>
              <w:t>/</w:t>
            </w:r>
          </w:p>
        </w:tc>
        <w:tc>
          <w:tcPr>
            <w:tcW w:w="752" w:type="dxa"/>
            <w:vAlign w:val="center"/>
          </w:tcPr>
          <w:p w:rsidR="005160F5" w:rsidRPr="00FC1444" w:rsidRDefault="005160F5" w:rsidP="0093401E">
            <w:pPr>
              <w:widowControl/>
              <w:jc w:val="center"/>
              <w:textAlignment w:val="center"/>
              <w:rPr>
                <w:rFonts w:eastAsiaTheme="minorEastAsia"/>
                <w:kern w:val="0"/>
                <w:szCs w:val="21"/>
              </w:rPr>
            </w:pPr>
            <w:r w:rsidRPr="00FC1444">
              <w:rPr>
                <w:rFonts w:eastAsiaTheme="minorEastAsia"/>
                <w:kern w:val="0"/>
                <w:szCs w:val="21"/>
              </w:rPr>
              <w:t>/</w:t>
            </w:r>
          </w:p>
        </w:tc>
        <w:tc>
          <w:tcPr>
            <w:tcW w:w="2335" w:type="dxa"/>
            <w:gridSpan w:val="2"/>
            <w:vAlign w:val="center"/>
          </w:tcPr>
          <w:p w:rsidR="005160F5" w:rsidRPr="00FC1444" w:rsidRDefault="00C11725" w:rsidP="0093401E">
            <w:pPr>
              <w:widowControl/>
              <w:jc w:val="center"/>
              <w:textAlignment w:val="center"/>
              <w:rPr>
                <w:rFonts w:eastAsiaTheme="minorEastAsia"/>
                <w:kern w:val="0"/>
                <w:szCs w:val="21"/>
              </w:rPr>
            </w:pPr>
            <w:r w:rsidRPr="00FC1444">
              <w:rPr>
                <w:rFonts w:eastAsiaTheme="minorEastAsia"/>
                <w:kern w:val="0"/>
                <w:szCs w:val="21"/>
              </w:rPr>
              <w:t>92.83</w:t>
            </w:r>
          </w:p>
        </w:tc>
      </w:tr>
    </w:tbl>
    <w:p w:rsidR="0086311D" w:rsidRPr="00FC1444" w:rsidRDefault="0086311D" w:rsidP="0086311D">
      <w:pPr>
        <w:autoSpaceDE w:val="0"/>
        <w:autoSpaceDN w:val="0"/>
        <w:spacing w:line="360" w:lineRule="auto"/>
        <w:ind w:firstLineChars="200" w:firstLine="480"/>
        <w:rPr>
          <w:rFonts w:eastAsiaTheme="minorEastAsia"/>
          <w:sz w:val="24"/>
          <w:shd w:val="clear" w:color="auto" w:fill="FFFFFF"/>
        </w:rPr>
      </w:pPr>
      <w:r w:rsidRPr="00FC1444">
        <w:rPr>
          <w:rFonts w:eastAsiaTheme="minorEastAsia"/>
          <w:sz w:val="24"/>
          <w:shd w:val="clear" w:color="auto" w:fill="FFFFFF"/>
        </w:rPr>
        <w:t>根据本项目地下水监测报告数据可知，项目区水质满足《农田灌溉水质标准》（</w:t>
      </w:r>
      <w:r w:rsidRPr="00FC1444">
        <w:rPr>
          <w:rFonts w:eastAsiaTheme="minorEastAsia"/>
          <w:sz w:val="24"/>
          <w:shd w:val="clear" w:color="auto" w:fill="FFFFFF"/>
        </w:rPr>
        <w:t>GB5048-2021</w:t>
      </w:r>
      <w:r w:rsidRPr="00FC1444">
        <w:rPr>
          <w:rFonts w:eastAsiaTheme="minorEastAsia"/>
          <w:sz w:val="24"/>
          <w:shd w:val="clear" w:color="auto" w:fill="FFFFFF"/>
        </w:rPr>
        <w:t>）中旱地作物及水田作物水质要求。</w:t>
      </w:r>
    </w:p>
    <w:p w:rsidR="0086311D" w:rsidRPr="00FC1444" w:rsidRDefault="0086311D" w:rsidP="0086311D">
      <w:pPr>
        <w:ind w:firstLineChars="200" w:firstLine="422"/>
        <w:jc w:val="center"/>
        <w:rPr>
          <w:rFonts w:eastAsiaTheme="minorEastAsia"/>
          <w:b/>
          <w:kern w:val="0"/>
          <w:szCs w:val="21"/>
        </w:rPr>
      </w:pPr>
      <w:r w:rsidRPr="00FC1444">
        <w:rPr>
          <w:rFonts w:eastAsiaTheme="minorEastAsia"/>
          <w:b/>
          <w:kern w:val="0"/>
          <w:szCs w:val="21"/>
        </w:rPr>
        <w:t>表</w:t>
      </w:r>
      <w:r w:rsidR="00291DFE" w:rsidRPr="00FC1444">
        <w:rPr>
          <w:rFonts w:eastAsiaTheme="minorEastAsia"/>
          <w:b/>
          <w:kern w:val="0"/>
          <w:szCs w:val="21"/>
        </w:rPr>
        <w:t>3-1-</w:t>
      </w:r>
      <w:r w:rsidR="002A51BB" w:rsidRPr="00FC1444">
        <w:rPr>
          <w:rFonts w:eastAsiaTheme="minorEastAsia" w:hint="eastAsia"/>
          <w:b/>
          <w:kern w:val="0"/>
          <w:szCs w:val="21"/>
        </w:rPr>
        <w:t>7</w:t>
      </w:r>
      <w:r w:rsidRPr="00FC1444">
        <w:rPr>
          <w:rFonts w:eastAsiaTheme="minorEastAsia"/>
          <w:b/>
          <w:kern w:val="0"/>
          <w:szCs w:val="21"/>
        </w:rPr>
        <w:t>《农田灌溉水质标准》（</w:t>
      </w:r>
      <w:r w:rsidRPr="00FC1444">
        <w:rPr>
          <w:rFonts w:eastAsiaTheme="minorEastAsia"/>
          <w:b/>
          <w:kern w:val="0"/>
          <w:szCs w:val="21"/>
        </w:rPr>
        <w:t>GB5084-2021</w:t>
      </w:r>
      <w:r w:rsidRPr="00FC1444">
        <w:rPr>
          <w:rFonts w:eastAsiaTheme="minorEastAsia"/>
          <w:b/>
          <w:kern w:val="0"/>
          <w:szCs w:val="21"/>
        </w:rPr>
        <w:t>）</w:t>
      </w:r>
    </w:p>
    <w:tbl>
      <w:tblPr>
        <w:tblStyle w:val="afc"/>
        <w:tblW w:w="8206" w:type="dxa"/>
        <w:jc w:val="center"/>
        <w:tblBorders>
          <w:top w:val="single" w:sz="12" w:space="0" w:color="auto"/>
          <w:left w:val="none" w:sz="0" w:space="0" w:color="auto"/>
          <w:bottom w:val="single" w:sz="12" w:space="0" w:color="auto"/>
          <w:right w:val="none" w:sz="0" w:space="0" w:color="auto"/>
        </w:tblBorders>
        <w:tblLook w:val="04A0"/>
      </w:tblPr>
      <w:tblGrid>
        <w:gridCol w:w="959"/>
        <w:gridCol w:w="3402"/>
        <w:gridCol w:w="1922"/>
        <w:gridCol w:w="1923"/>
      </w:tblGrid>
      <w:tr w:rsidR="0086311D" w:rsidRPr="00FC1444" w:rsidTr="0086311D">
        <w:trPr>
          <w:trHeight w:val="265"/>
          <w:jc w:val="center"/>
        </w:trPr>
        <w:tc>
          <w:tcPr>
            <w:tcW w:w="959"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序号</w:t>
            </w:r>
          </w:p>
        </w:tc>
        <w:tc>
          <w:tcPr>
            <w:tcW w:w="340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项目类别</w:t>
            </w:r>
          </w:p>
        </w:tc>
        <w:tc>
          <w:tcPr>
            <w:tcW w:w="192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旱地作物</w:t>
            </w:r>
          </w:p>
        </w:tc>
        <w:tc>
          <w:tcPr>
            <w:tcW w:w="1923"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水田作物</w:t>
            </w:r>
          </w:p>
        </w:tc>
      </w:tr>
      <w:tr w:rsidR="0086311D" w:rsidRPr="00FC1444" w:rsidTr="0086311D">
        <w:trPr>
          <w:trHeight w:val="265"/>
          <w:jc w:val="center"/>
        </w:trPr>
        <w:tc>
          <w:tcPr>
            <w:tcW w:w="959"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1</w:t>
            </w:r>
          </w:p>
        </w:tc>
        <w:tc>
          <w:tcPr>
            <w:tcW w:w="340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pH</w:t>
            </w:r>
            <w:r w:rsidRPr="00FC1444">
              <w:rPr>
                <w:rFonts w:eastAsiaTheme="minorEastAsia"/>
                <w:kern w:val="0"/>
                <w:szCs w:val="21"/>
              </w:rPr>
              <w:t>值</w:t>
            </w:r>
          </w:p>
        </w:tc>
        <w:tc>
          <w:tcPr>
            <w:tcW w:w="3845" w:type="dxa"/>
            <w:gridSpan w:val="2"/>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5.5~8.5</w:t>
            </w:r>
          </w:p>
        </w:tc>
      </w:tr>
      <w:tr w:rsidR="0086311D" w:rsidRPr="00FC1444" w:rsidTr="0086311D">
        <w:trPr>
          <w:trHeight w:val="265"/>
          <w:jc w:val="center"/>
        </w:trPr>
        <w:tc>
          <w:tcPr>
            <w:tcW w:w="959"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2</w:t>
            </w:r>
          </w:p>
        </w:tc>
        <w:tc>
          <w:tcPr>
            <w:tcW w:w="340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五日生化需氧量</w:t>
            </w:r>
            <w:r w:rsidRPr="00FC1444">
              <w:rPr>
                <w:rFonts w:eastAsiaTheme="minorEastAsia"/>
                <w:kern w:val="0"/>
                <w:szCs w:val="21"/>
              </w:rPr>
              <w:t>≤</w:t>
            </w:r>
          </w:p>
        </w:tc>
        <w:tc>
          <w:tcPr>
            <w:tcW w:w="192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100</w:t>
            </w:r>
          </w:p>
        </w:tc>
        <w:tc>
          <w:tcPr>
            <w:tcW w:w="1923"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60</w:t>
            </w:r>
          </w:p>
        </w:tc>
      </w:tr>
      <w:tr w:rsidR="0086311D" w:rsidRPr="00FC1444" w:rsidTr="0086311D">
        <w:trPr>
          <w:trHeight w:val="265"/>
          <w:jc w:val="center"/>
        </w:trPr>
        <w:tc>
          <w:tcPr>
            <w:tcW w:w="959"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3</w:t>
            </w:r>
          </w:p>
        </w:tc>
        <w:tc>
          <w:tcPr>
            <w:tcW w:w="340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氯化物</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mg/L</w:t>
            </w:r>
            <w:r w:rsidRPr="00FC1444">
              <w:rPr>
                <w:rFonts w:eastAsiaTheme="minorEastAsia"/>
                <w:kern w:val="0"/>
                <w:szCs w:val="21"/>
              </w:rPr>
              <w:t>）</w:t>
            </w:r>
            <w:r w:rsidRPr="00FC1444">
              <w:rPr>
                <w:rFonts w:eastAsiaTheme="minorEastAsia"/>
                <w:kern w:val="0"/>
                <w:szCs w:val="21"/>
              </w:rPr>
              <w:t>≤</w:t>
            </w:r>
          </w:p>
        </w:tc>
        <w:tc>
          <w:tcPr>
            <w:tcW w:w="3845" w:type="dxa"/>
            <w:gridSpan w:val="2"/>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350</w:t>
            </w:r>
          </w:p>
        </w:tc>
      </w:tr>
      <w:tr w:rsidR="0086311D" w:rsidRPr="00FC1444" w:rsidTr="0086311D">
        <w:trPr>
          <w:trHeight w:val="259"/>
          <w:jc w:val="center"/>
        </w:trPr>
        <w:tc>
          <w:tcPr>
            <w:tcW w:w="959"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4</w:t>
            </w:r>
          </w:p>
        </w:tc>
        <w:tc>
          <w:tcPr>
            <w:tcW w:w="340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总铅</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mg/L</w:t>
            </w:r>
            <w:r w:rsidRPr="00FC1444">
              <w:rPr>
                <w:rFonts w:eastAsiaTheme="minorEastAsia"/>
                <w:kern w:val="0"/>
                <w:szCs w:val="21"/>
              </w:rPr>
              <w:t>）</w:t>
            </w:r>
            <w:r w:rsidRPr="00FC1444">
              <w:rPr>
                <w:rFonts w:eastAsiaTheme="minorEastAsia"/>
                <w:kern w:val="0"/>
                <w:szCs w:val="21"/>
              </w:rPr>
              <w:t>≤</w:t>
            </w:r>
          </w:p>
        </w:tc>
        <w:tc>
          <w:tcPr>
            <w:tcW w:w="3845" w:type="dxa"/>
            <w:gridSpan w:val="2"/>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0.2</w:t>
            </w:r>
          </w:p>
        </w:tc>
      </w:tr>
      <w:tr w:rsidR="0086311D" w:rsidRPr="00FC1444" w:rsidTr="0086311D">
        <w:trPr>
          <w:trHeight w:val="265"/>
          <w:jc w:val="center"/>
        </w:trPr>
        <w:tc>
          <w:tcPr>
            <w:tcW w:w="959"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5</w:t>
            </w:r>
          </w:p>
        </w:tc>
        <w:tc>
          <w:tcPr>
            <w:tcW w:w="340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总镉</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mg/L</w:t>
            </w:r>
            <w:r w:rsidRPr="00FC1444">
              <w:rPr>
                <w:rFonts w:eastAsiaTheme="minorEastAsia"/>
                <w:kern w:val="0"/>
                <w:szCs w:val="21"/>
              </w:rPr>
              <w:t>）</w:t>
            </w:r>
            <w:r w:rsidRPr="00FC1444">
              <w:rPr>
                <w:rFonts w:eastAsiaTheme="minorEastAsia"/>
                <w:kern w:val="0"/>
                <w:szCs w:val="21"/>
              </w:rPr>
              <w:t>≤</w:t>
            </w:r>
          </w:p>
        </w:tc>
        <w:tc>
          <w:tcPr>
            <w:tcW w:w="3845" w:type="dxa"/>
            <w:gridSpan w:val="2"/>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0.01</w:t>
            </w:r>
          </w:p>
        </w:tc>
      </w:tr>
      <w:tr w:rsidR="0086311D" w:rsidRPr="00FC1444" w:rsidTr="0086311D">
        <w:trPr>
          <w:trHeight w:val="265"/>
          <w:jc w:val="center"/>
        </w:trPr>
        <w:tc>
          <w:tcPr>
            <w:tcW w:w="959"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6</w:t>
            </w:r>
          </w:p>
        </w:tc>
        <w:tc>
          <w:tcPr>
            <w:tcW w:w="340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铬</w:t>
            </w:r>
            <w:r w:rsidRPr="00FC1444">
              <w:rPr>
                <w:rFonts w:eastAsiaTheme="minorEastAsia"/>
                <w:kern w:val="0"/>
                <w:szCs w:val="21"/>
              </w:rPr>
              <w:t>(</w:t>
            </w:r>
            <w:r w:rsidRPr="00FC1444">
              <w:rPr>
                <w:rFonts w:eastAsiaTheme="minorEastAsia"/>
                <w:kern w:val="0"/>
                <w:szCs w:val="21"/>
              </w:rPr>
              <w:t>六价</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mg/L</w:t>
            </w:r>
            <w:r w:rsidRPr="00FC1444">
              <w:rPr>
                <w:rFonts w:eastAsiaTheme="minorEastAsia"/>
                <w:kern w:val="0"/>
                <w:szCs w:val="21"/>
              </w:rPr>
              <w:t>）</w:t>
            </w:r>
            <w:r w:rsidRPr="00FC1444">
              <w:rPr>
                <w:rFonts w:eastAsiaTheme="minorEastAsia"/>
                <w:kern w:val="0"/>
                <w:szCs w:val="21"/>
              </w:rPr>
              <w:t>≤</w:t>
            </w:r>
          </w:p>
        </w:tc>
        <w:tc>
          <w:tcPr>
            <w:tcW w:w="3845" w:type="dxa"/>
            <w:gridSpan w:val="2"/>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0.1</w:t>
            </w:r>
          </w:p>
        </w:tc>
      </w:tr>
      <w:tr w:rsidR="0086311D" w:rsidRPr="00FC1444" w:rsidTr="0086311D">
        <w:trPr>
          <w:trHeight w:val="272"/>
          <w:jc w:val="center"/>
        </w:trPr>
        <w:tc>
          <w:tcPr>
            <w:tcW w:w="959"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7</w:t>
            </w:r>
          </w:p>
        </w:tc>
        <w:tc>
          <w:tcPr>
            <w:tcW w:w="340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总汞</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mg/L</w:t>
            </w:r>
            <w:r w:rsidRPr="00FC1444">
              <w:rPr>
                <w:rFonts w:eastAsiaTheme="minorEastAsia"/>
                <w:kern w:val="0"/>
                <w:szCs w:val="21"/>
              </w:rPr>
              <w:t>）</w:t>
            </w:r>
            <w:r w:rsidRPr="00FC1444">
              <w:rPr>
                <w:rFonts w:eastAsiaTheme="minorEastAsia"/>
                <w:kern w:val="0"/>
                <w:szCs w:val="21"/>
              </w:rPr>
              <w:t>≤</w:t>
            </w:r>
          </w:p>
        </w:tc>
        <w:tc>
          <w:tcPr>
            <w:tcW w:w="3845" w:type="dxa"/>
            <w:gridSpan w:val="2"/>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0.01</w:t>
            </w:r>
          </w:p>
        </w:tc>
      </w:tr>
      <w:tr w:rsidR="0086311D" w:rsidRPr="00FC1444" w:rsidTr="0086311D">
        <w:trPr>
          <w:trHeight w:val="272"/>
          <w:jc w:val="center"/>
        </w:trPr>
        <w:tc>
          <w:tcPr>
            <w:tcW w:w="959"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8</w:t>
            </w:r>
          </w:p>
        </w:tc>
        <w:tc>
          <w:tcPr>
            <w:tcW w:w="340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总砷</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mg/L</w:t>
            </w:r>
            <w:r w:rsidRPr="00FC1444">
              <w:rPr>
                <w:rFonts w:eastAsiaTheme="minorEastAsia"/>
                <w:kern w:val="0"/>
                <w:szCs w:val="21"/>
              </w:rPr>
              <w:t>）</w:t>
            </w:r>
            <w:r w:rsidRPr="00FC1444">
              <w:rPr>
                <w:rFonts w:eastAsiaTheme="minorEastAsia"/>
                <w:kern w:val="0"/>
                <w:szCs w:val="21"/>
              </w:rPr>
              <w:t>≤</w:t>
            </w:r>
          </w:p>
        </w:tc>
        <w:tc>
          <w:tcPr>
            <w:tcW w:w="192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0.1</w:t>
            </w:r>
          </w:p>
        </w:tc>
        <w:tc>
          <w:tcPr>
            <w:tcW w:w="1923"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0.05</w:t>
            </w:r>
          </w:p>
        </w:tc>
      </w:tr>
      <w:tr w:rsidR="0086311D" w:rsidRPr="00FC1444" w:rsidTr="0086311D">
        <w:trPr>
          <w:trHeight w:val="319"/>
          <w:jc w:val="center"/>
        </w:trPr>
        <w:tc>
          <w:tcPr>
            <w:tcW w:w="959"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9</w:t>
            </w:r>
          </w:p>
        </w:tc>
        <w:tc>
          <w:tcPr>
            <w:tcW w:w="3402" w:type="dxa"/>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粪大肠菌群数</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MPN/L</w:t>
            </w:r>
            <w:r w:rsidRPr="00FC1444">
              <w:rPr>
                <w:rFonts w:eastAsiaTheme="minorEastAsia"/>
                <w:kern w:val="0"/>
                <w:szCs w:val="21"/>
              </w:rPr>
              <w:t>）</w:t>
            </w:r>
            <w:r w:rsidRPr="00FC1444">
              <w:rPr>
                <w:rFonts w:eastAsiaTheme="minorEastAsia"/>
                <w:kern w:val="0"/>
                <w:szCs w:val="21"/>
              </w:rPr>
              <w:t>≤</w:t>
            </w:r>
          </w:p>
        </w:tc>
        <w:tc>
          <w:tcPr>
            <w:tcW w:w="3845" w:type="dxa"/>
            <w:gridSpan w:val="2"/>
            <w:vAlign w:val="center"/>
          </w:tcPr>
          <w:p w:rsidR="0086311D" w:rsidRPr="00FC1444" w:rsidRDefault="0086311D" w:rsidP="0093401E">
            <w:pPr>
              <w:spacing w:line="0" w:lineRule="atLeast"/>
              <w:jc w:val="center"/>
              <w:rPr>
                <w:rFonts w:eastAsiaTheme="minorEastAsia"/>
                <w:kern w:val="0"/>
                <w:szCs w:val="21"/>
              </w:rPr>
            </w:pPr>
            <w:r w:rsidRPr="00FC1444">
              <w:rPr>
                <w:rFonts w:eastAsiaTheme="minorEastAsia"/>
                <w:kern w:val="0"/>
                <w:szCs w:val="21"/>
              </w:rPr>
              <w:t>40000</w:t>
            </w:r>
          </w:p>
        </w:tc>
      </w:tr>
    </w:tbl>
    <w:p w:rsidR="002A00FD" w:rsidRPr="00FC1444" w:rsidRDefault="00F74DEA" w:rsidP="002A00FD">
      <w:pPr>
        <w:pStyle w:val="aff4"/>
        <w:adjustRightInd/>
        <w:snapToGrid/>
        <w:rPr>
          <w:rFonts w:ascii="Times New Roman" w:hAnsi="Times New Roman" w:cs="Times New Roman"/>
          <w:smallCaps/>
          <w:shd w:val="clear" w:color="auto" w:fill="FFFFFF"/>
        </w:rPr>
      </w:pPr>
      <w:r w:rsidRPr="00FC1444">
        <w:rPr>
          <w:rFonts w:ascii="Times New Roman" w:hAnsi="Times New Roman" w:cs="Times New Roman"/>
        </w:rPr>
        <w:t>水田：本项目建设前后项目区水田面积不变，仍为</w:t>
      </w:r>
      <w:r w:rsidR="007D62F3" w:rsidRPr="00FC1444">
        <w:rPr>
          <w:rFonts w:ascii="Times New Roman" w:hAnsi="Times New Roman" w:cs="Times New Roman" w:hint="eastAsia"/>
          <w:bCs/>
        </w:rPr>
        <w:t>9.16</w:t>
      </w:r>
      <w:r w:rsidRPr="00FC1444">
        <w:rPr>
          <w:rFonts w:ascii="Times New Roman" w:hAnsi="Times New Roman" w:cs="Times New Roman"/>
          <w:bCs/>
        </w:rPr>
        <w:t>万亩。不新增灌溉设施</w:t>
      </w:r>
      <w:r w:rsidR="002A00FD" w:rsidRPr="00FC1444">
        <w:rPr>
          <w:rFonts w:ascii="Times New Roman" w:hAnsi="Times New Roman" w:cs="Times New Roman"/>
        </w:rPr>
        <w:t>，</w:t>
      </w:r>
      <w:r w:rsidR="00A248CA" w:rsidRPr="00FC1444">
        <w:rPr>
          <w:rFonts w:ascii="Times New Roman" w:hAnsi="Times New Roman" w:cs="Times New Roman"/>
        </w:rPr>
        <w:t>灌溉方式</w:t>
      </w:r>
      <w:r w:rsidR="002A00FD" w:rsidRPr="00FC1444">
        <w:rPr>
          <w:rFonts w:ascii="Times New Roman" w:hAnsi="Times New Roman" w:cs="Times New Roman"/>
          <w:smallCaps/>
          <w:shd w:val="clear" w:color="auto" w:fill="FFFFFF"/>
        </w:rPr>
        <w:t>为</w:t>
      </w:r>
      <w:r w:rsidR="002A00FD" w:rsidRPr="00FC1444">
        <w:rPr>
          <w:rFonts w:ascii="Times New Roman" w:hAnsi="Times New Roman" w:cs="Times New Roman"/>
        </w:rPr>
        <w:t>现有农民自打</w:t>
      </w:r>
      <w:r w:rsidR="00A248CA" w:rsidRPr="00FC1444">
        <w:rPr>
          <w:rFonts w:ascii="Times New Roman" w:hAnsi="Times New Roman" w:cs="Times New Roman"/>
        </w:rPr>
        <w:t>地下水</w:t>
      </w:r>
      <w:r w:rsidR="002A00FD" w:rsidRPr="00FC1444">
        <w:rPr>
          <w:rFonts w:ascii="Times New Roman" w:hAnsi="Times New Roman" w:cs="Times New Roman"/>
        </w:rPr>
        <w:t>井</w:t>
      </w:r>
      <w:r w:rsidR="00A248CA" w:rsidRPr="00FC1444">
        <w:rPr>
          <w:rFonts w:ascii="Times New Roman" w:hAnsi="Times New Roman" w:cs="Times New Roman"/>
        </w:rPr>
        <w:t>井灌</w:t>
      </w:r>
      <w:r w:rsidR="002A00FD" w:rsidRPr="00FC1444">
        <w:rPr>
          <w:rFonts w:ascii="Times New Roman" w:hAnsi="Times New Roman" w:cs="Times New Roman"/>
          <w:smallCaps/>
          <w:shd w:val="clear" w:color="auto" w:fill="FFFFFF"/>
        </w:rPr>
        <w:t>。退水总量及主要污染物：</w:t>
      </w:r>
      <w:r w:rsidR="007D62F3" w:rsidRPr="00FC1444">
        <w:rPr>
          <w:rFonts w:ascii="Times New Roman" w:hAnsi="Times New Roman" w:cs="Times New Roman" w:hint="eastAsia"/>
        </w:rPr>
        <w:t>绥胜</w:t>
      </w:r>
      <w:r w:rsidR="002A00FD" w:rsidRPr="00FC1444">
        <w:rPr>
          <w:rFonts w:ascii="Times New Roman" w:hAnsi="Times New Roman" w:cs="Times New Roman"/>
        </w:rPr>
        <w:t>片区</w:t>
      </w:r>
      <w:r w:rsidR="002A00FD" w:rsidRPr="00FC1444">
        <w:rPr>
          <w:rFonts w:ascii="Times New Roman" w:hAnsi="Times New Roman" w:cs="Times New Roman"/>
        </w:rPr>
        <w:t>0.</w:t>
      </w:r>
      <w:r w:rsidR="00E008D1" w:rsidRPr="00FC1444">
        <w:rPr>
          <w:rFonts w:ascii="Times New Roman" w:hAnsi="Times New Roman" w:cs="Times New Roman" w:hint="eastAsia"/>
        </w:rPr>
        <w:t>6</w:t>
      </w:r>
      <w:r w:rsidR="002A00FD" w:rsidRPr="00FC1444">
        <w:rPr>
          <w:rFonts w:ascii="Times New Roman" w:hAnsi="Times New Roman" w:cs="Times New Roman"/>
        </w:rPr>
        <w:t>万亩、</w:t>
      </w:r>
      <w:r w:rsidR="007D62F3" w:rsidRPr="00FC1444">
        <w:rPr>
          <w:rFonts w:ascii="Times New Roman" w:hAnsi="Times New Roman" w:cs="Times New Roman" w:hint="eastAsia"/>
        </w:rPr>
        <w:t>津河</w:t>
      </w:r>
      <w:r w:rsidR="002A00FD" w:rsidRPr="00FC1444">
        <w:rPr>
          <w:rFonts w:ascii="Times New Roman" w:hAnsi="Times New Roman" w:cs="Times New Roman"/>
        </w:rPr>
        <w:t>片区</w:t>
      </w:r>
      <w:r w:rsidR="00E008D1" w:rsidRPr="00FC1444">
        <w:rPr>
          <w:rFonts w:ascii="Times New Roman" w:hAnsi="Times New Roman" w:cs="Times New Roman" w:hint="eastAsia"/>
        </w:rPr>
        <w:t>1.54</w:t>
      </w:r>
      <w:r w:rsidR="002A00FD" w:rsidRPr="00FC1444">
        <w:rPr>
          <w:rFonts w:ascii="Times New Roman" w:hAnsi="Times New Roman" w:cs="Times New Roman"/>
        </w:rPr>
        <w:t>万亩、</w:t>
      </w:r>
      <w:r w:rsidR="007D62F3" w:rsidRPr="00FC1444">
        <w:rPr>
          <w:rFonts w:ascii="Times New Roman" w:hAnsi="Times New Roman" w:cs="Times New Roman" w:hint="eastAsia"/>
        </w:rPr>
        <w:t>五营</w:t>
      </w:r>
      <w:r w:rsidR="002A00FD" w:rsidRPr="00FC1444">
        <w:rPr>
          <w:rFonts w:ascii="Times New Roman" w:hAnsi="Times New Roman" w:cs="Times New Roman"/>
        </w:rPr>
        <w:t>片区</w:t>
      </w:r>
      <w:r w:rsidR="00EB0576" w:rsidRPr="00FC1444">
        <w:rPr>
          <w:rFonts w:ascii="Times New Roman" w:hAnsi="Times New Roman" w:cs="Times New Roman" w:hint="eastAsia"/>
        </w:rPr>
        <w:t>4.9</w:t>
      </w:r>
      <w:r w:rsidR="00E008D1" w:rsidRPr="00FC1444">
        <w:rPr>
          <w:rFonts w:ascii="Times New Roman" w:hAnsi="Times New Roman" w:cs="Times New Roman" w:hint="eastAsia"/>
        </w:rPr>
        <w:t>2</w:t>
      </w:r>
      <w:r w:rsidR="007D62F3" w:rsidRPr="00FC1444">
        <w:rPr>
          <w:rFonts w:ascii="Times New Roman" w:hAnsi="Times New Roman" w:cs="Times New Roman"/>
        </w:rPr>
        <w:t>万亩</w:t>
      </w:r>
      <w:r w:rsidR="002A00FD" w:rsidRPr="00FC1444">
        <w:rPr>
          <w:rFonts w:ascii="Times New Roman" w:hAnsi="Times New Roman" w:cs="Times New Roman"/>
        </w:rPr>
        <w:t>，</w:t>
      </w:r>
      <w:r w:rsidR="007D62F3" w:rsidRPr="00FC1444">
        <w:rPr>
          <w:rFonts w:ascii="Times New Roman" w:hAnsi="Times New Roman" w:cs="Times New Roman" w:hint="eastAsia"/>
        </w:rPr>
        <w:t>三河</w:t>
      </w:r>
      <w:r w:rsidR="002A00FD" w:rsidRPr="00FC1444">
        <w:rPr>
          <w:rFonts w:ascii="Times New Roman" w:hAnsi="Times New Roman" w:cs="Times New Roman"/>
        </w:rPr>
        <w:t>片区</w:t>
      </w:r>
      <w:r w:rsidR="00E008D1" w:rsidRPr="00FC1444">
        <w:rPr>
          <w:rFonts w:ascii="Times New Roman" w:hAnsi="Times New Roman" w:cs="Times New Roman" w:hint="eastAsia"/>
        </w:rPr>
        <w:t>2.1</w:t>
      </w:r>
      <w:r w:rsidR="002A00FD" w:rsidRPr="00FC1444">
        <w:rPr>
          <w:rFonts w:ascii="Times New Roman" w:hAnsi="Times New Roman" w:cs="Times New Roman"/>
        </w:rPr>
        <w:t>万亩。</w:t>
      </w:r>
      <w:r w:rsidR="00E33508" w:rsidRPr="00FC1444">
        <w:rPr>
          <w:rFonts w:ascii="Times New Roman" w:hAnsi="Times New Roman" w:cs="Times New Roman"/>
          <w:kern w:val="0"/>
        </w:rPr>
        <w:t>水田</w:t>
      </w:r>
      <w:r w:rsidR="00E33508" w:rsidRPr="00FC1444">
        <w:rPr>
          <w:rFonts w:ascii="Times New Roman" w:hAnsi="Times New Roman" w:cs="Times New Roman"/>
          <w:kern w:val="0"/>
        </w:rPr>
        <w:lastRenderedPageBreak/>
        <w:t>取水量</w:t>
      </w:r>
      <w:r w:rsidR="00E33508" w:rsidRPr="00FC1444">
        <w:rPr>
          <w:rFonts w:ascii="Times New Roman" w:hAnsi="Times New Roman" w:cs="Times New Roman"/>
          <w:kern w:val="0"/>
        </w:rPr>
        <w:t>=</w:t>
      </w:r>
      <w:r w:rsidR="00E33508" w:rsidRPr="00FC1444">
        <w:rPr>
          <w:rFonts w:ascii="Times New Roman" w:hAnsi="Times New Roman" w:cs="Times New Roman"/>
          <w:kern w:val="0"/>
        </w:rPr>
        <w:t>灌溉面积</w:t>
      </w:r>
      <w:r w:rsidR="00E33508" w:rsidRPr="00FC1444">
        <w:rPr>
          <w:rFonts w:ascii="Times New Roman" w:hAnsi="Times New Roman" w:cs="Times New Roman"/>
          <w:kern w:val="0"/>
        </w:rPr>
        <w:t>×</w:t>
      </w:r>
      <w:r w:rsidR="00E33508" w:rsidRPr="00FC1444">
        <w:rPr>
          <w:rFonts w:ascii="Times New Roman" w:hAnsi="Times New Roman" w:cs="Times New Roman"/>
        </w:rPr>
        <w:t>灌溉定额</w:t>
      </w:r>
      <w:r w:rsidR="00E33508" w:rsidRPr="00FC1444">
        <w:rPr>
          <w:rFonts w:ascii="Times New Roman" w:hAnsi="Times New Roman" w:cs="Times New Roman"/>
          <w:kern w:val="0"/>
        </w:rPr>
        <w:t>。</w:t>
      </w:r>
      <w:r w:rsidR="002A00FD" w:rsidRPr="00FC1444">
        <w:rPr>
          <w:rFonts w:ascii="Times New Roman" w:hAnsi="Times New Roman" w:cs="Times New Roman"/>
        </w:rPr>
        <w:t>现状年灌溉水利用系数</w:t>
      </w:r>
      <w:r w:rsidR="002A00FD" w:rsidRPr="00FC1444">
        <w:rPr>
          <w:rFonts w:ascii="Times New Roman" w:hAnsi="Times New Roman" w:cs="Times New Roman"/>
        </w:rPr>
        <w:t>0.67</w:t>
      </w:r>
      <w:r w:rsidR="002A00FD" w:rsidRPr="00FC1444">
        <w:rPr>
          <w:rFonts w:ascii="Times New Roman" w:hAnsi="Times New Roman" w:cs="Times New Roman"/>
        </w:rPr>
        <w:t>，水田灌溉用水定额为</w:t>
      </w:r>
      <w:r w:rsidR="00A248CA" w:rsidRPr="00FC1444">
        <w:rPr>
          <w:rFonts w:ascii="Times New Roman" w:hAnsi="Times New Roman" w:cs="Times New Roman"/>
        </w:rPr>
        <w:t>685</w:t>
      </w:r>
      <w:r w:rsidR="002A00FD" w:rsidRPr="00FC1444">
        <w:rPr>
          <w:rFonts w:ascii="Times New Roman" w:hAnsi="Times New Roman" w:cs="Times New Roman"/>
        </w:rPr>
        <w:t>m</w:t>
      </w:r>
      <w:r w:rsidR="002A00FD" w:rsidRPr="00FC1444">
        <w:rPr>
          <w:rFonts w:ascii="Times New Roman" w:hAnsi="Times New Roman" w:cs="Times New Roman"/>
          <w:vertAlign w:val="superscript"/>
        </w:rPr>
        <w:t>3</w:t>
      </w:r>
      <w:r w:rsidR="002A00FD" w:rsidRPr="00FC1444">
        <w:rPr>
          <w:rFonts w:ascii="Times New Roman" w:hAnsi="Times New Roman" w:cs="Times New Roman"/>
        </w:rPr>
        <w:t>/</w:t>
      </w:r>
      <w:r w:rsidR="002A00FD" w:rsidRPr="00FC1444">
        <w:rPr>
          <w:rFonts w:ascii="Times New Roman" w:hAnsi="Times New Roman" w:cs="Times New Roman"/>
        </w:rPr>
        <w:t>亩，现状引水总量</w:t>
      </w:r>
      <w:r w:rsidR="00E008D1" w:rsidRPr="00FC1444">
        <w:rPr>
          <w:rFonts w:ascii="Times New Roman" w:hAnsi="Times New Roman" w:cs="Times New Roman"/>
        </w:rPr>
        <w:t>6274.6</w:t>
      </w:r>
      <w:r w:rsidR="002A00FD" w:rsidRPr="00FC1444">
        <w:rPr>
          <w:rFonts w:ascii="Times New Roman" w:hAnsi="Times New Roman" w:cs="Times New Roman"/>
        </w:rPr>
        <w:t>万</w:t>
      </w:r>
      <w:r w:rsidR="002A00FD" w:rsidRPr="00FC1444">
        <w:rPr>
          <w:rFonts w:ascii="Times New Roman" w:hAnsi="Times New Roman" w:cs="Times New Roman"/>
        </w:rPr>
        <w:t>m</w:t>
      </w:r>
      <w:r w:rsidR="002A00FD" w:rsidRPr="00FC1444">
        <w:rPr>
          <w:rFonts w:ascii="Times New Roman" w:hAnsi="Times New Roman" w:cs="Times New Roman"/>
          <w:vertAlign w:val="superscript"/>
        </w:rPr>
        <w:t>3</w:t>
      </w:r>
      <w:r w:rsidR="002A00FD" w:rsidRPr="00FC1444">
        <w:rPr>
          <w:rFonts w:ascii="Times New Roman" w:hAnsi="Times New Roman" w:cs="Times New Roman"/>
        </w:rPr>
        <w:t>，现状退水系数按</w:t>
      </w:r>
      <w:r w:rsidR="002A00FD" w:rsidRPr="00FC1444">
        <w:rPr>
          <w:rFonts w:ascii="Times New Roman" w:hAnsi="Times New Roman" w:cs="Times New Roman"/>
        </w:rPr>
        <w:t>0.2</w:t>
      </w:r>
      <w:r w:rsidR="002A00FD" w:rsidRPr="00FC1444">
        <w:rPr>
          <w:rFonts w:ascii="Times New Roman" w:hAnsi="Times New Roman" w:cs="Times New Roman"/>
        </w:rPr>
        <w:t>计，则现状年灌区退水总量</w:t>
      </w:r>
      <w:r w:rsidR="00E008D1" w:rsidRPr="00FC1444">
        <w:rPr>
          <w:rFonts w:ascii="Times New Roman" w:hAnsi="Times New Roman" w:cs="Times New Roman" w:hint="eastAsia"/>
        </w:rPr>
        <w:t>1255</w:t>
      </w:r>
      <w:r w:rsidR="002A00FD" w:rsidRPr="00FC1444">
        <w:rPr>
          <w:rFonts w:ascii="Times New Roman" w:hAnsi="Times New Roman" w:cs="Times New Roman"/>
        </w:rPr>
        <w:t>万</w:t>
      </w:r>
      <w:r w:rsidR="002A00FD" w:rsidRPr="00FC1444">
        <w:rPr>
          <w:rFonts w:ascii="Times New Roman" w:hAnsi="Times New Roman" w:cs="Times New Roman"/>
        </w:rPr>
        <w:t>m</w:t>
      </w:r>
      <w:r w:rsidR="002A00FD" w:rsidRPr="00FC1444">
        <w:rPr>
          <w:rFonts w:ascii="Times New Roman" w:hAnsi="Times New Roman" w:cs="Times New Roman"/>
          <w:vertAlign w:val="superscript"/>
        </w:rPr>
        <w:t>3</w:t>
      </w:r>
      <w:r w:rsidR="002A00FD" w:rsidRPr="00FC1444">
        <w:rPr>
          <w:rFonts w:ascii="Times New Roman" w:hAnsi="Times New Roman" w:cs="Times New Roman"/>
        </w:rPr>
        <w:t>。</w:t>
      </w:r>
    </w:p>
    <w:p w:rsidR="000B5DD1" w:rsidRPr="00FC1444" w:rsidRDefault="002A00FD" w:rsidP="002A00FD">
      <w:pPr>
        <w:adjustRightInd w:val="0"/>
        <w:spacing w:line="360" w:lineRule="auto"/>
        <w:ind w:firstLineChars="200" w:firstLine="480"/>
        <w:rPr>
          <w:sz w:val="24"/>
        </w:rPr>
      </w:pPr>
      <w:r w:rsidRPr="00FC1444">
        <w:rPr>
          <w:sz w:val="24"/>
        </w:rPr>
        <w:t>本项目建设后现有水田灌溉方式不变</w:t>
      </w:r>
      <w:r w:rsidR="00714282" w:rsidRPr="00FC1444">
        <w:rPr>
          <w:sz w:val="24"/>
        </w:rPr>
        <w:t>。</w:t>
      </w:r>
      <w:r w:rsidRPr="00FC1444">
        <w:rPr>
          <w:sz w:val="24"/>
        </w:rPr>
        <w:t>通过格田改造、土地平整等工程，可以减少池埂占地面</w:t>
      </w:r>
      <w:r w:rsidR="00A248CA" w:rsidRPr="00FC1444">
        <w:rPr>
          <w:sz w:val="24"/>
        </w:rPr>
        <w:t>积，</w:t>
      </w:r>
      <w:r w:rsidR="004D4EC0" w:rsidRPr="00FC1444">
        <w:rPr>
          <w:sz w:val="24"/>
        </w:rPr>
        <w:t>减少田面不均补水，</w:t>
      </w:r>
      <w:r w:rsidR="00A248CA" w:rsidRPr="00FC1444">
        <w:rPr>
          <w:sz w:val="24"/>
        </w:rPr>
        <w:t>提高农田保水能力，并且由于渠系配套完善，减少引水的跑冒滴漏。根据</w:t>
      </w:r>
      <w:r w:rsidR="00A248CA" w:rsidRPr="00FC1444">
        <w:rPr>
          <w:rFonts w:eastAsiaTheme="minorEastAsia"/>
          <w:sz w:val="24"/>
        </w:rPr>
        <w:t>《黑龙江：用水定额》（</w:t>
      </w:r>
      <w:r w:rsidR="00A248CA" w:rsidRPr="00FC1444">
        <w:rPr>
          <w:rFonts w:eastAsiaTheme="minorEastAsia"/>
          <w:sz w:val="24"/>
        </w:rPr>
        <w:t>DB23/T 727-2025</w:t>
      </w:r>
      <w:r w:rsidR="00A248CA" w:rsidRPr="00FC1444">
        <w:rPr>
          <w:rFonts w:eastAsiaTheme="minorEastAsia"/>
          <w:sz w:val="24"/>
        </w:rPr>
        <w:t>）</w:t>
      </w:r>
      <w:r w:rsidR="00A248CA" w:rsidRPr="00FC1444">
        <w:rPr>
          <w:sz w:val="24"/>
        </w:rPr>
        <w:t>，渠道防渗输水灌溉</w:t>
      </w:r>
      <w:r w:rsidRPr="00FC1444">
        <w:rPr>
          <w:sz w:val="24"/>
        </w:rPr>
        <w:t>水利用系数提升至</w:t>
      </w:r>
      <w:r w:rsidRPr="00FC1444">
        <w:rPr>
          <w:sz w:val="24"/>
        </w:rPr>
        <w:t>0.</w:t>
      </w:r>
      <w:r w:rsidR="00A248CA" w:rsidRPr="00FC1444">
        <w:rPr>
          <w:sz w:val="24"/>
        </w:rPr>
        <w:t>7</w:t>
      </w:r>
      <w:r w:rsidRPr="00FC1444">
        <w:rPr>
          <w:sz w:val="24"/>
        </w:rPr>
        <w:t>，水田灌溉用水定额为</w:t>
      </w:r>
      <w:r w:rsidR="00A248CA" w:rsidRPr="00FC1444">
        <w:rPr>
          <w:sz w:val="24"/>
        </w:rPr>
        <w:t>600</w:t>
      </w:r>
      <w:r w:rsidRPr="00FC1444">
        <w:rPr>
          <w:sz w:val="24"/>
        </w:rPr>
        <w:t>m</w:t>
      </w:r>
      <w:r w:rsidRPr="00FC1444">
        <w:rPr>
          <w:sz w:val="24"/>
          <w:vertAlign w:val="superscript"/>
        </w:rPr>
        <w:t>3</w:t>
      </w:r>
      <w:r w:rsidRPr="00FC1444">
        <w:rPr>
          <w:sz w:val="24"/>
        </w:rPr>
        <w:t>/</w:t>
      </w:r>
      <w:r w:rsidRPr="00FC1444">
        <w:rPr>
          <w:sz w:val="24"/>
        </w:rPr>
        <w:t>亩，引水总量</w:t>
      </w:r>
      <w:r w:rsidR="00E008D1" w:rsidRPr="00FC1444">
        <w:rPr>
          <w:rFonts w:hint="eastAsia"/>
          <w:sz w:val="24"/>
        </w:rPr>
        <w:t>5496</w:t>
      </w:r>
      <w:r w:rsidRPr="00FC1444">
        <w:rPr>
          <w:sz w:val="24"/>
        </w:rPr>
        <w:t>万</w:t>
      </w:r>
      <w:r w:rsidRPr="00FC1444">
        <w:rPr>
          <w:sz w:val="24"/>
        </w:rPr>
        <w:t>m</w:t>
      </w:r>
      <w:r w:rsidRPr="00FC1444">
        <w:rPr>
          <w:sz w:val="24"/>
          <w:vertAlign w:val="superscript"/>
        </w:rPr>
        <w:t>3</w:t>
      </w:r>
      <w:r w:rsidR="000B5DD1" w:rsidRPr="00FC1444">
        <w:rPr>
          <w:sz w:val="24"/>
        </w:rPr>
        <w:t>。</w:t>
      </w:r>
    </w:p>
    <w:p w:rsidR="00F74DEA" w:rsidRPr="00FC1444" w:rsidRDefault="000B5DD1" w:rsidP="009E2123">
      <w:pPr>
        <w:adjustRightInd w:val="0"/>
        <w:spacing w:line="360" w:lineRule="auto"/>
        <w:ind w:firstLineChars="200" w:firstLine="480"/>
        <w:rPr>
          <w:sz w:val="24"/>
        </w:rPr>
      </w:pPr>
      <w:r w:rsidRPr="00FC1444">
        <w:rPr>
          <w:sz w:val="24"/>
        </w:rPr>
        <w:t>本项目建成后，进行土地平整</w:t>
      </w:r>
      <w:r w:rsidR="009E2123" w:rsidRPr="00FC1444">
        <w:rPr>
          <w:sz w:val="24"/>
        </w:rPr>
        <w:t>、格田改造</w:t>
      </w:r>
      <w:r w:rsidRPr="00FC1444">
        <w:rPr>
          <w:sz w:val="24"/>
        </w:rPr>
        <w:t>，</w:t>
      </w:r>
      <w:r w:rsidR="009E2123" w:rsidRPr="00FC1444">
        <w:rPr>
          <w:sz w:val="24"/>
        </w:rPr>
        <w:t>消除高低不平造成的漫灌溢水、不均匀渗漏</w:t>
      </w:r>
      <w:r w:rsidRPr="00FC1444">
        <w:rPr>
          <w:sz w:val="24"/>
        </w:rPr>
        <w:t>，</w:t>
      </w:r>
      <w:r w:rsidR="009E2123" w:rsidRPr="00FC1444">
        <w:rPr>
          <w:sz w:val="24"/>
        </w:rPr>
        <w:t>减少田面弃水和无效深层渗漏，土壤保水能力增强，退</w:t>
      </w:r>
      <w:r w:rsidR="002A00FD" w:rsidRPr="00FC1444">
        <w:rPr>
          <w:sz w:val="24"/>
        </w:rPr>
        <w:t>水系数降至</w:t>
      </w:r>
      <w:r w:rsidR="002A00FD" w:rsidRPr="00FC1444">
        <w:rPr>
          <w:sz w:val="24"/>
        </w:rPr>
        <w:t>0.15</w:t>
      </w:r>
      <w:r w:rsidR="002A00FD" w:rsidRPr="00FC1444">
        <w:rPr>
          <w:sz w:val="24"/>
        </w:rPr>
        <w:t>，则项目建成后年灌区退水总量为</w:t>
      </w:r>
      <w:r w:rsidR="00E008D1" w:rsidRPr="00FC1444">
        <w:rPr>
          <w:rFonts w:hint="eastAsia"/>
          <w:sz w:val="24"/>
        </w:rPr>
        <w:t>824</w:t>
      </w:r>
      <w:r w:rsidR="002A00FD" w:rsidRPr="00FC1444">
        <w:rPr>
          <w:sz w:val="24"/>
        </w:rPr>
        <w:t>万</w:t>
      </w:r>
      <w:r w:rsidR="002A00FD" w:rsidRPr="00FC1444">
        <w:rPr>
          <w:sz w:val="24"/>
        </w:rPr>
        <w:t>m</w:t>
      </w:r>
      <w:r w:rsidR="002A00FD" w:rsidRPr="00FC1444">
        <w:rPr>
          <w:sz w:val="24"/>
          <w:vertAlign w:val="superscript"/>
        </w:rPr>
        <w:t>3</w:t>
      </w:r>
      <w:r w:rsidR="002A00FD" w:rsidRPr="00FC1444">
        <w:rPr>
          <w:sz w:val="24"/>
        </w:rPr>
        <w:t>。</w:t>
      </w:r>
      <w:r w:rsidR="00E008D1" w:rsidRPr="00FC1444">
        <w:rPr>
          <w:sz w:val="24"/>
        </w:rPr>
        <w:t>项目建成后灌区年退水量与现状相比减少</w:t>
      </w:r>
      <w:r w:rsidR="00E008D1" w:rsidRPr="00FC1444">
        <w:rPr>
          <w:sz w:val="24"/>
        </w:rPr>
        <w:t>431</w:t>
      </w:r>
      <w:r w:rsidR="00E008D1" w:rsidRPr="00FC1444">
        <w:rPr>
          <w:sz w:val="24"/>
        </w:rPr>
        <w:t>万</w:t>
      </w:r>
      <w:r w:rsidR="002A00FD" w:rsidRPr="00FC1444">
        <w:rPr>
          <w:sz w:val="24"/>
        </w:rPr>
        <w:t>m</w:t>
      </w:r>
      <w:r w:rsidR="002A00FD" w:rsidRPr="00FC1444">
        <w:rPr>
          <w:sz w:val="24"/>
          <w:vertAlign w:val="superscript"/>
        </w:rPr>
        <w:t>3</w:t>
      </w:r>
      <w:r w:rsidR="00F74DEA" w:rsidRPr="00FC1444">
        <w:rPr>
          <w:rFonts w:eastAsiaTheme="minorEastAsia"/>
          <w:sz w:val="24"/>
        </w:rPr>
        <w:t>。</w:t>
      </w:r>
    </w:p>
    <w:p w:rsidR="00F74DEA" w:rsidRPr="00FC1444" w:rsidRDefault="00F74DEA" w:rsidP="00F74DEA">
      <w:pPr>
        <w:contextualSpacing/>
        <w:jc w:val="center"/>
        <w:rPr>
          <w:rFonts w:eastAsiaTheme="minorEastAsia"/>
          <w:b/>
          <w:szCs w:val="21"/>
        </w:rPr>
      </w:pPr>
      <w:r w:rsidRPr="00FC1444">
        <w:rPr>
          <w:rFonts w:eastAsiaTheme="minorEastAsia"/>
          <w:b/>
          <w:szCs w:val="21"/>
        </w:rPr>
        <w:t>表</w:t>
      </w:r>
      <w:r w:rsidRPr="00FC1444">
        <w:rPr>
          <w:rFonts w:eastAsiaTheme="minorEastAsia"/>
          <w:b/>
          <w:szCs w:val="21"/>
        </w:rPr>
        <w:t>3-1-</w:t>
      </w:r>
      <w:r w:rsidR="002A51BB" w:rsidRPr="00FC1444">
        <w:rPr>
          <w:rFonts w:eastAsiaTheme="minorEastAsia" w:hint="eastAsia"/>
          <w:b/>
          <w:szCs w:val="21"/>
        </w:rPr>
        <w:t>8</w:t>
      </w:r>
      <w:r w:rsidRPr="00FC1444">
        <w:rPr>
          <w:rFonts w:eastAsiaTheme="minorEastAsia"/>
          <w:b/>
          <w:szCs w:val="21"/>
        </w:rPr>
        <w:t xml:space="preserve"> </w:t>
      </w:r>
      <w:r w:rsidRPr="00FC1444">
        <w:rPr>
          <w:rFonts w:eastAsiaTheme="minorEastAsia"/>
          <w:b/>
          <w:szCs w:val="21"/>
        </w:rPr>
        <w:t>现有水田供排水平衡一览表</w:t>
      </w:r>
      <w:r w:rsidRPr="00FC1444">
        <w:rPr>
          <w:rFonts w:eastAsiaTheme="minorEastAsia"/>
          <w:b/>
          <w:szCs w:val="21"/>
        </w:rPr>
        <w:t xml:space="preserve">  </w:t>
      </w:r>
      <w:r w:rsidRPr="00FC1444">
        <w:rPr>
          <w:rFonts w:eastAsiaTheme="minorEastAsia"/>
          <w:b/>
          <w:szCs w:val="21"/>
        </w:rPr>
        <w:t>单位：万</w:t>
      </w:r>
      <w:r w:rsidRPr="00FC1444">
        <w:rPr>
          <w:rFonts w:eastAsiaTheme="minorEastAsia"/>
          <w:b/>
          <w:szCs w:val="21"/>
        </w:rPr>
        <w:t>m</w:t>
      </w:r>
      <w:r w:rsidRPr="00FC1444">
        <w:rPr>
          <w:rFonts w:eastAsiaTheme="minorEastAsia"/>
          <w:b/>
          <w:szCs w:val="21"/>
          <w:vertAlign w:val="superscript"/>
        </w:rPr>
        <w:t>3</w:t>
      </w:r>
      <w:r w:rsidRPr="00FC1444">
        <w:rPr>
          <w:rFonts w:eastAsiaTheme="minorEastAsia"/>
          <w:b/>
          <w:bCs/>
          <w:szCs w:val="21"/>
        </w:rPr>
        <w:t>/a</w:t>
      </w:r>
    </w:p>
    <w:tbl>
      <w:tblPr>
        <w:tblStyle w:val="afc"/>
        <w:tblW w:w="4981" w:type="pct"/>
        <w:tblLook w:val="04A0"/>
      </w:tblPr>
      <w:tblGrid>
        <w:gridCol w:w="2121"/>
        <w:gridCol w:w="2121"/>
        <w:gridCol w:w="2124"/>
        <w:gridCol w:w="2124"/>
      </w:tblGrid>
      <w:tr w:rsidR="00F74DEA" w:rsidRPr="00FC1444" w:rsidTr="00D35C60">
        <w:trPr>
          <w:trHeight w:val="377"/>
        </w:trPr>
        <w:tc>
          <w:tcPr>
            <w:tcW w:w="1249" w:type="pct"/>
            <w:tcBorders>
              <w:top w:val="single" w:sz="12" w:space="0" w:color="auto"/>
              <w:left w:val="nil"/>
            </w:tcBorders>
            <w:vAlign w:val="center"/>
          </w:tcPr>
          <w:p w:rsidR="00F74DEA" w:rsidRPr="00FC1444" w:rsidRDefault="00F74DEA" w:rsidP="00D35C60">
            <w:pPr>
              <w:jc w:val="center"/>
              <w:rPr>
                <w:rFonts w:eastAsiaTheme="minorEastAsia"/>
                <w:kern w:val="0"/>
                <w:szCs w:val="21"/>
              </w:rPr>
            </w:pPr>
            <w:r w:rsidRPr="00FC1444">
              <w:rPr>
                <w:rFonts w:eastAsiaTheme="minorEastAsia"/>
                <w:kern w:val="0"/>
                <w:szCs w:val="21"/>
              </w:rPr>
              <w:t>灌区</w:t>
            </w:r>
          </w:p>
        </w:tc>
        <w:tc>
          <w:tcPr>
            <w:tcW w:w="1249" w:type="pct"/>
            <w:tcBorders>
              <w:top w:val="single" w:sz="12" w:space="0" w:color="auto"/>
            </w:tcBorders>
            <w:vAlign w:val="center"/>
          </w:tcPr>
          <w:p w:rsidR="00F74DEA" w:rsidRPr="00FC1444" w:rsidRDefault="00F74DEA" w:rsidP="00D35C60">
            <w:pPr>
              <w:jc w:val="center"/>
              <w:rPr>
                <w:rFonts w:eastAsiaTheme="minorEastAsia"/>
                <w:kern w:val="0"/>
                <w:szCs w:val="21"/>
              </w:rPr>
            </w:pPr>
            <w:r w:rsidRPr="00FC1444">
              <w:rPr>
                <w:rFonts w:eastAsiaTheme="minorEastAsia"/>
                <w:kern w:val="0"/>
                <w:szCs w:val="21"/>
              </w:rPr>
              <w:t>用水量</w:t>
            </w:r>
          </w:p>
        </w:tc>
        <w:tc>
          <w:tcPr>
            <w:tcW w:w="1251" w:type="pct"/>
            <w:tcBorders>
              <w:top w:val="single" w:sz="12" w:space="0" w:color="auto"/>
              <w:right w:val="nil"/>
            </w:tcBorders>
            <w:vAlign w:val="center"/>
          </w:tcPr>
          <w:p w:rsidR="00F74DEA" w:rsidRPr="00FC1444" w:rsidRDefault="00F74DEA" w:rsidP="00D35C60">
            <w:pPr>
              <w:jc w:val="center"/>
              <w:rPr>
                <w:rFonts w:eastAsiaTheme="minorEastAsia"/>
                <w:kern w:val="0"/>
                <w:szCs w:val="21"/>
              </w:rPr>
            </w:pPr>
            <w:r w:rsidRPr="00FC1444">
              <w:rPr>
                <w:rFonts w:eastAsiaTheme="minorEastAsia"/>
                <w:kern w:val="0"/>
                <w:szCs w:val="21"/>
              </w:rPr>
              <w:t>作物吸收及蒸发量</w:t>
            </w:r>
          </w:p>
        </w:tc>
        <w:tc>
          <w:tcPr>
            <w:tcW w:w="1251" w:type="pct"/>
            <w:tcBorders>
              <w:top w:val="single" w:sz="12" w:space="0" w:color="auto"/>
              <w:right w:val="nil"/>
            </w:tcBorders>
            <w:vAlign w:val="center"/>
          </w:tcPr>
          <w:p w:rsidR="00F74DEA" w:rsidRPr="00FC1444" w:rsidRDefault="00F74DEA" w:rsidP="00D35C60">
            <w:pPr>
              <w:jc w:val="center"/>
              <w:rPr>
                <w:rFonts w:eastAsiaTheme="minorEastAsia"/>
                <w:kern w:val="0"/>
                <w:szCs w:val="21"/>
              </w:rPr>
            </w:pPr>
            <w:r w:rsidRPr="00FC1444">
              <w:rPr>
                <w:rFonts w:eastAsiaTheme="minorEastAsia"/>
                <w:kern w:val="0"/>
                <w:szCs w:val="21"/>
              </w:rPr>
              <w:t>退水量</w:t>
            </w:r>
          </w:p>
        </w:tc>
      </w:tr>
      <w:tr w:rsidR="00F74DEA" w:rsidRPr="00FC1444" w:rsidTr="00D35C60">
        <w:trPr>
          <w:trHeight w:val="352"/>
        </w:trPr>
        <w:tc>
          <w:tcPr>
            <w:tcW w:w="1249" w:type="pct"/>
            <w:tcBorders>
              <w:left w:val="nil"/>
            </w:tcBorders>
            <w:vAlign w:val="center"/>
          </w:tcPr>
          <w:p w:rsidR="00F74DEA" w:rsidRPr="00FC1444" w:rsidRDefault="00F74DEA" w:rsidP="00D35C60">
            <w:pPr>
              <w:jc w:val="center"/>
              <w:rPr>
                <w:rFonts w:eastAsiaTheme="minorEastAsia"/>
                <w:kern w:val="0"/>
                <w:szCs w:val="21"/>
              </w:rPr>
            </w:pPr>
            <w:r w:rsidRPr="00FC1444">
              <w:rPr>
                <w:rFonts w:eastAsiaTheme="minorEastAsia"/>
                <w:kern w:val="0"/>
                <w:szCs w:val="21"/>
              </w:rPr>
              <w:t>建成前</w:t>
            </w:r>
          </w:p>
        </w:tc>
        <w:tc>
          <w:tcPr>
            <w:tcW w:w="1249" w:type="pct"/>
            <w:vAlign w:val="center"/>
          </w:tcPr>
          <w:p w:rsidR="00F74DEA" w:rsidRPr="00FC1444" w:rsidRDefault="00E008D1" w:rsidP="00D35C60">
            <w:pPr>
              <w:jc w:val="center"/>
              <w:rPr>
                <w:szCs w:val="21"/>
              </w:rPr>
            </w:pPr>
            <w:r w:rsidRPr="00FC1444">
              <w:t>6274.6</w:t>
            </w:r>
          </w:p>
        </w:tc>
        <w:tc>
          <w:tcPr>
            <w:tcW w:w="1251" w:type="pct"/>
            <w:tcBorders>
              <w:right w:val="nil"/>
            </w:tcBorders>
            <w:vAlign w:val="center"/>
          </w:tcPr>
          <w:p w:rsidR="00F74DEA" w:rsidRPr="00FC1444" w:rsidRDefault="00E008D1" w:rsidP="00D35C60">
            <w:pPr>
              <w:jc w:val="center"/>
              <w:rPr>
                <w:rFonts w:eastAsiaTheme="minorEastAsia"/>
                <w:kern w:val="0"/>
                <w:szCs w:val="21"/>
              </w:rPr>
            </w:pPr>
            <w:r w:rsidRPr="00FC1444">
              <w:rPr>
                <w:rFonts w:eastAsiaTheme="minorEastAsia" w:hint="eastAsia"/>
                <w:kern w:val="0"/>
                <w:szCs w:val="21"/>
              </w:rPr>
              <w:t>5020</w:t>
            </w:r>
          </w:p>
        </w:tc>
        <w:tc>
          <w:tcPr>
            <w:tcW w:w="1251" w:type="pct"/>
            <w:tcBorders>
              <w:right w:val="nil"/>
            </w:tcBorders>
            <w:vAlign w:val="center"/>
          </w:tcPr>
          <w:p w:rsidR="00F74DEA" w:rsidRPr="00FC1444" w:rsidRDefault="00E008D1" w:rsidP="00D35C60">
            <w:pPr>
              <w:jc w:val="center"/>
              <w:rPr>
                <w:szCs w:val="21"/>
              </w:rPr>
            </w:pPr>
            <w:r w:rsidRPr="00FC1444">
              <w:rPr>
                <w:rFonts w:hint="eastAsia"/>
                <w:szCs w:val="21"/>
              </w:rPr>
              <w:t>1255</w:t>
            </w:r>
          </w:p>
        </w:tc>
      </w:tr>
      <w:tr w:rsidR="00F74DEA" w:rsidRPr="00FC1444" w:rsidTr="00D35C60">
        <w:trPr>
          <w:trHeight w:val="387"/>
        </w:trPr>
        <w:tc>
          <w:tcPr>
            <w:tcW w:w="1249" w:type="pct"/>
            <w:tcBorders>
              <w:left w:val="nil"/>
            </w:tcBorders>
            <w:vAlign w:val="center"/>
          </w:tcPr>
          <w:p w:rsidR="00F74DEA" w:rsidRPr="00FC1444" w:rsidRDefault="00F74DEA" w:rsidP="00D35C60">
            <w:pPr>
              <w:jc w:val="center"/>
              <w:rPr>
                <w:rFonts w:eastAsiaTheme="minorEastAsia"/>
                <w:kern w:val="0"/>
                <w:szCs w:val="21"/>
              </w:rPr>
            </w:pPr>
            <w:r w:rsidRPr="00FC1444">
              <w:rPr>
                <w:rFonts w:eastAsiaTheme="minorEastAsia"/>
                <w:kern w:val="0"/>
                <w:szCs w:val="21"/>
              </w:rPr>
              <w:t>建成后</w:t>
            </w:r>
          </w:p>
        </w:tc>
        <w:tc>
          <w:tcPr>
            <w:tcW w:w="1249" w:type="pct"/>
            <w:vAlign w:val="center"/>
          </w:tcPr>
          <w:p w:rsidR="00F74DEA" w:rsidRPr="00FC1444" w:rsidRDefault="00E008D1" w:rsidP="00D35C60">
            <w:pPr>
              <w:jc w:val="center"/>
              <w:rPr>
                <w:szCs w:val="21"/>
              </w:rPr>
            </w:pPr>
            <w:r w:rsidRPr="00FC1444">
              <w:rPr>
                <w:rFonts w:hint="eastAsia"/>
                <w:szCs w:val="21"/>
              </w:rPr>
              <w:t>5496</w:t>
            </w:r>
          </w:p>
        </w:tc>
        <w:tc>
          <w:tcPr>
            <w:tcW w:w="1251" w:type="pct"/>
            <w:tcBorders>
              <w:right w:val="nil"/>
            </w:tcBorders>
            <w:vAlign w:val="center"/>
          </w:tcPr>
          <w:p w:rsidR="00F74DEA" w:rsidRPr="00FC1444" w:rsidRDefault="00E008D1" w:rsidP="00D35C60">
            <w:pPr>
              <w:jc w:val="center"/>
              <w:rPr>
                <w:rFonts w:eastAsiaTheme="minorEastAsia"/>
                <w:kern w:val="0"/>
                <w:szCs w:val="21"/>
              </w:rPr>
            </w:pPr>
            <w:r w:rsidRPr="00FC1444">
              <w:rPr>
                <w:rFonts w:eastAsiaTheme="minorEastAsia" w:hint="eastAsia"/>
                <w:kern w:val="0"/>
                <w:szCs w:val="21"/>
              </w:rPr>
              <w:t>4672</w:t>
            </w:r>
          </w:p>
        </w:tc>
        <w:tc>
          <w:tcPr>
            <w:tcW w:w="1251" w:type="pct"/>
            <w:tcBorders>
              <w:right w:val="nil"/>
            </w:tcBorders>
            <w:vAlign w:val="center"/>
          </w:tcPr>
          <w:p w:rsidR="00F74DEA" w:rsidRPr="00FC1444" w:rsidRDefault="00E008D1" w:rsidP="00D35C60">
            <w:pPr>
              <w:jc w:val="center"/>
              <w:rPr>
                <w:szCs w:val="21"/>
              </w:rPr>
            </w:pPr>
            <w:r w:rsidRPr="00FC1444">
              <w:rPr>
                <w:rFonts w:hint="eastAsia"/>
                <w:szCs w:val="21"/>
              </w:rPr>
              <w:t>824</w:t>
            </w:r>
          </w:p>
        </w:tc>
      </w:tr>
      <w:tr w:rsidR="00F74DEA" w:rsidRPr="00FC1444" w:rsidTr="00D35C60">
        <w:trPr>
          <w:trHeight w:val="397"/>
        </w:trPr>
        <w:tc>
          <w:tcPr>
            <w:tcW w:w="1249" w:type="pct"/>
            <w:tcBorders>
              <w:left w:val="nil"/>
              <w:bottom w:val="single" w:sz="12" w:space="0" w:color="auto"/>
            </w:tcBorders>
            <w:vAlign w:val="center"/>
          </w:tcPr>
          <w:p w:rsidR="00F74DEA" w:rsidRPr="00FC1444" w:rsidRDefault="00F74DEA" w:rsidP="00D35C60">
            <w:pPr>
              <w:jc w:val="center"/>
              <w:rPr>
                <w:rFonts w:eastAsiaTheme="minorEastAsia"/>
                <w:kern w:val="0"/>
                <w:szCs w:val="21"/>
              </w:rPr>
            </w:pPr>
            <w:r w:rsidRPr="00FC1444">
              <w:rPr>
                <w:rFonts w:eastAsiaTheme="minorEastAsia"/>
                <w:kern w:val="0"/>
                <w:szCs w:val="21"/>
              </w:rPr>
              <w:t>变化量</w:t>
            </w:r>
          </w:p>
        </w:tc>
        <w:tc>
          <w:tcPr>
            <w:tcW w:w="1249" w:type="pct"/>
            <w:tcBorders>
              <w:bottom w:val="single" w:sz="12" w:space="0" w:color="auto"/>
            </w:tcBorders>
            <w:vAlign w:val="center"/>
          </w:tcPr>
          <w:p w:rsidR="00F74DEA" w:rsidRPr="00FC1444" w:rsidRDefault="00A248CA" w:rsidP="00D35C60">
            <w:pPr>
              <w:jc w:val="center"/>
              <w:rPr>
                <w:szCs w:val="21"/>
              </w:rPr>
            </w:pPr>
            <w:r w:rsidRPr="00FC1444">
              <w:rPr>
                <w:szCs w:val="21"/>
              </w:rPr>
              <w:t>-</w:t>
            </w:r>
            <w:r w:rsidR="00E008D1" w:rsidRPr="00FC1444">
              <w:rPr>
                <w:rFonts w:hint="eastAsia"/>
                <w:szCs w:val="21"/>
              </w:rPr>
              <w:t>778.6</w:t>
            </w:r>
          </w:p>
        </w:tc>
        <w:tc>
          <w:tcPr>
            <w:tcW w:w="1251" w:type="pct"/>
            <w:tcBorders>
              <w:bottom w:val="single" w:sz="12" w:space="0" w:color="auto"/>
              <w:right w:val="nil"/>
            </w:tcBorders>
            <w:vAlign w:val="center"/>
          </w:tcPr>
          <w:p w:rsidR="00F74DEA" w:rsidRPr="00FC1444" w:rsidRDefault="009E2123" w:rsidP="00D35C60">
            <w:pPr>
              <w:jc w:val="center"/>
              <w:rPr>
                <w:rFonts w:eastAsiaTheme="minorEastAsia"/>
                <w:kern w:val="0"/>
                <w:szCs w:val="21"/>
              </w:rPr>
            </w:pPr>
            <w:r w:rsidRPr="00FC1444">
              <w:rPr>
                <w:rFonts w:eastAsiaTheme="minorEastAsia"/>
                <w:kern w:val="0"/>
                <w:szCs w:val="21"/>
              </w:rPr>
              <w:t>-</w:t>
            </w:r>
            <w:r w:rsidR="00E008D1" w:rsidRPr="00FC1444">
              <w:rPr>
                <w:rFonts w:eastAsiaTheme="minorEastAsia" w:hint="eastAsia"/>
                <w:kern w:val="0"/>
                <w:szCs w:val="21"/>
              </w:rPr>
              <w:t>348</w:t>
            </w:r>
          </w:p>
        </w:tc>
        <w:tc>
          <w:tcPr>
            <w:tcW w:w="1251" w:type="pct"/>
            <w:tcBorders>
              <w:bottom w:val="single" w:sz="12" w:space="0" w:color="auto"/>
              <w:right w:val="nil"/>
            </w:tcBorders>
            <w:vAlign w:val="center"/>
          </w:tcPr>
          <w:p w:rsidR="00F74DEA" w:rsidRPr="00FC1444" w:rsidRDefault="009E2123" w:rsidP="00E008D1">
            <w:pPr>
              <w:jc w:val="center"/>
              <w:rPr>
                <w:szCs w:val="21"/>
              </w:rPr>
            </w:pPr>
            <w:r w:rsidRPr="00FC1444">
              <w:rPr>
                <w:szCs w:val="21"/>
              </w:rPr>
              <w:t>-</w:t>
            </w:r>
            <w:r w:rsidR="00E008D1" w:rsidRPr="00FC1444">
              <w:rPr>
                <w:rFonts w:hint="eastAsia"/>
                <w:szCs w:val="21"/>
              </w:rPr>
              <w:t>431</w:t>
            </w:r>
          </w:p>
        </w:tc>
      </w:tr>
    </w:tbl>
    <w:p w:rsidR="002A5A5E" w:rsidRPr="00FC1444" w:rsidRDefault="00611CBA">
      <w:pPr>
        <w:pStyle w:val="affffffffd"/>
        <w:numPr>
          <w:ilvl w:val="0"/>
          <w:numId w:val="10"/>
        </w:numPr>
        <w:autoSpaceDE w:val="0"/>
        <w:autoSpaceDN w:val="0"/>
        <w:spacing w:line="360" w:lineRule="auto"/>
        <w:ind w:firstLineChars="0"/>
        <w:rPr>
          <w:rFonts w:eastAsiaTheme="minorEastAsia"/>
          <w:sz w:val="24"/>
        </w:rPr>
      </w:pPr>
      <w:r w:rsidRPr="00FC1444">
        <w:rPr>
          <w:rFonts w:eastAsiaTheme="minorEastAsia"/>
          <w:sz w:val="24"/>
        </w:rPr>
        <w:t>灌溉井工程</w:t>
      </w:r>
    </w:p>
    <w:p w:rsidR="002A5A5E" w:rsidRPr="00FC1444" w:rsidRDefault="00611CBA">
      <w:pPr>
        <w:spacing w:line="360" w:lineRule="auto"/>
        <w:ind w:firstLineChars="200" w:firstLine="480"/>
        <w:rPr>
          <w:rFonts w:eastAsiaTheme="minorEastAsia"/>
          <w:bCs/>
          <w:sz w:val="24"/>
          <w:szCs w:val="21"/>
        </w:rPr>
      </w:pPr>
      <w:r w:rsidRPr="00FC1444">
        <w:rPr>
          <w:rFonts w:eastAsiaTheme="minorEastAsia"/>
          <w:sz w:val="24"/>
          <w:szCs w:val="21"/>
        </w:rPr>
        <w:t>根据项目区水文地质条件、地质勘察成果及当地多年打井资料，参照</w:t>
      </w:r>
      <w:r w:rsidRPr="00FC1444">
        <w:rPr>
          <w:rFonts w:eastAsiaTheme="minorEastAsia"/>
          <w:kern w:val="0"/>
          <w:sz w:val="24"/>
        </w:rPr>
        <w:t>《喷灌工程技术规范》（</w:t>
      </w:r>
      <w:r w:rsidRPr="00FC1444">
        <w:rPr>
          <w:rFonts w:eastAsiaTheme="minorEastAsia"/>
          <w:kern w:val="0"/>
          <w:sz w:val="24"/>
        </w:rPr>
        <w:t>GB/T50085-2007</w:t>
      </w:r>
      <w:r w:rsidRPr="00FC1444">
        <w:rPr>
          <w:rFonts w:eastAsiaTheme="minorEastAsia"/>
          <w:kern w:val="0"/>
          <w:sz w:val="24"/>
        </w:rPr>
        <w:t>）</w:t>
      </w:r>
      <w:r w:rsidRPr="00FC1444">
        <w:rPr>
          <w:rFonts w:eastAsiaTheme="minorEastAsia"/>
          <w:sz w:val="24"/>
          <w:szCs w:val="21"/>
        </w:rPr>
        <w:t>的有关规定进行灌溉井工程设计。选择灌溉井位以保证水量为主，</w:t>
      </w:r>
      <w:r w:rsidRPr="00FC1444">
        <w:rPr>
          <w:rFonts w:eastAsiaTheme="minorEastAsia"/>
          <w:bCs/>
          <w:sz w:val="24"/>
          <w:szCs w:val="21"/>
        </w:rPr>
        <w:t>本次新建灌溉井</w:t>
      </w:r>
      <w:r w:rsidR="00DD3A44" w:rsidRPr="00FC1444">
        <w:rPr>
          <w:rFonts w:eastAsiaTheme="minorEastAsia"/>
          <w:bCs/>
          <w:sz w:val="24"/>
          <w:szCs w:val="21"/>
        </w:rPr>
        <w:t>156</w:t>
      </w:r>
      <w:r w:rsidR="00DD3A44" w:rsidRPr="00FC1444">
        <w:rPr>
          <w:rFonts w:eastAsiaTheme="minorEastAsia"/>
          <w:bCs/>
          <w:sz w:val="24"/>
          <w:szCs w:val="21"/>
        </w:rPr>
        <w:t>眼</w:t>
      </w:r>
      <w:r w:rsidRPr="00FC1444">
        <w:rPr>
          <w:rFonts w:eastAsiaTheme="minorEastAsia"/>
          <w:bCs/>
          <w:sz w:val="24"/>
          <w:szCs w:val="21"/>
        </w:rPr>
        <w:t>，单井出水量为</w:t>
      </w:r>
      <w:r w:rsidRPr="00FC1444">
        <w:rPr>
          <w:rFonts w:eastAsiaTheme="minorEastAsia"/>
          <w:bCs/>
          <w:sz w:val="24"/>
          <w:szCs w:val="21"/>
        </w:rPr>
        <w:t>30m</w:t>
      </w:r>
      <w:r w:rsidRPr="00FC1444">
        <w:rPr>
          <w:rFonts w:eastAsiaTheme="minorEastAsia"/>
          <w:bCs/>
          <w:sz w:val="24"/>
          <w:szCs w:val="21"/>
          <w:vertAlign w:val="superscript"/>
        </w:rPr>
        <w:t>3</w:t>
      </w:r>
      <w:r w:rsidRPr="00FC1444">
        <w:rPr>
          <w:rFonts w:eastAsiaTheme="minorEastAsia"/>
          <w:bCs/>
          <w:sz w:val="24"/>
          <w:szCs w:val="21"/>
        </w:rPr>
        <w:t>/h</w:t>
      </w:r>
      <w:r w:rsidRPr="00FC1444">
        <w:rPr>
          <w:rFonts w:eastAsiaTheme="minorEastAsia"/>
          <w:sz w:val="24"/>
          <w:szCs w:val="21"/>
        </w:rPr>
        <w:t>，本项目灌溉井</w:t>
      </w:r>
      <w:r w:rsidRPr="00FC1444">
        <w:rPr>
          <w:rFonts w:eastAsiaTheme="minorEastAsia"/>
          <w:kern w:val="0"/>
          <w:sz w:val="24"/>
        </w:rPr>
        <w:t>取水目的层为第四系松散岩类孔隙承压水</w:t>
      </w:r>
      <w:r w:rsidR="0079178B" w:rsidRPr="00FC1444">
        <w:rPr>
          <w:rFonts w:eastAsiaTheme="minorEastAsia"/>
          <w:kern w:val="0"/>
          <w:sz w:val="24"/>
        </w:rPr>
        <w:t>，不进行</w:t>
      </w:r>
      <w:r w:rsidRPr="00FC1444">
        <w:rPr>
          <w:rFonts w:eastAsiaTheme="minorEastAsia"/>
          <w:kern w:val="0"/>
          <w:sz w:val="24"/>
        </w:rPr>
        <w:t>混合开采。</w:t>
      </w:r>
    </w:p>
    <w:p w:rsidR="002A5A5E" w:rsidRPr="00FC1444" w:rsidRDefault="00611CBA">
      <w:pPr>
        <w:spacing w:line="360" w:lineRule="auto"/>
        <w:ind w:firstLineChars="200" w:firstLine="480"/>
        <w:rPr>
          <w:rFonts w:eastAsiaTheme="minorEastAsia"/>
          <w:sz w:val="24"/>
          <w:szCs w:val="21"/>
        </w:rPr>
      </w:pPr>
      <w:r w:rsidRPr="00FC1444">
        <w:rPr>
          <w:rFonts w:eastAsiaTheme="minorEastAsia"/>
          <w:sz w:val="24"/>
          <w:szCs w:val="21"/>
        </w:rPr>
        <w:t>本工程新建灌溉井参数及位置坐标详见表</w:t>
      </w:r>
      <w:r w:rsidRPr="00FC1444">
        <w:rPr>
          <w:rFonts w:eastAsiaTheme="minorEastAsia"/>
          <w:sz w:val="24"/>
          <w:szCs w:val="21"/>
        </w:rPr>
        <w:t>3-1-</w:t>
      </w:r>
      <w:r w:rsidR="002A51BB" w:rsidRPr="00FC1444">
        <w:rPr>
          <w:rFonts w:eastAsiaTheme="minorEastAsia" w:hint="eastAsia"/>
          <w:sz w:val="24"/>
          <w:szCs w:val="21"/>
        </w:rPr>
        <w:t>9</w:t>
      </w:r>
      <w:r w:rsidRPr="00FC1444">
        <w:rPr>
          <w:rFonts w:eastAsiaTheme="minorEastAsia"/>
          <w:sz w:val="24"/>
          <w:szCs w:val="21"/>
        </w:rPr>
        <w:t>。</w:t>
      </w:r>
    </w:p>
    <w:p w:rsidR="00F74DEA" w:rsidRPr="00FC1444" w:rsidRDefault="00F74DEA">
      <w:pPr>
        <w:contextualSpacing/>
        <w:jc w:val="center"/>
        <w:rPr>
          <w:rFonts w:eastAsiaTheme="minorEastAsia"/>
          <w:b/>
          <w:kern w:val="0"/>
          <w:szCs w:val="21"/>
        </w:rPr>
      </w:pPr>
    </w:p>
    <w:p w:rsidR="00F74DEA" w:rsidRPr="00FC1444" w:rsidRDefault="00F74DEA">
      <w:pPr>
        <w:contextualSpacing/>
        <w:jc w:val="center"/>
        <w:rPr>
          <w:rFonts w:eastAsiaTheme="minorEastAsia"/>
          <w:b/>
          <w:kern w:val="0"/>
          <w:szCs w:val="21"/>
        </w:rPr>
      </w:pPr>
    </w:p>
    <w:p w:rsidR="00386D57" w:rsidRPr="00FC1444" w:rsidRDefault="00386D57">
      <w:pPr>
        <w:contextualSpacing/>
        <w:jc w:val="center"/>
        <w:rPr>
          <w:rFonts w:eastAsiaTheme="minorEastAsia"/>
          <w:b/>
          <w:kern w:val="0"/>
          <w:szCs w:val="21"/>
        </w:rPr>
      </w:pPr>
    </w:p>
    <w:p w:rsidR="00386D57" w:rsidRPr="00FC1444" w:rsidRDefault="00386D57">
      <w:pPr>
        <w:contextualSpacing/>
        <w:jc w:val="center"/>
        <w:rPr>
          <w:rFonts w:eastAsiaTheme="minorEastAsia"/>
          <w:b/>
          <w:kern w:val="0"/>
          <w:szCs w:val="21"/>
        </w:rPr>
      </w:pPr>
    </w:p>
    <w:p w:rsidR="00386D57" w:rsidRPr="00FC1444" w:rsidRDefault="00386D57">
      <w:pPr>
        <w:contextualSpacing/>
        <w:jc w:val="center"/>
        <w:rPr>
          <w:rFonts w:eastAsiaTheme="minorEastAsia"/>
          <w:b/>
          <w:kern w:val="0"/>
          <w:szCs w:val="21"/>
        </w:rPr>
      </w:pPr>
    </w:p>
    <w:p w:rsidR="00F74DEA" w:rsidRPr="00FC1444" w:rsidRDefault="00F74DEA">
      <w:pPr>
        <w:contextualSpacing/>
        <w:jc w:val="center"/>
        <w:rPr>
          <w:rFonts w:eastAsiaTheme="minorEastAsia"/>
          <w:b/>
          <w:kern w:val="0"/>
          <w:szCs w:val="21"/>
        </w:rPr>
      </w:pPr>
    </w:p>
    <w:p w:rsidR="007D62F3" w:rsidRPr="00FC1444" w:rsidRDefault="007D62F3">
      <w:pPr>
        <w:contextualSpacing/>
        <w:jc w:val="center"/>
        <w:rPr>
          <w:rFonts w:eastAsiaTheme="minorEastAsia"/>
          <w:b/>
          <w:kern w:val="0"/>
          <w:szCs w:val="21"/>
        </w:rPr>
      </w:pPr>
    </w:p>
    <w:p w:rsidR="00DC2B3B" w:rsidRPr="00FC1444" w:rsidRDefault="00DC2B3B">
      <w:pPr>
        <w:contextualSpacing/>
        <w:jc w:val="center"/>
        <w:rPr>
          <w:rFonts w:eastAsiaTheme="minorEastAsia"/>
          <w:b/>
          <w:kern w:val="0"/>
          <w:szCs w:val="21"/>
        </w:rPr>
      </w:pPr>
    </w:p>
    <w:p w:rsidR="007D62F3" w:rsidRPr="00FC1444" w:rsidRDefault="007D62F3">
      <w:pPr>
        <w:contextualSpacing/>
        <w:jc w:val="center"/>
        <w:rPr>
          <w:rFonts w:eastAsiaTheme="minorEastAsia"/>
          <w:b/>
          <w:kern w:val="0"/>
          <w:szCs w:val="21"/>
        </w:rPr>
      </w:pPr>
    </w:p>
    <w:p w:rsidR="007D62F3" w:rsidRPr="00FC1444" w:rsidRDefault="007D62F3">
      <w:pPr>
        <w:contextualSpacing/>
        <w:jc w:val="center"/>
        <w:rPr>
          <w:rFonts w:eastAsiaTheme="minorEastAsia"/>
          <w:b/>
          <w:kern w:val="0"/>
          <w:szCs w:val="21"/>
        </w:rPr>
      </w:pPr>
    </w:p>
    <w:p w:rsidR="00F74DEA" w:rsidRPr="00FC1444" w:rsidRDefault="00F74DEA">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3-1-</w:t>
      </w:r>
      <w:r w:rsidR="002A51BB" w:rsidRPr="00FC1444">
        <w:rPr>
          <w:rFonts w:eastAsiaTheme="minorEastAsia" w:hint="eastAsia"/>
          <w:b/>
          <w:kern w:val="0"/>
          <w:szCs w:val="21"/>
        </w:rPr>
        <w:t>9</w:t>
      </w:r>
      <w:r w:rsidRPr="00FC1444">
        <w:rPr>
          <w:rFonts w:eastAsiaTheme="minorEastAsia"/>
          <w:b/>
          <w:kern w:val="0"/>
          <w:szCs w:val="21"/>
        </w:rPr>
        <w:t>新建灌溉井参数及位置表</w:t>
      </w:r>
    </w:p>
    <w:tbl>
      <w:tblPr>
        <w:tblW w:w="4556" w:type="pct"/>
        <w:jc w:val="center"/>
        <w:tblBorders>
          <w:top w:val="single" w:sz="12" w:space="0" w:color="000000"/>
          <w:bottom w:val="single" w:sz="12" w:space="0" w:color="000000"/>
          <w:insideH w:val="single" w:sz="4" w:space="0" w:color="000000"/>
          <w:insideV w:val="single" w:sz="4" w:space="0" w:color="000000"/>
        </w:tblBorders>
        <w:tblLook w:val="04A0"/>
      </w:tblPr>
      <w:tblGrid>
        <w:gridCol w:w="397"/>
        <w:gridCol w:w="459"/>
        <w:gridCol w:w="553"/>
        <w:gridCol w:w="1348"/>
        <w:gridCol w:w="1239"/>
        <w:gridCol w:w="1350"/>
        <w:gridCol w:w="759"/>
        <w:gridCol w:w="728"/>
        <w:gridCol w:w="932"/>
      </w:tblGrid>
      <w:tr w:rsidR="005A3477" w:rsidRPr="00FC1444" w:rsidTr="005A3477">
        <w:trPr>
          <w:trHeight w:val="270"/>
          <w:jc w:val="center"/>
        </w:trPr>
        <w:tc>
          <w:tcPr>
            <w:tcW w:w="256" w:type="pct"/>
            <w:vMerge w:val="restart"/>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序号</w:t>
            </w:r>
          </w:p>
        </w:tc>
        <w:tc>
          <w:tcPr>
            <w:tcW w:w="296" w:type="pct"/>
            <w:vMerge w:val="restart"/>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片区</w:t>
            </w:r>
          </w:p>
        </w:tc>
        <w:tc>
          <w:tcPr>
            <w:tcW w:w="356" w:type="pct"/>
            <w:vMerge w:val="restart"/>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村屯名称</w:t>
            </w:r>
          </w:p>
        </w:tc>
        <w:tc>
          <w:tcPr>
            <w:tcW w:w="868" w:type="pct"/>
            <w:vMerge w:val="restart"/>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新建井名称</w:t>
            </w:r>
          </w:p>
        </w:tc>
        <w:tc>
          <w:tcPr>
            <w:tcW w:w="1666" w:type="pct"/>
            <w:gridSpan w:val="2"/>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位置</w:t>
            </w:r>
          </w:p>
        </w:tc>
        <w:tc>
          <w:tcPr>
            <w:tcW w:w="489" w:type="pct"/>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数量</w:t>
            </w:r>
          </w:p>
        </w:tc>
        <w:tc>
          <w:tcPr>
            <w:tcW w:w="469" w:type="pct"/>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井深</w:t>
            </w:r>
          </w:p>
        </w:tc>
        <w:tc>
          <w:tcPr>
            <w:tcW w:w="600" w:type="pct"/>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单井出水量</w:t>
            </w:r>
          </w:p>
        </w:tc>
      </w:tr>
      <w:tr w:rsidR="005A3477" w:rsidRPr="00FC1444" w:rsidTr="005A3477">
        <w:trPr>
          <w:trHeight w:val="285"/>
          <w:jc w:val="center"/>
        </w:trPr>
        <w:tc>
          <w:tcPr>
            <w:tcW w:w="256" w:type="pct"/>
            <w:vMerge/>
            <w:vAlign w:val="center"/>
          </w:tcPr>
          <w:p w:rsidR="005A3477" w:rsidRPr="00FC1444" w:rsidRDefault="005A3477">
            <w:pPr>
              <w:widowControl/>
              <w:autoSpaceDE w:val="0"/>
              <w:adjustRightInd w:val="0"/>
              <w:snapToGrid w:val="0"/>
              <w:jc w:val="center"/>
              <w:rPr>
                <w:rFonts w:eastAsiaTheme="minorEastAsia"/>
                <w:b/>
                <w:bCs/>
                <w:sz w:val="18"/>
                <w:szCs w:val="18"/>
              </w:rPr>
            </w:pPr>
          </w:p>
        </w:tc>
        <w:tc>
          <w:tcPr>
            <w:tcW w:w="296" w:type="pct"/>
            <w:vMerge/>
            <w:vAlign w:val="center"/>
          </w:tcPr>
          <w:p w:rsidR="005A3477" w:rsidRPr="00FC1444" w:rsidRDefault="005A3477">
            <w:pPr>
              <w:widowControl/>
              <w:autoSpaceDE w:val="0"/>
              <w:adjustRightInd w:val="0"/>
              <w:snapToGrid w:val="0"/>
              <w:jc w:val="center"/>
              <w:rPr>
                <w:rFonts w:eastAsiaTheme="minorEastAsia"/>
                <w:b/>
                <w:bCs/>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b/>
                <w:bCs/>
                <w:sz w:val="18"/>
                <w:szCs w:val="18"/>
              </w:rPr>
            </w:pPr>
          </w:p>
        </w:tc>
        <w:tc>
          <w:tcPr>
            <w:tcW w:w="868" w:type="pct"/>
            <w:vMerge/>
            <w:vAlign w:val="center"/>
          </w:tcPr>
          <w:p w:rsidR="005A3477" w:rsidRPr="00FC1444" w:rsidRDefault="005A3477">
            <w:pPr>
              <w:widowControl/>
              <w:autoSpaceDE w:val="0"/>
              <w:adjustRightInd w:val="0"/>
              <w:snapToGrid w:val="0"/>
              <w:jc w:val="center"/>
              <w:rPr>
                <w:rFonts w:eastAsiaTheme="minorEastAsia"/>
                <w:b/>
                <w:bCs/>
                <w:sz w:val="18"/>
                <w:szCs w:val="18"/>
              </w:rPr>
            </w:pPr>
          </w:p>
        </w:tc>
        <w:tc>
          <w:tcPr>
            <w:tcW w:w="798" w:type="pct"/>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X</w:t>
            </w:r>
            <w:r w:rsidRPr="00FC1444">
              <w:rPr>
                <w:rFonts w:eastAsiaTheme="minorEastAsia"/>
                <w:b/>
                <w:bCs/>
                <w:kern w:val="0"/>
                <w:sz w:val="18"/>
                <w:szCs w:val="18"/>
              </w:rPr>
              <w:t>坐标</w:t>
            </w:r>
          </w:p>
        </w:tc>
        <w:tc>
          <w:tcPr>
            <w:tcW w:w="869" w:type="pct"/>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Y</w:t>
            </w:r>
            <w:r w:rsidRPr="00FC1444">
              <w:rPr>
                <w:rFonts w:eastAsiaTheme="minorEastAsia"/>
                <w:b/>
                <w:bCs/>
                <w:kern w:val="0"/>
                <w:sz w:val="18"/>
                <w:szCs w:val="18"/>
              </w:rPr>
              <w:t>坐标</w:t>
            </w:r>
          </w:p>
        </w:tc>
        <w:tc>
          <w:tcPr>
            <w:tcW w:w="489" w:type="pct"/>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（眼）</w:t>
            </w:r>
          </w:p>
        </w:tc>
        <w:tc>
          <w:tcPr>
            <w:tcW w:w="469" w:type="pct"/>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w:t>
            </w:r>
            <w:r w:rsidRPr="00FC1444">
              <w:rPr>
                <w:rFonts w:eastAsiaTheme="minorEastAsia"/>
                <w:b/>
                <w:bCs/>
                <w:kern w:val="0"/>
                <w:sz w:val="18"/>
                <w:szCs w:val="18"/>
              </w:rPr>
              <w:t>m</w:t>
            </w:r>
            <w:r w:rsidRPr="00FC1444">
              <w:rPr>
                <w:rFonts w:eastAsiaTheme="minorEastAsia"/>
                <w:b/>
                <w:bCs/>
                <w:kern w:val="0"/>
                <w:sz w:val="18"/>
                <w:szCs w:val="18"/>
              </w:rPr>
              <w:t>）</w:t>
            </w:r>
          </w:p>
        </w:tc>
        <w:tc>
          <w:tcPr>
            <w:tcW w:w="600" w:type="pct"/>
            <w:vAlign w:val="center"/>
            <w:hideMark/>
          </w:tcPr>
          <w:p w:rsidR="005A3477" w:rsidRPr="00FC1444" w:rsidRDefault="005A3477">
            <w:pPr>
              <w:widowControl/>
              <w:autoSpaceDE w:val="0"/>
              <w:adjustRightInd w:val="0"/>
              <w:snapToGrid w:val="0"/>
              <w:jc w:val="center"/>
              <w:textAlignment w:val="center"/>
              <w:rPr>
                <w:rFonts w:eastAsiaTheme="minorEastAsia"/>
                <w:b/>
                <w:bCs/>
                <w:sz w:val="18"/>
                <w:szCs w:val="18"/>
              </w:rPr>
            </w:pPr>
            <w:r w:rsidRPr="00FC1444">
              <w:rPr>
                <w:rFonts w:eastAsiaTheme="minorEastAsia"/>
                <w:b/>
                <w:bCs/>
                <w:kern w:val="0"/>
                <w:sz w:val="18"/>
                <w:szCs w:val="18"/>
              </w:rPr>
              <w:t>（</w:t>
            </w:r>
            <w:r w:rsidRPr="00FC1444">
              <w:rPr>
                <w:rFonts w:eastAsiaTheme="minorEastAsia"/>
                <w:b/>
                <w:bCs/>
                <w:kern w:val="0"/>
                <w:sz w:val="18"/>
                <w:szCs w:val="18"/>
              </w:rPr>
              <w:t>m³/h</w:t>
            </w:r>
            <w:r w:rsidRPr="00FC1444">
              <w:rPr>
                <w:rFonts w:eastAsiaTheme="minorEastAsia"/>
                <w:b/>
                <w:bCs/>
                <w:kern w:val="0"/>
                <w:sz w:val="18"/>
                <w:szCs w:val="18"/>
              </w:rPr>
              <w:t>）</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296" w:type="pct"/>
            <w:vMerge w:val="restart"/>
            <w:vAlign w:val="center"/>
            <w:hideMark/>
          </w:tcPr>
          <w:p w:rsidR="005A3477" w:rsidRPr="00FC1444" w:rsidRDefault="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津河片区</w:t>
            </w:r>
          </w:p>
        </w:tc>
        <w:tc>
          <w:tcPr>
            <w:tcW w:w="356" w:type="pct"/>
            <w:vMerge w:val="restart"/>
            <w:vAlign w:val="center"/>
            <w:hideMark/>
          </w:tcPr>
          <w:p w:rsidR="005A3477" w:rsidRPr="00FC1444" w:rsidRDefault="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民胜村</w:t>
            </w: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584286.638</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5178831.062</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2</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584684.487</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5177840.949</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583120.8</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5179138.679</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4</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583871.821</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5179657.951</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5</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584474.602</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5180410.811</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6</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584525.639</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5179804.347</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7</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583213.52</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5178527.541</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8</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8</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583254.055</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5177909.998</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9</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9</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584300.297</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5176356.13</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10</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584305.263</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5176184.652</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11</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11</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584483.113</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5175898.837</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12</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12</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584006.358</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5175585.744</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13</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13</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584552.766</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5175554.849</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14</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restart"/>
            <w:vAlign w:val="center"/>
          </w:tcPr>
          <w:p w:rsidR="005A3477" w:rsidRPr="00FC1444" w:rsidRDefault="005A3477">
            <w:pPr>
              <w:widowControl/>
              <w:autoSpaceDE w:val="0"/>
              <w:adjustRightInd w:val="0"/>
              <w:snapToGrid w:val="0"/>
              <w:jc w:val="center"/>
              <w:rPr>
                <w:rFonts w:eastAsiaTheme="minorEastAsia"/>
                <w:sz w:val="18"/>
                <w:szCs w:val="18"/>
              </w:rPr>
            </w:pPr>
            <w:r w:rsidRPr="00FC1444">
              <w:rPr>
                <w:rFonts w:eastAsiaTheme="minorEastAsia"/>
                <w:sz w:val="18"/>
                <w:szCs w:val="18"/>
              </w:rPr>
              <w:t>津河村</w:t>
            </w: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14</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586190.557</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5178621.394</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15</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15</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586557.839</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5178780.983</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16</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16</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586927.265</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5178932.753</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17</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17</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587295.915</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5179084.218</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18</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18</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587055.732</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5177068.841</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19</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19</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587492.139</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5177430.234</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20</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20</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588106.92</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5178049.456</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21</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restart"/>
            <w:vAlign w:val="center"/>
          </w:tcPr>
          <w:p w:rsidR="005A3477" w:rsidRPr="00FC1444" w:rsidRDefault="005A3477">
            <w:pPr>
              <w:widowControl/>
              <w:autoSpaceDE w:val="0"/>
              <w:adjustRightInd w:val="0"/>
              <w:snapToGrid w:val="0"/>
              <w:jc w:val="center"/>
              <w:rPr>
                <w:rFonts w:eastAsiaTheme="minorEastAsia"/>
                <w:sz w:val="18"/>
                <w:szCs w:val="18"/>
              </w:rPr>
            </w:pPr>
            <w:r w:rsidRPr="00FC1444">
              <w:rPr>
                <w:rFonts w:eastAsiaTheme="minorEastAsia"/>
                <w:sz w:val="18"/>
                <w:szCs w:val="18"/>
              </w:rPr>
              <w:t>靠河村</w:t>
            </w: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21</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588139.494</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5179694.817</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22</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22</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588229.258</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5179766.535</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23</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23</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588406.211</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5179540.969</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24</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24</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588415.895</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5180164.792</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25</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25</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588422.373</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5180051.886</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26</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26</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588420.13</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5179911.773</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27</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27</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588413.174</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5179806.327</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28</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28</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588407.282</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5179732.98</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29</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29</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588507.327</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5179600.495</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30</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588751.794</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5179489.657</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31</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31</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588602.924</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5179637.871</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32</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32</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588625.423</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5179842.967</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33</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33</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588724.105</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5179948.846</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34</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34</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588804.84</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5180062.021</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35</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35</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588908.216</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5180182.681</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5A3477" w:rsidRPr="00FC1444" w:rsidTr="005A3477">
        <w:trPr>
          <w:trHeight w:val="300"/>
          <w:jc w:val="center"/>
        </w:trPr>
        <w:tc>
          <w:tcPr>
            <w:tcW w:w="256" w:type="pct"/>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36</w:t>
            </w:r>
          </w:p>
        </w:tc>
        <w:tc>
          <w:tcPr>
            <w:tcW w:w="29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FC1444"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36</w:t>
            </w:r>
          </w:p>
        </w:tc>
        <w:tc>
          <w:tcPr>
            <w:tcW w:w="798"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588932.823</w:t>
            </w:r>
          </w:p>
        </w:tc>
        <w:tc>
          <w:tcPr>
            <w:tcW w:w="869" w:type="pct"/>
            <w:noWrap/>
            <w:vAlign w:val="center"/>
            <w:hideMark/>
          </w:tcPr>
          <w:p w:rsidR="005A3477" w:rsidRPr="00FC1444" w:rsidRDefault="005A3477" w:rsidP="005A3477">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5180348.355</w:t>
            </w:r>
          </w:p>
        </w:tc>
        <w:tc>
          <w:tcPr>
            <w:tcW w:w="489"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9" w:type="pct"/>
            <w:noWrap/>
            <w:vAlign w:val="center"/>
            <w:hideMark/>
          </w:tcPr>
          <w:p w:rsidR="005A3477" w:rsidRPr="00FC1444" w:rsidRDefault="005A3477"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600" w:type="pct"/>
            <w:noWrap/>
            <w:vAlign w:val="center"/>
            <w:hideMark/>
          </w:tcPr>
          <w:p w:rsidR="005A3477" w:rsidRPr="00FC1444" w:rsidRDefault="005A3477">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bl>
    <w:p w:rsidR="00AB10DD" w:rsidRPr="00FC1444" w:rsidRDefault="00AB10DD" w:rsidP="00297C54">
      <w:pPr>
        <w:contextualSpacing/>
        <w:jc w:val="center"/>
        <w:rPr>
          <w:rFonts w:eastAsiaTheme="minorEastAsia"/>
          <w:b/>
          <w:kern w:val="0"/>
          <w:szCs w:val="21"/>
        </w:rPr>
      </w:pPr>
    </w:p>
    <w:p w:rsidR="00AB10DD" w:rsidRPr="00FC1444" w:rsidRDefault="00AB10DD" w:rsidP="00297C54">
      <w:pPr>
        <w:contextualSpacing/>
        <w:jc w:val="center"/>
        <w:rPr>
          <w:rFonts w:eastAsiaTheme="minorEastAsia"/>
          <w:b/>
          <w:kern w:val="0"/>
          <w:szCs w:val="21"/>
        </w:rPr>
      </w:pPr>
    </w:p>
    <w:p w:rsidR="00AB10DD" w:rsidRPr="00FC1444" w:rsidRDefault="00AB10DD" w:rsidP="00297C54">
      <w:pPr>
        <w:contextualSpacing/>
        <w:jc w:val="center"/>
        <w:rPr>
          <w:rFonts w:eastAsiaTheme="minorEastAsia"/>
          <w:b/>
          <w:kern w:val="0"/>
          <w:szCs w:val="21"/>
        </w:rPr>
      </w:pPr>
    </w:p>
    <w:p w:rsidR="00AB10DD" w:rsidRPr="00FC1444" w:rsidRDefault="00AB10DD" w:rsidP="00297C54">
      <w:pPr>
        <w:contextualSpacing/>
        <w:jc w:val="center"/>
        <w:rPr>
          <w:rFonts w:eastAsiaTheme="minorEastAsia"/>
          <w:b/>
          <w:kern w:val="0"/>
          <w:szCs w:val="21"/>
        </w:rPr>
      </w:pPr>
    </w:p>
    <w:p w:rsidR="00297C54" w:rsidRPr="00FC1444" w:rsidRDefault="00297C54" w:rsidP="00297C54">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3-1-</w:t>
      </w:r>
      <w:r w:rsidR="002A51BB" w:rsidRPr="00FC1444">
        <w:rPr>
          <w:rFonts w:eastAsiaTheme="minorEastAsia" w:hint="eastAsia"/>
          <w:b/>
          <w:kern w:val="0"/>
          <w:szCs w:val="21"/>
        </w:rPr>
        <w:t>9</w:t>
      </w:r>
      <w:r w:rsidRPr="00FC1444">
        <w:rPr>
          <w:rFonts w:eastAsiaTheme="minorEastAsia"/>
          <w:b/>
          <w:kern w:val="0"/>
          <w:szCs w:val="21"/>
        </w:rPr>
        <w:t>新建灌溉井参数及位置表</w:t>
      </w:r>
    </w:p>
    <w:tbl>
      <w:tblPr>
        <w:tblW w:w="4556" w:type="pct"/>
        <w:jc w:val="center"/>
        <w:tblBorders>
          <w:top w:val="single" w:sz="12" w:space="0" w:color="000000"/>
          <w:bottom w:val="single" w:sz="12" w:space="0" w:color="000000"/>
          <w:insideH w:val="single" w:sz="4" w:space="0" w:color="000000"/>
          <w:insideV w:val="single" w:sz="4" w:space="0" w:color="000000"/>
        </w:tblBorders>
        <w:tblLook w:val="04A0"/>
      </w:tblPr>
      <w:tblGrid>
        <w:gridCol w:w="432"/>
        <w:gridCol w:w="494"/>
        <w:gridCol w:w="584"/>
        <w:gridCol w:w="1378"/>
        <w:gridCol w:w="1261"/>
        <w:gridCol w:w="1371"/>
        <w:gridCol w:w="700"/>
        <w:gridCol w:w="671"/>
        <w:gridCol w:w="874"/>
      </w:tblGrid>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37</w:t>
            </w:r>
          </w:p>
        </w:tc>
        <w:tc>
          <w:tcPr>
            <w:tcW w:w="318" w:type="pct"/>
            <w:vMerge w:val="restart"/>
            <w:vAlign w:val="center"/>
          </w:tcPr>
          <w:p w:rsidR="00206748" w:rsidRPr="00FC1444" w:rsidRDefault="00206748" w:rsidP="00E268F3">
            <w:pPr>
              <w:autoSpaceDE w:val="0"/>
              <w:adjustRightInd w:val="0"/>
              <w:snapToGrid w:val="0"/>
              <w:jc w:val="center"/>
              <w:rPr>
                <w:rFonts w:eastAsiaTheme="minorEastAsia"/>
                <w:sz w:val="18"/>
                <w:szCs w:val="18"/>
              </w:rPr>
            </w:pPr>
            <w:r w:rsidRPr="00FC1444">
              <w:rPr>
                <w:rFonts w:eastAsiaTheme="minorEastAsia"/>
                <w:kern w:val="0"/>
                <w:sz w:val="18"/>
                <w:szCs w:val="18"/>
              </w:rPr>
              <w:t>津河片区</w:t>
            </w:r>
          </w:p>
        </w:tc>
        <w:tc>
          <w:tcPr>
            <w:tcW w:w="376" w:type="pct"/>
            <w:vMerge w:val="restart"/>
            <w:vAlign w:val="center"/>
          </w:tcPr>
          <w:p w:rsidR="00206748" w:rsidRPr="00FC1444" w:rsidRDefault="00206748">
            <w:pPr>
              <w:widowControl/>
              <w:autoSpaceDE w:val="0"/>
              <w:adjustRightInd w:val="0"/>
              <w:snapToGrid w:val="0"/>
              <w:jc w:val="center"/>
              <w:rPr>
                <w:rFonts w:eastAsiaTheme="minorEastAsia"/>
                <w:sz w:val="18"/>
                <w:szCs w:val="18"/>
              </w:rPr>
            </w:pPr>
            <w:r w:rsidRPr="00FC1444">
              <w:rPr>
                <w:rFonts w:eastAsiaTheme="minorEastAsia"/>
                <w:sz w:val="18"/>
                <w:szCs w:val="18"/>
              </w:rPr>
              <w:t>靠河村</w:t>
            </w: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37</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588972.667</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5180481.557</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38</w:t>
            </w:r>
          </w:p>
        </w:tc>
        <w:tc>
          <w:tcPr>
            <w:tcW w:w="318"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38</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589382.873</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5180754.087</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39</w:t>
            </w:r>
          </w:p>
        </w:tc>
        <w:tc>
          <w:tcPr>
            <w:tcW w:w="318"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39</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589658.682</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5180292.323</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40</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40</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589518.409</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5180103.872</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41</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41</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589464.496</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5179924.878</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42</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42</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589296.408</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5179841.455</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43</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43</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589132.757</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5179817.977</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44</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44</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589091.399</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5179759.123</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45</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45</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589127.663</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5179663.817</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46</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46</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590373.319</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5180779.119</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47</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47</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589996.497</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5181140.824</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48</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48</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590378.959</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5181303.474</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49</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49</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589988.39</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5181463.096</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50</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50</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589463.683</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5181851.585</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51</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51</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589439.159</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5181519.04</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52</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52</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588879.523</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5181283.963</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53</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53</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588660.636</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5181193.695</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54</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54</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588381.528</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5181135.441</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55</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55</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588390.009</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5180949.03</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56</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56</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591506.511</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5182762.468</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57</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57</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591234.577</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5183047.45</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58</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58</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591436.286</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5183323.796</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59</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59</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590405.606</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5183059.421</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60</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60</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589848.881</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5183280.836</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61</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61</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589878.656</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5183659.518</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62</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62</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590124.216</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5183746.727</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63</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63</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590497.141</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5183905.503</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64</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64</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590601.383</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5183527.627</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65</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65</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589356.967</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5183266.346</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66</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66</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589317.252</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5182713.267</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67</w:t>
            </w:r>
          </w:p>
        </w:tc>
        <w:tc>
          <w:tcPr>
            <w:tcW w:w="318" w:type="pct"/>
            <w:vMerge/>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p>
        </w:tc>
        <w:tc>
          <w:tcPr>
            <w:tcW w:w="376" w:type="pct"/>
            <w:vMerge/>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67</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590245.111</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5180899.839</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68</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restart"/>
            <w:vAlign w:val="center"/>
          </w:tcPr>
          <w:p w:rsidR="00206748" w:rsidRPr="00FC1444" w:rsidRDefault="00206748">
            <w:pPr>
              <w:widowControl/>
              <w:autoSpaceDE w:val="0"/>
              <w:adjustRightInd w:val="0"/>
              <w:snapToGrid w:val="0"/>
              <w:jc w:val="center"/>
              <w:rPr>
                <w:rFonts w:eastAsiaTheme="minorEastAsia"/>
                <w:sz w:val="18"/>
                <w:szCs w:val="18"/>
              </w:rPr>
            </w:pPr>
            <w:r w:rsidRPr="00FC1444">
              <w:rPr>
                <w:rFonts w:eastAsiaTheme="minorEastAsia"/>
                <w:sz w:val="18"/>
                <w:szCs w:val="18"/>
              </w:rPr>
              <w:t>民胜村</w:t>
            </w: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68</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583231.101</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5178235.602</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69</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69</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584869.877</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5177953.033</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70</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70</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585091.713</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5178045.691</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71</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71</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585932.881</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5179234.318</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278"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72</w:t>
            </w:r>
          </w:p>
        </w:tc>
        <w:tc>
          <w:tcPr>
            <w:tcW w:w="318"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72</w:t>
            </w:r>
          </w:p>
        </w:tc>
        <w:tc>
          <w:tcPr>
            <w:tcW w:w="81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585255.42</w:t>
            </w:r>
          </w:p>
        </w:tc>
        <w:tc>
          <w:tcPr>
            <w:tcW w:w="883"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5179052.796</w:t>
            </w:r>
          </w:p>
        </w:tc>
        <w:tc>
          <w:tcPr>
            <w:tcW w:w="45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3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63"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bl>
    <w:p w:rsidR="00206748" w:rsidRPr="00FC1444" w:rsidRDefault="00206748"/>
    <w:p w:rsidR="00206748" w:rsidRPr="00FC1444" w:rsidRDefault="00206748"/>
    <w:p w:rsidR="00206748" w:rsidRPr="00FC1444" w:rsidRDefault="00206748"/>
    <w:p w:rsidR="00206748" w:rsidRPr="00FC1444" w:rsidRDefault="00206748"/>
    <w:p w:rsidR="00206748" w:rsidRPr="00FC1444" w:rsidRDefault="00206748"/>
    <w:p w:rsidR="00206748" w:rsidRPr="00FC1444" w:rsidRDefault="00206748"/>
    <w:p w:rsidR="00206748" w:rsidRPr="00FC1444" w:rsidRDefault="00206748"/>
    <w:p w:rsidR="00297C54" w:rsidRPr="00FC1444" w:rsidRDefault="00297C54" w:rsidP="00297C54">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3-1-</w:t>
      </w:r>
      <w:r w:rsidR="002A51BB" w:rsidRPr="00FC1444">
        <w:rPr>
          <w:rFonts w:eastAsiaTheme="minorEastAsia" w:hint="eastAsia"/>
          <w:b/>
          <w:kern w:val="0"/>
          <w:szCs w:val="21"/>
        </w:rPr>
        <w:t>9</w:t>
      </w:r>
      <w:r w:rsidRPr="00FC1444">
        <w:rPr>
          <w:rFonts w:eastAsiaTheme="minorEastAsia"/>
          <w:b/>
          <w:kern w:val="0"/>
          <w:szCs w:val="21"/>
        </w:rPr>
        <w:t>新建灌溉井参数及位置表</w:t>
      </w:r>
    </w:p>
    <w:tbl>
      <w:tblPr>
        <w:tblW w:w="4554" w:type="pct"/>
        <w:jc w:val="center"/>
        <w:tblBorders>
          <w:top w:val="single" w:sz="12" w:space="0" w:color="000000"/>
          <w:bottom w:val="single" w:sz="12" w:space="0" w:color="000000"/>
          <w:insideH w:val="single" w:sz="4" w:space="0" w:color="000000"/>
          <w:insideV w:val="single" w:sz="4" w:space="0" w:color="000000"/>
        </w:tblBorders>
        <w:tblLook w:val="04A0"/>
      </w:tblPr>
      <w:tblGrid>
        <w:gridCol w:w="486"/>
        <w:gridCol w:w="532"/>
        <w:gridCol w:w="629"/>
        <w:gridCol w:w="1424"/>
        <w:gridCol w:w="1152"/>
        <w:gridCol w:w="1161"/>
        <w:gridCol w:w="747"/>
        <w:gridCol w:w="717"/>
        <w:gridCol w:w="914"/>
      </w:tblGrid>
      <w:tr w:rsidR="00206748" w:rsidRPr="00FC1444" w:rsidTr="00206748">
        <w:trPr>
          <w:trHeight w:val="300"/>
          <w:jc w:val="center"/>
        </w:trPr>
        <w:tc>
          <w:tcPr>
            <w:tcW w:w="313" w:type="pct"/>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73</w:t>
            </w:r>
          </w:p>
        </w:tc>
        <w:tc>
          <w:tcPr>
            <w:tcW w:w="343" w:type="pct"/>
            <w:vMerge w:val="restart"/>
            <w:vAlign w:val="center"/>
          </w:tcPr>
          <w:p w:rsidR="00206748" w:rsidRPr="00FC1444" w:rsidRDefault="00206748" w:rsidP="00E268F3">
            <w:pPr>
              <w:autoSpaceDE w:val="0"/>
              <w:adjustRightInd w:val="0"/>
              <w:snapToGrid w:val="0"/>
              <w:jc w:val="center"/>
              <w:rPr>
                <w:rFonts w:eastAsiaTheme="minorEastAsia"/>
                <w:sz w:val="18"/>
                <w:szCs w:val="18"/>
              </w:rPr>
            </w:pPr>
            <w:r w:rsidRPr="00FC1444">
              <w:rPr>
                <w:rFonts w:eastAsiaTheme="minorEastAsia"/>
                <w:sz w:val="18"/>
                <w:szCs w:val="18"/>
              </w:rPr>
              <w:t>绥胜片区</w:t>
            </w:r>
          </w:p>
        </w:tc>
        <w:tc>
          <w:tcPr>
            <w:tcW w:w="405" w:type="pct"/>
            <w:vMerge w:val="restart"/>
            <w:vAlign w:val="center"/>
            <w:hideMark/>
          </w:tcPr>
          <w:p w:rsidR="00206748" w:rsidRPr="00FC1444" w:rsidRDefault="00206748" w:rsidP="00E268F3">
            <w:pPr>
              <w:autoSpaceDE w:val="0"/>
              <w:adjustRightInd w:val="0"/>
              <w:snapToGrid w:val="0"/>
              <w:jc w:val="center"/>
              <w:rPr>
                <w:rFonts w:eastAsiaTheme="minorEastAsia"/>
                <w:sz w:val="18"/>
                <w:szCs w:val="18"/>
              </w:rPr>
            </w:pPr>
            <w:r w:rsidRPr="00FC1444">
              <w:rPr>
                <w:rFonts w:eastAsiaTheme="minorEastAsia"/>
                <w:sz w:val="18"/>
                <w:szCs w:val="18"/>
              </w:rPr>
              <w:t>胜利二村</w:t>
            </w: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558214.565</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5151694.359</w:t>
            </w:r>
          </w:p>
        </w:tc>
        <w:tc>
          <w:tcPr>
            <w:tcW w:w="481"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74</w:t>
            </w:r>
          </w:p>
        </w:tc>
        <w:tc>
          <w:tcPr>
            <w:tcW w:w="343"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405" w:type="pct"/>
            <w:vMerge/>
            <w:vAlign w:val="center"/>
            <w:hideMark/>
          </w:tcPr>
          <w:p w:rsidR="00206748" w:rsidRPr="00FC1444"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558512.596</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5151837.011</w:t>
            </w:r>
          </w:p>
        </w:tc>
        <w:tc>
          <w:tcPr>
            <w:tcW w:w="481"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75</w:t>
            </w:r>
          </w:p>
        </w:tc>
        <w:tc>
          <w:tcPr>
            <w:tcW w:w="343"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405" w:type="pct"/>
            <w:vMerge/>
            <w:vAlign w:val="center"/>
            <w:hideMark/>
          </w:tcPr>
          <w:p w:rsidR="00206748" w:rsidRPr="00FC1444"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558852.121</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5152009.737</w:t>
            </w:r>
          </w:p>
        </w:tc>
        <w:tc>
          <w:tcPr>
            <w:tcW w:w="481"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76</w:t>
            </w:r>
          </w:p>
        </w:tc>
        <w:tc>
          <w:tcPr>
            <w:tcW w:w="343"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405" w:type="pct"/>
            <w:vMerge/>
            <w:vAlign w:val="center"/>
            <w:hideMark/>
          </w:tcPr>
          <w:p w:rsidR="00206748" w:rsidRPr="00FC1444"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559166.315</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5152159.961</w:t>
            </w:r>
          </w:p>
        </w:tc>
        <w:tc>
          <w:tcPr>
            <w:tcW w:w="481"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77</w:t>
            </w:r>
          </w:p>
        </w:tc>
        <w:tc>
          <w:tcPr>
            <w:tcW w:w="343"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405" w:type="pct"/>
            <w:vMerge/>
            <w:vAlign w:val="center"/>
            <w:hideMark/>
          </w:tcPr>
          <w:p w:rsidR="00206748" w:rsidRPr="00FC1444"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559481.579</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5152314.928</w:t>
            </w:r>
          </w:p>
        </w:tc>
        <w:tc>
          <w:tcPr>
            <w:tcW w:w="481"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78</w:t>
            </w:r>
          </w:p>
        </w:tc>
        <w:tc>
          <w:tcPr>
            <w:tcW w:w="343"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405" w:type="pct"/>
            <w:vMerge/>
            <w:vAlign w:val="center"/>
            <w:hideMark/>
          </w:tcPr>
          <w:p w:rsidR="00206748" w:rsidRPr="00FC1444"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559795.55</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5152463.739</w:t>
            </w:r>
          </w:p>
        </w:tc>
        <w:tc>
          <w:tcPr>
            <w:tcW w:w="481"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79</w:t>
            </w:r>
          </w:p>
        </w:tc>
        <w:tc>
          <w:tcPr>
            <w:tcW w:w="343"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405" w:type="pct"/>
            <w:vMerge/>
            <w:vAlign w:val="center"/>
            <w:hideMark/>
          </w:tcPr>
          <w:p w:rsidR="00206748" w:rsidRPr="00FC1444"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560113.916</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5152614.249</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80</w:t>
            </w:r>
          </w:p>
        </w:tc>
        <w:tc>
          <w:tcPr>
            <w:tcW w:w="343"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405"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8</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560423.375</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5152778.946</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81</w:t>
            </w:r>
          </w:p>
        </w:tc>
        <w:tc>
          <w:tcPr>
            <w:tcW w:w="343"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405"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9</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560722.534</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5152952.89</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82</w:t>
            </w:r>
          </w:p>
        </w:tc>
        <w:tc>
          <w:tcPr>
            <w:tcW w:w="343"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405" w:type="pct"/>
            <w:vMerge/>
            <w:vAlign w:val="center"/>
          </w:tcPr>
          <w:p w:rsidR="00206748" w:rsidRPr="00FC1444"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10</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561034.581</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5153123.075</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83</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11</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561344.842</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5153345.89</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84</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12</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561625.077</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5153502.948</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85</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13</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561931.73</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5153672.085</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86</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14</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562240.042</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5153838.377</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87</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15</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562601.933</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5153887.658</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88</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16</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562941.128</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5153961.451</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89</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17</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563285.045</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5154045.468</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90</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18</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563619.668</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5154121.815</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91</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19</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563967.374</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5154196.265</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92</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20</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564299.758</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5154268.829</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93</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21</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564590.318</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5154421.497</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94</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22</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564895.203</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5154561.403</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95</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23</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565178.021</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5154895.377</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96</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24</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565516.326</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5155005.608</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97</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25</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565849.873</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5155107.496</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98</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26</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558341.778</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5153723.101</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99</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27</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558700.672</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5153806.338</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28</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559038.148</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5153892.104</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101</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29</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559381.705</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5153965.637</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102</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30</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559719.569</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5154052.161</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103</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31</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560060.417</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5154148.171</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104</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32</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560390.112</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5154257.22</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105</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33</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560723.597</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5154377.197</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106</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34</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561062.918</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5154498.993</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107</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35</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561378.213</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5154603.739</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108</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36</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561709.354</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5154717.894</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109</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37</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562039.113</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5154835.128</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110</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38</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562369.621</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5154958.336</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111</w:t>
            </w:r>
          </w:p>
        </w:tc>
        <w:tc>
          <w:tcPr>
            <w:tcW w:w="343" w:type="pct"/>
            <w:vMerge/>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p>
        </w:tc>
        <w:tc>
          <w:tcPr>
            <w:tcW w:w="405" w:type="pct"/>
            <w:vMerge/>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39</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562695.534</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5155076.896</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112</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40</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563019.414</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5155211.658</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113</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41</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563342.78</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5155345.095</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114</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42</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563668.409</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5155477.136</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206748" w:rsidRPr="00FC1444" w:rsidTr="00206748">
        <w:trPr>
          <w:trHeight w:val="300"/>
          <w:jc w:val="center"/>
        </w:trPr>
        <w:tc>
          <w:tcPr>
            <w:tcW w:w="313" w:type="pct"/>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115</w:t>
            </w:r>
          </w:p>
        </w:tc>
        <w:tc>
          <w:tcPr>
            <w:tcW w:w="343"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FC1444"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43</w:t>
            </w:r>
          </w:p>
        </w:tc>
        <w:tc>
          <w:tcPr>
            <w:tcW w:w="74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563998.767</w:t>
            </w:r>
          </w:p>
        </w:tc>
        <w:tc>
          <w:tcPr>
            <w:tcW w:w="748"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5155608.42</w:t>
            </w:r>
          </w:p>
        </w:tc>
        <w:tc>
          <w:tcPr>
            <w:tcW w:w="481"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62" w:type="pct"/>
            <w:noWrap/>
            <w:vAlign w:val="center"/>
            <w:hideMark/>
          </w:tcPr>
          <w:p w:rsidR="00206748" w:rsidRPr="00FC1444" w:rsidRDefault="00206748"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89" w:type="pct"/>
            <w:noWrap/>
            <w:vAlign w:val="center"/>
            <w:hideMark/>
          </w:tcPr>
          <w:p w:rsidR="00206748" w:rsidRPr="00FC1444" w:rsidRDefault="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bl>
    <w:p w:rsidR="00297C54" w:rsidRPr="00FC1444" w:rsidRDefault="00297C54" w:rsidP="00297C54">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3-1-</w:t>
      </w:r>
      <w:r w:rsidR="002A51BB" w:rsidRPr="00FC1444">
        <w:rPr>
          <w:rFonts w:eastAsiaTheme="minorEastAsia" w:hint="eastAsia"/>
          <w:b/>
          <w:kern w:val="0"/>
          <w:szCs w:val="21"/>
        </w:rPr>
        <w:t>9</w:t>
      </w:r>
      <w:r w:rsidRPr="00FC1444">
        <w:rPr>
          <w:rFonts w:eastAsiaTheme="minorEastAsia"/>
          <w:b/>
          <w:kern w:val="0"/>
          <w:szCs w:val="21"/>
        </w:rPr>
        <w:t>新建灌溉井参数及位置表</w:t>
      </w:r>
    </w:p>
    <w:tbl>
      <w:tblPr>
        <w:tblW w:w="4556" w:type="pct"/>
        <w:jc w:val="center"/>
        <w:tblBorders>
          <w:top w:val="single" w:sz="12" w:space="0" w:color="000000"/>
          <w:bottom w:val="single" w:sz="12" w:space="0" w:color="000000"/>
          <w:insideH w:val="single" w:sz="4" w:space="0" w:color="000000"/>
          <w:insideV w:val="single" w:sz="4" w:space="0" w:color="000000"/>
        </w:tblBorders>
        <w:tblLook w:val="04A0"/>
      </w:tblPr>
      <w:tblGrid>
        <w:gridCol w:w="493"/>
        <w:gridCol w:w="465"/>
        <w:gridCol w:w="579"/>
        <w:gridCol w:w="1371"/>
        <w:gridCol w:w="1261"/>
        <w:gridCol w:w="1371"/>
        <w:gridCol w:w="696"/>
        <w:gridCol w:w="666"/>
        <w:gridCol w:w="863"/>
      </w:tblGrid>
      <w:tr w:rsidR="00902004" w:rsidRPr="00FC1444" w:rsidTr="006D6F76">
        <w:trPr>
          <w:trHeight w:val="300"/>
          <w:jc w:val="center"/>
        </w:trPr>
        <w:tc>
          <w:tcPr>
            <w:tcW w:w="317" w:type="pct"/>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116</w:t>
            </w:r>
          </w:p>
        </w:tc>
        <w:tc>
          <w:tcPr>
            <w:tcW w:w="299" w:type="pct"/>
            <w:vMerge w:val="restart"/>
            <w:vAlign w:val="center"/>
          </w:tcPr>
          <w:p w:rsidR="00902004" w:rsidRPr="00FC1444" w:rsidRDefault="00902004" w:rsidP="00E268F3">
            <w:pPr>
              <w:autoSpaceDE w:val="0"/>
              <w:adjustRightInd w:val="0"/>
              <w:snapToGrid w:val="0"/>
              <w:jc w:val="center"/>
              <w:rPr>
                <w:rFonts w:eastAsiaTheme="minorEastAsia"/>
                <w:sz w:val="18"/>
                <w:szCs w:val="18"/>
              </w:rPr>
            </w:pPr>
            <w:r w:rsidRPr="00FC1444">
              <w:rPr>
                <w:rFonts w:eastAsiaTheme="minorEastAsia"/>
                <w:sz w:val="18"/>
                <w:szCs w:val="18"/>
              </w:rPr>
              <w:t>绥胜片区</w:t>
            </w:r>
          </w:p>
        </w:tc>
        <w:tc>
          <w:tcPr>
            <w:tcW w:w="373" w:type="pct"/>
            <w:vMerge w:val="restart"/>
            <w:vAlign w:val="center"/>
          </w:tcPr>
          <w:p w:rsidR="00902004" w:rsidRPr="00FC1444" w:rsidRDefault="00902004" w:rsidP="00206748">
            <w:pPr>
              <w:autoSpaceDE w:val="0"/>
              <w:adjustRightInd w:val="0"/>
              <w:snapToGrid w:val="0"/>
              <w:jc w:val="center"/>
              <w:rPr>
                <w:rFonts w:eastAsiaTheme="minorEastAsia"/>
                <w:sz w:val="18"/>
                <w:szCs w:val="18"/>
              </w:rPr>
            </w:pPr>
            <w:r w:rsidRPr="00FC1444">
              <w:rPr>
                <w:rFonts w:eastAsiaTheme="minorEastAsia"/>
                <w:sz w:val="18"/>
                <w:szCs w:val="18"/>
              </w:rPr>
              <w:t>胜利二村</w:t>
            </w: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44</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564328.119</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5155716.735</w:t>
            </w:r>
          </w:p>
        </w:tc>
        <w:tc>
          <w:tcPr>
            <w:tcW w:w="448"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117</w:t>
            </w:r>
          </w:p>
        </w:tc>
        <w:tc>
          <w:tcPr>
            <w:tcW w:w="299" w:type="pct"/>
            <w:vMerge/>
            <w:vAlign w:val="center"/>
          </w:tcPr>
          <w:p w:rsidR="00902004" w:rsidRPr="00FC1444" w:rsidRDefault="00902004" w:rsidP="00E268F3">
            <w:pPr>
              <w:autoSpaceDE w:val="0"/>
              <w:adjustRightInd w:val="0"/>
              <w:snapToGrid w:val="0"/>
              <w:jc w:val="center"/>
              <w:rPr>
                <w:rFonts w:eastAsiaTheme="minorEastAsia"/>
                <w:sz w:val="18"/>
                <w:szCs w:val="18"/>
              </w:rPr>
            </w:pPr>
          </w:p>
        </w:tc>
        <w:tc>
          <w:tcPr>
            <w:tcW w:w="373" w:type="pct"/>
            <w:vMerge/>
            <w:vAlign w:val="center"/>
          </w:tcPr>
          <w:p w:rsidR="00902004" w:rsidRPr="00FC1444" w:rsidRDefault="00902004" w:rsidP="00E268F3">
            <w:pPr>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45</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564661.714</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5155831.47</w:t>
            </w:r>
          </w:p>
        </w:tc>
        <w:tc>
          <w:tcPr>
            <w:tcW w:w="448"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118</w:t>
            </w:r>
          </w:p>
        </w:tc>
        <w:tc>
          <w:tcPr>
            <w:tcW w:w="299" w:type="pct"/>
            <w:vMerge/>
            <w:vAlign w:val="center"/>
          </w:tcPr>
          <w:p w:rsidR="00902004" w:rsidRPr="00FC1444" w:rsidRDefault="00902004" w:rsidP="00E268F3">
            <w:pPr>
              <w:autoSpaceDE w:val="0"/>
              <w:adjustRightInd w:val="0"/>
              <w:snapToGrid w:val="0"/>
              <w:jc w:val="center"/>
              <w:rPr>
                <w:rFonts w:eastAsiaTheme="minorEastAsia"/>
                <w:sz w:val="18"/>
                <w:szCs w:val="18"/>
              </w:rPr>
            </w:pPr>
          </w:p>
        </w:tc>
        <w:tc>
          <w:tcPr>
            <w:tcW w:w="373" w:type="pct"/>
            <w:vMerge/>
            <w:vAlign w:val="center"/>
          </w:tcPr>
          <w:p w:rsidR="00902004" w:rsidRPr="00FC1444" w:rsidRDefault="00902004" w:rsidP="00E268F3">
            <w:pPr>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46</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564988.899</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5155938.255</w:t>
            </w:r>
          </w:p>
        </w:tc>
        <w:tc>
          <w:tcPr>
            <w:tcW w:w="448"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119</w:t>
            </w:r>
          </w:p>
        </w:tc>
        <w:tc>
          <w:tcPr>
            <w:tcW w:w="299" w:type="pct"/>
            <w:vMerge/>
            <w:vAlign w:val="center"/>
          </w:tcPr>
          <w:p w:rsidR="00902004" w:rsidRPr="00FC1444" w:rsidRDefault="00902004" w:rsidP="00E268F3">
            <w:pPr>
              <w:autoSpaceDE w:val="0"/>
              <w:adjustRightInd w:val="0"/>
              <w:snapToGrid w:val="0"/>
              <w:jc w:val="center"/>
              <w:rPr>
                <w:rFonts w:eastAsiaTheme="minorEastAsia"/>
                <w:sz w:val="18"/>
                <w:szCs w:val="18"/>
              </w:rPr>
            </w:pPr>
          </w:p>
        </w:tc>
        <w:tc>
          <w:tcPr>
            <w:tcW w:w="373" w:type="pct"/>
            <w:vMerge/>
            <w:vAlign w:val="center"/>
          </w:tcPr>
          <w:p w:rsidR="00902004" w:rsidRPr="00FC1444" w:rsidRDefault="00902004" w:rsidP="00E268F3">
            <w:pPr>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47</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565490.697</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5156100.275</w:t>
            </w:r>
          </w:p>
        </w:tc>
        <w:tc>
          <w:tcPr>
            <w:tcW w:w="448"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120</w:t>
            </w:r>
          </w:p>
        </w:tc>
        <w:tc>
          <w:tcPr>
            <w:tcW w:w="299" w:type="pct"/>
            <w:vMerge/>
            <w:vAlign w:val="center"/>
          </w:tcPr>
          <w:p w:rsidR="00902004" w:rsidRPr="00FC1444" w:rsidRDefault="00902004" w:rsidP="00E268F3">
            <w:pPr>
              <w:autoSpaceDE w:val="0"/>
              <w:adjustRightInd w:val="0"/>
              <w:snapToGrid w:val="0"/>
              <w:jc w:val="center"/>
              <w:rPr>
                <w:rFonts w:eastAsiaTheme="minorEastAsia"/>
                <w:sz w:val="18"/>
                <w:szCs w:val="18"/>
              </w:rPr>
            </w:pPr>
          </w:p>
        </w:tc>
        <w:tc>
          <w:tcPr>
            <w:tcW w:w="373" w:type="pct"/>
            <w:vMerge/>
            <w:vAlign w:val="center"/>
          </w:tcPr>
          <w:p w:rsidR="00902004" w:rsidRPr="00FC1444" w:rsidRDefault="00902004" w:rsidP="00E268F3">
            <w:pPr>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48</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559024.551</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5153290.937</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121</w:t>
            </w:r>
          </w:p>
        </w:tc>
        <w:tc>
          <w:tcPr>
            <w:tcW w:w="299" w:type="pct"/>
            <w:vMerge/>
            <w:vAlign w:val="center"/>
          </w:tcPr>
          <w:p w:rsidR="00902004" w:rsidRPr="00FC1444" w:rsidRDefault="00902004" w:rsidP="00E268F3">
            <w:pPr>
              <w:autoSpaceDE w:val="0"/>
              <w:adjustRightInd w:val="0"/>
              <w:snapToGrid w:val="0"/>
              <w:jc w:val="center"/>
              <w:rPr>
                <w:rFonts w:eastAsiaTheme="minorEastAsia"/>
                <w:sz w:val="18"/>
                <w:szCs w:val="18"/>
              </w:rPr>
            </w:pPr>
          </w:p>
        </w:tc>
        <w:tc>
          <w:tcPr>
            <w:tcW w:w="373" w:type="pct"/>
            <w:vMerge/>
            <w:vAlign w:val="center"/>
          </w:tcPr>
          <w:p w:rsidR="00902004" w:rsidRPr="00FC1444" w:rsidRDefault="00902004" w:rsidP="00E268F3">
            <w:pPr>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49</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559498.665</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5153395.511</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122</w:t>
            </w:r>
          </w:p>
        </w:tc>
        <w:tc>
          <w:tcPr>
            <w:tcW w:w="299" w:type="pct"/>
            <w:vMerge/>
            <w:vAlign w:val="center"/>
          </w:tcPr>
          <w:p w:rsidR="00902004" w:rsidRPr="00FC1444" w:rsidRDefault="00902004" w:rsidP="00E268F3">
            <w:pPr>
              <w:autoSpaceDE w:val="0"/>
              <w:adjustRightInd w:val="0"/>
              <w:snapToGrid w:val="0"/>
              <w:jc w:val="center"/>
              <w:rPr>
                <w:rFonts w:eastAsiaTheme="minorEastAsia"/>
                <w:sz w:val="18"/>
                <w:szCs w:val="18"/>
              </w:rPr>
            </w:pPr>
          </w:p>
        </w:tc>
        <w:tc>
          <w:tcPr>
            <w:tcW w:w="373" w:type="pct"/>
            <w:vMerge/>
            <w:vAlign w:val="center"/>
          </w:tcPr>
          <w:p w:rsidR="00902004" w:rsidRPr="00FC1444" w:rsidRDefault="00902004" w:rsidP="00E268F3">
            <w:pPr>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50</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560726.753</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5153898.02</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123</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51</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561239.909</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5153879.895</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124</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52</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561584.428</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5154039.14</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125</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53</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561841.352</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5154166.908</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126</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54</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562270.291</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5154370.122</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127</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55</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559932.16</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5154732.672</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128</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56</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560201.132</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5154839.561</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129</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57</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560720.602</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5155025.08</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130</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58</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561246.473</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5155225.884</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131</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59</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561746.7</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5155465.854</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132</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60</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562543.453</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5155882.863</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133</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61</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562861.041</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5156193.63</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134</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62</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563315.079</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5156340.916</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135</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63</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563840.209</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5156583.742</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136</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64</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564405.19</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5156640.203</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137</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65</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562713.66</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5155959.904</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138</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66</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563667.802</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5156489.555</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139</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67</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562126.888</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5155668.315</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140</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68</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560581.108</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5154966.044</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141</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69</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564415.821</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5156844.883</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142</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restart"/>
            <w:vAlign w:val="center"/>
          </w:tcPr>
          <w:p w:rsidR="00902004" w:rsidRPr="00FC1444" w:rsidRDefault="00902004">
            <w:pPr>
              <w:widowControl/>
              <w:autoSpaceDE w:val="0"/>
              <w:adjustRightInd w:val="0"/>
              <w:snapToGrid w:val="0"/>
              <w:jc w:val="center"/>
              <w:rPr>
                <w:rFonts w:eastAsiaTheme="minorEastAsia"/>
                <w:sz w:val="18"/>
                <w:szCs w:val="18"/>
              </w:rPr>
            </w:pPr>
            <w:r w:rsidRPr="00FC1444">
              <w:rPr>
                <w:rFonts w:eastAsiaTheme="minorEastAsia"/>
                <w:sz w:val="18"/>
                <w:szCs w:val="18"/>
              </w:rPr>
              <w:t>富强村</w:t>
            </w: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70</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565006.348</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5157258.606</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143</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71</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565247.634</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5157573.949</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144</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72</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565858.292</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5157809.2</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145</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73</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566271.97</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5158013.772</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146</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74</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565196.508</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5158261.586</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147</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75</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564740.383</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5157826.889</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148</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76</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563574.774</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5157044.674</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149</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77</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563408.849</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5156970.726</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150</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78</w:t>
            </w:r>
          </w:p>
        </w:tc>
        <w:tc>
          <w:tcPr>
            <w:tcW w:w="812"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564974.029</w:t>
            </w:r>
          </w:p>
        </w:tc>
        <w:tc>
          <w:tcPr>
            <w:tcW w:w="883"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5158109.3</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151</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79</w:t>
            </w:r>
          </w:p>
        </w:tc>
        <w:tc>
          <w:tcPr>
            <w:tcW w:w="812" w:type="pct"/>
            <w:noWrap/>
            <w:vAlign w:val="center"/>
            <w:hideMark/>
          </w:tcPr>
          <w:p w:rsidR="00902004" w:rsidRPr="00FC1444" w:rsidRDefault="00902004">
            <w:pPr>
              <w:jc w:val="right"/>
              <w:rPr>
                <w:color w:val="000000"/>
                <w:sz w:val="22"/>
                <w:szCs w:val="22"/>
              </w:rPr>
            </w:pPr>
            <w:r w:rsidRPr="00FC1444">
              <w:rPr>
                <w:color w:val="000000"/>
                <w:sz w:val="22"/>
                <w:szCs w:val="22"/>
              </w:rPr>
              <w:t>563142.077</w:t>
            </w:r>
          </w:p>
        </w:tc>
        <w:tc>
          <w:tcPr>
            <w:tcW w:w="883" w:type="pct"/>
            <w:noWrap/>
            <w:vAlign w:val="center"/>
            <w:hideMark/>
          </w:tcPr>
          <w:p w:rsidR="00902004" w:rsidRPr="00FC1444" w:rsidRDefault="00902004">
            <w:pPr>
              <w:jc w:val="right"/>
              <w:rPr>
                <w:color w:val="000000"/>
                <w:sz w:val="22"/>
                <w:szCs w:val="22"/>
              </w:rPr>
            </w:pPr>
            <w:r w:rsidRPr="00FC1444">
              <w:rPr>
                <w:color w:val="000000"/>
                <w:sz w:val="22"/>
                <w:szCs w:val="22"/>
              </w:rPr>
              <w:t>5156829.515</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152</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80</w:t>
            </w:r>
          </w:p>
        </w:tc>
        <w:tc>
          <w:tcPr>
            <w:tcW w:w="812" w:type="pct"/>
            <w:noWrap/>
            <w:vAlign w:val="center"/>
            <w:hideMark/>
          </w:tcPr>
          <w:p w:rsidR="00902004" w:rsidRPr="00FC1444" w:rsidRDefault="00902004">
            <w:pPr>
              <w:jc w:val="right"/>
              <w:rPr>
                <w:color w:val="000000"/>
                <w:sz w:val="22"/>
                <w:szCs w:val="22"/>
              </w:rPr>
            </w:pPr>
            <w:r w:rsidRPr="00FC1444">
              <w:rPr>
                <w:color w:val="000000"/>
                <w:sz w:val="22"/>
                <w:szCs w:val="22"/>
              </w:rPr>
              <w:t>564128.598</w:t>
            </w:r>
          </w:p>
        </w:tc>
        <w:tc>
          <w:tcPr>
            <w:tcW w:w="883" w:type="pct"/>
            <w:noWrap/>
            <w:vAlign w:val="center"/>
            <w:hideMark/>
          </w:tcPr>
          <w:p w:rsidR="00902004" w:rsidRPr="00FC1444" w:rsidRDefault="00902004">
            <w:pPr>
              <w:jc w:val="right"/>
              <w:rPr>
                <w:color w:val="000000"/>
                <w:sz w:val="22"/>
                <w:szCs w:val="22"/>
              </w:rPr>
            </w:pPr>
            <w:r w:rsidRPr="00FC1444">
              <w:rPr>
                <w:color w:val="000000"/>
                <w:sz w:val="22"/>
                <w:szCs w:val="22"/>
              </w:rPr>
              <w:t>5157281.34</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153</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81</w:t>
            </w:r>
          </w:p>
        </w:tc>
        <w:tc>
          <w:tcPr>
            <w:tcW w:w="812" w:type="pct"/>
            <w:noWrap/>
            <w:vAlign w:val="center"/>
            <w:hideMark/>
          </w:tcPr>
          <w:p w:rsidR="00902004" w:rsidRPr="00FC1444" w:rsidRDefault="00902004">
            <w:pPr>
              <w:jc w:val="right"/>
              <w:rPr>
                <w:color w:val="000000"/>
                <w:sz w:val="22"/>
                <w:szCs w:val="22"/>
              </w:rPr>
            </w:pPr>
            <w:r w:rsidRPr="00FC1444">
              <w:rPr>
                <w:color w:val="000000"/>
                <w:sz w:val="22"/>
                <w:szCs w:val="22"/>
              </w:rPr>
              <w:t>563718.581</w:t>
            </w:r>
          </w:p>
        </w:tc>
        <w:tc>
          <w:tcPr>
            <w:tcW w:w="883" w:type="pct"/>
            <w:noWrap/>
            <w:vAlign w:val="center"/>
            <w:hideMark/>
          </w:tcPr>
          <w:p w:rsidR="00902004" w:rsidRPr="00FC1444" w:rsidRDefault="00902004">
            <w:pPr>
              <w:jc w:val="right"/>
              <w:rPr>
                <w:color w:val="000000"/>
                <w:sz w:val="22"/>
                <w:szCs w:val="22"/>
              </w:rPr>
            </w:pPr>
            <w:r w:rsidRPr="00FC1444">
              <w:rPr>
                <w:color w:val="000000"/>
                <w:sz w:val="22"/>
                <w:szCs w:val="22"/>
              </w:rPr>
              <w:t>5157064.952</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154</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82</w:t>
            </w:r>
          </w:p>
        </w:tc>
        <w:tc>
          <w:tcPr>
            <w:tcW w:w="812" w:type="pct"/>
            <w:noWrap/>
            <w:vAlign w:val="center"/>
            <w:hideMark/>
          </w:tcPr>
          <w:p w:rsidR="00902004" w:rsidRPr="00FC1444" w:rsidRDefault="00902004">
            <w:pPr>
              <w:jc w:val="right"/>
              <w:rPr>
                <w:color w:val="000000"/>
                <w:sz w:val="22"/>
                <w:szCs w:val="22"/>
              </w:rPr>
            </w:pPr>
            <w:r w:rsidRPr="00FC1444">
              <w:rPr>
                <w:color w:val="000000"/>
                <w:sz w:val="22"/>
                <w:szCs w:val="22"/>
              </w:rPr>
              <w:t>563040.358</w:t>
            </w:r>
          </w:p>
        </w:tc>
        <w:tc>
          <w:tcPr>
            <w:tcW w:w="883" w:type="pct"/>
            <w:noWrap/>
            <w:vAlign w:val="center"/>
            <w:hideMark/>
          </w:tcPr>
          <w:p w:rsidR="00902004" w:rsidRPr="00FC1444" w:rsidRDefault="00902004">
            <w:pPr>
              <w:jc w:val="right"/>
              <w:rPr>
                <w:color w:val="000000"/>
                <w:sz w:val="22"/>
                <w:szCs w:val="22"/>
              </w:rPr>
            </w:pPr>
            <w:r w:rsidRPr="00FC1444">
              <w:rPr>
                <w:color w:val="000000"/>
                <w:sz w:val="22"/>
                <w:szCs w:val="22"/>
              </w:rPr>
              <w:t>5157824.731</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155</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83</w:t>
            </w:r>
          </w:p>
        </w:tc>
        <w:tc>
          <w:tcPr>
            <w:tcW w:w="812" w:type="pct"/>
            <w:noWrap/>
            <w:vAlign w:val="center"/>
            <w:hideMark/>
          </w:tcPr>
          <w:p w:rsidR="00902004" w:rsidRPr="00FC1444" w:rsidRDefault="00902004">
            <w:pPr>
              <w:jc w:val="right"/>
              <w:rPr>
                <w:color w:val="000000"/>
                <w:sz w:val="22"/>
                <w:szCs w:val="22"/>
              </w:rPr>
            </w:pPr>
            <w:r w:rsidRPr="00FC1444">
              <w:rPr>
                <w:color w:val="000000"/>
                <w:sz w:val="22"/>
                <w:szCs w:val="22"/>
              </w:rPr>
              <w:t>563175.304</w:t>
            </w:r>
          </w:p>
        </w:tc>
        <w:tc>
          <w:tcPr>
            <w:tcW w:w="883" w:type="pct"/>
            <w:noWrap/>
            <w:vAlign w:val="center"/>
            <w:hideMark/>
          </w:tcPr>
          <w:p w:rsidR="00902004" w:rsidRPr="00FC1444" w:rsidRDefault="00902004">
            <w:pPr>
              <w:jc w:val="right"/>
              <w:rPr>
                <w:color w:val="000000"/>
                <w:sz w:val="22"/>
                <w:szCs w:val="22"/>
              </w:rPr>
            </w:pPr>
            <w:r w:rsidRPr="00FC1444">
              <w:rPr>
                <w:color w:val="000000"/>
                <w:sz w:val="22"/>
                <w:szCs w:val="22"/>
              </w:rPr>
              <w:t>5157618.201</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r w:rsidR="00902004" w:rsidRPr="00FC1444" w:rsidTr="006D6F76">
        <w:trPr>
          <w:trHeight w:val="300"/>
          <w:jc w:val="center"/>
        </w:trPr>
        <w:tc>
          <w:tcPr>
            <w:tcW w:w="317" w:type="pct"/>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156</w:t>
            </w:r>
          </w:p>
        </w:tc>
        <w:tc>
          <w:tcPr>
            <w:tcW w:w="299"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FC1444"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FC1444" w:rsidRDefault="00902004">
            <w:pPr>
              <w:widowControl/>
              <w:autoSpaceDE w:val="0"/>
              <w:adjustRightInd w:val="0"/>
              <w:snapToGrid w:val="0"/>
              <w:jc w:val="center"/>
              <w:textAlignment w:val="center"/>
              <w:rPr>
                <w:rFonts w:eastAsiaTheme="minorEastAsia"/>
                <w:kern w:val="0"/>
                <w:sz w:val="18"/>
                <w:szCs w:val="18"/>
              </w:rPr>
            </w:pPr>
            <w:r w:rsidRPr="00FC1444">
              <w:rPr>
                <w:rFonts w:eastAsiaTheme="minorEastAsia"/>
                <w:kern w:val="0"/>
                <w:sz w:val="18"/>
                <w:szCs w:val="18"/>
              </w:rPr>
              <w:t>井</w:t>
            </w:r>
            <w:r w:rsidRPr="00FC1444">
              <w:rPr>
                <w:rFonts w:eastAsiaTheme="minorEastAsia"/>
                <w:kern w:val="0"/>
                <w:sz w:val="18"/>
                <w:szCs w:val="18"/>
              </w:rPr>
              <w:t>84</w:t>
            </w:r>
          </w:p>
        </w:tc>
        <w:tc>
          <w:tcPr>
            <w:tcW w:w="812" w:type="pct"/>
            <w:noWrap/>
            <w:vAlign w:val="center"/>
            <w:hideMark/>
          </w:tcPr>
          <w:p w:rsidR="00902004" w:rsidRPr="00FC1444" w:rsidRDefault="00902004">
            <w:pPr>
              <w:jc w:val="right"/>
              <w:rPr>
                <w:color w:val="000000"/>
                <w:sz w:val="22"/>
                <w:szCs w:val="22"/>
              </w:rPr>
            </w:pPr>
            <w:r w:rsidRPr="00FC1444">
              <w:rPr>
                <w:color w:val="000000"/>
                <w:sz w:val="22"/>
                <w:szCs w:val="22"/>
              </w:rPr>
              <w:t>563252.202</w:t>
            </w:r>
          </w:p>
        </w:tc>
        <w:tc>
          <w:tcPr>
            <w:tcW w:w="883" w:type="pct"/>
            <w:noWrap/>
            <w:vAlign w:val="center"/>
            <w:hideMark/>
          </w:tcPr>
          <w:p w:rsidR="00902004" w:rsidRPr="00FC1444" w:rsidRDefault="00902004">
            <w:pPr>
              <w:jc w:val="right"/>
              <w:rPr>
                <w:color w:val="000000"/>
                <w:sz w:val="22"/>
                <w:szCs w:val="22"/>
              </w:rPr>
            </w:pPr>
            <w:r w:rsidRPr="00FC1444">
              <w:rPr>
                <w:color w:val="000000"/>
                <w:sz w:val="22"/>
                <w:szCs w:val="22"/>
              </w:rPr>
              <w:t>5157307.29</w:t>
            </w:r>
          </w:p>
        </w:tc>
        <w:tc>
          <w:tcPr>
            <w:tcW w:w="448"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w:t>
            </w:r>
          </w:p>
        </w:tc>
        <w:tc>
          <w:tcPr>
            <w:tcW w:w="429" w:type="pct"/>
            <w:noWrap/>
            <w:vAlign w:val="center"/>
            <w:hideMark/>
          </w:tcPr>
          <w:p w:rsidR="00902004" w:rsidRPr="00FC1444" w:rsidRDefault="00902004" w:rsidP="00206748">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100</w:t>
            </w:r>
          </w:p>
        </w:tc>
        <w:tc>
          <w:tcPr>
            <w:tcW w:w="556" w:type="pct"/>
            <w:noWrap/>
            <w:vAlign w:val="center"/>
            <w:hideMark/>
          </w:tcPr>
          <w:p w:rsidR="00902004" w:rsidRPr="00FC1444" w:rsidRDefault="00902004">
            <w:pPr>
              <w:widowControl/>
              <w:autoSpaceDE w:val="0"/>
              <w:adjustRightInd w:val="0"/>
              <w:snapToGrid w:val="0"/>
              <w:jc w:val="center"/>
              <w:textAlignment w:val="center"/>
              <w:rPr>
                <w:rFonts w:eastAsiaTheme="minorEastAsia"/>
                <w:sz w:val="18"/>
                <w:szCs w:val="18"/>
              </w:rPr>
            </w:pPr>
            <w:r w:rsidRPr="00FC1444">
              <w:rPr>
                <w:rFonts w:eastAsiaTheme="minorEastAsia"/>
                <w:kern w:val="0"/>
                <w:sz w:val="18"/>
                <w:szCs w:val="18"/>
              </w:rPr>
              <w:t>30</w:t>
            </w:r>
          </w:p>
        </w:tc>
      </w:tr>
    </w:tbl>
    <w:p w:rsidR="006D6F76" w:rsidRPr="00FC1444" w:rsidRDefault="006D6F76" w:rsidP="006D6F76">
      <w:pPr>
        <w:autoSpaceDE w:val="0"/>
        <w:autoSpaceDN w:val="0"/>
        <w:spacing w:line="360" w:lineRule="auto"/>
        <w:rPr>
          <w:rFonts w:ascii="宋体" w:hAnsi="宋体" w:cs="宋体"/>
          <w:sz w:val="24"/>
        </w:rPr>
      </w:pPr>
      <w:r w:rsidRPr="00FC1444">
        <w:rPr>
          <w:rFonts w:ascii="宋体" w:hAnsi="宋体" w:cs="宋体" w:hint="eastAsia"/>
          <w:noProof/>
          <w:sz w:val="24"/>
        </w:rPr>
        <w:lastRenderedPageBreak/>
        <w:drawing>
          <wp:inline distT="0" distB="0" distL="0" distR="0">
            <wp:extent cx="5274310" cy="3657120"/>
            <wp:effectExtent l="19050" t="19050" r="21590" b="19530"/>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srcRect/>
                    <a:stretch>
                      <a:fillRect/>
                    </a:stretch>
                  </pic:blipFill>
                  <pic:spPr bwMode="auto">
                    <a:xfrm>
                      <a:off x="0" y="0"/>
                      <a:ext cx="5274310" cy="3657120"/>
                    </a:xfrm>
                    <a:prstGeom prst="rect">
                      <a:avLst/>
                    </a:prstGeom>
                    <a:noFill/>
                    <a:ln w="9525">
                      <a:solidFill>
                        <a:schemeClr val="tx1"/>
                      </a:solidFill>
                      <a:miter lim="800000"/>
                      <a:headEnd/>
                      <a:tailEnd/>
                    </a:ln>
                  </pic:spPr>
                </pic:pic>
              </a:graphicData>
            </a:graphic>
          </wp:inline>
        </w:drawing>
      </w:r>
    </w:p>
    <w:p w:rsidR="006D6F76" w:rsidRPr="00FC1444" w:rsidRDefault="006D6F76" w:rsidP="006D6F76">
      <w:pPr>
        <w:autoSpaceDE w:val="0"/>
        <w:autoSpaceDN w:val="0"/>
        <w:spacing w:line="360" w:lineRule="auto"/>
        <w:jc w:val="center"/>
        <w:rPr>
          <w:rFonts w:ascii="宋体" w:hAnsi="宋体" w:cs="宋体"/>
          <w:sz w:val="24"/>
        </w:rPr>
      </w:pPr>
      <w:r w:rsidRPr="00FC1444">
        <w:rPr>
          <w:rFonts w:eastAsiaTheme="minorEastAsia"/>
          <w:b/>
          <w:szCs w:val="21"/>
        </w:rPr>
        <w:t>图</w:t>
      </w:r>
      <w:r w:rsidRPr="00FC1444">
        <w:rPr>
          <w:rFonts w:eastAsiaTheme="minorEastAsia"/>
          <w:b/>
          <w:szCs w:val="21"/>
        </w:rPr>
        <w:t xml:space="preserve">3-1-1 </w:t>
      </w:r>
      <w:r w:rsidRPr="00FC1444">
        <w:rPr>
          <w:rFonts w:eastAsiaTheme="minorEastAsia"/>
          <w:b/>
          <w:szCs w:val="21"/>
        </w:rPr>
        <w:t>项目灌溉井</w:t>
      </w:r>
      <w:r w:rsidRPr="00FC1444">
        <w:rPr>
          <w:rFonts w:eastAsiaTheme="minorEastAsia" w:hint="eastAsia"/>
          <w:b/>
          <w:szCs w:val="21"/>
        </w:rPr>
        <w:t>分布</w:t>
      </w:r>
      <w:r w:rsidRPr="00FC1444">
        <w:rPr>
          <w:rFonts w:eastAsiaTheme="minorEastAsia"/>
          <w:b/>
          <w:szCs w:val="21"/>
        </w:rPr>
        <w:t>图</w:t>
      </w:r>
    </w:p>
    <w:p w:rsidR="002A5A5E" w:rsidRPr="00FC1444" w:rsidRDefault="00611CBA">
      <w:pPr>
        <w:autoSpaceDE w:val="0"/>
        <w:autoSpaceDN w:val="0"/>
        <w:spacing w:line="360" w:lineRule="auto"/>
        <w:ind w:firstLineChars="200" w:firstLine="480"/>
        <w:rPr>
          <w:rFonts w:eastAsiaTheme="minorEastAsia"/>
          <w:sz w:val="24"/>
        </w:rPr>
      </w:pPr>
      <w:r w:rsidRPr="00FC1444">
        <w:rPr>
          <w:rFonts w:ascii="宋体" w:hAnsi="宋体" w:cs="宋体" w:hint="eastAsia"/>
          <w:sz w:val="24"/>
        </w:rPr>
        <w:t>②</w:t>
      </w:r>
      <w:r w:rsidRPr="00FC1444">
        <w:rPr>
          <w:rFonts w:eastAsiaTheme="minorEastAsia"/>
          <w:sz w:val="24"/>
        </w:rPr>
        <w:t>井管、井深</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根据项目区调查及实际运用情况，综合考虑地表粘性厚度、地下水位埋深、含水层碎石层岩性，项目区成井深为</w:t>
      </w:r>
      <w:r w:rsidR="00291DFE" w:rsidRPr="00FC1444">
        <w:rPr>
          <w:rFonts w:eastAsiaTheme="minorEastAsia"/>
          <w:sz w:val="24"/>
        </w:rPr>
        <w:t>100</w:t>
      </w:r>
      <w:r w:rsidRPr="00FC1444">
        <w:rPr>
          <w:rFonts w:eastAsiaTheme="minorEastAsia"/>
          <w:sz w:val="24"/>
        </w:rPr>
        <w:t>m</w:t>
      </w:r>
      <w:r w:rsidRPr="00FC1444">
        <w:rPr>
          <w:rFonts w:eastAsiaTheme="minorEastAsia"/>
          <w:sz w:val="24"/>
        </w:rPr>
        <w:t>，井外径</w:t>
      </w:r>
      <w:r w:rsidR="001229A4" w:rsidRPr="00FC1444">
        <w:rPr>
          <w:rFonts w:eastAsiaTheme="minorEastAsia"/>
          <w:sz w:val="24"/>
        </w:rPr>
        <w:t>325</w:t>
      </w:r>
      <w:r w:rsidRPr="00FC1444">
        <w:rPr>
          <w:rFonts w:eastAsiaTheme="minorEastAsia"/>
          <w:sz w:val="24"/>
        </w:rPr>
        <w:t>mm</w:t>
      </w:r>
      <w:r w:rsidRPr="00FC1444">
        <w:rPr>
          <w:rFonts w:eastAsiaTheme="minorEastAsia"/>
          <w:sz w:val="24"/>
        </w:rPr>
        <w:t>，井管材料选用钢管，壁厚</w:t>
      </w:r>
      <w:r w:rsidR="001229A4" w:rsidRPr="00FC1444">
        <w:rPr>
          <w:rFonts w:eastAsiaTheme="minorEastAsia"/>
          <w:sz w:val="24"/>
        </w:rPr>
        <w:t>8</w:t>
      </w:r>
      <w:r w:rsidRPr="00FC1444">
        <w:rPr>
          <w:rFonts w:eastAsiaTheme="minorEastAsia"/>
          <w:sz w:val="24"/>
        </w:rPr>
        <w:t>mm</w:t>
      </w:r>
      <w:r w:rsidRPr="00FC1444">
        <w:rPr>
          <w:rFonts w:eastAsiaTheme="minorEastAsia"/>
          <w:sz w:val="24"/>
        </w:rPr>
        <w:t>。井孔直径设计为</w:t>
      </w:r>
      <w:r w:rsidRPr="00FC1444">
        <w:rPr>
          <w:rFonts w:eastAsiaTheme="minorEastAsia"/>
          <w:sz w:val="24"/>
        </w:rPr>
        <w:t>500mm</w:t>
      </w:r>
      <w:r w:rsidRPr="00FC1444">
        <w:rPr>
          <w:rFonts w:eastAsiaTheme="minorEastAsia"/>
          <w:sz w:val="24"/>
        </w:rPr>
        <w:t>。滤料规格选粒径</w:t>
      </w:r>
      <w:r w:rsidRPr="00FC1444">
        <w:rPr>
          <w:rFonts w:eastAsiaTheme="minorEastAsia"/>
          <w:sz w:val="24"/>
        </w:rPr>
        <w:t>2</w:t>
      </w:r>
      <w:r w:rsidRPr="00FC1444">
        <w:rPr>
          <w:rFonts w:eastAsiaTheme="minorEastAsia"/>
          <w:sz w:val="24"/>
        </w:rPr>
        <w:t>～</w:t>
      </w:r>
      <w:r w:rsidR="001229A4" w:rsidRPr="00FC1444">
        <w:rPr>
          <w:rFonts w:eastAsiaTheme="minorEastAsia"/>
          <w:sz w:val="24"/>
        </w:rPr>
        <w:t>1</w:t>
      </w:r>
      <w:r w:rsidRPr="00FC1444">
        <w:rPr>
          <w:rFonts w:eastAsiaTheme="minorEastAsia"/>
          <w:sz w:val="24"/>
        </w:rPr>
        <w:t>0mm</w:t>
      </w:r>
      <w:r w:rsidRPr="00FC1444">
        <w:rPr>
          <w:rFonts w:eastAsiaTheme="minorEastAsia"/>
          <w:sz w:val="24"/>
        </w:rPr>
        <w:t>的级配砂砾石，填料厚度</w:t>
      </w:r>
      <w:r w:rsidR="001229A4" w:rsidRPr="00FC1444">
        <w:rPr>
          <w:rFonts w:eastAsiaTheme="minorEastAsia"/>
          <w:sz w:val="24"/>
        </w:rPr>
        <w:t>87.5</w:t>
      </w:r>
      <w:r w:rsidRPr="00FC1444">
        <w:rPr>
          <w:rFonts w:eastAsiaTheme="minorEastAsia"/>
          <w:sz w:val="24"/>
        </w:rPr>
        <w:t>mm</w:t>
      </w:r>
      <w:r w:rsidRPr="00FC1444">
        <w:rPr>
          <w:rFonts w:eastAsiaTheme="minorEastAsia"/>
          <w:sz w:val="24"/>
        </w:rPr>
        <w:t>，高度要高于滤水管上限的</w:t>
      </w:r>
      <w:r w:rsidR="001229A4" w:rsidRPr="00FC1444">
        <w:rPr>
          <w:rFonts w:eastAsiaTheme="minorEastAsia"/>
          <w:sz w:val="24"/>
        </w:rPr>
        <w:t>3</w:t>
      </w:r>
      <w:r w:rsidRPr="00FC1444">
        <w:rPr>
          <w:rFonts w:eastAsiaTheme="minorEastAsia"/>
          <w:sz w:val="24"/>
        </w:rPr>
        <w:t>～</w:t>
      </w:r>
      <w:r w:rsidRPr="00FC1444">
        <w:rPr>
          <w:rFonts w:eastAsiaTheme="minorEastAsia"/>
          <w:sz w:val="24"/>
        </w:rPr>
        <w:t>5m</w:t>
      </w:r>
      <w:r w:rsidRPr="00FC1444">
        <w:rPr>
          <w:rFonts w:eastAsiaTheme="minorEastAsia"/>
          <w:sz w:val="24"/>
        </w:rPr>
        <w:t>。</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井管结构：井管材料选用钢管；滤水管规格采用桥式滤水管。</w:t>
      </w:r>
    </w:p>
    <w:p w:rsidR="002A5A5E" w:rsidRPr="00FC1444" w:rsidRDefault="001229A4">
      <w:pPr>
        <w:autoSpaceDE w:val="0"/>
        <w:autoSpaceDN w:val="0"/>
        <w:spacing w:line="360" w:lineRule="auto"/>
        <w:jc w:val="center"/>
        <w:rPr>
          <w:rFonts w:eastAsiaTheme="minorEastAsia"/>
          <w:sz w:val="24"/>
        </w:rPr>
      </w:pPr>
      <w:r w:rsidRPr="00FC1444">
        <w:rPr>
          <w:rFonts w:eastAsiaTheme="minorEastAsia"/>
          <w:noProof/>
          <w:sz w:val="24"/>
        </w:rPr>
        <w:lastRenderedPageBreak/>
        <w:drawing>
          <wp:inline distT="0" distB="0" distL="0" distR="0">
            <wp:extent cx="4263390" cy="6113780"/>
            <wp:effectExtent l="19050" t="0" r="3810" b="0"/>
            <wp:docPr id="85"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
                    <a:srcRect/>
                    <a:stretch>
                      <a:fillRect/>
                    </a:stretch>
                  </pic:blipFill>
                  <pic:spPr bwMode="auto">
                    <a:xfrm>
                      <a:off x="0" y="0"/>
                      <a:ext cx="4263390" cy="6113780"/>
                    </a:xfrm>
                    <a:prstGeom prst="rect">
                      <a:avLst/>
                    </a:prstGeom>
                    <a:noFill/>
                    <a:ln w="9525">
                      <a:noFill/>
                      <a:miter lim="800000"/>
                      <a:headEnd/>
                      <a:tailEnd/>
                    </a:ln>
                  </pic:spPr>
                </pic:pic>
              </a:graphicData>
            </a:graphic>
          </wp:inline>
        </w:drawing>
      </w:r>
    </w:p>
    <w:p w:rsidR="002A5A5E" w:rsidRPr="00FC1444" w:rsidRDefault="00611CBA">
      <w:pPr>
        <w:autoSpaceDE w:val="0"/>
        <w:autoSpaceDN w:val="0"/>
        <w:spacing w:line="360" w:lineRule="auto"/>
        <w:ind w:firstLineChars="200" w:firstLine="422"/>
        <w:jc w:val="center"/>
        <w:rPr>
          <w:rFonts w:eastAsiaTheme="minorEastAsia"/>
          <w:b/>
          <w:szCs w:val="21"/>
        </w:rPr>
      </w:pPr>
      <w:r w:rsidRPr="00FC1444">
        <w:rPr>
          <w:rFonts w:eastAsiaTheme="minorEastAsia"/>
          <w:b/>
          <w:szCs w:val="21"/>
        </w:rPr>
        <w:t>图</w:t>
      </w:r>
      <w:r w:rsidR="006D6F76" w:rsidRPr="00FC1444">
        <w:rPr>
          <w:rFonts w:eastAsiaTheme="minorEastAsia"/>
          <w:b/>
          <w:szCs w:val="21"/>
        </w:rPr>
        <w:t>3-1-</w:t>
      </w:r>
      <w:r w:rsidR="006D6F76" w:rsidRPr="00FC1444">
        <w:rPr>
          <w:rFonts w:eastAsiaTheme="minorEastAsia" w:hint="eastAsia"/>
          <w:b/>
          <w:szCs w:val="21"/>
        </w:rPr>
        <w:t>2</w:t>
      </w:r>
      <w:r w:rsidRPr="00FC1444">
        <w:rPr>
          <w:rFonts w:eastAsiaTheme="minorEastAsia"/>
          <w:b/>
          <w:szCs w:val="21"/>
        </w:rPr>
        <w:t xml:space="preserve"> </w:t>
      </w:r>
      <w:r w:rsidRPr="00FC1444">
        <w:rPr>
          <w:rFonts w:eastAsiaTheme="minorEastAsia"/>
          <w:b/>
          <w:szCs w:val="21"/>
        </w:rPr>
        <w:t>项目灌溉井成井柱状图（</w:t>
      </w:r>
      <w:r w:rsidR="001229A4" w:rsidRPr="00FC1444">
        <w:rPr>
          <w:rFonts w:eastAsiaTheme="minorEastAsia"/>
          <w:b/>
          <w:szCs w:val="21"/>
        </w:rPr>
        <w:t>100</w:t>
      </w:r>
      <w:r w:rsidRPr="00FC1444">
        <w:rPr>
          <w:rFonts w:eastAsiaTheme="minorEastAsia"/>
          <w:b/>
          <w:szCs w:val="21"/>
        </w:rPr>
        <w:t>m</w:t>
      </w:r>
      <w:r w:rsidRPr="00FC1444">
        <w:rPr>
          <w:rFonts w:eastAsiaTheme="minorEastAsia"/>
          <w:b/>
          <w:szCs w:val="21"/>
        </w:rPr>
        <w:t>水井）</w:t>
      </w:r>
    </w:p>
    <w:p w:rsidR="002A5A5E" w:rsidRPr="00FC1444" w:rsidRDefault="00611CBA">
      <w:pPr>
        <w:autoSpaceDE w:val="0"/>
        <w:autoSpaceDN w:val="0"/>
        <w:spacing w:line="360" w:lineRule="auto"/>
        <w:ind w:firstLineChars="200" w:firstLine="480"/>
        <w:rPr>
          <w:rFonts w:eastAsiaTheme="minorEastAsia"/>
          <w:sz w:val="24"/>
        </w:rPr>
      </w:pPr>
      <w:r w:rsidRPr="00FC1444">
        <w:rPr>
          <w:rFonts w:ascii="宋体" w:hAnsi="宋体" w:cs="宋体" w:hint="eastAsia"/>
          <w:sz w:val="24"/>
        </w:rPr>
        <w:t>③</w:t>
      </w:r>
      <w:r w:rsidRPr="00FC1444">
        <w:rPr>
          <w:rFonts w:eastAsiaTheme="minorEastAsia"/>
          <w:sz w:val="24"/>
        </w:rPr>
        <w:t>井房</w:t>
      </w:r>
    </w:p>
    <w:p w:rsidR="001229A4" w:rsidRPr="00FC1444" w:rsidRDefault="00611CBA" w:rsidP="001229A4">
      <w:pPr>
        <w:autoSpaceDE w:val="0"/>
        <w:autoSpaceDN w:val="0"/>
        <w:spacing w:line="360" w:lineRule="auto"/>
        <w:ind w:firstLineChars="200" w:firstLine="480"/>
        <w:rPr>
          <w:rFonts w:eastAsiaTheme="minorEastAsia"/>
          <w:sz w:val="24"/>
        </w:rPr>
      </w:pPr>
      <w:r w:rsidRPr="00FC1444">
        <w:rPr>
          <w:rFonts w:eastAsiaTheme="minorEastAsia"/>
          <w:sz w:val="24"/>
        </w:rPr>
        <w:t>本次共需配置井房</w:t>
      </w:r>
      <w:r w:rsidR="001229A4" w:rsidRPr="00FC1444">
        <w:rPr>
          <w:rFonts w:eastAsiaTheme="minorEastAsia"/>
          <w:sz w:val="24"/>
        </w:rPr>
        <w:t>156</w:t>
      </w:r>
      <w:r w:rsidRPr="00FC1444">
        <w:rPr>
          <w:rFonts w:eastAsiaTheme="minorEastAsia"/>
          <w:sz w:val="24"/>
        </w:rPr>
        <w:t>座，</w:t>
      </w:r>
      <w:r w:rsidR="001229A4" w:rsidRPr="00FC1444">
        <w:rPr>
          <w:rFonts w:eastAsiaTheme="minorEastAsia"/>
          <w:sz w:val="24"/>
        </w:rPr>
        <w:t>每眼井配套预制式井房，井房钢结构龙骨框架，内外墙体采用金属雕花保温板，钢制防盗门，顶部采用电动轨道天窗。</w:t>
      </w:r>
    </w:p>
    <w:p w:rsidR="002A5A5E" w:rsidRPr="00FC1444" w:rsidRDefault="00611CBA" w:rsidP="001229A4">
      <w:pPr>
        <w:autoSpaceDE w:val="0"/>
        <w:autoSpaceDN w:val="0"/>
        <w:spacing w:line="360" w:lineRule="auto"/>
        <w:ind w:firstLineChars="200" w:firstLine="480"/>
        <w:rPr>
          <w:rFonts w:eastAsiaTheme="minorEastAsia"/>
          <w:sz w:val="24"/>
        </w:rPr>
      </w:pPr>
      <w:r w:rsidRPr="00FC1444">
        <w:rPr>
          <w:rFonts w:eastAsiaTheme="minorEastAsia"/>
          <w:sz w:val="24"/>
        </w:rPr>
        <w:t>井房</w:t>
      </w:r>
      <w:r w:rsidR="008F73CD" w:rsidRPr="00FC1444">
        <w:rPr>
          <w:rFonts w:eastAsiaTheme="minorEastAsia"/>
          <w:sz w:val="24"/>
        </w:rPr>
        <w:t>尺寸为</w:t>
      </w:r>
      <w:r w:rsidR="008F73CD" w:rsidRPr="00FC1444">
        <w:rPr>
          <w:rFonts w:eastAsiaTheme="minorEastAsia"/>
          <w:sz w:val="24"/>
        </w:rPr>
        <w:t>1.2m×1.2m×1.75m</w:t>
      </w:r>
      <w:r w:rsidRPr="00FC1444">
        <w:rPr>
          <w:rFonts w:eastAsiaTheme="minorEastAsia"/>
          <w:sz w:val="24"/>
        </w:rPr>
        <w:t>，建筑面积为</w:t>
      </w:r>
      <w:r w:rsidR="008F73CD" w:rsidRPr="00FC1444">
        <w:rPr>
          <w:rFonts w:eastAsiaTheme="minorEastAsia"/>
          <w:sz w:val="24"/>
        </w:rPr>
        <w:t>2.52</w:t>
      </w:r>
      <w:r w:rsidRPr="00FC1444">
        <w:rPr>
          <w:rFonts w:eastAsiaTheme="minorEastAsia"/>
          <w:sz w:val="24"/>
        </w:rPr>
        <w:t>m</w:t>
      </w:r>
      <w:r w:rsidRPr="00FC1444">
        <w:rPr>
          <w:rFonts w:eastAsiaTheme="minorEastAsia"/>
          <w:sz w:val="24"/>
          <w:vertAlign w:val="superscript"/>
        </w:rPr>
        <w:t>2</w:t>
      </w:r>
      <w:r w:rsidRPr="00FC1444">
        <w:rPr>
          <w:rFonts w:eastAsiaTheme="minorEastAsia"/>
          <w:sz w:val="24"/>
        </w:rPr>
        <w:t>。</w:t>
      </w:r>
    </w:p>
    <w:p w:rsidR="002A5A5E" w:rsidRPr="00FC1444" w:rsidRDefault="00611CBA">
      <w:pPr>
        <w:autoSpaceDE w:val="0"/>
        <w:autoSpaceDN w:val="0"/>
        <w:spacing w:line="360" w:lineRule="auto"/>
        <w:ind w:firstLineChars="200" w:firstLine="480"/>
        <w:rPr>
          <w:rFonts w:eastAsiaTheme="minorEastAsia"/>
          <w:sz w:val="24"/>
        </w:rPr>
      </w:pPr>
      <w:r w:rsidRPr="00FC1444">
        <w:rPr>
          <w:rFonts w:ascii="宋体" w:hAnsi="宋体" w:cs="宋体" w:hint="eastAsia"/>
          <w:sz w:val="24"/>
        </w:rPr>
        <w:t>④</w:t>
      </w:r>
      <w:r w:rsidRPr="00FC1444">
        <w:rPr>
          <w:rFonts w:eastAsiaTheme="minorEastAsia"/>
          <w:sz w:val="24"/>
        </w:rPr>
        <w:t>灌溉设施</w:t>
      </w:r>
    </w:p>
    <w:p w:rsidR="002A5A5E" w:rsidRPr="00FC1444" w:rsidRDefault="00611CBA">
      <w:pPr>
        <w:autoSpaceDE w:val="0"/>
        <w:autoSpaceDN w:val="0"/>
        <w:spacing w:line="360" w:lineRule="auto"/>
        <w:ind w:firstLineChars="200" w:firstLine="480"/>
        <w:rPr>
          <w:rFonts w:eastAsiaTheme="minorEastAsia"/>
          <w:bCs/>
          <w:sz w:val="24"/>
        </w:rPr>
      </w:pPr>
      <w:r w:rsidRPr="00FC1444">
        <w:rPr>
          <w:rFonts w:eastAsiaTheme="minorEastAsia"/>
          <w:bCs/>
          <w:sz w:val="24"/>
        </w:rPr>
        <w:t>根据《黑龙江</w:t>
      </w:r>
      <w:r w:rsidR="00175C36" w:rsidRPr="00FC1444">
        <w:rPr>
          <w:rFonts w:eastAsiaTheme="minorEastAsia"/>
          <w:bCs/>
          <w:sz w:val="24"/>
        </w:rPr>
        <w:t>：</w:t>
      </w:r>
      <w:r w:rsidRPr="00FC1444">
        <w:rPr>
          <w:rFonts w:eastAsiaTheme="minorEastAsia"/>
          <w:bCs/>
          <w:sz w:val="24"/>
        </w:rPr>
        <w:t>用水定额》（</w:t>
      </w:r>
      <w:r w:rsidRPr="00FC1444">
        <w:rPr>
          <w:rFonts w:eastAsiaTheme="minorEastAsia"/>
          <w:bCs/>
          <w:sz w:val="24"/>
        </w:rPr>
        <w:t>DB23/T 727-202</w:t>
      </w:r>
      <w:r w:rsidR="00175C36" w:rsidRPr="00FC1444">
        <w:rPr>
          <w:rFonts w:eastAsiaTheme="minorEastAsia"/>
          <w:bCs/>
          <w:sz w:val="24"/>
        </w:rPr>
        <w:t>5</w:t>
      </w:r>
      <w:r w:rsidRPr="00FC1444">
        <w:rPr>
          <w:rFonts w:eastAsiaTheme="minorEastAsia"/>
          <w:bCs/>
          <w:sz w:val="24"/>
        </w:rPr>
        <w:t>）的要求，坐水种和滴灌灌溉设计水文年</w:t>
      </w:r>
      <w:r w:rsidRPr="00FC1444">
        <w:rPr>
          <w:rFonts w:eastAsiaTheme="minorEastAsia"/>
          <w:bCs/>
          <w:sz w:val="24"/>
        </w:rPr>
        <w:t>50%-75%</w:t>
      </w:r>
      <w:r w:rsidRPr="00FC1444">
        <w:rPr>
          <w:rFonts w:eastAsiaTheme="minorEastAsia"/>
          <w:bCs/>
          <w:sz w:val="24"/>
        </w:rPr>
        <w:t>。本项目以项目区内的浅层地下水及承压水为水源，灌溉设计保证率取</w:t>
      </w:r>
      <w:r w:rsidRPr="00FC1444">
        <w:rPr>
          <w:rFonts w:eastAsiaTheme="minorEastAsia"/>
          <w:bCs/>
          <w:sz w:val="24"/>
        </w:rPr>
        <w:t>90%</w:t>
      </w:r>
      <w:r w:rsidRPr="00FC1444">
        <w:rPr>
          <w:rFonts w:eastAsiaTheme="minorEastAsia"/>
          <w:bCs/>
          <w:sz w:val="24"/>
        </w:rPr>
        <w:t>。本次采用坐水种和滴灌方式灌溉就是保证玉米出苗率。</w:t>
      </w:r>
    </w:p>
    <w:p w:rsidR="002A5A5E" w:rsidRPr="00FC1444" w:rsidRDefault="00611CBA">
      <w:pPr>
        <w:autoSpaceDE w:val="0"/>
        <w:autoSpaceDN w:val="0"/>
        <w:spacing w:line="360" w:lineRule="auto"/>
        <w:ind w:firstLineChars="200" w:firstLine="480"/>
        <w:rPr>
          <w:rFonts w:eastAsiaTheme="minorEastAsia"/>
          <w:bCs/>
          <w:sz w:val="24"/>
        </w:rPr>
      </w:pPr>
      <w:r w:rsidRPr="00FC1444">
        <w:rPr>
          <w:rFonts w:eastAsiaTheme="minorEastAsia"/>
          <w:bCs/>
          <w:sz w:val="24"/>
        </w:rPr>
        <w:lastRenderedPageBreak/>
        <w:t>坐水种：每个项目区设置固定式储水罐和移动水罐车。固定式</w:t>
      </w:r>
      <w:r w:rsidRPr="00FC1444">
        <w:rPr>
          <w:rFonts w:eastAsiaTheme="minorEastAsia"/>
          <w:bCs/>
          <w:sz w:val="24"/>
        </w:rPr>
        <w:t>30</w:t>
      </w:r>
      <w:r w:rsidRPr="00FC1444">
        <w:rPr>
          <w:rFonts w:eastAsiaTheme="minorEastAsia"/>
          <w:bCs/>
          <w:sz w:val="24"/>
        </w:rPr>
        <w:t>吨储水罐长</w:t>
      </w:r>
      <w:r w:rsidRPr="00FC1444">
        <w:rPr>
          <w:rFonts w:eastAsiaTheme="minorEastAsia"/>
          <w:bCs/>
          <w:sz w:val="24"/>
        </w:rPr>
        <w:t>7m</w:t>
      </w:r>
      <w:r w:rsidRPr="00FC1444">
        <w:rPr>
          <w:rFonts w:eastAsiaTheme="minorEastAsia"/>
          <w:bCs/>
          <w:sz w:val="24"/>
        </w:rPr>
        <w:t>，直径</w:t>
      </w:r>
      <w:r w:rsidRPr="00FC1444">
        <w:rPr>
          <w:rFonts w:eastAsiaTheme="minorEastAsia"/>
          <w:bCs/>
          <w:sz w:val="24"/>
        </w:rPr>
        <w:t>2.5m</w:t>
      </w:r>
      <w:r w:rsidRPr="00FC1444">
        <w:rPr>
          <w:rFonts w:eastAsiaTheme="minorEastAsia"/>
          <w:bCs/>
          <w:sz w:val="24"/>
        </w:rPr>
        <w:t>，钢板厚度</w:t>
      </w:r>
      <w:r w:rsidRPr="00FC1444">
        <w:rPr>
          <w:rFonts w:eastAsiaTheme="minorEastAsia"/>
          <w:bCs/>
          <w:sz w:val="24"/>
        </w:rPr>
        <w:t>3.5mm</w:t>
      </w:r>
      <w:r w:rsidRPr="00FC1444">
        <w:rPr>
          <w:rFonts w:eastAsiaTheme="minorEastAsia"/>
          <w:bCs/>
          <w:sz w:val="24"/>
        </w:rPr>
        <w:t>，</w:t>
      </w:r>
      <w:r w:rsidRPr="00FC1444">
        <w:rPr>
          <w:rFonts w:eastAsiaTheme="minorEastAsia"/>
          <w:bCs/>
          <w:sz w:val="24"/>
        </w:rPr>
        <w:t>304</w:t>
      </w:r>
      <w:r w:rsidRPr="00FC1444">
        <w:rPr>
          <w:rFonts w:eastAsiaTheme="minorEastAsia"/>
          <w:bCs/>
          <w:sz w:val="24"/>
        </w:rPr>
        <w:t>不锈钢材质，基础采用</w:t>
      </w:r>
      <w:r w:rsidRPr="00FC1444">
        <w:rPr>
          <w:rFonts w:eastAsiaTheme="minorEastAsia"/>
          <w:bCs/>
          <w:sz w:val="24"/>
        </w:rPr>
        <w:t>C25</w:t>
      </w:r>
      <w:r w:rsidRPr="00FC1444">
        <w:rPr>
          <w:rFonts w:eastAsiaTheme="minorEastAsia"/>
          <w:bCs/>
          <w:sz w:val="24"/>
        </w:rPr>
        <w:t>混凝土圈梁结构，地上水罐支撑墙体采用红砖砌体结构。移动水罐车为单轴两轮式结构。</w:t>
      </w:r>
    </w:p>
    <w:p w:rsidR="002A5A5E" w:rsidRPr="00FC1444" w:rsidRDefault="00611CBA">
      <w:pPr>
        <w:autoSpaceDE w:val="0"/>
        <w:autoSpaceDN w:val="0"/>
        <w:spacing w:line="360" w:lineRule="auto"/>
        <w:ind w:firstLineChars="200" w:firstLine="480"/>
        <w:rPr>
          <w:rFonts w:eastAsiaTheme="minorEastAsia"/>
          <w:bCs/>
          <w:sz w:val="24"/>
        </w:rPr>
      </w:pPr>
      <w:r w:rsidRPr="00FC1444">
        <w:rPr>
          <w:rFonts w:eastAsiaTheme="minorEastAsia"/>
          <w:bCs/>
          <w:sz w:val="24"/>
        </w:rPr>
        <w:t>滴灌：</w:t>
      </w:r>
    </w:p>
    <w:p w:rsidR="002A5A5E" w:rsidRPr="00FC1444" w:rsidRDefault="00611CBA">
      <w:pPr>
        <w:autoSpaceDE w:val="0"/>
        <w:autoSpaceDN w:val="0"/>
        <w:spacing w:line="360" w:lineRule="auto"/>
        <w:ind w:firstLineChars="200" w:firstLine="480"/>
        <w:rPr>
          <w:rFonts w:eastAsiaTheme="minorEastAsia"/>
          <w:bCs/>
          <w:sz w:val="24"/>
        </w:rPr>
      </w:pPr>
      <w:r w:rsidRPr="00FC1444">
        <w:rPr>
          <w:rFonts w:eastAsiaTheme="minorEastAsia"/>
          <w:bCs/>
          <w:sz w:val="24"/>
        </w:rPr>
        <w:t>根据井的出水量、地块形状、作物等情况，设置滴灌带，铺设在垄上两行玉米正中间。在设计中灌溉方案依据玉米大垄双行的种植方式，采用滴灌带滴头流量为</w:t>
      </w:r>
      <w:r w:rsidR="002D377E" w:rsidRPr="00FC1444">
        <w:rPr>
          <w:rFonts w:eastAsiaTheme="minorEastAsia"/>
          <w:bCs/>
          <w:sz w:val="24"/>
        </w:rPr>
        <w:t>1.1</w:t>
      </w:r>
      <w:r w:rsidRPr="00FC1444">
        <w:rPr>
          <w:rFonts w:eastAsiaTheme="minorEastAsia"/>
          <w:bCs/>
          <w:sz w:val="24"/>
        </w:rPr>
        <w:t>L/h</w:t>
      </w:r>
      <w:r w:rsidRPr="00FC1444">
        <w:rPr>
          <w:rFonts w:eastAsiaTheme="minorEastAsia"/>
          <w:bCs/>
          <w:sz w:val="24"/>
        </w:rPr>
        <w:t>，滴头间距为</w:t>
      </w:r>
      <w:r w:rsidR="002D377E" w:rsidRPr="00FC1444">
        <w:rPr>
          <w:rFonts w:eastAsiaTheme="minorEastAsia"/>
          <w:bCs/>
          <w:sz w:val="24"/>
        </w:rPr>
        <w:t>30</w:t>
      </w:r>
      <w:r w:rsidRPr="00FC1444">
        <w:rPr>
          <w:rFonts w:eastAsiaTheme="minorEastAsia"/>
          <w:bCs/>
          <w:sz w:val="24"/>
        </w:rPr>
        <w:t>cm</w:t>
      </w:r>
      <w:r w:rsidRPr="00FC1444">
        <w:rPr>
          <w:rFonts w:eastAsiaTheme="minorEastAsia"/>
          <w:kern w:val="0"/>
          <w:sz w:val="24"/>
          <w:szCs w:val="20"/>
        </w:rPr>
        <w:t>。安装水肥一体</w:t>
      </w:r>
      <w:r w:rsidR="00596FF0" w:rsidRPr="00FC1444">
        <w:rPr>
          <w:rFonts w:eastAsiaTheme="minorEastAsia"/>
          <w:kern w:val="0"/>
          <w:sz w:val="24"/>
          <w:szCs w:val="20"/>
        </w:rPr>
        <w:t>化</w:t>
      </w:r>
      <w:r w:rsidRPr="00FC1444">
        <w:rPr>
          <w:rFonts w:eastAsiaTheme="minorEastAsia"/>
          <w:kern w:val="0"/>
          <w:sz w:val="24"/>
          <w:szCs w:val="20"/>
        </w:rPr>
        <w:t>设备及施肥机。</w:t>
      </w:r>
    </w:p>
    <w:p w:rsidR="002A5A5E" w:rsidRPr="00FC1444" w:rsidRDefault="00611CBA">
      <w:pPr>
        <w:autoSpaceDE w:val="0"/>
        <w:autoSpaceDN w:val="0"/>
        <w:spacing w:line="360" w:lineRule="auto"/>
        <w:ind w:firstLineChars="200" w:firstLine="480"/>
        <w:rPr>
          <w:rFonts w:eastAsiaTheme="minorEastAsia"/>
          <w:kern w:val="0"/>
          <w:sz w:val="24"/>
          <w:szCs w:val="20"/>
        </w:rPr>
      </w:pPr>
      <w:r w:rsidRPr="00FC1444">
        <w:rPr>
          <w:rFonts w:ascii="宋体" w:hAnsi="宋体" w:cs="宋体" w:hint="eastAsia"/>
          <w:sz w:val="24"/>
        </w:rPr>
        <w:t>⑤</w:t>
      </w:r>
      <w:r w:rsidRPr="00FC1444">
        <w:rPr>
          <w:rFonts w:eastAsiaTheme="minorEastAsia"/>
          <w:kern w:val="0"/>
          <w:sz w:val="24"/>
          <w:szCs w:val="20"/>
        </w:rPr>
        <w:t>灌溉制度</w:t>
      </w:r>
    </w:p>
    <w:p w:rsidR="002A5A5E" w:rsidRPr="00FC1444" w:rsidRDefault="00611CBA">
      <w:pPr>
        <w:autoSpaceDE w:val="0"/>
        <w:autoSpaceDN w:val="0"/>
        <w:spacing w:line="360" w:lineRule="auto"/>
        <w:ind w:firstLineChars="200" w:firstLine="480"/>
        <w:rPr>
          <w:rFonts w:eastAsiaTheme="minorEastAsia"/>
          <w:kern w:val="0"/>
          <w:sz w:val="24"/>
        </w:rPr>
      </w:pPr>
      <w:r w:rsidRPr="00FC1444">
        <w:rPr>
          <w:rFonts w:eastAsiaTheme="minorEastAsia"/>
          <w:sz w:val="24"/>
        </w:rPr>
        <w:t>根据已批复《</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水资源论证报告书》</w:t>
      </w:r>
      <w:r w:rsidRPr="00FC1444">
        <w:rPr>
          <w:rFonts w:eastAsiaTheme="minorEastAsia"/>
          <w:kern w:val="0"/>
          <w:sz w:val="24"/>
        </w:rPr>
        <w:t>《节水灌溉工程技术规范》和</w:t>
      </w:r>
      <w:r w:rsidRPr="00FC1444">
        <w:rPr>
          <w:rFonts w:eastAsiaTheme="minorEastAsia"/>
          <w:bCs/>
          <w:sz w:val="24"/>
        </w:rPr>
        <w:t>《黑龙江：用水定额》（</w:t>
      </w:r>
      <w:r w:rsidRPr="00FC1444">
        <w:rPr>
          <w:rFonts w:eastAsiaTheme="minorEastAsia"/>
          <w:bCs/>
          <w:sz w:val="24"/>
        </w:rPr>
        <w:t>DB23/T 727-202</w:t>
      </w:r>
      <w:r w:rsidR="00175C36" w:rsidRPr="00FC1444">
        <w:rPr>
          <w:rFonts w:eastAsiaTheme="minorEastAsia"/>
          <w:bCs/>
          <w:sz w:val="24"/>
        </w:rPr>
        <w:t>5</w:t>
      </w:r>
      <w:r w:rsidRPr="00FC1444">
        <w:rPr>
          <w:rFonts w:eastAsiaTheme="minorEastAsia"/>
          <w:bCs/>
          <w:sz w:val="24"/>
        </w:rPr>
        <w:t>）</w:t>
      </w:r>
      <w:r w:rsidRPr="00FC1444">
        <w:rPr>
          <w:rFonts w:eastAsiaTheme="minorEastAsia"/>
          <w:kern w:val="0"/>
          <w:sz w:val="24"/>
        </w:rPr>
        <w:t>，本项目设计灌溉保证率为</w:t>
      </w:r>
      <w:r w:rsidRPr="00FC1444">
        <w:rPr>
          <w:rFonts w:eastAsiaTheme="minorEastAsia"/>
          <w:kern w:val="0"/>
          <w:sz w:val="24"/>
        </w:rPr>
        <w:t>90%</w:t>
      </w:r>
      <w:r w:rsidR="00C50B3C" w:rsidRPr="00FC1444">
        <w:rPr>
          <w:rFonts w:eastAsiaTheme="minorEastAsia"/>
          <w:kern w:val="0"/>
          <w:sz w:val="24"/>
        </w:rPr>
        <w:t>，坐水种灌溉</w:t>
      </w:r>
      <w:r w:rsidRPr="00FC1444">
        <w:rPr>
          <w:rFonts w:eastAsiaTheme="minorEastAsia"/>
          <w:kern w:val="0"/>
          <w:sz w:val="24"/>
        </w:rPr>
        <w:t>定额</w:t>
      </w:r>
      <w:r w:rsidRPr="00FC1444">
        <w:rPr>
          <w:rFonts w:eastAsiaTheme="minorEastAsia"/>
          <w:kern w:val="0"/>
          <w:sz w:val="24"/>
        </w:rPr>
        <w:t>6m</w:t>
      </w:r>
      <w:r w:rsidRPr="00FC1444">
        <w:rPr>
          <w:rFonts w:eastAsiaTheme="minorEastAsia"/>
          <w:kern w:val="0"/>
          <w:sz w:val="24"/>
          <w:vertAlign w:val="superscript"/>
        </w:rPr>
        <w:t>3</w:t>
      </w:r>
      <w:r w:rsidRPr="00FC1444">
        <w:rPr>
          <w:rFonts w:eastAsiaTheme="minorEastAsia"/>
          <w:kern w:val="0"/>
          <w:sz w:val="24"/>
        </w:rPr>
        <w:t>/</w:t>
      </w:r>
      <w:r w:rsidRPr="00FC1444">
        <w:rPr>
          <w:rFonts w:eastAsiaTheme="minorEastAsia"/>
          <w:kern w:val="0"/>
          <w:sz w:val="24"/>
        </w:rPr>
        <w:t>亩，</w:t>
      </w:r>
      <w:r w:rsidR="00FD6E06" w:rsidRPr="00FC1444">
        <w:rPr>
          <w:rFonts w:eastAsiaTheme="minorEastAsia"/>
          <w:kern w:val="0"/>
          <w:sz w:val="24"/>
        </w:rPr>
        <w:t>灌溉水利用系数</w:t>
      </w:r>
      <w:r w:rsidR="00FD6E06" w:rsidRPr="00FC1444">
        <w:rPr>
          <w:rFonts w:eastAsiaTheme="minorEastAsia"/>
          <w:kern w:val="0"/>
          <w:sz w:val="24"/>
        </w:rPr>
        <w:t>0.85</w:t>
      </w:r>
      <w:r w:rsidR="00C50B3C" w:rsidRPr="00FC1444">
        <w:rPr>
          <w:rFonts w:eastAsiaTheme="minorEastAsia"/>
          <w:kern w:val="0"/>
          <w:sz w:val="24"/>
        </w:rPr>
        <w:t>，滴灌</w:t>
      </w:r>
      <w:r w:rsidRPr="00FC1444">
        <w:rPr>
          <w:rFonts w:eastAsiaTheme="minorEastAsia"/>
          <w:kern w:val="0"/>
          <w:sz w:val="24"/>
        </w:rPr>
        <w:t>定额为</w:t>
      </w:r>
      <w:r w:rsidR="00371E5B" w:rsidRPr="00FC1444">
        <w:rPr>
          <w:rFonts w:eastAsiaTheme="minorEastAsia"/>
          <w:kern w:val="0"/>
          <w:sz w:val="24"/>
        </w:rPr>
        <w:t>57</w:t>
      </w:r>
      <w:r w:rsidRPr="00FC1444">
        <w:rPr>
          <w:rFonts w:eastAsiaTheme="minorEastAsia"/>
          <w:kern w:val="0"/>
          <w:sz w:val="24"/>
        </w:rPr>
        <w:t>m</w:t>
      </w:r>
      <w:r w:rsidRPr="00FC1444">
        <w:rPr>
          <w:rFonts w:eastAsiaTheme="minorEastAsia"/>
          <w:kern w:val="0"/>
          <w:sz w:val="24"/>
          <w:vertAlign w:val="superscript"/>
        </w:rPr>
        <w:t>3</w:t>
      </w:r>
      <w:r w:rsidRPr="00FC1444">
        <w:rPr>
          <w:rFonts w:eastAsiaTheme="minorEastAsia"/>
          <w:kern w:val="0"/>
          <w:sz w:val="24"/>
        </w:rPr>
        <w:t>/</w:t>
      </w:r>
      <w:r w:rsidRPr="00FC1444">
        <w:rPr>
          <w:rFonts w:eastAsiaTheme="minorEastAsia"/>
          <w:kern w:val="0"/>
          <w:sz w:val="24"/>
        </w:rPr>
        <w:t>亩，滴灌灌溉水利用系数取</w:t>
      </w:r>
      <w:r w:rsidRPr="00FC1444">
        <w:rPr>
          <w:rFonts w:eastAsiaTheme="minorEastAsia"/>
          <w:kern w:val="0"/>
          <w:sz w:val="24"/>
        </w:rPr>
        <w:t>0.9</w:t>
      </w:r>
      <w:r w:rsidR="002C0455" w:rsidRPr="00FC1444">
        <w:rPr>
          <w:rFonts w:eastAsiaTheme="minorEastAsia"/>
          <w:kern w:val="0"/>
          <w:sz w:val="24"/>
        </w:rPr>
        <w:t>3</w:t>
      </w:r>
      <w:r w:rsidRPr="00FC1444">
        <w:rPr>
          <w:rFonts w:eastAsiaTheme="minorEastAsia"/>
          <w:kern w:val="0"/>
          <w:sz w:val="24"/>
        </w:rPr>
        <w:t>。</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）水肥一体化系统</w:t>
      </w:r>
    </w:p>
    <w:p w:rsidR="002A5A5E" w:rsidRPr="00FC1444" w:rsidRDefault="00611CBA">
      <w:pPr>
        <w:autoSpaceDE w:val="0"/>
        <w:autoSpaceDN w:val="0"/>
        <w:spacing w:line="360" w:lineRule="auto"/>
        <w:ind w:firstLineChars="200" w:firstLine="480"/>
        <w:rPr>
          <w:rFonts w:eastAsiaTheme="minorEastAsia"/>
          <w:kern w:val="0"/>
          <w:sz w:val="24"/>
        </w:rPr>
      </w:pPr>
      <w:r w:rsidRPr="00FC1444">
        <w:rPr>
          <w:rFonts w:eastAsiaTheme="minorEastAsia"/>
          <w:kern w:val="0"/>
          <w:sz w:val="24"/>
        </w:rPr>
        <w:t>本项目在</w:t>
      </w:r>
      <w:r w:rsidR="00F10409" w:rsidRPr="00FC1444">
        <w:rPr>
          <w:rFonts w:eastAsiaTheme="minorEastAsia" w:hint="eastAsia"/>
          <w:kern w:val="0"/>
          <w:sz w:val="24"/>
        </w:rPr>
        <w:t>绥胜镇</w:t>
      </w:r>
      <w:r w:rsidR="00F10409" w:rsidRPr="00FC1444">
        <w:rPr>
          <w:rFonts w:eastAsiaTheme="minorEastAsia"/>
          <w:kern w:val="0"/>
          <w:sz w:val="24"/>
        </w:rPr>
        <w:t>、津河镇</w:t>
      </w:r>
      <w:r w:rsidRPr="00FC1444">
        <w:rPr>
          <w:rFonts w:eastAsiaTheme="minorEastAsia"/>
          <w:kern w:val="0"/>
          <w:sz w:val="24"/>
        </w:rPr>
        <w:t>发展水肥一体化灌溉</w:t>
      </w:r>
      <w:r w:rsidR="00B36490" w:rsidRPr="00FC1444">
        <w:rPr>
          <w:rFonts w:eastAsiaTheme="minorEastAsia"/>
          <w:kern w:val="0"/>
          <w:sz w:val="24"/>
        </w:rPr>
        <w:t>（滴灌）</w:t>
      </w:r>
      <w:r w:rsidRPr="00FC1444">
        <w:rPr>
          <w:rFonts w:eastAsiaTheme="minorEastAsia"/>
          <w:kern w:val="0"/>
          <w:sz w:val="24"/>
        </w:rPr>
        <w:t>，项目区面积</w:t>
      </w:r>
      <w:r w:rsidR="00B84E35" w:rsidRPr="00FC1444">
        <w:rPr>
          <w:rFonts w:eastAsiaTheme="minorEastAsia"/>
          <w:bCs/>
          <w:kern w:val="0"/>
          <w:sz w:val="24"/>
        </w:rPr>
        <w:t>11285</w:t>
      </w:r>
      <w:r w:rsidR="00B84E35" w:rsidRPr="00FC1444">
        <w:rPr>
          <w:rFonts w:eastAsiaTheme="minorEastAsia"/>
          <w:bCs/>
          <w:kern w:val="0"/>
          <w:sz w:val="24"/>
        </w:rPr>
        <w:t>亩</w:t>
      </w:r>
      <w:r w:rsidRPr="00FC1444">
        <w:rPr>
          <w:rFonts w:eastAsiaTheme="minorEastAsia"/>
          <w:kern w:val="0"/>
          <w:sz w:val="24"/>
        </w:rPr>
        <w:t>，主要种植作物为玉米，项目水源为滴灌井。滴灌带铺设在垄上两行玉米正中间。在设计中灌溉方案依据玉米大垄双行的种植方式，采用滴灌带滴头流量为</w:t>
      </w:r>
      <w:r w:rsidR="007A60E0" w:rsidRPr="00FC1444">
        <w:rPr>
          <w:rFonts w:eastAsiaTheme="minorEastAsia"/>
          <w:kern w:val="0"/>
          <w:sz w:val="24"/>
        </w:rPr>
        <w:t>1.1</w:t>
      </w:r>
      <w:r w:rsidRPr="00FC1444">
        <w:rPr>
          <w:rFonts w:eastAsiaTheme="minorEastAsia"/>
          <w:kern w:val="0"/>
          <w:sz w:val="24"/>
        </w:rPr>
        <w:t>L/h</w:t>
      </w:r>
      <w:r w:rsidRPr="00FC1444">
        <w:rPr>
          <w:rFonts w:eastAsiaTheme="minorEastAsia"/>
          <w:kern w:val="0"/>
          <w:sz w:val="24"/>
        </w:rPr>
        <w:t>，滴头间距为</w:t>
      </w:r>
      <w:r w:rsidRPr="00FC1444">
        <w:rPr>
          <w:rFonts w:eastAsiaTheme="minorEastAsia"/>
          <w:kern w:val="0"/>
          <w:sz w:val="24"/>
        </w:rPr>
        <w:t>30cm</w:t>
      </w:r>
      <w:r w:rsidRPr="00FC1444">
        <w:rPr>
          <w:rFonts w:eastAsiaTheme="minorEastAsia"/>
          <w:kern w:val="0"/>
          <w:sz w:val="24"/>
        </w:rPr>
        <w:t>。</w:t>
      </w:r>
    </w:p>
    <w:p w:rsidR="002A5A5E" w:rsidRPr="00FC1444" w:rsidRDefault="00611CBA">
      <w:pPr>
        <w:autoSpaceDE w:val="0"/>
        <w:autoSpaceDN w:val="0"/>
        <w:spacing w:line="360" w:lineRule="auto"/>
        <w:ind w:firstLineChars="200" w:firstLine="480"/>
        <w:rPr>
          <w:rFonts w:eastAsiaTheme="minorEastAsia"/>
          <w:kern w:val="0"/>
          <w:sz w:val="24"/>
        </w:rPr>
      </w:pPr>
      <w:r w:rsidRPr="00FC1444">
        <w:rPr>
          <w:rFonts w:eastAsiaTheme="minorEastAsia"/>
          <w:kern w:val="0"/>
          <w:sz w:val="24"/>
        </w:rPr>
        <w:t>建设</w:t>
      </w:r>
      <w:r w:rsidRPr="00FC1444">
        <w:rPr>
          <w:rFonts w:eastAsiaTheme="minorEastAsia"/>
          <w:sz w:val="24"/>
        </w:rPr>
        <w:t>水肥一体化</w:t>
      </w:r>
      <w:r w:rsidRPr="00FC1444">
        <w:rPr>
          <w:rFonts w:eastAsiaTheme="minorEastAsia"/>
          <w:kern w:val="0"/>
          <w:sz w:val="24"/>
        </w:rPr>
        <w:t>系统</w:t>
      </w:r>
      <w:r w:rsidR="007A60E0" w:rsidRPr="00FC1444">
        <w:rPr>
          <w:rFonts w:eastAsiaTheme="minorEastAsia"/>
          <w:kern w:val="0"/>
          <w:sz w:val="24"/>
        </w:rPr>
        <w:t>35</w:t>
      </w:r>
      <w:r w:rsidR="004324C7" w:rsidRPr="00FC1444">
        <w:rPr>
          <w:rFonts w:eastAsiaTheme="minorEastAsia"/>
          <w:kern w:val="0"/>
          <w:sz w:val="24"/>
        </w:rPr>
        <w:t>套</w:t>
      </w:r>
      <w:r w:rsidRPr="00FC1444">
        <w:rPr>
          <w:rFonts w:eastAsiaTheme="minorEastAsia"/>
          <w:kern w:val="0"/>
          <w:sz w:val="24"/>
        </w:rPr>
        <w:t>。系统首部应用潜水泵加压，经过灌溉集成首部输送到田间作物根系。系统首部安装有压力表、排气阀等仪器和设备。</w:t>
      </w:r>
    </w:p>
    <w:p w:rsidR="002A5A5E" w:rsidRPr="00FC1444" w:rsidRDefault="00611CBA">
      <w:pPr>
        <w:autoSpaceDE w:val="0"/>
        <w:autoSpaceDN w:val="0"/>
        <w:spacing w:line="360" w:lineRule="auto"/>
        <w:ind w:firstLineChars="200" w:firstLine="480"/>
        <w:rPr>
          <w:rFonts w:eastAsiaTheme="minorEastAsia"/>
          <w:kern w:val="0"/>
          <w:sz w:val="24"/>
        </w:rPr>
      </w:pPr>
      <w:r w:rsidRPr="00FC1444">
        <w:rPr>
          <w:rFonts w:eastAsiaTheme="minorEastAsia"/>
          <w:kern w:val="0"/>
          <w:sz w:val="24"/>
        </w:rPr>
        <w:t>施肥系统通过施肥机进行加压，每个系统配备</w:t>
      </w:r>
      <w:r w:rsidRPr="00FC1444">
        <w:rPr>
          <w:rFonts w:eastAsiaTheme="minorEastAsia"/>
          <w:kern w:val="0"/>
          <w:sz w:val="24"/>
        </w:rPr>
        <w:t>1</w:t>
      </w:r>
      <w:r w:rsidRPr="00FC1444">
        <w:rPr>
          <w:rFonts w:eastAsiaTheme="minorEastAsia"/>
          <w:kern w:val="0"/>
          <w:sz w:val="24"/>
        </w:rPr>
        <w:t>个方肥料桶。各地块肥料通过定量的方式进行控制，以此实现施肥系统的管理。肥料采用商品有机肥，符合</w:t>
      </w:r>
      <w:r w:rsidRPr="00FC1444">
        <w:rPr>
          <w:rFonts w:eastAsiaTheme="minorEastAsia"/>
          <w:sz w:val="24"/>
        </w:rPr>
        <w:t>《有机肥标准》（</w:t>
      </w:r>
      <w:r w:rsidRPr="00FC1444">
        <w:rPr>
          <w:rFonts w:eastAsiaTheme="minorEastAsia"/>
          <w:sz w:val="24"/>
        </w:rPr>
        <w:t>NY525-2021</w:t>
      </w:r>
      <w:r w:rsidRPr="00FC1444">
        <w:rPr>
          <w:rFonts w:eastAsiaTheme="minorEastAsia"/>
          <w:sz w:val="24"/>
        </w:rPr>
        <w:t>）</w:t>
      </w:r>
      <w:r w:rsidRPr="00FC1444">
        <w:rPr>
          <w:rFonts w:eastAsiaTheme="minorEastAsia"/>
          <w:kern w:val="0"/>
          <w:sz w:val="24"/>
        </w:rPr>
        <w:t>标准，不产生异味。项目建成</w:t>
      </w:r>
      <w:r w:rsidRPr="00FC1444">
        <w:rPr>
          <w:rFonts w:eastAsiaTheme="minorEastAsia"/>
          <w:bCs/>
          <w:kern w:val="0"/>
          <w:sz w:val="24"/>
        </w:rPr>
        <w:t>运营期水肥一体化系统由所在村屯日常使用和管理。</w:t>
      </w:r>
    </w:p>
    <w:p w:rsidR="002A5A5E" w:rsidRPr="00FC1444" w:rsidRDefault="00611CBA">
      <w:pPr>
        <w:autoSpaceDE w:val="0"/>
        <w:autoSpaceDN w:val="0"/>
        <w:spacing w:line="360" w:lineRule="auto"/>
        <w:ind w:firstLineChars="200" w:firstLine="480"/>
        <w:rPr>
          <w:rFonts w:eastAsiaTheme="minorEastAsia"/>
          <w:bCs/>
          <w:sz w:val="24"/>
        </w:rPr>
      </w:pPr>
      <w:r w:rsidRPr="00FC1444">
        <w:rPr>
          <w:rFonts w:eastAsiaTheme="minorEastAsia"/>
          <w:sz w:val="24"/>
        </w:rPr>
        <w:t>（</w:t>
      </w:r>
      <w:r w:rsidRPr="00FC1444">
        <w:rPr>
          <w:rFonts w:eastAsiaTheme="minorEastAsia"/>
          <w:sz w:val="24"/>
        </w:rPr>
        <w:t>3</w:t>
      </w:r>
      <w:r w:rsidRPr="00FC1444">
        <w:rPr>
          <w:rFonts w:eastAsiaTheme="minorEastAsia"/>
          <w:sz w:val="24"/>
        </w:rPr>
        <w:t>）</w:t>
      </w:r>
      <w:r w:rsidRPr="00FC1444">
        <w:rPr>
          <w:rFonts w:eastAsiaTheme="minorEastAsia"/>
          <w:bCs/>
          <w:sz w:val="24"/>
        </w:rPr>
        <w:t>灌溉渠道工程</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本项目对项目区内灌溉渠道进行衬砌及修缮，</w:t>
      </w:r>
      <w:r w:rsidR="00B13464" w:rsidRPr="00FC1444">
        <w:rPr>
          <w:rFonts w:eastAsiaTheme="minorEastAsia"/>
          <w:sz w:val="24"/>
        </w:rPr>
        <w:t>渠道衬砌</w:t>
      </w:r>
      <w:r w:rsidR="00B13464" w:rsidRPr="00FC1444">
        <w:rPr>
          <w:rFonts w:eastAsiaTheme="minorEastAsia"/>
          <w:sz w:val="24"/>
        </w:rPr>
        <w:t>35.19km</w:t>
      </w:r>
      <w:r w:rsidRPr="00FC1444">
        <w:rPr>
          <w:rFonts w:eastAsiaTheme="minorEastAsia"/>
          <w:sz w:val="24"/>
        </w:rPr>
        <w:t>，</w:t>
      </w:r>
      <w:r w:rsidR="007D6514" w:rsidRPr="00FC1444">
        <w:rPr>
          <w:rFonts w:eastAsiaTheme="minorEastAsia"/>
          <w:sz w:val="24"/>
        </w:rPr>
        <w:t>采用矩形槽衬砌型式</w:t>
      </w:r>
      <w:r w:rsidRPr="00FC1444">
        <w:rPr>
          <w:rFonts w:eastAsiaTheme="minorEastAsia"/>
          <w:sz w:val="24"/>
        </w:rPr>
        <w:t>。</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预制矩形槽渠道结构设计：渠道底宽小于</w:t>
      </w:r>
      <w:r w:rsidRPr="00FC1444">
        <w:rPr>
          <w:rFonts w:eastAsiaTheme="minorEastAsia"/>
          <w:sz w:val="24"/>
        </w:rPr>
        <w:t>2m</w:t>
      </w:r>
      <w:r w:rsidRPr="00FC1444">
        <w:rPr>
          <w:rFonts w:eastAsiaTheme="minorEastAsia"/>
          <w:sz w:val="24"/>
        </w:rPr>
        <w:t>，多数渠道旁没有道路，现浇混凝土运料、施工困难，采用预制矩形槽衬砌。本次设计采用型号为：</w:t>
      </w:r>
      <w:r w:rsidRPr="00FC1444">
        <w:rPr>
          <w:rFonts w:eastAsiaTheme="minorEastAsia"/>
          <w:sz w:val="24"/>
        </w:rPr>
        <w:t>UD400</w:t>
      </w:r>
      <w:r w:rsidRPr="00FC1444">
        <w:rPr>
          <w:rFonts w:eastAsiaTheme="minorEastAsia"/>
          <w:sz w:val="24"/>
        </w:rPr>
        <w:t>、</w:t>
      </w:r>
      <w:r w:rsidRPr="00FC1444">
        <w:rPr>
          <w:rFonts w:eastAsiaTheme="minorEastAsia"/>
          <w:sz w:val="24"/>
        </w:rPr>
        <w:t>UD600</w:t>
      </w:r>
      <w:r w:rsidRPr="00FC1444">
        <w:rPr>
          <w:rFonts w:eastAsiaTheme="minorEastAsia"/>
          <w:sz w:val="24"/>
        </w:rPr>
        <w:t>、</w:t>
      </w:r>
      <w:r w:rsidRPr="00FC1444">
        <w:rPr>
          <w:rFonts w:eastAsiaTheme="minorEastAsia"/>
          <w:sz w:val="24"/>
        </w:rPr>
        <w:t>UD1000</w:t>
      </w:r>
      <w:r w:rsidRPr="00FC1444">
        <w:rPr>
          <w:rFonts w:eastAsiaTheme="minorEastAsia"/>
          <w:sz w:val="24"/>
        </w:rPr>
        <w:t>预制装配式矩形槽。下设</w:t>
      </w:r>
      <w:r w:rsidRPr="00FC1444">
        <w:rPr>
          <w:rFonts w:eastAsiaTheme="minorEastAsia"/>
          <w:sz w:val="24"/>
        </w:rPr>
        <w:t>20cm</w:t>
      </w:r>
      <w:r w:rsidRPr="00FC1444">
        <w:rPr>
          <w:rFonts w:eastAsiaTheme="minorEastAsia"/>
          <w:sz w:val="24"/>
        </w:rPr>
        <w:t>砂垫层，采用遇水膨胀胶条止水，</w:t>
      </w:r>
      <w:r w:rsidRPr="00FC1444">
        <w:rPr>
          <w:rFonts w:eastAsiaTheme="minorEastAsia"/>
          <w:sz w:val="24"/>
        </w:rPr>
        <w:lastRenderedPageBreak/>
        <w:t>接口采用</w:t>
      </w:r>
      <w:r w:rsidRPr="00FC1444">
        <w:rPr>
          <w:rFonts w:eastAsiaTheme="minorEastAsia"/>
          <w:sz w:val="24"/>
        </w:rPr>
        <w:t>2cm</w:t>
      </w:r>
      <w:r w:rsidRPr="00FC1444">
        <w:rPr>
          <w:rFonts w:eastAsiaTheme="minorEastAsia"/>
          <w:sz w:val="24"/>
        </w:rPr>
        <w:t>硅酮耐候密封胶。</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4</w:t>
      </w:r>
      <w:r w:rsidR="00DB3B37" w:rsidRPr="00FC1444">
        <w:rPr>
          <w:rFonts w:eastAsiaTheme="minorEastAsia"/>
          <w:sz w:val="24"/>
        </w:rPr>
        <w:t>）排水沟清淤</w:t>
      </w:r>
      <w:r w:rsidR="007D6514" w:rsidRPr="00FC1444">
        <w:rPr>
          <w:rFonts w:eastAsiaTheme="minorEastAsia"/>
          <w:sz w:val="24"/>
        </w:rPr>
        <w:t>、衬砌</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本项目排水沟清淤总长度为</w:t>
      </w:r>
      <w:r w:rsidR="009A7624" w:rsidRPr="00FC1444">
        <w:rPr>
          <w:rFonts w:eastAsiaTheme="minorEastAsia"/>
          <w:sz w:val="24"/>
        </w:rPr>
        <w:t>40.638km</w:t>
      </w:r>
      <w:r w:rsidRPr="00FC1444">
        <w:rPr>
          <w:rFonts w:eastAsiaTheme="minorEastAsia"/>
          <w:sz w:val="24"/>
        </w:rPr>
        <w:t>，排水沟分布情况见附图</w:t>
      </w:r>
      <w:r w:rsidRPr="00FC1444">
        <w:rPr>
          <w:rFonts w:eastAsiaTheme="minorEastAsia"/>
          <w:sz w:val="24"/>
        </w:rPr>
        <w:t>9</w:t>
      </w:r>
      <w:r w:rsidRPr="00FC1444">
        <w:rPr>
          <w:rFonts w:eastAsiaTheme="minorEastAsia"/>
          <w:sz w:val="24"/>
        </w:rPr>
        <w:t>。</w:t>
      </w:r>
      <w:r w:rsidRPr="00FC1444">
        <w:rPr>
          <w:rFonts w:eastAsiaTheme="minorEastAsia"/>
          <w:snapToGrid w:val="0"/>
          <w:kern w:val="0"/>
          <w:sz w:val="24"/>
        </w:rPr>
        <w:t>清淤深度</w:t>
      </w:r>
      <w:r w:rsidR="005510C6" w:rsidRPr="00FC1444">
        <w:rPr>
          <w:rFonts w:eastAsiaTheme="minorEastAsia"/>
          <w:snapToGrid w:val="0"/>
          <w:kern w:val="0"/>
          <w:sz w:val="24"/>
        </w:rPr>
        <w:t>约为</w:t>
      </w:r>
      <w:r w:rsidR="005510C6" w:rsidRPr="00FC1444">
        <w:rPr>
          <w:rFonts w:eastAsiaTheme="minorEastAsia"/>
          <w:snapToGrid w:val="0"/>
          <w:kern w:val="0"/>
          <w:sz w:val="24"/>
        </w:rPr>
        <w:t>1</w:t>
      </w:r>
      <w:r w:rsidR="00F10409" w:rsidRPr="00FC1444">
        <w:rPr>
          <w:rFonts w:eastAsiaTheme="minorEastAsia" w:hint="eastAsia"/>
          <w:snapToGrid w:val="0"/>
          <w:kern w:val="0"/>
          <w:sz w:val="24"/>
        </w:rPr>
        <w:t>1</w:t>
      </w:r>
      <w:r w:rsidR="005510C6" w:rsidRPr="00FC1444">
        <w:rPr>
          <w:rFonts w:eastAsiaTheme="minorEastAsia"/>
          <w:sz w:val="24"/>
        </w:rPr>
        <w:t>cm</w:t>
      </w:r>
      <w:r w:rsidR="005510C6" w:rsidRPr="00FC1444">
        <w:rPr>
          <w:rFonts w:eastAsiaTheme="minorEastAsia"/>
          <w:sz w:val="24"/>
        </w:rPr>
        <w:t>，宽度约为</w:t>
      </w:r>
      <w:r w:rsidR="00F10409" w:rsidRPr="00FC1444">
        <w:rPr>
          <w:rFonts w:eastAsiaTheme="minorEastAsia" w:hint="eastAsia"/>
          <w:sz w:val="24"/>
        </w:rPr>
        <w:t>0.8</w:t>
      </w:r>
      <w:r w:rsidR="005510C6" w:rsidRPr="00FC1444">
        <w:rPr>
          <w:rFonts w:eastAsiaTheme="minorEastAsia"/>
          <w:sz w:val="24"/>
        </w:rPr>
        <w:t>m</w:t>
      </w:r>
      <w:r w:rsidRPr="00FC1444">
        <w:rPr>
          <w:rFonts w:eastAsiaTheme="minorEastAsia"/>
          <w:snapToGrid w:val="0"/>
          <w:kern w:val="0"/>
          <w:sz w:val="24"/>
        </w:rPr>
        <w:t>。</w:t>
      </w:r>
      <w:r w:rsidR="005510C6" w:rsidRPr="00FC1444">
        <w:rPr>
          <w:rFonts w:eastAsiaTheme="minorEastAsia"/>
          <w:snapToGrid w:val="0"/>
          <w:kern w:val="0"/>
          <w:sz w:val="24"/>
        </w:rPr>
        <w:t>根据《</w:t>
      </w:r>
      <w:r w:rsidR="00AE168C" w:rsidRPr="00FC1444">
        <w:rPr>
          <w:rFonts w:eastAsiaTheme="minorEastAsia"/>
          <w:snapToGrid w:val="0"/>
          <w:kern w:val="0"/>
          <w:sz w:val="24"/>
        </w:rPr>
        <w:t>北林区</w:t>
      </w:r>
      <w:r w:rsidR="00AE168C" w:rsidRPr="00FC1444">
        <w:rPr>
          <w:rFonts w:eastAsiaTheme="minorEastAsia"/>
          <w:snapToGrid w:val="0"/>
          <w:kern w:val="0"/>
          <w:sz w:val="24"/>
        </w:rPr>
        <w:t>2026</w:t>
      </w:r>
      <w:r w:rsidR="00AE168C" w:rsidRPr="00FC1444">
        <w:rPr>
          <w:rFonts w:eastAsiaTheme="minorEastAsia"/>
          <w:snapToGrid w:val="0"/>
          <w:kern w:val="0"/>
          <w:sz w:val="24"/>
        </w:rPr>
        <w:t>年高标准农田建设项目</w:t>
      </w:r>
      <w:r w:rsidR="005510C6" w:rsidRPr="00FC1444">
        <w:rPr>
          <w:rFonts w:eastAsiaTheme="minorEastAsia"/>
          <w:snapToGrid w:val="0"/>
          <w:kern w:val="0"/>
          <w:sz w:val="24"/>
        </w:rPr>
        <w:t>初步设计》，</w:t>
      </w:r>
      <w:r w:rsidR="005510C6" w:rsidRPr="00FC1444">
        <w:rPr>
          <w:rFonts w:eastAsiaTheme="minorEastAsia"/>
          <w:sz w:val="24"/>
        </w:rPr>
        <w:t>总清淤土方约</w:t>
      </w:r>
      <w:r w:rsidR="00F10409" w:rsidRPr="00FC1444">
        <w:rPr>
          <w:rFonts w:eastAsiaTheme="minorEastAsia" w:hint="eastAsia"/>
          <w:sz w:val="24"/>
        </w:rPr>
        <w:t>3</w:t>
      </w:r>
      <w:r w:rsidR="005510C6" w:rsidRPr="00FC1444">
        <w:rPr>
          <w:rFonts w:eastAsiaTheme="minorEastAsia"/>
          <w:sz w:val="24"/>
        </w:rPr>
        <w:t>550m</w:t>
      </w:r>
      <w:r w:rsidR="005510C6" w:rsidRPr="00FC1444">
        <w:rPr>
          <w:rFonts w:eastAsiaTheme="minorEastAsia"/>
          <w:sz w:val="24"/>
          <w:vertAlign w:val="superscript"/>
        </w:rPr>
        <w:t>3</w:t>
      </w:r>
      <w:r w:rsidR="005510C6" w:rsidRPr="00FC1444">
        <w:rPr>
          <w:rFonts w:eastAsiaTheme="minorEastAsia"/>
          <w:sz w:val="24"/>
        </w:rPr>
        <w:t>，清淤采用挖掘机和人工结合的方式进行。</w:t>
      </w:r>
      <w:r w:rsidR="005510C6" w:rsidRPr="00FC1444">
        <w:rPr>
          <w:rFonts w:eastAsiaTheme="minorEastAsia"/>
          <w:bCs/>
          <w:sz w:val="24"/>
        </w:rPr>
        <w:t>在枯水期施工，</w:t>
      </w:r>
      <w:r w:rsidR="005510C6" w:rsidRPr="00FC1444">
        <w:rPr>
          <w:rFonts w:eastAsiaTheme="minorEastAsia"/>
          <w:sz w:val="24"/>
        </w:rPr>
        <w:t>排水沟淤泥</w:t>
      </w:r>
      <w:r w:rsidR="005510C6" w:rsidRPr="00FC1444">
        <w:rPr>
          <w:rFonts w:eastAsiaTheme="minorEastAsia"/>
          <w:bCs/>
          <w:sz w:val="24"/>
        </w:rPr>
        <w:t>培至工程附近</w:t>
      </w:r>
      <w:r w:rsidR="005510C6" w:rsidRPr="00FC1444">
        <w:rPr>
          <w:rFonts w:eastAsiaTheme="minorEastAsia"/>
          <w:bCs/>
          <w:sz w:val="24"/>
        </w:rPr>
        <w:t>200</w:t>
      </w:r>
      <w:r w:rsidR="005510C6" w:rsidRPr="00FC1444">
        <w:rPr>
          <w:rFonts w:eastAsiaTheme="minorEastAsia"/>
          <w:bCs/>
          <w:sz w:val="24"/>
        </w:rPr>
        <w:t>米范围内无环境保护目标的排水沟两侧</w:t>
      </w:r>
      <w:r w:rsidR="005510C6" w:rsidRPr="00FC1444">
        <w:rPr>
          <w:rFonts w:eastAsiaTheme="minorEastAsia"/>
          <w:sz w:val="24"/>
        </w:rPr>
        <w:t>。</w:t>
      </w:r>
      <w:r w:rsidRPr="00FC1444">
        <w:rPr>
          <w:rFonts w:eastAsiaTheme="minorEastAsia"/>
          <w:kern w:val="10"/>
          <w:sz w:val="24"/>
          <w:szCs w:val="22"/>
        </w:rPr>
        <w:t>本项目排水沟底泥检测样品无重金属污染，底泥污染物均满足</w:t>
      </w:r>
      <w:r w:rsidR="00EE6E53" w:rsidRPr="00FC1444">
        <w:rPr>
          <w:rFonts w:eastAsiaTheme="minorEastAsia"/>
          <w:kern w:val="10"/>
          <w:sz w:val="24"/>
          <w:szCs w:val="22"/>
        </w:rPr>
        <w:t>《土壤环境质量农用地土壤污染风险管控标准（试行）》（</w:t>
      </w:r>
      <w:r w:rsidR="00EE6E53" w:rsidRPr="00FC1444">
        <w:rPr>
          <w:rFonts w:eastAsiaTheme="minorEastAsia"/>
          <w:kern w:val="10"/>
          <w:sz w:val="24"/>
          <w:szCs w:val="22"/>
        </w:rPr>
        <w:t>GB15618-2018</w:t>
      </w:r>
      <w:r w:rsidR="00EE6E53" w:rsidRPr="00FC1444">
        <w:rPr>
          <w:rFonts w:eastAsiaTheme="minorEastAsia"/>
          <w:kern w:val="10"/>
          <w:sz w:val="24"/>
          <w:szCs w:val="22"/>
        </w:rPr>
        <w:t>）表</w:t>
      </w:r>
      <w:r w:rsidR="00EE6E53" w:rsidRPr="00FC1444">
        <w:rPr>
          <w:rFonts w:eastAsiaTheme="minorEastAsia"/>
          <w:kern w:val="10"/>
          <w:sz w:val="24"/>
          <w:szCs w:val="22"/>
        </w:rPr>
        <w:t>1</w:t>
      </w:r>
      <w:r w:rsidR="00EE6E53" w:rsidRPr="00FC1444">
        <w:rPr>
          <w:rFonts w:eastAsiaTheme="minorEastAsia"/>
          <w:kern w:val="10"/>
          <w:sz w:val="24"/>
          <w:szCs w:val="22"/>
        </w:rPr>
        <w:t>、表</w:t>
      </w:r>
      <w:r w:rsidR="00EE6E53" w:rsidRPr="00FC1444">
        <w:rPr>
          <w:rFonts w:eastAsiaTheme="minorEastAsia"/>
          <w:kern w:val="10"/>
          <w:sz w:val="24"/>
          <w:szCs w:val="22"/>
        </w:rPr>
        <w:t>2</w:t>
      </w:r>
      <w:r w:rsidR="00EE6E53" w:rsidRPr="00FC1444">
        <w:rPr>
          <w:rFonts w:eastAsiaTheme="minorEastAsia"/>
          <w:kern w:val="10"/>
          <w:sz w:val="24"/>
          <w:szCs w:val="22"/>
        </w:rPr>
        <w:t>中筛选值要求</w:t>
      </w:r>
      <w:r w:rsidRPr="00FC1444">
        <w:rPr>
          <w:rFonts w:eastAsiaTheme="minorEastAsia"/>
          <w:kern w:val="10"/>
          <w:sz w:val="24"/>
          <w:szCs w:val="22"/>
        </w:rPr>
        <w:t>。</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淤泥处置可行性：排水沟长度为</w:t>
      </w:r>
      <w:r w:rsidR="009A7624" w:rsidRPr="00FC1444">
        <w:rPr>
          <w:rFonts w:eastAsiaTheme="minorEastAsia"/>
          <w:sz w:val="24"/>
        </w:rPr>
        <w:t>40.638km</w:t>
      </w:r>
      <w:r w:rsidRPr="00FC1444">
        <w:rPr>
          <w:rFonts w:eastAsiaTheme="minorEastAsia"/>
          <w:sz w:val="24"/>
        </w:rPr>
        <w:t>，</w:t>
      </w:r>
      <w:r w:rsidR="00730492" w:rsidRPr="00FC1444">
        <w:rPr>
          <w:rFonts w:eastAsiaTheme="minorEastAsia"/>
          <w:bCs/>
          <w:sz w:val="24"/>
        </w:rPr>
        <w:t>排水沟淤泥培至工程附近</w:t>
      </w:r>
      <w:r w:rsidR="00730492" w:rsidRPr="00FC1444">
        <w:rPr>
          <w:rFonts w:eastAsiaTheme="minorEastAsia"/>
          <w:bCs/>
          <w:sz w:val="24"/>
        </w:rPr>
        <w:t>200</w:t>
      </w:r>
      <w:r w:rsidR="00730492" w:rsidRPr="00FC1444">
        <w:rPr>
          <w:rFonts w:eastAsiaTheme="minorEastAsia"/>
          <w:bCs/>
          <w:sz w:val="24"/>
        </w:rPr>
        <w:t>米范围内无环境保护目标的排水沟两侧</w:t>
      </w:r>
      <w:r w:rsidRPr="00FC1444">
        <w:rPr>
          <w:rFonts w:eastAsiaTheme="minorEastAsia"/>
          <w:sz w:val="24"/>
        </w:rPr>
        <w:t>各</w:t>
      </w:r>
      <w:r w:rsidRPr="00FC1444">
        <w:rPr>
          <w:rFonts w:eastAsiaTheme="minorEastAsia"/>
          <w:sz w:val="24"/>
        </w:rPr>
        <w:t>50cm</w:t>
      </w:r>
      <w:r w:rsidRPr="00FC1444">
        <w:rPr>
          <w:rFonts w:eastAsiaTheme="minorEastAsia"/>
          <w:sz w:val="24"/>
        </w:rPr>
        <w:t>，厚</w:t>
      </w:r>
      <w:r w:rsidRPr="00FC1444">
        <w:rPr>
          <w:rFonts w:eastAsiaTheme="minorEastAsia"/>
          <w:sz w:val="24"/>
        </w:rPr>
        <w:t>20cm</w:t>
      </w:r>
      <w:r w:rsidRPr="00FC1444">
        <w:rPr>
          <w:rFonts w:eastAsiaTheme="minorEastAsia"/>
          <w:sz w:val="24"/>
        </w:rPr>
        <w:t>，最大存放量约为</w:t>
      </w:r>
      <w:r w:rsidR="00F10409" w:rsidRPr="00FC1444">
        <w:rPr>
          <w:rFonts w:eastAsiaTheme="minorEastAsia" w:hint="eastAsia"/>
          <w:sz w:val="24"/>
        </w:rPr>
        <w:t>4064</w:t>
      </w:r>
      <w:r w:rsidRPr="00FC1444">
        <w:rPr>
          <w:rFonts w:eastAsiaTheme="minorEastAsia"/>
          <w:sz w:val="24"/>
        </w:rPr>
        <w:t>m</w:t>
      </w:r>
      <w:r w:rsidRPr="00FC1444">
        <w:rPr>
          <w:rFonts w:eastAsiaTheme="minorEastAsia"/>
          <w:sz w:val="24"/>
          <w:vertAlign w:val="superscript"/>
        </w:rPr>
        <w:t>3</w:t>
      </w:r>
      <w:r w:rsidR="00730492" w:rsidRPr="00FC1444">
        <w:rPr>
          <w:rFonts w:eastAsiaTheme="minorEastAsia"/>
          <w:sz w:val="24"/>
        </w:rPr>
        <w:t>，</w:t>
      </w:r>
      <w:r w:rsidRPr="00FC1444">
        <w:rPr>
          <w:rFonts w:eastAsiaTheme="minorEastAsia"/>
          <w:sz w:val="24"/>
        </w:rPr>
        <w:t>本项目总</w:t>
      </w:r>
      <w:r w:rsidR="00F10409" w:rsidRPr="00FC1444">
        <w:rPr>
          <w:rFonts w:eastAsiaTheme="minorEastAsia"/>
          <w:sz w:val="24"/>
        </w:rPr>
        <w:t>清淤土方</w:t>
      </w:r>
      <w:r w:rsidR="00F10409" w:rsidRPr="00FC1444">
        <w:rPr>
          <w:rFonts w:eastAsiaTheme="minorEastAsia"/>
          <w:sz w:val="24"/>
        </w:rPr>
        <w:t>3550</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，故处置可行。</w:t>
      </w:r>
    </w:p>
    <w:p w:rsidR="007D6514" w:rsidRPr="00FC1444" w:rsidRDefault="007D6514" w:rsidP="007D6514">
      <w:pPr>
        <w:autoSpaceDE w:val="0"/>
        <w:autoSpaceDN w:val="0"/>
        <w:spacing w:line="360" w:lineRule="auto"/>
        <w:ind w:firstLineChars="200" w:firstLine="480"/>
        <w:rPr>
          <w:rFonts w:eastAsiaTheme="minorEastAsia"/>
          <w:sz w:val="24"/>
        </w:rPr>
      </w:pPr>
      <w:r w:rsidRPr="00FC1444">
        <w:rPr>
          <w:rFonts w:eastAsiaTheme="minorEastAsia"/>
          <w:sz w:val="24"/>
        </w:rPr>
        <w:t>根据沟道的实际情况，排水沟衬砌</w:t>
      </w:r>
      <w:r w:rsidRPr="00FC1444">
        <w:rPr>
          <w:rFonts w:eastAsiaTheme="minorEastAsia"/>
          <w:sz w:val="24"/>
        </w:rPr>
        <w:t>48</w:t>
      </w:r>
      <w:r w:rsidRPr="00FC1444">
        <w:rPr>
          <w:rFonts w:eastAsiaTheme="minorEastAsia"/>
          <w:sz w:val="24"/>
        </w:rPr>
        <w:t>条，共</w:t>
      </w:r>
      <w:r w:rsidR="009A7624" w:rsidRPr="00FC1444">
        <w:rPr>
          <w:rFonts w:eastAsiaTheme="minorEastAsia"/>
          <w:sz w:val="24"/>
        </w:rPr>
        <w:t>40.638km</w:t>
      </w:r>
      <w:r w:rsidRPr="00FC1444">
        <w:rPr>
          <w:rFonts w:eastAsiaTheme="minorEastAsia"/>
          <w:sz w:val="24"/>
        </w:rPr>
        <w:t>(</w:t>
      </w:r>
      <w:r w:rsidRPr="00FC1444">
        <w:rPr>
          <w:rFonts w:eastAsiaTheme="minorEastAsia"/>
          <w:sz w:val="24"/>
        </w:rPr>
        <w:t>其中格宾石笼护砌</w:t>
      </w:r>
      <w:r w:rsidRPr="00FC1444">
        <w:rPr>
          <w:rFonts w:eastAsiaTheme="minorEastAsia"/>
          <w:sz w:val="24"/>
        </w:rPr>
        <w:t xml:space="preserve"> 6 </w:t>
      </w:r>
      <w:r w:rsidRPr="00FC1444">
        <w:rPr>
          <w:rFonts w:eastAsiaTheme="minorEastAsia"/>
          <w:sz w:val="24"/>
        </w:rPr>
        <w:t>条总长</w:t>
      </w:r>
      <w:r w:rsidRPr="00FC1444">
        <w:rPr>
          <w:rFonts w:eastAsiaTheme="minorEastAsia"/>
          <w:sz w:val="24"/>
        </w:rPr>
        <w:t>10.18km</w:t>
      </w:r>
      <w:r w:rsidR="00F73E9B" w:rsidRPr="00FC1444">
        <w:rPr>
          <w:rFonts w:eastAsiaTheme="minorEastAsia"/>
          <w:sz w:val="24"/>
        </w:rPr>
        <w:t>、</w:t>
      </w:r>
      <w:r w:rsidRPr="00FC1444">
        <w:rPr>
          <w:rFonts w:eastAsiaTheme="minorEastAsia"/>
          <w:sz w:val="24"/>
        </w:rPr>
        <w:t>波浪桩护砌</w:t>
      </w:r>
      <w:r w:rsidRPr="00FC1444">
        <w:rPr>
          <w:rFonts w:eastAsiaTheme="minorEastAsia"/>
          <w:sz w:val="24"/>
        </w:rPr>
        <w:t>2</w:t>
      </w:r>
      <w:r w:rsidRPr="00FC1444">
        <w:rPr>
          <w:rFonts w:eastAsiaTheme="minorEastAsia"/>
          <w:sz w:val="24"/>
        </w:rPr>
        <w:t>条总长</w:t>
      </w:r>
      <w:r w:rsidRPr="00FC1444">
        <w:rPr>
          <w:rFonts w:eastAsiaTheme="minorEastAsia"/>
          <w:sz w:val="24"/>
        </w:rPr>
        <w:t>3.948km</w:t>
      </w:r>
      <w:r w:rsidR="00F73E9B" w:rsidRPr="00FC1444">
        <w:rPr>
          <w:rFonts w:eastAsiaTheme="minorEastAsia"/>
          <w:sz w:val="24"/>
        </w:rPr>
        <w:t>、</w:t>
      </w:r>
      <w:r w:rsidRPr="00FC1444">
        <w:rPr>
          <w:rFonts w:eastAsiaTheme="minorEastAsia"/>
          <w:sz w:val="24"/>
        </w:rPr>
        <w:t>预制矩形槽护砌</w:t>
      </w:r>
      <w:r w:rsidRPr="00FC1444">
        <w:rPr>
          <w:rFonts w:eastAsiaTheme="minorEastAsia"/>
          <w:sz w:val="24"/>
        </w:rPr>
        <w:t>13</w:t>
      </w:r>
      <w:r w:rsidRPr="00FC1444">
        <w:rPr>
          <w:rFonts w:eastAsiaTheme="minorEastAsia"/>
          <w:sz w:val="24"/>
        </w:rPr>
        <w:t>条总长</w:t>
      </w:r>
      <w:r w:rsidRPr="00FC1444">
        <w:rPr>
          <w:rFonts w:eastAsiaTheme="minorEastAsia"/>
          <w:sz w:val="24"/>
        </w:rPr>
        <w:t>15.16km</w:t>
      </w:r>
      <w:r w:rsidR="00F73E9B" w:rsidRPr="00FC1444">
        <w:rPr>
          <w:rFonts w:eastAsiaTheme="minorEastAsia"/>
          <w:sz w:val="24"/>
        </w:rPr>
        <w:t>、</w:t>
      </w:r>
      <w:r w:rsidRPr="00FC1444">
        <w:rPr>
          <w:rFonts w:eastAsiaTheme="minorEastAsia"/>
          <w:sz w:val="24"/>
        </w:rPr>
        <w:t>雷诺护砌</w:t>
      </w:r>
      <w:r w:rsidRPr="00FC1444">
        <w:rPr>
          <w:rFonts w:eastAsiaTheme="minorEastAsia"/>
          <w:sz w:val="24"/>
        </w:rPr>
        <w:t>27</w:t>
      </w:r>
      <w:r w:rsidRPr="00FC1444">
        <w:rPr>
          <w:rFonts w:eastAsiaTheme="minorEastAsia"/>
          <w:sz w:val="24"/>
        </w:rPr>
        <w:t>条总长</w:t>
      </w:r>
      <w:r w:rsidRPr="00FC1444">
        <w:rPr>
          <w:rFonts w:eastAsiaTheme="minorEastAsia"/>
          <w:sz w:val="24"/>
        </w:rPr>
        <w:t>40.638km)</w:t>
      </w:r>
      <w:r w:rsidRPr="00FC1444">
        <w:rPr>
          <w:rFonts w:eastAsiaTheme="minorEastAsia"/>
          <w:sz w:val="24"/>
        </w:rPr>
        <w:t>。</w:t>
      </w:r>
    </w:p>
    <w:p w:rsidR="007D6514" w:rsidRPr="00FC1444" w:rsidRDefault="007D6514" w:rsidP="007D6514">
      <w:pPr>
        <w:adjustRightInd w:val="0"/>
        <w:spacing w:line="360" w:lineRule="auto"/>
        <w:ind w:firstLineChars="200" w:firstLine="480"/>
        <w:rPr>
          <w:rFonts w:eastAsiaTheme="minorEastAsia"/>
          <w:kern w:val="0"/>
          <w:sz w:val="24"/>
          <w:szCs w:val="20"/>
        </w:rPr>
      </w:pPr>
      <w:r w:rsidRPr="00FC1444">
        <w:rPr>
          <w:rFonts w:eastAsiaTheme="minorEastAsia"/>
          <w:kern w:val="0"/>
          <w:sz w:val="24"/>
          <w:szCs w:val="20"/>
        </w:rPr>
        <w:t>本项目区有多处承泄区的沟道水位高于项目区内的支沟水位，无法自流排出，使得耕地存在被淹隐患，需要配备强排设备，解决内涝问题。共布置</w:t>
      </w:r>
      <w:r w:rsidRPr="00FC1444">
        <w:rPr>
          <w:rFonts w:eastAsiaTheme="minorEastAsia"/>
          <w:kern w:val="0"/>
          <w:sz w:val="24"/>
          <w:szCs w:val="20"/>
        </w:rPr>
        <w:t>15</w:t>
      </w:r>
      <w:r w:rsidRPr="00FC1444">
        <w:rPr>
          <w:rFonts w:eastAsiaTheme="minorEastAsia"/>
          <w:kern w:val="0"/>
          <w:sz w:val="24"/>
          <w:szCs w:val="20"/>
        </w:rPr>
        <w:t>台。本次设计移动泵车流量：</w:t>
      </w:r>
      <w:r w:rsidRPr="00FC1444">
        <w:rPr>
          <w:rFonts w:eastAsiaTheme="minorEastAsia"/>
          <w:kern w:val="0"/>
          <w:sz w:val="24"/>
          <w:szCs w:val="20"/>
        </w:rPr>
        <w:t>0.13m³/s</w:t>
      </w:r>
      <w:r w:rsidRPr="00FC1444">
        <w:rPr>
          <w:rFonts w:eastAsiaTheme="minorEastAsia"/>
          <w:kern w:val="0"/>
          <w:sz w:val="24"/>
          <w:szCs w:val="20"/>
        </w:rPr>
        <w:t>，扬程：</w:t>
      </w:r>
      <w:r w:rsidRPr="00FC1444">
        <w:rPr>
          <w:rFonts w:eastAsiaTheme="minorEastAsia"/>
          <w:kern w:val="0"/>
          <w:sz w:val="24"/>
          <w:szCs w:val="20"/>
        </w:rPr>
        <w:t>10m</w:t>
      </w:r>
      <w:r w:rsidRPr="00FC1444">
        <w:rPr>
          <w:rFonts w:eastAsiaTheme="minorEastAsia"/>
          <w:kern w:val="0"/>
          <w:sz w:val="24"/>
          <w:szCs w:val="20"/>
        </w:rPr>
        <w:t>，功率：</w:t>
      </w:r>
      <w:r w:rsidRPr="00FC1444">
        <w:rPr>
          <w:rFonts w:eastAsiaTheme="minorEastAsia"/>
          <w:kern w:val="0"/>
          <w:sz w:val="24"/>
          <w:szCs w:val="20"/>
        </w:rPr>
        <w:t>22KW</w:t>
      </w:r>
      <w:r w:rsidRPr="00FC1444">
        <w:rPr>
          <w:rFonts w:eastAsiaTheme="minorEastAsia"/>
          <w:kern w:val="0"/>
          <w:sz w:val="24"/>
          <w:szCs w:val="20"/>
        </w:rPr>
        <w:t>，水泵流量为</w:t>
      </w:r>
      <w:r w:rsidRPr="00FC1444">
        <w:rPr>
          <w:rFonts w:eastAsiaTheme="minorEastAsia"/>
          <w:kern w:val="0"/>
          <w:sz w:val="24"/>
          <w:szCs w:val="20"/>
        </w:rPr>
        <w:t>600m³/h</w:t>
      </w:r>
      <w:r w:rsidRPr="00FC1444">
        <w:rPr>
          <w:rFonts w:eastAsiaTheme="minorEastAsia"/>
          <w:kern w:val="0"/>
          <w:sz w:val="24"/>
          <w:szCs w:val="20"/>
        </w:rPr>
        <w:t>。</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5</w:t>
      </w:r>
      <w:r w:rsidRPr="00FC1444">
        <w:rPr>
          <w:rFonts w:eastAsiaTheme="minorEastAsia"/>
          <w:sz w:val="24"/>
        </w:rPr>
        <w:t>）建筑物工程</w:t>
      </w:r>
    </w:p>
    <w:p w:rsidR="002A5A5E" w:rsidRPr="00FC1444" w:rsidRDefault="00611CBA" w:rsidP="007D6514">
      <w:pPr>
        <w:autoSpaceDE w:val="0"/>
        <w:autoSpaceDN w:val="0"/>
        <w:spacing w:line="360" w:lineRule="auto"/>
        <w:ind w:firstLineChars="200" w:firstLine="480"/>
        <w:rPr>
          <w:rFonts w:eastAsiaTheme="minorEastAsia"/>
          <w:sz w:val="24"/>
        </w:rPr>
      </w:pPr>
      <w:r w:rsidRPr="00FC1444">
        <w:rPr>
          <w:rFonts w:eastAsiaTheme="minorEastAsia"/>
          <w:sz w:val="24"/>
        </w:rPr>
        <w:t>本项目建设涵洞</w:t>
      </w:r>
      <w:r w:rsidR="007D6514" w:rsidRPr="00FC1444">
        <w:rPr>
          <w:rFonts w:eastAsiaTheme="minorEastAsia"/>
          <w:sz w:val="24"/>
        </w:rPr>
        <w:t>691</w:t>
      </w:r>
      <w:r w:rsidR="00F10409" w:rsidRPr="00FC1444">
        <w:rPr>
          <w:rFonts w:eastAsiaTheme="minorEastAsia"/>
          <w:sz w:val="24"/>
        </w:rPr>
        <w:t>座</w:t>
      </w:r>
      <w:r w:rsidRPr="00FC1444">
        <w:rPr>
          <w:rFonts w:eastAsiaTheme="minorEastAsia"/>
          <w:sz w:val="24"/>
        </w:rPr>
        <w:t>。新建过水路面</w:t>
      </w:r>
      <w:r w:rsidR="007D6514" w:rsidRPr="00FC1444">
        <w:rPr>
          <w:rFonts w:eastAsiaTheme="minorEastAsia"/>
          <w:sz w:val="24"/>
        </w:rPr>
        <w:t>19</w:t>
      </w:r>
      <w:r w:rsidRPr="00FC1444">
        <w:rPr>
          <w:rFonts w:eastAsiaTheme="minorEastAsia"/>
          <w:sz w:val="24"/>
        </w:rPr>
        <w:t>座、</w:t>
      </w:r>
      <w:r w:rsidR="007D6514" w:rsidRPr="00FC1444">
        <w:rPr>
          <w:rFonts w:eastAsiaTheme="minorEastAsia"/>
          <w:sz w:val="24"/>
        </w:rPr>
        <w:t>毛门</w:t>
      </w:r>
      <w:r w:rsidR="007D6514" w:rsidRPr="00FC1444">
        <w:rPr>
          <w:rFonts w:eastAsiaTheme="minorEastAsia"/>
          <w:sz w:val="24"/>
        </w:rPr>
        <w:t>708</w:t>
      </w:r>
      <w:r w:rsidR="007D6514" w:rsidRPr="00FC1444">
        <w:rPr>
          <w:rFonts w:eastAsiaTheme="minorEastAsia"/>
          <w:sz w:val="24"/>
        </w:rPr>
        <w:t>座</w:t>
      </w:r>
      <w:r w:rsidR="006409A5" w:rsidRPr="00FC1444">
        <w:rPr>
          <w:rFonts w:eastAsiaTheme="minorEastAsia"/>
          <w:sz w:val="24"/>
        </w:rPr>
        <w:t>、</w:t>
      </w:r>
      <w:r w:rsidR="007D6514" w:rsidRPr="00FC1444">
        <w:rPr>
          <w:rFonts w:eastAsiaTheme="minorEastAsia"/>
          <w:sz w:val="24"/>
        </w:rPr>
        <w:t>排水管</w:t>
      </w:r>
      <w:r w:rsidR="007D6514" w:rsidRPr="00FC1444">
        <w:rPr>
          <w:rFonts w:eastAsiaTheme="minorEastAsia"/>
          <w:sz w:val="24"/>
        </w:rPr>
        <w:t>708</w:t>
      </w:r>
      <w:r w:rsidR="007D6514" w:rsidRPr="00FC1444">
        <w:rPr>
          <w:rFonts w:eastAsiaTheme="minorEastAsia"/>
          <w:sz w:val="24"/>
        </w:rPr>
        <w:t>座、农门</w:t>
      </w:r>
      <w:r w:rsidR="007D6514" w:rsidRPr="00FC1444">
        <w:rPr>
          <w:rFonts w:eastAsiaTheme="minorEastAsia"/>
          <w:sz w:val="24"/>
        </w:rPr>
        <w:t>47</w:t>
      </w:r>
      <w:r w:rsidR="007D6514" w:rsidRPr="00FC1444">
        <w:rPr>
          <w:rFonts w:eastAsiaTheme="minorEastAsia"/>
          <w:sz w:val="24"/>
        </w:rPr>
        <w:t>座、节制闸</w:t>
      </w:r>
      <w:r w:rsidR="007D6514" w:rsidRPr="00FC1444">
        <w:rPr>
          <w:rFonts w:eastAsiaTheme="minorEastAsia"/>
          <w:sz w:val="24"/>
        </w:rPr>
        <w:t>354</w:t>
      </w:r>
      <w:r w:rsidR="007D6514" w:rsidRPr="00FC1444">
        <w:rPr>
          <w:rFonts w:eastAsiaTheme="minorEastAsia"/>
          <w:sz w:val="24"/>
        </w:rPr>
        <w:t>座、农桥</w:t>
      </w:r>
      <w:r w:rsidR="007D6514" w:rsidRPr="00FC1444">
        <w:rPr>
          <w:rFonts w:eastAsiaTheme="minorEastAsia"/>
          <w:sz w:val="24"/>
        </w:rPr>
        <w:t>1</w:t>
      </w:r>
      <w:r w:rsidR="007D6514" w:rsidRPr="00FC1444">
        <w:rPr>
          <w:rFonts w:eastAsiaTheme="minorEastAsia"/>
          <w:sz w:val="24"/>
        </w:rPr>
        <w:t>座、退水闸</w:t>
      </w:r>
      <w:r w:rsidR="007D6514" w:rsidRPr="00FC1444">
        <w:rPr>
          <w:rFonts w:eastAsiaTheme="minorEastAsia"/>
          <w:sz w:val="24"/>
        </w:rPr>
        <w:t>2</w:t>
      </w:r>
      <w:r w:rsidR="007D6514" w:rsidRPr="00FC1444">
        <w:rPr>
          <w:rFonts w:eastAsiaTheme="minorEastAsia"/>
          <w:sz w:val="24"/>
        </w:rPr>
        <w:t>座</w:t>
      </w:r>
      <w:r w:rsidRPr="00FC1444">
        <w:rPr>
          <w:rFonts w:eastAsiaTheme="minorEastAsia"/>
          <w:sz w:val="24"/>
        </w:rPr>
        <w:t>。</w:t>
      </w:r>
      <w:r w:rsidR="007D6514" w:rsidRPr="00FC1444">
        <w:rPr>
          <w:rFonts w:eastAsiaTheme="minorEastAsia"/>
          <w:bCs/>
          <w:sz w:val="24"/>
        </w:rPr>
        <w:t>节制闸、</w:t>
      </w:r>
      <w:r w:rsidR="007D6514" w:rsidRPr="00FC1444">
        <w:rPr>
          <w:rFonts w:eastAsiaTheme="minorEastAsia"/>
          <w:sz w:val="24"/>
        </w:rPr>
        <w:t>退水闸</w:t>
      </w:r>
      <w:r w:rsidRPr="00FC1444">
        <w:rPr>
          <w:rFonts w:eastAsiaTheme="minorEastAsia"/>
          <w:sz w:val="24"/>
        </w:rPr>
        <w:t>位于现有支渠上，具体位置见附图</w:t>
      </w:r>
      <w:r w:rsidRPr="00FC1444">
        <w:rPr>
          <w:rFonts w:eastAsiaTheme="minorEastAsia"/>
          <w:sz w:val="24"/>
        </w:rPr>
        <w:t>9</w:t>
      </w:r>
      <w:r w:rsidRPr="00FC1444">
        <w:rPr>
          <w:rFonts w:eastAsiaTheme="minorEastAsia"/>
          <w:sz w:val="24"/>
        </w:rPr>
        <w:t>。</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涵洞：</w:t>
      </w:r>
    </w:p>
    <w:p w:rsidR="002A5A5E" w:rsidRPr="00FC1444" w:rsidRDefault="00611CBA">
      <w:pPr>
        <w:autoSpaceDE w:val="0"/>
        <w:autoSpaceDN w:val="0"/>
        <w:spacing w:line="360" w:lineRule="auto"/>
        <w:ind w:firstLineChars="200" w:firstLine="480"/>
        <w:rPr>
          <w:rFonts w:eastAsiaTheme="minorEastAsia"/>
          <w:sz w:val="24"/>
        </w:rPr>
      </w:pPr>
      <w:r w:rsidRPr="00FC1444">
        <w:rPr>
          <w:rFonts w:ascii="宋体" w:hAnsi="宋体" w:cs="宋体" w:hint="eastAsia"/>
          <w:sz w:val="24"/>
        </w:rPr>
        <w:t>①</w:t>
      </w:r>
      <w:r w:rsidRPr="00FC1444">
        <w:rPr>
          <w:rFonts w:eastAsiaTheme="minorEastAsia"/>
          <w:sz w:val="24"/>
        </w:rPr>
        <w:t>设计参数</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设计流量：采用</w:t>
      </w:r>
      <w:r w:rsidRPr="00FC1444">
        <w:rPr>
          <w:rFonts w:eastAsiaTheme="minorEastAsia"/>
          <w:sz w:val="24"/>
        </w:rPr>
        <w:t>10</w:t>
      </w:r>
      <w:r w:rsidRPr="00FC1444">
        <w:rPr>
          <w:rFonts w:eastAsiaTheme="minorEastAsia"/>
          <w:sz w:val="24"/>
        </w:rPr>
        <w:t>年一遇，</w:t>
      </w:r>
      <w:r w:rsidRPr="00FC1444">
        <w:rPr>
          <w:rFonts w:eastAsiaTheme="minorEastAsia"/>
          <w:sz w:val="24"/>
        </w:rPr>
        <w:t>1</w:t>
      </w:r>
      <w:r w:rsidRPr="00FC1444">
        <w:rPr>
          <w:rFonts w:eastAsiaTheme="minorEastAsia"/>
          <w:sz w:val="24"/>
        </w:rPr>
        <w:t>日暴雨</w:t>
      </w:r>
      <w:r w:rsidRPr="00FC1444">
        <w:rPr>
          <w:rFonts w:eastAsiaTheme="minorEastAsia"/>
          <w:sz w:val="24"/>
        </w:rPr>
        <w:t>2</w:t>
      </w:r>
      <w:r w:rsidRPr="00FC1444">
        <w:rPr>
          <w:rFonts w:eastAsiaTheme="minorEastAsia"/>
          <w:sz w:val="24"/>
        </w:rPr>
        <w:t>日排出</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建筑物级别：主要建筑物级别为</w:t>
      </w:r>
      <w:r w:rsidRPr="00FC1444">
        <w:rPr>
          <w:rFonts w:eastAsiaTheme="minorEastAsia"/>
          <w:sz w:val="24"/>
        </w:rPr>
        <w:t>5</w:t>
      </w:r>
      <w:r w:rsidRPr="00FC1444">
        <w:rPr>
          <w:rFonts w:eastAsiaTheme="minorEastAsia"/>
          <w:sz w:val="24"/>
        </w:rPr>
        <w:t>级</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汽车车辆荷载：公路</w:t>
      </w:r>
      <w:r w:rsidRPr="00FC1444">
        <w:rPr>
          <w:rFonts w:eastAsiaTheme="minorEastAsia"/>
          <w:sz w:val="24"/>
        </w:rPr>
        <w:t>Ⅱ</w:t>
      </w:r>
      <w:r w:rsidRPr="00FC1444">
        <w:rPr>
          <w:rFonts w:eastAsiaTheme="minorEastAsia"/>
          <w:sz w:val="24"/>
        </w:rPr>
        <w:t>级汽车荷载</w:t>
      </w:r>
    </w:p>
    <w:p w:rsidR="002A5A5E" w:rsidRPr="00FC1444" w:rsidRDefault="00611CBA" w:rsidP="00F73E9B">
      <w:pPr>
        <w:pStyle w:val="affffffffd"/>
        <w:numPr>
          <w:ilvl w:val="0"/>
          <w:numId w:val="10"/>
        </w:numPr>
        <w:autoSpaceDE w:val="0"/>
        <w:autoSpaceDN w:val="0"/>
        <w:spacing w:line="360" w:lineRule="auto"/>
        <w:ind w:firstLineChars="0"/>
        <w:rPr>
          <w:rFonts w:eastAsiaTheme="minorEastAsia"/>
          <w:sz w:val="24"/>
        </w:rPr>
      </w:pPr>
      <w:r w:rsidRPr="00FC1444">
        <w:rPr>
          <w:rFonts w:eastAsiaTheme="minorEastAsia"/>
          <w:sz w:val="24"/>
        </w:rPr>
        <w:t>结构形式和尺寸</w:t>
      </w:r>
    </w:p>
    <w:p w:rsidR="002A5A5E" w:rsidRPr="00FC1444" w:rsidRDefault="00F73E9B" w:rsidP="00F73E9B">
      <w:pPr>
        <w:adjustRightInd w:val="0"/>
        <w:spacing w:line="360" w:lineRule="auto"/>
        <w:ind w:firstLineChars="200" w:firstLine="480"/>
        <w:rPr>
          <w:rFonts w:eastAsiaTheme="minorEastAsia"/>
          <w:bCs/>
          <w:sz w:val="24"/>
        </w:rPr>
      </w:pPr>
      <w:r w:rsidRPr="00FC1444">
        <w:rPr>
          <w:rFonts w:eastAsiaTheme="minorEastAsia"/>
          <w:bCs/>
          <w:sz w:val="24"/>
        </w:rPr>
        <w:t>计圆涵结构为预制混凝土管，预制涵管采用国标</w:t>
      </w:r>
      <w:r w:rsidRPr="00FC1444">
        <w:rPr>
          <w:rFonts w:eastAsiaTheme="minorEastAsia"/>
          <w:bCs/>
          <w:sz w:val="24"/>
        </w:rPr>
        <w:t>II</w:t>
      </w:r>
      <w:r w:rsidRPr="00FC1444">
        <w:rPr>
          <w:rFonts w:eastAsiaTheme="minorEastAsia"/>
          <w:bCs/>
          <w:sz w:val="24"/>
        </w:rPr>
        <w:t>级钢筋混凝土管，涵洞顶覆土</w:t>
      </w:r>
      <w:r w:rsidRPr="00FC1444">
        <w:rPr>
          <w:rFonts w:eastAsiaTheme="minorEastAsia"/>
          <w:bCs/>
          <w:sz w:val="24"/>
        </w:rPr>
        <w:t>50cm</w:t>
      </w:r>
      <w:r w:rsidRPr="00FC1444">
        <w:rPr>
          <w:rFonts w:eastAsiaTheme="minorEastAsia"/>
          <w:bCs/>
          <w:sz w:val="24"/>
        </w:rPr>
        <w:t>，涵底铺设</w:t>
      </w:r>
      <w:r w:rsidRPr="00FC1444">
        <w:rPr>
          <w:rFonts w:eastAsiaTheme="minorEastAsia"/>
          <w:bCs/>
          <w:sz w:val="24"/>
        </w:rPr>
        <w:t>C20F200</w:t>
      </w:r>
      <w:r w:rsidRPr="00FC1444">
        <w:rPr>
          <w:rFonts w:eastAsiaTheme="minorEastAsia"/>
          <w:bCs/>
          <w:sz w:val="24"/>
        </w:rPr>
        <w:t>混凝土垫层</w:t>
      </w:r>
      <w:r w:rsidRPr="00FC1444">
        <w:rPr>
          <w:rFonts w:eastAsiaTheme="minorEastAsia"/>
          <w:bCs/>
          <w:sz w:val="24"/>
        </w:rPr>
        <w:t>10cm</w:t>
      </w:r>
      <w:r w:rsidRPr="00FC1444">
        <w:rPr>
          <w:rFonts w:eastAsiaTheme="minorEastAsia"/>
          <w:bCs/>
          <w:sz w:val="24"/>
        </w:rPr>
        <w:t>和水撼砂</w:t>
      </w:r>
      <w:r w:rsidRPr="00FC1444">
        <w:rPr>
          <w:rFonts w:eastAsiaTheme="minorEastAsia"/>
          <w:bCs/>
          <w:sz w:val="24"/>
        </w:rPr>
        <w:t>1m</w:t>
      </w:r>
      <w:r w:rsidRPr="00FC1444">
        <w:rPr>
          <w:rFonts w:eastAsiaTheme="minorEastAsia"/>
          <w:bCs/>
          <w:sz w:val="24"/>
        </w:rPr>
        <w:t>厚。钢筋混凝</w:t>
      </w:r>
      <w:r w:rsidRPr="00FC1444">
        <w:rPr>
          <w:rFonts w:eastAsiaTheme="minorEastAsia"/>
          <w:bCs/>
          <w:sz w:val="24"/>
        </w:rPr>
        <w:lastRenderedPageBreak/>
        <w:t>土挡土墙长</w:t>
      </w:r>
      <w:r w:rsidRPr="00FC1444">
        <w:rPr>
          <w:rFonts w:eastAsiaTheme="minorEastAsia"/>
          <w:bCs/>
          <w:sz w:val="24"/>
        </w:rPr>
        <w:t>4m</w:t>
      </w:r>
      <w:r w:rsidRPr="00FC1444">
        <w:rPr>
          <w:rFonts w:eastAsiaTheme="minorEastAsia"/>
          <w:bCs/>
          <w:sz w:val="24"/>
        </w:rPr>
        <w:t>，上下游做共</w:t>
      </w:r>
      <w:r w:rsidRPr="00FC1444">
        <w:rPr>
          <w:rFonts w:eastAsiaTheme="minorEastAsia"/>
          <w:bCs/>
          <w:sz w:val="24"/>
        </w:rPr>
        <w:t>5m</w:t>
      </w:r>
      <w:r w:rsidRPr="00FC1444">
        <w:rPr>
          <w:rFonts w:eastAsiaTheme="minorEastAsia"/>
          <w:bCs/>
          <w:sz w:val="24"/>
        </w:rPr>
        <w:t>长格宾护砌</w:t>
      </w:r>
      <w:r w:rsidR="00611CBA" w:rsidRPr="00FC1444">
        <w:rPr>
          <w:rFonts w:eastAsiaTheme="minorEastAsia"/>
          <w:bCs/>
          <w:sz w:val="24"/>
        </w:rPr>
        <w:t>。</w:t>
      </w:r>
    </w:p>
    <w:p w:rsidR="002A5A5E" w:rsidRPr="00FC1444" w:rsidRDefault="00F73E9B" w:rsidP="00F73E9B">
      <w:pPr>
        <w:adjustRightInd w:val="0"/>
        <w:spacing w:line="360" w:lineRule="auto"/>
        <w:ind w:firstLineChars="200" w:firstLine="480"/>
        <w:rPr>
          <w:rFonts w:eastAsiaTheme="minorEastAsia"/>
          <w:bCs/>
          <w:sz w:val="24"/>
        </w:rPr>
      </w:pPr>
      <w:r w:rsidRPr="00FC1444">
        <w:rPr>
          <w:rFonts w:eastAsiaTheme="minorEastAsia"/>
          <w:bCs/>
          <w:sz w:val="24"/>
        </w:rPr>
        <w:t>方涵结构为钢筋混凝土结构盖板涵</w:t>
      </w:r>
      <w:r w:rsidR="00611CBA" w:rsidRPr="00FC1444">
        <w:rPr>
          <w:rFonts w:eastAsiaTheme="minorEastAsia"/>
          <w:bCs/>
          <w:sz w:val="24"/>
        </w:rPr>
        <w:t>。</w:t>
      </w:r>
      <w:r w:rsidRPr="00FC1444">
        <w:rPr>
          <w:rFonts w:eastAsiaTheme="minorEastAsia"/>
          <w:bCs/>
          <w:sz w:val="24"/>
        </w:rPr>
        <w:t>3×2</w:t>
      </w:r>
      <w:r w:rsidRPr="00FC1444">
        <w:rPr>
          <w:rFonts w:eastAsiaTheme="minorEastAsia"/>
          <w:bCs/>
          <w:sz w:val="24"/>
        </w:rPr>
        <w:t>方涵：盖板采用现浇</w:t>
      </w:r>
      <w:r w:rsidRPr="00FC1444">
        <w:rPr>
          <w:rFonts w:eastAsiaTheme="minorEastAsia"/>
          <w:bCs/>
          <w:sz w:val="24"/>
        </w:rPr>
        <w:t>C25F200</w:t>
      </w:r>
      <w:r w:rsidRPr="00FC1444">
        <w:rPr>
          <w:rFonts w:eastAsiaTheme="minorEastAsia"/>
          <w:bCs/>
          <w:sz w:val="24"/>
        </w:rPr>
        <w:t>钢筋混凝盖板厚</w:t>
      </w:r>
      <w:r w:rsidRPr="00FC1444">
        <w:rPr>
          <w:rFonts w:eastAsiaTheme="minorEastAsia"/>
          <w:bCs/>
          <w:sz w:val="24"/>
        </w:rPr>
        <w:t>40cm</w:t>
      </w:r>
      <w:r w:rsidRPr="00FC1444">
        <w:rPr>
          <w:rFonts w:eastAsiaTheme="minorEastAsia"/>
          <w:bCs/>
          <w:sz w:val="24"/>
        </w:rPr>
        <w:t>，底板为</w:t>
      </w:r>
      <w:r w:rsidRPr="00FC1444">
        <w:rPr>
          <w:rFonts w:eastAsiaTheme="minorEastAsia"/>
          <w:bCs/>
          <w:sz w:val="24"/>
        </w:rPr>
        <w:t xml:space="preserve"> C25F200 </w:t>
      </w:r>
      <w:r w:rsidRPr="00FC1444">
        <w:rPr>
          <w:rFonts w:eastAsiaTheme="minorEastAsia"/>
          <w:bCs/>
          <w:sz w:val="24"/>
        </w:rPr>
        <w:t>钢筋混凝盖板厚</w:t>
      </w:r>
      <w:r w:rsidRPr="00FC1444">
        <w:rPr>
          <w:rFonts w:eastAsiaTheme="minorEastAsia"/>
          <w:bCs/>
          <w:sz w:val="24"/>
        </w:rPr>
        <w:t xml:space="preserve"> 50cm</w:t>
      </w:r>
      <w:r w:rsidRPr="00FC1444">
        <w:rPr>
          <w:rFonts w:eastAsiaTheme="minorEastAsia"/>
          <w:bCs/>
          <w:sz w:val="24"/>
        </w:rPr>
        <w:t>，下设素混凝土垫层</w:t>
      </w:r>
      <w:r w:rsidRPr="00FC1444">
        <w:rPr>
          <w:rFonts w:eastAsiaTheme="minorEastAsia"/>
          <w:bCs/>
          <w:sz w:val="24"/>
        </w:rPr>
        <w:t>10cm</w:t>
      </w:r>
      <w:r w:rsidRPr="00FC1444">
        <w:rPr>
          <w:rFonts w:eastAsiaTheme="minorEastAsia"/>
          <w:bCs/>
          <w:sz w:val="24"/>
        </w:rPr>
        <w:t>和水撼砂</w:t>
      </w:r>
      <w:r w:rsidRPr="00FC1444">
        <w:rPr>
          <w:rFonts w:eastAsiaTheme="minorEastAsia"/>
          <w:bCs/>
          <w:sz w:val="24"/>
        </w:rPr>
        <w:t>1.7m</w:t>
      </w:r>
      <w:r w:rsidRPr="00FC1444">
        <w:rPr>
          <w:rFonts w:eastAsiaTheme="minorEastAsia"/>
          <w:bCs/>
          <w:sz w:val="24"/>
        </w:rPr>
        <w:t>厚，设钢筋混凝土挡土墙，上下游做共</w:t>
      </w:r>
      <w:r w:rsidRPr="00FC1444">
        <w:rPr>
          <w:rFonts w:eastAsiaTheme="minorEastAsia"/>
          <w:bCs/>
          <w:sz w:val="24"/>
        </w:rPr>
        <w:t>10m</w:t>
      </w:r>
      <w:r w:rsidRPr="00FC1444">
        <w:rPr>
          <w:rFonts w:eastAsiaTheme="minorEastAsia"/>
          <w:bCs/>
          <w:sz w:val="24"/>
        </w:rPr>
        <w:t>长格宾护砌。</w:t>
      </w:r>
      <w:r w:rsidRPr="00FC1444">
        <w:rPr>
          <w:rFonts w:eastAsiaTheme="minorEastAsia"/>
          <w:bCs/>
          <w:sz w:val="24"/>
        </w:rPr>
        <w:t>1×1</w:t>
      </w:r>
      <w:r w:rsidRPr="00FC1444">
        <w:rPr>
          <w:rFonts w:eastAsiaTheme="minorEastAsia"/>
          <w:bCs/>
          <w:sz w:val="24"/>
        </w:rPr>
        <w:t>方涵：盖板采用现浇</w:t>
      </w:r>
      <w:r w:rsidRPr="00FC1444">
        <w:rPr>
          <w:rFonts w:eastAsiaTheme="minorEastAsia"/>
          <w:bCs/>
          <w:sz w:val="24"/>
        </w:rPr>
        <w:t>C25F200</w:t>
      </w:r>
      <w:r w:rsidRPr="00FC1444">
        <w:rPr>
          <w:rFonts w:eastAsiaTheme="minorEastAsia"/>
          <w:bCs/>
          <w:sz w:val="24"/>
        </w:rPr>
        <w:t>钢筋混凝盖板厚</w:t>
      </w:r>
      <w:r w:rsidRPr="00FC1444">
        <w:rPr>
          <w:rFonts w:eastAsiaTheme="minorEastAsia"/>
          <w:bCs/>
          <w:sz w:val="24"/>
        </w:rPr>
        <w:t>30cm</w:t>
      </w:r>
      <w:r w:rsidRPr="00FC1444">
        <w:rPr>
          <w:rFonts w:eastAsiaTheme="minorEastAsia"/>
          <w:bCs/>
          <w:sz w:val="24"/>
        </w:rPr>
        <w:t>，底板为</w:t>
      </w:r>
      <w:r w:rsidRPr="00FC1444">
        <w:rPr>
          <w:rFonts w:eastAsiaTheme="minorEastAsia"/>
          <w:bCs/>
          <w:sz w:val="24"/>
        </w:rPr>
        <w:t>C25F200</w:t>
      </w:r>
      <w:r w:rsidRPr="00FC1444">
        <w:rPr>
          <w:rFonts w:eastAsiaTheme="minorEastAsia"/>
          <w:bCs/>
          <w:sz w:val="24"/>
        </w:rPr>
        <w:t>钢筋混凝盖板厚</w:t>
      </w:r>
      <w:r w:rsidRPr="00FC1444">
        <w:rPr>
          <w:rFonts w:eastAsiaTheme="minorEastAsia"/>
          <w:bCs/>
          <w:sz w:val="24"/>
        </w:rPr>
        <w:t>35cm</w:t>
      </w:r>
      <w:r w:rsidRPr="00FC1444">
        <w:rPr>
          <w:rFonts w:eastAsiaTheme="minorEastAsia"/>
          <w:bCs/>
          <w:sz w:val="24"/>
        </w:rPr>
        <w:t>，下设素混凝土垫层</w:t>
      </w:r>
      <w:r w:rsidRPr="00FC1444">
        <w:rPr>
          <w:rFonts w:eastAsiaTheme="minorEastAsia"/>
          <w:bCs/>
          <w:sz w:val="24"/>
        </w:rPr>
        <w:t>10cm</w:t>
      </w:r>
      <w:r w:rsidRPr="00FC1444">
        <w:rPr>
          <w:rFonts w:eastAsiaTheme="minorEastAsia"/>
          <w:bCs/>
          <w:sz w:val="24"/>
        </w:rPr>
        <w:t>和水撼砂</w:t>
      </w:r>
      <w:r w:rsidRPr="00FC1444">
        <w:rPr>
          <w:rFonts w:eastAsiaTheme="minorEastAsia"/>
          <w:bCs/>
          <w:sz w:val="24"/>
        </w:rPr>
        <w:t>1m</w:t>
      </w:r>
      <w:r w:rsidRPr="00FC1444">
        <w:rPr>
          <w:rFonts w:eastAsiaTheme="minorEastAsia"/>
          <w:bCs/>
          <w:sz w:val="24"/>
        </w:rPr>
        <w:t>厚，设钢筋混凝土挡土墙，上下游做共</w:t>
      </w:r>
      <w:r w:rsidRPr="00FC1444">
        <w:rPr>
          <w:rFonts w:eastAsiaTheme="minorEastAsia"/>
          <w:bCs/>
          <w:sz w:val="24"/>
        </w:rPr>
        <w:t>10m</w:t>
      </w:r>
      <w:r w:rsidRPr="00FC1444">
        <w:rPr>
          <w:rFonts w:eastAsiaTheme="minorEastAsia"/>
          <w:bCs/>
          <w:sz w:val="24"/>
        </w:rPr>
        <w:t>长格宾护砌。</w:t>
      </w:r>
    </w:p>
    <w:p w:rsidR="002A5A5E" w:rsidRPr="00FC1444" w:rsidRDefault="00611CBA">
      <w:pPr>
        <w:adjustRightInd w:val="0"/>
        <w:spacing w:line="360" w:lineRule="auto"/>
        <w:ind w:firstLineChars="200" w:firstLine="480"/>
        <w:rPr>
          <w:rFonts w:eastAsiaTheme="minorEastAsia"/>
          <w:bCs/>
          <w:sz w:val="24"/>
        </w:rPr>
      </w:pPr>
      <w:r w:rsidRPr="00FC1444">
        <w:rPr>
          <w:rFonts w:eastAsiaTheme="minorEastAsia"/>
          <w:bCs/>
          <w:sz w:val="24"/>
        </w:rPr>
        <w:t>过水路面：</w:t>
      </w:r>
    </w:p>
    <w:p w:rsidR="002A5A5E" w:rsidRPr="00FC1444" w:rsidRDefault="00F73E9B" w:rsidP="00F73E9B">
      <w:pPr>
        <w:adjustRightInd w:val="0"/>
        <w:spacing w:line="360" w:lineRule="auto"/>
        <w:ind w:firstLineChars="200" w:firstLine="480"/>
        <w:rPr>
          <w:rFonts w:eastAsiaTheme="minorEastAsia"/>
          <w:bCs/>
          <w:sz w:val="24"/>
        </w:rPr>
      </w:pPr>
      <w:r w:rsidRPr="00FC1444">
        <w:rPr>
          <w:rFonts w:eastAsiaTheme="minorEastAsia"/>
          <w:bCs/>
          <w:sz w:val="24"/>
        </w:rPr>
        <w:t>过水路面宽度为</w:t>
      </w:r>
      <w:r w:rsidRPr="00FC1444">
        <w:rPr>
          <w:rFonts w:eastAsiaTheme="minorEastAsia"/>
          <w:bCs/>
          <w:sz w:val="24"/>
        </w:rPr>
        <w:t>4m</w:t>
      </w:r>
      <w:r w:rsidRPr="00FC1444">
        <w:rPr>
          <w:rFonts w:eastAsiaTheme="minorEastAsia"/>
          <w:bCs/>
          <w:sz w:val="24"/>
        </w:rPr>
        <w:t>。过水路面从上至下结构为</w:t>
      </w:r>
      <w:r w:rsidRPr="00FC1444">
        <w:rPr>
          <w:rFonts w:eastAsiaTheme="minorEastAsia"/>
          <w:bCs/>
          <w:sz w:val="24"/>
        </w:rPr>
        <w:t xml:space="preserve">20cmC30 </w:t>
      </w:r>
      <w:r w:rsidRPr="00FC1444">
        <w:rPr>
          <w:rFonts w:eastAsiaTheme="minorEastAsia"/>
          <w:bCs/>
          <w:sz w:val="24"/>
        </w:rPr>
        <w:t>混凝土面层，</w:t>
      </w:r>
      <w:r w:rsidRPr="00FC1444">
        <w:rPr>
          <w:rFonts w:eastAsiaTheme="minorEastAsia"/>
          <w:bCs/>
          <w:sz w:val="24"/>
        </w:rPr>
        <w:t>20cm6%</w:t>
      </w:r>
      <w:r w:rsidRPr="00FC1444">
        <w:rPr>
          <w:rFonts w:eastAsiaTheme="minorEastAsia"/>
          <w:bCs/>
          <w:sz w:val="24"/>
        </w:rPr>
        <w:t>水泥稳定砂砾，</w:t>
      </w:r>
      <w:r w:rsidRPr="00FC1444">
        <w:rPr>
          <w:rFonts w:eastAsiaTheme="minorEastAsia"/>
          <w:bCs/>
          <w:sz w:val="24"/>
        </w:rPr>
        <w:t>50cm</w:t>
      </w:r>
      <w:r w:rsidRPr="00FC1444">
        <w:rPr>
          <w:rFonts w:eastAsiaTheme="minorEastAsia"/>
          <w:bCs/>
          <w:sz w:val="24"/>
        </w:rPr>
        <w:t>砂砾换填，路面两侧设格宾石笼挡墙，厚</w:t>
      </w:r>
      <w:r w:rsidRPr="00FC1444">
        <w:rPr>
          <w:rFonts w:eastAsiaTheme="minorEastAsia"/>
          <w:bCs/>
          <w:sz w:val="24"/>
        </w:rPr>
        <w:t>50cm</w:t>
      </w:r>
      <w:r w:rsidR="00611CBA" w:rsidRPr="00FC1444">
        <w:rPr>
          <w:rFonts w:eastAsiaTheme="minorEastAsia"/>
          <w:bCs/>
          <w:sz w:val="24"/>
        </w:rPr>
        <w:t>。</w:t>
      </w:r>
    </w:p>
    <w:p w:rsidR="002A5A5E" w:rsidRPr="00FC1444" w:rsidRDefault="00DC0156" w:rsidP="00DC0156">
      <w:pPr>
        <w:adjustRightInd w:val="0"/>
        <w:spacing w:line="360" w:lineRule="auto"/>
        <w:ind w:firstLineChars="200" w:firstLine="480"/>
        <w:rPr>
          <w:rFonts w:eastAsiaTheme="minorEastAsia"/>
          <w:bCs/>
          <w:sz w:val="24"/>
        </w:rPr>
      </w:pPr>
      <w:r w:rsidRPr="00FC1444">
        <w:rPr>
          <w:rFonts w:eastAsiaTheme="minorEastAsia"/>
          <w:bCs/>
          <w:sz w:val="24"/>
        </w:rPr>
        <w:t>退水闸</w:t>
      </w:r>
      <w:r w:rsidR="00611CBA" w:rsidRPr="00FC1444">
        <w:rPr>
          <w:rFonts w:eastAsiaTheme="minorEastAsia"/>
          <w:bCs/>
          <w:sz w:val="24"/>
        </w:rPr>
        <w:t>：</w:t>
      </w:r>
    </w:p>
    <w:p w:rsidR="002A5A5E" w:rsidRPr="00FC1444" w:rsidRDefault="00611CBA" w:rsidP="00DC0156">
      <w:pPr>
        <w:adjustRightInd w:val="0"/>
        <w:spacing w:line="360" w:lineRule="auto"/>
        <w:ind w:firstLineChars="200" w:firstLine="480"/>
        <w:rPr>
          <w:rFonts w:eastAsiaTheme="minorEastAsia"/>
          <w:sz w:val="24"/>
        </w:rPr>
      </w:pPr>
      <w:r w:rsidRPr="00FC1444">
        <w:rPr>
          <w:rFonts w:eastAsiaTheme="minorEastAsia"/>
          <w:sz w:val="24"/>
        </w:rPr>
        <w:t>本项目建设</w:t>
      </w:r>
      <w:r w:rsidR="00DC0156" w:rsidRPr="00FC1444">
        <w:rPr>
          <w:rFonts w:eastAsiaTheme="minorEastAsia"/>
          <w:bCs/>
          <w:sz w:val="24"/>
        </w:rPr>
        <w:t>退水闸</w:t>
      </w:r>
      <w:r w:rsidR="00DC0156" w:rsidRPr="00FC1444">
        <w:rPr>
          <w:rFonts w:eastAsiaTheme="minorEastAsia"/>
          <w:sz w:val="24"/>
        </w:rPr>
        <w:t>2</w:t>
      </w:r>
      <w:r w:rsidRPr="00FC1444">
        <w:rPr>
          <w:rFonts w:eastAsiaTheme="minorEastAsia"/>
          <w:sz w:val="24"/>
        </w:rPr>
        <w:t>座</w:t>
      </w:r>
      <w:r w:rsidR="00FB5B36" w:rsidRPr="00FC1444">
        <w:rPr>
          <w:rFonts w:eastAsiaTheme="minorEastAsia"/>
          <w:sz w:val="24"/>
        </w:rPr>
        <w:t>，</w:t>
      </w:r>
      <w:r w:rsidR="00DC0156" w:rsidRPr="00FC1444">
        <w:rPr>
          <w:rFonts w:eastAsiaTheme="minorEastAsia"/>
          <w:sz w:val="24"/>
        </w:rPr>
        <w:t>水闸由洞身段和进出口翼墙组成，翼墙为一字形结构，墙厚度为</w:t>
      </w:r>
      <w:r w:rsidR="00DC0156" w:rsidRPr="00FC1444">
        <w:rPr>
          <w:rFonts w:eastAsiaTheme="minorEastAsia"/>
          <w:sz w:val="24"/>
        </w:rPr>
        <w:t>0.4m</w:t>
      </w:r>
      <w:r w:rsidR="00DC0156" w:rsidRPr="00FC1444">
        <w:rPr>
          <w:rFonts w:eastAsiaTheme="minorEastAsia"/>
          <w:sz w:val="24"/>
        </w:rPr>
        <w:t>，基础埋深</w:t>
      </w:r>
      <w:r w:rsidR="00DC0156" w:rsidRPr="00FC1444">
        <w:rPr>
          <w:rFonts w:eastAsiaTheme="minorEastAsia"/>
          <w:sz w:val="24"/>
        </w:rPr>
        <w:t>1.9m</w:t>
      </w:r>
      <w:r w:rsidR="00DC0156" w:rsidRPr="00FC1444">
        <w:rPr>
          <w:rFonts w:eastAsiaTheme="minorEastAsia"/>
          <w:sz w:val="24"/>
        </w:rPr>
        <w:t>，垫层下设</w:t>
      </w:r>
      <w:r w:rsidR="00DC0156" w:rsidRPr="00FC1444">
        <w:rPr>
          <w:rFonts w:eastAsiaTheme="minorEastAsia"/>
          <w:sz w:val="24"/>
        </w:rPr>
        <w:t xml:space="preserve">0.15m </w:t>
      </w:r>
      <w:r w:rsidR="00DC0156" w:rsidRPr="00FC1444">
        <w:rPr>
          <w:rFonts w:eastAsiaTheme="minorEastAsia"/>
          <w:sz w:val="24"/>
        </w:rPr>
        <w:t>保温板减小冻胀力，保温板采用聚苯乙烯泡沫塑料板，压缩强度不小于</w:t>
      </w:r>
      <w:r w:rsidR="00DC0156" w:rsidRPr="00FC1444">
        <w:rPr>
          <w:rFonts w:eastAsiaTheme="minorEastAsia"/>
          <w:sz w:val="24"/>
        </w:rPr>
        <w:t>150kpa</w:t>
      </w:r>
      <w:r w:rsidR="00DC0156" w:rsidRPr="00FC1444">
        <w:rPr>
          <w:rFonts w:eastAsiaTheme="minorEastAsia"/>
          <w:sz w:val="24"/>
        </w:rPr>
        <w:t>，表观密度应大于</w:t>
      </w:r>
      <w:r w:rsidR="00DC0156" w:rsidRPr="00FC1444">
        <w:rPr>
          <w:rFonts w:eastAsiaTheme="minorEastAsia"/>
          <w:sz w:val="24"/>
        </w:rPr>
        <w:t>30kg/m³</w:t>
      </w:r>
      <w:r w:rsidR="00DC0156" w:rsidRPr="00FC1444">
        <w:rPr>
          <w:rFonts w:eastAsiaTheme="minorEastAsia"/>
          <w:sz w:val="24"/>
        </w:rPr>
        <w:t>，进出口采用格宾笼护砌，下铺设</w:t>
      </w:r>
      <w:r w:rsidR="00DC0156" w:rsidRPr="00FC1444">
        <w:rPr>
          <w:rFonts w:eastAsiaTheme="minorEastAsia"/>
          <w:sz w:val="24"/>
        </w:rPr>
        <w:t>10cm</w:t>
      </w:r>
      <w:r w:rsidR="00DC0156" w:rsidRPr="00FC1444">
        <w:rPr>
          <w:rFonts w:eastAsiaTheme="minorEastAsia"/>
          <w:sz w:val="24"/>
        </w:rPr>
        <w:t>砂砾石垫层，无纺布一层</w:t>
      </w:r>
      <w:r w:rsidRPr="00FC1444">
        <w:rPr>
          <w:rFonts w:eastAsiaTheme="minorEastAsia"/>
          <w:sz w:val="24"/>
        </w:rPr>
        <w:t>。</w:t>
      </w:r>
    </w:p>
    <w:p w:rsidR="004949BE" w:rsidRPr="00FC1444" w:rsidRDefault="004949BE" w:rsidP="004949BE">
      <w:pPr>
        <w:adjustRightInd w:val="0"/>
        <w:spacing w:line="360" w:lineRule="auto"/>
        <w:ind w:firstLineChars="200" w:firstLine="480"/>
        <w:rPr>
          <w:rFonts w:eastAsiaTheme="minorEastAsia"/>
          <w:sz w:val="24"/>
        </w:rPr>
      </w:pPr>
      <w:r w:rsidRPr="00FC1444">
        <w:rPr>
          <w:rFonts w:eastAsiaTheme="minorEastAsia"/>
          <w:sz w:val="24"/>
        </w:rPr>
        <w:t>农桥：</w:t>
      </w:r>
    </w:p>
    <w:p w:rsidR="00D06768" w:rsidRPr="00FC1444" w:rsidRDefault="00D06768" w:rsidP="00D06768">
      <w:pPr>
        <w:autoSpaceDE w:val="0"/>
        <w:autoSpaceDN w:val="0"/>
        <w:spacing w:line="360" w:lineRule="auto"/>
        <w:ind w:firstLineChars="200" w:firstLine="480"/>
        <w:rPr>
          <w:rFonts w:eastAsiaTheme="minorEastAsia"/>
          <w:sz w:val="24"/>
        </w:rPr>
      </w:pPr>
      <w:r w:rsidRPr="00FC1444">
        <w:rPr>
          <w:rFonts w:ascii="宋体" w:hAnsi="宋体" w:cs="宋体" w:hint="eastAsia"/>
          <w:sz w:val="24"/>
        </w:rPr>
        <w:t>①</w:t>
      </w:r>
      <w:r w:rsidRPr="00FC1444">
        <w:rPr>
          <w:rFonts w:eastAsiaTheme="minorEastAsia"/>
          <w:sz w:val="24"/>
        </w:rPr>
        <w:t>设计参数</w:t>
      </w:r>
    </w:p>
    <w:p w:rsidR="00D06768" w:rsidRPr="00FC1444" w:rsidRDefault="00D06768" w:rsidP="00D06768">
      <w:pPr>
        <w:autoSpaceDE w:val="0"/>
        <w:autoSpaceDN w:val="0"/>
        <w:spacing w:line="360" w:lineRule="auto"/>
        <w:ind w:firstLineChars="200" w:firstLine="480"/>
        <w:rPr>
          <w:rFonts w:eastAsiaTheme="minorEastAsia"/>
          <w:sz w:val="24"/>
        </w:rPr>
      </w:pPr>
      <w:r w:rsidRPr="00FC1444">
        <w:rPr>
          <w:rFonts w:eastAsiaTheme="minorEastAsia"/>
          <w:sz w:val="24"/>
        </w:rPr>
        <w:t>公路等级：等外级道路</w:t>
      </w:r>
    </w:p>
    <w:p w:rsidR="00D06768" w:rsidRPr="00FC1444" w:rsidRDefault="00D06768" w:rsidP="00D06768">
      <w:pPr>
        <w:autoSpaceDE w:val="0"/>
        <w:autoSpaceDN w:val="0"/>
        <w:spacing w:line="360" w:lineRule="auto"/>
        <w:ind w:firstLineChars="200" w:firstLine="480"/>
        <w:rPr>
          <w:rFonts w:eastAsiaTheme="minorEastAsia"/>
          <w:sz w:val="24"/>
        </w:rPr>
      </w:pPr>
      <w:r w:rsidRPr="00FC1444">
        <w:rPr>
          <w:rFonts w:eastAsiaTheme="minorEastAsia"/>
          <w:sz w:val="24"/>
        </w:rPr>
        <w:t>设计速度：</w:t>
      </w:r>
      <w:r w:rsidRPr="00FC1444">
        <w:rPr>
          <w:rFonts w:eastAsiaTheme="minorEastAsia"/>
          <w:sz w:val="24"/>
        </w:rPr>
        <w:t>20km/h</w:t>
      </w:r>
    </w:p>
    <w:p w:rsidR="00D06768" w:rsidRPr="00FC1444" w:rsidRDefault="00D06768" w:rsidP="00D06768">
      <w:pPr>
        <w:autoSpaceDE w:val="0"/>
        <w:autoSpaceDN w:val="0"/>
        <w:spacing w:line="360" w:lineRule="auto"/>
        <w:ind w:firstLineChars="200" w:firstLine="480"/>
        <w:rPr>
          <w:rFonts w:eastAsiaTheme="minorEastAsia"/>
          <w:sz w:val="24"/>
        </w:rPr>
      </w:pPr>
      <w:r w:rsidRPr="00FC1444">
        <w:rPr>
          <w:rFonts w:eastAsiaTheme="minorEastAsia"/>
          <w:sz w:val="24"/>
        </w:rPr>
        <w:t>设计荷载：农桥</w:t>
      </w:r>
      <w:r w:rsidRPr="00FC1444">
        <w:rPr>
          <w:rFonts w:eastAsiaTheme="minorEastAsia"/>
          <w:sz w:val="24"/>
        </w:rPr>
        <w:t>Ⅰ</w:t>
      </w:r>
      <w:r w:rsidRPr="00FC1444">
        <w:rPr>
          <w:rFonts w:eastAsiaTheme="minorEastAsia"/>
          <w:sz w:val="24"/>
        </w:rPr>
        <w:t>级</w:t>
      </w:r>
    </w:p>
    <w:p w:rsidR="00D06768" w:rsidRPr="00FC1444" w:rsidRDefault="009840DD" w:rsidP="00D06768">
      <w:pPr>
        <w:autoSpaceDE w:val="0"/>
        <w:autoSpaceDN w:val="0"/>
        <w:spacing w:line="360" w:lineRule="auto"/>
        <w:ind w:firstLineChars="200" w:firstLine="480"/>
        <w:rPr>
          <w:rFonts w:eastAsiaTheme="minorEastAsia"/>
          <w:sz w:val="24"/>
        </w:rPr>
      </w:pPr>
      <w:r w:rsidRPr="00FC1444">
        <w:rPr>
          <w:rFonts w:eastAsiaTheme="minorEastAsia"/>
          <w:sz w:val="24"/>
        </w:rPr>
        <w:fldChar w:fldCharType="begin"/>
      </w:r>
      <w:r w:rsidR="00D06768" w:rsidRPr="00FC1444">
        <w:rPr>
          <w:rFonts w:eastAsiaTheme="minorEastAsia"/>
          <w:sz w:val="24"/>
        </w:rPr>
        <w:instrText xml:space="preserve"> = 2 \* GB3 </w:instrText>
      </w:r>
      <w:r w:rsidRPr="00FC1444">
        <w:rPr>
          <w:rFonts w:eastAsiaTheme="minorEastAsia"/>
          <w:sz w:val="24"/>
        </w:rPr>
        <w:fldChar w:fldCharType="separate"/>
      </w:r>
      <w:r w:rsidR="00D06768" w:rsidRPr="00FC1444">
        <w:rPr>
          <w:rFonts w:ascii="宋体" w:hAnsi="宋体" w:cs="宋体" w:hint="eastAsia"/>
          <w:noProof/>
          <w:sz w:val="24"/>
        </w:rPr>
        <w:t>②</w:t>
      </w:r>
      <w:r w:rsidRPr="00FC1444">
        <w:rPr>
          <w:rFonts w:eastAsiaTheme="minorEastAsia"/>
          <w:sz w:val="24"/>
        </w:rPr>
        <w:fldChar w:fldCharType="end"/>
      </w:r>
      <w:r w:rsidR="00D06768" w:rsidRPr="00FC1444">
        <w:rPr>
          <w:rFonts w:eastAsiaTheme="minorEastAsia"/>
          <w:sz w:val="24"/>
        </w:rPr>
        <w:t>结构形式和尺寸</w:t>
      </w:r>
    </w:p>
    <w:p w:rsidR="00D06768" w:rsidRPr="00FC1444" w:rsidRDefault="00D06768" w:rsidP="0090240D">
      <w:pPr>
        <w:adjustRightInd w:val="0"/>
        <w:spacing w:line="360" w:lineRule="auto"/>
        <w:ind w:firstLineChars="200" w:firstLine="480"/>
        <w:rPr>
          <w:rFonts w:eastAsiaTheme="minorEastAsia"/>
          <w:sz w:val="24"/>
        </w:rPr>
      </w:pPr>
      <w:r w:rsidRPr="00FC1444">
        <w:rPr>
          <w:rFonts w:eastAsiaTheme="minorEastAsia"/>
          <w:sz w:val="24"/>
        </w:rPr>
        <w:t>上部采用装配式钢筋混凝土简支板梁，采用空心板，桥面铺装采用连续型式，在桥台处设置伸缩缝或假缝，搭板下采用</w:t>
      </w:r>
      <w:r w:rsidRPr="00FC1444">
        <w:rPr>
          <w:rFonts w:eastAsiaTheme="minorEastAsia"/>
          <w:sz w:val="24"/>
        </w:rPr>
        <w:t>1m</w:t>
      </w:r>
      <w:r w:rsidRPr="00FC1444">
        <w:rPr>
          <w:rFonts w:eastAsiaTheme="minorEastAsia"/>
          <w:sz w:val="24"/>
        </w:rPr>
        <w:t>厚砂砾石层换填。下部采用钢筋混凝土双柱式墩、台，钻孔灌注桩基础。钻孔灌注桩基</w:t>
      </w:r>
      <w:r w:rsidRPr="00FC1444">
        <w:rPr>
          <w:rFonts w:eastAsiaTheme="minorEastAsia"/>
          <w:sz w:val="24"/>
        </w:rPr>
        <w:t>337</w:t>
      </w:r>
      <w:r w:rsidRPr="00FC1444">
        <w:rPr>
          <w:rFonts w:eastAsiaTheme="minorEastAsia"/>
          <w:sz w:val="24"/>
        </w:rPr>
        <w:t>础入土深度</w:t>
      </w:r>
      <w:r w:rsidRPr="00FC1444">
        <w:rPr>
          <w:rFonts w:eastAsiaTheme="minorEastAsia"/>
          <w:sz w:val="24"/>
        </w:rPr>
        <w:t>18m</w:t>
      </w:r>
      <w:r w:rsidRPr="00FC1444">
        <w:rPr>
          <w:rFonts w:eastAsiaTheme="minorEastAsia"/>
          <w:sz w:val="24"/>
        </w:rPr>
        <w:t>，农道桥灌注桩桩径采用</w:t>
      </w:r>
      <w:r w:rsidRPr="00FC1444">
        <w:rPr>
          <w:rFonts w:eastAsiaTheme="minorEastAsia"/>
          <w:sz w:val="24"/>
        </w:rPr>
        <w:t>0.8m</w:t>
      </w:r>
      <w:r w:rsidRPr="00FC1444">
        <w:rPr>
          <w:rFonts w:eastAsiaTheme="minorEastAsia"/>
          <w:sz w:val="24"/>
        </w:rPr>
        <w:t>。桥面净宽按双车道桥梁设计，行车道宽度根据原有路面宽度不小于</w:t>
      </w:r>
      <w:r w:rsidRPr="00FC1444">
        <w:rPr>
          <w:rFonts w:eastAsiaTheme="minorEastAsia"/>
          <w:sz w:val="24"/>
        </w:rPr>
        <w:t>6.0m</w:t>
      </w:r>
      <w:r w:rsidRPr="00FC1444">
        <w:rPr>
          <w:rFonts w:eastAsiaTheme="minorEastAsia"/>
          <w:sz w:val="24"/>
        </w:rPr>
        <w:t>，两侧防撞墙各</w:t>
      </w:r>
      <w:r w:rsidRPr="00FC1444">
        <w:rPr>
          <w:rFonts w:eastAsiaTheme="minorEastAsia"/>
          <w:sz w:val="24"/>
        </w:rPr>
        <w:t>0.5m</w:t>
      </w:r>
      <w:r w:rsidRPr="00FC1444">
        <w:rPr>
          <w:rFonts w:eastAsiaTheme="minorEastAsia"/>
          <w:sz w:val="24"/>
        </w:rPr>
        <w:t>。桥面与原有道路的两侧连接设置引道，坡比</w:t>
      </w:r>
      <w:r w:rsidRPr="00FC1444">
        <w:rPr>
          <w:rFonts w:eastAsiaTheme="minorEastAsia"/>
          <w:sz w:val="24"/>
        </w:rPr>
        <w:t xml:space="preserve"> 1:20</w:t>
      </w:r>
      <w:r w:rsidRPr="00FC1444">
        <w:rPr>
          <w:rFonts w:eastAsiaTheme="minorEastAsia"/>
          <w:sz w:val="24"/>
        </w:rPr>
        <w:t>。桥下护砌长为</w:t>
      </w:r>
      <w:r w:rsidRPr="00FC1444">
        <w:rPr>
          <w:rFonts w:eastAsiaTheme="minorEastAsia"/>
          <w:sz w:val="24"/>
        </w:rPr>
        <w:t>20m</w:t>
      </w:r>
      <w:r w:rsidRPr="00FC1444">
        <w:rPr>
          <w:rFonts w:eastAsiaTheme="minorEastAsia"/>
          <w:sz w:val="24"/>
        </w:rPr>
        <w:t>。</w:t>
      </w:r>
    </w:p>
    <w:p w:rsidR="002A5A5E" w:rsidRPr="00FC1444" w:rsidRDefault="00611CBA">
      <w:pPr>
        <w:autoSpaceDE w:val="0"/>
        <w:autoSpaceDN w:val="0"/>
        <w:spacing w:before="100" w:beforeAutospacing="1" w:after="100" w:afterAutospacing="1"/>
        <w:ind w:firstLineChars="49" w:firstLine="118"/>
        <w:outlineLvl w:val="3"/>
        <w:rPr>
          <w:rFonts w:eastAsiaTheme="minorEastAsia"/>
          <w:b/>
          <w:sz w:val="24"/>
        </w:rPr>
      </w:pPr>
      <w:r w:rsidRPr="00FC1444">
        <w:rPr>
          <w:rFonts w:eastAsiaTheme="minorEastAsia"/>
          <w:b/>
          <w:sz w:val="24"/>
        </w:rPr>
        <w:t>3.1.6.2</w:t>
      </w:r>
      <w:r w:rsidRPr="00FC1444">
        <w:rPr>
          <w:rFonts w:eastAsiaTheme="minorEastAsia"/>
          <w:b/>
          <w:bCs/>
          <w:sz w:val="24"/>
        </w:rPr>
        <w:t>田间道路工程</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现有田间道路均为土路，为了满足农民出行、便于田间作业与田间管理、同</w:t>
      </w:r>
      <w:r w:rsidRPr="00FC1444">
        <w:rPr>
          <w:rFonts w:eastAsiaTheme="minorEastAsia"/>
          <w:sz w:val="24"/>
        </w:rPr>
        <w:lastRenderedPageBreak/>
        <w:t>时满足农业机械化生产的需要，建设道路工程。道路工程在原有土路上进行建设，本次不拓宽，不新开垦道路，耕路不涉及平交，不涉及砍伐树木，施工人员主要为附近村屯居民，本次不设置施工营地，施工料场设置于各道路的起点、中点及终点位置，在道路占地范围内设置施工料场，不新增临时占地。</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本项目田间道路工程主要服务于耕作需求，道路等级不高，在混凝土路面建设完成后，应在其终凝前进行养护，通常在混凝土浇筑完毕后</w:t>
      </w:r>
      <w:r w:rsidRPr="00FC1444">
        <w:rPr>
          <w:rFonts w:eastAsiaTheme="minorEastAsia"/>
          <w:sz w:val="24"/>
        </w:rPr>
        <w:t>8</w:t>
      </w:r>
      <w:r w:rsidRPr="00FC1444">
        <w:rPr>
          <w:rFonts w:eastAsiaTheme="minorEastAsia"/>
          <w:sz w:val="24"/>
        </w:rPr>
        <w:t>～</w:t>
      </w:r>
      <w:r w:rsidRPr="00FC1444">
        <w:rPr>
          <w:rFonts w:eastAsiaTheme="minorEastAsia"/>
          <w:sz w:val="24"/>
        </w:rPr>
        <w:t>12</w:t>
      </w:r>
      <w:r w:rsidRPr="00FC1444">
        <w:rPr>
          <w:rFonts w:eastAsiaTheme="minorEastAsia"/>
          <w:sz w:val="24"/>
        </w:rPr>
        <w:t>小时内自然养护，同时喷洒少量水，养护水自然蒸发。</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项目区共修缮现有田间道路</w:t>
      </w:r>
      <w:r w:rsidR="00DF0EB9" w:rsidRPr="00FC1444">
        <w:rPr>
          <w:rFonts w:eastAsiaTheme="minorEastAsia"/>
          <w:sz w:val="24"/>
        </w:rPr>
        <w:t>184</w:t>
      </w:r>
      <w:r w:rsidRPr="00FC1444">
        <w:rPr>
          <w:rFonts w:eastAsiaTheme="minorEastAsia"/>
          <w:sz w:val="24"/>
        </w:rPr>
        <w:t>条，不拓宽，不新开垦道路，其中：机耕路（土路改为水泥混凝土路）</w:t>
      </w:r>
      <w:r w:rsidR="00DF0EB9" w:rsidRPr="00FC1444">
        <w:rPr>
          <w:rFonts w:eastAsiaTheme="minorEastAsia"/>
          <w:bCs/>
          <w:sz w:val="24"/>
        </w:rPr>
        <w:t>67</w:t>
      </w:r>
      <w:r w:rsidRPr="00FC1444">
        <w:rPr>
          <w:rFonts w:eastAsiaTheme="minorEastAsia"/>
          <w:bCs/>
          <w:sz w:val="24"/>
        </w:rPr>
        <w:t>条，共</w:t>
      </w:r>
      <w:r w:rsidR="00DF0EB9" w:rsidRPr="00FC1444">
        <w:rPr>
          <w:rFonts w:eastAsiaTheme="minorEastAsia"/>
          <w:bCs/>
          <w:sz w:val="24"/>
        </w:rPr>
        <w:t>54.083</w:t>
      </w:r>
      <w:r w:rsidRPr="00FC1444">
        <w:rPr>
          <w:rFonts w:eastAsiaTheme="minorEastAsia"/>
          <w:bCs/>
          <w:sz w:val="24"/>
        </w:rPr>
        <w:t>km</w:t>
      </w:r>
      <w:r w:rsidRPr="00FC1444">
        <w:rPr>
          <w:rFonts w:eastAsiaTheme="minorEastAsia"/>
          <w:sz w:val="24"/>
        </w:rPr>
        <w:t>，路面宽</w:t>
      </w:r>
      <w:r w:rsidRPr="00FC1444">
        <w:rPr>
          <w:rFonts w:eastAsiaTheme="minorEastAsia"/>
          <w:sz w:val="24"/>
        </w:rPr>
        <w:t>4m</w:t>
      </w:r>
      <w:r w:rsidRPr="00FC1444">
        <w:rPr>
          <w:rFonts w:eastAsiaTheme="minorEastAsia"/>
          <w:sz w:val="24"/>
        </w:rPr>
        <w:t>，生产路（土路改为砂石路）</w:t>
      </w:r>
      <w:r w:rsidR="00DF0EB9" w:rsidRPr="00FC1444">
        <w:rPr>
          <w:rFonts w:eastAsiaTheme="minorEastAsia"/>
          <w:bCs/>
          <w:sz w:val="24"/>
        </w:rPr>
        <w:t>117</w:t>
      </w:r>
      <w:r w:rsidRPr="00FC1444">
        <w:rPr>
          <w:rFonts w:eastAsiaTheme="minorEastAsia"/>
          <w:bCs/>
          <w:sz w:val="24"/>
        </w:rPr>
        <w:t>条，共</w:t>
      </w:r>
      <w:r w:rsidR="00DF0EB9" w:rsidRPr="00FC1444">
        <w:rPr>
          <w:rFonts w:eastAsiaTheme="minorEastAsia"/>
          <w:bCs/>
          <w:sz w:val="24"/>
        </w:rPr>
        <w:t>91.248</w:t>
      </w:r>
      <w:r w:rsidRPr="00FC1444">
        <w:rPr>
          <w:rFonts w:eastAsiaTheme="minorEastAsia"/>
          <w:bCs/>
          <w:sz w:val="24"/>
        </w:rPr>
        <w:t>km</w:t>
      </w:r>
      <w:r w:rsidRPr="00FC1444">
        <w:rPr>
          <w:rFonts w:eastAsiaTheme="minorEastAsia"/>
          <w:sz w:val="24"/>
        </w:rPr>
        <w:t>，路面宽</w:t>
      </w:r>
      <w:r w:rsidRPr="00FC1444">
        <w:rPr>
          <w:rFonts w:eastAsiaTheme="minorEastAsia"/>
          <w:sz w:val="24"/>
        </w:rPr>
        <w:t>3m</w:t>
      </w:r>
      <w:r w:rsidRPr="00FC1444">
        <w:rPr>
          <w:rFonts w:eastAsiaTheme="minorEastAsia"/>
          <w:sz w:val="24"/>
        </w:rPr>
        <w:t>、</w:t>
      </w:r>
      <w:r w:rsidRPr="00FC1444">
        <w:rPr>
          <w:rFonts w:eastAsiaTheme="minorEastAsia"/>
          <w:sz w:val="24"/>
        </w:rPr>
        <w:t>3.5m</w:t>
      </w:r>
      <w:r w:rsidRPr="00FC1444">
        <w:rPr>
          <w:rFonts w:eastAsiaTheme="minorEastAsia"/>
          <w:sz w:val="24"/>
        </w:rPr>
        <w:t>。</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）主要技术指标</w:t>
      </w:r>
    </w:p>
    <w:p w:rsidR="002A5A5E" w:rsidRPr="00FC1444" w:rsidRDefault="00611CBA">
      <w:pPr>
        <w:spacing w:line="360" w:lineRule="auto"/>
        <w:ind w:firstLineChars="200" w:firstLine="480"/>
        <w:rPr>
          <w:rFonts w:eastAsiaTheme="minorEastAsia"/>
          <w:kern w:val="0"/>
          <w:sz w:val="24"/>
          <w:szCs w:val="22"/>
        </w:rPr>
      </w:pPr>
      <w:r w:rsidRPr="00FC1444">
        <w:rPr>
          <w:rFonts w:eastAsiaTheme="minorEastAsia"/>
          <w:kern w:val="0"/>
          <w:sz w:val="24"/>
          <w:szCs w:val="22"/>
        </w:rPr>
        <w:t>道路等级：机耕路参照</w:t>
      </w:r>
      <w:r w:rsidRPr="00FC1444">
        <w:rPr>
          <w:rFonts w:eastAsiaTheme="minorEastAsia"/>
          <w:kern w:val="0"/>
          <w:sz w:val="24"/>
          <w:szCs w:val="22"/>
        </w:rPr>
        <w:t>“</w:t>
      </w:r>
      <w:r w:rsidRPr="00FC1444">
        <w:rPr>
          <w:rFonts w:eastAsiaTheme="minorEastAsia"/>
          <w:kern w:val="0"/>
          <w:sz w:val="24"/>
          <w:szCs w:val="22"/>
        </w:rPr>
        <w:t>四级公路</w:t>
      </w:r>
      <w:r w:rsidRPr="00FC1444">
        <w:rPr>
          <w:rFonts w:eastAsiaTheme="minorEastAsia"/>
          <w:kern w:val="0"/>
          <w:sz w:val="24"/>
          <w:szCs w:val="22"/>
        </w:rPr>
        <w:t>”</w:t>
      </w:r>
      <w:r w:rsidRPr="00FC1444">
        <w:rPr>
          <w:rFonts w:eastAsiaTheme="minorEastAsia"/>
          <w:kern w:val="0"/>
          <w:sz w:val="24"/>
          <w:szCs w:val="22"/>
        </w:rPr>
        <w:t>标准设计。生产路按照生产路设计标准设计。</w:t>
      </w:r>
    </w:p>
    <w:p w:rsidR="002A5A5E" w:rsidRPr="00FC1444" w:rsidRDefault="00611CBA">
      <w:pPr>
        <w:spacing w:line="360" w:lineRule="auto"/>
        <w:ind w:firstLineChars="200" w:firstLine="480"/>
        <w:rPr>
          <w:rFonts w:eastAsiaTheme="minorEastAsia"/>
          <w:kern w:val="0"/>
          <w:sz w:val="24"/>
          <w:szCs w:val="22"/>
        </w:rPr>
      </w:pPr>
      <w:r w:rsidRPr="00FC1444">
        <w:rPr>
          <w:rFonts w:eastAsiaTheme="minorEastAsia"/>
          <w:kern w:val="0"/>
          <w:sz w:val="24"/>
          <w:szCs w:val="22"/>
        </w:rPr>
        <w:t>路面宽度：</w:t>
      </w:r>
      <w:r w:rsidRPr="00FC1444">
        <w:rPr>
          <w:rFonts w:eastAsiaTheme="minorEastAsia"/>
          <w:sz w:val="24"/>
        </w:rPr>
        <w:t>不拓宽，不新开垦道路</w:t>
      </w:r>
    </w:p>
    <w:p w:rsidR="002A5A5E" w:rsidRPr="00FC1444" w:rsidRDefault="00611CBA">
      <w:pPr>
        <w:spacing w:line="360" w:lineRule="auto"/>
        <w:ind w:firstLineChars="200" w:firstLine="480"/>
        <w:rPr>
          <w:rFonts w:eastAsiaTheme="minorEastAsia"/>
          <w:kern w:val="0"/>
          <w:sz w:val="24"/>
          <w:szCs w:val="22"/>
        </w:rPr>
      </w:pPr>
      <w:r w:rsidRPr="00FC1444">
        <w:rPr>
          <w:rFonts w:eastAsiaTheme="minorEastAsia"/>
          <w:kern w:val="0"/>
          <w:sz w:val="24"/>
          <w:szCs w:val="22"/>
        </w:rPr>
        <w:t>机耕路：水泥混凝土路，路面宽</w:t>
      </w:r>
      <w:r w:rsidRPr="00FC1444">
        <w:rPr>
          <w:rFonts w:eastAsiaTheme="minorEastAsia"/>
          <w:sz w:val="24"/>
        </w:rPr>
        <w:t>4m</w:t>
      </w:r>
      <w:r w:rsidRPr="00FC1444">
        <w:rPr>
          <w:rFonts w:eastAsiaTheme="minorEastAsia"/>
          <w:kern w:val="0"/>
          <w:sz w:val="24"/>
          <w:szCs w:val="22"/>
        </w:rPr>
        <w:t>，两侧设素土路肩各</w:t>
      </w:r>
      <w:r w:rsidR="00DF0EB9" w:rsidRPr="00FC1444">
        <w:rPr>
          <w:rFonts w:eastAsiaTheme="minorEastAsia"/>
          <w:kern w:val="0"/>
          <w:sz w:val="24"/>
          <w:szCs w:val="22"/>
        </w:rPr>
        <w:t>50</w:t>
      </w:r>
      <w:r w:rsidRPr="00FC1444">
        <w:rPr>
          <w:rFonts w:eastAsiaTheme="minorEastAsia"/>
          <w:kern w:val="0"/>
          <w:sz w:val="24"/>
          <w:szCs w:val="22"/>
        </w:rPr>
        <w:t>cm</w:t>
      </w:r>
      <w:r w:rsidRPr="00FC1444">
        <w:rPr>
          <w:rFonts w:eastAsiaTheme="minorEastAsia"/>
          <w:kern w:val="0"/>
          <w:sz w:val="24"/>
          <w:szCs w:val="22"/>
        </w:rPr>
        <w:t>宽；</w:t>
      </w:r>
    </w:p>
    <w:p w:rsidR="002A5A5E" w:rsidRPr="00FC1444" w:rsidRDefault="00611CBA">
      <w:pPr>
        <w:spacing w:line="360" w:lineRule="auto"/>
        <w:ind w:firstLineChars="200" w:firstLine="480"/>
        <w:rPr>
          <w:rFonts w:eastAsiaTheme="minorEastAsia"/>
          <w:kern w:val="0"/>
          <w:sz w:val="24"/>
          <w:szCs w:val="22"/>
        </w:rPr>
      </w:pPr>
      <w:r w:rsidRPr="00FC1444">
        <w:rPr>
          <w:rFonts w:eastAsiaTheme="minorEastAsia"/>
          <w:kern w:val="0"/>
          <w:sz w:val="24"/>
          <w:szCs w:val="22"/>
        </w:rPr>
        <w:t>生产路：砂石路面，</w:t>
      </w:r>
      <w:r w:rsidRPr="00FC1444">
        <w:rPr>
          <w:rFonts w:eastAsiaTheme="minorEastAsia"/>
          <w:sz w:val="24"/>
        </w:rPr>
        <w:t>路面宽</w:t>
      </w:r>
      <w:r w:rsidRPr="00FC1444">
        <w:rPr>
          <w:rFonts w:eastAsiaTheme="minorEastAsia"/>
          <w:sz w:val="24"/>
        </w:rPr>
        <w:t>3m</w:t>
      </w:r>
      <w:r w:rsidRPr="00FC1444">
        <w:rPr>
          <w:rFonts w:eastAsiaTheme="minorEastAsia"/>
          <w:kern w:val="0"/>
          <w:sz w:val="24"/>
          <w:szCs w:val="22"/>
        </w:rPr>
        <w:t>，两侧不设路肩</w:t>
      </w:r>
    </w:p>
    <w:p w:rsidR="002A5A5E" w:rsidRPr="00FC1444" w:rsidRDefault="00611CBA">
      <w:pPr>
        <w:spacing w:line="360" w:lineRule="auto"/>
        <w:ind w:firstLineChars="200" w:firstLine="480"/>
        <w:rPr>
          <w:rFonts w:eastAsiaTheme="minorEastAsia"/>
          <w:kern w:val="0"/>
          <w:sz w:val="24"/>
          <w:szCs w:val="22"/>
        </w:rPr>
      </w:pPr>
      <w:r w:rsidRPr="00FC1444">
        <w:rPr>
          <w:rFonts w:eastAsiaTheme="minorEastAsia"/>
          <w:kern w:val="0"/>
          <w:sz w:val="24"/>
          <w:szCs w:val="22"/>
        </w:rPr>
        <w:t>路面结构类型：由</w:t>
      </w:r>
      <w:r w:rsidRPr="00FC1444">
        <w:rPr>
          <w:rFonts w:eastAsiaTheme="minorEastAsia"/>
          <w:sz w:val="24"/>
        </w:rPr>
        <w:t>土路改为</w:t>
      </w:r>
      <w:r w:rsidRPr="00FC1444">
        <w:rPr>
          <w:rFonts w:eastAsiaTheme="minorEastAsia"/>
          <w:kern w:val="0"/>
          <w:sz w:val="24"/>
          <w:szCs w:val="22"/>
        </w:rPr>
        <w:t>水泥混凝土路面、砂石路面</w:t>
      </w:r>
    </w:p>
    <w:p w:rsidR="002A5A5E" w:rsidRPr="00FC1444" w:rsidRDefault="00611CBA">
      <w:pPr>
        <w:spacing w:line="360" w:lineRule="auto"/>
        <w:ind w:firstLineChars="200" w:firstLine="480"/>
        <w:rPr>
          <w:rFonts w:eastAsiaTheme="minorEastAsia"/>
          <w:b/>
          <w:sz w:val="28"/>
          <w:szCs w:val="28"/>
        </w:rPr>
      </w:pPr>
      <w:r w:rsidRPr="00FC1444">
        <w:rPr>
          <w:rFonts w:eastAsiaTheme="minorEastAsia"/>
          <w:sz w:val="24"/>
        </w:rPr>
        <w:t>（</w:t>
      </w:r>
      <w:r w:rsidRPr="00FC1444">
        <w:rPr>
          <w:rFonts w:eastAsiaTheme="minorEastAsia"/>
          <w:kern w:val="0"/>
          <w:sz w:val="24"/>
          <w:szCs w:val="22"/>
        </w:rPr>
        <w:t>2</w:t>
      </w:r>
      <w:r w:rsidRPr="00FC1444">
        <w:rPr>
          <w:rFonts w:eastAsiaTheme="minorEastAsia"/>
          <w:kern w:val="0"/>
          <w:sz w:val="24"/>
          <w:szCs w:val="22"/>
        </w:rPr>
        <w:t>）生产路</w:t>
      </w:r>
    </w:p>
    <w:p w:rsidR="002A5A5E" w:rsidRPr="00FC1444" w:rsidRDefault="00611CBA" w:rsidP="00DF0EB9">
      <w:pPr>
        <w:spacing w:line="360" w:lineRule="auto"/>
        <w:ind w:firstLineChars="200" w:firstLine="480"/>
        <w:rPr>
          <w:rFonts w:eastAsiaTheme="minorEastAsia"/>
          <w:kern w:val="0"/>
          <w:sz w:val="24"/>
          <w:szCs w:val="22"/>
        </w:rPr>
      </w:pPr>
      <w:r w:rsidRPr="00FC1444">
        <w:rPr>
          <w:rFonts w:eastAsiaTheme="minorEastAsia"/>
          <w:kern w:val="0"/>
          <w:sz w:val="24"/>
          <w:szCs w:val="22"/>
        </w:rPr>
        <w:t>本项目修缮生产路（砂石路面）</w:t>
      </w:r>
      <w:r w:rsidR="00DF0EB9" w:rsidRPr="00FC1444">
        <w:rPr>
          <w:rFonts w:eastAsiaTheme="minorEastAsia"/>
          <w:bCs/>
          <w:sz w:val="24"/>
        </w:rPr>
        <w:t>117</w:t>
      </w:r>
      <w:r w:rsidR="00DF0EB9" w:rsidRPr="00FC1444">
        <w:rPr>
          <w:rFonts w:eastAsiaTheme="minorEastAsia"/>
          <w:bCs/>
          <w:sz w:val="24"/>
        </w:rPr>
        <w:t>条，共</w:t>
      </w:r>
      <w:r w:rsidR="00DF0EB9" w:rsidRPr="00FC1444">
        <w:rPr>
          <w:rFonts w:eastAsiaTheme="minorEastAsia"/>
          <w:bCs/>
          <w:sz w:val="24"/>
        </w:rPr>
        <w:t>91.248km</w:t>
      </w:r>
      <w:r w:rsidRPr="00FC1444">
        <w:rPr>
          <w:rFonts w:eastAsiaTheme="minorEastAsia"/>
          <w:kern w:val="0"/>
          <w:sz w:val="24"/>
          <w:szCs w:val="22"/>
        </w:rPr>
        <w:t>。</w:t>
      </w:r>
      <w:r w:rsidR="00DF0EB9" w:rsidRPr="00FC1444">
        <w:rPr>
          <w:rFonts w:eastAsiaTheme="minorEastAsia"/>
          <w:kern w:val="0"/>
          <w:sz w:val="24"/>
          <w:szCs w:val="22"/>
        </w:rPr>
        <w:t>结构由上至下：上层铺筑</w:t>
      </w:r>
      <w:r w:rsidR="00DF0EB9" w:rsidRPr="00FC1444">
        <w:rPr>
          <w:rFonts w:eastAsiaTheme="minorEastAsia"/>
          <w:kern w:val="0"/>
          <w:sz w:val="24"/>
          <w:szCs w:val="22"/>
        </w:rPr>
        <w:t xml:space="preserve"> 5cm </w:t>
      </w:r>
      <w:r w:rsidR="00DF0EB9" w:rsidRPr="00FC1444">
        <w:rPr>
          <w:rFonts w:eastAsiaTheme="minorEastAsia"/>
          <w:kern w:val="0"/>
          <w:sz w:val="24"/>
          <w:szCs w:val="22"/>
        </w:rPr>
        <w:t>厚风化砂面层，下层铺筑山皮石底垫层，其中水田区道路垫层厚</w:t>
      </w:r>
      <w:r w:rsidR="00DF0EB9" w:rsidRPr="00FC1444">
        <w:rPr>
          <w:rFonts w:eastAsiaTheme="minorEastAsia"/>
          <w:kern w:val="0"/>
          <w:sz w:val="24"/>
          <w:szCs w:val="22"/>
        </w:rPr>
        <w:t xml:space="preserve">45cm </w:t>
      </w:r>
      <w:r w:rsidR="00DF0EB9" w:rsidRPr="00FC1444">
        <w:rPr>
          <w:rFonts w:eastAsiaTheme="minorEastAsia"/>
          <w:kern w:val="0"/>
          <w:sz w:val="24"/>
          <w:szCs w:val="22"/>
        </w:rPr>
        <w:t>山皮石，旱田区道路垫层厚</w:t>
      </w:r>
      <w:r w:rsidR="00DF0EB9" w:rsidRPr="00FC1444">
        <w:rPr>
          <w:rFonts w:eastAsiaTheme="minorEastAsia"/>
          <w:kern w:val="0"/>
          <w:sz w:val="24"/>
          <w:szCs w:val="22"/>
        </w:rPr>
        <w:t>35cm</w:t>
      </w:r>
      <w:r w:rsidR="00DF0EB9" w:rsidRPr="00FC1444">
        <w:rPr>
          <w:rFonts w:eastAsiaTheme="minorEastAsia"/>
          <w:kern w:val="0"/>
          <w:sz w:val="24"/>
          <w:szCs w:val="22"/>
        </w:rPr>
        <w:t>山皮石；为了满足道路两侧排水要求，道路基础进行下卧处理，路面单侧做成</w:t>
      </w:r>
      <w:r w:rsidR="00DF0EB9" w:rsidRPr="00FC1444">
        <w:rPr>
          <w:rFonts w:eastAsiaTheme="minorEastAsia"/>
          <w:kern w:val="0"/>
          <w:sz w:val="24"/>
          <w:szCs w:val="22"/>
        </w:rPr>
        <w:t>3%</w:t>
      </w:r>
      <w:r w:rsidR="00DF0EB9" w:rsidRPr="00FC1444">
        <w:rPr>
          <w:rFonts w:eastAsiaTheme="minorEastAsia"/>
          <w:kern w:val="0"/>
          <w:sz w:val="24"/>
          <w:szCs w:val="22"/>
        </w:rPr>
        <w:t>的坡。路基压实度</w:t>
      </w:r>
      <w:r w:rsidR="00DF0EB9" w:rsidRPr="00FC1444">
        <w:rPr>
          <w:rFonts w:eastAsiaTheme="minorEastAsia"/>
          <w:kern w:val="0"/>
          <w:sz w:val="24"/>
          <w:szCs w:val="22"/>
        </w:rPr>
        <w:t>≥94%</w:t>
      </w:r>
      <w:r w:rsidR="00DF0EB9" w:rsidRPr="00FC1444">
        <w:rPr>
          <w:rFonts w:eastAsiaTheme="minorEastAsia"/>
          <w:kern w:val="0"/>
          <w:sz w:val="24"/>
          <w:szCs w:val="22"/>
        </w:rPr>
        <w:t>，路面压实度</w:t>
      </w:r>
      <w:r w:rsidR="00DF0EB9" w:rsidRPr="00FC1444">
        <w:rPr>
          <w:rFonts w:eastAsiaTheme="minorEastAsia"/>
          <w:kern w:val="0"/>
          <w:sz w:val="24"/>
          <w:szCs w:val="22"/>
        </w:rPr>
        <w:t>≥95%</w:t>
      </w:r>
      <w:r w:rsidR="00DF0EB9" w:rsidRPr="00FC1444">
        <w:rPr>
          <w:rFonts w:eastAsiaTheme="minorEastAsia"/>
          <w:kern w:val="0"/>
          <w:sz w:val="24"/>
          <w:szCs w:val="22"/>
        </w:rPr>
        <w:t>。与横向构造物连接处设置过渡段，压实度不小于</w:t>
      </w:r>
      <w:r w:rsidR="00DF0EB9" w:rsidRPr="00FC1444">
        <w:rPr>
          <w:rFonts w:eastAsiaTheme="minorEastAsia"/>
          <w:kern w:val="0"/>
          <w:sz w:val="24"/>
          <w:szCs w:val="22"/>
        </w:rPr>
        <w:t xml:space="preserve"> 96%</w:t>
      </w:r>
      <w:r w:rsidR="00DF0EB9" w:rsidRPr="00FC1444">
        <w:rPr>
          <w:rFonts w:eastAsiaTheme="minorEastAsia"/>
          <w:kern w:val="0"/>
          <w:sz w:val="24"/>
          <w:szCs w:val="22"/>
        </w:rPr>
        <w:t>。路基填料最小承载比为</w:t>
      </w:r>
      <w:r w:rsidR="00DF0EB9" w:rsidRPr="00FC1444">
        <w:rPr>
          <w:rFonts w:eastAsiaTheme="minorEastAsia"/>
          <w:kern w:val="0"/>
          <w:sz w:val="24"/>
          <w:szCs w:val="22"/>
        </w:rPr>
        <w:t>5%</w:t>
      </w:r>
      <w:r w:rsidR="00DF0EB9" w:rsidRPr="00FC1444">
        <w:rPr>
          <w:rFonts w:eastAsiaTheme="minorEastAsia"/>
          <w:kern w:val="0"/>
          <w:sz w:val="24"/>
          <w:szCs w:val="22"/>
        </w:rPr>
        <w:t>，路基填料最大粒径</w:t>
      </w:r>
      <w:r w:rsidR="00DF0EB9" w:rsidRPr="00FC1444">
        <w:rPr>
          <w:rFonts w:eastAsiaTheme="minorEastAsia"/>
          <w:kern w:val="0"/>
          <w:sz w:val="24"/>
          <w:szCs w:val="22"/>
        </w:rPr>
        <w:t xml:space="preserve"> 100mm</w:t>
      </w:r>
      <w:r w:rsidR="00DF0EB9" w:rsidRPr="00FC1444">
        <w:rPr>
          <w:rFonts w:eastAsiaTheme="minorEastAsia"/>
          <w:kern w:val="0"/>
          <w:sz w:val="24"/>
          <w:szCs w:val="22"/>
        </w:rPr>
        <w:t>。</w:t>
      </w:r>
    </w:p>
    <w:p w:rsidR="002A5A5E" w:rsidRPr="00FC1444" w:rsidRDefault="00611CBA">
      <w:pPr>
        <w:spacing w:line="360" w:lineRule="auto"/>
        <w:ind w:firstLineChars="200" w:firstLine="480"/>
        <w:rPr>
          <w:rFonts w:eastAsiaTheme="minorEastAsia"/>
          <w:kern w:val="0"/>
          <w:sz w:val="24"/>
          <w:szCs w:val="22"/>
        </w:rPr>
      </w:pPr>
      <w:r w:rsidRPr="00FC1444">
        <w:rPr>
          <w:rFonts w:eastAsiaTheme="minorEastAsia"/>
          <w:kern w:val="0"/>
          <w:sz w:val="24"/>
          <w:szCs w:val="22"/>
        </w:rPr>
        <w:t>（</w:t>
      </w:r>
      <w:r w:rsidRPr="00FC1444">
        <w:rPr>
          <w:rFonts w:eastAsiaTheme="minorEastAsia"/>
          <w:kern w:val="0"/>
          <w:sz w:val="24"/>
          <w:szCs w:val="22"/>
        </w:rPr>
        <w:t>3</w:t>
      </w:r>
      <w:r w:rsidRPr="00FC1444">
        <w:rPr>
          <w:rFonts w:eastAsiaTheme="minorEastAsia"/>
          <w:kern w:val="0"/>
          <w:sz w:val="24"/>
          <w:szCs w:val="22"/>
        </w:rPr>
        <w:t>）机耕路</w:t>
      </w:r>
    </w:p>
    <w:p w:rsidR="002A5A5E" w:rsidRPr="00FC1444" w:rsidRDefault="00611CBA" w:rsidP="00DF0EB9">
      <w:pPr>
        <w:spacing w:line="360" w:lineRule="auto"/>
        <w:ind w:firstLineChars="200" w:firstLine="480"/>
        <w:rPr>
          <w:rFonts w:eastAsiaTheme="minorEastAsia"/>
          <w:kern w:val="0"/>
          <w:sz w:val="24"/>
          <w:szCs w:val="22"/>
        </w:rPr>
      </w:pPr>
      <w:r w:rsidRPr="00FC1444">
        <w:rPr>
          <w:rFonts w:eastAsiaTheme="minorEastAsia"/>
          <w:kern w:val="0"/>
          <w:sz w:val="24"/>
          <w:szCs w:val="22"/>
        </w:rPr>
        <w:t>本项目修缮机耕路（水泥混凝土路面）</w:t>
      </w:r>
      <w:r w:rsidR="00DF0EB9" w:rsidRPr="00FC1444">
        <w:rPr>
          <w:rFonts w:eastAsiaTheme="minorEastAsia"/>
          <w:bCs/>
          <w:sz w:val="24"/>
        </w:rPr>
        <w:t>67</w:t>
      </w:r>
      <w:r w:rsidR="00DF0EB9" w:rsidRPr="00FC1444">
        <w:rPr>
          <w:rFonts w:eastAsiaTheme="minorEastAsia"/>
          <w:bCs/>
          <w:sz w:val="24"/>
        </w:rPr>
        <w:t>条，共</w:t>
      </w:r>
      <w:r w:rsidR="00DF0EB9" w:rsidRPr="00FC1444">
        <w:rPr>
          <w:rFonts w:eastAsiaTheme="minorEastAsia"/>
          <w:bCs/>
          <w:sz w:val="24"/>
        </w:rPr>
        <w:t>54.083km</w:t>
      </w:r>
      <w:r w:rsidRPr="00FC1444">
        <w:rPr>
          <w:rFonts w:eastAsiaTheme="minorEastAsia"/>
          <w:kern w:val="0"/>
          <w:sz w:val="24"/>
          <w:szCs w:val="22"/>
        </w:rPr>
        <w:t>。结构层</w:t>
      </w:r>
      <w:r w:rsidR="00DF0EB9" w:rsidRPr="00FC1444">
        <w:rPr>
          <w:rFonts w:eastAsiaTheme="minorEastAsia"/>
          <w:kern w:val="0"/>
          <w:sz w:val="24"/>
          <w:szCs w:val="22"/>
        </w:rPr>
        <w:t>从上至下依次为：</w:t>
      </w:r>
      <w:r w:rsidR="00DF0EB9" w:rsidRPr="00FC1444">
        <w:rPr>
          <w:rFonts w:eastAsiaTheme="minorEastAsia"/>
          <w:kern w:val="0"/>
          <w:sz w:val="24"/>
          <w:szCs w:val="22"/>
        </w:rPr>
        <w:t xml:space="preserve">20cm </w:t>
      </w:r>
      <w:r w:rsidR="00DF0EB9" w:rsidRPr="00FC1444">
        <w:rPr>
          <w:rFonts w:eastAsiaTheme="minorEastAsia"/>
          <w:kern w:val="0"/>
          <w:sz w:val="24"/>
          <w:szCs w:val="22"/>
        </w:rPr>
        <w:t>厚</w:t>
      </w:r>
      <w:r w:rsidR="00DF0EB9" w:rsidRPr="00FC1444">
        <w:rPr>
          <w:rFonts w:eastAsiaTheme="minorEastAsia"/>
          <w:kern w:val="0"/>
          <w:sz w:val="24"/>
          <w:szCs w:val="22"/>
        </w:rPr>
        <w:t xml:space="preserve"> C30F200 </w:t>
      </w:r>
      <w:r w:rsidR="00DF0EB9" w:rsidRPr="00FC1444">
        <w:rPr>
          <w:rFonts w:eastAsiaTheme="minorEastAsia"/>
          <w:kern w:val="0"/>
          <w:sz w:val="24"/>
          <w:szCs w:val="22"/>
        </w:rPr>
        <w:t>水泥面层，</w:t>
      </w:r>
      <w:r w:rsidR="00DF0EB9" w:rsidRPr="00FC1444">
        <w:rPr>
          <w:rFonts w:eastAsiaTheme="minorEastAsia"/>
          <w:kern w:val="0"/>
          <w:sz w:val="24"/>
          <w:szCs w:val="22"/>
        </w:rPr>
        <w:t>18</w:t>
      </w:r>
      <w:r w:rsidR="00DF0EB9" w:rsidRPr="00FC1444">
        <w:rPr>
          <w:rFonts w:eastAsiaTheme="minorEastAsia"/>
          <w:kern w:val="0"/>
          <w:sz w:val="24"/>
          <w:szCs w:val="22"/>
        </w:rPr>
        <w:t>厚</w:t>
      </w:r>
      <w:r w:rsidR="00DF0EB9" w:rsidRPr="00FC1444">
        <w:rPr>
          <w:rFonts w:eastAsiaTheme="minorEastAsia"/>
          <w:kern w:val="0"/>
          <w:sz w:val="24"/>
          <w:szCs w:val="22"/>
        </w:rPr>
        <w:t>5%</w:t>
      </w:r>
      <w:r w:rsidR="00DF0EB9" w:rsidRPr="00FC1444">
        <w:rPr>
          <w:rFonts w:eastAsiaTheme="minorEastAsia"/>
          <w:kern w:val="0"/>
          <w:sz w:val="24"/>
          <w:szCs w:val="22"/>
        </w:rPr>
        <w:t>水泥稳定砂砾基层，</w:t>
      </w:r>
      <w:r w:rsidR="00DF0EB9" w:rsidRPr="00FC1444">
        <w:rPr>
          <w:rFonts w:eastAsiaTheme="minorEastAsia"/>
          <w:kern w:val="0"/>
          <w:sz w:val="24"/>
          <w:szCs w:val="22"/>
        </w:rPr>
        <w:t>25cm</w:t>
      </w:r>
      <w:r w:rsidR="00DF0EB9" w:rsidRPr="00FC1444">
        <w:rPr>
          <w:rFonts w:eastAsiaTheme="minorEastAsia"/>
          <w:kern w:val="0"/>
          <w:sz w:val="24"/>
          <w:szCs w:val="22"/>
        </w:rPr>
        <w:t>厚山皮石垫层；路基压实度</w:t>
      </w:r>
      <w:r w:rsidR="00DF0EB9" w:rsidRPr="00FC1444">
        <w:rPr>
          <w:rFonts w:eastAsiaTheme="minorEastAsia"/>
          <w:kern w:val="0"/>
          <w:sz w:val="24"/>
          <w:szCs w:val="22"/>
        </w:rPr>
        <w:t>≥94%</w:t>
      </w:r>
      <w:r w:rsidR="00DF0EB9" w:rsidRPr="00FC1444">
        <w:rPr>
          <w:rFonts w:eastAsiaTheme="minorEastAsia"/>
          <w:kern w:val="0"/>
          <w:sz w:val="24"/>
          <w:szCs w:val="22"/>
        </w:rPr>
        <w:t>。水泥稳定砂砾基层、山皮石垫层每侧应宽出水泥路面</w:t>
      </w:r>
      <w:r w:rsidR="00DF0EB9" w:rsidRPr="00FC1444">
        <w:rPr>
          <w:rFonts w:eastAsiaTheme="minorEastAsia"/>
          <w:kern w:val="0"/>
          <w:sz w:val="24"/>
          <w:szCs w:val="22"/>
        </w:rPr>
        <w:t xml:space="preserve"> 0.3</w:t>
      </w:r>
      <w:r w:rsidR="00DF0EB9" w:rsidRPr="00FC1444">
        <w:rPr>
          <w:rFonts w:eastAsiaTheme="minorEastAsia"/>
          <w:kern w:val="0"/>
          <w:sz w:val="24"/>
          <w:szCs w:val="22"/>
        </w:rPr>
        <w:t>米。</w:t>
      </w:r>
      <w:r w:rsidRPr="00FC1444">
        <w:rPr>
          <w:rFonts w:eastAsiaTheme="minorEastAsia"/>
          <w:kern w:val="0"/>
          <w:sz w:val="24"/>
          <w:szCs w:val="22"/>
        </w:rPr>
        <w:t>两侧各</w:t>
      </w:r>
      <w:r w:rsidRPr="00FC1444">
        <w:rPr>
          <w:rFonts w:eastAsiaTheme="minorEastAsia"/>
          <w:kern w:val="0"/>
          <w:sz w:val="24"/>
          <w:szCs w:val="22"/>
        </w:rPr>
        <w:t>0.</w:t>
      </w:r>
      <w:r w:rsidR="00DF0EB9" w:rsidRPr="00FC1444">
        <w:rPr>
          <w:rFonts w:eastAsiaTheme="minorEastAsia"/>
          <w:kern w:val="0"/>
          <w:sz w:val="24"/>
          <w:szCs w:val="22"/>
        </w:rPr>
        <w:t>5</w:t>
      </w:r>
      <w:r w:rsidRPr="00FC1444">
        <w:rPr>
          <w:rFonts w:eastAsiaTheme="minorEastAsia"/>
          <w:kern w:val="0"/>
          <w:sz w:val="24"/>
          <w:szCs w:val="22"/>
        </w:rPr>
        <w:t>m</w:t>
      </w:r>
      <w:r w:rsidRPr="00FC1444">
        <w:rPr>
          <w:rFonts w:eastAsiaTheme="minorEastAsia"/>
          <w:kern w:val="0"/>
          <w:sz w:val="24"/>
          <w:szCs w:val="22"/>
        </w:rPr>
        <w:t>土路肩。</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lastRenderedPageBreak/>
        <w:t>3.1.6.3</w:t>
      </w:r>
      <w:r w:rsidRPr="00FC1444">
        <w:rPr>
          <w:rFonts w:eastAsiaTheme="minorEastAsia"/>
          <w:b/>
          <w:sz w:val="24"/>
        </w:rPr>
        <w:t>农田输配电工程</w:t>
      </w:r>
    </w:p>
    <w:p w:rsidR="002A5A5E" w:rsidRPr="00FC1444" w:rsidRDefault="00141045">
      <w:pPr>
        <w:adjustRightInd w:val="0"/>
        <w:snapToGrid w:val="0"/>
        <w:spacing w:line="360" w:lineRule="auto"/>
        <w:ind w:firstLineChars="200" w:firstLine="480"/>
        <w:jc w:val="left"/>
        <w:rPr>
          <w:rFonts w:eastAsiaTheme="minorEastAsia"/>
          <w:bCs/>
          <w:sz w:val="24"/>
        </w:rPr>
      </w:pPr>
      <w:r w:rsidRPr="00FC1444">
        <w:rPr>
          <w:rFonts w:eastAsiaTheme="minorEastAsia"/>
          <w:bCs/>
          <w:sz w:val="24"/>
        </w:rPr>
        <w:t>新建</w:t>
      </w:r>
      <w:r w:rsidRPr="00FC1444">
        <w:rPr>
          <w:rFonts w:eastAsiaTheme="minorEastAsia"/>
          <w:bCs/>
          <w:sz w:val="24"/>
        </w:rPr>
        <w:t>10kV</w:t>
      </w:r>
      <w:r w:rsidRPr="00FC1444">
        <w:rPr>
          <w:rFonts w:eastAsiaTheme="minorEastAsia"/>
          <w:bCs/>
          <w:sz w:val="24"/>
        </w:rPr>
        <w:t>高压线路</w:t>
      </w:r>
      <w:r w:rsidRPr="00FC1444">
        <w:rPr>
          <w:rFonts w:eastAsiaTheme="minorEastAsia"/>
          <w:bCs/>
          <w:sz w:val="24"/>
        </w:rPr>
        <w:t>111.836km</w:t>
      </w:r>
      <w:r w:rsidRPr="00FC1444">
        <w:rPr>
          <w:rFonts w:eastAsiaTheme="minorEastAsia"/>
          <w:bCs/>
          <w:sz w:val="24"/>
        </w:rPr>
        <w:t>；新建</w:t>
      </w:r>
      <w:r w:rsidRPr="00FC1444">
        <w:rPr>
          <w:rFonts w:eastAsiaTheme="minorEastAsia"/>
          <w:bCs/>
          <w:sz w:val="24"/>
        </w:rPr>
        <w:t>0.4kV</w:t>
      </w:r>
      <w:r w:rsidRPr="00FC1444">
        <w:rPr>
          <w:rFonts w:eastAsiaTheme="minorEastAsia"/>
          <w:bCs/>
          <w:sz w:val="24"/>
        </w:rPr>
        <w:t>低压线路</w:t>
      </w:r>
      <w:r w:rsidRPr="00FC1444">
        <w:rPr>
          <w:rFonts w:eastAsiaTheme="minorEastAsia"/>
          <w:bCs/>
          <w:sz w:val="24"/>
        </w:rPr>
        <w:t>21.73km</w:t>
      </w:r>
      <w:r w:rsidR="00611CBA" w:rsidRPr="00FC1444">
        <w:rPr>
          <w:rFonts w:eastAsiaTheme="minorEastAsia"/>
          <w:bCs/>
          <w:sz w:val="24"/>
        </w:rPr>
        <w:t>。</w:t>
      </w:r>
    </w:p>
    <w:p w:rsidR="002A5A5E" w:rsidRPr="00FC1444" w:rsidRDefault="002F3828" w:rsidP="002F3828">
      <w:pPr>
        <w:adjustRightInd w:val="0"/>
        <w:snapToGrid w:val="0"/>
        <w:spacing w:line="360" w:lineRule="auto"/>
        <w:ind w:firstLineChars="200" w:firstLine="480"/>
        <w:jc w:val="left"/>
        <w:rPr>
          <w:rFonts w:eastAsiaTheme="minorEastAsia"/>
          <w:kern w:val="0"/>
          <w:sz w:val="24"/>
          <w:szCs w:val="22"/>
        </w:rPr>
      </w:pPr>
      <w:r w:rsidRPr="00FC1444">
        <w:rPr>
          <w:rFonts w:eastAsiaTheme="minorEastAsia"/>
          <w:kern w:val="0"/>
          <w:sz w:val="24"/>
          <w:szCs w:val="22"/>
        </w:rPr>
        <w:t>高压电缆线路采用一用一备方式，双缆敷设，</w:t>
      </w:r>
      <w:r w:rsidR="00611CBA" w:rsidRPr="00FC1444">
        <w:rPr>
          <w:rFonts w:eastAsiaTheme="minorEastAsia"/>
          <w:kern w:val="0"/>
          <w:sz w:val="24"/>
          <w:szCs w:val="22"/>
        </w:rPr>
        <w:t>电源取自附近国网</w:t>
      </w:r>
      <w:r w:rsidR="00611CBA" w:rsidRPr="00FC1444">
        <w:rPr>
          <w:rFonts w:eastAsiaTheme="minorEastAsia"/>
          <w:kern w:val="0"/>
          <w:sz w:val="24"/>
          <w:szCs w:val="22"/>
        </w:rPr>
        <w:t>10kV</w:t>
      </w:r>
      <w:r w:rsidRPr="00FC1444">
        <w:rPr>
          <w:rFonts w:eastAsiaTheme="minorEastAsia"/>
          <w:kern w:val="0"/>
          <w:sz w:val="24"/>
          <w:szCs w:val="22"/>
        </w:rPr>
        <w:t>线路，</w:t>
      </w:r>
      <w:r w:rsidR="00611CBA" w:rsidRPr="00FC1444">
        <w:rPr>
          <w:rFonts w:eastAsiaTheme="minorEastAsia"/>
          <w:kern w:val="0"/>
          <w:sz w:val="24"/>
          <w:szCs w:val="22"/>
        </w:rPr>
        <w:t>接点</w:t>
      </w:r>
      <w:r w:rsidRPr="00FC1444">
        <w:rPr>
          <w:rFonts w:eastAsiaTheme="minorEastAsia"/>
          <w:kern w:val="0"/>
          <w:sz w:val="24"/>
          <w:szCs w:val="22"/>
        </w:rPr>
        <w:t>处安装一二次融合智能真空断路器、避雷器、跌落式熔断器、高压计量装置。</w:t>
      </w:r>
    </w:p>
    <w:p w:rsidR="002A5A5E" w:rsidRPr="00FC1444" w:rsidRDefault="00611CBA">
      <w:pPr>
        <w:adjustRightInd w:val="0"/>
        <w:snapToGrid w:val="0"/>
        <w:spacing w:line="360" w:lineRule="auto"/>
        <w:ind w:firstLineChars="200" w:firstLine="480"/>
        <w:jc w:val="left"/>
        <w:rPr>
          <w:rFonts w:eastAsiaTheme="minorEastAsia"/>
          <w:kern w:val="0"/>
          <w:sz w:val="24"/>
          <w:szCs w:val="22"/>
        </w:rPr>
      </w:pPr>
      <w:r w:rsidRPr="00FC1444">
        <w:rPr>
          <w:rFonts w:eastAsiaTheme="minorEastAsia"/>
          <w:bCs/>
          <w:kern w:val="0"/>
          <w:sz w:val="24"/>
        </w:rPr>
        <w:t>地埋电缆采取直埋敷设方式，高压电缆开挖宽度为</w:t>
      </w:r>
      <w:r w:rsidR="001149DE" w:rsidRPr="00FC1444">
        <w:rPr>
          <w:rFonts w:eastAsiaTheme="minorEastAsia"/>
          <w:bCs/>
          <w:kern w:val="0"/>
          <w:sz w:val="24"/>
        </w:rPr>
        <w:t>0.</w:t>
      </w:r>
      <w:r w:rsidR="001149DE" w:rsidRPr="00FC1444">
        <w:rPr>
          <w:rFonts w:eastAsiaTheme="minorEastAsia" w:hint="eastAsia"/>
          <w:bCs/>
          <w:kern w:val="0"/>
          <w:sz w:val="24"/>
        </w:rPr>
        <w:t>6</w:t>
      </w:r>
      <w:r w:rsidRPr="00FC1444">
        <w:rPr>
          <w:rFonts w:eastAsiaTheme="minorEastAsia"/>
          <w:bCs/>
          <w:kern w:val="0"/>
          <w:sz w:val="24"/>
        </w:rPr>
        <w:t>m</w:t>
      </w:r>
      <w:r w:rsidRPr="00FC1444">
        <w:rPr>
          <w:rFonts w:eastAsiaTheme="minorEastAsia"/>
          <w:bCs/>
          <w:kern w:val="0"/>
          <w:sz w:val="24"/>
        </w:rPr>
        <w:t>，深度</w:t>
      </w:r>
      <w:r w:rsidR="001149DE" w:rsidRPr="00FC1444">
        <w:rPr>
          <w:rFonts w:eastAsiaTheme="minorEastAsia"/>
          <w:bCs/>
          <w:kern w:val="0"/>
          <w:sz w:val="24"/>
        </w:rPr>
        <w:t>1.</w:t>
      </w:r>
      <w:r w:rsidR="001149DE" w:rsidRPr="00FC1444">
        <w:rPr>
          <w:rFonts w:eastAsiaTheme="minorEastAsia" w:hint="eastAsia"/>
          <w:bCs/>
          <w:kern w:val="0"/>
          <w:sz w:val="24"/>
        </w:rPr>
        <w:t>2</w:t>
      </w:r>
      <w:r w:rsidRPr="00FC1444">
        <w:rPr>
          <w:rFonts w:eastAsiaTheme="minorEastAsia"/>
          <w:bCs/>
          <w:kern w:val="0"/>
          <w:sz w:val="24"/>
        </w:rPr>
        <w:t>m</w:t>
      </w:r>
      <w:r w:rsidR="001149DE" w:rsidRPr="00FC1444">
        <w:rPr>
          <w:rFonts w:eastAsiaTheme="minorEastAsia"/>
          <w:bCs/>
          <w:kern w:val="0"/>
          <w:sz w:val="24"/>
        </w:rPr>
        <w:t>，低压电缆开挖宽度为</w:t>
      </w:r>
      <w:r w:rsidR="001149DE" w:rsidRPr="00FC1444">
        <w:rPr>
          <w:rFonts w:eastAsiaTheme="minorEastAsia"/>
          <w:bCs/>
          <w:kern w:val="0"/>
          <w:sz w:val="24"/>
        </w:rPr>
        <w:t>0.</w:t>
      </w:r>
      <w:r w:rsidR="001149DE" w:rsidRPr="00FC1444">
        <w:rPr>
          <w:rFonts w:eastAsiaTheme="minorEastAsia" w:hint="eastAsia"/>
          <w:bCs/>
          <w:kern w:val="0"/>
          <w:sz w:val="24"/>
        </w:rPr>
        <w:t>4</w:t>
      </w:r>
      <w:r w:rsidR="001149DE" w:rsidRPr="00FC1444">
        <w:rPr>
          <w:rFonts w:eastAsiaTheme="minorEastAsia"/>
          <w:bCs/>
          <w:kern w:val="0"/>
          <w:sz w:val="24"/>
        </w:rPr>
        <w:t>m</w:t>
      </w:r>
      <w:r w:rsidR="001149DE" w:rsidRPr="00FC1444">
        <w:rPr>
          <w:rFonts w:eastAsiaTheme="minorEastAsia"/>
          <w:bCs/>
          <w:kern w:val="0"/>
          <w:sz w:val="24"/>
        </w:rPr>
        <w:t>，深度</w:t>
      </w:r>
      <w:r w:rsidR="001149DE" w:rsidRPr="00FC1444">
        <w:rPr>
          <w:rFonts w:eastAsiaTheme="minorEastAsia"/>
          <w:bCs/>
          <w:kern w:val="0"/>
          <w:sz w:val="24"/>
        </w:rPr>
        <w:t>1.</w:t>
      </w:r>
      <w:r w:rsidR="001149DE" w:rsidRPr="00FC1444">
        <w:rPr>
          <w:rFonts w:eastAsiaTheme="minorEastAsia" w:hint="eastAsia"/>
          <w:bCs/>
          <w:kern w:val="0"/>
          <w:sz w:val="24"/>
        </w:rPr>
        <w:t>2</w:t>
      </w:r>
      <w:r w:rsidR="001149DE" w:rsidRPr="00FC1444">
        <w:rPr>
          <w:rFonts w:eastAsiaTheme="minorEastAsia"/>
          <w:bCs/>
          <w:kern w:val="0"/>
          <w:sz w:val="24"/>
        </w:rPr>
        <w:t>m</w:t>
      </w:r>
      <w:r w:rsidRPr="00FC1444">
        <w:rPr>
          <w:rFonts w:eastAsiaTheme="minorEastAsia"/>
          <w:bCs/>
          <w:kern w:val="0"/>
          <w:sz w:val="24"/>
        </w:rPr>
        <w:t>。</w:t>
      </w:r>
      <w:r w:rsidR="00617138" w:rsidRPr="00FC1444">
        <w:rPr>
          <w:rFonts w:eastAsiaTheme="minorEastAsia"/>
          <w:sz w:val="24"/>
        </w:rPr>
        <w:t>沿线一侧外扩</w:t>
      </w:r>
      <w:r w:rsidR="00617138" w:rsidRPr="00FC1444">
        <w:rPr>
          <w:rFonts w:eastAsiaTheme="minorEastAsia"/>
          <w:sz w:val="24"/>
        </w:rPr>
        <w:t>3m</w:t>
      </w:r>
      <w:r w:rsidR="00617138" w:rsidRPr="00FC1444">
        <w:rPr>
          <w:rFonts w:eastAsiaTheme="minorEastAsia"/>
          <w:sz w:val="24"/>
        </w:rPr>
        <w:t>为临时占地施工场地，共设置</w:t>
      </w:r>
      <w:r w:rsidR="00957D7F" w:rsidRPr="00FC1444">
        <w:rPr>
          <w:rFonts w:eastAsiaTheme="minorEastAsia"/>
          <w:sz w:val="24"/>
        </w:rPr>
        <w:t>194</w:t>
      </w:r>
      <w:r w:rsidR="00957D7F" w:rsidRPr="00FC1444">
        <w:rPr>
          <w:rFonts w:eastAsiaTheme="minorEastAsia"/>
          <w:sz w:val="24"/>
        </w:rPr>
        <w:t>根</w:t>
      </w:r>
      <w:r w:rsidR="00617138" w:rsidRPr="00FC1444">
        <w:rPr>
          <w:rFonts w:eastAsiaTheme="minorEastAsia"/>
          <w:sz w:val="24"/>
        </w:rPr>
        <w:t>水泥电杆，变压器为杆上变压器，每处设置</w:t>
      </w:r>
      <w:r w:rsidR="00617138" w:rsidRPr="00FC1444">
        <w:rPr>
          <w:rFonts w:eastAsiaTheme="minorEastAsia"/>
          <w:snapToGrid w:val="0"/>
          <w:kern w:val="0"/>
          <w:sz w:val="24"/>
        </w:rPr>
        <w:t>15m</w:t>
      </w:r>
      <w:r w:rsidR="00617138" w:rsidRPr="00FC1444">
        <w:rPr>
          <w:rFonts w:eastAsiaTheme="minorEastAsia"/>
          <w:snapToGrid w:val="0"/>
          <w:kern w:val="0"/>
          <w:sz w:val="24"/>
          <w:vertAlign w:val="superscript"/>
        </w:rPr>
        <w:t>2</w:t>
      </w:r>
      <w:r w:rsidR="00617138" w:rsidRPr="00FC1444">
        <w:rPr>
          <w:rFonts w:eastAsiaTheme="minorEastAsia"/>
          <w:sz w:val="24"/>
        </w:rPr>
        <w:t>临时占地，</w:t>
      </w:r>
      <w:r w:rsidRPr="00FC1444">
        <w:rPr>
          <w:rFonts w:eastAsiaTheme="minorEastAsia"/>
          <w:bCs/>
          <w:kern w:val="0"/>
          <w:sz w:val="24"/>
          <w:szCs w:val="20"/>
        </w:rPr>
        <w:t>农田输配电工程</w:t>
      </w:r>
      <w:r w:rsidRPr="00FC1444">
        <w:rPr>
          <w:rFonts w:eastAsiaTheme="minorEastAsia"/>
          <w:kern w:val="0"/>
          <w:sz w:val="24"/>
          <w:szCs w:val="20"/>
        </w:rPr>
        <w:t>在工程建设前对表土进行剥离，剥离厚度约</w:t>
      </w:r>
      <w:r w:rsidRPr="00FC1444">
        <w:rPr>
          <w:rFonts w:eastAsiaTheme="minorEastAsia"/>
          <w:kern w:val="0"/>
          <w:sz w:val="24"/>
          <w:szCs w:val="20"/>
        </w:rPr>
        <w:t>30cm</w:t>
      </w:r>
      <w:r w:rsidRPr="00FC1444">
        <w:rPr>
          <w:rFonts w:eastAsiaTheme="minorEastAsia"/>
          <w:kern w:val="0"/>
          <w:sz w:val="24"/>
          <w:szCs w:val="20"/>
        </w:rPr>
        <w:t>。剥离后的表土在施工现场贮存，用于</w:t>
      </w:r>
      <w:r w:rsidRPr="00FC1444">
        <w:rPr>
          <w:rFonts w:eastAsiaTheme="minorEastAsia"/>
          <w:bCs/>
          <w:kern w:val="0"/>
          <w:sz w:val="24"/>
          <w:szCs w:val="20"/>
        </w:rPr>
        <w:t>输配电工程</w:t>
      </w:r>
      <w:r w:rsidRPr="00FC1444">
        <w:rPr>
          <w:rFonts w:eastAsiaTheme="minorEastAsia"/>
          <w:kern w:val="0"/>
          <w:sz w:val="24"/>
          <w:szCs w:val="20"/>
        </w:rPr>
        <w:t>表土恢复。</w:t>
      </w:r>
    </w:p>
    <w:p w:rsidR="002A5A5E" w:rsidRPr="00FC1444" w:rsidRDefault="00611CBA">
      <w:pPr>
        <w:adjustRightInd w:val="0"/>
        <w:snapToGrid w:val="0"/>
        <w:spacing w:line="360" w:lineRule="auto"/>
        <w:ind w:firstLineChars="200" w:firstLine="480"/>
        <w:jc w:val="left"/>
        <w:rPr>
          <w:rFonts w:eastAsiaTheme="minorEastAsia"/>
          <w:kern w:val="0"/>
          <w:sz w:val="24"/>
          <w:szCs w:val="22"/>
        </w:rPr>
      </w:pPr>
      <w:r w:rsidRPr="00FC1444">
        <w:rPr>
          <w:rFonts w:eastAsiaTheme="minorEastAsia"/>
          <w:bCs/>
          <w:kern w:val="0"/>
          <w:sz w:val="24"/>
          <w:szCs w:val="22"/>
        </w:rPr>
        <w:t>设置</w:t>
      </w:r>
      <w:r w:rsidR="003D06B8" w:rsidRPr="00FC1444">
        <w:rPr>
          <w:rFonts w:eastAsiaTheme="minorEastAsia"/>
          <w:bCs/>
          <w:kern w:val="0"/>
          <w:sz w:val="24"/>
          <w:szCs w:val="22"/>
        </w:rPr>
        <w:t>变压器</w:t>
      </w:r>
      <w:r w:rsidR="00DF0EB9" w:rsidRPr="00FC1444">
        <w:rPr>
          <w:rFonts w:eastAsiaTheme="minorEastAsia"/>
          <w:bCs/>
          <w:kern w:val="0"/>
          <w:sz w:val="24"/>
          <w:szCs w:val="22"/>
        </w:rPr>
        <w:t>97</w:t>
      </w:r>
      <w:r w:rsidR="00DF0EB9" w:rsidRPr="00FC1444">
        <w:rPr>
          <w:rFonts w:eastAsiaTheme="minorEastAsia"/>
          <w:bCs/>
          <w:kern w:val="0"/>
          <w:sz w:val="24"/>
          <w:szCs w:val="22"/>
        </w:rPr>
        <w:t>台</w:t>
      </w:r>
      <w:r w:rsidRPr="00FC1444">
        <w:rPr>
          <w:rFonts w:eastAsiaTheme="minorEastAsia"/>
          <w:bCs/>
          <w:kern w:val="0"/>
          <w:sz w:val="24"/>
          <w:szCs w:val="22"/>
        </w:rPr>
        <w:t>，变压器型号为</w:t>
      </w:r>
      <w:r w:rsidRPr="00FC1444">
        <w:rPr>
          <w:rFonts w:eastAsiaTheme="minorEastAsia"/>
          <w:kern w:val="0"/>
          <w:sz w:val="24"/>
          <w:szCs w:val="22"/>
        </w:rPr>
        <w:t>S20-M-30kVA</w:t>
      </w:r>
      <w:r w:rsidRPr="00FC1444">
        <w:rPr>
          <w:rFonts w:eastAsiaTheme="minorEastAsia"/>
          <w:kern w:val="0"/>
          <w:sz w:val="24"/>
          <w:szCs w:val="22"/>
        </w:rPr>
        <w:t>、</w:t>
      </w:r>
      <w:r w:rsidRPr="00FC1444">
        <w:rPr>
          <w:rFonts w:eastAsiaTheme="minorEastAsia"/>
          <w:kern w:val="0"/>
          <w:sz w:val="24"/>
          <w:szCs w:val="22"/>
        </w:rPr>
        <w:t>S20-M-50kVA</w:t>
      </w:r>
      <w:r w:rsidRPr="00FC1444">
        <w:rPr>
          <w:rFonts w:eastAsiaTheme="minorEastAsia"/>
          <w:kern w:val="0"/>
          <w:sz w:val="24"/>
          <w:szCs w:val="22"/>
        </w:rPr>
        <w:t>、</w:t>
      </w:r>
      <w:r w:rsidRPr="00FC1444">
        <w:rPr>
          <w:rFonts w:eastAsiaTheme="minorEastAsia"/>
          <w:kern w:val="0"/>
          <w:sz w:val="24"/>
          <w:szCs w:val="22"/>
        </w:rPr>
        <w:t>S20-M-80kVA</w:t>
      </w:r>
      <w:r w:rsidRPr="00FC1444">
        <w:rPr>
          <w:rFonts w:eastAsiaTheme="minorEastAsia"/>
          <w:kern w:val="0"/>
          <w:sz w:val="24"/>
          <w:szCs w:val="22"/>
        </w:rPr>
        <w:t>。各变压器箱内变压器油存储量最大为</w:t>
      </w:r>
      <w:r w:rsidRPr="00FC1444">
        <w:rPr>
          <w:rFonts w:eastAsiaTheme="minorEastAsia"/>
          <w:kern w:val="0"/>
          <w:sz w:val="24"/>
          <w:szCs w:val="22"/>
        </w:rPr>
        <w:t>115kg</w:t>
      </w:r>
      <w:r w:rsidRPr="00FC1444">
        <w:rPr>
          <w:rFonts w:eastAsiaTheme="minorEastAsia"/>
          <w:kern w:val="0"/>
          <w:sz w:val="24"/>
          <w:szCs w:val="22"/>
        </w:rPr>
        <w:t>。</w:t>
      </w:r>
      <w:r w:rsidRPr="00FC1444">
        <w:rPr>
          <w:rFonts w:eastAsiaTheme="minorEastAsia"/>
          <w:bCs/>
          <w:snapToGrid w:val="0"/>
          <w:sz w:val="24"/>
        </w:rPr>
        <w:t>运营期由所在村屯日常维护和管理。</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3.1.6.4</w:t>
      </w:r>
      <w:r w:rsidRPr="00FC1444">
        <w:rPr>
          <w:rFonts w:eastAsiaTheme="minorEastAsia"/>
          <w:b/>
          <w:sz w:val="24"/>
        </w:rPr>
        <w:t>田块整治工程</w:t>
      </w:r>
    </w:p>
    <w:p w:rsidR="002A5A5E" w:rsidRPr="00FC1444" w:rsidRDefault="00611CBA">
      <w:pPr>
        <w:adjustRightInd w:val="0"/>
        <w:snapToGrid w:val="0"/>
        <w:spacing w:line="360" w:lineRule="auto"/>
        <w:ind w:firstLine="482"/>
        <w:rPr>
          <w:rFonts w:eastAsiaTheme="minorEastAsia"/>
          <w:sz w:val="24"/>
        </w:rPr>
      </w:pPr>
      <w:r w:rsidRPr="00FC1444">
        <w:rPr>
          <w:rFonts w:eastAsiaTheme="minorEastAsia"/>
          <w:sz w:val="24"/>
        </w:rPr>
        <w:t>本项目田块整治工程包括：旱田土地平整、</w:t>
      </w:r>
      <w:r w:rsidR="00BC0DDF" w:rsidRPr="00FC1444">
        <w:rPr>
          <w:rFonts w:eastAsiaTheme="minorEastAsia"/>
          <w:bCs/>
          <w:sz w:val="24"/>
        </w:rPr>
        <w:t>低洼地土地平整</w:t>
      </w:r>
      <w:r w:rsidR="00486380" w:rsidRPr="00FC1444">
        <w:rPr>
          <w:rFonts w:eastAsiaTheme="minorEastAsia"/>
          <w:sz w:val="24"/>
        </w:rPr>
        <w:t>、</w:t>
      </w:r>
      <w:r w:rsidR="00486380" w:rsidRPr="00FC1444">
        <w:rPr>
          <w:rFonts w:eastAsiaTheme="minorEastAsia"/>
          <w:bCs/>
          <w:sz w:val="24"/>
        </w:rPr>
        <w:t>旱田障碍土层消除、</w:t>
      </w:r>
      <w:r w:rsidR="00957D7F" w:rsidRPr="00FC1444">
        <w:rPr>
          <w:rFonts w:eastAsiaTheme="minorEastAsia"/>
          <w:bCs/>
          <w:sz w:val="24"/>
        </w:rPr>
        <w:t>蚀沟及沟头防</w:t>
      </w:r>
      <w:r w:rsidR="00486380" w:rsidRPr="00FC1444">
        <w:rPr>
          <w:rFonts w:eastAsiaTheme="minorEastAsia"/>
          <w:bCs/>
          <w:sz w:val="24"/>
        </w:rPr>
        <w:t>、</w:t>
      </w:r>
      <w:r w:rsidR="00486380" w:rsidRPr="00FC1444">
        <w:rPr>
          <w:rFonts w:eastAsiaTheme="minorEastAsia"/>
          <w:sz w:val="24"/>
        </w:rPr>
        <w:t>水田格田改造</w:t>
      </w:r>
      <w:r w:rsidRPr="00FC1444">
        <w:rPr>
          <w:rFonts w:eastAsiaTheme="minorEastAsia"/>
          <w:sz w:val="24"/>
        </w:rPr>
        <w:t>。工程具体位置见附图</w:t>
      </w:r>
      <w:r w:rsidRPr="00FC1444">
        <w:rPr>
          <w:rFonts w:eastAsiaTheme="minorEastAsia"/>
          <w:sz w:val="24"/>
        </w:rPr>
        <w:t>9</w:t>
      </w:r>
      <w:r w:rsidRPr="00FC1444">
        <w:rPr>
          <w:rFonts w:eastAsiaTheme="minorEastAsia"/>
          <w:sz w:val="24"/>
        </w:rPr>
        <w:t>。</w:t>
      </w:r>
    </w:p>
    <w:p w:rsidR="002A5A5E" w:rsidRPr="00FC1444" w:rsidRDefault="00611CBA">
      <w:pPr>
        <w:adjustRightInd w:val="0"/>
        <w:snapToGrid w:val="0"/>
        <w:spacing w:line="360" w:lineRule="auto"/>
        <w:ind w:firstLine="482"/>
        <w:rPr>
          <w:rFonts w:eastAsiaTheme="minorEastAsia"/>
          <w:sz w:val="24"/>
        </w:rPr>
      </w:pPr>
      <w:r w:rsidRPr="00FC1444">
        <w:rPr>
          <w:rFonts w:eastAsiaTheme="minorEastAsia"/>
          <w:sz w:val="24"/>
        </w:rPr>
        <w:t>根据平整地块所在村的平均土壤厚度确定表土剥离厚度在</w:t>
      </w:r>
      <w:r w:rsidRPr="00FC1444">
        <w:rPr>
          <w:rFonts w:eastAsiaTheme="minorEastAsia"/>
          <w:sz w:val="24"/>
        </w:rPr>
        <w:t>25cm</w:t>
      </w:r>
      <w:r w:rsidRPr="00FC1444">
        <w:rPr>
          <w:rFonts w:eastAsiaTheme="minorEastAsia"/>
          <w:sz w:val="24"/>
        </w:rPr>
        <w:t>左右。</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1</w:t>
      </w:r>
      <w:r w:rsidRPr="00FC1444">
        <w:rPr>
          <w:rFonts w:ascii="Times New Roman" w:hAnsi="Times New Roman" w:cs="Times New Roman"/>
        </w:rPr>
        <w:t>）旱田</w:t>
      </w:r>
    </w:p>
    <w:p w:rsidR="002A5A5E" w:rsidRPr="00FC1444" w:rsidRDefault="00611CBA" w:rsidP="00F760F0">
      <w:pPr>
        <w:pStyle w:val="aff4"/>
        <w:rPr>
          <w:rFonts w:ascii="Times New Roman" w:hAnsi="Times New Roman" w:cs="Times New Roman"/>
          <w:bCs/>
          <w:snapToGrid w:val="0"/>
          <w:kern w:val="0"/>
        </w:rPr>
      </w:pPr>
      <w:r w:rsidRPr="00FC1444">
        <w:rPr>
          <w:rFonts w:ascii="Times New Roman" w:hAnsi="Times New Roman" w:cs="Times New Roman"/>
          <w:bCs/>
          <w:snapToGrid w:val="0"/>
          <w:kern w:val="0"/>
        </w:rPr>
        <w:t>旱田土地平整：项目区内旱田有少部分地块地势起伏较大，影响农田机械作业，本次针对这种地块采用土地平整方式，对地块整体进行平整，减小地块内落差起伏，共</w:t>
      </w:r>
      <w:r w:rsidR="00BC0DDF" w:rsidRPr="00FC1444">
        <w:rPr>
          <w:rFonts w:ascii="Times New Roman" w:hAnsi="Times New Roman" w:cs="Times New Roman"/>
          <w:bCs/>
        </w:rPr>
        <w:t>1298.97</w:t>
      </w:r>
      <w:r w:rsidRPr="00FC1444">
        <w:rPr>
          <w:rFonts w:ascii="Times New Roman" w:hAnsi="Times New Roman" w:cs="Times New Roman"/>
          <w:bCs/>
          <w:snapToGrid w:val="0"/>
          <w:kern w:val="0"/>
        </w:rPr>
        <w:t>亩。</w:t>
      </w:r>
      <w:r w:rsidR="00F71F62" w:rsidRPr="00FC1444">
        <w:rPr>
          <w:rFonts w:ascii="Times New Roman" w:hAnsi="Times New Roman" w:cs="Times New Roman"/>
          <w:bCs/>
          <w:snapToGrid w:val="0"/>
          <w:kern w:val="0"/>
        </w:rPr>
        <w:t>根据</w:t>
      </w:r>
      <w:r w:rsidR="00F71F62" w:rsidRPr="00FC1444">
        <w:rPr>
          <w:rFonts w:ascii="Times New Roman" w:hAnsi="Times New Roman" w:cs="Times New Roman"/>
          <w:snapToGrid w:val="0"/>
          <w:kern w:val="0"/>
        </w:rPr>
        <w:t>《</w:t>
      </w:r>
      <w:r w:rsidR="00AE168C" w:rsidRPr="00FC1444">
        <w:rPr>
          <w:rFonts w:ascii="Times New Roman" w:hAnsi="Times New Roman" w:cs="Times New Roman"/>
          <w:snapToGrid w:val="0"/>
          <w:kern w:val="0"/>
        </w:rPr>
        <w:t>北林区</w:t>
      </w:r>
      <w:r w:rsidR="00AE168C" w:rsidRPr="00FC1444">
        <w:rPr>
          <w:rFonts w:ascii="Times New Roman" w:hAnsi="Times New Roman" w:cs="Times New Roman"/>
          <w:snapToGrid w:val="0"/>
          <w:kern w:val="0"/>
        </w:rPr>
        <w:t>2026</w:t>
      </w:r>
      <w:r w:rsidR="00AE168C" w:rsidRPr="00FC1444">
        <w:rPr>
          <w:rFonts w:ascii="Times New Roman" w:hAnsi="Times New Roman" w:cs="Times New Roman"/>
          <w:snapToGrid w:val="0"/>
          <w:kern w:val="0"/>
        </w:rPr>
        <w:t>年高标准农田建设项目</w:t>
      </w:r>
      <w:r w:rsidR="00F71F62" w:rsidRPr="00FC1444">
        <w:rPr>
          <w:rFonts w:ascii="Times New Roman" w:hAnsi="Times New Roman" w:cs="Times New Roman"/>
          <w:snapToGrid w:val="0"/>
          <w:kern w:val="0"/>
        </w:rPr>
        <w:t>初步设计》，</w:t>
      </w:r>
      <w:r w:rsidR="00F760F0" w:rsidRPr="00FC1444">
        <w:rPr>
          <w:rFonts w:ascii="Times New Roman" w:hAnsi="Times New Roman" w:cs="Times New Roman"/>
          <w:bCs/>
          <w:snapToGrid w:val="0"/>
          <w:kern w:val="0"/>
        </w:rPr>
        <w:t>规划平整的地块均为低洼地块，按农户要求地块内高处尽量不挖，只对低洼处进行填土</w:t>
      </w:r>
      <w:r w:rsidR="00D527F0" w:rsidRPr="00FC1444">
        <w:rPr>
          <w:rFonts w:ascii="Times New Roman" w:hAnsi="Times New Roman" w:cs="Times New Roman"/>
          <w:bCs/>
          <w:snapToGrid w:val="0"/>
          <w:kern w:val="0"/>
        </w:rPr>
        <w:t>。</w:t>
      </w:r>
      <w:r w:rsidRPr="00FC1444">
        <w:rPr>
          <w:rFonts w:ascii="Times New Roman" w:hAnsi="Times New Roman" w:cs="Times New Roman"/>
        </w:rPr>
        <w:t>土地平整面积</w:t>
      </w:r>
      <w:r w:rsidR="0023546E" w:rsidRPr="00FC1444">
        <w:rPr>
          <w:rFonts w:ascii="Times New Roman" w:hAnsi="Times New Roman" w:cs="Times New Roman"/>
          <w:bCs/>
        </w:rPr>
        <w:t>1298.97</w:t>
      </w:r>
      <w:r w:rsidR="00DB3B37" w:rsidRPr="00FC1444">
        <w:rPr>
          <w:rFonts w:ascii="Times New Roman" w:hAnsi="Times New Roman" w:cs="Times New Roman"/>
          <w:bCs/>
        </w:rPr>
        <w:t>亩</w:t>
      </w:r>
      <w:r w:rsidRPr="00FC1444">
        <w:rPr>
          <w:rFonts w:ascii="Times New Roman" w:hAnsi="Times New Roman" w:cs="Times New Roman"/>
        </w:rPr>
        <w:t>，表土剥离量</w:t>
      </w:r>
      <w:r w:rsidR="0023546E" w:rsidRPr="00FC1444">
        <w:rPr>
          <w:rFonts w:ascii="Times New Roman" w:hAnsi="Times New Roman" w:cs="Times New Roman" w:hint="eastAsia"/>
        </w:rPr>
        <w:t>216279</w:t>
      </w:r>
      <w:r w:rsidRPr="00FC1444">
        <w:rPr>
          <w:rFonts w:ascii="Times New Roman" w:hAnsi="Times New Roman" w:cs="Times New Roman"/>
        </w:rPr>
        <w:t>m</w:t>
      </w:r>
      <w:r w:rsidRPr="00FC1444">
        <w:rPr>
          <w:rFonts w:ascii="Times New Roman" w:hAnsi="Times New Roman" w:cs="Times New Roman"/>
          <w:vertAlign w:val="superscript"/>
        </w:rPr>
        <w:t>3</w:t>
      </w:r>
      <w:r w:rsidRPr="00FC1444">
        <w:rPr>
          <w:rFonts w:ascii="Times New Roman" w:hAnsi="Times New Roman" w:cs="Times New Roman"/>
        </w:rPr>
        <w:t>，</w:t>
      </w:r>
      <w:r w:rsidRPr="00FC1444">
        <w:rPr>
          <w:rFonts w:ascii="Times New Roman" w:hAnsi="Times New Roman" w:cs="Times New Roman"/>
          <w:bCs/>
          <w:snapToGrid w:val="0"/>
          <w:kern w:val="0"/>
        </w:rPr>
        <w:t>外运</w:t>
      </w:r>
      <w:r w:rsidRPr="00FC1444">
        <w:rPr>
          <w:rFonts w:ascii="Times New Roman" w:hAnsi="Times New Roman" w:cs="Times New Roman"/>
          <w:bCs/>
          <w:kern w:val="0"/>
          <w:szCs w:val="21"/>
        </w:rPr>
        <w:t>排水沟、渠道衬砌工程</w:t>
      </w:r>
      <w:r w:rsidRPr="00FC1444">
        <w:rPr>
          <w:rFonts w:ascii="Times New Roman" w:hAnsi="Times New Roman" w:cs="Times New Roman"/>
          <w:bCs/>
          <w:snapToGrid w:val="0"/>
          <w:kern w:val="0"/>
        </w:rPr>
        <w:t>清基土回填压实</w:t>
      </w:r>
      <w:r w:rsidRPr="00FC1444">
        <w:rPr>
          <w:rFonts w:ascii="Times New Roman" w:hAnsi="Times New Roman" w:cs="Times New Roman"/>
        </w:rPr>
        <w:t>（采用</w:t>
      </w:r>
      <w:r w:rsidRPr="00FC1444">
        <w:rPr>
          <w:rFonts w:ascii="Times New Roman" w:hAnsi="Times New Roman" w:cs="Times New Roman"/>
          <w:bCs/>
          <w:kern w:val="0"/>
          <w:szCs w:val="21"/>
        </w:rPr>
        <w:t>排水沟、渠道衬砌工程弃方</w:t>
      </w:r>
      <w:r w:rsidRPr="00FC1444">
        <w:rPr>
          <w:rFonts w:ascii="Times New Roman" w:hAnsi="Times New Roman" w:cs="Times New Roman"/>
        </w:rPr>
        <w:t>）平整后进行表土回覆，回覆表土</w:t>
      </w:r>
      <w:r w:rsidR="0023546E" w:rsidRPr="00FC1444">
        <w:rPr>
          <w:rFonts w:ascii="Times New Roman" w:hAnsi="Times New Roman" w:cs="Times New Roman" w:hint="eastAsia"/>
        </w:rPr>
        <w:t>216279</w:t>
      </w:r>
      <w:r w:rsidRPr="00FC1444">
        <w:rPr>
          <w:rFonts w:ascii="Times New Roman" w:hAnsi="Times New Roman" w:cs="Times New Roman"/>
        </w:rPr>
        <w:t>m</w:t>
      </w:r>
      <w:r w:rsidRPr="00FC1444">
        <w:rPr>
          <w:rFonts w:ascii="Times New Roman" w:hAnsi="Times New Roman" w:cs="Times New Roman"/>
          <w:vertAlign w:val="superscript"/>
        </w:rPr>
        <w:t>3</w:t>
      </w:r>
      <w:r w:rsidRPr="00FC1444">
        <w:rPr>
          <w:rFonts w:ascii="Times New Roman" w:hAnsi="Times New Roman" w:cs="Times New Roman"/>
        </w:rPr>
        <w:t>。</w:t>
      </w:r>
    </w:p>
    <w:p w:rsidR="00BC0DDF" w:rsidRPr="00FC1444" w:rsidRDefault="00BC0DDF" w:rsidP="00F25D4C">
      <w:pPr>
        <w:pStyle w:val="aff4"/>
        <w:rPr>
          <w:rFonts w:ascii="Times New Roman" w:hAnsi="Times New Roman" w:cs="Times New Roman"/>
        </w:rPr>
      </w:pPr>
      <w:r w:rsidRPr="00FC1444">
        <w:rPr>
          <w:rFonts w:ascii="Times New Roman" w:hAnsi="Times New Roman" w:cs="Times New Roman"/>
          <w:bCs/>
        </w:rPr>
        <w:t>低洼地土地平整</w:t>
      </w:r>
      <w:r w:rsidR="00611CBA" w:rsidRPr="00FC1444">
        <w:rPr>
          <w:rFonts w:ascii="Times New Roman" w:hAnsi="Times New Roman" w:cs="Times New Roman"/>
          <w:bCs/>
          <w:snapToGrid w:val="0"/>
          <w:kern w:val="0"/>
        </w:rPr>
        <w:t>：</w:t>
      </w:r>
      <w:r w:rsidR="00EB3FF0" w:rsidRPr="00FC1444">
        <w:rPr>
          <w:rFonts w:ascii="Times New Roman" w:hAnsi="Times New Roman" w:cs="Times New Roman"/>
          <w:bCs/>
          <w:snapToGrid w:val="0"/>
          <w:kern w:val="0"/>
        </w:rPr>
        <w:t>根据</w:t>
      </w:r>
      <w:r w:rsidR="00EB3FF0" w:rsidRPr="00FC1444">
        <w:rPr>
          <w:rFonts w:ascii="Times New Roman" w:hAnsi="Times New Roman" w:cs="Times New Roman"/>
          <w:snapToGrid w:val="0"/>
          <w:kern w:val="0"/>
        </w:rPr>
        <w:t>《</w:t>
      </w:r>
      <w:r w:rsidR="00AE168C" w:rsidRPr="00FC1444">
        <w:rPr>
          <w:rFonts w:ascii="Times New Roman" w:hAnsi="Times New Roman" w:cs="Times New Roman"/>
          <w:snapToGrid w:val="0"/>
          <w:kern w:val="0"/>
        </w:rPr>
        <w:t>北林区</w:t>
      </w:r>
      <w:r w:rsidR="00AE168C" w:rsidRPr="00FC1444">
        <w:rPr>
          <w:rFonts w:ascii="Times New Roman" w:hAnsi="Times New Roman" w:cs="Times New Roman"/>
          <w:snapToGrid w:val="0"/>
          <w:kern w:val="0"/>
        </w:rPr>
        <w:t>2026</w:t>
      </w:r>
      <w:r w:rsidR="00AE168C" w:rsidRPr="00FC1444">
        <w:rPr>
          <w:rFonts w:ascii="Times New Roman" w:hAnsi="Times New Roman" w:cs="Times New Roman"/>
          <w:snapToGrid w:val="0"/>
          <w:kern w:val="0"/>
        </w:rPr>
        <w:t>年高标准农田建设项目</w:t>
      </w:r>
      <w:r w:rsidR="00EB3FF0" w:rsidRPr="00FC1444">
        <w:rPr>
          <w:rFonts w:ascii="Times New Roman" w:hAnsi="Times New Roman" w:cs="Times New Roman"/>
          <w:snapToGrid w:val="0"/>
          <w:kern w:val="0"/>
        </w:rPr>
        <w:t>初步设计》，</w:t>
      </w:r>
      <w:r w:rsidRPr="00FC1444">
        <w:rPr>
          <w:rFonts w:ascii="Times New Roman" w:hAnsi="Times New Roman" w:cs="Times New Roman"/>
          <w:bCs/>
        </w:rPr>
        <w:t>低洼地土地平整</w:t>
      </w:r>
      <w:r w:rsidR="00DB3B37" w:rsidRPr="00FC1444">
        <w:rPr>
          <w:rFonts w:ascii="Times New Roman" w:hAnsi="Times New Roman" w:cs="Times New Roman"/>
          <w:bCs/>
        </w:rPr>
        <w:t>面积</w:t>
      </w:r>
      <w:r w:rsidRPr="00FC1444">
        <w:rPr>
          <w:rFonts w:ascii="Times New Roman" w:hAnsi="Times New Roman" w:cs="Times New Roman"/>
          <w:bCs/>
        </w:rPr>
        <w:t>2032.55</w:t>
      </w:r>
      <w:r w:rsidR="00DB3B37" w:rsidRPr="00FC1444">
        <w:rPr>
          <w:rFonts w:ascii="Times New Roman" w:hAnsi="Times New Roman" w:cs="Times New Roman"/>
          <w:bCs/>
        </w:rPr>
        <w:t>亩</w:t>
      </w:r>
      <w:r w:rsidR="00611CBA" w:rsidRPr="00FC1444">
        <w:rPr>
          <w:rFonts w:ascii="Times New Roman" w:hAnsi="Times New Roman" w:cs="Times New Roman"/>
          <w:bCs/>
          <w:snapToGrid w:val="0"/>
          <w:kern w:val="0"/>
        </w:rPr>
        <w:t>。</w:t>
      </w:r>
      <w:r w:rsidR="00F25D4C" w:rsidRPr="00FC1444">
        <w:rPr>
          <w:rFonts w:ascii="Times New Roman" w:hAnsi="Times New Roman" w:cs="Times New Roman"/>
        </w:rPr>
        <w:t>坑塘回填平整</w:t>
      </w:r>
      <w:r w:rsidR="00F25D4C" w:rsidRPr="00FC1444">
        <w:rPr>
          <w:rFonts w:ascii="Times New Roman" w:hAnsi="Times New Roman" w:cs="Times New Roman"/>
        </w:rPr>
        <w:t>5.21</w:t>
      </w:r>
      <w:r w:rsidR="00F25D4C" w:rsidRPr="00FC1444">
        <w:rPr>
          <w:rFonts w:ascii="Times New Roman" w:hAnsi="Times New Roman" w:cs="Times New Roman"/>
        </w:rPr>
        <w:t>亩。</w:t>
      </w:r>
      <w:r w:rsidR="00473DCA" w:rsidRPr="00FC1444">
        <w:rPr>
          <w:rFonts w:ascii="Times New Roman" w:hAnsi="Times New Roman" w:cs="Times New Roman"/>
        </w:rPr>
        <w:t>对原有耕作层进行剥离。</w:t>
      </w:r>
      <w:r w:rsidR="00F25D4C" w:rsidRPr="00FC1444">
        <w:rPr>
          <w:rFonts w:ascii="Times New Roman" w:hAnsi="Times New Roman" w:cs="Times New Roman"/>
        </w:rPr>
        <w:t>表土剥离量</w:t>
      </w:r>
      <w:r w:rsidR="0023546E" w:rsidRPr="00FC1444">
        <w:rPr>
          <w:rFonts w:ascii="Times New Roman" w:hAnsi="Times New Roman" w:cs="Times New Roman" w:hint="eastAsia"/>
        </w:rPr>
        <w:t>338420</w:t>
      </w:r>
      <w:r w:rsidR="00F25D4C" w:rsidRPr="00FC1444">
        <w:rPr>
          <w:rFonts w:ascii="Times New Roman" w:hAnsi="Times New Roman" w:cs="Times New Roman"/>
        </w:rPr>
        <w:t>m</w:t>
      </w:r>
      <w:r w:rsidR="00F25D4C" w:rsidRPr="00FC1444">
        <w:rPr>
          <w:rFonts w:ascii="Times New Roman" w:hAnsi="Times New Roman" w:cs="Times New Roman"/>
          <w:vertAlign w:val="superscript"/>
        </w:rPr>
        <w:t>3</w:t>
      </w:r>
      <w:r w:rsidR="00F25D4C" w:rsidRPr="00FC1444">
        <w:rPr>
          <w:rFonts w:ascii="Times New Roman" w:hAnsi="Times New Roman" w:cs="Times New Roman"/>
        </w:rPr>
        <w:t>，</w:t>
      </w:r>
      <w:r w:rsidR="00F25D4C" w:rsidRPr="00FC1444">
        <w:rPr>
          <w:rFonts w:ascii="Times New Roman" w:hAnsi="Times New Roman" w:cs="Times New Roman"/>
          <w:bCs/>
          <w:snapToGrid w:val="0"/>
          <w:kern w:val="0"/>
        </w:rPr>
        <w:t>外运</w:t>
      </w:r>
      <w:r w:rsidR="00F25D4C" w:rsidRPr="00FC1444">
        <w:rPr>
          <w:rFonts w:ascii="Times New Roman" w:hAnsi="Times New Roman" w:cs="Times New Roman"/>
          <w:bCs/>
          <w:kern w:val="0"/>
          <w:szCs w:val="21"/>
        </w:rPr>
        <w:t>排水沟、渠道衬砌工程</w:t>
      </w:r>
      <w:r w:rsidR="00F25D4C" w:rsidRPr="00FC1444">
        <w:rPr>
          <w:rFonts w:ascii="Times New Roman" w:hAnsi="Times New Roman" w:cs="Times New Roman"/>
          <w:bCs/>
          <w:snapToGrid w:val="0"/>
          <w:kern w:val="0"/>
        </w:rPr>
        <w:t>清基土回填压实</w:t>
      </w:r>
      <w:r w:rsidR="00F25D4C" w:rsidRPr="00FC1444">
        <w:rPr>
          <w:rFonts w:ascii="Times New Roman" w:hAnsi="Times New Roman" w:cs="Times New Roman"/>
        </w:rPr>
        <w:t>（采用</w:t>
      </w:r>
      <w:r w:rsidR="00F25D4C" w:rsidRPr="00FC1444">
        <w:rPr>
          <w:rFonts w:ascii="Times New Roman" w:hAnsi="Times New Roman" w:cs="Times New Roman"/>
          <w:bCs/>
          <w:kern w:val="0"/>
          <w:szCs w:val="21"/>
        </w:rPr>
        <w:t>排水沟、渠道衬砌工程弃方</w:t>
      </w:r>
      <w:r w:rsidR="00F25D4C" w:rsidRPr="00FC1444">
        <w:rPr>
          <w:rFonts w:ascii="Times New Roman" w:hAnsi="Times New Roman" w:cs="Times New Roman"/>
        </w:rPr>
        <w:t>）平整后进行表土回覆，回覆表土</w:t>
      </w:r>
      <w:r w:rsidR="0023546E" w:rsidRPr="00FC1444">
        <w:rPr>
          <w:rFonts w:ascii="Times New Roman" w:hAnsi="Times New Roman" w:cs="Times New Roman" w:hint="eastAsia"/>
        </w:rPr>
        <w:t>338420</w:t>
      </w:r>
      <w:r w:rsidR="00F25D4C" w:rsidRPr="00FC1444">
        <w:rPr>
          <w:rFonts w:ascii="Times New Roman" w:hAnsi="Times New Roman" w:cs="Times New Roman"/>
        </w:rPr>
        <w:t>m</w:t>
      </w:r>
      <w:r w:rsidR="00F25D4C" w:rsidRPr="00FC1444">
        <w:rPr>
          <w:rFonts w:ascii="Times New Roman" w:hAnsi="Times New Roman" w:cs="Times New Roman"/>
          <w:vertAlign w:val="superscript"/>
        </w:rPr>
        <w:t>3</w:t>
      </w:r>
      <w:r w:rsidR="00F25D4C" w:rsidRPr="00FC1444">
        <w:rPr>
          <w:rFonts w:ascii="Times New Roman" w:hAnsi="Times New Roman" w:cs="Times New Roman"/>
        </w:rPr>
        <w:t>。</w:t>
      </w:r>
    </w:p>
    <w:p w:rsidR="00F25D4C" w:rsidRPr="00FC1444" w:rsidRDefault="00F25D4C" w:rsidP="00F25D4C">
      <w:pPr>
        <w:pStyle w:val="aff4"/>
        <w:rPr>
          <w:rFonts w:ascii="Times New Roman" w:hAnsi="Times New Roman" w:cs="Times New Roman"/>
          <w:bCs/>
          <w:snapToGrid w:val="0"/>
          <w:kern w:val="0"/>
        </w:rPr>
      </w:pPr>
      <w:r w:rsidRPr="00FC1444">
        <w:rPr>
          <w:rFonts w:ascii="Times New Roman" w:hAnsi="Times New Roman" w:cs="Times New Roman"/>
        </w:rPr>
        <w:lastRenderedPageBreak/>
        <w:t>土地深松、深翻及抛洒有机肥总面积</w:t>
      </w:r>
      <w:r w:rsidR="00216445" w:rsidRPr="00FC1444">
        <w:rPr>
          <w:rFonts w:ascii="Times New Roman" w:hAnsi="Times New Roman" w:cs="Times New Roman"/>
        </w:rPr>
        <w:t>84626</w:t>
      </w:r>
      <w:r w:rsidRPr="00FC1444">
        <w:rPr>
          <w:rFonts w:ascii="Times New Roman" w:hAnsi="Times New Roman" w:cs="Times New Roman"/>
        </w:rPr>
        <w:t>亩。回填后施用的土壤改良剂（商品有机肥料）应符合《有机肥标准》（</w:t>
      </w:r>
      <w:r w:rsidRPr="00FC1444">
        <w:rPr>
          <w:rFonts w:ascii="Times New Roman" w:hAnsi="Times New Roman" w:cs="Times New Roman"/>
        </w:rPr>
        <w:t>NY525-2021</w:t>
      </w:r>
      <w:r w:rsidRPr="00FC1444">
        <w:rPr>
          <w:rFonts w:ascii="Times New Roman" w:hAnsi="Times New Roman" w:cs="Times New Roman"/>
        </w:rPr>
        <w:t>）的规定。</w:t>
      </w:r>
    </w:p>
    <w:p w:rsidR="002A5A5E" w:rsidRPr="00FC1444" w:rsidRDefault="00611CBA" w:rsidP="001F4A40">
      <w:pPr>
        <w:adjustRightInd w:val="0"/>
        <w:snapToGrid w:val="0"/>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）水田</w:t>
      </w:r>
    </w:p>
    <w:p w:rsidR="002A5A5E" w:rsidRPr="00FC1444" w:rsidRDefault="00BC0DDF" w:rsidP="001F4A40">
      <w:pPr>
        <w:adjustRightInd w:val="0"/>
        <w:snapToGrid w:val="0"/>
        <w:spacing w:line="360" w:lineRule="auto"/>
        <w:ind w:firstLineChars="200" w:firstLine="480"/>
        <w:rPr>
          <w:rFonts w:eastAsiaTheme="minorEastAsia"/>
          <w:bCs/>
          <w:sz w:val="24"/>
        </w:rPr>
      </w:pPr>
      <w:r w:rsidRPr="00FC1444">
        <w:rPr>
          <w:rFonts w:eastAsiaTheme="minorEastAsia"/>
          <w:bCs/>
          <w:sz w:val="24"/>
        </w:rPr>
        <w:t>水田方</w:t>
      </w:r>
      <w:r w:rsidR="00611CBA" w:rsidRPr="00FC1444">
        <w:rPr>
          <w:rFonts w:eastAsiaTheme="minorEastAsia"/>
          <w:sz w:val="24"/>
        </w:rPr>
        <w:t>格田改造面积</w:t>
      </w:r>
      <w:r w:rsidRPr="00FC1444">
        <w:rPr>
          <w:rFonts w:eastAsiaTheme="minorEastAsia"/>
          <w:bCs/>
          <w:sz w:val="24"/>
        </w:rPr>
        <w:t>17212.82</w:t>
      </w:r>
      <w:r w:rsidR="00DB3B37" w:rsidRPr="00FC1444">
        <w:rPr>
          <w:rFonts w:eastAsiaTheme="minorEastAsia"/>
          <w:bCs/>
          <w:sz w:val="24"/>
        </w:rPr>
        <w:t>亩</w:t>
      </w:r>
      <w:r w:rsidR="00611CBA" w:rsidRPr="00FC1444">
        <w:rPr>
          <w:rFonts w:eastAsiaTheme="minorEastAsia"/>
          <w:sz w:val="24"/>
        </w:rPr>
        <w:t>，水田区格田改造工程具体位置见附图</w:t>
      </w:r>
      <w:r w:rsidR="00611CBA" w:rsidRPr="00FC1444">
        <w:rPr>
          <w:rFonts w:eastAsiaTheme="minorEastAsia"/>
          <w:sz w:val="24"/>
        </w:rPr>
        <w:t>9</w:t>
      </w:r>
      <w:r w:rsidR="00611CBA" w:rsidRPr="00FC1444">
        <w:rPr>
          <w:rFonts w:eastAsiaTheme="minorEastAsia"/>
          <w:sz w:val="24"/>
        </w:rPr>
        <w:t>，将土质田埂改造为组合式输水渠埂。组合式复合塑钢田埂是由面板、侧板和加强支架按不同需求尺寸组成。设计田埂宽</w:t>
      </w:r>
      <w:r w:rsidR="00611CBA" w:rsidRPr="00FC1444">
        <w:rPr>
          <w:rFonts w:eastAsiaTheme="minorEastAsia"/>
          <w:sz w:val="24"/>
        </w:rPr>
        <w:t>35m</w:t>
      </w:r>
      <w:r w:rsidR="00611CBA" w:rsidRPr="00FC1444">
        <w:rPr>
          <w:rFonts w:eastAsiaTheme="minorEastAsia"/>
          <w:sz w:val="24"/>
        </w:rPr>
        <w:t>、高度</w:t>
      </w:r>
      <w:r w:rsidR="00611CBA" w:rsidRPr="00FC1444">
        <w:rPr>
          <w:rFonts w:eastAsiaTheme="minorEastAsia"/>
          <w:sz w:val="24"/>
        </w:rPr>
        <w:t>0.4m</w:t>
      </w:r>
      <w:r w:rsidR="00611CBA" w:rsidRPr="00FC1444">
        <w:rPr>
          <w:rFonts w:eastAsiaTheme="minorEastAsia"/>
          <w:sz w:val="24"/>
        </w:rPr>
        <w:t>，田埂压实度</w:t>
      </w:r>
      <w:r w:rsidR="00611CBA" w:rsidRPr="00FC1444">
        <w:rPr>
          <w:rFonts w:eastAsiaTheme="minorEastAsia"/>
          <w:sz w:val="24"/>
        </w:rPr>
        <w:t>&gt;0.9</w:t>
      </w:r>
      <w:r w:rsidR="00611CBA" w:rsidRPr="00FC1444">
        <w:rPr>
          <w:rFonts w:eastAsiaTheme="minorEastAsia"/>
          <w:sz w:val="24"/>
        </w:rPr>
        <w:t>。</w:t>
      </w:r>
      <w:r w:rsidR="00611CBA" w:rsidRPr="00FC1444">
        <w:rPr>
          <w:rFonts w:eastAsiaTheme="minorEastAsia"/>
          <w:bCs/>
          <w:snapToGrid w:val="0"/>
          <w:kern w:val="0"/>
          <w:sz w:val="24"/>
        </w:rPr>
        <w:t>剥离表土</w:t>
      </w:r>
      <w:r w:rsidR="00B16F10" w:rsidRPr="00FC1444">
        <w:rPr>
          <w:rFonts w:eastAsiaTheme="minorEastAsia" w:hint="eastAsia"/>
          <w:bCs/>
          <w:snapToGrid w:val="0"/>
          <w:kern w:val="0"/>
          <w:sz w:val="24"/>
        </w:rPr>
        <w:t>2865935</w:t>
      </w:r>
      <w:r w:rsidR="00611CBA" w:rsidRPr="00FC1444">
        <w:rPr>
          <w:rFonts w:eastAsiaTheme="minorEastAsia"/>
          <w:bCs/>
          <w:snapToGrid w:val="0"/>
          <w:kern w:val="0"/>
          <w:sz w:val="24"/>
        </w:rPr>
        <w:t>m</w:t>
      </w:r>
      <w:r w:rsidR="00611CBA" w:rsidRPr="00FC1444">
        <w:rPr>
          <w:rFonts w:eastAsiaTheme="minorEastAsia"/>
          <w:bCs/>
          <w:snapToGrid w:val="0"/>
          <w:kern w:val="0"/>
          <w:sz w:val="24"/>
          <w:vertAlign w:val="superscript"/>
        </w:rPr>
        <w:t>3</w:t>
      </w:r>
      <w:r w:rsidR="00611CBA" w:rsidRPr="00FC1444">
        <w:rPr>
          <w:rFonts w:eastAsiaTheme="minorEastAsia"/>
          <w:bCs/>
          <w:snapToGrid w:val="0"/>
          <w:kern w:val="0"/>
          <w:sz w:val="24"/>
        </w:rPr>
        <w:t>。</w:t>
      </w:r>
    </w:p>
    <w:p w:rsidR="002A5A5E" w:rsidRPr="00FC1444" w:rsidRDefault="00611CBA" w:rsidP="001F4A40">
      <w:pPr>
        <w:autoSpaceDE w:val="0"/>
        <w:autoSpaceDN w:val="0"/>
        <w:spacing w:line="360" w:lineRule="auto"/>
        <w:ind w:firstLineChars="200" w:firstLine="480"/>
        <w:rPr>
          <w:rFonts w:eastAsiaTheme="minorEastAsia"/>
          <w:bCs/>
          <w:sz w:val="24"/>
        </w:rPr>
      </w:pPr>
      <w:r w:rsidRPr="00FC1444">
        <w:rPr>
          <w:rFonts w:eastAsiaTheme="minorEastAsia"/>
          <w:sz w:val="24"/>
        </w:rPr>
        <w:t>通过格田改造，可以减少池埂、水渠占地面积，提高了土地的利用率和机械作业效率，有助于改善土壤结构，提高农田保水能力，提升耕地质量，实施标准化格田改造这一根本措施，实现节水、节肥，提高机械化率、提高水稻产量、提高稻米品质，减少收获损失、减少机械投入、减少人工费支出、减少机械破坏土</w:t>
      </w:r>
      <w:r w:rsidRPr="00FC1444">
        <w:rPr>
          <w:rFonts w:eastAsiaTheme="minorEastAsia"/>
          <w:bCs/>
          <w:sz w:val="24"/>
        </w:rPr>
        <w:t>地，在节省成本的同时，实现增收、增效。实现</w:t>
      </w:r>
      <w:r w:rsidRPr="00FC1444">
        <w:rPr>
          <w:rFonts w:eastAsiaTheme="minorEastAsia"/>
          <w:bCs/>
          <w:sz w:val="24"/>
        </w:rPr>
        <w:t>“</w:t>
      </w:r>
      <w:r w:rsidRPr="00FC1444">
        <w:rPr>
          <w:rFonts w:eastAsiaTheme="minorEastAsia"/>
          <w:bCs/>
          <w:sz w:val="24"/>
        </w:rPr>
        <w:t>一改二节三提四减</w:t>
      </w:r>
      <w:r w:rsidRPr="00FC1444">
        <w:rPr>
          <w:rFonts w:eastAsiaTheme="minorEastAsia"/>
          <w:bCs/>
          <w:sz w:val="24"/>
        </w:rPr>
        <w:t>”</w:t>
      </w:r>
      <w:r w:rsidRPr="00FC1444">
        <w:rPr>
          <w:rFonts w:eastAsiaTheme="minorEastAsia"/>
          <w:bCs/>
          <w:sz w:val="24"/>
        </w:rPr>
        <w:t>。</w:t>
      </w:r>
    </w:p>
    <w:p w:rsidR="002A5A5E" w:rsidRPr="00FC1444" w:rsidRDefault="00611CBA" w:rsidP="001F4A40">
      <w:pPr>
        <w:autoSpaceDE w:val="0"/>
        <w:autoSpaceDN w:val="0"/>
        <w:spacing w:line="360" w:lineRule="auto"/>
        <w:ind w:firstLineChars="200" w:firstLine="480"/>
        <w:rPr>
          <w:rFonts w:eastAsiaTheme="minorEastAsia"/>
          <w:bCs/>
          <w:sz w:val="24"/>
        </w:rPr>
      </w:pPr>
      <w:r w:rsidRPr="00FC1444">
        <w:rPr>
          <w:rFonts w:eastAsiaTheme="minorEastAsia"/>
          <w:bCs/>
          <w:sz w:val="24"/>
        </w:rPr>
        <w:t>禁止将利用垃圾、污泥及各种工矿废弃物制作的有机肥投入农田中。购买的合格肥料发放至村委会，由村委会派专人管理和发放至农户，农户在耕种前对自家土地进行施肥，与农户例行春耕无异。</w:t>
      </w:r>
    </w:p>
    <w:p w:rsidR="00BC0DDF" w:rsidRPr="00FC1444" w:rsidRDefault="00BC0DDF" w:rsidP="00BC0DDF">
      <w:pPr>
        <w:autoSpaceDE w:val="0"/>
        <w:autoSpaceDN w:val="0"/>
        <w:spacing w:before="100" w:beforeAutospacing="1" w:after="100" w:afterAutospacing="1"/>
        <w:outlineLvl w:val="3"/>
        <w:rPr>
          <w:rFonts w:eastAsiaTheme="minorEastAsia"/>
          <w:b/>
          <w:sz w:val="24"/>
        </w:rPr>
      </w:pPr>
      <w:r w:rsidRPr="00FC1444">
        <w:rPr>
          <w:rFonts w:eastAsiaTheme="minorEastAsia"/>
          <w:b/>
          <w:sz w:val="24"/>
        </w:rPr>
        <w:t>3.1.6.5</w:t>
      </w:r>
      <w:r w:rsidRPr="00FC1444">
        <w:rPr>
          <w:rFonts w:eastAsiaTheme="minorEastAsia"/>
          <w:b/>
          <w:sz w:val="24"/>
        </w:rPr>
        <w:t>农田防护及生态环境保护工程</w:t>
      </w:r>
    </w:p>
    <w:p w:rsidR="00DB3B37" w:rsidRPr="00FC1444" w:rsidRDefault="00DB3B37" w:rsidP="00DB3B37">
      <w:pPr>
        <w:autoSpaceDE w:val="0"/>
        <w:autoSpaceDN w:val="0"/>
        <w:spacing w:line="360" w:lineRule="auto"/>
        <w:ind w:firstLineChars="200" w:firstLine="480"/>
        <w:rPr>
          <w:rFonts w:eastAsiaTheme="minorEastAsia"/>
          <w:bCs/>
          <w:sz w:val="24"/>
        </w:rPr>
      </w:pPr>
      <w:r w:rsidRPr="00FC1444">
        <w:rPr>
          <w:rFonts w:eastAsiaTheme="minorEastAsia"/>
          <w:bCs/>
          <w:sz w:val="24"/>
        </w:rPr>
        <w:t>（</w:t>
      </w:r>
      <w:r w:rsidR="00BC0DDF" w:rsidRPr="00FC1444">
        <w:rPr>
          <w:rFonts w:eastAsiaTheme="minorEastAsia"/>
          <w:bCs/>
          <w:sz w:val="24"/>
        </w:rPr>
        <w:t>1</w:t>
      </w:r>
      <w:r w:rsidRPr="00FC1444">
        <w:rPr>
          <w:rFonts w:eastAsiaTheme="minorEastAsia"/>
          <w:bCs/>
          <w:sz w:val="24"/>
        </w:rPr>
        <w:t>）</w:t>
      </w:r>
      <w:r w:rsidR="00F24317" w:rsidRPr="00FC1444">
        <w:rPr>
          <w:rFonts w:eastAsiaTheme="minorEastAsia"/>
          <w:bCs/>
          <w:sz w:val="24"/>
        </w:rPr>
        <w:t>侵蚀沟及</w:t>
      </w:r>
      <w:r w:rsidRPr="00FC1444">
        <w:rPr>
          <w:rFonts w:eastAsiaTheme="minorEastAsia"/>
          <w:bCs/>
          <w:sz w:val="24"/>
        </w:rPr>
        <w:t>沟头防护</w:t>
      </w:r>
    </w:p>
    <w:p w:rsidR="00DB3B37" w:rsidRPr="00FC1444" w:rsidRDefault="00F24317" w:rsidP="00F24317">
      <w:pPr>
        <w:autoSpaceDE w:val="0"/>
        <w:autoSpaceDN w:val="0"/>
        <w:spacing w:line="360" w:lineRule="auto"/>
        <w:ind w:firstLineChars="200" w:firstLine="480"/>
        <w:rPr>
          <w:rFonts w:eastAsiaTheme="minorEastAsia"/>
          <w:bCs/>
          <w:sz w:val="24"/>
        </w:rPr>
      </w:pPr>
      <w:r w:rsidRPr="00FC1444">
        <w:rPr>
          <w:rFonts w:eastAsiaTheme="minorEastAsia"/>
          <w:bCs/>
          <w:sz w:val="24"/>
        </w:rPr>
        <w:t>选用格宾石笼护坡进行侵蚀沟治理。依据沟头尺寸，铺盖、护坡及海漫处采用</w:t>
      </w:r>
      <w:r w:rsidRPr="00FC1444">
        <w:rPr>
          <w:rFonts w:eastAsiaTheme="minorEastAsia"/>
          <w:bCs/>
          <w:sz w:val="24"/>
        </w:rPr>
        <w:t xml:space="preserve">0.3m </w:t>
      </w:r>
      <w:r w:rsidRPr="00FC1444">
        <w:rPr>
          <w:rFonts w:eastAsiaTheme="minorEastAsia"/>
          <w:bCs/>
          <w:sz w:val="24"/>
        </w:rPr>
        <w:t>厚镀高尔凡雷诺护垫，碎石垫层铺设厚度</w:t>
      </w:r>
      <w:r w:rsidRPr="00FC1444">
        <w:rPr>
          <w:rFonts w:eastAsiaTheme="minorEastAsia"/>
          <w:bCs/>
          <w:sz w:val="24"/>
        </w:rPr>
        <w:t>10cm</w:t>
      </w:r>
      <w:r w:rsidRPr="00FC1444">
        <w:rPr>
          <w:rFonts w:eastAsiaTheme="minorEastAsia"/>
          <w:bCs/>
          <w:sz w:val="24"/>
        </w:rPr>
        <w:t>，碎石材料采用</w:t>
      </w:r>
      <w:r w:rsidRPr="00FC1444">
        <w:rPr>
          <w:rFonts w:eastAsiaTheme="minorEastAsia"/>
          <w:bCs/>
          <w:sz w:val="24"/>
        </w:rPr>
        <w:t>1~4cm</w:t>
      </w:r>
      <w:r w:rsidRPr="00FC1444">
        <w:rPr>
          <w:rFonts w:eastAsiaTheme="minorEastAsia"/>
          <w:bCs/>
          <w:sz w:val="24"/>
        </w:rPr>
        <w:t>碎石。</w:t>
      </w:r>
      <w:r w:rsidR="00C52CFB" w:rsidRPr="00FC1444">
        <w:rPr>
          <w:rFonts w:eastAsiaTheme="minorEastAsia"/>
          <w:bCs/>
          <w:sz w:val="24"/>
        </w:rPr>
        <w:t>沟头防护</w:t>
      </w:r>
      <w:r w:rsidRPr="00FC1444">
        <w:rPr>
          <w:rFonts w:eastAsiaTheme="minorEastAsia"/>
          <w:bCs/>
          <w:sz w:val="24"/>
        </w:rPr>
        <w:t>1</w:t>
      </w:r>
      <w:r w:rsidR="00DB3B37" w:rsidRPr="00FC1444">
        <w:rPr>
          <w:rFonts w:eastAsiaTheme="minorEastAsia"/>
          <w:bCs/>
          <w:sz w:val="24"/>
        </w:rPr>
        <w:t>座</w:t>
      </w:r>
      <w:r w:rsidR="00C52CFB" w:rsidRPr="00FC1444">
        <w:rPr>
          <w:rFonts w:eastAsiaTheme="minorEastAsia"/>
          <w:bCs/>
          <w:sz w:val="24"/>
        </w:rPr>
        <w:t>。根据《水土保持综合治理技术规范》</w:t>
      </w:r>
      <w:r w:rsidR="00C52CFB" w:rsidRPr="00FC1444">
        <w:rPr>
          <w:rFonts w:eastAsiaTheme="minorEastAsia"/>
          <w:bCs/>
          <w:sz w:val="24"/>
        </w:rPr>
        <w:t>GB/T16453.3—2008</w:t>
      </w:r>
      <w:r w:rsidR="00C52CFB" w:rsidRPr="00FC1444">
        <w:rPr>
          <w:rFonts w:eastAsiaTheme="minorEastAsia"/>
          <w:bCs/>
          <w:sz w:val="24"/>
        </w:rPr>
        <w:t>，沟头防护工程防御标准为</w:t>
      </w:r>
      <w:r w:rsidR="00C52CFB" w:rsidRPr="00FC1444">
        <w:rPr>
          <w:rFonts w:eastAsiaTheme="minorEastAsia"/>
          <w:bCs/>
          <w:sz w:val="24"/>
        </w:rPr>
        <w:t>10</w:t>
      </w:r>
      <w:r w:rsidR="00C52CFB" w:rsidRPr="00FC1444">
        <w:rPr>
          <w:rFonts w:eastAsiaTheme="minorEastAsia"/>
          <w:bCs/>
          <w:sz w:val="24"/>
        </w:rPr>
        <w:t>年一遇</w:t>
      </w:r>
      <w:r w:rsidR="00C52CFB" w:rsidRPr="00FC1444">
        <w:rPr>
          <w:rFonts w:eastAsiaTheme="minorEastAsia"/>
          <w:bCs/>
          <w:sz w:val="24"/>
        </w:rPr>
        <w:t>1h</w:t>
      </w:r>
      <w:r w:rsidR="00C52CFB" w:rsidRPr="00FC1444">
        <w:rPr>
          <w:rFonts w:eastAsiaTheme="minorEastAsia"/>
          <w:bCs/>
          <w:sz w:val="24"/>
        </w:rPr>
        <w:t>小时最大暴雨量。采用格宾石笼沟头防护。</w:t>
      </w:r>
    </w:p>
    <w:p w:rsidR="002A5A5E" w:rsidRPr="00FC1444" w:rsidRDefault="00611CBA" w:rsidP="00DB3B37">
      <w:pPr>
        <w:autoSpaceDE w:val="0"/>
        <w:autoSpaceDN w:val="0"/>
        <w:spacing w:line="360" w:lineRule="auto"/>
        <w:ind w:firstLineChars="200" w:firstLine="480"/>
        <w:rPr>
          <w:rFonts w:eastAsiaTheme="minorEastAsia"/>
          <w:sz w:val="24"/>
        </w:rPr>
      </w:pPr>
      <w:r w:rsidRPr="00FC1444">
        <w:rPr>
          <w:rFonts w:eastAsiaTheme="minorEastAsia"/>
          <w:bCs/>
          <w:sz w:val="24"/>
        </w:rPr>
        <w:t>本工程不涉及河湖、大型沟渠，具体位置见附图</w:t>
      </w:r>
      <w:r w:rsidRPr="00FC1444">
        <w:rPr>
          <w:rFonts w:eastAsiaTheme="minorEastAsia"/>
          <w:bCs/>
          <w:sz w:val="24"/>
        </w:rPr>
        <w:t>9</w:t>
      </w:r>
      <w:r w:rsidRPr="00FC1444">
        <w:rPr>
          <w:rFonts w:eastAsiaTheme="minorEastAsia"/>
          <w:sz w:val="24"/>
        </w:rPr>
        <w:t>。</w:t>
      </w:r>
    </w:p>
    <w:p w:rsidR="00BC0DDF" w:rsidRPr="00FC1444" w:rsidRDefault="00BC0DDF" w:rsidP="00BC0DDF">
      <w:pPr>
        <w:autoSpaceDE w:val="0"/>
        <w:autoSpaceDN w:val="0"/>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）规划农田防护林</w:t>
      </w:r>
      <w:r w:rsidRPr="00FC1444">
        <w:rPr>
          <w:rFonts w:eastAsiaTheme="minorEastAsia"/>
          <w:sz w:val="24"/>
        </w:rPr>
        <w:t>2638</w:t>
      </w:r>
      <w:r w:rsidRPr="00FC1444">
        <w:rPr>
          <w:rFonts w:eastAsiaTheme="minorEastAsia"/>
          <w:sz w:val="24"/>
        </w:rPr>
        <w:t>株，栽种樟子松</w:t>
      </w:r>
      <w:r w:rsidRPr="00FC1444">
        <w:rPr>
          <w:rFonts w:eastAsiaTheme="minorEastAsia"/>
          <w:sz w:val="24"/>
        </w:rPr>
        <w:t>637</w:t>
      </w:r>
      <w:r w:rsidRPr="00FC1444">
        <w:rPr>
          <w:rFonts w:eastAsiaTheme="minorEastAsia"/>
          <w:sz w:val="24"/>
        </w:rPr>
        <w:t>株，栽种杨树</w:t>
      </w:r>
      <w:r w:rsidRPr="00FC1444">
        <w:rPr>
          <w:rFonts w:eastAsiaTheme="minorEastAsia"/>
          <w:sz w:val="24"/>
        </w:rPr>
        <w:t>2001</w:t>
      </w:r>
      <w:r w:rsidRPr="00FC1444">
        <w:rPr>
          <w:rFonts w:eastAsiaTheme="minorEastAsia"/>
          <w:sz w:val="24"/>
        </w:rPr>
        <w:t>株。</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3.1.7</w:t>
      </w:r>
      <w:r w:rsidRPr="00FC1444">
        <w:rPr>
          <w:rFonts w:eastAsiaTheme="minorEastAsia"/>
          <w:b/>
          <w:sz w:val="28"/>
          <w:szCs w:val="28"/>
        </w:rPr>
        <w:t>主要设备</w:t>
      </w:r>
    </w:p>
    <w:p w:rsidR="00CA6D46" w:rsidRPr="00FC1444" w:rsidRDefault="00611CBA" w:rsidP="006D1744">
      <w:pPr>
        <w:spacing w:line="360" w:lineRule="auto"/>
        <w:ind w:firstLineChars="200" w:firstLine="480"/>
        <w:rPr>
          <w:rFonts w:eastAsiaTheme="minorEastAsia"/>
          <w:sz w:val="24"/>
          <w:szCs w:val="21"/>
        </w:rPr>
      </w:pPr>
      <w:r w:rsidRPr="00FC1444">
        <w:rPr>
          <w:rFonts w:eastAsiaTheme="minorEastAsia"/>
          <w:sz w:val="24"/>
          <w:szCs w:val="21"/>
        </w:rPr>
        <w:t>主要设备清单见表</w:t>
      </w:r>
      <w:r w:rsidRPr="00FC1444">
        <w:rPr>
          <w:rFonts w:eastAsiaTheme="minorEastAsia"/>
          <w:sz w:val="24"/>
          <w:szCs w:val="21"/>
        </w:rPr>
        <w:t>3-1-1</w:t>
      </w:r>
      <w:r w:rsidR="002A51BB" w:rsidRPr="00FC1444">
        <w:rPr>
          <w:rFonts w:eastAsiaTheme="minorEastAsia" w:hint="eastAsia"/>
          <w:sz w:val="24"/>
          <w:szCs w:val="21"/>
        </w:rPr>
        <w:t>0</w:t>
      </w:r>
      <w:r w:rsidRPr="00FC1444">
        <w:rPr>
          <w:rFonts w:eastAsiaTheme="minorEastAsia"/>
          <w:sz w:val="24"/>
          <w:szCs w:val="21"/>
        </w:rPr>
        <w:t>。</w:t>
      </w: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3-1-1</w:t>
      </w:r>
      <w:r w:rsidR="002A51BB" w:rsidRPr="00FC1444">
        <w:rPr>
          <w:rFonts w:eastAsiaTheme="minorEastAsia" w:hint="eastAsia"/>
          <w:b/>
          <w:kern w:val="0"/>
          <w:szCs w:val="21"/>
        </w:rPr>
        <w:t>0</w:t>
      </w:r>
      <w:r w:rsidRPr="00FC1444">
        <w:rPr>
          <w:rFonts w:eastAsiaTheme="minorEastAsia"/>
          <w:b/>
          <w:kern w:val="0"/>
          <w:szCs w:val="21"/>
        </w:rPr>
        <w:t>主要设备清单</w:t>
      </w:r>
    </w:p>
    <w:tbl>
      <w:tblPr>
        <w:tblW w:w="8676" w:type="dxa"/>
        <w:tblBorders>
          <w:top w:val="single" w:sz="12" w:space="0" w:color="auto"/>
          <w:bottom w:val="single" w:sz="12" w:space="0" w:color="auto"/>
          <w:insideH w:val="single" w:sz="4" w:space="0" w:color="auto"/>
          <w:insideV w:val="single" w:sz="4" w:space="0" w:color="auto"/>
        </w:tblBorders>
        <w:tblLayout w:type="fixed"/>
        <w:tblLook w:val="04A0"/>
      </w:tblPr>
      <w:tblGrid>
        <w:gridCol w:w="1556"/>
        <w:gridCol w:w="3079"/>
        <w:gridCol w:w="2024"/>
        <w:gridCol w:w="2017"/>
      </w:tblGrid>
      <w:tr w:rsidR="002A5A5E" w:rsidRPr="00FC1444">
        <w:trPr>
          <w:trHeight w:val="323"/>
        </w:trPr>
        <w:tc>
          <w:tcPr>
            <w:tcW w:w="1556" w:type="dxa"/>
            <w:tcBorders>
              <w:tl2br w:val="nil"/>
              <w:tr2bl w:val="nil"/>
            </w:tcBorders>
            <w:vAlign w:val="center"/>
          </w:tcPr>
          <w:p w:rsidR="002A5A5E" w:rsidRPr="00FC1444" w:rsidRDefault="00611CBA">
            <w:pPr>
              <w:widowControl/>
              <w:jc w:val="center"/>
              <w:rPr>
                <w:rFonts w:eastAsiaTheme="minorEastAsia"/>
                <w:b/>
                <w:kern w:val="0"/>
                <w:szCs w:val="21"/>
              </w:rPr>
            </w:pPr>
            <w:r w:rsidRPr="00FC1444">
              <w:rPr>
                <w:rFonts w:eastAsiaTheme="minorEastAsia"/>
                <w:b/>
                <w:kern w:val="0"/>
                <w:szCs w:val="21"/>
              </w:rPr>
              <w:t>序号</w:t>
            </w:r>
          </w:p>
        </w:tc>
        <w:tc>
          <w:tcPr>
            <w:tcW w:w="3079" w:type="dxa"/>
            <w:tcBorders>
              <w:tl2br w:val="nil"/>
              <w:tr2bl w:val="nil"/>
            </w:tcBorders>
            <w:vAlign w:val="center"/>
          </w:tcPr>
          <w:p w:rsidR="002A5A5E" w:rsidRPr="00FC1444" w:rsidRDefault="00611CBA">
            <w:pPr>
              <w:widowControl/>
              <w:jc w:val="center"/>
              <w:rPr>
                <w:rFonts w:eastAsiaTheme="minorEastAsia"/>
                <w:b/>
                <w:kern w:val="0"/>
                <w:szCs w:val="21"/>
              </w:rPr>
            </w:pPr>
            <w:r w:rsidRPr="00FC1444">
              <w:rPr>
                <w:rFonts w:eastAsiaTheme="minorEastAsia"/>
                <w:b/>
                <w:kern w:val="0"/>
                <w:szCs w:val="21"/>
              </w:rPr>
              <w:t>设备名称</w:t>
            </w:r>
          </w:p>
        </w:tc>
        <w:tc>
          <w:tcPr>
            <w:tcW w:w="2024" w:type="dxa"/>
            <w:tcBorders>
              <w:tl2br w:val="nil"/>
              <w:tr2bl w:val="nil"/>
            </w:tcBorders>
            <w:vAlign w:val="center"/>
          </w:tcPr>
          <w:p w:rsidR="002A5A5E" w:rsidRPr="00FC1444" w:rsidRDefault="00611CBA">
            <w:pPr>
              <w:widowControl/>
              <w:jc w:val="center"/>
              <w:rPr>
                <w:rFonts w:eastAsiaTheme="minorEastAsia"/>
                <w:b/>
                <w:kern w:val="0"/>
                <w:szCs w:val="21"/>
              </w:rPr>
            </w:pPr>
            <w:r w:rsidRPr="00FC1444">
              <w:rPr>
                <w:rFonts w:eastAsiaTheme="minorEastAsia"/>
                <w:b/>
                <w:kern w:val="0"/>
                <w:szCs w:val="21"/>
              </w:rPr>
              <w:t>单位</w:t>
            </w:r>
          </w:p>
        </w:tc>
        <w:tc>
          <w:tcPr>
            <w:tcW w:w="2017" w:type="dxa"/>
            <w:tcBorders>
              <w:tl2br w:val="nil"/>
              <w:tr2bl w:val="nil"/>
            </w:tcBorders>
            <w:vAlign w:val="center"/>
          </w:tcPr>
          <w:p w:rsidR="002A5A5E" w:rsidRPr="00FC1444" w:rsidRDefault="00611CBA">
            <w:pPr>
              <w:widowControl/>
              <w:jc w:val="center"/>
              <w:rPr>
                <w:rFonts w:eastAsiaTheme="minorEastAsia"/>
                <w:b/>
                <w:kern w:val="0"/>
                <w:szCs w:val="21"/>
              </w:rPr>
            </w:pPr>
            <w:r w:rsidRPr="00FC1444">
              <w:rPr>
                <w:rFonts w:eastAsiaTheme="minorEastAsia"/>
                <w:b/>
                <w:kern w:val="0"/>
                <w:szCs w:val="21"/>
              </w:rPr>
              <w:t>数量</w:t>
            </w:r>
          </w:p>
        </w:tc>
      </w:tr>
      <w:tr w:rsidR="002A5A5E" w:rsidRPr="00FC1444">
        <w:trPr>
          <w:trHeight w:val="323"/>
        </w:trPr>
        <w:tc>
          <w:tcPr>
            <w:tcW w:w="8676" w:type="dxa"/>
            <w:gridSpan w:val="4"/>
            <w:tcBorders>
              <w:tl2br w:val="nil"/>
              <w:tr2bl w:val="nil"/>
            </w:tcBorders>
            <w:vAlign w:val="center"/>
          </w:tcPr>
          <w:p w:rsidR="002A5A5E" w:rsidRPr="00FC1444" w:rsidRDefault="00611CBA">
            <w:pPr>
              <w:widowControl/>
              <w:jc w:val="center"/>
              <w:rPr>
                <w:rFonts w:eastAsiaTheme="minorEastAsia"/>
                <w:b/>
                <w:kern w:val="0"/>
                <w:szCs w:val="21"/>
              </w:rPr>
            </w:pPr>
            <w:r w:rsidRPr="00FC1444">
              <w:rPr>
                <w:rFonts w:eastAsiaTheme="minorEastAsia"/>
                <w:b/>
                <w:kern w:val="0"/>
                <w:szCs w:val="21"/>
              </w:rPr>
              <w:t>施工期</w:t>
            </w:r>
          </w:p>
        </w:tc>
      </w:tr>
      <w:tr w:rsidR="002A5A5E" w:rsidRPr="00FC1444">
        <w:trPr>
          <w:trHeight w:val="323"/>
        </w:trPr>
        <w:tc>
          <w:tcPr>
            <w:tcW w:w="1556"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w:t>
            </w:r>
          </w:p>
        </w:tc>
        <w:tc>
          <w:tcPr>
            <w:tcW w:w="3079" w:type="dxa"/>
            <w:tcBorders>
              <w:tl2br w:val="nil"/>
              <w:tr2bl w:val="nil"/>
            </w:tcBorders>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轮式装载机</w:t>
            </w:r>
          </w:p>
        </w:tc>
        <w:tc>
          <w:tcPr>
            <w:tcW w:w="2024"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台</w:t>
            </w:r>
          </w:p>
        </w:tc>
        <w:tc>
          <w:tcPr>
            <w:tcW w:w="2017"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30</w:t>
            </w:r>
          </w:p>
        </w:tc>
      </w:tr>
      <w:tr w:rsidR="002A5A5E" w:rsidRPr="00FC1444">
        <w:trPr>
          <w:trHeight w:val="323"/>
        </w:trPr>
        <w:tc>
          <w:tcPr>
            <w:tcW w:w="1556"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2</w:t>
            </w:r>
          </w:p>
        </w:tc>
        <w:tc>
          <w:tcPr>
            <w:tcW w:w="3079" w:type="dxa"/>
            <w:tcBorders>
              <w:tl2br w:val="nil"/>
              <w:tr2bl w:val="nil"/>
            </w:tcBorders>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平地机</w:t>
            </w:r>
          </w:p>
        </w:tc>
        <w:tc>
          <w:tcPr>
            <w:tcW w:w="2024"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辆</w:t>
            </w:r>
          </w:p>
        </w:tc>
        <w:tc>
          <w:tcPr>
            <w:tcW w:w="2017"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15</w:t>
            </w:r>
          </w:p>
        </w:tc>
      </w:tr>
      <w:tr w:rsidR="002A5A5E" w:rsidRPr="00FC1444">
        <w:trPr>
          <w:trHeight w:val="323"/>
        </w:trPr>
        <w:tc>
          <w:tcPr>
            <w:tcW w:w="1556"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3</w:t>
            </w:r>
          </w:p>
        </w:tc>
        <w:tc>
          <w:tcPr>
            <w:tcW w:w="3079" w:type="dxa"/>
            <w:tcBorders>
              <w:tl2br w:val="nil"/>
              <w:tr2bl w:val="nil"/>
            </w:tcBorders>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压路机</w:t>
            </w:r>
          </w:p>
        </w:tc>
        <w:tc>
          <w:tcPr>
            <w:tcW w:w="2024"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辆</w:t>
            </w:r>
          </w:p>
        </w:tc>
        <w:tc>
          <w:tcPr>
            <w:tcW w:w="2017"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15</w:t>
            </w:r>
          </w:p>
        </w:tc>
      </w:tr>
      <w:tr w:rsidR="002A5A5E" w:rsidRPr="00FC1444">
        <w:trPr>
          <w:trHeight w:val="323"/>
        </w:trPr>
        <w:tc>
          <w:tcPr>
            <w:tcW w:w="1556"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4</w:t>
            </w:r>
          </w:p>
        </w:tc>
        <w:tc>
          <w:tcPr>
            <w:tcW w:w="3079" w:type="dxa"/>
            <w:tcBorders>
              <w:tl2br w:val="nil"/>
              <w:tr2bl w:val="nil"/>
            </w:tcBorders>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推土机</w:t>
            </w:r>
          </w:p>
        </w:tc>
        <w:tc>
          <w:tcPr>
            <w:tcW w:w="2024"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辆</w:t>
            </w:r>
          </w:p>
        </w:tc>
        <w:tc>
          <w:tcPr>
            <w:tcW w:w="2017"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15</w:t>
            </w:r>
          </w:p>
        </w:tc>
      </w:tr>
      <w:tr w:rsidR="002A5A5E" w:rsidRPr="00FC1444">
        <w:trPr>
          <w:trHeight w:val="323"/>
        </w:trPr>
        <w:tc>
          <w:tcPr>
            <w:tcW w:w="1556"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5</w:t>
            </w:r>
          </w:p>
        </w:tc>
        <w:tc>
          <w:tcPr>
            <w:tcW w:w="3079" w:type="dxa"/>
            <w:tcBorders>
              <w:tl2br w:val="nil"/>
              <w:tr2bl w:val="nil"/>
            </w:tcBorders>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挖掘机</w:t>
            </w:r>
          </w:p>
        </w:tc>
        <w:tc>
          <w:tcPr>
            <w:tcW w:w="2024"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辆</w:t>
            </w:r>
          </w:p>
        </w:tc>
        <w:tc>
          <w:tcPr>
            <w:tcW w:w="2017"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15</w:t>
            </w:r>
          </w:p>
        </w:tc>
      </w:tr>
      <w:tr w:rsidR="002A5A5E" w:rsidRPr="00FC1444">
        <w:trPr>
          <w:trHeight w:val="323"/>
        </w:trPr>
        <w:tc>
          <w:tcPr>
            <w:tcW w:w="1556"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6</w:t>
            </w:r>
          </w:p>
        </w:tc>
        <w:tc>
          <w:tcPr>
            <w:tcW w:w="3079" w:type="dxa"/>
            <w:tcBorders>
              <w:tl2br w:val="nil"/>
              <w:tr2bl w:val="nil"/>
            </w:tcBorders>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摊铺机</w:t>
            </w:r>
          </w:p>
        </w:tc>
        <w:tc>
          <w:tcPr>
            <w:tcW w:w="2024"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辆</w:t>
            </w:r>
          </w:p>
        </w:tc>
        <w:tc>
          <w:tcPr>
            <w:tcW w:w="2017"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15</w:t>
            </w:r>
          </w:p>
        </w:tc>
      </w:tr>
      <w:tr w:rsidR="002A5A5E" w:rsidRPr="00FC1444">
        <w:trPr>
          <w:trHeight w:val="323"/>
        </w:trPr>
        <w:tc>
          <w:tcPr>
            <w:tcW w:w="1556"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7</w:t>
            </w:r>
          </w:p>
        </w:tc>
        <w:tc>
          <w:tcPr>
            <w:tcW w:w="3079" w:type="dxa"/>
            <w:tcBorders>
              <w:tl2br w:val="nil"/>
              <w:tr2bl w:val="nil"/>
            </w:tcBorders>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发电机组</w:t>
            </w:r>
          </w:p>
        </w:tc>
        <w:tc>
          <w:tcPr>
            <w:tcW w:w="2024"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台</w:t>
            </w:r>
          </w:p>
        </w:tc>
        <w:tc>
          <w:tcPr>
            <w:tcW w:w="2017"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15</w:t>
            </w:r>
          </w:p>
        </w:tc>
      </w:tr>
      <w:tr w:rsidR="002A5A5E" w:rsidRPr="00FC1444">
        <w:trPr>
          <w:trHeight w:val="323"/>
        </w:trPr>
        <w:tc>
          <w:tcPr>
            <w:tcW w:w="1556"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8</w:t>
            </w:r>
          </w:p>
        </w:tc>
        <w:tc>
          <w:tcPr>
            <w:tcW w:w="3079" w:type="dxa"/>
            <w:tcBorders>
              <w:tl2br w:val="nil"/>
              <w:tr2bl w:val="nil"/>
            </w:tcBorders>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地质钻机</w:t>
            </w:r>
            <w:r w:rsidRPr="00FC1444">
              <w:rPr>
                <w:rFonts w:eastAsiaTheme="minorEastAsia"/>
                <w:kern w:val="0"/>
                <w:szCs w:val="21"/>
              </w:rPr>
              <w:t>300</w:t>
            </w:r>
            <w:r w:rsidRPr="00FC1444">
              <w:rPr>
                <w:rFonts w:eastAsiaTheme="minorEastAsia"/>
                <w:kern w:val="0"/>
                <w:szCs w:val="21"/>
              </w:rPr>
              <w:t>型钻井机</w:t>
            </w:r>
          </w:p>
        </w:tc>
        <w:tc>
          <w:tcPr>
            <w:tcW w:w="2024"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台</w:t>
            </w:r>
          </w:p>
        </w:tc>
        <w:tc>
          <w:tcPr>
            <w:tcW w:w="2017"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15</w:t>
            </w:r>
          </w:p>
        </w:tc>
      </w:tr>
      <w:tr w:rsidR="002A5A5E" w:rsidRPr="00FC1444">
        <w:trPr>
          <w:trHeight w:val="323"/>
        </w:trPr>
        <w:tc>
          <w:tcPr>
            <w:tcW w:w="1556"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9</w:t>
            </w:r>
          </w:p>
        </w:tc>
        <w:tc>
          <w:tcPr>
            <w:tcW w:w="3079" w:type="dxa"/>
            <w:tcBorders>
              <w:tl2br w:val="nil"/>
              <w:tr2bl w:val="nil"/>
            </w:tcBorders>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spacing w:val="2"/>
                <w:szCs w:val="21"/>
              </w:rPr>
              <w:t>自卸汽车</w:t>
            </w:r>
          </w:p>
        </w:tc>
        <w:tc>
          <w:tcPr>
            <w:tcW w:w="2024"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辆</w:t>
            </w:r>
          </w:p>
        </w:tc>
        <w:tc>
          <w:tcPr>
            <w:tcW w:w="2017"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30</w:t>
            </w:r>
          </w:p>
        </w:tc>
      </w:tr>
      <w:tr w:rsidR="002A5A5E" w:rsidRPr="00FC1444">
        <w:trPr>
          <w:trHeight w:val="323"/>
        </w:trPr>
        <w:tc>
          <w:tcPr>
            <w:tcW w:w="1556"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10</w:t>
            </w:r>
          </w:p>
        </w:tc>
        <w:tc>
          <w:tcPr>
            <w:tcW w:w="3079" w:type="dxa"/>
            <w:tcBorders>
              <w:tl2br w:val="nil"/>
              <w:tr2bl w:val="nil"/>
            </w:tcBorders>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移动式吊车</w:t>
            </w:r>
          </w:p>
        </w:tc>
        <w:tc>
          <w:tcPr>
            <w:tcW w:w="2024"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辆</w:t>
            </w:r>
          </w:p>
        </w:tc>
        <w:tc>
          <w:tcPr>
            <w:tcW w:w="2017" w:type="dxa"/>
            <w:tcBorders>
              <w:tl2br w:val="nil"/>
              <w:tr2bl w:val="nil"/>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15</w:t>
            </w:r>
          </w:p>
        </w:tc>
      </w:tr>
      <w:tr w:rsidR="00766933" w:rsidRPr="00FC1444">
        <w:trPr>
          <w:trHeight w:val="323"/>
        </w:trPr>
        <w:tc>
          <w:tcPr>
            <w:tcW w:w="1556" w:type="dxa"/>
            <w:tcBorders>
              <w:tl2br w:val="nil"/>
              <w:tr2bl w:val="nil"/>
            </w:tcBorders>
            <w:vAlign w:val="center"/>
          </w:tcPr>
          <w:p w:rsidR="00766933" w:rsidRPr="00FC1444" w:rsidRDefault="00766933">
            <w:pPr>
              <w:widowControl/>
              <w:jc w:val="center"/>
              <w:rPr>
                <w:rFonts w:eastAsiaTheme="minorEastAsia"/>
                <w:kern w:val="0"/>
                <w:szCs w:val="21"/>
              </w:rPr>
            </w:pPr>
            <w:r w:rsidRPr="00FC1444">
              <w:rPr>
                <w:rFonts w:eastAsiaTheme="minorEastAsia"/>
                <w:kern w:val="0"/>
                <w:szCs w:val="21"/>
              </w:rPr>
              <w:t>11</w:t>
            </w:r>
          </w:p>
        </w:tc>
        <w:tc>
          <w:tcPr>
            <w:tcW w:w="3079" w:type="dxa"/>
            <w:tcBorders>
              <w:tl2br w:val="nil"/>
              <w:tr2bl w:val="nil"/>
            </w:tcBorders>
            <w:vAlign w:val="center"/>
          </w:tcPr>
          <w:p w:rsidR="00766933" w:rsidRPr="00FC1444" w:rsidRDefault="00766933">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螺旋式犁壁犁</w:t>
            </w:r>
          </w:p>
        </w:tc>
        <w:tc>
          <w:tcPr>
            <w:tcW w:w="2024" w:type="dxa"/>
            <w:tcBorders>
              <w:tl2br w:val="nil"/>
              <w:tr2bl w:val="nil"/>
            </w:tcBorders>
            <w:vAlign w:val="center"/>
          </w:tcPr>
          <w:p w:rsidR="00766933" w:rsidRPr="00FC1444" w:rsidRDefault="00766933" w:rsidP="00E268F3">
            <w:pPr>
              <w:widowControl/>
              <w:jc w:val="center"/>
              <w:rPr>
                <w:rFonts w:eastAsiaTheme="minorEastAsia"/>
                <w:kern w:val="0"/>
                <w:szCs w:val="21"/>
              </w:rPr>
            </w:pPr>
            <w:r w:rsidRPr="00FC1444">
              <w:rPr>
                <w:rFonts w:eastAsiaTheme="minorEastAsia"/>
                <w:kern w:val="0"/>
                <w:szCs w:val="21"/>
              </w:rPr>
              <w:t>台</w:t>
            </w:r>
          </w:p>
        </w:tc>
        <w:tc>
          <w:tcPr>
            <w:tcW w:w="2017" w:type="dxa"/>
            <w:tcBorders>
              <w:tl2br w:val="nil"/>
              <w:tr2bl w:val="nil"/>
            </w:tcBorders>
            <w:vAlign w:val="center"/>
          </w:tcPr>
          <w:p w:rsidR="00766933" w:rsidRPr="00FC1444" w:rsidRDefault="00766933" w:rsidP="00E268F3">
            <w:pPr>
              <w:widowControl/>
              <w:jc w:val="center"/>
              <w:rPr>
                <w:rFonts w:eastAsiaTheme="minorEastAsia"/>
                <w:kern w:val="0"/>
                <w:szCs w:val="21"/>
              </w:rPr>
            </w:pPr>
            <w:r w:rsidRPr="00FC1444">
              <w:rPr>
                <w:rFonts w:eastAsiaTheme="minorEastAsia"/>
                <w:kern w:val="0"/>
                <w:szCs w:val="21"/>
              </w:rPr>
              <w:t>5</w:t>
            </w:r>
          </w:p>
        </w:tc>
      </w:tr>
      <w:tr w:rsidR="00766933" w:rsidRPr="00FC1444">
        <w:trPr>
          <w:trHeight w:val="323"/>
        </w:trPr>
        <w:tc>
          <w:tcPr>
            <w:tcW w:w="8676" w:type="dxa"/>
            <w:gridSpan w:val="4"/>
            <w:tcBorders>
              <w:tl2br w:val="nil"/>
              <w:tr2bl w:val="nil"/>
            </w:tcBorders>
            <w:vAlign w:val="center"/>
          </w:tcPr>
          <w:p w:rsidR="00766933" w:rsidRPr="00FC1444" w:rsidRDefault="00766933">
            <w:pPr>
              <w:widowControl/>
              <w:jc w:val="center"/>
              <w:rPr>
                <w:rFonts w:eastAsiaTheme="minorEastAsia"/>
                <w:b/>
                <w:kern w:val="0"/>
                <w:szCs w:val="21"/>
              </w:rPr>
            </w:pPr>
            <w:r w:rsidRPr="00FC1444">
              <w:rPr>
                <w:rFonts w:eastAsiaTheme="minorEastAsia"/>
                <w:b/>
                <w:kern w:val="0"/>
                <w:szCs w:val="21"/>
              </w:rPr>
              <w:t>运营期</w:t>
            </w:r>
          </w:p>
        </w:tc>
      </w:tr>
      <w:tr w:rsidR="00766933" w:rsidRPr="00FC1444">
        <w:trPr>
          <w:trHeight w:val="323"/>
        </w:trPr>
        <w:tc>
          <w:tcPr>
            <w:tcW w:w="1556" w:type="dxa"/>
            <w:tcBorders>
              <w:tl2br w:val="nil"/>
              <w:tr2bl w:val="nil"/>
            </w:tcBorders>
            <w:vAlign w:val="center"/>
          </w:tcPr>
          <w:p w:rsidR="00766933" w:rsidRPr="00FC1444" w:rsidRDefault="00766933">
            <w:pPr>
              <w:widowControl/>
              <w:jc w:val="center"/>
              <w:rPr>
                <w:rFonts w:eastAsiaTheme="minorEastAsia"/>
                <w:kern w:val="0"/>
                <w:szCs w:val="21"/>
              </w:rPr>
            </w:pPr>
            <w:r w:rsidRPr="00FC1444">
              <w:rPr>
                <w:rFonts w:eastAsiaTheme="minorEastAsia"/>
                <w:kern w:val="0"/>
                <w:szCs w:val="21"/>
              </w:rPr>
              <w:t>1</w:t>
            </w:r>
          </w:p>
        </w:tc>
        <w:tc>
          <w:tcPr>
            <w:tcW w:w="3079" w:type="dxa"/>
            <w:tcBorders>
              <w:tl2br w:val="nil"/>
              <w:tr2bl w:val="nil"/>
            </w:tcBorders>
            <w:vAlign w:val="center"/>
          </w:tcPr>
          <w:p w:rsidR="00766933" w:rsidRPr="00FC1444" w:rsidRDefault="00766933">
            <w:pPr>
              <w:adjustRightInd w:val="0"/>
              <w:snapToGrid w:val="0"/>
              <w:spacing w:before="40" w:after="40" w:line="240" w:lineRule="exact"/>
              <w:jc w:val="center"/>
              <w:rPr>
                <w:rFonts w:eastAsiaTheme="minorEastAsia"/>
                <w:kern w:val="0"/>
                <w:szCs w:val="21"/>
              </w:rPr>
            </w:pPr>
            <w:r w:rsidRPr="00FC1444">
              <w:rPr>
                <w:rFonts w:eastAsiaTheme="minorEastAsia"/>
                <w:snapToGrid w:val="0"/>
                <w:kern w:val="0"/>
              </w:rPr>
              <w:t>水肥一体</w:t>
            </w:r>
            <w:r w:rsidR="00596FF0" w:rsidRPr="00FC1444">
              <w:rPr>
                <w:rFonts w:eastAsiaTheme="minorEastAsia"/>
                <w:snapToGrid w:val="0"/>
                <w:kern w:val="0"/>
              </w:rPr>
              <w:t>化</w:t>
            </w:r>
            <w:r w:rsidRPr="00FC1444">
              <w:rPr>
                <w:rFonts w:eastAsiaTheme="minorEastAsia"/>
                <w:snapToGrid w:val="0"/>
                <w:kern w:val="0"/>
              </w:rPr>
              <w:t>设备</w:t>
            </w:r>
          </w:p>
        </w:tc>
        <w:tc>
          <w:tcPr>
            <w:tcW w:w="2024" w:type="dxa"/>
            <w:tcBorders>
              <w:tl2br w:val="nil"/>
              <w:tr2bl w:val="nil"/>
            </w:tcBorders>
            <w:vAlign w:val="center"/>
          </w:tcPr>
          <w:p w:rsidR="00766933" w:rsidRPr="00FC1444" w:rsidRDefault="00766933">
            <w:pPr>
              <w:widowControl/>
              <w:jc w:val="center"/>
              <w:rPr>
                <w:rFonts w:eastAsiaTheme="minorEastAsia"/>
                <w:kern w:val="0"/>
                <w:szCs w:val="21"/>
              </w:rPr>
            </w:pPr>
            <w:r w:rsidRPr="00FC1444">
              <w:rPr>
                <w:rFonts w:eastAsiaTheme="minorEastAsia"/>
                <w:kern w:val="0"/>
                <w:szCs w:val="21"/>
              </w:rPr>
              <w:t>套</w:t>
            </w:r>
          </w:p>
        </w:tc>
        <w:tc>
          <w:tcPr>
            <w:tcW w:w="2017" w:type="dxa"/>
            <w:tcBorders>
              <w:tl2br w:val="nil"/>
              <w:tr2bl w:val="nil"/>
            </w:tcBorders>
            <w:vAlign w:val="center"/>
          </w:tcPr>
          <w:p w:rsidR="00766933" w:rsidRPr="00FC1444" w:rsidRDefault="00F25D4C">
            <w:pPr>
              <w:widowControl/>
              <w:jc w:val="center"/>
              <w:rPr>
                <w:rFonts w:eastAsiaTheme="minorEastAsia"/>
                <w:kern w:val="0"/>
                <w:szCs w:val="21"/>
              </w:rPr>
            </w:pPr>
            <w:r w:rsidRPr="00FC1444">
              <w:rPr>
                <w:rFonts w:eastAsiaTheme="minorEastAsia"/>
                <w:kern w:val="0"/>
                <w:szCs w:val="21"/>
              </w:rPr>
              <w:t>35</w:t>
            </w:r>
          </w:p>
        </w:tc>
      </w:tr>
      <w:tr w:rsidR="00766933" w:rsidRPr="00FC1444">
        <w:trPr>
          <w:trHeight w:val="85"/>
        </w:trPr>
        <w:tc>
          <w:tcPr>
            <w:tcW w:w="1556" w:type="dxa"/>
            <w:tcBorders>
              <w:tl2br w:val="nil"/>
              <w:tr2bl w:val="nil"/>
            </w:tcBorders>
            <w:vAlign w:val="center"/>
          </w:tcPr>
          <w:p w:rsidR="00766933" w:rsidRPr="00FC1444" w:rsidRDefault="00766933">
            <w:pPr>
              <w:widowControl/>
              <w:jc w:val="center"/>
              <w:rPr>
                <w:rFonts w:eastAsiaTheme="minorEastAsia"/>
                <w:kern w:val="0"/>
                <w:szCs w:val="21"/>
              </w:rPr>
            </w:pPr>
            <w:r w:rsidRPr="00FC1444">
              <w:rPr>
                <w:rFonts w:eastAsiaTheme="minorEastAsia"/>
                <w:kern w:val="0"/>
                <w:szCs w:val="21"/>
              </w:rPr>
              <w:t>2</w:t>
            </w:r>
          </w:p>
        </w:tc>
        <w:tc>
          <w:tcPr>
            <w:tcW w:w="3079" w:type="dxa"/>
            <w:tcBorders>
              <w:tl2br w:val="nil"/>
              <w:tr2bl w:val="nil"/>
            </w:tcBorders>
            <w:vAlign w:val="center"/>
          </w:tcPr>
          <w:p w:rsidR="00766933" w:rsidRPr="00FC1444" w:rsidRDefault="00716701">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施肥机</w:t>
            </w:r>
          </w:p>
        </w:tc>
        <w:tc>
          <w:tcPr>
            <w:tcW w:w="2024" w:type="dxa"/>
            <w:tcBorders>
              <w:tl2br w:val="nil"/>
              <w:tr2bl w:val="nil"/>
            </w:tcBorders>
          </w:tcPr>
          <w:p w:rsidR="00766933" w:rsidRPr="00FC1444" w:rsidRDefault="00766933">
            <w:pPr>
              <w:widowControl/>
              <w:jc w:val="center"/>
              <w:rPr>
                <w:rFonts w:eastAsiaTheme="minorEastAsia"/>
                <w:kern w:val="0"/>
                <w:szCs w:val="21"/>
              </w:rPr>
            </w:pPr>
            <w:r w:rsidRPr="00FC1444">
              <w:rPr>
                <w:rFonts w:eastAsiaTheme="minorEastAsia"/>
                <w:kern w:val="0"/>
                <w:szCs w:val="21"/>
              </w:rPr>
              <w:t>个</w:t>
            </w:r>
          </w:p>
        </w:tc>
        <w:tc>
          <w:tcPr>
            <w:tcW w:w="2017" w:type="dxa"/>
            <w:tcBorders>
              <w:tl2br w:val="nil"/>
              <w:tr2bl w:val="nil"/>
            </w:tcBorders>
          </w:tcPr>
          <w:p w:rsidR="00766933" w:rsidRPr="00FC1444" w:rsidRDefault="00F25D4C">
            <w:pPr>
              <w:widowControl/>
              <w:jc w:val="center"/>
              <w:rPr>
                <w:rFonts w:eastAsiaTheme="minorEastAsia"/>
                <w:kern w:val="0"/>
                <w:szCs w:val="21"/>
              </w:rPr>
            </w:pPr>
            <w:r w:rsidRPr="00FC1444">
              <w:rPr>
                <w:rFonts w:eastAsiaTheme="minorEastAsia"/>
                <w:kern w:val="0"/>
                <w:szCs w:val="21"/>
              </w:rPr>
              <w:t>35</w:t>
            </w:r>
          </w:p>
        </w:tc>
      </w:tr>
      <w:tr w:rsidR="00766933" w:rsidRPr="00FC1444">
        <w:trPr>
          <w:trHeight w:val="323"/>
        </w:trPr>
        <w:tc>
          <w:tcPr>
            <w:tcW w:w="1556" w:type="dxa"/>
            <w:tcBorders>
              <w:tl2br w:val="nil"/>
              <w:tr2bl w:val="nil"/>
            </w:tcBorders>
            <w:vAlign w:val="center"/>
          </w:tcPr>
          <w:p w:rsidR="00766933" w:rsidRPr="00FC1444" w:rsidRDefault="00766933">
            <w:pPr>
              <w:widowControl/>
              <w:jc w:val="center"/>
              <w:rPr>
                <w:rFonts w:eastAsiaTheme="minorEastAsia"/>
                <w:kern w:val="0"/>
                <w:szCs w:val="21"/>
              </w:rPr>
            </w:pPr>
            <w:r w:rsidRPr="00FC1444">
              <w:rPr>
                <w:rFonts w:eastAsiaTheme="minorEastAsia"/>
                <w:kern w:val="0"/>
                <w:szCs w:val="21"/>
              </w:rPr>
              <w:t>3</w:t>
            </w:r>
          </w:p>
        </w:tc>
        <w:tc>
          <w:tcPr>
            <w:tcW w:w="3079" w:type="dxa"/>
            <w:tcBorders>
              <w:tl2br w:val="nil"/>
              <w:tr2bl w:val="nil"/>
            </w:tcBorders>
            <w:vAlign w:val="center"/>
          </w:tcPr>
          <w:p w:rsidR="00766933" w:rsidRPr="00FC1444" w:rsidRDefault="00766933">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潜水泵</w:t>
            </w:r>
          </w:p>
        </w:tc>
        <w:tc>
          <w:tcPr>
            <w:tcW w:w="2024" w:type="dxa"/>
            <w:tcBorders>
              <w:tl2br w:val="nil"/>
              <w:tr2bl w:val="nil"/>
            </w:tcBorders>
            <w:vAlign w:val="center"/>
          </w:tcPr>
          <w:p w:rsidR="00766933" w:rsidRPr="00FC1444" w:rsidRDefault="00766933">
            <w:pPr>
              <w:widowControl/>
              <w:jc w:val="center"/>
              <w:rPr>
                <w:rFonts w:eastAsiaTheme="minorEastAsia"/>
                <w:kern w:val="0"/>
                <w:szCs w:val="21"/>
              </w:rPr>
            </w:pPr>
            <w:r w:rsidRPr="00FC1444">
              <w:rPr>
                <w:rFonts w:eastAsiaTheme="minorEastAsia"/>
                <w:kern w:val="0"/>
                <w:szCs w:val="21"/>
              </w:rPr>
              <w:t>台</w:t>
            </w:r>
          </w:p>
        </w:tc>
        <w:tc>
          <w:tcPr>
            <w:tcW w:w="2017" w:type="dxa"/>
            <w:tcBorders>
              <w:tl2br w:val="nil"/>
              <w:tr2bl w:val="nil"/>
            </w:tcBorders>
            <w:vAlign w:val="center"/>
          </w:tcPr>
          <w:p w:rsidR="00766933" w:rsidRPr="00FC1444" w:rsidRDefault="00F25D4C">
            <w:pPr>
              <w:widowControl/>
              <w:jc w:val="center"/>
              <w:rPr>
                <w:rFonts w:eastAsiaTheme="minorEastAsia"/>
                <w:kern w:val="0"/>
                <w:szCs w:val="21"/>
              </w:rPr>
            </w:pPr>
            <w:r w:rsidRPr="00FC1444">
              <w:rPr>
                <w:rFonts w:eastAsiaTheme="minorEastAsia"/>
                <w:kern w:val="0"/>
                <w:szCs w:val="21"/>
              </w:rPr>
              <w:t>156</w:t>
            </w:r>
          </w:p>
        </w:tc>
      </w:tr>
      <w:tr w:rsidR="00766933" w:rsidRPr="00FC1444">
        <w:trPr>
          <w:trHeight w:val="323"/>
        </w:trPr>
        <w:tc>
          <w:tcPr>
            <w:tcW w:w="1556" w:type="dxa"/>
            <w:tcBorders>
              <w:tl2br w:val="nil"/>
              <w:tr2bl w:val="nil"/>
            </w:tcBorders>
            <w:vAlign w:val="center"/>
          </w:tcPr>
          <w:p w:rsidR="00766933" w:rsidRPr="00FC1444" w:rsidRDefault="00766933">
            <w:pPr>
              <w:widowControl/>
              <w:jc w:val="center"/>
              <w:rPr>
                <w:rFonts w:eastAsiaTheme="minorEastAsia"/>
                <w:kern w:val="0"/>
                <w:szCs w:val="21"/>
              </w:rPr>
            </w:pPr>
            <w:r w:rsidRPr="00FC1444">
              <w:rPr>
                <w:rFonts w:eastAsiaTheme="minorEastAsia"/>
                <w:kern w:val="0"/>
                <w:szCs w:val="21"/>
              </w:rPr>
              <w:t>4</w:t>
            </w:r>
          </w:p>
        </w:tc>
        <w:tc>
          <w:tcPr>
            <w:tcW w:w="3079" w:type="dxa"/>
            <w:tcBorders>
              <w:tl2br w:val="nil"/>
              <w:tr2bl w:val="nil"/>
            </w:tcBorders>
            <w:vAlign w:val="center"/>
          </w:tcPr>
          <w:p w:rsidR="00766933" w:rsidRPr="00FC1444" w:rsidRDefault="00766933">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变压器</w:t>
            </w:r>
          </w:p>
        </w:tc>
        <w:tc>
          <w:tcPr>
            <w:tcW w:w="2024" w:type="dxa"/>
            <w:tcBorders>
              <w:tl2br w:val="nil"/>
              <w:tr2bl w:val="nil"/>
            </w:tcBorders>
            <w:vAlign w:val="center"/>
          </w:tcPr>
          <w:p w:rsidR="00766933" w:rsidRPr="00FC1444" w:rsidRDefault="00766933">
            <w:pPr>
              <w:widowControl/>
              <w:jc w:val="center"/>
              <w:rPr>
                <w:rFonts w:eastAsiaTheme="minorEastAsia"/>
                <w:kern w:val="0"/>
                <w:szCs w:val="21"/>
              </w:rPr>
            </w:pPr>
            <w:r w:rsidRPr="00FC1444">
              <w:rPr>
                <w:rFonts w:eastAsiaTheme="minorEastAsia"/>
                <w:kern w:val="0"/>
                <w:szCs w:val="21"/>
              </w:rPr>
              <w:t>台</w:t>
            </w:r>
          </w:p>
        </w:tc>
        <w:tc>
          <w:tcPr>
            <w:tcW w:w="2017" w:type="dxa"/>
            <w:tcBorders>
              <w:tl2br w:val="nil"/>
              <w:tr2bl w:val="nil"/>
            </w:tcBorders>
            <w:vAlign w:val="center"/>
          </w:tcPr>
          <w:p w:rsidR="00766933" w:rsidRPr="00FC1444" w:rsidRDefault="00F25D4C">
            <w:pPr>
              <w:widowControl/>
              <w:jc w:val="center"/>
              <w:rPr>
                <w:rFonts w:eastAsiaTheme="minorEastAsia"/>
                <w:kern w:val="0"/>
                <w:szCs w:val="21"/>
              </w:rPr>
            </w:pPr>
            <w:r w:rsidRPr="00FC1444">
              <w:rPr>
                <w:rFonts w:eastAsiaTheme="minorEastAsia"/>
                <w:kern w:val="0"/>
                <w:szCs w:val="21"/>
              </w:rPr>
              <w:t>156</w:t>
            </w:r>
          </w:p>
        </w:tc>
      </w:tr>
      <w:tr w:rsidR="00766933" w:rsidRPr="00FC1444">
        <w:trPr>
          <w:trHeight w:val="323"/>
        </w:trPr>
        <w:tc>
          <w:tcPr>
            <w:tcW w:w="1556" w:type="dxa"/>
            <w:tcBorders>
              <w:tl2br w:val="nil"/>
              <w:tr2bl w:val="nil"/>
            </w:tcBorders>
            <w:vAlign w:val="center"/>
          </w:tcPr>
          <w:p w:rsidR="00766933" w:rsidRPr="00FC1444" w:rsidRDefault="00766933">
            <w:pPr>
              <w:widowControl/>
              <w:jc w:val="center"/>
              <w:rPr>
                <w:rFonts w:eastAsiaTheme="minorEastAsia"/>
                <w:kern w:val="0"/>
                <w:szCs w:val="21"/>
              </w:rPr>
            </w:pPr>
            <w:r w:rsidRPr="00FC1444">
              <w:rPr>
                <w:rFonts w:eastAsiaTheme="minorEastAsia"/>
                <w:kern w:val="0"/>
                <w:szCs w:val="21"/>
              </w:rPr>
              <w:t>5</w:t>
            </w:r>
          </w:p>
        </w:tc>
        <w:tc>
          <w:tcPr>
            <w:tcW w:w="3079" w:type="dxa"/>
            <w:tcBorders>
              <w:tl2br w:val="nil"/>
              <w:tr2bl w:val="nil"/>
            </w:tcBorders>
            <w:vAlign w:val="center"/>
          </w:tcPr>
          <w:p w:rsidR="00766933" w:rsidRPr="00FC1444" w:rsidRDefault="00766933">
            <w:pPr>
              <w:adjustRightInd w:val="0"/>
              <w:snapToGrid w:val="0"/>
              <w:spacing w:before="40" w:after="40" w:line="240" w:lineRule="exact"/>
              <w:jc w:val="center"/>
              <w:rPr>
                <w:rFonts w:eastAsiaTheme="minorEastAsia"/>
                <w:snapToGrid w:val="0"/>
                <w:kern w:val="0"/>
              </w:rPr>
            </w:pPr>
            <w:r w:rsidRPr="00FC1444">
              <w:rPr>
                <w:rFonts w:eastAsiaTheme="minorEastAsia"/>
                <w:snapToGrid w:val="0"/>
                <w:kern w:val="0"/>
              </w:rPr>
              <w:t>柴油机移动泵车</w:t>
            </w:r>
          </w:p>
        </w:tc>
        <w:tc>
          <w:tcPr>
            <w:tcW w:w="2024" w:type="dxa"/>
            <w:tcBorders>
              <w:tl2br w:val="nil"/>
              <w:tr2bl w:val="nil"/>
            </w:tcBorders>
            <w:vAlign w:val="center"/>
          </w:tcPr>
          <w:p w:rsidR="00766933" w:rsidRPr="00FC1444" w:rsidRDefault="00766933">
            <w:pPr>
              <w:widowControl/>
              <w:jc w:val="center"/>
              <w:rPr>
                <w:rFonts w:eastAsiaTheme="minorEastAsia"/>
                <w:kern w:val="0"/>
                <w:szCs w:val="21"/>
              </w:rPr>
            </w:pPr>
            <w:r w:rsidRPr="00FC1444">
              <w:rPr>
                <w:rFonts w:eastAsiaTheme="minorEastAsia"/>
                <w:kern w:val="0"/>
                <w:szCs w:val="21"/>
              </w:rPr>
              <w:t>台</w:t>
            </w:r>
          </w:p>
        </w:tc>
        <w:tc>
          <w:tcPr>
            <w:tcW w:w="2017" w:type="dxa"/>
            <w:tcBorders>
              <w:tl2br w:val="nil"/>
              <w:tr2bl w:val="nil"/>
            </w:tcBorders>
            <w:vAlign w:val="center"/>
          </w:tcPr>
          <w:p w:rsidR="00766933" w:rsidRPr="00FC1444" w:rsidRDefault="00F25D4C">
            <w:pPr>
              <w:widowControl/>
              <w:jc w:val="center"/>
              <w:rPr>
                <w:rFonts w:eastAsiaTheme="minorEastAsia"/>
                <w:kern w:val="0"/>
                <w:szCs w:val="21"/>
              </w:rPr>
            </w:pPr>
            <w:r w:rsidRPr="00FC1444">
              <w:rPr>
                <w:rFonts w:eastAsiaTheme="minorEastAsia"/>
                <w:kern w:val="0"/>
                <w:szCs w:val="21"/>
              </w:rPr>
              <w:t>15</w:t>
            </w:r>
          </w:p>
        </w:tc>
      </w:tr>
      <w:tr w:rsidR="00766933" w:rsidRPr="00FC1444">
        <w:trPr>
          <w:trHeight w:val="323"/>
        </w:trPr>
        <w:tc>
          <w:tcPr>
            <w:tcW w:w="1556" w:type="dxa"/>
            <w:tcBorders>
              <w:tl2br w:val="nil"/>
              <w:tr2bl w:val="nil"/>
            </w:tcBorders>
            <w:vAlign w:val="center"/>
          </w:tcPr>
          <w:p w:rsidR="00766933" w:rsidRPr="00FC1444" w:rsidRDefault="00766933">
            <w:pPr>
              <w:widowControl/>
              <w:jc w:val="center"/>
              <w:rPr>
                <w:rFonts w:eastAsiaTheme="minorEastAsia"/>
                <w:kern w:val="0"/>
                <w:szCs w:val="21"/>
              </w:rPr>
            </w:pPr>
            <w:r w:rsidRPr="00FC1444">
              <w:rPr>
                <w:rFonts w:eastAsiaTheme="minorEastAsia"/>
                <w:kern w:val="0"/>
                <w:szCs w:val="21"/>
              </w:rPr>
              <w:t>6</w:t>
            </w:r>
          </w:p>
        </w:tc>
        <w:tc>
          <w:tcPr>
            <w:tcW w:w="3079" w:type="dxa"/>
            <w:tcBorders>
              <w:tl2br w:val="nil"/>
              <w:tr2bl w:val="nil"/>
            </w:tcBorders>
            <w:vAlign w:val="center"/>
          </w:tcPr>
          <w:p w:rsidR="00766933" w:rsidRPr="00FC1444" w:rsidRDefault="00766933">
            <w:pPr>
              <w:adjustRightInd w:val="0"/>
              <w:snapToGrid w:val="0"/>
              <w:spacing w:before="40" w:after="40" w:line="240" w:lineRule="exact"/>
              <w:jc w:val="center"/>
              <w:rPr>
                <w:rFonts w:eastAsiaTheme="minorEastAsia"/>
                <w:snapToGrid w:val="0"/>
                <w:kern w:val="0"/>
              </w:rPr>
            </w:pPr>
            <w:r w:rsidRPr="00FC1444">
              <w:rPr>
                <w:rFonts w:eastAsiaTheme="minorEastAsia"/>
                <w:bCs/>
                <w:snapToGrid w:val="0"/>
                <w:kern w:val="0"/>
              </w:rPr>
              <w:t>固定式储水罐和移动水罐车</w:t>
            </w:r>
          </w:p>
        </w:tc>
        <w:tc>
          <w:tcPr>
            <w:tcW w:w="2024" w:type="dxa"/>
            <w:tcBorders>
              <w:tl2br w:val="nil"/>
              <w:tr2bl w:val="nil"/>
            </w:tcBorders>
          </w:tcPr>
          <w:p w:rsidR="00766933" w:rsidRPr="00FC1444" w:rsidRDefault="00766933">
            <w:pPr>
              <w:widowControl/>
              <w:jc w:val="center"/>
              <w:rPr>
                <w:rFonts w:eastAsiaTheme="minorEastAsia"/>
                <w:kern w:val="0"/>
                <w:szCs w:val="21"/>
              </w:rPr>
            </w:pPr>
            <w:r w:rsidRPr="00FC1444">
              <w:rPr>
                <w:rFonts w:eastAsiaTheme="minorEastAsia"/>
                <w:kern w:val="0"/>
                <w:szCs w:val="21"/>
              </w:rPr>
              <w:t>套</w:t>
            </w:r>
          </w:p>
        </w:tc>
        <w:tc>
          <w:tcPr>
            <w:tcW w:w="2017" w:type="dxa"/>
            <w:tcBorders>
              <w:tl2br w:val="nil"/>
              <w:tr2bl w:val="nil"/>
            </w:tcBorders>
          </w:tcPr>
          <w:p w:rsidR="00766933" w:rsidRPr="00FC1444" w:rsidRDefault="00766933">
            <w:pPr>
              <w:widowControl/>
              <w:jc w:val="center"/>
              <w:rPr>
                <w:rFonts w:eastAsiaTheme="minorEastAsia"/>
                <w:kern w:val="0"/>
                <w:szCs w:val="21"/>
              </w:rPr>
            </w:pPr>
            <w:r w:rsidRPr="00FC1444">
              <w:rPr>
                <w:rFonts w:eastAsiaTheme="minorEastAsia"/>
                <w:kern w:val="0"/>
                <w:szCs w:val="21"/>
              </w:rPr>
              <w:t>若干</w:t>
            </w:r>
          </w:p>
        </w:tc>
      </w:tr>
      <w:tr w:rsidR="00766933" w:rsidRPr="00FC1444">
        <w:trPr>
          <w:trHeight w:val="323"/>
        </w:trPr>
        <w:tc>
          <w:tcPr>
            <w:tcW w:w="1556" w:type="dxa"/>
            <w:tcBorders>
              <w:tl2br w:val="nil"/>
              <w:tr2bl w:val="nil"/>
            </w:tcBorders>
            <w:vAlign w:val="center"/>
          </w:tcPr>
          <w:p w:rsidR="00766933" w:rsidRPr="00FC1444" w:rsidRDefault="00766933">
            <w:pPr>
              <w:widowControl/>
              <w:jc w:val="center"/>
              <w:rPr>
                <w:rFonts w:eastAsiaTheme="minorEastAsia"/>
                <w:kern w:val="0"/>
                <w:szCs w:val="21"/>
              </w:rPr>
            </w:pPr>
            <w:r w:rsidRPr="00FC1444">
              <w:rPr>
                <w:rFonts w:eastAsiaTheme="minorEastAsia"/>
                <w:kern w:val="0"/>
                <w:szCs w:val="21"/>
              </w:rPr>
              <w:t>7</w:t>
            </w:r>
          </w:p>
        </w:tc>
        <w:tc>
          <w:tcPr>
            <w:tcW w:w="3079" w:type="dxa"/>
            <w:tcBorders>
              <w:tl2br w:val="nil"/>
              <w:tr2bl w:val="nil"/>
            </w:tcBorders>
            <w:vAlign w:val="center"/>
          </w:tcPr>
          <w:p w:rsidR="00766933" w:rsidRPr="00FC1444" w:rsidRDefault="00766933">
            <w:pPr>
              <w:adjustRightInd w:val="0"/>
              <w:snapToGrid w:val="0"/>
              <w:spacing w:before="40" w:after="40" w:line="240" w:lineRule="exact"/>
              <w:jc w:val="center"/>
              <w:rPr>
                <w:rFonts w:eastAsiaTheme="minorEastAsia"/>
                <w:bCs/>
                <w:snapToGrid w:val="0"/>
                <w:kern w:val="0"/>
              </w:rPr>
            </w:pPr>
            <w:r w:rsidRPr="00FC1444">
              <w:rPr>
                <w:rFonts w:eastAsiaTheme="minorEastAsia"/>
                <w:bCs/>
                <w:snapToGrid w:val="0"/>
                <w:kern w:val="0"/>
              </w:rPr>
              <w:t>断路器</w:t>
            </w:r>
            <w:r w:rsidRPr="00FC1444">
              <w:rPr>
                <w:rFonts w:eastAsiaTheme="minorEastAsia"/>
                <w:bCs/>
                <w:snapToGrid w:val="0"/>
                <w:kern w:val="0"/>
              </w:rPr>
              <w:t xml:space="preserve"> </w:t>
            </w:r>
            <w:r w:rsidRPr="00FC1444">
              <w:rPr>
                <w:rFonts w:eastAsiaTheme="minorEastAsia"/>
                <w:bCs/>
                <w:snapToGrid w:val="0"/>
                <w:kern w:val="0"/>
              </w:rPr>
              <w:t>熔断器、避雷器等</w:t>
            </w:r>
          </w:p>
        </w:tc>
        <w:tc>
          <w:tcPr>
            <w:tcW w:w="2024" w:type="dxa"/>
            <w:tcBorders>
              <w:tl2br w:val="nil"/>
              <w:tr2bl w:val="nil"/>
            </w:tcBorders>
          </w:tcPr>
          <w:p w:rsidR="00766933" w:rsidRPr="00FC1444" w:rsidRDefault="00766933">
            <w:pPr>
              <w:widowControl/>
              <w:jc w:val="center"/>
              <w:rPr>
                <w:rFonts w:eastAsiaTheme="minorEastAsia"/>
                <w:kern w:val="0"/>
                <w:szCs w:val="21"/>
              </w:rPr>
            </w:pPr>
            <w:r w:rsidRPr="00FC1444">
              <w:rPr>
                <w:rFonts w:eastAsiaTheme="minorEastAsia"/>
                <w:kern w:val="0"/>
                <w:szCs w:val="21"/>
              </w:rPr>
              <w:t>套</w:t>
            </w:r>
          </w:p>
        </w:tc>
        <w:tc>
          <w:tcPr>
            <w:tcW w:w="2017" w:type="dxa"/>
            <w:tcBorders>
              <w:tl2br w:val="nil"/>
              <w:tr2bl w:val="nil"/>
            </w:tcBorders>
          </w:tcPr>
          <w:p w:rsidR="00766933" w:rsidRPr="00FC1444" w:rsidRDefault="00766933">
            <w:pPr>
              <w:widowControl/>
              <w:jc w:val="center"/>
              <w:rPr>
                <w:rFonts w:eastAsiaTheme="minorEastAsia"/>
                <w:kern w:val="0"/>
                <w:szCs w:val="21"/>
              </w:rPr>
            </w:pPr>
            <w:r w:rsidRPr="00FC1444">
              <w:rPr>
                <w:rFonts w:eastAsiaTheme="minorEastAsia"/>
                <w:kern w:val="0"/>
                <w:szCs w:val="21"/>
              </w:rPr>
              <w:t>若干</w:t>
            </w:r>
          </w:p>
        </w:tc>
      </w:tr>
    </w:tbl>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3.1.8</w:t>
      </w:r>
      <w:r w:rsidRPr="00FC1444">
        <w:rPr>
          <w:rFonts w:eastAsiaTheme="minorEastAsia"/>
          <w:b/>
          <w:sz w:val="28"/>
          <w:szCs w:val="28"/>
        </w:rPr>
        <w:t>原材料消耗</w:t>
      </w:r>
    </w:p>
    <w:p w:rsidR="002A5A5E" w:rsidRPr="00FC1444" w:rsidRDefault="00611CBA">
      <w:pPr>
        <w:spacing w:line="360" w:lineRule="auto"/>
        <w:ind w:firstLineChars="200" w:firstLine="480"/>
        <w:rPr>
          <w:rFonts w:eastAsiaTheme="minorEastAsia"/>
          <w:kern w:val="0"/>
          <w:sz w:val="24"/>
          <w:szCs w:val="20"/>
        </w:rPr>
      </w:pPr>
      <w:r w:rsidRPr="00FC1444">
        <w:rPr>
          <w:rFonts w:eastAsiaTheme="minorEastAsia"/>
          <w:kern w:val="0"/>
          <w:sz w:val="24"/>
          <w:szCs w:val="20"/>
        </w:rPr>
        <w:t>本项目施工期主要原辅材料消耗情况详见表</w:t>
      </w:r>
      <w:r w:rsidRPr="00FC1444">
        <w:rPr>
          <w:rFonts w:eastAsiaTheme="minorEastAsia"/>
          <w:kern w:val="0"/>
          <w:sz w:val="24"/>
          <w:szCs w:val="20"/>
        </w:rPr>
        <w:t>3-1-1</w:t>
      </w:r>
      <w:r w:rsidR="002A51BB" w:rsidRPr="00FC1444">
        <w:rPr>
          <w:rFonts w:eastAsiaTheme="minorEastAsia" w:hint="eastAsia"/>
          <w:kern w:val="0"/>
          <w:sz w:val="24"/>
          <w:szCs w:val="20"/>
        </w:rPr>
        <w:t>1</w:t>
      </w:r>
      <w:r w:rsidRPr="00FC1444">
        <w:rPr>
          <w:rFonts w:eastAsiaTheme="minorEastAsia"/>
          <w:kern w:val="0"/>
          <w:sz w:val="24"/>
          <w:szCs w:val="20"/>
        </w:rPr>
        <w:t>。</w:t>
      </w: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E5E28" w:rsidRPr="00FC1444" w:rsidRDefault="002E5E28">
      <w:pPr>
        <w:contextualSpacing/>
        <w:jc w:val="center"/>
        <w:rPr>
          <w:rFonts w:eastAsiaTheme="minorEastAsia"/>
          <w:b/>
          <w:kern w:val="0"/>
          <w:szCs w:val="21"/>
        </w:rPr>
      </w:pPr>
    </w:p>
    <w:p w:rsidR="002A5A5E" w:rsidRPr="00FC1444" w:rsidRDefault="00611CBA">
      <w:pPr>
        <w:contextualSpacing/>
        <w:jc w:val="center"/>
        <w:rPr>
          <w:rFonts w:eastAsiaTheme="minorEastAsia"/>
          <w:b/>
          <w:bCs/>
          <w:sz w:val="24"/>
        </w:rPr>
      </w:pPr>
      <w:r w:rsidRPr="00FC1444">
        <w:rPr>
          <w:rFonts w:eastAsiaTheme="minorEastAsia"/>
          <w:b/>
          <w:kern w:val="0"/>
          <w:szCs w:val="21"/>
        </w:rPr>
        <w:lastRenderedPageBreak/>
        <w:t>表</w:t>
      </w:r>
      <w:r w:rsidRPr="00FC1444">
        <w:rPr>
          <w:rFonts w:eastAsiaTheme="minorEastAsia"/>
          <w:b/>
          <w:kern w:val="0"/>
          <w:szCs w:val="21"/>
        </w:rPr>
        <w:t>3-1-1</w:t>
      </w:r>
      <w:r w:rsidR="002A51BB" w:rsidRPr="00FC1444">
        <w:rPr>
          <w:rFonts w:eastAsiaTheme="minorEastAsia" w:hint="eastAsia"/>
          <w:b/>
          <w:kern w:val="0"/>
          <w:szCs w:val="21"/>
        </w:rPr>
        <w:t>1</w:t>
      </w:r>
      <w:r w:rsidRPr="00FC1444">
        <w:rPr>
          <w:rFonts w:eastAsiaTheme="minorEastAsia"/>
          <w:b/>
          <w:kern w:val="0"/>
          <w:szCs w:val="21"/>
        </w:rPr>
        <w:t>主要原辅材料及用量一览表</w:t>
      </w:r>
    </w:p>
    <w:tbl>
      <w:tblPr>
        <w:tblW w:w="8717"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1998"/>
        <w:gridCol w:w="2451"/>
        <w:gridCol w:w="1710"/>
        <w:gridCol w:w="2558"/>
      </w:tblGrid>
      <w:tr w:rsidR="002A5A5E" w:rsidRPr="00FC1444">
        <w:trPr>
          <w:trHeight w:val="340"/>
          <w:jc w:val="center"/>
        </w:trPr>
        <w:tc>
          <w:tcPr>
            <w:tcW w:w="1998"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工程类别</w:t>
            </w:r>
          </w:p>
        </w:tc>
        <w:tc>
          <w:tcPr>
            <w:tcW w:w="2451"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原材料名称</w:t>
            </w:r>
          </w:p>
        </w:tc>
        <w:tc>
          <w:tcPr>
            <w:tcW w:w="1710"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消耗量</w:t>
            </w:r>
          </w:p>
        </w:tc>
        <w:tc>
          <w:tcPr>
            <w:tcW w:w="2558"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原材料来源</w:t>
            </w:r>
          </w:p>
        </w:tc>
      </w:tr>
      <w:tr w:rsidR="002A5A5E" w:rsidRPr="00FC1444">
        <w:trPr>
          <w:trHeight w:val="340"/>
          <w:jc w:val="center"/>
        </w:trPr>
        <w:tc>
          <w:tcPr>
            <w:tcW w:w="1998" w:type="dxa"/>
            <w:vMerge w:val="restar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灌溉与排水工程</w:t>
            </w:r>
          </w:p>
        </w:tc>
        <w:tc>
          <w:tcPr>
            <w:tcW w:w="2451"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井管</w:t>
            </w:r>
          </w:p>
        </w:tc>
        <w:tc>
          <w:tcPr>
            <w:tcW w:w="1710" w:type="dxa"/>
            <w:vAlign w:val="center"/>
          </w:tcPr>
          <w:p w:rsidR="002A5A5E" w:rsidRPr="00FC1444" w:rsidRDefault="00BD2D65">
            <w:pPr>
              <w:widowControl/>
              <w:jc w:val="center"/>
              <w:rPr>
                <w:rFonts w:eastAsiaTheme="minorEastAsia"/>
                <w:kern w:val="0"/>
                <w:szCs w:val="21"/>
              </w:rPr>
            </w:pPr>
            <w:r w:rsidRPr="00FC1444">
              <w:rPr>
                <w:rFonts w:eastAsiaTheme="minorEastAsia"/>
                <w:szCs w:val="21"/>
              </w:rPr>
              <w:t>15600</w:t>
            </w:r>
            <w:r w:rsidR="00611CBA" w:rsidRPr="00FC1444">
              <w:rPr>
                <w:rFonts w:eastAsiaTheme="minorEastAsia"/>
                <w:szCs w:val="21"/>
              </w:rPr>
              <w:t>m</w:t>
            </w:r>
          </w:p>
        </w:tc>
        <w:tc>
          <w:tcPr>
            <w:tcW w:w="2558"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建材市场</w:t>
            </w:r>
          </w:p>
        </w:tc>
      </w:tr>
      <w:tr w:rsidR="002A5A5E" w:rsidRPr="00FC1444">
        <w:trPr>
          <w:trHeight w:val="340"/>
          <w:jc w:val="center"/>
        </w:trPr>
        <w:tc>
          <w:tcPr>
            <w:tcW w:w="1998" w:type="dxa"/>
            <w:vMerge/>
            <w:vAlign w:val="center"/>
          </w:tcPr>
          <w:p w:rsidR="002A5A5E" w:rsidRPr="00FC1444" w:rsidRDefault="002A5A5E">
            <w:pPr>
              <w:widowControl/>
              <w:jc w:val="center"/>
              <w:rPr>
                <w:rFonts w:eastAsiaTheme="minorEastAsia"/>
                <w:kern w:val="0"/>
                <w:szCs w:val="21"/>
              </w:rPr>
            </w:pPr>
          </w:p>
        </w:tc>
        <w:tc>
          <w:tcPr>
            <w:tcW w:w="2451"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钢筋混凝土结构件</w:t>
            </w:r>
          </w:p>
        </w:tc>
        <w:tc>
          <w:tcPr>
            <w:tcW w:w="1710" w:type="dxa"/>
            <w:vAlign w:val="center"/>
          </w:tcPr>
          <w:p w:rsidR="002A5A5E" w:rsidRPr="00FC1444" w:rsidRDefault="00611CBA">
            <w:pPr>
              <w:widowControl/>
              <w:jc w:val="center"/>
              <w:rPr>
                <w:rFonts w:eastAsiaTheme="minorEastAsia"/>
                <w:szCs w:val="21"/>
              </w:rPr>
            </w:pPr>
            <w:r w:rsidRPr="00FC1444">
              <w:rPr>
                <w:rFonts w:eastAsiaTheme="minorEastAsia"/>
                <w:szCs w:val="21"/>
              </w:rPr>
              <w:t>/</w:t>
            </w:r>
          </w:p>
        </w:tc>
        <w:tc>
          <w:tcPr>
            <w:tcW w:w="2558"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采购</w:t>
            </w:r>
          </w:p>
        </w:tc>
      </w:tr>
      <w:tr w:rsidR="002A5A5E" w:rsidRPr="00FC1444">
        <w:trPr>
          <w:trHeight w:val="340"/>
          <w:jc w:val="center"/>
        </w:trPr>
        <w:tc>
          <w:tcPr>
            <w:tcW w:w="1998" w:type="dxa"/>
            <w:vMerge/>
            <w:vAlign w:val="center"/>
          </w:tcPr>
          <w:p w:rsidR="002A5A5E" w:rsidRPr="00FC1444" w:rsidRDefault="002A5A5E">
            <w:pPr>
              <w:widowControl/>
              <w:jc w:val="center"/>
              <w:rPr>
                <w:rFonts w:eastAsiaTheme="minorEastAsia"/>
                <w:kern w:val="0"/>
                <w:szCs w:val="21"/>
              </w:rPr>
            </w:pPr>
          </w:p>
        </w:tc>
        <w:tc>
          <w:tcPr>
            <w:tcW w:w="2451"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砂砾石</w:t>
            </w:r>
          </w:p>
        </w:tc>
        <w:tc>
          <w:tcPr>
            <w:tcW w:w="1710" w:type="dxa"/>
            <w:vAlign w:val="center"/>
          </w:tcPr>
          <w:p w:rsidR="002A5A5E" w:rsidRPr="00FC1444" w:rsidRDefault="00107A4B">
            <w:pPr>
              <w:widowControl/>
              <w:jc w:val="center"/>
              <w:rPr>
                <w:rFonts w:eastAsiaTheme="minorEastAsia"/>
                <w:szCs w:val="21"/>
              </w:rPr>
            </w:pPr>
            <w:r w:rsidRPr="00FC1444">
              <w:rPr>
                <w:rFonts w:eastAsiaTheme="minorEastAsia" w:hint="eastAsia"/>
                <w:szCs w:val="21"/>
              </w:rPr>
              <w:t>6</w:t>
            </w:r>
            <w:r w:rsidR="00611CBA" w:rsidRPr="00FC1444">
              <w:rPr>
                <w:rFonts w:eastAsiaTheme="minorEastAsia"/>
                <w:szCs w:val="21"/>
              </w:rPr>
              <w:t>8000</w:t>
            </w:r>
            <w:r w:rsidR="00611CBA" w:rsidRPr="00FC1444">
              <w:rPr>
                <w:rFonts w:eastAsiaTheme="minorEastAsia"/>
                <w:kern w:val="0"/>
                <w:szCs w:val="21"/>
              </w:rPr>
              <w:t>m</w:t>
            </w:r>
            <w:r w:rsidR="00611CBA" w:rsidRPr="00FC1444">
              <w:rPr>
                <w:rFonts w:eastAsiaTheme="minorEastAsia"/>
                <w:kern w:val="0"/>
                <w:szCs w:val="21"/>
                <w:vertAlign w:val="superscript"/>
              </w:rPr>
              <w:t>3</w:t>
            </w:r>
          </w:p>
        </w:tc>
        <w:tc>
          <w:tcPr>
            <w:tcW w:w="2558" w:type="dxa"/>
            <w:vAlign w:val="center"/>
          </w:tcPr>
          <w:p w:rsidR="002A5A5E" w:rsidRPr="00FC1444" w:rsidRDefault="00107A4B">
            <w:pPr>
              <w:widowControl/>
              <w:jc w:val="center"/>
              <w:rPr>
                <w:rFonts w:eastAsiaTheme="minorEastAsia"/>
                <w:kern w:val="0"/>
                <w:szCs w:val="21"/>
              </w:rPr>
            </w:pPr>
            <w:r w:rsidRPr="00FC1444">
              <w:rPr>
                <w:rFonts w:eastAsiaTheme="minorEastAsia" w:hint="eastAsia"/>
                <w:kern w:val="0"/>
                <w:szCs w:val="21"/>
              </w:rPr>
              <w:t>巴彦</w:t>
            </w:r>
            <w:r w:rsidR="00611CBA" w:rsidRPr="00FC1444">
              <w:rPr>
                <w:rFonts w:eastAsiaTheme="minorEastAsia"/>
                <w:kern w:val="0"/>
                <w:szCs w:val="21"/>
              </w:rPr>
              <w:t>石场</w:t>
            </w:r>
          </w:p>
        </w:tc>
      </w:tr>
      <w:tr w:rsidR="002A5A5E" w:rsidRPr="00FC1444">
        <w:trPr>
          <w:trHeight w:val="340"/>
          <w:jc w:val="center"/>
        </w:trPr>
        <w:tc>
          <w:tcPr>
            <w:tcW w:w="1998" w:type="dxa"/>
            <w:vMerge/>
            <w:vAlign w:val="center"/>
          </w:tcPr>
          <w:p w:rsidR="002A5A5E" w:rsidRPr="00FC1444" w:rsidRDefault="002A5A5E">
            <w:pPr>
              <w:jc w:val="center"/>
              <w:rPr>
                <w:rFonts w:eastAsiaTheme="minorEastAsia"/>
                <w:szCs w:val="21"/>
              </w:rPr>
            </w:pPr>
          </w:p>
        </w:tc>
        <w:tc>
          <w:tcPr>
            <w:tcW w:w="2451"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膨润土</w:t>
            </w:r>
          </w:p>
        </w:tc>
        <w:tc>
          <w:tcPr>
            <w:tcW w:w="1710" w:type="dxa"/>
            <w:vAlign w:val="center"/>
          </w:tcPr>
          <w:p w:rsidR="002A5A5E" w:rsidRPr="00FC1444" w:rsidRDefault="0082757B">
            <w:pPr>
              <w:widowControl/>
              <w:jc w:val="center"/>
              <w:rPr>
                <w:rFonts w:eastAsiaTheme="minorEastAsia"/>
                <w:kern w:val="0"/>
                <w:szCs w:val="21"/>
              </w:rPr>
            </w:pPr>
            <w:r w:rsidRPr="00FC1444">
              <w:rPr>
                <w:rFonts w:eastAsiaTheme="minorEastAsia"/>
                <w:kern w:val="0"/>
                <w:szCs w:val="21"/>
              </w:rPr>
              <w:t>1020</w:t>
            </w:r>
            <w:r w:rsidR="00611CBA" w:rsidRPr="00FC1444">
              <w:rPr>
                <w:rFonts w:eastAsiaTheme="minorEastAsia"/>
                <w:kern w:val="0"/>
                <w:szCs w:val="21"/>
              </w:rPr>
              <w:t>m</w:t>
            </w:r>
            <w:r w:rsidR="00611CBA" w:rsidRPr="00FC1444">
              <w:rPr>
                <w:rFonts w:eastAsiaTheme="minorEastAsia"/>
                <w:kern w:val="0"/>
                <w:szCs w:val="21"/>
                <w:vertAlign w:val="superscript"/>
              </w:rPr>
              <w:t>3</w:t>
            </w:r>
          </w:p>
        </w:tc>
        <w:tc>
          <w:tcPr>
            <w:tcW w:w="2558"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建材市场</w:t>
            </w:r>
          </w:p>
        </w:tc>
      </w:tr>
      <w:tr w:rsidR="002A5A5E" w:rsidRPr="00FC1444">
        <w:trPr>
          <w:trHeight w:val="340"/>
          <w:jc w:val="center"/>
        </w:trPr>
        <w:tc>
          <w:tcPr>
            <w:tcW w:w="1998" w:type="dxa"/>
            <w:vMerge/>
            <w:vAlign w:val="center"/>
          </w:tcPr>
          <w:p w:rsidR="002A5A5E" w:rsidRPr="00FC1444" w:rsidRDefault="002A5A5E">
            <w:pPr>
              <w:jc w:val="center"/>
              <w:rPr>
                <w:rFonts w:eastAsiaTheme="minorEastAsia"/>
                <w:szCs w:val="21"/>
              </w:rPr>
            </w:pPr>
          </w:p>
        </w:tc>
        <w:tc>
          <w:tcPr>
            <w:tcW w:w="2451"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雷诺护垫</w:t>
            </w:r>
          </w:p>
        </w:tc>
        <w:tc>
          <w:tcPr>
            <w:tcW w:w="1710" w:type="dxa"/>
            <w:vAlign w:val="center"/>
          </w:tcPr>
          <w:p w:rsidR="002A5A5E" w:rsidRPr="00FC1444" w:rsidRDefault="00107A4B">
            <w:pPr>
              <w:widowControl/>
              <w:jc w:val="center"/>
              <w:rPr>
                <w:rFonts w:eastAsiaTheme="minorEastAsia"/>
                <w:kern w:val="0"/>
                <w:szCs w:val="21"/>
              </w:rPr>
            </w:pPr>
            <w:r w:rsidRPr="00FC1444">
              <w:rPr>
                <w:rFonts w:eastAsiaTheme="minorEastAsia" w:hint="eastAsia"/>
                <w:kern w:val="0"/>
                <w:szCs w:val="21"/>
              </w:rPr>
              <w:t>65</w:t>
            </w:r>
            <w:r w:rsidR="00611CBA" w:rsidRPr="00FC1444">
              <w:rPr>
                <w:rFonts w:eastAsiaTheme="minorEastAsia"/>
                <w:kern w:val="0"/>
                <w:szCs w:val="21"/>
              </w:rPr>
              <w:t>500m</w:t>
            </w:r>
            <w:r w:rsidR="00611CBA" w:rsidRPr="00FC1444">
              <w:rPr>
                <w:rFonts w:eastAsiaTheme="minorEastAsia"/>
                <w:kern w:val="0"/>
                <w:szCs w:val="21"/>
                <w:vertAlign w:val="superscript"/>
              </w:rPr>
              <w:t>3</w:t>
            </w:r>
          </w:p>
        </w:tc>
        <w:tc>
          <w:tcPr>
            <w:tcW w:w="2558"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建材市场</w:t>
            </w:r>
          </w:p>
        </w:tc>
      </w:tr>
      <w:tr w:rsidR="002A5A5E" w:rsidRPr="00FC1444">
        <w:trPr>
          <w:trHeight w:val="340"/>
          <w:jc w:val="center"/>
        </w:trPr>
        <w:tc>
          <w:tcPr>
            <w:tcW w:w="1998" w:type="dxa"/>
            <w:vMerge/>
            <w:vAlign w:val="center"/>
          </w:tcPr>
          <w:p w:rsidR="002A5A5E" w:rsidRPr="00FC1444" w:rsidRDefault="002A5A5E">
            <w:pPr>
              <w:jc w:val="center"/>
              <w:rPr>
                <w:rFonts w:eastAsiaTheme="minorEastAsia"/>
                <w:szCs w:val="21"/>
              </w:rPr>
            </w:pPr>
          </w:p>
        </w:tc>
        <w:tc>
          <w:tcPr>
            <w:tcW w:w="2451"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钢筋</w:t>
            </w:r>
          </w:p>
        </w:tc>
        <w:tc>
          <w:tcPr>
            <w:tcW w:w="1710" w:type="dxa"/>
            <w:vAlign w:val="center"/>
          </w:tcPr>
          <w:p w:rsidR="002A5A5E" w:rsidRPr="00FC1444" w:rsidRDefault="0082757B">
            <w:pPr>
              <w:widowControl/>
              <w:jc w:val="center"/>
              <w:rPr>
                <w:rFonts w:eastAsiaTheme="minorEastAsia"/>
                <w:kern w:val="0"/>
                <w:szCs w:val="21"/>
              </w:rPr>
            </w:pPr>
            <w:r w:rsidRPr="00FC1444">
              <w:rPr>
                <w:rFonts w:eastAsiaTheme="minorEastAsia"/>
                <w:kern w:val="0"/>
                <w:szCs w:val="21"/>
              </w:rPr>
              <w:t>2337</w:t>
            </w:r>
            <w:r w:rsidR="00611CBA" w:rsidRPr="00FC1444">
              <w:rPr>
                <w:rFonts w:eastAsiaTheme="minorEastAsia"/>
                <w:kern w:val="0"/>
                <w:szCs w:val="21"/>
              </w:rPr>
              <w:t>t</w:t>
            </w:r>
          </w:p>
        </w:tc>
        <w:tc>
          <w:tcPr>
            <w:tcW w:w="2558"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建材市场</w:t>
            </w:r>
          </w:p>
        </w:tc>
      </w:tr>
      <w:tr w:rsidR="002A5A5E" w:rsidRPr="00FC1444">
        <w:trPr>
          <w:trHeight w:val="340"/>
          <w:jc w:val="center"/>
        </w:trPr>
        <w:tc>
          <w:tcPr>
            <w:tcW w:w="1998" w:type="dxa"/>
            <w:vMerge/>
            <w:vAlign w:val="center"/>
          </w:tcPr>
          <w:p w:rsidR="002A5A5E" w:rsidRPr="00FC1444" w:rsidRDefault="002A5A5E">
            <w:pPr>
              <w:jc w:val="center"/>
              <w:rPr>
                <w:rFonts w:eastAsiaTheme="minorEastAsia"/>
                <w:szCs w:val="21"/>
              </w:rPr>
            </w:pPr>
          </w:p>
        </w:tc>
        <w:tc>
          <w:tcPr>
            <w:tcW w:w="2451"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生态合金格室</w:t>
            </w:r>
          </w:p>
        </w:tc>
        <w:tc>
          <w:tcPr>
            <w:tcW w:w="1710" w:type="dxa"/>
            <w:vAlign w:val="center"/>
          </w:tcPr>
          <w:p w:rsidR="002A5A5E" w:rsidRPr="00FC1444" w:rsidRDefault="00107A4B" w:rsidP="00107A4B">
            <w:pPr>
              <w:widowControl/>
              <w:jc w:val="center"/>
              <w:rPr>
                <w:rFonts w:eastAsiaTheme="minorEastAsia"/>
                <w:kern w:val="0"/>
                <w:szCs w:val="21"/>
              </w:rPr>
            </w:pPr>
            <w:r w:rsidRPr="00FC1444">
              <w:rPr>
                <w:rFonts w:eastAsiaTheme="minorEastAsia" w:hint="eastAsia"/>
                <w:kern w:val="0"/>
                <w:szCs w:val="21"/>
              </w:rPr>
              <w:t>42</w:t>
            </w:r>
            <w:r w:rsidR="00E44968" w:rsidRPr="00FC1444">
              <w:rPr>
                <w:rFonts w:eastAsiaTheme="minorEastAsia"/>
                <w:kern w:val="0"/>
                <w:szCs w:val="21"/>
              </w:rPr>
              <w:t>653</w:t>
            </w:r>
            <w:r w:rsidR="00611CBA" w:rsidRPr="00FC1444">
              <w:rPr>
                <w:rFonts w:eastAsiaTheme="minorEastAsia"/>
                <w:kern w:val="0"/>
                <w:szCs w:val="21"/>
              </w:rPr>
              <w:t>m</w:t>
            </w:r>
            <w:r w:rsidR="00611CBA" w:rsidRPr="00FC1444">
              <w:rPr>
                <w:rFonts w:eastAsiaTheme="minorEastAsia"/>
                <w:kern w:val="0"/>
                <w:szCs w:val="21"/>
                <w:vertAlign w:val="superscript"/>
              </w:rPr>
              <w:t>2</w:t>
            </w:r>
          </w:p>
        </w:tc>
        <w:tc>
          <w:tcPr>
            <w:tcW w:w="2558"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建材市场</w:t>
            </w:r>
          </w:p>
        </w:tc>
      </w:tr>
      <w:tr w:rsidR="002A5A5E" w:rsidRPr="00FC1444">
        <w:trPr>
          <w:trHeight w:val="340"/>
          <w:jc w:val="center"/>
        </w:trPr>
        <w:tc>
          <w:tcPr>
            <w:tcW w:w="1998" w:type="dxa"/>
            <w:vMerge/>
            <w:vAlign w:val="center"/>
          </w:tcPr>
          <w:p w:rsidR="002A5A5E" w:rsidRPr="00FC1444" w:rsidRDefault="002A5A5E">
            <w:pPr>
              <w:jc w:val="center"/>
              <w:rPr>
                <w:rFonts w:eastAsiaTheme="minorEastAsia"/>
                <w:szCs w:val="21"/>
              </w:rPr>
            </w:pPr>
          </w:p>
        </w:tc>
        <w:tc>
          <w:tcPr>
            <w:tcW w:w="2451"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土工布</w:t>
            </w:r>
          </w:p>
        </w:tc>
        <w:tc>
          <w:tcPr>
            <w:tcW w:w="1710" w:type="dxa"/>
            <w:vAlign w:val="center"/>
          </w:tcPr>
          <w:p w:rsidR="002A5A5E" w:rsidRPr="00FC1444" w:rsidRDefault="00107A4B" w:rsidP="00107A4B">
            <w:pPr>
              <w:widowControl/>
              <w:jc w:val="center"/>
              <w:rPr>
                <w:rFonts w:eastAsiaTheme="minorEastAsia"/>
                <w:kern w:val="0"/>
                <w:szCs w:val="21"/>
              </w:rPr>
            </w:pPr>
            <w:r w:rsidRPr="00FC1444">
              <w:rPr>
                <w:rFonts w:eastAsiaTheme="minorEastAsia" w:hint="eastAsia"/>
                <w:kern w:val="0"/>
                <w:szCs w:val="21"/>
              </w:rPr>
              <w:t>21280</w:t>
            </w:r>
            <w:r w:rsidR="00611CBA" w:rsidRPr="00FC1444">
              <w:rPr>
                <w:rFonts w:eastAsiaTheme="minorEastAsia"/>
                <w:kern w:val="0"/>
                <w:szCs w:val="21"/>
              </w:rPr>
              <w:t>m</w:t>
            </w:r>
            <w:r w:rsidR="00611CBA" w:rsidRPr="00FC1444">
              <w:rPr>
                <w:rFonts w:eastAsiaTheme="minorEastAsia"/>
                <w:kern w:val="0"/>
                <w:szCs w:val="21"/>
                <w:vertAlign w:val="superscript"/>
              </w:rPr>
              <w:t>3</w:t>
            </w:r>
          </w:p>
        </w:tc>
        <w:tc>
          <w:tcPr>
            <w:tcW w:w="2558"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建材市场</w:t>
            </w:r>
          </w:p>
        </w:tc>
      </w:tr>
      <w:tr w:rsidR="002A5A5E" w:rsidRPr="00FC1444">
        <w:trPr>
          <w:trHeight w:val="340"/>
          <w:jc w:val="center"/>
        </w:trPr>
        <w:tc>
          <w:tcPr>
            <w:tcW w:w="1998" w:type="dxa"/>
            <w:vMerge w:val="restar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田间道路工程</w:t>
            </w:r>
          </w:p>
        </w:tc>
        <w:tc>
          <w:tcPr>
            <w:tcW w:w="2451" w:type="dxa"/>
            <w:vAlign w:val="center"/>
          </w:tcPr>
          <w:p w:rsidR="002A5A5E" w:rsidRPr="00FC1444" w:rsidRDefault="0082757B">
            <w:pPr>
              <w:widowControl/>
              <w:jc w:val="center"/>
              <w:rPr>
                <w:rFonts w:eastAsiaTheme="minorEastAsia"/>
                <w:kern w:val="0"/>
                <w:szCs w:val="21"/>
              </w:rPr>
            </w:pPr>
            <w:r w:rsidRPr="00FC1444">
              <w:rPr>
                <w:rFonts w:eastAsiaTheme="minorEastAsia"/>
                <w:kern w:val="0"/>
                <w:szCs w:val="21"/>
              </w:rPr>
              <w:t>土毛</w:t>
            </w:r>
            <w:r w:rsidR="00611CBA" w:rsidRPr="00FC1444">
              <w:rPr>
                <w:rFonts w:eastAsiaTheme="minorEastAsia"/>
                <w:kern w:val="0"/>
                <w:szCs w:val="21"/>
              </w:rPr>
              <w:t>石</w:t>
            </w:r>
          </w:p>
        </w:tc>
        <w:tc>
          <w:tcPr>
            <w:tcW w:w="1710" w:type="dxa"/>
            <w:vAlign w:val="center"/>
          </w:tcPr>
          <w:p w:rsidR="002A5A5E" w:rsidRPr="00FC1444" w:rsidRDefault="00107A4B">
            <w:pPr>
              <w:widowControl/>
              <w:jc w:val="center"/>
              <w:rPr>
                <w:rFonts w:eastAsiaTheme="minorEastAsia"/>
                <w:kern w:val="0"/>
                <w:szCs w:val="21"/>
              </w:rPr>
            </w:pPr>
            <w:r w:rsidRPr="00FC1444">
              <w:rPr>
                <w:rFonts w:eastAsiaTheme="minorEastAsia" w:hint="eastAsia"/>
                <w:kern w:val="0"/>
                <w:szCs w:val="21"/>
              </w:rPr>
              <w:t>4</w:t>
            </w:r>
            <w:r w:rsidR="0082757B" w:rsidRPr="00FC1444">
              <w:rPr>
                <w:rFonts w:eastAsiaTheme="minorEastAsia"/>
                <w:kern w:val="0"/>
                <w:szCs w:val="21"/>
              </w:rPr>
              <w:t>1871</w:t>
            </w:r>
            <w:r w:rsidR="00611CBA" w:rsidRPr="00FC1444">
              <w:rPr>
                <w:rFonts w:eastAsiaTheme="minorEastAsia"/>
                <w:kern w:val="0"/>
                <w:szCs w:val="21"/>
              </w:rPr>
              <w:t>m</w:t>
            </w:r>
            <w:r w:rsidR="00611CBA" w:rsidRPr="00FC1444">
              <w:rPr>
                <w:rFonts w:eastAsiaTheme="minorEastAsia"/>
                <w:kern w:val="0"/>
                <w:szCs w:val="21"/>
                <w:vertAlign w:val="superscript"/>
              </w:rPr>
              <w:t>3</w:t>
            </w:r>
          </w:p>
        </w:tc>
        <w:tc>
          <w:tcPr>
            <w:tcW w:w="2558" w:type="dxa"/>
            <w:vAlign w:val="center"/>
          </w:tcPr>
          <w:p w:rsidR="002A5A5E" w:rsidRPr="00FC1444" w:rsidRDefault="00107A4B">
            <w:pPr>
              <w:widowControl/>
              <w:jc w:val="center"/>
              <w:rPr>
                <w:rFonts w:eastAsiaTheme="minorEastAsia"/>
                <w:kern w:val="0"/>
                <w:szCs w:val="21"/>
              </w:rPr>
            </w:pPr>
            <w:r w:rsidRPr="00FC1444">
              <w:rPr>
                <w:rFonts w:eastAsiaTheme="minorEastAsia" w:hint="eastAsia"/>
                <w:kern w:val="0"/>
                <w:szCs w:val="21"/>
              </w:rPr>
              <w:t>巴彦</w:t>
            </w:r>
            <w:r w:rsidR="00611CBA" w:rsidRPr="00FC1444">
              <w:rPr>
                <w:rFonts w:eastAsiaTheme="minorEastAsia"/>
                <w:kern w:val="0"/>
                <w:szCs w:val="21"/>
              </w:rPr>
              <w:t>石场</w:t>
            </w:r>
          </w:p>
        </w:tc>
      </w:tr>
      <w:tr w:rsidR="002A5A5E" w:rsidRPr="00FC1444">
        <w:trPr>
          <w:trHeight w:val="340"/>
          <w:jc w:val="center"/>
        </w:trPr>
        <w:tc>
          <w:tcPr>
            <w:tcW w:w="1998" w:type="dxa"/>
            <w:vMerge/>
            <w:vAlign w:val="center"/>
          </w:tcPr>
          <w:p w:rsidR="002A5A5E" w:rsidRPr="00FC1444" w:rsidRDefault="002A5A5E">
            <w:pPr>
              <w:jc w:val="center"/>
              <w:rPr>
                <w:rFonts w:eastAsiaTheme="minorEastAsia"/>
                <w:szCs w:val="21"/>
              </w:rPr>
            </w:pPr>
          </w:p>
        </w:tc>
        <w:tc>
          <w:tcPr>
            <w:tcW w:w="2451"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混凝土</w:t>
            </w:r>
          </w:p>
        </w:tc>
        <w:tc>
          <w:tcPr>
            <w:tcW w:w="1710" w:type="dxa"/>
            <w:vAlign w:val="center"/>
          </w:tcPr>
          <w:p w:rsidR="002A5A5E" w:rsidRPr="00FC1444" w:rsidRDefault="00107A4B">
            <w:pPr>
              <w:widowControl/>
              <w:jc w:val="center"/>
              <w:rPr>
                <w:rFonts w:eastAsiaTheme="minorEastAsia"/>
                <w:kern w:val="0"/>
                <w:szCs w:val="21"/>
              </w:rPr>
            </w:pPr>
            <w:r w:rsidRPr="00FC1444">
              <w:rPr>
                <w:rFonts w:eastAsiaTheme="minorEastAsia" w:hint="eastAsia"/>
                <w:kern w:val="0"/>
                <w:szCs w:val="21"/>
              </w:rPr>
              <w:t>4</w:t>
            </w:r>
            <w:r w:rsidR="0082757B" w:rsidRPr="00FC1444">
              <w:rPr>
                <w:rFonts w:eastAsiaTheme="minorEastAsia"/>
                <w:kern w:val="0"/>
                <w:szCs w:val="21"/>
              </w:rPr>
              <w:t>6879</w:t>
            </w:r>
            <w:r w:rsidR="00611CBA" w:rsidRPr="00FC1444">
              <w:rPr>
                <w:rFonts w:eastAsiaTheme="minorEastAsia"/>
                <w:kern w:val="0"/>
                <w:szCs w:val="21"/>
              </w:rPr>
              <w:t>m</w:t>
            </w:r>
            <w:r w:rsidR="00611CBA" w:rsidRPr="00FC1444">
              <w:rPr>
                <w:rFonts w:eastAsiaTheme="minorEastAsia"/>
                <w:kern w:val="0"/>
                <w:szCs w:val="21"/>
                <w:vertAlign w:val="superscript"/>
              </w:rPr>
              <w:t>3</w:t>
            </w:r>
          </w:p>
        </w:tc>
        <w:tc>
          <w:tcPr>
            <w:tcW w:w="2558"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附近混凝土搅拌站</w:t>
            </w:r>
          </w:p>
        </w:tc>
      </w:tr>
      <w:tr w:rsidR="002A5A5E" w:rsidRPr="00FC1444">
        <w:trPr>
          <w:trHeight w:val="340"/>
          <w:jc w:val="center"/>
        </w:trPr>
        <w:tc>
          <w:tcPr>
            <w:tcW w:w="1998" w:type="dxa"/>
            <w:vMerge/>
            <w:vAlign w:val="center"/>
          </w:tcPr>
          <w:p w:rsidR="002A5A5E" w:rsidRPr="00FC1444" w:rsidRDefault="002A5A5E">
            <w:pPr>
              <w:jc w:val="center"/>
              <w:rPr>
                <w:rFonts w:eastAsiaTheme="minorEastAsia"/>
                <w:szCs w:val="21"/>
              </w:rPr>
            </w:pPr>
          </w:p>
        </w:tc>
        <w:tc>
          <w:tcPr>
            <w:tcW w:w="2451"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风化砂</w:t>
            </w:r>
          </w:p>
        </w:tc>
        <w:tc>
          <w:tcPr>
            <w:tcW w:w="1710" w:type="dxa"/>
            <w:vAlign w:val="center"/>
          </w:tcPr>
          <w:p w:rsidR="002A5A5E" w:rsidRPr="00FC1444" w:rsidRDefault="0082757B" w:rsidP="00107A4B">
            <w:pPr>
              <w:widowControl/>
              <w:jc w:val="center"/>
              <w:rPr>
                <w:rFonts w:eastAsiaTheme="minorEastAsia"/>
                <w:kern w:val="0"/>
                <w:szCs w:val="21"/>
              </w:rPr>
            </w:pPr>
            <w:r w:rsidRPr="00FC1444">
              <w:rPr>
                <w:rFonts w:eastAsiaTheme="minorEastAsia"/>
                <w:kern w:val="0"/>
                <w:szCs w:val="21"/>
              </w:rPr>
              <w:t>1</w:t>
            </w:r>
            <w:r w:rsidR="00107A4B" w:rsidRPr="00FC1444">
              <w:rPr>
                <w:rFonts w:eastAsiaTheme="minorEastAsia" w:hint="eastAsia"/>
                <w:kern w:val="0"/>
                <w:szCs w:val="21"/>
              </w:rPr>
              <w:t>0</w:t>
            </w:r>
            <w:r w:rsidRPr="00FC1444">
              <w:rPr>
                <w:rFonts w:eastAsiaTheme="minorEastAsia"/>
                <w:kern w:val="0"/>
                <w:szCs w:val="21"/>
              </w:rPr>
              <w:t>8444</w:t>
            </w:r>
            <w:r w:rsidR="00611CBA" w:rsidRPr="00FC1444">
              <w:rPr>
                <w:rFonts w:eastAsiaTheme="minorEastAsia"/>
                <w:kern w:val="0"/>
                <w:szCs w:val="21"/>
              </w:rPr>
              <w:t>m</w:t>
            </w:r>
            <w:r w:rsidR="00611CBA" w:rsidRPr="00FC1444">
              <w:rPr>
                <w:rFonts w:eastAsiaTheme="minorEastAsia"/>
                <w:kern w:val="0"/>
                <w:szCs w:val="21"/>
                <w:vertAlign w:val="superscript"/>
              </w:rPr>
              <w:t>3</w:t>
            </w:r>
          </w:p>
        </w:tc>
        <w:tc>
          <w:tcPr>
            <w:tcW w:w="2558" w:type="dxa"/>
            <w:vAlign w:val="center"/>
          </w:tcPr>
          <w:p w:rsidR="002A5A5E" w:rsidRPr="00FC1444" w:rsidRDefault="00107A4B">
            <w:pPr>
              <w:widowControl/>
              <w:jc w:val="center"/>
              <w:rPr>
                <w:rFonts w:eastAsiaTheme="minorEastAsia"/>
                <w:kern w:val="0"/>
                <w:szCs w:val="21"/>
              </w:rPr>
            </w:pPr>
            <w:r w:rsidRPr="00FC1444">
              <w:rPr>
                <w:rFonts w:eastAsiaTheme="minorEastAsia" w:hint="eastAsia"/>
                <w:kern w:val="0"/>
                <w:szCs w:val="21"/>
              </w:rPr>
              <w:t>巴彦</w:t>
            </w:r>
            <w:r w:rsidR="00611CBA" w:rsidRPr="00FC1444">
              <w:rPr>
                <w:rFonts w:eastAsiaTheme="minorEastAsia"/>
                <w:kern w:val="0"/>
                <w:szCs w:val="21"/>
              </w:rPr>
              <w:t>石场</w:t>
            </w:r>
          </w:p>
        </w:tc>
      </w:tr>
      <w:tr w:rsidR="002A5A5E" w:rsidRPr="00FC1444">
        <w:trPr>
          <w:trHeight w:val="340"/>
          <w:jc w:val="center"/>
        </w:trPr>
        <w:tc>
          <w:tcPr>
            <w:tcW w:w="1998"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农田输配电工程</w:t>
            </w:r>
          </w:p>
        </w:tc>
        <w:tc>
          <w:tcPr>
            <w:tcW w:w="4161" w:type="dxa"/>
            <w:gridSpan w:val="2"/>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高压线、低压电缆、水泥杆等</w:t>
            </w:r>
          </w:p>
        </w:tc>
        <w:tc>
          <w:tcPr>
            <w:tcW w:w="2558" w:type="dxa"/>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采购</w:t>
            </w:r>
          </w:p>
        </w:tc>
      </w:tr>
      <w:tr w:rsidR="002E5E28" w:rsidRPr="00FC1444" w:rsidTr="002E5E28">
        <w:trPr>
          <w:trHeight w:val="438"/>
          <w:jc w:val="center"/>
        </w:trPr>
        <w:tc>
          <w:tcPr>
            <w:tcW w:w="1998" w:type="dxa"/>
            <w:vAlign w:val="center"/>
          </w:tcPr>
          <w:p w:rsidR="002E5E28" w:rsidRPr="00FC1444" w:rsidRDefault="002E5E28">
            <w:pPr>
              <w:widowControl/>
              <w:jc w:val="center"/>
              <w:rPr>
                <w:rFonts w:eastAsiaTheme="minorEastAsia"/>
                <w:kern w:val="0"/>
                <w:szCs w:val="21"/>
              </w:rPr>
            </w:pPr>
            <w:r w:rsidRPr="00FC1444">
              <w:rPr>
                <w:rFonts w:eastAsiaTheme="minorEastAsia"/>
                <w:kern w:val="0"/>
                <w:szCs w:val="21"/>
              </w:rPr>
              <w:t>田块整治工程</w:t>
            </w:r>
          </w:p>
        </w:tc>
        <w:tc>
          <w:tcPr>
            <w:tcW w:w="2451" w:type="dxa"/>
            <w:vAlign w:val="center"/>
          </w:tcPr>
          <w:p w:rsidR="002E5E28" w:rsidRPr="00FC1444" w:rsidRDefault="002E5E28" w:rsidP="00FF4273">
            <w:pPr>
              <w:jc w:val="center"/>
              <w:rPr>
                <w:rFonts w:eastAsiaTheme="minorEastAsia"/>
                <w:kern w:val="0"/>
                <w:szCs w:val="21"/>
              </w:rPr>
            </w:pPr>
            <w:r w:rsidRPr="00FC1444">
              <w:rPr>
                <w:rFonts w:eastAsiaTheme="minorEastAsia"/>
                <w:kern w:val="0"/>
                <w:szCs w:val="21"/>
              </w:rPr>
              <w:t>商品有机肥</w:t>
            </w:r>
          </w:p>
        </w:tc>
        <w:tc>
          <w:tcPr>
            <w:tcW w:w="1710" w:type="dxa"/>
            <w:vAlign w:val="center"/>
          </w:tcPr>
          <w:p w:rsidR="002E5E28" w:rsidRPr="00FC1444" w:rsidRDefault="002E5E28" w:rsidP="00FF4273">
            <w:pPr>
              <w:jc w:val="center"/>
              <w:rPr>
                <w:rFonts w:eastAsiaTheme="minorEastAsia"/>
                <w:kern w:val="0"/>
                <w:szCs w:val="21"/>
              </w:rPr>
            </w:pPr>
            <w:r w:rsidRPr="00FC1444">
              <w:rPr>
                <w:rFonts w:eastAsiaTheme="minorEastAsia"/>
                <w:kern w:val="0"/>
                <w:szCs w:val="21"/>
              </w:rPr>
              <w:t>若干</w:t>
            </w:r>
          </w:p>
        </w:tc>
        <w:tc>
          <w:tcPr>
            <w:tcW w:w="2558" w:type="dxa"/>
            <w:vAlign w:val="center"/>
          </w:tcPr>
          <w:p w:rsidR="002E5E28" w:rsidRPr="00FC1444" w:rsidRDefault="002E5E28" w:rsidP="00014F60">
            <w:pPr>
              <w:jc w:val="center"/>
              <w:rPr>
                <w:rFonts w:eastAsiaTheme="minorEastAsia"/>
                <w:kern w:val="0"/>
                <w:szCs w:val="21"/>
              </w:rPr>
            </w:pPr>
            <w:r w:rsidRPr="00FC1444">
              <w:rPr>
                <w:rFonts w:eastAsiaTheme="minorEastAsia"/>
                <w:kern w:val="0"/>
                <w:szCs w:val="21"/>
              </w:rPr>
              <w:t>采购</w:t>
            </w:r>
          </w:p>
        </w:tc>
      </w:tr>
      <w:tr w:rsidR="00D622BA" w:rsidRPr="00FC1444">
        <w:trPr>
          <w:trHeight w:val="340"/>
          <w:jc w:val="center"/>
        </w:trPr>
        <w:tc>
          <w:tcPr>
            <w:tcW w:w="1998" w:type="dxa"/>
            <w:vMerge w:val="restart"/>
            <w:vAlign w:val="center"/>
          </w:tcPr>
          <w:p w:rsidR="00D622BA" w:rsidRPr="00FC1444" w:rsidRDefault="00D622BA">
            <w:pPr>
              <w:widowControl/>
              <w:jc w:val="center"/>
              <w:rPr>
                <w:rFonts w:eastAsiaTheme="minorEastAsia"/>
                <w:kern w:val="0"/>
                <w:szCs w:val="21"/>
              </w:rPr>
            </w:pPr>
            <w:r w:rsidRPr="00FC1444">
              <w:rPr>
                <w:rFonts w:eastAsiaTheme="minorEastAsia"/>
                <w:szCs w:val="21"/>
              </w:rPr>
              <w:t>农田防护及生态环境保护工程</w:t>
            </w:r>
          </w:p>
        </w:tc>
        <w:tc>
          <w:tcPr>
            <w:tcW w:w="2451" w:type="dxa"/>
            <w:vAlign w:val="center"/>
          </w:tcPr>
          <w:p w:rsidR="00D622BA" w:rsidRPr="00FC1444" w:rsidRDefault="00DF0EB9" w:rsidP="00FF4273">
            <w:pPr>
              <w:widowControl/>
              <w:jc w:val="center"/>
              <w:rPr>
                <w:rFonts w:eastAsiaTheme="minorEastAsia"/>
                <w:kern w:val="0"/>
                <w:szCs w:val="21"/>
              </w:rPr>
            </w:pPr>
            <w:r w:rsidRPr="00FC1444">
              <w:rPr>
                <w:rFonts w:eastAsiaTheme="minorEastAsia"/>
                <w:kern w:val="0"/>
                <w:szCs w:val="21"/>
              </w:rPr>
              <w:t>樟子松</w:t>
            </w:r>
          </w:p>
        </w:tc>
        <w:tc>
          <w:tcPr>
            <w:tcW w:w="1710" w:type="dxa"/>
            <w:vAlign w:val="center"/>
          </w:tcPr>
          <w:p w:rsidR="00D622BA" w:rsidRPr="00FC1444" w:rsidRDefault="00DF0EB9" w:rsidP="00FF4273">
            <w:pPr>
              <w:widowControl/>
              <w:jc w:val="center"/>
              <w:rPr>
                <w:rFonts w:eastAsiaTheme="minorEastAsia"/>
                <w:kern w:val="0"/>
                <w:szCs w:val="21"/>
              </w:rPr>
            </w:pPr>
            <w:r w:rsidRPr="00FC1444">
              <w:rPr>
                <w:rFonts w:eastAsiaTheme="minorEastAsia"/>
                <w:kern w:val="0"/>
                <w:szCs w:val="21"/>
              </w:rPr>
              <w:t>637</w:t>
            </w:r>
            <w:r w:rsidRPr="00FC1444">
              <w:rPr>
                <w:rFonts w:eastAsiaTheme="minorEastAsia"/>
                <w:kern w:val="0"/>
                <w:szCs w:val="21"/>
              </w:rPr>
              <w:t>株</w:t>
            </w:r>
          </w:p>
        </w:tc>
        <w:tc>
          <w:tcPr>
            <w:tcW w:w="2558" w:type="dxa"/>
            <w:vAlign w:val="center"/>
          </w:tcPr>
          <w:p w:rsidR="00D622BA" w:rsidRPr="00FC1444" w:rsidRDefault="00DF0EB9">
            <w:pPr>
              <w:widowControl/>
              <w:jc w:val="center"/>
              <w:rPr>
                <w:rFonts w:eastAsiaTheme="minorEastAsia"/>
                <w:kern w:val="0"/>
                <w:szCs w:val="21"/>
              </w:rPr>
            </w:pPr>
            <w:r w:rsidRPr="00FC1444">
              <w:rPr>
                <w:rFonts w:eastAsiaTheme="minorEastAsia"/>
                <w:kern w:val="0"/>
                <w:szCs w:val="21"/>
              </w:rPr>
              <w:t>采购</w:t>
            </w:r>
          </w:p>
        </w:tc>
      </w:tr>
      <w:tr w:rsidR="00D622BA" w:rsidRPr="00FC1444">
        <w:trPr>
          <w:trHeight w:val="340"/>
          <w:jc w:val="center"/>
        </w:trPr>
        <w:tc>
          <w:tcPr>
            <w:tcW w:w="1998" w:type="dxa"/>
            <w:vMerge/>
            <w:vAlign w:val="center"/>
          </w:tcPr>
          <w:p w:rsidR="00D622BA" w:rsidRPr="00FC1444" w:rsidRDefault="00D622BA">
            <w:pPr>
              <w:widowControl/>
              <w:jc w:val="center"/>
              <w:rPr>
                <w:rFonts w:eastAsiaTheme="minorEastAsia"/>
                <w:szCs w:val="21"/>
              </w:rPr>
            </w:pPr>
          </w:p>
        </w:tc>
        <w:tc>
          <w:tcPr>
            <w:tcW w:w="2451" w:type="dxa"/>
            <w:vAlign w:val="center"/>
          </w:tcPr>
          <w:p w:rsidR="00D622BA" w:rsidRPr="00FC1444" w:rsidRDefault="00DF0EB9" w:rsidP="00FF4273">
            <w:pPr>
              <w:widowControl/>
              <w:jc w:val="center"/>
              <w:rPr>
                <w:rFonts w:eastAsiaTheme="minorEastAsia"/>
                <w:kern w:val="0"/>
                <w:szCs w:val="21"/>
              </w:rPr>
            </w:pPr>
            <w:r w:rsidRPr="00FC1444">
              <w:rPr>
                <w:rFonts w:eastAsiaTheme="minorEastAsia"/>
                <w:kern w:val="0"/>
                <w:szCs w:val="21"/>
              </w:rPr>
              <w:t>杨树</w:t>
            </w:r>
          </w:p>
        </w:tc>
        <w:tc>
          <w:tcPr>
            <w:tcW w:w="1710" w:type="dxa"/>
            <w:vAlign w:val="center"/>
          </w:tcPr>
          <w:p w:rsidR="00D622BA" w:rsidRPr="00FC1444" w:rsidRDefault="00DF0EB9" w:rsidP="00FF4273">
            <w:pPr>
              <w:widowControl/>
              <w:jc w:val="center"/>
              <w:rPr>
                <w:rFonts w:eastAsiaTheme="minorEastAsia"/>
                <w:kern w:val="0"/>
                <w:szCs w:val="21"/>
              </w:rPr>
            </w:pPr>
            <w:r w:rsidRPr="00FC1444">
              <w:rPr>
                <w:rFonts w:eastAsiaTheme="minorEastAsia"/>
                <w:kern w:val="0"/>
                <w:szCs w:val="21"/>
              </w:rPr>
              <w:t>2001</w:t>
            </w:r>
            <w:r w:rsidRPr="00FC1444">
              <w:rPr>
                <w:rFonts w:eastAsiaTheme="minorEastAsia"/>
                <w:kern w:val="0"/>
                <w:szCs w:val="21"/>
              </w:rPr>
              <w:t>株</w:t>
            </w:r>
          </w:p>
        </w:tc>
        <w:tc>
          <w:tcPr>
            <w:tcW w:w="2558" w:type="dxa"/>
            <w:vAlign w:val="center"/>
          </w:tcPr>
          <w:p w:rsidR="00D622BA" w:rsidRPr="00FC1444" w:rsidRDefault="00DF0EB9">
            <w:pPr>
              <w:widowControl/>
              <w:jc w:val="center"/>
              <w:rPr>
                <w:rFonts w:eastAsiaTheme="minorEastAsia"/>
                <w:kern w:val="0"/>
                <w:szCs w:val="21"/>
              </w:rPr>
            </w:pPr>
            <w:r w:rsidRPr="00FC1444">
              <w:rPr>
                <w:rFonts w:eastAsiaTheme="minorEastAsia"/>
                <w:kern w:val="0"/>
                <w:szCs w:val="21"/>
              </w:rPr>
              <w:t>采购</w:t>
            </w:r>
          </w:p>
        </w:tc>
      </w:tr>
      <w:tr w:rsidR="00D61453" w:rsidRPr="00FC1444">
        <w:trPr>
          <w:trHeight w:val="340"/>
          <w:jc w:val="center"/>
        </w:trPr>
        <w:tc>
          <w:tcPr>
            <w:tcW w:w="1998" w:type="dxa"/>
            <w:vAlign w:val="center"/>
          </w:tcPr>
          <w:p w:rsidR="00D61453" w:rsidRPr="00FC1444" w:rsidRDefault="00D61453">
            <w:pPr>
              <w:widowControl/>
              <w:jc w:val="center"/>
              <w:rPr>
                <w:rFonts w:eastAsiaTheme="minorEastAsia"/>
                <w:kern w:val="0"/>
                <w:szCs w:val="21"/>
              </w:rPr>
            </w:pPr>
            <w:r w:rsidRPr="00FC1444">
              <w:rPr>
                <w:rFonts w:eastAsiaTheme="minorEastAsia"/>
                <w:kern w:val="0"/>
                <w:szCs w:val="21"/>
              </w:rPr>
              <w:t>/</w:t>
            </w:r>
          </w:p>
        </w:tc>
        <w:tc>
          <w:tcPr>
            <w:tcW w:w="2451" w:type="dxa"/>
            <w:vAlign w:val="center"/>
          </w:tcPr>
          <w:p w:rsidR="00D61453" w:rsidRPr="00FC1444" w:rsidRDefault="00D61453">
            <w:pPr>
              <w:widowControl/>
              <w:jc w:val="center"/>
              <w:rPr>
                <w:rFonts w:eastAsiaTheme="minorEastAsia"/>
                <w:kern w:val="0"/>
                <w:szCs w:val="21"/>
              </w:rPr>
            </w:pPr>
            <w:r w:rsidRPr="00FC1444">
              <w:rPr>
                <w:rFonts w:eastAsiaTheme="minorEastAsia"/>
                <w:kern w:val="0"/>
                <w:szCs w:val="21"/>
              </w:rPr>
              <w:t>柴油</w:t>
            </w:r>
          </w:p>
        </w:tc>
        <w:tc>
          <w:tcPr>
            <w:tcW w:w="1710" w:type="dxa"/>
            <w:vAlign w:val="center"/>
          </w:tcPr>
          <w:p w:rsidR="00D61453" w:rsidRPr="00FC1444" w:rsidRDefault="0082757B" w:rsidP="00486380">
            <w:pPr>
              <w:widowControl/>
              <w:jc w:val="center"/>
              <w:rPr>
                <w:rFonts w:eastAsiaTheme="minorEastAsia"/>
                <w:kern w:val="0"/>
                <w:szCs w:val="21"/>
              </w:rPr>
            </w:pPr>
            <w:r w:rsidRPr="00FC1444">
              <w:rPr>
                <w:rFonts w:eastAsiaTheme="minorEastAsia"/>
                <w:kern w:val="0"/>
                <w:szCs w:val="21"/>
              </w:rPr>
              <w:t>2245</w:t>
            </w:r>
            <w:r w:rsidR="00D61453" w:rsidRPr="00FC1444">
              <w:rPr>
                <w:rFonts w:eastAsiaTheme="minorEastAsia"/>
                <w:kern w:val="0"/>
                <w:szCs w:val="21"/>
              </w:rPr>
              <w:t>t</w:t>
            </w:r>
          </w:p>
        </w:tc>
        <w:tc>
          <w:tcPr>
            <w:tcW w:w="2558" w:type="dxa"/>
            <w:vAlign w:val="center"/>
          </w:tcPr>
          <w:p w:rsidR="00D61453" w:rsidRPr="00FC1444" w:rsidRDefault="00CA6D46">
            <w:pPr>
              <w:widowControl/>
              <w:jc w:val="center"/>
              <w:rPr>
                <w:rFonts w:eastAsiaTheme="minorEastAsia"/>
                <w:kern w:val="0"/>
                <w:szCs w:val="21"/>
              </w:rPr>
            </w:pPr>
            <w:r w:rsidRPr="00FC1444">
              <w:rPr>
                <w:rFonts w:eastAsiaTheme="minorEastAsia"/>
                <w:kern w:val="0"/>
                <w:szCs w:val="21"/>
              </w:rPr>
              <w:t>附近加油站</w:t>
            </w:r>
            <w:r w:rsidR="00D61453" w:rsidRPr="00FC1444">
              <w:rPr>
                <w:rFonts w:eastAsiaTheme="minorEastAsia"/>
                <w:kern w:val="0"/>
                <w:szCs w:val="21"/>
              </w:rPr>
              <w:t>采购</w:t>
            </w:r>
          </w:p>
        </w:tc>
      </w:tr>
    </w:tbl>
    <w:p w:rsidR="002A5A5E" w:rsidRPr="00FC1444" w:rsidRDefault="00611CBA">
      <w:pPr>
        <w:pStyle w:val="aff4"/>
        <w:adjustRightInd/>
        <w:snapToGrid/>
        <w:contextualSpacing/>
        <w:jc w:val="both"/>
        <w:rPr>
          <w:rFonts w:ascii="Times New Roman" w:hAnsi="Times New Roman" w:cs="Times New Roman"/>
          <w:snapToGrid w:val="0"/>
          <w:lang w:val="zh-CN"/>
        </w:rPr>
      </w:pPr>
      <w:r w:rsidRPr="00FC1444">
        <w:rPr>
          <w:rFonts w:ascii="Times New Roman" w:hAnsi="Times New Roman" w:cs="Times New Roman"/>
          <w:snapToGrid w:val="0"/>
          <w:lang w:val="zh-CN"/>
        </w:rPr>
        <w:t>施工过程井管为成品直接运至施工现场直接安装，不设置混凝土搅拌站及混凝土管预制件场所。</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3.1.9</w:t>
      </w:r>
      <w:r w:rsidRPr="00FC1444">
        <w:rPr>
          <w:rFonts w:eastAsiaTheme="minorEastAsia"/>
          <w:b/>
          <w:sz w:val="28"/>
          <w:szCs w:val="28"/>
        </w:rPr>
        <w:t>土石方平衡</w:t>
      </w:r>
    </w:p>
    <w:p w:rsidR="002A5A5E" w:rsidRPr="00FC1444" w:rsidRDefault="00611CBA">
      <w:pPr>
        <w:spacing w:line="360" w:lineRule="auto"/>
        <w:ind w:firstLineChars="200" w:firstLine="480"/>
        <w:jc w:val="left"/>
        <w:rPr>
          <w:rFonts w:eastAsiaTheme="minorEastAsia"/>
          <w:sz w:val="24"/>
        </w:rPr>
      </w:pPr>
      <w:r w:rsidRPr="00FC1444">
        <w:rPr>
          <w:rFonts w:eastAsiaTheme="minorEastAsia"/>
          <w:kern w:val="0"/>
          <w:sz w:val="24"/>
          <w:szCs w:val="20"/>
        </w:rPr>
        <w:t>项目施工建设中，根据施工布局和工程主要施工方法，在施工过程中可利用的土方基本全部回填利用</w:t>
      </w:r>
      <w:r w:rsidRPr="00FC1444">
        <w:rPr>
          <w:rFonts w:eastAsiaTheme="minorEastAsia"/>
          <w:sz w:val="24"/>
        </w:rPr>
        <w:t>。</w:t>
      </w:r>
    </w:p>
    <w:p w:rsidR="00CA6D46" w:rsidRPr="00FC1444" w:rsidRDefault="00CA6D46">
      <w:pPr>
        <w:tabs>
          <w:tab w:val="left" w:pos="1114"/>
        </w:tabs>
        <w:spacing w:line="360" w:lineRule="auto"/>
        <w:jc w:val="center"/>
        <w:rPr>
          <w:rFonts w:eastAsiaTheme="minorEastAsia"/>
          <w:b/>
          <w:kern w:val="0"/>
          <w:szCs w:val="21"/>
        </w:rPr>
      </w:pPr>
    </w:p>
    <w:p w:rsidR="00CA6D46" w:rsidRPr="00FC1444" w:rsidRDefault="00CA6D46">
      <w:pPr>
        <w:tabs>
          <w:tab w:val="left" w:pos="1114"/>
        </w:tabs>
        <w:spacing w:line="360" w:lineRule="auto"/>
        <w:jc w:val="center"/>
        <w:rPr>
          <w:rFonts w:eastAsiaTheme="minorEastAsia"/>
          <w:b/>
          <w:kern w:val="0"/>
          <w:szCs w:val="21"/>
        </w:rPr>
      </w:pPr>
    </w:p>
    <w:p w:rsidR="002E5E28" w:rsidRPr="00FC1444" w:rsidRDefault="002E5E28">
      <w:pPr>
        <w:tabs>
          <w:tab w:val="left" w:pos="1114"/>
        </w:tabs>
        <w:spacing w:line="360" w:lineRule="auto"/>
        <w:jc w:val="center"/>
        <w:rPr>
          <w:rFonts w:eastAsiaTheme="minorEastAsia"/>
          <w:b/>
          <w:kern w:val="0"/>
          <w:szCs w:val="21"/>
        </w:rPr>
      </w:pPr>
    </w:p>
    <w:p w:rsidR="002E5E28" w:rsidRPr="00FC1444" w:rsidRDefault="002E5E28">
      <w:pPr>
        <w:tabs>
          <w:tab w:val="left" w:pos="1114"/>
        </w:tabs>
        <w:spacing w:line="360" w:lineRule="auto"/>
        <w:jc w:val="center"/>
        <w:rPr>
          <w:rFonts w:eastAsiaTheme="minorEastAsia"/>
          <w:b/>
          <w:kern w:val="0"/>
          <w:szCs w:val="21"/>
        </w:rPr>
      </w:pPr>
    </w:p>
    <w:p w:rsidR="002E5E28" w:rsidRPr="00FC1444" w:rsidRDefault="002E5E28">
      <w:pPr>
        <w:tabs>
          <w:tab w:val="left" w:pos="1114"/>
        </w:tabs>
        <w:spacing w:line="360" w:lineRule="auto"/>
        <w:jc w:val="center"/>
        <w:rPr>
          <w:rFonts w:eastAsiaTheme="minorEastAsia"/>
          <w:b/>
          <w:kern w:val="0"/>
          <w:szCs w:val="21"/>
        </w:rPr>
      </w:pPr>
    </w:p>
    <w:p w:rsidR="00CA6D46" w:rsidRPr="00FC1444" w:rsidRDefault="00CA6D46">
      <w:pPr>
        <w:tabs>
          <w:tab w:val="left" w:pos="1114"/>
        </w:tabs>
        <w:spacing w:line="360" w:lineRule="auto"/>
        <w:jc w:val="center"/>
        <w:rPr>
          <w:rFonts w:eastAsiaTheme="minorEastAsia"/>
          <w:b/>
          <w:kern w:val="0"/>
          <w:szCs w:val="21"/>
        </w:rPr>
      </w:pPr>
    </w:p>
    <w:p w:rsidR="008F73CD" w:rsidRPr="00FC1444" w:rsidRDefault="008F73CD">
      <w:pPr>
        <w:tabs>
          <w:tab w:val="left" w:pos="1114"/>
        </w:tabs>
        <w:spacing w:line="360" w:lineRule="auto"/>
        <w:jc w:val="center"/>
        <w:rPr>
          <w:rFonts w:eastAsiaTheme="minorEastAsia"/>
          <w:b/>
          <w:kern w:val="0"/>
          <w:szCs w:val="21"/>
        </w:rPr>
      </w:pPr>
    </w:p>
    <w:p w:rsidR="008F73CD" w:rsidRPr="00FC1444" w:rsidRDefault="008F73CD">
      <w:pPr>
        <w:tabs>
          <w:tab w:val="left" w:pos="1114"/>
        </w:tabs>
        <w:spacing w:line="360" w:lineRule="auto"/>
        <w:jc w:val="center"/>
        <w:rPr>
          <w:rFonts w:eastAsiaTheme="minorEastAsia"/>
          <w:b/>
          <w:kern w:val="0"/>
          <w:szCs w:val="21"/>
        </w:rPr>
      </w:pPr>
    </w:p>
    <w:p w:rsidR="00CA6D46" w:rsidRPr="00FC1444" w:rsidRDefault="00CA6D46">
      <w:pPr>
        <w:tabs>
          <w:tab w:val="left" w:pos="1114"/>
        </w:tabs>
        <w:spacing w:line="360" w:lineRule="auto"/>
        <w:jc w:val="center"/>
        <w:rPr>
          <w:rFonts w:eastAsiaTheme="minorEastAsia"/>
          <w:b/>
          <w:kern w:val="0"/>
          <w:szCs w:val="21"/>
        </w:rPr>
      </w:pPr>
    </w:p>
    <w:p w:rsidR="002A5A5E" w:rsidRPr="00FC1444" w:rsidRDefault="00611CBA">
      <w:pPr>
        <w:tabs>
          <w:tab w:val="left" w:pos="1114"/>
        </w:tabs>
        <w:spacing w:line="360" w:lineRule="auto"/>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3-1-1</w:t>
      </w:r>
      <w:r w:rsidR="002A51BB" w:rsidRPr="00FC1444">
        <w:rPr>
          <w:rFonts w:eastAsiaTheme="minorEastAsia" w:hint="eastAsia"/>
          <w:b/>
          <w:kern w:val="0"/>
          <w:szCs w:val="21"/>
        </w:rPr>
        <w:t>2</w:t>
      </w:r>
      <w:r w:rsidRPr="00FC1444">
        <w:rPr>
          <w:rFonts w:eastAsiaTheme="minorEastAsia"/>
          <w:b/>
          <w:kern w:val="0"/>
          <w:szCs w:val="21"/>
        </w:rPr>
        <w:t>工程土石方平衡表</w:t>
      </w:r>
      <w:r w:rsidRPr="00FC1444">
        <w:rPr>
          <w:rFonts w:eastAsiaTheme="minorEastAsia"/>
          <w:b/>
          <w:kern w:val="0"/>
          <w:szCs w:val="21"/>
        </w:rPr>
        <w:t xml:space="preserve">         </w:t>
      </w:r>
      <w:r w:rsidRPr="00FC1444">
        <w:rPr>
          <w:rFonts w:eastAsiaTheme="minorEastAsia"/>
          <w:b/>
          <w:kern w:val="0"/>
          <w:szCs w:val="21"/>
        </w:rPr>
        <w:t>单位：</w:t>
      </w:r>
      <w:r w:rsidRPr="00FC1444">
        <w:rPr>
          <w:rFonts w:eastAsiaTheme="minorEastAsia"/>
          <w:b/>
          <w:kern w:val="0"/>
          <w:szCs w:val="21"/>
        </w:rPr>
        <w:t>m</w:t>
      </w:r>
      <w:r w:rsidRPr="00FC1444">
        <w:rPr>
          <w:rFonts w:eastAsiaTheme="minorEastAsia"/>
          <w:b/>
          <w:kern w:val="0"/>
          <w:szCs w:val="21"/>
          <w:vertAlign w:val="superscript"/>
        </w:rPr>
        <w:t>3</w:t>
      </w:r>
    </w:p>
    <w:tbl>
      <w:tblPr>
        <w:tblW w:w="5190" w:type="pct"/>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tblPr>
      <w:tblGrid>
        <w:gridCol w:w="534"/>
        <w:gridCol w:w="694"/>
        <w:gridCol w:w="642"/>
        <w:gridCol w:w="568"/>
        <w:gridCol w:w="568"/>
        <w:gridCol w:w="568"/>
        <w:gridCol w:w="1276"/>
        <w:gridCol w:w="679"/>
        <w:gridCol w:w="899"/>
        <w:gridCol w:w="689"/>
        <w:gridCol w:w="851"/>
        <w:gridCol w:w="712"/>
      </w:tblGrid>
      <w:tr w:rsidR="002A5A5E" w:rsidRPr="00FC1444" w:rsidTr="00AB2EF2">
        <w:trPr>
          <w:trHeight w:val="489"/>
        </w:trPr>
        <w:tc>
          <w:tcPr>
            <w:tcW w:w="707" w:type="pct"/>
            <w:gridSpan w:val="2"/>
            <w:vMerge w:val="restar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工程名称</w:t>
            </w:r>
          </w:p>
        </w:tc>
        <w:tc>
          <w:tcPr>
            <w:tcW w:w="370" w:type="pct"/>
            <w:vMerge w:val="restar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挖方</w:t>
            </w:r>
          </w:p>
        </w:tc>
        <w:tc>
          <w:tcPr>
            <w:tcW w:w="327" w:type="pct"/>
            <w:vMerge w:val="restar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填方</w:t>
            </w:r>
          </w:p>
        </w:tc>
        <w:tc>
          <w:tcPr>
            <w:tcW w:w="327" w:type="pct"/>
            <w:vMerge w:val="restar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利用方</w:t>
            </w:r>
          </w:p>
        </w:tc>
        <w:tc>
          <w:tcPr>
            <w:tcW w:w="1062" w:type="pct"/>
            <w:gridSpan w:val="2"/>
            <w:vAlign w:val="center"/>
          </w:tcPr>
          <w:p w:rsidR="002A5A5E" w:rsidRPr="00FC1444" w:rsidRDefault="00611CBA">
            <w:pPr>
              <w:widowControl/>
              <w:jc w:val="center"/>
              <w:rPr>
                <w:rFonts w:eastAsiaTheme="minorEastAsia"/>
                <w:kern w:val="0"/>
                <w:szCs w:val="21"/>
              </w:rPr>
            </w:pPr>
            <w:r w:rsidRPr="00FC1444">
              <w:rPr>
                <w:rFonts w:eastAsiaTheme="minorEastAsia"/>
                <w:szCs w:val="21"/>
              </w:rPr>
              <w:t>借方</w:t>
            </w:r>
          </w:p>
        </w:tc>
        <w:tc>
          <w:tcPr>
            <w:tcW w:w="909" w:type="pct"/>
            <w:gridSpan w:val="2"/>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区域内调出方</w:t>
            </w:r>
          </w:p>
        </w:tc>
        <w:tc>
          <w:tcPr>
            <w:tcW w:w="397"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区域内调入方</w:t>
            </w:r>
          </w:p>
        </w:tc>
        <w:tc>
          <w:tcPr>
            <w:tcW w:w="900" w:type="pct"/>
            <w:gridSpan w:val="2"/>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弃方</w:t>
            </w:r>
          </w:p>
        </w:tc>
      </w:tr>
      <w:tr w:rsidR="002A5A5E" w:rsidRPr="00FC1444" w:rsidTr="000D09E3">
        <w:trPr>
          <w:trHeight w:val="246"/>
        </w:trPr>
        <w:tc>
          <w:tcPr>
            <w:tcW w:w="707" w:type="pct"/>
            <w:gridSpan w:val="2"/>
            <w:vMerge/>
            <w:vAlign w:val="center"/>
          </w:tcPr>
          <w:p w:rsidR="002A5A5E" w:rsidRPr="00FC1444" w:rsidRDefault="002A5A5E">
            <w:pPr>
              <w:jc w:val="center"/>
              <w:rPr>
                <w:rFonts w:eastAsiaTheme="minorEastAsia"/>
                <w:szCs w:val="21"/>
              </w:rPr>
            </w:pPr>
          </w:p>
        </w:tc>
        <w:tc>
          <w:tcPr>
            <w:tcW w:w="370" w:type="pct"/>
            <w:vMerge/>
            <w:vAlign w:val="center"/>
          </w:tcPr>
          <w:p w:rsidR="002A5A5E" w:rsidRPr="00FC1444" w:rsidRDefault="002A5A5E">
            <w:pPr>
              <w:jc w:val="center"/>
              <w:rPr>
                <w:rFonts w:eastAsiaTheme="minorEastAsia"/>
                <w:szCs w:val="21"/>
              </w:rPr>
            </w:pPr>
          </w:p>
        </w:tc>
        <w:tc>
          <w:tcPr>
            <w:tcW w:w="327" w:type="pct"/>
            <w:vMerge/>
            <w:vAlign w:val="center"/>
          </w:tcPr>
          <w:p w:rsidR="002A5A5E" w:rsidRPr="00FC1444" w:rsidRDefault="002A5A5E">
            <w:pPr>
              <w:jc w:val="center"/>
              <w:rPr>
                <w:rFonts w:eastAsiaTheme="minorEastAsia"/>
                <w:szCs w:val="21"/>
              </w:rPr>
            </w:pPr>
          </w:p>
        </w:tc>
        <w:tc>
          <w:tcPr>
            <w:tcW w:w="327" w:type="pct"/>
            <w:vMerge/>
            <w:vAlign w:val="center"/>
          </w:tcPr>
          <w:p w:rsidR="002A5A5E" w:rsidRPr="00FC1444" w:rsidRDefault="002A5A5E">
            <w:pPr>
              <w:widowControl/>
              <w:jc w:val="center"/>
              <w:rPr>
                <w:rFonts w:eastAsiaTheme="minorEastAsia"/>
                <w:kern w:val="0"/>
                <w:szCs w:val="21"/>
              </w:rPr>
            </w:pPr>
          </w:p>
        </w:tc>
        <w:tc>
          <w:tcPr>
            <w:tcW w:w="327"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数量</w:t>
            </w:r>
          </w:p>
        </w:tc>
        <w:tc>
          <w:tcPr>
            <w:tcW w:w="735"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来源</w:t>
            </w:r>
          </w:p>
        </w:tc>
        <w:tc>
          <w:tcPr>
            <w:tcW w:w="391"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数量</w:t>
            </w:r>
          </w:p>
        </w:tc>
        <w:tc>
          <w:tcPr>
            <w:tcW w:w="518"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去向</w:t>
            </w:r>
          </w:p>
        </w:tc>
        <w:tc>
          <w:tcPr>
            <w:tcW w:w="397"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数量</w:t>
            </w:r>
          </w:p>
        </w:tc>
        <w:tc>
          <w:tcPr>
            <w:tcW w:w="490"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数量</w:t>
            </w:r>
          </w:p>
        </w:tc>
        <w:tc>
          <w:tcPr>
            <w:tcW w:w="410"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去向</w:t>
            </w:r>
          </w:p>
        </w:tc>
      </w:tr>
      <w:tr w:rsidR="009A1ABC" w:rsidRPr="00FC1444" w:rsidTr="006F3063">
        <w:trPr>
          <w:trHeight w:val="396"/>
        </w:trPr>
        <w:tc>
          <w:tcPr>
            <w:tcW w:w="308" w:type="pct"/>
            <w:vAlign w:val="center"/>
          </w:tcPr>
          <w:p w:rsidR="009A1ABC" w:rsidRPr="00FC1444" w:rsidRDefault="009A1ABC">
            <w:pPr>
              <w:widowControl/>
              <w:jc w:val="center"/>
              <w:rPr>
                <w:rFonts w:eastAsiaTheme="minorEastAsia"/>
                <w:kern w:val="0"/>
                <w:szCs w:val="21"/>
              </w:rPr>
            </w:pPr>
            <w:r w:rsidRPr="00FC1444">
              <w:rPr>
                <w:rFonts w:eastAsiaTheme="minorEastAsia"/>
                <w:szCs w:val="21"/>
              </w:rPr>
              <w:t>农田输配电工程</w:t>
            </w:r>
          </w:p>
        </w:tc>
        <w:tc>
          <w:tcPr>
            <w:tcW w:w="400" w:type="pct"/>
            <w:vAlign w:val="center"/>
          </w:tcPr>
          <w:p w:rsidR="009A1ABC" w:rsidRPr="00FC1444" w:rsidRDefault="009A1ABC">
            <w:pPr>
              <w:widowControl/>
              <w:jc w:val="center"/>
              <w:rPr>
                <w:rFonts w:eastAsiaTheme="minorEastAsia"/>
                <w:kern w:val="0"/>
                <w:szCs w:val="21"/>
              </w:rPr>
            </w:pPr>
            <w:r w:rsidRPr="00FC1444">
              <w:rPr>
                <w:rFonts w:eastAsiaTheme="minorEastAsia"/>
                <w:kern w:val="0"/>
                <w:szCs w:val="21"/>
              </w:rPr>
              <w:t>地埋电缆</w:t>
            </w:r>
          </w:p>
        </w:tc>
        <w:tc>
          <w:tcPr>
            <w:tcW w:w="370" w:type="pct"/>
            <w:vAlign w:val="center"/>
          </w:tcPr>
          <w:p w:rsidR="009A1ABC" w:rsidRPr="00FC1444" w:rsidRDefault="00A8291D">
            <w:pPr>
              <w:jc w:val="center"/>
              <w:rPr>
                <w:szCs w:val="21"/>
              </w:rPr>
            </w:pPr>
            <w:r w:rsidRPr="00FC1444">
              <w:rPr>
                <w:rFonts w:hint="eastAsia"/>
                <w:szCs w:val="21"/>
              </w:rPr>
              <w:t>90981.42</w:t>
            </w:r>
          </w:p>
        </w:tc>
        <w:tc>
          <w:tcPr>
            <w:tcW w:w="327" w:type="pct"/>
            <w:vAlign w:val="center"/>
          </w:tcPr>
          <w:p w:rsidR="009A1ABC" w:rsidRPr="00FC1444" w:rsidRDefault="00A8291D">
            <w:pPr>
              <w:jc w:val="center"/>
              <w:rPr>
                <w:szCs w:val="21"/>
              </w:rPr>
            </w:pPr>
            <w:r w:rsidRPr="00FC1444">
              <w:rPr>
                <w:rFonts w:hint="eastAsia"/>
                <w:szCs w:val="21"/>
              </w:rPr>
              <w:t>90952.32</w:t>
            </w:r>
          </w:p>
        </w:tc>
        <w:tc>
          <w:tcPr>
            <w:tcW w:w="327" w:type="pct"/>
            <w:vAlign w:val="center"/>
          </w:tcPr>
          <w:p w:rsidR="009A1ABC" w:rsidRPr="00FC1444" w:rsidRDefault="00A8291D">
            <w:pPr>
              <w:jc w:val="center"/>
              <w:rPr>
                <w:szCs w:val="21"/>
              </w:rPr>
            </w:pPr>
            <w:r w:rsidRPr="00FC1444">
              <w:rPr>
                <w:rFonts w:hint="eastAsia"/>
                <w:szCs w:val="21"/>
              </w:rPr>
              <w:t>90952.32</w:t>
            </w:r>
          </w:p>
        </w:tc>
        <w:tc>
          <w:tcPr>
            <w:tcW w:w="327" w:type="pct"/>
            <w:vAlign w:val="center"/>
          </w:tcPr>
          <w:p w:rsidR="009A1ABC" w:rsidRPr="00FC1444" w:rsidRDefault="009A1ABC">
            <w:pPr>
              <w:jc w:val="center"/>
              <w:rPr>
                <w:rFonts w:eastAsiaTheme="minorEastAsia"/>
                <w:szCs w:val="21"/>
              </w:rPr>
            </w:pPr>
            <w:r w:rsidRPr="00FC1444">
              <w:rPr>
                <w:rFonts w:eastAsiaTheme="minorEastAsia"/>
                <w:szCs w:val="21"/>
              </w:rPr>
              <w:t>0</w:t>
            </w:r>
          </w:p>
        </w:tc>
        <w:tc>
          <w:tcPr>
            <w:tcW w:w="735" w:type="pct"/>
            <w:vAlign w:val="center"/>
          </w:tcPr>
          <w:p w:rsidR="009A1ABC" w:rsidRPr="00FC1444" w:rsidRDefault="009A1ABC">
            <w:pPr>
              <w:jc w:val="center"/>
              <w:rPr>
                <w:rFonts w:eastAsiaTheme="minorEastAsia"/>
                <w:szCs w:val="21"/>
              </w:rPr>
            </w:pPr>
            <w:r w:rsidRPr="00FC1444">
              <w:rPr>
                <w:rFonts w:eastAsiaTheme="minorEastAsia"/>
                <w:szCs w:val="21"/>
              </w:rPr>
              <w:t>/</w:t>
            </w:r>
          </w:p>
        </w:tc>
        <w:tc>
          <w:tcPr>
            <w:tcW w:w="391" w:type="pct"/>
            <w:vAlign w:val="center"/>
          </w:tcPr>
          <w:p w:rsidR="009A1ABC" w:rsidRPr="00FC1444" w:rsidRDefault="00802305">
            <w:pPr>
              <w:jc w:val="center"/>
              <w:rPr>
                <w:rFonts w:eastAsiaTheme="minorEastAsia"/>
                <w:szCs w:val="21"/>
              </w:rPr>
            </w:pPr>
            <w:r w:rsidRPr="00FC1444">
              <w:rPr>
                <w:rFonts w:eastAsiaTheme="minorEastAsia" w:hint="eastAsia"/>
                <w:szCs w:val="21"/>
              </w:rPr>
              <w:t>29.1</w:t>
            </w:r>
          </w:p>
        </w:tc>
        <w:tc>
          <w:tcPr>
            <w:tcW w:w="518" w:type="pct"/>
            <w:vAlign w:val="center"/>
          </w:tcPr>
          <w:p w:rsidR="009A1ABC" w:rsidRPr="00FC1444" w:rsidRDefault="009A1ABC">
            <w:pPr>
              <w:jc w:val="center"/>
              <w:rPr>
                <w:rFonts w:eastAsiaTheme="minorEastAsia"/>
                <w:szCs w:val="21"/>
              </w:rPr>
            </w:pPr>
            <w:r w:rsidRPr="00FC1444">
              <w:rPr>
                <w:rFonts w:eastAsiaTheme="minorEastAsia"/>
                <w:szCs w:val="21"/>
              </w:rPr>
              <w:t>用于田块整治工程</w:t>
            </w:r>
          </w:p>
        </w:tc>
        <w:tc>
          <w:tcPr>
            <w:tcW w:w="397" w:type="pct"/>
            <w:vAlign w:val="center"/>
          </w:tcPr>
          <w:p w:rsidR="009A1ABC" w:rsidRPr="00FC1444" w:rsidRDefault="00802305">
            <w:pPr>
              <w:jc w:val="center"/>
              <w:rPr>
                <w:rFonts w:eastAsiaTheme="minorEastAsia"/>
                <w:szCs w:val="21"/>
              </w:rPr>
            </w:pPr>
            <w:r w:rsidRPr="00FC1444">
              <w:rPr>
                <w:rFonts w:eastAsiaTheme="minorEastAsia" w:hint="eastAsia"/>
                <w:szCs w:val="21"/>
              </w:rPr>
              <w:t>29.1</w:t>
            </w:r>
          </w:p>
        </w:tc>
        <w:tc>
          <w:tcPr>
            <w:tcW w:w="490" w:type="pct"/>
            <w:vAlign w:val="center"/>
          </w:tcPr>
          <w:p w:rsidR="009A1ABC" w:rsidRPr="00FC1444" w:rsidRDefault="009A1ABC">
            <w:pPr>
              <w:jc w:val="center"/>
              <w:rPr>
                <w:rFonts w:eastAsiaTheme="minorEastAsia"/>
                <w:szCs w:val="21"/>
              </w:rPr>
            </w:pPr>
            <w:r w:rsidRPr="00FC1444">
              <w:rPr>
                <w:rFonts w:eastAsiaTheme="minorEastAsia"/>
                <w:szCs w:val="21"/>
              </w:rPr>
              <w:t>0</w:t>
            </w:r>
          </w:p>
        </w:tc>
        <w:tc>
          <w:tcPr>
            <w:tcW w:w="410" w:type="pct"/>
            <w:vAlign w:val="center"/>
          </w:tcPr>
          <w:p w:rsidR="009A1ABC" w:rsidRPr="00FC1444" w:rsidRDefault="009A1ABC">
            <w:pPr>
              <w:jc w:val="center"/>
              <w:rPr>
                <w:rFonts w:eastAsiaTheme="minorEastAsia"/>
                <w:szCs w:val="21"/>
              </w:rPr>
            </w:pPr>
            <w:r w:rsidRPr="00FC1444">
              <w:rPr>
                <w:rFonts w:eastAsiaTheme="minorEastAsia"/>
                <w:szCs w:val="21"/>
              </w:rPr>
              <w:t>/</w:t>
            </w:r>
          </w:p>
        </w:tc>
      </w:tr>
      <w:tr w:rsidR="00AB2EF2" w:rsidRPr="00FC1444" w:rsidTr="006F3063">
        <w:trPr>
          <w:trHeight w:val="333"/>
        </w:trPr>
        <w:tc>
          <w:tcPr>
            <w:tcW w:w="308" w:type="pct"/>
            <w:vMerge w:val="restart"/>
            <w:vAlign w:val="center"/>
          </w:tcPr>
          <w:p w:rsidR="00AB2EF2" w:rsidRPr="00FC1444" w:rsidRDefault="00AB2EF2">
            <w:pPr>
              <w:widowControl/>
              <w:jc w:val="center"/>
              <w:rPr>
                <w:rFonts w:eastAsiaTheme="minorEastAsia"/>
                <w:bCs/>
                <w:kern w:val="0"/>
                <w:szCs w:val="21"/>
              </w:rPr>
            </w:pPr>
            <w:r w:rsidRPr="00FC1444">
              <w:rPr>
                <w:rFonts w:eastAsiaTheme="minorEastAsia"/>
                <w:bCs/>
                <w:kern w:val="0"/>
                <w:szCs w:val="21"/>
              </w:rPr>
              <w:t>田间道路工程</w:t>
            </w:r>
          </w:p>
        </w:tc>
        <w:tc>
          <w:tcPr>
            <w:tcW w:w="400" w:type="pct"/>
            <w:vAlign w:val="center"/>
          </w:tcPr>
          <w:p w:rsidR="00AB2EF2" w:rsidRPr="00FC1444" w:rsidRDefault="00AB2EF2">
            <w:pPr>
              <w:widowControl/>
              <w:jc w:val="center"/>
              <w:rPr>
                <w:rFonts w:eastAsiaTheme="minorEastAsia"/>
                <w:bCs/>
                <w:kern w:val="0"/>
                <w:szCs w:val="21"/>
              </w:rPr>
            </w:pPr>
            <w:r w:rsidRPr="00FC1444">
              <w:rPr>
                <w:rFonts w:eastAsiaTheme="minorEastAsia"/>
                <w:bCs/>
                <w:kern w:val="0"/>
                <w:szCs w:val="21"/>
              </w:rPr>
              <w:t>机耕路</w:t>
            </w:r>
          </w:p>
        </w:tc>
        <w:tc>
          <w:tcPr>
            <w:tcW w:w="370" w:type="pct"/>
            <w:vAlign w:val="center"/>
          </w:tcPr>
          <w:p w:rsidR="00AB2EF2" w:rsidRPr="00FC1444" w:rsidRDefault="00AB2EF2" w:rsidP="00904296">
            <w:pPr>
              <w:jc w:val="center"/>
              <w:rPr>
                <w:rFonts w:eastAsiaTheme="minorEastAsia"/>
                <w:szCs w:val="21"/>
              </w:rPr>
            </w:pPr>
            <w:r w:rsidRPr="00FC1444">
              <w:rPr>
                <w:rFonts w:eastAsiaTheme="minorEastAsia" w:hint="eastAsia"/>
                <w:szCs w:val="21"/>
              </w:rPr>
              <w:t>80050</w:t>
            </w:r>
          </w:p>
        </w:tc>
        <w:tc>
          <w:tcPr>
            <w:tcW w:w="327" w:type="pct"/>
            <w:vAlign w:val="center"/>
          </w:tcPr>
          <w:p w:rsidR="00AB2EF2" w:rsidRPr="00FC1444" w:rsidRDefault="00AB2EF2" w:rsidP="00AB2EF2">
            <w:pPr>
              <w:jc w:val="center"/>
              <w:rPr>
                <w:rFonts w:eastAsiaTheme="minorEastAsia"/>
                <w:szCs w:val="21"/>
              </w:rPr>
            </w:pPr>
            <w:r w:rsidRPr="00FC1444">
              <w:rPr>
                <w:rFonts w:eastAsiaTheme="minorEastAsia" w:hint="eastAsia"/>
                <w:szCs w:val="21"/>
              </w:rPr>
              <w:t>10850</w:t>
            </w:r>
            <w:r w:rsidR="00413E33" w:rsidRPr="00FC1444">
              <w:rPr>
                <w:rFonts w:eastAsiaTheme="minorEastAsia" w:hint="eastAsia"/>
                <w:szCs w:val="21"/>
              </w:rPr>
              <w:t>0</w:t>
            </w:r>
          </w:p>
        </w:tc>
        <w:tc>
          <w:tcPr>
            <w:tcW w:w="327" w:type="pct"/>
            <w:vAlign w:val="center"/>
          </w:tcPr>
          <w:p w:rsidR="00AB2EF2" w:rsidRPr="00FC1444" w:rsidRDefault="00AB2EF2">
            <w:pPr>
              <w:jc w:val="center"/>
              <w:rPr>
                <w:rFonts w:eastAsiaTheme="minorEastAsia"/>
                <w:szCs w:val="21"/>
              </w:rPr>
            </w:pPr>
            <w:r w:rsidRPr="00FC1444">
              <w:rPr>
                <w:rFonts w:eastAsiaTheme="minorEastAsia" w:hint="eastAsia"/>
                <w:szCs w:val="21"/>
              </w:rPr>
              <w:t>16803</w:t>
            </w:r>
          </w:p>
        </w:tc>
        <w:tc>
          <w:tcPr>
            <w:tcW w:w="327" w:type="pct"/>
            <w:vAlign w:val="center"/>
          </w:tcPr>
          <w:p w:rsidR="00AB2EF2" w:rsidRPr="00FC1444" w:rsidRDefault="00413E33" w:rsidP="00D302ED">
            <w:pPr>
              <w:jc w:val="center"/>
              <w:rPr>
                <w:rFonts w:eastAsiaTheme="minorEastAsia"/>
                <w:szCs w:val="21"/>
              </w:rPr>
            </w:pPr>
            <w:r w:rsidRPr="00FC1444">
              <w:rPr>
                <w:rFonts w:eastAsiaTheme="minorEastAsia" w:hint="eastAsia"/>
                <w:szCs w:val="21"/>
              </w:rPr>
              <w:t>91697</w:t>
            </w:r>
          </w:p>
        </w:tc>
        <w:tc>
          <w:tcPr>
            <w:tcW w:w="735" w:type="pct"/>
            <w:vAlign w:val="center"/>
          </w:tcPr>
          <w:p w:rsidR="00AB2EF2" w:rsidRPr="00FC1444" w:rsidRDefault="00AB2EF2">
            <w:pPr>
              <w:jc w:val="center"/>
              <w:rPr>
                <w:rFonts w:eastAsiaTheme="minorEastAsia"/>
                <w:szCs w:val="21"/>
              </w:rPr>
            </w:pPr>
            <w:r w:rsidRPr="00FC1444">
              <w:rPr>
                <w:rFonts w:eastAsiaTheme="minorEastAsia"/>
                <w:szCs w:val="21"/>
              </w:rPr>
              <w:t>外购</w:t>
            </w:r>
          </w:p>
        </w:tc>
        <w:tc>
          <w:tcPr>
            <w:tcW w:w="391" w:type="pct"/>
            <w:vAlign w:val="center"/>
          </w:tcPr>
          <w:p w:rsidR="00AB2EF2" w:rsidRPr="00FC1444" w:rsidRDefault="00AB2EF2">
            <w:pPr>
              <w:jc w:val="center"/>
              <w:textAlignment w:val="center"/>
              <w:rPr>
                <w:rFonts w:eastAsiaTheme="minorEastAsia"/>
                <w:szCs w:val="21"/>
              </w:rPr>
            </w:pPr>
            <w:r w:rsidRPr="00FC1444">
              <w:rPr>
                <w:rFonts w:eastAsiaTheme="minorEastAsia" w:hint="eastAsia"/>
                <w:szCs w:val="21"/>
              </w:rPr>
              <w:t>59747</w:t>
            </w:r>
          </w:p>
        </w:tc>
        <w:tc>
          <w:tcPr>
            <w:tcW w:w="518" w:type="pct"/>
            <w:vMerge w:val="restart"/>
            <w:vAlign w:val="center"/>
          </w:tcPr>
          <w:p w:rsidR="00AB2EF2" w:rsidRPr="00FC1444" w:rsidRDefault="00AB2EF2" w:rsidP="00542FC5">
            <w:pPr>
              <w:jc w:val="center"/>
              <w:textAlignment w:val="center"/>
              <w:rPr>
                <w:rFonts w:eastAsiaTheme="minorEastAsia"/>
                <w:szCs w:val="21"/>
              </w:rPr>
            </w:pPr>
            <w:r w:rsidRPr="00FC1444">
              <w:rPr>
                <w:rFonts w:eastAsiaTheme="minorEastAsia"/>
                <w:szCs w:val="21"/>
              </w:rPr>
              <w:t>用于田块整治工程</w:t>
            </w:r>
          </w:p>
        </w:tc>
        <w:tc>
          <w:tcPr>
            <w:tcW w:w="397" w:type="pct"/>
            <w:vAlign w:val="center"/>
          </w:tcPr>
          <w:p w:rsidR="00AB2EF2" w:rsidRPr="00FC1444" w:rsidRDefault="00AB2EF2">
            <w:pPr>
              <w:jc w:val="center"/>
              <w:textAlignment w:val="center"/>
              <w:rPr>
                <w:rFonts w:eastAsiaTheme="minorEastAsia"/>
                <w:szCs w:val="21"/>
              </w:rPr>
            </w:pPr>
            <w:r w:rsidRPr="00FC1444">
              <w:rPr>
                <w:rFonts w:eastAsiaTheme="minorEastAsia" w:hint="eastAsia"/>
                <w:szCs w:val="21"/>
              </w:rPr>
              <w:t>59747</w:t>
            </w:r>
          </w:p>
        </w:tc>
        <w:tc>
          <w:tcPr>
            <w:tcW w:w="490" w:type="pct"/>
            <w:vAlign w:val="center"/>
          </w:tcPr>
          <w:p w:rsidR="00AB2EF2" w:rsidRPr="00FC1444" w:rsidRDefault="00AB2EF2">
            <w:pPr>
              <w:jc w:val="center"/>
              <w:textAlignment w:val="center"/>
              <w:rPr>
                <w:rFonts w:eastAsiaTheme="minorEastAsia"/>
                <w:szCs w:val="21"/>
              </w:rPr>
            </w:pPr>
            <w:r w:rsidRPr="00FC1444">
              <w:rPr>
                <w:rFonts w:eastAsiaTheme="minorEastAsia" w:hint="eastAsia"/>
                <w:szCs w:val="21"/>
              </w:rPr>
              <w:t>3500</w:t>
            </w:r>
          </w:p>
        </w:tc>
        <w:tc>
          <w:tcPr>
            <w:tcW w:w="410" w:type="pct"/>
            <w:vAlign w:val="center"/>
          </w:tcPr>
          <w:p w:rsidR="00AB2EF2" w:rsidRPr="00FC1444" w:rsidRDefault="00AB2EF2">
            <w:pPr>
              <w:jc w:val="center"/>
              <w:rPr>
                <w:rFonts w:eastAsiaTheme="minorEastAsia"/>
                <w:szCs w:val="21"/>
              </w:rPr>
            </w:pPr>
            <w:r w:rsidRPr="00FC1444">
              <w:rPr>
                <w:rFonts w:eastAsiaTheme="minorEastAsia"/>
                <w:szCs w:val="21"/>
              </w:rPr>
              <w:t>建筑公司回用</w:t>
            </w:r>
          </w:p>
        </w:tc>
      </w:tr>
      <w:tr w:rsidR="00AB2EF2" w:rsidRPr="00FC1444" w:rsidTr="006F3063">
        <w:trPr>
          <w:trHeight w:val="352"/>
        </w:trPr>
        <w:tc>
          <w:tcPr>
            <w:tcW w:w="308" w:type="pct"/>
            <w:vMerge/>
            <w:vAlign w:val="center"/>
          </w:tcPr>
          <w:p w:rsidR="00AB2EF2" w:rsidRPr="00FC1444" w:rsidRDefault="00AB2EF2">
            <w:pPr>
              <w:widowControl/>
              <w:jc w:val="center"/>
              <w:rPr>
                <w:rFonts w:eastAsiaTheme="minorEastAsia"/>
                <w:bCs/>
                <w:kern w:val="0"/>
                <w:szCs w:val="21"/>
              </w:rPr>
            </w:pPr>
          </w:p>
        </w:tc>
        <w:tc>
          <w:tcPr>
            <w:tcW w:w="400" w:type="pct"/>
            <w:vAlign w:val="center"/>
          </w:tcPr>
          <w:p w:rsidR="00AB2EF2" w:rsidRPr="00FC1444" w:rsidRDefault="00AB2EF2">
            <w:pPr>
              <w:widowControl/>
              <w:jc w:val="center"/>
              <w:rPr>
                <w:rFonts w:eastAsiaTheme="minorEastAsia"/>
                <w:bCs/>
                <w:kern w:val="0"/>
                <w:szCs w:val="21"/>
              </w:rPr>
            </w:pPr>
            <w:r w:rsidRPr="00FC1444">
              <w:rPr>
                <w:rFonts w:eastAsiaTheme="minorEastAsia"/>
                <w:bCs/>
                <w:kern w:val="0"/>
                <w:szCs w:val="21"/>
              </w:rPr>
              <w:t>生产路</w:t>
            </w:r>
          </w:p>
        </w:tc>
        <w:tc>
          <w:tcPr>
            <w:tcW w:w="370" w:type="pct"/>
            <w:vAlign w:val="center"/>
          </w:tcPr>
          <w:p w:rsidR="00AB2EF2" w:rsidRPr="00FC1444" w:rsidRDefault="00AB2EF2" w:rsidP="00904296">
            <w:pPr>
              <w:jc w:val="center"/>
              <w:rPr>
                <w:rFonts w:eastAsiaTheme="minorEastAsia"/>
                <w:szCs w:val="21"/>
              </w:rPr>
            </w:pPr>
            <w:r w:rsidRPr="00FC1444">
              <w:rPr>
                <w:rFonts w:eastAsiaTheme="minorEastAsia"/>
                <w:szCs w:val="21"/>
              </w:rPr>
              <w:t>105000</w:t>
            </w:r>
          </w:p>
        </w:tc>
        <w:tc>
          <w:tcPr>
            <w:tcW w:w="327" w:type="pct"/>
            <w:vAlign w:val="center"/>
          </w:tcPr>
          <w:p w:rsidR="00AB2EF2" w:rsidRPr="00FC1444" w:rsidRDefault="00AB2EF2" w:rsidP="00904296">
            <w:pPr>
              <w:jc w:val="center"/>
              <w:rPr>
                <w:rFonts w:eastAsiaTheme="minorEastAsia"/>
                <w:szCs w:val="21"/>
              </w:rPr>
            </w:pPr>
            <w:r w:rsidRPr="00FC1444">
              <w:rPr>
                <w:rFonts w:eastAsiaTheme="minorEastAsia"/>
                <w:bCs/>
                <w:szCs w:val="21"/>
              </w:rPr>
              <w:t>116800</w:t>
            </w:r>
          </w:p>
        </w:tc>
        <w:tc>
          <w:tcPr>
            <w:tcW w:w="327" w:type="pct"/>
            <w:vAlign w:val="center"/>
          </w:tcPr>
          <w:p w:rsidR="00AB2EF2" w:rsidRPr="00FC1444" w:rsidRDefault="00AB2EF2">
            <w:pPr>
              <w:jc w:val="center"/>
              <w:rPr>
                <w:rFonts w:eastAsiaTheme="minorEastAsia"/>
                <w:szCs w:val="21"/>
              </w:rPr>
            </w:pPr>
            <w:r w:rsidRPr="00FC1444">
              <w:rPr>
                <w:rFonts w:eastAsiaTheme="minorEastAsia"/>
                <w:szCs w:val="21"/>
              </w:rPr>
              <w:t>27020</w:t>
            </w:r>
          </w:p>
        </w:tc>
        <w:tc>
          <w:tcPr>
            <w:tcW w:w="327" w:type="pct"/>
            <w:vAlign w:val="center"/>
          </w:tcPr>
          <w:p w:rsidR="00AB2EF2" w:rsidRPr="00FC1444" w:rsidRDefault="00AB2EF2" w:rsidP="00D302ED">
            <w:pPr>
              <w:jc w:val="center"/>
              <w:rPr>
                <w:rFonts w:eastAsiaTheme="minorEastAsia"/>
                <w:szCs w:val="21"/>
              </w:rPr>
            </w:pPr>
            <w:r w:rsidRPr="00FC1444">
              <w:rPr>
                <w:rFonts w:eastAsiaTheme="minorEastAsia"/>
                <w:szCs w:val="21"/>
              </w:rPr>
              <w:t>89780</w:t>
            </w:r>
          </w:p>
        </w:tc>
        <w:tc>
          <w:tcPr>
            <w:tcW w:w="735" w:type="pct"/>
            <w:vAlign w:val="center"/>
          </w:tcPr>
          <w:p w:rsidR="00AB2EF2" w:rsidRPr="00FC1444" w:rsidRDefault="00AB2EF2">
            <w:pPr>
              <w:jc w:val="center"/>
              <w:rPr>
                <w:rFonts w:eastAsiaTheme="minorEastAsia"/>
                <w:szCs w:val="21"/>
              </w:rPr>
            </w:pPr>
            <w:r w:rsidRPr="00FC1444">
              <w:rPr>
                <w:rFonts w:eastAsiaTheme="minorEastAsia"/>
                <w:szCs w:val="21"/>
              </w:rPr>
              <w:t>外购</w:t>
            </w:r>
          </w:p>
        </w:tc>
        <w:tc>
          <w:tcPr>
            <w:tcW w:w="391" w:type="pct"/>
            <w:vAlign w:val="center"/>
          </w:tcPr>
          <w:p w:rsidR="00AB2EF2" w:rsidRPr="00FC1444" w:rsidRDefault="00AB2EF2">
            <w:pPr>
              <w:jc w:val="center"/>
              <w:textAlignment w:val="center"/>
              <w:rPr>
                <w:rFonts w:eastAsiaTheme="minorEastAsia"/>
                <w:szCs w:val="21"/>
              </w:rPr>
            </w:pPr>
            <w:r w:rsidRPr="00FC1444">
              <w:rPr>
                <w:rFonts w:eastAsiaTheme="minorEastAsia" w:hint="eastAsia"/>
                <w:szCs w:val="21"/>
              </w:rPr>
              <w:t>77980</w:t>
            </w:r>
          </w:p>
        </w:tc>
        <w:tc>
          <w:tcPr>
            <w:tcW w:w="518" w:type="pct"/>
            <w:vMerge/>
            <w:vAlign w:val="center"/>
          </w:tcPr>
          <w:p w:rsidR="00AB2EF2" w:rsidRPr="00FC1444" w:rsidRDefault="00AB2EF2">
            <w:pPr>
              <w:jc w:val="center"/>
              <w:textAlignment w:val="center"/>
              <w:rPr>
                <w:rFonts w:eastAsiaTheme="minorEastAsia"/>
                <w:szCs w:val="21"/>
              </w:rPr>
            </w:pPr>
          </w:p>
        </w:tc>
        <w:tc>
          <w:tcPr>
            <w:tcW w:w="397" w:type="pct"/>
            <w:vAlign w:val="center"/>
          </w:tcPr>
          <w:p w:rsidR="00AB2EF2" w:rsidRPr="00FC1444" w:rsidRDefault="00AB2EF2">
            <w:pPr>
              <w:jc w:val="center"/>
              <w:textAlignment w:val="center"/>
              <w:rPr>
                <w:rFonts w:eastAsiaTheme="minorEastAsia"/>
                <w:szCs w:val="21"/>
              </w:rPr>
            </w:pPr>
            <w:r w:rsidRPr="00FC1444">
              <w:rPr>
                <w:rFonts w:eastAsiaTheme="minorEastAsia" w:hint="eastAsia"/>
                <w:szCs w:val="21"/>
              </w:rPr>
              <w:t>77980</w:t>
            </w:r>
          </w:p>
        </w:tc>
        <w:tc>
          <w:tcPr>
            <w:tcW w:w="490" w:type="pct"/>
            <w:vAlign w:val="center"/>
          </w:tcPr>
          <w:p w:rsidR="00AB2EF2" w:rsidRPr="00FC1444" w:rsidRDefault="00AB2EF2">
            <w:pPr>
              <w:jc w:val="center"/>
              <w:textAlignment w:val="center"/>
              <w:rPr>
                <w:rFonts w:eastAsiaTheme="minorEastAsia"/>
                <w:szCs w:val="21"/>
              </w:rPr>
            </w:pPr>
            <w:r w:rsidRPr="00FC1444">
              <w:rPr>
                <w:rFonts w:eastAsiaTheme="minorEastAsia" w:hint="eastAsia"/>
                <w:szCs w:val="21"/>
              </w:rPr>
              <w:t>0</w:t>
            </w:r>
          </w:p>
        </w:tc>
        <w:tc>
          <w:tcPr>
            <w:tcW w:w="410" w:type="pct"/>
            <w:vAlign w:val="center"/>
          </w:tcPr>
          <w:p w:rsidR="00AB2EF2" w:rsidRPr="00FC1444" w:rsidRDefault="00413E33">
            <w:pPr>
              <w:jc w:val="center"/>
              <w:rPr>
                <w:rFonts w:eastAsiaTheme="minorEastAsia"/>
                <w:szCs w:val="21"/>
              </w:rPr>
            </w:pPr>
            <w:r w:rsidRPr="00FC1444">
              <w:rPr>
                <w:rFonts w:eastAsiaTheme="minorEastAsia" w:hint="eastAsia"/>
                <w:szCs w:val="21"/>
              </w:rPr>
              <w:t>/</w:t>
            </w:r>
          </w:p>
        </w:tc>
      </w:tr>
      <w:tr w:rsidR="002A5A5E" w:rsidRPr="00FC1444" w:rsidTr="006F3063">
        <w:trPr>
          <w:trHeight w:val="357"/>
        </w:trPr>
        <w:tc>
          <w:tcPr>
            <w:tcW w:w="308" w:type="pct"/>
            <w:vMerge w:val="restart"/>
            <w:vAlign w:val="center"/>
          </w:tcPr>
          <w:p w:rsidR="002A5A5E" w:rsidRPr="00FC1444" w:rsidRDefault="00611CBA">
            <w:pPr>
              <w:widowControl/>
              <w:jc w:val="center"/>
              <w:rPr>
                <w:rFonts w:eastAsiaTheme="minorEastAsia"/>
                <w:kern w:val="0"/>
                <w:szCs w:val="21"/>
              </w:rPr>
            </w:pPr>
            <w:r w:rsidRPr="00FC1444">
              <w:rPr>
                <w:rFonts w:eastAsiaTheme="minorEastAsia"/>
                <w:szCs w:val="21"/>
              </w:rPr>
              <w:t>灌溉与排水工程</w:t>
            </w:r>
          </w:p>
        </w:tc>
        <w:tc>
          <w:tcPr>
            <w:tcW w:w="400" w:type="pct"/>
            <w:vAlign w:val="center"/>
          </w:tcPr>
          <w:p w:rsidR="002A5A5E" w:rsidRPr="00FC1444" w:rsidRDefault="00611CBA">
            <w:pPr>
              <w:widowControl/>
              <w:jc w:val="center"/>
              <w:rPr>
                <w:rFonts w:eastAsiaTheme="minorEastAsia"/>
                <w:szCs w:val="21"/>
              </w:rPr>
            </w:pPr>
            <w:r w:rsidRPr="00FC1444">
              <w:rPr>
                <w:rFonts w:eastAsiaTheme="minorEastAsia"/>
                <w:szCs w:val="21"/>
              </w:rPr>
              <w:t>灌溉井</w:t>
            </w:r>
          </w:p>
        </w:tc>
        <w:tc>
          <w:tcPr>
            <w:tcW w:w="370" w:type="pct"/>
            <w:vAlign w:val="center"/>
          </w:tcPr>
          <w:p w:rsidR="002A5A5E" w:rsidRPr="00FC1444" w:rsidRDefault="00783B46" w:rsidP="00493185">
            <w:pPr>
              <w:jc w:val="center"/>
              <w:rPr>
                <w:rFonts w:eastAsiaTheme="minorEastAsia"/>
                <w:szCs w:val="21"/>
              </w:rPr>
            </w:pPr>
            <w:r w:rsidRPr="00FC1444">
              <w:rPr>
                <w:rFonts w:eastAsiaTheme="minorEastAsia"/>
                <w:szCs w:val="21"/>
              </w:rPr>
              <w:t>528</w:t>
            </w:r>
            <w:r w:rsidR="00493185" w:rsidRPr="00FC1444">
              <w:rPr>
                <w:rFonts w:eastAsiaTheme="minorEastAsia" w:hint="eastAsia"/>
                <w:szCs w:val="21"/>
              </w:rPr>
              <w:t>0</w:t>
            </w:r>
          </w:p>
        </w:tc>
        <w:tc>
          <w:tcPr>
            <w:tcW w:w="327" w:type="pct"/>
            <w:vAlign w:val="center"/>
          </w:tcPr>
          <w:p w:rsidR="002A5A5E" w:rsidRPr="00FC1444" w:rsidRDefault="00493185">
            <w:pPr>
              <w:jc w:val="center"/>
              <w:rPr>
                <w:rFonts w:eastAsiaTheme="minorEastAsia"/>
                <w:szCs w:val="21"/>
              </w:rPr>
            </w:pPr>
            <w:r w:rsidRPr="00FC1444">
              <w:rPr>
                <w:rFonts w:eastAsiaTheme="minorEastAsia" w:hint="eastAsia"/>
                <w:szCs w:val="21"/>
              </w:rPr>
              <w:t>5662.1</w:t>
            </w:r>
          </w:p>
        </w:tc>
        <w:tc>
          <w:tcPr>
            <w:tcW w:w="327" w:type="pct"/>
            <w:vAlign w:val="center"/>
          </w:tcPr>
          <w:p w:rsidR="002A5A5E" w:rsidRPr="00FC1444" w:rsidRDefault="00493185" w:rsidP="00783B46">
            <w:pPr>
              <w:jc w:val="center"/>
              <w:rPr>
                <w:rFonts w:eastAsiaTheme="minorEastAsia"/>
                <w:szCs w:val="21"/>
              </w:rPr>
            </w:pPr>
            <w:r w:rsidRPr="00FC1444">
              <w:rPr>
                <w:rFonts w:eastAsiaTheme="minorEastAsia" w:hint="eastAsia"/>
                <w:szCs w:val="21"/>
              </w:rPr>
              <w:t>5162.1</w:t>
            </w:r>
          </w:p>
        </w:tc>
        <w:tc>
          <w:tcPr>
            <w:tcW w:w="327" w:type="pct"/>
            <w:vAlign w:val="center"/>
          </w:tcPr>
          <w:p w:rsidR="002A5A5E" w:rsidRPr="00FC1444" w:rsidRDefault="00493185">
            <w:pPr>
              <w:jc w:val="center"/>
              <w:rPr>
                <w:rFonts w:eastAsiaTheme="minorEastAsia"/>
                <w:szCs w:val="21"/>
              </w:rPr>
            </w:pPr>
            <w:r w:rsidRPr="00FC1444">
              <w:rPr>
                <w:rFonts w:eastAsiaTheme="minorEastAsia" w:hint="eastAsia"/>
                <w:szCs w:val="21"/>
              </w:rPr>
              <w:t>500</w:t>
            </w:r>
          </w:p>
        </w:tc>
        <w:tc>
          <w:tcPr>
            <w:tcW w:w="735" w:type="pct"/>
            <w:vAlign w:val="center"/>
          </w:tcPr>
          <w:p w:rsidR="002A5A5E" w:rsidRPr="00FC1444" w:rsidRDefault="00611CBA">
            <w:pPr>
              <w:jc w:val="center"/>
              <w:rPr>
                <w:rFonts w:eastAsiaTheme="minorEastAsia"/>
                <w:szCs w:val="21"/>
              </w:rPr>
            </w:pPr>
            <w:r w:rsidRPr="00FC1444">
              <w:rPr>
                <w:rFonts w:eastAsiaTheme="minorEastAsia"/>
                <w:szCs w:val="21"/>
              </w:rPr>
              <w:t>外购</w:t>
            </w:r>
          </w:p>
        </w:tc>
        <w:tc>
          <w:tcPr>
            <w:tcW w:w="391" w:type="pct"/>
            <w:vAlign w:val="center"/>
          </w:tcPr>
          <w:p w:rsidR="002A5A5E" w:rsidRPr="00FC1444" w:rsidRDefault="00802305">
            <w:pPr>
              <w:jc w:val="center"/>
              <w:rPr>
                <w:rFonts w:eastAsiaTheme="minorEastAsia"/>
                <w:szCs w:val="21"/>
              </w:rPr>
            </w:pPr>
            <w:r w:rsidRPr="00FC1444">
              <w:rPr>
                <w:rFonts w:eastAsiaTheme="minorEastAsia" w:hint="eastAsia"/>
                <w:szCs w:val="21"/>
              </w:rPr>
              <w:t>117.9</w:t>
            </w:r>
          </w:p>
        </w:tc>
        <w:tc>
          <w:tcPr>
            <w:tcW w:w="518" w:type="pct"/>
            <w:vAlign w:val="center"/>
          </w:tcPr>
          <w:p w:rsidR="002A5A5E" w:rsidRPr="00FC1444" w:rsidRDefault="00611CBA">
            <w:pPr>
              <w:jc w:val="center"/>
              <w:rPr>
                <w:rFonts w:eastAsiaTheme="minorEastAsia"/>
                <w:szCs w:val="21"/>
              </w:rPr>
            </w:pPr>
            <w:r w:rsidRPr="00FC1444">
              <w:rPr>
                <w:rFonts w:eastAsiaTheme="minorEastAsia"/>
                <w:szCs w:val="21"/>
              </w:rPr>
              <w:t>用于田块整治工程</w:t>
            </w:r>
          </w:p>
        </w:tc>
        <w:tc>
          <w:tcPr>
            <w:tcW w:w="397" w:type="pct"/>
            <w:vAlign w:val="center"/>
          </w:tcPr>
          <w:p w:rsidR="002A5A5E" w:rsidRPr="00FC1444" w:rsidRDefault="00802305">
            <w:pPr>
              <w:jc w:val="center"/>
              <w:rPr>
                <w:rFonts w:eastAsiaTheme="minorEastAsia"/>
                <w:szCs w:val="21"/>
              </w:rPr>
            </w:pPr>
            <w:r w:rsidRPr="00FC1444">
              <w:rPr>
                <w:rFonts w:eastAsiaTheme="minorEastAsia" w:hint="eastAsia"/>
                <w:szCs w:val="21"/>
              </w:rPr>
              <w:t>117.9</w:t>
            </w:r>
          </w:p>
        </w:tc>
        <w:tc>
          <w:tcPr>
            <w:tcW w:w="490" w:type="pct"/>
            <w:vAlign w:val="center"/>
          </w:tcPr>
          <w:p w:rsidR="002A5A5E" w:rsidRPr="00FC1444" w:rsidRDefault="00611CBA">
            <w:pPr>
              <w:jc w:val="center"/>
              <w:rPr>
                <w:rFonts w:eastAsiaTheme="minorEastAsia"/>
                <w:szCs w:val="21"/>
              </w:rPr>
            </w:pPr>
            <w:r w:rsidRPr="00FC1444">
              <w:rPr>
                <w:rFonts w:eastAsiaTheme="minorEastAsia"/>
                <w:szCs w:val="21"/>
              </w:rPr>
              <w:t>0</w:t>
            </w:r>
          </w:p>
        </w:tc>
        <w:tc>
          <w:tcPr>
            <w:tcW w:w="410" w:type="pct"/>
            <w:vAlign w:val="center"/>
          </w:tcPr>
          <w:p w:rsidR="002A5A5E" w:rsidRPr="00FC1444" w:rsidRDefault="00611CBA">
            <w:pPr>
              <w:jc w:val="center"/>
              <w:rPr>
                <w:rFonts w:eastAsiaTheme="minorEastAsia"/>
                <w:szCs w:val="21"/>
              </w:rPr>
            </w:pPr>
            <w:r w:rsidRPr="00FC1444">
              <w:rPr>
                <w:rFonts w:eastAsiaTheme="minorEastAsia"/>
                <w:szCs w:val="21"/>
              </w:rPr>
              <w:t>/</w:t>
            </w:r>
          </w:p>
        </w:tc>
      </w:tr>
      <w:tr w:rsidR="002A5A5E" w:rsidRPr="00FC1444" w:rsidTr="006F3063">
        <w:trPr>
          <w:trHeight w:val="373"/>
        </w:trPr>
        <w:tc>
          <w:tcPr>
            <w:tcW w:w="308" w:type="pct"/>
            <w:vMerge/>
            <w:vAlign w:val="center"/>
          </w:tcPr>
          <w:p w:rsidR="002A5A5E" w:rsidRPr="00FC1444" w:rsidRDefault="002A5A5E">
            <w:pPr>
              <w:widowControl/>
              <w:jc w:val="center"/>
              <w:rPr>
                <w:rFonts w:eastAsiaTheme="minorEastAsia"/>
                <w:szCs w:val="21"/>
              </w:rPr>
            </w:pPr>
          </w:p>
        </w:tc>
        <w:tc>
          <w:tcPr>
            <w:tcW w:w="400" w:type="pct"/>
            <w:vAlign w:val="center"/>
          </w:tcPr>
          <w:p w:rsidR="002A5A5E" w:rsidRPr="00FC1444" w:rsidRDefault="00611CBA">
            <w:pPr>
              <w:widowControl/>
              <w:jc w:val="center"/>
              <w:rPr>
                <w:rFonts w:eastAsiaTheme="minorEastAsia"/>
                <w:szCs w:val="21"/>
              </w:rPr>
            </w:pPr>
            <w:r w:rsidRPr="00FC1444">
              <w:rPr>
                <w:rFonts w:eastAsiaTheme="minorEastAsia"/>
                <w:szCs w:val="21"/>
              </w:rPr>
              <w:t>建筑物</w:t>
            </w:r>
          </w:p>
        </w:tc>
        <w:tc>
          <w:tcPr>
            <w:tcW w:w="370" w:type="pct"/>
            <w:vAlign w:val="center"/>
          </w:tcPr>
          <w:p w:rsidR="002A5A5E" w:rsidRPr="00FC1444" w:rsidRDefault="00A04BDF" w:rsidP="009E5FD9">
            <w:pPr>
              <w:jc w:val="center"/>
              <w:rPr>
                <w:rFonts w:eastAsiaTheme="minorEastAsia"/>
                <w:szCs w:val="21"/>
              </w:rPr>
            </w:pPr>
            <w:r w:rsidRPr="00FC1444">
              <w:rPr>
                <w:rFonts w:eastAsiaTheme="minorEastAsia" w:hint="eastAsia"/>
                <w:szCs w:val="21"/>
              </w:rPr>
              <w:t>525000</w:t>
            </w:r>
          </w:p>
        </w:tc>
        <w:tc>
          <w:tcPr>
            <w:tcW w:w="327" w:type="pct"/>
            <w:vAlign w:val="center"/>
          </w:tcPr>
          <w:p w:rsidR="002A5A5E" w:rsidRPr="00FC1444" w:rsidRDefault="00A04BDF" w:rsidP="009E5FD9">
            <w:pPr>
              <w:jc w:val="center"/>
              <w:rPr>
                <w:rFonts w:eastAsiaTheme="minorEastAsia"/>
                <w:szCs w:val="21"/>
              </w:rPr>
            </w:pPr>
            <w:r w:rsidRPr="00FC1444">
              <w:rPr>
                <w:rFonts w:eastAsiaTheme="minorEastAsia" w:hint="eastAsia"/>
                <w:szCs w:val="21"/>
              </w:rPr>
              <w:t>676970</w:t>
            </w:r>
          </w:p>
        </w:tc>
        <w:tc>
          <w:tcPr>
            <w:tcW w:w="327" w:type="pct"/>
            <w:vAlign w:val="center"/>
          </w:tcPr>
          <w:p w:rsidR="002A5A5E" w:rsidRPr="00FC1444" w:rsidRDefault="00A04BDF">
            <w:pPr>
              <w:jc w:val="center"/>
              <w:rPr>
                <w:rFonts w:eastAsiaTheme="minorEastAsia"/>
                <w:szCs w:val="21"/>
              </w:rPr>
            </w:pPr>
            <w:r w:rsidRPr="00FC1444">
              <w:rPr>
                <w:rFonts w:eastAsiaTheme="minorEastAsia" w:hint="eastAsia"/>
                <w:szCs w:val="21"/>
              </w:rPr>
              <w:t>512500</w:t>
            </w:r>
          </w:p>
        </w:tc>
        <w:tc>
          <w:tcPr>
            <w:tcW w:w="327" w:type="pct"/>
            <w:vAlign w:val="center"/>
          </w:tcPr>
          <w:p w:rsidR="002A5A5E" w:rsidRPr="00FC1444" w:rsidRDefault="00611CBA" w:rsidP="009E5FD9">
            <w:pPr>
              <w:jc w:val="center"/>
              <w:rPr>
                <w:rFonts w:eastAsiaTheme="minorEastAsia"/>
                <w:szCs w:val="21"/>
              </w:rPr>
            </w:pPr>
            <w:r w:rsidRPr="00FC1444">
              <w:rPr>
                <w:rFonts w:eastAsiaTheme="minorEastAsia"/>
                <w:szCs w:val="21"/>
              </w:rPr>
              <w:t>16</w:t>
            </w:r>
            <w:r w:rsidR="009E5FD9" w:rsidRPr="00FC1444">
              <w:rPr>
                <w:rFonts w:eastAsiaTheme="minorEastAsia"/>
                <w:szCs w:val="21"/>
              </w:rPr>
              <w:t>4</w:t>
            </w:r>
            <w:r w:rsidR="00812183" w:rsidRPr="00FC1444">
              <w:rPr>
                <w:rFonts w:eastAsiaTheme="minorEastAsia"/>
                <w:szCs w:val="21"/>
              </w:rPr>
              <w:t>4</w:t>
            </w:r>
            <w:r w:rsidR="009E5FD9" w:rsidRPr="00FC1444">
              <w:rPr>
                <w:rFonts w:eastAsiaTheme="minorEastAsia"/>
                <w:szCs w:val="21"/>
              </w:rPr>
              <w:t>70</w:t>
            </w:r>
          </w:p>
        </w:tc>
        <w:tc>
          <w:tcPr>
            <w:tcW w:w="735" w:type="pct"/>
            <w:vAlign w:val="center"/>
          </w:tcPr>
          <w:p w:rsidR="002A5A5E" w:rsidRPr="00FC1444" w:rsidRDefault="00611CBA">
            <w:pPr>
              <w:jc w:val="center"/>
              <w:rPr>
                <w:rFonts w:eastAsiaTheme="minorEastAsia"/>
                <w:szCs w:val="21"/>
              </w:rPr>
            </w:pPr>
            <w:r w:rsidRPr="00FC1444">
              <w:rPr>
                <w:rFonts w:eastAsiaTheme="minorEastAsia"/>
                <w:szCs w:val="21"/>
              </w:rPr>
              <w:t>外购</w:t>
            </w:r>
          </w:p>
        </w:tc>
        <w:tc>
          <w:tcPr>
            <w:tcW w:w="391" w:type="pct"/>
            <w:vAlign w:val="center"/>
          </w:tcPr>
          <w:p w:rsidR="002A5A5E" w:rsidRPr="00FC1444" w:rsidRDefault="00024747" w:rsidP="00802305">
            <w:pPr>
              <w:jc w:val="center"/>
              <w:rPr>
                <w:rFonts w:eastAsiaTheme="minorEastAsia"/>
                <w:szCs w:val="21"/>
              </w:rPr>
            </w:pPr>
            <w:r w:rsidRPr="00FC1444">
              <w:rPr>
                <w:rFonts w:eastAsiaTheme="minorEastAsia"/>
                <w:szCs w:val="21"/>
              </w:rPr>
              <w:t>1</w:t>
            </w:r>
            <w:r w:rsidR="00802305" w:rsidRPr="00FC1444">
              <w:rPr>
                <w:rFonts w:eastAsiaTheme="minorEastAsia" w:hint="eastAsia"/>
                <w:szCs w:val="21"/>
              </w:rPr>
              <w:t>0</w:t>
            </w:r>
            <w:r w:rsidRPr="00FC1444">
              <w:rPr>
                <w:rFonts w:eastAsiaTheme="minorEastAsia"/>
                <w:szCs w:val="21"/>
              </w:rPr>
              <w:t>50</w:t>
            </w:r>
          </w:p>
        </w:tc>
        <w:tc>
          <w:tcPr>
            <w:tcW w:w="518" w:type="pct"/>
            <w:vAlign w:val="center"/>
          </w:tcPr>
          <w:p w:rsidR="002A5A5E" w:rsidRPr="00FC1444" w:rsidRDefault="00611CBA">
            <w:pPr>
              <w:jc w:val="center"/>
              <w:rPr>
                <w:rFonts w:eastAsiaTheme="minorEastAsia"/>
                <w:szCs w:val="21"/>
              </w:rPr>
            </w:pPr>
            <w:r w:rsidRPr="00FC1444">
              <w:rPr>
                <w:rFonts w:eastAsiaTheme="minorEastAsia"/>
                <w:szCs w:val="21"/>
              </w:rPr>
              <w:t>用于田块整治工程</w:t>
            </w:r>
          </w:p>
        </w:tc>
        <w:tc>
          <w:tcPr>
            <w:tcW w:w="397" w:type="pct"/>
            <w:vAlign w:val="center"/>
          </w:tcPr>
          <w:p w:rsidR="002A5A5E" w:rsidRPr="00FC1444" w:rsidRDefault="00024747" w:rsidP="00802305">
            <w:pPr>
              <w:jc w:val="center"/>
              <w:rPr>
                <w:rFonts w:eastAsiaTheme="minorEastAsia"/>
                <w:szCs w:val="21"/>
              </w:rPr>
            </w:pPr>
            <w:r w:rsidRPr="00FC1444">
              <w:rPr>
                <w:rFonts w:eastAsiaTheme="minorEastAsia"/>
                <w:szCs w:val="21"/>
              </w:rPr>
              <w:t>1</w:t>
            </w:r>
            <w:r w:rsidR="00802305" w:rsidRPr="00FC1444">
              <w:rPr>
                <w:rFonts w:eastAsiaTheme="minorEastAsia" w:hint="eastAsia"/>
                <w:szCs w:val="21"/>
              </w:rPr>
              <w:t>0</w:t>
            </w:r>
            <w:r w:rsidRPr="00FC1444">
              <w:rPr>
                <w:rFonts w:eastAsiaTheme="minorEastAsia"/>
                <w:szCs w:val="21"/>
              </w:rPr>
              <w:t>50</w:t>
            </w:r>
          </w:p>
        </w:tc>
        <w:tc>
          <w:tcPr>
            <w:tcW w:w="490" w:type="pct"/>
            <w:vAlign w:val="center"/>
          </w:tcPr>
          <w:p w:rsidR="002A5A5E" w:rsidRPr="00FC1444" w:rsidRDefault="002F4365" w:rsidP="007A65D0">
            <w:pPr>
              <w:jc w:val="center"/>
              <w:rPr>
                <w:rFonts w:eastAsiaTheme="minorEastAsia"/>
                <w:szCs w:val="21"/>
              </w:rPr>
            </w:pPr>
            <w:r w:rsidRPr="00FC1444">
              <w:rPr>
                <w:rFonts w:eastAsiaTheme="minorEastAsia" w:hint="eastAsia"/>
                <w:szCs w:val="21"/>
              </w:rPr>
              <w:t>114</w:t>
            </w:r>
            <w:r w:rsidR="007A65D0" w:rsidRPr="00FC1444">
              <w:rPr>
                <w:rFonts w:eastAsiaTheme="minorEastAsia" w:hint="eastAsia"/>
                <w:szCs w:val="21"/>
              </w:rPr>
              <w:t>50</w:t>
            </w:r>
          </w:p>
        </w:tc>
        <w:tc>
          <w:tcPr>
            <w:tcW w:w="410" w:type="pct"/>
            <w:vAlign w:val="center"/>
          </w:tcPr>
          <w:p w:rsidR="002A5A5E" w:rsidRPr="00FC1444" w:rsidRDefault="00611CBA">
            <w:pPr>
              <w:jc w:val="center"/>
              <w:rPr>
                <w:rFonts w:eastAsiaTheme="minorEastAsia"/>
                <w:szCs w:val="21"/>
              </w:rPr>
            </w:pPr>
            <w:r w:rsidRPr="00FC1444">
              <w:rPr>
                <w:rFonts w:eastAsiaTheme="minorEastAsia"/>
                <w:szCs w:val="21"/>
              </w:rPr>
              <w:t>建筑公司回用</w:t>
            </w:r>
          </w:p>
        </w:tc>
      </w:tr>
      <w:tr w:rsidR="002A5A5E" w:rsidRPr="00FC1444" w:rsidTr="006F3063">
        <w:trPr>
          <w:trHeight w:val="510"/>
        </w:trPr>
        <w:tc>
          <w:tcPr>
            <w:tcW w:w="308" w:type="pct"/>
            <w:vMerge/>
            <w:vAlign w:val="center"/>
          </w:tcPr>
          <w:p w:rsidR="002A5A5E" w:rsidRPr="00FC1444" w:rsidRDefault="002A5A5E">
            <w:pPr>
              <w:widowControl/>
              <w:jc w:val="center"/>
              <w:rPr>
                <w:rFonts w:eastAsiaTheme="minorEastAsia"/>
                <w:szCs w:val="21"/>
              </w:rPr>
            </w:pPr>
          </w:p>
        </w:tc>
        <w:tc>
          <w:tcPr>
            <w:tcW w:w="400" w:type="pct"/>
            <w:vAlign w:val="center"/>
          </w:tcPr>
          <w:p w:rsidR="002A5A5E" w:rsidRPr="00FC1444" w:rsidRDefault="00611CBA">
            <w:pPr>
              <w:widowControl/>
              <w:jc w:val="center"/>
              <w:rPr>
                <w:rFonts w:eastAsiaTheme="minorEastAsia"/>
                <w:szCs w:val="21"/>
              </w:rPr>
            </w:pPr>
            <w:r w:rsidRPr="00FC1444">
              <w:rPr>
                <w:rFonts w:eastAsiaTheme="minorEastAsia"/>
                <w:szCs w:val="21"/>
              </w:rPr>
              <w:t>排水沟清淤</w:t>
            </w:r>
          </w:p>
        </w:tc>
        <w:tc>
          <w:tcPr>
            <w:tcW w:w="370" w:type="pct"/>
            <w:vAlign w:val="center"/>
          </w:tcPr>
          <w:p w:rsidR="002A5A5E" w:rsidRPr="00FC1444" w:rsidRDefault="00F10409">
            <w:pPr>
              <w:jc w:val="center"/>
              <w:rPr>
                <w:rFonts w:eastAsiaTheme="minorEastAsia"/>
                <w:bCs/>
                <w:szCs w:val="21"/>
              </w:rPr>
            </w:pPr>
            <w:r w:rsidRPr="00FC1444">
              <w:rPr>
                <w:rFonts w:eastAsiaTheme="minorEastAsia" w:hint="eastAsia"/>
                <w:bCs/>
                <w:szCs w:val="21"/>
              </w:rPr>
              <w:t>3</w:t>
            </w:r>
            <w:r w:rsidR="00024747" w:rsidRPr="00FC1444">
              <w:rPr>
                <w:rFonts w:eastAsiaTheme="minorEastAsia"/>
                <w:bCs/>
                <w:szCs w:val="21"/>
              </w:rPr>
              <w:t>550</w:t>
            </w:r>
          </w:p>
        </w:tc>
        <w:tc>
          <w:tcPr>
            <w:tcW w:w="327" w:type="pct"/>
            <w:vAlign w:val="center"/>
          </w:tcPr>
          <w:p w:rsidR="002A5A5E" w:rsidRPr="00FC1444" w:rsidRDefault="00611CBA">
            <w:pPr>
              <w:jc w:val="center"/>
              <w:rPr>
                <w:rFonts w:eastAsiaTheme="minorEastAsia"/>
                <w:szCs w:val="21"/>
              </w:rPr>
            </w:pPr>
            <w:r w:rsidRPr="00FC1444">
              <w:rPr>
                <w:rFonts w:eastAsiaTheme="minorEastAsia"/>
                <w:bCs/>
                <w:szCs w:val="21"/>
              </w:rPr>
              <w:t>0</w:t>
            </w:r>
          </w:p>
        </w:tc>
        <w:tc>
          <w:tcPr>
            <w:tcW w:w="327"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0</w:t>
            </w:r>
          </w:p>
        </w:tc>
        <w:tc>
          <w:tcPr>
            <w:tcW w:w="327" w:type="pct"/>
            <w:vAlign w:val="center"/>
          </w:tcPr>
          <w:p w:rsidR="002A5A5E" w:rsidRPr="00FC1444" w:rsidRDefault="00611CBA">
            <w:pPr>
              <w:jc w:val="center"/>
              <w:rPr>
                <w:rFonts w:eastAsiaTheme="minorEastAsia"/>
                <w:szCs w:val="21"/>
              </w:rPr>
            </w:pPr>
            <w:r w:rsidRPr="00FC1444">
              <w:rPr>
                <w:rFonts w:eastAsiaTheme="minorEastAsia"/>
                <w:bCs/>
                <w:szCs w:val="21"/>
              </w:rPr>
              <w:t>0</w:t>
            </w:r>
          </w:p>
        </w:tc>
        <w:tc>
          <w:tcPr>
            <w:tcW w:w="735" w:type="pct"/>
            <w:vAlign w:val="center"/>
          </w:tcPr>
          <w:p w:rsidR="002A5A5E" w:rsidRPr="00FC1444" w:rsidRDefault="00611CBA">
            <w:pPr>
              <w:jc w:val="center"/>
              <w:rPr>
                <w:rFonts w:eastAsiaTheme="minorEastAsia"/>
                <w:szCs w:val="21"/>
              </w:rPr>
            </w:pPr>
            <w:r w:rsidRPr="00FC1444">
              <w:rPr>
                <w:rFonts w:eastAsiaTheme="minorEastAsia"/>
                <w:szCs w:val="21"/>
              </w:rPr>
              <w:t>/</w:t>
            </w:r>
          </w:p>
        </w:tc>
        <w:tc>
          <w:tcPr>
            <w:tcW w:w="391" w:type="pct"/>
            <w:vAlign w:val="center"/>
          </w:tcPr>
          <w:p w:rsidR="002A5A5E" w:rsidRPr="00FC1444" w:rsidRDefault="00F10409">
            <w:pPr>
              <w:jc w:val="center"/>
              <w:rPr>
                <w:rFonts w:eastAsiaTheme="minorEastAsia"/>
                <w:szCs w:val="21"/>
              </w:rPr>
            </w:pPr>
            <w:r w:rsidRPr="00FC1444">
              <w:rPr>
                <w:rFonts w:eastAsiaTheme="minorEastAsia" w:hint="eastAsia"/>
                <w:bCs/>
                <w:szCs w:val="21"/>
              </w:rPr>
              <w:t>3</w:t>
            </w:r>
            <w:r w:rsidR="00024747" w:rsidRPr="00FC1444">
              <w:rPr>
                <w:rFonts w:eastAsiaTheme="minorEastAsia"/>
                <w:bCs/>
                <w:szCs w:val="21"/>
              </w:rPr>
              <w:t>550</w:t>
            </w:r>
          </w:p>
        </w:tc>
        <w:tc>
          <w:tcPr>
            <w:tcW w:w="518" w:type="pct"/>
            <w:vAlign w:val="center"/>
          </w:tcPr>
          <w:p w:rsidR="002A5A5E" w:rsidRPr="00FC1444" w:rsidRDefault="00611CBA">
            <w:pPr>
              <w:jc w:val="center"/>
              <w:rPr>
                <w:rFonts w:eastAsiaTheme="minorEastAsia"/>
                <w:bCs/>
                <w:szCs w:val="21"/>
              </w:rPr>
            </w:pPr>
            <w:r w:rsidRPr="00FC1444">
              <w:rPr>
                <w:rFonts w:eastAsiaTheme="minorEastAsia"/>
                <w:bCs/>
                <w:szCs w:val="21"/>
              </w:rPr>
              <w:t>培至排水沟两侧</w:t>
            </w:r>
          </w:p>
        </w:tc>
        <w:tc>
          <w:tcPr>
            <w:tcW w:w="397" w:type="pct"/>
            <w:vAlign w:val="center"/>
          </w:tcPr>
          <w:p w:rsidR="002A5A5E" w:rsidRPr="00FC1444" w:rsidRDefault="00F10409">
            <w:pPr>
              <w:jc w:val="center"/>
              <w:rPr>
                <w:rFonts w:eastAsiaTheme="minorEastAsia"/>
                <w:bCs/>
                <w:szCs w:val="21"/>
              </w:rPr>
            </w:pPr>
            <w:r w:rsidRPr="00FC1444">
              <w:rPr>
                <w:rFonts w:eastAsiaTheme="minorEastAsia" w:hint="eastAsia"/>
                <w:bCs/>
                <w:szCs w:val="21"/>
              </w:rPr>
              <w:t>3</w:t>
            </w:r>
            <w:r w:rsidR="00024747" w:rsidRPr="00FC1444">
              <w:rPr>
                <w:rFonts w:eastAsiaTheme="minorEastAsia"/>
                <w:bCs/>
                <w:szCs w:val="21"/>
              </w:rPr>
              <w:t>550</w:t>
            </w:r>
          </w:p>
        </w:tc>
        <w:tc>
          <w:tcPr>
            <w:tcW w:w="490" w:type="pct"/>
            <w:vAlign w:val="center"/>
          </w:tcPr>
          <w:p w:rsidR="002A5A5E" w:rsidRPr="00FC1444" w:rsidRDefault="00611CBA">
            <w:pPr>
              <w:jc w:val="center"/>
              <w:rPr>
                <w:rFonts w:eastAsiaTheme="minorEastAsia"/>
                <w:szCs w:val="21"/>
              </w:rPr>
            </w:pPr>
            <w:r w:rsidRPr="00FC1444">
              <w:rPr>
                <w:rFonts w:eastAsiaTheme="minorEastAsia"/>
                <w:bCs/>
                <w:szCs w:val="21"/>
              </w:rPr>
              <w:t>0</w:t>
            </w:r>
          </w:p>
        </w:tc>
        <w:tc>
          <w:tcPr>
            <w:tcW w:w="410" w:type="pct"/>
            <w:vAlign w:val="center"/>
          </w:tcPr>
          <w:p w:rsidR="002A5A5E" w:rsidRPr="00FC1444" w:rsidRDefault="00611CBA">
            <w:pPr>
              <w:jc w:val="center"/>
              <w:rPr>
                <w:rFonts w:eastAsiaTheme="minorEastAsia"/>
                <w:szCs w:val="21"/>
              </w:rPr>
            </w:pPr>
            <w:r w:rsidRPr="00FC1444">
              <w:rPr>
                <w:rFonts w:eastAsiaTheme="minorEastAsia"/>
                <w:bCs/>
                <w:szCs w:val="21"/>
              </w:rPr>
              <w:t>/</w:t>
            </w:r>
          </w:p>
        </w:tc>
      </w:tr>
      <w:tr w:rsidR="00AC5F82" w:rsidRPr="00FC1444" w:rsidTr="006F3063">
        <w:trPr>
          <w:trHeight w:val="510"/>
        </w:trPr>
        <w:tc>
          <w:tcPr>
            <w:tcW w:w="308" w:type="pct"/>
            <w:vMerge/>
            <w:vAlign w:val="center"/>
          </w:tcPr>
          <w:p w:rsidR="00AC5F82" w:rsidRPr="00FC1444" w:rsidRDefault="00AC5F82">
            <w:pPr>
              <w:widowControl/>
              <w:jc w:val="center"/>
              <w:rPr>
                <w:rFonts w:eastAsiaTheme="minorEastAsia"/>
                <w:szCs w:val="21"/>
              </w:rPr>
            </w:pPr>
          </w:p>
        </w:tc>
        <w:tc>
          <w:tcPr>
            <w:tcW w:w="400" w:type="pct"/>
            <w:vAlign w:val="center"/>
          </w:tcPr>
          <w:p w:rsidR="00AC5F82" w:rsidRPr="00FC1444" w:rsidRDefault="00AC5F82" w:rsidP="00167709">
            <w:pPr>
              <w:jc w:val="center"/>
              <w:rPr>
                <w:rFonts w:eastAsiaTheme="minorEastAsia"/>
                <w:bCs/>
                <w:szCs w:val="21"/>
              </w:rPr>
            </w:pPr>
            <w:r w:rsidRPr="00FC1444">
              <w:rPr>
                <w:rFonts w:eastAsiaTheme="minorEastAsia"/>
                <w:bCs/>
                <w:szCs w:val="21"/>
              </w:rPr>
              <w:t>排水沟护砌</w:t>
            </w:r>
          </w:p>
        </w:tc>
        <w:tc>
          <w:tcPr>
            <w:tcW w:w="370" w:type="pct"/>
            <w:vAlign w:val="center"/>
          </w:tcPr>
          <w:p w:rsidR="00AC5F82" w:rsidRPr="00FC1444" w:rsidRDefault="000D61C5" w:rsidP="00167709">
            <w:pPr>
              <w:jc w:val="center"/>
              <w:rPr>
                <w:rFonts w:eastAsiaTheme="minorEastAsia"/>
                <w:bCs/>
                <w:szCs w:val="21"/>
              </w:rPr>
            </w:pPr>
            <w:r w:rsidRPr="00FC1444">
              <w:rPr>
                <w:rFonts w:eastAsiaTheme="minorEastAsia" w:hint="eastAsia"/>
                <w:bCs/>
                <w:szCs w:val="21"/>
              </w:rPr>
              <w:t>51316</w:t>
            </w:r>
          </w:p>
        </w:tc>
        <w:tc>
          <w:tcPr>
            <w:tcW w:w="327" w:type="pct"/>
            <w:vAlign w:val="center"/>
          </w:tcPr>
          <w:p w:rsidR="00AC5F82" w:rsidRPr="00FC1444" w:rsidRDefault="000D61C5" w:rsidP="00167709">
            <w:pPr>
              <w:jc w:val="center"/>
              <w:rPr>
                <w:rFonts w:eastAsiaTheme="minorEastAsia"/>
                <w:bCs/>
                <w:szCs w:val="21"/>
              </w:rPr>
            </w:pPr>
            <w:r w:rsidRPr="00FC1444">
              <w:rPr>
                <w:rFonts w:eastAsiaTheme="minorEastAsia" w:hint="eastAsia"/>
                <w:bCs/>
                <w:szCs w:val="21"/>
              </w:rPr>
              <w:t>28537</w:t>
            </w:r>
          </w:p>
        </w:tc>
        <w:tc>
          <w:tcPr>
            <w:tcW w:w="327" w:type="pct"/>
            <w:vAlign w:val="center"/>
          </w:tcPr>
          <w:p w:rsidR="00AC5F82" w:rsidRPr="00FC1444" w:rsidRDefault="000D61C5" w:rsidP="00167709">
            <w:pPr>
              <w:jc w:val="center"/>
              <w:rPr>
                <w:rFonts w:eastAsiaTheme="minorEastAsia"/>
                <w:bCs/>
                <w:szCs w:val="21"/>
              </w:rPr>
            </w:pPr>
            <w:r w:rsidRPr="00FC1444">
              <w:rPr>
                <w:rFonts w:eastAsiaTheme="minorEastAsia" w:hint="eastAsia"/>
                <w:bCs/>
                <w:szCs w:val="21"/>
              </w:rPr>
              <w:t>0</w:t>
            </w:r>
          </w:p>
        </w:tc>
        <w:tc>
          <w:tcPr>
            <w:tcW w:w="327" w:type="pct"/>
            <w:vAlign w:val="center"/>
          </w:tcPr>
          <w:p w:rsidR="00AC5F82" w:rsidRPr="00FC1444" w:rsidRDefault="000D61C5" w:rsidP="00167709">
            <w:pPr>
              <w:jc w:val="center"/>
              <w:rPr>
                <w:rFonts w:eastAsiaTheme="minorEastAsia"/>
                <w:bCs/>
                <w:szCs w:val="21"/>
              </w:rPr>
            </w:pPr>
            <w:r w:rsidRPr="00FC1444">
              <w:rPr>
                <w:rFonts w:eastAsiaTheme="minorEastAsia" w:hint="eastAsia"/>
                <w:bCs/>
                <w:szCs w:val="21"/>
              </w:rPr>
              <w:t>28537</w:t>
            </w:r>
          </w:p>
        </w:tc>
        <w:tc>
          <w:tcPr>
            <w:tcW w:w="735" w:type="pct"/>
            <w:vAlign w:val="center"/>
          </w:tcPr>
          <w:p w:rsidR="00AC5F82" w:rsidRPr="00FC1444" w:rsidRDefault="00AC5F82" w:rsidP="00167709">
            <w:pPr>
              <w:jc w:val="center"/>
              <w:rPr>
                <w:rFonts w:eastAsiaTheme="minorEastAsia"/>
                <w:bCs/>
                <w:szCs w:val="21"/>
              </w:rPr>
            </w:pPr>
            <w:r w:rsidRPr="00FC1444">
              <w:rPr>
                <w:rFonts w:eastAsiaTheme="minorEastAsia"/>
                <w:bCs/>
                <w:szCs w:val="21"/>
              </w:rPr>
              <w:t>外购</w:t>
            </w:r>
          </w:p>
        </w:tc>
        <w:tc>
          <w:tcPr>
            <w:tcW w:w="391" w:type="pct"/>
            <w:vAlign w:val="center"/>
          </w:tcPr>
          <w:p w:rsidR="00AC5F82" w:rsidRPr="00FC1444" w:rsidRDefault="000D61C5" w:rsidP="00AC5F82">
            <w:pPr>
              <w:jc w:val="center"/>
              <w:rPr>
                <w:rFonts w:eastAsiaTheme="minorEastAsia"/>
                <w:bCs/>
                <w:szCs w:val="21"/>
              </w:rPr>
            </w:pPr>
            <w:r w:rsidRPr="00FC1444">
              <w:rPr>
                <w:rFonts w:eastAsiaTheme="minorEastAsia" w:hint="eastAsia"/>
                <w:bCs/>
                <w:szCs w:val="21"/>
              </w:rPr>
              <w:t>51316</w:t>
            </w:r>
          </w:p>
        </w:tc>
        <w:tc>
          <w:tcPr>
            <w:tcW w:w="518" w:type="pct"/>
            <w:vAlign w:val="center"/>
          </w:tcPr>
          <w:p w:rsidR="00AC5F82" w:rsidRPr="00FC1444" w:rsidRDefault="00AC5F82" w:rsidP="00167709">
            <w:pPr>
              <w:jc w:val="center"/>
              <w:rPr>
                <w:rFonts w:eastAsiaTheme="minorEastAsia"/>
                <w:bCs/>
                <w:szCs w:val="21"/>
              </w:rPr>
            </w:pPr>
            <w:r w:rsidRPr="00FC1444">
              <w:rPr>
                <w:rFonts w:eastAsiaTheme="minorEastAsia"/>
                <w:szCs w:val="21"/>
              </w:rPr>
              <w:t>用于田块整治工程</w:t>
            </w:r>
          </w:p>
        </w:tc>
        <w:tc>
          <w:tcPr>
            <w:tcW w:w="397" w:type="pct"/>
            <w:vAlign w:val="center"/>
          </w:tcPr>
          <w:p w:rsidR="00AC5F82" w:rsidRPr="00FC1444" w:rsidRDefault="000D61C5" w:rsidP="00D302ED">
            <w:pPr>
              <w:jc w:val="center"/>
              <w:rPr>
                <w:rFonts w:eastAsiaTheme="minorEastAsia"/>
                <w:bCs/>
                <w:szCs w:val="21"/>
              </w:rPr>
            </w:pPr>
            <w:r w:rsidRPr="00FC1444">
              <w:rPr>
                <w:rFonts w:eastAsiaTheme="minorEastAsia" w:hint="eastAsia"/>
                <w:bCs/>
                <w:szCs w:val="21"/>
              </w:rPr>
              <w:t>51316</w:t>
            </w:r>
          </w:p>
        </w:tc>
        <w:tc>
          <w:tcPr>
            <w:tcW w:w="490" w:type="pct"/>
            <w:vAlign w:val="center"/>
          </w:tcPr>
          <w:p w:rsidR="00AC5F82" w:rsidRPr="00FC1444" w:rsidRDefault="00AC5F82" w:rsidP="00167709">
            <w:pPr>
              <w:jc w:val="center"/>
              <w:rPr>
                <w:rFonts w:eastAsiaTheme="minorEastAsia"/>
                <w:bCs/>
                <w:szCs w:val="21"/>
              </w:rPr>
            </w:pPr>
            <w:r w:rsidRPr="00FC1444">
              <w:rPr>
                <w:rFonts w:eastAsiaTheme="minorEastAsia"/>
                <w:bCs/>
                <w:szCs w:val="21"/>
              </w:rPr>
              <w:t>0</w:t>
            </w:r>
          </w:p>
        </w:tc>
        <w:tc>
          <w:tcPr>
            <w:tcW w:w="410" w:type="pct"/>
            <w:vAlign w:val="center"/>
          </w:tcPr>
          <w:p w:rsidR="00AC5F82" w:rsidRPr="00FC1444" w:rsidRDefault="00AC5F82" w:rsidP="00167709">
            <w:pPr>
              <w:jc w:val="center"/>
              <w:rPr>
                <w:rFonts w:eastAsiaTheme="minorEastAsia"/>
                <w:bCs/>
                <w:szCs w:val="21"/>
              </w:rPr>
            </w:pPr>
            <w:r w:rsidRPr="00FC1444">
              <w:rPr>
                <w:rFonts w:eastAsiaTheme="minorEastAsia"/>
                <w:bCs/>
                <w:szCs w:val="21"/>
              </w:rPr>
              <w:t>/</w:t>
            </w:r>
          </w:p>
        </w:tc>
      </w:tr>
      <w:tr w:rsidR="00AC5F82" w:rsidRPr="00FC1444" w:rsidTr="006F3063">
        <w:trPr>
          <w:trHeight w:val="510"/>
        </w:trPr>
        <w:tc>
          <w:tcPr>
            <w:tcW w:w="308" w:type="pct"/>
            <w:vMerge/>
            <w:vAlign w:val="center"/>
          </w:tcPr>
          <w:p w:rsidR="00AC5F82" w:rsidRPr="00FC1444" w:rsidRDefault="00AC5F82">
            <w:pPr>
              <w:widowControl/>
              <w:jc w:val="center"/>
              <w:rPr>
                <w:rFonts w:eastAsiaTheme="minorEastAsia"/>
                <w:szCs w:val="21"/>
              </w:rPr>
            </w:pPr>
          </w:p>
        </w:tc>
        <w:tc>
          <w:tcPr>
            <w:tcW w:w="400" w:type="pct"/>
            <w:vAlign w:val="center"/>
          </w:tcPr>
          <w:p w:rsidR="00AC5F82" w:rsidRPr="00FC1444" w:rsidRDefault="00AC5F82">
            <w:pPr>
              <w:widowControl/>
              <w:jc w:val="center"/>
              <w:rPr>
                <w:rFonts w:eastAsiaTheme="minorEastAsia"/>
                <w:szCs w:val="21"/>
              </w:rPr>
            </w:pPr>
            <w:r w:rsidRPr="00FC1444">
              <w:rPr>
                <w:rFonts w:eastAsiaTheme="minorEastAsia"/>
                <w:szCs w:val="21"/>
              </w:rPr>
              <w:t>渠道衬砌</w:t>
            </w:r>
          </w:p>
        </w:tc>
        <w:tc>
          <w:tcPr>
            <w:tcW w:w="370" w:type="pct"/>
            <w:vAlign w:val="center"/>
          </w:tcPr>
          <w:p w:rsidR="00AC5F82" w:rsidRPr="00FC1444" w:rsidRDefault="00065E61" w:rsidP="00167709">
            <w:pPr>
              <w:jc w:val="center"/>
              <w:rPr>
                <w:rFonts w:eastAsiaTheme="minorEastAsia"/>
                <w:bCs/>
                <w:szCs w:val="21"/>
              </w:rPr>
            </w:pPr>
            <w:r w:rsidRPr="00FC1444">
              <w:rPr>
                <w:rFonts w:eastAsiaTheme="minorEastAsia" w:hint="eastAsia"/>
                <w:bCs/>
                <w:szCs w:val="21"/>
              </w:rPr>
              <w:t>74230</w:t>
            </w:r>
          </w:p>
        </w:tc>
        <w:tc>
          <w:tcPr>
            <w:tcW w:w="327" w:type="pct"/>
            <w:vAlign w:val="center"/>
          </w:tcPr>
          <w:p w:rsidR="00AC5F82" w:rsidRPr="00FC1444" w:rsidRDefault="00065E61">
            <w:pPr>
              <w:jc w:val="center"/>
              <w:rPr>
                <w:rFonts w:eastAsiaTheme="minorEastAsia"/>
                <w:szCs w:val="21"/>
              </w:rPr>
            </w:pPr>
            <w:r w:rsidRPr="00FC1444">
              <w:rPr>
                <w:rFonts w:eastAsiaTheme="minorEastAsia" w:hint="eastAsia"/>
                <w:szCs w:val="21"/>
              </w:rPr>
              <w:t>60580</w:t>
            </w:r>
          </w:p>
        </w:tc>
        <w:tc>
          <w:tcPr>
            <w:tcW w:w="327" w:type="pct"/>
            <w:vAlign w:val="center"/>
          </w:tcPr>
          <w:p w:rsidR="00AC5F82" w:rsidRPr="00FC1444" w:rsidRDefault="00065E61">
            <w:pPr>
              <w:widowControl/>
              <w:jc w:val="center"/>
              <w:rPr>
                <w:rFonts w:eastAsiaTheme="minorEastAsia"/>
                <w:kern w:val="0"/>
                <w:szCs w:val="21"/>
              </w:rPr>
            </w:pPr>
            <w:r w:rsidRPr="00FC1444">
              <w:rPr>
                <w:rFonts w:eastAsiaTheme="minorEastAsia" w:hint="eastAsia"/>
                <w:szCs w:val="21"/>
              </w:rPr>
              <w:t>56800</w:t>
            </w:r>
          </w:p>
        </w:tc>
        <w:tc>
          <w:tcPr>
            <w:tcW w:w="327" w:type="pct"/>
            <w:vAlign w:val="center"/>
          </w:tcPr>
          <w:p w:rsidR="00AC5F82" w:rsidRPr="00FC1444" w:rsidRDefault="00065E61">
            <w:pPr>
              <w:jc w:val="center"/>
              <w:rPr>
                <w:rFonts w:eastAsiaTheme="minorEastAsia"/>
                <w:szCs w:val="21"/>
              </w:rPr>
            </w:pPr>
            <w:r w:rsidRPr="00FC1444">
              <w:rPr>
                <w:rFonts w:eastAsiaTheme="minorEastAsia" w:hint="eastAsia"/>
                <w:szCs w:val="21"/>
              </w:rPr>
              <w:t>3780</w:t>
            </w:r>
          </w:p>
        </w:tc>
        <w:tc>
          <w:tcPr>
            <w:tcW w:w="735" w:type="pct"/>
            <w:vAlign w:val="center"/>
          </w:tcPr>
          <w:p w:rsidR="00AC5F82" w:rsidRPr="00FC1444" w:rsidRDefault="00AC5F82">
            <w:pPr>
              <w:jc w:val="center"/>
              <w:rPr>
                <w:rFonts w:eastAsiaTheme="minorEastAsia"/>
                <w:szCs w:val="21"/>
              </w:rPr>
            </w:pPr>
            <w:r w:rsidRPr="00FC1444">
              <w:rPr>
                <w:rFonts w:eastAsiaTheme="minorEastAsia"/>
                <w:szCs w:val="21"/>
              </w:rPr>
              <w:t>外购</w:t>
            </w:r>
          </w:p>
        </w:tc>
        <w:tc>
          <w:tcPr>
            <w:tcW w:w="391" w:type="pct"/>
            <w:vAlign w:val="center"/>
          </w:tcPr>
          <w:p w:rsidR="00AC5F82" w:rsidRPr="00FC1444" w:rsidRDefault="00065E61" w:rsidP="00D302ED">
            <w:pPr>
              <w:jc w:val="center"/>
              <w:rPr>
                <w:rFonts w:eastAsiaTheme="minorEastAsia"/>
                <w:bCs/>
                <w:szCs w:val="21"/>
              </w:rPr>
            </w:pPr>
            <w:r w:rsidRPr="00FC1444">
              <w:rPr>
                <w:rFonts w:eastAsiaTheme="minorEastAsia" w:hint="eastAsia"/>
                <w:bCs/>
                <w:szCs w:val="21"/>
              </w:rPr>
              <w:t>17430</w:t>
            </w:r>
          </w:p>
        </w:tc>
        <w:tc>
          <w:tcPr>
            <w:tcW w:w="518" w:type="pct"/>
            <w:vAlign w:val="center"/>
          </w:tcPr>
          <w:p w:rsidR="00AC5F82" w:rsidRPr="00FC1444" w:rsidRDefault="00AC5F82">
            <w:pPr>
              <w:jc w:val="center"/>
              <w:rPr>
                <w:rFonts w:eastAsiaTheme="minorEastAsia"/>
                <w:bCs/>
                <w:szCs w:val="21"/>
              </w:rPr>
            </w:pPr>
            <w:r w:rsidRPr="00FC1444">
              <w:rPr>
                <w:rFonts w:eastAsiaTheme="minorEastAsia"/>
                <w:szCs w:val="21"/>
              </w:rPr>
              <w:t>用于田块整治工程</w:t>
            </w:r>
          </w:p>
        </w:tc>
        <w:tc>
          <w:tcPr>
            <w:tcW w:w="397" w:type="pct"/>
            <w:vAlign w:val="center"/>
          </w:tcPr>
          <w:p w:rsidR="00AC5F82" w:rsidRPr="00FC1444" w:rsidRDefault="00C90195" w:rsidP="00D302ED">
            <w:pPr>
              <w:jc w:val="center"/>
              <w:rPr>
                <w:rFonts w:eastAsiaTheme="minorEastAsia"/>
                <w:bCs/>
                <w:szCs w:val="21"/>
              </w:rPr>
            </w:pPr>
            <w:r w:rsidRPr="00FC1444">
              <w:rPr>
                <w:rFonts w:eastAsiaTheme="minorEastAsia" w:hint="eastAsia"/>
                <w:bCs/>
                <w:szCs w:val="21"/>
              </w:rPr>
              <w:t>17430</w:t>
            </w:r>
          </w:p>
        </w:tc>
        <w:tc>
          <w:tcPr>
            <w:tcW w:w="490" w:type="pct"/>
            <w:vAlign w:val="center"/>
          </w:tcPr>
          <w:p w:rsidR="00AC5F82" w:rsidRPr="00FC1444" w:rsidRDefault="00AC5F82">
            <w:pPr>
              <w:jc w:val="center"/>
              <w:rPr>
                <w:rFonts w:eastAsiaTheme="minorEastAsia"/>
                <w:bCs/>
                <w:szCs w:val="21"/>
              </w:rPr>
            </w:pPr>
            <w:r w:rsidRPr="00FC1444">
              <w:rPr>
                <w:rFonts w:eastAsiaTheme="minorEastAsia"/>
                <w:bCs/>
                <w:szCs w:val="21"/>
              </w:rPr>
              <w:t>0</w:t>
            </w:r>
          </w:p>
        </w:tc>
        <w:tc>
          <w:tcPr>
            <w:tcW w:w="410" w:type="pct"/>
            <w:vAlign w:val="center"/>
          </w:tcPr>
          <w:p w:rsidR="00AC5F82" w:rsidRPr="00FC1444" w:rsidRDefault="00AC5F82">
            <w:pPr>
              <w:jc w:val="center"/>
              <w:rPr>
                <w:rFonts w:eastAsiaTheme="minorEastAsia"/>
                <w:szCs w:val="21"/>
              </w:rPr>
            </w:pPr>
            <w:r w:rsidRPr="00FC1444">
              <w:rPr>
                <w:rFonts w:eastAsiaTheme="minorEastAsia"/>
                <w:szCs w:val="21"/>
              </w:rPr>
              <w:t>/</w:t>
            </w:r>
          </w:p>
        </w:tc>
      </w:tr>
      <w:tr w:rsidR="00167709" w:rsidRPr="00FC1444" w:rsidTr="006F3063">
        <w:trPr>
          <w:trHeight w:val="510"/>
        </w:trPr>
        <w:tc>
          <w:tcPr>
            <w:tcW w:w="308" w:type="pct"/>
            <w:vMerge w:val="restart"/>
            <w:vAlign w:val="center"/>
          </w:tcPr>
          <w:p w:rsidR="00167709" w:rsidRPr="00FC1444" w:rsidRDefault="00167709">
            <w:pPr>
              <w:widowControl/>
              <w:jc w:val="center"/>
              <w:rPr>
                <w:rFonts w:eastAsiaTheme="minorEastAsia"/>
                <w:szCs w:val="21"/>
              </w:rPr>
            </w:pPr>
            <w:r w:rsidRPr="00FC1444">
              <w:rPr>
                <w:rFonts w:eastAsiaTheme="minorEastAsia"/>
                <w:szCs w:val="21"/>
              </w:rPr>
              <w:t>田块整治工程</w:t>
            </w:r>
          </w:p>
        </w:tc>
        <w:tc>
          <w:tcPr>
            <w:tcW w:w="400" w:type="pct"/>
            <w:vAlign w:val="center"/>
          </w:tcPr>
          <w:p w:rsidR="00167709" w:rsidRPr="00FC1444" w:rsidRDefault="00167709">
            <w:pPr>
              <w:widowControl/>
              <w:jc w:val="center"/>
              <w:rPr>
                <w:rFonts w:eastAsiaTheme="minorEastAsia"/>
                <w:szCs w:val="21"/>
              </w:rPr>
            </w:pPr>
            <w:r w:rsidRPr="00FC1444">
              <w:rPr>
                <w:rFonts w:eastAsiaTheme="minorEastAsia"/>
                <w:szCs w:val="21"/>
              </w:rPr>
              <w:t>土地平整</w:t>
            </w:r>
          </w:p>
        </w:tc>
        <w:tc>
          <w:tcPr>
            <w:tcW w:w="370" w:type="pct"/>
            <w:vAlign w:val="center"/>
          </w:tcPr>
          <w:p w:rsidR="00167709" w:rsidRPr="00FC1444" w:rsidRDefault="00C04989">
            <w:pPr>
              <w:widowControl/>
              <w:jc w:val="center"/>
              <w:textAlignment w:val="center"/>
              <w:rPr>
                <w:rFonts w:eastAsiaTheme="minorEastAsia"/>
                <w:szCs w:val="21"/>
              </w:rPr>
            </w:pPr>
            <w:r w:rsidRPr="00FC1444">
              <w:rPr>
                <w:rFonts w:hint="eastAsia"/>
                <w:szCs w:val="21"/>
              </w:rPr>
              <w:t>216279</w:t>
            </w:r>
          </w:p>
        </w:tc>
        <w:tc>
          <w:tcPr>
            <w:tcW w:w="327" w:type="pct"/>
            <w:vAlign w:val="center"/>
          </w:tcPr>
          <w:p w:rsidR="00167709" w:rsidRPr="00FC1444" w:rsidRDefault="00F6098E">
            <w:pPr>
              <w:widowControl/>
              <w:jc w:val="center"/>
              <w:textAlignment w:val="center"/>
              <w:rPr>
                <w:rFonts w:eastAsiaTheme="minorEastAsia"/>
                <w:szCs w:val="21"/>
              </w:rPr>
            </w:pPr>
            <w:r w:rsidRPr="00FC1444">
              <w:rPr>
                <w:rFonts w:eastAsiaTheme="minorEastAsia" w:hint="eastAsia"/>
                <w:szCs w:val="21"/>
              </w:rPr>
              <w:t>285025</w:t>
            </w:r>
          </w:p>
        </w:tc>
        <w:tc>
          <w:tcPr>
            <w:tcW w:w="327" w:type="pct"/>
            <w:vAlign w:val="center"/>
          </w:tcPr>
          <w:p w:rsidR="00167709" w:rsidRPr="00FC1444" w:rsidRDefault="00C04989">
            <w:pPr>
              <w:widowControl/>
              <w:jc w:val="center"/>
              <w:textAlignment w:val="center"/>
              <w:rPr>
                <w:rFonts w:eastAsiaTheme="minorEastAsia"/>
                <w:szCs w:val="21"/>
              </w:rPr>
            </w:pPr>
            <w:r w:rsidRPr="00FC1444">
              <w:rPr>
                <w:rFonts w:hint="eastAsia"/>
                <w:szCs w:val="21"/>
              </w:rPr>
              <w:t>216279</w:t>
            </w:r>
          </w:p>
        </w:tc>
        <w:tc>
          <w:tcPr>
            <w:tcW w:w="327" w:type="pct"/>
            <w:vAlign w:val="center"/>
          </w:tcPr>
          <w:p w:rsidR="00167709" w:rsidRPr="00FC1444" w:rsidRDefault="009D7A07">
            <w:pPr>
              <w:widowControl/>
              <w:jc w:val="center"/>
              <w:textAlignment w:val="center"/>
              <w:rPr>
                <w:rFonts w:eastAsiaTheme="minorEastAsia"/>
                <w:szCs w:val="21"/>
              </w:rPr>
            </w:pPr>
            <w:r w:rsidRPr="00FC1444">
              <w:rPr>
                <w:rFonts w:hint="eastAsia"/>
                <w:szCs w:val="21"/>
              </w:rPr>
              <w:t>68746</w:t>
            </w:r>
          </w:p>
        </w:tc>
        <w:tc>
          <w:tcPr>
            <w:tcW w:w="735" w:type="pct"/>
            <w:vAlign w:val="center"/>
          </w:tcPr>
          <w:p w:rsidR="00167709" w:rsidRPr="00FC1444" w:rsidRDefault="00167709">
            <w:pPr>
              <w:jc w:val="center"/>
              <w:rPr>
                <w:rFonts w:eastAsiaTheme="minorEastAsia"/>
                <w:szCs w:val="21"/>
              </w:rPr>
            </w:pPr>
            <w:r w:rsidRPr="00FC1444">
              <w:rPr>
                <w:rFonts w:eastAsiaTheme="minorEastAsia"/>
                <w:szCs w:val="21"/>
              </w:rPr>
              <w:t>来源于</w:t>
            </w:r>
            <w:r w:rsidRPr="00FC1444">
              <w:rPr>
                <w:rFonts w:eastAsiaTheme="minorEastAsia"/>
                <w:bCs/>
                <w:kern w:val="0"/>
                <w:szCs w:val="21"/>
              </w:rPr>
              <w:t>排水沟、渠道衬砌弃方</w:t>
            </w:r>
          </w:p>
        </w:tc>
        <w:tc>
          <w:tcPr>
            <w:tcW w:w="391" w:type="pct"/>
            <w:vAlign w:val="center"/>
          </w:tcPr>
          <w:p w:rsidR="00167709" w:rsidRPr="00FC1444" w:rsidRDefault="00167709">
            <w:pPr>
              <w:jc w:val="center"/>
              <w:rPr>
                <w:rFonts w:eastAsiaTheme="minorEastAsia"/>
                <w:szCs w:val="21"/>
              </w:rPr>
            </w:pPr>
            <w:r w:rsidRPr="00FC1444">
              <w:rPr>
                <w:rFonts w:eastAsiaTheme="minorEastAsia"/>
                <w:szCs w:val="21"/>
              </w:rPr>
              <w:t>0</w:t>
            </w:r>
          </w:p>
        </w:tc>
        <w:tc>
          <w:tcPr>
            <w:tcW w:w="518" w:type="pct"/>
            <w:vAlign w:val="center"/>
          </w:tcPr>
          <w:p w:rsidR="00167709" w:rsidRPr="00FC1444" w:rsidRDefault="00167709">
            <w:pPr>
              <w:jc w:val="center"/>
              <w:rPr>
                <w:rFonts w:eastAsiaTheme="minorEastAsia"/>
                <w:szCs w:val="21"/>
              </w:rPr>
            </w:pPr>
            <w:r w:rsidRPr="00FC1444">
              <w:rPr>
                <w:rFonts w:eastAsiaTheme="minorEastAsia"/>
                <w:szCs w:val="21"/>
              </w:rPr>
              <w:t>/</w:t>
            </w:r>
          </w:p>
        </w:tc>
        <w:tc>
          <w:tcPr>
            <w:tcW w:w="397" w:type="pct"/>
            <w:vAlign w:val="center"/>
          </w:tcPr>
          <w:p w:rsidR="00167709" w:rsidRPr="00FC1444" w:rsidRDefault="00167709">
            <w:pPr>
              <w:jc w:val="center"/>
              <w:rPr>
                <w:rFonts w:eastAsiaTheme="minorEastAsia"/>
                <w:szCs w:val="21"/>
              </w:rPr>
            </w:pPr>
            <w:r w:rsidRPr="00FC1444">
              <w:rPr>
                <w:rFonts w:eastAsiaTheme="minorEastAsia"/>
                <w:szCs w:val="21"/>
              </w:rPr>
              <w:t>0</w:t>
            </w:r>
          </w:p>
        </w:tc>
        <w:tc>
          <w:tcPr>
            <w:tcW w:w="490" w:type="pct"/>
            <w:vAlign w:val="center"/>
          </w:tcPr>
          <w:p w:rsidR="00167709" w:rsidRPr="00FC1444" w:rsidRDefault="00167709">
            <w:pPr>
              <w:jc w:val="center"/>
              <w:rPr>
                <w:rFonts w:eastAsiaTheme="minorEastAsia"/>
                <w:szCs w:val="21"/>
              </w:rPr>
            </w:pPr>
            <w:r w:rsidRPr="00FC1444">
              <w:rPr>
                <w:rFonts w:eastAsiaTheme="minorEastAsia"/>
                <w:szCs w:val="21"/>
              </w:rPr>
              <w:t>0</w:t>
            </w:r>
          </w:p>
        </w:tc>
        <w:tc>
          <w:tcPr>
            <w:tcW w:w="410" w:type="pct"/>
            <w:vAlign w:val="center"/>
          </w:tcPr>
          <w:p w:rsidR="00167709" w:rsidRPr="00FC1444" w:rsidRDefault="00167709">
            <w:pPr>
              <w:jc w:val="center"/>
              <w:rPr>
                <w:rFonts w:eastAsiaTheme="minorEastAsia"/>
                <w:szCs w:val="21"/>
              </w:rPr>
            </w:pPr>
            <w:r w:rsidRPr="00FC1444">
              <w:rPr>
                <w:rFonts w:eastAsiaTheme="minorEastAsia"/>
                <w:szCs w:val="21"/>
              </w:rPr>
              <w:t>/</w:t>
            </w:r>
          </w:p>
        </w:tc>
      </w:tr>
      <w:tr w:rsidR="00167709" w:rsidRPr="00FC1444" w:rsidTr="006F3063">
        <w:trPr>
          <w:trHeight w:val="510"/>
        </w:trPr>
        <w:tc>
          <w:tcPr>
            <w:tcW w:w="308" w:type="pct"/>
            <w:vMerge/>
            <w:vAlign w:val="center"/>
          </w:tcPr>
          <w:p w:rsidR="00167709" w:rsidRPr="00FC1444" w:rsidRDefault="00167709">
            <w:pPr>
              <w:widowControl/>
              <w:jc w:val="center"/>
              <w:rPr>
                <w:rFonts w:eastAsiaTheme="minorEastAsia"/>
                <w:szCs w:val="21"/>
              </w:rPr>
            </w:pPr>
          </w:p>
        </w:tc>
        <w:tc>
          <w:tcPr>
            <w:tcW w:w="400" w:type="pct"/>
            <w:vAlign w:val="center"/>
          </w:tcPr>
          <w:p w:rsidR="00167709" w:rsidRPr="00FC1444" w:rsidRDefault="00BC0DDF">
            <w:pPr>
              <w:widowControl/>
              <w:jc w:val="center"/>
              <w:rPr>
                <w:rFonts w:eastAsiaTheme="minorEastAsia"/>
                <w:szCs w:val="21"/>
              </w:rPr>
            </w:pPr>
            <w:r w:rsidRPr="00FC1444">
              <w:rPr>
                <w:rFonts w:eastAsiaTheme="minorEastAsia"/>
                <w:szCs w:val="21"/>
              </w:rPr>
              <w:t>低洼地土地平整</w:t>
            </w:r>
          </w:p>
        </w:tc>
        <w:tc>
          <w:tcPr>
            <w:tcW w:w="370" w:type="pct"/>
            <w:vAlign w:val="center"/>
          </w:tcPr>
          <w:p w:rsidR="00167709" w:rsidRPr="00FC1444" w:rsidRDefault="006F3063">
            <w:pPr>
              <w:widowControl/>
              <w:jc w:val="center"/>
              <w:textAlignment w:val="center"/>
              <w:rPr>
                <w:rFonts w:eastAsiaTheme="minorEastAsia"/>
                <w:szCs w:val="21"/>
              </w:rPr>
            </w:pPr>
            <w:r w:rsidRPr="00FC1444">
              <w:rPr>
                <w:rFonts w:hint="eastAsia"/>
              </w:rPr>
              <w:t>338420</w:t>
            </w:r>
          </w:p>
        </w:tc>
        <w:tc>
          <w:tcPr>
            <w:tcW w:w="327" w:type="pct"/>
            <w:vAlign w:val="center"/>
          </w:tcPr>
          <w:p w:rsidR="00167709" w:rsidRPr="00FC1444" w:rsidRDefault="00F6098E">
            <w:pPr>
              <w:widowControl/>
              <w:jc w:val="center"/>
              <w:textAlignment w:val="center"/>
              <w:rPr>
                <w:rFonts w:eastAsiaTheme="minorEastAsia"/>
                <w:kern w:val="0"/>
                <w:szCs w:val="21"/>
              </w:rPr>
            </w:pPr>
            <w:r w:rsidRPr="00FC1444">
              <w:rPr>
                <w:rFonts w:hint="eastAsia"/>
                <w:szCs w:val="21"/>
              </w:rPr>
              <w:t>393695</w:t>
            </w:r>
          </w:p>
        </w:tc>
        <w:tc>
          <w:tcPr>
            <w:tcW w:w="327" w:type="pct"/>
            <w:vAlign w:val="center"/>
          </w:tcPr>
          <w:p w:rsidR="00167709" w:rsidRPr="00FC1444" w:rsidRDefault="006F3063">
            <w:pPr>
              <w:widowControl/>
              <w:jc w:val="center"/>
              <w:rPr>
                <w:rFonts w:eastAsiaTheme="minorEastAsia"/>
                <w:szCs w:val="21"/>
              </w:rPr>
            </w:pPr>
            <w:r w:rsidRPr="00FC1444">
              <w:rPr>
                <w:rFonts w:hint="eastAsia"/>
              </w:rPr>
              <w:t>338420</w:t>
            </w:r>
          </w:p>
        </w:tc>
        <w:tc>
          <w:tcPr>
            <w:tcW w:w="327" w:type="pct"/>
            <w:vAlign w:val="center"/>
          </w:tcPr>
          <w:p w:rsidR="00167709" w:rsidRPr="00FC1444" w:rsidRDefault="00167709">
            <w:pPr>
              <w:jc w:val="center"/>
              <w:rPr>
                <w:rFonts w:eastAsiaTheme="minorEastAsia"/>
                <w:szCs w:val="21"/>
              </w:rPr>
            </w:pPr>
            <w:r w:rsidRPr="00FC1444">
              <w:rPr>
                <w:szCs w:val="21"/>
              </w:rPr>
              <w:t>55275</w:t>
            </w:r>
          </w:p>
        </w:tc>
        <w:tc>
          <w:tcPr>
            <w:tcW w:w="735" w:type="pct"/>
            <w:vAlign w:val="center"/>
          </w:tcPr>
          <w:p w:rsidR="00167709" w:rsidRPr="00FC1444" w:rsidRDefault="00167709" w:rsidP="00A8291D">
            <w:pPr>
              <w:jc w:val="center"/>
              <w:rPr>
                <w:rFonts w:eastAsiaTheme="minorEastAsia"/>
                <w:szCs w:val="21"/>
              </w:rPr>
            </w:pPr>
            <w:r w:rsidRPr="00FC1444">
              <w:rPr>
                <w:rFonts w:eastAsiaTheme="minorEastAsia"/>
                <w:szCs w:val="21"/>
              </w:rPr>
              <w:t>灌溉井、建筑物、农田输配电工程永久占地表土</w:t>
            </w:r>
            <w:r w:rsidR="00A8291D" w:rsidRPr="00FC1444">
              <w:rPr>
                <w:rFonts w:eastAsiaTheme="minorEastAsia" w:hint="eastAsia"/>
                <w:szCs w:val="21"/>
              </w:rPr>
              <w:t>1197</w:t>
            </w:r>
            <w:r w:rsidR="00450B12" w:rsidRPr="00FC1444">
              <w:rPr>
                <w:rFonts w:eastAsiaTheme="minorEastAsia" w:hint="eastAsia"/>
                <w:szCs w:val="21"/>
              </w:rPr>
              <w:t>、</w:t>
            </w:r>
            <w:r w:rsidR="00450B12" w:rsidRPr="00FC1444">
              <w:rPr>
                <w:rFonts w:eastAsiaTheme="minorEastAsia"/>
                <w:bCs/>
                <w:szCs w:val="21"/>
              </w:rPr>
              <w:t>田间道路工程弃方</w:t>
            </w:r>
          </w:p>
        </w:tc>
        <w:tc>
          <w:tcPr>
            <w:tcW w:w="391" w:type="pct"/>
            <w:vAlign w:val="center"/>
          </w:tcPr>
          <w:p w:rsidR="00167709" w:rsidRPr="00FC1444" w:rsidRDefault="00167709">
            <w:pPr>
              <w:jc w:val="center"/>
              <w:rPr>
                <w:rFonts w:eastAsiaTheme="minorEastAsia"/>
                <w:szCs w:val="21"/>
              </w:rPr>
            </w:pPr>
            <w:r w:rsidRPr="00FC1444">
              <w:rPr>
                <w:rFonts w:eastAsiaTheme="minorEastAsia"/>
                <w:szCs w:val="21"/>
              </w:rPr>
              <w:t>0</w:t>
            </w:r>
          </w:p>
        </w:tc>
        <w:tc>
          <w:tcPr>
            <w:tcW w:w="518" w:type="pct"/>
            <w:vAlign w:val="center"/>
          </w:tcPr>
          <w:p w:rsidR="00167709" w:rsidRPr="00FC1444" w:rsidRDefault="00167709">
            <w:pPr>
              <w:jc w:val="center"/>
              <w:rPr>
                <w:rFonts w:eastAsiaTheme="minorEastAsia"/>
                <w:szCs w:val="21"/>
              </w:rPr>
            </w:pPr>
            <w:r w:rsidRPr="00FC1444">
              <w:rPr>
                <w:rFonts w:eastAsiaTheme="minorEastAsia"/>
                <w:szCs w:val="21"/>
              </w:rPr>
              <w:t>/</w:t>
            </w:r>
          </w:p>
        </w:tc>
        <w:tc>
          <w:tcPr>
            <w:tcW w:w="397" w:type="pct"/>
            <w:vAlign w:val="center"/>
          </w:tcPr>
          <w:p w:rsidR="00167709" w:rsidRPr="00FC1444" w:rsidRDefault="00167709">
            <w:pPr>
              <w:jc w:val="center"/>
              <w:rPr>
                <w:rFonts w:eastAsiaTheme="minorEastAsia"/>
                <w:szCs w:val="21"/>
              </w:rPr>
            </w:pPr>
            <w:r w:rsidRPr="00FC1444">
              <w:rPr>
                <w:rFonts w:eastAsiaTheme="minorEastAsia"/>
                <w:szCs w:val="21"/>
              </w:rPr>
              <w:t>0</w:t>
            </w:r>
          </w:p>
        </w:tc>
        <w:tc>
          <w:tcPr>
            <w:tcW w:w="490" w:type="pct"/>
            <w:vAlign w:val="center"/>
          </w:tcPr>
          <w:p w:rsidR="00167709" w:rsidRPr="00FC1444" w:rsidRDefault="00167709">
            <w:pPr>
              <w:jc w:val="center"/>
              <w:rPr>
                <w:rFonts w:eastAsiaTheme="minorEastAsia"/>
                <w:szCs w:val="21"/>
              </w:rPr>
            </w:pPr>
            <w:r w:rsidRPr="00FC1444">
              <w:rPr>
                <w:rFonts w:eastAsiaTheme="minorEastAsia"/>
                <w:szCs w:val="21"/>
              </w:rPr>
              <w:t>0</w:t>
            </w:r>
          </w:p>
        </w:tc>
        <w:tc>
          <w:tcPr>
            <w:tcW w:w="410" w:type="pct"/>
            <w:vAlign w:val="center"/>
          </w:tcPr>
          <w:p w:rsidR="00167709" w:rsidRPr="00FC1444" w:rsidRDefault="00167709">
            <w:pPr>
              <w:jc w:val="center"/>
              <w:rPr>
                <w:rFonts w:eastAsiaTheme="minorEastAsia"/>
                <w:szCs w:val="21"/>
              </w:rPr>
            </w:pPr>
            <w:r w:rsidRPr="00FC1444">
              <w:rPr>
                <w:rFonts w:eastAsiaTheme="minorEastAsia"/>
                <w:szCs w:val="21"/>
              </w:rPr>
              <w:t>/</w:t>
            </w:r>
          </w:p>
        </w:tc>
      </w:tr>
      <w:tr w:rsidR="00167709" w:rsidRPr="00FC1444" w:rsidTr="006F3063">
        <w:trPr>
          <w:trHeight w:val="510"/>
        </w:trPr>
        <w:tc>
          <w:tcPr>
            <w:tcW w:w="308" w:type="pct"/>
            <w:vMerge/>
            <w:vAlign w:val="center"/>
          </w:tcPr>
          <w:p w:rsidR="00167709" w:rsidRPr="00FC1444" w:rsidRDefault="00167709">
            <w:pPr>
              <w:widowControl/>
              <w:jc w:val="center"/>
              <w:rPr>
                <w:rFonts w:eastAsiaTheme="minorEastAsia"/>
                <w:szCs w:val="21"/>
              </w:rPr>
            </w:pPr>
          </w:p>
        </w:tc>
        <w:tc>
          <w:tcPr>
            <w:tcW w:w="400" w:type="pct"/>
            <w:vAlign w:val="center"/>
          </w:tcPr>
          <w:p w:rsidR="00167709" w:rsidRPr="00FC1444" w:rsidRDefault="00167709">
            <w:pPr>
              <w:widowControl/>
              <w:jc w:val="center"/>
              <w:rPr>
                <w:rFonts w:eastAsiaTheme="minorEastAsia"/>
                <w:szCs w:val="21"/>
              </w:rPr>
            </w:pPr>
            <w:r w:rsidRPr="00FC1444">
              <w:rPr>
                <w:rFonts w:eastAsiaTheme="minorEastAsia"/>
                <w:szCs w:val="21"/>
              </w:rPr>
              <w:t>方格田改造</w:t>
            </w:r>
          </w:p>
        </w:tc>
        <w:tc>
          <w:tcPr>
            <w:tcW w:w="370" w:type="pct"/>
            <w:vAlign w:val="center"/>
          </w:tcPr>
          <w:p w:rsidR="00167709" w:rsidRPr="00FC1444" w:rsidRDefault="00C04989">
            <w:pPr>
              <w:widowControl/>
              <w:jc w:val="center"/>
              <w:textAlignment w:val="center"/>
              <w:rPr>
                <w:rFonts w:eastAsiaTheme="minorEastAsia"/>
                <w:szCs w:val="21"/>
              </w:rPr>
            </w:pPr>
            <w:r w:rsidRPr="00FC1444">
              <w:rPr>
                <w:rFonts w:eastAsiaTheme="minorEastAsia" w:hint="eastAsia"/>
                <w:bCs/>
                <w:snapToGrid w:val="0"/>
                <w:kern w:val="0"/>
                <w:szCs w:val="21"/>
              </w:rPr>
              <w:t>2865935</w:t>
            </w:r>
          </w:p>
        </w:tc>
        <w:tc>
          <w:tcPr>
            <w:tcW w:w="327" w:type="pct"/>
            <w:vAlign w:val="center"/>
          </w:tcPr>
          <w:p w:rsidR="00167709" w:rsidRPr="00FC1444" w:rsidRDefault="00F6098E">
            <w:pPr>
              <w:widowControl/>
              <w:jc w:val="center"/>
              <w:textAlignment w:val="center"/>
              <w:rPr>
                <w:rFonts w:eastAsiaTheme="minorEastAsia"/>
                <w:szCs w:val="21"/>
              </w:rPr>
            </w:pPr>
            <w:r w:rsidRPr="00FC1444">
              <w:rPr>
                <w:rFonts w:eastAsiaTheme="minorEastAsia" w:hint="eastAsia"/>
                <w:szCs w:val="21"/>
              </w:rPr>
              <w:t>2949584</w:t>
            </w:r>
          </w:p>
        </w:tc>
        <w:tc>
          <w:tcPr>
            <w:tcW w:w="327" w:type="pct"/>
            <w:vAlign w:val="center"/>
          </w:tcPr>
          <w:p w:rsidR="00167709" w:rsidRPr="00FC1444" w:rsidRDefault="00C04989">
            <w:pPr>
              <w:widowControl/>
              <w:jc w:val="center"/>
              <w:textAlignment w:val="center"/>
              <w:rPr>
                <w:rFonts w:eastAsiaTheme="minorEastAsia"/>
                <w:szCs w:val="21"/>
              </w:rPr>
            </w:pPr>
            <w:r w:rsidRPr="00FC1444">
              <w:rPr>
                <w:rFonts w:eastAsiaTheme="minorEastAsia" w:hint="eastAsia"/>
                <w:bCs/>
                <w:snapToGrid w:val="0"/>
                <w:kern w:val="0"/>
                <w:szCs w:val="21"/>
              </w:rPr>
              <w:t>2865935</w:t>
            </w:r>
          </w:p>
        </w:tc>
        <w:tc>
          <w:tcPr>
            <w:tcW w:w="327" w:type="pct"/>
            <w:vAlign w:val="center"/>
          </w:tcPr>
          <w:p w:rsidR="00167709" w:rsidRPr="00FC1444" w:rsidRDefault="009D7A07">
            <w:pPr>
              <w:jc w:val="center"/>
              <w:rPr>
                <w:rFonts w:eastAsiaTheme="minorEastAsia"/>
                <w:szCs w:val="21"/>
              </w:rPr>
            </w:pPr>
            <w:r w:rsidRPr="00FC1444">
              <w:rPr>
                <w:rFonts w:eastAsiaTheme="minorEastAsia"/>
                <w:szCs w:val="21"/>
              </w:rPr>
              <w:t>83649</w:t>
            </w:r>
          </w:p>
        </w:tc>
        <w:tc>
          <w:tcPr>
            <w:tcW w:w="735" w:type="pct"/>
            <w:vAlign w:val="center"/>
          </w:tcPr>
          <w:p w:rsidR="00167709" w:rsidRPr="00FC1444" w:rsidRDefault="00167709">
            <w:pPr>
              <w:jc w:val="center"/>
              <w:rPr>
                <w:rFonts w:eastAsiaTheme="minorEastAsia"/>
                <w:szCs w:val="21"/>
              </w:rPr>
            </w:pPr>
            <w:r w:rsidRPr="00FC1444">
              <w:rPr>
                <w:rFonts w:eastAsiaTheme="minorEastAsia"/>
                <w:szCs w:val="21"/>
              </w:rPr>
              <w:t>采用</w:t>
            </w:r>
            <w:r w:rsidRPr="00FC1444">
              <w:rPr>
                <w:rFonts w:eastAsiaTheme="minorEastAsia"/>
                <w:bCs/>
                <w:kern w:val="0"/>
                <w:szCs w:val="21"/>
              </w:rPr>
              <w:t>田间道路工程弃方</w:t>
            </w:r>
          </w:p>
        </w:tc>
        <w:tc>
          <w:tcPr>
            <w:tcW w:w="391" w:type="pct"/>
            <w:vAlign w:val="center"/>
          </w:tcPr>
          <w:p w:rsidR="00167709" w:rsidRPr="00FC1444" w:rsidRDefault="00167709">
            <w:pPr>
              <w:jc w:val="center"/>
              <w:rPr>
                <w:rFonts w:eastAsiaTheme="minorEastAsia"/>
                <w:szCs w:val="21"/>
              </w:rPr>
            </w:pPr>
            <w:r w:rsidRPr="00FC1444">
              <w:rPr>
                <w:rFonts w:eastAsiaTheme="minorEastAsia"/>
                <w:szCs w:val="21"/>
              </w:rPr>
              <w:t>0</w:t>
            </w:r>
          </w:p>
        </w:tc>
        <w:tc>
          <w:tcPr>
            <w:tcW w:w="518" w:type="pct"/>
            <w:vAlign w:val="center"/>
          </w:tcPr>
          <w:p w:rsidR="00167709" w:rsidRPr="00FC1444" w:rsidRDefault="00167709">
            <w:pPr>
              <w:jc w:val="center"/>
              <w:rPr>
                <w:rFonts w:eastAsiaTheme="minorEastAsia"/>
                <w:szCs w:val="21"/>
              </w:rPr>
            </w:pPr>
            <w:r w:rsidRPr="00FC1444">
              <w:rPr>
                <w:rFonts w:eastAsiaTheme="minorEastAsia"/>
                <w:szCs w:val="21"/>
              </w:rPr>
              <w:t>/</w:t>
            </w:r>
          </w:p>
        </w:tc>
        <w:tc>
          <w:tcPr>
            <w:tcW w:w="397" w:type="pct"/>
            <w:vAlign w:val="center"/>
          </w:tcPr>
          <w:p w:rsidR="00167709" w:rsidRPr="00FC1444" w:rsidRDefault="00167709">
            <w:pPr>
              <w:jc w:val="center"/>
              <w:rPr>
                <w:rFonts w:eastAsiaTheme="minorEastAsia"/>
                <w:szCs w:val="21"/>
              </w:rPr>
            </w:pPr>
            <w:r w:rsidRPr="00FC1444">
              <w:rPr>
                <w:rFonts w:eastAsiaTheme="minorEastAsia"/>
                <w:szCs w:val="21"/>
              </w:rPr>
              <w:t>0</w:t>
            </w:r>
          </w:p>
        </w:tc>
        <w:tc>
          <w:tcPr>
            <w:tcW w:w="490" w:type="pct"/>
            <w:vAlign w:val="center"/>
          </w:tcPr>
          <w:p w:rsidR="00167709" w:rsidRPr="00FC1444" w:rsidRDefault="00167709">
            <w:pPr>
              <w:jc w:val="center"/>
              <w:rPr>
                <w:rFonts w:eastAsiaTheme="minorEastAsia"/>
                <w:szCs w:val="21"/>
              </w:rPr>
            </w:pPr>
            <w:r w:rsidRPr="00FC1444">
              <w:rPr>
                <w:rFonts w:eastAsiaTheme="minorEastAsia"/>
                <w:szCs w:val="21"/>
              </w:rPr>
              <w:t>0</w:t>
            </w:r>
          </w:p>
        </w:tc>
        <w:tc>
          <w:tcPr>
            <w:tcW w:w="410" w:type="pct"/>
            <w:vAlign w:val="center"/>
          </w:tcPr>
          <w:p w:rsidR="00167709" w:rsidRPr="00FC1444" w:rsidRDefault="00167709">
            <w:pPr>
              <w:jc w:val="center"/>
              <w:rPr>
                <w:rFonts w:eastAsiaTheme="minorEastAsia"/>
                <w:szCs w:val="21"/>
              </w:rPr>
            </w:pPr>
            <w:r w:rsidRPr="00FC1444">
              <w:rPr>
                <w:rFonts w:eastAsiaTheme="minorEastAsia"/>
                <w:szCs w:val="21"/>
              </w:rPr>
              <w:t>/</w:t>
            </w:r>
          </w:p>
        </w:tc>
      </w:tr>
      <w:tr w:rsidR="000D09E3" w:rsidRPr="00FC1444" w:rsidTr="00AB2EF2">
        <w:trPr>
          <w:trHeight w:val="510"/>
        </w:trPr>
        <w:tc>
          <w:tcPr>
            <w:tcW w:w="707" w:type="pct"/>
            <w:gridSpan w:val="2"/>
            <w:vAlign w:val="center"/>
          </w:tcPr>
          <w:p w:rsidR="000D09E3" w:rsidRPr="00FC1444" w:rsidRDefault="000D09E3">
            <w:pPr>
              <w:widowControl/>
              <w:jc w:val="center"/>
              <w:rPr>
                <w:rFonts w:eastAsiaTheme="minorEastAsia"/>
                <w:szCs w:val="21"/>
              </w:rPr>
            </w:pPr>
            <w:r w:rsidRPr="00FC1444">
              <w:rPr>
                <w:rFonts w:eastAsiaTheme="minorEastAsia"/>
                <w:szCs w:val="21"/>
              </w:rPr>
              <w:t>合计</w:t>
            </w:r>
          </w:p>
        </w:tc>
        <w:tc>
          <w:tcPr>
            <w:tcW w:w="370" w:type="pct"/>
            <w:vAlign w:val="center"/>
          </w:tcPr>
          <w:p w:rsidR="000D09E3" w:rsidRPr="00FC1444" w:rsidRDefault="000D09E3">
            <w:pPr>
              <w:jc w:val="center"/>
              <w:rPr>
                <w:color w:val="000000"/>
                <w:szCs w:val="21"/>
              </w:rPr>
            </w:pPr>
            <w:r w:rsidRPr="00FC1444">
              <w:rPr>
                <w:color w:val="000000"/>
                <w:szCs w:val="21"/>
              </w:rPr>
              <w:t>4356041.4</w:t>
            </w:r>
          </w:p>
        </w:tc>
        <w:tc>
          <w:tcPr>
            <w:tcW w:w="327" w:type="pct"/>
            <w:vAlign w:val="center"/>
          </w:tcPr>
          <w:p w:rsidR="000D09E3" w:rsidRPr="00FC1444" w:rsidRDefault="000D09E3">
            <w:pPr>
              <w:jc w:val="center"/>
              <w:rPr>
                <w:color w:val="000000"/>
                <w:szCs w:val="21"/>
              </w:rPr>
            </w:pPr>
            <w:r w:rsidRPr="00FC1444">
              <w:rPr>
                <w:color w:val="000000"/>
                <w:szCs w:val="21"/>
              </w:rPr>
              <w:t>4716305.4</w:t>
            </w:r>
          </w:p>
        </w:tc>
        <w:tc>
          <w:tcPr>
            <w:tcW w:w="327" w:type="pct"/>
            <w:vAlign w:val="center"/>
          </w:tcPr>
          <w:p w:rsidR="000D09E3" w:rsidRPr="00FC1444" w:rsidRDefault="000D09E3">
            <w:pPr>
              <w:jc w:val="center"/>
              <w:rPr>
                <w:color w:val="000000"/>
                <w:szCs w:val="21"/>
              </w:rPr>
            </w:pPr>
            <w:r w:rsidRPr="00FC1444">
              <w:rPr>
                <w:color w:val="000000"/>
                <w:szCs w:val="21"/>
              </w:rPr>
              <w:t>4129871.4</w:t>
            </w:r>
          </w:p>
        </w:tc>
        <w:tc>
          <w:tcPr>
            <w:tcW w:w="327" w:type="pct"/>
            <w:vAlign w:val="center"/>
          </w:tcPr>
          <w:p w:rsidR="000D09E3" w:rsidRPr="00FC1444" w:rsidRDefault="000D09E3">
            <w:pPr>
              <w:jc w:val="center"/>
              <w:rPr>
                <w:color w:val="000000"/>
                <w:szCs w:val="21"/>
              </w:rPr>
            </w:pPr>
            <w:r w:rsidRPr="00FC1444">
              <w:rPr>
                <w:color w:val="000000"/>
                <w:szCs w:val="21"/>
              </w:rPr>
              <w:t>586434</w:t>
            </w:r>
          </w:p>
        </w:tc>
        <w:tc>
          <w:tcPr>
            <w:tcW w:w="735" w:type="pct"/>
            <w:vAlign w:val="center"/>
          </w:tcPr>
          <w:p w:rsidR="000D09E3" w:rsidRPr="00FC1444" w:rsidRDefault="000D09E3">
            <w:pPr>
              <w:jc w:val="center"/>
              <w:rPr>
                <w:rFonts w:eastAsiaTheme="minorEastAsia"/>
                <w:szCs w:val="21"/>
              </w:rPr>
            </w:pPr>
            <w:r w:rsidRPr="00FC1444">
              <w:rPr>
                <w:rFonts w:eastAsiaTheme="minorEastAsia"/>
                <w:szCs w:val="21"/>
              </w:rPr>
              <w:t>/</w:t>
            </w:r>
          </w:p>
        </w:tc>
        <w:tc>
          <w:tcPr>
            <w:tcW w:w="391" w:type="pct"/>
            <w:vAlign w:val="center"/>
          </w:tcPr>
          <w:p w:rsidR="000D09E3" w:rsidRPr="00FC1444" w:rsidRDefault="000D09E3">
            <w:pPr>
              <w:jc w:val="center"/>
              <w:rPr>
                <w:rFonts w:eastAsiaTheme="minorEastAsia"/>
                <w:szCs w:val="21"/>
              </w:rPr>
            </w:pPr>
            <w:r w:rsidRPr="00FC1444">
              <w:rPr>
                <w:rFonts w:eastAsiaTheme="minorEastAsia" w:hint="eastAsia"/>
                <w:szCs w:val="21"/>
              </w:rPr>
              <w:t>211220</w:t>
            </w:r>
          </w:p>
        </w:tc>
        <w:tc>
          <w:tcPr>
            <w:tcW w:w="518" w:type="pct"/>
            <w:vAlign w:val="center"/>
          </w:tcPr>
          <w:p w:rsidR="000D09E3" w:rsidRPr="00FC1444" w:rsidRDefault="000D09E3">
            <w:pPr>
              <w:jc w:val="center"/>
              <w:rPr>
                <w:rFonts w:eastAsiaTheme="minorEastAsia"/>
                <w:szCs w:val="21"/>
              </w:rPr>
            </w:pPr>
            <w:r w:rsidRPr="00FC1444">
              <w:rPr>
                <w:rFonts w:eastAsiaTheme="minorEastAsia"/>
                <w:szCs w:val="21"/>
              </w:rPr>
              <w:t>/</w:t>
            </w:r>
          </w:p>
        </w:tc>
        <w:tc>
          <w:tcPr>
            <w:tcW w:w="397" w:type="pct"/>
            <w:vAlign w:val="center"/>
          </w:tcPr>
          <w:p w:rsidR="000D09E3" w:rsidRPr="00FC1444" w:rsidRDefault="000D09E3" w:rsidP="00D302ED">
            <w:pPr>
              <w:jc w:val="center"/>
              <w:rPr>
                <w:rFonts w:eastAsiaTheme="minorEastAsia"/>
                <w:szCs w:val="21"/>
              </w:rPr>
            </w:pPr>
            <w:r w:rsidRPr="00FC1444">
              <w:rPr>
                <w:rFonts w:eastAsiaTheme="minorEastAsia" w:hint="eastAsia"/>
                <w:szCs w:val="21"/>
              </w:rPr>
              <w:t>211220</w:t>
            </w:r>
          </w:p>
        </w:tc>
        <w:tc>
          <w:tcPr>
            <w:tcW w:w="490" w:type="pct"/>
            <w:vAlign w:val="center"/>
          </w:tcPr>
          <w:p w:rsidR="000D09E3" w:rsidRPr="00FC1444" w:rsidRDefault="000D09E3" w:rsidP="007A65D0">
            <w:pPr>
              <w:jc w:val="center"/>
              <w:rPr>
                <w:szCs w:val="21"/>
              </w:rPr>
            </w:pPr>
            <w:r w:rsidRPr="00FC1444">
              <w:rPr>
                <w:rFonts w:hint="eastAsia"/>
                <w:szCs w:val="21"/>
              </w:rPr>
              <w:t>149</w:t>
            </w:r>
            <w:r w:rsidR="007A65D0" w:rsidRPr="00FC1444">
              <w:rPr>
                <w:rFonts w:hint="eastAsia"/>
                <w:szCs w:val="21"/>
              </w:rPr>
              <w:t>50</w:t>
            </w:r>
          </w:p>
        </w:tc>
        <w:tc>
          <w:tcPr>
            <w:tcW w:w="410" w:type="pct"/>
            <w:vAlign w:val="center"/>
          </w:tcPr>
          <w:p w:rsidR="000D09E3" w:rsidRPr="00FC1444" w:rsidRDefault="000D09E3">
            <w:pPr>
              <w:jc w:val="center"/>
              <w:rPr>
                <w:rFonts w:eastAsiaTheme="minorEastAsia"/>
                <w:szCs w:val="21"/>
              </w:rPr>
            </w:pPr>
            <w:r w:rsidRPr="00FC1444">
              <w:rPr>
                <w:rFonts w:eastAsiaTheme="minorEastAsia"/>
                <w:szCs w:val="21"/>
              </w:rPr>
              <w:t>/</w:t>
            </w:r>
          </w:p>
        </w:tc>
      </w:tr>
    </w:tbl>
    <w:p w:rsidR="002A5A5E" w:rsidRPr="00FC1444" w:rsidRDefault="00611CBA">
      <w:pPr>
        <w:spacing w:line="360" w:lineRule="auto"/>
        <w:ind w:firstLineChars="200" w:firstLine="480"/>
        <w:contextualSpacing/>
        <w:rPr>
          <w:rFonts w:eastAsiaTheme="minorEastAsia"/>
          <w:kern w:val="0"/>
          <w:sz w:val="24"/>
          <w:szCs w:val="20"/>
        </w:rPr>
      </w:pPr>
      <w:r w:rsidRPr="00FC1444">
        <w:rPr>
          <w:rFonts w:eastAsiaTheme="minorEastAsia"/>
          <w:kern w:val="0"/>
          <w:sz w:val="24"/>
          <w:szCs w:val="20"/>
        </w:rPr>
        <w:t>表土平衡：</w:t>
      </w:r>
    </w:p>
    <w:p w:rsidR="002A5A5E" w:rsidRPr="00FC1444" w:rsidRDefault="00611CBA">
      <w:pPr>
        <w:spacing w:line="360" w:lineRule="auto"/>
        <w:ind w:firstLineChars="200" w:firstLine="480"/>
        <w:contextualSpacing/>
        <w:rPr>
          <w:rFonts w:eastAsiaTheme="minorEastAsia"/>
          <w:kern w:val="0"/>
          <w:sz w:val="24"/>
          <w:szCs w:val="20"/>
        </w:rPr>
      </w:pPr>
      <w:r w:rsidRPr="00FC1444">
        <w:rPr>
          <w:rFonts w:eastAsiaTheme="minorEastAsia"/>
          <w:kern w:val="0"/>
          <w:sz w:val="24"/>
          <w:szCs w:val="20"/>
        </w:rPr>
        <w:t>本项目灌溉井工程、</w:t>
      </w:r>
      <w:r w:rsidRPr="00FC1444">
        <w:rPr>
          <w:rFonts w:eastAsiaTheme="minorEastAsia"/>
          <w:bCs/>
          <w:kern w:val="0"/>
          <w:sz w:val="24"/>
          <w:szCs w:val="20"/>
        </w:rPr>
        <w:t>建筑物工程</w:t>
      </w:r>
      <w:r w:rsidRPr="00FC1444">
        <w:rPr>
          <w:rFonts w:eastAsiaTheme="minorEastAsia"/>
          <w:kern w:val="0"/>
          <w:sz w:val="24"/>
          <w:szCs w:val="20"/>
        </w:rPr>
        <w:t>永久占地在工程建设前对表土进行剥离，剥离厚度约</w:t>
      </w:r>
      <w:r w:rsidRPr="00FC1444">
        <w:rPr>
          <w:rFonts w:eastAsiaTheme="minorEastAsia"/>
          <w:kern w:val="0"/>
          <w:sz w:val="24"/>
          <w:szCs w:val="20"/>
        </w:rPr>
        <w:t>30cm</w:t>
      </w:r>
      <w:r w:rsidRPr="00FC1444">
        <w:rPr>
          <w:rFonts w:eastAsiaTheme="minorEastAsia"/>
          <w:kern w:val="0"/>
          <w:sz w:val="24"/>
          <w:szCs w:val="20"/>
        </w:rPr>
        <w:t>。灌溉井工程永久占地</w:t>
      </w:r>
      <w:r w:rsidR="009E0E9C" w:rsidRPr="00FC1444">
        <w:rPr>
          <w:rFonts w:eastAsiaTheme="minorEastAsia" w:hint="eastAsia"/>
          <w:kern w:val="0"/>
          <w:sz w:val="24"/>
          <w:szCs w:val="20"/>
        </w:rPr>
        <w:t>393</w:t>
      </w:r>
      <w:r w:rsidRPr="00FC1444">
        <w:rPr>
          <w:rFonts w:eastAsiaTheme="minorEastAsia"/>
          <w:kern w:val="0"/>
          <w:sz w:val="24"/>
          <w:szCs w:val="20"/>
        </w:rPr>
        <w:t>m</w:t>
      </w:r>
      <w:r w:rsidRPr="00FC1444">
        <w:rPr>
          <w:rFonts w:eastAsiaTheme="minorEastAsia"/>
          <w:kern w:val="0"/>
          <w:sz w:val="24"/>
          <w:szCs w:val="20"/>
          <w:vertAlign w:val="superscript"/>
        </w:rPr>
        <w:t>2</w:t>
      </w:r>
      <w:r w:rsidRPr="00FC1444">
        <w:rPr>
          <w:rFonts w:eastAsiaTheme="minorEastAsia"/>
          <w:kern w:val="0"/>
          <w:sz w:val="24"/>
          <w:szCs w:val="20"/>
        </w:rPr>
        <w:t>，</w:t>
      </w:r>
      <w:r w:rsidRPr="00FC1444">
        <w:rPr>
          <w:rFonts w:eastAsiaTheme="minorEastAsia"/>
          <w:bCs/>
          <w:kern w:val="0"/>
          <w:sz w:val="24"/>
          <w:szCs w:val="20"/>
        </w:rPr>
        <w:t>建筑物工程</w:t>
      </w:r>
      <w:r w:rsidRPr="00FC1444">
        <w:rPr>
          <w:rFonts w:eastAsiaTheme="minorEastAsia"/>
          <w:kern w:val="0"/>
          <w:sz w:val="24"/>
          <w:szCs w:val="20"/>
        </w:rPr>
        <w:t>永久占地</w:t>
      </w:r>
      <w:r w:rsidR="009E0E9C" w:rsidRPr="00FC1444">
        <w:rPr>
          <w:rFonts w:eastAsiaTheme="minorEastAsia" w:hint="eastAsia"/>
          <w:kern w:val="0"/>
          <w:sz w:val="24"/>
          <w:szCs w:val="20"/>
        </w:rPr>
        <w:t>35</w:t>
      </w:r>
      <w:r w:rsidRPr="00FC1444">
        <w:rPr>
          <w:rFonts w:eastAsiaTheme="minorEastAsia"/>
          <w:kern w:val="0"/>
          <w:sz w:val="24"/>
          <w:szCs w:val="20"/>
        </w:rPr>
        <w:t>00m</w:t>
      </w:r>
      <w:r w:rsidRPr="00FC1444">
        <w:rPr>
          <w:rFonts w:eastAsiaTheme="minorEastAsia"/>
          <w:kern w:val="0"/>
          <w:sz w:val="24"/>
          <w:szCs w:val="20"/>
          <w:vertAlign w:val="superscript"/>
        </w:rPr>
        <w:t>2</w:t>
      </w:r>
      <w:r w:rsidRPr="00FC1444">
        <w:rPr>
          <w:rFonts w:eastAsiaTheme="minorEastAsia"/>
          <w:kern w:val="0"/>
          <w:sz w:val="24"/>
          <w:szCs w:val="20"/>
        </w:rPr>
        <w:t>，输配电工程水泥杆永久占地</w:t>
      </w:r>
      <w:r w:rsidR="009E0E9C" w:rsidRPr="00FC1444">
        <w:rPr>
          <w:rFonts w:eastAsiaTheme="minorEastAsia" w:hint="eastAsia"/>
          <w:kern w:val="0"/>
          <w:sz w:val="24"/>
          <w:szCs w:val="20"/>
        </w:rPr>
        <w:t>97</w:t>
      </w:r>
      <w:r w:rsidRPr="00FC1444">
        <w:rPr>
          <w:rFonts w:eastAsiaTheme="minorEastAsia"/>
          <w:kern w:val="0"/>
          <w:sz w:val="24"/>
          <w:szCs w:val="20"/>
        </w:rPr>
        <w:t>m</w:t>
      </w:r>
      <w:r w:rsidRPr="00FC1444">
        <w:rPr>
          <w:rFonts w:eastAsiaTheme="minorEastAsia"/>
          <w:kern w:val="0"/>
          <w:sz w:val="24"/>
          <w:szCs w:val="20"/>
          <w:vertAlign w:val="superscript"/>
        </w:rPr>
        <w:t>2</w:t>
      </w:r>
      <w:r w:rsidRPr="00FC1444">
        <w:rPr>
          <w:rFonts w:eastAsiaTheme="minorEastAsia"/>
          <w:kern w:val="0"/>
          <w:sz w:val="24"/>
          <w:szCs w:val="20"/>
        </w:rPr>
        <w:t>，故永久占地表土剥离量</w:t>
      </w:r>
      <w:r w:rsidR="009E0E9C" w:rsidRPr="00FC1444">
        <w:rPr>
          <w:rFonts w:eastAsiaTheme="minorEastAsia" w:hint="eastAsia"/>
          <w:kern w:val="0"/>
          <w:sz w:val="24"/>
          <w:szCs w:val="20"/>
        </w:rPr>
        <w:t>1197</w:t>
      </w:r>
      <w:r w:rsidRPr="00FC1444">
        <w:rPr>
          <w:rFonts w:eastAsiaTheme="minorEastAsia"/>
          <w:kern w:val="0"/>
          <w:sz w:val="24"/>
          <w:szCs w:val="20"/>
        </w:rPr>
        <w:t>m</w:t>
      </w:r>
      <w:r w:rsidRPr="00FC1444">
        <w:rPr>
          <w:rFonts w:eastAsiaTheme="minorEastAsia"/>
          <w:kern w:val="0"/>
          <w:sz w:val="24"/>
          <w:szCs w:val="20"/>
          <w:vertAlign w:val="superscript"/>
        </w:rPr>
        <w:t>3</w:t>
      </w:r>
      <w:r w:rsidRPr="00FC1444">
        <w:rPr>
          <w:rFonts w:eastAsiaTheme="minorEastAsia"/>
          <w:kern w:val="0"/>
          <w:sz w:val="24"/>
          <w:szCs w:val="20"/>
        </w:rPr>
        <w:t>（灌溉井</w:t>
      </w:r>
      <w:r w:rsidR="009E0E9C" w:rsidRPr="00FC1444">
        <w:rPr>
          <w:rFonts w:eastAsiaTheme="minorEastAsia" w:hint="eastAsia"/>
          <w:kern w:val="0"/>
          <w:sz w:val="24"/>
          <w:szCs w:val="20"/>
        </w:rPr>
        <w:t>117.9</w:t>
      </w:r>
      <w:r w:rsidRPr="00FC1444">
        <w:rPr>
          <w:rFonts w:eastAsiaTheme="minorEastAsia"/>
          <w:kern w:val="0"/>
          <w:sz w:val="24"/>
          <w:szCs w:val="20"/>
        </w:rPr>
        <w:t>、</w:t>
      </w:r>
      <w:r w:rsidRPr="00FC1444">
        <w:rPr>
          <w:rFonts w:eastAsiaTheme="minorEastAsia"/>
          <w:bCs/>
          <w:kern w:val="0"/>
          <w:sz w:val="24"/>
          <w:szCs w:val="20"/>
        </w:rPr>
        <w:t>建筑物</w:t>
      </w:r>
      <w:r w:rsidR="009E0E9C" w:rsidRPr="00FC1444">
        <w:rPr>
          <w:rFonts w:eastAsiaTheme="minorEastAsia" w:hint="eastAsia"/>
          <w:kern w:val="0"/>
          <w:sz w:val="24"/>
          <w:szCs w:val="20"/>
        </w:rPr>
        <w:t>1050</w:t>
      </w:r>
      <w:r w:rsidRPr="00FC1444">
        <w:rPr>
          <w:rFonts w:eastAsiaTheme="minorEastAsia"/>
          <w:kern w:val="0"/>
          <w:sz w:val="24"/>
          <w:szCs w:val="20"/>
        </w:rPr>
        <w:t>、输配电</w:t>
      </w:r>
      <w:r w:rsidR="009E0E9C" w:rsidRPr="00FC1444">
        <w:rPr>
          <w:rFonts w:eastAsiaTheme="minorEastAsia" w:hint="eastAsia"/>
          <w:kern w:val="0"/>
          <w:sz w:val="24"/>
          <w:szCs w:val="20"/>
        </w:rPr>
        <w:t>29.1</w:t>
      </w:r>
      <w:r w:rsidRPr="00FC1444">
        <w:rPr>
          <w:rFonts w:eastAsiaTheme="minorEastAsia"/>
          <w:kern w:val="0"/>
          <w:sz w:val="24"/>
          <w:szCs w:val="20"/>
        </w:rPr>
        <w:t>），剥离后的表土在施工现场贮存，永久占地表土用</w:t>
      </w:r>
      <w:r w:rsidRPr="00FC1444">
        <w:rPr>
          <w:rFonts w:eastAsiaTheme="minorEastAsia"/>
          <w:kern w:val="0"/>
          <w:sz w:val="24"/>
          <w:szCs w:val="20"/>
        </w:rPr>
        <w:lastRenderedPageBreak/>
        <w:t>于田块整治工程</w:t>
      </w:r>
      <w:r w:rsidR="00BC0DDF" w:rsidRPr="00FC1444">
        <w:rPr>
          <w:rFonts w:eastAsiaTheme="minorEastAsia"/>
          <w:kern w:val="0"/>
          <w:sz w:val="24"/>
          <w:szCs w:val="20"/>
        </w:rPr>
        <w:t>低洼地土地平整</w:t>
      </w:r>
      <w:r w:rsidRPr="00FC1444">
        <w:rPr>
          <w:rFonts w:eastAsiaTheme="minorEastAsia"/>
          <w:kern w:val="0"/>
          <w:sz w:val="24"/>
          <w:szCs w:val="20"/>
        </w:rPr>
        <w:t>。</w:t>
      </w:r>
    </w:p>
    <w:p w:rsidR="002A5A5E" w:rsidRPr="00FC1444" w:rsidRDefault="00611CBA">
      <w:pPr>
        <w:spacing w:line="360" w:lineRule="auto"/>
        <w:ind w:firstLineChars="200" w:firstLine="480"/>
        <w:contextualSpacing/>
        <w:rPr>
          <w:rFonts w:eastAsiaTheme="minorEastAsia"/>
          <w:kern w:val="0"/>
          <w:sz w:val="24"/>
          <w:szCs w:val="20"/>
        </w:rPr>
      </w:pPr>
      <w:r w:rsidRPr="00FC1444">
        <w:rPr>
          <w:rFonts w:eastAsiaTheme="minorEastAsia"/>
          <w:bCs/>
          <w:kern w:val="0"/>
          <w:sz w:val="24"/>
          <w:szCs w:val="20"/>
        </w:rPr>
        <w:t>田块整治</w:t>
      </w:r>
      <w:r w:rsidR="00F74680" w:rsidRPr="00FC1444">
        <w:rPr>
          <w:rFonts w:eastAsiaTheme="minorEastAsia"/>
          <w:bCs/>
          <w:kern w:val="0"/>
          <w:sz w:val="24"/>
          <w:szCs w:val="20"/>
        </w:rPr>
        <w:t>部分</w:t>
      </w:r>
      <w:r w:rsidRPr="00FC1444">
        <w:rPr>
          <w:rFonts w:eastAsiaTheme="minorEastAsia"/>
          <w:bCs/>
          <w:kern w:val="0"/>
          <w:sz w:val="24"/>
          <w:szCs w:val="20"/>
        </w:rPr>
        <w:t>工程表土</w:t>
      </w:r>
      <w:r w:rsidRPr="00FC1444">
        <w:rPr>
          <w:rFonts w:eastAsiaTheme="minorEastAsia"/>
          <w:kern w:val="0"/>
          <w:sz w:val="24"/>
          <w:szCs w:val="20"/>
        </w:rPr>
        <w:t>剥离厚度约</w:t>
      </w:r>
      <w:r w:rsidRPr="00FC1444">
        <w:rPr>
          <w:rFonts w:eastAsiaTheme="minorEastAsia"/>
          <w:kern w:val="0"/>
          <w:sz w:val="24"/>
          <w:szCs w:val="20"/>
        </w:rPr>
        <w:t>25cm</w:t>
      </w:r>
      <w:r w:rsidRPr="00FC1444">
        <w:rPr>
          <w:rFonts w:eastAsiaTheme="minorEastAsia"/>
          <w:kern w:val="0"/>
          <w:sz w:val="24"/>
          <w:szCs w:val="20"/>
        </w:rPr>
        <w:t>。表土剥离量</w:t>
      </w:r>
      <w:r w:rsidR="00B16F10" w:rsidRPr="00FC1444">
        <w:rPr>
          <w:rFonts w:eastAsiaTheme="minorEastAsia" w:hint="eastAsia"/>
          <w:kern w:val="0"/>
          <w:sz w:val="24"/>
          <w:szCs w:val="20"/>
        </w:rPr>
        <w:t>3420634</w:t>
      </w:r>
      <w:r w:rsidRPr="00FC1444">
        <w:rPr>
          <w:rFonts w:eastAsiaTheme="minorEastAsia"/>
          <w:kern w:val="0"/>
          <w:sz w:val="24"/>
          <w:szCs w:val="20"/>
        </w:rPr>
        <w:t>m</w:t>
      </w:r>
      <w:r w:rsidRPr="00FC1444">
        <w:rPr>
          <w:rFonts w:eastAsiaTheme="minorEastAsia"/>
          <w:kern w:val="0"/>
          <w:sz w:val="24"/>
          <w:szCs w:val="20"/>
          <w:vertAlign w:val="superscript"/>
        </w:rPr>
        <w:t>3</w:t>
      </w:r>
      <w:r w:rsidRPr="00FC1444">
        <w:rPr>
          <w:rFonts w:eastAsiaTheme="minorEastAsia"/>
          <w:bCs/>
          <w:kern w:val="0"/>
          <w:sz w:val="24"/>
          <w:szCs w:val="20"/>
        </w:rPr>
        <w:t>，</w:t>
      </w:r>
      <w:r w:rsidRPr="00FC1444">
        <w:rPr>
          <w:rFonts w:eastAsiaTheme="minorEastAsia"/>
          <w:kern w:val="0"/>
          <w:sz w:val="24"/>
          <w:szCs w:val="20"/>
        </w:rPr>
        <w:t>剥离后的表土在施工现场贮存，用于田块整治工程表土恢复。</w:t>
      </w:r>
    </w:p>
    <w:p w:rsidR="002A5A5E" w:rsidRPr="00FC1444" w:rsidRDefault="00611CBA">
      <w:pPr>
        <w:spacing w:line="360" w:lineRule="auto"/>
        <w:ind w:firstLineChars="200" w:firstLine="480"/>
        <w:contextualSpacing/>
        <w:rPr>
          <w:rFonts w:eastAsiaTheme="minorEastAsia"/>
          <w:kern w:val="0"/>
          <w:sz w:val="24"/>
          <w:szCs w:val="20"/>
        </w:rPr>
      </w:pPr>
      <w:r w:rsidRPr="00FC1444">
        <w:rPr>
          <w:rFonts w:eastAsiaTheme="minorEastAsia"/>
          <w:kern w:val="0"/>
          <w:sz w:val="24"/>
          <w:szCs w:val="20"/>
        </w:rPr>
        <w:t>项目施工过程中会设置施工场地、施工道路，为临时占地，需要对表土进行剥离，剥离厚度约</w:t>
      </w:r>
      <w:r w:rsidRPr="00FC1444">
        <w:rPr>
          <w:rFonts w:eastAsiaTheme="minorEastAsia"/>
          <w:kern w:val="0"/>
          <w:sz w:val="24"/>
          <w:szCs w:val="20"/>
        </w:rPr>
        <w:t>30cm</w:t>
      </w:r>
      <w:r w:rsidRPr="00FC1444">
        <w:rPr>
          <w:rFonts w:eastAsiaTheme="minorEastAsia"/>
          <w:kern w:val="0"/>
          <w:sz w:val="24"/>
          <w:szCs w:val="20"/>
        </w:rPr>
        <w:t>，本项目临时占用共</w:t>
      </w:r>
      <w:r w:rsidR="008A02BD" w:rsidRPr="00FC1444">
        <w:rPr>
          <w:rFonts w:eastAsiaTheme="minorEastAsia"/>
          <w:kern w:val="0"/>
          <w:sz w:val="24"/>
          <w:szCs w:val="20"/>
        </w:rPr>
        <w:t>513022</w:t>
      </w:r>
      <w:r w:rsidRPr="00FC1444">
        <w:rPr>
          <w:rFonts w:eastAsiaTheme="minorEastAsia"/>
          <w:kern w:val="0"/>
          <w:sz w:val="24"/>
          <w:szCs w:val="20"/>
        </w:rPr>
        <w:t>m</w:t>
      </w:r>
      <w:r w:rsidRPr="00FC1444">
        <w:rPr>
          <w:rFonts w:eastAsiaTheme="minorEastAsia"/>
          <w:kern w:val="0"/>
          <w:sz w:val="24"/>
          <w:szCs w:val="20"/>
          <w:vertAlign w:val="superscript"/>
        </w:rPr>
        <w:t>2</w:t>
      </w:r>
      <w:r w:rsidRPr="00FC1444">
        <w:rPr>
          <w:rFonts w:eastAsiaTheme="minorEastAsia"/>
          <w:kern w:val="0"/>
          <w:sz w:val="24"/>
          <w:szCs w:val="20"/>
        </w:rPr>
        <w:t>（灌溉井</w:t>
      </w:r>
      <w:r w:rsidR="009E0E9C" w:rsidRPr="00FC1444">
        <w:rPr>
          <w:rFonts w:eastAsiaTheme="minorEastAsia" w:hint="eastAsia"/>
          <w:kern w:val="0"/>
          <w:sz w:val="24"/>
          <w:szCs w:val="20"/>
        </w:rPr>
        <w:t>4620</w:t>
      </w:r>
      <w:r w:rsidRPr="00FC1444">
        <w:rPr>
          <w:rFonts w:eastAsiaTheme="minorEastAsia"/>
          <w:kern w:val="0"/>
          <w:sz w:val="24"/>
          <w:szCs w:val="20"/>
        </w:rPr>
        <w:t>、建筑物</w:t>
      </w:r>
      <w:r w:rsidR="00E734F1" w:rsidRPr="00FC1444">
        <w:rPr>
          <w:rFonts w:eastAsiaTheme="minorEastAsia"/>
          <w:kern w:val="0"/>
          <w:sz w:val="24"/>
          <w:szCs w:val="20"/>
        </w:rPr>
        <w:t>29000</w:t>
      </w:r>
      <w:r w:rsidRPr="00FC1444">
        <w:rPr>
          <w:rFonts w:eastAsiaTheme="minorEastAsia"/>
          <w:kern w:val="0"/>
          <w:sz w:val="24"/>
          <w:szCs w:val="20"/>
        </w:rPr>
        <w:t>、输配电</w:t>
      </w:r>
      <w:r w:rsidR="009E0E9C" w:rsidRPr="00FC1444">
        <w:rPr>
          <w:rFonts w:eastAsiaTheme="minorEastAsia"/>
          <w:kern w:val="0"/>
          <w:sz w:val="24"/>
          <w:szCs w:val="20"/>
        </w:rPr>
        <w:t>479402</w:t>
      </w:r>
      <w:r w:rsidRPr="00FC1444">
        <w:rPr>
          <w:rFonts w:eastAsiaTheme="minorEastAsia"/>
          <w:kern w:val="0"/>
          <w:sz w:val="24"/>
          <w:szCs w:val="20"/>
        </w:rPr>
        <w:t>），临时占地表土剥离总量</w:t>
      </w:r>
      <w:r w:rsidR="009E0E9C" w:rsidRPr="00FC1444">
        <w:rPr>
          <w:rFonts w:eastAsiaTheme="minorEastAsia" w:hint="eastAsia"/>
          <w:kern w:val="0"/>
          <w:sz w:val="24"/>
          <w:szCs w:val="20"/>
        </w:rPr>
        <w:t>153907</w:t>
      </w:r>
      <w:r w:rsidRPr="00FC1444">
        <w:rPr>
          <w:rFonts w:eastAsiaTheme="minorEastAsia"/>
          <w:kern w:val="0"/>
          <w:sz w:val="24"/>
          <w:szCs w:val="20"/>
        </w:rPr>
        <w:t>m</w:t>
      </w:r>
      <w:r w:rsidRPr="00FC1444">
        <w:rPr>
          <w:rFonts w:eastAsiaTheme="minorEastAsia"/>
          <w:kern w:val="0"/>
          <w:sz w:val="24"/>
          <w:szCs w:val="20"/>
          <w:vertAlign w:val="superscript"/>
        </w:rPr>
        <w:t>3</w:t>
      </w:r>
      <w:r w:rsidRPr="00FC1444">
        <w:rPr>
          <w:rFonts w:eastAsiaTheme="minorEastAsia"/>
          <w:kern w:val="0"/>
          <w:sz w:val="24"/>
          <w:szCs w:val="20"/>
        </w:rPr>
        <w:t>（灌溉井</w:t>
      </w:r>
      <w:r w:rsidR="009E0E9C" w:rsidRPr="00FC1444">
        <w:rPr>
          <w:rFonts w:eastAsiaTheme="minorEastAsia" w:hint="eastAsia"/>
          <w:kern w:val="0"/>
          <w:sz w:val="24"/>
          <w:szCs w:val="20"/>
        </w:rPr>
        <w:t>1386</w:t>
      </w:r>
      <w:r w:rsidRPr="00FC1444">
        <w:rPr>
          <w:rFonts w:eastAsiaTheme="minorEastAsia"/>
          <w:kern w:val="0"/>
          <w:sz w:val="24"/>
          <w:szCs w:val="20"/>
        </w:rPr>
        <w:t>、建筑物</w:t>
      </w:r>
      <w:r w:rsidR="00E734F1" w:rsidRPr="00FC1444">
        <w:rPr>
          <w:rFonts w:eastAsiaTheme="minorEastAsia"/>
          <w:kern w:val="0"/>
          <w:sz w:val="24"/>
          <w:szCs w:val="20"/>
        </w:rPr>
        <w:t>8700</w:t>
      </w:r>
      <w:r w:rsidRPr="00FC1444">
        <w:rPr>
          <w:rFonts w:eastAsiaTheme="minorEastAsia"/>
          <w:kern w:val="0"/>
          <w:sz w:val="24"/>
          <w:szCs w:val="20"/>
        </w:rPr>
        <w:t>、输配电</w:t>
      </w:r>
      <w:r w:rsidR="009E0E9C" w:rsidRPr="00FC1444">
        <w:rPr>
          <w:rFonts w:eastAsiaTheme="minorEastAsia" w:hint="eastAsia"/>
          <w:kern w:val="0"/>
          <w:sz w:val="24"/>
          <w:szCs w:val="20"/>
        </w:rPr>
        <w:t>143821</w:t>
      </w:r>
      <w:r w:rsidRPr="00FC1444">
        <w:rPr>
          <w:rFonts w:eastAsiaTheme="minorEastAsia"/>
          <w:kern w:val="0"/>
          <w:sz w:val="24"/>
          <w:szCs w:val="20"/>
        </w:rPr>
        <w:t>），临时占地的表土分层剥离，分别堆放在输配电工程、灌溉井、建筑物等施工场地内，并加盖苫布，贮存过程严格按照表土贮存要求，施工结束后，进行表土分层回填措施，使其逐渐恢复其原有生态系统。</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3-1-1</w:t>
      </w:r>
      <w:r w:rsidR="002A51BB" w:rsidRPr="00FC1444">
        <w:rPr>
          <w:rFonts w:eastAsiaTheme="minorEastAsia" w:hint="eastAsia"/>
          <w:b/>
          <w:kern w:val="0"/>
          <w:szCs w:val="21"/>
        </w:rPr>
        <w:t>3</w:t>
      </w:r>
      <w:r w:rsidRPr="00FC1444">
        <w:rPr>
          <w:rFonts w:eastAsiaTheme="minorEastAsia"/>
          <w:b/>
          <w:kern w:val="0"/>
          <w:szCs w:val="21"/>
        </w:rPr>
        <w:t>表土平衡表</w:t>
      </w:r>
      <w:r w:rsidRPr="00FC1444">
        <w:rPr>
          <w:rFonts w:eastAsiaTheme="minorEastAsia"/>
          <w:b/>
          <w:kern w:val="0"/>
          <w:szCs w:val="21"/>
        </w:rPr>
        <w:t xml:space="preserve">         </w:t>
      </w:r>
      <w:r w:rsidRPr="00FC1444">
        <w:rPr>
          <w:rFonts w:eastAsiaTheme="minorEastAsia"/>
          <w:b/>
          <w:kern w:val="0"/>
          <w:szCs w:val="21"/>
        </w:rPr>
        <w:t>单位：</w:t>
      </w:r>
      <w:r w:rsidRPr="00FC1444">
        <w:rPr>
          <w:rFonts w:eastAsiaTheme="minorEastAsia"/>
          <w:b/>
          <w:kern w:val="0"/>
          <w:szCs w:val="21"/>
        </w:rPr>
        <w:t>m</w:t>
      </w:r>
      <w:r w:rsidRPr="00FC1444">
        <w:rPr>
          <w:rFonts w:eastAsiaTheme="minorEastAsia"/>
          <w:b/>
          <w:kern w:val="0"/>
          <w:szCs w:val="21"/>
          <w:vertAlign w:val="superscript"/>
        </w:rPr>
        <w:t>3</w:t>
      </w:r>
    </w:p>
    <w:tbl>
      <w:tblPr>
        <w:tblW w:w="5018" w:type="pct"/>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tblPr>
      <w:tblGrid>
        <w:gridCol w:w="263"/>
        <w:gridCol w:w="268"/>
        <w:gridCol w:w="791"/>
        <w:gridCol w:w="692"/>
        <w:gridCol w:w="708"/>
        <w:gridCol w:w="567"/>
        <w:gridCol w:w="1135"/>
        <w:gridCol w:w="707"/>
        <w:gridCol w:w="994"/>
        <w:gridCol w:w="992"/>
        <w:gridCol w:w="708"/>
        <w:gridCol w:w="567"/>
      </w:tblGrid>
      <w:tr w:rsidR="002A5A5E" w:rsidRPr="00FC1444" w:rsidTr="00BA2329">
        <w:trPr>
          <w:trHeight w:val="89"/>
        </w:trPr>
        <w:tc>
          <w:tcPr>
            <w:tcW w:w="316" w:type="pct"/>
            <w:gridSpan w:val="2"/>
            <w:vMerge w:val="restar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工程名称</w:t>
            </w:r>
          </w:p>
        </w:tc>
        <w:tc>
          <w:tcPr>
            <w:tcW w:w="471" w:type="pct"/>
            <w:vMerge w:val="restar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挖方</w:t>
            </w:r>
          </w:p>
        </w:tc>
        <w:tc>
          <w:tcPr>
            <w:tcW w:w="412" w:type="pct"/>
            <w:vMerge w:val="restar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填方</w:t>
            </w:r>
          </w:p>
        </w:tc>
        <w:tc>
          <w:tcPr>
            <w:tcW w:w="422" w:type="pct"/>
            <w:vMerge w:val="restar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利用方</w:t>
            </w:r>
          </w:p>
        </w:tc>
        <w:tc>
          <w:tcPr>
            <w:tcW w:w="1014" w:type="pct"/>
            <w:gridSpan w:val="2"/>
            <w:vAlign w:val="center"/>
          </w:tcPr>
          <w:p w:rsidR="002A5A5E" w:rsidRPr="00FC1444" w:rsidRDefault="00611CBA">
            <w:pPr>
              <w:widowControl/>
              <w:jc w:val="center"/>
              <w:rPr>
                <w:rFonts w:eastAsiaTheme="minorEastAsia"/>
                <w:kern w:val="0"/>
                <w:szCs w:val="21"/>
              </w:rPr>
            </w:pPr>
            <w:r w:rsidRPr="00FC1444">
              <w:rPr>
                <w:rFonts w:eastAsiaTheme="minorEastAsia"/>
                <w:szCs w:val="21"/>
              </w:rPr>
              <w:t>借方</w:t>
            </w:r>
          </w:p>
        </w:tc>
        <w:tc>
          <w:tcPr>
            <w:tcW w:w="1013" w:type="pct"/>
            <w:gridSpan w:val="2"/>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区域内调出方</w:t>
            </w:r>
          </w:p>
        </w:tc>
        <w:tc>
          <w:tcPr>
            <w:tcW w:w="591"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区域内调入方</w:t>
            </w:r>
          </w:p>
        </w:tc>
        <w:tc>
          <w:tcPr>
            <w:tcW w:w="760" w:type="pct"/>
            <w:gridSpan w:val="2"/>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弃方</w:t>
            </w:r>
          </w:p>
        </w:tc>
      </w:tr>
      <w:tr w:rsidR="002A5A5E" w:rsidRPr="00FC1444" w:rsidTr="00BA2329">
        <w:trPr>
          <w:trHeight w:val="282"/>
        </w:trPr>
        <w:tc>
          <w:tcPr>
            <w:tcW w:w="316" w:type="pct"/>
            <w:gridSpan w:val="2"/>
            <w:vMerge/>
            <w:vAlign w:val="center"/>
          </w:tcPr>
          <w:p w:rsidR="002A5A5E" w:rsidRPr="00FC1444" w:rsidRDefault="002A5A5E">
            <w:pPr>
              <w:jc w:val="center"/>
              <w:rPr>
                <w:rFonts w:eastAsiaTheme="minorEastAsia"/>
                <w:szCs w:val="21"/>
              </w:rPr>
            </w:pPr>
          </w:p>
        </w:tc>
        <w:tc>
          <w:tcPr>
            <w:tcW w:w="471" w:type="pct"/>
            <w:vMerge/>
            <w:vAlign w:val="center"/>
          </w:tcPr>
          <w:p w:rsidR="002A5A5E" w:rsidRPr="00FC1444" w:rsidRDefault="002A5A5E">
            <w:pPr>
              <w:jc w:val="center"/>
              <w:rPr>
                <w:rFonts w:eastAsiaTheme="minorEastAsia"/>
                <w:szCs w:val="21"/>
              </w:rPr>
            </w:pPr>
          </w:p>
        </w:tc>
        <w:tc>
          <w:tcPr>
            <w:tcW w:w="412" w:type="pct"/>
            <w:vMerge/>
            <w:vAlign w:val="center"/>
          </w:tcPr>
          <w:p w:rsidR="002A5A5E" w:rsidRPr="00FC1444" w:rsidRDefault="002A5A5E">
            <w:pPr>
              <w:jc w:val="center"/>
              <w:rPr>
                <w:rFonts w:eastAsiaTheme="minorEastAsia"/>
                <w:szCs w:val="21"/>
              </w:rPr>
            </w:pPr>
          </w:p>
        </w:tc>
        <w:tc>
          <w:tcPr>
            <w:tcW w:w="422" w:type="pct"/>
            <w:vMerge/>
            <w:vAlign w:val="center"/>
          </w:tcPr>
          <w:p w:rsidR="002A5A5E" w:rsidRPr="00FC1444" w:rsidRDefault="002A5A5E">
            <w:pPr>
              <w:widowControl/>
              <w:jc w:val="center"/>
              <w:rPr>
                <w:rFonts w:eastAsiaTheme="minorEastAsia"/>
                <w:kern w:val="0"/>
                <w:szCs w:val="21"/>
              </w:rPr>
            </w:pPr>
          </w:p>
        </w:tc>
        <w:tc>
          <w:tcPr>
            <w:tcW w:w="338"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数量</w:t>
            </w:r>
          </w:p>
        </w:tc>
        <w:tc>
          <w:tcPr>
            <w:tcW w:w="676"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来源</w:t>
            </w:r>
          </w:p>
        </w:tc>
        <w:tc>
          <w:tcPr>
            <w:tcW w:w="421"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数量</w:t>
            </w:r>
          </w:p>
        </w:tc>
        <w:tc>
          <w:tcPr>
            <w:tcW w:w="592"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去向</w:t>
            </w:r>
          </w:p>
        </w:tc>
        <w:tc>
          <w:tcPr>
            <w:tcW w:w="591"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数量</w:t>
            </w:r>
          </w:p>
        </w:tc>
        <w:tc>
          <w:tcPr>
            <w:tcW w:w="422"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数量</w:t>
            </w:r>
          </w:p>
        </w:tc>
        <w:tc>
          <w:tcPr>
            <w:tcW w:w="338" w:type="pct"/>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去向</w:t>
            </w:r>
          </w:p>
        </w:tc>
      </w:tr>
      <w:tr w:rsidR="002A5A5E" w:rsidRPr="00FC1444" w:rsidTr="00BA2329">
        <w:trPr>
          <w:trHeight w:val="455"/>
        </w:trPr>
        <w:tc>
          <w:tcPr>
            <w:tcW w:w="316" w:type="pct"/>
            <w:gridSpan w:val="2"/>
            <w:vAlign w:val="center"/>
          </w:tcPr>
          <w:p w:rsidR="002A5A5E" w:rsidRPr="00FC1444" w:rsidRDefault="00611CBA">
            <w:pPr>
              <w:widowControl/>
              <w:jc w:val="center"/>
              <w:rPr>
                <w:rFonts w:eastAsiaTheme="minorEastAsia"/>
                <w:kern w:val="0"/>
                <w:szCs w:val="21"/>
              </w:rPr>
            </w:pPr>
            <w:r w:rsidRPr="00FC1444">
              <w:rPr>
                <w:rFonts w:eastAsiaTheme="minorEastAsia"/>
                <w:szCs w:val="21"/>
              </w:rPr>
              <w:t>农田输配电工程</w:t>
            </w:r>
          </w:p>
        </w:tc>
        <w:tc>
          <w:tcPr>
            <w:tcW w:w="471" w:type="pct"/>
            <w:vAlign w:val="center"/>
          </w:tcPr>
          <w:p w:rsidR="002A5A5E" w:rsidRPr="00FC1444" w:rsidRDefault="00E748FB" w:rsidP="00E748FB">
            <w:pPr>
              <w:jc w:val="center"/>
              <w:rPr>
                <w:rFonts w:eastAsiaTheme="minorEastAsia"/>
                <w:bCs/>
                <w:szCs w:val="21"/>
              </w:rPr>
            </w:pPr>
            <w:r w:rsidRPr="00FC1444">
              <w:rPr>
                <w:rFonts w:eastAsiaTheme="minorEastAsia" w:hint="eastAsia"/>
                <w:bCs/>
                <w:szCs w:val="21"/>
              </w:rPr>
              <w:t>143850.1</w:t>
            </w:r>
          </w:p>
        </w:tc>
        <w:tc>
          <w:tcPr>
            <w:tcW w:w="412" w:type="pct"/>
            <w:vAlign w:val="center"/>
          </w:tcPr>
          <w:p w:rsidR="002A5A5E" w:rsidRPr="00FC1444" w:rsidRDefault="00E748FB">
            <w:pPr>
              <w:jc w:val="center"/>
              <w:rPr>
                <w:rFonts w:eastAsiaTheme="minorEastAsia"/>
                <w:szCs w:val="21"/>
              </w:rPr>
            </w:pPr>
            <w:r w:rsidRPr="00FC1444">
              <w:rPr>
                <w:rFonts w:eastAsiaTheme="minorEastAsia" w:hint="eastAsia"/>
                <w:kern w:val="0"/>
                <w:szCs w:val="21"/>
              </w:rPr>
              <w:t>143821</w:t>
            </w:r>
          </w:p>
        </w:tc>
        <w:tc>
          <w:tcPr>
            <w:tcW w:w="422" w:type="pct"/>
            <w:vAlign w:val="center"/>
          </w:tcPr>
          <w:p w:rsidR="002A5A5E" w:rsidRPr="00FC1444" w:rsidRDefault="00E748FB">
            <w:pPr>
              <w:widowControl/>
              <w:jc w:val="center"/>
              <w:rPr>
                <w:rFonts w:eastAsiaTheme="minorEastAsia"/>
                <w:kern w:val="0"/>
                <w:szCs w:val="21"/>
              </w:rPr>
            </w:pPr>
            <w:r w:rsidRPr="00FC1444">
              <w:rPr>
                <w:rFonts w:eastAsiaTheme="minorEastAsia" w:hint="eastAsia"/>
                <w:kern w:val="0"/>
                <w:szCs w:val="21"/>
              </w:rPr>
              <w:t>143821</w:t>
            </w:r>
          </w:p>
        </w:tc>
        <w:tc>
          <w:tcPr>
            <w:tcW w:w="338" w:type="pct"/>
            <w:vAlign w:val="center"/>
          </w:tcPr>
          <w:p w:rsidR="002A5A5E" w:rsidRPr="00FC1444" w:rsidRDefault="00611CBA">
            <w:pPr>
              <w:jc w:val="center"/>
              <w:rPr>
                <w:rFonts w:eastAsiaTheme="minorEastAsia"/>
                <w:szCs w:val="21"/>
              </w:rPr>
            </w:pPr>
            <w:r w:rsidRPr="00FC1444">
              <w:rPr>
                <w:rFonts w:eastAsiaTheme="minorEastAsia"/>
                <w:szCs w:val="21"/>
              </w:rPr>
              <w:t>0</w:t>
            </w:r>
          </w:p>
        </w:tc>
        <w:tc>
          <w:tcPr>
            <w:tcW w:w="676" w:type="pct"/>
            <w:vAlign w:val="center"/>
          </w:tcPr>
          <w:p w:rsidR="002A5A5E" w:rsidRPr="00FC1444" w:rsidRDefault="00611CBA">
            <w:pPr>
              <w:jc w:val="center"/>
              <w:rPr>
                <w:rFonts w:eastAsiaTheme="minorEastAsia"/>
                <w:szCs w:val="21"/>
              </w:rPr>
            </w:pPr>
            <w:r w:rsidRPr="00FC1444">
              <w:rPr>
                <w:rFonts w:eastAsiaTheme="minorEastAsia"/>
                <w:szCs w:val="21"/>
              </w:rPr>
              <w:t>/</w:t>
            </w:r>
          </w:p>
        </w:tc>
        <w:tc>
          <w:tcPr>
            <w:tcW w:w="421" w:type="pct"/>
            <w:vAlign w:val="center"/>
          </w:tcPr>
          <w:p w:rsidR="002A5A5E" w:rsidRPr="00FC1444" w:rsidRDefault="00E748FB">
            <w:pPr>
              <w:jc w:val="center"/>
              <w:rPr>
                <w:rFonts w:eastAsiaTheme="minorEastAsia"/>
                <w:szCs w:val="21"/>
              </w:rPr>
            </w:pPr>
            <w:r w:rsidRPr="00FC1444">
              <w:rPr>
                <w:rFonts w:eastAsiaTheme="minorEastAsia" w:hint="eastAsia"/>
                <w:szCs w:val="21"/>
              </w:rPr>
              <w:t>29.1</w:t>
            </w:r>
          </w:p>
        </w:tc>
        <w:tc>
          <w:tcPr>
            <w:tcW w:w="592" w:type="pct"/>
            <w:vAlign w:val="center"/>
          </w:tcPr>
          <w:p w:rsidR="002A5A5E" w:rsidRPr="00FC1444" w:rsidRDefault="00611CBA">
            <w:pPr>
              <w:jc w:val="center"/>
              <w:rPr>
                <w:rFonts w:eastAsiaTheme="minorEastAsia"/>
                <w:szCs w:val="21"/>
              </w:rPr>
            </w:pPr>
            <w:r w:rsidRPr="00FC1444">
              <w:rPr>
                <w:rFonts w:eastAsiaTheme="minorEastAsia"/>
                <w:szCs w:val="21"/>
              </w:rPr>
              <w:t>田块整治工程</w:t>
            </w:r>
          </w:p>
        </w:tc>
        <w:tc>
          <w:tcPr>
            <w:tcW w:w="591" w:type="pct"/>
            <w:vAlign w:val="center"/>
          </w:tcPr>
          <w:p w:rsidR="002A5A5E" w:rsidRPr="00FC1444" w:rsidRDefault="00E748FB">
            <w:pPr>
              <w:jc w:val="center"/>
              <w:rPr>
                <w:rFonts w:eastAsiaTheme="minorEastAsia"/>
                <w:szCs w:val="21"/>
              </w:rPr>
            </w:pPr>
            <w:r w:rsidRPr="00FC1444">
              <w:rPr>
                <w:rFonts w:eastAsiaTheme="minorEastAsia" w:hint="eastAsia"/>
                <w:szCs w:val="21"/>
              </w:rPr>
              <w:t>29.1</w:t>
            </w:r>
          </w:p>
        </w:tc>
        <w:tc>
          <w:tcPr>
            <w:tcW w:w="422" w:type="pct"/>
            <w:vAlign w:val="center"/>
          </w:tcPr>
          <w:p w:rsidR="002A5A5E" w:rsidRPr="00FC1444" w:rsidRDefault="00611CBA">
            <w:pPr>
              <w:jc w:val="center"/>
              <w:rPr>
                <w:rFonts w:eastAsiaTheme="minorEastAsia"/>
                <w:szCs w:val="21"/>
              </w:rPr>
            </w:pPr>
            <w:r w:rsidRPr="00FC1444">
              <w:rPr>
                <w:rFonts w:eastAsiaTheme="minorEastAsia"/>
                <w:szCs w:val="21"/>
              </w:rPr>
              <w:t>0</w:t>
            </w:r>
          </w:p>
        </w:tc>
        <w:tc>
          <w:tcPr>
            <w:tcW w:w="338" w:type="pct"/>
            <w:vAlign w:val="center"/>
          </w:tcPr>
          <w:p w:rsidR="002A5A5E" w:rsidRPr="00FC1444" w:rsidRDefault="00611CBA">
            <w:pPr>
              <w:jc w:val="center"/>
              <w:rPr>
                <w:rFonts w:eastAsiaTheme="minorEastAsia"/>
                <w:szCs w:val="21"/>
              </w:rPr>
            </w:pPr>
            <w:r w:rsidRPr="00FC1444">
              <w:rPr>
                <w:rFonts w:eastAsiaTheme="minorEastAsia"/>
                <w:szCs w:val="21"/>
              </w:rPr>
              <w:t>/</w:t>
            </w:r>
          </w:p>
        </w:tc>
      </w:tr>
      <w:tr w:rsidR="002A5A5E" w:rsidRPr="00FC1444" w:rsidTr="001E454C">
        <w:trPr>
          <w:trHeight w:val="587"/>
        </w:trPr>
        <w:tc>
          <w:tcPr>
            <w:tcW w:w="157" w:type="pct"/>
            <w:vMerge w:val="restart"/>
            <w:vAlign w:val="center"/>
          </w:tcPr>
          <w:p w:rsidR="002A5A5E" w:rsidRPr="00FC1444" w:rsidRDefault="00611CBA">
            <w:pPr>
              <w:widowControl/>
              <w:jc w:val="center"/>
              <w:rPr>
                <w:rFonts w:eastAsiaTheme="minorEastAsia"/>
                <w:kern w:val="0"/>
                <w:szCs w:val="21"/>
              </w:rPr>
            </w:pPr>
            <w:r w:rsidRPr="00FC1444">
              <w:rPr>
                <w:rFonts w:eastAsiaTheme="minorEastAsia"/>
                <w:szCs w:val="21"/>
              </w:rPr>
              <w:t>灌溉与排水工程</w:t>
            </w:r>
          </w:p>
        </w:tc>
        <w:tc>
          <w:tcPr>
            <w:tcW w:w="160" w:type="pct"/>
            <w:vAlign w:val="center"/>
          </w:tcPr>
          <w:p w:rsidR="002A5A5E" w:rsidRPr="00FC1444" w:rsidRDefault="00611CBA">
            <w:pPr>
              <w:widowControl/>
              <w:jc w:val="center"/>
              <w:rPr>
                <w:rFonts w:eastAsiaTheme="minorEastAsia"/>
                <w:szCs w:val="21"/>
              </w:rPr>
            </w:pPr>
            <w:r w:rsidRPr="00FC1444">
              <w:rPr>
                <w:rFonts w:eastAsiaTheme="minorEastAsia"/>
                <w:szCs w:val="21"/>
              </w:rPr>
              <w:t>灌溉井</w:t>
            </w:r>
          </w:p>
        </w:tc>
        <w:tc>
          <w:tcPr>
            <w:tcW w:w="471" w:type="pct"/>
            <w:vAlign w:val="center"/>
          </w:tcPr>
          <w:p w:rsidR="002A5A5E" w:rsidRPr="00FC1444" w:rsidRDefault="00E748FB">
            <w:pPr>
              <w:jc w:val="center"/>
              <w:rPr>
                <w:rFonts w:eastAsiaTheme="minorEastAsia"/>
                <w:bCs/>
                <w:szCs w:val="21"/>
              </w:rPr>
            </w:pPr>
            <w:r w:rsidRPr="00FC1444">
              <w:rPr>
                <w:rFonts w:eastAsiaTheme="minorEastAsia" w:hint="eastAsia"/>
                <w:bCs/>
                <w:szCs w:val="21"/>
              </w:rPr>
              <w:t>1503.9</w:t>
            </w:r>
          </w:p>
        </w:tc>
        <w:tc>
          <w:tcPr>
            <w:tcW w:w="412" w:type="pct"/>
            <w:vAlign w:val="center"/>
          </w:tcPr>
          <w:p w:rsidR="002A5A5E" w:rsidRPr="00FC1444" w:rsidRDefault="00E748FB">
            <w:pPr>
              <w:jc w:val="center"/>
              <w:rPr>
                <w:rFonts w:eastAsiaTheme="minorEastAsia"/>
                <w:szCs w:val="21"/>
              </w:rPr>
            </w:pPr>
            <w:r w:rsidRPr="00FC1444">
              <w:rPr>
                <w:rFonts w:eastAsiaTheme="minorEastAsia" w:hint="eastAsia"/>
                <w:szCs w:val="21"/>
              </w:rPr>
              <w:t>1386</w:t>
            </w:r>
          </w:p>
        </w:tc>
        <w:tc>
          <w:tcPr>
            <w:tcW w:w="422" w:type="pct"/>
            <w:vAlign w:val="center"/>
          </w:tcPr>
          <w:p w:rsidR="002A5A5E" w:rsidRPr="00FC1444" w:rsidRDefault="00E748FB">
            <w:pPr>
              <w:widowControl/>
              <w:jc w:val="center"/>
              <w:rPr>
                <w:rFonts w:eastAsiaTheme="minorEastAsia"/>
                <w:kern w:val="0"/>
                <w:szCs w:val="21"/>
              </w:rPr>
            </w:pPr>
            <w:r w:rsidRPr="00FC1444">
              <w:rPr>
                <w:rFonts w:eastAsiaTheme="minorEastAsia" w:hint="eastAsia"/>
                <w:kern w:val="0"/>
                <w:szCs w:val="21"/>
              </w:rPr>
              <w:t>1386</w:t>
            </w:r>
          </w:p>
        </w:tc>
        <w:tc>
          <w:tcPr>
            <w:tcW w:w="338" w:type="pct"/>
            <w:vAlign w:val="center"/>
          </w:tcPr>
          <w:p w:rsidR="002A5A5E" w:rsidRPr="00FC1444" w:rsidRDefault="00611CBA">
            <w:pPr>
              <w:jc w:val="center"/>
              <w:rPr>
                <w:rFonts w:eastAsiaTheme="minorEastAsia"/>
                <w:szCs w:val="21"/>
              </w:rPr>
            </w:pPr>
            <w:r w:rsidRPr="00FC1444">
              <w:rPr>
                <w:rFonts w:eastAsiaTheme="minorEastAsia"/>
                <w:szCs w:val="21"/>
              </w:rPr>
              <w:t>0</w:t>
            </w:r>
          </w:p>
        </w:tc>
        <w:tc>
          <w:tcPr>
            <w:tcW w:w="676" w:type="pct"/>
            <w:vAlign w:val="center"/>
          </w:tcPr>
          <w:p w:rsidR="002A5A5E" w:rsidRPr="00FC1444" w:rsidRDefault="00611CBA">
            <w:pPr>
              <w:jc w:val="center"/>
              <w:rPr>
                <w:rFonts w:eastAsiaTheme="minorEastAsia"/>
                <w:szCs w:val="21"/>
              </w:rPr>
            </w:pPr>
            <w:r w:rsidRPr="00FC1444">
              <w:rPr>
                <w:rFonts w:eastAsiaTheme="minorEastAsia"/>
                <w:szCs w:val="21"/>
              </w:rPr>
              <w:t>/</w:t>
            </w:r>
          </w:p>
        </w:tc>
        <w:tc>
          <w:tcPr>
            <w:tcW w:w="421" w:type="pct"/>
            <w:vAlign w:val="center"/>
          </w:tcPr>
          <w:p w:rsidR="002A5A5E" w:rsidRPr="00FC1444" w:rsidRDefault="00E748FB">
            <w:pPr>
              <w:jc w:val="center"/>
              <w:rPr>
                <w:rFonts w:eastAsiaTheme="minorEastAsia"/>
                <w:szCs w:val="21"/>
              </w:rPr>
            </w:pPr>
            <w:r w:rsidRPr="00FC1444">
              <w:rPr>
                <w:rFonts w:eastAsiaTheme="minorEastAsia" w:hint="eastAsia"/>
                <w:szCs w:val="21"/>
              </w:rPr>
              <w:t>117.9</w:t>
            </w:r>
          </w:p>
        </w:tc>
        <w:tc>
          <w:tcPr>
            <w:tcW w:w="592" w:type="pct"/>
            <w:vAlign w:val="center"/>
          </w:tcPr>
          <w:p w:rsidR="002A5A5E" w:rsidRPr="00FC1444" w:rsidRDefault="00611CBA">
            <w:pPr>
              <w:jc w:val="center"/>
              <w:rPr>
                <w:rFonts w:eastAsiaTheme="minorEastAsia"/>
                <w:szCs w:val="21"/>
              </w:rPr>
            </w:pPr>
            <w:r w:rsidRPr="00FC1444">
              <w:rPr>
                <w:rFonts w:eastAsiaTheme="minorEastAsia"/>
                <w:szCs w:val="21"/>
              </w:rPr>
              <w:t>田块整治工程</w:t>
            </w:r>
          </w:p>
        </w:tc>
        <w:tc>
          <w:tcPr>
            <w:tcW w:w="591" w:type="pct"/>
            <w:vAlign w:val="center"/>
          </w:tcPr>
          <w:p w:rsidR="002A5A5E" w:rsidRPr="00FC1444" w:rsidRDefault="00E748FB">
            <w:pPr>
              <w:jc w:val="center"/>
              <w:rPr>
                <w:rFonts w:eastAsiaTheme="minorEastAsia"/>
                <w:szCs w:val="21"/>
              </w:rPr>
            </w:pPr>
            <w:r w:rsidRPr="00FC1444">
              <w:rPr>
                <w:rFonts w:eastAsiaTheme="minorEastAsia" w:hint="eastAsia"/>
                <w:szCs w:val="21"/>
              </w:rPr>
              <w:t>117.9</w:t>
            </w:r>
          </w:p>
        </w:tc>
        <w:tc>
          <w:tcPr>
            <w:tcW w:w="422" w:type="pct"/>
            <w:vAlign w:val="center"/>
          </w:tcPr>
          <w:p w:rsidR="002A5A5E" w:rsidRPr="00FC1444" w:rsidRDefault="00611CBA">
            <w:pPr>
              <w:jc w:val="center"/>
              <w:rPr>
                <w:rFonts w:eastAsiaTheme="minorEastAsia"/>
                <w:szCs w:val="21"/>
              </w:rPr>
            </w:pPr>
            <w:r w:rsidRPr="00FC1444">
              <w:rPr>
                <w:rFonts w:eastAsiaTheme="minorEastAsia"/>
                <w:szCs w:val="21"/>
              </w:rPr>
              <w:t>0</w:t>
            </w:r>
          </w:p>
        </w:tc>
        <w:tc>
          <w:tcPr>
            <w:tcW w:w="338" w:type="pct"/>
            <w:vAlign w:val="center"/>
          </w:tcPr>
          <w:p w:rsidR="002A5A5E" w:rsidRPr="00FC1444" w:rsidRDefault="00611CBA">
            <w:pPr>
              <w:jc w:val="center"/>
              <w:rPr>
                <w:rFonts w:eastAsiaTheme="minorEastAsia"/>
                <w:szCs w:val="21"/>
              </w:rPr>
            </w:pPr>
            <w:r w:rsidRPr="00FC1444">
              <w:rPr>
                <w:rFonts w:eastAsiaTheme="minorEastAsia"/>
                <w:szCs w:val="21"/>
              </w:rPr>
              <w:t>/</w:t>
            </w:r>
          </w:p>
        </w:tc>
      </w:tr>
      <w:tr w:rsidR="002A5A5E" w:rsidRPr="00FC1444" w:rsidTr="001E454C">
        <w:trPr>
          <w:trHeight w:val="587"/>
        </w:trPr>
        <w:tc>
          <w:tcPr>
            <w:tcW w:w="157" w:type="pct"/>
            <w:vMerge/>
            <w:vAlign w:val="center"/>
          </w:tcPr>
          <w:p w:rsidR="002A5A5E" w:rsidRPr="00FC1444" w:rsidRDefault="002A5A5E">
            <w:pPr>
              <w:widowControl/>
              <w:jc w:val="center"/>
              <w:rPr>
                <w:rFonts w:eastAsiaTheme="minorEastAsia"/>
                <w:szCs w:val="21"/>
              </w:rPr>
            </w:pPr>
          </w:p>
        </w:tc>
        <w:tc>
          <w:tcPr>
            <w:tcW w:w="160" w:type="pct"/>
            <w:vAlign w:val="center"/>
          </w:tcPr>
          <w:p w:rsidR="002A5A5E" w:rsidRPr="00FC1444" w:rsidRDefault="00611CBA">
            <w:pPr>
              <w:widowControl/>
              <w:jc w:val="center"/>
              <w:rPr>
                <w:rFonts w:eastAsiaTheme="minorEastAsia"/>
                <w:szCs w:val="21"/>
              </w:rPr>
            </w:pPr>
            <w:r w:rsidRPr="00FC1444">
              <w:rPr>
                <w:rFonts w:eastAsiaTheme="minorEastAsia"/>
                <w:szCs w:val="21"/>
              </w:rPr>
              <w:t>建筑物</w:t>
            </w:r>
          </w:p>
        </w:tc>
        <w:tc>
          <w:tcPr>
            <w:tcW w:w="471" w:type="pct"/>
            <w:vAlign w:val="center"/>
          </w:tcPr>
          <w:p w:rsidR="002A5A5E" w:rsidRPr="00FC1444" w:rsidRDefault="00E748FB" w:rsidP="00E748FB">
            <w:pPr>
              <w:jc w:val="center"/>
              <w:rPr>
                <w:rFonts w:eastAsiaTheme="minorEastAsia"/>
                <w:szCs w:val="21"/>
              </w:rPr>
            </w:pPr>
            <w:r w:rsidRPr="00FC1444">
              <w:rPr>
                <w:rFonts w:eastAsiaTheme="minorEastAsia" w:hint="eastAsia"/>
                <w:szCs w:val="21"/>
              </w:rPr>
              <w:t>9750</w:t>
            </w:r>
          </w:p>
        </w:tc>
        <w:tc>
          <w:tcPr>
            <w:tcW w:w="412" w:type="pct"/>
            <w:vAlign w:val="center"/>
          </w:tcPr>
          <w:p w:rsidR="002A5A5E" w:rsidRPr="00FC1444" w:rsidRDefault="001E454C">
            <w:pPr>
              <w:jc w:val="center"/>
              <w:rPr>
                <w:rFonts w:eastAsiaTheme="minorEastAsia"/>
                <w:szCs w:val="21"/>
              </w:rPr>
            </w:pPr>
            <w:r w:rsidRPr="00FC1444">
              <w:rPr>
                <w:rFonts w:eastAsiaTheme="minorEastAsia"/>
                <w:szCs w:val="21"/>
              </w:rPr>
              <w:t>8700</w:t>
            </w:r>
          </w:p>
        </w:tc>
        <w:tc>
          <w:tcPr>
            <w:tcW w:w="422" w:type="pct"/>
            <w:vAlign w:val="center"/>
          </w:tcPr>
          <w:p w:rsidR="002A5A5E" w:rsidRPr="00FC1444" w:rsidRDefault="001E454C" w:rsidP="001E454C">
            <w:pPr>
              <w:jc w:val="center"/>
              <w:rPr>
                <w:rFonts w:eastAsiaTheme="minorEastAsia"/>
                <w:szCs w:val="21"/>
              </w:rPr>
            </w:pPr>
            <w:r w:rsidRPr="00FC1444">
              <w:rPr>
                <w:rFonts w:eastAsiaTheme="minorEastAsia"/>
                <w:szCs w:val="21"/>
              </w:rPr>
              <w:t>8700</w:t>
            </w:r>
          </w:p>
        </w:tc>
        <w:tc>
          <w:tcPr>
            <w:tcW w:w="338" w:type="pct"/>
            <w:vAlign w:val="center"/>
          </w:tcPr>
          <w:p w:rsidR="002A5A5E" w:rsidRPr="00FC1444" w:rsidRDefault="00611CBA">
            <w:pPr>
              <w:jc w:val="center"/>
              <w:rPr>
                <w:rFonts w:eastAsiaTheme="minorEastAsia"/>
                <w:szCs w:val="21"/>
              </w:rPr>
            </w:pPr>
            <w:r w:rsidRPr="00FC1444">
              <w:rPr>
                <w:rFonts w:eastAsiaTheme="minorEastAsia"/>
                <w:szCs w:val="21"/>
              </w:rPr>
              <w:t>0</w:t>
            </w:r>
          </w:p>
        </w:tc>
        <w:tc>
          <w:tcPr>
            <w:tcW w:w="676" w:type="pct"/>
            <w:vAlign w:val="center"/>
          </w:tcPr>
          <w:p w:rsidR="002A5A5E" w:rsidRPr="00FC1444" w:rsidRDefault="00611CBA">
            <w:pPr>
              <w:jc w:val="center"/>
              <w:rPr>
                <w:rFonts w:eastAsiaTheme="minorEastAsia"/>
                <w:szCs w:val="21"/>
              </w:rPr>
            </w:pPr>
            <w:r w:rsidRPr="00FC1444">
              <w:rPr>
                <w:rFonts w:eastAsiaTheme="minorEastAsia"/>
                <w:szCs w:val="21"/>
              </w:rPr>
              <w:t>/</w:t>
            </w:r>
          </w:p>
        </w:tc>
        <w:tc>
          <w:tcPr>
            <w:tcW w:w="421" w:type="pct"/>
            <w:vAlign w:val="center"/>
          </w:tcPr>
          <w:p w:rsidR="002A5A5E" w:rsidRPr="00FC1444" w:rsidRDefault="00E748FB">
            <w:pPr>
              <w:jc w:val="center"/>
              <w:rPr>
                <w:rFonts w:eastAsiaTheme="minorEastAsia"/>
                <w:szCs w:val="21"/>
              </w:rPr>
            </w:pPr>
            <w:r w:rsidRPr="00FC1444">
              <w:rPr>
                <w:rFonts w:eastAsiaTheme="minorEastAsia" w:hint="eastAsia"/>
                <w:szCs w:val="21"/>
              </w:rPr>
              <w:t>1050</w:t>
            </w:r>
          </w:p>
        </w:tc>
        <w:tc>
          <w:tcPr>
            <w:tcW w:w="592" w:type="pct"/>
            <w:vAlign w:val="center"/>
          </w:tcPr>
          <w:p w:rsidR="002A5A5E" w:rsidRPr="00FC1444" w:rsidRDefault="00611CBA">
            <w:pPr>
              <w:jc w:val="center"/>
              <w:rPr>
                <w:rFonts w:eastAsiaTheme="minorEastAsia"/>
                <w:szCs w:val="21"/>
              </w:rPr>
            </w:pPr>
            <w:r w:rsidRPr="00FC1444">
              <w:rPr>
                <w:rFonts w:eastAsiaTheme="minorEastAsia"/>
                <w:szCs w:val="21"/>
              </w:rPr>
              <w:t>田块整治工程</w:t>
            </w:r>
          </w:p>
        </w:tc>
        <w:tc>
          <w:tcPr>
            <w:tcW w:w="591" w:type="pct"/>
            <w:vAlign w:val="center"/>
          </w:tcPr>
          <w:p w:rsidR="002A5A5E" w:rsidRPr="00FC1444" w:rsidRDefault="00E748FB">
            <w:pPr>
              <w:jc w:val="center"/>
              <w:rPr>
                <w:rFonts w:eastAsiaTheme="minorEastAsia"/>
                <w:szCs w:val="21"/>
              </w:rPr>
            </w:pPr>
            <w:r w:rsidRPr="00FC1444">
              <w:rPr>
                <w:rFonts w:eastAsiaTheme="minorEastAsia" w:hint="eastAsia"/>
                <w:szCs w:val="21"/>
              </w:rPr>
              <w:t>1050</w:t>
            </w:r>
          </w:p>
        </w:tc>
        <w:tc>
          <w:tcPr>
            <w:tcW w:w="422" w:type="pct"/>
            <w:vAlign w:val="center"/>
          </w:tcPr>
          <w:p w:rsidR="002A5A5E" w:rsidRPr="00FC1444" w:rsidRDefault="00611CBA">
            <w:pPr>
              <w:jc w:val="center"/>
              <w:rPr>
                <w:rFonts w:eastAsiaTheme="minorEastAsia"/>
                <w:szCs w:val="21"/>
              </w:rPr>
            </w:pPr>
            <w:r w:rsidRPr="00FC1444">
              <w:rPr>
                <w:rFonts w:eastAsiaTheme="minorEastAsia"/>
                <w:szCs w:val="21"/>
              </w:rPr>
              <w:t>0</w:t>
            </w:r>
          </w:p>
        </w:tc>
        <w:tc>
          <w:tcPr>
            <w:tcW w:w="338" w:type="pct"/>
            <w:vAlign w:val="center"/>
          </w:tcPr>
          <w:p w:rsidR="002A5A5E" w:rsidRPr="00FC1444" w:rsidRDefault="00611CBA">
            <w:pPr>
              <w:jc w:val="center"/>
              <w:rPr>
                <w:rFonts w:eastAsiaTheme="minorEastAsia"/>
                <w:szCs w:val="21"/>
              </w:rPr>
            </w:pPr>
            <w:r w:rsidRPr="00FC1444">
              <w:rPr>
                <w:rFonts w:eastAsiaTheme="minorEastAsia"/>
                <w:szCs w:val="21"/>
              </w:rPr>
              <w:t>/</w:t>
            </w:r>
          </w:p>
        </w:tc>
      </w:tr>
      <w:tr w:rsidR="002A5A5E" w:rsidRPr="00FC1444" w:rsidTr="00BA2329">
        <w:trPr>
          <w:trHeight w:val="587"/>
        </w:trPr>
        <w:tc>
          <w:tcPr>
            <w:tcW w:w="316" w:type="pct"/>
            <w:gridSpan w:val="2"/>
            <w:vAlign w:val="center"/>
          </w:tcPr>
          <w:p w:rsidR="002A5A5E" w:rsidRPr="00FC1444" w:rsidRDefault="00611CBA" w:rsidP="00F74680">
            <w:pPr>
              <w:jc w:val="center"/>
              <w:rPr>
                <w:rFonts w:eastAsiaTheme="minorEastAsia"/>
                <w:szCs w:val="21"/>
              </w:rPr>
            </w:pPr>
            <w:r w:rsidRPr="00FC1444">
              <w:rPr>
                <w:rFonts w:eastAsiaTheme="minorEastAsia"/>
                <w:szCs w:val="21"/>
              </w:rPr>
              <w:t>田块整治工程</w:t>
            </w:r>
          </w:p>
        </w:tc>
        <w:tc>
          <w:tcPr>
            <w:tcW w:w="471" w:type="pct"/>
            <w:vAlign w:val="center"/>
          </w:tcPr>
          <w:p w:rsidR="002A5A5E" w:rsidRPr="00FC1444" w:rsidRDefault="00B16F10" w:rsidP="00B16F10">
            <w:pPr>
              <w:jc w:val="center"/>
              <w:rPr>
                <w:rFonts w:eastAsiaTheme="minorEastAsia"/>
                <w:szCs w:val="21"/>
              </w:rPr>
            </w:pPr>
            <w:r w:rsidRPr="00FC1444">
              <w:rPr>
                <w:rFonts w:eastAsiaTheme="minorEastAsia" w:hint="eastAsia"/>
                <w:szCs w:val="21"/>
              </w:rPr>
              <w:t>3420634</w:t>
            </w:r>
          </w:p>
        </w:tc>
        <w:tc>
          <w:tcPr>
            <w:tcW w:w="412" w:type="pct"/>
            <w:vAlign w:val="center"/>
          </w:tcPr>
          <w:p w:rsidR="002A5A5E" w:rsidRPr="00FC1444" w:rsidRDefault="00B16F10" w:rsidP="00B16F10">
            <w:pPr>
              <w:jc w:val="center"/>
              <w:rPr>
                <w:rFonts w:eastAsiaTheme="minorEastAsia"/>
                <w:szCs w:val="21"/>
              </w:rPr>
            </w:pPr>
            <w:r w:rsidRPr="00FC1444">
              <w:rPr>
                <w:rFonts w:eastAsiaTheme="minorEastAsia" w:hint="eastAsia"/>
                <w:szCs w:val="21"/>
              </w:rPr>
              <w:t>3421831</w:t>
            </w:r>
          </w:p>
        </w:tc>
        <w:tc>
          <w:tcPr>
            <w:tcW w:w="422" w:type="pct"/>
            <w:vAlign w:val="center"/>
          </w:tcPr>
          <w:p w:rsidR="002A5A5E" w:rsidRPr="00FC1444" w:rsidRDefault="00B16F10" w:rsidP="00B16F10">
            <w:pPr>
              <w:jc w:val="center"/>
              <w:rPr>
                <w:rFonts w:eastAsiaTheme="minorEastAsia"/>
                <w:szCs w:val="21"/>
              </w:rPr>
            </w:pPr>
            <w:r w:rsidRPr="00FC1444">
              <w:rPr>
                <w:rFonts w:eastAsiaTheme="minorEastAsia" w:hint="eastAsia"/>
                <w:szCs w:val="21"/>
              </w:rPr>
              <w:t>3420634</w:t>
            </w:r>
          </w:p>
        </w:tc>
        <w:tc>
          <w:tcPr>
            <w:tcW w:w="338" w:type="pct"/>
            <w:vAlign w:val="center"/>
          </w:tcPr>
          <w:p w:rsidR="002A5A5E" w:rsidRPr="00FC1444" w:rsidRDefault="00E748FB" w:rsidP="00F74680">
            <w:pPr>
              <w:jc w:val="center"/>
              <w:rPr>
                <w:rFonts w:eastAsiaTheme="minorEastAsia"/>
                <w:szCs w:val="21"/>
              </w:rPr>
            </w:pPr>
            <w:r w:rsidRPr="00FC1444">
              <w:rPr>
                <w:rFonts w:eastAsiaTheme="minorEastAsia" w:hint="eastAsia"/>
                <w:szCs w:val="21"/>
              </w:rPr>
              <w:t>1197</w:t>
            </w:r>
          </w:p>
        </w:tc>
        <w:tc>
          <w:tcPr>
            <w:tcW w:w="676" w:type="pct"/>
            <w:vAlign w:val="center"/>
          </w:tcPr>
          <w:p w:rsidR="002A5A5E" w:rsidRPr="00FC1444" w:rsidRDefault="00611CBA" w:rsidP="00E748FB">
            <w:pPr>
              <w:jc w:val="center"/>
              <w:rPr>
                <w:rFonts w:eastAsiaTheme="minorEastAsia"/>
                <w:szCs w:val="21"/>
              </w:rPr>
            </w:pPr>
            <w:r w:rsidRPr="00FC1444">
              <w:rPr>
                <w:rFonts w:eastAsiaTheme="minorEastAsia"/>
                <w:szCs w:val="21"/>
              </w:rPr>
              <w:t>灌溉井、建筑物、农田输配电工程永久占地表土</w:t>
            </w:r>
            <w:r w:rsidR="00E748FB" w:rsidRPr="00FC1444">
              <w:rPr>
                <w:rFonts w:eastAsiaTheme="minorEastAsia" w:hint="eastAsia"/>
                <w:szCs w:val="21"/>
              </w:rPr>
              <w:t>1197</w:t>
            </w:r>
          </w:p>
        </w:tc>
        <w:tc>
          <w:tcPr>
            <w:tcW w:w="421" w:type="pct"/>
            <w:vAlign w:val="center"/>
          </w:tcPr>
          <w:p w:rsidR="002A5A5E" w:rsidRPr="00FC1444" w:rsidRDefault="00611CBA">
            <w:pPr>
              <w:jc w:val="center"/>
              <w:rPr>
                <w:rFonts w:eastAsiaTheme="minorEastAsia"/>
                <w:szCs w:val="21"/>
              </w:rPr>
            </w:pPr>
            <w:r w:rsidRPr="00FC1444">
              <w:rPr>
                <w:rFonts w:eastAsiaTheme="minorEastAsia"/>
                <w:szCs w:val="21"/>
              </w:rPr>
              <w:t>0</w:t>
            </w:r>
          </w:p>
        </w:tc>
        <w:tc>
          <w:tcPr>
            <w:tcW w:w="592" w:type="pct"/>
            <w:vAlign w:val="center"/>
          </w:tcPr>
          <w:p w:rsidR="002A5A5E" w:rsidRPr="00FC1444" w:rsidRDefault="00611CBA">
            <w:pPr>
              <w:jc w:val="center"/>
              <w:rPr>
                <w:rFonts w:eastAsiaTheme="minorEastAsia"/>
                <w:szCs w:val="21"/>
              </w:rPr>
            </w:pPr>
            <w:r w:rsidRPr="00FC1444">
              <w:rPr>
                <w:rFonts w:eastAsiaTheme="minorEastAsia"/>
                <w:szCs w:val="21"/>
              </w:rPr>
              <w:t>/</w:t>
            </w:r>
          </w:p>
        </w:tc>
        <w:tc>
          <w:tcPr>
            <w:tcW w:w="591" w:type="pct"/>
            <w:vAlign w:val="center"/>
          </w:tcPr>
          <w:p w:rsidR="002A5A5E" w:rsidRPr="00FC1444" w:rsidRDefault="00611CBA">
            <w:pPr>
              <w:jc w:val="center"/>
              <w:rPr>
                <w:rFonts w:eastAsiaTheme="minorEastAsia"/>
                <w:szCs w:val="21"/>
              </w:rPr>
            </w:pPr>
            <w:r w:rsidRPr="00FC1444">
              <w:rPr>
                <w:rFonts w:eastAsiaTheme="minorEastAsia"/>
                <w:szCs w:val="21"/>
              </w:rPr>
              <w:t>0</w:t>
            </w:r>
          </w:p>
        </w:tc>
        <w:tc>
          <w:tcPr>
            <w:tcW w:w="422" w:type="pct"/>
            <w:vAlign w:val="center"/>
          </w:tcPr>
          <w:p w:rsidR="002A5A5E" w:rsidRPr="00FC1444" w:rsidRDefault="00611CBA">
            <w:pPr>
              <w:jc w:val="center"/>
              <w:rPr>
                <w:rFonts w:eastAsiaTheme="minorEastAsia"/>
                <w:szCs w:val="21"/>
              </w:rPr>
            </w:pPr>
            <w:r w:rsidRPr="00FC1444">
              <w:rPr>
                <w:rFonts w:eastAsiaTheme="minorEastAsia"/>
                <w:szCs w:val="21"/>
              </w:rPr>
              <w:t>0</w:t>
            </w:r>
          </w:p>
        </w:tc>
        <w:tc>
          <w:tcPr>
            <w:tcW w:w="338" w:type="pct"/>
            <w:vAlign w:val="center"/>
          </w:tcPr>
          <w:p w:rsidR="002A5A5E" w:rsidRPr="00FC1444" w:rsidRDefault="00611CBA">
            <w:pPr>
              <w:jc w:val="center"/>
              <w:rPr>
                <w:rFonts w:eastAsiaTheme="minorEastAsia"/>
                <w:szCs w:val="21"/>
              </w:rPr>
            </w:pPr>
            <w:r w:rsidRPr="00FC1444">
              <w:rPr>
                <w:rFonts w:eastAsiaTheme="minorEastAsia"/>
                <w:szCs w:val="21"/>
              </w:rPr>
              <w:t>/</w:t>
            </w:r>
          </w:p>
        </w:tc>
      </w:tr>
      <w:tr w:rsidR="00B16F10" w:rsidRPr="00FC1444" w:rsidTr="00BA2329">
        <w:trPr>
          <w:trHeight w:val="587"/>
        </w:trPr>
        <w:tc>
          <w:tcPr>
            <w:tcW w:w="316" w:type="pct"/>
            <w:gridSpan w:val="2"/>
            <w:vAlign w:val="center"/>
          </w:tcPr>
          <w:p w:rsidR="00B16F10" w:rsidRPr="00FC1444" w:rsidRDefault="00B16F10">
            <w:pPr>
              <w:widowControl/>
              <w:jc w:val="center"/>
              <w:rPr>
                <w:rFonts w:eastAsiaTheme="minorEastAsia"/>
                <w:kern w:val="0"/>
                <w:szCs w:val="21"/>
              </w:rPr>
            </w:pPr>
            <w:r w:rsidRPr="00FC1444">
              <w:rPr>
                <w:rFonts w:eastAsiaTheme="minorEastAsia"/>
                <w:kern w:val="0"/>
                <w:szCs w:val="21"/>
              </w:rPr>
              <w:t>合计</w:t>
            </w:r>
          </w:p>
        </w:tc>
        <w:tc>
          <w:tcPr>
            <w:tcW w:w="471" w:type="pct"/>
            <w:vAlign w:val="center"/>
          </w:tcPr>
          <w:p w:rsidR="00B16F10" w:rsidRPr="00FC1444" w:rsidRDefault="00B16F10" w:rsidP="00B16F10">
            <w:pPr>
              <w:jc w:val="center"/>
              <w:rPr>
                <w:rFonts w:eastAsiaTheme="minorEastAsia"/>
                <w:szCs w:val="21"/>
              </w:rPr>
            </w:pPr>
            <w:r w:rsidRPr="00FC1444">
              <w:rPr>
                <w:rFonts w:eastAsiaTheme="minorEastAsia" w:hint="eastAsia"/>
                <w:szCs w:val="21"/>
              </w:rPr>
              <w:t>3575738</w:t>
            </w:r>
          </w:p>
        </w:tc>
        <w:tc>
          <w:tcPr>
            <w:tcW w:w="412" w:type="pct"/>
            <w:vAlign w:val="center"/>
          </w:tcPr>
          <w:p w:rsidR="00B16F10" w:rsidRPr="00FC1444" w:rsidRDefault="00B16F10" w:rsidP="00B16F10">
            <w:pPr>
              <w:jc w:val="center"/>
              <w:rPr>
                <w:rFonts w:eastAsiaTheme="minorEastAsia"/>
                <w:szCs w:val="21"/>
              </w:rPr>
            </w:pPr>
            <w:r w:rsidRPr="00FC1444">
              <w:rPr>
                <w:rFonts w:eastAsiaTheme="minorEastAsia" w:hint="eastAsia"/>
                <w:szCs w:val="21"/>
              </w:rPr>
              <w:t>3575738</w:t>
            </w:r>
          </w:p>
        </w:tc>
        <w:tc>
          <w:tcPr>
            <w:tcW w:w="422" w:type="pct"/>
            <w:vAlign w:val="center"/>
          </w:tcPr>
          <w:p w:rsidR="00B16F10" w:rsidRPr="00FC1444" w:rsidRDefault="00B16F10" w:rsidP="00B16F10">
            <w:pPr>
              <w:jc w:val="center"/>
              <w:rPr>
                <w:rFonts w:eastAsiaTheme="minorEastAsia"/>
                <w:szCs w:val="21"/>
              </w:rPr>
            </w:pPr>
            <w:r w:rsidRPr="00FC1444">
              <w:rPr>
                <w:rFonts w:eastAsiaTheme="minorEastAsia" w:hint="eastAsia"/>
                <w:szCs w:val="21"/>
              </w:rPr>
              <w:t>3574541</w:t>
            </w:r>
          </w:p>
        </w:tc>
        <w:tc>
          <w:tcPr>
            <w:tcW w:w="338" w:type="pct"/>
            <w:vAlign w:val="center"/>
          </w:tcPr>
          <w:p w:rsidR="00B16F10" w:rsidRPr="00FC1444" w:rsidRDefault="00B16F10">
            <w:pPr>
              <w:jc w:val="center"/>
              <w:rPr>
                <w:rFonts w:eastAsiaTheme="minorEastAsia"/>
                <w:szCs w:val="21"/>
              </w:rPr>
            </w:pPr>
            <w:r w:rsidRPr="00FC1444">
              <w:rPr>
                <w:rFonts w:eastAsiaTheme="minorEastAsia" w:hint="eastAsia"/>
                <w:szCs w:val="21"/>
              </w:rPr>
              <w:t>1197</w:t>
            </w:r>
          </w:p>
        </w:tc>
        <w:tc>
          <w:tcPr>
            <w:tcW w:w="676" w:type="pct"/>
            <w:vAlign w:val="center"/>
          </w:tcPr>
          <w:p w:rsidR="00B16F10" w:rsidRPr="00FC1444" w:rsidRDefault="00B16F10">
            <w:pPr>
              <w:jc w:val="center"/>
              <w:rPr>
                <w:rFonts w:eastAsiaTheme="minorEastAsia"/>
                <w:szCs w:val="21"/>
              </w:rPr>
            </w:pPr>
            <w:r w:rsidRPr="00FC1444">
              <w:rPr>
                <w:rFonts w:eastAsiaTheme="minorEastAsia"/>
                <w:szCs w:val="21"/>
              </w:rPr>
              <w:t>/</w:t>
            </w:r>
          </w:p>
        </w:tc>
        <w:tc>
          <w:tcPr>
            <w:tcW w:w="421" w:type="pct"/>
            <w:vAlign w:val="center"/>
          </w:tcPr>
          <w:p w:rsidR="00B16F10" w:rsidRPr="00FC1444" w:rsidRDefault="00B16F10">
            <w:pPr>
              <w:jc w:val="center"/>
              <w:rPr>
                <w:rFonts w:eastAsiaTheme="minorEastAsia"/>
                <w:szCs w:val="21"/>
              </w:rPr>
            </w:pPr>
            <w:r w:rsidRPr="00FC1444">
              <w:rPr>
                <w:rFonts w:eastAsiaTheme="minorEastAsia" w:hint="eastAsia"/>
                <w:szCs w:val="21"/>
              </w:rPr>
              <w:t>1197</w:t>
            </w:r>
          </w:p>
        </w:tc>
        <w:tc>
          <w:tcPr>
            <w:tcW w:w="592" w:type="pct"/>
            <w:vAlign w:val="center"/>
          </w:tcPr>
          <w:p w:rsidR="00B16F10" w:rsidRPr="00FC1444" w:rsidRDefault="00B16F10">
            <w:pPr>
              <w:jc w:val="center"/>
              <w:rPr>
                <w:rFonts w:eastAsiaTheme="minorEastAsia"/>
                <w:szCs w:val="21"/>
              </w:rPr>
            </w:pPr>
            <w:r w:rsidRPr="00FC1444">
              <w:rPr>
                <w:rFonts w:eastAsiaTheme="minorEastAsia"/>
                <w:szCs w:val="21"/>
              </w:rPr>
              <w:t>/</w:t>
            </w:r>
          </w:p>
        </w:tc>
        <w:tc>
          <w:tcPr>
            <w:tcW w:w="591" w:type="pct"/>
            <w:vAlign w:val="center"/>
          </w:tcPr>
          <w:p w:rsidR="00B16F10" w:rsidRPr="00FC1444" w:rsidRDefault="00B16F10">
            <w:pPr>
              <w:jc w:val="center"/>
              <w:rPr>
                <w:rFonts w:eastAsiaTheme="minorEastAsia"/>
                <w:szCs w:val="21"/>
              </w:rPr>
            </w:pPr>
            <w:r w:rsidRPr="00FC1444">
              <w:rPr>
                <w:rFonts w:eastAsiaTheme="minorEastAsia" w:hint="eastAsia"/>
                <w:szCs w:val="21"/>
              </w:rPr>
              <w:t>1197</w:t>
            </w:r>
          </w:p>
        </w:tc>
        <w:tc>
          <w:tcPr>
            <w:tcW w:w="422" w:type="pct"/>
            <w:vAlign w:val="center"/>
          </w:tcPr>
          <w:p w:rsidR="00B16F10" w:rsidRPr="00FC1444" w:rsidRDefault="00B16F10">
            <w:pPr>
              <w:jc w:val="center"/>
              <w:rPr>
                <w:rFonts w:eastAsiaTheme="minorEastAsia"/>
                <w:szCs w:val="21"/>
              </w:rPr>
            </w:pPr>
            <w:r w:rsidRPr="00FC1444">
              <w:rPr>
                <w:rFonts w:eastAsiaTheme="minorEastAsia"/>
                <w:szCs w:val="21"/>
              </w:rPr>
              <w:t>0</w:t>
            </w:r>
          </w:p>
        </w:tc>
        <w:tc>
          <w:tcPr>
            <w:tcW w:w="338" w:type="pct"/>
            <w:vAlign w:val="center"/>
          </w:tcPr>
          <w:p w:rsidR="00B16F10" w:rsidRPr="00FC1444" w:rsidRDefault="00B16F10">
            <w:pPr>
              <w:jc w:val="center"/>
              <w:rPr>
                <w:rFonts w:eastAsiaTheme="minorEastAsia"/>
                <w:szCs w:val="21"/>
              </w:rPr>
            </w:pPr>
            <w:r w:rsidRPr="00FC1444">
              <w:rPr>
                <w:rFonts w:eastAsiaTheme="minorEastAsia"/>
                <w:szCs w:val="21"/>
              </w:rPr>
              <w:t>/</w:t>
            </w:r>
          </w:p>
        </w:tc>
      </w:tr>
    </w:tbl>
    <w:p w:rsidR="002A5A5E" w:rsidRPr="00FC1444" w:rsidRDefault="00611CBA">
      <w:pPr>
        <w:keepNext/>
        <w:keepLines/>
        <w:spacing w:before="100" w:beforeAutospacing="1" w:after="100" w:afterAutospacing="1"/>
        <w:outlineLvl w:val="2"/>
        <w:rPr>
          <w:rFonts w:eastAsiaTheme="minorEastAsia"/>
          <w:b/>
          <w:sz w:val="28"/>
          <w:szCs w:val="28"/>
        </w:rPr>
      </w:pPr>
      <w:bookmarkStart w:id="77" w:name="_Toc456590362"/>
      <w:r w:rsidRPr="00FC1444">
        <w:rPr>
          <w:rFonts w:eastAsiaTheme="minorEastAsia"/>
          <w:b/>
          <w:sz w:val="28"/>
          <w:szCs w:val="28"/>
        </w:rPr>
        <w:t>3.1.10</w:t>
      </w:r>
      <w:r w:rsidRPr="00FC1444">
        <w:rPr>
          <w:rFonts w:eastAsiaTheme="minorEastAsia"/>
          <w:b/>
          <w:sz w:val="28"/>
          <w:szCs w:val="28"/>
        </w:rPr>
        <w:t>公用工程</w:t>
      </w:r>
      <w:bookmarkEnd w:id="77"/>
    </w:p>
    <w:p w:rsidR="002A5A5E" w:rsidRPr="00FC1444" w:rsidRDefault="009840DD">
      <w:pPr>
        <w:autoSpaceDE w:val="0"/>
        <w:autoSpaceDN w:val="0"/>
        <w:spacing w:before="100" w:beforeAutospacing="1" w:after="100" w:afterAutospacing="1"/>
        <w:outlineLvl w:val="3"/>
        <w:rPr>
          <w:rFonts w:eastAsiaTheme="minorEastAsia"/>
          <w:b/>
          <w:sz w:val="24"/>
        </w:rPr>
      </w:pPr>
      <w:hyperlink r:id="rId33" w:anchor="_Toc110400207" w:history="1">
        <w:bookmarkStart w:id="78" w:name="_Toc113078928"/>
        <w:bookmarkStart w:id="79" w:name="_Toc112420357"/>
        <w:bookmarkStart w:id="80" w:name="_Toc118087006"/>
        <w:bookmarkStart w:id="81" w:name="_Toc182022287"/>
        <w:r w:rsidR="00611CBA" w:rsidRPr="00FC1444">
          <w:rPr>
            <w:rFonts w:eastAsiaTheme="minorEastAsia"/>
            <w:b/>
            <w:sz w:val="24"/>
          </w:rPr>
          <w:t>3.1.10.1</w:t>
        </w:r>
        <w:r w:rsidR="00611CBA" w:rsidRPr="00FC1444">
          <w:rPr>
            <w:rFonts w:eastAsiaTheme="minorEastAsia"/>
            <w:b/>
            <w:sz w:val="24"/>
          </w:rPr>
          <w:t>供水工程</w:t>
        </w:r>
        <w:bookmarkEnd w:id="78"/>
        <w:bookmarkEnd w:id="79"/>
        <w:bookmarkEnd w:id="80"/>
        <w:bookmarkEnd w:id="81"/>
      </w:hyperlink>
    </w:p>
    <w:p w:rsidR="002A5A5E" w:rsidRPr="00FC1444" w:rsidRDefault="00611CBA">
      <w:pPr>
        <w:pStyle w:val="affffffffd"/>
        <w:numPr>
          <w:ilvl w:val="0"/>
          <w:numId w:val="11"/>
        </w:numPr>
        <w:adjustRightInd w:val="0"/>
        <w:spacing w:line="360" w:lineRule="auto"/>
        <w:ind w:firstLineChars="0"/>
        <w:rPr>
          <w:rFonts w:eastAsiaTheme="minorEastAsia"/>
          <w:sz w:val="24"/>
        </w:rPr>
      </w:pPr>
      <w:bookmarkStart w:id="82" w:name="_Hlk480319058"/>
      <w:bookmarkStart w:id="83" w:name="_Hlk480325814"/>
      <w:bookmarkStart w:id="84" w:name="_Hlk480327007"/>
      <w:r w:rsidRPr="00FC1444">
        <w:rPr>
          <w:rFonts w:eastAsiaTheme="minorEastAsia"/>
          <w:sz w:val="24"/>
        </w:rPr>
        <w:t>施工期</w:t>
      </w:r>
    </w:p>
    <w:p w:rsidR="002A5A5E" w:rsidRPr="00FC1444" w:rsidRDefault="00611CBA">
      <w:pPr>
        <w:adjustRightInd w:val="0"/>
        <w:spacing w:line="360" w:lineRule="auto"/>
        <w:ind w:firstLineChars="200" w:firstLine="480"/>
        <w:rPr>
          <w:rFonts w:eastAsiaTheme="minorEastAsia"/>
          <w:sz w:val="24"/>
        </w:rPr>
      </w:pPr>
      <w:r w:rsidRPr="00FC1444">
        <w:rPr>
          <w:rFonts w:eastAsiaTheme="minorEastAsia"/>
          <w:sz w:val="24"/>
        </w:rPr>
        <w:t>施工期用水主要为钻井用水、路面施工用水和施工人员生活用水，施工期用</w:t>
      </w:r>
      <w:r w:rsidRPr="00FC1444">
        <w:rPr>
          <w:rFonts w:eastAsiaTheme="minorEastAsia"/>
          <w:sz w:val="24"/>
        </w:rPr>
        <w:lastRenderedPageBreak/>
        <w:t>水由附近村屯现有水井供给，能够满足项目需求。</w:t>
      </w:r>
      <w:bookmarkEnd w:id="82"/>
    </w:p>
    <w:p w:rsidR="002A5A5E" w:rsidRPr="00FC1444" w:rsidRDefault="00611CBA">
      <w:pPr>
        <w:tabs>
          <w:tab w:val="left" w:pos="2550"/>
        </w:tabs>
        <w:spacing w:line="360" w:lineRule="auto"/>
        <w:ind w:firstLineChars="200" w:firstLine="480"/>
        <w:rPr>
          <w:rFonts w:eastAsiaTheme="minorEastAsia"/>
          <w:sz w:val="24"/>
        </w:rPr>
      </w:pPr>
      <w:r w:rsidRPr="00FC1444">
        <w:rPr>
          <w:rFonts w:eastAsiaTheme="minorEastAsia"/>
          <w:sz w:val="24"/>
        </w:rPr>
        <w:t>路面施工用水量为少量路面养护水，使用量约为</w:t>
      </w:r>
      <w:r w:rsidRPr="00FC1444">
        <w:rPr>
          <w:rFonts w:eastAsiaTheme="minorEastAsia"/>
          <w:sz w:val="24"/>
        </w:rPr>
        <w:t>3.5kg/m</w:t>
      </w:r>
      <w:r w:rsidRPr="00FC1444">
        <w:rPr>
          <w:rFonts w:eastAsiaTheme="minorEastAsia"/>
          <w:sz w:val="24"/>
          <w:vertAlign w:val="superscript"/>
        </w:rPr>
        <w:t>2</w:t>
      </w:r>
      <w:r w:rsidRPr="00FC1444">
        <w:rPr>
          <w:rFonts w:eastAsiaTheme="minorEastAsia"/>
          <w:sz w:val="24"/>
        </w:rPr>
        <w:t>，路面约为</w:t>
      </w:r>
      <w:r w:rsidR="008A02BD" w:rsidRPr="00FC1444">
        <w:rPr>
          <w:rFonts w:eastAsiaTheme="minorEastAsia" w:hint="eastAsia"/>
          <w:sz w:val="24"/>
        </w:rPr>
        <w:t>512888</w:t>
      </w:r>
      <w:r w:rsidRPr="00FC1444">
        <w:rPr>
          <w:rFonts w:eastAsiaTheme="minorEastAsia"/>
          <w:sz w:val="24"/>
        </w:rPr>
        <w:t>m</w:t>
      </w:r>
      <w:r w:rsidRPr="00FC1444">
        <w:rPr>
          <w:rFonts w:eastAsiaTheme="minorEastAsia"/>
          <w:sz w:val="24"/>
          <w:vertAlign w:val="superscript"/>
        </w:rPr>
        <w:t>2</w:t>
      </w:r>
      <w:r w:rsidRPr="00FC1444">
        <w:rPr>
          <w:rFonts w:eastAsiaTheme="minorEastAsia"/>
          <w:sz w:val="24"/>
        </w:rPr>
        <w:t>，总用水量约为</w:t>
      </w:r>
      <w:r w:rsidR="008A02BD" w:rsidRPr="00FC1444">
        <w:rPr>
          <w:rFonts w:eastAsiaTheme="minorEastAsia" w:hint="eastAsia"/>
          <w:sz w:val="24"/>
        </w:rPr>
        <w:t>1795</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w:t>
      </w:r>
    </w:p>
    <w:p w:rsidR="002A5A5E" w:rsidRPr="00FC1444" w:rsidRDefault="00611CBA">
      <w:pPr>
        <w:tabs>
          <w:tab w:val="left" w:pos="2550"/>
        </w:tabs>
        <w:spacing w:line="360" w:lineRule="auto"/>
        <w:ind w:firstLineChars="200" w:firstLine="480"/>
        <w:rPr>
          <w:rFonts w:eastAsiaTheme="minorEastAsia"/>
          <w:sz w:val="24"/>
        </w:rPr>
      </w:pPr>
      <w:r w:rsidRPr="00FC1444">
        <w:rPr>
          <w:rFonts w:eastAsiaTheme="minorEastAsia"/>
          <w:sz w:val="24"/>
        </w:rPr>
        <w:t>钻井用水主要对钻头在岩层钻孔中起润滑作用，同时可将钻井过程产生的岩屑排出，</w:t>
      </w:r>
      <w:r w:rsidRPr="00FC1444">
        <w:rPr>
          <w:rFonts w:eastAsiaTheme="minorEastAsia"/>
          <w:snapToGrid w:val="0"/>
          <w:kern w:val="0"/>
          <w:sz w:val="24"/>
        </w:rPr>
        <w:t>根据《</w:t>
      </w:r>
      <w:r w:rsidR="00AE168C" w:rsidRPr="00FC1444">
        <w:rPr>
          <w:rFonts w:eastAsiaTheme="minorEastAsia"/>
          <w:snapToGrid w:val="0"/>
          <w:kern w:val="0"/>
          <w:sz w:val="24"/>
        </w:rPr>
        <w:t>北林区</w:t>
      </w:r>
      <w:r w:rsidR="00AE168C" w:rsidRPr="00FC1444">
        <w:rPr>
          <w:rFonts w:eastAsiaTheme="minorEastAsia"/>
          <w:snapToGrid w:val="0"/>
          <w:kern w:val="0"/>
          <w:sz w:val="24"/>
        </w:rPr>
        <w:t>2026</w:t>
      </w:r>
      <w:r w:rsidR="00AE168C" w:rsidRPr="00FC1444">
        <w:rPr>
          <w:rFonts w:eastAsiaTheme="minorEastAsia"/>
          <w:snapToGrid w:val="0"/>
          <w:kern w:val="0"/>
          <w:sz w:val="24"/>
        </w:rPr>
        <w:t>年高标准农田建设项目</w:t>
      </w:r>
      <w:r w:rsidRPr="00FC1444">
        <w:rPr>
          <w:rFonts w:eastAsiaTheme="minorEastAsia"/>
          <w:snapToGrid w:val="0"/>
          <w:kern w:val="0"/>
          <w:sz w:val="24"/>
        </w:rPr>
        <w:t>初步设计》，</w:t>
      </w:r>
      <w:r w:rsidR="006974EB" w:rsidRPr="00FC1444">
        <w:rPr>
          <w:rFonts w:eastAsiaTheme="minorEastAsia"/>
          <w:snapToGrid w:val="0"/>
          <w:kern w:val="0"/>
          <w:sz w:val="24"/>
        </w:rPr>
        <w:t>10</w:t>
      </w:r>
      <w:r w:rsidR="001B5E3D" w:rsidRPr="00FC1444">
        <w:rPr>
          <w:rFonts w:eastAsiaTheme="minorEastAsia"/>
          <w:snapToGrid w:val="0"/>
          <w:kern w:val="0"/>
          <w:sz w:val="24"/>
        </w:rPr>
        <w:t>0m</w:t>
      </w:r>
      <w:r w:rsidR="001B5E3D" w:rsidRPr="00FC1444">
        <w:rPr>
          <w:rFonts w:eastAsiaTheme="minorEastAsia"/>
          <w:snapToGrid w:val="0"/>
          <w:kern w:val="0"/>
          <w:sz w:val="24"/>
        </w:rPr>
        <w:t>深水井</w:t>
      </w:r>
      <w:r w:rsidR="001B5E3D" w:rsidRPr="00FC1444">
        <w:rPr>
          <w:rFonts w:eastAsiaTheme="minorEastAsia"/>
          <w:sz w:val="24"/>
        </w:rPr>
        <w:t>钻井用水量约</w:t>
      </w:r>
      <w:r w:rsidR="001B5E3D" w:rsidRPr="00FC1444">
        <w:rPr>
          <w:rFonts w:eastAsiaTheme="minorEastAsia"/>
          <w:sz w:val="24"/>
        </w:rPr>
        <w:t>1</w:t>
      </w:r>
      <w:r w:rsidR="006974EB" w:rsidRPr="00FC1444">
        <w:rPr>
          <w:rFonts w:eastAsiaTheme="minorEastAsia"/>
          <w:sz w:val="24"/>
        </w:rPr>
        <w:t>0</w:t>
      </w:r>
      <w:r w:rsidR="001B5E3D" w:rsidRPr="00FC1444">
        <w:rPr>
          <w:rFonts w:eastAsiaTheme="minorEastAsia"/>
          <w:sz w:val="24"/>
        </w:rPr>
        <w:t>m</w:t>
      </w:r>
      <w:r w:rsidR="001B5E3D" w:rsidRPr="00FC1444">
        <w:rPr>
          <w:rFonts w:eastAsiaTheme="minorEastAsia"/>
          <w:sz w:val="24"/>
          <w:vertAlign w:val="superscript"/>
        </w:rPr>
        <w:t>3</w:t>
      </w:r>
      <w:r w:rsidR="001B5E3D" w:rsidRPr="00FC1444">
        <w:rPr>
          <w:rFonts w:eastAsiaTheme="minorEastAsia"/>
          <w:sz w:val="24"/>
        </w:rPr>
        <w:t>/</w:t>
      </w:r>
      <w:r w:rsidR="001B5E3D" w:rsidRPr="00FC1444">
        <w:rPr>
          <w:rFonts w:eastAsiaTheme="minorEastAsia"/>
          <w:sz w:val="24"/>
        </w:rPr>
        <w:t>口，</w:t>
      </w:r>
      <w:r w:rsidRPr="00FC1444">
        <w:rPr>
          <w:rFonts w:eastAsiaTheme="minorEastAsia"/>
          <w:sz w:val="24"/>
        </w:rPr>
        <w:t>钻井完成后进入钻井泥浆中，钻井泥浆可循环使用。</w:t>
      </w:r>
      <w:r w:rsidRPr="00FC1444">
        <w:rPr>
          <w:rFonts w:eastAsiaTheme="minorEastAsia"/>
          <w:snapToGrid w:val="0"/>
          <w:kern w:val="0"/>
          <w:sz w:val="24"/>
        </w:rPr>
        <w:t>根据《</w:t>
      </w:r>
      <w:r w:rsidR="00AE168C" w:rsidRPr="00FC1444">
        <w:rPr>
          <w:rFonts w:eastAsiaTheme="minorEastAsia"/>
          <w:snapToGrid w:val="0"/>
          <w:kern w:val="0"/>
          <w:sz w:val="24"/>
        </w:rPr>
        <w:t>北林区</w:t>
      </w:r>
      <w:r w:rsidR="00AE168C" w:rsidRPr="00FC1444">
        <w:rPr>
          <w:rFonts w:eastAsiaTheme="minorEastAsia"/>
          <w:snapToGrid w:val="0"/>
          <w:kern w:val="0"/>
          <w:sz w:val="24"/>
        </w:rPr>
        <w:t>2026</w:t>
      </w:r>
      <w:r w:rsidR="00AE168C" w:rsidRPr="00FC1444">
        <w:rPr>
          <w:rFonts w:eastAsiaTheme="minorEastAsia"/>
          <w:snapToGrid w:val="0"/>
          <w:kern w:val="0"/>
          <w:sz w:val="24"/>
        </w:rPr>
        <w:t>年高标准农田建设项目</w:t>
      </w:r>
      <w:r w:rsidRPr="00FC1444">
        <w:rPr>
          <w:rFonts w:eastAsiaTheme="minorEastAsia"/>
          <w:snapToGrid w:val="0"/>
          <w:kern w:val="0"/>
          <w:sz w:val="24"/>
        </w:rPr>
        <w:t>初步设计》，</w:t>
      </w:r>
      <w:r w:rsidR="006974EB" w:rsidRPr="00FC1444">
        <w:rPr>
          <w:rFonts w:eastAsiaTheme="minorEastAsia"/>
          <w:snapToGrid w:val="0"/>
          <w:kern w:val="0"/>
          <w:sz w:val="24"/>
        </w:rPr>
        <w:t>10</w:t>
      </w:r>
      <w:r w:rsidR="00DE2B0A" w:rsidRPr="00FC1444">
        <w:rPr>
          <w:rFonts w:eastAsiaTheme="minorEastAsia"/>
          <w:snapToGrid w:val="0"/>
          <w:kern w:val="0"/>
          <w:sz w:val="24"/>
        </w:rPr>
        <w:t>0m</w:t>
      </w:r>
      <w:r w:rsidR="00DE2B0A" w:rsidRPr="00FC1444">
        <w:rPr>
          <w:rFonts w:eastAsiaTheme="minorEastAsia"/>
          <w:snapToGrid w:val="0"/>
          <w:kern w:val="0"/>
          <w:sz w:val="24"/>
        </w:rPr>
        <w:t>深水井</w:t>
      </w:r>
      <w:r w:rsidR="00DE2B0A" w:rsidRPr="00FC1444">
        <w:rPr>
          <w:rFonts w:eastAsiaTheme="minorEastAsia"/>
          <w:sz w:val="24"/>
        </w:rPr>
        <w:t>洗井用水量约</w:t>
      </w:r>
      <w:r w:rsidR="00DE2B0A" w:rsidRPr="00FC1444">
        <w:rPr>
          <w:rFonts w:eastAsiaTheme="minorEastAsia"/>
          <w:sz w:val="24"/>
        </w:rPr>
        <w:t>1</w:t>
      </w:r>
      <w:r w:rsidR="006974EB" w:rsidRPr="00FC1444">
        <w:rPr>
          <w:rFonts w:eastAsiaTheme="minorEastAsia"/>
          <w:sz w:val="24"/>
        </w:rPr>
        <w:t>5</w:t>
      </w:r>
      <w:r w:rsidR="00DE2B0A" w:rsidRPr="00FC1444">
        <w:rPr>
          <w:rFonts w:eastAsiaTheme="minorEastAsia"/>
          <w:sz w:val="24"/>
        </w:rPr>
        <w:t>m</w:t>
      </w:r>
      <w:r w:rsidR="00DE2B0A" w:rsidRPr="00FC1444">
        <w:rPr>
          <w:rFonts w:eastAsiaTheme="minorEastAsia"/>
          <w:sz w:val="24"/>
          <w:vertAlign w:val="superscript"/>
        </w:rPr>
        <w:t>3</w:t>
      </w:r>
      <w:r w:rsidR="00DE2B0A" w:rsidRPr="00FC1444">
        <w:rPr>
          <w:rFonts w:eastAsiaTheme="minorEastAsia"/>
          <w:sz w:val="24"/>
        </w:rPr>
        <w:t>/</w:t>
      </w:r>
      <w:r w:rsidR="00DE2B0A" w:rsidRPr="00FC1444">
        <w:rPr>
          <w:rFonts w:eastAsiaTheme="minorEastAsia"/>
          <w:sz w:val="24"/>
        </w:rPr>
        <w:t>口</w:t>
      </w:r>
      <w:r w:rsidRPr="00FC1444">
        <w:rPr>
          <w:rFonts w:eastAsiaTheme="minorEastAsia"/>
          <w:sz w:val="24"/>
        </w:rPr>
        <w:t>。</w:t>
      </w:r>
    </w:p>
    <w:p w:rsidR="002A5A5E" w:rsidRPr="00FC1444" w:rsidRDefault="00611CBA">
      <w:pPr>
        <w:tabs>
          <w:tab w:val="left" w:pos="2550"/>
        </w:tabs>
        <w:spacing w:line="360" w:lineRule="auto"/>
        <w:ind w:firstLineChars="200" w:firstLine="480"/>
        <w:rPr>
          <w:rFonts w:eastAsiaTheme="minorEastAsia"/>
          <w:sz w:val="24"/>
        </w:rPr>
      </w:pPr>
      <w:r w:rsidRPr="00FC1444">
        <w:rPr>
          <w:rFonts w:eastAsiaTheme="minorEastAsia"/>
          <w:sz w:val="24"/>
        </w:rPr>
        <w:t>本工程涉及</w:t>
      </w:r>
      <w:r w:rsidR="006974EB" w:rsidRPr="00FC1444">
        <w:rPr>
          <w:rFonts w:eastAsiaTheme="minorEastAsia"/>
          <w:sz w:val="24"/>
        </w:rPr>
        <w:t>11</w:t>
      </w:r>
      <w:r w:rsidR="006974EB" w:rsidRPr="00FC1444">
        <w:rPr>
          <w:rFonts w:eastAsiaTheme="minorEastAsia"/>
          <w:sz w:val="24"/>
        </w:rPr>
        <w:t>个自然村</w:t>
      </w:r>
      <w:r w:rsidRPr="00FC1444">
        <w:rPr>
          <w:rFonts w:eastAsiaTheme="minorEastAsia"/>
          <w:sz w:val="24"/>
        </w:rPr>
        <w:t>，每个村施工人员约</w:t>
      </w:r>
      <w:r w:rsidRPr="00FC1444">
        <w:rPr>
          <w:rFonts w:eastAsiaTheme="minorEastAsia"/>
          <w:sz w:val="24"/>
        </w:rPr>
        <w:t>1</w:t>
      </w:r>
      <w:r w:rsidR="006974EB" w:rsidRPr="00FC1444">
        <w:rPr>
          <w:rFonts w:eastAsiaTheme="minorEastAsia"/>
          <w:sz w:val="24"/>
        </w:rPr>
        <w:t>5</w:t>
      </w:r>
      <w:r w:rsidRPr="00FC1444">
        <w:rPr>
          <w:rFonts w:eastAsiaTheme="minorEastAsia"/>
          <w:sz w:val="24"/>
        </w:rPr>
        <w:t>人，则施工期总人员约为</w:t>
      </w:r>
      <w:r w:rsidR="006974EB" w:rsidRPr="00FC1444">
        <w:rPr>
          <w:rFonts w:eastAsiaTheme="minorEastAsia"/>
          <w:sz w:val="24"/>
        </w:rPr>
        <w:t>165</w:t>
      </w:r>
      <w:r w:rsidRPr="00FC1444">
        <w:rPr>
          <w:rFonts w:eastAsiaTheme="minorEastAsia"/>
          <w:sz w:val="24"/>
        </w:rPr>
        <w:t>人，</w:t>
      </w:r>
      <w:r w:rsidRPr="00FC1444">
        <w:rPr>
          <w:rFonts w:eastAsiaTheme="minorEastAsia"/>
          <w:sz w:val="24"/>
          <w:szCs w:val="20"/>
        </w:rPr>
        <w:t>施工人员不在施工现场吃住，</w:t>
      </w:r>
      <w:r w:rsidRPr="00FC1444">
        <w:rPr>
          <w:rFonts w:eastAsiaTheme="minorEastAsia"/>
          <w:sz w:val="24"/>
        </w:rPr>
        <w:t>施工人员用水量</w:t>
      </w:r>
      <w:r w:rsidRPr="00FC1444">
        <w:rPr>
          <w:rFonts w:eastAsiaTheme="minorEastAsia"/>
          <w:bCs/>
          <w:sz w:val="24"/>
        </w:rPr>
        <w:t>参照《黑龙江：用水定额》（</w:t>
      </w:r>
      <w:r w:rsidRPr="00FC1444">
        <w:rPr>
          <w:rFonts w:eastAsiaTheme="minorEastAsia"/>
          <w:bCs/>
          <w:sz w:val="24"/>
        </w:rPr>
        <w:t>DB23/T 727-202</w:t>
      </w:r>
      <w:r w:rsidR="00175C36" w:rsidRPr="00FC1444">
        <w:rPr>
          <w:rFonts w:eastAsiaTheme="minorEastAsia"/>
          <w:bCs/>
          <w:sz w:val="24"/>
        </w:rPr>
        <w:t>5</w:t>
      </w:r>
      <w:r w:rsidRPr="00FC1444">
        <w:rPr>
          <w:rFonts w:eastAsiaTheme="minorEastAsia"/>
          <w:bCs/>
          <w:sz w:val="24"/>
        </w:rPr>
        <w:t>），生活用水采用</w:t>
      </w:r>
      <w:r w:rsidRPr="00FC1444">
        <w:rPr>
          <w:rFonts w:eastAsiaTheme="minorEastAsia"/>
          <w:bCs/>
          <w:sz w:val="24"/>
        </w:rPr>
        <w:t>80L/</w:t>
      </w:r>
      <w:r w:rsidRPr="00FC1444">
        <w:rPr>
          <w:rFonts w:eastAsiaTheme="minorEastAsia"/>
          <w:bCs/>
          <w:sz w:val="24"/>
        </w:rPr>
        <w:t>人</w:t>
      </w:r>
      <w:r w:rsidRPr="00FC1444">
        <w:rPr>
          <w:rFonts w:eastAsiaTheme="minorEastAsia"/>
          <w:bCs/>
          <w:sz w:val="24"/>
        </w:rPr>
        <w:t>·d</w:t>
      </w:r>
      <w:r w:rsidRPr="00FC1444">
        <w:rPr>
          <w:rFonts w:eastAsiaTheme="minorEastAsia"/>
          <w:bCs/>
          <w:sz w:val="24"/>
        </w:rPr>
        <w:t>，</w:t>
      </w:r>
      <w:r w:rsidRPr="00FC1444">
        <w:rPr>
          <w:rFonts w:eastAsiaTheme="minorEastAsia"/>
          <w:sz w:val="24"/>
        </w:rPr>
        <w:t>用水量为</w:t>
      </w:r>
      <w:r w:rsidR="006974EB" w:rsidRPr="00FC1444">
        <w:rPr>
          <w:rFonts w:eastAsiaTheme="minorEastAsia"/>
          <w:sz w:val="24"/>
        </w:rPr>
        <w:t>13.2</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/d</w:t>
      </w:r>
      <w:r w:rsidRPr="00FC1444">
        <w:rPr>
          <w:rFonts w:eastAsiaTheme="minorEastAsia"/>
          <w:sz w:val="24"/>
        </w:rPr>
        <w:t>，施工天数约</w:t>
      </w:r>
      <w:r w:rsidR="006974EB" w:rsidRPr="00FC1444">
        <w:rPr>
          <w:rFonts w:eastAsiaTheme="minorEastAsia"/>
          <w:sz w:val="24"/>
        </w:rPr>
        <w:t>690</w:t>
      </w:r>
      <w:r w:rsidRPr="00FC1444">
        <w:rPr>
          <w:rFonts w:eastAsiaTheme="minorEastAsia"/>
          <w:sz w:val="24"/>
        </w:rPr>
        <w:t>d</w:t>
      </w:r>
      <w:r w:rsidRPr="00FC1444">
        <w:rPr>
          <w:rFonts w:eastAsiaTheme="minorEastAsia"/>
          <w:sz w:val="24"/>
        </w:rPr>
        <w:t>，故生活用水量为</w:t>
      </w:r>
      <w:r w:rsidR="006974EB" w:rsidRPr="00FC1444">
        <w:rPr>
          <w:rFonts w:eastAsiaTheme="minorEastAsia"/>
          <w:sz w:val="24"/>
        </w:rPr>
        <w:t>9108</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w:t>
      </w:r>
    </w:p>
    <w:p w:rsidR="002A5A5E" w:rsidRPr="00FC1444" w:rsidRDefault="00611CBA">
      <w:pPr>
        <w:pStyle w:val="affffffffd"/>
        <w:numPr>
          <w:ilvl w:val="0"/>
          <w:numId w:val="11"/>
        </w:numPr>
        <w:adjustRightInd w:val="0"/>
        <w:spacing w:line="360" w:lineRule="auto"/>
        <w:ind w:firstLineChars="0"/>
        <w:rPr>
          <w:rFonts w:eastAsiaTheme="minorEastAsia"/>
          <w:sz w:val="24"/>
        </w:rPr>
      </w:pPr>
      <w:r w:rsidRPr="00FC1444">
        <w:rPr>
          <w:rFonts w:eastAsiaTheme="minorEastAsia"/>
          <w:sz w:val="24"/>
        </w:rPr>
        <w:t>运营期</w:t>
      </w:r>
    </w:p>
    <w:p w:rsidR="002A5A5E" w:rsidRPr="00FC1444" w:rsidRDefault="00611CBA">
      <w:pPr>
        <w:adjustRightInd w:val="0"/>
        <w:spacing w:line="360" w:lineRule="auto"/>
        <w:ind w:firstLineChars="200" w:firstLine="480"/>
        <w:rPr>
          <w:rFonts w:eastAsiaTheme="minorEastAsia"/>
          <w:sz w:val="24"/>
        </w:rPr>
      </w:pPr>
      <w:r w:rsidRPr="00FC1444">
        <w:rPr>
          <w:rFonts w:eastAsiaTheme="minorEastAsia"/>
          <w:sz w:val="24"/>
        </w:rPr>
        <w:t>运营期灌溉井采取当地村委会巡查形式维护，不单独设置留守人员值守，不产生生活污水。</w:t>
      </w:r>
    </w:p>
    <w:p w:rsidR="002A5A5E" w:rsidRPr="00FC1444" w:rsidRDefault="00611CBA" w:rsidP="00596FF0">
      <w:pPr>
        <w:adjustRightInd w:val="0"/>
        <w:spacing w:line="360" w:lineRule="auto"/>
        <w:ind w:firstLineChars="200" w:firstLine="480"/>
        <w:rPr>
          <w:rFonts w:eastAsiaTheme="minorEastAsia"/>
          <w:sz w:val="24"/>
        </w:rPr>
      </w:pPr>
      <w:r w:rsidRPr="00FC1444">
        <w:rPr>
          <w:rFonts w:eastAsiaTheme="minorEastAsia"/>
          <w:sz w:val="24"/>
        </w:rPr>
        <w:t>旱地</w:t>
      </w:r>
      <w:r w:rsidR="00596FF0" w:rsidRPr="00FC1444">
        <w:rPr>
          <w:rFonts w:eastAsiaTheme="minorEastAsia"/>
          <w:sz w:val="24"/>
        </w:rPr>
        <w:t>：</w:t>
      </w:r>
      <w:r w:rsidR="008B71D4" w:rsidRPr="00FC1444">
        <w:rPr>
          <w:rFonts w:eastAsiaTheme="minorEastAsia"/>
          <w:sz w:val="24"/>
        </w:rPr>
        <w:t>本项目旱田新建机电井</w:t>
      </w:r>
      <w:r w:rsidR="008B71D4" w:rsidRPr="00FC1444">
        <w:rPr>
          <w:rFonts w:eastAsiaTheme="minorEastAsia"/>
          <w:sz w:val="24"/>
        </w:rPr>
        <w:t>156</w:t>
      </w:r>
      <w:r w:rsidR="008B71D4" w:rsidRPr="00FC1444">
        <w:rPr>
          <w:rFonts w:eastAsiaTheme="minorEastAsia"/>
          <w:sz w:val="24"/>
        </w:rPr>
        <w:t>眼，其中</w:t>
      </w:r>
      <w:r w:rsidR="008B71D4" w:rsidRPr="00FC1444">
        <w:rPr>
          <w:rFonts w:eastAsiaTheme="minorEastAsia"/>
          <w:sz w:val="24"/>
        </w:rPr>
        <w:t>35</w:t>
      </w:r>
      <w:r w:rsidR="008B71D4" w:rsidRPr="00FC1444">
        <w:rPr>
          <w:rFonts w:eastAsiaTheme="minorEastAsia"/>
          <w:sz w:val="24"/>
        </w:rPr>
        <w:t>口滴灌井（水肥一体化），</w:t>
      </w:r>
      <w:r w:rsidR="008B71D4" w:rsidRPr="00FC1444">
        <w:rPr>
          <w:rFonts w:eastAsiaTheme="minorEastAsia"/>
          <w:sz w:val="24"/>
        </w:rPr>
        <w:t>121</w:t>
      </w:r>
      <w:r w:rsidR="008B71D4" w:rsidRPr="00FC1444">
        <w:rPr>
          <w:rFonts w:eastAsiaTheme="minorEastAsia"/>
          <w:sz w:val="24"/>
        </w:rPr>
        <w:t>口抗旱井（干旱时使用），运营期设计抗旱井每年</w:t>
      </w:r>
      <w:r w:rsidR="008B71D4" w:rsidRPr="00FC1444">
        <w:rPr>
          <w:rFonts w:eastAsiaTheme="minorEastAsia"/>
          <w:sz w:val="24"/>
        </w:rPr>
        <w:t>4-7</w:t>
      </w:r>
      <w:r w:rsidR="008B71D4" w:rsidRPr="00FC1444">
        <w:rPr>
          <w:rFonts w:eastAsiaTheme="minorEastAsia"/>
          <w:sz w:val="24"/>
        </w:rPr>
        <w:t>月干旱时灌水</w:t>
      </w:r>
      <w:r w:rsidR="008B71D4" w:rsidRPr="00FC1444">
        <w:rPr>
          <w:rFonts w:eastAsiaTheme="minorEastAsia"/>
          <w:sz w:val="24"/>
        </w:rPr>
        <w:t>10d</w:t>
      </w:r>
      <w:r w:rsidR="008B71D4" w:rsidRPr="00FC1444">
        <w:rPr>
          <w:rFonts w:eastAsiaTheme="minorEastAsia"/>
          <w:sz w:val="24"/>
        </w:rPr>
        <w:t>，每天灌溉时间约为</w:t>
      </w:r>
      <w:r w:rsidR="008B71D4" w:rsidRPr="00FC1444">
        <w:rPr>
          <w:rFonts w:eastAsiaTheme="minorEastAsia"/>
          <w:sz w:val="24"/>
        </w:rPr>
        <w:t>7h</w:t>
      </w:r>
      <w:r w:rsidR="008B71D4" w:rsidRPr="00FC1444">
        <w:rPr>
          <w:rFonts w:eastAsiaTheme="minorEastAsia"/>
          <w:sz w:val="24"/>
        </w:rPr>
        <w:t>，总灌水时间约</w:t>
      </w:r>
      <w:r w:rsidR="008B71D4" w:rsidRPr="00FC1444">
        <w:rPr>
          <w:rFonts w:eastAsiaTheme="minorEastAsia"/>
          <w:sz w:val="24"/>
        </w:rPr>
        <w:t>70h</w:t>
      </w:r>
      <w:r w:rsidR="008B71D4" w:rsidRPr="00FC1444">
        <w:rPr>
          <w:rFonts w:eastAsiaTheme="minorEastAsia"/>
          <w:sz w:val="24"/>
        </w:rPr>
        <w:t>，设计单井涌水量为</w:t>
      </w:r>
      <w:r w:rsidR="008B71D4" w:rsidRPr="00FC1444">
        <w:rPr>
          <w:rFonts w:eastAsiaTheme="minorEastAsia"/>
          <w:sz w:val="24"/>
        </w:rPr>
        <w:t>30m3/h</w:t>
      </w:r>
      <w:r w:rsidR="008B71D4" w:rsidRPr="00FC1444">
        <w:rPr>
          <w:rFonts w:eastAsiaTheme="minorEastAsia"/>
          <w:sz w:val="24"/>
        </w:rPr>
        <w:t>。滴灌井全生育周期灌溉总天数</w:t>
      </w:r>
      <w:r w:rsidR="008B71D4" w:rsidRPr="00FC1444">
        <w:rPr>
          <w:rFonts w:eastAsiaTheme="minorEastAsia"/>
          <w:sz w:val="24"/>
        </w:rPr>
        <w:t>32d</w:t>
      </w:r>
      <w:r w:rsidR="008B71D4" w:rsidRPr="00FC1444">
        <w:rPr>
          <w:rFonts w:eastAsiaTheme="minorEastAsia"/>
          <w:sz w:val="24"/>
        </w:rPr>
        <w:t>，每天灌溉时间约为</w:t>
      </w:r>
      <w:r w:rsidR="008B71D4" w:rsidRPr="00FC1444">
        <w:rPr>
          <w:rFonts w:eastAsiaTheme="minorEastAsia"/>
          <w:sz w:val="24"/>
        </w:rPr>
        <w:t>20h</w:t>
      </w:r>
      <w:r w:rsidR="008B71D4" w:rsidRPr="00FC1444">
        <w:rPr>
          <w:rFonts w:eastAsiaTheme="minorEastAsia"/>
          <w:sz w:val="24"/>
        </w:rPr>
        <w:t>，总灌水时间约</w:t>
      </w:r>
      <w:r w:rsidR="008B71D4" w:rsidRPr="00FC1444">
        <w:rPr>
          <w:rFonts w:eastAsiaTheme="minorEastAsia"/>
          <w:sz w:val="24"/>
        </w:rPr>
        <w:t>640h</w:t>
      </w:r>
      <w:r w:rsidR="008B71D4" w:rsidRPr="00FC1444">
        <w:rPr>
          <w:rFonts w:eastAsiaTheme="minorEastAsia"/>
          <w:sz w:val="24"/>
        </w:rPr>
        <w:t>，设计单井涌水量为</w:t>
      </w:r>
      <w:r w:rsidR="008B71D4" w:rsidRPr="00FC1444">
        <w:rPr>
          <w:rFonts w:eastAsiaTheme="minorEastAsia"/>
          <w:sz w:val="24"/>
        </w:rPr>
        <w:t>30m3/h</w:t>
      </w:r>
      <w:r w:rsidR="008B71D4" w:rsidRPr="00FC1444">
        <w:rPr>
          <w:rFonts w:eastAsiaTheme="minorEastAsia"/>
          <w:sz w:val="24"/>
        </w:rPr>
        <w:t>。根据项目区的灌溉定额和灌溉水利用系数，项目区地下水取水量为</w:t>
      </w:r>
      <w:r w:rsidR="008B71D4" w:rsidRPr="00FC1444">
        <w:rPr>
          <w:rFonts w:eastAsiaTheme="minorEastAsia"/>
          <w:sz w:val="24"/>
        </w:rPr>
        <w:t>92.83</w:t>
      </w:r>
      <w:r w:rsidR="008B71D4" w:rsidRPr="00FC1444">
        <w:rPr>
          <w:rFonts w:eastAsiaTheme="minorEastAsia"/>
          <w:sz w:val="24"/>
        </w:rPr>
        <w:t>万</w:t>
      </w:r>
      <w:r w:rsidR="008B71D4" w:rsidRPr="00FC1444">
        <w:rPr>
          <w:rFonts w:eastAsiaTheme="minorEastAsia"/>
          <w:sz w:val="24"/>
        </w:rPr>
        <w:t>m³/a</w:t>
      </w:r>
      <w:r w:rsidR="008B71D4" w:rsidRPr="00FC1444">
        <w:rPr>
          <w:rFonts w:eastAsiaTheme="minorEastAsia"/>
          <w:sz w:val="24"/>
        </w:rPr>
        <w:t>（其中抗旱井</w:t>
      </w:r>
      <w:r w:rsidR="008B71D4" w:rsidRPr="00FC1444">
        <w:rPr>
          <w:rFonts w:eastAsiaTheme="minorEastAsia"/>
          <w:sz w:val="24"/>
        </w:rPr>
        <w:t>23.67</w:t>
      </w:r>
      <w:r w:rsidR="008B71D4" w:rsidRPr="00FC1444">
        <w:rPr>
          <w:rFonts w:eastAsiaTheme="minorEastAsia"/>
          <w:sz w:val="24"/>
        </w:rPr>
        <w:t>万</w:t>
      </w:r>
      <w:r w:rsidR="008B71D4" w:rsidRPr="00FC1444">
        <w:rPr>
          <w:rFonts w:eastAsiaTheme="minorEastAsia"/>
          <w:sz w:val="24"/>
        </w:rPr>
        <w:t>m³/a</w:t>
      </w:r>
      <w:r w:rsidR="008B71D4" w:rsidRPr="00FC1444">
        <w:rPr>
          <w:rFonts w:eastAsiaTheme="minorEastAsia"/>
          <w:sz w:val="24"/>
        </w:rPr>
        <w:t>、滴灌井</w:t>
      </w:r>
      <w:r w:rsidR="008B71D4" w:rsidRPr="00FC1444">
        <w:rPr>
          <w:rFonts w:eastAsiaTheme="minorEastAsia"/>
          <w:sz w:val="24"/>
        </w:rPr>
        <w:t>69.16</w:t>
      </w:r>
      <w:r w:rsidR="008B71D4" w:rsidRPr="00FC1444">
        <w:rPr>
          <w:rFonts w:eastAsiaTheme="minorEastAsia"/>
          <w:sz w:val="24"/>
        </w:rPr>
        <w:t>万</w:t>
      </w:r>
      <w:r w:rsidR="008B71D4" w:rsidRPr="00FC1444">
        <w:rPr>
          <w:rFonts w:eastAsiaTheme="minorEastAsia"/>
          <w:sz w:val="24"/>
        </w:rPr>
        <w:t>m³/a</w:t>
      </w:r>
      <w:r w:rsidR="008B71D4" w:rsidRPr="00FC1444">
        <w:rPr>
          <w:rFonts w:eastAsiaTheme="minorEastAsia"/>
          <w:sz w:val="24"/>
        </w:rPr>
        <w:t>），日取水量约为</w:t>
      </w:r>
      <w:r w:rsidR="008B71D4" w:rsidRPr="00FC1444">
        <w:rPr>
          <w:rFonts w:eastAsiaTheme="minorEastAsia"/>
          <w:sz w:val="24"/>
        </w:rPr>
        <w:t>45283m</w:t>
      </w:r>
      <w:r w:rsidR="008B71D4" w:rsidRPr="00FC1444">
        <w:rPr>
          <w:rFonts w:eastAsiaTheme="minorEastAsia"/>
          <w:sz w:val="24"/>
          <w:vertAlign w:val="superscript"/>
        </w:rPr>
        <w:t>3</w:t>
      </w:r>
      <w:r w:rsidR="008B71D4" w:rsidRPr="00FC1444">
        <w:rPr>
          <w:rFonts w:eastAsiaTheme="minorEastAsia"/>
          <w:sz w:val="24"/>
        </w:rPr>
        <w:t>（其中抗旱井</w:t>
      </w:r>
      <w:r w:rsidR="008B71D4" w:rsidRPr="00FC1444">
        <w:rPr>
          <w:rFonts w:eastAsiaTheme="minorEastAsia"/>
          <w:sz w:val="24"/>
        </w:rPr>
        <w:t>23670m³</w:t>
      </w:r>
      <w:r w:rsidR="008B71D4" w:rsidRPr="00FC1444">
        <w:rPr>
          <w:rFonts w:eastAsiaTheme="minorEastAsia"/>
          <w:sz w:val="24"/>
        </w:rPr>
        <w:t>、滴灌井</w:t>
      </w:r>
      <w:r w:rsidR="008B71D4" w:rsidRPr="00FC1444">
        <w:rPr>
          <w:rFonts w:eastAsiaTheme="minorEastAsia"/>
          <w:sz w:val="24"/>
        </w:rPr>
        <w:t>21613m³</w:t>
      </w:r>
      <w:r w:rsidR="008B71D4" w:rsidRPr="00FC1444">
        <w:rPr>
          <w:rFonts w:eastAsiaTheme="minorEastAsia"/>
          <w:sz w:val="24"/>
        </w:rPr>
        <w:t>）。</w:t>
      </w:r>
      <w:r w:rsidRPr="00FC1444">
        <w:rPr>
          <w:rFonts w:eastAsiaTheme="minorEastAsia"/>
          <w:sz w:val="24"/>
        </w:rPr>
        <w:t>已取得</w:t>
      </w:r>
      <w:r w:rsidR="00DC2B3B" w:rsidRPr="00FC1444">
        <w:rPr>
          <w:rFonts w:eastAsiaTheme="minorEastAsia"/>
          <w:sz w:val="24"/>
        </w:rPr>
        <w:t>《准予取水许可决定书复》</w:t>
      </w:r>
      <w:r w:rsidR="00CA729B" w:rsidRPr="00FC1444">
        <w:rPr>
          <w:rFonts w:eastAsiaTheme="minorEastAsia"/>
          <w:sz w:val="24"/>
        </w:rPr>
        <w:t>文号：取水（绥北水）准字〔</w:t>
      </w:r>
      <w:r w:rsidR="00CA729B" w:rsidRPr="00FC1444">
        <w:rPr>
          <w:rFonts w:eastAsiaTheme="minorEastAsia"/>
          <w:sz w:val="24"/>
        </w:rPr>
        <w:t>2026</w:t>
      </w:r>
      <w:r w:rsidR="00CA729B" w:rsidRPr="00FC1444">
        <w:rPr>
          <w:rFonts w:eastAsiaTheme="minorEastAsia"/>
          <w:sz w:val="24"/>
        </w:rPr>
        <w:t>〕第</w:t>
      </w:r>
      <w:r w:rsidR="00CA729B" w:rsidRPr="00FC1444">
        <w:rPr>
          <w:rFonts w:eastAsiaTheme="minorEastAsia"/>
          <w:sz w:val="24"/>
        </w:rPr>
        <w:t>50</w:t>
      </w:r>
      <w:r w:rsidR="00CA729B" w:rsidRPr="00FC1444">
        <w:rPr>
          <w:rFonts w:eastAsiaTheme="minorEastAsia"/>
          <w:sz w:val="24"/>
        </w:rPr>
        <w:t>号</w:t>
      </w:r>
      <w:r w:rsidRPr="00FC1444">
        <w:rPr>
          <w:rFonts w:eastAsiaTheme="minorEastAsia"/>
          <w:sz w:val="24"/>
        </w:rPr>
        <w:t>。</w:t>
      </w:r>
    </w:p>
    <w:p w:rsidR="004D4EC0" w:rsidRPr="00FC1444" w:rsidRDefault="00611CBA" w:rsidP="004D4EC0">
      <w:pPr>
        <w:pStyle w:val="aff4"/>
        <w:adjustRightInd/>
        <w:snapToGrid/>
        <w:rPr>
          <w:rFonts w:ascii="Times New Roman" w:hAnsi="Times New Roman" w:cs="Times New Roman"/>
          <w:smallCaps/>
          <w:shd w:val="clear" w:color="auto" w:fill="FFFFFF"/>
        </w:rPr>
      </w:pPr>
      <w:r w:rsidRPr="00FC1444">
        <w:rPr>
          <w:rFonts w:ascii="Times New Roman" w:hAnsi="Times New Roman" w:cs="Times New Roman"/>
        </w:rPr>
        <w:t>水田</w:t>
      </w:r>
      <w:r w:rsidR="00596FF0" w:rsidRPr="00FC1444">
        <w:rPr>
          <w:rFonts w:ascii="Times New Roman" w:hAnsi="Times New Roman" w:cs="Times New Roman"/>
        </w:rPr>
        <w:t>：</w:t>
      </w:r>
      <w:r w:rsidR="004D4EC0" w:rsidRPr="00FC1444">
        <w:rPr>
          <w:rFonts w:ascii="Times New Roman" w:hAnsi="Times New Roman" w:cs="Times New Roman"/>
        </w:rPr>
        <w:t>本项目建设前后项目区水田面积不变，仍为</w:t>
      </w:r>
      <w:r w:rsidR="008A02BD" w:rsidRPr="00FC1444">
        <w:rPr>
          <w:rFonts w:ascii="Times New Roman" w:hAnsi="Times New Roman" w:cs="Times New Roman" w:hint="eastAsia"/>
          <w:bCs/>
        </w:rPr>
        <w:t>9.16</w:t>
      </w:r>
      <w:r w:rsidR="004D4EC0" w:rsidRPr="00FC1444">
        <w:rPr>
          <w:rFonts w:ascii="Times New Roman" w:hAnsi="Times New Roman" w:cs="Times New Roman"/>
          <w:bCs/>
        </w:rPr>
        <w:t>万亩。不新增灌溉设施</w:t>
      </w:r>
      <w:r w:rsidR="004D4EC0" w:rsidRPr="00FC1444">
        <w:rPr>
          <w:rFonts w:ascii="Times New Roman" w:hAnsi="Times New Roman" w:cs="Times New Roman"/>
        </w:rPr>
        <w:t>，灌溉方式</w:t>
      </w:r>
      <w:r w:rsidR="004D4EC0" w:rsidRPr="00FC1444">
        <w:rPr>
          <w:rFonts w:ascii="Times New Roman" w:hAnsi="Times New Roman" w:cs="Times New Roman"/>
          <w:smallCaps/>
          <w:shd w:val="clear" w:color="auto" w:fill="FFFFFF"/>
        </w:rPr>
        <w:t>为</w:t>
      </w:r>
      <w:r w:rsidR="004D4EC0" w:rsidRPr="00FC1444">
        <w:rPr>
          <w:rFonts w:ascii="Times New Roman" w:hAnsi="Times New Roman" w:cs="Times New Roman"/>
        </w:rPr>
        <w:t>现有农民自打地下水井井灌</w:t>
      </w:r>
      <w:r w:rsidR="004D4EC0" w:rsidRPr="00FC1444">
        <w:rPr>
          <w:rFonts w:ascii="Times New Roman" w:hAnsi="Times New Roman" w:cs="Times New Roman"/>
          <w:smallCaps/>
          <w:shd w:val="clear" w:color="auto" w:fill="FFFFFF"/>
        </w:rPr>
        <w:t>。退水总量及主要污染物：</w:t>
      </w:r>
      <w:r w:rsidR="000B5B02" w:rsidRPr="00FC1444">
        <w:rPr>
          <w:rFonts w:ascii="Times New Roman" w:hAnsi="Times New Roman" w:cs="Times New Roman" w:hint="eastAsia"/>
        </w:rPr>
        <w:t>绥胜</w:t>
      </w:r>
      <w:r w:rsidR="000B5B02" w:rsidRPr="00FC1444">
        <w:rPr>
          <w:rFonts w:ascii="Times New Roman" w:hAnsi="Times New Roman" w:cs="Times New Roman"/>
        </w:rPr>
        <w:t>片区</w:t>
      </w:r>
      <w:r w:rsidR="000B5B02" w:rsidRPr="00FC1444">
        <w:rPr>
          <w:rFonts w:ascii="Times New Roman" w:hAnsi="Times New Roman" w:cs="Times New Roman"/>
        </w:rPr>
        <w:t>0.</w:t>
      </w:r>
      <w:r w:rsidR="000B5B02" w:rsidRPr="00FC1444">
        <w:rPr>
          <w:rFonts w:ascii="Times New Roman" w:hAnsi="Times New Roman" w:cs="Times New Roman" w:hint="eastAsia"/>
        </w:rPr>
        <w:t>6</w:t>
      </w:r>
      <w:r w:rsidR="000B5B02" w:rsidRPr="00FC1444">
        <w:rPr>
          <w:rFonts w:ascii="Times New Roman" w:hAnsi="Times New Roman" w:cs="Times New Roman"/>
        </w:rPr>
        <w:t>万亩、</w:t>
      </w:r>
      <w:r w:rsidR="000B5B02" w:rsidRPr="00FC1444">
        <w:rPr>
          <w:rFonts w:ascii="Times New Roman" w:hAnsi="Times New Roman" w:cs="Times New Roman" w:hint="eastAsia"/>
        </w:rPr>
        <w:t>津河</w:t>
      </w:r>
      <w:r w:rsidR="000B5B02" w:rsidRPr="00FC1444">
        <w:rPr>
          <w:rFonts w:ascii="Times New Roman" w:hAnsi="Times New Roman" w:cs="Times New Roman"/>
        </w:rPr>
        <w:t>片区</w:t>
      </w:r>
      <w:r w:rsidR="000B5B02" w:rsidRPr="00FC1444">
        <w:rPr>
          <w:rFonts w:ascii="Times New Roman" w:hAnsi="Times New Roman" w:cs="Times New Roman" w:hint="eastAsia"/>
        </w:rPr>
        <w:t>1.54</w:t>
      </w:r>
      <w:r w:rsidR="000B5B02" w:rsidRPr="00FC1444">
        <w:rPr>
          <w:rFonts w:ascii="Times New Roman" w:hAnsi="Times New Roman" w:cs="Times New Roman"/>
        </w:rPr>
        <w:t>万亩、</w:t>
      </w:r>
      <w:r w:rsidR="000B5B02" w:rsidRPr="00FC1444">
        <w:rPr>
          <w:rFonts w:ascii="Times New Roman" w:hAnsi="Times New Roman" w:cs="Times New Roman" w:hint="eastAsia"/>
        </w:rPr>
        <w:t>五营</w:t>
      </w:r>
      <w:r w:rsidR="000B5B02" w:rsidRPr="00FC1444">
        <w:rPr>
          <w:rFonts w:ascii="Times New Roman" w:hAnsi="Times New Roman" w:cs="Times New Roman"/>
        </w:rPr>
        <w:t>片区</w:t>
      </w:r>
      <w:r w:rsidR="000B5B02" w:rsidRPr="00FC1444">
        <w:rPr>
          <w:rFonts w:ascii="Times New Roman" w:hAnsi="Times New Roman" w:cs="Times New Roman" w:hint="eastAsia"/>
        </w:rPr>
        <w:t>4.92</w:t>
      </w:r>
      <w:r w:rsidR="000B5B02" w:rsidRPr="00FC1444">
        <w:rPr>
          <w:rFonts w:ascii="Times New Roman" w:hAnsi="Times New Roman" w:cs="Times New Roman"/>
        </w:rPr>
        <w:t>万亩，</w:t>
      </w:r>
      <w:r w:rsidR="000B5B02" w:rsidRPr="00FC1444">
        <w:rPr>
          <w:rFonts w:ascii="Times New Roman" w:hAnsi="Times New Roman" w:cs="Times New Roman" w:hint="eastAsia"/>
        </w:rPr>
        <w:t>三河</w:t>
      </w:r>
      <w:r w:rsidR="000B5B02" w:rsidRPr="00FC1444">
        <w:rPr>
          <w:rFonts w:ascii="Times New Roman" w:hAnsi="Times New Roman" w:cs="Times New Roman"/>
        </w:rPr>
        <w:t>片区</w:t>
      </w:r>
      <w:r w:rsidR="000B5B02" w:rsidRPr="00FC1444">
        <w:rPr>
          <w:rFonts w:ascii="Times New Roman" w:hAnsi="Times New Roman" w:cs="Times New Roman" w:hint="eastAsia"/>
        </w:rPr>
        <w:t>2.1</w:t>
      </w:r>
      <w:r w:rsidR="000B5B02" w:rsidRPr="00FC1444">
        <w:rPr>
          <w:rFonts w:ascii="Times New Roman" w:hAnsi="Times New Roman" w:cs="Times New Roman"/>
        </w:rPr>
        <w:t>万亩。</w:t>
      </w:r>
      <w:r w:rsidR="000B5B02" w:rsidRPr="00FC1444">
        <w:rPr>
          <w:rFonts w:ascii="Times New Roman" w:hAnsi="Times New Roman" w:cs="Times New Roman"/>
          <w:kern w:val="0"/>
        </w:rPr>
        <w:t>水田取水量</w:t>
      </w:r>
      <w:r w:rsidR="000B5B02" w:rsidRPr="00FC1444">
        <w:rPr>
          <w:rFonts w:ascii="Times New Roman" w:hAnsi="Times New Roman" w:cs="Times New Roman"/>
          <w:kern w:val="0"/>
        </w:rPr>
        <w:t>=</w:t>
      </w:r>
      <w:r w:rsidR="000B5B02" w:rsidRPr="00FC1444">
        <w:rPr>
          <w:rFonts w:ascii="Times New Roman" w:hAnsi="Times New Roman" w:cs="Times New Roman"/>
          <w:kern w:val="0"/>
        </w:rPr>
        <w:t>灌溉面积</w:t>
      </w:r>
      <w:r w:rsidR="000B5B02" w:rsidRPr="00FC1444">
        <w:rPr>
          <w:rFonts w:ascii="Times New Roman" w:hAnsi="Times New Roman" w:cs="Times New Roman"/>
          <w:kern w:val="0"/>
        </w:rPr>
        <w:t>×</w:t>
      </w:r>
      <w:r w:rsidR="000B5B02" w:rsidRPr="00FC1444">
        <w:rPr>
          <w:rFonts w:ascii="Times New Roman" w:hAnsi="Times New Roman" w:cs="Times New Roman"/>
        </w:rPr>
        <w:t>灌溉定额</w:t>
      </w:r>
      <w:r w:rsidR="000B5B02" w:rsidRPr="00FC1444">
        <w:rPr>
          <w:rFonts w:ascii="Times New Roman" w:hAnsi="Times New Roman" w:cs="Times New Roman"/>
          <w:kern w:val="0"/>
        </w:rPr>
        <w:t>。</w:t>
      </w:r>
      <w:r w:rsidR="000B5B02" w:rsidRPr="00FC1444">
        <w:rPr>
          <w:rFonts w:ascii="Times New Roman" w:hAnsi="Times New Roman" w:cs="Times New Roman"/>
        </w:rPr>
        <w:t>现状年灌溉水利用系数</w:t>
      </w:r>
      <w:r w:rsidR="000B5B02" w:rsidRPr="00FC1444">
        <w:rPr>
          <w:rFonts w:ascii="Times New Roman" w:hAnsi="Times New Roman" w:cs="Times New Roman"/>
        </w:rPr>
        <w:t>0.67</w:t>
      </w:r>
      <w:r w:rsidR="000B5B02" w:rsidRPr="00FC1444">
        <w:rPr>
          <w:rFonts w:ascii="Times New Roman" w:hAnsi="Times New Roman" w:cs="Times New Roman"/>
        </w:rPr>
        <w:t>，水田灌溉用水定额为</w:t>
      </w:r>
      <w:r w:rsidR="000B5B02" w:rsidRPr="00FC1444">
        <w:rPr>
          <w:rFonts w:ascii="Times New Roman" w:hAnsi="Times New Roman" w:cs="Times New Roman"/>
        </w:rPr>
        <w:t>685m</w:t>
      </w:r>
      <w:r w:rsidR="000B5B02" w:rsidRPr="00FC1444">
        <w:rPr>
          <w:rFonts w:ascii="Times New Roman" w:hAnsi="Times New Roman" w:cs="Times New Roman"/>
          <w:vertAlign w:val="superscript"/>
        </w:rPr>
        <w:t>3</w:t>
      </w:r>
      <w:r w:rsidR="000B5B02" w:rsidRPr="00FC1444">
        <w:rPr>
          <w:rFonts w:ascii="Times New Roman" w:hAnsi="Times New Roman" w:cs="Times New Roman"/>
        </w:rPr>
        <w:t>/</w:t>
      </w:r>
      <w:r w:rsidR="000B5B02" w:rsidRPr="00FC1444">
        <w:rPr>
          <w:rFonts w:ascii="Times New Roman" w:hAnsi="Times New Roman" w:cs="Times New Roman"/>
        </w:rPr>
        <w:t>亩，现状引水总量</w:t>
      </w:r>
      <w:r w:rsidR="000B5B02" w:rsidRPr="00FC1444">
        <w:rPr>
          <w:rFonts w:ascii="Times New Roman" w:hAnsi="Times New Roman" w:cs="Times New Roman"/>
        </w:rPr>
        <w:t>6274.6</w:t>
      </w:r>
      <w:r w:rsidR="000B5B02" w:rsidRPr="00FC1444">
        <w:rPr>
          <w:rFonts w:ascii="Times New Roman" w:hAnsi="Times New Roman" w:cs="Times New Roman"/>
        </w:rPr>
        <w:t>万</w:t>
      </w:r>
      <w:r w:rsidR="000B5B02" w:rsidRPr="00FC1444">
        <w:rPr>
          <w:rFonts w:ascii="Times New Roman" w:hAnsi="Times New Roman" w:cs="Times New Roman"/>
        </w:rPr>
        <w:t>m</w:t>
      </w:r>
      <w:r w:rsidR="000B5B02" w:rsidRPr="00FC1444">
        <w:rPr>
          <w:rFonts w:ascii="Times New Roman" w:hAnsi="Times New Roman" w:cs="Times New Roman"/>
          <w:vertAlign w:val="superscript"/>
        </w:rPr>
        <w:t>3</w:t>
      </w:r>
      <w:r w:rsidR="000B5B02" w:rsidRPr="00FC1444">
        <w:rPr>
          <w:rFonts w:ascii="Times New Roman" w:hAnsi="Times New Roman" w:cs="Times New Roman"/>
        </w:rPr>
        <w:t>，现状退水系数按</w:t>
      </w:r>
      <w:r w:rsidR="000B5B02" w:rsidRPr="00FC1444">
        <w:rPr>
          <w:rFonts w:ascii="Times New Roman" w:hAnsi="Times New Roman" w:cs="Times New Roman"/>
        </w:rPr>
        <w:t>0.2</w:t>
      </w:r>
      <w:r w:rsidR="000B5B02" w:rsidRPr="00FC1444">
        <w:rPr>
          <w:rFonts w:ascii="Times New Roman" w:hAnsi="Times New Roman" w:cs="Times New Roman"/>
        </w:rPr>
        <w:t>计，则现状年灌区退水总量</w:t>
      </w:r>
      <w:r w:rsidR="000B5B02" w:rsidRPr="00FC1444">
        <w:rPr>
          <w:rFonts w:ascii="Times New Roman" w:hAnsi="Times New Roman" w:cs="Times New Roman" w:hint="eastAsia"/>
        </w:rPr>
        <w:t>1255</w:t>
      </w:r>
      <w:r w:rsidR="000B5B02" w:rsidRPr="00FC1444">
        <w:rPr>
          <w:rFonts w:ascii="Times New Roman" w:hAnsi="Times New Roman" w:cs="Times New Roman"/>
        </w:rPr>
        <w:t>万</w:t>
      </w:r>
      <w:r w:rsidR="000B5B02" w:rsidRPr="00FC1444">
        <w:rPr>
          <w:rFonts w:ascii="Times New Roman" w:hAnsi="Times New Roman" w:cs="Times New Roman"/>
        </w:rPr>
        <w:t>m</w:t>
      </w:r>
      <w:r w:rsidR="000B5B02" w:rsidRPr="00FC1444">
        <w:rPr>
          <w:rFonts w:ascii="Times New Roman" w:hAnsi="Times New Roman" w:cs="Times New Roman"/>
          <w:vertAlign w:val="superscript"/>
        </w:rPr>
        <w:t>3</w:t>
      </w:r>
      <w:r w:rsidR="004D4EC0" w:rsidRPr="00FC1444">
        <w:rPr>
          <w:rFonts w:ascii="Times New Roman" w:hAnsi="Times New Roman" w:cs="Times New Roman"/>
        </w:rPr>
        <w:t>。</w:t>
      </w:r>
    </w:p>
    <w:bookmarkEnd w:id="83"/>
    <w:bookmarkEnd w:id="84"/>
    <w:p w:rsidR="002A5A5E" w:rsidRPr="00FC1444" w:rsidRDefault="009840DD">
      <w:pPr>
        <w:autoSpaceDE w:val="0"/>
        <w:autoSpaceDN w:val="0"/>
        <w:spacing w:before="100" w:beforeAutospacing="1" w:after="100" w:afterAutospacing="1"/>
        <w:outlineLvl w:val="3"/>
        <w:rPr>
          <w:rFonts w:eastAsiaTheme="minorEastAsia"/>
          <w:b/>
          <w:sz w:val="24"/>
        </w:rPr>
      </w:pPr>
      <w:r w:rsidRPr="00FC1444">
        <w:rPr>
          <w:rFonts w:eastAsiaTheme="minorEastAsia"/>
          <w:b/>
          <w:sz w:val="24"/>
        </w:rPr>
        <w:lastRenderedPageBreak/>
        <w:fldChar w:fldCharType="begin"/>
      </w:r>
      <w:r w:rsidR="00611CBA" w:rsidRPr="00FC1444">
        <w:rPr>
          <w:rFonts w:eastAsiaTheme="minorEastAsia"/>
          <w:b/>
          <w:sz w:val="24"/>
        </w:rPr>
        <w:instrText>HYPERLINK "file:///F:\\360</w:instrText>
      </w:r>
      <w:r w:rsidR="00611CBA" w:rsidRPr="00FC1444">
        <w:rPr>
          <w:rFonts w:eastAsiaTheme="minorEastAsia"/>
          <w:b/>
          <w:sz w:val="24"/>
        </w:rPr>
        <w:instrText>用户文件</w:instrText>
      </w:r>
      <w:r w:rsidR="00611CBA" w:rsidRPr="00FC1444">
        <w:rPr>
          <w:rFonts w:eastAsiaTheme="minorEastAsia"/>
          <w:b/>
          <w:sz w:val="24"/>
        </w:rPr>
        <w:instrText>\\</w:instrText>
      </w:r>
      <w:r w:rsidR="00611CBA" w:rsidRPr="00FC1444">
        <w:rPr>
          <w:rFonts w:eastAsiaTheme="minorEastAsia"/>
          <w:b/>
          <w:sz w:val="24"/>
        </w:rPr>
        <w:instrText>游戏大厅</w:instrText>
      </w:r>
      <w:r w:rsidR="00611CBA" w:rsidRPr="00FC1444">
        <w:rPr>
          <w:rFonts w:eastAsiaTheme="minorEastAsia"/>
          <w:b/>
          <w:sz w:val="24"/>
        </w:rPr>
        <w:instrText>\\</w:instrText>
      </w:r>
      <w:r w:rsidR="00611CBA" w:rsidRPr="00FC1444">
        <w:rPr>
          <w:rFonts w:eastAsiaTheme="minorEastAsia"/>
          <w:b/>
          <w:sz w:val="24"/>
        </w:rPr>
        <w:instrText>天兆养猪有限公司环评</w:instrText>
      </w:r>
      <w:r w:rsidR="00611CBA" w:rsidRPr="00FC1444">
        <w:rPr>
          <w:rFonts w:eastAsiaTheme="minorEastAsia"/>
          <w:b/>
          <w:sz w:val="24"/>
        </w:rPr>
        <w:instrText>\\1106</w:instrText>
      </w:r>
      <w:r w:rsidR="00611CBA" w:rsidRPr="00FC1444">
        <w:rPr>
          <w:rFonts w:eastAsiaTheme="minorEastAsia"/>
          <w:b/>
          <w:sz w:val="24"/>
        </w:rPr>
        <w:instrText>天兆养猪</w:instrText>
      </w:r>
      <w:r w:rsidR="00611CBA" w:rsidRPr="00FC1444">
        <w:rPr>
          <w:rFonts w:eastAsiaTheme="minorEastAsia"/>
          <w:b/>
          <w:sz w:val="24"/>
        </w:rPr>
        <w:instrText>\\</w:instrText>
      </w:r>
      <w:r w:rsidR="00611CBA" w:rsidRPr="00FC1444">
        <w:rPr>
          <w:rFonts w:eastAsiaTheme="minorEastAsia"/>
          <w:b/>
          <w:sz w:val="24"/>
        </w:rPr>
        <w:instrText>天兆养猪有限公司环评</w:instrText>
      </w:r>
      <w:r w:rsidR="00611CBA" w:rsidRPr="00FC1444">
        <w:rPr>
          <w:rFonts w:eastAsiaTheme="minorEastAsia"/>
          <w:b/>
          <w:sz w:val="24"/>
        </w:rPr>
        <w:instrText>1117.docx" \l "_Toc110400208"</w:instrText>
      </w:r>
      <w:r w:rsidRPr="00FC1444">
        <w:rPr>
          <w:rFonts w:eastAsiaTheme="minorEastAsia"/>
          <w:b/>
          <w:sz w:val="24"/>
        </w:rPr>
        <w:fldChar w:fldCharType="separate"/>
      </w:r>
      <w:r w:rsidR="00611CBA" w:rsidRPr="00FC1444">
        <w:rPr>
          <w:rFonts w:eastAsiaTheme="minorEastAsia"/>
          <w:b/>
          <w:sz w:val="24"/>
        </w:rPr>
        <w:t>3.1.10.2</w:t>
      </w:r>
      <w:r w:rsidR="00611CBA" w:rsidRPr="00FC1444">
        <w:rPr>
          <w:rFonts w:eastAsiaTheme="minorEastAsia"/>
          <w:b/>
          <w:sz w:val="24"/>
        </w:rPr>
        <w:t>排水工程</w:t>
      </w:r>
      <w:r w:rsidRPr="00FC1444">
        <w:rPr>
          <w:rFonts w:eastAsiaTheme="minorEastAsia"/>
          <w:b/>
          <w:sz w:val="24"/>
        </w:rPr>
        <w:fldChar w:fldCharType="end"/>
      </w:r>
    </w:p>
    <w:p w:rsidR="002A5A5E" w:rsidRPr="00FC1444" w:rsidRDefault="00611CBA">
      <w:pPr>
        <w:adjustRightInd w:val="0"/>
        <w:spacing w:line="360" w:lineRule="auto"/>
        <w:ind w:firstLineChars="150" w:firstLine="360"/>
        <w:rPr>
          <w:rFonts w:eastAsiaTheme="minorEastAsia"/>
          <w:sz w:val="24"/>
        </w:rPr>
      </w:pPr>
      <w:bookmarkStart w:id="85" w:name="_Hlk479525300"/>
      <w:bookmarkStart w:id="86" w:name="_Hlk480325836"/>
      <w:r w:rsidRPr="00FC1444">
        <w:rPr>
          <w:rFonts w:eastAsiaTheme="minorEastAsia"/>
          <w:sz w:val="24"/>
        </w:rPr>
        <w:t>（</w:t>
      </w:r>
      <w:r w:rsidRPr="00FC1444">
        <w:rPr>
          <w:rFonts w:eastAsiaTheme="minorEastAsia"/>
          <w:sz w:val="24"/>
        </w:rPr>
        <w:t>1</w:t>
      </w:r>
      <w:r w:rsidRPr="00FC1444">
        <w:rPr>
          <w:rFonts w:eastAsiaTheme="minorEastAsia"/>
          <w:sz w:val="24"/>
        </w:rPr>
        <w:t>）施工期</w:t>
      </w:r>
    </w:p>
    <w:p w:rsidR="002A5A5E" w:rsidRPr="00FC1444" w:rsidRDefault="00611CBA">
      <w:pPr>
        <w:adjustRightInd w:val="0"/>
        <w:snapToGrid w:val="0"/>
        <w:spacing w:line="360" w:lineRule="auto"/>
        <w:ind w:firstLineChars="200" w:firstLine="480"/>
        <w:jc w:val="left"/>
        <w:rPr>
          <w:rFonts w:eastAsiaTheme="minorEastAsia"/>
          <w:sz w:val="24"/>
        </w:rPr>
      </w:pPr>
      <w:r w:rsidRPr="00FC1444">
        <w:rPr>
          <w:rFonts w:eastAsiaTheme="minorEastAsia"/>
          <w:sz w:val="24"/>
        </w:rPr>
        <w:t>本项目田间道路工程主要服务于耕作需求，道路等级不高，在混凝土路面建设完成后，应在其终凝前进行养护，通常在混凝土浇筑完毕后</w:t>
      </w:r>
      <w:r w:rsidRPr="00FC1444">
        <w:rPr>
          <w:rFonts w:eastAsiaTheme="minorEastAsia"/>
          <w:sz w:val="24"/>
        </w:rPr>
        <w:t>8</w:t>
      </w:r>
      <w:r w:rsidRPr="00FC1444">
        <w:rPr>
          <w:rFonts w:eastAsiaTheme="minorEastAsia"/>
          <w:sz w:val="24"/>
        </w:rPr>
        <w:t>～</w:t>
      </w:r>
      <w:r w:rsidRPr="00FC1444">
        <w:rPr>
          <w:rFonts w:eastAsiaTheme="minorEastAsia"/>
          <w:sz w:val="24"/>
        </w:rPr>
        <w:t>12</w:t>
      </w:r>
      <w:r w:rsidRPr="00FC1444">
        <w:rPr>
          <w:rFonts w:eastAsiaTheme="minorEastAsia"/>
          <w:sz w:val="24"/>
        </w:rPr>
        <w:t>小时内自然养护，同时喷洒少量水，养护水自然蒸发。</w:t>
      </w:r>
    </w:p>
    <w:bookmarkEnd w:id="85"/>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施工期废水主要为职工生活污水及施工废水，生活污水产生量</w:t>
      </w:r>
      <w:r w:rsidRPr="00FC1444">
        <w:rPr>
          <w:rFonts w:eastAsiaTheme="minorEastAsia"/>
          <w:bCs/>
          <w:kern w:val="0"/>
          <w:sz w:val="24"/>
          <w:szCs w:val="20"/>
        </w:rPr>
        <w:t>按用水量的</w:t>
      </w:r>
      <w:r w:rsidRPr="00FC1444">
        <w:rPr>
          <w:rFonts w:eastAsiaTheme="minorEastAsia"/>
          <w:bCs/>
          <w:kern w:val="0"/>
          <w:sz w:val="24"/>
          <w:szCs w:val="20"/>
        </w:rPr>
        <w:t>80%</w:t>
      </w:r>
      <w:r w:rsidRPr="00FC1444">
        <w:rPr>
          <w:rFonts w:eastAsiaTheme="minorEastAsia"/>
          <w:bCs/>
          <w:kern w:val="0"/>
          <w:sz w:val="24"/>
          <w:szCs w:val="20"/>
        </w:rPr>
        <w:t>计，产生量为</w:t>
      </w:r>
      <w:r w:rsidR="006974EB" w:rsidRPr="00FC1444">
        <w:rPr>
          <w:rFonts w:eastAsiaTheme="minorEastAsia"/>
          <w:bCs/>
          <w:kern w:val="0"/>
          <w:sz w:val="24"/>
          <w:szCs w:val="20"/>
        </w:rPr>
        <w:t>10.6</w:t>
      </w:r>
      <w:r w:rsidRPr="00FC1444">
        <w:rPr>
          <w:rFonts w:eastAsiaTheme="minorEastAsia"/>
          <w:bCs/>
          <w:kern w:val="0"/>
          <w:sz w:val="24"/>
          <w:szCs w:val="20"/>
        </w:rPr>
        <w:t>t/d</w:t>
      </w:r>
      <w:r w:rsidRPr="00FC1444">
        <w:rPr>
          <w:rFonts w:eastAsiaTheme="minorEastAsia"/>
          <w:bCs/>
          <w:kern w:val="0"/>
          <w:sz w:val="24"/>
          <w:szCs w:val="20"/>
        </w:rPr>
        <w:t>，</w:t>
      </w:r>
      <w:r w:rsidRPr="00FC1444">
        <w:rPr>
          <w:rFonts w:eastAsiaTheme="minorEastAsia"/>
          <w:bCs/>
          <w:sz w:val="24"/>
        </w:rPr>
        <w:t>生活污水依托附近民房防渗旱厕，定期清掏，外运堆肥，不外排。</w:t>
      </w:r>
    </w:p>
    <w:p w:rsidR="002A5A5E" w:rsidRPr="00FC1444" w:rsidRDefault="00611CBA">
      <w:pPr>
        <w:tabs>
          <w:tab w:val="left" w:pos="2550"/>
        </w:tabs>
        <w:spacing w:line="360" w:lineRule="auto"/>
        <w:ind w:firstLineChars="200" w:firstLine="480"/>
        <w:rPr>
          <w:rFonts w:eastAsiaTheme="minorEastAsia"/>
          <w:sz w:val="24"/>
          <w:szCs w:val="20"/>
        </w:rPr>
      </w:pPr>
      <w:r w:rsidRPr="00FC1444">
        <w:rPr>
          <w:rFonts w:eastAsiaTheme="minorEastAsia"/>
          <w:sz w:val="24"/>
          <w:szCs w:val="20"/>
        </w:rPr>
        <w:t>施工废水主要是灌溉井施工过程中产生的含有泥浆或砂石的工程</w:t>
      </w:r>
      <w:r w:rsidRPr="00FC1444">
        <w:rPr>
          <w:rFonts w:eastAsiaTheme="minorEastAsia"/>
          <w:sz w:val="24"/>
        </w:rPr>
        <w:t>钻井泥浆</w:t>
      </w:r>
      <w:r w:rsidRPr="00FC1444">
        <w:rPr>
          <w:rFonts w:eastAsiaTheme="minorEastAsia"/>
          <w:sz w:val="24"/>
          <w:szCs w:val="20"/>
        </w:rPr>
        <w:t>及洗井废水。</w:t>
      </w:r>
    </w:p>
    <w:p w:rsidR="00DE2B0A" w:rsidRPr="00FC1444" w:rsidRDefault="00611CBA" w:rsidP="00DE2B0A">
      <w:pPr>
        <w:tabs>
          <w:tab w:val="left" w:pos="2550"/>
        </w:tabs>
        <w:spacing w:line="360" w:lineRule="auto"/>
        <w:ind w:firstLineChars="200" w:firstLine="480"/>
        <w:rPr>
          <w:rFonts w:eastAsiaTheme="minorEastAsia"/>
          <w:sz w:val="24"/>
        </w:rPr>
      </w:pPr>
      <w:r w:rsidRPr="00FC1444">
        <w:rPr>
          <w:rFonts w:eastAsiaTheme="minorEastAsia"/>
          <w:snapToGrid w:val="0"/>
          <w:kern w:val="0"/>
          <w:sz w:val="24"/>
        </w:rPr>
        <w:t>根据《</w:t>
      </w:r>
      <w:r w:rsidR="00AE168C" w:rsidRPr="00FC1444">
        <w:rPr>
          <w:rFonts w:eastAsiaTheme="minorEastAsia"/>
          <w:snapToGrid w:val="0"/>
          <w:kern w:val="0"/>
          <w:sz w:val="24"/>
        </w:rPr>
        <w:t>北林区</w:t>
      </w:r>
      <w:r w:rsidR="00AE168C" w:rsidRPr="00FC1444">
        <w:rPr>
          <w:rFonts w:eastAsiaTheme="minorEastAsia"/>
          <w:snapToGrid w:val="0"/>
          <w:kern w:val="0"/>
          <w:sz w:val="24"/>
        </w:rPr>
        <w:t>2026</w:t>
      </w:r>
      <w:r w:rsidR="00AE168C" w:rsidRPr="00FC1444">
        <w:rPr>
          <w:rFonts w:eastAsiaTheme="minorEastAsia"/>
          <w:snapToGrid w:val="0"/>
          <w:kern w:val="0"/>
          <w:sz w:val="24"/>
        </w:rPr>
        <w:t>年高标准农田建设项目</w:t>
      </w:r>
      <w:r w:rsidRPr="00FC1444">
        <w:rPr>
          <w:rFonts w:eastAsiaTheme="minorEastAsia"/>
          <w:snapToGrid w:val="0"/>
          <w:kern w:val="0"/>
          <w:sz w:val="24"/>
        </w:rPr>
        <w:t>初步设计》，</w:t>
      </w:r>
      <w:r w:rsidR="006974EB" w:rsidRPr="00FC1444">
        <w:rPr>
          <w:rFonts w:eastAsiaTheme="minorEastAsia"/>
          <w:snapToGrid w:val="0"/>
          <w:kern w:val="0"/>
          <w:sz w:val="24"/>
        </w:rPr>
        <w:t>10</w:t>
      </w:r>
      <w:r w:rsidR="00DE2B0A" w:rsidRPr="00FC1444">
        <w:rPr>
          <w:rFonts w:eastAsiaTheme="minorEastAsia"/>
          <w:snapToGrid w:val="0"/>
          <w:kern w:val="0"/>
          <w:sz w:val="24"/>
        </w:rPr>
        <w:t>0m</w:t>
      </w:r>
      <w:r w:rsidR="00DE2B0A" w:rsidRPr="00FC1444">
        <w:rPr>
          <w:rFonts w:eastAsiaTheme="minorEastAsia"/>
          <w:snapToGrid w:val="0"/>
          <w:kern w:val="0"/>
          <w:sz w:val="24"/>
        </w:rPr>
        <w:t>深水井</w:t>
      </w:r>
      <w:r w:rsidR="00DE2B0A" w:rsidRPr="00FC1444">
        <w:rPr>
          <w:rFonts w:eastAsiaTheme="minorEastAsia"/>
          <w:sz w:val="24"/>
        </w:rPr>
        <w:t>钻井废水量约</w:t>
      </w:r>
      <w:r w:rsidR="00DE2B0A" w:rsidRPr="00FC1444">
        <w:rPr>
          <w:rFonts w:eastAsiaTheme="minorEastAsia"/>
          <w:sz w:val="24"/>
        </w:rPr>
        <w:t>1</w:t>
      </w:r>
      <w:r w:rsidR="006974EB" w:rsidRPr="00FC1444">
        <w:rPr>
          <w:rFonts w:eastAsiaTheme="minorEastAsia"/>
          <w:sz w:val="24"/>
        </w:rPr>
        <w:t>0</w:t>
      </w:r>
      <w:r w:rsidR="00DE2B0A" w:rsidRPr="00FC1444">
        <w:rPr>
          <w:rFonts w:eastAsiaTheme="minorEastAsia"/>
          <w:sz w:val="24"/>
        </w:rPr>
        <w:t>m</w:t>
      </w:r>
      <w:r w:rsidR="00DE2B0A" w:rsidRPr="00FC1444">
        <w:rPr>
          <w:rFonts w:eastAsiaTheme="minorEastAsia"/>
          <w:sz w:val="24"/>
          <w:vertAlign w:val="superscript"/>
        </w:rPr>
        <w:t>3</w:t>
      </w:r>
      <w:r w:rsidR="00DE2B0A" w:rsidRPr="00FC1444">
        <w:rPr>
          <w:rFonts w:eastAsiaTheme="minorEastAsia"/>
          <w:sz w:val="24"/>
        </w:rPr>
        <w:t>/</w:t>
      </w:r>
      <w:r w:rsidR="00DE2B0A" w:rsidRPr="00FC1444">
        <w:rPr>
          <w:rFonts w:eastAsiaTheme="minorEastAsia"/>
          <w:sz w:val="24"/>
        </w:rPr>
        <w:t>口</w:t>
      </w:r>
      <w:r w:rsidRPr="00FC1444">
        <w:rPr>
          <w:rFonts w:eastAsiaTheme="minorEastAsia"/>
          <w:sz w:val="24"/>
        </w:rPr>
        <w:t>，钻井完成后进入钻井泥浆。</w:t>
      </w:r>
      <w:r w:rsidR="006974EB" w:rsidRPr="00FC1444">
        <w:rPr>
          <w:rFonts w:eastAsiaTheme="minorEastAsia"/>
          <w:snapToGrid w:val="0"/>
          <w:kern w:val="0"/>
          <w:sz w:val="24"/>
        </w:rPr>
        <w:t>10</w:t>
      </w:r>
      <w:r w:rsidR="00DE2B0A" w:rsidRPr="00FC1444">
        <w:rPr>
          <w:rFonts w:eastAsiaTheme="minorEastAsia"/>
          <w:snapToGrid w:val="0"/>
          <w:kern w:val="0"/>
          <w:sz w:val="24"/>
        </w:rPr>
        <w:t>0m</w:t>
      </w:r>
      <w:r w:rsidR="00DE2B0A" w:rsidRPr="00FC1444">
        <w:rPr>
          <w:rFonts w:eastAsiaTheme="minorEastAsia"/>
          <w:snapToGrid w:val="0"/>
          <w:kern w:val="0"/>
          <w:sz w:val="24"/>
        </w:rPr>
        <w:t>深水井</w:t>
      </w:r>
      <w:r w:rsidR="00DE2B0A" w:rsidRPr="00FC1444">
        <w:rPr>
          <w:rFonts w:eastAsiaTheme="minorEastAsia"/>
          <w:sz w:val="24"/>
        </w:rPr>
        <w:t>洗井用水量约</w:t>
      </w:r>
      <w:r w:rsidR="00DE2B0A" w:rsidRPr="00FC1444">
        <w:rPr>
          <w:rFonts w:eastAsiaTheme="minorEastAsia"/>
          <w:sz w:val="24"/>
        </w:rPr>
        <w:t>1</w:t>
      </w:r>
      <w:r w:rsidR="006974EB" w:rsidRPr="00FC1444">
        <w:rPr>
          <w:rFonts w:eastAsiaTheme="minorEastAsia"/>
          <w:sz w:val="24"/>
        </w:rPr>
        <w:t>5</w:t>
      </w:r>
      <w:r w:rsidR="00DE2B0A" w:rsidRPr="00FC1444">
        <w:rPr>
          <w:rFonts w:eastAsiaTheme="minorEastAsia"/>
          <w:sz w:val="24"/>
        </w:rPr>
        <w:t>m</w:t>
      </w:r>
      <w:r w:rsidR="00DE2B0A" w:rsidRPr="00FC1444">
        <w:rPr>
          <w:rFonts w:eastAsiaTheme="minorEastAsia"/>
          <w:sz w:val="24"/>
          <w:vertAlign w:val="superscript"/>
        </w:rPr>
        <w:t>3</w:t>
      </w:r>
      <w:r w:rsidR="00DE2B0A" w:rsidRPr="00FC1444">
        <w:rPr>
          <w:rFonts w:eastAsiaTheme="minorEastAsia"/>
          <w:sz w:val="24"/>
        </w:rPr>
        <w:t>/</w:t>
      </w:r>
      <w:r w:rsidR="00DE2B0A" w:rsidRPr="00FC1444">
        <w:rPr>
          <w:rFonts w:eastAsiaTheme="minorEastAsia"/>
          <w:sz w:val="24"/>
        </w:rPr>
        <w:t>口。</w:t>
      </w:r>
    </w:p>
    <w:p w:rsidR="002A5A5E" w:rsidRPr="00FC1444" w:rsidRDefault="00DE2B0A">
      <w:pPr>
        <w:tabs>
          <w:tab w:val="left" w:pos="2550"/>
        </w:tabs>
        <w:spacing w:line="360" w:lineRule="auto"/>
        <w:ind w:firstLineChars="200" w:firstLine="480"/>
        <w:rPr>
          <w:rFonts w:eastAsiaTheme="minorEastAsia"/>
          <w:sz w:val="24"/>
        </w:rPr>
      </w:pPr>
      <w:r w:rsidRPr="00FC1444">
        <w:rPr>
          <w:rFonts w:eastAsiaTheme="minorEastAsia"/>
          <w:bCs/>
          <w:sz w:val="24"/>
          <w:szCs w:val="22"/>
        </w:rPr>
        <w:t>单井</w:t>
      </w:r>
      <w:r w:rsidR="00611CBA" w:rsidRPr="00FC1444">
        <w:rPr>
          <w:rFonts w:eastAsiaTheme="minorEastAsia"/>
          <w:bCs/>
          <w:sz w:val="24"/>
          <w:szCs w:val="22"/>
        </w:rPr>
        <w:t>泥浆</w:t>
      </w:r>
      <w:r w:rsidRPr="00FC1444">
        <w:rPr>
          <w:rFonts w:eastAsiaTheme="minorEastAsia"/>
          <w:bCs/>
          <w:sz w:val="24"/>
          <w:szCs w:val="22"/>
        </w:rPr>
        <w:t>最大</w:t>
      </w:r>
      <w:r w:rsidR="00611CBA" w:rsidRPr="00FC1444">
        <w:rPr>
          <w:rFonts w:eastAsiaTheme="minorEastAsia"/>
          <w:bCs/>
          <w:sz w:val="24"/>
          <w:szCs w:val="22"/>
        </w:rPr>
        <w:t>产生量</w:t>
      </w:r>
      <w:r w:rsidR="00611CBA" w:rsidRPr="00FC1444">
        <w:rPr>
          <w:rFonts w:eastAsiaTheme="minorEastAsia"/>
          <w:bCs/>
          <w:sz w:val="24"/>
          <w:szCs w:val="22"/>
        </w:rPr>
        <w:t>1</w:t>
      </w:r>
      <w:r w:rsidR="006974EB" w:rsidRPr="00FC1444">
        <w:rPr>
          <w:rFonts w:eastAsiaTheme="minorEastAsia"/>
          <w:bCs/>
          <w:sz w:val="24"/>
          <w:szCs w:val="22"/>
        </w:rPr>
        <w:t>0</w:t>
      </w:r>
      <w:r w:rsidR="00611CBA" w:rsidRPr="00FC1444">
        <w:rPr>
          <w:rFonts w:eastAsiaTheme="minorEastAsia"/>
          <w:bCs/>
          <w:sz w:val="24"/>
          <w:szCs w:val="22"/>
        </w:rPr>
        <w:t>m</w:t>
      </w:r>
      <w:r w:rsidR="00611CBA" w:rsidRPr="00FC1444">
        <w:rPr>
          <w:rFonts w:eastAsiaTheme="minorEastAsia"/>
          <w:bCs/>
          <w:sz w:val="24"/>
          <w:szCs w:val="22"/>
          <w:vertAlign w:val="superscript"/>
        </w:rPr>
        <w:t>3</w:t>
      </w:r>
      <w:r w:rsidR="00611CBA" w:rsidRPr="00FC1444">
        <w:rPr>
          <w:rFonts w:eastAsiaTheme="minorEastAsia"/>
          <w:bCs/>
          <w:sz w:val="24"/>
          <w:szCs w:val="22"/>
        </w:rPr>
        <w:t>，</w:t>
      </w:r>
      <w:r w:rsidR="00611CBA" w:rsidRPr="00FC1444">
        <w:rPr>
          <w:rFonts w:eastAsiaTheme="minorEastAsia"/>
          <w:sz w:val="24"/>
        </w:rPr>
        <w:t>可循环利用，</w:t>
      </w:r>
      <w:r w:rsidR="00611CBA" w:rsidRPr="00FC1444">
        <w:rPr>
          <w:rFonts w:eastAsiaTheme="minorEastAsia"/>
          <w:sz w:val="24"/>
          <w:szCs w:val="22"/>
        </w:rPr>
        <w:t>废泥浆</w:t>
      </w:r>
      <w:r w:rsidR="00611CBA" w:rsidRPr="00FC1444">
        <w:rPr>
          <w:rFonts w:eastAsiaTheme="minorEastAsia"/>
          <w:sz w:val="24"/>
        </w:rPr>
        <w:t>暂存于施工场地</w:t>
      </w:r>
      <w:r w:rsidR="006974EB" w:rsidRPr="00FC1444">
        <w:rPr>
          <w:rFonts w:eastAsiaTheme="minorEastAsia"/>
          <w:sz w:val="24"/>
        </w:rPr>
        <w:t>1</w:t>
      </w:r>
      <w:r w:rsidR="0009673A" w:rsidRPr="00FC1444">
        <w:rPr>
          <w:rFonts w:eastAsiaTheme="minorEastAsia"/>
          <w:sz w:val="24"/>
        </w:rPr>
        <w:t>个</w:t>
      </w:r>
      <w:r w:rsidR="006974EB" w:rsidRPr="00FC1444">
        <w:rPr>
          <w:rFonts w:eastAsiaTheme="minorEastAsia"/>
          <w:sz w:val="24"/>
        </w:rPr>
        <w:t>1</w:t>
      </w:r>
      <w:r w:rsidR="00611CBA" w:rsidRPr="00FC1444">
        <w:rPr>
          <w:rFonts w:eastAsiaTheme="minorEastAsia"/>
          <w:sz w:val="24"/>
        </w:rPr>
        <w:t>0</w:t>
      </w:r>
      <w:r w:rsidR="00611CBA" w:rsidRPr="00FC1444">
        <w:rPr>
          <w:rFonts w:eastAsiaTheme="minorEastAsia"/>
          <w:sz w:val="24"/>
          <w:szCs w:val="22"/>
        </w:rPr>
        <w:t>m</w:t>
      </w:r>
      <w:r w:rsidR="00611CBA" w:rsidRPr="00FC1444">
        <w:rPr>
          <w:rFonts w:eastAsiaTheme="minorEastAsia"/>
          <w:sz w:val="24"/>
          <w:szCs w:val="22"/>
          <w:vertAlign w:val="superscript"/>
        </w:rPr>
        <w:t>3</w:t>
      </w:r>
      <w:r w:rsidR="00611CBA" w:rsidRPr="00FC1444">
        <w:rPr>
          <w:rFonts w:eastAsiaTheme="minorEastAsia"/>
          <w:sz w:val="24"/>
        </w:rPr>
        <w:t>移动式不锈钢沉淀池内，沉淀后上层清水用于洒水降尘，下层钻井</w:t>
      </w:r>
      <w:r w:rsidR="00611CBA" w:rsidRPr="00FC1444">
        <w:rPr>
          <w:rFonts w:eastAsiaTheme="minorEastAsia"/>
          <w:bCs/>
          <w:sz w:val="24"/>
          <w:szCs w:val="22"/>
        </w:rPr>
        <w:t>泥浆自然干化后用于周围路面平整。</w:t>
      </w:r>
      <w:r w:rsidR="00611CBA" w:rsidRPr="00FC1444">
        <w:rPr>
          <w:rFonts w:eastAsiaTheme="minorEastAsia"/>
          <w:sz w:val="24"/>
        </w:rPr>
        <w:t>洗井废水产生</w:t>
      </w:r>
      <w:r w:rsidR="00611CBA" w:rsidRPr="00FC1444">
        <w:rPr>
          <w:rFonts w:eastAsiaTheme="minorEastAsia"/>
          <w:sz w:val="24"/>
          <w:szCs w:val="22"/>
        </w:rPr>
        <w:t>量为</w:t>
      </w:r>
      <w:r w:rsidR="006974EB" w:rsidRPr="00FC1444">
        <w:rPr>
          <w:rFonts w:eastAsiaTheme="minorEastAsia"/>
          <w:sz w:val="24"/>
          <w:szCs w:val="22"/>
        </w:rPr>
        <w:t>2475m</w:t>
      </w:r>
      <w:r w:rsidR="00611CBA" w:rsidRPr="00FC1444">
        <w:rPr>
          <w:rFonts w:eastAsiaTheme="minorEastAsia"/>
          <w:sz w:val="24"/>
          <w:szCs w:val="22"/>
          <w:vertAlign w:val="superscript"/>
        </w:rPr>
        <w:t>3</w:t>
      </w:r>
      <w:r w:rsidR="00611CBA" w:rsidRPr="00FC1444">
        <w:rPr>
          <w:rFonts w:eastAsiaTheme="minorEastAsia"/>
          <w:sz w:val="24"/>
          <w:szCs w:val="22"/>
        </w:rPr>
        <w:t>，</w:t>
      </w:r>
      <w:r w:rsidR="00611CBA" w:rsidRPr="00FC1444">
        <w:rPr>
          <w:rFonts w:eastAsiaTheme="minorEastAsia"/>
          <w:sz w:val="24"/>
        </w:rPr>
        <w:t>用于洒水降尘。</w:t>
      </w:r>
    </w:p>
    <w:p w:rsidR="002A5A5E" w:rsidRPr="00FC1444" w:rsidRDefault="00611CBA">
      <w:pPr>
        <w:tabs>
          <w:tab w:val="left" w:pos="2550"/>
        </w:tabs>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）运营期</w:t>
      </w:r>
    </w:p>
    <w:p w:rsidR="002A5A5E" w:rsidRPr="00FC1444" w:rsidRDefault="00E456D6" w:rsidP="00E456D6">
      <w:pPr>
        <w:tabs>
          <w:tab w:val="left" w:pos="2550"/>
        </w:tabs>
        <w:spacing w:line="360" w:lineRule="auto"/>
        <w:ind w:firstLineChars="200" w:firstLine="480"/>
        <w:rPr>
          <w:rFonts w:eastAsiaTheme="minorEastAsia"/>
          <w:sz w:val="24"/>
        </w:rPr>
      </w:pPr>
      <w:r w:rsidRPr="00FC1444">
        <w:rPr>
          <w:rFonts w:eastAsiaTheme="minorEastAsia" w:hint="eastAsia"/>
          <w:sz w:val="24"/>
        </w:rPr>
        <w:t>项目区排水工程已基本形成规模，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p>
    <w:p w:rsidR="004D4EC0" w:rsidRPr="00FC1444" w:rsidRDefault="004D4EC0" w:rsidP="004D4EC0">
      <w:pPr>
        <w:pStyle w:val="aff4"/>
        <w:adjustRightInd/>
        <w:snapToGrid/>
        <w:rPr>
          <w:rFonts w:ascii="Times New Roman" w:hAnsi="Times New Roman" w:cs="Times New Roman"/>
          <w:smallCaps/>
          <w:shd w:val="clear" w:color="auto" w:fill="FFFFFF"/>
        </w:rPr>
      </w:pPr>
      <w:r w:rsidRPr="00FC1444">
        <w:rPr>
          <w:rFonts w:ascii="Times New Roman" w:hAnsi="Times New Roman" w:cs="Times New Roman"/>
        </w:rPr>
        <w:t>本项目建设前后项目区水田面积不变，仍为</w:t>
      </w:r>
      <w:r w:rsidR="000B5B02" w:rsidRPr="00FC1444">
        <w:rPr>
          <w:rFonts w:ascii="Times New Roman" w:hAnsi="Times New Roman" w:cs="Times New Roman" w:hint="eastAsia"/>
          <w:bCs/>
        </w:rPr>
        <w:t>9.16</w:t>
      </w:r>
      <w:r w:rsidRPr="00FC1444">
        <w:rPr>
          <w:rFonts w:ascii="Times New Roman" w:hAnsi="Times New Roman" w:cs="Times New Roman"/>
          <w:bCs/>
        </w:rPr>
        <w:t>万亩。不新增灌溉设施</w:t>
      </w:r>
      <w:r w:rsidR="0033279E" w:rsidRPr="00FC1444">
        <w:rPr>
          <w:rFonts w:ascii="Times New Roman" w:hAnsi="Times New Roman" w:cs="Times New Roman"/>
        </w:rPr>
        <w:t>，</w:t>
      </w:r>
      <w:r w:rsidRPr="00FC1444">
        <w:rPr>
          <w:rFonts w:ascii="Times New Roman" w:hAnsi="Times New Roman" w:cs="Times New Roman"/>
        </w:rPr>
        <w:t>灌溉方式</w:t>
      </w:r>
      <w:r w:rsidRPr="00FC1444">
        <w:rPr>
          <w:rFonts w:ascii="Times New Roman" w:hAnsi="Times New Roman" w:cs="Times New Roman"/>
          <w:smallCaps/>
          <w:shd w:val="clear" w:color="auto" w:fill="FFFFFF"/>
        </w:rPr>
        <w:t>为</w:t>
      </w:r>
      <w:r w:rsidRPr="00FC1444">
        <w:rPr>
          <w:rFonts w:ascii="Times New Roman" w:hAnsi="Times New Roman" w:cs="Times New Roman"/>
        </w:rPr>
        <w:t>现有农民自打地下水井井灌</w:t>
      </w:r>
      <w:r w:rsidRPr="00FC1444">
        <w:rPr>
          <w:rFonts w:ascii="Times New Roman" w:hAnsi="Times New Roman" w:cs="Times New Roman"/>
          <w:smallCaps/>
          <w:shd w:val="clear" w:color="auto" w:fill="FFFFFF"/>
        </w:rPr>
        <w:t>。退水总量及主要污染物：</w:t>
      </w:r>
      <w:r w:rsidR="000B5B02" w:rsidRPr="00FC1444">
        <w:rPr>
          <w:rFonts w:ascii="Times New Roman" w:hAnsi="Times New Roman" w:cs="Times New Roman" w:hint="eastAsia"/>
        </w:rPr>
        <w:t>绥胜</w:t>
      </w:r>
      <w:r w:rsidR="000B5B02" w:rsidRPr="00FC1444">
        <w:rPr>
          <w:rFonts w:ascii="Times New Roman" w:hAnsi="Times New Roman" w:cs="Times New Roman"/>
        </w:rPr>
        <w:t>片区</w:t>
      </w:r>
      <w:r w:rsidR="000B5B02" w:rsidRPr="00FC1444">
        <w:rPr>
          <w:rFonts w:ascii="Times New Roman" w:hAnsi="Times New Roman" w:cs="Times New Roman"/>
        </w:rPr>
        <w:t>0.</w:t>
      </w:r>
      <w:r w:rsidR="000B5B02" w:rsidRPr="00FC1444">
        <w:rPr>
          <w:rFonts w:ascii="Times New Roman" w:hAnsi="Times New Roman" w:cs="Times New Roman" w:hint="eastAsia"/>
        </w:rPr>
        <w:t>6</w:t>
      </w:r>
      <w:r w:rsidR="000B5B02" w:rsidRPr="00FC1444">
        <w:rPr>
          <w:rFonts w:ascii="Times New Roman" w:hAnsi="Times New Roman" w:cs="Times New Roman"/>
        </w:rPr>
        <w:t>万亩、</w:t>
      </w:r>
      <w:r w:rsidR="000B5B02" w:rsidRPr="00FC1444">
        <w:rPr>
          <w:rFonts w:ascii="Times New Roman" w:hAnsi="Times New Roman" w:cs="Times New Roman" w:hint="eastAsia"/>
        </w:rPr>
        <w:t>津河</w:t>
      </w:r>
      <w:r w:rsidR="000B5B02" w:rsidRPr="00FC1444">
        <w:rPr>
          <w:rFonts w:ascii="Times New Roman" w:hAnsi="Times New Roman" w:cs="Times New Roman"/>
        </w:rPr>
        <w:t>片区</w:t>
      </w:r>
      <w:r w:rsidR="000B5B02" w:rsidRPr="00FC1444">
        <w:rPr>
          <w:rFonts w:ascii="Times New Roman" w:hAnsi="Times New Roman" w:cs="Times New Roman" w:hint="eastAsia"/>
        </w:rPr>
        <w:t>1.54</w:t>
      </w:r>
      <w:r w:rsidR="000B5B02" w:rsidRPr="00FC1444">
        <w:rPr>
          <w:rFonts w:ascii="Times New Roman" w:hAnsi="Times New Roman" w:cs="Times New Roman"/>
        </w:rPr>
        <w:t>万亩、</w:t>
      </w:r>
      <w:r w:rsidR="000B5B02" w:rsidRPr="00FC1444">
        <w:rPr>
          <w:rFonts w:ascii="Times New Roman" w:hAnsi="Times New Roman" w:cs="Times New Roman" w:hint="eastAsia"/>
        </w:rPr>
        <w:t>五营</w:t>
      </w:r>
      <w:r w:rsidR="000B5B02" w:rsidRPr="00FC1444">
        <w:rPr>
          <w:rFonts w:ascii="Times New Roman" w:hAnsi="Times New Roman" w:cs="Times New Roman"/>
        </w:rPr>
        <w:t>片区</w:t>
      </w:r>
      <w:r w:rsidR="000B5B02" w:rsidRPr="00FC1444">
        <w:rPr>
          <w:rFonts w:ascii="Times New Roman" w:hAnsi="Times New Roman" w:cs="Times New Roman" w:hint="eastAsia"/>
        </w:rPr>
        <w:t>4.92</w:t>
      </w:r>
      <w:r w:rsidR="000B5B02" w:rsidRPr="00FC1444">
        <w:rPr>
          <w:rFonts w:ascii="Times New Roman" w:hAnsi="Times New Roman" w:cs="Times New Roman"/>
        </w:rPr>
        <w:t>万亩，</w:t>
      </w:r>
      <w:r w:rsidR="000B5B02" w:rsidRPr="00FC1444">
        <w:rPr>
          <w:rFonts w:ascii="Times New Roman" w:hAnsi="Times New Roman" w:cs="Times New Roman" w:hint="eastAsia"/>
        </w:rPr>
        <w:t>三河</w:t>
      </w:r>
      <w:r w:rsidR="000B5B02" w:rsidRPr="00FC1444">
        <w:rPr>
          <w:rFonts w:ascii="Times New Roman" w:hAnsi="Times New Roman" w:cs="Times New Roman"/>
        </w:rPr>
        <w:t>片区</w:t>
      </w:r>
      <w:r w:rsidR="000B5B02" w:rsidRPr="00FC1444">
        <w:rPr>
          <w:rFonts w:ascii="Times New Roman" w:hAnsi="Times New Roman" w:cs="Times New Roman" w:hint="eastAsia"/>
        </w:rPr>
        <w:t>2.1</w:t>
      </w:r>
      <w:r w:rsidR="000B5B02" w:rsidRPr="00FC1444">
        <w:rPr>
          <w:rFonts w:ascii="Times New Roman" w:hAnsi="Times New Roman" w:cs="Times New Roman"/>
        </w:rPr>
        <w:t>万亩。</w:t>
      </w:r>
      <w:r w:rsidR="000B5B02" w:rsidRPr="00FC1444">
        <w:rPr>
          <w:rFonts w:ascii="Times New Roman" w:hAnsi="Times New Roman" w:cs="Times New Roman"/>
          <w:kern w:val="0"/>
        </w:rPr>
        <w:t>田取水量</w:t>
      </w:r>
      <w:r w:rsidR="000B5B02" w:rsidRPr="00FC1444">
        <w:rPr>
          <w:rFonts w:ascii="Times New Roman" w:hAnsi="Times New Roman" w:cs="Times New Roman"/>
          <w:kern w:val="0"/>
        </w:rPr>
        <w:t>=</w:t>
      </w:r>
      <w:r w:rsidR="000B5B02" w:rsidRPr="00FC1444">
        <w:rPr>
          <w:rFonts w:ascii="Times New Roman" w:hAnsi="Times New Roman" w:cs="Times New Roman"/>
          <w:kern w:val="0"/>
        </w:rPr>
        <w:t>灌溉面积</w:t>
      </w:r>
      <w:r w:rsidR="000B5B02" w:rsidRPr="00FC1444">
        <w:rPr>
          <w:rFonts w:ascii="Times New Roman" w:hAnsi="Times New Roman" w:cs="Times New Roman"/>
          <w:kern w:val="0"/>
        </w:rPr>
        <w:t>×</w:t>
      </w:r>
      <w:r w:rsidR="000B5B02" w:rsidRPr="00FC1444">
        <w:rPr>
          <w:rFonts w:ascii="Times New Roman" w:hAnsi="Times New Roman" w:cs="Times New Roman"/>
        </w:rPr>
        <w:t>灌溉定额</w:t>
      </w:r>
      <w:r w:rsidR="000B5B02" w:rsidRPr="00FC1444">
        <w:rPr>
          <w:rFonts w:ascii="Times New Roman" w:hAnsi="Times New Roman" w:cs="Times New Roman"/>
          <w:kern w:val="0"/>
        </w:rPr>
        <w:t>。</w:t>
      </w:r>
      <w:r w:rsidR="000B5B02" w:rsidRPr="00FC1444">
        <w:rPr>
          <w:rFonts w:ascii="Times New Roman" w:hAnsi="Times New Roman" w:cs="Times New Roman"/>
        </w:rPr>
        <w:t>现状年灌溉水利用系数</w:t>
      </w:r>
      <w:r w:rsidR="000B5B02" w:rsidRPr="00FC1444">
        <w:rPr>
          <w:rFonts w:ascii="Times New Roman" w:hAnsi="Times New Roman" w:cs="Times New Roman"/>
        </w:rPr>
        <w:t>0.67</w:t>
      </w:r>
      <w:r w:rsidR="000B5B02" w:rsidRPr="00FC1444">
        <w:rPr>
          <w:rFonts w:ascii="Times New Roman" w:hAnsi="Times New Roman" w:cs="Times New Roman"/>
        </w:rPr>
        <w:t>，水田灌溉用水定额为</w:t>
      </w:r>
      <w:r w:rsidR="000B5B02" w:rsidRPr="00FC1444">
        <w:rPr>
          <w:rFonts w:ascii="Times New Roman" w:hAnsi="Times New Roman" w:cs="Times New Roman"/>
        </w:rPr>
        <w:t>685m</w:t>
      </w:r>
      <w:r w:rsidR="000B5B02" w:rsidRPr="00FC1444">
        <w:rPr>
          <w:rFonts w:ascii="Times New Roman" w:hAnsi="Times New Roman" w:cs="Times New Roman"/>
          <w:vertAlign w:val="superscript"/>
        </w:rPr>
        <w:t>3</w:t>
      </w:r>
      <w:r w:rsidR="000B5B02" w:rsidRPr="00FC1444">
        <w:rPr>
          <w:rFonts w:ascii="Times New Roman" w:hAnsi="Times New Roman" w:cs="Times New Roman"/>
        </w:rPr>
        <w:t>/</w:t>
      </w:r>
      <w:r w:rsidR="000B5B02" w:rsidRPr="00FC1444">
        <w:rPr>
          <w:rFonts w:ascii="Times New Roman" w:hAnsi="Times New Roman" w:cs="Times New Roman"/>
        </w:rPr>
        <w:t>亩，现状引水总量</w:t>
      </w:r>
      <w:r w:rsidR="000B5B02" w:rsidRPr="00FC1444">
        <w:rPr>
          <w:rFonts w:ascii="Times New Roman" w:hAnsi="Times New Roman" w:cs="Times New Roman"/>
        </w:rPr>
        <w:t>6274.6</w:t>
      </w:r>
      <w:r w:rsidR="000B5B02" w:rsidRPr="00FC1444">
        <w:rPr>
          <w:rFonts w:ascii="Times New Roman" w:hAnsi="Times New Roman" w:cs="Times New Roman"/>
        </w:rPr>
        <w:t>万</w:t>
      </w:r>
      <w:r w:rsidR="000B5B02" w:rsidRPr="00FC1444">
        <w:rPr>
          <w:rFonts w:ascii="Times New Roman" w:hAnsi="Times New Roman" w:cs="Times New Roman"/>
        </w:rPr>
        <w:t>m</w:t>
      </w:r>
      <w:r w:rsidR="000B5B02" w:rsidRPr="00FC1444">
        <w:rPr>
          <w:rFonts w:ascii="Times New Roman" w:hAnsi="Times New Roman" w:cs="Times New Roman"/>
          <w:vertAlign w:val="superscript"/>
        </w:rPr>
        <w:t>3</w:t>
      </w:r>
      <w:r w:rsidR="000B5B02" w:rsidRPr="00FC1444">
        <w:rPr>
          <w:rFonts w:ascii="Times New Roman" w:hAnsi="Times New Roman" w:cs="Times New Roman"/>
        </w:rPr>
        <w:t>，现状退水系数按</w:t>
      </w:r>
      <w:r w:rsidR="000B5B02" w:rsidRPr="00FC1444">
        <w:rPr>
          <w:rFonts w:ascii="Times New Roman" w:hAnsi="Times New Roman" w:cs="Times New Roman"/>
        </w:rPr>
        <w:t>0.2</w:t>
      </w:r>
      <w:r w:rsidR="000B5B02" w:rsidRPr="00FC1444">
        <w:rPr>
          <w:rFonts w:ascii="Times New Roman" w:hAnsi="Times New Roman" w:cs="Times New Roman"/>
        </w:rPr>
        <w:t>计，则现状年灌区退水总量</w:t>
      </w:r>
      <w:r w:rsidR="000B5B02" w:rsidRPr="00FC1444">
        <w:rPr>
          <w:rFonts w:ascii="Times New Roman" w:hAnsi="Times New Roman" w:cs="Times New Roman" w:hint="eastAsia"/>
        </w:rPr>
        <w:t>1255</w:t>
      </w:r>
      <w:r w:rsidR="000B5B02" w:rsidRPr="00FC1444">
        <w:rPr>
          <w:rFonts w:ascii="Times New Roman" w:hAnsi="Times New Roman" w:cs="Times New Roman"/>
        </w:rPr>
        <w:t>万</w:t>
      </w:r>
      <w:r w:rsidR="000B5B02" w:rsidRPr="00FC1444">
        <w:rPr>
          <w:rFonts w:ascii="Times New Roman" w:hAnsi="Times New Roman" w:cs="Times New Roman"/>
        </w:rPr>
        <w:t>m</w:t>
      </w:r>
      <w:r w:rsidR="000B5B02" w:rsidRPr="00FC1444">
        <w:rPr>
          <w:rFonts w:ascii="Times New Roman" w:hAnsi="Times New Roman" w:cs="Times New Roman"/>
          <w:vertAlign w:val="superscript"/>
        </w:rPr>
        <w:t>3</w:t>
      </w:r>
      <w:r w:rsidRPr="00FC1444">
        <w:rPr>
          <w:rFonts w:ascii="Times New Roman" w:hAnsi="Times New Roman" w:cs="Times New Roman"/>
        </w:rPr>
        <w:t>。</w:t>
      </w:r>
    </w:p>
    <w:p w:rsidR="000B5B02" w:rsidRPr="00FC1444" w:rsidRDefault="000B5B02" w:rsidP="000B5B02">
      <w:pPr>
        <w:adjustRightInd w:val="0"/>
        <w:spacing w:line="360" w:lineRule="auto"/>
        <w:ind w:firstLineChars="200" w:firstLine="480"/>
        <w:rPr>
          <w:sz w:val="24"/>
        </w:rPr>
      </w:pPr>
      <w:r w:rsidRPr="00FC1444">
        <w:rPr>
          <w:sz w:val="24"/>
        </w:rPr>
        <w:t>本项目建设后现有水田灌溉方式不变。通过格田改造、土地平整等工程，可以减少池埂占地面积，减少田面不均补水，提高农田保水能力，并且由于渠系配</w:t>
      </w:r>
      <w:r w:rsidRPr="00FC1444">
        <w:rPr>
          <w:sz w:val="24"/>
        </w:rPr>
        <w:lastRenderedPageBreak/>
        <w:t>套完善，减少引水的跑冒滴漏。根据</w:t>
      </w:r>
      <w:r w:rsidRPr="00FC1444">
        <w:rPr>
          <w:rFonts w:eastAsiaTheme="minorEastAsia"/>
          <w:sz w:val="24"/>
        </w:rPr>
        <w:t>《黑龙江：用水定额》（</w:t>
      </w:r>
      <w:r w:rsidRPr="00FC1444">
        <w:rPr>
          <w:rFonts w:eastAsiaTheme="minorEastAsia"/>
          <w:sz w:val="24"/>
        </w:rPr>
        <w:t>DB23/T 727-2025</w:t>
      </w:r>
      <w:r w:rsidRPr="00FC1444">
        <w:rPr>
          <w:rFonts w:eastAsiaTheme="minorEastAsia"/>
          <w:sz w:val="24"/>
        </w:rPr>
        <w:t>）</w:t>
      </w:r>
      <w:r w:rsidRPr="00FC1444">
        <w:rPr>
          <w:sz w:val="24"/>
        </w:rPr>
        <w:t>，渠道防渗输水灌溉水利用系数提升至</w:t>
      </w:r>
      <w:r w:rsidRPr="00FC1444">
        <w:rPr>
          <w:sz w:val="24"/>
        </w:rPr>
        <w:t>0.7</w:t>
      </w:r>
      <w:r w:rsidRPr="00FC1444">
        <w:rPr>
          <w:sz w:val="24"/>
        </w:rPr>
        <w:t>，水田灌溉用水定额为</w:t>
      </w:r>
      <w:r w:rsidRPr="00FC1444">
        <w:rPr>
          <w:sz w:val="24"/>
        </w:rPr>
        <w:t>600m</w:t>
      </w:r>
      <w:r w:rsidRPr="00FC1444">
        <w:rPr>
          <w:sz w:val="24"/>
          <w:vertAlign w:val="superscript"/>
        </w:rPr>
        <w:t>3</w:t>
      </w:r>
      <w:r w:rsidRPr="00FC1444">
        <w:rPr>
          <w:sz w:val="24"/>
        </w:rPr>
        <w:t>/</w:t>
      </w:r>
      <w:r w:rsidRPr="00FC1444">
        <w:rPr>
          <w:sz w:val="24"/>
        </w:rPr>
        <w:t>亩，引水总量</w:t>
      </w:r>
      <w:r w:rsidRPr="00FC1444">
        <w:rPr>
          <w:rFonts w:hint="eastAsia"/>
          <w:sz w:val="24"/>
        </w:rPr>
        <w:t>5496</w:t>
      </w:r>
      <w:r w:rsidRPr="00FC1444">
        <w:rPr>
          <w:sz w:val="24"/>
        </w:rPr>
        <w:t>万</w:t>
      </w:r>
      <w:r w:rsidRPr="00FC1444">
        <w:rPr>
          <w:sz w:val="24"/>
        </w:rPr>
        <w:t>m</w:t>
      </w:r>
      <w:r w:rsidRPr="00FC1444">
        <w:rPr>
          <w:sz w:val="24"/>
          <w:vertAlign w:val="superscript"/>
        </w:rPr>
        <w:t>3</w:t>
      </w:r>
      <w:r w:rsidRPr="00FC1444">
        <w:rPr>
          <w:sz w:val="24"/>
        </w:rPr>
        <w:t>。</w:t>
      </w:r>
    </w:p>
    <w:p w:rsidR="000B5B02" w:rsidRPr="00FC1444" w:rsidRDefault="000B5B02" w:rsidP="000B5B02">
      <w:pPr>
        <w:adjustRightInd w:val="0"/>
        <w:spacing w:line="360" w:lineRule="auto"/>
        <w:ind w:firstLineChars="200" w:firstLine="480"/>
        <w:rPr>
          <w:sz w:val="24"/>
        </w:rPr>
      </w:pPr>
      <w:r w:rsidRPr="00FC1444">
        <w:rPr>
          <w:sz w:val="24"/>
        </w:rPr>
        <w:t>本项目建成后，进行土地平整、格田改造，消除高低不平造成的漫灌溢水、不均匀渗漏，减少田面弃水和无效深层渗漏，土壤保水能力增强，退水系数降至</w:t>
      </w:r>
      <w:r w:rsidRPr="00FC1444">
        <w:rPr>
          <w:sz w:val="24"/>
        </w:rPr>
        <w:t>0.15</w:t>
      </w:r>
      <w:r w:rsidRPr="00FC1444">
        <w:rPr>
          <w:sz w:val="24"/>
        </w:rPr>
        <w:t>，则项目建成后年灌区退水总量为</w:t>
      </w:r>
      <w:r w:rsidRPr="00FC1444">
        <w:rPr>
          <w:rFonts w:hint="eastAsia"/>
          <w:sz w:val="24"/>
        </w:rPr>
        <w:t>824</w:t>
      </w:r>
      <w:r w:rsidRPr="00FC1444">
        <w:rPr>
          <w:sz w:val="24"/>
        </w:rPr>
        <w:t>万</w:t>
      </w:r>
      <w:r w:rsidRPr="00FC1444">
        <w:rPr>
          <w:sz w:val="24"/>
        </w:rPr>
        <w:t>m</w:t>
      </w:r>
      <w:r w:rsidRPr="00FC1444">
        <w:rPr>
          <w:sz w:val="24"/>
          <w:vertAlign w:val="superscript"/>
        </w:rPr>
        <w:t>3</w:t>
      </w:r>
      <w:r w:rsidRPr="00FC1444">
        <w:rPr>
          <w:sz w:val="24"/>
        </w:rPr>
        <w:t>。项目建成后灌区年退水量与现状相比减少</w:t>
      </w:r>
      <w:r w:rsidRPr="00FC1444">
        <w:rPr>
          <w:sz w:val="24"/>
        </w:rPr>
        <w:t>431</w:t>
      </w:r>
      <w:r w:rsidRPr="00FC1444">
        <w:rPr>
          <w:sz w:val="24"/>
        </w:rPr>
        <w:t>万</w:t>
      </w:r>
      <w:r w:rsidRPr="00FC1444">
        <w:rPr>
          <w:sz w:val="24"/>
        </w:rPr>
        <w:t>m</w:t>
      </w:r>
      <w:r w:rsidRPr="00FC1444">
        <w:rPr>
          <w:sz w:val="24"/>
          <w:vertAlign w:val="superscript"/>
        </w:rPr>
        <w:t>3</w:t>
      </w:r>
      <w:r w:rsidRPr="00FC1444">
        <w:rPr>
          <w:rFonts w:eastAsiaTheme="minorEastAsia"/>
          <w:sz w:val="24"/>
        </w:rPr>
        <w:t>。</w:t>
      </w:r>
    </w:p>
    <w:p w:rsidR="002A5A5E" w:rsidRPr="00FC1444" w:rsidRDefault="00611CBA">
      <w:pPr>
        <w:contextualSpacing/>
        <w:jc w:val="center"/>
        <w:rPr>
          <w:rFonts w:eastAsiaTheme="minorEastAsia"/>
          <w:b/>
          <w:bCs/>
          <w:szCs w:val="21"/>
        </w:rPr>
      </w:pPr>
      <w:r w:rsidRPr="00FC1444">
        <w:rPr>
          <w:rFonts w:eastAsiaTheme="minorEastAsia"/>
          <w:b/>
          <w:szCs w:val="21"/>
        </w:rPr>
        <w:t>表</w:t>
      </w:r>
      <w:r w:rsidRPr="00FC1444">
        <w:rPr>
          <w:rFonts w:eastAsiaTheme="minorEastAsia"/>
          <w:b/>
          <w:szCs w:val="21"/>
        </w:rPr>
        <w:t>3-1-1</w:t>
      </w:r>
      <w:r w:rsidR="002A51BB" w:rsidRPr="00FC1444">
        <w:rPr>
          <w:rFonts w:eastAsiaTheme="minorEastAsia" w:hint="eastAsia"/>
          <w:b/>
          <w:szCs w:val="21"/>
        </w:rPr>
        <w:t>4</w:t>
      </w:r>
      <w:r w:rsidR="008F5BFF" w:rsidRPr="00FC1444">
        <w:rPr>
          <w:rFonts w:eastAsiaTheme="minorEastAsia"/>
          <w:b/>
          <w:szCs w:val="21"/>
        </w:rPr>
        <w:t xml:space="preserve"> </w:t>
      </w:r>
      <w:r w:rsidR="00F74DEA" w:rsidRPr="00FC1444">
        <w:rPr>
          <w:rFonts w:eastAsiaTheme="minorEastAsia"/>
          <w:b/>
          <w:szCs w:val="21"/>
        </w:rPr>
        <w:t>现有</w:t>
      </w:r>
      <w:r w:rsidRPr="00FC1444">
        <w:rPr>
          <w:rFonts w:eastAsiaTheme="minorEastAsia"/>
          <w:b/>
          <w:szCs w:val="21"/>
        </w:rPr>
        <w:t>水田供排水平衡一览表</w:t>
      </w:r>
      <w:r w:rsidRPr="00FC1444">
        <w:rPr>
          <w:rFonts w:eastAsiaTheme="minorEastAsia"/>
          <w:b/>
          <w:szCs w:val="21"/>
        </w:rPr>
        <w:t xml:space="preserve">  </w:t>
      </w:r>
      <w:r w:rsidRPr="00FC1444">
        <w:rPr>
          <w:rFonts w:eastAsiaTheme="minorEastAsia"/>
          <w:b/>
          <w:szCs w:val="21"/>
        </w:rPr>
        <w:t>单位：万</w:t>
      </w:r>
      <w:r w:rsidRPr="00FC1444">
        <w:rPr>
          <w:rFonts w:eastAsiaTheme="minorEastAsia"/>
          <w:b/>
          <w:szCs w:val="21"/>
        </w:rPr>
        <w:t>m</w:t>
      </w:r>
      <w:r w:rsidRPr="00FC1444">
        <w:rPr>
          <w:rFonts w:eastAsiaTheme="minorEastAsia"/>
          <w:b/>
          <w:szCs w:val="21"/>
          <w:vertAlign w:val="superscript"/>
        </w:rPr>
        <w:t>3</w:t>
      </w:r>
      <w:r w:rsidRPr="00FC1444">
        <w:rPr>
          <w:rFonts w:eastAsiaTheme="minorEastAsia"/>
          <w:b/>
          <w:bCs/>
          <w:szCs w:val="21"/>
        </w:rPr>
        <w:t>/a</w:t>
      </w:r>
    </w:p>
    <w:tbl>
      <w:tblPr>
        <w:tblStyle w:val="afc"/>
        <w:tblW w:w="4981" w:type="pct"/>
        <w:tblLook w:val="04A0"/>
      </w:tblPr>
      <w:tblGrid>
        <w:gridCol w:w="2121"/>
        <w:gridCol w:w="2121"/>
        <w:gridCol w:w="2124"/>
        <w:gridCol w:w="2124"/>
      </w:tblGrid>
      <w:tr w:rsidR="000B5B02" w:rsidRPr="00FC1444" w:rsidTr="00C12A06">
        <w:trPr>
          <w:trHeight w:val="377"/>
        </w:trPr>
        <w:tc>
          <w:tcPr>
            <w:tcW w:w="1249" w:type="pct"/>
            <w:tcBorders>
              <w:top w:val="single" w:sz="12" w:space="0" w:color="auto"/>
              <w:left w:val="nil"/>
            </w:tcBorders>
            <w:vAlign w:val="center"/>
          </w:tcPr>
          <w:bookmarkEnd w:id="86"/>
          <w:p w:rsidR="000B5B02" w:rsidRPr="00FC1444" w:rsidRDefault="000B5B02" w:rsidP="00C12A06">
            <w:pPr>
              <w:jc w:val="center"/>
              <w:rPr>
                <w:rFonts w:eastAsiaTheme="minorEastAsia"/>
                <w:kern w:val="0"/>
                <w:szCs w:val="21"/>
              </w:rPr>
            </w:pPr>
            <w:r w:rsidRPr="00FC1444">
              <w:rPr>
                <w:rFonts w:eastAsiaTheme="minorEastAsia"/>
                <w:kern w:val="0"/>
                <w:szCs w:val="21"/>
              </w:rPr>
              <w:t>灌区</w:t>
            </w:r>
          </w:p>
        </w:tc>
        <w:tc>
          <w:tcPr>
            <w:tcW w:w="1249" w:type="pct"/>
            <w:tcBorders>
              <w:top w:val="single" w:sz="12" w:space="0" w:color="auto"/>
            </w:tcBorders>
            <w:vAlign w:val="center"/>
          </w:tcPr>
          <w:p w:rsidR="000B5B02" w:rsidRPr="00FC1444" w:rsidRDefault="000B5B02" w:rsidP="00C12A06">
            <w:pPr>
              <w:jc w:val="center"/>
              <w:rPr>
                <w:rFonts w:eastAsiaTheme="minorEastAsia"/>
                <w:kern w:val="0"/>
                <w:szCs w:val="21"/>
              </w:rPr>
            </w:pPr>
            <w:r w:rsidRPr="00FC1444">
              <w:rPr>
                <w:rFonts w:eastAsiaTheme="minorEastAsia"/>
                <w:kern w:val="0"/>
                <w:szCs w:val="21"/>
              </w:rPr>
              <w:t>用水量</w:t>
            </w:r>
          </w:p>
        </w:tc>
        <w:tc>
          <w:tcPr>
            <w:tcW w:w="1251" w:type="pct"/>
            <w:tcBorders>
              <w:top w:val="single" w:sz="12" w:space="0" w:color="auto"/>
              <w:right w:val="nil"/>
            </w:tcBorders>
            <w:vAlign w:val="center"/>
          </w:tcPr>
          <w:p w:rsidR="000B5B02" w:rsidRPr="00FC1444" w:rsidRDefault="000B5B02" w:rsidP="00C12A06">
            <w:pPr>
              <w:jc w:val="center"/>
              <w:rPr>
                <w:rFonts w:eastAsiaTheme="minorEastAsia"/>
                <w:kern w:val="0"/>
                <w:szCs w:val="21"/>
              </w:rPr>
            </w:pPr>
            <w:r w:rsidRPr="00FC1444">
              <w:rPr>
                <w:rFonts w:eastAsiaTheme="minorEastAsia"/>
                <w:kern w:val="0"/>
                <w:szCs w:val="21"/>
              </w:rPr>
              <w:t>作物吸收及蒸发量</w:t>
            </w:r>
          </w:p>
        </w:tc>
        <w:tc>
          <w:tcPr>
            <w:tcW w:w="1251" w:type="pct"/>
            <w:tcBorders>
              <w:top w:val="single" w:sz="12" w:space="0" w:color="auto"/>
              <w:right w:val="nil"/>
            </w:tcBorders>
            <w:vAlign w:val="center"/>
          </w:tcPr>
          <w:p w:rsidR="000B5B02" w:rsidRPr="00FC1444" w:rsidRDefault="000B5B02" w:rsidP="00C12A06">
            <w:pPr>
              <w:jc w:val="center"/>
              <w:rPr>
                <w:rFonts w:eastAsiaTheme="minorEastAsia"/>
                <w:kern w:val="0"/>
                <w:szCs w:val="21"/>
              </w:rPr>
            </w:pPr>
            <w:r w:rsidRPr="00FC1444">
              <w:rPr>
                <w:rFonts w:eastAsiaTheme="minorEastAsia"/>
                <w:kern w:val="0"/>
                <w:szCs w:val="21"/>
              </w:rPr>
              <w:t>退水量</w:t>
            </w:r>
          </w:p>
        </w:tc>
      </w:tr>
      <w:tr w:rsidR="000B5B02" w:rsidRPr="00FC1444" w:rsidTr="00C12A06">
        <w:trPr>
          <w:trHeight w:val="352"/>
        </w:trPr>
        <w:tc>
          <w:tcPr>
            <w:tcW w:w="1249" w:type="pct"/>
            <w:tcBorders>
              <w:left w:val="nil"/>
            </w:tcBorders>
            <w:vAlign w:val="center"/>
          </w:tcPr>
          <w:p w:rsidR="000B5B02" w:rsidRPr="00FC1444" w:rsidRDefault="000B5B02" w:rsidP="00C12A06">
            <w:pPr>
              <w:jc w:val="center"/>
              <w:rPr>
                <w:rFonts w:eastAsiaTheme="minorEastAsia"/>
                <w:kern w:val="0"/>
                <w:szCs w:val="21"/>
              </w:rPr>
            </w:pPr>
            <w:r w:rsidRPr="00FC1444">
              <w:rPr>
                <w:rFonts w:eastAsiaTheme="minorEastAsia"/>
                <w:kern w:val="0"/>
                <w:szCs w:val="21"/>
              </w:rPr>
              <w:t>建成前</w:t>
            </w:r>
          </w:p>
        </w:tc>
        <w:tc>
          <w:tcPr>
            <w:tcW w:w="1249" w:type="pct"/>
            <w:vAlign w:val="center"/>
          </w:tcPr>
          <w:p w:rsidR="000B5B02" w:rsidRPr="00FC1444" w:rsidRDefault="000B5B02" w:rsidP="00C12A06">
            <w:pPr>
              <w:jc w:val="center"/>
              <w:rPr>
                <w:szCs w:val="21"/>
              </w:rPr>
            </w:pPr>
            <w:r w:rsidRPr="00FC1444">
              <w:t>6274.6</w:t>
            </w:r>
          </w:p>
        </w:tc>
        <w:tc>
          <w:tcPr>
            <w:tcW w:w="1251" w:type="pct"/>
            <w:tcBorders>
              <w:right w:val="nil"/>
            </w:tcBorders>
            <w:vAlign w:val="center"/>
          </w:tcPr>
          <w:p w:rsidR="000B5B02" w:rsidRPr="00FC1444" w:rsidRDefault="000B5B02" w:rsidP="00C12A06">
            <w:pPr>
              <w:jc w:val="center"/>
              <w:rPr>
                <w:rFonts w:eastAsiaTheme="minorEastAsia"/>
                <w:kern w:val="0"/>
                <w:szCs w:val="21"/>
              </w:rPr>
            </w:pPr>
            <w:r w:rsidRPr="00FC1444">
              <w:rPr>
                <w:rFonts w:eastAsiaTheme="minorEastAsia" w:hint="eastAsia"/>
                <w:kern w:val="0"/>
                <w:szCs w:val="21"/>
              </w:rPr>
              <w:t>5020</w:t>
            </w:r>
          </w:p>
        </w:tc>
        <w:tc>
          <w:tcPr>
            <w:tcW w:w="1251" w:type="pct"/>
            <w:tcBorders>
              <w:right w:val="nil"/>
            </w:tcBorders>
            <w:vAlign w:val="center"/>
          </w:tcPr>
          <w:p w:rsidR="000B5B02" w:rsidRPr="00FC1444" w:rsidRDefault="000B5B02" w:rsidP="00C12A06">
            <w:pPr>
              <w:jc w:val="center"/>
              <w:rPr>
                <w:szCs w:val="21"/>
              </w:rPr>
            </w:pPr>
            <w:r w:rsidRPr="00FC1444">
              <w:rPr>
                <w:rFonts w:hint="eastAsia"/>
                <w:szCs w:val="21"/>
              </w:rPr>
              <w:t>1255</w:t>
            </w:r>
          </w:p>
        </w:tc>
      </w:tr>
      <w:tr w:rsidR="000B5B02" w:rsidRPr="00FC1444" w:rsidTr="00C12A06">
        <w:trPr>
          <w:trHeight w:val="387"/>
        </w:trPr>
        <w:tc>
          <w:tcPr>
            <w:tcW w:w="1249" w:type="pct"/>
            <w:tcBorders>
              <w:left w:val="nil"/>
            </w:tcBorders>
            <w:vAlign w:val="center"/>
          </w:tcPr>
          <w:p w:rsidR="000B5B02" w:rsidRPr="00FC1444" w:rsidRDefault="000B5B02" w:rsidP="00C12A06">
            <w:pPr>
              <w:jc w:val="center"/>
              <w:rPr>
                <w:rFonts w:eastAsiaTheme="minorEastAsia"/>
                <w:kern w:val="0"/>
                <w:szCs w:val="21"/>
              </w:rPr>
            </w:pPr>
            <w:r w:rsidRPr="00FC1444">
              <w:rPr>
                <w:rFonts w:eastAsiaTheme="minorEastAsia"/>
                <w:kern w:val="0"/>
                <w:szCs w:val="21"/>
              </w:rPr>
              <w:t>建成后</w:t>
            </w:r>
          </w:p>
        </w:tc>
        <w:tc>
          <w:tcPr>
            <w:tcW w:w="1249" w:type="pct"/>
            <w:vAlign w:val="center"/>
          </w:tcPr>
          <w:p w:rsidR="000B5B02" w:rsidRPr="00FC1444" w:rsidRDefault="000B5B02" w:rsidP="00C12A06">
            <w:pPr>
              <w:jc w:val="center"/>
              <w:rPr>
                <w:szCs w:val="21"/>
              </w:rPr>
            </w:pPr>
            <w:r w:rsidRPr="00FC1444">
              <w:rPr>
                <w:rFonts w:hint="eastAsia"/>
                <w:szCs w:val="21"/>
              </w:rPr>
              <w:t>5496</w:t>
            </w:r>
          </w:p>
        </w:tc>
        <w:tc>
          <w:tcPr>
            <w:tcW w:w="1251" w:type="pct"/>
            <w:tcBorders>
              <w:right w:val="nil"/>
            </w:tcBorders>
            <w:vAlign w:val="center"/>
          </w:tcPr>
          <w:p w:rsidR="000B5B02" w:rsidRPr="00FC1444" w:rsidRDefault="000B5B02" w:rsidP="00C12A06">
            <w:pPr>
              <w:jc w:val="center"/>
              <w:rPr>
                <w:rFonts w:eastAsiaTheme="minorEastAsia"/>
                <w:kern w:val="0"/>
                <w:szCs w:val="21"/>
              </w:rPr>
            </w:pPr>
            <w:r w:rsidRPr="00FC1444">
              <w:rPr>
                <w:rFonts w:eastAsiaTheme="minorEastAsia" w:hint="eastAsia"/>
                <w:kern w:val="0"/>
                <w:szCs w:val="21"/>
              </w:rPr>
              <w:t>4672</w:t>
            </w:r>
          </w:p>
        </w:tc>
        <w:tc>
          <w:tcPr>
            <w:tcW w:w="1251" w:type="pct"/>
            <w:tcBorders>
              <w:right w:val="nil"/>
            </w:tcBorders>
            <w:vAlign w:val="center"/>
          </w:tcPr>
          <w:p w:rsidR="000B5B02" w:rsidRPr="00FC1444" w:rsidRDefault="000B5B02" w:rsidP="00C12A06">
            <w:pPr>
              <w:jc w:val="center"/>
              <w:rPr>
                <w:szCs w:val="21"/>
              </w:rPr>
            </w:pPr>
            <w:r w:rsidRPr="00FC1444">
              <w:rPr>
                <w:rFonts w:hint="eastAsia"/>
                <w:szCs w:val="21"/>
              </w:rPr>
              <w:t>824</w:t>
            </w:r>
          </w:p>
        </w:tc>
      </w:tr>
      <w:tr w:rsidR="000B5B02" w:rsidRPr="00FC1444" w:rsidTr="00C12A06">
        <w:trPr>
          <w:trHeight w:val="397"/>
        </w:trPr>
        <w:tc>
          <w:tcPr>
            <w:tcW w:w="1249" w:type="pct"/>
            <w:tcBorders>
              <w:left w:val="nil"/>
              <w:bottom w:val="single" w:sz="12" w:space="0" w:color="auto"/>
            </w:tcBorders>
            <w:vAlign w:val="center"/>
          </w:tcPr>
          <w:p w:rsidR="000B5B02" w:rsidRPr="00FC1444" w:rsidRDefault="000B5B02" w:rsidP="00C12A06">
            <w:pPr>
              <w:jc w:val="center"/>
              <w:rPr>
                <w:rFonts w:eastAsiaTheme="minorEastAsia"/>
                <w:kern w:val="0"/>
                <w:szCs w:val="21"/>
              </w:rPr>
            </w:pPr>
            <w:r w:rsidRPr="00FC1444">
              <w:rPr>
                <w:rFonts w:eastAsiaTheme="minorEastAsia"/>
                <w:kern w:val="0"/>
                <w:szCs w:val="21"/>
              </w:rPr>
              <w:t>变化量</w:t>
            </w:r>
          </w:p>
        </w:tc>
        <w:tc>
          <w:tcPr>
            <w:tcW w:w="1249" w:type="pct"/>
            <w:tcBorders>
              <w:bottom w:val="single" w:sz="12" w:space="0" w:color="auto"/>
            </w:tcBorders>
            <w:vAlign w:val="center"/>
          </w:tcPr>
          <w:p w:rsidR="000B5B02" w:rsidRPr="00FC1444" w:rsidRDefault="000B5B02" w:rsidP="00C12A06">
            <w:pPr>
              <w:jc w:val="center"/>
              <w:rPr>
                <w:szCs w:val="21"/>
              </w:rPr>
            </w:pPr>
            <w:r w:rsidRPr="00FC1444">
              <w:rPr>
                <w:szCs w:val="21"/>
              </w:rPr>
              <w:t>-</w:t>
            </w:r>
            <w:r w:rsidRPr="00FC1444">
              <w:rPr>
                <w:rFonts w:hint="eastAsia"/>
                <w:szCs w:val="21"/>
              </w:rPr>
              <w:t>778.6</w:t>
            </w:r>
          </w:p>
        </w:tc>
        <w:tc>
          <w:tcPr>
            <w:tcW w:w="1251" w:type="pct"/>
            <w:tcBorders>
              <w:bottom w:val="single" w:sz="12" w:space="0" w:color="auto"/>
              <w:right w:val="nil"/>
            </w:tcBorders>
            <w:vAlign w:val="center"/>
          </w:tcPr>
          <w:p w:rsidR="000B5B02" w:rsidRPr="00FC1444" w:rsidRDefault="000B5B02" w:rsidP="00C12A06">
            <w:pPr>
              <w:jc w:val="center"/>
              <w:rPr>
                <w:rFonts w:eastAsiaTheme="minorEastAsia"/>
                <w:kern w:val="0"/>
                <w:szCs w:val="21"/>
              </w:rPr>
            </w:pPr>
            <w:r w:rsidRPr="00FC1444">
              <w:rPr>
                <w:rFonts w:eastAsiaTheme="minorEastAsia"/>
                <w:kern w:val="0"/>
                <w:szCs w:val="21"/>
              </w:rPr>
              <w:t>-</w:t>
            </w:r>
            <w:r w:rsidRPr="00FC1444">
              <w:rPr>
                <w:rFonts w:eastAsiaTheme="minorEastAsia" w:hint="eastAsia"/>
                <w:kern w:val="0"/>
                <w:szCs w:val="21"/>
              </w:rPr>
              <w:t>348</w:t>
            </w:r>
          </w:p>
        </w:tc>
        <w:tc>
          <w:tcPr>
            <w:tcW w:w="1251" w:type="pct"/>
            <w:tcBorders>
              <w:bottom w:val="single" w:sz="12" w:space="0" w:color="auto"/>
              <w:right w:val="nil"/>
            </w:tcBorders>
            <w:vAlign w:val="center"/>
          </w:tcPr>
          <w:p w:rsidR="000B5B02" w:rsidRPr="00FC1444" w:rsidRDefault="000B5B02" w:rsidP="00C12A06">
            <w:pPr>
              <w:jc w:val="center"/>
              <w:rPr>
                <w:szCs w:val="21"/>
              </w:rPr>
            </w:pPr>
            <w:r w:rsidRPr="00FC1444">
              <w:rPr>
                <w:szCs w:val="21"/>
              </w:rPr>
              <w:t>-</w:t>
            </w:r>
            <w:r w:rsidRPr="00FC1444">
              <w:rPr>
                <w:rFonts w:hint="eastAsia"/>
                <w:szCs w:val="21"/>
              </w:rPr>
              <w:t>431</w:t>
            </w:r>
          </w:p>
        </w:tc>
      </w:tr>
    </w:tbl>
    <w:p w:rsidR="002A5A5E" w:rsidRPr="00FC1444" w:rsidRDefault="009840DD">
      <w:pPr>
        <w:autoSpaceDE w:val="0"/>
        <w:autoSpaceDN w:val="0"/>
        <w:spacing w:before="100" w:beforeAutospacing="1" w:after="100" w:afterAutospacing="1"/>
        <w:outlineLvl w:val="3"/>
        <w:rPr>
          <w:rFonts w:eastAsiaTheme="minorEastAsia"/>
          <w:b/>
          <w:sz w:val="24"/>
        </w:rPr>
      </w:pPr>
      <w:hyperlink r:id="rId34" w:anchor="_Toc110400208" w:history="1">
        <w:bookmarkStart w:id="87" w:name="_Toc182022288"/>
        <w:bookmarkStart w:id="88" w:name="_Toc112420358"/>
        <w:bookmarkStart w:id="89" w:name="_Toc113078929"/>
        <w:bookmarkStart w:id="90" w:name="_Toc118087007"/>
        <w:r w:rsidR="00611CBA" w:rsidRPr="00FC1444">
          <w:rPr>
            <w:rFonts w:eastAsiaTheme="minorEastAsia"/>
            <w:b/>
            <w:sz w:val="24"/>
          </w:rPr>
          <w:t>3.1.10.3</w:t>
        </w:r>
        <w:r w:rsidR="00611CBA" w:rsidRPr="00FC1444">
          <w:rPr>
            <w:rFonts w:eastAsiaTheme="minorEastAsia"/>
            <w:b/>
            <w:sz w:val="24"/>
          </w:rPr>
          <w:t>供电工程</w:t>
        </w:r>
        <w:bookmarkEnd w:id="87"/>
        <w:bookmarkEnd w:id="88"/>
        <w:bookmarkEnd w:id="89"/>
        <w:bookmarkEnd w:id="90"/>
      </w:hyperlink>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施工期主要利用工程区附近的农用供电线路解决，部分施工期用电分散，施工时间短，用电量小，从系统电源接线供电不经济，拟配备柴油发电机组供电；本项目新建灌溉井均由配套建设的输配电系统供电，可以满足项目用电需求。</w:t>
      </w:r>
    </w:p>
    <w:p w:rsidR="002A5A5E" w:rsidRPr="00FC1444" w:rsidRDefault="009840DD">
      <w:pPr>
        <w:autoSpaceDE w:val="0"/>
        <w:autoSpaceDN w:val="0"/>
        <w:spacing w:before="100" w:beforeAutospacing="1" w:after="100" w:afterAutospacing="1"/>
        <w:outlineLvl w:val="3"/>
        <w:rPr>
          <w:rFonts w:eastAsiaTheme="minorEastAsia"/>
          <w:b/>
          <w:sz w:val="24"/>
        </w:rPr>
      </w:pPr>
      <w:hyperlink r:id="rId35" w:anchor="_Toc110400209" w:history="1">
        <w:r w:rsidR="00611CBA" w:rsidRPr="00FC1444">
          <w:rPr>
            <w:rFonts w:eastAsiaTheme="minorEastAsia"/>
            <w:b/>
            <w:sz w:val="24"/>
          </w:rPr>
          <w:t>3.1.10.4</w:t>
        </w:r>
      </w:hyperlink>
      <w:r w:rsidR="00611CBA" w:rsidRPr="00FC1444">
        <w:rPr>
          <w:rFonts w:eastAsiaTheme="minorEastAsia"/>
          <w:b/>
          <w:sz w:val="24"/>
        </w:rPr>
        <w:t>供热工程</w:t>
      </w:r>
    </w:p>
    <w:p w:rsidR="002A5A5E" w:rsidRPr="00FC1444" w:rsidRDefault="00611CBA">
      <w:pPr>
        <w:spacing w:line="360" w:lineRule="auto"/>
        <w:ind w:firstLineChars="200" w:firstLine="480"/>
        <w:rPr>
          <w:rFonts w:eastAsiaTheme="minorEastAsia"/>
          <w:bCs/>
          <w:kern w:val="44"/>
          <w:sz w:val="24"/>
        </w:rPr>
      </w:pPr>
      <w:r w:rsidRPr="00FC1444">
        <w:rPr>
          <w:rFonts w:eastAsiaTheme="minorEastAsia"/>
          <w:bCs/>
          <w:sz w:val="24"/>
        </w:rPr>
        <w:t>本项目冬季不供暖，亦无采暖工程</w:t>
      </w:r>
      <w:r w:rsidRPr="00FC1444">
        <w:rPr>
          <w:rFonts w:eastAsiaTheme="minorEastAsia"/>
          <w:bCs/>
          <w:kern w:val="44"/>
          <w:sz w:val="24"/>
        </w:rPr>
        <w:t>。</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3.1.11</w:t>
      </w:r>
      <w:r w:rsidRPr="00FC1444">
        <w:rPr>
          <w:rFonts w:eastAsiaTheme="minorEastAsia"/>
          <w:b/>
          <w:sz w:val="28"/>
          <w:szCs w:val="28"/>
        </w:rPr>
        <w:t>占地情况</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bCs/>
          <w:snapToGrid w:val="0"/>
          <w:kern w:val="0"/>
          <w:sz w:val="24"/>
        </w:rPr>
        <w:t>本项目用地包括永久占地和临</w:t>
      </w:r>
      <w:r w:rsidRPr="00FC1444">
        <w:rPr>
          <w:rFonts w:eastAsiaTheme="minorEastAsia"/>
          <w:sz w:val="24"/>
        </w:rPr>
        <w:t>时占地，</w:t>
      </w:r>
      <w:r w:rsidRPr="00FC1444">
        <w:rPr>
          <w:rFonts w:eastAsiaTheme="minorEastAsia"/>
          <w:bCs/>
          <w:snapToGrid w:val="0"/>
          <w:kern w:val="0"/>
          <w:sz w:val="24"/>
        </w:rPr>
        <w:t>永久占地类型为</w:t>
      </w:r>
      <w:r w:rsidR="009555CD" w:rsidRPr="00FC1444">
        <w:rPr>
          <w:rFonts w:eastAsiaTheme="minorEastAsia"/>
          <w:bCs/>
          <w:snapToGrid w:val="0"/>
          <w:kern w:val="0"/>
          <w:sz w:val="24"/>
        </w:rPr>
        <w:t>草地、交通运输用地、水利设施用地、坑塘水面</w:t>
      </w:r>
      <w:r w:rsidRPr="00FC1444">
        <w:rPr>
          <w:rFonts w:eastAsiaTheme="minorEastAsia"/>
          <w:bCs/>
          <w:snapToGrid w:val="0"/>
          <w:kern w:val="0"/>
          <w:sz w:val="24"/>
        </w:rPr>
        <w:t>，临时占地类型为旱地、草地</w:t>
      </w:r>
      <w:r w:rsidRPr="00FC1444">
        <w:rPr>
          <w:rFonts w:eastAsiaTheme="minorEastAsia"/>
          <w:sz w:val="24"/>
        </w:rPr>
        <w:t>。地表植被为玉米、狗尾巴草、</w:t>
      </w:r>
      <w:r w:rsidRPr="00FC1444">
        <w:rPr>
          <w:rFonts w:eastAsiaTheme="minorEastAsia"/>
          <w:sz w:val="24"/>
          <w:lang w:bidi="en-US"/>
        </w:rPr>
        <w:t>星星草等</w:t>
      </w:r>
      <w:r w:rsidRPr="00FC1444">
        <w:rPr>
          <w:rFonts w:eastAsiaTheme="minorEastAsia"/>
          <w:sz w:val="24"/>
        </w:rPr>
        <w:t>。</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）永久占地</w:t>
      </w:r>
    </w:p>
    <w:p w:rsidR="002A5A5E" w:rsidRPr="00FC1444" w:rsidRDefault="00611CBA">
      <w:pPr>
        <w:adjustRightInd w:val="0"/>
        <w:snapToGrid w:val="0"/>
        <w:spacing w:line="360" w:lineRule="auto"/>
        <w:ind w:firstLineChars="200" w:firstLine="480"/>
        <w:rPr>
          <w:rFonts w:eastAsiaTheme="minorEastAsia"/>
          <w:bCs/>
          <w:snapToGrid w:val="0"/>
          <w:kern w:val="0"/>
          <w:sz w:val="24"/>
        </w:rPr>
      </w:pPr>
      <w:r w:rsidRPr="00FC1444">
        <w:rPr>
          <w:rFonts w:eastAsiaTheme="minorEastAsia"/>
          <w:bCs/>
          <w:snapToGrid w:val="0"/>
          <w:kern w:val="0"/>
          <w:sz w:val="24"/>
        </w:rPr>
        <w:t>本项目永久占地主要</w:t>
      </w:r>
      <w:r w:rsidR="00D61453" w:rsidRPr="00FC1444">
        <w:rPr>
          <w:rFonts w:eastAsiaTheme="minorEastAsia"/>
          <w:bCs/>
          <w:snapToGrid w:val="0"/>
          <w:kern w:val="0"/>
          <w:sz w:val="24"/>
        </w:rPr>
        <w:t>包括田间道路工程、灌溉和排水工程、田块整治工程、农田输配电工程</w:t>
      </w:r>
      <w:r w:rsidRPr="00FC1444">
        <w:rPr>
          <w:rFonts w:eastAsiaTheme="minorEastAsia"/>
          <w:bCs/>
          <w:snapToGrid w:val="0"/>
          <w:kern w:val="0"/>
          <w:sz w:val="24"/>
        </w:rPr>
        <w:t>占地。</w:t>
      </w:r>
      <w:r w:rsidRPr="00FC1444">
        <w:rPr>
          <w:rFonts w:eastAsiaTheme="minorEastAsia"/>
          <w:sz w:val="24"/>
        </w:rPr>
        <w:t>强排工程为设置柴油移动泵车，使用时间较短，使用后放置在附近村屯内，故无占地。</w:t>
      </w:r>
      <w:r w:rsidRPr="00FC1444">
        <w:rPr>
          <w:rFonts w:eastAsiaTheme="minorEastAsia"/>
          <w:bCs/>
          <w:snapToGrid w:val="0"/>
          <w:kern w:val="0"/>
          <w:sz w:val="24"/>
        </w:rPr>
        <w:t>工程永久占地类型为</w:t>
      </w:r>
      <w:r w:rsidR="009555CD" w:rsidRPr="00FC1444">
        <w:rPr>
          <w:rFonts w:eastAsiaTheme="minorEastAsia"/>
          <w:bCs/>
          <w:snapToGrid w:val="0"/>
          <w:kern w:val="0"/>
          <w:sz w:val="24"/>
        </w:rPr>
        <w:t>草地、交通运输用地、水利设</w:t>
      </w:r>
      <w:r w:rsidR="009555CD" w:rsidRPr="00FC1444">
        <w:rPr>
          <w:rFonts w:eastAsiaTheme="minorEastAsia"/>
          <w:bCs/>
          <w:snapToGrid w:val="0"/>
          <w:kern w:val="0"/>
          <w:sz w:val="24"/>
        </w:rPr>
        <w:lastRenderedPageBreak/>
        <w:t>施用地、坑塘水面</w:t>
      </w:r>
      <w:r w:rsidRPr="00FC1444">
        <w:rPr>
          <w:rFonts w:eastAsiaTheme="minorEastAsia"/>
          <w:bCs/>
          <w:snapToGrid w:val="0"/>
          <w:kern w:val="0"/>
          <w:sz w:val="24"/>
        </w:rPr>
        <w:t>。田间道路工程在原有道路上铺设，现有灌溉渠道衬砌，现有排水沟清淤、衬砌，淤泥堆放在排水沟两侧，新增永久占地。项目工程永久占地约</w:t>
      </w:r>
      <w:r w:rsidR="00C458B4" w:rsidRPr="00FC1444">
        <w:rPr>
          <w:rFonts w:eastAsiaTheme="minorEastAsia"/>
          <w:bCs/>
          <w:snapToGrid w:val="0"/>
          <w:kern w:val="0"/>
          <w:sz w:val="24"/>
        </w:rPr>
        <w:t>1443</w:t>
      </w:r>
      <w:r w:rsidR="00C458B4" w:rsidRPr="00FC1444">
        <w:rPr>
          <w:rFonts w:eastAsiaTheme="minorEastAsia"/>
          <w:bCs/>
          <w:snapToGrid w:val="0"/>
          <w:kern w:val="0"/>
          <w:sz w:val="24"/>
        </w:rPr>
        <w:t>万</w:t>
      </w:r>
      <w:r w:rsidRPr="00FC1444">
        <w:rPr>
          <w:rFonts w:eastAsiaTheme="minorEastAsia"/>
          <w:bCs/>
          <w:snapToGrid w:val="0"/>
          <w:kern w:val="0"/>
          <w:sz w:val="24"/>
        </w:rPr>
        <w:t>m</w:t>
      </w:r>
      <w:r w:rsidRPr="00FC1444">
        <w:rPr>
          <w:rFonts w:eastAsiaTheme="minorEastAsia"/>
          <w:bCs/>
          <w:snapToGrid w:val="0"/>
          <w:kern w:val="0"/>
          <w:sz w:val="24"/>
          <w:vertAlign w:val="superscript"/>
        </w:rPr>
        <w:t>2</w:t>
      </w:r>
      <w:r w:rsidRPr="00FC1444">
        <w:rPr>
          <w:rFonts w:eastAsiaTheme="minorEastAsia"/>
          <w:bCs/>
          <w:snapToGrid w:val="0"/>
          <w:kern w:val="0"/>
          <w:sz w:val="24"/>
        </w:rPr>
        <w:t>（</w:t>
      </w:r>
      <w:r w:rsidR="00E268F3" w:rsidRPr="00FC1444">
        <w:rPr>
          <w:rFonts w:eastAsiaTheme="minorEastAsia"/>
          <w:bCs/>
          <w:snapToGrid w:val="0"/>
          <w:kern w:val="0"/>
          <w:sz w:val="24"/>
        </w:rPr>
        <w:t>其中新增约</w:t>
      </w:r>
      <w:r w:rsidR="00C458B4" w:rsidRPr="00FC1444">
        <w:rPr>
          <w:rFonts w:eastAsiaTheme="minorEastAsia"/>
          <w:bCs/>
          <w:snapToGrid w:val="0"/>
          <w:kern w:val="0"/>
          <w:sz w:val="24"/>
        </w:rPr>
        <w:t>22240</w:t>
      </w:r>
      <w:r w:rsidRPr="00FC1444">
        <w:rPr>
          <w:rFonts w:eastAsiaTheme="minorEastAsia"/>
          <w:bCs/>
          <w:snapToGrid w:val="0"/>
          <w:kern w:val="0"/>
          <w:sz w:val="24"/>
        </w:rPr>
        <w:t>m</w:t>
      </w:r>
      <w:r w:rsidRPr="00FC1444">
        <w:rPr>
          <w:rFonts w:eastAsiaTheme="minorEastAsia"/>
          <w:bCs/>
          <w:snapToGrid w:val="0"/>
          <w:kern w:val="0"/>
          <w:sz w:val="24"/>
          <w:vertAlign w:val="superscript"/>
        </w:rPr>
        <w:t>2</w:t>
      </w:r>
      <w:r w:rsidRPr="00FC1444">
        <w:rPr>
          <w:rFonts w:eastAsiaTheme="minorEastAsia"/>
          <w:bCs/>
          <w:snapToGrid w:val="0"/>
          <w:kern w:val="0"/>
          <w:sz w:val="24"/>
        </w:rPr>
        <w:t>）。</w:t>
      </w:r>
    </w:p>
    <w:p w:rsidR="002A5A5E" w:rsidRPr="00FC1444" w:rsidRDefault="00611CBA">
      <w:pPr>
        <w:adjustRightInd w:val="0"/>
        <w:snapToGrid w:val="0"/>
        <w:spacing w:line="360" w:lineRule="auto"/>
        <w:ind w:firstLineChars="200" w:firstLine="480"/>
        <w:rPr>
          <w:rFonts w:eastAsiaTheme="minorEastAsia"/>
          <w:bCs/>
          <w:snapToGrid w:val="0"/>
          <w:kern w:val="0"/>
          <w:sz w:val="24"/>
        </w:rPr>
      </w:pPr>
      <w:r w:rsidRPr="00FC1444">
        <w:rPr>
          <w:rFonts w:eastAsiaTheme="minorEastAsia"/>
          <w:bCs/>
          <w:snapToGrid w:val="0"/>
          <w:kern w:val="0"/>
          <w:sz w:val="24"/>
        </w:rPr>
        <w:t>工程实施后区域土地类型及面积变化情况统计见表</w:t>
      </w:r>
      <w:r w:rsidRPr="00FC1444">
        <w:rPr>
          <w:rFonts w:eastAsiaTheme="minorEastAsia"/>
          <w:bCs/>
          <w:snapToGrid w:val="0"/>
          <w:kern w:val="0"/>
          <w:sz w:val="24"/>
        </w:rPr>
        <w:t>4-2-</w:t>
      </w:r>
      <w:r w:rsidR="00F74DEA" w:rsidRPr="00FC1444">
        <w:rPr>
          <w:rFonts w:eastAsiaTheme="minorEastAsia"/>
          <w:bCs/>
          <w:snapToGrid w:val="0"/>
          <w:kern w:val="0"/>
          <w:sz w:val="24"/>
        </w:rPr>
        <w:t>1</w:t>
      </w:r>
      <w:r w:rsidR="002A51BB" w:rsidRPr="00FC1444">
        <w:rPr>
          <w:rFonts w:eastAsiaTheme="minorEastAsia" w:hint="eastAsia"/>
          <w:bCs/>
          <w:snapToGrid w:val="0"/>
          <w:kern w:val="0"/>
          <w:sz w:val="24"/>
        </w:rPr>
        <w:t>5</w:t>
      </w:r>
      <w:r w:rsidRPr="00FC1444">
        <w:rPr>
          <w:rFonts w:eastAsiaTheme="minorEastAsia"/>
          <w:bCs/>
          <w:snapToGrid w:val="0"/>
          <w:kern w:val="0"/>
          <w:sz w:val="24"/>
        </w:rPr>
        <w:t>。</w:t>
      </w:r>
    </w:p>
    <w:p w:rsidR="002A5A5E" w:rsidRPr="00FC1444" w:rsidRDefault="00611CBA">
      <w:pPr>
        <w:contextualSpacing/>
        <w:jc w:val="center"/>
        <w:rPr>
          <w:rFonts w:eastAsiaTheme="minorEastAsia"/>
          <w:kern w:val="0"/>
          <w:szCs w:val="21"/>
        </w:rPr>
      </w:pPr>
      <w:r w:rsidRPr="00FC1444">
        <w:rPr>
          <w:rFonts w:eastAsiaTheme="minorEastAsia"/>
          <w:b/>
          <w:kern w:val="0"/>
          <w:szCs w:val="21"/>
        </w:rPr>
        <w:t>表</w:t>
      </w:r>
      <w:r w:rsidR="00F74DEA" w:rsidRPr="00FC1444">
        <w:rPr>
          <w:rFonts w:eastAsiaTheme="minorEastAsia"/>
          <w:b/>
          <w:kern w:val="0"/>
          <w:szCs w:val="21"/>
        </w:rPr>
        <w:t>3-1-1</w:t>
      </w:r>
      <w:r w:rsidR="002A51BB" w:rsidRPr="00FC1444">
        <w:rPr>
          <w:rFonts w:eastAsiaTheme="minorEastAsia" w:hint="eastAsia"/>
          <w:b/>
          <w:kern w:val="0"/>
          <w:szCs w:val="21"/>
        </w:rPr>
        <w:t>5</w:t>
      </w:r>
      <w:r w:rsidRPr="00FC1444">
        <w:rPr>
          <w:rFonts w:eastAsiaTheme="minorEastAsia"/>
          <w:b/>
          <w:kern w:val="0"/>
          <w:szCs w:val="21"/>
        </w:rPr>
        <w:t>工程永久土地利用及变化情况</w:t>
      </w:r>
      <w:r w:rsidRPr="00FC1444">
        <w:rPr>
          <w:rFonts w:eastAsiaTheme="minorEastAsia"/>
          <w:b/>
          <w:kern w:val="0"/>
          <w:szCs w:val="21"/>
        </w:rPr>
        <w:t xml:space="preserve">  </w:t>
      </w:r>
    </w:p>
    <w:tbl>
      <w:tblPr>
        <w:tblW w:w="8122"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48"/>
        <w:gridCol w:w="1648"/>
        <w:gridCol w:w="1461"/>
        <w:gridCol w:w="2046"/>
        <w:gridCol w:w="1619"/>
      </w:tblGrid>
      <w:tr w:rsidR="002A5A5E" w:rsidRPr="00FC1444" w:rsidTr="000B5B02">
        <w:trPr>
          <w:trHeight w:val="677"/>
          <w:tblHeader/>
          <w:jc w:val="center"/>
        </w:trPr>
        <w:tc>
          <w:tcPr>
            <w:tcW w:w="1348"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工程</w:t>
            </w:r>
          </w:p>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内容</w:t>
            </w:r>
          </w:p>
        </w:tc>
        <w:tc>
          <w:tcPr>
            <w:tcW w:w="1647"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占地</w:t>
            </w:r>
          </w:p>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现状</w:t>
            </w:r>
          </w:p>
        </w:tc>
        <w:tc>
          <w:tcPr>
            <w:tcW w:w="1461"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占地面积（</w:t>
            </w:r>
            <w:r w:rsidRPr="00FC1444">
              <w:rPr>
                <w:rFonts w:eastAsiaTheme="minorEastAsia"/>
                <w:kern w:val="0"/>
                <w:szCs w:val="21"/>
              </w:rPr>
              <w:t>m</w:t>
            </w:r>
            <w:r w:rsidRPr="00FC1444">
              <w:rPr>
                <w:rFonts w:eastAsiaTheme="minorEastAsia"/>
                <w:kern w:val="0"/>
                <w:szCs w:val="21"/>
                <w:vertAlign w:val="superscript"/>
              </w:rPr>
              <w:t>2</w:t>
            </w:r>
            <w:r w:rsidRPr="00FC1444">
              <w:rPr>
                <w:rFonts w:eastAsiaTheme="minorEastAsia"/>
                <w:kern w:val="0"/>
                <w:szCs w:val="21"/>
              </w:rPr>
              <w:t>）</w:t>
            </w:r>
          </w:p>
        </w:tc>
        <w:tc>
          <w:tcPr>
            <w:tcW w:w="2046"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技术指标</w:t>
            </w:r>
          </w:p>
        </w:tc>
        <w:tc>
          <w:tcPr>
            <w:tcW w:w="1619" w:type="dxa"/>
            <w:vAlign w:val="center"/>
          </w:tcPr>
          <w:p w:rsidR="002A5A5E" w:rsidRPr="00FC1444" w:rsidRDefault="00611CBA">
            <w:pPr>
              <w:jc w:val="center"/>
              <w:textAlignment w:val="center"/>
              <w:rPr>
                <w:rFonts w:eastAsiaTheme="minorEastAsia"/>
                <w:kern w:val="0"/>
                <w:szCs w:val="21"/>
              </w:rPr>
            </w:pPr>
            <w:r w:rsidRPr="00FC1444">
              <w:rPr>
                <w:rFonts w:eastAsiaTheme="minorEastAsia"/>
                <w:kern w:val="0"/>
                <w:szCs w:val="21"/>
              </w:rPr>
              <w:t>项目建设后土地类型</w:t>
            </w:r>
          </w:p>
        </w:tc>
      </w:tr>
      <w:tr w:rsidR="002A5A5E" w:rsidRPr="00FC1444" w:rsidTr="000B5B02">
        <w:trPr>
          <w:trHeight w:val="343"/>
          <w:jc w:val="center"/>
        </w:trPr>
        <w:tc>
          <w:tcPr>
            <w:tcW w:w="1348"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田间道路</w:t>
            </w:r>
          </w:p>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工程</w:t>
            </w:r>
          </w:p>
        </w:tc>
        <w:tc>
          <w:tcPr>
            <w:tcW w:w="1647"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交通运输用地</w:t>
            </w:r>
          </w:p>
        </w:tc>
        <w:tc>
          <w:tcPr>
            <w:tcW w:w="1461" w:type="dxa"/>
            <w:vAlign w:val="center"/>
          </w:tcPr>
          <w:p w:rsidR="002A5A5E" w:rsidRPr="00FC1444" w:rsidRDefault="005627BD">
            <w:pPr>
              <w:widowControl/>
              <w:jc w:val="center"/>
              <w:textAlignment w:val="center"/>
              <w:rPr>
                <w:rFonts w:eastAsiaTheme="minorEastAsia"/>
                <w:kern w:val="0"/>
                <w:szCs w:val="21"/>
              </w:rPr>
            </w:pPr>
            <w:r w:rsidRPr="00FC1444">
              <w:rPr>
                <w:rFonts w:eastAsiaTheme="minorEastAsia" w:hint="eastAsia"/>
                <w:kern w:val="0"/>
                <w:szCs w:val="21"/>
              </w:rPr>
              <w:t>512888</w:t>
            </w:r>
          </w:p>
        </w:tc>
        <w:tc>
          <w:tcPr>
            <w:tcW w:w="2046"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道路宽度</w:t>
            </w:r>
            <w:r w:rsidRPr="00FC1444">
              <w:rPr>
                <w:rFonts w:eastAsiaTheme="minorEastAsia"/>
                <w:kern w:val="0"/>
                <w:szCs w:val="21"/>
              </w:rPr>
              <w:t>×</w:t>
            </w:r>
            <w:r w:rsidRPr="00FC1444">
              <w:rPr>
                <w:rFonts w:eastAsiaTheme="minorEastAsia"/>
                <w:kern w:val="0"/>
                <w:szCs w:val="21"/>
              </w:rPr>
              <w:t>长度</w:t>
            </w:r>
          </w:p>
        </w:tc>
        <w:tc>
          <w:tcPr>
            <w:tcW w:w="1619" w:type="dxa"/>
            <w:vAlign w:val="center"/>
          </w:tcPr>
          <w:p w:rsidR="002A5A5E" w:rsidRPr="00FC1444" w:rsidRDefault="00611CBA" w:rsidP="009555CD">
            <w:pPr>
              <w:widowControl/>
              <w:jc w:val="center"/>
              <w:textAlignment w:val="center"/>
              <w:rPr>
                <w:rFonts w:eastAsiaTheme="minorEastAsia"/>
                <w:kern w:val="0"/>
                <w:szCs w:val="21"/>
              </w:rPr>
            </w:pPr>
            <w:r w:rsidRPr="00FC1444">
              <w:rPr>
                <w:rFonts w:eastAsiaTheme="minorEastAsia"/>
                <w:kern w:val="0"/>
                <w:szCs w:val="21"/>
              </w:rPr>
              <w:t>交通运输用地</w:t>
            </w:r>
          </w:p>
        </w:tc>
      </w:tr>
      <w:tr w:rsidR="002A5A5E" w:rsidRPr="00FC1444" w:rsidTr="000B5B02">
        <w:trPr>
          <w:trHeight w:val="760"/>
          <w:jc w:val="center"/>
        </w:trPr>
        <w:tc>
          <w:tcPr>
            <w:tcW w:w="1348"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灌溉井</w:t>
            </w:r>
          </w:p>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工程</w:t>
            </w:r>
          </w:p>
        </w:tc>
        <w:tc>
          <w:tcPr>
            <w:tcW w:w="1647" w:type="dxa"/>
            <w:vAlign w:val="center"/>
          </w:tcPr>
          <w:p w:rsidR="002A5A5E" w:rsidRPr="00FC1444" w:rsidRDefault="0014551D">
            <w:pPr>
              <w:widowControl/>
              <w:jc w:val="center"/>
              <w:textAlignment w:val="center"/>
              <w:rPr>
                <w:rFonts w:eastAsiaTheme="minorEastAsia"/>
                <w:kern w:val="0"/>
                <w:szCs w:val="21"/>
              </w:rPr>
            </w:pPr>
            <w:r w:rsidRPr="00FC1444">
              <w:rPr>
                <w:rFonts w:eastAsiaTheme="minorEastAsia" w:hint="eastAsia"/>
                <w:kern w:val="0"/>
                <w:szCs w:val="21"/>
              </w:rPr>
              <w:t>草地</w:t>
            </w:r>
          </w:p>
        </w:tc>
        <w:tc>
          <w:tcPr>
            <w:tcW w:w="1461" w:type="dxa"/>
            <w:vAlign w:val="center"/>
          </w:tcPr>
          <w:p w:rsidR="002A5A5E" w:rsidRPr="00FC1444" w:rsidRDefault="00063356">
            <w:pPr>
              <w:widowControl/>
              <w:jc w:val="center"/>
              <w:textAlignment w:val="center"/>
              <w:rPr>
                <w:rFonts w:eastAsiaTheme="minorEastAsia"/>
                <w:kern w:val="0"/>
                <w:szCs w:val="21"/>
              </w:rPr>
            </w:pPr>
            <w:r w:rsidRPr="00FC1444">
              <w:rPr>
                <w:rFonts w:eastAsiaTheme="minorEastAsia" w:hint="eastAsia"/>
                <w:kern w:val="0"/>
                <w:szCs w:val="21"/>
              </w:rPr>
              <w:t>393</w:t>
            </w:r>
            <w:r w:rsidR="00611CBA" w:rsidRPr="00FC1444">
              <w:rPr>
                <w:rFonts w:eastAsiaTheme="minorEastAsia"/>
                <w:kern w:val="0"/>
                <w:szCs w:val="21"/>
              </w:rPr>
              <w:t>（新增）</w:t>
            </w:r>
          </w:p>
        </w:tc>
        <w:tc>
          <w:tcPr>
            <w:tcW w:w="2046" w:type="dxa"/>
            <w:vAlign w:val="center"/>
          </w:tcPr>
          <w:p w:rsidR="002A5A5E" w:rsidRPr="00FC1444" w:rsidRDefault="008F73CD" w:rsidP="008F73CD">
            <w:pPr>
              <w:widowControl/>
              <w:jc w:val="center"/>
              <w:textAlignment w:val="center"/>
              <w:rPr>
                <w:rFonts w:eastAsiaTheme="minorEastAsia"/>
                <w:kern w:val="0"/>
                <w:szCs w:val="21"/>
              </w:rPr>
            </w:pPr>
            <w:r w:rsidRPr="00FC1444">
              <w:rPr>
                <w:rFonts w:eastAsiaTheme="minorEastAsia"/>
                <w:kern w:val="0"/>
                <w:szCs w:val="21"/>
              </w:rPr>
              <w:t>156</w:t>
            </w:r>
            <w:r w:rsidRPr="00FC1444">
              <w:rPr>
                <w:rFonts w:eastAsiaTheme="minorEastAsia"/>
                <w:kern w:val="0"/>
                <w:szCs w:val="21"/>
              </w:rPr>
              <w:t>座</w:t>
            </w:r>
            <w:r w:rsidR="00611CBA" w:rsidRPr="00FC1444">
              <w:rPr>
                <w:rFonts w:eastAsiaTheme="minorEastAsia"/>
                <w:kern w:val="0"/>
                <w:szCs w:val="21"/>
              </w:rPr>
              <w:t>井房占地面积</w:t>
            </w:r>
            <w:r w:rsidRPr="00FC1444">
              <w:rPr>
                <w:rFonts w:eastAsiaTheme="minorEastAsia"/>
                <w:kern w:val="0"/>
                <w:szCs w:val="21"/>
              </w:rPr>
              <w:t>均</w:t>
            </w:r>
            <w:r w:rsidR="00611CBA" w:rsidRPr="00FC1444">
              <w:rPr>
                <w:rFonts w:eastAsiaTheme="minorEastAsia"/>
                <w:kern w:val="0"/>
                <w:szCs w:val="21"/>
              </w:rPr>
              <w:t>为</w:t>
            </w:r>
            <w:r w:rsidRPr="00FC1444">
              <w:rPr>
                <w:rFonts w:eastAsiaTheme="minorEastAsia"/>
                <w:kern w:val="0"/>
                <w:szCs w:val="21"/>
              </w:rPr>
              <w:t>2.52</w:t>
            </w:r>
            <w:r w:rsidR="00611CBA" w:rsidRPr="00FC1444">
              <w:rPr>
                <w:rFonts w:eastAsiaTheme="minorEastAsia"/>
                <w:kern w:val="0"/>
                <w:szCs w:val="21"/>
              </w:rPr>
              <w:t>m</w:t>
            </w:r>
            <w:r w:rsidR="00611CBA" w:rsidRPr="00FC1444">
              <w:rPr>
                <w:rFonts w:eastAsiaTheme="minorEastAsia"/>
                <w:kern w:val="0"/>
                <w:szCs w:val="21"/>
                <w:vertAlign w:val="superscript"/>
              </w:rPr>
              <w:t>2</w:t>
            </w:r>
          </w:p>
        </w:tc>
        <w:tc>
          <w:tcPr>
            <w:tcW w:w="1619"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bCs/>
                <w:kern w:val="0"/>
                <w:szCs w:val="21"/>
              </w:rPr>
              <w:t>水利设施用地</w:t>
            </w:r>
          </w:p>
        </w:tc>
      </w:tr>
      <w:tr w:rsidR="002A5A5E" w:rsidRPr="00FC1444" w:rsidTr="000B5B02">
        <w:trPr>
          <w:trHeight w:val="452"/>
          <w:jc w:val="center"/>
        </w:trPr>
        <w:tc>
          <w:tcPr>
            <w:tcW w:w="1348" w:type="dxa"/>
            <w:vMerge w:val="restart"/>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bCs/>
                <w:kern w:val="0"/>
                <w:szCs w:val="21"/>
              </w:rPr>
              <w:t>灌溉渠道工程、</w:t>
            </w:r>
            <w:r w:rsidRPr="00FC1444">
              <w:rPr>
                <w:rFonts w:eastAsiaTheme="minorEastAsia"/>
                <w:kern w:val="0"/>
                <w:szCs w:val="21"/>
              </w:rPr>
              <w:t>排水工程、建筑物工程</w:t>
            </w:r>
          </w:p>
        </w:tc>
        <w:tc>
          <w:tcPr>
            <w:tcW w:w="1647"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bCs/>
                <w:kern w:val="0"/>
                <w:szCs w:val="21"/>
              </w:rPr>
              <w:t>水利设施用地</w:t>
            </w:r>
          </w:p>
        </w:tc>
        <w:tc>
          <w:tcPr>
            <w:tcW w:w="1461" w:type="dxa"/>
            <w:vAlign w:val="center"/>
          </w:tcPr>
          <w:p w:rsidR="002A5A5E" w:rsidRPr="00FC1444" w:rsidRDefault="001B41AF" w:rsidP="001B41AF">
            <w:pPr>
              <w:widowControl/>
              <w:jc w:val="center"/>
              <w:textAlignment w:val="center"/>
              <w:rPr>
                <w:rFonts w:eastAsiaTheme="minorEastAsia"/>
                <w:kern w:val="0"/>
                <w:szCs w:val="21"/>
              </w:rPr>
            </w:pPr>
            <w:r w:rsidRPr="00FC1444">
              <w:rPr>
                <w:rFonts w:eastAsiaTheme="minorEastAsia" w:hint="eastAsia"/>
                <w:kern w:val="0"/>
                <w:szCs w:val="21"/>
              </w:rPr>
              <w:t>210232</w:t>
            </w:r>
          </w:p>
        </w:tc>
        <w:tc>
          <w:tcPr>
            <w:tcW w:w="2046" w:type="dxa"/>
            <w:vMerge w:val="restart"/>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w:t>
            </w:r>
          </w:p>
        </w:tc>
        <w:tc>
          <w:tcPr>
            <w:tcW w:w="1619" w:type="dxa"/>
            <w:vMerge w:val="restart"/>
            <w:vAlign w:val="center"/>
          </w:tcPr>
          <w:p w:rsidR="002A5A5E" w:rsidRPr="00FC1444" w:rsidRDefault="00D26B05" w:rsidP="00D26B05">
            <w:pPr>
              <w:widowControl/>
              <w:jc w:val="center"/>
              <w:textAlignment w:val="center"/>
              <w:rPr>
                <w:rFonts w:eastAsiaTheme="minorEastAsia"/>
                <w:kern w:val="0"/>
                <w:szCs w:val="21"/>
              </w:rPr>
            </w:pPr>
            <w:r w:rsidRPr="00FC1444">
              <w:rPr>
                <w:rFonts w:eastAsiaTheme="minorEastAsia"/>
                <w:bCs/>
                <w:kern w:val="0"/>
                <w:szCs w:val="21"/>
              </w:rPr>
              <w:t>水利设施用地</w:t>
            </w:r>
          </w:p>
        </w:tc>
      </w:tr>
      <w:tr w:rsidR="002A5A5E" w:rsidRPr="00FC1444" w:rsidTr="000B5B02">
        <w:trPr>
          <w:trHeight w:val="452"/>
          <w:jc w:val="center"/>
        </w:trPr>
        <w:tc>
          <w:tcPr>
            <w:tcW w:w="1348" w:type="dxa"/>
            <w:vMerge/>
            <w:vAlign w:val="center"/>
          </w:tcPr>
          <w:p w:rsidR="002A5A5E" w:rsidRPr="00FC1444" w:rsidRDefault="002A5A5E">
            <w:pPr>
              <w:widowControl/>
              <w:jc w:val="center"/>
              <w:textAlignment w:val="center"/>
              <w:rPr>
                <w:rFonts w:eastAsiaTheme="minorEastAsia"/>
                <w:kern w:val="0"/>
                <w:szCs w:val="21"/>
              </w:rPr>
            </w:pPr>
          </w:p>
        </w:tc>
        <w:tc>
          <w:tcPr>
            <w:tcW w:w="1647" w:type="dxa"/>
            <w:vAlign w:val="center"/>
          </w:tcPr>
          <w:p w:rsidR="002A5A5E" w:rsidRPr="00FC1444" w:rsidRDefault="00611CBA">
            <w:pPr>
              <w:widowControl/>
              <w:jc w:val="center"/>
              <w:textAlignment w:val="center"/>
              <w:rPr>
                <w:rFonts w:eastAsiaTheme="minorEastAsia"/>
                <w:bCs/>
                <w:kern w:val="0"/>
                <w:szCs w:val="21"/>
              </w:rPr>
            </w:pPr>
            <w:r w:rsidRPr="00FC1444">
              <w:rPr>
                <w:rFonts w:eastAsiaTheme="minorEastAsia"/>
                <w:bCs/>
                <w:kern w:val="0"/>
                <w:szCs w:val="21"/>
              </w:rPr>
              <w:t>坑塘水面</w:t>
            </w:r>
          </w:p>
        </w:tc>
        <w:tc>
          <w:tcPr>
            <w:tcW w:w="1461" w:type="dxa"/>
            <w:vAlign w:val="center"/>
          </w:tcPr>
          <w:p w:rsidR="002A5A5E" w:rsidRPr="00FC1444" w:rsidRDefault="00DA426A">
            <w:pPr>
              <w:widowControl/>
              <w:jc w:val="center"/>
              <w:textAlignment w:val="center"/>
              <w:rPr>
                <w:rFonts w:eastAsiaTheme="minorEastAsia"/>
                <w:kern w:val="0"/>
                <w:szCs w:val="21"/>
              </w:rPr>
            </w:pPr>
            <w:r w:rsidRPr="00FC1444">
              <w:rPr>
                <w:rFonts w:eastAsiaTheme="minorEastAsia" w:hint="eastAsia"/>
                <w:kern w:val="0"/>
                <w:szCs w:val="21"/>
              </w:rPr>
              <w:t>18250</w:t>
            </w:r>
            <w:r w:rsidR="00611CBA" w:rsidRPr="00FC1444">
              <w:rPr>
                <w:rFonts w:eastAsiaTheme="minorEastAsia"/>
                <w:kern w:val="0"/>
                <w:szCs w:val="21"/>
              </w:rPr>
              <w:t>（新增）</w:t>
            </w:r>
          </w:p>
        </w:tc>
        <w:tc>
          <w:tcPr>
            <w:tcW w:w="2046" w:type="dxa"/>
            <w:vMerge/>
            <w:vAlign w:val="center"/>
          </w:tcPr>
          <w:p w:rsidR="002A5A5E" w:rsidRPr="00FC1444" w:rsidRDefault="002A5A5E">
            <w:pPr>
              <w:widowControl/>
              <w:jc w:val="center"/>
              <w:textAlignment w:val="center"/>
              <w:rPr>
                <w:rFonts w:eastAsiaTheme="minorEastAsia"/>
                <w:kern w:val="0"/>
                <w:szCs w:val="21"/>
              </w:rPr>
            </w:pPr>
          </w:p>
        </w:tc>
        <w:tc>
          <w:tcPr>
            <w:tcW w:w="1619" w:type="dxa"/>
            <w:vMerge/>
            <w:vAlign w:val="center"/>
          </w:tcPr>
          <w:p w:rsidR="002A5A5E" w:rsidRPr="00FC1444" w:rsidRDefault="002A5A5E">
            <w:pPr>
              <w:widowControl/>
              <w:jc w:val="center"/>
              <w:textAlignment w:val="center"/>
              <w:rPr>
                <w:rFonts w:eastAsiaTheme="minorEastAsia"/>
                <w:bCs/>
                <w:kern w:val="0"/>
                <w:szCs w:val="21"/>
              </w:rPr>
            </w:pPr>
          </w:p>
        </w:tc>
      </w:tr>
      <w:tr w:rsidR="009555CD" w:rsidRPr="00FC1444" w:rsidTr="000B5B02">
        <w:trPr>
          <w:trHeight w:val="495"/>
          <w:jc w:val="center"/>
        </w:trPr>
        <w:tc>
          <w:tcPr>
            <w:tcW w:w="1348" w:type="dxa"/>
            <w:vMerge/>
            <w:vAlign w:val="center"/>
          </w:tcPr>
          <w:p w:rsidR="009555CD" w:rsidRPr="00FC1444" w:rsidRDefault="009555CD">
            <w:pPr>
              <w:widowControl/>
              <w:jc w:val="center"/>
              <w:textAlignment w:val="center"/>
              <w:rPr>
                <w:rFonts w:eastAsiaTheme="minorEastAsia"/>
                <w:kern w:val="0"/>
                <w:szCs w:val="21"/>
              </w:rPr>
            </w:pPr>
          </w:p>
        </w:tc>
        <w:tc>
          <w:tcPr>
            <w:tcW w:w="1647" w:type="dxa"/>
            <w:vAlign w:val="center"/>
          </w:tcPr>
          <w:p w:rsidR="009555CD" w:rsidRPr="00FC1444" w:rsidRDefault="009555CD">
            <w:pPr>
              <w:widowControl/>
              <w:jc w:val="center"/>
              <w:textAlignment w:val="center"/>
              <w:rPr>
                <w:rFonts w:eastAsiaTheme="minorEastAsia"/>
                <w:bCs/>
                <w:kern w:val="0"/>
                <w:szCs w:val="21"/>
              </w:rPr>
            </w:pPr>
            <w:r w:rsidRPr="00FC1444">
              <w:rPr>
                <w:rFonts w:eastAsiaTheme="minorEastAsia"/>
                <w:bCs/>
                <w:kern w:val="0"/>
                <w:szCs w:val="21"/>
              </w:rPr>
              <w:t>草地</w:t>
            </w:r>
          </w:p>
        </w:tc>
        <w:tc>
          <w:tcPr>
            <w:tcW w:w="1461" w:type="dxa"/>
            <w:vAlign w:val="center"/>
          </w:tcPr>
          <w:p w:rsidR="009555CD" w:rsidRPr="00FC1444" w:rsidRDefault="00DA426A">
            <w:pPr>
              <w:widowControl/>
              <w:jc w:val="center"/>
              <w:textAlignment w:val="center"/>
              <w:rPr>
                <w:rFonts w:eastAsiaTheme="minorEastAsia"/>
                <w:kern w:val="0"/>
                <w:szCs w:val="21"/>
              </w:rPr>
            </w:pPr>
            <w:r w:rsidRPr="00FC1444">
              <w:rPr>
                <w:rFonts w:eastAsiaTheme="minorEastAsia" w:hint="eastAsia"/>
                <w:kern w:val="0"/>
                <w:szCs w:val="21"/>
              </w:rPr>
              <w:t>3500</w:t>
            </w:r>
            <w:r w:rsidR="009555CD" w:rsidRPr="00FC1444">
              <w:rPr>
                <w:rFonts w:eastAsiaTheme="minorEastAsia"/>
                <w:kern w:val="0"/>
                <w:szCs w:val="21"/>
              </w:rPr>
              <w:t>（新增）</w:t>
            </w:r>
          </w:p>
        </w:tc>
        <w:tc>
          <w:tcPr>
            <w:tcW w:w="2046" w:type="dxa"/>
            <w:vMerge/>
            <w:vAlign w:val="center"/>
          </w:tcPr>
          <w:p w:rsidR="009555CD" w:rsidRPr="00FC1444" w:rsidRDefault="009555CD">
            <w:pPr>
              <w:widowControl/>
              <w:jc w:val="center"/>
              <w:textAlignment w:val="center"/>
              <w:rPr>
                <w:rFonts w:eastAsiaTheme="minorEastAsia"/>
                <w:kern w:val="0"/>
                <w:szCs w:val="21"/>
              </w:rPr>
            </w:pPr>
          </w:p>
        </w:tc>
        <w:tc>
          <w:tcPr>
            <w:tcW w:w="1619" w:type="dxa"/>
            <w:vMerge/>
            <w:vAlign w:val="center"/>
          </w:tcPr>
          <w:p w:rsidR="009555CD" w:rsidRPr="00FC1444" w:rsidRDefault="009555CD">
            <w:pPr>
              <w:widowControl/>
              <w:jc w:val="center"/>
              <w:textAlignment w:val="center"/>
              <w:rPr>
                <w:rFonts w:eastAsiaTheme="minorEastAsia"/>
                <w:bCs/>
                <w:kern w:val="0"/>
                <w:szCs w:val="21"/>
              </w:rPr>
            </w:pPr>
          </w:p>
        </w:tc>
      </w:tr>
      <w:tr w:rsidR="006509EE" w:rsidRPr="00FC1444" w:rsidTr="000B5B02">
        <w:trPr>
          <w:trHeight w:val="584"/>
          <w:jc w:val="center"/>
        </w:trPr>
        <w:tc>
          <w:tcPr>
            <w:tcW w:w="1348" w:type="dxa"/>
            <w:vMerge w:val="restart"/>
            <w:vAlign w:val="center"/>
          </w:tcPr>
          <w:p w:rsidR="006509EE" w:rsidRPr="00FC1444" w:rsidRDefault="006509EE">
            <w:pPr>
              <w:widowControl/>
              <w:jc w:val="center"/>
              <w:textAlignment w:val="center"/>
              <w:rPr>
                <w:rFonts w:eastAsiaTheme="minorEastAsia"/>
                <w:kern w:val="0"/>
                <w:szCs w:val="21"/>
              </w:rPr>
            </w:pPr>
            <w:r w:rsidRPr="00FC1444">
              <w:rPr>
                <w:rFonts w:eastAsiaTheme="minorEastAsia"/>
                <w:kern w:val="0"/>
                <w:szCs w:val="21"/>
              </w:rPr>
              <w:t>田块整治工程</w:t>
            </w:r>
          </w:p>
        </w:tc>
        <w:tc>
          <w:tcPr>
            <w:tcW w:w="1647" w:type="dxa"/>
            <w:vMerge w:val="restart"/>
            <w:vAlign w:val="center"/>
          </w:tcPr>
          <w:p w:rsidR="006509EE" w:rsidRPr="00FC1444" w:rsidRDefault="006509EE">
            <w:pPr>
              <w:widowControl/>
              <w:jc w:val="center"/>
              <w:textAlignment w:val="center"/>
              <w:rPr>
                <w:rFonts w:eastAsiaTheme="minorEastAsia"/>
                <w:kern w:val="0"/>
                <w:szCs w:val="21"/>
              </w:rPr>
            </w:pPr>
            <w:r w:rsidRPr="00FC1444">
              <w:rPr>
                <w:rFonts w:eastAsiaTheme="minorEastAsia"/>
                <w:kern w:val="0"/>
                <w:szCs w:val="21"/>
              </w:rPr>
              <w:t>旱地</w:t>
            </w:r>
          </w:p>
        </w:tc>
        <w:tc>
          <w:tcPr>
            <w:tcW w:w="1461" w:type="dxa"/>
            <w:vAlign w:val="center"/>
          </w:tcPr>
          <w:p w:rsidR="006509EE" w:rsidRPr="00FC1444" w:rsidRDefault="005627BD">
            <w:pPr>
              <w:widowControl/>
              <w:jc w:val="center"/>
              <w:textAlignment w:val="center"/>
              <w:rPr>
                <w:rFonts w:eastAsiaTheme="minorEastAsia"/>
                <w:kern w:val="0"/>
                <w:szCs w:val="21"/>
              </w:rPr>
            </w:pPr>
            <w:r w:rsidRPr="00FC1444">
              <w:rPr>
                <w:rFonts w:eastAsiaTheme="minorEastAsia" w:hint="eastAsia"/>
                <w:kern w:val="0"/>
                <w:szCs w:val="21"/>
              </w:rPr>
              <w:t>865114</w:t>
            </w:r>
          </w:p>
        </w:tc>
        <w:tc>
          <w:tcPr>
            <w:tcW w:w="2046" w:type="dxa"/>
            <w:vAlign w:val="center"/>
          </w:tcPr>
          <w:p w:rsidR="006509EE" w:rsidRPr="00FC1444" w:rsidRDefault="006509EE" w:rsidP="005627BD">
            <w:pPr>
              <w:widowControl/>
              <w:jc w:val="center"/>
              <w:textAlignment w:val="center"/>
              <w:rPr>
                <w:rFonts w:eastAsiaTheme="minorEastAsia"/>
                <w:kern w:val="0"/>
                <w:szCs w:val="21"/>
              </w:rPr>
            </w:pPr>
            <w:r w:rsidRPr="00FC1444">
              <w:rPr>
                <w:rFonts w:eastAsiaTheme="minorEastAsia"/>
                <w:bCs/>
                <w:kern w:val="0"/>
                <w:szCs w:val="21"/>
              </w:rPr>
              <w:t>旱地田块平整</w:t>
            </w:r>
            <w:r w:rsidR="005627BD" w:rsidRPr="00FC1444">
              <w:rPr>
                <w:rFonts w:eastAsiaTheme="minorEastAsia" w:hint="eastAsia"/>
                <w:bCs/>
                <w:kern w:val="0"/>
                <w:szCs w:val="21"/>
              </w:rPr>
              <w:t>1298.97</w:t>
            </w:r>
            <w:r w:rsidRPr="00FC1444">
              <w:rPr>
                <w:rFonts w:eastAsiaTheme="minorEastAsia"/>
                <w:bCs/>
                <w:kern w:val="0"/>
                <w:szCs w:val="21"/>
              </w:rPr>
              <w:t>亩</w:t>
            </w:r>
          </w:p>
        </w:tc>
        <w:tc>
          <w:tcPr>
            <w:tcW w:w="1619" w:type="dxa"/>
            <w:vMerge w:val="restart"/>
            <w:vAlign w:val="center"/>
          </w:tcPr>
          <w:p w:rsidR="006509EE" w:rsidRPr="00FC1444" w:rsidRDefault="006509EE">
            <w:pPr>
              <w:widowControl/>
              <w:jc w:val="center"/>
              <w:textAlignment w:val="center"/>
              <w:rPr>
                <w:rFonts w:eastAsiaTheme="minorEastAsia"/>
                <w:kern w:val="0"/>
                <w:szCs w:val="21"/>
              </w:rPr>
            </w:pPr>
            <w:r w:rsidRPr="00FC1444">
              <w:rPr>
                <w:rFonts w:eastAsiaTheme="minorEastAsia"/>
                <w:kern w:val="0"/>
                <w:szCs w:val="21"/>
              </w:rPr>
              <w:t>旱地</w:t>
            </w:r>
          </w:p>
        </w:tc>
      </w:tr>
      <w:tr w:rsidR="006509EE" w:rsidRPr="00FC1444" w:rsidTr="000B5B02">
        <w:trPr>
          <w:trHeight w:val="584"/>
          <w:jc w:val="center"/>
        </w:trPr>
        <w:tc>
          <w:tcPr>
            <w:tcW w:w="1348" w:type="dxa"/>
            <w:vMerge/>
            <w:vAlign w:val="center"/>
          </w:tcPr>
          <w:p w:rsidR="006509EE" w:rsidRPr="00FC1444" w:rsidRDefault="006509EE">
            <w:pPr>
              <w:widowControl/>
              <w:jc w:val="center"/>
              <w:textAlignment w:val="center"/>
              <w:rPr>
                <w:rFonts w:eastAsiaTheme="minorEastAsia"/>
                <w:kern w:val="0"/>
                <w:szCs w:val="21"/>
              </w:rPr>
            </w:pPr>
          </w:p>
        </w:tc>
        <w:tc>
          <w:tcPr>
            <w:tcW w:w="1647" w:type="dxa"/>
            <w:vMerge/>
            <w:vAlign w:val="center"/>
          </w:tcPr>
          <w:p w:rsidR="006509EE" w:rsidRPr="00FC1444" w:rsidRDefault="006509EE">
            <w:pPr>
              <w:widowControl/>
              <w:jc w:val="center"/>
              <w:textAlignment w:val="center"/>
              <w:rPr>
                <w:rFonts w:eastAsiaTheme="minorEastAsia"/>
                <w:kern w:val="0"/>
                <w:szCs w:val="21"/>
              </w:rPr>
            </w:pPr>
          </w:p>
        </w:tc>
        <w:tc>
          <w:tcPr>
            <w:tcW w:w="1461" w:type="dxa"/>
            <w:vAlign w:val="center"/>
          </w:tcPr>
          <w:p w:rsidR="006509EE" w:rsidRPr="00FC1444" w:rsidRDefault="005627BD">
            <w:pPr>
              <w:widowControl/>
              <w:jc w:val="center"/>
              <w:textAlignment w:val="center"/>
              <w:rPr>
                <w:rFonts w:eastAsiaTheme="minorEastAsia"/>
                <w:kern w:val="0"/>
                <w:szCs w:val="21"/>
              </w:rPr>
            </w:pPr>
            <w:r w:rsidRPr="00FC1444">
              <w:rPr>
                <w:rFonts w:eastAsiaTheme="minorEastAsia" w:hint="eastAsia"/>
                <w:kern w:val="0"/>
                <w:szCs w:val="21"/>
              </w:rPr>
              <w:t>1353678</w:t>
            </w:r>
          </w:p>
        </w:tc>
        <w:tc>
          <w:tcPr>
            <w:tcW w:w="2046" w:type="dxa"/>
            <w:vAlign w:val="center"/>
          </w:tcPr>
          <w:p w:rsidR="006509EE" w:rsidRPr="00FC1444" w:rsidRDefault="00591495" w:rsidP="006509EE">
            <w:pPr>
              <w:widowControl/>
              <w:jc w:val="center"/>
              <w:textAlignment w:val="center"/>
              <w:rPr>
                <w:rFonts w:eastAsiaTheme="minorEastAsia"/>
                <w:kern w:val="0"/>
                <w:szCs w:val="21"/>
              </w:rPr>
            </w:pPr>
            <w:r w:rsidRPr="00FC1444">
              <w:rPr>
                <w:rFonts w:eastAsiaTheme="minorEastAsia"/>
                <w:bCs/>
                <w:kern w:val="0"/>
                <w:szCs w:val="21"/>
              </w:rPr>
              <w:t>低洼地土地平整面积</w:t>
            </w:r>
            <w:r w:rsidRPr="00FC1444">
              <w:rPr>
                <w:rFonts w:eastAsiaTheme="minorEastAsia"/>
                <w:bCs/>
                <w:kern w:val="0"/>
                <w:szCs w:val="21"/>
              </w:rPr>
              <w:t>2032.55</w:t>
            </w:r>
            <w:r w:rsidRPr="00FC1444">
              <w:rPr>
                <w:rFonts w:eastAsiaTheme="minorEastAsia"/>
                <w:bCs/>
                <w:kern w:val="0"/>
                <w:szCs w:val="21"/>
              </w:rPr>
              <w:t>亩</w:t>
            </w:r>
          </w:p>
        </w:tc>
        <w:tc>
          <w:tcPr>
            <w:tcW w:w="1619" w:type="dxa"/>
            <w:vMerge/>
            <w:vAlign w:val="center"/>
          </w:tcPr>
          <w:p w:rsidR="006509EE" w:rsidRPr="00FC1444" w:rsidRDefault="006509EE">
            <w:pPr>
              <w:widowControl/>
              <w:jc w:val="center"/>
              <w:textAlignment w:val="center"/>
              <w:rPr>
                <w:rFonts w:eastAsiaTheme="minorEastAsia"/>
                <w:kern w:val="0"/>
                <w:szCs w:val="21"/>
              </w:rPr>
            </w:pPr>
          </w:p>
        </w:tc>
      </w:tr>
      <w:tr w:rsidR="006509EE" w:rsidRPr="00FC1444" w:rsidTr="000B5B02">
        <w:trPr>
          <w:trHeight w:val="584"/>
          <w:jc w:val="center"/>
        </w:trPr>
        <w:tc>
          <w:tcPr>
            <w:tcW w:w="1348" w:type="dxa"/>
            <w:vMerge/>
            <w:vAlign w:val="center"/>
          </w:tcPr>
          <w:p w:rsidR="006509EE" w:rsidRPr="00FC1444" w:rsidRDefault="006509EE">
            <w:pPr>
              <w:widowControl/>
              <w:jc w:val="center"/>
              <w:textAlignment w:val="center"/>
              <w:rPr>
                <w:rFonts w:eastAsiaTheme="minorEastAsia"/>
                <w:kern w:val="0"/>
                <w:szCs w:val="21"/>
              </w:rPr>
            </w:pPr>
          </w:p>
        </w:tc>
        <w:tc>
          <w:tcPr>
            <w:tcW w:w="1647" w:type="dxa"/>
            <w:vMerge/>
            <w:vAlign w:val="center"/>
          </w:tcPr>
          <w:p w:rsidR="006509EE" w:rsidRPr="00FC1444" w:rsidRDefault="006509EE">
            <w:pPr>
              <w:widowControl/>
              <w:jc w:val="center"/>
              <w:textAlignment w:val="center"/>
              <w:rPr>
                <w:rFonts w:eastAsiaTheme="minorEastAsia"/>
                <w:kern w:val="0"/>
                <w:szCs w:val="21"/>
              </w:rPr>
            </w:pPr>
          </w:p>
        </w:tc>
        <w:tc>
          <w:tcPr>
            <w:tcW w:w="1461" w:type="dxa"/>
            <w:vAlign w:val="center"/>
          </w:tcPr>
          <w:p w:rsidR="006509EE" w:rsidRPr="00FC1444" w:rsidRDefault="005627BD">
            <w:pPr>
              <w:widowControl/>
              <w:jc w:val="center"/>
              <w:textAlignment w:val="center"/>
              <w:rPr>
                <w:rFonts w:eastAsiaTheme="minorEastAsia"/>
                <w:kern w:val="0"/>
                <w:szCs w:val="21"/>
              </w:rPr>
            </w:pPr>
            <w:r w:rsidRPr="00FC1444">
              <w:rPr>
                <w:rFonts w:eastAsiaTheme="minorEastAsia" w:hint="eastAsia"/>
                <w:kern w:val="0"/>
                <w:szCs w:val="21"/>
              </w:rPr>
              <w:t>3470</w:t>
            </w:r>
          </w:p>
        </w:tc>
        <w:tc>
          <w:tcPr>
            <w:tcW w:w="2046" w:type="dxa"/>
            <w:vAlign w:val="center"/>
          </w:tcPr>
          <w:p w:rsidR="006509EE" w:rsidRPr="00FC1444" w:rsidRDefault="00591495" w:rsidP="006509EE">
            <w:pPr>
              <w:widowControl/>
              <w:jc w:val="center"/>
              <w:textAlignment w:val="center"/>
              <w:rPr>
                <w:rFonts w:eastAsiaTheme="minorEastAsia"/>
                <w:bCs/>
                <w:kern w:val="0"/>
                <w:szCs w:val="21"/>
              </w:rPr>
            </w:pPr>
            <w:r w:rsidRPr="00FC1444">
              <w:rPr>
                <w:rFonts w:eastAsiaTheme="minorEastAsia"/>
                <w:bCs/>
                <w:kern w:val="0"/>
                <w:szCs w:val="21"/>
              </w:rPr>
              <w:t>坑塘回填</w:t>
            </w:r>
            <w:r w:rsidRPr="00FC1444">
              <w:rPr>
                <w:rFonts w:eastAsiaTheme="minorEastAsia"/>
                <w:bCs/>
                <w:kern w:val="0"/>
                <w:szCs w:val="21"/>
              </w:rPr>
              <w:t>5.21</w:t>
            </w:r>
            <w:r w:rsidRPr="00FC1444">
              <w:rPr>
                <w:rFonts w:eastAsiaTheme="minorEastAsia"/>
                <w:bCs/>
                <w:kern w:val="0"/>
                <w:szCs w:val="21"/>
              </w:rPr>
              <w:t>亩</w:t>
            </w:r>
          </w:p>
        </w:tc>
        <w:tc>
          <w:tcPr>
            <w:tcW w:w="1619" w:type="dxa"/>
            <w:vMerge/>
            <w:vAlign w:val="center"/>
          </w:tcPr>
          <w:p w:rsidR="006509EE" w:rsidRPr="00FC1444" w:rsidRDefault="006509EE">
            <w:pPr>
              <w:widowControl/>
              <w:jc w:val="center"/>
              <w:textAlignment w:val="center"/>
              <w:rPr>
                <w:rFonts w:eastAsiaTheme="minorEastAsia"/>
                <w:kern w:val="0"/>
                <w:szCs w:val="21"/>
              </w:rPr>
            </w:pPr>
          </w:p>
        </w:tc>
      </w:tr>
      <w:tr w:rsidR="002A5A5E" w:rsidRPr="00FC1444" w:rsidTr="000B5B02">
        <w:trPr>
          <w:trHeight w:val="583"/>
          <w:jc w:val="center"/>
        </w:trPr>
        <w:tc>
          <w:tcPr>
            <w:tcW w:w="1348" w:type="dxa"/>
            <w:vMerge/>
            <w:vAlign w:val="center"/>
          </w:tcPr>
          <w:p w:rsidR="002A5A5E" w:rsidRPr="00FC1444" w:rsidRDefault="002A5A5E">
            <w:pPr>
              <w:widowControl/>
              <w:jc w:val="center"/>
              <w:textAlignment w:val="center"/>
              <w:rPr>
                <w:rFonts w:eastAsiaTheme="minorEastAsia"/>
                <w:kern w:val="0"/>
                <w:szCs w:val="21"/>
              </w:rPr>
            </w:pPr>
          </w:p>
        </w:tc>
        <w:tc>
          <w:tcPr>
            <w:tcW w:w="1647"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水田</w:t>
            </w:r>
          </w:p>
        </w:tc>
        <w:tc>
          <w:tcPr>
            <w:tcW w:w="1461" w:type="dxa"/>
            <w:vAlign w:val="center"/>
          </w:tcPr>
          <w:p w:rsidR="002A5A5E" w:rsidRPr="00FC1444" w:rsidRDefault="005627BD">
            <w:pPr>
              <w:widowControl/>
              <w:jc w:val="center"/>
              <w:textAlignment w:val="center"/>
              <w:rPr>
                <w:rFonts w:eastAsiaTheme="minorEastAsia"/>
                <w:kern w:val="0"/>
                <w:szCs w:val="21"/>
              </w:rPr>
            </w:pPr>
            <w:r w:rsidRPr="00FC1444">
              <w:rPr>
                <w:rFonts w:eastAsiaTheme="minorEastAsia" w:hint="eastAsia"/>
                <w:kern w:val="0"/>
                <w:szCs w:val="21"/>
              </w:rPr>
              <w:t>11463738</w:t>
            </w:r>
          </w:p>
        </w:tc>
        <w:tc>
          <w:tcPr>
            <w:tcW w:w="2046" w:type="dxa"/>
            <w:vAlign w:val="center"/>
          </w:tcPr>
          <w:p w:rsidR="002A5A5E" w:rsidRPr="00FC1444" w:rsidRDefault="00611CBA" w:rsidP="005627BD">
            <w:pPr>
              <w:widowControl/>
              <w:jc w:val="center"/>
              <w:textAlignment w:val="center"/>
              <w:rPr>
                <w:rFonts w:eastAsiaTheme="minorEastAsia"/>
                <w:kern w:val="0"/>
                <w:szCs w:val="21"/>
              </w:rPr>
            </w:pPr>
            <w:r w:rsidRPr="00FC1444">
              <w:rPr>
                <w:rFonts w:eastAsiaTheme="minorEastAsia"/>
                <w:bCs/>
                <w:kern w:val="0"/>
                <w:szCs w:val="21"/>
              </w:rPr>
              <w:t>水田方格田改造</w:t>
            </w:r>
            <w:r w:rsidR="005627BD" w:rsidRPr="00FC1444">
              <w:rPr>
                <w:rFonts w:eastAsiaTheme="minorEastAsia" w:hint="eastAsia"/>
                <w:bCs/>
                <w:kern w:val="0"/>
                <w:szCs w:val="21"/>
              </w:rPr>
              <w:t>17212.82</w:t>
            </w:r>
            <w:r w:rsidRPr="00FC1444">
              <w:rPr>
                <w:rFonts w:eastAsiaTheme="minorEastAsia"/>
                <w:bCs/>
                <w:kern w:val="0"/>
                <w:szCs w:val="21"/>
              </w:rPr>
              <w:t>亩</w:t>
            </w:r>
          </w:p>
        </w:tc>
        <w:tc>
          <w:tcPr>
            <w:tcW w:w="1619"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水田</w:t>
            </w:r>
          </w:p>
        </w:tc>
      </w:tr>
      <w:tr w:rsidR="002A5A5E" w:rsidRPr="00FC1444" w:rsidTr="000B5B02">
        <w:trPr>
          <w:trHeight w:val="91"/>
          <w:jc w:val="center"/>
        </w:trPr>
        <w:tc>
          <w:tcPr>
            <w:tcW w:w="1348"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bCs/>
                <w:kern w:val="0"/>
                <w:szCs w:val="21"/>
              </w:rPr>
              <w:t>农田输配电</w:t>
            </w:r>
            <w:r w:rsidRPr="00FC1444">
              <w:rPr>
                <w:rFonts w:eastAsiaTheme="minorEastAsia"/>
                <w:kern w:val="0"/>
                <w:szCs w:val="21"/>
              </w:rPr>
              <w:t>工程</w:t>
            </w:r>
          </w:p>
        </w:tc>
        <w:tc>
          <w:tcPr>
            <w:tcW w:w="1647"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bCs/>
                <w:kern w:val="0"/>
                <w:szCs w:val="21"/>
              </w:rPr>
              <w:t>草地</w:t>
            </w:r>
          </w:p>
        </w:tc>
        <w:tc>
          <w:tcPr>
            <w:tcW w:w="1461" w:type="dxa"/>
            <w:vAlign w:val="center"/>
          </w:tcPr>
          <w:p w:rsidR="002A5A5E" w:rsidRPr="00FC1444" w:rsidRDefault="00063356">
            <w:pPr>
              <w:widowControl/>
              <w:jc w:val="center"/>
              <w:textAlignment w:val="center"/>
              <w:rPr>
                <w:rFonts w:eastAsiaTheme="minorEastAsia"/>
                <w:kern w:val="0"/>
                <w:szCs w:val="21"/>
              </w:rPr>
            </w:pPr>
            <w:r w:rsidRPr="00FC1444">
              <w:rPr>
                <w:rFonts w:eastAsiaTheme="minorEastAsia" w:hint="eastAsia"/>
                <w:kern w:val="0"/>
                <w:szCs w:val="21"/>
              </w:rPr>
              <w:t>97</w:t>
            </w:r>
            <w:r w:rsidR="00611CBA" w:rsidRPr="00FC1444">
              <w:rPr>
                <w:rFonts w:eastAsiaTheme="minorEastAsia"/>
                <w:kern w:val="0"/>
                <w:szCs w:val="21"/>
              </w:rPr>
              <w:t>（新增）</w:t>
            </w:r>
          </w:p>
        </w:tc>
        <w:tc>
          <w:tcPr>
            <w:tcW w:w="2046" w:type="dxa"/>
            <w:vAlign w:val="center"/>
          </w:tcPr>
          <w:p w:rsidR="002A5A5E" w:rsidRPr="00FC1444" w:rsidRDefault="00611CBA" w:rsidP="006509EE">
            <w:pPr>
              <w:widowControl/>
              <w:jc w:val="center"/>
              <w:textAlignment w:val="center"/>
              <w:rPr>
                <w:rFonts w:eastAsiaTheme="minorEastAsia"/>
                <w:kern w:val="0"/>
                <w:szCs w:val="21"/>
              </w:rPr>
            </w:pPr>
            <w:r w:rsidRPr="00FC1444">
              <w:rPr>
                <w:rFonts w:eastAsiaTheme="minorEastAsia"/>
                <w:kern w:val="0"/>
                <w:szCs w:val="21"/>
              </w:rPr>
              <w:t>共设置</w:t>
            </w:r>
            <w:r w:rsidR="00957D7F" w:rsidRPr="00FC1444">
              <w:rPr>
                <w:rFonts w:eastAsiaTheme="minorEastAsia"/>
                <w:kern w:val="0"/>
                <w:szCs w:val="21"/>
              </w:rPr>
              <w:t>194</w:t>
            </w:r>
            <w:r w:rsidR="00957D7F" w:rsidRPr="00FC1444">
              <w:rPr>
                <w:rFonts w:eastAsiaTheme="minorEastAsia"/>
                <w:kern w:val="0"/>
                <w:szCs w:val="21"/>
              </w:rPr>
              <w:t>根</w:t>
            </w:r>
            <w:r w:rsidRPr="00FC1444">
              <w:rPr>
                <w:rFonts w:eastAsiaTheme="minorEastAsia"/>
                <w:kern w:val="0"/>
                <w:szCs w:val="21"/>
              </w:rPr>
              <w:t>水泥电杆，每根占地约</w:t>
            </w:r>
            <w:r w:rsidRPr="00FC1444">
              <w:rPr>
                <w:rFonts w:eastAsiaTheme="minorEastAsia"/>
                <w:kern w:val="0"/>
                <w:szCs w:val="21"/>
              </w:rPr>
              <w:t>0.5m</w:t>
            </w:r>
            <w:r w:rsidRPr="00FC1444">
              <w:rPr>
                <w:rFonts w:eastAsiaTheme="minorEastAsia"/>
                <w:kern w:val="0"/>
                <w:szCs w:val="21"/>
                <w:vertAlign w:val="superscript"/>
              </w:rPr>
              <w:t>2</w:t>
            </w:r>
          </w:p>
        </w:tc>
        <w:tc>
          <w:tcPr>
            <w:tcW w:w="1619" w:type="dxa"/>
            <w:vAlign w:val="center"/>
          </w:tcPr>
          <w:p w:rsidR="002A5A5E" w:rsidRPr="00FC1444" w:rsidRDefault="00611CBA">
            <w:pPr>
              <w:jc w:val="center"/>
              <w:rPr>
                <w:rFonts w:eastAsiaTheme="minorEastAsia"/>
                <w:szCs w:val="21"/>
              </w:rPr>
            </w:pPr>
            <w:r w:rsidRPr="00FC1444">
              <w:rPr>
                <w:rFonts w:eastAsiaTheme="minorEastAsia"/>
                <w:kern w:val="0"/>
                <w:szCs w:val="21"/>
              </w:rPr>
              <w:t>公用设施用地</w:t>
            </w:r>
          </w:p>
        </w:tc>
      </w:tr>
      <w:tr w:rsidR="002A5A5E" w:rsidRPr="00FC1444" w:rsidTr="000B5B02">
        <w:trPr>
          <w:trHeight w:val="343"/>
          <w:jc w:val="center"/>
        </w:trPr>
        <w:tc>
          <w:tcPr>
            <w:tcW w:w="2996" w:type="dxa"/>
            <w:gridSpan w:val="2"/>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小计</w:t>
            </w:r>
          </w:p>
        </w:tc>
        <w:tc>
          <w:tcPr>
            <w:tcW w:w="1461" w:type="dxa"/>
            <w:vAlign w:val="center"/>
          </w:tcPr>
          <w:p w:rsidR="002A5A5E" w:rsidRPr="00FC1444" w:rsidRDefault="00C458B4">
            <w:pPr>
              <w:widowControl/>
              <w:jc w:val="center"/>
              <w:textAlignment w:val="center"/>
              <w:rPr>
                <w:rFonts w:eastAsiaTheme="minorEastAsia"/>
                <w:kern w:val="0"/>
                <w:szCs w:val="21"/>
              </w:rPr>
            </w:pPr>
            <w:r w:rsidRPr="00FC1444">
              <w:rPr>
                <w:rFonts w:eastAsiaTheme="minorEastAsia" w:hint="eastAsia"/>
                <w:kern w:val="0"/>
                <w:szCs w:val="21"/>
              </w:rPr>
              <w:t>14431360</w:t>
            </w:r>
          </w:p>
        </w:tc>
        <w:tc>
          <w:tcPr>
            <w:tcW w:w="2046"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w:t>
            </w:r>
          </w:p>
        </w:tc>
        <w:tc>
          <w:tcPr>
            <w:tcW w:w="1619"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w:t>
            </w:r>
          </w:p>
        </w:tc>
      </w:tr>
    </w:tbl>
    <w:p w:rsidR="002A5A5E" w:rsidRPr="00FC1444" w:rsidRDefault="00611CBA">
      <w:pPr>
        <w:spacing w:line="360" w:lineRule="auto"/>
        <w:ind w:firstLineChars="200" w:firstLine="480"/>
        <w:rPr>
          <w:rFonts w:eastAsiaTheme="minorEastAsia"/>
          <w:kern w:val="0"/>
          <w:sz w:val="24"/>
          <w:szCs w:val="20"/>
        </w:rPr>
      </w:pPr>
      <w:r w:rsidRPr="00FC1444">
        <w:rPr>
          <w:rFonts w:eastAsiaTheme="minorEastAsia"/>
          <w:kern w:val="0"/>
          <w:sz w:val="24"/>
          <w:szCs w:val="20"/>
        </w:rPr>
        <w:t>（</w:t>
      </w:r>
      <w:r w:rsidRPr="00FC1444">
        <w:rPr>
          <w:rFonts w:eastAsiaTheme="minorEastAsia"/>
          <w:kern w:val="0"/>
          <w:sz w:val="24"/>
          <w:szCs w:val="20"/>
        </w:rPr>
        <w:t>2</w:t>
      </w:r>
      <w:r w:rsidRPr="00FC1444">
        <w:rPr>
          <w:rFonts w:eastAsiaTheme="minorEastAsia"/>
          <w:kern w:val="0"/>
          <w:sz w:val="24"/>
          <w:szCs w:val="20"/>
        </w:rPr>
        <w:t>）临时占地</w:t>
      </w:r>
    </w:p>
    <w:p w:rsidR="002A5A5E" w:rsidRPr="00FC1444" w:rsidRDefault="00611CBA">
      <w:pPr>
        <w:spacing w:line="360" w:lineRule="auto"/>
        <w:ind w:firstLineChars="200" w:firstLine="480"/>
        <w:rPr>
          <w:rFonts w:eastAsiaTheme="minorEastAsia"/>
          <w:kern w:val="0"/>
          <w:sz w:val="24"/>
          <w:szCs w:val="20"/>
        </w:rPr>
      </w:pPr>
      <w:r w:rsidRPr="00FC1444">
        <w:rPr>
          <w:rFonts w:eastAsiaTheme="minorEastAsia"/>
          <w:snapToGrid w:val="0"/>
          <w:kern w:val="0"/>
          <w:sz w:val="24"/>
        </w:rPr>
        <w:t>本项目田间道路工程在现有道路基础上修建，</w:t>
      </w:r>
      <w:r w:rsidR="00D61453" w:rsidRPr="00FC1444">
        <w:rPr>
          <w:rFonts w:eastAsiaTheme="minorEastAsia"/>
          <w:snapToGrid w:val="0"/>
          <w:kern w:val="0"/>
          <w:sz w:val="24"/>
        </w:rPr>
        <w:t>现有灌溉渠道衬砌，现有排水沟清淤，不新增临时占地；田块整治工程</w:t>
      </w:r>
      <w:r w:rsidRPr="00FC1444">
        <w:rPr>
          <w:rFonts w:eastAsiaTheme="minorEastAsia"/>
          <w:bCs/>
          <w:snapToGrid w:val="0"/>
          <w:kern w:val="0"/>
          <w:sz w:val="24"/>
        </w:rPr>
        <w:t>在永久占地范围内</w:t>
      </w:r>
      <w:r w:rsidRPr="00FC1444">
        <w:rPr>
          <w:rFonts w:eastAsiaTheme="minorEastAsia"/>
          <w:snapToGrid w:val="0"/>
          <w:kern w:val="0"/>
          <w:sz w:val="24"/>
        </w:rPr>
        <w:t>，不新增临时占地；</w:t>
      </w:r>
      <w:r w:rsidRPr="00FC1444">
        <w:rPr>
          <w:rFonts w:eastAsiaTheme="minorEastAsia"/>
          <w:kern w:val="0"/>
          <w:sz w:val="24"/>
          <w:szCs w:val="20"/>
        </w:rPr>
        <w:t>本项目临时占用共</w:t>
      </w:r>
      <w:r w:rsidR="008A02BD" w:rsidRPr="00FC1444">
        <w:rPr>
          <w:rFonts w:eastAsiaTheme="minorEastAsia"/>
          <w:kern w:val="0"/>
          <w:sz w:val="24"/>
          <w:szCs w:val="20"/>
        </w:rPr>
        <w:t>513022</w:t>
      </w:r>
      <w:r w:rsidRPr="00FC1444">
        <w:rPr>
          <w:rFonts w:eastAsiaTheme="minorEastAsia"/>
          <w:kern w:val="0"/>
          <w:sz w:val="24"/>
          <w:szCs w:val="20"/>
        </w:rPr>
        <w:t>m</w:t>
      </w:r>
      <w:r w:rsidRPr="00FC1444">
        <w:rPr>
          <w:rFonts w:eastAsiaTheme="minorEastAsia"/>
          <w:kern w:val="0"/>
          <w:sz w:val="24"/>
          <w:szCs w:val="20"/>
          <w:vertAlign w:val="superscript"/>
        </w:rPr>
        <w:t>2</w:t>
      </w:r>
      <w:r w:rsidRPr="00FC1444">
        <w:rPr>
          <w:rFonts w:eastAsiaTheme="minorEastAsia"/>
          <w:kern w:val="0"/>
          <w:sz w:val="24"/>
          <w:szCs w:val="20"/>
        </w:rPr>
        <w:t>。</w:t>
      </w:r>
    </w:p>
    <w:p w:rsidR="002A5A5E" w:rsidRPr="00FC1444" w:rsidRDefault="009840DD">
      <w:pPr>
        <w:spacing w:line="360" w:lineRule="auto"/>
        <w:ind w:firstLineChars="200" w:firstLine="480"/>
        <w:rPr>
          <w:rFonts w:eastAsiaTheme="minorEastAsia"/>
          <w:sz w:val="24"/>
        </w:rPr>
      </w:pPr>
      <w:r w:rsidRPr="00FC1444">
        <w:rPr>
          <w:rFonts w:eastAsiaTheme="minorEastAsia"/>
          <w:sz w:val="24"/>
        </w:rPr>
        <w:fldChar w:fldCharType="begin"/>
      </w:r>
      <w:r w:rsidR="00611CBA" w:rsidRPr="00FC1444">
        <w:rPr>
          <w:rFonts w:eastAsiaTheme="minorEastAsia"/>
          <w:sz w:val="24"/>
        </w:rPr>
        <w:instrText>= 1 \* GB3</w:instrText>
      </w:r>
      <w:r w:rsidRPr="00FC1444">
        <w:rPr>
          <w:rFonts w:eastAsiaTheme="minorEastAsia"/>
          <w:sz w:val="24"/>
        </w:rPr>
        <w:fldChar w:fldCharType="separate"/>
      </w:r>
      <w:r w:rsidR="00611CBA" w:rsidRPr="00FC1444">
        <w:rPr>
          <w:rFonts w:ascii="宋体" w:hAnsi="宋体" w:cs="宋体" w:hint="eastAsia"/>
          <w:sz w:val="24"/>
        </w:rPr>
        <w:t>①</w:t>
      </w:r>
      <w:r w:rsidRPr="00FC1444">
        <w:rPr>
          <w:rFonts w:eastAsiaTheme="minorEastAsia"/>
          <w:sz w:val="24"/>
        </w:rPr>
        <w:fldChar w:fldCharType="end"/>
      </w:r>
      <w:r w:rsidR="00611CBA" w:rsidRPr="00FC1444">
        <w:rPr>
          <w:rFonts w:eastAsiaTheme="minorEastAsia"/>
          <w:sz w:val="24"/>
        </w:rPr>
        <w:t>机电井工程每口设置</w:t>
      </w:r>
      <w:r w:rsidR="00611CBA" w:rsidRPr="00FC1444">
        <w:rPr>
          <w:rFonts w:eastAsiaTheme="minorEastAsia"/>
          <w:sz w:val="24"/>
        </w:rPr>
        <w:t>1</w:t>
      </w:r>
      <w:r w:rsidR="00611CBA" w:rsidRPr="00FC1444">
        <w:rPr>
          <w:rFonts w:eastAsiaTheme="minorEastAsia"/>
          <w:sz w:val="24"/>
        </w:rPr>
        <w:t>处</w:t>
      </w:r>
      <w:r w:rsidR="00611CBA" w:rsidRPr="00FC1444">
        <w:rPr>
          <w:rFonts w:eastAsiaTheme="minorEastAsia"/>
          <w:sz w:val="24"/>
        </w:rPr>
        <w:t>20m</w:t>
      </w:r>
      <w:r w:rsidR="00611CBA" w:rsidRPr="00FC1444">
        <w:rPr>
          <w:rFonts w:eastAsiaTheme="minorEastAsia"/>
          <w:sz w:val="24"/>
          <w:vertAlign w:val="superscript"/>
        </w:rPr>
        <w:t>2</w:t>
      </w:r>
      <w:r w:rsidR="00611CBA" w:rsidRPr="00FC1444">
        <w:rPr>
          <w:rFonts w:eastAsiaTheme="minorEastAsia"/>
          <w:sz w:val="24"/>
        </w:rPr>
        <w:t>临时占地，占地类型为旱地，共</w:t>
      </w:r>
      <w:r w:rsidR="008A02BD" w:rsidRPr="00FC1444">
        <w:rPr>
          <w:rFonts w:eastAsiaTheme="minorEastAsia" w:hint="eastAsia"/>
          <w:sz w:val="24"/>
        </w:rPr>
        <w:t>3120</w:t>
      </w:r>
      <w:r w:rsidR="00611CBA" w:rsidRPr="00FC1444">
        <w:rPr>
          <w:rFonts w:eastAsiaTheme="minorEastAsia"/>
          <w:sz w:val="24"/>
        </w:rPr>
        <w:t>m</w:t>
      </w:r>
      <w:r w:rsidR="00611CBA" w:rsidRPr="00FC1444">
        <w:rPr>
          <w:rFonts w:eastAsiaTheme="minorEastAsia"/>
          <w:sz w:val="24"/>
          <w:vertAlign w:val="superscript"/>
        </w:rPr>
        <w:t>2</w:t>
      </w:r>
      <w:r w:rsidR="00611CBA" w:rsidRPr="00FC1444">
        <w:rPr>
          <w:rFonts w:eastAsiaTheme="minorEastAsia"/>
          <w:sz w:val="24"/>
        </w:rPr>
        <w:t>；灌溉井工程运输机械进入施工场地过程中占用少量农田，作为临时道路（宽约</w:t>
      </w:r>
      <w:r w:rsidR="00611CBA" w:rsidRPr="00FC1444">
        <w:rPr>
          <w:rFonts w:eastAsiaTheme="minorEastAsia"/>
          <w:sz w:val="24"/>
        </w:rPr>
        <w:t>2m</w:t>
      </w:r>
      <w:r w:rsidR="00611CBA" w:rsidRPr="00FC1444">
        <w:rPr>
          <w:rFonts w:eastAsiaTheme="minorEastAsia"/>
          <w:sz w:val="24"/>
        </w:rPr>
        <w:t>，临时占地共约</w:t>
      </w:r>
      <w:r w:rsidR="008A02BD" w:rsidRPr="00FC1444">
        <w:rPr>
          <w:rFonts w:eastAsiaTheme="minorEastAsia" w:hint="eastAsia"/>
          <w:sz w:val="24"/>
        </w:rPr>
        <w:t>1500</w:t>
      </w:r>
      <w:r w:rsidR="00611CBA" w:rsidRPr="00FC1444">
        <w:rPr>
          <w:rFonts w:eastAsiaTheme="minorEastAsia"/>
          <w:sz w:val="24"/>
        </w:rPr>
        <w:t>m</w:t>
      </w:r>
      <w:r w:rsidR="00611CBA" w:rsidRPr="00FC1444">
        <w:rPr>
          <w:rFonts w:eastAsiaTheme="minorEastAsia"/>
          <w:sz w:val="24"/>
          <w:vertAlign w:val="superscript"/>
        </w:rPr>
        <w:t>2</w:t>
      </w:r>
      <w:r w:rsidR="00611CBA" w:rsidRPr="00FC1444">
        <w:rPr>
          <w:rFonts w:eastAsiaTheme="minorEastAsia"/>
          <w:sz w:val="24"/>
        </w:rPr>
        <w:t>）；</w:t>
      </w:r>
      <w:r w:rsidR="00611CBA" w:rsidRPr="00FC1444">
        <w:rPr>
          <w:rFonts w:eastAsiaTheme="minorEastAsia"/>
          <w:snapToGrid w:val="0"/>
          <w:kern w:val="0"/>
          <w:sz w:val="24"/>
        </w:rPr>
        <w:t>涵洞等建筑物工程每座设置</w:t>
      </w:r>
      <w:r w:rsidR="00611CBA" w:rsidRPr="00FC1444">
        <w:rPr>
          <w:rFonts w:eastAsiaTheme="minorEastAsia"/>
          <w:snapToGrid w:val="0"/>
          <w:kern w:val="0"/>
          <w:sz w:val="24"/>
        </w:rPr>
        <w:t>1</w:t>
      </w:r>
      <w:r w:rsidR="00611CBA" w:rsidRPr="00FC1444">
        <w:rPr>
          <w:rFonts w:eastAsiaTheme="minorEastAsia"/>
          <w:snapToGrid w:val="0"/>
          <w:kern w:val="0"/>
          <w:sz w:val="24"/>
        </w:rPr>
        <w:t>处</w:t>
      </w:r>
      <w:r w:rsidR="00611CBA" w:rsidRPr="00FC1444">
        <w:rPr>
          <w:rFonts w:eastAsiaTheme="minorEastAsia"/>
          <w:snapToGrid w:val="0"/>
          <w:kern w:val="0"/>
          <w:sz w:val="24"/>
        </w:rPr>
        <w:t>20m</w:t>
      </w:r>
      <w:r w:rsidR="00611CBA" w:rsidRPr="00FC1444">
        <w:rPr>
          <w:rFonts w:eastAsiaTheme="minorEastAsia"/>
          <w:snapToGrid w:val="0"/>
          <w:kern w:val="0"/>
          <w:sz w:val="24"/>
          <w:vertAlign w:val="superscript"/>
        </w:rPr>
        <w:t>2</w:t>
      </w:r>
      <w:r w:rsidR="00611CBA" w:rsidRPr="00FC1444">
        <w:rPr>
          <w:rFonts w:eastAsiaTheme="minorEastAsia"/>
          <w:snapToGrid w:val="0"/>
          <w:kern w:val="0"/>
          <w:sz w:val="24"/>
        </w:rPr>
        <w:t>临时占地，共</w:t>
      </w:r>
      <w:r w:rsidR="00E61664" w:rsidRPr="00FC1444">
        <w:rPr>
          <w:rFonts w:eastAsiaTheme="minorEastAsia"/>
          <w:snapToGrid w:val="0"/>
          <w:kern w:val="0"/>
          <w:sz w:val="24"/>
        </w:rPr>
        <w:t>29000</w:t>
      </w:r>
      <w:r w:rsidR="00611CBA" w:rsidRPr="00FC1444">
        <w:rPr>
          <w:rFonts w:eastAsiaTheme="minorEastAsia"/>
          <w:snapToGrid w:val="0"/>
          <w:kern w:val="0"/>
          <w:sz w:val="24"/>
        </w:rPr>
        <w:t>m</w:t>
      </w:r>
      <w:r w:rsidR="00611CBA" w:rsidRPr="00FC1444">
        <w:rPr>
          <w:rFonts w:eastAsiaTheme="minorEastAsia"/>
          <w:snapToGrid w:val="0"/>
          <w:kern w:val="0"/>
          <w:sz w:val="24"/>
          <w:vertAlign w:val="superscript"/>
        </w:rPr>
        <w:t>2</w:t>
      </w:r>
      <w:r w:rsidR="00611CBA" w:rsidRPr="00FC1444">
        <w:rPr>
          <w:rFonts w:eastAsiaTheme="minorEastAsia"/>
          <w:sz w:val="24"/>
        </w:rPr>
        <w:t>，占地类型为草地</w:t>
      </w:r>
      <w:r w:rsidR="00611CBA" w:rsidRPr="00FC1444">
        <w:rPr>
          <w:rFonts w:eastAsiaTheme="minorEastAsia"/>
          <w:sz w:val="24"/>
        </w:rPr>
        <w:t>1</w:t>
      </w:r>
      <w:r w:rsidR="00E61664" w:rsidRPr="00FC1444">
        <w:rPr>
          <w:rFonts w:eastAsiaTheme="minorEastAsia"/>
          <w:sz w:val="24"/>
        </w:rPr>
        <w:t>8</w:t>
      </w:r>
      <w:r w:rsidR="00611CBA" w:rsidRPr="00FC1444">
        <w:rPr>
          <w:rFonts w:eastAsiaTheme="minorEastAsia"/>
          <w:sz w:val="24"/>
        </w:rPr>
        <w:t>500</w:t>
      </w:r>
      <w:r w:rsidR="00611CBA" w:rsidRPr="00FC1444">
        <w:rPr>
          <w:rFonts w:eastAsiaTheme="minorEastAsia"/>
          <w:snapToGrid w:val="0"/>
          <w:kern w:val="0"/>
          <w:sz w:val="24"/>
        </w:rPr>
        <w:t>m</w:t>
      </w:r>
      <w:r w:rsidR="00611CBA" w:rsidRPr="00FC1444">
        <w:rPr>
          <w:rFonts w:eastAsiaTheme="minorEastAsia"/>
          <w:snapToGrid w:val="0"/>
          <w:kern w:val="0"/>
          <w:sz w:val="24"/>
          <w:vertAlign w:val="superscript"/>
        </w:rPr>
        <w:t>2</w:t>
      </w:r>
      <w:r w:rsidR="00611CBA" w:rsidRPr="00FC1444">
        <w:rPr>
          <w:rFonts w:eastAsiaTheme="minorEastAsia"/>
          <w:sz w:val="24"/>
        </w:rPr>
        <w:t>、旱地</w:t>
      </w:r>
      <w:r w:rsidR="00611CBA" w:rsidRPr="00FC1444">
        <w:rPr>
          <w:rFonts w:eastAsiaTheme="minorEastAsia"/>
          <w:snapToGrid w:val="0"/>
          <w:kern w:val="0"/>
          <w:sz w:val="24"/>
        </w:rPr>
        <w:t>1</w:t>
      </w:r>
      <w:r w:rsidR="00E61664" w:rsidRPr="00FC1444">
        <w:rPr>
          <w:rFonts w:eastAsiaTheme="minorEastAsia"/>
          <w:snapToGrid w:val="0"/>
          <w:kern w:val="0"/>
          <w:sz w:val="24"/>
        </w:rPr>
        <w:t>0500</w:t>
      </w:r>
      <w:r w:rsidR="00611CBA" w:rsidRPr="00FC1444">
        <w:rPr>
          <w:rFonts w:eastAsiaTheme="minorEastAsia"/>
          <w:snapToGrid w:val="0"/>
          <w:kern w:val="0"/>
          <w:sz w:val="24"/>
        </w:rPr>
        <w:t>m</w:t>
      </w:r>
      <w:r w:rsidR="00611CBA" w:rsidRPr="00FC1444">
        <w:rPr>
          <w:rFonts w:eastAsiaTheme="minorEastAsia"/>
          <w:snapToGrid w:val="0"/>
          <w:kern w:val="0"/>
          <w:sz w:val="24"/>
          <w:vertAlign w:val="superscript"/>
        </w:rPr>
        <w:t>2</w:t>
      </w:r>
      <w:r w:rsidR="00611CBA" w:rsidRPr="00FC1444">
        <w:rPr>
          <w:rFonts w:eastAsiaTheme="minorEastAsia"/>
          <w:sz w:val="24"/>
        </w:rPr>
        <w:t>。</w:t>
      </w:r>
    </w:p>
    <w:p w:rsidR="002A5A5E" w:rsidRPr="00FC1444" w:rsidRDefault="009840DD">
      <w:pPr>
        <w:spacing w:line="360" w:lineRule="auto"/>
        <w:ind w:firstLineChars="200" w:firstLine="480"/>
        <w:rPr>
          <w:rFonts w:eastAsiaTheme="minorEastAsia"/>
          <w:sz w:val="24"/>
        </w:rPr>
      </w:pPr>
      <w:r w:rsidRPr="00FC1444">
        <w:rPr>
          <w:rFonts w:eastAsiaTheme="minorEastAsia"/>
          <w:sz w:val="24"/>
        </w:rPr>
        <w:fldChar w:fldCharType="begin"/>
      </w:r>
      <w:r w:rsidR="00611CBA" w:rsidRPr="00FC1444">
        <w:rPr>
          <w:rFonts w:eastAsiaTheme="minorEastAsia"/>
          <w:sz w:val="24"/>
        </w:rPr>
        <w:instrText>= 2 \* GB3</w:instrText>
      </w:r>
      <w:r w:rsidRPr="00FC1444">
        <w:rPr>
          <w:rFonts w:eastAsiaTheme="minorEastAsia"/>
          <w:sz w:val="24"/>
        </w:rPr>
        <w:fldChar w:fldCharType="separate"/>
      </w:r>
      <w:r w:rsidR="00611CBA" w:rsidRPr="00FC1444">
        <w:rPr>
          <w:rFonts w:ascii="宋体" w:hAnsi="宋体" w:cs="宋体" w:hint="eastAsia"/>
          <w:sz w:val="24"/>
        </w:rPr>
        <w:t>②</w:t>
      </w:r>
      <w:r w:rsidRPr="00FC1444">
        <w:rPr>
          <w:rFonts w:eastAsiaTheme="minorEastAsia"/>
          <w:sz w:val="24"/>
        </w:rPr>
        <w:fldChar w:fldCharType="end"/>
      </w:r>
      <w:r w:rsidR="00611CBA" w:rsidRPr="00FC1444">
        <w:rPr>
          <w:rFonts w:eastAsiaTheme="minorEastAsia"/>
          <w:sz w:val="24"/>
        </w:rPr>
        <w:t>农田输配电工程高压地埋输电线路</w:t>
      </w:r>
      <w:r w:rsidR="008A02BD" w:rsidRPr="00FC1444">
        <w:rPr>
          <w:rFonts w:eastAsiaTheme="minorEastAsia" w:hint="eastAsia"/>
          <w:sz w:val="24"/>
        </w:rPr>
        <w:t>111.836</w:t>
      </w:r>
      <w:r w:rsidR="00611CBA" w:rsidRPr="00FC1444">
        <w:rPr>
          <w:rFonts w:eastAsiaTheme="minorEastAsia"/>
          <w:sz w:val="24"/>
        </w:rPr>
        <w:t>公里，低压地埋电线路</w:t>
      </w:r>
      <w:r w:rsidR="008A02BD" w:rsidRPr="00FC1444">
        <w:rPr>
          <w:rFonts w:eastAsiaTheme="minorEastAsia" w:hint="eastAsia"/>
          <w:sz w:val="24"/>
        </w:rPr>
        <w:t>21.73</w:t>
      </w:r>
      <w:r w:rsidR="00611CBA" w:rsidRPr="00FC1444">
        <w:rPr>
          <w:rFonts w:eastAsiaTheme="minorEastAsia"/>
          <w:sz w:val="24"/>
        </w:rPr>
        <w:lastRenderedPageBreak/>
        <w:t>公里，高压</w:t>
      </w:r>
      <w:r w:rsidR="008F73CD" w:rsidRPr="00FC1444">
        <w:rPr>
          <w:rFonts w:eastAsiaTheme="minorEastAsia"/>
          <w:sz w:val="24"/>
        </w:rPr>
        <w:t>电缆开挖宽度为</w:t>
      </w:r>
      <w:r w:rsidR="008F73CD" w:rsidRPr="00FC1444">
        <w:rPr>
          <w:rFonts w:eastAsiaTheme="minorEastAsia"/>
          <w:sz w:val="24"/>
        </w:rPr>
        <w:t>0.6m</w:t>
      </w:r>
      <w:r w:rsidR="001149DE" w:rsidRPr="00FC1444">
        <w:rPr>
          <w:rFonts w:eastAsiaTheme="minorEastAsia" w:hint="eastAsia"/>
          <w:sz w:val="24"/>
        </w:rPr>
        <w:t>，</w:t>
      </w:r>
      <w:r w:rsidR="00611CBA" w:rsidRPr="00FC1444">
        <w:rPr>
          <w:rFonts w:eastAsiaTheme="minorEastAsia"/>
          <w:sz w:val="24"/>
        </w:rPr>
        <w:t>低压电缆开挖宽度为</w:t>
      </w:r>
      <w:r w:rsidR="00611CBA" w:rsidRPr="00FC1444">
        <w:rPr>
          <w:rFonts w:eastAsiaTheme="minorEastAsia"/>
          <w:sz w:val="24"/>
        </w:rPr>
        <w:t>0.</w:t>
      </w:r>
      <w:r w:rsidR="008F73CD" w:rsidRPr="00FC1444">
        <w:rPr>
          <w:rFonts w:eastAsiaTheme="minorEastAsia"/>
          <w:sz w:val="24"/>
        </w:rPr>
        <w:t>4</w:t>
      </w:r>
      <w:r w:rsidR="00611CBA" w:rsidRPr="00FC1444">
        <w:rPr>
          <w:rFonts w:eastAsiaTheme="minorEastAsia"/>
          <w:sz w:val="24"/>
        </w:rPr>
        <w:t>m</w:t>
      </w:r>
      <w:r w:rsidR="00611CBA" w:rsidRPr="00FC1444">
        <w:rPr>
          <w:rFonts w:eastAsiaTheme="minorEastAsia"/>
          <w:sz w:val="24"/>
        </w:rPr>
        <w:t>，沿线一侧外扩</w:t>
      </w:r>
      <w:r w:rsidR="00EB3DD0" w:rsidRPr="00FC1444">
        <w:rPr>
          <w:rFonts w:eastAsiaTheme="minorEastAsia"/>
          <w:sz w:val="24"/>
        </w:rPr>
        <w:t>3</w:t>
      </w:r>
      <w:r w:rsidR="00611CBA" w:rsidRPr="00FC1444">
        <w:rPr>
          <w:rFonts w:eastAsiaTheme="minorEastAsia"/>
          <w:sz w:val="24"/>
        </w:rPr>
        <w:t>m</w:t>
      </w:r>
      <w:r w:rsidR="00611CBA" w:rsidRPr="00FC1444">
        <w:rPr>
          <w:rFonts w:eastAsiaTheme="minorEastAsia"/>
          <w:sz w:val="24"/>
        </w:rPr>
        <w:t>为临时占地施工场地，</w:t>
      </w:r>
      <w:r w:rsidR="00EB3DD0" w:rsidRPr="00FC1444">
        <w:rPr>
          <w:rFonts w:eastAsiaTheme="minorEastAsia"/>
          <w:sz w:val="24"/>
        </w:rPr>
        <w:t>共设置</w:t>
      </w:r>
      <w:r w:rsidR="00957D7F" w:rsidRPr="00FC1444">
        <w:rPr>
          <w:rFonts w:eastAsiaTheme="minorEastAsia"/>
          <w:sz w:val="24"/>
        </w:rPr>
        <w:t>194</w:t>
      </w:r>
      <w:r w:rsidR="00957D7F" w:rsidRPr="00FC1444">
        <w:rPr>
          <w:rFonts w:eastAsiaTheme="minorEastAsia"/>
          <w:sz w:val="24"/>
        </w:rPr>
        <w:t>根</w:t>
      </w:r>
      <w:r w:rsidR="00EB3DD0" w:rsidRPr="00FC1444">
        <w:rPr>
          <w:rFonts w:eastAsiaTheme="minorEastAsia"/>
          <w:sz w:val="24"/>
        </w:rPr>
        <w:t>水泥电杆，</w:t>
      </w:r>
      <w:r w:rsidR="00611CBA" w:rsidRPr="00FC1444">
        <w:rPr>
          <w:rFonts w:eastAsiaTheme="minorEastAsia"/>
          <w:sz w:val="24"/>
        </w:rPr>
        <w:t>变压器</w:t>
      </w:r>
      <w:r w:rsidR="00EB3DD0" w:rsidRPr="00FC1444">
        <w:rPr>
          <w:rFonts w:eastAsiaTheme="minorEastAsia"/>
          <w:sz w:val="24"/>
        </w:rPr>
        <w:t>为杆上变压器，每处设置</w:t>
      </w:r>
      <w:r w:rsidR="00AA4603" w:rsidRPr="00FC1444">
        <w:rPr>
          <w:rFonts w:eastAsiaTheme="minorEastAsia"/>
          <w:snapToGrid w:val="0"/>
          <w:kern w:val="0"/>
          <w:sz w:val="24"/>
        </w:rPr>
        <w:t>15</w:t>
      </w:r>
      <w:r w:rsidR="00EB3DD0" w:rsidRPr="00FC1444">
        <w:rPr>
          <w:rFonts w:eastAsiaTheme="minorEastAsia"/>
          <w:snapToGrid w:val="0"/>
          <w:kern w:val="0"/>
          <w:sz w:val="24"/>
        </w:rPr>
        <w:t>m</w:t>
      </w:r>
      <w:r w:rsidR="00EB3DD0" w:rsidRPr="00FC1444">
        <w:rPr>
          <w:rFonts w:eastAsiaTheme="minorEastAsia"/>
          <w:snapToGrid w:val="0"/>
          <w:kern w:val="0"/>
          <w:sz w:val="24"/>
          <w:vertAlign w:val="superscript"/>
        </w:rPr>
        <w:t>2</w:t>
      </w:r>
      <w:r w:rsidR="00611CBA" w:rsidRPr="00FC1444">
        <w:rPr>
          <w:rFonts w:eastAsiaTheme="minorEastAsia"/>
          <w:sz w:val="24"/>
        </w:rPr>
        <w:t>临时占地，临时占地共</w:t>
      </w:r>
      <w:r w:rsidR="008A02BD" w:rsidRPr="00FC1444">
        <w:rPr>
          <w:rFonts w:eastAsiaTheme="minorEastAsia" w:hint="eastAsia"/>
          <w:sz w:val="24"/>
        </w:rPr>
        <w:t>479402</w:t>
      </w:r>
      <w:r w:rsidR="00611CBA" w:rsidRPr="00FC1444">
        <w:rPr>
          <w:rFonts w:eastAsiaTheme="minorEastAsia"/>
          <w:sz w:val="24"/>
        </w:rPr>
        <w:t>m</w:t>
      </w:r>
      <w:r w:rsidR="00611CBA" w:rsidRPr="00FC1444">
        <w:rPr>
          <w:rFonts w:eastAsiaTheme="minorEastAsia"/>
          <w:sz w:val="24"/>
          <w:vertAlign w:val="superscript"/>
        </w:rPr>
        <w:t>2</w:t>
      </w:r>
      <w:r w:rsidR="00611CBA" w:rsidRPr="00FC1444">
        <w:rPr>
          <w:rFonts w:eastAsiaTheme="minorEastAsia"/>
          <w:sz w:val="24"/>
        </w:rPr>
        <w:t>，占地类型为草地</w:t>
      </w:r>
      <w:r w:rsidR="008A02BD" w:rsidRPr="00FC1444">
        <w:rPr>
          <w:rFonts w:eastAsiaTheme="minorEastAsia" w:hint="eastAsia"/>
          <w:sz w:val="24"/>
        </w:rPr>
        <w:t>456842</w:t>
      </w:r>
      <w:r w:rsidR="00611CBA" w:rsidRPr="00FC1444">
        <w:rPr>
          <w:rFonts w:eastAsiaTheme="minorEastAsia"/>
          <w:sz w:val="24"/>
        </w:rPr>
        <w:t>m</w:t>
      </w:r>
      <w:r w:rsidR="00611CBA" w:rsidRPr="00FC1444">
        <w:rPr>
          <w:rFonts w:eastAsiaTheme="minorEastAsia"/>
          <w:sz w:val="24"/>
          <w:vertAlign w:val="superscript"/>
        </w:rPr>
        <w:t>2</w:t>
      </w:r>
      <w:r w:rsidR="00611CBA" w:rsidRPr="00FC1444">
        <w:rPr>
          <w:rFonts w:eastAsiaTheme="minorEastAsia"/>
          <w:sz w:val="24"/>
        </w:rPr>
        <w:t>、旱地</w:t>
      </w:r>
      <w:r w:rsidR="008A02BD" w:rsidRPr="00FC1444">
        <w:rPr>
          <w:rFonts w:eastAsiaTheme="minorEastAsia" w:hint="eastAsia"/>
          <w:sz w:val="24"/>
        </w:rPr>
        <w:t>22560</w:t>
      </w:r>
      <w:r w:rsidR="00611CBA" w:rsidRPr="00FC1444">
        <w:rPr>
          <w:rFonts w:eastAsiaTheme="minorEastAsia"/>
          <w:sz w:val="24"/>
        </w:rPr>
        <w:t>m</w:t>
      </w:r>
      <w:r w:rsidR="00611CBA" w:rsidRPr="00FC1444">
        <w:rPr>
          <w:rFonts w:eastAsiaTheme="minorEastAsia"/>
          <w:sz w:val="24"/>
          <w:vertAlign w:val="superscript"/>
        </w:rPr>
        <w:t>2</w:t>
      </w:r>
      <w:r w:rsidR="00611CBA" w:rsidRPr="00FC1444">
        <w:rPr>
          <w:rFonts w:eastAsiaTheme="minorEastAsia"/>
          <w:sz w:val="24"/>
        </w:rPr>
        <w:t>。</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3.1.12</w:t>
      </w:r>
      <w:r w:rsidRPr="00FC1444">
        <w:rPr>
          <w:rFonts w:eastAsiaTheme="minorEastAsia"/>
          <w:b/>
          <w:sz w:val="28"/>
          <w:szCs w:val="28"/>
        </w:rPr>
        <w:t>施工期相关设计</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）施工条件</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本工程涉及范围广，施工现场分散，虽然附近分布少量村屯，但工程施工过程中对当地人民生产生活干扰较少，场地周围环境较好，对野外施工作业没有较大影响。项目区对外交通便利，若干土路形成路网分布于项目区。良好的交通条件为工程实施中材料的进入提供了保障。综上，项目区内道路交通情况可以为建筑材料的运输提供良好条件。</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项目区水源比较丰富，施工用水及饮用水可就近使用居民点井水。工地供电就近从当地电网系统接入或从已建的建筑物供电线路接入，完全可以满足项目施工用电的要求。</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工程使用的原辅料可以在</w:t>
      </w:r>
      <w:r w:rsidR="00802862" w:rsidRPr="00FC1444">
        <w:rPr>
          <w:rFonts w:eastAsiaTheme="minorEastAsia"/>
          <w:sz w:val="24"/>
        </w:rPr>
        <w:t>哈尔滨市、</w:t>
      </w:r>
      <w:r w:rsidR="000E00D5" w:rsidRPr="00FC1444">
        <w:rPr>
          <w:rFonts w:eastAsiaTheme="minorEastAsia"/>
          <w:sz w:val="24"/>
        </w:rPr>
        <w:t>绥化</w:t>
      </w:r>
      <w:r w:rsidRPr="00FC1444">
        <w:rPr>
          <w:rFonts w:eastAsiaTheme="minorEastAsia"/>
          <w:sz w:val="24"/>
        </w:rPr>
        <w:t>市购买，储量及质量均满足设计、施工要求；</w:t>
      </w:r>
      <w:r w:rsidR="003C682E" w:rsidRPr="00FC1444">
        <w:rPr>
          <w:rFonts w:eastAsiaTheme="minorEastAsia"/>
          <w:snapToGrid w:val="0"/>
          <w:sz w:val="24"/>
        </w:rPr>
        <w:t>施工现场使用商品混凝土、预拌砂浆；</w:t>
      </w:r>
      <w:r w:rsidR="003C682E" w:rsidRPr="00FC1444">
        <w:rPr>
          <w:rFonts w:eastAsiaTheme="minorEastAsia"/>
          <w:sz w:val="24"/>
        </w:rPr>
        <w:t>施工</w:t>
      </w:r>
      <w:r w:rsidRPr="00FC1444">
        <w:rPr>
          <w:rFonts w:eastAsiaTheme="minorEastAsia"/>
          <w:sz w:val="24"/>
        </w:rPr>
        <w:t>机械所需油料直接在附近加油站购买</w:t>
      </w:r>
      <w:r w:rsidR="003C682E" w:rsidRPr="00FC1444">
        <w:rPr>
          <w:rFonts w:eastAsiaTheme="minorEastAsia"/>
          <w:sz w:val="24"/>
        </w:rPr>
        <w:t>，不设置柴油贮存设施</w:t>
      </w:r>
      <w:r w:rsidRPr="00FC1444">
        <w:rPr>
          <w:rFonts w:eastAsiaTheme="minorEastAsia"/>
          <w:sz w:val="24"/>
        </w:rPr>
        <w:t>。</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）施工总体布置</w:t>
      </w:r>
    </w:p>
    <w:p w:rsidR="002A5A5E" w:rsidRPr="00FC1444" w:rsidRDefault="00611CBA">
      <w:pPr>
        <w:adjustRightInd w:val="0"/>
        <w:snapToGrid w:val="0"/>
        <w:spacing w:line="360" w:lineRule="auto"/>
        <w:ind w:firstLineChars="200" w:firstLine="480"/>
        <w:rPr>
          <w:rFonts w:eastAsiaTheme="minorEastAsia"/>
          <w:sz w:val="24"/>
        </w:rPr>
      </w:pPr>
      <w:r w:rsidRPr="00FC1444">
        <w:rPr>
          <w:rFonts w:ascii="宋体" w:hAnsi="宋体" w:cs="宋体" w:hint="eastAsia"/>
          <w:sz w:val="24"/>
        </w:rPr>
        <w:t>①</w:t>
      </w:r>
      <w:r w:rsidRPr="00FC1444">
        <w:rPr>
          <w:rFonts w:eastAsiaTheme="minorEastAsia"/>
          <w:sz w:val="24"/>
        </w:rPr>
        <w:t>施工道路布置</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项目区对外交通状况较好，村村通的混凝土路基本覆盖项目区所涉及村屯，公路等骨干交通路网已经形成，到附近乡镇和县里购买工程资料比较方便。大部分工程利用现有水泥路、砂石路及村地头路。涵洞等建筑物、</w:t>
      </w:r>
      <w:r w:rsidRPr="00FC1444">
        <w:rPr>
          <w:rFonts w:eastAsiaTheme="minorEastAsia"/>
          <w:bCs/>
          <w:sz w:val="24"/>
        </w:rPr>
        <w:t>输配电工程</w:t>
      </w:r>
      <w:r w:rsidRPr="00FC1444">
        <w:rPr>
          <w:rFonts w:eastAsiaTheme="minorEastAsia"/>
          <w:sz w:val="24"/>
        </w:rPr>
        <w:t>地点均距离道路较近，不设置临时道路；灌溉井工程运输机械进入施工场地过程中占用少量农田，作为临时道路（</w:t>
      </w:r>
      <w:r w:rsidR="00E268F3" w:rsidRPr="00FC1444">
        <w:rPr>
          <w:rFonts w:eastAsiaTheme="minorEastAsia"/>
          <w:sz w:val="24"/>
        </w:rPr>
        <w:t>宽约</w:t>
      </w:r>
      <w:r w:rsidR="00E268F3" w:rsidRPr="00FC1444">
        <w:rPr>
          <w:rFonts w:eastAsiaTheme="minorEastAsia"/>
          <w:sz w:val="24"/>
        </w:rPr>
        <w:t>2m</w:t>
      </w:r>
      <w:r w:rsidR="00E268F3" w:rsidRPr="00FC1444">
        <w:rPr>
          <w:rFonts w:eastAsiaTheme="minorEastAsia"/>
          <w:sz w:val="24"/>
        </w:rPr>
        <w:t>，临时占地共约</w:t>
      </w:r>
      <w:r w:rsidR="008A02BD" w:rsidRPr="00FC1444">
        <w:rPr>
          <w:rFonts w:eastAsiaTheme="minorEastAsia" w:hint="eastAsia"/>
          <w:sz w:val="24"/>
        </w:rPr>
        <w:t>1500</w:t>
      </w:r>
      <w:r w:rsidRPr="00FC1444">
        <w:rPr>
          <w:rFonts w:eastAsiaTheme="minorEastAsia"/>
          <w:sz w:val="24"/>
        </w:rPr>
        <w:t>m</w:t>
      </w:r>
      <w:r w:rsidRPr="00FC1444">
        <w:rPr>
          <w:rFonts w:eastAsiaTheme="minorEastAsia"/>
          <w:sz w:val="24"/>
          <w:vertAlign w:val="superscript"/>
        </w:rPr>
        <w:t>2</w:t>
      </w:r>
      <w:r w:rsidRPr="00FC1444">
        <w:rPr>
          <w:rFonts w:eastAsiaTheme="minorEastAsia"/>
          <w:sz w:val="24"/>
        </w:rPr>
        <w:t>）。</w:t>
      </w:r>
    </w:p>
    <w:p w:rsidR="002A5A5E" w:rsidRPr="00FC1444" w:rsidRDefault="00611CBA">
      <w:pPr>
        <w:adjustRightInd w:val="0"/>
        <w:snapToGrid w:val="0"/>
        <w:spacing w:line="360" w:lineRule="auto"/>
        <w:ind w:firstLineChars="200" w:firstLine="480"/>
        <w:rPr>
          <w:rFonts w:eastAsiaTheme="minorEastAsia"/>
          <w:sz w:val="24"/>
        </w:rPr>
      </w:pPr>
      <w:r w:rsidRPr="00FC1444">
        <w:rPr>
          <w:rFonts w:ascii="宋体" w:hAnsi="宋体" w:cs="宋体" w:hint="eastAsia"/>
          <w:sz w:val="24"/>
        </w:rPr>
        <w:t>②</w:t>
      </w:r>
      <w:r w:rsidR="003C682E" w:rsidRPr="00FC1444">
        <w:rPr>
          <w:rFonts w:eastAsiaTheme="minorEastAsia"/>
          <w:sz w:val="24"/>
        </w:rPr>
        <w:t>施工营地</w:t>
      </w:r>
      <w:r w:rsidRPr="00FC1444">
        <w:rPr>
          <w:rFonts w:eastAsiaTheme="minorEastAsia"/>
          <w:sz w:val="24"/>
        </w:rPr>
        <w:t>布置</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项目施工人员均雇佣附近居民，大部分施工聚集区均距离附近村屯较近，故生活区依托附近民房可行，材料购买均有专业销售公司运送至项目场地，因此不设置生活区、综合加工厂、仓库、食堂等。</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3</w:t>
      </w:r>
      <w:r w:rsidRPr="00FC1444">
        <w:rPr>
          <w:rFonts w:eastAsiaTheme="minorEastAsia"/>
          <w:sz w:val="24"/>
        </w:rPr>
        <w:t>）施工</w:t>
      </w:r>
      <w:r w:rsidRPr="00FC1444">
        <w:rPr>
          <w:rFonts w:eastAsiaTheme="minorEastAsia"/>
          <w:sz w:val="24"/>
        </w:rPr>
        <w:t>“</w:t>
      </w:r>
      <w:r w:rsidRPr="00FC1444">
        <w:rPr>
          <w:rFonts w:eastAsiaTheme="minorEastAsia"/>
          <w:sz w:val="24"/>
        </w:rPr>
        <w:t>三场</w:t>
      </w:r>
      <w:r w:rsidRPr="00FC1444">
        <w:rPr>
          <w:rFonts w:eastAsiaTheme="minorEastAsia"/>
          <w:sz w:val="24"/>
        </w:rPr>
        <w:t>”</w:t>
      </w:r>
      <w:r w:rsidRPr="00FC1444">
        <w:rPr>
          <w:rFonts w:eastAsiaTheme="minorEastAsia"/>
          <w:sz w:val="24"/>
        </w:rPr>
        <w:t>设置情况</w:t>
      </w:r>
    </w:p>
    <w:p w:rsidR="002A5A5E" w:rsidRPr="00FC1444" w:rsidRDefault="00611CBA">
      <w:pPr>
        <w:adjustRightInd w:val="0"/>
        <w:snapToGrid w:val="0"/>
        <w:spacing w:line="360" w:lineRule="auto"/>
        <w:ind w:firstLineChars="200" w:firstLine="480"/>
        <w:rPr>
          <w:rFonts w:eastAsiaTheme="minorEastAsia"/>
          <w:sz w:val="24"/>
        </w:rPr>
      </w:pPr>
      <w:r w:rsidRPr="00FC1444">
        <w:rPr>
          <w:rFonts w:ascii="宋体" w:hAnsi="宋体" w:cs="宋体" w:hint="eastAsia"/>
          <w:sz w:val="24"/>
        </w:rPr>
        <w:lastRenderedPageBreak/>
        <w:t>①</w:t>
      </w:r>
      <w:r w:rsidRPr="00FC1444">
        <w:rPr>
          <w:rFonts w:eastAsiaTheme="minorEastAsia"/>
          <w:sz w:val="24"/>
        </w:rPr>
        <w:t>取弃土场</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施工期项目区水泥、钢筋混凝土结构件</w:t>
      </w:r>
      <w:r w:rsidR="00802862" w:rsidRPr="00FC1444">
        <w:rPr>
          <w:rFonts w:eastAsiaTheme="minorEastAsia" w:hint="eastAsia"/>
          <w:sz w:val="24"/>
        </w:rPr>
        <w:t>从哈尔滨购买，钢筋从绥化市购买，汽油、柴油从绥化市加油站购买，砂子、石料从巴彦县购买</w:t>
      </w:r>
      <w:r w:rsidRPr="00FC1444">
        <w:rPr>
          <w:rFonts w:eastAsiaTheme="minorEastAsia"/>
          <w:sz w:val="24"/>
        </w:rPr>
        <w:t>，可满足项目需求。</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项目施工期间土方均堆存于施工范围内，施工结束后表土全部用于临时工程土地恢复及田块整治工程，土方能回填的及时回填，建筑垃圾大部分用于田块整治工程，剩余及时送至建材公司回用，</w:t>
      </w:r>
      <w:r w:rsidR="00730492" w:rsidRPr="00FC1444">
        <w:rPr>
          <w:rFonts w:eastAsiaTheme="minorEastAsia"/>
          <w:bCs/>
          <w:sz w:val="24"/>
        </w:rPr>
        <w:t>排水沟淤泥培至工程附近</w:t>
      </w:r>
      <w:r w:rsidR="00730492" w:rsidRPr="00FC1444">
        <w:rPr>
          <w:rFonts w:eastAsiaTheme="minorEastAsia"/>
          <w:bCs/>
          <w:sz w:val="24"/>
        </w:rPr>
        <w:t>200</w:t>
      </w:r>
      <w:r w:rsidR="00730492" w:rsidRPr="00FC1444">
        <w:rPr>
          <w:rFonts w:eastAsiaTheme="minorEastAsia"/>
          <w:bCs/>
          <w:sz w:val="24"/>
        </w:rPr>
        <w:t>米范围内无环境保护目标的排水沟两侧（</w:t>
      </w:r>
      <w:r w:rsidR="00386D57" w:rsidRPr="00FC1444">
        <w:rPr>
          <w:rFonts w:eastAsiaTheme="minorEastAsia"/>
          <w:bCs/>
          <w:sz w:val="24"/>
        </w:rPr>
        <w:t>避开黄家屯、李荒子屯等</w:t>
      </w:r>
      <w:r w:rsidR="00386D57" w:rsidRPr="00FC1444">
        <w:rPr>
          <w:rFonts w:eastAsiaTheme="minorEastAsia"/>
          <w:bCs/>
          <w:sz w:val="24"/>
        </w:rPr>
        <w:t>22</w:t>
      </w:r>
      <w:r w:rsidR="00386D57" w:rsidRPr="00FC1444">
        <w:rPr>
          <w:rFonts w:eastAsiaTheme="minorEastAsia"/>
          <w:bCs/>
          <w:sz w:val="24"/>
        </w:rPr>
        <w:t>个村屯</w:t>
      </w:r>
      <w:r w:rsidR="00730492" w:rsidRPr="00FC1444">
        <w:rPr>
          <w:rFonts w:eastAsiaTheme="minorEastAsia"/>
          <w:bCs/>
          <w:sz w:val="24"/>
        </w:rPr>
        <w:t>，具体见表</w:t>
      </w:r>
      <w:r w:rsidR="00730492" w:rsidRPr="00FC1444">
        <w:rPr>
          <w:rFonts w:eastAsiaTheme="minorEastAsia"/>
          <w:bCs/>
          <w:sz w:val="24"/>
        </w:rPr>
        <w:t>2-8-2</w:t>
      </w:r>
      <w:r w:rsidR="00730492" w:rsidRPr="00FC1444">
        <w:rPr>
          <w:rFonts w:eastAsiaTheme="minorEastAsia"/>
          <w:bCs/>
          <w:sz w:val="24"/>
        </w:rPr>
        <w:t>）</w:t>
      </w:r>
      <w:r w:rsidRPr="00FC1444">
        <w:rPr>
          <w:rFonts w:eastAsiaTheme="minorEastAsia"/>
          <w:sz w:val="24"/>
        </w:rPr>
        <w:t>，因此不设置弃土场。</w:t>
      </w:r>
    </w:p>
    <w:p w:rsidR="002A5A5E" w:rsidRPr="00FC1444" w:rsidRDefault="006101F4" w:rsidP="006101F4">
      <w:pPr>
        <w:adjustRightInd w:val="0"/>
        <w:snapToGrid w:val="0"/>
        <w:spacing w:line="360" w:lineRule="auto"/>
        <w:ind w:firstLineChars="200" w:firstLine="480"/>
        <w:rPr>
          <w:rFonts w:eastAsiaTheme="minorEastAsia"/>
          <w:sz w:val="24"/>
        </w:rPr>
      </w:pPr>
      <w:r w:rsidRPr="00FC1444">
        <w:rPr>
          <w:rFonts w:ascii="宋体" w:hAnsi="宋体" w:cs="宋体" w:hint="eastAsia"/>
          <w:sz w:val="24"/>
        </w:rPr>
        <w:t>②</w:t>
      </w:r>
      <w:r w:rsidR="00611CBA" w:rsidRPr="00FC1444">
        <w:rPr>
          <w:rFonts w:eastAsiaTheme="minorEastAsia"/>
          <w:sz w:val="24"/>
        </w:rPr>
        <w:t>施工场地</w:t>
      </w:r>
    </w:p>
    <w:p w:rsidR="002A5A5E" w:rsidRPr="00FC1444" w:rsidRDefault="00611CBA">
      <w:pPr>
        <w:spacing w:line="360" w:lineRule="auto"/>
        <w:ind w:firstLineChars="200" w:firstLine="480"/>
        <w:rPr>
          <w:rFonts w:eastAsiaTheme="minorEastAsia"/>
          <w:sz w:val="24"/>
        </w:rPr>
      </w:pPr>
      <w:r w:rsidRPr="00FC1444">
        <w:rPr>
          <w:rFonts w:eastAsiaTheme="minorEastAsia"/>
          <w:snapToGrid w:val="0"/>
          <w:kern w:val="0"/>
          <w:sz w:val="24"/>
        </w:rPr>
        <w:t>项目田间道路工程在现有</w:t>
      </w:r>
      <w:r w:rsidR="00D61453" w:rsidRPr="00FC1444">
        <w:rPr>
          <w:rFonts w:eastAsiaTheme="minorEastAsia"/>
          <w:snapToGrid w:val="0"/>
          <w:kern w:val="0"/>
          <w:sz w:val="24"/>
        </w:rPr>
        <w:t>道路基础上修建，现有灌溉渠道衬砌，现有排水沟清淤，田块整治工程</w:t>
      </w:r>
      <w:r w:rsidRPr="00FC1444">
        <w:rPr>
          <w:rFonts w:eastAsiaTheme="minorEastAsia"/>
          <w:bCs/>
          <w:snapToGrid w:val="0"/>
          <w:kern w:val="0"/>
          <w:sz w:val="24"/>
        </w:rPr>
        <w:t>在永久占地范围内</w:t>
      </w:r>
      <w:r w:rsidRPr="00FC1444">
        <w:rPr>
          <w:rFonts w:eastAsiaTheme="minorEastAsia"/>
          <w:snapToGrid w:val="0"/>
          <w:kern w:val="0"/>
          <w:sz w:val="24"/>
        </w:rPr>
        <w:t>，不新增临时占地</w:t>
      </w:r>
      <w:r w:rsidRPr="00FC1444">
        <w:rPr>
          <w:rFonts w:eastAsiaTheme="minorEastAsia"/>
          <w:sz w:val="24"/>
        </w:rPr>
        <w:t>；机电井工程每口设置</w:t>
      </w:r>
      <w:r w:rsidRPr="00FC1444">
        <w:rPr>
          <w:rFonts w:eastAsiaTheme="minorEastAsia"/>
          <w:sz w:val="24"/>
        </w:rPr>
        <w:t>1</w:t>
      </w:r>
      <w:r w:rsidRPr="00FC1444">
        <w:rPr>
          <w:rFonts w:eastAsiaTheme="minorEastAsia"/>
          <w:sz w:val="24"/>
        </w:rPr>
        <w:t>处</w:t>
      </w:r>
      <w:r w:rsidRPr="00FC1444">
        <w:rPr>
          <w:rFonts w:eastAsiaTheme="minorEastAsia"/>
          <w:sz w:val="24"/>
        </w:rPr>
        <w:t>20m</w:t>
      </w:r>
      <w:r w:rsidRPr="00FC1444">
        <w:rPr>
          <w:rFonts w:eastAsiaTheme="minorEastAsia"/>
          <w:sz w:val="24"/>
          <w:vertAlign w:val="superscript"/>
        </w:rPr>
        <w:t>2</w:t>
      </w:r>
      <w:r w:rsidRPr="00FC1444">
        <w:rPr>
          <w:rFonts w:eastAsiaTheme="minorEastAsia"/>
          <w:sz w:val="24"/>
        </w:rPr>
        <w:t>临时占地，共</w:t>
      </w:r>
      <w:r w:rsidR="008A02BD" w:rsidRPr="00FC1444">
        <w:rPr>
          <w:rFonts w:eastAsiaTheme="minorEastAsia" w:hint="eastAsia"/>
          <w:sz w:val="24"/>
        </w:rPr>
        <w:t>3120</w:t>
      </w:r>
      <w:r w:rsidRPr="00FC1444">
        <w:rPr>
          <w:rFonts w:eastAsiaTheme="minorEastAsia"/>
          <w:sz w:val="24"/>
        </w:rPr>
        <w:t>m</w:t>
      </w:r>
      <w:r w:rsidRPr="00FC1444">
        <w:rPr>
          <w:rFonts w:eastAsiaTheme="minorEastAsia"/>
          <w:sz w:val="24"/>
          <w:vertAlign w:val="superscript"/>
        </w:rPr>
        <w:t>2</w:t>
      </w:r>
      <w:r w:rsidRPr="00FC1444">
        <w:rPr>
          <w:rFonts w:eastAsiaTheme="minorEastAsia"/>
          <w:sz w:val="24"/>
        </w:rPr>
        <w:t>；灌溉井工程运输机械进入施工场地过程中占用少量农田，作为临时道路（</w:t>
      </w:r>
      <w:r w:rsidR="00E268F3" w:rsidRPr="00FC1444">
        <w:rPr>
          <w:rFonts w:eastAsiaTheme="minorEastAsia"/>
          <w:sz w:val="24"/>
        </w:rPr>
        <w:t>宽约</w:t>
      </w:r>
      <w:r w:rsidR="00E268F3" w:rsidRPr="00FC1444">
        <w:rPr>
          <w:rFonts w:eastAsiaTheme="minorEastAsia"/>
          <w:sz w:val="24"/>
        </w:rPr>
        <w:t>2m</w:t>
      </w:r>
      <w:r w:rsidR="00E268F3" w:rsidRPr="00FC1444">
        <w:rPr>
          <w:rFonts w:eastAsiaTheme="minorEastAsia"/>
          <w:sz w:val="24"/>
        </w:rPr>
        <w:t>，临时占地共约</w:t>
      </w:r>
      <w:r w:rsidR="008A02BD" w:rsidRPr="00FC1444">
        <w:rPr>
          <w:rFonts w:eastAsiaTheme="minorEastAsia" w:hint="eastAsia"/>
          <w:sz w:val="24"/>
        </w:rPr>
        <w:t>1500</w:t>
      </w:r>
      <w:r w:rsidRPr="00FC1444">
        <w:rPr>
          <w:rFonts w:eastAsiaTheme="minorEastAsia"/>
          <w:sz w:val="24"/>
        </w:rPr>
        <w:t>m</w:t>
      </w:r>
      <w:r w:rsidRPr="00FC1444">
        <w:rPr>
          <w:rFonts w:eastAsiaTheme="minorEastAsia"/>
          <w:sz w:val="24"/>
          <w:vertAlign w:val="superscript"/>
        </w:rPr>
        <w:t>2</w:t>
      </w:r>
      <w:r w:rsidRPr="00FC1444">
        <w:rPr>
          <w:rFonts w:eastAsiaTheme="minorEastAsia"/>
          <w:sz w:val="24"/>
        </w:rPr>
        <w:t>）；</w:t>
      </w:r>
      <w:r w:rsidRPr="00FC1444">
        <w:rPr>
          <w:rFonts w:eastAsiaTheme="minorEastAsia"/>
          <w:snapToGrid w:val="0"/>
          <w:kern w:val="0"/>
          <w:sz w:val="24"/>
        </w:rPr>
        <w:t>涵洞等建筑物工程每座设置</w:t>
      </w:r>
      <w:r w:rsidRPr="00FC1444">
        <w:rPr>
          <w:rFonts w:eastAsiaTheme="minorEastAsia"/>
          <w:snapToGrid w:val="0"/>
          <w:kern w:val="0"/>
          <w:sz w:val="24"/>
        </w:rPr>
        <w:t>1</w:t>
      </w:r>
      <w:r w:rsidRPr="00FC1444">
        <w:rPr>
          <w:rFonts w:eastAsiaTheme="minorEastAsia"/>
          <w:snapToGrid w:val="0"/>
          <w:kern w:val="0"/>
          <w:sz w:val="24"/>
        </w:rPr>
        <w:t>处</w:t>
      </w:r>
      <w:r w:rsidRPr="00FC1444">
        <w:rPr>
          <w:rFonts w:eastAsiaTheme="minorEastAsia"/>
          <w:snapToGrid w:val="0"/>
          <w:kern w:val="0"/>
          <w:sz w:val="24"/>
        </w:rPr>
        <w:t>20m</w:t>
      </w:r>
      <w:r w:rsidRPr="00FC1444">
        <w:rPr>
          <w:rFonts w:eastAsiaTheme="minorEastAsia"/>
          <w:snapToGrid w:val="0"/>
          <w:kern w:val="0"/>
          <w:sz w:val="24"/>
          <w:vertAlign w:val="superscript"/>
        </w:rPr>
        <w:t>2</w:t>
      </w:r>
      <w:r w:rsidRPr="00FC1444">
        <w:rPr>
          <w:rFonts w:eastAsiaTheme="minorEastAsia"/>
          <w:snapToGrid w:val="0"/>
          <w:kern w:val="0"/>
          <w:sz w:val="24"/>
        </w:rPr>
        <w:t>临时占地，共</w:t>
      </w:r>
      <w:r w:rsidRPr="00FC1444">
        <w:rPr>
          <w:rFonts w:eastAsiaTheme="minorEastAsia"/>
          <w:snapToGrid w:val="0"/>
          <w:kern w:val="0"/>
          <w:sz w:val="24"/>
        </w:rPr>
        <w:t>2</w:t>
      </w:r>
      <w:r w:rsidR="00E268F3" w:rsidRPr="00FC1444">
        <w:rPr>
          <w:rFonts w:eastAsiaTheme="minorEastAsia"/>
          <w:snapToGrid w:val="0"/>
          <w:kern w:val="0"/>
          <w:sz w:val="24"/>
        </w:rPr>
        <w:t>9000</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z w:val="24"/>
        </w:rPr>
        <w:t>。</w:t>
      </w:r>
      <w:r w:rsidR="00E268F3" w:rsidRPr="00FC1444">
        <w:rPr>
          <w:rFonts w:eastAsiaTheme="minorEastAsia"/>
          <w:sz w:val="24"/>
        </w:rPr>
        <w:t>农田输配电工程</w:t>
      </w:r>
      <w:r w:rsidR="008A02BD" w:rsidRPr="00FC1444">
        <w:rPr>
          <w:rFonts w:eastAsiaTheme="minorEastAsia"/>
          <w:sz w:val="24"/>
        </w:rPr>
        <w:t>高压地埋输电线路</w:t>
      </w:r>
      <w:r w:rsidR="008A02BD" w:rsidRPr="00FC1444">
        <w:rPr>
          <w:rFonts w:eastAsiaTheme="minorEastAsia" w:hint="eastAsia"/>
          <w:sz w:val="24"/>
        </w:rPr>
        <w:t>111.836</w:t>
      </w:r>
      <w:r w:rsidR="008A02BD" w:rsidRPr="00FC1444">
        <w:rPr>
          <w:rFonts w:eastAsiaTheme="minorEastAsia"/>
          <w:sz w:val="24"/>
        </w:rPr>
        <w:t>公里，低压地埋电线路</w:t>
      </w:r>
      <w:r w:rsidR="008A02BD" w:rsidRPr="00FC1444">
        <w:rPr>
          <w:rFonts w:eastAsiaTheme="minorEastAsia" w:hint="eastAsia"/>
          <w:sz w:val="24"/>
        </w:rPr>
        <w:t>21.73</w:t>
      </w:r>
      <w:r w:rsidR="008A02BD" w:rsidRPr="00FC1444">
        <w:rPr>
          <w:rFonts w:eastAsiaTheme="minorEastAsia"/>
          <w:sz w:val="24"/>
        </w:rPr>
        <w:t>公里，高压电缆开挖宽度为</w:t>
      </w:r>
      <w:r w:rsidR="008A02BD" w:rsidRPr="00FC1444">
        <w:rPr>
          <w:rFonts w:eastAsiaTheme="minorEastAsia"/>
          <w:sz w:val="24"/>
        </w:rPr>
        <w:t>0.6m</w:t>
      </w:r>
      <w:r w:rsidR="008A02BD" w:rsidRPr="00FC1444">
        <w:rPr>
          <w:rFonts w:eastAsiaTheme="minorEastAsia" w:hint="eastAsia"/>
          <w:sz w:val="24"/>
        </w:rPr>
        <w:t>，</w:t>
      </w:r>
      <w:r w:rsidR="008A02BD" w:rsidRPr="00FC1444">
        <w:rPr>
          <w:rFonts w:eastAsiaTheme="minorEastAsia"/>
          <w:sz w:val="24"/>
        </w:rPr>
        <w:t>低压电缆开挖宽度为</w:t>
      </w:r>
      <w:r w:rsidR="008A02BD" w:rsidRPr="00FC1444">
        <w:rPr>
          <w:rFonts w:eastAsiaTheme="minorEastAsia"/>
          <w:sz w:val="24"/>
        </w:rPr>
        <w:t>0.4m</w:t>
      </w:r>
      <w:r w:rsidR="008A02BD" w:rsidRPr="00FC1444">
        <w:rPr>
          <w:rFonts w:eastAsiaTheme="minorEastAsia"/>
          <w:sz w:val="24"/>
        </w:rPr>
        <w:t>，沿线一侧外扩</w:t>
      </w:r>
      <w:r w:rsidR="008A02BD" w:rsidRPr="00FC1444">
        <w:rPr>
          <w:rFonts w:eastAsiaTheme="minorEastAsia"/>
          <w:sz w:val="24"/>
        </w:rPr>
        <w:t>3m</w:t>
      </w:r>
      <w:r w:rsidR="008A02BD" w:rsidRPr="00FC1444">
        <w:rPr>
          <w:rFonts w:eastAsiaTheme="minorEastAsia"/>
          <w:sz w:val="24"/>
        </w:rPr>
        <w:t>为临时占地施工场地，共设置</w:t>
      </w:r>
      <w:r w:rsidR="008A02BD" w:rsidRPr="00FC1444">
        <w:rPr>
          <w:rFonts w:eastAsiaTheme="minorEastAsia"/>
          <w:sz w:val="24"/>
        </w:rPr>
        <w:t>194</w:t>
      </w:r>
      <w:r w:rsidR="008A02BD" w:rsidRPr="00FC1444">
        <w:rPr>
          <w:rFonts w:eastAsiaTheme="minorEastAsia"/>
          <w:sz w:val="24"/>
        </w:rPr>
        <w:t>根水泥电杆，变压器为杆上变压器，每处设置</w:t>
      </w:r>
      <w:r w:rsidR="008A02BD" w:rsidRPr="00FC1444">
        <w:rPr>
          <w:rFonts w:eastAsiaTheme="minorEastAsia"/>
          <w:snapToGrid w:val="0"/>
          <w:kern w:val="0"/>
          <w:sz w:val="24"/>
        </w:rPr>
        <w:t>15m</w:t>
      </w:r>
      <w:r w:rsidR="008A02BD" w:rsidRPr="00FC1444">
        <w:rPr>
          <w:rFonts w:eastAsiaTheme="minorEastAsia"/>
          <w:snapToGrid w:val="0"/>
          <w:kern w:val="0"/>
          <w:sz w:val="24"/>
          <w:vertAlign w:val="superscript"/>
        </w:rPr>
        <w:t>2</w:t>
      </w:r>
      <w:r w:rsidR="008A02BD" w:rsidRPr="00FC1444">
        <w:rPr>
          <w:rFonts w:eastAsiaTheme="minorEastAsia"/>
          <w:sz w:val="24"/>
        </w:rPr>
        <w:t>临时占地，临时占地共</w:t>
      </w:r>
      <w:r w:rsidR="008A02BD" w:rsidRPr="00FC1444">
        <w:rPr>
          <w:rFonts w:eastAsiaTheme="minorEastAsia" w:hint="eastAsia"/>
          <w:sz w:val="24"/>
        </w:rPr>
        <w:t>479402</w:t>
      </w:r>
      <w:r w:rsidR="008A02BD" w:rsidRPr="00FC1444">
        <w:rPr>
          <w:rFonts w:eastAsiaTheme="minorEastAsia"/>
          <w:sz w:val="24"/>
        </w:rPr>
        <w:t>m</w:t>
      </w:r>
      <w:r w:rsidR="008A02BD" w:rsidRPr="00FC1444">
        <w:rPr>
          <w:rFonts w:eastAsiaTheme="minorEastAsia"/>
          <w:sz w:val="24"/>
          <w:vertAlign w:val="superscript"/>
        </w:rPr>
        <w:t>2</w:t>
      </w:r>
      <w:r w:rsidRPr="00FC1444">
        <w:rPr>
          <w:rFonts w:eastAsiaTheme="minorEastAsia"/>
          <w:sz w:val="24"/>
        </w:rPr>
        <w:t>。施工表土及弃土临时堆放在</w:t>
      </w:r>
      <w:r w:rsidRPr="00FC1444">
        <w:rPr>
          <w:rFonts w:eastAsiaTheme="minorEastAsia"/>
          <w:bCs/>
          <w:snapToGrid w:val="0"/>
          <w:kern w:val="0"/>
          <w:sz w:val="24"/>
        </w:rPr>
        <w:t>临时施工场地内。</w:t>
      </w:r>
      <w:r w:rsidRPr="00FC1444">
        <w:rPr>
          <w:rFonts w:eastAsiaTheme="minorEastAsia"/>
          <w:sz w:val="24"/>
        </w:rPr>
        <w:t>强排工程为设置柴油移动泵车，使用时间较短，使用后放置在附近村屯内，故无占地。临时占地</w:t>
      </w:r>
      <w:r w:rsidRPr="00FC1444">
        <w:rPr>
          <w:rFonts w:eastAsiaTheme="minorEastAsia"/>
          <w:snapToGrid w:val="0"/>
          <w:kern w:val="0"/>
          <w:sz w:val="24"/>
        </w:rPr>
        <w:t>共</w:t>
      </w:r>
      <w:r w:rsidR="008A02BD" w:rsidRPr="00FC1444">
        <w:rPr>
          <w:rFonts w:eastAsiaTheme="minorEastAsia"/>
          <w:kern w:val="0"/>
          <w:sz w:val="24"/>
          <w:szCs w:val="20"/>
        </w:rPr>
        <w:t>513022</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z w:val="24"/>
        </w:rPr>
        <w:t>。</w:t>
      </w:r>
    </w:p>
    <w:p w:rsidR="002A5A5E" w:rsidRPr="00FC1444" w:rsidRDefault="00611CBA">
      <w:pPr>
        <w:adjustRightInd w:val="0"/>
        <w:snapToGrid w:val="0"/>
        <w:spacing w:line="360" w:lineRule="auto"/>
        <w:ind w:firstLineChars="200" w:firstLine="480"/>
        <w:rPr>
          <w:rFonts w:eastAsiaTheme="minorEastAsia"/>
          <w:sz w:val="24"/>
        </w:rPr>
      </w:pPr>
      <w:r w:rsidRPr="00FC1444">
        <w:rPr>
          <w:rFonts w:ascii="宋体" w:hAnsi="宋体" w:cs="宋体" w:hint="eastAsia"/>
          <w:sz w:val="24"/>
        </w:rPr>
        <w:t>③</w:t>
      </w:r>
      <w:r w:rsidRPr="00FC1444">
        <w:rPr>
          <w:rFonts w:eastAsiaTheme="minorEastAsia"/>
          <w:sz w:val="24"/>
        </w:rPr>
        <w:t>堆料场</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napToGrid w:val="0"/>
          <w:kern w:val="0"/>
          <w:sz w:val="24"/>
        </w:rPr>
        <w:t>项目</w:t>
      </w:r>
      <w:r w:rsidRPr="00FC1444">
        <w:rPr>
          <w:rFonts w:eastAsiaTheme="minorEastAsia"/>
          <w:bCs/>
          <w:sz w:val="24"/>
        </w:rPr>
        <w:t>农田输配电工程沿线一侧外扩</w:t>
      </w:r>
      <w:r w:rsidR="003C682E" w:rsidRPr="00FC1444">
        <w:rPr>
          <w:rFonts w:eastAsiaTheme="minorEastAsia"/>
          <w:bCs/>
          <w:sz w:val="24"/>
        </w:rPr>
        <w:t>3</w:t>
      </w:r>
      <w:r w:rsidRPr="00FC1444">
        <w:rPr>
          <w:rFonts w:eastAsiaTheme="minorEastAsia"/>
          <w:bCs/>
          <w:sz w:val="24"/>
        </w:rPr>
        <w:t>m</w:t>
      </w:r>
      <w:r w:rsidRPr="00FC1444">
        <w:rPr>
          <w:rFonts w:eastAsiaTheme="minorEastAsia"/>
          <w:bCs/>
          <w:sz w:val="24"/>
        </w:rPr>
        <w:t>范围设为施工范围，</w:t>
      </w:r>
      <w:r w:rsidR="003C682E" w:rsidRPr="00FC1444">
        <w:rPr>
          <w:rFonts w:eastAsiaTheme="minorEastAsia"/>
          <w:sz w:val="24"/>
        </w:rPr>
        <w:t>变压器为杆上变压器，每处水泥电杆设置</w:t>
      </w:r>
      <w:r w:rsidR="003C682E" w:rsidRPr="00FC1444">
        <w:rPr>
          <w:rFonts w:eastAsiaTheme="minorEastAsia"/>
          <w:snapToGrid w:val="0"/>
          <w:kern w:val="0"/>
          <w:sz w:val="24"/>
        </w:rPr>
        <w:t>20m</w:t>
      </w:r>
      <w:r w:rsidR="003C682E" w:rsidRPr="00FC1444">
        <w:rPr>
          <w:rFonts w:eastAsiaTheme="minorEastAsia"/>
          <w:snapToGrid w:val="0"/>
          <w:kern w:val="0"/>
          <w:sz w:val="24"/>
          <w:vertAlign w:val="superscript"/>
        </w:rPr>
        <w:t>2</w:t>
      </w:r>
      <w:r w:rsidR="003C682E" w:rsidRPr="00FC1444">
        <w:rPr>
          <w:rFonts w:eastAsiaTheme="minorEastAsia"/>
          <w:sz w:val="24"/>
        </w:rPr>
        <w:t>临时占地</w:t>
      </w:r>
      <w:r w:rsidRPr="00FC1444">
        <w:rPr>
          <w:rFonts w:eastAsiaTheme="minorEastAsia"/>
          <w:sz w:val="24"/>
        </w:rPr>
        <w:t>，</w:t>
      </w:r>
      <w:r w:rsidRPr="00FC1444">
        <w:rPr>
          <w:rFonts w:eastAsiaTheme="minorEastAsia"/>
          <w:bCs/>
          <w:sz w:val="24"/>
        </w:rPr>
        <w:t>施工材料均沿线堆放在施工范围内，不设集中堆料场；机电井及涵洞等建筑物工程施工材料堆放在施工场地内，堆高</w:t>
      </w:r>
      <w:r w:rsidRPr="00FC1444">
        <w:rPr>
          <w:rFonts w:eastAsiaTheme="minorEastAsia"/>
          <w:bCs/>
          <w:sz w:val="24"/>
        </w:rPr>
        <w:t>0.5m</w:t>
      </w:r>
      <w:r w:rsidR="00D61453" w:rsidRPr="00FC1444">
        <w:rPr>
          <w:rFonts w:eastAsiaTheme="minorEastAsia"/>
          <w:bCs/>
          <w:sz w:val="24"/>
        </w:rPr>
        <w:t>；田间道路工程、排水工程、田块整治工程</w:t>
      </w:r>
      <w:r w:rsidRPr="00FC1444">
        <w:rPr>
          <w:rFonts w:eastAsiaTheme="minorEastAsia"/>
          <w:bCs/>
          <w:sz w:val="24"/>
        </w:rPr>
        <w:t>施工材料堆放在永久占地内，不设集中堆料场</w:t>
      </w:r>
      <w:r w:rsidRPr="00FC1444">
        <w:rPr>
          <w:rFonts w:eastAsiaTheme="minorEastAsia"/>
          <w:sz w:val="24"/>
        </w:rPr>
        <w:t>。</w:t>
      </w:r>
    </w:p>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典型施工总体布置（道路工程、料场、生活区）图见</w:t>
      </w:r>
      <w:r w:rsidRPr="00FC1444">
        <w:rPr>
          <w:rFonts w:eastAsiaTheme="minorEastAsia"/>
          <w:sz w:val="24"/>
        </w:rPr>
        <w:t>3-1-4</w:t>
      </w:r>
      <w:r w:rsidRPr="00FC1444">
        <w:rPr>
          <w:rFonts w:eastAsiaTheme="minorEastAsia"/>
          <w:sz w:val="24"/>
        </w:rPr>
        <w:t>。项目工程及施工总平面布置图见附图</w:t>
      </w:r>
      <w:r w:rsidRPr="00FC1444">
        <w:rPr>
          <w:rFonts w:eastAsiaTheme="minorEastAsia"/>
          <w:sz w:val="24"/>
        </w:rPr>
        <w:t>9</w:t>
      </w:r>
      <w:r w:rsidRPr="00FC1444">
        <w:rPr>
          <w:rFonts w:eastAsiaTheme="minorEastAsia"/>
          <w:sz w:val="24"/>
        </w:rPr>
        <w:t>。</w:t>
      </w:r>
    </w:p>
    <w:p w:rsidR="006C3D69" w:rsidRPr="00FC1444" w:rsidRDefault="00107A4B">
      <w:pPr>
        <w:widowControl/>
        <w:spacing w:line="360" w:lineRule="auto"/>
        <w:jc w:val="center"/>
        <w:textAlignment w:val="baseline"/>
        <w:rPr>
          <w:rStyle w:val="Charf3"/>
          <w:rFonts w:ascii="Times New Roman" w:eastAsiaTheme="minorEastAsia" w:hAnsi="Times New Roman"/>
        </w:rPr>
      </w:pPr>
      <w:r w:rsidRPr="00FC1444">
        <w:rPr>
          <w:rFonts w:eastAsiaTheme="minorEastAsia"/>
          <w:noProof/>
          <w:sz w:val="24"/>
        </w:rPr>
        <w:lastRenderedPageBreak/>
        <w:drawing>
          <wp:anchor distT="0" distB="0" distL="114300" distR="114300" simplePos="0" relativeHeight="251858944" behindDoc="0" locked="0" layoutInCell="1" allowOverlap="1">
            <wp:simplePos x="0" y="0"/>
            <wp:positionH relativeFrom="column">
              <wp:posOffset>566627</wp:posOffset>
            </wp:positionH>
            <wp:positionV relativeFrom="paragraph">
              <wp:posOffset>55496</wp:posOffset>
            </wp:positionV>
            <wp:extent cx="576373" cy="531628"/>
            <wp:effectExtent l="19050" t="0" r="0" b="0"/>
            <wp:wrapNone/>
            <wp:docPr id="683" name="图片 29" descr="E:\xwechat_files\wxid_mq55o8x17m3l21_57cf\temp\RWTemp\2026-09\9e20f478899dc29eb19741386f9343c8\cf5832beccbae337fe08c2bfaa8c1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wechat_files\wxid_mq55o8x17m3l21_57cf\temp\RWTemp\2026-09\9e20f478899dc29eb19741386f9343c8\cf5832beccbae337fe08c2bfaa8c1c9d.png"/>
                    <pic:cNvPicPr>
                      <a:picLocks noChangeAspect="1" noChangeArrowheads="1"/>
                    </pic:cNvPicPr>
                  </pic:nvPicPr>
                  <pic:blipFill>
                    <a:blip r:embed="rId23"/>
                    <a:srcRect/>
                    <a:stretch>
                      <a:fillRect/>
                    </a:stretch>
                  </pic:blipFill>
                  <pic:spPr bwMode="auto">
                    <a:xfrm>
                      <a:off x="0" y="0"/>
                      <a:ext cx="576373" cy="531628"/>
                    </a:xfrm>
                    <a:prstGeom prst="rect">
                      <a:avLst/>
                    </a:prstGeom>
                    <a:noFill/>
                    <a:ln w="9525">
                      <a:noFill/>
                      <a:miter lim="800000"/>
                      <a:headEnd/>
                      <a:tailEnd/>
                    </a:ln>
                  </pic:spPr>
                </pic:pic>
              </a:graphicData>
            </a:graphic>
          </wp:anchor>
        </w:drawing>
      </w:r>
      <w:r w:rsidR="009840DD" w:rsidRPr="00FC1444">
        <w:rPr>
          <w:rFonts w:eastAsiaTheme="minorEastAsia"/>
          <w:noProof/>
          <w:sz w:val="24"/>
        </w:rPr>
        <w:pict>
          <v:polyline id="_x0000_s697235" style="position:absolute;left:0;text-align:left;z-index:251890688;mso-position-horizontal-relative:text;mso-position-vertical-relative:text" points="260.35pt,68.6pt,292.55pt,25.6pt,310.3pt,13.25pt,372.15pt,52.45pt" coordsize="2236,1107" filled="f" strokecolor="#00b0f0" strokeweight="1.5pt">
            <v:path arrowok="t"/>
          </v:polyline>
        </w:pict>
      </w:r>
      <w:r w:rsidR="009840DD" w:rsidRPr="00FC1444">
        <w:rPr>
          <w:rFonts w:eastAsiaTheme="minorEastAsia"/>
          <w:noProof/>
          <w:sz w:val="24"/>
        </w:rPr>
        <w:pict>
          <v:line id="_x0000_s697234" style="position:absolute;left:0;text-align:left;z-index:251889664;mso-position-horizontal-relative:text;mso-position-vertical-relative:text" from="356.55pt,143.25pt" to="372.15pt,171.2pt" strokecolor="#00b0f0" strokeweight="1.5pt"/>
        </w:pict>
      </w:r>
      <w:r w:rsidR="009840DD" w:rsidRPr="00FC1444">
        <w:rPr>
          <w:rFonts w:eastAsiaTheme="minorEastAsia"/>
          <w:noProof/>
          <w:sz w:val="24"/>
        </w:rPr>
        <w:pict>
          <v:line id="_x0000_s697233" style="position:absolute;left:0;text-align:left;z-index:251888640;mso-position-horizontal-relative:text;mso-position-vertical-relative:text" from="252.8pt,72.35pt" to="347.9pt,134.15pt" strokecolor="#00b0f0" strokeweight="1.5pt"/>
        </w:pict>
      </w:r>
      <w:r w:rsidR="009840DD" w:rsidRPr="00FC1444">
        <w:rPr>
          <w:rFonts w:eastAsiaTheme="minorEastAsia"/>
          <w:noProof/>
          <w:sz w:val="24"/>
        </w:rPr>
        <w:pict>
          <v:shape id="_x0000_s697183" type="#_x0000_t32" style="position:absolute;left:0;text-align:left;margin-left:179.7pt;margin-top:261.5pt;width:6.2pt;height:.05pt;z-index:251834368;mso-position-horizontal-relative:text;mso-position-vertical-relative:text" o:connectortype="straight" strokecolor="yellow" strokeweight="1.5pt"/>
        </w:pict>
      </w:r>
      <w:r w:rsidR="009840DD" w:rsidRPr="00FC1444">
        <w:rPr>
          <w:rFonts w:eastAsiaTheme="minorEastAsia"/>
          <w:sz w:val="24"/>
        </w:rPr>
        <w:pict>
          <v:shape id="_x0000_s696999" type="#_x0000_t32" style="position:absolute;left:0;text-align:left;margin-left:171.8pt;margin-top:209.35pt;width:5.15pt;height:3.7pt;flip:y;z-index:251722752;mso-position-horizontal-relative:text;mso-position-vertical-relative:text" o:connectortype="straight" strokecolor="yellow" strokeweight="1.5pt"/>
        </w:pict>
      </w:r>
      <w:r w:rsidR="009840DD" w:rsidRPr="00FC1444">
        <w:rPr>
          <w:rFonts w:eastAsiaTheme="minorEastAsia"/>
          <w:sz w:val="24"/>
        </w:rPr>
        <w:pict>
          <v:shape id="_x0000_s697008" style="position:absolute;left:0;text-align:left;margin-left:43.8pt;margin-top:60pt;width:222.45pt;height:165.45pt;z-index:251728896;mso-position-horizontal-relative:text;mso-position-vertical-relative:text;mso-width-relative:page;mso-height-relative:page" coordsize="4449,3309" path="m,2751r12,297l43,3170r305,-1l348,3309r253,-65l1225,3141r238,-82l1705,2978r369,-206l2171,2600r161,-204l2858,2342r495,-96l3632,2149r75,-376l3879,1504,3718,1053,4449,429,3793,,3138,709,2375,999r-484,387l1418,1483r-290,193l849,1869,634,2020,451,1805r-86,97l43,1945r-43,l,2751xe" fillcolor="#00b050" strokecolor="#00b050">
            <v:fill opacity=".5" color2="#92cddc" o:opacity2=".5" rotate="t"/>
            <v:path arrowok="t"/>
          </v:shape>
        </w:pict>
      </w:r>
      <w:r w:rsidR="009840DD" w:rsidRPr="00FC1444">
        <w:rPr>
          <w:rFonts w:eastAsiaTheme="minorEastAsia"/>
          <w:sz w:val="24"/>
        </w:rPr>
        <w:pict>
          <v:rect id="_x0000_s697013" style="position:absolute;left:0;text-align:left;margin-left:51.3pt;margin-top:258.3pt;width:8.7pt;height:10.35pt;z-index:251732992;mso-position-horizontal-relative:text;mso-position-vertical-relative:text" fillcolor="#00b0f0" stroked="f" strokecolor="#938953"/>
        </w:pict>
      </w:r>
      <w:r w:rsidR="009840DD" w:rsidRPr="00FC1444">
        <w:rPr>
          <w:rFonts w:eastAsiaTheme="minorEastAsia"/>
          <w:sz w:val="24"/>
        </w:rPr>
        <w:pict>
          <v:shape id="_x0000_s697012" type="#_x0000_t32" style="position:absolute;left:0;text-align:left;margin-left:47.55pt;margin-top:252.25pt;width:16.4pt;height:0;z-index:251731968;mso-position-horizontal-relative:text;mso-position-vertical-relative:text" o:connectortype="straight" strokecolor="yellow" strokeweight="2.25pt"/>
        </w:pict>
      </w:r>
      <w:r w:rsidR="009840DD" w:rsidRPr="00FC1444">
        <w:rPr>
          <w:rFonts w:eastAsiaTheme="minorEastAsia"/>
          <w:sz w:val="24"/>
        </w:rPr>
        <w:pict>
          <v:rect id="_x0000_s697010" style="position:absolute;left:0;text-align:left;margin-left:47.85pt;margin-top:234.8pt;width:16.95pt;height:11.85pt;z-index:251730944;mso-position-horizontal-relative:text;mso-position-vertical-relative:text" fillcolor="#00b050" strokecolor="#00b050">
            <v:fill opacity=".5" color2="#92cddc" o:opacity2=".5" rotate="t"/>
          </v:rect>
        </w:pict>
      </w:r>
      <w:r w:rsidR="009840DD" w:rsidRPr="00FC1444">
        <w:rPr>
          <w:rFonts w:eastAsiaTheme="minorEastAsia"/>
          <w:sz w:val="24"/>
        </w:rPr>
        <w:pict>
          <v:shape id="_x0000_s697009" type="#_x0000_t202" style="position:absolute;left:0;text-align:left;margin-left:43.2pt;margin-top:221pt;width:97.75pt;height:56.65pt;z-index:251729920;mso-position-horizontal-relative:text;mso-position-vertical-relative:text">
            <v:textbox style="mso-next-textbox:#_x0000_s697009">
              <w:txbxContent>
                <w:p w:rsidR="006F5CC4" w:rsidRDefault="006F5CC4" w:rsidP="009A3165">
                  <w:pPr>
                    <w:spacing w:line="0" w:lineRule="atLeast"/>
                    <w:jc w:val="center"/>
                    <w:rPr>
                      <w:sz w:val="18"/>
                      <w:szCs w:val="18"/>
                    </w:rPr>
                  </w:pPr>
                  <w:r>
                    <w:rPr>
                      <w:sz w:val="18"/>
                      <w:szCs w:val="18"/>
                    </w:rPr>
                    <w:t>图例</w:t>
                  </w:r>
                </w:p>
                <w:p w:rsidR="006F5CC4" w:rsidRDefault="006F5CC4" w:rsidP="009A3165">
                  <w:pPr>
                    <w:spacing w:line="0" w:lineRule="atLeast"/>
                    <w:ind w:firstLineChars="250" w:firstLine="375"/>
                    <w:rPr>
                      <w:sz w:val="15"/>
                      <w:szCs w:val="15"/>
                    </w:rPr>
                  </w:pPr>
                  <w:r>
                    <w:rPr>
                      <w:rFonts w:hint="eastAsia"/>
                      <w:sz w:val="15"/>
                      <w:szCs w:val="15"/>
                    </w:rPr>
                    <w:t>生活区</w:t>
                  </w:r>
                </w:p>
                <w:p w:rsidR="006F5CC4" w:rsidRDefault="006F5CC4" w:rsidP="009A3165">
                  <w:pPr>
                    <w:spacing w:line="0" w:lineRule="atLeast"/>
                    <w:ind w:firstLineChars="250" w:firstLine="375"/>
                    <w:rPr>
                      <w:sz w:val="15"/>
                      <w:szCs w:val="15"/>
                    </w:rPr>
                  </w:pPr>
                  <w:r>
                    <w:rPr>
                      <w:rFonts w:hint="eastAsia"/>
                      <w:sz w:val="15"/>
                      <w:szCs w:val="15"/>
                    </w:rPr>
                    <w:t>临时道路</w:t>
                  </w:r>
                </w:p>
                <w:p w:rsidR="006F5CC4" w:rsidRDefault="006F5CC4" w:rsidP="009A3165">
                  <w:pPr>
                    <w:spacing w:line="0" w:lineRule="atLeast"/>
                    <w:ind w:firstLineChars="250" w:firstLine="375"/>
                    <w:rPr>
                      <w:sz w:val="15"/>
                      <w:szCs w:val="15"/>
                    </w:rPr>
                  </w:pPr>
                  <w:r>
                    <w:rPr>
                      <w:rFonts w:hint="eastAsia"/>
                      <w:sz w:val="15"/>
                      <w:szCs w:val="15"/>
                    </w:rPr>
                    <w:t>施工场地</w:t>
                  </w:r>
                </w:p>
                <w:p w:rsidR="006F5CC4" w:rsidRDefault="006F5CC4" w:rsidP="009A3165">
                  <w:pPr>
                    <w:spacing w:line="0" w:lineRule="atLeast"/>
                    <w:ind w:firstLineChars="250" w:firstLine="375"/>
                    <w:rPr>
                      <w:sz w:val="15"/>
                      <w:szCs w:val="15"/>
                    </w:rPr>
                  </w:pPr>
                  <w:r>
                    <w:rPr>
                      <w:rFonts w:hint="eastAsia"/>
                      <w:sz w:val="15"/>
                      <w:szCs w:val="15"/>
                    </w:rPr>
                    <w:t>（含料场弃土堆场）</w:t>
                  </w:r>
                </w:p>
              </w:txbxContent>
            </v:textbox>
          </v:shape>
        </w:pict>
      </w:r>
      <w:r w:rsidR="009840DD" w:rsidRPr="00FC1444">
        <w:rPr>
          <w:rFonts w:eastAsiaTheme="minorEastAsia"/>
          <w:sz w:val="24"/>
        </w:rPr>
        <w:pict>
          <v:rect id="_x0000_s697063" style="position:absolute;left:0;text-align:left;margin-left:160.85pt;margin-top:256.75pt;width:10.6pt;height:10.25pt;z-index:251748352;mso-position-horizontal-relative:text;mso-position-vertical-relative:text" fillcolor="#00b0f0" stroked="f" strokecolor="#938953"/>
        </w:pict>
      </w:r>
      <w:r w:rsidR="009840DD" w:rsidRPr="00FC1444">
        <w:rPr>
          <w:rFonts w:eastAsiaTheme="minorEastAsia"/>
          <w:sz w:val="24"/>
        </w:rPr>
        <w:pict>
          <v:rect id="_x0000_s697064" style="position:absolute;left:0;text-align:left;margin-left:182.7pt;margin-top:206.05pt;width:10.6pt;height:10.25pt;z-index:251749376;mso-position-horizontal-relative:text;mso-position-vertical-relative:text" fillcolor="#00b0f0" stroked="f" strokecolor="#938953"/>
        </w:pict>
      </w:r>
      <w:r w:rsidR="009A3165" w:rsidRPr="00FC1444">
        <w:rPr>
          <w:rFonts w:ascii="宋体" w:eastAsiaTheme="minorEastAsia" w:hAnsi="宋体" w:hint="eastAsia"/>
          <w:noProof/>
          <w:szCs w:val="21"/>
        </w:rPr>
        <w:drawing>
          <wp:inline distT="0" distB="0" distL="0" distR="0">
            <wp:extent cx="4177833" cy="3473952"/>
            <wp:effectExtent l="19050" t="19050" r="13167" b="12198"/>
            <wp:docPr id="23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srcRect/>
                    <a:stretch>
                      <a:fillRect/>
                    </a:stretch>
                  </pic:blipFill>
                  <pic:spPr bwMode="auto">
                    <a:xfrm>
                      <a:off x="0" y="0"/>
                      <a:ext cx="4181583" cy="3477070"/>
                    </a:xfrm>
                    <a:prstGeom prst="rect">
                      <a:avLst/>
                    </a:prstGeom>
                    <a:noFill/>
                    <a:ln w="9525">
                      <a:solidFill>
                        <a:schemeClr val="tx1"/>
                      </a:solidFill>
                      <a:miter lim="800000"/>
                      <a:headEnd/>
                      <a:tailEnd/>
                    </a:ln>
                  </pic:spPr>
                </pic:pic>
              </a:graphicData>
            </a:graphic>
          </wp:inline>
        </w:drawing>
      </w:r>
    </w:p>
    <w:p w:rsidR="002A5A5E" w:rsidRPr="00FC1444" w:rsidRDefault="00611CBA">
      <w:pPr>
        <w:widowControl/>
        <w:spacing w:line="360" w:lineRule="auto"/>
        <w:jc w:val="center"/>
        <w:textAlignment w:val="baseline"/>
        <w:rPr>
          <w:rFonts w:eastAsiaTheme="minorEastAsia"/>
          <w:sz w:val="24"/>
        </w:rPr>
      </w:pPr>
      <w:r w:rsidRPr="00FC1444">
        <w:rPr>
          <w:rStyle w:val="Charf3"/>
          <w:rFonts w:ascii="Times New Roman" w:eastAsiaTheme="minorEastAsia" w:hAnsi="Times New Roman"/>
        </w:rPr>
        <w:t>图</w:t>
      </w:r>
      <w:r w:rsidRPr="00FC1444">
        <w:rPr>
          <w:rStyle w:val="Charf3"/>
          <w:rFonts w:ascii="Times New Roman" w:eastAsiaTheme="minorEastAsia" w:hAnsi="Times New Roman"/>
        </w:rPr>
        <w:t>3-1-</w:t>
      </w:r>
      <w:r w:rsidR="00CC24C1" w:rsidRPr="00FC1444">
        <w:rPr>
          <w:rStyle w:val="Charf3"/>
          <w:rFonts w:ascii="Times New Roman" w:eastAsiaTheme="minorEastAsia" w:hAnsi="Times New Roman"/>
        </w:rPr>
        <w:t>4</w:t>
      </w:r>
      <w:r w:rsidRPr="00FC1444">
        <w:rPr>
          <w:rFonts w:eastAsiaTheme="minorEastAsia"/>
          <w:b/>
          <w:szCs w:val="21"/>
        </w:rPr>
        <w:t>典型施工总体布置（道路工程、料场、生活区）</w:t>
      </w:r>
      <w:r w:rsidRPr="00FC1444">
        <w:rPr>
          <w:rStyle w:val="Charf3"/>
          <w:rFonts w:ascii="Times New Roman" w:eastAsiaTheme="minorEastAsia" w:hAnsi="Times New Roman"/>
        </w:rPr>
        <w:t>图</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3.1.13</w:t>
      </w:r>
      <w:r w:rsidRPr="00FC1444">
        <w:rPr>
          <w:rFonts w:eastAsiaTheme="minorEastAsia"/>
          <w:b/>
          <w:sz w:val="28"/>
          <w:szCs w:val="28"/>
        </w:rPr>
        <w:t>施工进度安排</w:t>
      </w:r>
    </w:p>
    <w:p w:rsidR="002A5A5E" w:rsidRPr="00FC1444" w:rsidRDefault="00611CBA">
      <w:pPr>
        <w:adjustRightInd w:val="0"/>
        <w:snapToGrid w:val="0"/>
        <w:spacing w:line="360" w:lineRule="auto"/>
        <w:ind w:firstLineChars="200" w:firstLine="480"/>
        <w:rPr>
          <w:rFonts w:eastAsiaTheme="minorEastAsia"/>
          <w:snapToGrid w:val="0"/>
          <w:kern w:val="0"/>
          <w:sz w:val="24"/>
        </w:rPr>
      </w:pPr>
      <w:r w:rsidRPr="00FC1444">
        <w:rPr>
          <w:rFonts w:eastAsiaTheme="minorEastAsia"/>
          <w:snapToGrid w:val="0"/>
          <w:kern w:val="0"/>
          <w:sz w:val="24"/>
        </w:rPr>
        <w:t>项目建设期为</w:t>
      </w:r>
      <w:r w:rsidRPr="00FC1444">
        <w:rPr>
          <w:rFonts w:eastAsiaTheme="minorEastAsia"/>
          <w:snapToGrid w:val="0"/>
          <w:kern w:val="0"/>
          <w:sz w:val="24"/>
        </w:rPr>
        <w:t>202</w:t>
      </w:r>
      <w:r w:rsidR="00D00C4A" w:rsidRPr="00FC1444">
        <w:rPr>
          <w:rFonts w:eastAsiaTheme="minorEastAsia"/>
          <w:snapToGrid w:val="0"/>
          <w:kern w:val="0"/>
          <w:sz w:val="24"/>
        </w:rPr>
        <w:t>6</w:t>
      </w:r>
      <w:r w:rsidRPr="00FC1444">
        <w:rPr>
          <w:rFonts w:eastAsiaTheme="minorEastAsia"/>
          <w:snapToGrid w:val="0"/>
          <w:kern w:val="0"/>
          <w:sz w:val="24"/>
        </w:rPr>
        <w:t>年</w:t>
      </w:r>
      <w:r w:rsidR="00457C4D" w:rsidRPr="00FC1444">
        <w:rPr>
          <w:rFonts w:eastAsiaTheme="minorEastAsia"/>
          <w:snapToGrid w:val="0"/>
          <w:kern w:val="0"/>
          <w:sz w:val="24"/>
        </w:rPr>
        <w:t>1</w:t>
      </w:r>
      <w:r w:rsidR="00D41946" w:rsidRPr="00FC1444">
        <w:rPr>
          <w:rFonts w:eastAsiaTheme="minorEastAsia" w:hint="eastAsia"/>
          <w:snapToGrid w:val="0"/>
          <w:kern w:val="0"/>
          <w:sz w:val="24"/>
        </w:rPr>
        <w:t>1</w:t>
      </w:r>
      <w:r w:rsidRPr="00FC1444">
        <w:rPr>
          <w:rFonts w:eastAsiaTheme="minorEastAsia"/>
          <w:snapToGrid w:val="0"/>
          <w:kern w:val="0"/>
          <w:sz w:val="24"/>
        </w:rPr>
        <w:t>月～</w:t>
      </w:r>
      <w:r w:rsidRPr="00FC1444">
        <w:rPr>
          <w:rFonts w:eastAsiaTheme="minorEastAsia"/>
          <w:snapToGrid w:val="0"/>
          <w:kern w:val="0"/>
          <w:sz w:val="24"/>
        </w:rPr>
        <w:t>202</w:t>
      </w:r>
      <w:r w:rsidR="00D00C4A" w:rsidRPr="00FC1444">
        <w:rPr>
          <w:rFonts w:eastAsiaTheme="minorEastAsia"/>
          <w:snapToGrid w:val="0"/>
          <w:kern w:val="0"/>
          <w:sz w:val="24"/>
        </w:rPr>
        <w:t>8</w:t>
      </w:r>
      <w:r w:rsidRPr="00FC1444">
        <w:rPr>
          <w:rFonts w:eastAsiaTheme="minorEastAsia"/>
          <w:snapToGrid w:val="0"/>
          <w:kern w:val="0"/>
          <w:sz w:val="24"/>
        </w:rPr>
        <w:t>年</w:t>
      </w:r>
      <w:r w:rsidR="00D41946" w:rsidRPr="00FC1444">
        <w:rPr>
          <w:rFonts w:eastAsiaTheme="minorEastAsia" w:hint="eastAsia"/>
          <w:snapToGrid w:val="0"/>
          <w:kern w:val="0"/>
          <w:sz w:val="24"/>
        </w:rPr>
        <w:t>9</w:t>
      </w:r>
      <w:r w:rsidRPr="00FC1444">
        <w:rPr>
          <w:rFonts w:eastAsiaTheme="minorEastAsia"/>
          <w:snapToGrid w:val="0"/>
          <w:kern w:val="0"/>
          <w:sz w:val="24"/>
        </w:rPr>
        <w:t>月，工期</w:t>
      </w:r>
      <w:r w:rsidR="00457C4D" w:rsidRPr="00FC1444">
        <w:rPr>
          <w:rFonts w:eastAsiaTheme="minorEastAsia"/>
          <w:snapToGrid w:val="0"/>
          <w:kern w:val="0"/>
          <w:sz w:val="24"/>
        </w:rPr>
        <w:t>23</w:t>
      </w:r>
      <w:r w:rsidRPr="00FC1444">
        <w:rPr>
          <w:rFonts w:eastAsiaTheme="minorEastAsia"/>
          <w:snapToGrid w:val="0"/>
          <w:kern w:val="0"/>
          <w:sz w:val="24"/>
        </w:rPr>
        <w:t>个月。多个片区同时施工，具体安排如下：</w:t>
      </w:r>
    </w:p>
    <w:p w:rsidR="002A5A5E" w:rsidRPr="00FC1444" w:rsidRDefault="00611CBA">
      <w:pPr>
        <w:adjustRightInd w:val="0"/>
        <w:snapToGrid w:val="0"/>
        <w:spacing w:line="360" w:lineRule="auto"/>
        <w:ind w:firstLineChars="200" w:firstLine="480"/>
        <w:rPr>
          <w:rFonts w:eastAsiaTheme="minorEastAsia"/>
          <w:snapToGrid w:val="0"/>
          <w:kern w:val="0"/>
          <w:sz w:val="24"/>
        </w:rPr>
      </w:pPr>
      <w:r w:rsidRPr="00FC1444">
        <w:rPr>
          <w:rFonts w:eastAsiaTheme="minorEastAsia"/>
          <w:snapToGrid w:val="0"/>
          <w:kern w:val="0"/>
          <w:sz w:val="24"/>
        </w:rPr>
        <w:t>202</w:t>
      </w:r>
      <w:r w:rsidR="00D00C4A" w:rsidRPr="00FC1444">
        <w:rPr>
          <w:rFonts w:eastAsiaTheme="minorEastAsia"/>
          <w:snapToGrid w:val="0"/>
          <w:kern w:val="0"/>
          <w:sz w:val="24"/>
        </w:rPr>
        <w:t>6</w:t>
      </w:r>
      <w:r w:rsidRPr="00FC1444">
        <w:rPr>
          <w:rFonts w:eastAsiaTheme="minorEastAsia"/>
          <w:snapToGrid w:val="0"/>
          <w:kern w:val="0"/>
          <w:sz w:val="24"/>
        </w:rPr>
        <w:t>年</w:t>
      </w:r>
      <w:r w:rsidR="00457C4D" w:rsidRPr="00FC1444">
        <w:rPr>
          <w:rFonts w:eastAsiaTheme="minorEastAsia"/>
          <w:snapToGrid w:val="0"/>
          <w:kern w:val="0"/>
          <w:sz w:val="24"/>
        </w:rPr>
        <w:t>11</w:t>
      </w:r>
      <w:r w:rsidR="00457C4D" w:rsidRPr="00FC1444">
        <w:rPr>
          <w:rFonts w:eastAsiaTheme="minorEastAsia"/>
          <w:snapToGrid w:val="0"/>
          <w:kern w:val="0"/>
          <w:sz w:val="24"/>
        </w:rPr>
        <w:t>月：施工准备、备料</w:t>
      </w:r>
      <w:r w:rsidRPr="00FC1444">
        <w:rPr>
          <w:rFonts w:eastAsiaTheme="minorEastAsia"/>
          <w:snapToGrid w:val="0"/>
          <w:kern w:val="0"/>
          <w:sz w:val="24"/>
        </w:rPr>
        <w:t>；</w:t>
      </w:r>
    </w:p>
    <w:p w:rsidR="002A5A5E" w:rsidRPr="00FC1444" w:rsidRDefault="00611CBA">
      <w:pPr>
        <w:adjustRightInd w:val="0"/>
        <w:snapToGrid w:val="0"/>
        <w:spacing w:line="360" w:lineRule="auto"/>
        <w:ind w:firstLineChars="200" w:firstLine="480"/>
        <w:rPr>
          <w:rFonts w:eastAsiaTheme="minorEastAsia"/>
          <w:snapToGrid w:val="0"/>
          <w:kern w:val="0"/>
          <w:sz w:val="24"/>
        </w:rPr>
      </w:pPr>
      <w:r w:rsidRPr="00FC1444">
        <w:rPr>
          <w:rFonts w:eastAsiaTheme="minorEastAsia"/>
          <w:snapToGrid w:val="0"/>
          <w:kern w:val="0"/>
          <w:sz w:val="24"/>
        </w:rPr>
        <w:t>202</w:t>
      </w:r>
      <w:r w:rsidR="00D00C4A" w:rsidRPr="00FC1444">
        <w:rPr>
          <w:rFonts w:eastAsiaTheme="minorEastAsia"/>
          <w:snapToGrid w:val="0"/>
          <w:kern w:val="0"/>
          <w:sz w:val="24"/>
        </w:rPr>
        <w:t>7</w:t>
      </w:r>
      <w:r w:rsidRPr="00FC1444">
        <w:rPr>
          <w:rFonts w:eastAsiaTheme="minorEastAsia"/>
          <w:snapToGrid w:val="0"/>
          <w:kern w:val="0"/>
          <w:sz w:val="24"/>
        </w:rPr>
        <w:t>年</w:t>
      </w:r>
      <w:r w:rsidRPr="00FC1444">
        <w:rPr>
          <w:rFonts w:eastAsiaTheme="minorEastAsia"/>
          <w:snapToGrid w:val="0"/>
          <w:kern w:val="0"/>
          <w:sz w:val="24"/>
        </w:rPr>
        <w:t>3</w:t>
      </w:r>
      <w:r w:rsidRPr="00FC1444">
        <w:rPr>
          <w:rFonts w:eastAsiaTheme="minorEastAsia"/>
          <w:snapToGrid w:val="0"/>
          <w:kern w:val="0"/>
          <w:sz w:val="24"/>
        </w:rPr>
        <w:t>月～</w:t>
      </w:r>
      <w:r w:rsidRPr="00FC1444">
        <w:rPr>
          <w:rFonts w:eastAsiaTheme="minorEastAsia"/>
          <w:snapToGrid w:val="0"/>
          <w:kern w:val="0"/>
          <w:sz w:val="24"/>
        </w:rPr>
        <w:t>202</w:t>
      </w:r>
      <w:r w:rsidR="00D00C4A" w:rsidRPr="00FC1444">
        <w:rPr>
          <w:rFonts w:eastAsiaTheme="minorEastAsia"/>
          <w:snapToGrid w:val="0"/>
          <w:kern w:val="0"/>
          <w:sz w:val="24"/>
        </w:rPr>
        <w:t>7</w:t>
      </w:r>
      <w:r w:rsidRPr="00FC1444">
        <w:rPr>
          <w:rFonts w:eastAsiaTheme="minorEastAsia"/>
          <w:snapToGrid w:val="0"/>
          <w:kern w:val="0"/>
          <w:sz w:val="24"/>
        </w:rPr>
        <w:t>年</w:t>
      </w:r>
      <w:r w:rsidRPr="00FC1444">
        <w:rPr>
          <w:rFonts w:eastAsiaTheme="minorEastAsia"/>
          <w:snapToGrid w:val="0"/>
          <w:kern w:val="0"/>
          <w:sz w:val="24"/>
        </w:rPr>
        <w:t>4</w:t>
      </w:r>
      <w:r w:rsidRPr="00FC1444">
        <w:rPr>
          <w:rFonts w:eastAsiaTheme="minorEastAsia"/>
          <w:snapToGrid w:val="0"/>
          <w:kern w:val="0"/>
          <w:sz w:val="24"/>
        </w:rPr>
        <w:t>月：完成灌溉与排水工程（排水沟清淤、建筑物工程、灌溉渠道衬砌</w:t>
      </w:r>
      <w:r w:rsidRPr="00FC1444">
        <w:rPr>
          <w:rFonts w:eastAsiaTheme="minorEastAsia"/>
          <w:bCs/>
          <w:kern w:val="0"/>
          <w:sz w:val="24"/>
          <w:szCs w:val="20"/>
        </w:rPr>
        <w:t>等</w:t>
      </w:r>
      <w:r w:rsidRPr="00FC1444">
        <w:rPr>
          <w:rFonts w:eastAsiaTheme="minorEastAsia"/>
          <w:snapToGrid w:val="0"/>
          <w:kern w:val="0"/>
          <w:sz w:val="24"/>
        </w:rPr>
        <w:t>）；</w:t>
      </w:r>
    </w:p>
    <w:p w:rsidR="002A5A5E" w:rsidRPr="00FC1444" w:rsidRDefault="00611CBA">
      <w:pPr>
        <w:adjustRightInd w:val="0"/>
        <w:snapToGrid w:val="0"/>
        <w:spacing w:line="360" w:lineRule="auto"/>
        <w:ind w:firstLineChars="200" w:firstLine="480"/>
        <w:rPr>
          <w:rFonts w:eastAsiaTheme="minorEastAsia"/>
          <w:snapToGrid w:val="0"/>
          <w:kern w:val="0"/>
          <w:sz w:val="24"/>
        </w:rPr>
      </w:pPr>
      <w:r w:rsidRPr="00FC1444">
        <w:rPr>
          <w:rFonts w:eastAsiaTheme="minorEastAsia"/>
          <w:snapToGrid w:val="0"/>
          <w:kern w:val="0"/>
          <w:sz w:val="24"/>
        </w:rPr>
        <w:t>202</w:t>
      </w:r>
      <w:r w:rsidR="00D00C4A" w:rsidRPr="00FC1444">
        <w:rPr>
          <w:rFonts w:eastAsiaTheme="minorEastAsia"/>
          <w:snapToGrid w:val="0"/>
          <w:kern w:val="0"/>
          <w:sz w:val="24"/>
        </w:rPr>
        <w:t>7</w:t>
      </w:r>
      <w:r w:rsidRPr="00FC1444">
        <w:rPr>
          <w:rFonts w:eastAsiaTheme="minorEastAsia"/>
          <w:snapToGrid w:val="0"/>
          <w:kern w:val="0"/>
          <w:sz w:val="24"/>
        </w:rPr>
        <w:t>年</w:t>
      </w:r>
      <w:r w:rsidRPr="00FC1444">
        <w:rPr>
          <w:rFonts w:eastAsiaTheme="minorEastAsia"/>
          <w:snapToGrid w:val="0"/>
          <w:kern w:val="0"/>
          <w:sz w:val="24"/>
        </w:rPr>
        <w:t>5</w:t>
      </w:r>
      <w:r w:rsidRPr="00FC1444">
        <w:rPr>
          <w:rFonts w:eastAsiaTheme="minorEastAsia"/>
          <w:snapToGrid w:val="0"/>
          <w:kern w:val="0"/>
          <w:sz w:val="24"/>
        </w:rPr>
        <w:t>月～</w:t>
      </w:r>
      <w:r w:rsidRPr="00FC1444">
        <w:rPr>
          <w:rFonts w:eastAsiaTheme="minorEastAsia"/>
          <w:snapToGrid w:val="0"/>
          <w:kern w:val="0"/>
          <w:sz w:val="24"/>
        </w:rPr>
        <w:t>202</w:t>
      </w:r>
      <w:r w:rsidR="008A3A95" w:rsidRPr="00FC1444">
        <w:rPr>
          <w:rFonts w:eastAsiaTheme="minorEastAsia"/>
          <w:snapToGrid w:val="0"/>
          <w:kern w:val="0"/>
          <w:sz w:val="24"/>
        </w:rPr>
        <w:t>7</w:t>
      </w:r>
      <w:r w:rsidRPr="00FC1444">
        <w:rPr>
          <w:rFonts w:eastAsiaTheme="minorEastAsia"/>
          <w:snapToGrid w:val="0"/>
          <w:kern w:val="0"/>
          <w:sz w:val="24"/>
        </w:rPr>
        <w:t>年</w:t>
      </w:r>
      <w:r w:rsidRPr="00FC1444">
        <w:rPr>
          <w:rFonts w:eastAsiaTheme="minorEastAsia"/>
          <w:snapToGrid w:val="0"/>
          <w:kern w:val="0"/>
          <w:sz w:val="24"/>
        </w:rPr>
        <w:t>9</w:t>
      </w:r>
      <w:r w:rsidRPr="00FC1444">
        <w:rPr>
          <w:rFonts w:eastAsiaTheme="minorEastAsia"/>
          <w:snapToGrid w:val="0"/>
          <w:kern w:val="0"/>
          <w:sz w:val="24"/>
        </w:rPr>
        <w:t>月：完成田间道路工程、灌溉井工程施工；</w:t>
      </w:r>
    </w:p>
    <w:p w:rsidR="002A5A5E" w:rsidRPr="00FC1444" w:rsidRDefault="00611CBA">
      <w:pPr>
        <w:adjustRightInd w:val="0"/>
        <w:snapToGrid w:val="0"/>
        <w:spacing w:line="360" w:lineRule="auto"/>
        <w:ind w:firstLineChars="200" w:firstLine="480"/>
        <w:rPr>
          <w:rFonts w:eastAsiaTheme="minorEastAsia"/>
          <w:snapToGrid w:val="0"/>
          <w:kern w:val="0"/>
          <w:sz w:val="24"/>
        </w:rPr>
      </w:pPr>
      <w:r w:rsidRPr="00FC1444">
        <w:rPr>
          <w:rFonts w:eastAsiaTheme="minorEastAsia"/>
          <w:snapToGrid w:val="0"/>
          <w:kern w:val="0"/>
          <w:sz w:val="24"/>
        </w:rPr>
        <w:t>202</w:t>
      </w:r>
      <w:r w:rsidR="008A3A95" w:rsidRPr="00FC1444">
        <w:rPr>
          <w:rFonts w:eastAsiaTheme="minorEastAsia"/>
          <w:snapToGrid w:val="0"/>
          <w:kern w:val="0"/>
          <w:sz w:val="24"/>
        </w:rPr>
        <w:t>7</w:t>
      </w:r>
      <w:r w:rsidRPr="00FC1444">
        <w:rPr>
          <w:rFonts w:eastAsiaTheme="minorEastAsia"/>
          <w:snapToGrid w:val="0"/>
          <w:kern w:val="0"/>
          <w:sz w:val="24"/>
        </w:rPr>
        <w:t>年</w:t>
      </w:r>
      <w:r w:rsidRPr="00FC1444">
        <w:rPr>
          <w:rFonts w:eastAsiaTheme="minorEastAsia"/>
          <w:snapToGrid w:val="0"/>
          <w:kern w:val="0"/>
          <w:sz w:val="24"/>
        </w:rPr>
        <w:t>1</w:t>
      </w:r>
      <w:r w:rsidR="00960298" w:rsidRPr="00FC1444">
        <w:rPr>
          <w:rFonts w:eastAsiaTheme="minorEastAsia"/>
          <w:snapToGrid w:val="0"/>
          <w:kern w:val="0"/>
          <w:sz w:val="24"/>
        </w:rPr>
        <w:t>1</w:t>
      </w:r>
      <w:r w:rsidRPr="00FC1444">
        <w:rPr>
          <w:rFonts w:eastAsiaTheme="minorEastAsia"/>
          <w:snapToGrid w:val="0"/>
          <w:kern w:val="0"/>
          <w:sz w:val="24"/>
        </w:rPr>
        <w:t>月～</w:t>
      </w:r>
      <w:r w:rsidRPr="00FC1444">
        <w:rPr>
          <w:rFonts w:eastAsiaTheme="minorEastAsia"/>
          <w:snapToGrid w:val="0"/>
          <w:kern w:val="0"/>
          <w:sz w:val="24"/>
        </w:rPr>
        <w:t>202</w:t>
      </w:r>
      <w:r w:rsidR="00960298" w:rsidRPr="00FC1444">
        <w:rPr>
          <w:rFonts w:eastAsiaTheme="minorEastAsia"/>
          <w:snapToGrid w:val="0"/>
          <w:kern w:val="0"/>
          <w:sz w:val="24"/>
        </w:rPr>
        <w:t>7</w:t>
      </w:r>
      <w:r w:rsidRPr="00FC1444">
        <w:rPr>
          <w:rFonts w:eastAsiaTheme="minorEastAsia"/>
          <w:snapToGrid w:val="0"/>
          <w:kern w:val="0"/>
          <w:sz w:val="24"/>
        </w:rPr>
        <w:t>年</w:t>
      </w:r>
      <w:r w:rsidR="00457C4D" w:rsidRPr="00FC1444">
        <w:rPr>
          <w:rFonts w:eastAsiaTheme="minorEastAsia"/>
          <w:snapToGrid w:val="0"/>
          <w:kern w:val="0"/>
          <w:sz w:val="24"/>
        </w:rPr>
        <w:t>1</w:t>
      </w:r>
      <w:r w:rsidR="00960298" w:rsidRPr="00FC1444">
        <w:rPr>
          <w:rFonts w:eastAsiaTheme="minorEastAsia"/>
          <w:snapToGrid w:val="0"/>
          <w:kern w:val="0"/>
          <w:sz w:val="24"/>
        </w:rPr>
        <w:t>2</w:t>
      </w:r>
      <w:r w:rsidR="00D61453" w:rsidRPr="00FC1444">
        <w:rPr>
          <w:rFonts w:eastAsiaTheme="minorEastAsia"/>
          <w:snapToGrid w:val="0"/>
          <w:kern w:val="0"/>
          <w:sz w:val="24"/>
        </w:rPr>
        <w:t>月：完成田块整治工程施工</w:t>
      </w:r>
      <w:r w:rsidRPr="00FC1444">
        <w:rPr>
          <w:rFonts w:eastAsiaTheme="minorEastAsia"/>
          <w:snapToGrid w:val="0"/>
          <w:kern w:val="0"/>
          <w:sz w:val="24"/>
        </w:rPr>
        <w:t>；</w:t>
      </w:r>
    </w:p>
    <w:p w:rsidR="00457C4D" w:rsidRPr="00FC1444" w:rsidRDefault="00457C4D">
      <w:pPr>
        <w:adjustRightInd w:val="0"/>
        <w:snapToGrid w:val="0"/>
        <w:spacing w:line="360" w:lineRule="auto"/>
        <w:ind w:firstLineChars="200" w:firstLine="480"/>
        <w:rPr>
          <w:rFonts w:eastAsiaTheme="minorEastAsia"/>
          <w:snapToGrid w:val="0"/>
          <w:kern w:val="0"/>
          <w:sz w:val="24"/>
        </w:rPr>
      </w:pPr>
      <w:r w:rsidRPr="00FC1444">
        <w:rPr>
          <w:rFonts w:eastAsiaTheme="minorEastAsia"/>
          <w:snapToGrid w:val="0"/>
          <w:kern w:val="0"/>
          <w:sz w:val="24"/>
        </w:rPr>
        <w:t>2028</w:t>
      </w:r>
      <w:r w:rsidRPr="00FC1444">
        <w:rPr>
          <w:rFonts w:eastAsiaTheme="minorEastAsia"/>
          <w:snapToGrid w:val="0"/>
          <w:kern w:val="0"/>
          <w:sz w:val="24"/>
        </w:rPr>
        <w:t>年</w:t>
      </w:r>
      <w:r w:rsidRPr="00FC1444">
        <w:rPr>
          <w:rFonts w:eastAsiaTheme="minorEastAsia"/>
          <w:snapToGrid w:val="0"/>
          <w:kern w:val="0"/>
          <w:sz w:val="24"/>
        </w:rPr>
        <w:t>4</w:t>
      </w:r>
      <w:r w:rsidRPr="00FC1444">
        <w:rPr>
          <w:rFonts w:eastAsiaTheme="minorEastAsia"/>
          <w:snapToGrid w:val="0"/>
          <w:kern w:val="0"/>
          <w:sz w:val="24"/>
        </w:rPr>
        <w:t>月～</w:t>
      </w:r>
      <w:r w:rsidR="00D41946" w:rsidRPr="00FC1444">
        <w:rPr>
          <w:rFonts w:eastAsiaTheme="minorEastAsia" w:hint="eastAsia"/>
          <w:snapToGrid w:val="0"/>
          <w:kern w:val="0"/>
          <w:sz w:val="24"/>
        </w:rPr>
        <w:t>8</w:t>
      </w:r>
      <w:r w:rsidRPr="00FC1444">
        <w:rPr>
          <w:rFonts w:eastAsiaTheme="minorEastAsia"/>
          <w:snapToGrid w:val="0"/>
          <w:kern w:val="0"/>
          <w:sz w:val="24"/>
        </w:rPr>
        <w:t>月：完成农田输配电工程施工；</w:t>
      </w:r>
    </w:p>
    <w:p w:rsidR="002A5A5E" w:rsidRPr="00FC1444" w:rsidRDefault="00611CBA">
      <w:pPr>
        <w:adjustRightInd w:val="0"/>
        <w:snapToGrid w:val="0"/>
        <w:spacing w:line="360" w:lineRule="auto"/>
        <w:ind w:firstLineChars="200" w:firstLine="480"/>
        <w:rPr>
          <w:rFonts w:eastAsiaTheme="minorEastAsia"/>
          <w:snapToGrid w:val="0"/>
          <w:kern w:val="0"/>
          <w:sz w:val="24"/>
        </w:rPr>
      </w:pPr>
      <w:r w:rsidRPr="00FC1444">
        <w:rPr>
          <w:rFonts w:eastAsiaTheme="minorEastAsia"/>
          <w:snapToGrid w:val="0"/>
          <w:kern w:val="0"/>
          <w:sz w:val="24"/>
        </w:rPr>
        <w:t>202</w:t>
      </w:r>
      <w:r w:rsidR="008A3A95" w:rsidRPr="00FC1444">
        <w:rPr>
          <w:rFonts w:eastAsiaTheme="minorEastAsia"/>
          <w:snapToGrid w:val="0"/>
          <w:kern w:val="0"/>
          <w:sz w:val="24"/>
        </w:rPr>
        <w:t>8</w:t>
      </w:r>
      <w:r w:rsidRPr="00FC1444">
        <w:rPr>
          <w:rFonts w:eastAsiaTheme="minorEastAsia"/>
          <w:snapToGrid w:val="0"/>
          <w:kern w:val="0"/>
          <w:sz w:val="24"/>
        </w:rPr>
        <w:t>年</w:t>
      </w:r>
      <w:r w:rsidR="00D41946" w:rsidRPr="00FC1444">
        <w:rPr>
          <w:rFonts w:eastAsiaTheme="minorEastAsia" w:hint="eastAsia"/>
          <w:snapToGrid w:val="0"/>
          <w:kern w:val="0"/>
          <w:sz w:val="24"/>
        </w:rPr>
        <w:t>9</w:t>
      </w:r>
      <w:r w:rsidRPr="00FC1444">
        <w:rPr>
          <w:rFonts w:eastAsiaTheme="minorEastAsia"/>
          <w:snapToGrid w:val="0"/>
          <w:kern w:val="0"/>
          <w:sz w:val="24"/>
        </w:rPr>
        <w:t>月：验收工作。</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3.1.14</w:t>
      </w:r>
      <w:r w:rsidRPr="00FC1444">
        <w:rPr>
          <w:rFonts w:eastAsiaTheme="minorEastAsia"/>
          <w:b/>
          <w:sz w:val="28"/>
          <w:szCs w:val="28"/>
        </w:rPr>
        <w:t>生态恢复方案</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加强管理，严格控制施工作业范围，优化施工时序，进行</w:t>
      </w:r>
      <w:r w:rsidRPr="00FC1444">
        <w:rPr>
          <w:rFonts w:eastAsiaTheme="minorEastAsia"/>
          <w:snapToGrid w:val="0"/>
          <w:kern w:val="0"/>
          <w:sz w:val="24"/>
        </w:rPr>
        <w:t>“</w:t>
      </w:r>
      <w:r w:rsidRPr="00FC1444">
        <w:rPr>
          <w:rFonts w:eastAsiaTheme="minorEastAsia"/>
          <w:snapToGrid w:val="0"/>
          <w:kern w:val="0"/>
          <w:sz w:val="24"/>
        </w:rPr>
        <w:t>边施工、边修复</w:t>
      </w:r>
      <w:r w:rsidRPr="00FC1444">
        <w:rPr>
          <w:rFonts w:eastAsiaTheme="minorEastAsia"/>
          <w:snapToGrid w:val="0"/>
          <w:kern w:val="0"/>
          <w:sz w:val="24"/>
        </w:rPr>
        <w:t>”</w:t>
      </w:r>
      <w:r w:rsidRPr="00FC1444">
        <w:rPr>
          <w:rFonts w:eastAsiaTheme="minorEastAsia"/>
          <w:snapToGrid w:val="0"/>
          <w:kern w:val="0"/>
          <w:sz w:val="24"/>
        </w:rPr>
        <w:t>，项目施工场地、临时道路、堆料场、表土暂存场在相应工程结束后需对开挖地面</w:t>
      </w:r>
      <w:r w:rsidRPr="00FC1444">
        <w:rPr>
          <w:rFonts w:eastAsiaTheme="minorEastAsia"/>
          <w:snapToGrid w:val="0"/>
          <w:kern w:val="0"/>
          <w:sz w:val="24"/>
        </w:rPr>
        <w:lastRenderedPageBreak/>
        <w:t>平整覆土，并尽快恢复原状，防止遭受降雨侵蚀。由建设单位组织生态恢复，建设单位为生态恢复工程实施责任主体。</w:t>
      </w:r>
    </w:p>
    <w:p w:rsidR="002A5A5E" w:rsidRPr="00FC1444" w:rsidRDefault="00611CBA">
      <w:pPr>
        <w:spacing w:line="360" w:lineRule="auto"/>
        <w:ind w:firstLineChars="200" w:firstLine="480"/>
        <w:rPr>
          <w:rFonts w:eastAsiaTheme="minorEastAsia"/>
          <w:kern w:val="0"/>
          <w:sz w:val="24"/>
        </w:rPr>
      </w:pPr>
      <w:r w:rsidRPr="00FC1444">
        <w:rPr>
          <w:rFonts w:eastAsiaTheme="minorEastAsia"/>
          <w:snapToGrid w:val="0"/>
          <w:kern w:val="0"/>
          <w:sz w:val="24"/>
        </w:rPr>
        <w:t>输配电工程表土及土方临时堆存在施工沿线，分区存放，设置临时拦挡并采用密目网苫盖，施工结束后分层回填，</w:t>
      </w:r>
      <w:r w:rsidR="00617138" w:rsidRPr="00FC1444">
        <w:rPr>
          <w:rFonts w:eastAsiaTheme="minorEastAsia"/>
          <w:snapToGrid w:val="0"/>
          <w:kern w:val="0"/>
          <w:sz w:val="24"/>
        </w:rPr>
        <w:t>施工场地恢复现状草地，</w:t>
      </w:r>
      <w:r w:rsidR="00C77AF5" w:rsidRPr="00FC1444">
        <w:rPr>
          <w:rFonts w:eastAsiaTheme="minorEastAsia"/>
          <w:snapToGrid w:val="0"/>
          <w:kern w:val="0"/>
          <w:sz w:val="24"/>
        </w:rPr>
        <w:t>播撒草籽面积</w:t>
      </w:r>
      <w:r w:rsidR="00C77AF5" w:rsidRPr="00FC1444">
        <w:rPr>
          <w:rFonts w:eastAsiaTheme="minorEastAsia"/>
          <w:snapToGrid w:val="0"/>
          <w:kern w:val="0"/>
          <w:sz w:val="24"/>
        </w:rPr>
        <w:t>456842</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napToGrid w:val="0"/>
          <w:kern w:val="0"/>
          <w:sz w:val="24"/>
        </w:rPr>
        <w:t>，草籽选用紫花苜蓿等，种草密度</w:t>
      </w:r>
      <w:r w:rsidRPr="00FC1444">
        <w:rPr>
          <w:rFonts w:eastAsiaTheme="minorEastAsia"/>
          <w:snapToGrid w:val="0"/>
          <w:kern w:val="0"/>
          <w:sz w:val="24"/>
        </w:rPr>
        <w:t>80kg/</w:t>
      </w:r>
      <w:r w:rsidRPr="00FC1444">
        <w:rPr>
          <w:rFonts w:eastAsiaTheme="minorEastAsia"/>
          <w:snapToGrid w:val="0"/>
          <w:kern w:val="0"/>
          <w:sz w:val="24"/>
        </w:rPr>
        <w:t>公顷，</w:t>
      </w:r>
      <w:r w:rsidR="00C77AF5" w:rsidRPr="00FC1444">
        <w:rPr>
          <w:rFonts w:eastAsiaTheme="minorEastAsia"/>
          <w:snapToGrid w:val="0"/>
          <w:kern w:val="0"/>
          <w:sz w:val="24"/>
        </w:rPr>
        <w:t>恢复旱地</w:t>
      </w:r>
      <w:r w:rsidR="00C77AF5" w:rsidRPr="00FC1444">
        <w:rPr>
          <w:rFonts w:eastAsiaTheme="minorEastAsia"/>
          <w:snapToGrid w:val="0"/>
          <w:kern w:val="0"/>
          <w:sz w:val="24"/>
        </w:rPr>
        <w:t>22560m</w:t>
      </w:r>
      <w:r w:rsidRPr="00FC1444">
        <w:rPr>
          <w:rFonts w:eastAsiaTheme="minorEastAsia"/>
          <w:snapToGrid w:val="0"/>
          <w:kern w:val="0"/>
          <w:sz w:val="24"/>
          <w:vertAlign w:val="superscript"/>
        </w:rPr>
        <w:t>2</w:t>
      </w:r>
      <w:r w:rsidRPr="00FC1444">
        <w:rPr>
          <w:rFonts w:eastAsiaTheme="minorEastAsia"/>
          <w:snapToGrid w:val="0"/>
          <w:kern w:val="0"/>
          <w:sz w:val="24"/>
        </w:rPr>
        <w:t>；灌溉井工程剥离表土、开挖土方暂存于施工场地内，分区存放，设置临时拦挡并采用密目网苫盖，施工结束后施工场地、临时道路恢复为旱地，</w:t>
      </w:r>
      <w:r w:rsidR="00C77AF5" w:rsidRPr="00FC1444">
        <w:rPr>
          <w:rFonts w:eastAsiaTheme="minorEastAsia"/>
          <w:snapToGrid w:val="0"/>
          <w:kern w:val="0"/>
          <w:sz w:val="24"/>
        </w:rPr>
        <w:t>恢复面积</w:t>
      </w:r>
      <w:r w:rsidR="00C77AF5" w:rsidRPr="00FC1444">
        <w:rPr>
          <w:rFonts w:eastAsiaTheme="minorEastAsia"/>
          <w:snapToGrid w:val="0"/>
          <w:kern w:val="0"/>
          <w:sz w:val="24"/>
        </w:rPr>
        <w:t>4620</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napToGrid w:val="0"/>
          <w:kern w:val="0"/>
          <w:sz w:val="24"/>
        </w:rPr>
        <w:t>；涵洞等建筑物工程剥离表土、开挖土方暂存于施工场地内，分区存放，设置临时拦挡并采用密目网苫盖，施工结束后施工场地恢复为草地，播撒草籽面积</w:t>
      </w:r>
      <w:r w:rsidR="00413308" w:rsidRPr="00FC1444">
        <w:rPr>
          <w:rFonts w:eastAsiaTheme="minorEastAsia"/>
          <w:sz w:val="24"/>
        </w:rPr>
        <w:t>18500</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napToGrid w:val="0"/>
          <w:kern w:val="0"/>
          <w:sz w:val="24"/>
        </w:rPr>
        <w:t>，草籽选用紫花苜蓿等，种草密度</w:t>
      </w:r>
      <w:r w:rsidRPr="00FC1444">
        <w:rPr>
          <w:rFonts w:eastAsiaTheme="minorEastAsia"/>
          <w:snapToGrid w:val="0"/>
          <w:kern w:val="0"/>
          <w:sz w:val="24"/>
        </w:rPr>
        <w:t>80kg/</w:t>
      </w:r>
      <w:r w:rsidRPr="00FC1444">
        <w:rPr>
          <w:rFonts w:eastAsiaTheme="minorEastAsia"/>
          <w:snapToGrid w:val="0"/>
          <w:kern w:val="0"/>
          <w:sz w:val="24"/>
        </w:rPr>
        <w:t>公顷，恢复旱地</w:t>
      </w:r>
      <w:r w:rsidR="00413308" w:rsidRPr="00FC1444">
        <w:rPr>
          <w:rFonts w:eastAsiaTheme="minorEastAsia"/>
          <w:snapToGrid w:val="0"/>
          <w:kern w:val="0"/>
          <w:sz w:val="24"/>
        </w:rPr>
        <w:t>10500</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napToGrid w:val="0"/>
          <w:kern w:val="0"/>
          <w:sz w:val="24"/>
        </w:rPr>
        <w:t>。</w:t>
      </w:r>
      <w:r w:rsidRPr="00FC1444">
        <w:rPr>
          <w:rFonts w:eastAsiaTheme="minorEastAsia"/>
          <w:sz w:val="24"/>
        </w:rPr>
        <w:t>使临时占地土地利用类型、植被覆盖度、生物量等恢复为原有水平。减少由于工程施工对其景观、生态、水土保持等方面的不利影响。</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表土暂存场堆高在</w:t>
      </w:r>
      <w:r w:rsidRPr="00FC1444">
        <w:rPr>
          <w:rFonts w:eastAsiaTheme="minorEastAsia"/>
          <w:sz w:val="24"/>
        </w:rPr>
        <w:t>3m</w:t>
      </w:r>
      <w:r w:rsidRPr="00FC1444">
        <w:rPr>
          <w:rFonts w:eastAsiaTheme="minorEastAsia"/>
          <w:sz w:val="24"/>
        </w:rPr>
        <w:t>以内，坡比</w:t>
      </w:r>
      <w:r w:rsidRPr="00FC1444">
        <w:rPr>
          <w:rFonts w:eastAsiaTheme="minorEastAsia"/>
          <w:sz w:val="24"/>
        </w:rPr>
        <w:t>1</w:t>
      </w:r>
      <w:r w:rsidRPr="00FC1444">
        <w:rPr>
          <w:rFonts w:eastAsiaTheme="minorEastAsia"/>
          <w:sz w:val="24"/>
        </w:rPr>
        <w:t>：</w:t>
      </w:r>
      <w:r w:rsidRPr="00FC1444">
        <w:rPr>
          <w:rFonts w:eastAsiaTheme="minorEastAsia"/>
          <w:sz w:val="24"/>
        </w:rPr>
        <w:t>1</w:t>
      </w:r>
      <w:r w:rsidRPr="00FC1444">
        <w:rPr>
          <w:rFonts w:eastAsiaTheme="minorEastAsia"/>
          <w:sz w:val="24"/>
        </w:rPr>
        <w:t>，可以保证堆土的稳定性及安全性。堆放地宜相对低凹、周围相对平缓，并设置排水设施。</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3.1.15</w:t>
      </w:r>
      <w:r w:rsidRPr="00FC1444">
        <w:rPr>
          <w:rFonts w:eastAsiaTheme="minorEastAsia"/>
          <w:b/>
          <w:sz w:val="28"/>
          <w:szCs w:val="28"/>
        </w:rPr>
        <w:t>表土</w:t>
      </w:r>
      <w:r w:rsidR="00943455" w:rsidRPr="00FC1444">
        <w:rPr>
          <w:rFonts w:eastAsiaTheme="minorEastAsia"/>
          <w:b/>
          <w:sz w:val="28"/>
          <w:szCs w:val="28"/>
        </w:rPr>
        <w:t>剥离</w:t>
      </w:r>
      <w:r w:rsidRPr="00FC1444">
        <w:rPr>
          <w:rFonts w:eastAsiaTheme="minorEastAsia"/>
          <w:b/>
          <w:sz w:val="28"/>
          <w:szCs w:val="28"/>
        </w:rPr>
        <w:t>与利用方案</w:t>
      </w:r>
    </w:p>
    <w:p w:rsidR="002A5A5E" w:rsidRPr="00FC1444" w:rsidRDefault="00611CBA">
      <w:pPr>
        <w:spacing w:line="360" w:lineRule="auto"/>
        <w:ind w:firstLineChars="200" w:firstLine="480"/>
        <w:contextualSpacing/>
        <w:rPr>
          <w:rFonts w:eastAsiaTheme="minorEastAsia"/>
          <w:kern w:val="0"/>
          <w:sz w:val="24"/>
          <w:szCs w:val="20"/>
        </w:rPr>
      </w:pPr>
      <w:r w:rsidRPr="00FC1444">
        <w:rPr>
          <w:rFonts w:eastAsiaTheme="minorEastAsia"/>
          <w:kern w:val="0"/>
          <w:sz w:val="24"/>
          <w:szCs w:val="20"/>
        </w:rPr>
        <w:t>本项目灌溉井、</w:t>
      </w:r>
      <w:r w:rsidRPr="00FC1444">
        <w:rPr>
          <w:rFonts w:eastAsiaTheme="minorEastAsia"/>
          <w:bCs/>
          <w:kern w:val="0"/>
          <w:sz w:val="24"/>
          <w:szCs w:val="20"/>
        </w:rPr>
        <w:t>建筑物等工程</w:t>
      </w:r>
      <w:r w:rsidRPr="00FC1444">
        <w:rPr>
          <w:rFonts w:eastAsiaTheme="minorEastAsia"/>
          <w:kern w:val="0"/>
          <w:sz w:val="24"/>
          <w:szCs w:val="20"/>
        </w:rPr>
        <w:t>永久占地在工程建设前对表土进行剥离，剥离厚度约</w:t>
      </w:r>
      <w:r w:rsidRPr="00FC1444">
        <w:rPr>
          <w:rFonts w:eastAsiaTheme="minorEastAsia"/>
          <w:kern w:val="0"/>
          <w:sz w:val="24"/>
          <w:szCs w:val="20"/>
        </w:rPr>
        <w:t>30cm</w:t>
      </w:r>
      <w:r w:rsidRPr="00FC1444">
        <w:rPr>
          <w:rFonts w:eastAsiaTheme="minorEastAsia"/>
          <w:kern w:val="0"/>
          <w:sz w:val="24"/>
          <w:szCs w:val="20"/>
        </w:rPr>
        <w:t>。剥离后的表土在施工现场内贮存，作为表土暂存场，</w:t>
      </w:r>
      <w:r w:rsidRPr="00FC1444">
        <w:rPr>
          <w:rFonts w:eastAsiaTheme="minorEastAsia"/>
          <w:snapToGrid w:val="0"/>
          <w:kern w:val="0"/>
          <w:sz w:val="24"/>
        </w:rPr>
        <w:t>设置临时拦挡并采用密目网苫盖</w:t>
      </w:r>
      <w:r w:rsidRPr="00FC1444">
        <w:rPr>
          <w:rFonts w:eastAsiaTheme="minorEastAsia"/>
          <w:kern w:val="0"/>
          <w:sz w:val="24"/>
          <w:szCs w:val="20"/>
        </w:rPr>
        <w:t>，贮存过程严格按照表土贮存要求，永久占地表土用于田块整治工程</w:t>
      </w:r>
      <w:r w:rsidR="00BC0DDF" w:rsidRPr="00FC1444">
        <w:rPr>
          <w:rFonts w:eastAsiaTheme="minorEastAsia"/>
          <w:kern w:val="0"/>
          <w:sz w:val="24"/>
          <w:szCs w:val="20"/>
        </w:rPr>
        <w:t>低洼地土地平整</w:t>
      </w:r>
      <w:r w:rsidRPr="00FC1444">
        <w:rPr>
          <w:rFonts w:eastAsiaTheme="minorEastAsia"/>
          <w:kern w:val="0"/>
          <w:sz w:val="24"/>
          <w:szCs w:val="20"/>
        </w:rPr>
        <w:t>。</w:t>
      </w:r>
    </w:p>
    <w:p w:rsidR="002A5A5E" w:rsidRPr="00FC1444" w:rsidRDefault="00611CBA">
      <w:pPr>
        <w:spacing w:line="360" w:lineRule="auto"/>
        <w:ind w:firstLineChars="200" w:firstLine="480"/>
        <w:contextualSpacing/>
        <w:rPr>
          <w:rFonts w:eastAsiaTheme="minorEastAsia"/>
          <w:kern w:val="0"/>
          <w:sz w:val="24"/>
          <w:szCs w:val="20"/>
        </w:rPr>
      </w:pPr>
      <w:r w:rsidRPr="00FC1444">
        <w:rPr>
          <w:rFonts w:eastAsiaTheme="minorEastAsia"/>
          <w:kern w:val="0"/>
          <w:sz w:val="24"/>
          <w:szCs w:val="20"/>
        </w:rPr>
        <w:t>田块整治工程</w:t>
      </w:r>
      <w:r w:rsidRPr="00FC1444">
        <w:rPr>
          <w:rFonts w:eastAsiaTheme="minorEastAsia"/>
          <w:sz w:val="24"/>
        </w:rPr>
        <w:t>根据平整地块所在村的平均土壤厚度确定表土剥离厚度约</w:t>
      </w:r>
      <w:r w:rsidRPr="00FC1444">
        <w:rPr>
          <w:rFonts w:eastAsiaTheme="minorEastAsia"/>
          <w:sz w:val="24"/>
        </w:rPr>
        <w:t>25cm</w:t>
      </w:r>
      <w:r w:rsidRPr="00FC1444">
        <w:rPr>
          <w:rFonts w:eastAsiaTheme="minorEastAsia"/>
          <w:kern w:val="0"/>
          <w:sz w:val="24"/>
          <w:szCs w:val="20"/>
        </w:rPr>
        <w:t>，剥离后的表土在施工现场贮存，</w:t>
      </w:r>
      <w:r w:rsidRPr="00FC1444">
        <w:rPr>
          <w:rFonts w:eastAsiaTheme="minorEastAsia"/>
          <w:snapToGrid w:val="0"/>
          <w:kern w:val="0"/>
          <w:sz w:val="24"/>
        </w:rPr>
        <w:t>设置临时拦挡并采用密目网苫盖</w:t>
      </w:r>
      <w:r w:rsidRPr="00FC1444">
        <w:rPr>
          <w:rFonts w:eastAsiaTheme="minorEastAsia"/>
          <w:kern w:val="0"/>
          <w:sz w:val="24"/>
          <w:szCs w:val="20"/>
        </w:rPr>
        <w:t>，贮存过程严格按照表土贮存要求，用于田块整治工程表土恢复。</w:t>
      </w:r>
    </w:p>
    <w:p w:rsidR="002A5A5E" w:rsidRPr="00FC1444" w:rsidRDefault="00611CBA">
      <w:pPr>
        <w:spacing w:line="360" w:lineRule="auto"/>
        <w:ind w:firstLineChars="200" w:firstLine="480"/>
        <w:contextualSpacing/>
        <w:rPr>
          <w:rFonts w:eastAsiaTheme="minorEastAsia"/>
          <w:kern w:val="0"/>
          <w:sz w:val="24"/>
          <w:szCs w:val="20"/>
        </w:rPr>
      </w:pPr>
      <w:r w:rsidRPr="00FC1444">
        <w:rPr>
          <w:rFonts w:eastAsiaTheme="minorEastAsia"/>
          <w:kern w:val="0"/>
          <w:sz w:val="24"/>
          <w:szCs w:val="20"/>
        </w:rPr>
        <w:t>项目施工过程中会设置施工场地、施工道路，为临时占地，需要对表土进行剥离，剥离厚度约</w:t>
      </w:r>
      <w:r w:rsidRPr="00FC1444">
        <w:rPr>
          <w:rFonts w:eastAsiaTheme="minorEastAsia"/>
          <w:kern w:val="0"/>
          <w:sz w:val="24"/>
          <w:szCs w:val="20"/>
        </w:rPr>
        <w:t>30cm</w:t>
      </w:r>
      <w:r w:rsidRPr="00FC1444">
        <w:rPr>
          <w:rFonts w:eastAsiaTheme="minorEastAsia"/>
          <w:kern w:val="0"/>
          <w:sz w:val="24"/>
          <w:szCs w:val="20"/>
        </w:rPr>
        <w:t>，临时占地的表土分层剥离，分别堆放在输配电工程、灌溉井、建筑物等施工场地内，作为表土暂存场，</w:t>
      </w:r>
      <w:r w:rsidRPr="00FC1444">
        <w:rPr>
          <w:rFonts w:eastAsiaTheme="minorEastAsia"/>
          <w:snapToGrid w:val="0"/>
          <w:kern w:val="0"/>
          <w:sz w:val="24"/>
        </w:rPr>
        <w:t>设置临时拦挡并采用密目网苫盖</w:t>
      </w:r>
      <w:r w:rsidRPr="00FC1444">
        <w:rPr>
          <w:rFonts w:eastAsiaTheme="minorEastAsia"/>
          <w:kern w:val="0"/>
          <w:sz w:val="24"/>
          <w:szCs w:val="20"/>
        </w:rPr>
        <w:t>，贮存过程严格按照表土贮存要求，施工结束后，进行表土分层回填措施，使其逐渐恢复其原有生态系统。</w:t>
      </w: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91" w:name="_Toc208906234"/>
      <w:r w:rsidRPr="00FC1444">
        <w:rPr>
          <w:rFonts w:eastAsiaTheme="minorEastAsia"/>
          <w:b/>
          <w:bCs/>
          <w:kern w:val="44"/>
          <w:sz w:val="30"/>
          <w:szCs w:val="30"/>
        </w:rPr>
        <w:t>3.2</w:t>
      </w:r>
      <w:r w:rsidRPr="00FC1444">
        <w:rPr>
          <w:rFonts w:eastAsiaTheme="minorEastAsia"/>
          <w:b/>
          <w:bCs/>
          <w:kern w:val="44"/>
          <w:sz w:val="30"/>
          <w:szCs w:val="30"/>
        </w:rPr>
        <w:t>影响因素分析</w:t>
      </w:r>
      <w:bookmarkEnd w:id="91"/>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lastRenderedPageBreak/>
        <w:t>3.2.1</w:t>
      </w:r>
      <w:r w:rsidRPr="00FC1444">
        <w:rPr>
          <w:rFonts w:eastAsiaTheme="minorEastAsia"/>
          <w:b/>
          <w:sz w:val="28"/>
          <w:szCs w:val="28"/>
        </w:rPr>
        <w:t>施工期影响因素分析</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3.2.1.1</w:t>
      </w:r>
      <w:r w:rsidRPr="00FC1444">
        <w:rPr>
          <w:rFonts w:eastAsiaTheme="minorEastAsia"/>
          <w:b/>
          <w:sz w:val="24"/>
        </w:rPr>
        <w:t>灌溉井施工流程及产污环节分析</w:t>
      </w:r>
    </w:p>
    <w:p w:rsidR="002A5A5E" w:rsidRPr="00FC1444" w:rsidRDefault="00611CBA">
      <w:pPr>
        <w:spacing w:line="360" w:lineRule="auto"/>
        <w:ind w:firstLineChars="200" w:firstLine="420"/>
        <w:rPr>
          <w:rFonts w:eastAsiaTheme="minorEastAsia"/>
          <w:sz w:val="24"/>
        </w:rPr>
      </w:pPr>
      <w:r w:rsidRPr="00FC1444">
        <w:rPr>
          <w:rFonts w:eastAsiaTheme="minorEastAsia"/>
          <w:snapToGrid w:val="0"/>
        </w:rPr>
        <w:t>（</w:t>
      </w:r>
      <w:r w:rsidRPr="00FC1444">
        <w:rPr>
          <w:rFonts w:eastAsiaTheme="minorEastAsia"/>
          <w:snapToGrid w:val="0"/>
        </w:rPr>
        <w:t>1</w:t>
      </w:r>
      <w:r w:rsidRPr="00FC1444">
        <w:rPr>
          <w:rFonts w:eastAsiaTheme="minorEastAsia"/>
          <w:snapToGrid w:val="0"/>
        </w:rPr>
        <w:t>）</w:t>
      </w:r>
      <w:r w:rsidRPr="00FC1444">
        <w:rPr>
          <w:rFonts w:eastAsiaTheme="minorEastAsia"/>
          <w:sz w:val="24"/>
        </w:rPr>
        <w:t>钻机定位</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根据设计井孔位置，安装钻机，钻机类型为地质钻机</w:t>
      </w:r>
      <w:r w:rsidRPr="00FC1444">
        <w:rPr>
          <w:rFonts w:eastAsiaTheme="minorEastAsia"/>
          <w:sz w:val="24"/>
        </w:rPr>
        <w:t>300</w:t>
      </w:r>
      <w:r w:rsidRPr="00FC1444">
        <w:rPr>
          <w:rFonts w:eastAsiaTheme="minorEastAsia"/>
          <w:sz w:val="24"/>
        </w:rPr>
        <w:t>型钻井机，钻机定位后必须平整稳固，确保在施工中不发生倾斜、移动，同时调整钻机垂直度，垂直度运行偏差</w:t>
      </w:r>
      <w:r w:rsidRPr="00FC1444">
        <w:rPr>
          <w:rFonts w:eastAsiaTheme="minorEastAsia"/>
          <w:sz w:val="24"/>
        </w:rPr>
        <w:t>≤0.5%</w:t>
      </w:r>
      <w:r w:rsidRPr="00FC1444">
        <w:rPr>
          <w:rFonts w:eastAsiaTheme="minorEastAsia"/>
          <w:sz w:val="24"/>
        </w:rPr>
        <w:t>，钻尖应对准井位中心，其水平位置允许偏差</w:t>
      </w:r>
      <w:r w:rsidRPr="00FC1444">
        <w:rPr>
          <w:rFonts w:eastAsiaTheme="minorEastAsia"/>
          <w:sz w:val="24"/>
        </w:rPr>
        <w:t>20mm</w:t>
      </w:r>
      <w:r w:rsidRPr="00FC1444">
        <w:rPr>
          <w:rFonts w:eastAsiaTheme="minorEastAsia"/>
          <w:sz w:val="24"/>
        </w:rPr>
        <w:t>，将高程引到可靠便于施工和检查的位置，并经监理复核后方可开钻。</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）水基泥浆配制</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泥浆配制约</w:t>
      </w:r>
      <w:r w:rsidRPr="00FC1444">
        <w:rPr>
          <w:rFonts w:eastAsiaTheme="minorEastAsia"/>
          <w:sz w:val="24"/>
        </w:rPr>
        <w:t>1.02~1.08kg/cm³</w:t>
      </w:r>
      <w:r w:rsidRPr="00FC1444">
        <w:rPr>
          <w:rFonts w:eastAsiaTheme="minorEastAsia"/>
          <w:sz w:val="24"/>
        </w:rPr>
        <w:t>，含砂率</w:t>
      </w:r>
      <w:r w:rsidRPr="00FC1444">
        <w:rPr>
          <w:rFonts w:eastAsiaTheme="minorEastAsia"/>
          <w:sz w:val="24"/>
        </w:rPr>
        <w:t>≤4%</w:t>
      </w:r>
      <w:r w:rsidRPr="00FC1444">
        <w:rPr>
          <w:rFonts w:eastAsiaTheme="minorEastAsia"/>
          <w:sz w:val="24"/>
        </w:rPr>
        <w:t>，根据地层情况选择泥浆的相对密度，然后确定黏土和配浆水的用量。先在搅拌机中加入水，再按配方要求依次加入所需烧碱、纯碱，搅拌溶解</w:t>
      </w:r>
      <w:r w:rsidRPr="00FC1444">
        <w:rPr>
          <w:rFonts w:eastAsiaTheme="minorEastAsia"/>
          <w:sz w:val="24"/>
        </w:rPr>
        <w:t>15min</w:t>
      </w:r>
      <w:r w:rsidRPr="00FC1444">
        <w:rPr>
          <w:rFonts w:eastAsiaTheme="minorEastAsia"/>
          <w:sz w:val="24"/>
        </w:rPr>
        <w:t>后，按配方要求的量，向上述搅拌机中加入膨润土粉，充分搅拌。若使用钠基膨润土，搅拌</w:t>
      </w:r>
      <w:r w:rsidRPr="00FC1444">
        <w:rPr>
          <w:rFonts w:eastAsiaTheme="minorEastAsia"/>
          <w:sz w:val="24"/>
        </w:rPr>
        <w:t>1h</w:t>
      </w:r>
      <w:r w:rsidRPr="00FC1444">
        <w:rPr>
          <w:rFonts w:eastAsiaTheme="minorEastAsia"/>
          <w:sz w:val="24"/>
        </w:rPr>
        <w:t>左右即可使用</w:t>
      </w:r>
      <w:r w:rsidRPr="00FC1444">
        <w:rPr>
          <w:rFonts w:eastAsiaTheme="minorEastAsia"/>
          <w:sz w:val="24"/>
        </w:rPr>
        <w:t>;</w:t>
      </w:r>
      <w:r w:rsidRPr="00FC1444">
        <w:rPr>
          <w:rFonts w:eastAsiaTheme="minorEastAsia"/>
          <w:sz w:val="24"/>
        </w:rPr>
        <w:t>若使用钙基膨润土，应持续搅拌</w:t>
      </w:r>
      <w:r w:rsidRPr="00FC1444">
        <w:rPr>
          <w:rFonts w:eastAsiaTheme="minorEastAsia"/>
          <w:sz w:val="24"/>
        </w:rPr>
        <w:t>16h</w:t>
      </w:r>
      <w:r w:rsidRPr="00FC1444">
        <w:rPr>
          <w:rFonts w:eastAsiaTheme="minorEastAsia"/>
          <w:sz w:val="24"/>
        </w:rPr>
        <w:t>以上效果最佳。</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3</w:t>
      </w:r>
      <w:r w:rsidRPr="00FC1444">
        <w:rPr>
          <w:rFonts w:eastAsiaTheme="minorEastAsia"/>
          <w:sz w:val="24"/>
        </w:rPr>
        <w:t>）成孔</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整个成孔过程采用反循环工艺，控制塔架垂直度，第一根钻杆钻进时一定要注意，因此时钻具重心高，送浆管偏心受力，钻具易晃动；根据井径、孔深、钻头种类钻速、泵的扬程和土质情况，掌握进尺度，做好钻孔记录，选择合适的重型钻头或安装稳定器及导向装置，以减少钻头、钻杆摆动问题和因土质不均引起偏水现象；检查钻杆的垂直度，允许偏差一般应</w:t>
      </w:r>
      <w:r w:rsidRPr="00FC1444">
        <w:rPr>
          <w:rFonts w:eastAsiaTheme="minorEastAsia"/>
          <w:sz w:val="24"/>
        </w:rPr>
        <w:t>≤0.5%</w:t>
      </w:r>
      <w:r w:rsidRPr="00FC1444">
        <w:rPr>
          <w:rFonts w:eastAsiaTheme="minorEastAsia"/>
          <w:sz w:val="24"/>
        </w:rPr>
        <w:t>，应经常检查，超过此值时应进行纠偏。</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4</w:t>
      </w:r>
      <w:r w:rsidRPr="00FC1444">
        <w:rPr>
          <w:rFonts w:eastAsiaTheme="minorEastAsia"/>
          <w:sz w:val="24"/>
        </w:rPr>
        <w:t>）清孔</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用优质泥浆清孔，待吸出泥浆比重小于</w:t>
      </w:r>
      <w:r w:rsidRPr="00FC1444">
        <w:rPr>
          <w:rFonts w:eastAsiaTheme="minorEastAsia"/>
          <w:sz w:val="24"/>
        </w:rPr>
        <w:t>1.08g/cm³</w:t>
      </w:r>
      <w:r w:rsidRPr="00FC1444">
        <w:rPr>
          <w:rFonts w:eastAsiaTheme="minorEastAsia"/>
          <w:sz w:val="24"/>
        </w:rPr>
        <w:t>，砂率小于</w:t>
      </w:r>
      <w:r w:rsidRPr="00FC1444">
        <w:rPr>
          <w:rFonts w:eastAsiaTheme="minorEastAsia"/>
          <w:sz w:val="24"/>
        </w:rPr>
        <w:t>4%</w:t>
      </w:r>
      <w:r w:rsidRPr="00FC1444">
        <w:rPr>
          <w:rFonts w:eastAsiaTheme="minorEastAsia"/>
          <w:sz w:val="24"/>
        </w:rPr>
        <w:t>时，即可得终孔深度，终孔垂直度运行偏差</w:t>
      </w:r>
      <w:r w:rsidRPr="00FC1444">
        <w:rPr>
          <w:rFonts w:eastAsiaTheme="minorEastAsia"/>
          <w:sz w:val="24"/>
        </w:rPr>
        <w:t>≤0.5%</w:t>
      </w:r>
      <w:r w:rsidRPr="00FC1444">
        <w:rPr>
          <w:rFonts w:eastAsiaTheme="minorEastAsia"/>
          <w:sz w:val="24"/>
        </w:rPr>
        <w:t>，用经纬仪从两个方向检查钻杆垂直度，即可得终孔垂直度。</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5</w:t>
      </w:r>
      <w:r w:rsidRPr="00FC1444">
        <w:rPr>
          <w:rFonts w:eastAsiaTheme="minorEastAsia"/>
          <w:sz w:val="24"/>
        </w:rPr>
        <w:t>）井管安装</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采用钢丝绳托盘下管法。下管时采用四根兜底绳，分别缠绕于绞车上，在其另一端编好钢丝绳套，分别从托盘的四个穿绳孔插入，使四个绳套同心重叠对准托盘的钻钉孔。将销钉表面涂上黄油，插入销钉孔，销往四根兜底绳，销钉要伸</w:t>
      </w:r>
      <w:r w:rsidRPr="00FC1444">
        <w:rPr>
          <w:rFonts w:eastAsiaTheme="minorEastAsia"/>
          <w:sz w:val="24"/>
        </w:rPr>
        <w:lastRenderedPageBreak/>
        <w:t>到穿绳以下</w:t>
      </w:r>
      <w:r w:rsidRPr="00FC1444">
        <w:rPr>
          <w:rFonts w:eastAsiaTheme="minorEastAsia"/>
          <w:sz w:val="24"/>
        </w:rPr>
        <w:t>15cm</w:t>
      </w:r>
      <w:r w:rsidRPr="00FC1444">
        <w:rPr>
          <w:rFonts w:eastAsiaTheme="minorEastAsia"/>
          <w:sz w:val="24"/>
        </w:rPr>
        <w:t>左右，把销好兜底绳的托盘放在预先安置在孔口上的垫板上，即可开始安装井管。</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安装井管时，使井管垂直插入托盘的插口，在接口处缠</w:t>
      </w:r>
      <w:r w:rsidRPr="00FC1444">
        <w:rPr>
          <w:rFonts w:eastAsiaTheme="minorEastAsia"/>
          <w:sz w:val="24"/>
        </w:rPr>
        <w:t>3~4</w:t>
      </w:r>
      <w:r w:rsidRPr="00FC1444">
        <w:rPr>
          <w:rFonts w:eastAsiaTheme="minorEastAsia"/>
          <w:sz w:val="24"/>
        </w:rPr>
        <w:t>圈塑料薄膜，用</w:t>
      </w:r>
      <w:r w:rsidRPr="00FC1444">
        <w:rPr>
          <w:rFonts w:eastAsiaTheme="minorEastAsia"/>
          <w:sz w:val="24"/>
        </w:rPr>
        <w:t>6~8</w:t>
      </w:r>
      <w:r w:rsidRPr="00FC1444">
        <w:rPr>
          <w:rFonts w:eastAsiaTheme="minorEastAsia"/>
          <w:sz w:val="24"/>
        </w:rPr>
        <w:t>根竹蔑均匀地围在接头处，使井管与托盘连接牢固，将中心绳放松</w:t>
      </w:r>
      <w:r w:rsidRPr="00FC1444">
        <w:rPr>
          <w:rFonts w:eastAsiaTheme="minorEastAsia"/>
          <w:sz w:val="24"/>
        </w:rPr>
        <w:t>8~10m</w:t>
      </w:r>
      <w:r w:rsidRPr="00FC1444">
        <w:rPr>
          <w:rFonts w:eastAsiaTheme="minorEastAsia"/>
          <w:sz w:val="24"/>
        </w:rPr>
        <w:t>，盘旋塞进井管内，以防意外抽动中心绳拔出销钉，起吊托和沉淀管，待兜底绳吃力后，将垫板抽样徐徐下降，把托盘和第一根井管送入钻孔内，至井管上口超出台</w:t>
      </w:r>
      <w:r w:rsidRPr="00FC1444">
        <w:rPr>
          <w:rFonts w:eastAsiaTheme="minorEastAsia"/>
          <w:sz w:val="24"/>
        </w:rPr>
        <w:t>1m</w:t>
      </w:r>
      <w:r w:rsidRPr="00FC1444">
        <w:rPr>
          <w:rFonts w:eastAsiaTheme="minorEastAsia"/>
          <w:sz w:val="24"/>
        </w:rPr>
        <w:t>左右，停止下降，即开始安装第二根井管，如此往复，直至井管下完，托盘下到孔底，井管安装完毕，校核无误后，将管身固定，不使摇摆，然后将兜底绳放松，即可起拔中心绳，销钉拔出后，再用绞车拔兜底绳，兜底绳拔出后即可回填砾料。</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6</w:t>
      </w:r>
      <w:r w:rsidRPr="00FC1444">
        <w:rPr>
          <w:rFonts w:eastAsiaTheme="minorEastAsia"/>
          <w:sz w:val="24"/>
        </w:rPr>
        <w:t>）填砂料</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填砾是管井建造的一个重要环节，中粗砂含水层、填砾厚度不小于</w:t>
      </w:r>
      <w:r w:rsidRPr="00FC1444">
        <w:rPr>
          <w:rFonts w:eastAsiaTheme="minorEastAsia"/>
          <w:sz w:val="24"/>
        </w:rPr>
        <w:t>100mm</w:t>
      </w:r>
      <w:r w:rsidRPr="00FC1444">
        <w:rPr>
          <w:rFonts w:eastAsiaTheme="minorEastAsia"/>
          <w:sz w:val="24"/>
        </w:rPr>
        <w:t>，细砂以下含水层，厚度不小于</w:t>
      </w:r>
      <w:r w:rsidRPr="00FC1444">
        <w:rPr>
          <w:rFonts w:eastAsiaTheme="minorEastAsia"/>
          <w:sz w:val="24"/>
        </w:rPr>
        <w:t>150mm</w:t>
      </w:r>
      <w:r w:rsidRPr="00FC1444">
        <w:rPr>
          <w:rFonts w:eastAsiaTheme="minorEastAsia"/>
          <w:sz w:val="24"/>
        </w:rPr>
        <w:t>，滤料选用磨圆度好的硅质砾石，以圆形卵石或砂料为宜，质地坚硬，不含化学成分，经过严格筛分，合格率大于</w:t>
      </w:r>
      <w:r w:rsidRPr="00FC1444">
        <w:rPr>
          <w:rFonts w:eastAsiaTheme="minorEastAsia"/>
          <w:sz w:val="24"/>
        </w:rPr>
        <w:t>90%</w:t>
      </w:r>
      <w:r w:rsidRPr="00FC1444">
        <w:rPr>
          <w:rFonts w:eastAsiaTheme="minorEastAsia"/>
          <w:sz w:val="24"/>
        </w:rPr>
        <w:t>，不得含土过多，或含有其他杂质。</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根据钻孔记录，确定各含水层高程，有两个以上含水层时，应将两个含水层之间的隔水层分为二段，下段为隔水层厚度的</w:t>
      </w:r>
      <w:r w:rsidRPr="00FC1444">
        <w:rPr>
          <w:rFonts w:eastAsiaTheme="minorEastAsia"/>
          <w:sz w:val="24"/>
        </w:rPr>
        <w:t>4/5</w:t>
      </w:r>
      <w:r w:rsidRPr="00FC1444">
        <w:rPr>
          <w:rFonts w:eastAsiaTheme="minorEastAsia"/>
          <w:sz w:val="24"/>
        </w:rPr>
        <w:t>，填入与下部含水量相应的规格砾石，上段为</w:t>
      </w:r>
      <w:r w:rsidRPr="00FC1444">
        <w:rPr>
          <w:rFonts w:eastAsiaTheme="minorEastAsia"/>
          <w:sz w:val="24"/>
        </w:rPr>
        <w:t>1/5</w:t>
      </w:r>
      <w:r w:rsidRPr="00FC1444">
        <w:rPr>
          <w:rFonts w:eastAsiaTheme="minorEastAsia"/>
          <w:sz w:val="24"/>
        </w:rPr>
        <w:t>，填入上部含水层相应的规定砾石。</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7</w:t>
      </w:r>
      <w:r w:rsidRPr="00FC1444">
        <w:rPr>
          <w:rFonts w:eastAsiaTheme="minorEastAsia"/>
          <w:sz w:val="24"/>
        </w:rPr>
        <w:t>）井管外封闭</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进行井管外封闭前按照井的柱状图将所需的粘土球及粘土数量、计划填入深度计算妥当，并准备一定余量，一般填入的粘土球的数量应比封闭层实际需要的多填</w:t>
      </w:r>
      <w:r w:rsidRPr="00FC1444">
        <w:rPr>
          <w:rFonts w:eastAsiaTheme="minorEastAsia"/>
          <w:sz w:val="24"/>
        </w:rPr>
        <w:t>25%</w:t>
      </w:r>
      <w:r w:rsidRPr="00FC1444">
        <w:rPr>
          <w:rFonts w:eastAsiaTheme="minorEastAsia"/>
          <w:sz w:val="24"/>
        </w:rPr>
        <w:t>左右，粘土球直径为</w:t>
      </w:r>
      <w:r w:rsidRPr="00FC1444">
        <w:rPr>
          <w:rFonts w:eastAsiaTheme="minorEastAsia"/>
          <w:sz w:val="24"/>
        </w:rPr>
        <w:t>25mm</w:t>
      </w:r>
      <w:r w:rsidRPr="00FC1444">
        <w:rPr>
          <w:rFonts w:eastAsiaTheme="minorEastAsia"/>
          <w:sz w:val="24"/>
        </w:rPr>
        <w:t>，呈圆形，用优质粘土制成，对粘土球在泥浆中心，溶化时间进行试验，根据实验结果，确定粘土球湿度按照井柱状图，将最下含水层砾石填入，再用</w:t>
      </w:r>
      <w:r w:rsidRPr="00FC1444">
        <w:rPr>
          <w:rFonts w:eastAsiaTheme="minorEastAsia"/>
          <w:sz w:val="24"/>
        </w:rPr>
        <w:t>25mm</w:t>
      </w:r>
      <w:r w:rsidRPr="00FC1444">
        <w:rPr>
          <w:rFonts w:eastAsiaTheme="minorEastAsia"/>
          <w:sz w:val="24"/>
        </w:rPr>
        <w:t>左右半干状态粘土球徐徐填入，填至计划位置，以此类推，进行井管外封闭。</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8</w:t>
      </w:r>
      <w:r w:rsidRPr="00FC1444">
        <w:rPr>
          <w:rFonts w:eastAsiaTheme="minorEastAsia"/>
          <w:sz w:val="24"/>
        </w:rPr>
        <w:t>）止水</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常用方法为粘土球止水法。保证粘土球质量并分层填入，逐层填满，填实。</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9</w:t>
      </w:r>
      <w:r w:rsidRPr="00FC1444">
        <w:rPr>
          <w:rFonts w:eastAsiaTheme="minorEastAsia"/>
          <w:sz w:val="24"/>
        </w:rPr>
        <w:t>）洗井</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洗井主要是清除在钻孔过程中孔内泥浆对含水层的堵塞，同时排出滤管周围</w:t>
      </w:r>
      <w:r w:rsidRPr="00FC1444">
        <w:rPr>
          <w:rFonts w:eastAsiaTheme="minorEastAsia"/>
          <w:sz w:val="24"/>
        </w:rPr>
        <w:lastRenderedPageBreak/>
        <w:t>含水层的细粒，以疏通水层，减少进水阻力，以达到应有的出水量。</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井管安装完毕后，采用机动固定式</w:t>
      </w:r>
      <w:r w:rsidRPr="00FC1444">
        <w:rPr>
          <w:rFonts w:eastAsiaTheme="minorEastAsia"/>
          <w:sz w:val="24"/>
        </w:rPr>
        <w:t>1.2m³</w:t>
      </w:r>
      <w:r w:rsidRPr="00FC1444">
        <w:rPr>
          <w:rFonts w:eastAsiaTheme="minorEastAsia"/>
          <w:sz w:val="24"/>
        </w:rPr>
        <w:t>，</w:t>
      </w:r>
      <w:r w:rsidRPr="00FC1444">
        <w:rPr>
          <w:rFonts w:eastAsiaTheme="minorEastAsia"/>
          <w:sz w:val="24"/>
        </w:rPr>
        <w:t>10</w:t>
      </w:r>
      <w:r w:rsidRPr="00FC1444">
        <w:rPr>
          <w:rFonts w:eastAsiaTheme="minorEastAsia"/>
          <w:sz w:val="24"/>
        </w:rPr>
        <w:t>压力空气压缩机对管井中的泥土、细砂、泥浆等全部清洗，保证管井达到正常出水量。</w:t>
      </w:r>
    </w:p>
    <w:p w:rsidR="002A5A5E" w:rsidRPr="00FC1444" w:rsidRDefault="004B2F9E">
      <w:pPr>
        <w:spacing w:line="360" w:lineRule="auto"/>
        <w:ind w:firstLineChars="200" w:firstLine="480"/>
        <w:rPr>
          <w:rFonts w:eastAsiaTheme="minorEastAsia"/>
          <w:sz w:val="24"/>
        </w:rPr>
      </w:pPr>
      <w:r w:rsidRPr="00FC1444">
        <w:rPr>
          <w:rFonts w:eastAsiaTheme="minorEastAsia"/>
          <w:bCs/>
          <w:sz w:val="24"/>
          <w:szCs w:val="22"/>
        </w:rPr>
        <w:t>单井泥浆最大产生量</w:t>
      </w:r>
      <w:r w:rsidRPr="00FC1444">
        <w:rPr>
          <w:rFonts w:eastAsiaTheme="minorEastAsia"/>
          <w:bCs/>
          <w:sz w:val="24"/>
          <w:szCs w:val="22"/>
        </w:rPr>
        <w:t>10</w:t>
      </w:r>
      <w:r w:rsidR="00DE2B0A" w:rsidRPr="00FC1444">
        <w:rPr>
          <w:rFonts w:eastAsiaTheme="minorEastAsia"/>
          <w:bCs/>
          <w:sz w:val="24"/>
          <w:szCs w:val="22"/>
        </w:rPr>
        <w:t>m</w:t>
      </w:r>
      <w:r w:rsidR="00DE2B0A" w:rsidRPr="00FC1444">
        <w:rPr>
          <w:rFonts w:eastAsiaTheme="minorEastAsia"/>
          <w:bCs/>
          <w:sz w:val="24"/>
          <w:szCs w:val="22"/>
          <w:vertAlign w:val="superscript"/>
        </w:rPr>
        <w:t>3</w:t>
      </w:r>
      <w:r w:rsidR="00611CBA" w:rsidRPr="00FC1444">
        <w:rPr>
          <w:rFonts w:eastAsiaTheme="minorEastAsia"/>
          <w:bCs/>
          <w:sz w:val="24"/>
          <w:szCs w:val="22"/>
        </w:rPr>
        <w:t>，</w:t>
      </w:r>
      <w:r w:rsidR="00611CBA" w:rsidRPr="00FC1444">
        <w:rPr>
          <w:rFonts w:eastAsiaTheme="minorEastAsia"/>
          <w:sz w:val="24"/>
        </w:rPr>
        <w:t>钻井泥浆不含油类物质及其他化学成分，部分可循环利用，</w:t>
      </w:r>
      <w:r w:rsidR="00611CBA" w:rsidRPr="00FC1444">
        <w:rPr>
          <w:rFonts w:eastAsiaTheme="minorEastAsia"/>
          <w:sz w:val="24"/>
          <w:szCs w:val="22"/>
        </w:rPr>
        <w:t>废泥浆</w:t>
      </w:r>
      <w:r w:rsidR="00611CBA" w:rsidRPr="00FC1444">
        <w:rPr>
          <w:rFonts w:eastAsiaTheme="minorEastAsia"/>
          <w:sz w:val="24"/>
        </w:rPr>
        <w:t>暂存于施工场地</w:t>
      </w:r>
      <w:r w:rsidR="006974EB" w:rsidRPr="00FC1444">
        <w:rPr>
          <w:rFonts w:eastAsiaTheme="minorEastAsia"/>
          <w:sz w:val="24"/>
        </w:rPr>
        <w:t>1</w:t>
      </w:r>
      <w:r w:rsidR="006974EB" w:rsidRPr="00FC1444">
        <w:rPr>
          <w:rFonts w:eastAsiaTheme="minorEastAsia"/>
          <w:sz w:val="24"/>
        </w:rPr>
        <w:t>个</w:t>
      </w:r>
      <w:r w:rsidR="006974EB" w:rsidRPr="00FC1444">
        <w:rPr>
          <w:rFonts w:eastAsiaTheme="minorEastAsia"/>
          <w:sz w:val="24"/>
        </w:rPr>
        <w:t>10</w:t>
      </w:r>
      <w:r w:rsidR="00611CBA" w:rsidRPr="00FC1444">
        <w:rPr>
          <w:rFonts w:eastAsiaTheme="minorEastAsia"/>
          <w:sz w:val="24"/>
          <w:szCs w:val="22"/>
        </w:rPr>
        <w:t>m</w:t>
      </w:r>
      <w:r w:rsidR="00611CBA" w:rsidRPr="00FC1444">
        <w:rPr>
          <w:rFonts w:eastAsiaTheme="minorEastAsia"/>
          <w:sz w:val="24"/>
          <w:szCs w:val="22"/>
          <w:vertAlign w:val="superscript"/>
        </w:rPr>
        <w:t>3</w:t>
      </w:r>
      <w:r w:rsidR="00611CBA" w:rsidRPr="00FC1444">
        <w:rPr>
          <w:rFonts w:eastAsiaTheme="minorEastAsia"/>
          <w:sz w:val="24"/>
        </w:rPr>
        <w:t>移动式不锈钢沉淀池内，沉淀后上层清水用于洒水降尘，下层钻井</w:t>
      </w:r>
      <w:r w:rsidR="00611CBA" w:rsidRPr="00FC1444">
        <w:rPr>
          <w:rFonts w:eastAsiaTheme="minorEastAsia"/>
          <w:bCs/>
          <w:sz w:val="24"/>
          <w:szCs w:val="22"/>
        </w:rPr>
        <w:t>泥浆自然干化后用于周围道路平整</w:t>
      </w:r>
      <w:r w:rsidR="00611CBA" w:rsidRPr="00FC1444">
        <w:rPr>
          <w:rFonts w:eastAsiaTheme="minorEastAsia"/>
          <w:sz w:val="24"/>
          <w:szCs w:val="22"/>
        </w:rPr>
        <w:t>；</w:t>
      </w:r>
      <w:r w:rsidR="00611CBA" w:rsidRPr="00FC1444">
        <w:rPr>
          <w:rFonts w:eastAsiaTheme="minorEastAsia"/>
          <w:sz w:val="24"/>
        </w:rPr>
        <w:t>洗井废水产生</w:t>
      </w:r>
      <w:r w:rsidR="00611CBA" w:rsidRPr="00FC1444">
        <w:rPr>
          <w:rFonts w:eastAsiaTheme="minorEastAsia"/>
          <w:sz w:val="24"/>
          <w:szCs w:val="22"/>
        </w:rPr>
        <w:t>量为</w:t>
      </w:r>
      <w:r w:rsidR="006974EB" w:rsidRPr="00FC1444">
        <w:rPr>
          <w:rFonts w:eastAsiaTheme="minorEastAsia"/>
          <w:sz w:val="24"/>
          <w:szCs w:val="22"/>
        </w:rPr>
        <w:t>2475m</w:t>
      </w:r>
      <w:r w:rsidR="00611CBA" w:rsidRPr="00FC1444">
        <w:rPr>
          <w:rFonts w:eastAsiaTheme="minorEastAsia"/>
          <w:sz w:val="24"/>
          <w:szCs w:val="22"/>
          <w:vertAlign w:val="superscript"/>
        </w:rPr>
        <w:t>3</w:t>
      </w:r>
      <w:r w:rsidR="00611CBA" w:rsidRPr="00FC1444">
        <w:rPr>
          <w:rFonts w:eastAsiaTheme="minorEastAsia"/>
          <w:sz w:val="24"/>
          <w:szCs w:val="22"/>
        </w:rPr>
        <w:t>，</w:t>
      </w:r>
      <w:r w:rsidR="00611CBA" w:rsidRPr="00FC1444">
        <w:rPr>
          <w:rFonts w:eastAsiaTheme="minorEastAsia"/>
          <w:sz w:val="24"/>
        </w:rPr>
        <w:t>用于洒水降尘。</w:t>
      </w:r>
    </w:p>
    <w:p w:rsidR="002A5A5E" w:rsidRPr="00FC1444" w:rsidRDefault="009840DD">
      <w:pPr>
        <w:spacing w:line="360" w:lineRule="auto"/>
        <w:ind w:firstLineChars="200" w:firstLine="482"/>
        <w:rPr>
          <w:rFonts w:eastAsiaTheme="minorEastAsia"/>
          <w:b/>
          <w:sz w:val="24"/>
          <w:szCs w:val="20"/>
        </w:rPr>
      </w:pPr>
      <w:r w:rsidRPr="00FC1444">
        <w:rPr>
          <w:rFonts w:eastAsiaTheme="minorEastAsia"/>
          <w:b/>
          <w:sz w:val="24"/>
        </w:rPr>
        <w:pict>
          <v:shape id="_x0000_s696463" type="#_x0000_t202" style="position:absolute;left:0;text-align:left;margin-left:384.4pt;margin-top:7.35pt;width:54.6pt;height:23.4pt;z-index:251688960" filled="f" stroked="f">
            <v:textbox style="mso-next-textbox:#_x0000_s696463">
              <w:txbxContent>
                <w:p w:rsidR="006F5CC4" w:rsidRDefault="006F5CC4">
                  <w:pPr>
                    <w:jc w:val="center"/>
                    <w:rPr>
                      <w:rFonts w:ascii="宋体" w:hAnsi="宋体" w:cs="宋体"/>
                    </w:rPr>
                  </w:pPr>
                  <w:r>
                    <w:rPr>
                      <w:rFonts w:ascii="宋体" w:hAnsi="宋体" w:cs="宋体" w:hint="eastAsia"/>
                      <w:szCs w:val="20"/>
                    </w:rPr>
                    <w:t>噪声</w:t>
                  </w:r>
                </w:p>
              </w:txbxContent>
            </v:textbox>
          </v:shape>
        </w:pict>
      </w:r>
      <w:r w:rsidRPr="00FC1444">
        <w:rPr>
          <w:rFonts w:eastAsiaTheme="minorEastAsia"/>
        </w:rPr>
        <w:pict>
          <v:line id="_x0000_s696464" style="position:absolute;left:0;text-align:left;rotation:180;z-index:251689984" from="413.95pt,20.9pt" to="414pt,44.3pt">
            <v:stroke dashstyle="dash" endarrow="block"/>
          </v:line>
        </w:pict>
      </w:r>
      <w:r w:rsidRPr="00FC1444">
        <w:rPr>
          <w:rFonts w:eastAsiaTheme="minorEastAsia"/>
        </w:rPr>
        <w:pict>
          <v:shape id="_x0000_s696462" type="#_x0000_t202" style="position:absolute;left:0;text-align:left;margin-left:300.9pt;margin-top:5.8pt;width:54.6pt;height:23.4pt;z-index:251687936" filled="f" stroked="f">
            <v:textbox style="mso-next-textbox:#_x0000_s696462">
              <w:txbxContent>
                <w:p w:rsidR="006F5CC4" w:rsidRDefault="006F5CC4">
                  <w:pPr>
                    <w:jc w:val="center"/>
                    <w:rPr>
                      <w:rFonts w:ascii="宋体" w:hAnsi="宋体" w:cs="宋体"/>
                    </w:rPr>
                  </w:pPr>
                  <w:r>
                    <w:rPr>
                      <w:rFonts w:ascii="宋体" w:hAnsi="宋体" w:cs="宋体" w:hint="eastAsia"/>
                      <w:szCs w:val="20"/>
                    </w:rPr>
                    <w:t>噪声</w:t>
                  </w:r>
                </w:p>
              </w:txbxContent>
            </v:textbox>
          </v:shape>
        </w:pict>
      </w:r>
      <w:r w:rsidRPr="00FC1444">
        <w:rPr>
          <w:rFonts w:eastAsiaTheme="minorEastAsia"/>
        </w:rPr>
        <w:pict>
          <v:line id="_x0000_s696433" style="position:absolute;left:0;text-align:left;rotation:180;z-index:251681792" from="330.15pt,20.9pt" to="330.2pt,44.3pt">
            <v:stroke dashstyle="dash" endarrow="block"/>
          </v:line>
        </w:pict>
      </w:r>
      <w:r w:rsidRPr="00FC1444">
        <w:rPr>
          <w:rFonts w:eastAsiaTheme="minorEastAsia"/>
        </w:rPr>
        <w:pict>
          <v:shape id="_x0000_s696429" type="#_x0000_t202" style="position:absolute;left:0;text-align:left;margin-left:218.95pt;margin-top:6.45pt;width:54.6pt;height:23.4pt;z-index:251677696" filled="f" stroked="f">
            <v:textbox style="mso-next-textbox:#_x0000_s696429">
              <w:txbxContent>
                <w:p w:rsidR="006F5CC4" w:rsidRDefault="006F5CC4">
                  <w:pPr>
                    <w:jc w:val="center"/>
                    <w:rPr>
                      <w:rFonts w:ascii="宋体" w:hAnsi="宋体" w:cs="宋体"/>
                    </w:rPr>
                  </w:pPr>
                  <w:r>
                    <w:rPr>
                      <w:rFonts w:ascii="宋体" w:hAnsi="宋体" w:cs="宋体" w:hint="eastAsia"/>
                      <w:szCs w:val="20"/>
                    </w:rPr>
                    <w:t>噪声</w:t>
                  </w:r>
                </w:p>
              </w:txbxContent>
            </v:textbox>
          </v:shape>
        </w:pict>
      </w:r>
      <w:r w:rsidRPr="00FC1444">
        <w:rPr>
          <w:rFonts w:eastAsiaTheme="minorEastAsia"/>
        </w:rPr>
        <w:pict>
          <v:line id="直线 671" o:spid="_x0000_s696422" style="position:absolute;left:0;text-align:left;rotation:180;z-index:251670528" from="103.45pt,22.2pt" to="103.5pt,45.6pt">
            <v:stroke dashstyle="dash" endarrow="block"/>
          </v:line>
        </w:pict>
      </w:r>
      <w:r w:rsidRPr="00FC1444">
        <w:rPr>
          <w:rFonts w:eastAsiaTheme="minorEastAsia"/>
        </w:rPr>
        <w:pict>
          <v:shape id="_x0000_s696431" type="#_x0000_t202" style="position:absolute;left:0;text-align:left;margin-left:144.6pt;margin-top:6.45pt;width:54.6pt;height:23.4pt;z-index:251679744" filled="f" stroked="f">
            <v:textbox style="mso-next-textbox:#_x0000_s696431">
              <w:txbxContent>
                <w:p w:rsidR="006F5CC4" w:rsidRDefault="006F5CC4">
                  <w:pPr>
                    <w:jc w:val="center"/>
                    <w:rPr>
                      <w:rFonts w:ascii="宋体" w:hAnsi="宋体" w:cs="宋体"/>
                    </w:rPr>
                  </w:pPr>
                  <w:r>
                    <w:rPr>
                      <w:rFonts w:ascii="宋体" w:hAnsi="宋体" w:cs="宋体" w:hint="eastAsia"/>
                      <w:szCs w:val="20"/>
                    </w:rPr>
                    <w:t>噪声</w:t>
                  </w:r>
                </w:p>
              </w:txbxContent>
            </v:textbox>
          </v:shape>
        </w:pict>
      </w:r>
      <w:r w:rsidRPr="00FC1444">
        <w:rPr>
          <w:rFonts w:eastAsiaTheme="minorEastAsia"/>
        </w:rPr>
        <w:pict>
          <v:shape id="文本框 672" o:spid="_x0000_s696423" type="#_x0000_t202" style="position:absolute;left:0;text-align:left;margin-left:19.75pt;margin-top:5.8pt;width:143.85pt;height:23.4pt;z-index:251671552" filled="f" stroked="f">
            <v:textbox style="mso-next-textbox:#文本框 672">
              <w:txbxContent>
                <w:p w:rsidR="006F5CC4" w:rsidRDefault="006F5CC4">
                  <w:pPr>
                    <w:jc w:val="center"/>
                    <w:rPr>
                      <w:rFonts w:ascii="宋体" w:hAnsi="宋体" w:cs="宋体"/>
                    </w:rPr>
                  </w:pPr>
                  <w:r>
                    <w:rPr>
                      <w:rFonts w:ascii="宋体" w:hAnsi="宋体" w:cs="宋体" w:hint="eastAsia"/>
                      <w:szCs w:val="20"/>
                    </w:rPr>
                    <w:t>噪声、废泥浆、生态影响</w:t>
                  </w:r>
                </w:p>
              </w:txbxContent>
            </v:textbox>
          </v:shape>
        </w:pict>
      </w:r>
      <w:r w:rsidRPr="00FC1444">
        <w:rPr>
          <w:rFonts w:eastAsiaTheme="minorEastAsia"/>
        </w:rPr>
        <w:pict>
          <v:shape id="文本框 664" o:spid="_x0000_s696415" type="#_x0000_t202" style="position:absolute;left:0;text-align:left;margin-left:83.55pt;margin-top:46.35pt;width:39.7pt;height:23.4pt;z-index:251663360" filled="f">
            <v:textbox style="mso-next-textbox:#文本框 664">
              <w:txbxContent>
                <w:p w:rsidR="006F5CC4" w:rsidRDefault="006F5CC4">
                  <w:pPr>
                    <w:jc w:val="center"/>
                    <w:rPr>
                      <w:rFonts w:ascii="宋体" w:hAnsi="宋体" w:cs="宋体"/>
                    </w:rPr>
                  </w:pPr>
                  <w:r>
                    <w:rPr>
                      <w:rFonts w:ascii="宋体" w:hAnsi="宋体" w:cs="宋体" w:hint="eastAsia"/>
                      <w:szCs w:val="20"/>
                    </w:rPr>
                    <w:t>成孔</w:t>
                  </w:r>
                </w:p>
              </w:txbxContent>
            </v:textbox>
          </v:shape>
        </w:pict>
      </w:r>
      <w:r w:rsidRPr="00FC1444">
        <w:rPr>
          <w:rFonts w:eastAsiaTheme="minorEastAsia"/>
        </w:rPr>
        <w:pict>
          <v:line id="直线 668" o:spid="_x0000_s696419" style="position:absolute;left:0;text-align:left;z-index:251667456" from="125.9pt,58.3pt" to="151.4pt,58.3pt">
            <v:stroke endarrow="block"/>
          </v:line>
        </w:pict>
      </w:r>
      <w:r w:rsidRPr="00FC1444">
        <w:rPr>
          <w:rFonts w:eastAsiaTheme="minorEastAsia"/>
        </w:rPr>
        <w:pict>
          <v:shape id="文本框 673" o:spid="_x0000_s696424" type="#_x0000_t202" style="position:absolute;left:0;text-align:left;margin-left:-4.95pt;margin-top:45.6pt;width:59.2pt;height:23.4pt;z-index:251672576" filled="f">
            <v:textbox style="mso-next-textbox:#文本框 673">
              <w:txbxContent>
                <w:p w:rsidR="006F5CC4" w:rsidRDefault="006F5CC4">
                  <w:pPr>
                    <w:rPr>
                      <w:rFonts w:ascii="宋体" w:hAnsi="宋体" w:cs="宋体"/>
                      <w:szCs w:val="20"/>
                    </w:rPr>
                  </w:pPr>
                  <w:r>
                    <w:rPr>
                      <w:rFonts w:ascii="宋体" w:hAnsi="宋体" w:cs="宋体"/>
                      <w:szCs w:val="20"/>
                    </w:rPr>
                    <w:t>钻机定位</w:t>
                  </w:r>
                </w:p>
              </w:txbxContent>
            </v:textbox>
          </v:shape>
        </w:pict>
      </w:r>
      <w:r w:rsidRPr="00FC1444">
        <w:rPr>
          <w:rFonts w:eastAsiaTheme="minorEastAsia"/>
        </w:rPr>
        <w:pict>
          <v:line id="直线 674" o:spid="_x0000_s696425" style="position:absolute;left:0;text-align:left;z-index:251673600" from="56.3pt,57.5pt" to="81.8pt,57.5pt">
            <v:stroke endarrow="block"/>
          </v:line>
        </w:pict>
      </w:r>
      <w:r w:rsidRPr="00FC1444">
        <w:rPr>
          <w:rFonts w:eastAsiaTheme="minorEastAsia"/>
        </w:rPr>
        <w:pict>
          <v:line id="直线 678" o:spid="_x0000_s696427" style="position:absolute;left:0;text-align:left;z-index:251675648" from="353.8pt,58.05pt" to="379.3pt,58.05pt">
            <v:stroke endarrow="block"/>
          </v:line>
        </w:pict>
      </w:r>
    </w:p>
    <w:p w:rsidR="002A5A5E" w:rsidRPr="00FC1444" w:rsidRDefault="009840DD">
      <w:pPr>
        <w:spacing w:line="500" w:lineRule="exact"/>
        <w:rPr>
          <w:rFonts w:eastAsiaTheme="minorEastAsia"/>
          <w:b/>
          <w:sz w:val="24"/>
          <w:szCs w:val="20"/>
        </w:rPr>
      </w:pPr>
      <w:r w:rsidRPr="00FC1444">
        <w:rPr>
          <w:rFonts w:eastAsiaTheme="minorEastAsia"/>
          <w:b/>
          <w:sz w:val="24"/>
        </w:rPr>
        <w:pict>
          <v:shape id="_x0000_s696458" type="#_x0000_t202" style="position:absolute;left:0;text-align:left;margin-left:379.3pt;margin-top:22.2pt;width:68.6pt;height:23.4pt;z-index:251683840" filled="f">
            <v:textbox style="mso-next-textbox:#_x0000_s696458">
              <w:txbxContent>
                <w:p w:rsidR="006F5CC4" w:rsidRDefault="006F5CC4">
                  <w:pPr>
                    <w:jc w:val="center"/>
                    <w:rPr>
                      <w:rFonts w:ascii="宋体" w:hAnsi="宋体" w:cs="宋体"/>
                    </w:rPr>
                  </w:pPr>
                  <w:r>
                    <w:rPr>
                      <w:rFonts w:ascii="宋体" w:hAnsi="宋体" w:cs="宋体" w:hint="eastAsia"/>
                      <w:szCs w:val="20"/>
                    </w:rPr>
                    <w:t>井管外封闭</w:t>
                  </w:r>
                </w:p>
              </w:txbxContent>
            </v:textbox>
          </v:shape>
        </w:pict>
      </w:r>
      <w:r w:rsidRPr="00FC1444">
        <w:rPr>
          <w:rFonts w:eastAsiaTheme="minorEastAsia"/>
        </w:rPr>
        <w:pict>
          <v:shape id="文本框 666" o:spid="_x0000_s696417" type="#_x0000_t202" style="position:absolute;left:0;text-align:left;margin-left:304.65pt;margin-top:23.35pt;width:49.15pt;height:23.4pt;z-index:251665408" filled="f">
            <v:textbox style="mso-next-textbox:#文本框 666">
              <w:txbxContent>
                <w:p w:rsidR="006F5CC4" w:rsidRDefault="006F5CC4">
                  <w:pPr>
                    <w:jc w:val="center"/>
                    <w:rPr>
                      <w:rFonts w:ascii="宋体" w:hAnsi="宋体" w:cs="宋体"/>
                    </w:rPr>
                  </w:pPr>
                  <w:r>
                    <w:rPr>
                      <w:rFonts w:ascii="宋体" w:hAnsi="宋体" w:cs="宋体" w:hint="eastAsia"/>
                      <w:szCs w:val="20"/>
                    </w:rPr>
                    <w:t>填砂料</w:t>
                  </w:r>
                </w:p>
              </w:txbxContent>
            </v:textbox>
          </v:shape>
        </w:pict>
      </w:r>
      <w:r w:rsidRPr="00FC1444">
        <w:rPr>
          <w:rFonts w:eastAsiaTheme="minorEastAsia"/>
        </w:rPr>
        <w:pict>
          <v:line id="_x0000_s696430" style="position:absolute;left:0;text-align:left;rotation:180;z-index:251678720" from="245.85pt,-.35pt" to="245.9pt,23.05pt">
            <v:stroke dashstyle="dash" endarrow="block"/>
          </v:line>
        </w:pict>
      </w:r>
      <w:r w:rsidRPr="00FC1444">
        <w:rPr>
          <w:rFonts w:eastAsiaTheme="minorEastAsia"/>
        </w:rPr>
        <w:pict>
          <v:shape id="文本框 665" o:spid="_x0000_s696416" type="#_x0000_t202" style="position:absolute;left:0;text-align:left;margin-left:218.4pt;margin-top:23.35pt;width:60.25pt;height:23.4pt;z-index:251664384" filled="f">
            <v:textbox style="mso-next-textbox:#文本框 665">
              <w:txbxContent>
                <w:p w:rsidR="006F5CC4" w:rsidRDefault="006F5CC4">
                  <w:pPr>
                    <w:jc w:val="center"/>
                    <w:rPr>
                      <w:rFonts w:ascii="宋体" w:hAnsi="宋体" w:cs="宋体"/>
                    </w:rPr>
                  </w:pPr>
                  <w:r>
                    <w:rPr>
                      <w:rFonts w:ascii="宋体" w:hAnsi="宋体" w:cs="宋体" w:hint="eastAsia"/>
                      <w:szCs w:val="20"/>
                    </w:rPr>
                    <w:t>井管安装</w:t>
                  </w:r>
                </w:p>
              </w:txbxContent>
            </v:textbox>
          </v:shape>
        </w:pict>
      </w:r>
      <w:r w:rsidRPr="00FC1444">
        <w:rPr>
          <w:rFonts w:eastAsiaTheme="minorEastAsia"/>
        </w:rPr>
        <w:pict>
          <v:line id="_x0000_s696428" style="position:absolute;left:0;text-align:left;rotation:180;z-index:251676672" from="171.1pt,-.15pt" to="171.15pt,23.25pt">
            <v:stroke dashstyle="dash" endarrow="block"/>
          </v:line>
        </w:pict>
      </w:r>
      <w:r w:rsidRPr="00FC1444">
        <w:rPr>
          <w:rFonts w:eastAsiaTheme="minorEastAsia"/>
          <w:b/>
          <w:sz w:val="24"/>
        </w:rPr>
        <w:pict>
          <v:shape id="_x0000_s696460" type="#_x0000_t202" style="position:absolute;left:0;text-align:left;margin-left:151.4pt;margin-top:22.2pt;width:39.7pt;height:23.4pt;z-index:251685888" filled="f">
            <v:textbox style="mso-next-textbox:#_x0000_s696460">
              <w:txbxContent>
                <w:p w:rsidR="006F5CC4" w:rsidRDefault="006F5CC4">
                  <w:pPr>
                    <w:jc w:val="center"/>
                    <w:rPr>
                      <w:rFonts w:ascii="宋体" w:hAnsi="宋体" w:cs="宋体"/>
                    </w:rPr>
                  </w:pPr>
                  <w:r>
                    <w:rPr>
                      <w:rFonts w:ascii="宋体" w:hAnsi="宋体" w:cs="宋体" w:hint="eastAsia"/>
                      <w:szCs w:val="20"/>
                    </w:rPr>
                    <w:t>清孔</w:t>
                  </w:r>
                </w:p>
              </w:txbxContent>
            </v:textbox>
          </v:shape>
        </w:pict>
      </w:r>
    </w:p>
    <w:p w:rsidR="002A5A5E" w:rsidRPr="00FC1444" w:rsidRDefault="009840DD">
      <w:pPr>
        <w:spacing w:line="500" w:lineRule="exact"/>
        <w:ind w:firstLineChars="200" w:firstLine="482"/>
        <w:rPr>
          <w:rFonts w:eastAsiaTheme="minorEastAsia"/>
          <w:sz w:val="24"/>
          <w:szCs w:val="20"/>
        </w:rPr>
      </w:pPr>
      <w:r w:rsidRPr="00FC1444">
        <w:rPr>
          <w:rFonts w:eastAsiaTheme="minorEastAsia"/>
          <w:b/>
          <w:sz w:val="24"/>
        </w:rPr>
        <w:pict>
          <v:line id="_x0000_s696457" style="position:absolute;left:0;text-align:left;z-index:251682816" from="415.05pt,21.35pt" to="415.05pt,48.3pt">
            <v:stroke endarrow="block"/>
          </v:line>
        </w:pict>
      </w:r>
      <w:r w:rsidRPr="00FC1444">
        <w:rPr>
          <w:rFonts w:eastAsiaTheme="minorEastAsia"/>
        </w:rPr>
        <w:pict>
          <v:line id="直线 670" o:spid="_x0000_s696421" style="position:absolute;left:0;text-align:left;z-index:251669504" from="279.45pt,9.95pt" to="304.95pt,9.95pt">
            <v:stroke endarrow="block"/>
          </v:line>
        </w:pict>
      </w:r>
      <w:r w:rsidRPr="00FC1444">
        <w:rPr>
          <w:rFonts w:eastAsiaTheme="minorEastAsia"/>
        </w:rPr>
        <w:pict>
          <v:line id="直线 669" o:spid="_x0000_s696420" style="position:absolute;left:0;text-align:left;z-index:251668480" from="192.9pt,9.95pt" to="218.4pt,9.95pt">
            <v:stroke endarrow="block"/>
          </v:line>
        </w:pict>
      </w:r>
      <w:r w:rsidRPr="00FC1444">
        <w:rPr>
          <w:rFonts w:eastAsiaTheme="minorEastAsia"/>
          <w:b/>
          <w:sz w:val="24"/>
        </w:rPr>
        <w:pict>
          <v:line id="_x0000_s696461" style="position:absolute;left:0;text-align:left;flip:y;z-index:251686912" from="103.5pt,20.6pt" to="103.5pt,45.7pt">
            <v:stroke endarrow="block"/>
          </v:line>
        </w:pict>
      </w:r>
    </w:p>
    <w:p w:rsidR="002A5A5E" w:rsidRPr="00FC1444" w:rsidRDefault="002A5A5E">
      <w:pPr>
        <w:adjustRightInd w:val="0"/>
        <w:spacing w:line="360" w:lineRule="auto"/>
        <w:jc w:val="center"/>
        <w:rPr>
          <w:rFonts w:eastAsiaTheme="minorEastAsia"/>
          <w:b/>
          <w:sz w:val="24"/>
        </w:rPr>
      </w:pPr>
    </w:p>
    <w:p w:rsidR="002A5A5E" w:rsidRPr="00FC1444" w:rsidRDefault="009840DD">
      <w:pPr>
        <w:tabs>
          <w:tab w:val="left" w:pos="3852"/>
          <w:tab w:val="center" w:pos="4153"/>
        </w:tabs>
        <w:adjustRightInd w:val="0"/>
        <w:spacing w:line="360" w:lineRule="auto"/>
        <w:jc w:val="left"/>
        <w:rPr>
          <w:rFonts w:eastAsiaTheme="minorEastAsia"/>
          <w:b/>
          <w:sz w:val="24"/>
        </w:rPr>
      </w:pPr>
      <w:r w:rsidRPr="00FC1444">
        <w:rPr>
          <w:rFonts w:eastAsiaTheme="minorEastAsia"/>
          <w:b/>
          <w:sz w:val="24"/>
        </w:rPr>
        <w:pict>
          <v:shape id="_x0000_s697075" type="#_x0000_t202" style="position:absolute;margin-left:401.45pt;margin-top:-.45pt;width:39.7pt;height:23.4pt;z-index:251770880" filled="f">
            <v:textbox style="mso-next-textbox:#_x0000_s697075">
              <w:txbxContent>
                <w:p w:rsidR="006F5CC4" w:rsidRDefault="006F5CC4">
                  <w:pPr>
                    <w:jc w:val="center"/>
                    <w:rPr>
                      <w:rFonts w:ascii="宋体" w:hAnsi="宋体" w:cs="宋体"/>
                    </w:rPr>
                  </w:pPr>
                  <w:r>
                    <w:rPr>
                      <w:rFonts w:ascii="宋体" w:hAnsi="宋体" w:cs="宋体" w:hint="eastAsia"/>
                      <w:szCs w:val="20"/>
                    </w:rPr>
                    <w:t>止水</w:t>
                  </w:r>
                </w:p>
              </w:txbxContent>
            </v:textbox>
          </v:shape>
        </w:pict>
      </w:r>
      <w:r w:rsidR="00611CBA" w:rsidRPr="00FC1444">
        <w:rPr>
          <w:rFonts w:eastAsiaTheme="minorEastAsia"/>
          <w:b/>
          <w:sz w:val="24"/>
        </w:rPr>
        <w:tab/>
      </w:r>
      <w:r w:rsidR="00611CBA" w:rsidRPr="00FC1444">
        <w:rPr>
          <w:rFonts w:eastAsiaTheme="minorEastAsia"/>
          <w:b/>
          <w:sz w:val="24"/>
        </w:rPr>
        <w:tab/>
      </w:r>
      <w:r w:rsidRPr="00FC1444">
        <w:rPr>
          <w:rFonts w:eastAsiaTheme="minorEastAsia"/>
        </w:rPr>
        <w:pict>
          <v:line id="_x0000_s697074" style="position:absolute;flip:x;z-index:251769856;mso-position-horizontal-relative:text;mso-position-vertical-relative:text" from="371.2pt,11.1pt" to="401.8pt,11.1pt">
            <v:stroke endarrow="block"/>
          </v:line>
        </w:pict>
      </w:r>
      <w:r w:rsidRPr="00FC1444">
        <w:rPr>
          <w:rFonts w:eastAsiaTheme="minorEastAsia"/>
        </w:rPr>
        <w:pict>
          <v:shape id="文本框 677" o:spid="_x0000_s696426" type="#_x0000_t202" style="position:absolute;margin-left:331.5pt;margin-top:-.1pt;width:39.7pt;height:23.4pt;z-index:251674624;mso-position-horizontal-relative:text;mso-position-vertical-relative:text" filled="f">
            <v:textbox style="mso-next-textbox:#文本框 677">
              <w:txbxContent>
                <w:p w:rsidR="006F5CC4" w:rsidRDefault="006F5CC4">
                  <w:pPr>
                    <w:jc w:val="center"/>
                    <w:rPr>
                      <w:rFonts w:ascii="宋体" w:hAnsi="宋体" w:cs="宋体"/>
                    </w:rPr>
                  </w:pPr>
                  <w:r>
                    <w:rPr>
                      <w:rFonts w:ascii="宋体" w:hAnsi="宋体" w:cs="宋体" w:hint="eastAsia"/>
                      <w:szCs w:val="20"/>
                    </w:rPr>
                    <w:t>洗井</w:t>
                  </w:r>
                </w:p>
              </w:txbxContent>
            </v:textbox>
          </v:shape>
        </w:pict>
      </w:r>
      <w:r w:rsidRPr="00FC1444">
        <w:rPr>
          <w:rFonts w:eastAsiaTheme="minorEastAsia"/>
        </w:rPr>
        <w:pict>
          <v:line id="_x0000_s696465" style="position:absolute;flip:x;z-index:251691008;mso-position-horizontal-relative:text;mso-position-vertical-relative:text" from="300.9pt,11.1pt" to="331.5pt,11.1pt">
            <v:stroke endarrow="block"/>
          </v:line>
        </w:pict>
      </w:r>
      <w:r w:rsidRPr="00FC1444">
        <w:rPr>
          <w:rFonts w:eastAsiaTheme="minorEastAsia"/>
        </w:rPr>
        <w:pict>
          <v:shape id="文本框 667" o:spid="_x0000_s696418" type="#_x0000_t202" style="position:absolute;margin-left:247.7pt;margin-top:-.1pt;width:53.2pt;height:23.4pt;z-index:251666432;mso-position-horizontal-relative:text;mso-position-vertical-relative:text" filled="f">
            <v:textbox style="mso-next-textbox:#文本框 667">
              <w:txbxContent>
                <w:p w:rsidR="006F5CC4" w:rsidRDefault="006F5CC4">
                  <w:pPr>
                    <w:jc w:val="center"/>
                    <w:rPr>
                      <w:rFonts w:ascii="宋体" w:hAnsi="宋体" w:cs="宋体"/>
                    </w:rPr>
                  </w:pPr>
                  <w:r>
                    <w:rPr>
                      <w:rFonts w:ascii="宋体" w:hAnsi="宋体" w:cs="宋体" w:hint="eastAsia"/>
                      <w:szCs w:val="20"/>
                    </w:rPr>
                    <w:t>验收</w:t>
                  </w:r>
                </w:p>
              </w:txbxContent>
            </v:textbox>
          </v:shape>
        </w:pict>
      </w:r>
      <w:r w:rsidRPr="00FC1444">
        <w:rPr>
          <w:rFonts w:eastAsiaTheme="minorEastAsia"/>
          <w:b/>
          <w:sz w:val="24"/>
        </w:rPr>
        <w:pict>
          <v:shape id="_x0000_s696459" type="#_x0000_t202" style="position:absolute;margin-left:72.6pt;margin-top:-.1pt;width:62.45pt;height:23.4pt;z-index:251684864;mso-position-horizontal-relative:text;mso-position-vertical-relative:text" filled="f">
            <v:textbox style="mso-next-textbox:#_x0000_s696459">
              <w:txbxContent>
                <w:p w:rsidR="006F5CC4" w:rsidRDefault="006F5CC4">
                  <w:r>
                    <w:rPr>
                      <w:rFonts w:ascii="宋体" w:hAnsi="宋体" w:cs="宋体"/>
                      <w:szCs w:val="20"/>
                    </w:rPr>
                    <w:t>泥浆配制</w:t>
                  </w:r>
                </w:p>
              </w:txbxContent>
            </v:textbox>
          </v:shape>
        </w:pict>
      </w:r>
    </w:p>
    <w:p w:rsidR="002A5A5E" w:rsidRPr="00FC1444" w:rsidRDefault="009840DD">
      <w:pPr>
        <w:spacing w:line="360" w:lineRule="auto"/>
        <w:ind w:left="420"/>
        <w:contextualSpacing/>
        <w:jc w:val="center"/>
        <w:rPr>
          <w:rFonts w:eastAsiaTheme="minorEastAsia"/>
          <w:b/>
          <w:sz w:val="24"/>
        </w:rPr>
      </w:pPr>
      <w:r w:rsidRPr="00FC1444">
        <w:rPr>
          <w:rFonts w:eastAsiaTheme="minorEastAsia"/>
        </w:rPr>
        <w:pict>
          <v:shape id="_x0000_s696432" type="#_x0000_t202" style="position:absolute;left:0;text-align:left;margin-left:307.65pt;margin-top:17.2pt;width:92.2pt;height:23.4pt;z-index:251680768" filled="f" stroked="f">
            <v:textbox style="mso-next-textbox:#_x0000_s696432">
              <w:txbxContent>
                <w:p w:rsidR="006F5CC4" w:rsidRDefault="006F5CC4">
                  <w:pPr>
                    <w:jc w:val="center"/>
                    <w:rPr>
                      <w:rFonts w:ascii="宋体" w:hAnsi="宋体" w:cs="宋体"/>
                    </w:rPr>
                  </w:pPr>
                  <w:r>
                    <w:rPr>
                      <w:rFonts w:ascii="宋体" w:hAnsi="宋体" w:cs="宋体" w:hint="eastAsia"/>
                      <w:szCs w:val="20"/>
                    </w:rPr>
                    <w:t>噪声、废水</w:t>
                  </w:r>
                </w:p>
              </w:txbxContent>
            </v:textbox>
          </v:shape>
        </w:pict>
      </w:r>
      <w:r w:rsidRPr="00FC1444">
        <w:rPr>
          <w:rFonts w:eastAsiaTheme="minorEastAsia"/>
        </w:rPr>
        <w:pict>
          <v:line id="_x0000_s696466" style="position:absolute;left:0;text-align:left;rotation:180;flip:y;z-index:251692032" from="351.9pt,-.1pt" to="351.9pt,21.95pt">
            <v:stroke dashstyle="dash" endarrow="block"/>
          </v:line>
        </w:pict>
      </w:r>
    </w:p>
    <w:p w:rsidR="004903CD" w:rsidRPr="00FC1444" w:rsidRDefault="004903CD">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3-2-1</w:t>
      </w:r>
      <w:r w:rsidRPr="00FC1444">
        <w:rPr>
          <w:rFonts w:eastAsiaTheme="minorEastAsia"/>
          <w:b/>
          <w:kern w:val="0"/>
          <w:szCs w:val="21"/>
        </w:rPr>
        <w:t>灌溉井施工工艺流程及排污节点图</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3.2.1.2</w:t>
      </w:r>
      <w:r w:rsidRPr="00FC1444">
        <w:rPr>
          <w:rFonts w:eastAsiaTheme="minorEastAsia"/>
          <w:b/>
          <w:sz w:val="24"/>
        </w:rPr>
        <w:t>田间道路施工流程及产污环节分析</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混凝土路：路面（地面）水泥混凝土面层厚</w:t>
      </w:r>
      <w:r w:rsidRPr="00FC1444">
        <w:rPr>
          <w:rFonts w:eastAsiaTheme="minorEastAsia"/>
          <w:sz w:val="24"/>
        </w:rPr>
        <w:t>20cm</w:t>
      </w:r>
      <w:r w:rsidRPr="00FC1444">
        <w:rPr>
          <w:rFonts w:eastAsiaTheme="minorEastAsia"/>
          <w:sz w:val="24"/>
        </w:rPr>
        <w:t>，下设</w:t>
      </w:r>
      <w:r w:rsidRPr="00FC1444">
        <w:rPr>
          <w:rFonts w:eastAsiaTheme="minorEastAsia"/>
          <w:sz w:val="24"/>
        </w:rPr>
        <w:t>20cm5%</w:t>
      </w:r>
      <w:r w:rsidRPr="00FC1444">
        <w:rPr>
          <w:rFonts w:eastAsiaTheme="minorEastAsia"/>
          <w:sz w:val="24"/>
        </w:rPr>
        <w:t>水泥稳定碎石基层，</w:t>
      </w:r>
      <w:r w:rsidRPr="00FC1444">
        <w:rPr>
          <w:rFonts w:eastAsiaTheme="minorEastAsia"/>
          <w:sz w:val="24"/>
        </w:rPr>
        <w:t>30cm</w:t>
      </w:r>
      <w:r w:rsidRPr="00FC1444">
        <w:rPr>
          <w:rFonts w:eastAsiaTheme="minorEastAsia"/>
          <w:sz w:val="24"/>
        </w:rPr>
        <w:t>山皮石垫层。</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工程开工前做好施工测量工作，进行清基，采用推土机以深度不大的纵向挖掘前进，一次挖到设计基础标高，边开挖，边整形，路基刮平碾压，先对路基采用推土机开挖路槽，再采用压路机碾压，达到压实度</w:t>
      </w:r>
      <w:r w:rsidRPr="00FC1444">
        <w:rPr>
          <w:rFonts w:eastAsiaTheme="minorEastAsia"/>
          <w:sz w:val="24"/>
        </w:rPr>
        <w:t>≥0.85</w:t>
      </w:r>
      <w:r w:rsidRPr="00FC1444">
        <w:rPr>
          <w:rFonts w:eastAsiaTheme="minorEastAsia"/>
          <w:sz w:val="24"/>
        </w:rPr>
        <w:t>要求，采用推土机和平地机组合一次山皮石摊铺、推土机推平、人工整型、检查摊铺厚度、平地机精平、压路机碾压、支立模板和安设钢筋、摊铺混凝土、提浆、刮平、机械抹平、机械抹光、表面制毛、机械锯缝、拆模、填缝、开放交通。在混凝土路面建设完成后，应在其终凝前进行养护，通常在混凝土浇筑完毕后</w:t>
      </w:r>
      <w:r w:rsidRPr="00FC1444">
        <w:rPr>
          <w:rFonts w:eastAsiaTheme="minorEastAsia"/>
          <w:sz w:val="24"/>
        </w:rPr>
        <w:t>8</w:t>
      </w:r>
      <w:r w:rsidRPr="00FC1444">
        <w:rPr>
          <w:rFonts w:eastAsiaTheme="minorEastAsia"/>
          <w:sz w:val="24"/>
        </w:rPr>
        <w:t>～</w:t>
      </w:r>
      <w:r w:rsidRPr="00FC1444">
        <w:rPr>
          <w:rFonts w:eastAsiaTheme="minorEastAsia"/>
          <w:sz w:val="24"/>
        </w:rPr>
        <w:t>12</w:t>
      </w:r>
      <w:r w:rsidRPr="00FC1444">
        <w:rPr>
          <w:rFonts w:eastAsiaTheme="minorEastAsia"/>
          <w:sz w:val="24"/>
        </w:rPr>
        <w:t>小时内自然养护，同时喷洒少量水，养护水自然蒸发，不产生养护废水。</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砂石路：工程开工前做好施工测量工作，进行清基，采用推土机和平地机组合一次山皮石摊铺，采用压路机碾压，上铺</w:t>
      </w:r>
      <w:r w:rsidRPr="00FC1444">
        <w:rPr>
          <w:rFonts w:eastAsiaTheme="minorEastAsia"/>
          <w:sz w:val="24"/>
        </w:rPr>
        <w:t>10cm</w:t>
      </w:r>
      <w:r w:rsidRPr="00FC1444">
        <w:rPr>
          <w:rFonts w:eastAsiaTheme="minorEastAsia"/>
          <w:sz w:val="24"/>
        </w:rPr>
        <w:t>厚的风化砂磨耗层、找平。</w:t>
      </w:r>
    </w:p>
    <w:p w:rsidR="002A5A5E" w:rsidRPr="00FC1444" w:rsidRDefault="00611CBA">
      <w:pPr>
        <w:autoSpaceDE w:val="0"/>
        <w:autoSpaceDN w:val="0"/>
        <w:adjustRightInd w:val="0"/>
        <w:spacing w:line="360" w:lineRule="auto"/>
        <w:jc w:val="center"/>
        <w:rPr>
          <w:rFonts w:eastAsiaTheme="minorEastAsia"/>
          <w:b/>
          <w:bCs/>
          <w:sz w:val="24"/>
        </w:rPr>
      </w:pPr>
      <w:r w:rsidRPr="00FC1444">
        <w:rPr>
          <w:rFonts w:eastAsiaTheme="minorEastAsia"/>
          <w:b/>
          <w:bCs/>
          <w:noProof/>
          <w:sz w:val="24"/>
        </w:rPr>
        <w:lastRenderedPageBreak/>
        <w:drawing>
          <wp:inline distT="0" distB="0" distL="0" distR="0">
            <wp:extent cx="3423920" cy="818515"/>
            <wp:effectExtent l="19050" t="0" r="5080" b="0"/>
            <wp:docPr id="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
                    <pic:cNvPicPr>
                      <a:picLocks noChangeAspect="1" noChangeArrowheads="1"/>
                    </pic:cNvPicPr>
                  </pic:nvPicPr>
                  <pic:blipFill>
                    <a:blip r:embed="rId37"/>
                    <a:srcRect/>
                    <a:stretch>
                      <a:fillRect/>
                    </a:stretch>
                  </pic:blipFill>
                  <pic:spPr>
                    <a:xfrm>
                      <a:off x="0" y="0"/>
                      <a:ext cx="3423920" cy="818515"/>
                    </a:xfrm>
                    <a:prstGeom prst="rect">
                      <a:avLst/>
                    </a:prstGeom>
                    <a:noFill/>
                    <a:ln w="9525">
                      <a:noFill/>
                      <a:miter lim="800000"/>
                      <a:headEnd/>
                      <a:tailEnd/>
                    </a:ln>
                  </pic:spPr>
                </pic:pic>
              </a:graphicData>
            </a:graphic>
          </wp:inline>
        </w:drawing>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 xml:space="preserve">3-2-2 </w:t>
      </w:r>
      <w:r w:rsidRPr="00FC1444">
        <w:rPr>
          <w:rFonts w:eastAsiaTheme="minorEastAsia"/>
          <w:b/>
          <w:kern w:val="0"/>
          <w:szCs w:val="21"/>
        </w:rPr>
        <w:t>道路工程施工流程及排污节点图</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3.2.1.3</w:t>
      </w:r>
      <w:r w:rsidRPr="00FC1444">
        <w:rPr>
          <w:rFonts w:eastAsiaTheme="minorEastAsia"/>
          <w:b/>
          <w:sz w:val="24"/>
        </w:rPr>
        <w:t>农田输配电工程施工流程及产污环节分析</w:t>
      </w:r>
    </w:p>
    <w:p w:rsidR="002A5A5E" w:rsidRPr="00FC1444" w:rsidRDefault="0003457C">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w:t>
      </w:r>
      <w:r w:rsidRPr="00FC1444">
        <w:rPr>
          <w:rFonts w:eastAsiaTheme="minorEastAsia"/>
          <w:bCs/>
          <w:kern w:val="0"/>
          <w:sz w:val="24"/>
        </w:rPr>
        <w:t>1</w:t>
      </w:r>
      <w:r w:rsidRPr="00FC1444">
        <w:rPr>
          <w:rFonts w:eastAsiaTheme="minorEastAsia"/>
          <w:bCs/>
          <w:kern w:val="0"/>
          <w:sz w:val="24"/>
        </w:rPr>
        <w:t>）</w:t>
      </w:r>
      <w:r w:rsidR="00611CBA" w:rsidRPr="00FC1444">
        <w:rPr>
          <w:rFonts w:eastAsiaTheme="minorEastAsia"/>
          <w:bCs/>
          <w:kern w:val="0"/>
          <w:sz w:val="24"/>
        </w:rPr>
        <w:t>10kV</w:t>
      </w:r>
      <w:r w:rsidR="00611CBA" w:rsidRPr="00FC1444">
        <w:rPr>
          <w:rFonts w:eastAsiaTheme="minorEastAsia"/>
          <w:bCs/>
          <w:kern w:val="0"/>
          <w:sz w:val="24"/>
        </w:rPr>
        <w:t>输电线路架设</w:t>
      </w:r>
    </w:p>
    <w:p w:rsidR="002A5A5E" w:rsidRPr="00FC1444" w:rsidRDefault="00611CBA">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杆塔基础施工：按放样位置开挖基坑，采用</w:t>
      </w:r>
      <w:r w:rsidRPr="00FC1444">
        <w:rPr>
          <w:rFonts w:eastAsiaTheme="minorEastAsia"/>
          <w:bCs/>
          <w:kern w:val="0"/>
          <w:sz w:val="24"/>
        </w:rPr>
        <w:t>C25</w:t>
      </w:r>
      <w:r w:rsidRPr="00FC1444">
        <w:rPr>
          <w:rFonts w:eastAsiaTheme="minorEastAsia"/>
          <w:bCs/>
          <w:kern w:val="0"/>
          <w:sz w:val="24"/>
        </w:rPr>
        <w:t>预拌混凝土浇筑，振捣密实后养护。基础顶面预埋地脚螺栓，与电杆底盘连接牢固。</w:t>
      </w:r>
    </w:p>
    <w:p w:rsidR="002A5A5E" w:rsidRPr="00FC1444" w:rsidRDefault="00611CBA">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杆塔组立：采用吊车吊装</w:t>
      </w:r>
      <w:r w:rsidRPr="00FC1444">
        <w:rPr>
          <w:rFonts w:eastAsiaTheme="minorEastAsia"/>
          <w:bCs/>
          <w:kern w:val="0"/>
          <w:sz w:val="24"/>
        </w:rPr>
        <w:t>12m</w:t>
      </w:r>
      <w:r w:rsidRPr="00FC1444">
        <w:rPr>
          <w:rFonts w:eastAsiaTheme="minorEastAsia"/>
          <w:bCs/>
          <w:kern w:val="0"/>
          <w:sz w:val="24"/>
        </w:rPr>
        <w:t>水泥电杆，校正垂直度，回填基坑并分层夯实（压实度</w:t>
      </w:r>
      <w:r w:rsidRPr="00FC1444">
        <w:rPr>
          <w:rFonts w:eastAsiaTheme="minorEastAsia"/>
          <w:bCs/>
          <w:kern w:val="0"/>
          <w:sz w:val="24"/>
        </w:rPr>
        <w:t>≥90%</w:t>
      </w:r>
      <w:r w:rsidRPr="00FC1444">
        <w:rPr>
          <w:rFonts w:eastAsiaTheme="minorEastAsia"/>
          <w:bCs/>
          <w:kern w:val="0"/>
          <w:sz w:val="24"/>
        </w:rPr>
        <w:t>）；转角杆、终端杆安装拉线，拉线坑深</w:t>
      </w:r>
      <w:r w:rsidRPr="00FC1444">
        <w:rPr>
          <w:rFonts w:eastAsiaTheme="minorEastAsia"/>
          <w:bCs/>
          <w:kern w:val="0"/>
          <w:sz w:val="24"/>
        </w:rPr>
        <w:t>1.2m</w:t>
      </w:r>
      <w:r w:rsidRPr="00FC1444">
        <w:rPr>
          <w:rFonts w:eastAsiaTheme="minorEastAsia"/>
          <w:bCs/>
          <w:kern w:val="0"/>
          <w:sz w:val="24"/>
        </w:rPr>
        <w:t>，设置拉线盘（</w:t>
      </w:r>
      <w:r w:rsidRPr="00FC1444">
        <w:rPr>
          <w:rFonts w:eastAsiaTheme="minorEastAsia"/>
          <w:bCs/>
          <w:kern w:val="0"/>
          <w:sz w:val="24"/>
        </w:rPr>
        <w:t>0.6m×0.6m×0.1m</w:t>
      </w:r>
      <w:r w:rsidRPr="00FC1444">
        <w:rPr>
          <w:rFonts w:eastAsiaTheme="minorEastAsia"/>
          <w:bCs/>
          <w:kern w:val="0"/>
          <w:sz w:val="24"/>
        </w:rPr>
        <w:t>），收紧拉线后用</w:t>
      </w:r>
      <w:r w:rsidRPr="00FC1444">
        <w:rPr>
          <w:rFonts w:eastAsiaTheme="minorEastAsia"/>
          <w:bCs/>
          <w:kern w:val="0"/>
          <w:sz w:val="24"/>
        </w:rPr>
        <w:t>UT</w:t>
      </w:r>
      <w:r w:rsidRPr="00FC1444">
        <w:rPr>
          <w:rFonts w:eastAsiaTheme="minorEastAsia"/>
          <w:bCs/>
          <w:kern w:val="0"/>
          <w:sz w:val="24"/>
        </w:rPr>
        <w:t>线夹固定。</w:t>
      </w:r>
      <w:r w:rsidRPr="00FC1444">
        <w:rPr>
          <w:rFonts w:eastAsia="MS Mincho"/>
          <w:bCs/>
          <w:kern w:val="0"/>
          <w:sz w:val="24"/>
        </w:rPr>
        <w:t>​</w:t>
      </w:r>
    </w:p>
    <w:p w:rsidR="002A5A5E" w:rsidRPr="00FC1444" w:rsidRDefault="00611CBA">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导线架设：采用放线机展放</w:t>
      </w:r>
      <w:r w:rsidRPr="00FC1444">
        <w:rPr>
          <w:rFonts w:eastAsiaTheme="minorEastAsia"/>
          <w:bCs/>
          <w:kern w:val="0"/>
          <w:sz w:val="24"/>
        </w:rPr>
        <w:t>10kV</w:t>
      </w:r>
      <w:r w:rsidRPr="00FC1444">
        <w:rPr>
          <w:rFonts w:eastAsiaTheme="minorEastAsia"/>
          <w:bCs/>
          <w:kern w:val="0"/>
          <w:sz w:val="24"/>
        </w:rPr>
        <w:t>绝缘导线，每相导线在杆塔上通过针式绝缘子固定，导线弧垂按设计值调整；导线接头采用压接式接续管，接头处绝缘层用热缩管处理，相间距离</w:t>
      </w:r>
      <w:r w:rsidRPr="00FC1444">
        <w:rPr>
          <w:rFonts w:eastAsiaTheme="minorEastAsia"/>
          <w:bCs/>
          <w:kern w:val="0"/>
          <w:sz w:val="24"/>
        </w:rPr>
        <w:t>≥0.3m</w:t>
      </w:r>
      <w:r w:rsidRPr="00FC1444">
        <w:rPr>
          <w:rFonts w:eastAsiaTheme="minorEastAsia"/>
          <w:bCs/>
          <w:kern w:val="0"/>
          <w:sz w:val="24"/>
        </w:rPr>
        <w:t>，与杆塔距离</w:t>
      </w:r>
      <w:r w:rsidRPr="00FC1444">
        <w:rPr>
          <w:rFonts w:eastAsiaTheme="minorEastAsia"/>
          <w:bCs/>
          <w:kern w:val="0"/>
          <w:sz w:val="24"/>
        </w:rPr>
        <w:t>≥0.2m</w:t>
      </w:r>
      <w:r w:rsidRPr="00FC1444">
        <w:rPr>
          <w:rFonts w:eastAsiaTheme="minorEastAsia"/>
          <w:bCs/>
          <w:kern w:val="0"/>
          <w:sz w:val="24"/>
        </w:rPr>
        <w:t>。</w:t>
      </w:r>
    </w:p>
    <w:p w:rsidR="002A5A5E" w:rsidRPr="00FC1444" w:rsidRDefault="0003457C">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w:t>
      </w:r>
      <w:r w:rsidRPr="00FC1444">
        <w:rPr>
          <w:rFonts w:eastAsiaTheme="minorEastAsia"/>
          <w:bCs/>
          <w:kern w:val="0"/>
          <w:sz w:val="24"/>
        </w:rPr>
        <w:t>2</w:t>
      </w:r>
      <w:r w:rsidRPr="00FC1444">
        <w:rPr>
          <w:rFonts w:eastAsiaTheme="minorEastAsia"/>
          <w:bCs/>
          <w:kern w:val="0"/>
          <w:sz w:val="24"/>
        </w:rPr>
        <w:t>）</w:t>
      </w:r>
      <w:r w:rsidR="00611CBA" w:rsidRPr="00FC1444">
        <w:rPr>
          <w:rFonts w:eastAsiaTheme="minorEastAsia"/>
          <w:bCs/>
          <w:kern w:val="0"/>
          <w:sz w:val="24"/>
        </w:rPr>
        <w:t>变压器安装</w:t>
      </w:r>
    </w:p>
    <w:p w:rsidR="002A5A5E" w:rsidRPr="00FC1444" w:rsidRDefault="00611CBA">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设备就位：</w:t>
      </w:r>
      <w:r w:rsidR="00AA4603" w:rsidRPr="00FC1444">
        <w:rPr>
          <w:rFonts w:eastAsiaTheme="minorEastAsia"/>
          <w:bCs/>
          <w:kern w:val="0"/>
          <w:sz w:val="24"/>
        </w:rPr>
        <w:t>变压器为杆上变压器，</w:t>
      </w:r>
      <w:r w:rsidRPr="00FC1444">
        <w:rPr>
          <w:rFonts w:eastAsiaTheme="minorEastAsia"/>
          <w:bCs/>
          <w:kern w:val="0"/>
          <w:sz w:val="24"/>
        </w:rPr>
        <w:t>用吊车将变压器吊装至基础上，找平后紧固底座螺栓，变压器高压侧朝向</w:t>
      </w:r>
      <w:r w:rsidRPr="00FC1444">
        <w:rPr>
          <w:rFonts w:eastAsiaTheme="minorEastAsia"/>
          <w:bCs/>
          <w:kern w:val="0"/>
          <w:sz w:val="24"/>
        </w:rPr>
        <w:t>10kV</w:t>
      </w:r>
      <w:r w:rsidRPr="00FC1444">
        <w:rPr>
          <w:rFonts w:eastAsiaTheme="minorEastAsia"/>
          <w:bCs/>
          <w:kern w:val="0"/>
          <w:sz w:val="24"/>
        </w:rPr>
        <w:t>线路，低压侧朝向机电井，距地面高度</w:t>
      </w:r>
      <w:r w:rsidRPr="00FC1444">
        <w:rPr>
          <w:rFonts w:eastAsiaTheme="minorEastAsia"/>
          <w:bCs/>
          <w:kern w:val="0"/>
          <w:sz w:val="24"/>
        </w:rPr>
        <w:t>1.2m</w:t>
      </w:r>
      <w:r w:rsidRPr="00FC1444">
        <w:rPr>
          <w:rFonts w:eastAsiaTheme="minorEastAsia"/>
          <w:bCs/>
          <w:kern w:val="0"/>
          <w:sz w:val="24"/>
        </w:rPr>
        <w:t>。</w:t>
      </w:r>
      <w:r w:rsidRPr="00FC1444">
        <w:rPr>
          <w:rFonts w:eastAsia="MS Mincho"/>
          <w:bCs/>
          <w:kern w:val="0"/>
          <w:sz w:val="24"/>
        </w:rPr>
        <w:t>​</w:t>
      </w:r>
    </w:p>
    <w:p w:rsidR="002A5A5E" w:rsidRPr="00FC1444" w:rsidRDefault="00611CBA">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接线与接地：高压侧通过跌落式熔断器（</w:t>
      </w:r>
      <w:r w:rsidRPr="00FC1444">
        <w:rPr>
          <w:rFonts w:eastAsiaTheme="minorEastAsia"/>
          <w:bCs/>
          <w:kern w:val="0"/>
          <w:sz w:val="24"/>
        </w:rPr>
        <w:t>RW11-10/100A</w:t>
      </w:r>
      <w:r w:rsidRPr="00FC1444">
        <w:rPr>
          <w:rFonts w:eastAsiaTheme="minorEastAsia"/>
          <w:bCs/>
          <w:kern w:val="0"/>
          <w:sz w:val="24"/>
        </w:rPr>
        <w:t>）连接</w:t>
      </w:r>
      <w:r w:rsidRPr="00FC1444">
        <w:rPr>
          <w:rFonts w:eastAsiaTheme="minorEastAsia"/>
          <w:bCs/>
          <w:kern w:val="0"/>
          <w:sz w:val="24"/>
        </w:rPr>
        <w:t>10kV</w:t>
      </w:r>
      <w:r w:rsidRPr="00FC1444">
        <w:rPr>
          <w:rFonts w:eastAsiaTheme="minorEastAsia"/>
          <w:bCs/>
          <w:kern w:val="0"/>
          <w:sz w:val="24"/>
        </w:rPr>
        <w:t>线路，低压侧出线端接低压电缆（采用铜铝过渡端子压接）。</w:t>
      </w:r>
      <w:r w:rsidRPr="00FC1444">
        <w:rPr>
          <w:rFonts w:eastAsia="MS Mincho"/>
          <w:bCs/>
          <w:kern w:val="0"/>
          <w:sz w:val="24"/>
        </w:rPr>
        <w:t>​</w:t>
      </w:r>
    </w:p>
    <w:p w:rsidR="002A5A5E" w:rsidRPr="00FC1444" w:rsidRDefault="0003457C">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w:t>
      </w:r>
      <w:r w:rsidRPr="00FC1444">
        <w:rPr>
          <w:rFonts w:eastAsiaTheme="minorEastAsia"/>
          <w:bCs/>
          <w:kern w:val="0"/>
          <w:sz w:val="24"/>
        </w:rPr>
        <w:t>3</w:t>
      </w:r>
      <w:r w:rsidRPr="00FC1444">
        <w:rPr>
          <w:rFonts w:eastAsiaTheme="minorEastAsia"/>
          <w:bCs/>
          <w:kern w:val="0"/>
          <w:sz w:val="24"/>
        </w:rPr>
        <w:t>）</w:t>
      </w:r>
      <w:r w:rsidR="00611CBA" w:rsidRPr="00FC1444">
        <w:rPr>
          <w:rFonts w:eastAsiaTheme="minorEastAsia"/>
          <w:bCs/>
          <w:kern w:val="0"/>
          <w:sz w:val="24"/>
        </w:rPr>
        <w:t>地埋电缆敷设</w:t>
      </w:r>
    </w:p>
    <w:p w:rsidR="002A5A5E" w:rsidRPr="00FC1444" w:rsidRDefault="008F73CD">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低压</w:t>
      </w:r>
      <w:r w:rsidR="00611CBA" w:rsidRPr="00FC1444">
        <w:rPr>
          <w:rFonts w:eastAsiaTheme="minorEastAsia"/>
          <w:bCs/>
          <w:kern w:val="0"/>
          <w:sz w:val="24"/>
        </w:rPr>
        <w:t>电缆沟开挖：沿路径用</w:t>
      </w:r>
      <w:r w:rsidR="00AA4603" w:rsidRPr="00FC1444">
        <w:rPr>
          <w:rFonts w:eastAsiaTheme="minorEastAsia"/>
          <w:bCs/>
          <w:kern w:val="0"/>
          <w:sz w:val="24"/>
        </w:rPr>
        <w:t>小型</w:t>
      </w:r>
      <w:r w:rsidR="00611CBA" w:rsidRPr="00FC1444">
        <w:rPr>
          <w:rFonts w:eastAsiaTheme="minorEastAsia"/>
          <w:bCs/>
          <w:kern w:val="0"/>
          <w:sz w:val="24"/>
        </w:rPr>
        <w:t>挖掘机开挖宽</w:t>
      </w:r>
      <w:r w:rsidR="00611CBA" w:rsidRPr="00FC1444">
        <w:rPr>
          <w:rFonts w:eastAsiaTheme="minorEastAsia"/>
          <w:bCs/>
          <w:kern w:val="0"/>
          <w:sz w:val="24"/>
        </w:rPr>
        <w:t>0.</w:t>
      </w:r>
      <w:r w:rsidRPr="00FC1444">
        <w:rPr>
          <w:rFonts w:eastAsiaTheme="minorEastAsia"/>
          <w:bCs/>
          <w:kern w:val="0"/>
          <w:sz w:val="24"/>
        </w:rPr>
        <w:t>4</w:t>
      </w:r>
      <w:r w:rsidR="00611CBA" w:rsidRPr="00FC1444">
        <w:rPr>
          <w:rFonts w:eastAsiaTheme="minorEastAsia"/>
          <w:bCs/>
          <w:kern w:val="0"/>
          <w:sz w:val="24"/>
        </w:rPr>
        <w:t>m</w:t>
      </w:r>
      <w:r w:rsidR="00611CBA" w:rsidRPr="00FC1444">
        <w:rPr>
          <w:rFonts w:eastAsiaTheme="minorEastAsia"/>
          <w:bCs/>
          <w:kern w:val="0"/>
          <w:sz w:val="24"/>
        </w:rPr>
        <w:t>、深</w:t>
      </w:r>
      <w:r w:rsidR="00611CBA" w:rsidRPr="00FC1444">
        <w:rPr>
          <w:rFonts w:eastAsiaTheme="minorEastAsia"/>
          <w:bCs/>
          <w:kern w:val="0"/>
          <w:sz w:val="24"/>
        </w:rPr>
        <w:t>1.</w:t>
      </w:r>
      <w:r w:rsidRPr="00FC1444">
        <w:rPr>
          <w:rFonts w:eastAsiaTheme="minorEastAsia"/>
          <w:bCs/>
          <w:kern w:val="0"/>
          <w:sz w:val="24"/>
        </w:rPr>
        <w:t>2</w:t>
      </w:r>
      <w:r w:rsidR="00611CBA" w:rsidRPr="00FC1444">
        <w:rPr>
          <w:rFonts w:eastAsiaTheme="minorEastAsia"/>
          <w:bCs/>
          <w:kern w:val="0"/>
          <w:sz w:val="24"/>
        </w:rPr>
        <w:t>m</w:t>
      </w:r>
      <w:r w:rsidR="00611CBA" w:rsidRPr="00FC1444">
        <w:rPr>
          <w:rFonts w:eastAsiaTheme="minorEastAsia"/>
          <w:bCs/>
          <w:kern w:val="0"/>
          <w:sz w:val="24"/>
        </w:rPr>
        <w:t>的电缆沟，沟底铺设</w:t>
      </w:r>
      <w:r w:rsidR="00611CBA" w:rsidRPr="00FC1444">
        <w:rPr>
          <w:rFonts w:eastAsiaTheme="minorEastAsia"/>
          <w:bCs/>
          <w:kern w:val="0"/>
          <w:sz w:val="24"/>
        </w:rPr>
        <w:t>10cm</w:t>
      </w:r>
      <w:r w:rsidR="00611CBA" w:rsidRPr="00FC1444">
        <w:rPr>
          <w:rFonts w:eastAsiaTheme="minorEastAsia"/>
          <w:bCs/>
          <w:kern w:val="0"/>
          <w:sz w:val="24"/>
        </w:rPr>
        <w:t>厚细砂。</w:t>
      </w:r>
      <w:r w:rsidR="00611CBA" w:rsidRPr="00FC1444">
        <w:rPr>
          <w:rFonts w:eastAsia="MS Mincho"/>
          <w:bCs/>
          <w:kern w:val="0"/>
          <w:sz w:val="24"/>
        </w:rPr>
        <w:t>​</w:t>
      </w:r>
    </w:p>
    <w:p w:rsidR="008F73CD" w:rsidRPr="00FC1444" w:rsidRDefault="008F73CD">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高压电缆沟开挖：沿路径用小型挖掘机开挖宽</w:t>
      </w:r>
      <w:r w:rsidRPr="00FC1444">
        <w:rPr>
          <w:rFonts w:eastAsiaTheme="minorEastAsia"/>
          <w:bCs/>
          <w:kern w:val="0"/>
          <w:sz w:val="24"/>
        </w:rPr>
        <w:t>0.6m</w:t>
      </w:r>
      <w:r w:rsidRPr="00FC1444">
        <w:rPr>
          <w:rFonts w:eastAsiaTheme="minorEastAsia"/>
          <w:bCs/>
          <w:kern w:val="0"/>
          <w:sz w:val="24"/>
        </w:rPr>
        <w:t>、深</w:t>
      </w:r>
      <w:r w:rsidRPr="00FC1444">
        <w:rPr>
          <w:rFonts w:eastAsiaTheme="minorEastAsia"/>
          <w:bCs/>
          <w:kern w:val="0"/>
          <w:sz w:val="24"/>
        </w:rPr>
        <w:t>1.2m</w:t>
      </w:r>
      <w:r w:rsidRPr="00FC1444">
        <w:rPr>
          <w:rFonts w:eastAsiaTheme="minorEastAsia"/>
          <w:bCs/>
          <w:kern w:val="0"/>
          <w:sz w:val="24"/>
        </w:rPr>
        <w:t>的电缆沟，沟底铺设</w:t>
      </w:r>
      <w:r w:rsidRPr="00FC1444">
        <w:rPr>
          <w:rFonts w:eastAsiaTheme="minorEastAsia"/>
          <w:bCs/>
          <w:kern w:val="0"/>
          <w:sz w:val="24"/>
        </w:rPr>
        <w:t>10cm</w:t>
      </w:r>
      <w:r w:rsidRPr="00FC1444">
        <w:rPr>
          <w:rFonts w:eastAsiaTheme="minorEastAsia"/>
          <w:bCs/>
          <w:kern w:val="0"/>
          <w:sz w:val="24"/>
        </w:rPr>
        <w:t>厚细砂。</w:t>
      </w:r>
    </w:p>
    <w:p w:rsidR="002A5A5E" w:rsidRPr="00FC1444" w:rsidRDefault="00611CBA">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电缆敷设：低压电缆采用人工拖拽方式敷设，每</w:t>
      </w:r>
      <w:r w:rsidRPr="00FC1444">
        <w:rPr>
          <w:rFonts w:eastAsiaTheme="minorEastAsia"/>
          <w:bCs/>
          <w:kern w:val="0"/>
          <w:sz w:val="24"/>
        </w:rPr>
        <w:t>50m</w:t>
      </w:r>
      <w:r w:rsidRPr="00FC1444">
        <w:rPr>
          <w:rFonts w:eastAsiaTheme="minorEastAsia"/>
          <w:bCs/>
          <w:kern w:val="0"/>
          <w:sz w:val="24"/>
        </w:rPr>
        <w:t>设一个电缆标示桩；电缆在沟内平铺，上铺</w:t>
      </w:r>
      <w:r w:rsidRPr="00FC1444">
        <w:rPr>
          <w:rFonts w:eastAsiaTheme="minorEastAsia"/>
          <w:bCs/>
          <w:kern w:val="0"/>
          <w:sz w:val="24"/>
        </w:rPr>
        <w:t>10cm</w:t>
      </w:r>
      <w:r w:rsidRPr="00FC1444">
        <w:rPr>
          <w:rFonts w:eastAsiaTheme="minorEastAsia"/>
          <w:bCs/>
          <w:kern w:val="0"/>
          <w:sz w:val="24"/>
        </w:rPr>
        <w:t>厚细砂，再覆盖砖层，最后回填素土并夯实（压实度</w:t>
      </w:r>
      <w:r w:rsidRPr="00FC1444">
        <w:rPr>
          <w:rFonts w:eastAsiaTheme="minorEastAsia"/>
          <w:bCs/>
          <w:kern w:val="0"/>
          <w:sz w:val="24"/>
        </w:rPr>
        <w:t>≥90%</w:t>
      </w:r>
      <w:r w:rsidRPr="00FC1444">
        <w:rPr>
          <w:rFonts w:eastAsiaTheme="minorEastAsia"/>
          <w:bCs/>
          <w:kern w:val="0"/>
          <w:sz w:val="24"/>
        </w:rPr>
        <w:t>）。</w:t>
      </w:r>
      <w:r w:rsidRPr="00FC1444">
        <w:rPr>
          <w:rFonts w:eastAsia="MS Mincho"/>
          <w:bCs/>
          <w:kern w:val="0"/>
          <w:sz w:val="24"/>
        </w:rPr>
        <w:t>​</w:t>
      </w:r>
    </w:p>
    <w:p w:rsidR="002A5A5E" w:rsidRPr="00FC1444" w:rsidRDefault="00611CBA">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测试与接头处理：电缆敷设后，用</w:t>
      </w:r>
      <w:r w:rsidRPr="00FC1444">
        <w:rPr>
          <w:rFonts w:eastAsiaTheme="minorEastAsia"/>
          <w:bCs/>
          <w:kern w:val="0"/>
          <w:sz w:val="24"/>
        </w:rPr>
        <w:t>2500V</w:t>
      </w:r>
      <w:r w:rsidRPr="00FC1444">
        <w:rPr>
          <w:rFonts w:eastAsiaTheme="minorEastAsia"/>
          <w:bCs/>
          <w:kern w:val="0"/>
          <w:sz w:val="24"/>
        </w:rPr>
        <w:t>兆欧表测试绝缘电阻（</w:t>
      </w:r>
      <w:r w:rsidRPr="00FC1444">
        <w:rPr>
          <w:rFonts w:eastAsiaTheme="minorEastAsia"/>
          <w:bCs/>
          <w:kern w:val="0"/>
          <w:sz w:val="24"/>
        </w:rPr>
        <w:t>≥10MΩ</w:t>
      </w:r>
      <w:r w:rsidRPr="00FC1444">
        <w:rPr>
          <w:rFonts w:eastAsiaTheme="minorEastAsia"/>
          <w:bCs/>
          <w:kern w:val="0"/>
          <w:sz w:val="24"/>
        </w:rPr>
        <w:t>），</w:t>
      </w:r>
      <w:r w:rsidRPr="00FC1444">
        <w:rPr>
          <w:rFonts w:eastAsiaTheme="minorEastAsia"/>
          <w:bCs/>
          <w:kern w:val="0"/>
          <w:sz w:val="24"/>
        </w:rPr>
        <w:lastRenderedPageBreak/>
        <w:t>中间接头采用防水型电缆中间头（热缩式），终端头与变压器低压侧、机电井控制柜连接牢固。</w:t>
      </w:r>
    </w:p>
    <w:p w:rsidR="002A5A5E" w:rsidRPr="00FC1444" w:rsidRDefault="00611CBA">
      <w:pPr>
        <w:autoSpaceDE w:val="0"/>
        <w:autoSpaceDN w:val="0"/>
        <w:adjustRightInd w:val="0"/>
        <w:spacing w:line="360" w:lineRule="auto"/>
        <w:jc w:val="center"/>
        <w:rPr>
          <w:rFonts w:eastAsiaTheme="minorEastAsia"/>
          <w:b/>
          <w:bCs/>
          <w:sz w:val="24"/>
        </w:rPr>
      </w:pPr>
      <w:r w:rsidRPr="00FC1444">
        <w:rPr>
          <w:rFonts w:eastAsiaTheme="minorEastAsia"/>
          <w:b/>
          <w:bCs/>
          <w:noProof/>
          <w:sz w:val="24"/>
        </w:rPr>
        <w:drawing>
          <wp:inline distT="0" distB="0" distL="114300" distR="114300">
            <wp:extent cx="5271770" cy="834390"/>
            <wp:effectExtent l="0" t="0" r="5080" b="3810"/>
            <wp:docPr id="208" name="图片 208"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图片3"/>
                    <pic:cNvPicPr>
                      <a:picLocks noChangeAspect="1"/>
                    </pic:cNvPicPr>
                  </pic:nvPicPr>
                  <pic:blipFill>
                    <a:blip r:embed="rId38"/>
                    <a:stretch>
                      <a:fillRect/>
                    </a:stretch>
                  </pic:blipFill>
                  <pic:spPr>
                    <a:xfrm>
                      <a:off x="0" y="0"/>
                      <a:ext cx="5271770" cy="834390"/>
                    </a:xfrm>
                    <a:prstGeom prst="rect">
                      <a:avLst/>
                    </a:prstGeom>
                  </pic:spPr>
                </pic:pic>
              </a:graphicData>
            </a:graphic>
          </wp:inline>
        </w:drawing>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 xml:space="preserve">3-2-3 </w:t>
      </w:r>
      <w:r w:rsidRPr="00FC1444">
        <w:rPr>
          <w:rFonts w:eastAsiaTheme="minorEastAsia"/>
          <w:b/>
          <w:kern w:val="0"/>
          <w:szCs w:val="21"/>
        </w:rPr>
        <w:t>农田输配电工程施工流程及排污节点图</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3.2.1.4</w:t>
      </w:r>
      <w:r w:rsidRPr="00FC1444">
        <w:rPr>
          <w:rFonts w:eastAsiaTheme="minorEastAsia"/>
          <w:b/>
          <w:sz w:val="24"/>
        </w:rPr>
        <w:t>涵洞、</w:t>
      </w:r>
      <w:r w:rsidR="000A2705" w:rsidRPr="00FC1444">
        <w:rPr>
          <w:rFonts w:eastAsiaTheme="minorEastAsia"/>
          <w:b/>
          <w:bCs/>
          <w:sz w:val="24"/>
        </w:rPr>
        <w:t>过水路面</w:t>
      </w:r>
      <w:r w:rsidR="00F10409" w:rsidRPr="00FC1444">
        <w:rPr>
          <w:rFonts w:eastAsiaTheme="minorEastAsia"/>
          <w:b/>
          <w:bCs/>
          <w:sz w:val="24"/>
        </w:rPr>
        <w:t>等建筑物</w:t>
      </w:r>
      <w:r w:rsidRPr="00FC1444">
        <w:rPr>
          <w:rFonts w:eastAsiaTheme="minorEastAsia"/>
          <w:b/>
          <w:sz w:val="24"/>
        </w:rPr>
        <w:t>施工流程及产污环节分析</w:t>
      </w:r>
    </w:p>
    <w:p w:rsidR="002A5A5E" w:rsidRPr="00FC1444" w:rsidRDefault="00611CBA">
      <w:pPr>
        <w:adjustRightInd w:val="0"/>
        <w:snapToGrid w:val="0"/>
        <w:spacing w:line="360" w:lineRule="auto"/>
        <w:ind w:firstLineChars="200" w:firstLine="480"/>
        <w:rPr>
          <w:rFonts w:eastAsiaTheme="minorEastAsia"/>
          <w:bCs/>
          <w:sz w:val="24"/>
        </w:rPr>
      </w:pPr>
      <w:r w:rsidRPr="00FC1444">
        <w:rPr>
          <w:rFonts w:eastAsiaTheme="minorEastAsia"/>
          <w:kern w:val="0"/>
          <w:sz w:val="24"/>
        </w:rPr>
        <w:t>（</w:t>
      </w:r>
      <w:r w:rsidRPr="00FC1444">
        <w:rPr>
          <w:rFonts w:eastAsiaTheme="minorEastAsia"/>
          <w:kern w:val="0"/>
          <w:sz w:val="24"/>
        </w:rPr>
        <w:t>1</w:t>
      </w:r>
      <w:r w:rsidRPr="00FC1444">
        <w:rPr>
          <w:rFonts w:eastAsiaTheme="minorEastAsia"/>
          <w:kern w:val="0"/>
          <w:sz w:val="24"/>
        </w:rPr>
        <w:t>）</w:t>
      </w:r>
      <w:r w:rsidRPr="00FC1444">
        <w:rPr>
          <w:rFonts w:eastAsiaTheme="minorEastAsia"/>
          <w:bCs/>
          <w:sz w:val="24"/>
        </w:rPr>
        <w:t>清基、平整</w:t>
      </w:r>
    </w:p>
    <w:p w:rsidR="002A5A5E" w:rsidRPr="00FC1444" w:rsidRDefault="00611CBA">
      <w:pPr>
        <w:adjustRightInd w:val="0"/>
        <w:snapToGrid w:val="0"/>
        <w:spacing w:line="360" w:lineRule="auto"/>
        <w:ind w:firstLineChars="200" w:firstLine="480"/>
        <w:rPr>
          <w:rFonts w:eastAsiaTheme="minorEastAsia"/>
          <w:bCs/>
          <w:sz w:val="24"/>
        </w:rPr>
      </w:pPr>
      <w:r w:rsidRPr="00FC1444">
        <w:rPr>
          <w:rFonts w:eastAsiaTheme="minorEastAsia"/>
          <w:bCs/>
          <w:sz w:val="24"/>
        </w:rPr>
        <w:t>拆除现有</w:t>
      </w:r>
      <w:r w:rsidR="00FB5B36" w:rsidRPr="00FC1444">
        <w:rPr>
          <w:rFonts w:eastAsiaTheme="minorEastAsia"/>
          <w:snapToGrid w:val="0"/>
          <w:kern w:val="0"/>
          <w:sz w:val="24"/>
        </w:rPr>
        <w:t>10</w:t>
      </w:r>
      <w:r w:rsidRPr="00FC1444">
        <w:rPr>
          <w:rFonts w:eastAsiaTheme="minorEastAsia"/>
          <w:snapToGrid w:val="0"/>
          <w:kern w:val="0"/>
          <w:sz w:val="24"/>
        </w:rPr>
        <w:t>座</w:t>
      </w:r>
      <w:r w:rsidRPr="00FC1444">
        <w:rPr>
          <w:rFonts w:eastAsiaTheme="minorEastAsia"/>
          <w:bCs/>
          <w:sz w:val="24"/>
        </w:rPr>
        <w:t>破旧涵洞、清基。</w:t>
      </w:r>
      <w:r w:rsidRPr="00FC1444">
        <w:rPr>
          <w:rFonts w:eastAsiaTheme="minorEastAsia"/>
          <w:sz w:val="24"/>
        </w:rPr>
        <w:t>采用挖掘机开挖，推土机推运。回填料利用工程开挖料，推土机配合集料，拖拉机压实，蛙式打夯机补夯。</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）混凝土浇筑、预制件等安装</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外购商品混凝土采用机动翻斗车水平运输，底板直接入仓，低处溜槽入仓，人工平仓，振捣棒振捣，部分表面采用平面振捣器振捣。工作桥、排架等上部结构转混凝土罐由履带式起重机倒运入仓，插入式振捣器振捣。外购成品钢筋。砂砾石垫层：采用人工铺筑，施工时坡面处理完成并经过验收后，按设计要求进行垫层分层填筑施工。原料用机动翻斗车运到施工段附近，按设计厚度要求人工进行铺筑。外购成品混凝土预制板护坡，人工安装。钻孔灌注桩：钻孔灌注桩施工采用原浆护壁，钻孔结束后，水下浇筑混凝土成桩。金属结构：金属结构设备外购，汽运到现场，安装采用汽车起重机吊运就位，人工配合安装。</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3</w:t>
      </w:r>
      <w:r w:rsidRPr="00FC1444">
        <w:rPr>
          <w:rFonts w:eastAsiaTheme="minorEastAsia"/>
          <w:sz w:val="24"/>
        </w:rPr>
        <w:t>）土方回填</w:t>
      </w:r>
    </w:p>
    <w:p w:rsidR="002A5A5E" w:rsidRPr="00FC1444" w:rsidRDefault="00611CBA">
      <w:pPr>
        <w:widowControl/>
        <w:spacing w:line="360" w:lineRule="auto"/>
        <w:ind w:firstLineChars="200" w:firstLine="480"/>
        <w:rPr>
          <w:rFonts w:eastAsiaTheme="minorEastAsia"/>
          <w:bCs/>
          <w:sz w:val="24"/>
        </w:rPr>
      </w:pPr>
      <w:r w:rsidRPr="00FC1444">
        <w:rPr>
          <w:rFonts w:eastAsiaTheme="minorEastAsia"/>
          <w:bCs/>
          <w:sz w:val="24"/>
        </w:rPr>
        <w:t>当验收涵管等安装符合设计要求后，就可以进行建筑物两侧的土方回填，填料可采用合格的沟、渠开挖土料，淤泥、腐殖土、含水量过高的土料等不得采用。回填采用人工分层摊铺、人工夯实，每层松铺厚度不得超过</w:t>
      </w:r>
      <w:r w:rsidRPr="00FC1444">
        <w:rPr>
          <w:rFonts w:eastAsiaTheme="minorEastAsia"/>
          <w:bCs/>
          <w:sz w:val="24"/>
        </w:rPr>
        <w:t>150mm</w:t>
      </w:r>
      <w:r w:rsidRPr="00FC1444">
        <w:rPr>
          <w:rFonts w:eastAsiaTheme="minorEastAsia"/>
          <w:bCs/>
          <w:sz w:val="24"/>
        </w:rPr>
        <w:t>。拆除的建筑垃圾大部分用于田块整治工程，剩余及时送至建材公司回用</w:t>
      </w:r>
      <w:r w:rsidR="00F9040C" w:rsidRPr="00FC1444">
        <w:rPr>
          <w:rFonts w:eastAsiaTheme="minorEastAsia"/>
          <w:bCs/>
          <w:sz w:val="24"/>
        </w:rPr>
        <w:t>，建筑垃圾进行堆填利用前应开展本底调查及风险评估。</w:t>
      </w:r>
    </w:p>
    <w:p w:rsidR="002A5A5E" w:rsidRPr="00FC1444" w:rsidRDefault="00611CBA">
      <w:pPr>
        <w:autoSpaceDE w:val="0"/>
        <w:autoSpaceDN w:val="0"/>
        <w:adjustRightInd w:val="0"/>
        <w:spacing w:line="360" w:lineRule="auto"/>
        <w:jc w:val="center"/>
        <w:rPr>
          <w:rFonts w:eastAsiaTheme="minorEastAsia"/>
          <w:b/>
          <w:bCs/>
          <w:sz w:val="24"/>
        </w:rPr>
      </w:pPr>
      <w:r w:rsidRPr="00FC1444">
        <w:rPr>
          <w:rFonts w:eastAsiaTheme="minorEastAsia"/>
          <w:b/>
          <w:bCs/>
          <w:noProof/>
          <w:sz w:val="24"/>
        </w:rPr>
        <w:drawing>
          <wp:inline distT="0" distB="0" distL="0" distR="0">
            <wp:extent cx="3870325" cy="840105"/>
            <wp:effectExtent l="19050" t="0" r="0" b="0"/>
            <wp:docPr id="3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3"/>
                    <pic:cNvPicPr>
                      <a:picLocks noChangeAspect="1" noChangeArrowheads="1"/>
                    </pic:cNvPicPr>
                  </pic:nvPicPr>
                  <pic:blipFill>
                    <a:blip r:embed="rId39"/>
                    <a:srcRect/>
                    <a:stretch>
                      <a:fillRect/>
                    </a:stretch>
                  </pic:blipFill>
                  <pic:spPr>
                    <a:xfrm>
                      <a:off x="0" y="0"/>
                      <a:ext cx="3870325" cy="840105"/>
                    </a:xfrm>
                    <a:prstGeom prst="rect">
                      <a:avLst/>
                    </a:prstGeom>
                    <a:noFill/>
                    <a:ln w="9525">
                      <a:noFill/>
                      <a:miter lim="800000"/>
                      <a:headEnd/>
                      <a:tailEnd/>
                    </a:ln>
                  </pic:spPr>
                </pic:pic>
              </a:graphicData>
            </a:graphic>
          </wp:inline>
        </w:drawing>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 xml:space="preserve">3-2-4 </w:t>
      </w:r>
      <w:r w:rsidRPr="00FC1444">
        <w:rPr>
          <w:rFonts w:eastAsiaTheme="minorEastAsia"/>
          <w:b/>
          <w:kern w:val="0"/>
          <w:szCs w:val="21"/>
        </w:rPr>
        <w:t>涵洞、</w:t>
      </w:r>
      <w:r w:rsidR="002D2CFD" w:rsidRPr="00FC1444">
        <w:rPr>
          <w:rFonts w:eastAsiaTheme="minorEastAsia"/>
          <w:b/>
          <w:bCs/>
          <w:kern w:val="0"/>
          <w:szCs w:val="21"/>
        </w:rPr>
        <w:t>过水路面</w:t>
      </w:r>
      <w:r w:rsidR="00F10409" w:rsidRPr="00FC1444">
        <w:rPr>
          <w:rFonts w:eastAsiaTheme="minorEastAsia"/>
          <w:b/>
          <w:bCs/>
          <w:kern w:val="0"/>
          <w:szCs w:val="21"/>
        </w:rPr>
        <w:t>等建筑物</w:t>
      </w:r>
      <w:r w:rsidRPr="00FC1444">
        <w:rPr>
          <w:rFonts w:eastAsiaTheme="minorEastAsia"/>
          <w:b/>
          <w:kern w:val="0"/>
          <w:szCs w:val="21"/>
        </w:rPr>
        <w:t>工程施工流程及排污节点图</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lastRenderedPageBreak/>
        <w:t>3.2.1.</w:t>
      </w:r>
      <w:r w:rsidR="00121DFD" w:rsidRPr="00FC1444">
        <w:rPr>
          <w:rFonts w:eastAsiaTheme="minorEastAsia"/>
          <w:b/>
          <w:sz w:val="24"/>
        </w:rPr>
        <w:t>5</w:t>
      </w:r>
      <w:r w:rsidRPr="00FC1444">
        <w:rPr>
          <w:rFonts w:eastAsiaTheme="minorEastAsia"/>
          <w:b/>
          <w:sz w:val="24"/>
        </w:rPr>
        <w:t>田块整治施工流程及产污环节分析</w:t>
      </w:r>
    </w:p>
    <w:p w:rsidR="002A5A5E" w:rsidRPr="00FC1444" w:rsidRDefault="00BC0DDF">
      <w:pPr>
        <w:widowControl/>
        <w:spacing w:line="360" w:lineRule="auto"/>
        <w:ind w:firstLineChars="200" w:firstLine="480"/>
        <w:rPr>
          <w:rFonts w:eastAsiaTheme="minorEastAsia"/>
          <w:kern w:val="0"/>
          <w:sz w:val="24"/>
        </w:rPr>
      </w:pPr>
      <w:r w:rsidRPr="00FC1444">
        <w:rPr>
          <w:rFonts w:eastAsiaTheme="minorEastAsia"/>
          <w:kern w:val="0"/>
          <w:sz w:val="24"/>
        </w:rPr>
        <w:t>低洼地土地平整</w:t>
      </w:r>
      <w:r w:rsidR="00611CBA" w:rsidRPr="00FC1444">
        <w:rPr>
          <w:rFonts w:eastAsiaTheme="minorEastAsia"/>
          <w:kern w:val="0"/>
          <w:sz w:val="24"/>
        </w:rPr>
        <w:t>前对原有旱地、水田进行表土剥离，</w:t>
      </w:r>
      <w:r w:rsidR="00611CBA" w:rsidRPr="00FC1444">
        <w:rPr>
          <w:rFonts w:eastAsiaTheme="minorEastAsia"/>
          <w:sz w:val="24"/>
        </w:rPr>
        <w:t>根据平整地块所在村的平均土壤厚度确定表土剥离厚度在</w:t>
      </w:r>
      <w:r w:rsidR="00611CBA" w:rsidRPr="00FC1444">
        <w:rPr>
          <w:rFonts w:eastAsiaTheme="minorEastAsia"/>
          <w:sz w:val="24"/>
        </w:rPr>
        <w:t>25cm</w:t>
      </w:r>
      <w:r w:rsidR="00611CBA" w:rsidRPr="00FC1444">
        <w:rPr>
          <w:rFonts w:eastAsiaTheme="minorEastAsia"/>
          <w:sz w:val="24"/>
        </w:rPr>
        <w:t>左右，</w:t>
      </w:r>
      <w:r w:rsidRPr="00FC1444">
        <w:rPr>
          <w:rFonts w:eastAsiaTheme="minorEastAsia"/>
          <w:kern w:val="0"/>
          <w:sz w:val="24"/>
        </w:rPr>
        <w:t>低洼地土地平整</w:t>
      </w:r>
      <w:r w:rsidR="00611CBA" w:rsidRPr="00FC1444">
        <w:rPr>
          <w:rFonts w:eastAsiaTheme="minorEastAsia"/>
          <w:kern w:val="0"/>
          <w:sz w:val="24"/>
        </w:rPr>
        <w:t>后，进行表土回覆，表土回覆后对以上地块进行翻耕。</w:t>
      </w:r>
      <w:r w:rsidR="00FB5B36" w:rsidRPr="00FC1444">
        <w:rPr>
          <w:rFonts w:eastAsiaTheme="minorEastAsia"/>
          <w:kern w:val="0"/>
          <w:sz w:val="24"/>
        </w:rPr>
        <w:t>翻耕</w:t>
      </w:r>
      <w:r w:rsidR="00121DFD" w:rsidRPr="00FC1444">
        <w:rPr>
          <w:rFonts w:eastAsiaTheme="minorEastAsia"/>
          <w:kern w:val="0"/>
          <w:sz w:val="24"/>
        </w:rPr>
        <w:t>过程中投加</w:t>
      </w:r>
      <w:r w:rsidR="00121DFD" w:rsidRPr="00FC1444">
        <w:rPr>
          <w:rFonts w:eastAsiaTheme="minorEastAsia"/>
          <w:sz w:val="24"/>
        </w:rPr>
        <w:t>商品有机肥</w:t>
      </w:r>
      <w:r w:rsidR="00121DFD" w:rsidRPr="00FC1444">
        <w:rPr>
          <w:rFonts w:eastAsiaTheme="minorEastAsia"/>
          <w:kern w:val="0"/>
          <w:sz w:val="24"/>
        </w:rPr>
        <w:t>，</w:t>
      </w:r>
      <w:r w:rsidR="00611CBA" w:rsidRPr="00FC1444">
        <w:rPr>
          <w:rFonts w:eastAsiaTheme="minorEastAsia"/>
          <w:kern w:val="0"/>
          <w:sz w:val="24"/>
        </w:rPr>
        <w:t>工程中产污节点主要为表土剥离、平整、翻耕过程产生的噪声</w:t>
      </w:r>
      <w:r w:rsidR="00121DFD" w:rsidRPr="00FC1444">
        <w:rPr>
          <w:rFonts w:eastAsiaTheme="minorEastAsia"/>
          <w:kern w:val="0"/>
          <w:sz w:val="24"/>
        </w:rPr>
        <w:t>、</w:t>
      </w:r>
      <w:r w:rsidR="00611CBA" w:rsidRPr="00FC1444">
        <w:rPr>
          <w:rFonts w:eastAsiaTheme="minorEastAsia"/>
          <w:kern w:val="0"/>
          <w:sz w:val="24"/>
        </w:rPr>
        <w:t>扬尘</w:t>
      </w:r>
      <w:r w:rsidR="00121DFD" w:rsidRPr="00FC1444">
        <w:rPr>
          <w:rFonts w:eastAsiaTheme="minorEastAsia"/>
          <w:kern w:val="0"/>
          <w:sz w:val="24"/>
        </w:rPr>
        <w:t>及固废</w:t>
      </w:r>
      <w:r w:rsidR="00611CBA" w:rsidRPr="00FC1444">
        <w:rPr>
          <w:rFonts w:eastAsiaTheme="minorEastAsia"/>
          <w:kern w:val="0"/>
          <w:sz w:val="24"/>
        </w:rPr>
        <w:t>。</w:t>
      </w:r>
    </w:p>
    <w:p w:rsidR="002A5A5E" w:rsidRPr="00FC1444" w:rsidRDefault="009840DD" w:rsidP="00500971">
      <w:pPr>
        <w:widowControl/>
        <w:tabs>
          <w:tab w:val="right" w:pos="8306"/>
        </w:tabs>
        <w:spacing w:line="360" w:lineRule="auto"/>
        <w:rPr>
          <w:rFonts w:eastAsiaTheme="minorEastAsia"/>
          <w:b/>
          <w:bCs/>
          <w:sz w:val="24"/>
        </w:rPr>
      </w:pPr>
      <w:r w:rsidRPr="00FC1444">
        <w:rPr>
          <w:rFonts w:eastAsiaTheme="minorEastAsia"/>
          <w:b/>
          <w:sz w:val="24"/>
        </w:rPr>
        <w:pict>
          <v:shape id="_x0000_s697020" type="#_x0000_t202" style="position:absolute;left:0;text-align:left;margin-left:341.15pt;margin-top:6.9pt;width:79.6pt;height:27.9pt;z-index:251734016" fillcolor="white [3212]" stroked="f">
            <v:textbox style="mso-next-textbox:#_x0000_s697020">
              <w:txbxContent>
                <w:p w:rsidR="006F5CC4" w:rsidRPr="00500971" w:rsidRDefault="006F5CC4">
                  <w:pPr>
                    <w:rPr>
                      <w:rFonts w:ascii="宋体" w:hAnsi="宋体" w:cs="宋体"/>
                      <w:sz w:val="18"/>
                      <w:szCs w:val="18"/>
                    </w:rPr>
                  </w:pPr>
                  <w:r w:rsidRPr="00500971">
                    <w:rPr>
                      <w:rFonts w:ascii="宋体" w:hAnsi="宋体" w:cs="宋体" w:hint="eastAsia"/>
                      <w:sz w:val="18"/>
                      <w:szCs w:val="18"/>
                    </w:rPr>
                    <w:t>、废肥料包装袋</w:t>
                  </w:r>
                </w:p>
              </w:txbxContent>
            </v:textbox>
          </v:shape>
        </w:pict>
      </w:r>
      <w:r w:rsidRPr="00FC1444">
        <w:rPr>
          <w:rFonts w:eastAsiaTheme="minorEastAsia"/>
          <w:noProof/>
          <w:kern w:val="0"/>
          <w:sz w:val="24"/>
        </w:rPr>
        <w:pict>
          <v:shape id="_x0000_s697156" type="#_x0000_t202" style="position:absolute;left:0;text-align:left;margin-left:250.7pt;margin-top:8.75pt;width:50.65pt;height:27.9pt;z-index:251817984" filled="f" stroked="f">
            <v:textbox style="mso-next-textbox:#_x0000_s697156">
              <w:txbxContent>
                <w:p w:rsidR="006F5CC4" w:rsidRPr="00121DFD" w:rsidRDefault="006F5CC4" w:rsidP="00121DFD">
                  <w:pPr>
                    <w:rPr>
                      <w:rFonts w:ascii="宋体" w:hAnsi="宋体" w:cs="宋体"/>
                      <w:szCs w:val="21"/>
                    </w:rPr>
                  </w:pPr>
                  <w:r>
                    <w:rPr>
                      <w:rFonts w:ascii="宋体" w:hAnsi="宋体" w:cs="宋体" w:hint="eastAsia"/>
                      <w:szCs w:val="21"/>
                    </w:rPr>
                    <w:t>有机肥</w:t>
                  </w:r>
                </w:p>
              </w:txbxContent>
            </v:textbox>
          </v:shape>
        </w:pict>
      </w:r>
      <w:r w:rsidRPr="00FC1444">
        <w:rPr>
          <w:rFonts w:eastAsiaTheme="minorEastAsia"/>
          <w:b/>
          <w:bCs/>
          <w:noProof/>
          <w:sz w:val="24"/>
        </w:rPr>
        <w:pict>
          <v:shape id="_x0000_s697155" type="#_x0000_t32" style="position:absolute;left:0;text-align:left;margin-left:285.1pt;margin-top:27.4pt;width:8.35pt;height:14.25pt;z-index:251816960" o:connectortype="straight">
            <v:stroke endarrow="block"/>
          </v:shape>
        </w:pict>
      </w:r>
      <w:r w:rsidR="00611CBA" w:rsidRPr="00FC1444">
        <w:rPr>
          <w:rFonts w:eastAsiaTheme="minorEastAsia"/>
          <w:b/>
          <w:bCs/>
          <w:noProof/>
          <w:sz w:val="24"/>
        </w:rPr>
        <w:drawing>
          <wp:inline distT="0" distB="0" distL="0" distR="0">
            <wp:extent cx="4592955" cy="882650"/>
            <wp:effectExtent l="19050" t="0" r="0" b="0"/>
            <wp:docPr id="3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8"/>
                    <pic:cNvPicPr>
                      <a:picLocks noChangeAspect="1" noChangeArrowheads="1"/>
                    </pic:cNvPicPr>
                  </pic:nvPicPr>
                  <pic:blipFill>
                    <a:blip r:embed="rId40"/>
                    <a:srcRect/>
                    <a:stretch>
                      <a:fillRect/>
                    </a:stretch>
                  </pic:blipFill>
                  <pic:spPr>
                    <a:xfrm>
                      <a:off x="0" y="0"/>
                      <a:ext cx="4592955" cy="882650"/>
                    </a:xfrm>
                    <a:prstGeom prst="rect">
                      <a:avLst/>
                    </a:prstGeom>
                    <a:noFill/>
                    <a:ln w="9525">
                      <a:noFill/>
                      <a:miter lim="800000"/>
                      <a:headEnd/>
                      <a:tailEnd/>
                    </a:ln>
                  </pic:spPr>
                </pic:pic>
              </a:graphicData>
            </a:graphic>
          </wp:inline>
        </w:drawing>
      </w:r>
      <w:r w:rsidR="00500971" w:rsidRPr="00FC1444">
        <w:rPr>
          <w:rFonts w:eastAsiaTheme="minorEastAsia"/>
          <w:b/>
          <w:bCs/>
          <w:sz w:val="24"/>
        </w:rPr>
        <w:tab/>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3-2-</w:t>
      </w:r>
      <w:r w:rsidR="00121DFD" w:rsidRPr="00FC1444">
        <w:rPr>
          <w:rFonts w:eastAsiaTheme="minorEastAsia"/>
          <w:b/>
          <w:kern w:val="0"/>
          <w:szCs w:val="21"/>
        </w:rPr>
        <w:t>5</w:t>
      </w:r>
      <w:r w:rsidRPr="00FC1444">
        <w:rPr>
          <w:rFonts w:eastAsiaTheme="minorEastAsia"/>
          <w:b/>
          <w:kern w:val="0"/>
          <w:szCs w:val="21"/>
        </w:rPr>
        <w:t>田块整治工程施工流程及排污节点图</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3.2.1.7</w:t>
      </w:r>
      <w:r w:rsidRPr="00FC1444">
        <w:rPr>
          <w:rFonts w:eastAsiaTheme="minorEastAsia"/>
          <w:b/>
          <w:sz w:val="24"/>
        </w:rPr>
        <w:t>排水沟清淤施工流程及产污环节分析</w:t>
      </w:r>
    </w:p>
    <w:p w:rsidR="006115D3" w:rsidRPr="00FC1444" w:rsidRDefault="00611CBA">
      <w:pPr>
        <w:widowControl/>
        <w:spacing w:line="360" w:lineRule="auto"/>
        <w:ind w:firstLineChars="200" w:firstLine="480"/>
        <w:rPr>
          <w:rFonts w:eastAsiaTheme="minorEastAsia"/>
          <w:kern w:val="0"/>
          <w:sz w:val="24"/>
        </w:rPr>
      </w:pPr>
      <w:r w:rsidRPr="00FC1444">
        <w:rPr>
          <w:rFonts w:eastAsiaTheme="minorEastAsia"/>
          <w:kern w:val="0"/>
          <w:sz w:val="24"/>
        </w:rPr>
        <w:t>工程淤清淤疏浚施工工艺主要包括机械运输、机械进场、清淤作业。施工流程主要采用水陆挖掘机进行清淤作业。首先利用运输拖车将水陆挖掘机拉运至需要清淤的沟段，然后驾驶员操控水陆挖掘机在沟道中进行清淤作业。</w:t>
      </w:r>
    </w:p>
    <w:p w:rsidR="006D377D" w:rsidRPr="00FC1444" w:rsidRDefault="004B2F9E">
      <w:pPr>
        <w:widowControl/>
        <w:spacing w:line="360" w:lineRule="auto"/>
        <w:ind w:firstLineChars="200" w:firstLine="480"/>
        <w:rPr>
          <w:rFonts w:eastAsiaTheme="minorEastAsia"/>
          <w:spacing w:val="-5"/>
          <w:sz w:val="24"/>
        </w:rPr>
      </w:pPr>
      <w:r w:rsidRPr="00FC1444">
        <w:rPr>
          <w:rFonts w:eastAsiaTheme="minorEastAsia"/>
          <w:sz w:val="24"/>
        </w:rPr>
        <w:t>本项目排水沟清淤总长度为</w:t>
      </w:r>
      <w:r w:rsidR="009A7624" w:rsidRPr="00FC1444">
        <w:rPr>
          <w:rFonts w:eastAsiaTheme="minorEastAsia"/>
          <w:sz w:val="24"/>
        </w:rPr>
        <w:t>40.638km</w:t>
      </w:r>
      <w:r w:rsidR="005510C6" w:rsidRPr="00FC1444">
        <w:rPr>
          <w:rFonts w:eastAsiaTheme="minorEastAsia"/>
          <w:sz w:val="24"/>
        </w:rPr>
        <w:t>，排水沟分布情况见附图</w:t>
      </w:r>
      <w:r w:rsidR="005510C6" w:rsidRPr="00FC1444">
        <w:rPr>
          <w:rFonts w:eastAsiaTheme="minorEastAsia"/>
          <w:sz w:val="24"/>
        </w:rPr>
        <w:t>9</w:t>
      </w:r>
      <w:r w:rsidR="005510C6" w:rsidRPr="00FC1444">
        <w:rPr>
          <w:rFonts w:eastAsiaTheme="minorEastAsia"/>
          <w:sz w:val="24"/>
        </w:rPr>
        <w:t>。</w:t>
      </w:r>
      <w:r w:rsidR="00873083" w:rsidRPr="00FC1444">
        <w:rPr>
          <w:rFonts w:eastAsiaTheme="minorEastAsia"/>
          <w:sz w:val="24"/>
        </w:rPr>
        <w:t>清淤采用挖掘机和人工结合的方式进行，</w:t>
      </w:r>
      <w:r w:rsidR="005510C6" w:rsidRPr="00FC1444">
        <w:rPr>
          <w:rFonts w:eastAsiaTheme="minorEastAsia"/>
          <w:snapToGrid w:val="0"/>
          <w:kern w:val="0"/>
          <w:sz w:val="24"/>
        </w:rPr>
        <w:t>清淤深度约为</w:t>
      </w:r>
      <w:r w:rsidR="005510C6" w:rsidRPr="00FC1444">
        <w:rPr>
          <w:rFonts w:eastAsiaTheme="minorEastAsia"/>
          <w:snapToGrid w:val="0"/>
          <w:kern w:val="0"/>
          <w:sz w:val="24"/>
        </w:rPr>
        <w:t>18</w:t>
      </w:r>
      <w:r w:rsidR="005510C6" w:rsidRPr="00FC1444">
        <w:rPr>
          <w:rFonts w:eastAsiaTheme="minorEastAsia"/>
          <w:sz w:val="24"/>
        </w:rPr>
        <w:t>cm</w:t>
      </w:r>
      <w:r w:rsidR="005510C6" w:rsidRPr="00FC1444">
        <w:rPr>
          <w:rFonts w:eastAsiaTheme="minorEastAsia"/>
          <w:sz w:val="24"/>
        </w:rPr>
        <w:t>，宽度约为</w:t>
      </w:r>
      <w:r w:rsidR="005510C6" w:rsidRPr="00FC1444">
        <w:rPr>
          <w:rFonts w:eastAsiaTheme="minorEastAsia"/>
          <w:sz w:val="24"/>
        </w:rPr>
        <w:t>1m</w:t>
      </w:r>
      <w:r w:rsidR="005510C6" w:rsidRPr="00FC1444">
        <w:rPr>
          <w:rFonts w:eastAsiaTheme="minorEastAsia"/>
          <w:snapToGrid w:val="0"/>
          <w:kern w:val="0"/>
          <w:sz w:val="24"/>
        </w:rPr>
        <w:t>。根据《</w:t>
      </w:r>
      <w:r w:rsidR="00AE168C" w:rsidRPr="00FC1444">
        <w:rPr>
          <w:rFonts w:eastAsiaTheme="minorEastAsia"/>
          <w:snapToGrid w:val="0"/>
          <w:kern w:val="0"/>
          <w:sz w:val="24"/>
        </w:rPr>
        <w:t>北林区</w:t>
      </w:r>
      <w:r w:rsidR="00AE168C" w:rsidRPr="00FC1444">
        <w:rPr>
          <w:rFonts w:eastAsiaTheme="minorEastAsia"/>
          <w:snapToGrid w:val="0"/>
          <w:kern w:val="0"/>
          <w:sz w:val="24"/>
        </w:rPr>
        <w:t>2026</w:t>
      </w:r>
      <w:r w:rsidR="00AE168C" w:rsidRPr="00FC1444">
        <w:rPr>
          <w:rFonts w:eastAsiaTheme="minorEastAsia"/>
          <w:snapToGrid w:val="0"/>
          <w:kern w:val="0"/>
          <w:sz w:val="24"/>
        </w:rPr>
        <w:t>年高标准农田建设项目</w:t>
      </w:r>
      <w:r w:rsidR="005510C6" w:rsidRPr="00FC1444">
        <w:rPr>
          <w:rFonts w:eastAsiaTheme="minorEastAsia"/>
          <w:snapToGrid w:val="0"/>
          <w:kern w:val="0"/>
          <w:sz w:val="24"/>
        </w:rPr>
        <w:t>初步设计》，</w:t>
      </w:r>
      <w:r w:rsidR="005510C6" w:rsidRPr="00FC1444">
        <w:rPr>
          <w:rFonts w:eastAsiaTheme="minorEastAsia"/>
          <w:sz w:val="24"/>
        </w:rPr>
        <w:t>总清淤土方约</w:t>
      </w:r>
      <w:r w:rsidR="00F10409" w:rsidRPr="00FC1444">
        <w:rPr>
          <w:rFonts w:eastAsiaTheme="minorEastAsia" w:hint="eastAsia"/>
          <w:sz w:val="24"/>
        </w:rPr>
        <w:t>3</w:t>
      </w:r>
      <w:r w:rsidR="005510C6" w:rsidRPr="00FC1444">
        <w:rPr>
          <w:rFonts w:eastAsiaTheme="minorEastAsia"/>
          <w:sz w:val="24"/>
        </w:rPr>
        <w:t>550m</w:t>
      </w:r>
      <w:r w:rsidR="005510C6" w:rsidRPr="00FC1444">
        <w:rPr>
          <w:rFonts w:eastAsiaTheme="minorEastAsia"/>
          <w:sz w:val="24"/>
          <w:vertAlign w:val="superscript"/>
        </w:rPr>
        <w:t>3</w:t>
      </w:r>
      <w:r w:rsidR="005510C6" w:rsidRPr="00FC1444">
        <w:rPr>
          <w:rFonts w:eastAsiaTheme="minorEastAsia"/>
          <w:sz w:val="24"/>
        </w:rPr>
        <w:t>，排水沟淤泥</w:t>
      </w:r>
      <w:r w:rsidR="005510C6" w:rsidRPr="00FC1444">
        <w:rPr>
          <w:rFonts w:eastAsiaTheme="minorEastAsia"/>
          <w:bCs/>
          <w:sz w:val="24"/>
        </w:rPr>
        <w:t>培至</w:t>
      </w:r>
      <w:r w:rsidR="00E33140" w:rsidRPr="00FC1444">
        <w:rPr>
          <w:rFonts w:eastAsiaTheme="minorEastAsia"/>
          <w:bCs/>
          <w:sz w:val="24"/>
        </w:rPr>
        <w:t>工程</w:t>
      </w:r>
      <w:r w:rsidR="005510C6" w:rsidRPr="00FC1444">
        <w:rPr>
          <w:rFonts w:eastAsiaTheme="minorEastAsia"/>
          <w:bCs/>
          <w:sz w:val="24"/>
        </w:rPr>
        <w:t>附近</w:t>
      </w:r>
      <w:r w:rsidR="005510C6" w:rsidRPr="00FC1444">
        <w:rPr>
          <w:rFonts w:eastAsiaTheme="minorEastAsia"/>
          <w:bCs/>
          <w:sz w:val="24"/>
        </w:rPr>
        <w:t>200</w:t>
      </w:r>
      <w:r w:rsidR="005510C6" w:rsidRPr="00FC1444">
        <w:rPr>
          <w:rFonts w:eastAsiaTheme="minorEastAsia"/>
          <w:bCs/>
          <w:sz w:val="24"/>
        </w:rPr>
        <w:t>米范围内无环境保护目标的排水沟两侧</w:t>
      </w:r>
      <w:r w:rsidR="00E33140" w:rsidRPr="00FC1444">
        <w:rPr>
          <w:rFonts w:eastAsiaTheme="minorEastAsia"/>
          <w:bCs/>
          <w:sz w:val="24"/>
        </w:rPr>
        <w:t>（</w:t>
      </w:r>
      <w:r w:rsidR="00386D57" w:rsidRPr="00FC1444">
        <w:rPr>
          <w:rFonts w:eastAsiaTheme="minorEastAsia"/>
          <w:bCs/>
          <w:sz w:val="24"/>
        </w:rPr>
        <w:t>避开黄家屯、李荒子屯等</w:t>
      </w:r>
      <w:r w:rsidR="00386D57" w:rsidRPr="00FC1444">
        <w:rPr>
          <w:rFonts w:eastAsiaTheme="minorEastAsia"/>
          <w:bCs/>
          <w:sz w:val="24"/>
        </w:rPr>
        <w:t>22</w:t>
      </w:r>
      <w:r w:rsidR="00386D57" w:rsidRPr="00FC1444">
        <w:rPr>
          <w:rFonts w:eastAsiaTheme="minorEastAsia"/>
          <w:bCs/>
          <w:sz w:val="24"/>
        </w:rPr>
        <w:t>个村屯</w:t>
      </w:r>
      <w:r w:rsidR="00E33140" w:rsidRPr="00FC1444">
        <w:rPr>
          <w:rFonts w:eastAsiaTheme="minorEastAsia"/>
          <w:bCs/>
          <w:sz w:val="24"/>
        </w:rPr>
        <w:t>，具体见表</w:t>
      </w:r>
      <w:r w:rsidR="00E33140" w:rsidRPr="00FC1444">
        <w:rPr>
          <w:rFonts w:eastAsiaTheme="minorEastAsia"/>
          <w:bCs/>
          <w:sz w:val="24"/>
        </w:rPr>
        <w:t>2-8-2</w:t>
      </w:r>
      <w:r w:rsidR="00E33140" w:rsidRPr="00FC1444">
        <w:rPr>
          <w:rFonts w:eastAsiaTheme="minorEastAsia"/>
          <w:bCs/>
          <w:sz w:val="24"/>
        </w:rPr>
        <w:t>）</w:t>
      </w:r>
      <w:r w:rsidR="00611CBA" w:rsidRPr="00FC1444">
        <w:rPr>
          <w:rFonts w:eastAsiaTheme="minorEastAsia"/>
          <w:bCs/>
          <w:sz w:val="24"/>
        </w:rPr>
        <w:t>，</w:t>
      </w:r>
      <w:r w:rsidR="005510C6" w:rsidRPr="00FC1444">
        <w:rPr>
          <w:rFonts w:eastAsiaTheme="minorEastAsia"/>
          <w:sz w:val="24"/>
        </w:rPr>
        <w:t>自然晾晒干化</w:t>
      </w:r>
      <w:r w:rsidR="006115D3" w:rsidRPr="00FC1444">
        <w:rPr>
          <w:rFonts w:eastAsiaTheme="minorEastAsia"/>
          <w:sz w:val="24"/>
        </w:rPr>
        <w:t>，</w:t>
      </w:r>
      <w:r w:rsidR="00873083" w:rsidRPr="00FC1444">
        <w:rPr>
          <w:rFonts w:eastAsiaTheme="minorEastAsia"/>
          <w:sz w:val="24"/>
        </w:rPr>
        <w:t>晾晒</w:t>
      </w:r>
      <w:r w:rsidR="00873083" w:rsidRPr="00FC1444">
        <w:rPr>
          <w:rFonts w:eastAsiaTheme="minorEastAsia"/>
          <w:sz w:val="24"/>
        </w:rPr>
        <w:t>7</w:t>
      </w:r>
      <w:r w:rsidR="00873083" w:rsidRPr="00FC1444">
        <w:rPr>
          <w:rFonts w:eastAsiaTheme="minorEastAsia"/>
          <w:sz w:val="24"/>
        </w:rPr>
        <w:t>～</w:t>
      </w:r>
      <w:r w:rsidR="00873083" w:rsidRPr="00FC1444">
        <w:rPr>
          <w:rFonts w:eastAsiaTheme="minorEastAsia"/>
          <w:sz w:val="24"/>
        </w:rPr>
        <w:t>10d</w:t>
      </w:r>
      <w:r w:rsidR="00873083" w:rsidRPr="00FC1444">
        <w:rPr>
          <w:rFonts w:eastAsiaTheme="minorEastAsia"/>
          <w:sz w:val="24"/>
        </w:rPr>
        <w:t>后含水率大幅下降，厌氧环境破坏，臭气浓度释放量显著降低，后期臭气影响大幅减弱。</w:t>
      </w:r>
      <w:r w:rsidR="006115D3" w:rsidRPr="00FC1444">
        <w:rPr>
          <w:rFonts w:eastAsiaTheme="minorEastAsia"/>
          <w:spacing w:val="-5"/>
          <w:sz w:val="24"/>
        </w:rPr>
        <w:t>清淤过程中喷洒微生物除臭剂。</w:t>
      </w:r>
    </w:p>
    <w:p w:rsidR="002A5A5E" w:rsidRPr="00FC1444" w:rsidRDefault="004C69F2" w:rsidP="006D377D">
      <w:pPr>
        <w:widowControl/>
        <w:spacing w:line="360" w:lineRule="auto"/>
        <w:ind w:firstLineChars="200" w:firstLine="480"/>
        <w:rPr>
          <w:rFonts w:eastAsiaTheme="minorEastAsia"/>
          <w:kern w:val="10"/>
          <w:sz w:val="24"/>
          <w:szCs w:val="22"/>
        </w:rPr>
      </w:pPr>
      <w:r w:rsidRPr="00FC1444">
        <w:rPr>
          <w:sz w:val="24"/>
        </w:rPr>
        <w:t>本工程清淤施工期选定</w:t>
      </w:r>
      <w:r w:rsidRPr="00FC1444">
        <w:rPr>
          <w:sz w:val="24"/>
        </w:rPr>
        <w:t xml:space="preserve"> 2027</w:t>
      </w:r>
      <w:r w:rsidRPr="00FC1444">
        <w:rPr>
          <w:sz w:val="24"/>
        </w:rPr>
        <w:t>年</w:t>
      </w:r>
      <w:r w:rsidRPr="00FC1444">
        <w:rPr>
          <w:sz w:val="24"/>
        </w:rPr>
        <w:t>3</w:t>
      </w:r>
      <w:r w:rsidRPr="00FC1444">
        <w:rPr>
          <w:rFonts w:eastAsiaTheme="minorEastAsia"/>
          <w:kern w:val="0"/>
          <w:sz w:val="24"/>
        </w:rPr>
        <w:t>～</w:t>
      </w:r>
      <w:r w:rsidRPr="00FC1444">
        <w:rPr>
          <w:sz w:val="24"/>
        </w:rPr>
        <w:t>4</w:t>
      </w:r>
      <w:r w:rsidRPr="00FC1444">
        <w:rPr>
          <w:sz w:val="24"/>
        </w:rPr>
        <w:t>月河道枯水期开展，该阶段河流水位低，河床淤泥自然疏干、</w:t>
      </w:r>
      <w:r w:rsidR="00631660" w:rsidRPr="00FC1444">
        <w:rPr>
          <w:rFonts w:eastAsiaTheme="minorEastAsia"/>
          <w:bCs/>
          <w:kern w:val="0"/>
          <w:sz w:val="24"/>
          <w:szCs w:val="20"/>
        </w:rPr>
        <w:t>污泥含水率较低，约为</w:t>
      </w:r>
      <w:r w:rsidR="00631660" w:rsidRPr="00FC1444">
        <w:rPr>
          <w:rFonts w:eastAsiaTheme="minorEastAsia"/>
          <w:bCs/>
          <w:kern w:val="0"/>
          <w:sz w:val="24"/>
          <w:szCs w:val="20"/>
        </w:rPr>
        <w:t>60%</w:t>
      </w:r>
      <w:r w:rsidRPr="00FC1444">
        <w:rPr>
          <w:sz w:val="24"/>
        </w:rPr>
        <w:t>，叠加初春低温气象条件，淤泥内厌氧微生物产臭活性受到双重抑制，恶臭污染物生成及挥发速率整体偏低；同时采用干化开挖施工，避免汛期水下扰动淤泥造成恶臭气体集中瞬时释放，整体臭气平均排放浓度优于丰水期清淤工况。</w:t>
      </w:r>
      <w:r w:rsidRPr="00FC1444">
        <w:rPr>
          <w:rFonts w:eastAsiaTheme="minorEastAsia"/>
          <w:kern w:val="10"/>
          <w:sz w:val="24"/>
          <w:szCs w:val="22"/>
        </w:rPr>
        <w:t>本项目排水沟底泥检测样品无重金属污染，底泥污染物均满足《土壤环境质量农用地土壤污染风险管控标准（试行）》（</w:t>
      </w:r>
      <w:r w:rsidRPr="00FC1444">
        <w:rPr>
          <w:rFonts w:eastAsiaTheme="minorEastAsia"/>
          <w:kern w:val="10"/>
          <w:sz w:val="24"/>
          <w:szCs w:val="22"/>
        </w:rPr>
        <w:t>GB15618-2018</w:t>
      </w:r>
      <w:r w:rsidRPr="00FC1444">
        <w:rPr>
          <w:rFonts w:eastAsiaTheme="minorEastAsia"/>
          <w:kern w:val="10"/>
          <w:sz w:val="24"/>
          <w:szCs w:val="22"/>
        </w:rPr>
        <w:t>）表</w:t>
      </w:r>
      <w:r w:rsidRPr="00FC1444">
        <w:rPr>
          <w:rFonts w:eastAsiaTheme="minorEastAsia"/>
          <w:kern w:val="10"/>
          <w:sz w:val="24"/>
          <w:szCs w:val="22"/>
        </w:rPr>
        <w:t>1</w:t>
      </w:r>
      <w:r w:rsidRPr="00FC1444">
        <w:rPr>
          <w:rFonts w:eastAsiaTheme="minorEastAsia"/>
          <w:kern w:val="10"/>
          <w:sz w:val="24"/>
          <w:szCs w:val="22"/>
        </w:rPr>
        <w:t>、表</w:t>
      </w:r>
      <w:r w:rsidRPr="00FC1444">
        <w:rPr>
          <w:rFonts w:eastAsiaTheme="minorEastAsia"/>
          <w:kern w:val="10"/>
          <w:sz w:val="24"/>
          <w:szCs w:val="22"/>
        </w:rPr>
        <w:t>2</w:t>
      </w:r>
      <w:r w:rsidRPr="00FC1444">
        <w:rPr>
          <w:rFonts w:eastAsiaTheme="minorEastAsia"/>
          <w:kern w:val="10"/>
          <w:sz w:val="24"/>
          <w:szCs w:val="22"/>
        </w:rPr>
        <w:t>中筛选值。</w:t>
      </w:r>
      <w:r w:rsidR="00611CBA" w:rsidRPr="00FC1444">
        <w:rPr>
          <w:rFonts w:eastAsiaTheme="minorEastAsia"/>
          <w:sz w:val="24"/>
        </w:rPr>
        <w:t>污泥沥水排入排水沟内。</w:t>
      </w:r>
    </w:p>
    <w:p w:rsidR="002A5A5E" w:rsidRPr="00FC1444" w:rsidRDefault="009840DD">
      <w:pPr>
        <w:spacing w:line="360" w:lineRule="auto"/>
        <w:ind w:left="420"/>
        <w:contextualSpacing/>
        <w:jc w:val="center"/>
        <w:rPr>
          <w:rFonts w:eastAsiaTheme="minorEastAsia"/>
          <w:b/>
          <w:sz w:val="24"/>
        </w:rPr>
      </w:pPr>
      <w:r w:rsidRPr="00FC1444">
        <w:rPr>
          <w:rFonts w:eastAsiaTheme="minorEastAsia"/>
          <w:b/>
          <w:sz w:val="24"/>
        </w:rPr>
        <w:lastRenderedPageBreak/>
        <w:pict>
          <v:shape id="_x0000_s697084" type="#_x0000_t202" style="position:absolute;left:0;text-align:left;margin-left:296.35pt;margin-top:6.35pt;width:88.15pt;height:27.9pt;z-index:251772928" filled="f" stroked="f">
            <v:textbox style="mso-next-textbox:#_x0000_s697084">
              <w:txbxContent>
                <w:p w:rsidR="006F5CC4" w:rsidRDefault="006F5CC4">
                  <w:pPr>
                    <w:rPr>
                      <w:rFonts w:ascii="宋体" w:hAnsi="宋体" w:cs="宋体"/>
                      <w:szCs w:val="21"/>
                    </w:rPr>
                  </w:pPr>
                  <w:r>
                    <w:rPr>
                      <w:rFonts w:ascii="宋体" w:hAnsi="宋体" w:cs="宋体" w:hint="eastAsia"/>
                      <w:szCs w:val="21"/>
                    </w:rPr>
                    <w:t>恶臭异味、沥水</w:t>
                  </w:r>
                </w:p>
              </w:txbxContent>
            </v:textbox>
          </v:shape>
        </w:pict>
      </w:r>
      <w:r w:rsidRPr="00FC1444">
        <w:rPr>
          <w:rFonts w:eastAsiaTheme="minorEastAsia"/>
          <w:b/>
          <w:sz w:val="24"/>
        </w:rPr>
        <w:pict>
          <v:shape id="_x0000_s697083" type="#_x0000_t32" style="position:absolute;left:0;text-align:left;margin-left:341.15pt;margin-top:24.75pt;width:0;height:18.45pt;flip:y;z-index:251771904" o:connectortype="straight">
            <v:stroke dashstyle="dash" endarrow="block"/>
          </v:shape>
        </w:pict>
      </w:r>
      <w:r w:rsidR="00611CBA" w:rsidRPr="00FC1444">
        <w:rPr>
          <w:rFonts w:eastAsiaTheme="minorEastAsia"/>
          <w:b/>
          <w:noProof/>
          <w:sz w:val="24"/>
        </w:rPr>
        <w:drawing>
          <wp:inline distT="0" distB="0" distL="0" distR="0">
            <wp:extent cx="4733925" cy="942975"/>
            <wp:effectExtent l="19050" t="0" r="9525" b="0"/>
            <wp:docPr id="6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9"/>
                    <pic:cNvPicPr>
                      <a:picLocks noChangeAspect="1" noChangeArrowheads="1"/>
                    </pic:cNvPicPr>
                  </pic:nvPicPr>
                  <pic:blipFill>
                    <a:blip r:embed="rId41"/>
                    <a:srcRect/>
                    <a:stretch>
                      <a:fillRect/>
                    </a:stretch>
                  </pic:blipFill>
                  <pic:spPr>
                    <a:xfrm>
                      <a:off x="0" y="0"/>
                      <a:ext cx="4733925" cy="942975"/>
                    </a:xfrm>
                    <a:prstGeom prst="rect">
                      <a:avLst/>
                    </a:prstGeom>
                    <a:noFill/>
                    <a:ln w="9525">
                      <a:noFill/>
                      <a:miter lim="800000"/>
                      <a:headEnd/>
                      <a:tailEnd/>
                    </a:ln>
                  </pic:spPr>
                </pic:pic>
              </a:graphicData>
            </a:graphic>
          </wp:inline>
        </w:drawing>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3-2-</w:t>
      </w:r>
      <w:r w:rsidR="005C0AF5" w:rsidRPr="00FC1444">
        <w:rPr>
          <w:rFonts w:eastAsiaTheme="minorEastAsia"/>
          <w:b/>
          <w:kern w:val="0"/>
          <w:szCs w:val="21"/>
        </w:rPr>
        <w:t>6</w:t>
      </w:r>
      <w:r w:rsidRPr="00FC1444">
        <w:rPr>
          <w:rFonts w:eastAsiaTheme="minorEastAsia"/>
          <w:b/>
          <w:kern w:val="0"/>
          <w:szCs w:val="21"/>
        </w:rPr>
        <w:t>排水沟清淤工艺流程及排污节点图</w:t>
      </w:r>
    </w:p>
    <w:p w:rsidR="002A5A5E" w:rsidRPr="00FC1444" w:rsidRDefault="00611CBA">
      <w:pPr>
        <w:widowControl/>
        <w:spacing w:line="360" w:lineRule="auto"/>
        <w:ind w:firstLineChars="200" w:firstLine="480"/>
        <w:rPr>
          <w:rFonts w:eastAsiaTheme="minorEastAsia"/>
          <w:kern w:val="0"/>
          <w:sz w:val="24"/>
        </w:rPr>
      </w:pPr>
      <w:r w:rsidRPr="00FC1444">
        <w:rPr>
          <w:rFonts w:eastAsiaTheme="minorEastAsia"/>
          <w:kern w:val="0"/>
          <w:sz w:val="24"/>
        </w:rPr>
        <w:t>哈尔滨新巨环保科技有限公司于</w:t>
      </w:r>
      <w:r w:rsidRPr="00FC1444">
        <w:rPr>
          <w:rFonts w:eastAsiaTheme="minorEastAsia"/>
          <w:kern w:val="0"/>
          <w:sz w:val="24"/>
        </w:rPr>
        <w:t>202</w:t>
      </w:r>
      <w:r w:rsidR="00347ED3" w:rsidRPr="00FC1444">
        <w:rPr>
          <w:rFonts w:eastAsiaTheme="minorEastAsia"/>
          <w:kern w:val="0"/>
          <w:sz w:val="24"/>
        </w:rPr>
        <w:t>6</w:t>
      </w:r>
      <w:r w:rsidRPr="00FC1444">
        <w:rPr>
          <w:rFonts w:eastAsiaTheme="minorEastAsia"/>
          <w:kern w:val="0"/>
          <w:sz w:val="24"/>
        </w:rPr>
        <w:t>年</w:t>
      </w:r>
      <w:r w:rsidR="00363CBD" w:rsidRPr="00FC1444">
        <w:rPr>
          <w:rFonts w:eastAsiaTheme="minorEastAsia" w:hint="eastAsia"/>
          <w:kern w:val="0"/>
          <w:sz w:val="24"/>
        </w:rPr>
        <w:t>8</w:t>
      </w:r>
      <w:r w:rsidRPr="00FC1444">
        <w:rPr>
          <w:rFonts w:eastAsiaTheme="minorEastAsia"/>
          <w:kern w:val="0"/>
          <w:sz w:val="24"/>
        </w:rPr>
        <w:t>月</w:t>
      </w:r>
      <w:r w:rsidR="00363CBD" w:rsidRPr="00FC1444">
        <w:rPr>
          <w:rFonts w:eastAsiaTheme="minorEastAsia" w:hint="eastAsia"/>
          <w:kern w:val="0"/>
          <w:sz w:val="24"/>
        </w:rPr>
        <w:t>31</w:t>
      </w:r>
      <w:r w:rsidRPr="00FC1444">
        <w:rPr>
          <w:rFonts w:eastAsiaTheme="minorEastAsia"/>
          <w:kern w:val="0"/>
          <w:sz w:val="24"/>
        </w:rPr>
        <w:t>日对本项目排水沟底泥进行检测，在本项目涉及排水沟清淤工程的</w:t>
      </w:r>
      <w:r w:rsidR="000037AB" w:rsidRPr="00FC1444">
        <w:rPr>
          <w:rFonts w:eastAsiaTheme="minorEastAsia"/>
          <w:kern w:val="0"/>
          <w:sz w:val="24"/>
        </w:rPr>
        <w:t>4</w:t>
      </w:r>
      <w:r w:rsidRPr="00FC1444">
        <w:rPr>
          <w:rFonts w:eastAsiaTheme="minorEastAsia"/>
          <w:kern w:val="0"/>
          <w:sz w:val="24"/>
        </w:rPr>
        <w:t>个乡镇各设置</w:t>
      </w:r>
      <w:r w:rsidRPr="00FC1444">
        <w:rPr>
          <w:rFonts w:eastAsiaTheme="minorEastAsia"/>
          <w:kern w:val="0"/>
          <w:sz w:val="24"/>
        </w:rPr>
        <w:t>1</w:t>
      </w:r>
      <w:r w:rsidRPr="00FC1444">
        <w:rPr>
          <w:rFonts w:eastAsiaTheme="minorEastAsia"/>
          <w:kern w:val="0"/>
          <w:sz w:val="24"/>
        </w:rPr>
        <w:t>个底泥监测点，共</w:t>
      </w:r>
      <w:r w:rsidR="000037AB" w:rsidRPr="00FC1444">
        <w:rPr>
          <w:rFonts w:eastAsiaTheme="minorEastAsia"/>
          <w:kern w:val="0"/>
          <w:sz w:val="24"/>
        </w:rPr>
        <w:t>4</w:t>
      </w:r>
      <w:r w:rsidRPr="00FC1444">
        <w:rPr>
          <w:rFonts w:eastAsiaTheme="minorEastAsia"/>
          <w:kern w:val="0"/>
          <w:sz w:val="24"/>
        </w:rPr>
        <w:t>个监测点。检测项目包括</w:t>
      </w:r>
      <w:r w:rsidRPr="00FC1444">
        <w:rPr>
          <w:rFonts w:eastAsiaTheme="minorEastAsia"/>
          <w:kern w:val="0"/>
          <w:sz w:val="24"/>
        </w:rPr>
        <w:t>pH</w:t>
      </w:r>
      <w:r w:rsidRPr="00FC1444">
        <w:rPr>
          <w:rFonts w:eastAsiaTheme="minorEastAsia"/>
          <w:kern w:val="0"/>
          <w:sz w:val="24"/>
        </w:rPr>
        <w:t>、镉、汞、铅、铬、砷、镍、锌、铜、六六六、滴滴涕、苯并</w:t>
      </w:r>
      <w:r w:rsidRPr="00FC1444">
        <w:rPr>
          <w:rFonts w:eastAsiaTheme="minorEastAsia"/>
          <w:kern w:val="0"/>
          <w:sz w:val="24"/>
        </w:rPr>
        <w:t>[a]</w:t>
      </w:r>
      <w:r w:rsidRPr="00FC1444">
        <w:rPr>
          <w:rFonts w:eastAsiaTheme="minorEastAsia"/>
          <w:kern w:val="0"/>
          <w:sz w:val="24"/>
        </w:rPr>
        <w:t>芘。详细情况见附件</w:t>
      </w:r>
      <w:r w:rsidRPr="00FC1444">
        <w:rPr>
          <w:rFonts w:eastAsiaTheme="minorEastAsia"/>
          <w:kern w:val="0"/>
          <w:sz w:val="24"/>
        </w:rPr>
        <w:t>2</w:t>
      </w:r>
      <w:r w:rsidRPr="00FC1444">
        <w:rPr>
          <w:rFonts w:eastAsiaTheme="minorEastAsia"/>
          <w:kern w:val="0"/>
          <w:sz w:val="24"/>
        </w:rPr>
        <w:t>。</w:t>
      </w:r>
    </w:p>
    <w:p w:rsidR="002A5A5E" w:rsidRPr="00FC1444" w:rsidRDefault="00611CBA">
      <w:pPr>
        <w:widowControl/>
        <w:spacing w:line="360" w:lineRule="auto"/>
        <w:ind w:firstLineChars="200" w:firstLine="480"/>
        <w:rPr>
          <w:rFonts w:eastAsiaTheme="minorEastAsia"/>
          <w:kern w:val="0"/>
          <w:sz w:val="24"/>
        </w:rPr>
      </w:pPr>
      <w:r w:rsidRPr="00FC1444">
        <w:rPr>
          <w:rFonts w:eastAsiaTheme="minorEastAsia"/>
          <w:kern w:val="0"/>
          <w:sz w:val="24"/>
        </w:rPr>
        <w:t>由于本项目排水沟均用于本项目区域</w:t>
      </w:r>
      <w:r w:rsidR="008F74CE" w:rsidRPr="00FC1444">
        <w:rPr>
          <w:rFonts w:eastAsiaTheme="minorEastAsia"/>
          <w:kern w:val="0"/>
          <w:sz w:val="24"/>
        </w:rPr>
        <w:t>现有水田</w:t>
      </w:r>
      <w:r w:rsidRPr="00FC1444">
        <w:rPr>
          <w:rFonts w:eastAsiaTheme="minorEastAsia"/>
          <w:kern w:val="0"/>
          <w:sz w:val="24"/>
        </w:rPr>
        <w:t>退水，无工业废水排入，</w:t>
      </w:r>
      <w:r w:rsidR="000037AB" w:rsidRPr="00FC1444">
        <w:rPr>
          <w:rFonts w:eastAsiaTheme="minorEastAsia"/>
          <w:kern w:val="0"/>
          <w:sz w:val="24"/>
        </w:rPr>
        <w:t>4</w:t>
      </w:r>
      <w:r w:rsidRPr="00FC1444">
        <w:rPr>
          <w:rFonts w:eastAsiaTheme="minorEastAsia"/>
          <w:kern w:val="0"/>
          <w:sz w:val="24"/>
        </w:rPr>
        <w:t>个片区排水沟</w:t>
      </w:r>
      <w:r w:rsidR="008F74CE" w:rsidRPr="00FC1444">
        <w:rPr>
          <w:rFonts w:eastAsiaTheme="minorEastAsia"/>
          <w:kern w:val="0"/>
          <w:sz w:val="24"/>
        </w:rPr>
        <w:t>长度平均、</w:t>
      </w:r>
      <w:r w:rsidRPr="00FC1444">
        <w:rPr>
          <w:rFonts w:eastAsiaTheme="minorEastAsia"/>
          <w:kern w:val="0"/>
          <w:sz w:val="24"/>
        </w:rPr>
        <w:t>底泥成分相似</w:t>
      </w:r>
      <w:r w:rsidR="008F74CE" w:rsidRPr="00FC1444">
        <w:rPr>
          <w:rFonts w:eastAsiaTheme="minorEastAsia"/>
          <w:kern w:val="0"/>
          <w:sz w:val="24"/>
        </w:rPr>
        <w:t>，均无工业废水排入</w:t>
      </w:r>
      <w:r w:rsidRPr="00FC1444">
        <w:rPr>
          <w:rFonts w:eastAsiaTheme="minorEastAsia"/>
          <w:kern w:val="0"/>
          <w:sz w:val="24"/>
        </w:rPr>
        <w:t>，故在项目所在</w:t>
      </w:r>
      <w:r w:rsidR="000037AB" w:rsidRPr="00FC1444">
        <w:rPr>
          <w:rFonts w:eastAsiaTheme="minorEastAsia"/>
          <w:kern w:val="0"/>
          <w:sz w:val="24"/>
        </w:rPr>
        <w:t>4</w:t>
      </w:r>
      <w:r w:rsidRPr="00FC1444">
        <w:rPr>
          <w:rFonts w:eastAsiaTheme="minorEastAsia"/>
          <w:kern w:val="0"/>
          <w:sz w:val="24"/>
        </w:rPr>
        <w:t>个乡镇</w:t>
      </w:r>
      <w:r w:rsidR="008F74CE" w:rsidRPr="00FC1444">
        <w:rPr>
          <w:rFonts w:eastAsiaTheme="minorEastAsia"/>
          <w:kern w:val="0"/>
          <w:sz w:val="24"/>
        </w:rPr>
        <w:t>分别选取一条排水沟</w:t>
      </w:r>
      <w:r w:rsidRPr="00FC1444">
        <w:rPr>
          <w:rFonts w:eastAsiaTheme="minorEastAsia"/>
          <w:kern w:val="0"/>
          <w:sz w:val="24"/>
        </w:rPr>
        <w:t>各设置</w:t>
      </w:r>
      <w:r w:rsidRPr="00FC1444">
        <w:rPr>
          <w:rFonts w:eastAsiaTheme="minorEastAsia"/>
          <w:kern w:val="0"/>
          <w:sz w:val="24"/>
        </w:rPr>
        <w:t>1</w:t>
      </w:r>
      <w:r w:rsidRPr="00FC1444">
        <w:rPr>
          <w:rFonts w:eastAsiaTheme="minorEastAsia"/>
          <w:kern w:val="0"/>
          <w:sz w:val="24"/>
        </w:rPr>
        <w:t>个底泥监测点，共</w:t>
      </w:r>
      <w:r w:rsidR="000037AB" w:rsidRPr="00FC1444">
        <w:rPr>
          <w:rFonts w:eastAsiaTheme="minorEastAsia"/>
          <w:kern w:val="0"/>
          <w:sz w:val="24"/>
        </w:rPr>
        <w:t>4</w:t>
      </w:r>
      <w:r w:rsidRPr="00FC1444">
        <w:rPr>
          <w:rFonts w:eastAsiaTheme="minorEastAsia"/>
          <w:kern w:val="0"/>
          <w:sz w:val="24"/>
        </w:rPr>
        <w:t>个监测点，具有代表性。</w:t>
      </w:r>
    </w:p>
    <w:p w:rsidR="002A5A5E" w:rsidRPr="00FC1444" w:rsidRDefault="00C2503E">
      <w:pPr>
        <w:widowControl/>
        <w:adjustRightInd w:val="0"/>
        <w:snapToGrid w:val="0"/>
        <w:spacing w:line="360" w:lineRule="auto"/>
        <w:jc w:val="center"/>
        <w:rPr>
          <w:rFonts w:eastAsiaTheme="minorEastAsia"/>
          <w:kern w:val="10"/>
          <w:sz w:val="24"/>
          <w:szCs w:val="22"/>
        </w:rPr>
      </w:pPr>
      <w:r w:rsidRPr="00FC1444">
        <w:rPr>
          <w:rFonts w:eastAsiaTheme="minorEastAsia"/>
          <w:noProof/>
          <w:kern w:val="10"/>
          <w:sz w:val="24"/>
          <w:szCs w:val="22"/>
        </w:rPr>
        <w:drawing>
          <wp:inline distT="0" distB="0" distL="0" distR="0">
            <wp:extent cx="4667250" cy="3622040"/>
            <wp:effectExtent l="19050" t="19050" r="19050" b="1651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srcRect/>
                    <a:stretch>
                      <a:fillRect/>
                    </a:stretch>
                  </pic:blipFill>
                  <pic:spPr bwMode="auto">
                    <a:xfrm>
                      <a:off x="0" y="0"/>
                      <a:ext cx="4667250" cy="3622040"/>
                    </a:xfrm>
                    <a:prstGeom prst="rect">
                      <a:avLst/>
                    </a:prstGeom>
                    <a:noFill/>
                    <a:ln w="9525">
                      <a:solidFill>
                        <a:schemeClr val="tx1"/>
                      </a:solidFill>
                      <a:miter lim="800000"/>
                      <a:headEnd/>
                      <a:tailEnd/>
                    </a:ln>
                  </pic:spPr>
                </pic:pic>
              </a:graphicData>
            </a:graphic>
          </wp:inline>
        </w:drawing>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3-2-</w:t>
      </w:r>
      <w:r w:rsidR="005C0AF5" w:rsidRPr="00FC1444">
        <w:rPr>
          <w:rFonts w:eastAsiaTheme="minorEastAsia"/>
          <w:b/>
          <w:kern w:val="0"/>
          <w:szCs w:val="21"/>
        </w:rPr>
        <w:t>7</w:t>
      </w:r>
      <w:r w:rsidRPr="00FC1444">
        <w:rPr>
          <w:rFonts w:eastAsiaTheme="minorEastAsia"/>
          <w:b/>
          <w:kern w:val="0"/>
          <w:szCs w:val="21"/>
        </w:rPr>
        <w:t>底泥质量检测点位布设示意图（</w:t>
      </w:r>
      <w:r w:rsidRPr="00FC1444">
        <w:rPr>
          <w:rFonts w:eastAsiaTheme="minorEastAsia"/>
          <w:b/>
          <w:kern w:val="0"/>
          <w:szCs w:val="21"/>
        </w:rPr>
        <w:t>1</w:t>
      </w:r>
      <w:r w:rsidRPr="00FC1444">
        <w:rPr>
          <w:rFonts w:eastAsiaTheme="minorEastAsia"/>
          <w:b/>
          <w:kern w:val="0"/>
          <w:szCs w:val="21"/>
        </w:rPr>
        <w:t>）</w:t>
      </w:r>
    </w:p>
    <w:p w:rsidR="002A5A5E" w:rsidRPr="00FC1444" w:rsidRDefault="00C2503E">
      <w:pPr>
        <w:contextualSpacing/>
        <w:jc w:val="center"/>
        <w:rPr>
          <w:rFonts w:eastAsiaTheme="minorEastAsia"/>
          <w:b/>
          <w:kern w:val="0"/>
          <w:szCs w:val="21"/>
        </w:rPr>
      </w:pPr>
      <w:r w:rsidRPr="00FC1444">
        <w:rPr>
          <w:rFonts w:eastAsiaTheme="minorEastAsia"/>
          <w:b/>
          <w:noProof/>
          <w:kern w:val="0"/>
          <w:szCs w:val="21"/>
        </w:rPr>
        <w:lastRenderedPageBreak/>
        <w:drawing>
          <wp:inline distT="0" distB="0" distL="0" distR="0">
            <wp:extent cx="4690745" cy="3799840"/>
            <wp:effectExtent l="19050" t="19050" r="14605" b="10160"/>
            <wp:docPr id="687"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a:srcRect/>
                    <a:stretch>
                      <a:fillRect/>
                    </a:stretch>
                  </pic:blipFill>
                  <pic:spPr bwMode="auto">
                    <a:xfrm>
                      <a:off x="0" y="0"/>
                      <a:ext cx="4690745" cy="3799840"/>
                    </a:xfrm>
                    <a:prstGeom prst="rect">
                      <a:avLst/>
                    </a:prstGeom>
                    <a:noFill/>
                    <a:ln w="9525">
                      <a:solidFill>
                        <a:schemeClr val="tx1"/>
                      </a:solidFill>
                      <a:miter lim="800000"/>
                      <a:headEnd/>
                      <a:tailEnd/>
                    </a:ln>
                  </pic:spPr>
                </pic:pic>
              </a:graphicData>
            </a:graphic>
          </wp:inline>
        </w:drawing>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3-2-</w:t>
      </w:r>
      <w:r w:rsidR="005C0AF5" w:rsidRPr="00FC1444">
        <w:rPr>
          <w:rFonts w:eastAsiaTheme="minorEastAsia"/>
          <w:b/>
          <w:kern w:val="0"/>
          <w:szCs w:val="21"/>
        </w:rPr>
        <w:t>8</w:t>
      </w:r>
      <w:r w:rsidRPr="00FC1444">
        <w:rPr>
          <w:rFonts w:eastAsiaTheme="minorEastAsia"/>
          <w:b/>
          <w:kern w:val="0"/>
          <w:szCs w:val="21"/>
        </w:rPr>
        <w:t>底泥质量检测点位布设示意图（</w:t>
      </w:r>
      <w:r w:rsidRPr="00FC1444">
        <w:rPr>
          <w:rFonts w:eastAsiaTheme="minorEastAsia"/>
          <w:b/>
          <w:kern w:val="0"/>
          <w:szCs w:val="21"/>
        </w:rPr>
        <w:t>2</w:t>
      </w:r>
      <w:r w:rsidRPr="00FC1444">
        <w:rPr>
          <w:rFonts w:eastAsiaTheme="minorEastAsia"/>
          <w:b/>
          <w:kern w:val="0"/>
          <w:szCs w:val="21"/>
        </w:rPr>
        <w:t>）</w:t>
      </w:r>
    </w:p>
    <w:p w:rsidR="002A5A5E" w:rsidRPr="00FC1444" w:rsidRDefault="00C2503E">
      <w:pPr>
        <w:contextualSpacing/>
        <w:jc w:val="center"/>
        <w:rPr>
          <w:rFonts w:eastAsiaTheme="minorEastAsia"/>
          <w:b/>
          <w:kern w:val="0"/>
          <w:szCs w:val="21"/>
        </w:rPr>
      </w:pPr>
      <w:r w:rsidRPr="00FC1444">
        <w:rPr>
          <w:rFonts w:eastAsiaTheme="minorEastAsia"/>
          <w:b/>
          <w:noProof/>
          <w:kern w:val="0"/>
          <w:szCs w:val="21"/>
        </w:rPr>
        <w:drawing>
          <wp:inline distT="0" distB="0" distL="0" distR="0">
            <wp:extent cx="4694529" cy="3721677"/>
            <wp:effectExtent l="19050" t="19050" r="10821" b="12123"/>
            <wp:docPr id="688"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4"/>
                    <a:srcRect/>
                    <a:stretch>
                      <a:fillRect/>
                    </a:stretch>
                  </pic:blipFill>
                  <pic:spPr bwMode="auto">
                    <a:xfrm>
                      <a:off x="0" y="0"/>
                      <a:ext cx="4692249" cy="3719870"/>
                    </a:xfrm>
                    <a:prstGeom prst="rect">
                      <a:avLst/>
                    </a:prstGeom>
                    <a:noFill/>
                    <a:ln w="9525">
                      <a:solidFill>
                        <a:schemeClr val="tx1"/>
                      </a:solidFill>
                      <a:miter lim="800000"/>
                      <a:headEnd/>
                      <a:tailEnd/>
                    </a:ln>
                  </pic:spPr>
                </pic:pic>
              </a:graphicData>
            </a:graphic>
          </wp:inline>
        </w:drawing>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3-2-</w:t>
      </w:r>
      <w:r w:rsidR="005C0AF5" w:rsidRPr="00FC1444">
        <w:rPr>
          <w:rFonts w:eastAsiaTheme="minorEastAsia"/>
          <w:b/>
          <w:kern w:val="0"/>
          <w:szCs w:val="21"/>
        </w:rPr>
        <w:t>9</w:t>
      </w:r>
      <w:r w:rsidRPr="00FC1444">
        <w:rPr>
          <w:rFonts w:eastAsiaTheme="minorEastAsia"/>
          <w:b/>
          <w:kern w:val="0"/>
          <w:szCs w:val="21"/>
        </w:rPr>
        <w:t>底泥质量检测点位布设示意图（</w:t>
      </w:r>
      <w:r w:rsidRPr="00FC1444">
        <w:rPr>
          <w:rFonts w:eastAsiaTheme="minorEastAsia"/>
          <w:b/>
          <w:kern w:val="0"/>
          <w:szCs w:val="21"/>
        </w:rPr>
        <w:t>3</w:t>
      </w:r>
      <w:r w:rsidRPr="00FC1444">
        <w:rPr>
          <w:rFonts w:eastAsiaTheme="minorEastAsia"/>
          <w:b/>
          <w:kern w:val="0"/>
          <w:szCs w:val="21"/>
        </w:rPr>
        <w:t>）</w:t>
      </w:r>
    </w:p>
    <w:p w:rsidR="002A5A5E" w:rsidRPr="00FC1444" w:rsidRDefault="00C2503E">
      <w:pPr>
        <w:contextualSpacing/>
        <w:jc w:val="center"/>
        <w:rPr>
          <w:rFonts w:eastAsiaTheme="minorEastAsia"/>
          <w:b/>
          <w:kern w:val="0"/>
          <w:szCs w:val="21"/>
        </w:rPr>
      </w:pPr>
      <w:r w:rsidRPr="00FC1444">
        <w:rPr>
          <w:rFonts w:eastAsiaTheme="minorEastAsia"/>
          <w:b/>
          <w:noProof/>
          <w:kern w:val="0"/>
          <w:szCs w:val="21"/>
        </w:rPr>
        <w:lastRenderedPageBreak/>
        <w:drawing>
          <wp:inline distT="0" distB="0" distL="0" distR="0">
            <wp:extent cx="4752351" cy="3638550"/>
            <wp:effectExtent l="19050" t="19050" r="10149" b="19050"/>
            <wp:docPr id="689"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5"/>
                    <a:srcRect/>
                    <a:stretch>
                      <a:fillRect/>
                    </a:stretch>
                  </pic:blipFill>
                  <pic:spPr bwMode="auto">
                    <a:xfrm>
                      <a:off x="0" y="0"/>
                      <a:ext cx="4748650" cy="3635716"/>
                    </a:xfrm>
                    <a:prstGeom prst="rect">
                      <a:avLst/>
                    </a:prstGeom>
                    <a:noFill/>
                    <a:ln w="9525">
                      <a:solidFill>
                        <a:schemeClr val="tx1"/>
                      </a:solidFill>
                      <a:miter lim="800000"/>
                      <a:headEnd/>
                      <a:tailEnd/>
                    </a:ln>
                  </pic:spPr>
                </pic:pic>
              </a:graphicData>
            </a:graphic>
          </wp:inline>
        </w:drawing>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3-2-</w:t>
      </w:r>
      <w:r w:rsidR="005C0AF5" w:rsidRPr="00FC1444">
        <w:rPr>
          <w:rFonts w:eastAsiaTheme="minorEastAsia"/>
          <w:b/>
          <w:kern w:val="0"/>
          <w:szCs w:val="21"/>
        </w:rPr>
        <w:t>10</w:t>
      </w:r>
      <w:r w:rsidRPr="00FC1444">
        <w:rPr>
          <w:rFonts w:eastAsiaTheme="minorEastAsia"/>
          <w:b/>
          <w:kern w:val="0"/>
          <w:szCs w:val="21"/>
        </w:rPr>
        <w:t>底泥质量检测点位布设示意图（</w:t>
      </w:r>
      <w:r w:rsidRPr="00FC1444">
        <w:rPr>
          <w:rFonts w:eastAsiaTheme="minorEastAsia"/>
          <w:b/>
          <w:kern w:val="0"/>
          <w:szCs w:val="21"/>
        </w:rPr>
        <w:t>4</w:t>
      </w:r>
      <w:r w:rsidRPr="00FC1444">
        <w:rPr>
          <w:rFonts w:eastAsiaTheme="minorEastAsia"/>
          <w:b/>
          <w:kern w:val="0"/>
          <w:szCs w:val="21"/>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3-2-1</w:t>
      </w:r>
      <w:r w:rsidRPr="00FC1444">
        <w:rPr>
          <w:rFonts w:eastAsiaTheme="minorEastAsia"/>
          <w:b/>
          <w:kern w:val="0"/>
          <w:szCs w:val="21"/>
        </w:rPr>
        <w:t>底泥检测结果单位：无量纲</w:t>
      </w:r>
    </w:p>
    <w:tbl>
      <w:tblPr>
        <w:tblW w:w="8692" w:type="dxa"/>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1553"/>
        <w:gridCol w:w="1560"/>
        <w:gridCol w:w="1397"/>
        <w:gridCol w:w="1397"/>
        <w:gridCol w:w="1397"/>
        <w:gridCol w:w="1388"/>
      </w:tblGrid>
      <w:tr w:rsidR="006E216F" w:rsidRPr="00FC1444" w:rsidTr="006E216F">
        <w:trPr>
          <w:trHeight w:val="397"/>
          <w:jc w:val="center"/>
        </w:trPr>
        <w:tc>
          <w:tcPr>
            <w:tcW w:w="1553" w:type="dxa"/>
            <w:vMerge w:val="restart"/>
            <w:vAlign w:val="center"/>
          </w:tcPr>
          <w:p w:rsidR="006E216F" w:rsidRPr="00FC1444" w:rsidRDefault="006E216F">
            <w:pPr>
              <w:adjustRightInd w:val="0"/>
              <w:snapToGrid w:val="0"/>
              <w:jc w:val="center"/>
              <w:rPr>
                <w:rFonts w:eastAsiaTheme="minorEastAsia"/>
                <w:bCs/>
                <w:szCs w:val="21"/>
              </w:rPr>
            </w:pPr>
            <w:r w:rsidRPr="00FC1444">
              <w:rPr>
                <w:rFonts w:eastAsiaTheme="minorEastAsia"/>
                <w:bCs/>
                <w:szCs w:val="21"/>
              </w:rPr>
              <w:t>检测</w:t>
            </w:r>
          </w:p>
          <w:p w:rsidR="006E216F" w:rsidRPr="00FC1444" w:rsidRDefault="006E216F">
            <w:pPr>
              <w:adjustRightInd w:val="0"/>
              <w:snapToGrid w:val="0"/>
              <w:jc w:val="center"/>
              <w:rPr>
                <w:rFonts w:eastAsiaTheme="minorEastAsia"/>
                <w:bCs/>
                <w:szCs w:val="21"/>
              </w:rPr>
            </w:pPr>
            <w:r w:rsidRPr="00FC1444">
              <w:rPr>
                <w:rFonts w:eastAsiaTheme="minorEastAsia"/>
                <w:bCs/>
                <w:szCs w:val="21"/>
              </w:rPr>
              <w:t>项目</w:t>
            </w:r>
          </w:p>
        </w:tc>
        <w:tc>
          <w:tcPr>
            <w:tcW w:w="1560" w:type="dxa"/>
            <w:tcBorders>
              <w:bottom w:val="single" w:sz="4" w:space="0" w:color="auto"/>
            </w:tcBorders>
            <w:vAlign w:val="center"/>
          </w:tcPr>
          <w:p w:rsidR="006E216F" w:rsidRPr="00FC1444" w:rsidRDefault="006E216F">
            <w:pPr>
              <w:widowControl/>
              <w:jc w:val="center"/>
              <w:rPr>
                <w:rFonts w:eastAsiaTheme="minorEastAsia"/>
                <w:bCs/>
                <w:szCs w:val="21"/>
              </w:rPr>
            </w:pPr>
            <w:r w:rsidRPr="00FC1444">
              <w:rPr>
                <w:rFonts w:eastAsiaTheme="minorEastAsia"/>
                <w:bCs/>
                <w:szCs w:val="21"/>
              </w:rPr>
              <w:t>采样点位</w:t>
            </w:r>
          </w:p>
        </w:tc>
        <w:tc>
          <w:tcPr>
            <w:tcW w:w="1397" w:type="dxa"/>
            <w:tcBorders>
              <w:bottom w:val="single" w:sz="4" w:space="0" w:color="auto"/>
            </w:tcBorders>
            <w:vAlign w:val="center"/>
          </w:tcPr>
          <w:p w:rsidR="006E216F" w:rsidRPr="00FC1444" w:rsidRDefault="006E216F">
            <w:pPr>
              <w:adjustRightInd w:val="0"/>
              <w:snapToGrid w:val="0"/>
              <w:jc w:val="center"/>
              <w:rPr>
                <w:rFonts w:eastAsiaTheme="minorEastAsia"/>
                <w:bCs/>
                <w:szCs w:val="21"/>
              </w:rPr>
            </w:pPr>
            <w:r w:rsidRPr="00FC1444">
              <w:rPr>
                <w:rFonts w:eastAsiaTheme="minorEastAsia"/>
                <w:szCs w:val="21"/>
              </w:rPr>
              <w:t>排水沟</w:t>
            </w:r>
            <w:r w:rsidRPr="00FC1444">
              <w:rPr>
                <w:rFonts w:eastAsiaTheme="minorEastAsia"/>
                <w:szCs w:val="21"/>
              </w:rPr>
              <w:t>■1#</w:t>
            </w:r>
          </w:p>
        </w:tc>
        <w:tc>
          <w:tcPr>
            <w:tcW w:w="1397" w:type="dxa"/>
            <w:vAlign w:val="center"/>
          </w:tcPr>
          <w:p w:rsidR="006E216F" w:rsidRPr="00FC1444" w:rsidRDefault="006E216F">
            <w:pPr>
              <w:adjustRightInd w:val="0"/>
              <w:snapToGrid w:val="0"/>
              <w:jc w:val="center"/>
              <w:rPr>
                <w:rFonts w:eastAsiaTheme="minorEastAsia"/>
                <w:bCs/>
                <w:szCs w:val="21"/>
              </w:rPr>
            </w:pPr>
            <w:r w:rsidRPr="00FC1444">
              <w:rPr>
                <w:rFonts w:eastAsiaTheme="minorEastAsia"/>
                <w:szCs w:val="21"/>
              </w:rPr>
              <w:t>排水沟</w:t>
            </w:r>
            <w:r w:rsidRPr="00FC1444">
              <w:rPr>
                <w:rFonts w:eastAsiaTheme="minorEastAsia"/>
                <w:szCs w:val="21"/>
              </w:rPr>
              <w:t>■2#</w:t>
            </w:r>
          </w:p>
        </w:tc>
        <w:tc>
          <w:tcPr>
            <w:tcW w:w="1397" w:type="dxa"/>
            <w:vAlign w:val="center"/>
          </w:tcPr>
          <w:p w:rsidR="006E216F" w:rsidRPr="00FC1444" w:rsidRDefault="006E216F">
            <w:pPr>
              <w:adjustRightInd w:val="0"/>
              <w:snapToGrid w:val="0"/>
              <w:jc w:val="center"/>
              <w:rPr>
                <w:rFonts w:eastAsiaTheme="minorEastAsia"/>
                <w:bCs/>
                <w:szCs w:val="21"/>
              </w:rPr>
            </w:pPr>
            <w:r w:rsidRPr="00FC1444">
              <w:rPr>
                <w:rFonts w:eastAsiaTheme="minorEastAsia"/>
                <w:szCs w:val="21"/>
              </w:rPr>
              <w:t>排水沟</w:t>
            </w:r>
            <w:r w:rsidRPr="00FC1444">
              <w:rPr>
                <w:rFonts w:eastAsiaTheme="minorEastAsia"/>
                <w:szCs w:val="21"/>
              </w:rPr>
              <w:t>■3#</w:t>
            </w:r>
          </w:p>
        </w:tc>
        <w:tc>
          <w:tcPr>
            <w:tcW w:w="1388" w:type="dxa"/>
            <w:vAlign w:val="center"/>
          </w:tcPr>
          <w:p w:rsidR="006E216F" w:rsidRPr="00FC1444" w:rsidRDefault="006E216F">
            <w:pPr>
              <w:adjustRightInd w:val="0"/>
              <w:snapToGrid w:val="0"/>
              <w:jc w:val="center"/>
              <w:rPr>
                <w:rFonts w:eastAsiaTheme="minorEastAsia"/>
                <w:bCs/>
                <w:szCs w:val="21"/>
              </w:rPr>
            </w:pPr>
            <w:r w:rsidRPr="00FC1444">
              <w:rPr>
                <w:rFonts w:eastAsiaTheme="minorEastAsia"/>
                <w:szCs w:val="21"/>
              </w:rPr>
              <w:t>排水沟</w:t>
            </w:r>
            <w:r w:rsidRPr="00FC1444">
              <w:rPr>
                <w:rFonts w:eastAsiaTheme="minorEastAsia"/>
                <w:szCs w:val="21"/>
              </w:rPr>
              <w:t>■4#</w:t>
            </w:r>
          </w:p>
        </w:tc>
      </w:tr>
      <w:tr w:rsidR="00E8238B" w:rsidRPr="00FC1444" w:rsidTr="006E216F">
        <w:trPr>
          <w:trHeight w:val="397"/>
          <w:jc w:val="center"/>
        </w:trPr>
        <w:tc>
          <w:tcPr>
            <w:tcW w:w="1553" w:type="dxa"/>
            <w:vMerge/>
            <w:vAlign w:val="center"/>
          </w:tcPr>
          <w:p w:rsidR="00E8238B" w:rsidRPr="00FC1444" w:rsidRDefault="00E8238B">
            <w:pPr>
              <w:adjustRightInd w:val="0"/>
              <w:snapToGrid w:val="0"/>
              <w:jc w:val="center"/>
              <w:rPr>
                <w:rFonts w:eastAsiaTheme="minorEastAsia"/>
                <w:bCs/>
                <w:szCs w:val="21"/>
              </w:rPr>
            </w:pPr>
          </w:p>
        </w:tc>
        <w:tc>
          <w:tcPr>
            <w:tcW w:w="1560" w:type="dxa"/>
            <w:tcBorders>
              <w:top w:val="single" w:sz="4" w:space="0" w:color="auto"/>
            </w:tcBorders>
            <w:vAlign w:val="center"/>
          </w:tcPr>
          <w:p w:rsidR="00E8238B" w:rsidRPr="00FC1444" w:rsidRDefault="00E8238B">
            <w:pPr>
              <w:widowControl/>
              <w:jc w:val="center"/>
              <w:rPr>
                <w:rFonts w:eastAsiaTheme="minorEastAsia"/>
                <w:bCs/>
                <w:szCs w:val="21"/>
              </w:rPr>
            </w:pPr>
            <w:r w:rsidRPr="00FC1444">
              <w:rPr>
                <w:rFonts w:eastAsiaTheme="minorEastAsia"/>
                <w:bCs/>
                <w:szCs w:val="21"/>
              </w:rPr>
              <w:t>样品性状</w:t>
            </w:r>
          </w:p>
        </w:tc>
        <w:tc>
          <w:tcPr>
            <w:tcW w:w="1397" w:type="dxa"/>
            <w:tcBorders>
              <w:top w:val="single" w:sz="4" w:space="0" w:color="auto"/>
            </w:tcBorders>
            <w:vAlign w:val="center"/>
          </w:tcPr>
          <w:p w:rsidR="00E8238B" w:rsidRPr="00FC1444" w:rsidRDefault="00E8238B" w:rsidP="005E5014">
            <w:pPr>
              <w:adjustRightInd w:val="0"/>
              <w:snapToGrid w:val="0"/>
              <w:jc w:val="center"/>
              <w:rPr>
                <w:bCs/>
              </w:rPr>
            </w:pPr>
            <w:r w:rsidRPr="00FC1444">
              <w:t>黑色</w:t>
            </w:r>
            <w:r w:rsidRPr="00FC1444">
              <w:rPr>
                <w:rFonts w:hint="eastAsia"/>
              </w:rPr>
              <w:t>、</w:t>
            </w:r>
            <w:r w:rsidRPr="00FC1444">
              <w:t>壤土</w:t>
            </w:r>
          </w:p>
        </w:tc>
        <w:tc>
          <w:tcPr>
            <w:tcW w:w="1397" w:type="dxa"/>
            <w:vAlign w:val="center"/>
          </w:tcPr>
          <w:p w:rsidR="00E8238B" w:rsidRPr="00FC1444" w:rsidRDefault="00E8238B" w:rsidP="005E5014">
            <w:pPr>
              <w:adjustRightInd w:val="0"/>
              <w:snapToGrid w:val="0"/>
              <w:jc w:val="center"/>
              <w:rPr>
                <w:bCs/>
              </w:rPr>
            </w:pPr>
            <w:r w:rsidRPr="00FC1444">
              <w:t>黑色</w:t>
            </w:r>
            <w:r w:rsidRPr="00FC1444">
              <w:rPr>
                <w:rFonts w:hint="eastAsia"/>
              </w:rPr>
              <w:t>、</w:t>
            </w:r>
            <w:r w:rsidRPr="00FC1444">
              <w:t>壤土</w:t>
            </w:r>
          </w:p>
        </w:tc>
        <w:tc>
          <w:tcPr>
            <w:tcW w:w="1397" w:type="dxa"/>
            <w:vAlign w:val="center"/>
          </w:tcPr>
          <w:p w:rsidR="00E8238B" w:rsidRPr="00FC1444" w:rsidRDefault="00E8238B" w:rsidP="005E5014">
            <w:pPr>
              <w:adjustRightInd w:val="0"/>
              <w:snapToGrid w:val="0"/>
              <w:jc w:val="center"/>
              <w:rPr>
                <w:bCs/>
              </w:rPr>
            </w:pPr>
            <w:r w:rsidRPr="00FC1444">
              <w:t>黑色</w:t>
            </w:r>
            <w:r w:rsidRPr="00FC1444">
              <w:rPr>
                <w:rFonts w:hint="eastAsia"/>
              </w:rPr>
              <w:t>、</w:t>
            </w:r>
            <w:r w:rsidRPr="00FC1444">
              <w:t>壤土</w:t>
            </w:r>
          </w:p>
        </w:tc>
        <w:tc>
          <w:tcPr>
            <w:tcW w:w="1388" w:type="dxa"/>
            <w:vAlign w:val="center"/>
          </w:tcPr>
          <w:p w:rsidR="00E8238B" w:rsidRPr="00FC1444" w:rsidRDefault="00E8238B" w:rsidP="005E5014">
            <w:pPr>
              <w:adjustRightInd w:val="0"/>
              <w:snapToGrid w:val="0"/>
              <w:jc w:val="center"/>
              <w:rPr>
                <w:bCs/>
              </w:rPr>
            </w:pPr>
            <w:r w:rsidRPr="00FC1444">
              <w:t>黑色</w:t>
            </w:r>
            <w:r w:rsidRPr="00FC1444">
              <w:rPr>
                <w:rFonts w:hint="eastAsia"/>
              </w:rPr>
              <w:t>、</w:t>
            </w:r>
            <w:r w:rsidRPr="00FC1444">
              <w:t>壤土</w:t>
            </w:r>
          </w:p>
        </w:tc>
      </w:tr>
      <w:tr w:rsidR="00E8238B" w:rsidRPr="00FC1444" w:rsidTr="006E216F">
        <w:trPr>
          <w:trHeight w:val="397"/>
          <w:jc w:val="center"/>
        </w:trPr>
        <w:tc>
          <w:tcPr>
            <w:tcW w:w="1553" w:type="dxa"/>
            <w:vMerge/>
            <w:vAlign w:val="center"/>
          </w:tcPr>
          <w:p w:rsidR="00E8238B" w:rsidRPr="00FC1444" w:rsidRDefault="00E8238B">
            <w:pPr>
              <w:adjustRightInd w:val="0"/>
              <w:snapToGrid w:val="0"/>
              <w:jc w:val="center"/>
              <w:rPr>
                <w:rFonts w:eastAsiaTheme="minorEastAsia"/>
                <w:bCs/>
                <w:szCs w:val="21"/>
              </w:rPr>
            </w:pPr>
          </w:p>
        </w:tc>
        <w:tc>
          <w:tcPr>
            <w:tcW w:w="1560" w:type="dxa"/>
            <w:tcBorders>
              <w:top w:val="single" w:sz="4" w:space="0" w:color="auto"/>
            </w:tcBorders>
            <w:vAlign w:val="center"/>
          </w:tcPr>
          <w:p w:rsidR="00E8238B" w:rsidRPr="00FC1444" w:rsidRDefault="00E8238B">
            <w:pPr>
              <w:widowControl/>
              <w:jc w:val="center"/>
              <w:rPr>
                <w:rFonts w:eastAsiaTheme="minorEastAsia"/>
                <w:bCs/>
                <w:szCs w:val="21"/>
              </w:rPr>
            </w:pPr>
            <w:r w:rsidRPr="00FC1444">
              <w:rPr>
                <w:rFonts w:eastAsiaTheme="minorEastAsia"/>
                <w:bCs/>
                <w:szCs w:val="21"/>
              </w:rPr>
              <w:t>样品编号</w:t>
            </w:r>
          </w:p>
        </w:tc>
        <w:tc>
          <w:tcPr>
            <w:tcW w:w="1397" w:type="dxa"/>
            <w:tcBorders>
              <w:top w:val="single" w:sz="4" w:space="0" w:color="auto"/>
            </w:tcBorders>
            <w:vAlign w:val="center"/>
          </w:tcPr>
          <w:p w:rsidR="00E8238B" w:rsidRPr="00FC1444" w:rsidRDefault="00E8238B" w:rsidP="005E5014">
            <w:pPr>
              <w:adjustRightInd w:val="0"/>
              <w:snapToGrid w:val="0"/>
              <w:jc w:val="center"/>
              <w:rPr>
                <w:bCs/>
              </w:rPr>
            </w:pPr>
            <w:r w:rsidRPr="00FC1444">
              <w:rPr>
                <w:rFonts w:hint="eastAsia"/>
                <w:bCs/>
              </w:rPr>
              <w:t>G260831020101</w:t>
            </w:r>
          </w:p>
        </w:tc>
        <w:tc>
          <w:tcPr>
            <w:tcW w:w="1397" w:type="dxa"/>
            <w:vAlign w:val="center"/>
          </w:tcPr>
          <w:p w:rsidR="00E8238B" w:rsidRPr="00FC1444" w:rsidRDefault="00E8238B" w:rsidP="005E5014">
            <w:pPr>
              <w:adjustRightInd w:val="0"/>
              <w:snapToGrid w:val="0"/>
              <w:jc w:val="center"/>
              <w:rPr>
                <w:bCs/>
              </w:rPr>
            </w:pPr>
            <w:r w:rsidRPr="00FC1444">
              <w:rPr>
                <w:rFonts w:hint="eastAsia"/>
                <w:bCs/>
              </w:rPr>
              <w:t>G260831020201</w:t>
            </w:r>
          </w:p>
        </w:tc>
        <w:tc>
          <w:tcPr>
            <w:tcW w:w="1397" w:type="dxa"/>
            <w:vAlign w:val="center"/>
          </w:tcPr>
          <w:p w:rsidR="00E8238B" w:rsidRPr="00FC1444" w:rsidRDefault="00E8238B" w:rsidP="005E5014">
            <w:pPr>
              <w:adjustRightInd w:val="0"/>
              <w:snapToGrid w:val="0"/>
              <w:jc w:val="center"/>
              <w:rPr>
                <w:bCs/>
              </w:rPr>
            </w:pPr>
            <w:r w:rsidRPr="00FC1444">
              <w:rPr>
                <w:rFonts w:hint="eastAsia"/>
                <w:bCs/>
              </w:rPr>
              <w:t>G260831020301</w:t>
            </w:r>
          </w:p>
        </w:tc>
        <w:tc>
          <w:tcPr>
            <w:tcW w:w="1388" w:type="dxa"/>
            <w:vAlign w:val="center"/>
          </w:tcPr>
          <w:p w:rsidR="00E8238B" w:rsidRPr="00FC1444" w:rsidRDefault="00E8238B" w:rsidP="005E5014">
            <w:pPr>
              <w:adjustRightInd w:val="0"/>
              <w:snapToGrid w:val="0"/>
              <w:jc w:val="center"/>
              <w:rPr>
                <w:bCs/>
              </w:rPr>
            </w:pPr>
            <w:r w:rsidRPr="00FC1444">
              <w:rPr>
                <w:rFonts w:hint="eastAsia"/>
                <w:bCs/>
              </w:rPr>
              <w:t>G260831020401</w:t>
            </w:r>
          </w:p>
        </w:tc>
      </w:tr>
      <w:tr w:rsidR="00363CBD" w:rsidRPr="00FC1444" w:rsidTr="006E216F">
        <w:trPr>
          <w:trHeight w:val="397"/>
          <w:jc w:val="center"/>
        </w:trPr>
        <w:tc>
          <w:tcPr>
            <w:tcW w:w="1553" w:type="dxa"/>
            <w:vAlign w:val="center"/>
          </w:tcPr>
          <w:p w:rsidR="00363CBD" w:rsidRPr="00FC1444" w:rsidRDefault="00363CBD">
            <w:pPr>
              <w:adjustRightInd w:val="0"/>
              <w:snapToGrid w:val="0"/>
              <w:jc w:val="center"/>
              <w:rPr>
                <w:rFonts w:eastAsiaTheme="minorEastAsia"/>
                <w:bCs/>
                <w:szCs w:val="21"/>
              </w:rPr>
            </w:pPr>
            <w:r w:rsidRPr="00FC1444">
              <w:rPr>
                <w:rFonts w:eastAsiaTheme="minorEastAsia"/>
                <w:bCs/>
                <w:szCs w:val="21"/>
              </w:rPr>
              <w:t>砷</w:t>
            </w:r>
          </w:p>
        </w:tc>
        <w:tc>
          <w:tcPr>
            <w:tcW w:w="1560" w:type="dxa"/>
            <w:vAlign w:val="center"/>
          </w:tcPr>
          <w:p w:rsidR="00363CBD" w:rsidRPr="00FC1444" w:rsidRDefault="00363CBD">
            <w:pPr>
              <w:snapToGrid w:val="0"/>
              <w:jc w:val="center"/>
              <w:rPr>
                <w:rFonts w:eastAsiaTheme="minorEastAsia"/>
                <w:bCs/>
                <w:szCs w:val="21"/>
              </w:rPr>
            </w:pPr>
            <w:r w:rsidRPr="00FC1444">
              <w:rPr>
                <w:rFonts w:eastAsiaTheme="minorEastAsia"/>
                <w:szCs w:val="21"/>
              </w:rPr>
              <w:t>mg/kg</w:t>
            </w:r>
          </w:p>
        </w:tc>
        <w:tc>
          <w:tcPr>
            <w:tcW w:w="1397" w:type="dxa"/>
            <w:vAlign w:val="center"/>
          </w:tcPr>
          <w:p w:rsidR="00363CBD" w:rsidRPr="00FC1444" w:rsidRDefault="00363CBD" w:rsidP="00C12A06">
            <w:pPr>
              <w:adjustRightInd w:val="0"/>
              <w:snapToGrid w:val="0"/>
              <w:jc w:val="center"/>
              <w:rPr>
                <w:bCs/>
              </w:rPr>
            </w:pPr>
            <w:r w:rsidRPr="00FC1444">
              <w:rPr>
                <w:bCs/>
              </w:rPr>
              <w:t>4.88</w:t>
            </w:r>
          </w:p>
        </w:tc>
        <w:tc>
          <w:tcPr>
            <w:tcW w:w="1397" w:type="dxa"/>
            <w:vAlign w:val="center"/>
          </w:tcPr>
          <w:p w:rsidR="00363CBD" w:rsidRPr="00FC1444" w:rsidRDefault="00363CBD" w:rsidP="00C12A06">
            <w:pPr>
              <w:adjustRightInd w:val="0"/>
              <w:snapToGrid w:val="0"/>
              <w:jc w:val="center"/>
              <w:rPr>
                <w:bCs/>
              </w:rPr>
            </w:pPr>
            <w:r w:rsidRPr="00FC1444">
              <w:rPr>
                <w:bCs/>
              </w:rPr>
              <w:t>3.96</w:t>
            </w:r>
          </w:p>
        </w:tc>
        <w:tc>
          <w:tcPr>
            <w:tcW w:w="1397" w:type="dxa"/>
            <w:vAlign w:val="center"/>
          </w:tcPr>
          <w:p w:rsidR="00363CBD" w:rsidRPr="00FC1444" w:rsidRDefault="00363CBD" w:rsidP="00C12A06">
            <w:pPr>
              <w:adjustRightInd w:val="0"/>
              <w:snapToGrid w:val="0"/>
              <w:jc w:val="center"/>
              <w:rPr>
                <w:bCs/>
              </w:rPr>
            </w:pPr>
            <w:r w:rsidRPr="00FC1444">
              <w:rPr>
                <w:bCs/>
              </w:rPr>
              <w:t>4.16</w:t>
            </w:r>
          </w:p>
        </w:tc>
        <w:tc>
          <w:tcPr>
            <w:tcW w:w="1388" w:type="dxa"/>
            <w:vAlign w:val="center"/>
          </w:tcPr>
          <w:p w:rsidR="00363CBD" w:rsidRPr="00FC1444" w:rsidRDefault="00363CBD" w:rsidP="00C12A06">
            <w:pPr>
              <w:adjustRightInd w:val="0"/>
              <w:snapToGrid w:val="0"/>
              <w:jc w:val="center"/>
              <w:rPr>
                <w:bCs/>
              </w:rPr>
            </w:pPr>
            <w:r w:rsidRPr="00FC1444">
              <w:rPr>
                <w:bCs/>
              </w:rPr>
              <w:t>4.22</w:t>
            </w:r>
          </w:p>
        </w:tc>
      </w:tr>
      <w:tr w:rsidR="00363CBD" w:rsidRPr="00FC1444" w:rsidTr="006E216F">
        <w:trPr>
          <w:trHeight w:val="397"/>
          <w:jc w:val="center"/>
        </w:trPr>
        <w:tc>
          <w:tcPr>
            <w:tcW w:w="1553" w:type="dxa"/>
            <w:vAlign w:val="center"/>
          </w:tcPr>
          <w:p w:rsidR="00363CBD" w:rsidRPr="00FC1444" w:rsidRDefault="00363CBD">
            <w:pPr>
              <w:adjustRightInd w:val="0"/>
              <w:snapToGrid w:val="0"/>
              <w:jc w:val="center"/>
              <w:rPr>
                <w:rFonts w:eastAsiaTheme="minorEastAsia"/>
                <w:bCs/>
                <w:szCs w:val="21"/>
              </w:rPr>
            </w:pPr>
            <w:r w:rsidRPr="00FC1444">
              <w:rPr>
                <w:rFonts w:eastAsiaTheme="minorEastAsia"/>
                <w:bCs/>
                <w:szCs w:val="21"/>
              </w:rPr>
              <w:t>镉</w:t>
            </w:r>
          </w:p>
        </w:tc>
        <w:tc>
          <w:tcPr>
            <w:tcW w:w="1560" w:type="dxa"/>
            <w:vAlign w:val="center"/>
          </w:tcPr>
          <w:p w:rsidR="00363CBD" w:rsidRPr="00FC1444" w:rsidRDefault="00363CBD">
            <w:pPr>
              <w:snapToGrid w:val="0"/>
              <w:jc w:val="center"/>
              <w:rPr>
                <w:rFonts w:eastAsiaTheme="minorEastAsia"/>
                <w:bCs/>
                <w:szCs w:val="21"/>
              </w:rPr>
            </w:pPr>
            <w:r w:rsidRPr="00FC1444">
              <w:rPr>
                <w:rFonts w:eastAsiaTheme="minorEastAsia"/>
                <w:szCs w:val="21"/>
              </w:rPr>
              <w:t>mg/kg</w:t>
            </w:r>
          </w:p>
        </w:tc>
        <w:tc>
          <w:tcPr>
            <w:tcW w:w="1397" w:type="dxa"/>
            <w:vAlign w:val="center"/>
          </w:tcPr>
          <w:p w:rsidR="00363CBD" w:rsidRPr="00FC1444" w:rsidRDefault="00363CBD" w:rsidP="00C12A06">
            <w:pPr>
              <w:adjustRightInd w:val="0"/>
              <w:snapToGrid w:val="0"/>
              <w:jc w:val="center"/>
              <w:rPr>
                <w:bCs/>
                <w:color w:val="FF0000"/>
              </w:rPr>
            </w:pPr>
            <w:r w:rsidRPr="00FC1444">
              <w:t>0.25</w:t>
            </w:r>
          </w:p>
        </w:tc>
        <w:tc>
          <w:tcPr>
            <w:tcW w:w="1397" w:type="dxa"/>
            <w:vAlign w:val="center"/>
          </w:tcPr>
          <w:p w:rsidR="00363CBD" w:rsidRPr="00FC1444" w:rsidRDefault="00363CBD" w:rsidP="00C12A06">
            <w:pPr>
              <w:adjustRightInd w:val="0"/>
              <w:snapToGrid w:val="0"/>
              <w:jc w:val="center"/>
              <w:rPr>
                <w:bCs/>
              </w:rPr>
            </w:pPr>
            <w:r w:rsidRPr="00FC1444">
              <w:t>0.21</w:t>
            </w:r>
          </w:p>
        </w:tc>
        <w:tc>
          <w:tcPr>
            <w:tcW w:w="1397" w:type="dxa"/>
            <w:vAlign w:val="center"/>
          </w:tcPr>
          <w:p w:rsidR="00363CBD" w:rsidRPr="00FC1444" w:rsidRDefault="00363CBD" w:rsidP="00C12A06">
            <w:pPr>
              <w:adjustRightInd w:val="0"/>
              <w:snapToGrid w:val="0"/>
              <w:jc w:val="center"/>
              <w:rPr>
                <w:bCs/>
                <w:color w:val="FF0000"/>
              </w:rPr>
            </w:pPr>
            <w:r w:rsidRPr="00FC1444">
              <w:t>0.19</w:t>
            </w:r>
          </w:p>
        </w:tc>
        <w:tc>
          <w:tcPr>
            <w:tcW w:w="1388" w:type="dxa"/>
            <w:vAlign w:val="center"/>
          </w:tcPr>
          <w:p w:rsidR="00363CBD" w:rsidRPr="00FC1444" w:rsidRDefault="00363CBD" w:rsidP="00C12A06">
            <w:pPr>
              <w:adjustRightInd w:val="0"/>
              <w:snapToGrid w:val="0"/>
              <w:jc w:val="center"/>
              <w:rPr>
                <w:bCs/>
              </w:rPr>
            </w:pPr>
            <w:r w:rsidRPr="00FC1444">
              <w:t>0.16</w:t>
            </w:r>
          </w:p>
        </w:tc>
      </w:tr>
      <w:tr w:rsidR="00363CBD" w:rsidRPr="00FC1444" w:rsidTr="006E216F">
        <w:trPr>
          <w:trHeight w:val="397"/>
          <w:jc w:val="center"/>
        </w:trPr>
        <w:tc>
          <w:tcPr>
            <w:tcW w:w="1553" w:type="dxa"/>
            <w:vAlign w:val="center"/>
          </w:tcPr>
          <w:p w:rsidR="00363CBD" w:rsidRPr="00FC1444" w:rsidRDefault="00363CBD">
            <w:pPr>
              <w:adjustRightInd w:val="0"/>
              <w:snapToGrid w:val="0"/>
              <w:jc w:val="center"/>
              <w:rPr>
                <w:rFonts w:eastAsiaTheme="minorEastAsia"/>
                <w:bCs/>
                <w:szCs w:val="21"/>
              </w:rPr>
            </w:pPr>
            <w:r w:rsidRPr="00FC1444">
              <w:rPr>
                <w:rFonts w:eastAsiaTheme="minorEastAsia"/>
                <w:bCs/>
                <w:szCs w:val="21"/>
              </w:rPr>
              <w:t>铜</w:t>
            </w:r>
          </w:p>
        </w:tc>
        <w:tc>
          <w:tcPr>
            <w:tcW w:w="1560" w:type="dxa"/>
            <w:vAlign w:val="center"/>
          </w:tcPr>
          <w:p w:rsidR="00363CBD" w:rsidRPr="00FC1444" w:rsidRDefault="00363CBD">
            <w:pPr>
              <w:snapToGrid w:val="0"/>
              <w:jc w:val="center"/>
              <w:rPr>
                <w:rFonts w:eastAsiaTheme="minorEastAsia"/>
                <w:bCs/>
                <w:szCs w:val="21"/>
              </w:rPr>
            </w:pPr>
            <w:r w:rsidRPr="00FC1444">
              <w:rPr>
                <w:rFonts w:eastAsiaTheme="minorEastAsia"/>
                <w:szCs w:val="21"/>
              </w:rPr>
              <w:t>mg/kg</w:t>
            </w:r>
          </w:p>
        </w:tc>
        <w:tc>
          <w:tcPr>
            <w:tcW w:w="1397" w:type="dxa"/>
            <w:vAlign w:val="center"/>
          </w:tcPr>
          <w:p w:rsidR="00363CBD" w:rsidRPr="00FC1444" w:rsidRDefault="00363CBD" w:rsidP="00C12A06">
            <w:pPr>
              <w:adjustRightInd w:val="0"/>
              <w:snapToGrid w:val="0"/>
              <w:jc w:val="center"/>
              <w:rPr>
                <w:bCs/>
              </w:rPr>
            </w:pPr>
            <w:r w:rsidRPr="00FC1444">
              <w:rPr>
                <w:bCs/>
              </w:rPr>
              <w:t>36</w:t>
            </w:r>
          </w:p>
        </w:tc>
        <w:tc>
          <w:tcPr>
            <w:tcW w:w="1397" w:type="dxa"/>
            <w:vAlign w:val="center"/>
          </w:tcPr>
          <w:p w:rsidR="00363CBD" w:rsidRPr="00FC1444" w:rsidRDefault="00363CBD" w:rsidP="00C12A06">
            <w:pPr>
              <w:adjustRightInd w:val="0"/>
              <w:snapToGrid w:val="0"/>
              <w:jc w:val="center"/>
              <w:rPr>
                <w:bCs/>
              </w:rPr>
            </w:pPr>
            <w:r w:rsidRPr="00FC1444">
              <w:rPr>
                <w:bCs/>
              </w:rPr>
              <w:t>29</w:t>
            </w:r>
          </w:p>
        </w:tc>
        <w:tc>
          <w:tcPr>
            <w:tcW w:w="1397" w:type="dxa"/>
            <w:vAlign w:val="center"/>
          </w:tcPr>
          <w:p w:rsidR="00363CBD" w:rsidRPr="00FC1444" w:rsidRDefault="00363CBD" w:rsidP="00C12A06">
            <w:pPr>
              <w:adjustRightInd w:val="0"/>
              <w:snapToGrid w:val="0"/>
              <w:jc w:val="center"/>
              <w:rPr>
                <w:bCs/>
              </w:rPr>
            </w:pPr>
            <w:r w:rsidRPr="00FC1444">
              <w:rPr>
                <w:bCs/>
              </w:rPr>
              <w:t>42</w:t>
            </w:r>
          </w:p>
        </w:tc>
        <w:tc>
          <w:tcPr>
            <w:tcW w:w="1388" w:type="dxa"/>
            <w:vAlign w:val="center"/>
          </w:tcPr>
          <w:p w:rsidR="00363CBD" w:rsidRPr="00FC1444" w:rsidRDefault="00363CBD" w:rsidP="00C12A06">
            <w:pPr>
              <w:adjustRightInd w:val="0"/>
              <w:snapToGrid w:val="0"/>
              <w:jc w:val="center"/>
              <w:rPr>
                <w:bCs/>
              </w:rPr>
            </w:pPr>
            <w:r w:rsidRPr="00FC1444">
              <w:rPr>
                <w:bCs/>
              </w:rPr>
              <w:t>18</w:t>
            </w:r>
          </w:p>
        </w:tc>
      </w:tr>
      <w:tr w:rsidR="00363CBD" w:rsidRPr="00FC1444" w:rsidTr="006E216F">
        <w:trPr>
          <w:trHeight w:val="397"/>
          <w:jc w:val="center"/>
        </w:trPr>
        <w:tc>
          <w:tcPr>
            <w:tcW w:w="1553" w:type="dxa"/>
            <w:vAlign w:val="center"/>
          </w:tcPr>
          <w:p w:rsidR="00363CBD" w:rsidRPr="00FC1444" w:rsidRDefault="00363CBD">
            <w:pPr>
              <w:adjustRightInd w:val="0"/>
              <w:snapToGrid w:val="0"/>
              <w:jc w:val="center"/>
              <w:rPr>
                <w:rFonts w:eastAsiaTheme="minorEastAsia"/>
                <w:bCs/>
                <w:szCs w:val="21"/>
              </w:rPr>
            </w:pPr>
            <w:r w:rsidRPr="00FC1444">
              <w:rPr>
                <w:rFonts w:eastAsiaTheme="minorEastAsia"/>
                <w:bCs/>
                <w:szCs w:val="21"/>
              </w:rPr>
              <w:t>铅</w:t>
            </w:r>
          </w:p>
        </w:tc>
        <w:tc>
          <w:tcPr>
            <w:tcW w:w="1560" w:type="dxa"/>
            <w:vAlign w:val="center"/>
          </w:tcPr>
          <w:p w:rsidR="00363CBD" w:rsidRPr="00FC1444" w:rsidRDefault="00363CBD">
            <w:pPr>
              <w:snapToGrid w:val="0"/>
              <w:jc w:val="center"/>
              <w:rPr>
                <w:rFonts w:eastAsiaTheme="minorEastAsia"/>
                <w:bCs/>
                <w:szCs w:val="21"/>
              </w:rPr>
            </w:pPr>
            <w:r w:rsidRPr="00FC1444">
              <w:rPr>
                <w:rFonts w:eastAsiaTheme="minorEastAsia"/>
                <w:szCs w:val="21"/>
              </w:rPr>
              <w:t>mg/kg</w:t>
            </w:r>
          </w:p>
        </w:tc>
        <w:tc>
          <w:tcPr>
            <w:tcW w:w="1397" w:type="dxa"/>
            <w:vAlign w:val="center"/>
          </w:tcPr>
          <w:p w:rsidR="00363CBD" w:rsidRPr="00FC1444" w:rsidRDefault="00363CBD" w:rsidP="00C12A06">
            <w:pPr>
              <w:adjustRightInd w:val="0"/>
              <w:snapToGrid w:val="0"/>
              <w:jc w:val="center"/>
              <w:rPr>
                <w:bCs/>
              </w:rPr>
            </w:pPr>
            <w:r w:rsidRPr="00FC1444">
              <w:rPr>
                <w:bCs/>
              </w:rPr>
              <w:t>31</w:t>
            </w:r>
          </w:p>
        </w:tc>
        <w:tc>
          <w:tcPr>
            <w:tcW w:w="1397" w:type="dxa"/>
            <w:vAlign w:val="center"/>
          </w:tcPr>
          <w:p w:rsidR="00363CBD" w:rsidRPr="00FC1444" w:rsidRDefault="00363CBD" w:rsidP="00C12A06">
            <w:pPr>
              <w:adjustRightInd w:val="0"/>
              <w:snapToGrid w:val="0"/>
              <w:jc w:val="center"/>
              <w:rPr>
                <w:bCs/>
              </w:rPr>
            </w:pPr>
            <w:r w:rsidRPr="00FC1444">
              <w:rPr>
                <w:bCs/>
              </w:rPr>
              <w:t>16</w:t>
            </w:r>
          </w:p>
        </w:tc>
        <w:tc>
          <w:tcPr>
            <w:tcW w:w="1397" w:type="dxa"/>
            <w:vAlign w:val="center"/>
          </w:tcPr>
          <w:p w:rsidR="00363CBD" w:rsidRPr="00FC1444" w:rsidRDefault="00363CBD" w:rsidP="00C12A06">
            <w:pPr>
              <w:adjustRightInd w:val="0"/>
              <w:snapToGrid w:val="0"/>
              <w:jc w:val="center"/>
              <w:rPr>
                <w:bCs/>
              </w:rPr>
            </w:pPr>
            <w:r w:rsidRPr="00FC1444">
              <w:rPr>
                <w:bCs/>
              </w:rPr>
              <w:t>24</w:t>
            </w:r>
          </w:p>
        </w:tc>
        <w:tc>
          <w:tcPr>
            <w:tcW w:w="1388" w:type="dxa"/>
            <w:vAlign w:val="center"/>
          </w:tcPr>
          <w:p w:rsidR="00363CBD" w:rsidRPr="00FC1444" w:rsidRDefault="00363CBD" w:rsidP="00C12A06">
            <w:pPr>
              <w:adjustRightInd w:val="0"/>
              <w:snapToGrid w:val="0"/>
              <w:jc w:val="center"/>
              <w:rPr>
                <w:bCs/>
              </w:rPr>
            </w:pPr>
            <w:r w:rsidRPr="00FC1444">
              <w:rPr>
                <w:bCs/>
              </w:rPr>
              <w:t>40</w:t>
            </w:r>
          </w:p>
        </w:tc>
      </w:tr>
      <w:tr w:rsidR="00363CBD" w:rsidRPr="00FC1444" w:rsidTr="006E216F">
        <w:trPr>
          <w:trHeight w:val="397"/>
          <w:jc w:val="center"/>
        </w:trPr>
        <w:tc>
          <w:tcPr>
            <w:tcW w:w="1553" w:type="dxa"/>
            <w:vAlign w:val="center"/>
          </w:tcPr>
          <w:p w:rsidR="00363CBD" w:rsidRPr="00FC1444" w:rsidRDefault="00363CBD">
            <w:pPr>
              <w:adjustRightInd w:val="0"/>
              <w:snapToGrid w:val="0"/>
              <w:jc w:val="center"/>
              <w:rPr>
                <w:rFonts w:eastAsiaTheme="minorEastAsia"/>
                <w:bCs/>
                <w:szCs w:val="21"/>
              </w:rPr>
            </w:pPr>
            <w:r w:rsidRPr="00FC1444">
              <w:rPr>
                <w:rFonts w:eastAsiaTheme="minorEastAsia"/>
                <w:bCs/>
                <w:szCs w:val="21"/>
              </w:rPr>
              <w:t>汞</w:t>
            </w:r>
          </w:p>
        </w:tc>
        <w:tc>
          <w:tcPr>
            <w:tcW w:w="1560" w:type="dxa"/>
            <w:vAlign w:val="center"/>
          </w:tcPr>
          <w:p w:rsidR="00363CBD" w:rsidRPr="00FC1444" w:rsidRDefault="00363CBD">
            <w:pPr>
              <w:snapToGrid w:val="0"/>
              <w:jc w:val="center"/>
              <w:rPr>
                <w:rFonts w:eastAsiaTheme="minorEastAsia"/>
                <w:bCs/>
                <w:szCs w:val="21"/>
              </w:rPr>
            </w:pPr>
            <w:r w:rsidRPr="00FC1444">
              <w:rPr>
                <w:rFonts w:eastAsiaTheme="minorEastAsia"/>
                <w:szCs w:val="21"/>
              </w:rPr>
              <w:t>mg/kg</w:t>
            </w:r>
          </w:p>
        </w:tc>
        <w:tc>
          <w:tcPr>
            <w:tcW w:w="1397" w:type="dxa"/>
            <w:vAlign w:val="center"/>
          </w:tcPr>
          <w:p w:rsidR="00363CBD" w:rsidRPr="00FC1444" w:rsidRDefault="00363CBD" w:rsidP="00C12A06">
            <w:pPr>
              <w:adjustRightInd w:val="0"/>
              <w:snapToGrid w:val="0"/>
              <w:jc w:val="center"/>
              <w:rPr>
                <w:bCs/>
              </w:rPr>
            </w:pPr>
            <w:r w:rsidRPr="00FC1444">
              <w:rPr>
                <w:bCs/>
              </w:rPr>
              <w:t>0.0426</w:t>
            </w:r>
          </w:p>
        </w:tc>
        <w:tc>
          <w:tcPr>
            <w:tcW w:w="1397" w:type="dxa"/>
            <w:vAlign w:val="center"/>
          </w:tcPr>
          <w:p w:rsidR="00363CBD" w:rsidRPr="00FC1444" w:rsidRDefault="00363CBD" w:rsidP="00C12A06">
            <w:pPr>
              <w:adjustRightInd w:val="0"/>
              <w:snapToGrid w:val="0"/>
              <w:jc w:val="center"/>
              <w:rPr>
                <w:bCs/>
              </w:rPr>
            </w:pPr>
            <w:r w:rsidRPr="00FC1444">
              <w:rPr>
                <w:bCs/>
              </w:rPr>
              <w:t>0.0385</w:t>
            </w:r>
          </w:p>
        </w:tc>
        <w:tc>
          <w:tcPr>
            <w:tcW w:w="1397" w:type="dxa"/>
            <w:vAlign w:val="center"/>
          </w:tcPr>
          <w:p w:rsidR="00363CBD" w:rsidRPr="00FC1444" w:rsidRDefault="00363CBD" w:rsidP="00C12A06">
            <w:pPr>
              <w:adjustRightInd w:val="0"/>
              <w:snapToGrid w:val="0"/>
              <w:jc w:val="center"/>
              <w:rPr>
                <w:bCs/>
              </w:rPr>
            </w:pPr>
            <w:r w:rsidRPr="00FC1444">
              <w:rPr>
                <w:bCs/>
              </w:rPr>
              <w:t>0.0402</w:t>
            </w:r>
          </w:p>
        </w:tc>
        <w:tc>
          <w:tcPr>
            <w:tcW w:w="1388" w:type="dxa"/>
            <w:vAlign w:val="center"/>
          </w:tcPr>
          <w:p w:rsidR="00363CBD" w:rsidRPr="00FC1444" w:rsidRDefault="00363CBD" w:rsidP="00C12A06">
            <w:pPr>
              <w:adjustRightInd w:val="0"/>
              <w:snapToGrid w:val="0"/>
              <w:jc w:val="center"/>
              <w:rPr>
                <w:bCs/>
              </w:rPr>
            </w:pPr>
            <w:r w:rsidRPr="00FC1444">
              <w:rPr>
                <w:bCs/>
              </w:rPr>
              <w:t>0.0352</w:t>
            </w:r>
          </w:p>
        </w:tc>
      </w:tr>
      <w:tr w:rsidR="00363CBD" w:rsidRPr="00FC1444" w:rsidTr="006E216F">
        <w:trPr>
          <w:trHeight w:val="397"/>
          <w:jc w:val="center"/>
        </w:trPr>
        <w:tc>
          <w:tcPr>
            <w:tcW w:w="1553" w:type="dxa"/>
            <w:vAlign w:val="center"/>
          </w:tcPr>
          <w:p w:rsidR="00363CBD" w:rsidRPr="00FC1444" w:rsidRDefault="00363CBD">
            <w:pPr>
              <w:adjustRightInd w:val="0"/>
              <w:snapToGrid w:val="0"/>
              <w:jc w:val="center"/>
              <w:rPr>
                <w:rFonts w:eastAsiaTheme="minorEastAsia"/>
                <w:bCs/>
                <w:szCs w:val="21"/>
              </w:rPr>
            </w:pPr>
            <w:r w:rsidRPr="00FC1444">
              <w:rPr>
                <w:rFonts w:eastAsiaTheme="minorEastAsia"/>
                <w:bCs/>
                <w:szCs w:val="21"/>
              </w:rPr>
              <w:t>镍</w:t>
            </w:r>
          </w:p>
        </w:tc>
        <w:tc>
          <w:tcPr>
            <w:tcW w:w="1560" w:type="dxa"/>
            <w:vAlign w:val="center"/>
          </w:tcPr>
          <w:p w:rsidR="00363CBD" w:rsidRPr="00FC1444" w:rsidRDefault="00363CBD">
            <w:pPr>
              <w:snapToGrid w:val="0"/>
              <w:jc w:val="center"/>
              <w:rPr>
                <w:rFonts w:eastAsiaTheme="minorEastAsia"/>
                <w:bCs/>
                <w:szCs w:val="21"/>
              </w:rPr>
            </w:pPr>
            <w:r w:rsidRPr="00FC1444">
              <w:rPr>
                <w:rFonts w:eastAsiaTheme="minorEastAsia"/>
                <w:szCs w:val="21"/>
              </w:rPr>
              <w:t>mg/kg</w:t>
            </w:r>
          </w:p>
        </w:tc>
        <w:tc>
          <w:tcPr>
            <w:tcW w:w="1397" w:type="dxa"/>
            <w:vAlign w:val="center"/>
          </w:tcPr>
          <w:p w:rsidR="00363CBD" w:rsidRPr="00FC1444" w:rsidRDefault="00363CBD" w:rsidP="00C12A06">
            <w:pPr>
              <w:adjustRightInd w:val="0"/>
              <w:snapToGrid w:val="0"/>
              <w:jc w:val="center"/>
              <w:rPr>
                <w:bCs/>
              </w:rPr>
            </w:pPr>
            <w:r w:rsidRPr="00FC1444">
              <w:rPr>
                <w:bCs/>
              </w:rPr>
              <w:t>16</w:t>
            </w:r>
          </w:p>
        </w:tc>
        <w:tc>
          <w:tcPr>
            <w:tcW w:w="1397" w:type="dxa"/>
            <w:vAlign w:val="center"/>
          </w:tcPr>
          <w:p w:rsidR="00363CBD" w:rsidRPr="00FC1444" w:rsidRDefault="00363CBD" w:rsidP="00C12A06">
            <w:pPr>
              <w:adjustRightInd w:val="0"/>
              <w:snapToGrid w:val="0"/>
              <w:jc w:val="center"/>
              <w:rPr>
                <w:bCs/>
              </w:rPr>
            </w:pPr>
            <w:r w:rsidRPr="00FC1444">
              <w:rPr>
                <w:bCs/>
              </w:rPr>
              <w:t>11</w:t>
            </w:r>
          </w:p>
        </w:tc>
        <w:tc>
          <w:tcPr>
            <w:tcW w:w="1397" w:type="dxa"/>
            <w:vAlign w:val="center"/>
          </w:tcPr>
          <w:p w:rsidR="00363CBD" w:rsidRPr="00FC1444" w:rsidRDefault="00363CBD" w:rsidP="00C12A06">
            <w:pPr>
              <w:adjustRightInd w:val="0"/>
              <w:snapToGrid w:val="0"/>
              <w:jc w:val="center"/>
              <w:rPr>
                <w:bCs/>
              </w:rPr>
            </w:pPr>
            <w:r w:rsidRPr="00FC1444">
              <w:rPr>
                <w:bCs/>
              </w:rPr>
              <w:t>20</w:t>
            </w:r>
          </w:p>
        </w:tc>
        <w:tc>
          <w:tcPr>
            <w:tcW w:w="1388" w:type="dxa"/>
            <w:vAlign w:val="center"/>
          </w:tcPr>
          <w:p w:rsidR="00363CBD" w:rsidRPr="00FC1444" w:rsidRDefault="00363CBD" w:rsidP="00C12A06">
            <w:pPr>
              <w:adjustRightInd w:val="0"/>
              <w:snapToGrid w:val="0"/>
              <w:jc w:val="center"/>
              <w:rPr>
                <w:bCs/>
              </w:rPr>
            </w:pPr>
            <w:r w:rsidRPr="00FC1444">
              <w:rPr>
                <w:bCs/>
              </w:rPr>
              <w:t>13</w:t>
            </w:r>
          </w:p>
        </w:tc>
      </w:tr>
      <w:tr w:rsidR="00363CBD" w:rsidRPr="00FC1444" w:rsidTr="006E216F">
        <w:trPr>
          <w:trHeight w:val="397"/>
          <w:jc w:val="center"/>
        </w:trPr>
        <w:tc>
          <w:tcPr>
            <w:tcW w:w="1553" w:type="dxa"/>
            <w:vAlign w:val="center"/>
          </w:tcPr>
          <w:p w:rsidR="00363CBD" w:rsidRPr="00FC1444" w:rsidRDefault="00363CBD">
            <w:pPr>
              <w:adjustRightInd w:val="0"/>
              <w:snapToGrid w:val="0"/>
              <w:jc w:val="center"/>
              <w:rPr>
                <w:rFonts w:eastAsiaTheme="minorEastAsia"/>
                <w:bCs/>
                <w:szCs w:val="21"/>
              </w:rPr>
            </w:pPr>
            <w:r w:rsidRPr="00FC1444">
              <w:rPr>
                <w:rFonts w:eastAsiaTheme="minorEastAsia"/>
                <w:bCs/>
                <w:szCs w:val="21"/>
              </w:rPr>
              <w:t>锌</w:t>
            </w:r>
          </w:p>
        </w:tc>
        <w:tc>
          <w:tcPr>
            <w:tcW w:w="1560" w:type="dxa"/>
            <w:vAlign w:val="center"/>
          </w:tcPr>
          <w:p w:rsidR="00363CBD" w:rsidRPr="00FC1444" w:rsidRDefault="00363CBD">
            <w:pPr>
              <w:snapToGrid w:val="0"/>
              <w:jc w:val="center"/>
              <w:rPr>
                <w:rFonts w:eastAsiaTheme="minorEastAsia"/>
                <w:bCs/>
                <w:szCs w:val="21"/>
              </w:rPr>
            </w:pPr>
            <w:r w:rsidRPr="00FC1444">
              <w:rPr>
                <w:rFonts w:eastAsiaTheme="minorEastAsia"/>
                <w:szCs w:val="21"/>
              </w:rPr>
              <w:t>mg/kg</w:t>
            </w:r>
          </w:p>
        </w:tc>
        <w:tc>
          <w:tcPr>
            <w:tcW w:w="1397" w:type="dxa"/>
            <w:vAlign w:val="center"/>
          </w:tcPr>
          <w:p w:rsidR="00363CBD" w:rsidRPr="00FC1444" w:rsidRDefault="00363CBD" w:rsidP="00C12A06">
            <w:pPr>
              <w:adjustRightInd w:val="0"/>
              <w:snapToGrid w:val="0"/>
              <w:jc w:val="center"/>
              <w:rPr>
                <w:bCs/>
              </w:rPr>
            </w:pPr>
            <w:r w:rsidRPr="00FC1444">
              <w:rPr>
                <w:bCs/>
              </w:rPr>
              <w:t>106</w:t>
            </w:r>
          </w:p>
        </w:tc>
        <w:tc>
          <w:tcPr>
            <w:tcW w:w="1397" w:type="dxa"/>
            <w:vAlign w:val="center"/>
          </w:tcPr>
          <w:p w:rsidR="00363CBD" w:rsidRPr="00FC1444" w:rsidRDefault="00363CBD" w:rsidP="00C12A06">
            <w:pPr>
              <w:adjustRightInd w:val="0"/>
              <w:snapToGrid w:val="0"/>
              <w:jc w:val="center"/>
              <w:rPr>
                <w:bCs/>
              </w:rPr>
            </w:pPr>
            <w:r w:rsidRPr="00FC1444">
              <w:rPr>
                <w:bCs/>
              </w:rPr>
              <w:t>128</w:t>
            </w:r>
          </w:p>
        </w:tc>
        <w:tc>
          <w:tcPr>
            <w:tcW w:w="1397" w:type="dxa"/>
            <w:vAlign w:val="center"/>
          </w:tcPr>
          <w:p w:rsidR="00363CBD" w:rsidRPr="00FC1444" w:rsidRDefault="00363CBD" w:rsidP="00C12A06">
            <w:pPr>
              <w:adjustRightInd w:val="0"/>
              <w:snapToGrid w:val="0"/>
              <w:jc w:val="center"/>
              <w:rPr>
                <w:bCs/>
              </w:rPr>
            </w:pPr>
            <w:r w:rsidRPr="00FC1444">
              <w:rPr>
                <w:bCs/>
              </w:rPr>
              <w:t>144</w:t>
            </w:r>
          </w:p>
        </w:tc>
        <w:tc>
          <w:tcPr>
            <w:tcW w:w="1388" w:type="dxa"/>
            <w:vAlign w:val="center"/>
          </w:tcPr>
          <w:p w:rsidR="00363CBD" w:rsidRPr="00FC1444" w:rsidRDefault="00363CBD" w:rsidP="00C12A06">
            <w:pPr>
              <w:adjustRightInd w:val="0"/>
              <w:snapToGrid w:val="0"/>
              <w:jc w:val="center"/>
              <w:rPr>
                <w:bCs/>
              </w:rPr>
            </w:pPr>
            <w:r w:rsidRPr="00FC1444">
              <w:rPr>
                <w:bCs/>
              </w:rPr>
              <w:t>168</w:t>
            </w:r>
          </w:p>
        </w:tc>
      </w:tr>
      <w:tr w:rsidR="00363CBD" w:rsidRPr="00FC1444" w:rsidTr="006E216F">
        <w:trPr>
          <w:trHeight w:val="397"/>
          <w:jc w:val="center"/>
        </w:trPr>
        <w:tc>
          <w:tcPr>
            <w:tcW w:w="1553" w:type="dxa"/>
            <w:vAlign w:val="center"/>
          </w:tcPr>
          <w:p w:rsidR="00363CBD" w:rsidRPr="00FC1444" w:rsidRDefault="00363CBD">
            <w:pPr>
              <w:adjustRightInd w:val="0"/>
              <w:snapToGrid w:val="0"/>
              <w:jc w:val="center"/>
              <w:rPr>
                <w:rFonts w:eastAsiaTheme="minorEastAsia"/>
                <w:bCs/>
                <w:szCs w:val="21"/>
              </w:rPr>
            </w:pPr>
            <w:r w:rsidRPr="00FC1444">
              <w:rPr>
                <w:rFonts w:eastAsiaTheme="minorEastAsia"/>
                <w:bCs/>
                <w:szCs w:val="21"/>
              </w:rPr>
              <w:t>六六六</w:t>
            </w:r>
          </w:p>
        </w:tc>
        <w:tc>
          <w:tcPr>
            <w:tcW w:w="1560" w:type="dxa"/>
            <w:vAlign w:val="center"/>
          </w:tcPr>
          <w:p w:rsidR="00363CBD" w:rsidRPr="00FC1444" w:rsidRDefault="00363CBD">
            <w:pPr>
              <w:snapToGrid w:val="0"/>
              <w:jc w:val="center"/>
              <w:rPr>
                <w:rFonts w:eastAsiaTheme="minorEastAsia"/>
                <w:bCs/>
                <w:szCs w:val="21"/>
              </w:rPr>
            </w:pPr>
            <w:r w:rsidRPr="00FC1444">
              <w:rPr>
                <w:rFonts w:eastAsiaTheme="minorEastAsia"/>
                <w:szCs w:val="21"/>
              </w:rPr>
              <w:t>mg/kg</w:t>
            </w:r>
          </w:p>
        </w:tc>
        <w:tc>
          <w:tcPr>
            <w:tcW w:w="1397" w:type="dxa"/>
            <w:vAlign w:val="center"/>
          </w:tcPr>
          <w:p w:rsidR="00363CBD" w:rsidRPr="00FC1444" w:rsidRDefault="00363CBD" w:rsidP="00D302ED">
            <w:pPr>
              <w:adjustRightInd w:val="0"/>
              <w:snapToGrid w:val="0"/>
              <w:jc w:val="center"/>
              <w:rPr>
                <w:bCs/>
              </w:rPr>
            </w:pPr>
            <w:r w:rsidRPr="00FC1444">
              <w:rPr>
                <w:bCs/>
              </w:rPr>
              <w:t>0.06L</w:t>
            </w:r>
          </w:p>
        </w:tc>
        <w:tc>
          <w:tcPr>
            <w:tcW w:w="1397" w:type="dxa"/>
            <w:vAlign w:val="center"/>
          </w:tcPr>
          <w:p w:rsidR="00363CBD" w:rsidRPr="00FC1444" w:rsidRDefault="00363CBD" w:rsidP="00D302ED">
            <w:pPr>
              <w:adjustRightInd w:val="0"/>
              <w:snapToGrid w:val="0"/>
              <w:jc w:val="center"/>
              <w:rPr>
                <w:bCs/>
              </w:rPr>
            </w:pPr>
            <w:r w:rsidRPr="00FC1444">
              <w:rPr>
                <w:bCs/>
              </w:rPr>
              <w:t>0.06L</w:t>
            </w:r>
          </w:p>
        </w:tc>
        <w:tc>
          <w:tcPr>
            <w:tcW w:w="1397" w:type="dxa"/>
            <w:vAlign w:val="center"/>
          </w:tcPr>
          <w:p w:rsidR="00363CBD" w:rsidRPr="00FC1444" w:rsidRDefault="00363CBD" w:rsidP="00D302ED">
            <w:pPr>
              <w:adjustRightInd w:val="0"/>
              <w:snapToGrid w:val="0"/>
              <w:jc w:val="center"/>
              <w:rPr>
                <w:bCs/>
              </w:rPr>
            </w:pPr>
            <w:r w:rsidRPr="00FC1444">
              <w:rPr>
                <w:bCs/>
              </w:rPr>
              <w:t>0.06L</w:t>
            </w:r>
          </w:p>
        </w:tc>
        <w:tc>
          <w:tcPr>
            <w:tcW w:w="1388" w:type="dxa"/>
            <w:vAlign w:val="center"/>
          </w:tcPr>
          <w:p w:rsidR="00363CBD" w:rsidRPr="00FC1444" w:rsidRDefault="00363CBD" w:rsidP="00D302ED">
            <w:pPr>
              <w:adjustRightInd w:val="0"/>
              <w:snapToGrid w:val="0"/>
              <w:jc w:val="center"/>
              <w:rPr>
                <w:bCs/>
              </w:rPr>
            </w:pPr>
            <w:r w:rsidRPr="00FC1444">
              <w:rPr>
                <w:bCs/>
              </w:rPr>
              <w:t>0.06L</w:t>
            </w:r>
          </w:p>
        </w:tc>
      </w:tr>
      <w:tr w:rsidR="00363CBD" w:rsidRPr="00FC1444" w:rsidTr="006E216F">
        <w:trPr>
          <w:trHeight w:val="397"/>
          <w:jc w:val="center"/>
        </w:trPr>
        <w:tc>
          <w:tcPr>
            <w:tcW w:w="1553" w:type="dxa"/>
            <w:vAlign w:val="center"/>
          </w:tcPr>
          <w:p w:rsidR="00363CBD" w:rsidRPr="00FC1444" w:rsidRDefault="00363CBD">
            <w:pPr>
              <w:adjustRightInd w:val="0"/>
              <w:snapToGrid w:val="0"/>
              <w:jc w:val="center"/>
              <w:rPr>
                <w:rFonts w:eastAsiaTheme="minorEastAsia"/>
                <w:bCs/>
                <w:szCs w:val="21"/>
              </w:rPr>
            </w:pPr>
            <w:r w:rsidRPr="00FC1444">
              <w:rPr>
                <w:rFonts w:eastAsiaTheme="minorEastAsia"/>
                <w:bCs/>
                <w:szCs w:val="21"/>
              </w:rPr>
              <w:t>滴滴涕</w:t>
            </w:r>
          </w:p>
        </w:tc>
        <w:tc>
          <w:tcPr>
            <w:tcW w:w="1560" w:type="dxa"/>
            <w:vAlign w:val="center"/>
          </w:tcPr>
          <w:p w:rsidR="00363CBD" w:rsidRPr="00FC1444" w:rsidRDefault="00363CBD">
            <w:pPr>
              <w:snapToGrid w:val="0"/>
              <w:jc w:val="center"/>
              <w:rPr>
                <w:rFonts w:eastAsiaTheme="minorEastAsia"/>
                <w:bCs/>
                <w:szCs w:val="21"/>
              </w:rPr>
            </w:pPr>
            <w:r w:rsidRPr="00FC1444">
              <w:rPr>
                <w:rFonts w:eastAsiaTheme="minorEastAsia"/>
                <w:szCs w:val="21"/>
              </w:rPr>
              <w:t>mg/kg</w:t>
            </w:r>
          </w:p>
        </w:tc>
        <w:tc>
          <w:tcPr>
            <w:tcW w:w="1397" w:type="dxa"/>
            <w:vAlign w:val="center"/>
          </w:tcPr>
          <w:p w:rsidR="00363CBD" w:rsidRPr="00FC1444" w:rsidRDefault="00363CBD" w:rsidP="00D302ED">
            <w:pPr>
              <w:adjustRightInd w:val="0"/>
              <w:snapToGrid w:val="0"/>
              <w:jc w:val="center"/>
              <w:rPr>
                <w:bCs/>
              </w:rPr>
            </w:pPr>
            <w:r w:rsidRPr="00FC1444">
              <w:rPr>
                <w:bCs/>
              </w:rPr>
              <w:t>0.04L</w:t>
            </w:r>
          </w:p>
        </w:tc>
        <w:tc>
          <w:tcPr>
            <w:tcW w:w="1397" w:type="dxa"/>
            <w:vAlign w:val="center"/>
          </w:tcPr>
          <w:p w:rsidR="00363CBD" w:rsidRPr="00FC1444" w:rsidRDefault="00363CBD" w:rsidP="00D302ED">
            <w:pPr>
              <w:adjustRightInd w:val="0"/>
              <w:snapToGrid w:val="0"/>
              <w:jc w:val="center"/>
              <w:rPr>
                <w:bCs/>
              </w:rPr>
            </w:pPr>
            <w:r w:rsidRPr="00FC1444">
              <w:rPr>
                <w:bCs/>
              </w:rPr>
              <w:t>0.04L</w:t>
            </w:r>
          </w:p>
        </w:tc>
        <w:tc>
          <w:tcPr>
            <w:tcW w:w="1397" w:type="dxa"/>
            <w:vAlign w:val="center"/>
          </w:tcPr>
          <w:p w:rsidR="00363CBD" w:rsidRPr="00FC1444" w:rsidRDefault="00363CBD" w:rsidP="00D302ED">
            <w:pPr>
              <w:adjustRightInd w:val="0"/>
              <w:snapToGrid w:val="0"/>
              <w:jc w:val="center"/>
              <w:rPr>
                <w:bCs/>
              </w:rPr>
            </w:pPr>
            <w:r w:rsidRPr="00FC1444">
              <w:rPr>
                <w:bCs/>
              </w:rPr>
              <w:t>0.04L</w:t>
            </w:r>
          </w:p>
        </w:tc>
        <w:tc>
          <w:tcPr>
            <w:tcW w:w="1388" w:type="dxa"/>
            <w:vAlign w:val="center"/>
          </w:tcPr>
          <w:p w:rsidR="00363CBD" w:rsidRPr="00FC1444" w:rsidRDefault="00363CBD" w:rsidP="00D302ED">
            <w:pPr>
              <w:adjustRightInd w:val="0"/>
              <w:snapToGrid w:val="0"/>
              <w:jc w:val="center"/>
              <w:rPr>
                <w:bCs/>
              </w:rPr>
            </w:pPr>
            <w:r w:rsidRPr="00FC1444">
              <w:rPr>
                <w:bCs/>
              </w:rPr>
              <w:t>0.04L</w:t>
            </w:r>
          </w:p>
        </w:tc>
      </w:tr>
      <w:tr w:rsidR="00363CBD" w:rsidRPr="00FC1444" w:rsidTr="006E216F">
        <w:trPr>
          <w:trHeight w:val="397"/>
          <w:jc w:val="center"/>
        </w:trPr>
        <w:tc>
          <w:tcPr>
            <w:tcW w:w="1553" w:type="dxa"/>
            <w:vAlign w:val="center"/>
          </w:tcPr>
          <w:p w:rsidR="00363CBD" w:rsidRPr="00FC1444" w:rsidRDefault="00363CBD">
            <w:pPr>
              <w:jc w:val="center"/>
              <w:rPr>
                <w:rFonts w:eastAsiaTheme="minorEastAsia"/>
                <w:szCs w:val="21"/>
              </w:rPr>
            </w:pPr>
            <w:r w:rsidRPr="00FC1444">
              <w:rPr>
                <w:rFonts w:eastAsiaTheme="minorEastAsia"/>
                <w:szCs w:val="21"/>
              </w:rPr>
              <w:t>苯并</w:t>
            </w:r>
            <w:r w:rsidRPr="00FC1444">
              <w:rPr>
                <w:rFonts w:eastAsiaTheme="minorEastAsia"/>
                <w:szCs w:val="21"/>
              </w:rPr>
              <w:t>[a]</w:t>
            </w:r>
            <w:r w:rsidRPr="00FC1444">
              <w:rPr>
                <w:rFonts w:eastAsiaTheme="minorEastAsia"/>
                <w:szCs w:val="21"/>
              </w:rPr>
              <w:t>芘</w:t>
            </w:r>
          </w:p>
        </w:tc>
        <w:tc>
          <w:tcPr>
            <w:tcW w:w="1560" w:type="dxa"/>
            <w:vAlign w:val="center"/>
          </w:tcPr>
          <w:p w:rsidR="00363CBD" w:rsidRPr="00FC1444" w:rsidRDefault="00363CBD">
            <w:pPr>
              <w:snapToGrid w:val="0"/>
              <w:jc w:val="center"/>
              <w:rPr>
                <w:rFonts w:eastAsiaTheme="minorEastAsia"/>
                <w:bCs/>
                <w:szCs w:val="21"/>
              </w:rPr>
            </w:pPr>
            <w:r w:rsidRPr="00FC1444">
              <w:rPr>
                <w:rFonts w:eastAsiaTheme="minorEastAsia"/>
                <w:szCs w:val="21"/>
              </w:rPr>
              <w:t>mg/kg</w:t>
            </w:r>
          </w:p>
        </w:tc>
        <w:tc>
          <w:tcPr>
            <w:tcW w:w="1397" w:type="dxa"/>
            <w:vAlign w:val="center"/>
          </w:tcPr>
          <w:p w:rsidR="00363CBD" w:rsidRPr="00FC1444" w:rsidRDefault="00363CBD" w:rsidP="00D302ED">
            <w:pPr>
              <w:adjustRightInd w:val="0"/>
              <w:snapToGrid w:val="0"/>
              <w:jc w:val="center"/>
              <w:rPr>
                <w:bCs/>
              </w:rPr>
            </w:pPr>
            <w:r w:rsidRPr="00FC1444">
              <w:rPr>
                <w:bCs/>
              </w:rPr>
              <w:t>0.1L</w:t>
            </w:r>
          </w:p>
        </w:tc>
        <w:tc>
          <w:tcPr>
            <w:tcW w:w="1397" w:type="dxa"/>
            <w:vAlign w:val="center"/>
          </w:tcPr>
          <w:p w:rsidR="00363CBD" w:rsidRPr="00FC1444" w:rsidRDefault="00363CBD" w:rsidP="00D302ED">
            <w:pPr>
              <w:adjustRightInd w:val="0"/>
              <w:snapToGrid w:val="0"/>
              <w:jc w:val="center"/>
              <w:rPr>
                <w:bCs/>
              </w:rPr>
            </w:pPr>
            <w:r w:rsidRPr="00FC1444">
              <w:rPr>
                <w:bCs/>
              </w:rPr>
              <w:t>0.1L</w:t>
            </w:r>
          </w:p>
        </w:tc>
        <w:tc>
          <w:tcPr>
            <w:tcW w:w="1397" w:type="dxa"/>
            <w:vAlign w:val="center"/>
          </w:tcPr>
          <w:p w:rsidR="00363CBD" w:rsidRPr="00FC1444" w:rsidRDefault="00363CBD" w:rsidP="00D302ED">
            <w:pPr>
              <w:adjustRightInd w:val="0"/>
              <w:snapToGrid w:val="0"/>
              <w:jc w:val="center"/>
              <w:rPr>
                <w:bCs/>
              </w:rPr>
            </w:pPr>
            <w:r w:rsidRPr="00FC1444">
              <w:rPr>
                <w:bCs/>
              </w:rPr>
              <w:t>0.1L</w:t>
            </w:r>
          </w:p>
        </w:tc>
        <w:tc>
          <w:tcPr>
            <w:tcW w:w="1388" w:type="dxa"/>
            <w:vAlign w:val="center"/>
          </w:tcPr>
          <w:p w:rsidR="00363CBD" w:rsidRPr="00FC1444" w:rsidRDefault="00363CBD" w:rsidP="00D302ED">
            <w:pPr>
              <w:adjustRightInd w:val="0"/>
              <w:snapToGrid w:val="0"/>
              <w:jc w:val="center"/>
              <w:rPr>
                <w:bCs/>
              </w:rPr>
            </w:pPr>
            <w:r w:rsidRPr="00FC1444">
              <w:rPr>
                <w:bCs/>
              </w:rPr>
              <w:t>0.1L</w:t>
            </w:r>
          </w:p>
        </w:tc>
      </w:tr>
      <w:tr w:rsidR="00E8238B" w:rsidRPr="00FC1444" w:rsidTr="006E216F">
        <w:trPr>
          <w:trHeight w:val="397"/>
          <w:jc w:val="center"/>
        </w:trPr>
        <w:tc>
          <w:tcPr>
            <w:tcW w:w="1553" w:type="dxa"/>
            <w:vAlign w:val="center"/>
          </w:tcPr>
          <w:p w:rsidR="00E8238B" w:rsidRPr="00FC1444" w:rsidRDefault="00E8238B">
            <w:pPr>
              <w:adjustRightInd w:val="0"/>
              <w:snapToGrid w:val="0"/>
              <w:jc w:val="center"/>
              <w:rPr>
                <w:rFonts w:eastAsiaTheme="minorEastAsia"/>
                <w:bCs/>
                <w:szCs w:val="21"/>
              </w:rPr>
            </w:pPr>
            <w:r w:rsidRPr="00FC1444">
              <w:rPr>
                <w:rFonts w:eastAsiaTheme="minorEastAsia"/>
                <w:bCs/>
                <w:szCs w:val="21"/>
              </w:rPr>
              <w:t>总铬</w:t>
            </w:r>
          </w:p>
        </w:tc>
        <w:tc>
          <w:tcPr>
            <w:tcW w:w="1560" w:type="dxa"/>
            <w:vAlign w:val="center"/>
          </w:tcPr>
          <w:p w:rsidR="00E8238B" w:rsidRPr="00FC1444" w:rsidRDefault="00E8238B">
            <w:pPr>
              <w:snapToGrid w:val="0"/>
              <w:jc w:val="center"/>
              <w:rPr>
                <w:rFonts w:eastAsiaTheme="minorEastAsia"/>
                <w:bCs/>
                <w:szCs w:val="21"/>
              </w:rPr>
            </w:pPr>
            <w:r w:rsidRPr="00FC1444">
              <w:rPr>
                <w:rFonts w:eastAsiaTheme="minorEastAsia"/>
                <w:szCs w:val="21"/>
              </w:rPr>
              <w:t>mg/kg</w:t>
            </w:r>
          </w:p>
        </w:tc>
        <w:tc>
          <w:tcPr>
            <w:tcW w:w="1397" w:type="dxa"/>
            <w:vAlign w:val="center"/>
          </w:tcPr>
          <w:p w:rsidR="00E8238B" w:rsidRPr="00FC1444" w:rsidRDefault="00E8238B" w:rsidP="005E5014">
            <w:pPr>
              <w:adjustRightInd w:val="0"/>
              <w:snapToGrid w:val="0"/>
              <w:jc w:val="center"/>
              <w:rPr>
                <w:bCs/>
              </w:rPr>
            </w:pPr>
            <w:r w:rsidRPr="00FC1444">
              <w:rPr>
                <w:bCs/>
              </w:rPr>
              <w:t>22</w:t>
            </w:r>
          </w:p>
        </w:tc>
        <w:tc>
          <w:tcPr>
            <w:tcW w:w="1397" w:type="dxa"/>
            <w:vAlign w:val="center"/>
          </w:tcPr>
          <w:p w:rsidR="00E8238B" w:rsidRPr="00FC1444" w:rsidRDefault="00E8238B" w:rsidP="005E5014">
            <w:pPr>
              <w:adjustRightInd w:val="0"/>
              <w:snapToGrid w:val="0"/>
              <w:jc w:val="center"/>
              <w:rPr>
                <w:bCs/>
              </w:rPr>
            </w:pPr>
            <w:r w:rsidRPr="00FC1444">
              <w:rPr>
                <w:bCs/>
              </w:rPr>
              <w:t>16</w:t>
            </w:r>
          </w:p>
        </w:tc>
        <w:tc>
          <w:tcPr>
            <w:tcW w:w="1397" w:type="dxa"/>
            <w:vAlign w:val="center"/>
          </w:tcPr>
          <w:p w:rsidR="00E8238B" w:rsidRPr="00FC1444" w:rsidRDefault="00E8238B" w:rsidP="005E5014">
            <w:pPr>
              <w:adjustRightInd w:val="0"/>
              <w:snapToGrid w:val="0"/>
              <w:jc w:val="center"/>
              <w:rPr>
                <w:bCs/>
              </w:rPr>
            </w:pPr>
            <w:r w:rsidRPr="00FC1444">
              <w:rPr>
                <w:bCs/>
              </w:rPr>
              <w:t>9</w:t>
            </w:r>
          </w:p>
        </w:tc>
        <w:tc>
          <w:tcPr>
            <w:tcW w:w="1388" w:type="dxa"/>
            <w:vAlign w:val="center"/>
          </w:tcPr>
          <w:p w:rsidR="00E8238B" w:rsidRPr="00FC1444" w:rsidRDefault="00E8238B" w:rsidP="005E5014">
            <w:pPr>
              <w:adjustRightInd w:val="0"/>
              <w:snapToGrid w:val="0"/>
              <w:jc w:val="center"/>
              <w:rPr>
                <w:bCs/>
              </w:rPr>
            </w:pPr>
            <w:r w:rsidRPr="00FC1444">
              <w:rPr>
                <w:bCs/>
              </w:rPr>
              <w:t>20</w:t>
            </w:r>
          </w:p>
        </w:tc>
      </w:tr>
      <w:tr w:rsidR="00363CBD" w:rsidRPr="00FC1444" w:rsidTr="006E216F">
        <w:trPr>
          <w:trHeight w:val="397"/>
          <w:jc w:val="center"/>
        </w:trPr>
        <w:tc>
          <w:tcPr>
            <w:tcW w:w="1553" w:type="dxa"/>
            <w:vAlign w:val="center"/>
          </w:tcPr>
          <w:p w:rsidR="00363CBD" w:rsidRPr="00FC1444" w:rsidRDefault="00363CBD">
            <w:pPr>
              <w:adjustRightInd w:val="0"/>
              <w:snapToGrid w:val="0"/>
              <w:jc w:val="center"/>
              <w:rPr>
                <w:rFonts w:eastAsiaTheme="minorEastAsia"/>
                <w:bCs/>
                <w:szCs w:val="21"/>
              </w:rPr>
            </w:pPr>
            <w:r w:rsidRPr="00FC1444">
              <w:rPr>
                <w:rFonts w:eastAsiaTheme="minorEastAsia"/>
                <w:bCs/>
                <w:szCs w:val="21"/>
              </w:rPr>
              <w:t>pH</w:t>
            </w:r>
          </w:p>
        </w:tc>
        <w:tc>
          <w:tcPr>
            <w:tcW w:w="1560" w:type="dxa"/>
            <w:vAlign w:val="center"/>
          </w:tcPr>
          <w:p w:rsidR="00363CBD" w:rsidRPr="00FC1444" w:rsidRDefault="00363CBD">
            <w:pPr>
              <w:snapToGrid w:val="0"/>
              <w:jc w:val="center"/>
              <w:rPr>
                <w:rFonts w:eastAsiaTheme="minorEastAsia"/>
                <w:bCs/>
                <w:szCs w:val="21"/>
              </w:rPr>
            </w:pPr>
            <w:r w:rsidRPr="00FC1444">
              <w:rPr>
                <w:rFonts w:eastAsiaTheme="minorEastAsia"/>
                <w:szCs w:val="21"/>
              </w:rPr>
              <w:t>无量纲</w:t>
            </w:r>
          </w:p>
        </w:tc>
        <w:tc>
          <w:tcPr>
            <w:tcW w:w="1397" w:type="dxa"/>
            <w:vAlign w:val="center"/>
          </w:tcPr>
          <w:p w:rsidR="00363CBD" w:rsidRPr="00FC1444" w:rsidRDefault="00363CBD" w:rsidP="00C12A06">
            <w:pPr>
              <w:adjustRightInd w:val="0"/>
              <w:snapToGrid w:val="0"/>
              <w:jc w:val="center"/>
              <w:rPr>
                <w:bCs/>
              </w:rPr>
            </w:pPr>
            <w:r w:rsidRPr="00FC1444">
              <w:rPr>
                <w:bCs/>
              </w:rPr>
              <w:t>7.45</w:t>
            </w:r>
          </w:p>
        </w:tc>
        <w:tc>
          <w:tcPr>
            <w:tcW w:w="1397" w:type="dxa"/>
            <w:vAlign w:val="center"/>
          </w:tcPr>
          <w:p w:rsidR="00363CBD" w:rsidRPr="00FC1444" w:rsidRDefault="00363CBD" w:rsidP="00C12A06">
            <w:pPr>
              <w:adjustRightInd w:val="0"/>
              <w:snapToGrid w:val="0"/>
              <w:jc w:val="center"/>
              <w:rPr>
                <w:bCs/>
              </w:rPr>
            </w:pPr>
            <w:r w:rsidRPr="00FC1444">
              <w:rPr>
                <w:bCs/>
              </w:rPr>
              <w:t>7.68</w:t>
            </w:r>
          </w:p>
        </w:tc>
        <w:tc>
          <w:tcPr>
            <w:tcW w:w="1397" w:type="dxa"/>
            <w:vAlign w:val="center"/>
          </w:tcPr>
          <w:p w:rsidR="00363CBD" w:rsidRPr="00FC1444" w:rsidRDefault="00363CBD" w:rsidP="00C12A06">
            <w:pPr>
              <w:adjustRightInd w:val="0"/>
              <w:snapToGrid w:val="0"/>
              <w:jc w:val="center"/>
              <w:rPr>
                <w:bCs/>
              </w:rPr>
            </w:pPr>
            <w:r w:rsidRPr="00FC1444">
              <w:rPr>
                <w:bCs/>
              </w:rPr>
              <w:t>7.32</w:t>
            </w:r>
          </w:p>
        </w:tc>
        <w:tc>
          <w:tcPr>
            <w:tcW w:w="1388" w:type="dxa"/>
            <w:vAlign w:val="center"/>
          </w:tcPr>
          <w:p w:rsidR="00363CBD" w:rsidRPr="00FC1444" w:rsidRDefault="00363CBD" w:rsidP="00C12A06">
            <w:pPr>
              <w:adjustRightInd w:val="0"/>
              <w:snapToGrid w:val="0"/>
              <w:jc w:val="center"/>
              <w:rPr>
                <w:bCs/>
              </w:rPr>
            </w:pPr>
            <w:r w:rsidRPr="00FC1444">
              <w:rPr>
                <w:bCs/>
              </w:rPr>
              <w:t>8.01</w:t>
            </w:r>
          </w:p>
        </w:tc>
      </w:tr>
    </w:tbl>
    <w:p w:rsidR="002A5A5E" w:rsidRPr="00FC1444" w:rsidRDefault="00611CBA">
      <w:pPr>
        <w:widowControl/>
        <w:adjustRightInd w:val="0"/>
        <w:snapToGrid w:val="0"/>
        <w:spacing w:line="360" w:lineRule="auto"/>
        <w:jc w:val="left"/>
        <w:rPr>
          <w:rFonts w:eastAsiaTheme="minorEastAsia"/>
          <w:kern w:val="10"/>
          <w:szCs w:val="21"/>
        </w:rPr>
      </w:pPr>
      <w:r w:rsidRPr="00FC1444">
        <w:rPr>
          <w:rFonts w:eastAsiaTheme="minorEastAsia"/>
          <w:kern w:val="10"/>
          <w:szCs w:val="21"/>
        </w:rPr>
        <w:t>注：评价标准源自《土壤环境质量农用地土壤污染风险管控标准（试行）》（</w:t>
      </w:r>
      <w:r w:rsidRPr="00FC1444">
        <w:rPr>
          <w:rFonts w:eastAsiaTheme="minorEastAsia"/>
          <w:kern w:val="10"/>
          <w:szCs w:val="21"/>
        </w:rPr>
        <w:t>GB15618-2018</w:t>
      </w:r>
      <w:r w:rsidRPr="00FC1444">
        <w:rPr>
          <w:rFonts w:eastAsiaTheme="minorEastAsia"/>
          <w:kern w:val="10"/>
          <w:szCs w:val="21"/>
        </w:rPr>
        <w:t>）表</w:t>
      </w:r>
      <w:r w:rsidRPr="00FC1444">
        <w:rPr>
          <w:rFonts w:eastAsiaTheme="minorEastAsia"/>
          <w:kern w:val="10"/>
          <w:szCs w:val="21"/>
        </w:rPr>
        <w:t>1</w:t>
      </w:r>
      <w:r w:rsidR="00EE6E53" w:rsidRPr="00FC1444">
        <w:rPr>
          <w:rFonts w:eastAsiaTheme="minorEastAsia"/>
          <w:kern w:val="10"/>
          <w:szCs w:val="21"/>
        </w:rPr>
        <w:t>、表</w:t>
      </w:r>
      <w:r w:rsidR="00EE6E53" w:rsidRPr="00FC1444">
        <w:rPr>
          <w:rFonts w:eastAsiaTheme="minorEastAsia"/>
          <w:kern w:val="10"/>
          <w:szCs w:val="21"/>
        </w:rPr>
        <w:t>2</w:t>
      </w:r>
      <w:r w:rsidRPr="00FC1444">
        <w:rPr>
          <w:rFonts w:eastAsiaTheme="minorEastAsia"/>
          <w:kern w:val="10"/>
          <w:szCs w:val="21"/>
        </w:rPr>
        <w:t>中</w:t>
      </w:r>
      <w:r w:rsidR="00EE6E53" w:rsidRPr="00FC1444">
        <w:rPr>
          <w:rFonts w:eastAsiaTheme="minorEastAsia"/>
          <w:kern w:val="10"/>
          <w:szCs w:val="21"/>
        </w:rPr>
        <w:t>筛选值</w:t>
      </w:r>
      <w:r w:rsidRPr="00FC1444">
        <w:rPr>
          <w:rFonts w:eastAsiaTheme="minorEastAsia"/>
          <w:kern w:val="10"/>
          <w:szCs w:val="21"/>
        </w:rPr>
        <w:t>。</w:t>
      </w:r>
      <w:r w:rsidR="0042314C" w:rsidRPr="00FC1444">
        <w:rPr>
          <w:kern w:val="10"/>
          <w:szCs w:val="21"/>
        </w:rPr>
        <w:t>L</w:t>
      </w:r>
      <w:r w:rsidR="0042314C" w:rsidRPr="00FC1444">
        <w:rPr>
          <w:kern w:val="10"/>
          <w:szCs w:val="21"/>
        </w:rPr>
        <w:t>为低于检出限</w:t>
      </w:r>
      <w:r w:rsidR="0042314C" w:rsidRPr="00FC1444">
        <w:rPr>
          <w:rFonts w:eastAsiaTheme="minorEastAsia"/>
          <w:kern w:val="10"/>
          <w:szCs w:val="21"/>
        </w:rPr>
        <w:t>。</w:t>
      </w:r>
    </w:p>
    <w:p w:rsidR="002A5A5E" w:rsidRPr="00FC1444" w:rsidRDefault="00611CBA">
      <w:pPr>
        <w:widowControl/>
        <w:adjustRightInd w:val="0"/>
        <w:snapToGrid w:val="0"/>
        <w:spacing w:line="360" w:lineRule="auto"/>
        <w:ind w:firstLineChars="200" w:firstLine="480"/>
        <w:jc w:val="left"/>
        <w:rPr>
          <w:rFonts w:eastAsiaTheme="minorEastAsia"/>
          <w:kern w:val="10"/>
          <w:sz w:val="24"/>
          <w:szCs w:val="22"/>
        </w:rPr>
      </w:pPr>
      <w:r w:rsidRPr="00FC1444">
        <w:rPr>
          <w:rFonts w:eastAsiaTheme="minorEastAsia"/>
          <w:kern w:val="10"/>
          <w:sz w:val="24"/>
          <w:szCs w:val="22"/>
        </w:rPr>
        <w:lastRenderedPageBreak/>
        <w:t>根据表</w:t>
      </w:r>
      <w:r w:rsidRPr="00FC1444">
        <w:rPr>
          <w:rFonts w:eastAsiaTheme="minorEastAsia"/>
          <w:sz w:val="24"/>
        </w:rPr>
        <w:t>3-2-1</w:t>
      </w:r>
      <w:r w:rsidRPr="00FC1444">
        <w:rPr>
          <w:rFonts w:eastAsiaTheme="minorEastAsia"/>
          <w:kern w:val="10"/>
          <w:sz w:val="24"/>
          <w:szCs w:val="22"/>
        </w:rPr>
        <w:t>可知，本项目排水沟底泥检测样品无重金属污染，底泥污染物均满足</w:t>
      </w:r>
      <w:r w:rsidR="00EE6E53" w:rsidRPr="00FC1444">
        <w:rPr>
          <w:rFonts w:eastAsiaTheme="minorEastAsia"/>
          <w:kern w:val="10"/>
          <w:sz w:val="24"/>
          <w:szCs w:val="22"/>
        </w:rPr>
        <w:t>《土壤环境质量农用地土壤污染风险管控标准（试行）》（</w:t>
      </w:r>
      <w:r w:rsidR="00EE6E53" w:rsidRPr="00FC1444">
        <w:rPr>
          <w:rFonts w:eastAsiaTheme="minorEastAsia"/>
          <w:kern w:val="10"/>
          <w:sz w:val="24"/>
          <w:szCs w:val="22"/>
        </w:rPr>
        <w:t>GB15618-2018</w:t>
      </w:r>
      <w:r w:rsidR="00EE6E53" w:rsidRPr="00FC1444">
        <w:rPr>
          <w:rFonts w:eastAsiaTheme="minorEastAsia"/>
          <w:kern w:val="10"/>
          <w:sz w:val="24"/>
          <w:szCs w:val="22"/>
        </w:rPr>
        <w:t>）表</w:t>
      </w:r>
      <w:r w:rsidR="00EE6E53" w:rsidRPr="00FC1444">
        <w:rPr>
          <w:rFonts w:eastAsiaTheme="minorEastAsia"/>
          <w:kern w:val="10"/>
          <w:sz w:val="24"/>
          <w:szCs w:val="22"/>
        </w:rPr>
        <w:t>1</w:t>
      </w:r>
      <w:r w:rsidR="00EE6E53" w:rsidRPr="00FC1444">
        <w:rPr>
          <w:rFonts w:eastAsiaTheme="minorEastAsia"/>
          <w:kern w:val="10"/>
          <w:sz w:val="24"/>
          <w:szCs w:val="22"/>
        </w:rPr>
        <w:t>、表</w:t>
      </w:r>
      <w:r w:rsidR="00EE6E53" w:rsidRPr="00FC1444">
        <w:rPr>
          <w:rFonts w:eastAsiaTheme="minorEastAsia"/>
          <w:kern w:val="10"/>
          <w:sz w:val="24"/>
          <w:szCs w:val="22"/>
        </w:rPr>
        <w:t>2</w:t>
      </w:r>
      <w:r w:rsidR="00EE6E53" w:rsidRPr="00FC1444">
        <w:rPr>
          <w:rFonts w:eastAsiaTheme="minorEastAsia"/>
          <w:kern w:val="10"/>
          <w:sz w:val="24"/>
          <w:szCs w:val="22"/>
        </w:rPr>
        <w:t>中筛选值</w:t>
      </w:r>
      <w:r w:rsidRPr="00FC1444">
        <w:rPr>
          <w:rFonts w:eastAsiaTheme="minorEastAsia"/>
          <w:kern w:val="10"/>
          <w:sz w:val="24"/>
          <w:szCs w:val="22"/>
        </w:rPr>
        <w:t>。</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3.2.2</w:t>
      </w:r>
      <w:r w:rsidRPr="00FC1444">
        <w:rPr>
          <w:rFonts w:eastAsiaTheme="minorEastAsia"/>
          <w:b/>
          <w:sz w:val="28"/>
          <w:szCs w:val="28"/>
        </w:rPr>
        <w:t>运营期影响因素分析</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3.2.1.1</w:t>
      </w:r>
      <w:r w:rsidRPr="00FC1444">
        <w:rPr>
          <w:rFonts w:eastAsiaTheme="minorEastAsia"/>
          <w:b/>
          <w:sz w:val="24"/>
        </w:rPr>
        <w:t>灌溉井工艺流程及产污环节分析</w:t>
      </w:r>
    </w:p>
    <w:p w:rsidR="002A5A5E" w:rsidRPr="00FC1444" w:rsidRDefault="009840DD" w:rsidP="003E2690">
      <w:pPr>
        <w:spacing w:line="360" w:lineRule="auto"/>
        <w:ind w:firstLineChars="200" w:firstLine="420"/>
        <w:rPr>
          <w:rFonts w:eastAsiaTheme="minorEastAsia"/>
          <w:b/>
          <w:sz w:val="24"/>
          <w:szCs w:val="20"/>
        </w:rPr>
      </w:pPr>
      <w:r w:rsidRPr="00FC1444">
        <w:rPr>
          <w:rFonts w:eastAsiaTheme="minorEastAsia"/>
        </w:rPr>
        <w:pict>
          <v:line id="_x0000_s696705" style="position:absolute;left:0;text-align:left;rotation:180;z-index:251699200" from="149pt,21.55pt" to="149.05pt,44.95pt">
            <v:stroke dashstyle="dash" endarrow="block"/>
          </v:line>
        </w:pict>
      </w:r>
      <w:r w:rsidRPr="00FC1444">
        <w:rPr>
          <w:rFonts w:eastAsiaTheme="minorEastAsia"/>
        </w:rPr>
        <w:pict>
          <v:shape id="_x0000_s696708" type="#_x0000_t202" style="position:absolute;left:0;text-align:left;margin-left:122.5pt;margin-top:4.75pt;width:54.6pt;height:23.4pt;z-index:251702272" filled="f" stroked="f">
            <v:textbox style="mso-next-textbox:#_x0000_s696708">
              <w:txbxContent>
                <w:p w:rsidR="006F5CC4" w:rsidRDefault="006F5CC4">
                  <w:pPr>
                    <w:jc w:val="center"/>
                    <w:rPr>
                      <w:rFonts w:ascii="宋体" w:hAnsi="宋体" w:cs="宋体"/>
                    </w:rPr>
                  </w:pPr>
                  <w:r>
                    <w:rPr>
                      <w:rFonts w:ascii="宋体" w:hAnsi="宋体" w:cs="宋体" w:hint="eastAsia"/>
                      <w:szCs w:val="20"/>
                    </w:rPr>
                    <w:t>噪声</w:t>
                  </w:r>
                </w:p>
              </w:txbxContent>
            </v:textbox>
          </v:shape>
        </w:pict>
      </w:r>
      <w:r w:rsidRPr="00FC1444">
        <w:rPr>
          <w:rFonts w:eastAsiaTheme="minorEastAsia"/>
        </w:rPr>
        <w:pict>
          <v:shape id="_x0000_s696706" type="#_x0000_t202" style="position:absolute;left:0;text-align:left;margin-left:218.95pt;margin-top:6.45pt;width:54.6pt;height:23.4pt;z-index:251700224" filled="f" stroked="f">
            <v:textbox style="mso-next-textbox:#_x0000_s696706">
              <w:txbxContent>
                <w:p w:rsidR="006F5CC4" w:rsidRDefault="006F5CC4">
                  <w:pPr>
                    <w:jc w:val="center"/>
                    <w:rPr>
                      <w:rFonts w:ascii="宋体" w:hAnsi="宋体" w:cs="宋体"/>
                    </w:rPr>
                  </w:pPr>
                  <w:r>
                    <w:rPr>
                      <w:rFonts w:ascii="宋体" w:hAnsi="宋体" w:cs="宋体" w:hint="eastAsia"/>
                      <w:szCs w:val="20"/>
                    </w:rPr>
                    <w:t>噪声</w:t>
                  </w:r>
                </w:p>
              </w:txbxContent>
            </v:textbox>
          </v:shape>
        </w:pict>
      </w:r>
    </w:p>
    <w:p w:rsidR="002A5A5E" w:rsidRPr="00FC1444" w:rsidRDefault="009840DD">
      <w:pPr>
        <w:spacing w:line="500" w:lineRule="exact"/>
        <w:rPr>
          <w:rFonts w:eastAsiaTheme="minorEastAsia"/>
          <w:b/>
          <w:sz w:val="24"/>
          <w:szCs w:val="20"/>
        </w:rPr>
      </w:pPr>
      <w:r w:rsidRPr="00FC1444">
        <w:rPr>
          <w:rFonts w:eastAsiaTheme="minorEastAsia"/>
          <w:b/>
          <w:sz w:val="24"/>
        </w:rPr>
        <w:pict>
          <v:shape id="_x0000_s696714" type="#_x0000_t202" style="position:absolute;left:0;text-align:left;margin-left:108.4pt;margin-top:22.2pt;width:82.7pt;height:23.4pt;z-index:251703296" filled="f">
            <v:textbox style="mso-next-textbox:#_x0000_s696714">
              <w:txbxContent>
                <w:p w:rsidR="006F5CC4" w:rsidRDefault="006F5CC4">
                  <w:pPr>
                    <w:jc w:val="center"/>
                    <w:rPr>
                      <w:rFonts w:ascii="宋体" w:hAnsi="宋体" w:cs="宋体"/>
                    </w:rPr>
                  </w:pPr>
                  <w:r>
                    <w:rPr>
                      <w:rFonts w:ascii="宋体" w:hAnsi="宋体" w:cs="宋体" w:hint="eastAsia"/>
                      <w:szCs w:val="20"/>
                    </w:rPr>
                    <w:t>水井（水泵）</w:t>
                  </w:r>
                </w:p>
              </w:txbxContent>
            </v:textbox>
          </v:shape>
        </w:pict>
      </w:r>
      <w:r w:rsidRPr="00FC1444">
        <w:rPr>
          <w:rFonts w:eastAsiaTheme="minorEastAsia"/>
        </w:rPr>
        <w:pict>
          <v:shape id="_x0000_s696694" type="#_x0000_t202" style="position:absolute;left:0;text-align:left;margin-left:304.65pt;margin-top:23.35pt;width:49.15pt;height:23.4pt;z-index:251696128" filled="f">
            <v:textbox style="mso-next-textbox:#_x0000_s696694">
              <w:txbxContent>
                <w:p w:rsidR="006F5CC4" w:rsidRDefault="006F5CC4">
                  <w:pPr>
                    <w:jc w:val="center"/>
                    <w:rPr>
                      <w:rFonts w:ascii="宋体" w:hAnsi="宋体" w:cs="宋体"/>
                    </w:rPr>
                  </w:pPr>
                  <w:r>
                    <w:rPr>
                      <w:rFonts w:ascii="宋体" w:hAnsi="宋体" w:cs="宋体" w:hint="eastAsia"/>
                      <w:szCs w:val="20"/>
                    </w:rPr>
                    <w:t>农田</w:t>
                  </w:r>
                </w:p>
              </w:txbxContent>
            </v:textbox>
          </v:shape>
        </w:pict>
      </w:r>
      <w:r w:rsidRPr="00FC1444">
        <w:rPr>
          <w:rFonts w:eastAsiaTheme="minorEastAsia"/>
        </w:rPr>
        <w:pict>
          <v:line id="_x0000_s696707" style="position:absolute;left:0;text-align:left;rotation:180;z-index:251701248" from="245.85pt,-.35pt" to="245.9pt,23.05pt">
            <v:stroke dashstyle="dash" endarrow="block"/>
          </v:line>
        </w:pict>
      </w:r>
      <w:r w:rsidRPr="00FC1444">
        <w:rPr>
          <w:rFonts w:eastAsiaTheme="minorEastAsia"/>
        </w:rPr>
        <w:pict>
          <v:shape id="_x0000_s696693" type="#_x0000_t202" style="position:absolute;left:0;text-align:left;margin-left:218.4pt;margin-top:23.35pt;width:60.25pt;height:23.4pt;z-index:251695104" filled="f">
            <v:textbox style="mso-next-textbox:#_x0000_s696693">
              <w:txbxContent>
                <w:p w:rsidR="006F5CC4" w:rsidRDefault="006F5CC4">
                  <w:pPr>
                    <w:jc w:val="center"/>
                    <w:rPr>
                      <w:rFonts w:ascii="宋体" w:hAnsi="宋体" w:cs="宋体"/>
                    </w:rPr>
                  </w:pPr>
                  <w:r>
                    <w:rPr>
                      <w:rFonts w:ascii="宋体" w:hAnsi="宋体" w:cs="宋体"/>
                      <w:szCs w:val="20"/>
                    </w:rPr>
                    <w:t>滴灌带</w:t>
                  </w:r>
                  <w:r>
                    <w:rPr>
                      <w:rFonts w:ascii="宋体" w:hAnsi="宋体" w:cs="宋体" w:hint="eastAsia"/>
                      <w:szCs w:val="20"/>
                    </w:rPr>
                    <w:t>等</w:t>
                  </w:r>
                </w:p>
              </w:txbxContent>
            </v:textbox>
          </v:shape>
        </w:pict>
      </w:r>
    </w:p>
    <w:p w:rsidR="002A5A5E" w:rsidRPr="00FC1444" w:rsidRDefault="009840DD">
      <w:pPr>
        <w:contextualSpacing/>
        <w:jc w:val="center"/>
        <w:rPr>
          <w:rFonts w:eastAsiaTheme="minorEastAsia"/>
          <w:b/>
          <w:kern w:val="0"/>
          <w:szCs w:val="21"/>
        </w:rPr>
      </w:pPr>
      <w:r w:rsidRPr="00FC1444">
        <w:rPr>
          <w:rFonts w:eastAsiaTheme="minorEastAsia"/>
          <w:b/>
          <w:kern w:val="0"/>
          <w:szCs w:val="21"/>
        </w:rPr>
        <w:pict>
          <v:line id="_x0000_s696698" style="position:absolute;left:0;text-align:left;z-index:251698176" from="279.45pt,9.95pt" to="304.95pt,9.95pt">
            <v:stroke endarrow="block"/>
          </v:line>
        </w:pict>
      </w:r>
      <w:r w:rsidRPr="00FC1444">
        <w:rPr>
          <w:rFonts w:eastAsiaTheme="minorEastAsia"/>
          <w:b/>
          <w:kern w:val="0"/>
          <w:szCs w:val="21"/>
        </w:rPr>
        <w:pict>
          <v:line id="_x0000_s696697" style="position:absolute;left:0;text-align:left;z-index:251697152" from="192.9pt,9.95pt" to="218.4pt,9.95pt">
            <v:stroke endarrow="block"/>
          </v:line>
        </w:pict>
      </w:r>
    </w:p>
    <w:p w:rsidR="002A5A5E" w:rsidRPr="00FC1444" w:rsidRDefault="002A5A5E">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3-2-1</w:t>
      </w:r>
      <w:r w:rsidR="005C0AF5" w:rsidRPr="00FC1444">
        <w:rPr>
          <w:rFonts w:eastAsiaTheme="minorEastAsia"/>
          <w:b/>
          <w:kern w:val="0"/>
          <w:szCs w:val="21"/>
        </w:rPr>
        <w:t>1</w:t>
      </w:r>
      <w:r w:rsidRPr="00FC1444">
        <w:rPr>
          <w:rFonts w:eastAsiaTheme="minorEastAsia"/>
          <w:b/>
          <w:kern w:val="0"/>
          <w:szCs w:val="21"/>
        </w:rPr>
        <w:t>灌溉井工艺流程及排污节点图</w:t>
      </w:r>
    </w:p>
    <w:p w:rsidR="002A5A5E" w:rsidRPr="00FC1444" w:rsidRDefault="00611CBA">
      <w:pPr>
        <w:widowControl/>
        <w:spacing w:line="360" w:lineRule="auto"/>
        <w:ind w:firstLineChars="200" w:firstLine="480"/>
        <w:rPr>
          <w:rFonts w:eastAsiaTheme="minorEastAsia"/>
          <w:kern w:val="0"/>
          <w:sz w:val="24"/>
        </w:rPr>
      </w:pPr>
      <w:r w:rsidRPr="00FC1444">
        <w:rPr>
          <w:rFonts w:eastAsiaTheme="minorEastAsia"/>
          <w:kern w:val="0"/>
          <w:sz w:val="24"/>
        </w:rPr>
        <w:t>运营期主要</w:t>
      </w:r>
      <w:r w:rsidR="00FC1444" w:rsidRPr="00FC1444">
        <w:rPr>
          <w:rFonts w:eastAsiaTheme="minorEastAsia"/>
          <w:kern w:val="0"/>
          <w:sz w:val="24"/>
        </w:rPr>
        <w:t>生态</w:t>
      </w:r>
      <w:r w:rsidRPr="00FC1444">
        <w:rPr>
          <w:rFonts w:eastAsiaTheme="minorEastAsia"/>
          <w:kern w:val="0"/>
          <w:sz w:val="24"/>
        </w:rPr>
        <w:t>环境影响为田间道路上行驶车辆产生的少量无组织汽车尾气、扬尘及噪声，灌溉与排水工程泵类等产生的噪声。</w:t>
      </w:r>
    </w:p>
    <w:p w:rsidR="002A5A5E" w:rsidRPr="00FC1444" w:rsidRDefault="00611CBA">
      <w:pPr>
        <w:widowControl/>
        <w:spacing w:line="360" w:lineRule="auto"/>
        <w:ind w:firstLineChars="200" w:firstLine="480"/>
        <w:rPr>
          <w:rFonts w:eastAsiaTheme="minorEastAsia"/>
          <w:kern w:val="0"/>
          <w:sz w:val="24"/>
        </w:rPr>
      </w:pPr>
      <w:r w:rsidRPr="00FC1444">
        <w:rPr>
          <w:rFonts w:eastAsiaTheme="minorEastAsia"/>
          <w:kern w:val="0"/>
          <w:sz w:val="24"/>
        </w:rPr>
        <w:t>柴油机移动泵车产生的废气，对周围环境影响不大，仅做简单分析。地下水开采对项目区地下水资源的影响及现有水田退水对地表水的影响做重点分析。</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3-2-2</w:t>
      </w:r>
      <w:r w:rsidRPr="00FC1444">
        <w:rPr>
          <w:rFonts w:eastAsiaTheme="minorEastAsia"/>
          <w:b/>
          <w:kern w:val="0"/>
          <w:szCs w:val="21"/>
        </w:rPr>
        <w:t>主要产污环节情况一览表</w:t>
      </w:r>
    </w:p>
    <w:tbl>
      <w:tblPr>
        <w:tblW w:w="4998" w:type="pct"/>
        <w:tblBorders>
          <w:top w:val="single" w:sz="12" w:space="0" w:color="auto"/>
          <w:bottom w:val="single" w:sz="12" w:space="0" w:color="auto"/>
          <w:insideH w:val="single" w:sz="2" w:space="0" w:color="auto"/>
          <w:insideV w:val="single" w:sz="2" w:space="0" w:color="auto"/>
        </w:tblBorders>
        <w:tblCellMar>
          <w:left w:w="57" w:type="dxa"/>
          <w:right w:w="57" w:type="dxa"/>
        </w:tblCellMar>
        <w:tblLook w:val="04A0"/>
      </w:tblPr>
      <w:tblGrid>
        <w:gridCol w:w="721"/>
        <w:gridCol w:w="2597"/>
        <w:gridCol w:w="1843"/>
        <w:gridCol w:w="3256"/>
      </w:tblGrid>
      <w:tr w:rsidR="002A5A5E" w:rsidRPr="00FC1444">
        <w:trPr>
          <w:trHeight w:val="59"/>
        </w:trPr>
        <w:tc>
          <w:tcPr>
            <w:tcW w:w="428" w:type="pct"/>
            <w:vAlign w:val="center"/>
          </w:tcPr>
          <w:p w:rsidR="002A5A5E" w:rsidRPr="00FC1444" w:rsidRDefault="00611CBA">
            <w:pPr>
              <w:jc w:val="center"/>
              <w:rPr>
                <w:rFonts w:eastAsiaTheme="minorEastAsia"/>
                <w:szCs w:val="21"/>
              </w:rPr>
            </w:pPr>
            <w:r w:rsidRPr="00FC1444">
              <w:rPr>
                <w:rFonts w:eastAsiaTheme="minorEastAsia"/>
                <w:szCs w:val="21"/>
              </w:rPr>
              <w:t>时段</w:t>
            </w:r>
          </w:p>
        </w:tc>
        <w:tc>
          <w:tcPr>
            <w:tcW w:w="1543" w:type="pct"/>
            <w:vAlign w:val="center"/>
          </w:tcPr>
          <w:p w:rsidR="002A5A5E" w:rsidRPr="00FC1444" w:rsidRDefault="00611CBA">
            <w:pPr>
              <w:jc w:val="center"/>
              <w:rPr>
                <w:rFonts w:eastAsiaTheme="minorEastAsia"/>
                <w:szCs w:val="21"/>
              </w:rPr>
            </w:pPr>
            <w:r w:rsidRPr="00FC1444">
              <w:rPr>
                <w:rFonts w:eastAsiaTheme="minorEastAsia"/>
                <w:szCs w:val="21"/>
              </w:rPr>
              <w:t>工程内容</w:t>
            </w:r>
          </w:p>
        </w:tc>
        <w:tc>
          <w:tcPr>
            <w:tcW w:w="1095" w:type="pct"/>
            <w:vAlign w:val="center"/>
          </w:tcPr>
          <w:p w:rsidR="002A5A5E" w:rsidRPr="00FC1444" w:rsidRDefault="00611CBA">
            <w:pPr>
              <w:jc w:val="center"/>
              <w:rPr>
                <w:rFonts w:eastAsiaTheme="minorEastAsia"/>
                <w:szCs w:val="21"/>
              </w:rPr>
            </w:pPr>
            <w:r w:rsidRPr="00FC1444">
              <w:rPr>
                <w:rFonts w:eastAsiaTheme="minorEastAsia"/>
                <w:szCs w:val="21"/>
              </w:rPr>
              <w:t>污染因素</w:t>
            </w:r>
          </w:p>
        </w:tc>
        <w:tc>
          <w:tcPr>
            <w:tcW w:w="1934" w:type="pct"/>
            <w:vAlign w:val="center"/>
          </w:tcPr>
          <w:p w:rsidR="002A5A5E" w:rsidRPr="00FC1444" w:rsidRDefault="00611CBA">
            <w:pPr>
              <w:jc w:val="center"/>
              <w:rPr>
                <w:rFonts w:eastAsiaTheme="minorEastAsia"/>
                <w:szCs w:val="21"/>
              </w:rPr>
            </w:pPr>
            <w:bookmarkStart w:id="92" w:name="_Toc143082826"/>
            <w:r w:rsidRPr="00FC1444">
              <w:rPr>
                <w:rFonts w:eastAsiaTheme="minorEastAsia"/>
                <w:szCs w:val="21"/>
              </w:rPr>
              <w:t>主要污染物</w:t>
            </w:r>
            <w:bookmarkEnd w:id="92"/>
          </w:p>
        </w:tc>
      </w:tr>
      <w:tr w:rsidR="00D61453" w:rsidRPr="00FC1444">
        <w:trPr>
          <w:trHeight w:val="59"/>
        </w:trPr>
        <w:tc>
          <w:tcPr>
            <w:tcW w:w="428" w:type="pct"/>
            <w:vMerge w:val="restart"/>
            <w:vAlign w:val="center"/>
          </w:tcPr>
          <w:p w:rsidR="00D61453" w:rsidRPr="00FC1444" w:rsidRDefault="00D61453">
            <w:pPr>
              <w:jc w:val="center"/>
              <w:rPr>
                <w:rFonts w:eastAsiaTheme="minorEastAsia"/>
                <w:szCs w:val="21"/>
              </w:rPr>
            </w:pPr>
            <w:r w:rsidRPr="00FC1444">
              <w:rPr>
                <w:rFonts w:eastAsiaTheme="minorEastAsia"/>
                <w:szCs w:val="21"/>
              </w:rPr>
              <w:t>施工期</w:t>
            </w:r>
          </w:p>
        </w:tc>
        <w:tc>
          <w:tcPr>
            <w:tcW w:w="1543" w:type="pct"/>
            <w:vMerge w:val="restart"/>
            <w:vAlign w:val="center"/>
          </w:tcPr>
          <w:p w:rsidR="00D61453" w:rsidRPr="00FC1444" w:rsidRDefault="00D61453">
            <w:pPr>
              <w:jc w:val="center"/>
              <w:rPr>
                <w:rFonts w:eastAsiaTheme="minorEastAsia"/>
                <w:szCs w:val="21"/>
              </w:rPr>
            </w:pPr>
            <w:r w:rsidRPr="00FC1444">
              <w:rPr>
                <w:rFonts w:eastAsiaTheme="minorEastAsia"/>
                <w:szCs w:val="21"/>
              </w:rPr>
              <w:t>田块整治工程</w:t>
            </w: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废气、噪声</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颗粒物、噪声</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Merge/>
            <w:vAlign w:val="center"/>
          </w:tcPr>
          <w:p w:rsidR="00D61453" w:rsidRPr="00FC1444" w:rsidRDefault="00D61453">
            <w:pPr>
              <w:jc w:val="center"/>
              <w:rPr>
                <w:rFonts w:eastAsiaTheme="minorEastAsia"/>
                <w:szCs w:val="21"/>
              </w:rPr>
            </w:pPr>
          </w:p>
        </w:tc>
        <w:tc>
          <w:tcPr>
            <w:tcW w:w="1095" w:type="pct"/>
            <w:vAlign w:val="center"/>
          </w:tcPr>
          <w:p w:rsidR="00D61453" w:rsidRPr="00FC1444" w:rsidRDefault="00D61453" w:rsidP="00FF4273">
            <w:pPr>
              <w:jc w:val="center"/>
              <w:rPr>
                <w:rFonts w:eastAsiaTheme="minorEastAsia"/>
                <w:szCs w:val="21"/>
              </w:rPr>
            </w:pPr>
            <w:r w:rsidRPr="00FC1444">
              <w:rPr>
                <w:rFonts w:eastAsiaTheme="minorEastAsia"/>
                <w:szCs w:val="21"/>
              </w:rPr>
              <w:t>固体废物</w:t>
            </w:r>
          </w:p>
        </w:tc>
        <w:tc>
          <w:tcPr>
            <w:tcW w:w="1934" w:type="pct"/>
            <w:vAlign w:val="center"/>
          </w:tcPr>
          <w:p w:rsidR="00D61453" w:rsidRPr="00FC1444" w:rsidRDefault="00D61453" w:rsidP="00FF4273">
            <w:pPr>
              <w:jc w:val="center"/>
              <w:rPr>
                <w:rFonts w:eastAsiaTheme="minorEastAsia"/>
                <w:szCs w:val="21"/>
              </w:rPr>
            </w:pPr>
            <w:r w:rsidRPr="00FC1444">
              <w:rPr>
                <w:rFonts w:eastAsiaTheme="minorEastAsia"/>
                <w:szCs w:val="21"/>
              </w:rPr>
              <w:t>废肥料包装物</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Merge w:val="restart"/>
            <w:vAlign w:val="center"/>
          </w:tcPr>
          <w:p w:rsidR="00D61453" w:rsidRPr="00FC1444" w:rsidRDefault="00D61453">
            <w:pPr>
              <w:jc w:val="center"/>
              <w:rPr>
                <w:rFonts w:eastAsiaTheme="minorEastAsia"/>
                <w:szCs w:val="21"/>
              </w:rPr>
            </w:pPr>
            <w:r w:rsidRPr="00FC1444">
              <w:rPr>
                <w:rFonts w:eastAsiaTheme="minorEastAsia"/>
                <w:szCs w:val="21"/>
              </w:rPr>
              <w:t>灌溉井工程</w:t>
            </w: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废气、噪声</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颗粒物、噪声</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Merge/>
            <w:vAlign w:val="center"/>
          </w:tcPr>
          <w:p w:rsidR="00D61453" w:rsidRPr="00FC1444" w:rsidRDefault="00D61453">
            <w:pPr>
              <w:jc w:val="center"/>
              <w:rPr>
                <w:rFonts w:eastAsiaTheme="minorEastAsia"/>
                <w:szCs w:val="21"/>
              </w:rPr>
            </w:pP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废水</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洗井废水</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Merge/>
            <w:vAlign w:val="center"/>
          </w:tcPr>
          <w:p w:rsidR="00D61453" w:rsidRPr="00FC1444" w:rsidRDefault="00D61453">
            <w:pPr>
              <w:jc w:val="center"/>
              <w:rPr>
                <w:rFonts w:eastAsiaTheme="minorEastAsia"/>
                <w:szCs w:val="21"/>
              </w:rPr>
            </w:pP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固体废物</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废泥浆</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Merge w:val="restart"/>
            <w:vAlign w:val="center"/>
          </w:tcPr>
          <w:p w:rsidR="00D61453" w:rsidRPr="00FC1444" w:rsidRDefault="00D61453">
            <w:pPr>
              <w:jc w:val="center"/>
              <w:rPr>
                <w:rFonts w:eastAsiaTheme="minorEastAsia"/>
                <w:szCs w:val="21"/>
              </w:rPr>
            </w:pPr>
            <w:r w:rsidRPr="00FC1444">
              <w:rPr>
                <w:rFonts w:eastAsiaTheme="minorEastAsia"/>
                <w:szCs w:val="21"/>
              </w:rPr>
              <w:t>排水沟清淤工程</w:t>
            </w: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废气、噪声</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恶臭异味、噪声</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Merge/>
            <w:vAlign w:val="center"/>
          </w:tcPr>
          <w:p w:rsidR="00D61453" w:rsidRPr="00FC1444" w:rsidRDefault="00D61453">
            <w:pPr>
              <w:jc w:val="center"/>
              <w:rPr>
                <w:rFonts w:eastAsiaTheme="minorEastAsia"/>
                <w:szCs w:val="21"/>
              </w:rPr>
            </w:pP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废水</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清淤沥水</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Merge/>
            <w:vAlign w:val="center"/>
          </w:tcPr>
          <w:p w:rsidR="00D61453" w:rsidRPr="00FC1444" w:rsidRDefault="00D61453">
            <w:pPr>
              <w:jc w:val="center"/>
              <w:rPr>
                <w:rFonts w:eastAsiaTheme="minorEastAsia"/>
                <w:szCs w:val="21"/>
              </w:rPr>
            </w:pP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固体废物</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淤泥</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Merge w:val="restart"/>
            <w:vAlign w:val="center"/>
          </w:tcPr>
          <w:p w:rsidR="00D61453" w:rsidRPr="00FC1444" w:rsidRDefault="00D61453">
            <w:pPr>
              <w:jc w:val="center"/>
              <w:rPr>
                <w:rFonts w:eastAsiaTheme="minorEastAsia"/>
                <w:szCs w:val="21"/>
              </w:rPr>
            </w:pPr>
            <w:r w:rsidRPr="00FC1444">
              <w:rPr>
                <w:rFonts w:eastAsiaTheme="minorEastAsia"/>
                <w:szCs w:val="21"/>
              </w:rPr>
              <w:t>涵洞等建筑物工程</w:t>
            </w: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废气、噪声</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颗粒物、噪声</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Merge/>
            <w:vAlign w:val="center"/>
          </w:tcPr>
          <w:p w:rsidR="00D61453" w:rsidRPr="00FC1444" w:rsidRDefault="00D61453">
            <w:pPr>
              <w:jc w:val="center"/>
              <w:rPr>
                <w:rFonts w:eastAsiaTheme="minorEastAsia"/>
                <w:szCs w:val="21"/>
              </w:rPr>
            </w:pP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固体废物</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建筑垃圾</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Merge w:val="restart"/>
            <w:vAlign w:val="center"/>
          </w:tcPr>
          <w:p w:rsidR="00D61453" w:rsidRPr="00FC1444" w:rsidRDefault="00D61453">
            <w:pPr>
              <w:jc w:val="center"/>
              <w:rPr>
                <w:rFonts w:eastAsiaTheme="minorEastAsia"/>
                <w:szCs w:val="21"/>
              </w:rPr>
            </w:pPr>
            <w:r w:rsidRPr="00FC1444">
              <w:rPr>
                <w:rFonts w:eastAsiaTheme="minorEastAsia"/>
                <w:szCs w:val="21"/>
              </w:rPr>
              <w:t>田间道路工程</w:t>
            </w: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废气、噪声</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颗粒物、噪声</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Merge/>
            <w:vAlign w:val="center"/>
          </w:tcPr>
          <w:p w:rsidR="00D61453" w:rsidRPr="00FC1444" w:rsidRDefault="00D61453">
            <w:pPr>
              <w:jc w:val="center"/>
              <w:rPr>
                <w:rFonts w:eastAsiaTheme="minorEastAsia"/>
                <w:szCs w:val="21"/>
              </w:rPr>
            </w:pP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固体废物</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建筑垃圾</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Align w:val="center"/>
          </w:tcPr>
          <w:p w:rsidR="00D61453" w:rsidRPr="00FC1444" w:rsidRDefault="00D61453">
            <w:pPr>
              <w:jc w:val="center"/>
              <w:rPr>
                <w:rFonts w:eastAsiaTheme="minorEastAsia"/>
                <w:szCs w:val="21"/>
              </w:rPr>
            </w:pPr>
            <w:r w:rsidRPr="00FC1444">
              <w:rPr>
                <w:rFonts w:eastAsiaTheme="minorEastAsia"/>
                <w:szCs w:val="21"/>
              </w:rPr>
              <w:t>农田输配电工程</w:t>
            </w: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废气、噪声</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颗粒物、噪声</w:t>
            </w:r>
          </w:p>
        </w:tc>
      </w:tr>
      <w:tr w:rsidR="00D61453" w:rsidRPr="00FC1444">
        <w:trPr>
          <w:trHeight w:val="59"/>
        </w:trPr>
        <w:tc>
          <w:tcPr>
            <w:tcW w:w="428" w:type="pct"/>
            <w:vMerge w:val="restart"/>
            <w:vAlign w:val="center"/>
          </w:tcPr>
          <w:p w:rsidR="00D61453" w:rsidRPr="00FC1444" w:rsidRDefault="00D61453">
            <w:pPr>
              <w:jc w:val="center"/>
              <w:rPr>
                <w:rFonts w:eastAsiaTheme="minorEastAsia"/>
                <w:szCs w:val="21"/>
              </w:rPr>
            </w:pPr>
            <w:r w:rsidRPr="00FC1444">
              <w:rPr>
                <w:rFonts w:eastAsiaTheme="minorEastAsia"/>
                <w:szCs w:val="21"/>
              </w:rPr>
              <w:t>运营期</w:t>
            </w:r>
          </w:p>
        </w:tc>
        <w:tc>
          <w:tcPr>
            <w:tcW w:w="1543" w:type="pct"/>
            <w:vAlign w:val="center"/>
          </w:tcPr>
          <w:p w:rsidR="00D61453" w:rsidRPr="00FC1444" w:rsidRDefault="00D61453">
            <w:pPr>
              <w:jc w:val="center"/>
              <w:rPr>
                <w:rFonts w:eastAsiaTheme="minorEastAsia"/>
                <w:szCs w:val="21"/>
              </w:rPr>
            </w:pPr>
            <w:r w:rsidRPr="00FC1444">
              <w:rPr>
                <w:rFonts w:eastAsiaTheme="minorEastAsia"/>
                <w:szCs w:val="21"/>
              </w:rPr>
              <w:t>灌溉井</w:t>
            </w: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噪声</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噪声</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Align w:val="center"/>
          </w:tcPr>
          <w:p w:rsidR="00D61453" w:rsidRPr="00FC1444" w:rsidRDefault="00D61453">
            <w:pPr>
              <w:jc w:val="center"/>
              <w:rPr>
                <w:rFonts w:eastAsiaTheme="minorEastAsia"/>
                <w:szCs w:val="21"/>
              </w:rPr>
            </w:pPr>
            <w:r w:rsidRPr="00FC1444">
              <w:rPr>
                <w:rFonts w:eastAsiaTheme="minorEastAsia"/>
                <w:szCs w:val="21"/>
              </w:rPr>
              <w:t>田间道路工程</w:t>
            </w: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废气、噪声</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汽车尾气、噪声</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Align w:val="center"/>
          </w:tcPr>
          <w:p w:rsidR="00D61453" w:rsidRPr="00FC1444" w:rsidRDefault="00D61453">
            <w:pPr>
              <w:jc w:val="center"/>
              <w:rPr>
                <w:rFonts w:eastAsiaTheme="minorEastAsia"/>
                <w:szCs w:val="21"/>
              </w:rPr>
            </w:pPr>
            <w:r w:rsidRPr="00FC1444">
              <w:rPr>
                <w:rFonts w:eastAsiaTheme="minorEastAsia"/>
                <w:szCs w:val="21"/>
              </w:rPr>
              <w:t>高标准农田</w:t>
            </w: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废水</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水田退水</w:t>
            </w:r>
          </w:p>
        </w:tc>
      </w:tr>
      <w:tr w:rsidR="00D61453" w:rsidRPr="00FC1444">
        <w:trPr>
          <w:trHeight w:val="59"/>
        </w:trPr>
        <w:tc>
          <w:tcPr>
            <w:tcW w:w="428" w:type="pct"/>
            <w:vMerge/>
            <w:vAlign w:val="center"/>
          </w:tcPr>
          <w:p w:rsidR="00D61453" w:rsidRPr="00FC1444" w:rsidRDefault="00D61453">
            <w:pPr>
              <w:jc w:val="center"/>
              <w:rPr>
                <w:rFonts w:eastAsiaTheme="minorEastAsia"/>
                <w:szCs w:val="21"/>
              </w:rPr>
            </w:pPr>
          </w:p>
        </w:tc>
        <w:tc>
          <w:tcPr>
            <w:tcW w:w="1543" w:type="pct"/>
            <w:vAlign w:val="center"/>
          </w:tcPr>
          <w:p w:rsidR="00D61453" w:rsidRPr="00FC1444" w:rsidRDefault="00D61453">
            <w:pPr>
              <w:jc w:val="center"/>
              <w:rPr>
                <w:rFonts w:eastAsiaTheme="minorEastAsia"/>
                <w:szCs w:val="21"/>
              </w:rPr>
            </w:pPr>
            <w:r w:rsidRPr="00FC1444">
              <w:rPr>
                <w:rFonts w:eastAsiaTheme="minorEastAsia"/>
                <w:szCs w:val="21"/>
              </w:rPr>
              <w:t>高标准农田</w:t>
            </w:r>
          </w:p>
        </w:tc>
        <w:tc>
          <w:tcPr>
            <w:tcW w:w="1095" w:type="pct"/>
            <w:vAlign w:val="center"/>
          </w:tcPr>
          <w:p w:rsidR="00D61453" w:rsidRPr="00FC1444" w:rsidRDefault="00D61453">
            <w:pPr>
              <w:jc w:val="center"/>
              <w:rPr>
                <w:rFonts w:eastAsiaTheme="minorEastAsia"/>
                <w:szCs w:val="21"/>
              </w:rPr>
            </w:pPr>
            <w:r w:rsidRPr="00FC1444">
              <w:rPr>
                <w:rFonts w:eastAsiaTheme="minorEastAsia"/>
                <w:szCs w:val="21"/>
              </w:rPr>
              <w:t>固体废物</w:t>
            </w:r>
          </w:p>
        </w:tc>
        <w:tc>
          <w:tcPr>
            <w:tcW w:w="1934" w:type="pct"/>
            <w:vAlign w:val="center"/>
          </w:tcPr>
          <w:p w:rsidR="00D61453" w:rsidRPr="00FC1444" w:rsidRDefault="00D61453">
            <w:pPr>
              <w:jc w:val="center"/>
              <w:rPr>
                <w:rFonts w:eastAsiaTheme="minorEastAsia"/>
                <w:szCs w:val="21"/>
              </w:rPr>
            </w:pPr>
            <w:r w:rsidRPr="00FC1444">
              <w:rPr>
                <w:rFonts w:eastAsiaTheme="minorEastAsia"/>
                <w:szCs w:val="21"/>
              </w:rPr>
              <w:t>秸秆、</w:t>
            </w:r>
            <w:r w:rsidRPr="00FC1444">
              <w:rPr>
                <w:rFonts w:eastAsiaTheme="minorEastAsia"/>
                <w:bCs/>
                <w:szCs w:val="21"/>
              </w:rPr>
              <w:t>农药包装物及废肥料包装袋</w:t>
            </w:r>
          </w:p>
        </w:tc>
      </w:tr>
    </w:tbl>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93" w:name="_Toc208906235"/>
      <w:bookmarkStart w:id="94" w:name="_Toc15991649"/>
      <w:r w:rsidRPr="00FC1444">
        <w:rPr>
          <w:rFonts w:eastAsiaTheme="minorEastAsia"/>
          <w:b/>
          <w:bCs/>
          <w:kern w:val="44"/>
          <w:sz w:val="30"/>
          <w:szCs w:val="30"/>
        </w:rPr>
        <w:t>3.3</w:t>
      </w:r>
      <w:r w:rsidRPr="00FC1444">
        <w:rPr>
          <w:rFonts w:eastAsiaTheme="minorEastAsia"/>
          <w:b/>
          <w:bCs/>
          <w:kern w:val="44"/>
          <w:sz w:val="30"/>
          <w:szCs w:val="30"/>
        </w:rPr>
        <w:t>污染源源强核算</w:t>
      </w:r>
      <w:bookmarkEnd w:id="93"/>
      <w:bookmarkEnd w:id="94"/>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lastRenderedPageBreak/>
        <w:t>3.3.1</w:t>
      </w:r>
      <w:r w:rsidRPr="00FC1444">
        <w:rPr>
          <w:rFonts w:eastAsiaTheme="minorEastAsia"/>
          <w:b/>
          <w:sz w:val="28"/>
          <w:szCs w:val="28"/>
        </w:rPr>
        <w:t>施工期污染源强核算</w:t>
      </w:r>
    </w:p>
    <w:p w:rsidR="002A5A5E" w:rsidRPr="00FC1444" w:rsidRDefault="00611CBA">
      <w:pPr>
        <w:widowControl/>
        <w:spacing w:line="360" w:lineRule="auto"/>
        <w:ind w:firstLineChars="200" w:firstLine="480"/>
        <w:rPr>
          <w:rFonts w:eastAsiaTheme="minorEastAsia"/>
          <w:kern w:val="0"/>
          <w:sz w:val="24"/>
        </w:rPr>
      </w:pPr>
      <w:r w:rsidRPr="00FC1444">
        <w:rPr>
          <w:rFonts w:eastAsiaTheme="minorEastAsia"/>
          <w:kern w:val="0"/>
          <w:sz w:val="24"/>
        </w:rPr>
        <w:t>施工活动的工程内容主要为：平整土地、建筑施工、管线铺设、设备安装</w:t>
      </w:r>
      <w:r w:rsidR="001F0EC6" w:rsidRPr="00FC1444">
        <w:rPr>
          <w:rFonts w:eastAsiaTheme="minorEastAsia"/>
          <w:kern w:val="0"/>
          <w:sz w:val="24"/>
        </w:rPr>
        <w:t>、清淤工程</w:t>
      </w:r>
      <w:r w:rsidRPr="00FC1444">
        <w:rPr>
          <w:rFonts w:eastAsiaTheme="minorEastAsia"/>
          <w:kern w:val="0"/>
          <w:sz w:val="24"/>
        </w:rPr>
        <w:t>等，主要影响范围为项目场区区域，施工过程将产生施工扬尘、</w:t>
      </w:r>
      <w:r w:rsidR="001F0EC6" w:rsidRPr="00FC1444">
        <w:rPr>
          <w:rFonts w:eastAsiaTheme="minorEastAsia"/>
          <w:kern w:val="0"/>
          <w:sz w:val="24"/>
        </w:rPr>
        <w:t>恶臭气体、</w:t>
      </w:r>
      <w:r w:rsidRPr="00FC1444">
        <w:rPr>
          <w:rFonts w:eastAsiaTheme="minorEastAsia"/>
          <w:kern w:val="0"/>
          <w:sz w:val="24"/>
        </w:rPr>
        <w:t>施工废水、施工噪声、施工固废及生活垃圾等污染物，主要</w:t>
      </w:r>
      <w:r w:rsidR="00FC1444" w:rsidRPr="00FC1444">
        <w:rPr>
          <w:rFonts w:eastAsiaTheme="minorEastAsia"/>
          <w:kern w:val="0"/>
          <w:sz w:val="24"/>
        </w:rPr>
        <w:t>生态</w:t>
      </w:r>
      <w:r w:rsidRPr="00FC1444">
        <w:rPr>
          <w:rFonts w:eastAsiaTheme="minorEastAsia"/>
          <w:kern w:val="0"/>
          <w:sz w:val="24"/>
        </w:rPr>
        <w:t>环境影响因子包括环境空气、水环境、声环境、人群健康、生态环境等。</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3.3.1.1</w:t>
      </w:r>
      <w:r w:rsidRPr="00FC1444">
        <w:rPr>
          <w:rFonts w:eastAsiaTheme="minorEastAsia"/>
          <w:b/>
          <w:sz w:val="24"/>
        </w:rPr>
        <w:t>废水污染分析</w:t>
      </w:r>
    </w:p>
    <w:p w:rsidR="002A5A5E" w:rsidRPr="00FC1444" w:rsidRDefault="00611CBA">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t>项目施工人员均雇佣附近居民，生活区依托附近民房，因此，不设置施工生活区。</w:t>
      </w:r>
      <w:r w:rsidRPr="00FC1444">
        <w:rPr>
          <w:rFonts w:eastAsiaTheme="minorEastAsia"/>
          <w:kern w:val="0"/>
          <w:sz w:val="24"/>
        </w:rPr>
        <w:t>本项目施工期使用商品混凝土，不现场搅拌，无混凝土搅拌废水。混凝土预制件均外购，故不产生养护废水，施工机械、车辆不在现场维修和冲洗。</w:t>
      </w:r>
      <w:r w:rsidRPr="00FC1444">
        <w:rPr>
          <w:rFonts w:eastAsiaTheme="minorEastAsia"/>
          <w:bCs/>
          <w:kern w:val="0"/>
          <w:sz w:val="24"/>
        </w:rPr>
        <w:t>施工期产生的废水主要为施工废水、施工人员产生的生活污水及</w:t>
      </w:r>
      <w:r w:rsidRPr="00FC1444">
        <w:rPr>
          <w:rFonts w:eastAsiaTheme="minorEastAsia"/>
          <w:spacing w:val="-5"/>
          <w:sz w:val="24"/>
        </w:rPr>
        <w:t>清淤沥水</w:t>
      </w:r>
      <w:r w:rsidRPr="00FC1444">
        <w:rPr>
          <w:rFonts w:eastAsiaTheme="minorEastAsia"/>
          <w:bCs/>
          <w:kern w:val="0"/>
          <w:sz w:val="24"/>
        </w:rPr>
        <w:t>。</w:t>
      </w:r>
    </w:p>
    <w:p w:rsidR="002A5A5E" w:rsidRPr="00FC1444" w:rsidRDefault="009840DD">
      <w:pPr>
        <w:autoSpaceDE w:val="0"/>
        <w:autoSpaceDN w:val="0"/>
        <w:adjustRightInd w:val="0"/>
        <w:spacing w:line="360" w:lineRule="auto"/>
        <w:ind w:firstLineChars="225" w:firstLine="540"/>
        <w:jc w:val="left"/>
        <w:rPr>
          <w:rFonts w:eastAsiaTheme="minorEastAsia"/>
          <w:bCs/>
          <w:kern w:val="0"/>
          <w:sz w:val="24"/>
        </w:rPr>
      </w:pPr>
      <w:r w:rsidRPr="00FC1444">
        <w:rPr>
          <w:rFonts w:eastAsiaTheme="minorEastAsia"/>
          <w:bCs/>
          <w:kern w:val="0"/>
          <w:sz w:val="24"/>
        </w:rPr>
        <w:fldChar w:fldCharType="begin"/>
      </w:r>
      <w:r w:rsidR="00611CBA" w:rsidRPr="00FC1444">
        <w:rPr>
          <w:rFonts w:eastAsiaTheme="minorEastAsia"/>
          <w:bCs/>
          <w:kern w:val="0"/>
          <w:sz w:val="24"/>
        </w:rPr>
        <w:instrText xml:space="preserve"> = 1 \* GB3 </w:instrText>
      </w:r>
      <w:r w:rsidRPr="00FC1444">
        <w:rPr>
          <w:rFonts w:eastAsiaTheme="minorEastAsia"/>
          <w:bCs/>
          <w:kern w:val="0"/>
          <w:sz w:val="24"/>
        </w:rPr>
        <w:fldChar w:fldCharType="separate"/>
      </w:r>
      <w:r w:rsidR="00611CBA" w:rsidRPr="00FC1444">
        <w:rPr>
          <w:rFonts w:ascii="宋体" w:hAnsi="宋体" w:cs="宋体" w:hint="eastAsia"/>
          <w:bCs/>
          <w:kern w:val="0"/>
          <w:sz w:val="24"/>
        </w:rPr>
        <w:t>①</w:t>
      </w:r>
      <w:r w:rsidRPr="00FC1444">
        <w:rPr>
          <w:rFonts w:eastAsiaTheme="minorEastAsia"/>
          <w:bCs/>
          <w:kern w:val="0"/>
          <w:sz w:val="24"/>
        </w:rPr>
        <w:fldChar w:fldCharType="end"/>
      </w:r>
      <w:r w:rsidR="00611CBA" w:rsidRPr="00FC1444">
        <w:rPr>
          <w:rFonts w:eastAsiaTheme="minorEastAsia"/>
          <w:bCs/>
          <w:kern w:val="0"/>
          <w:sz w:val="24"/>
        </w:rPr>
        <w:t>生活污水</w:t>
      </w:r>
    </w:p>
    <w:p w:rsidR="002A5A5E" w:rsidRPr="00FC1444" w:rsidRDefault="00611CBA">
      <w:pPr>
        <w:autoSpaceDE w:val="0"/>
        <w:autoSpaceDN w:val="0"/>
        <w:adjustRightInd w:val="0"/>
        <w:spacing w:line="360" w:lineRule="auto"/>
        <w:ind w:firstLineChars="225" w:firstLine="540"/>
        <w:jc w:val="left"/>
        <w:rPr>
          <w:rFonts w:eastAsiaTheme="minorEastAsia"/>
          <w:bCs/>
          <w:sz w:val="24"/>
        </w:rPr>
      </w:pPr>
      <w:r w:rsidRPr="00FC1444">
        <w:rPr>
          <w:rFonts w:eastAsiaTheme="minorEastAsia"/>
          <w:sz w:val="24"/>
        </w:rPr>
        <w:t>本工程涉及</w:t>
      </w:r>
      <w:r w:rsidR="006974EB" w:rsidRPr="00FC1444">
        <w:rPr>
          <w:rFonts w:eastAsiaTheme="minorEastAsia"/>
          <w:sz w:val="24"/>
        </w:rPr>
        <w:t>11</w:t>
      </w:r>
      <w:r w:rsidR="006974EB" w:rsidRPr="00FC1444">
        <w:rPr>
          <w:rFonts w:eastAsiaTheme="minorEastAsia"/>
          <w:sz w:val="24"/>
        </w:rPr>
        <w:t>个自然村</w:t>
      </w:r>
      <w:r w:rsidRPr="00FC1444">
        <w:rPr>
          <w:rFonts w:eastAsiaTheme="minorEastAsia"/>
          <w:sz w:val="24"/>
        </w:rPr>
        <w:t>，每个村施工人员约</w:t>
      </w:r>
      <w:r w:rsidRPr="00FC1444">
        <w:rPr>
          <w:rFonts w:eastAsiaTheme="minorEastAsia"/>
          <w:sz w:val="24"/>
        </w:rPr>
        <w:t>1</w:t>
      </w:r>
      <w:r w:rsidR="006974EB" w:rsidRPr="00FC1444">
        <w:rPr>
          <w:rFonts w:eastAsiaTheme="minorEastAsia"/>
          <w:sz w:val="24"/>
        </w:rPr>
        <w:t>5</w:t>
      </w:r>
      <w:r w:rsidRPr="00FC1444">
        <w:rPr>
          <w:rFonts w:eastAsiaTheme="minorEastAsia"/>
          <w:sz w:val="24"/>
        </w:rPr>
        <w:t>人，</w:t>
      </w:r>
      <w:r w:rsidRPr="00FC1444">
        <w:rPr>
          <w:rFonts w:eastAsiaTheme="minorEastAsia"/>
          <w:bCs/>
          <w:kern w:val="0"/>
          <w:sz w:val="24"/>
        </w:rPr>
        <w:t>本项目</w:t>
      </w:r>
      <w:r w:rsidRPr="00FC1444">
        <w:rPr>
          <w:rFonts w:eastAsiaTheme="minorEastAsia"/>
          <w:bCs/>
          <w:snapToGrid w:val="0"/>
          <w:kern w:val="0"/>
          <w:sz w:val="24"/>
        </w:rPr>
        <w:t>施工</w:t>
      </w:r>
      <w:r w:rsidRPr="00FC1444">
        <w:rPr>
          <w:rFonts w:eastAsiaTheme="minorEastAsia"/>
          <w:bCs/>
          <w:kern w:val="0"/>
          <w:sz w:val="24"/>
        </w:rPr>
        <w:t>期</w:t>
      </w:r>
      <w:r w:rsidRPr="00FC1444">
        <w:rPr>
          <w:rFonts w:eastAsiaTheme="minorEastAsia"/>
          <w:sz w:val="24"/>
        </w:rPr>
        <w:t>生活污水</w:t>
      </w:r>
      <w:r w:rsidRPr="00FC1444">
        <w:rPr>
          <w:rFonts w:eastAsiaTheme="minorEastAsia"/>
          <w:bCs/>
          <w:kern w:val="0"/>
          <w:sz w:val="24"/>
          <w:szCs w:val="20"/>
        </w:rPr>
        <w:t>产生量为</w:t>
      </w:r>
      <w:r w:rsidR="006974EB" w:rsidRPr="00FC1444">
        <w:rPr>
          <w:rFonts w:eastAsiaTheme="minorEastAsia"/>
          <w:bCs/>
          <w:kern w:val="0"/>
          <w:sz w:val="24"/>
          <w:szCs w:val="20"/>
        </w:rPr>
        <w:t>10.6</w:t>
      </w:r>
      <w:r w:rsidRPr="00FC1444">
        <w:rPr>
          <w:rFonts w:eastAsiaTheme="minorEastAsia"/>
          <w:bCs/>
          <w:kern w:val="0"/>
          <w:sz w:val="24"/>
          <w:szCs w:val="20"/>
        </w:rPr>
        <w:t>t/d</w:t>
      </w:r>
      <w:r w:rsidRPr="00FC1444">
        <w:rPr>
          <w:rFonts w:eastAsiaTheme="minorEastAsia"/>
          <w:bCs/>
          <w:kern w:val="0"/>
          <w:sz w:val="24"/>
          <w:szCs w:val="20"/>
        </w:rPr>
        <w:t>，平均每个村</w:t>
      </w:r>
      <w:r w:rsidRPr="00FC1444">
        <w:rPr>
          <w:rFonts w:eastAsiaTheme="minorEastAsia"/>
          <w:sz w:val="24"/>
        </w:rPr>
        <w:t>生活污水</w:t>
      </w:r>
      <w:r w:rsidRPr="00FC1444">
        <w:rPr>
          <w:rFonts w:eastAsiaTheme="minorEastAsia"/>
          <w:bCs/>
          <w:kern w:val="0"/>
          <w:sz w:val="24"/>
          <w:szCs w:val="20"/>
        </w:rPr>
        <w:t>产生量为</w:t>
      </w:r>
      <w:r w:rsidR="006974EB" w:rsidRPr="00FC1444">
        <w:rPr>
          <w:rFonts w:eastAsiaTheme="minorEastAsia"/>
          <w:bCs/>
          <w:kern w:val="0"/>
          <w:sz w:val="24"/>
          <w:szCs w:val="20"/>
        </w:rPr>
        <w:t>0.96</w:t>
      </w:r>
      <w:r w:rsidRPr="00FC1444">
        <w:rPr>
          <w:rFonts w:eastAsiaTheme="minorEastAsia"/>
          <w:bCs/>
          <w:kern w:val="0"/>
          <w:sz w:val="24"/>
          <w:szCs w:val="20"/>
        </w:rPr>
        <w:t>t/d</w:t>
      </w:r>
      <w:r w:rsidRPr="00FC1444">
        <w:rPr>
          <w:rFonts w:eastAsiaTheme="minorEastAsia"/>
          <w:bCs/>
          <w:kern w:val="0"/>
          <w:sz w:val="24"/>
          <w:szCs w:val="20"/>
        </w:rPr>
        <w:t>，主要污染物为</w:t>
      </w:r>
      <w:r w:rsidRPr="00FC1444">
        <w:rPr>
          <w:rFonts w:eastAsiaTheme="minorEastAsia"/>
          <w:bCs/>
          <w:kern w:val="0"/>
          <w:sz w:val="24"/>
          <w:szCs w:val="20"/>
        </w:rPr>
        <w:t>COD</w:t>
      </w:r>
      <w:r w:rsidRPr="00FC1444">
        <w:rPr>
          <w:rFonts w:eastAsiaTheme="minorEastAsia"/>
          <w:bCs/>
          <w:kern w:val="0"/>
          <w:sz w:val="24"/>
          <w:szCs w:val="20"/>
        </w:rPr>
        <w:t>、</w:t>
      </w:r>
      <w:r w:rsidRPr="00FC1444">
        <w:rPr>
          <w:rFonts w:eastAsiaTheme="minorEastAsia"/>
          <w:bCs/>
          <w:kern w:val="0"/>
          <w:sz w:val="24"/>
          <w:szCs w:val="20"/>
        </w:rPr>
        <w:t>BOD</w:t>
      </w:r>
      <w:r w:rsidRPr="00FC1444">
        <w:rPr>
          <w:rFonts w:eastAsiaTheme="minorEastAsia"/>
          <w:bCs/>
          <w:kern w:val="0"/>
          <w:sz w:val="24"/>
          <w:szCs w:val="20"/>
          <w:vertAlign w:val="subscript"/>
        </w:rPr>
        <w:t>5</w:t>
      </w:r>
      <w:r w:rsidRPr="00FC1444">
        <w:rPr>
          <w:rFonts w:eastAsiaTheme="minorEastAsia"/>
          <w:bCs/>
          <w:kern w:val="0"/>
          <w:sz w:val="24"/>
          <w:szCs w:val="20"/>
        </w:rPr>
        <w:t>、</w:t>
      </w:r>
      <w:r w:rsidRPr="00FC1444">
        <w:rPr>
          <w:rFonts w:eastAsiaTheme="minorEastAsia"/>
          <w:bCs/>
          <w:kern w:val="0"/>
          <w:sz w:val="24"/>
          <w:szCs w:val="20"/>
        </w:rPr>
        <w:t>SS</w:t>
      </w:r>
      <w:r w:rsidRPr="00FC1444">
        <w:rPr>
          <w:rFonts w:eastAsiaTheme="minorEastAsia"/>
          <w:bCs/>
          <w:kern w:val="0"/>
          <w:sz w:val="24"/>
          <w:szCs w:val="20"/>
        </w:rPr>
        <w:t>、氨氮等，其浓度分别为</w:t>
      </w:r>
      <w:r w:rsidRPr="00FC1444">
        <w:rPr>
          <w:rFonts w:eastAsiaTheme="minorEastAsia"/>
          <w:bCs/>
          <w:kern w:val="0"/>
          <w:sz w:val="24"/>
          <w:szCs w:val="20"/>
        </w:rPr>
        <w:t>COD</w:t>
      </w:r>
      <w:r w:rsidRPr="00FC1444">
        <w:rPr>
          <w:rFonts w:eastAsiaTheme="minorEastAsia"/>
          <w:bCs/>
          <w:kern w:val="0"/>
          <w:sz w:val="24"/>
          <w:szCs w:val="20"/>
        </w:rPr>
        <w:t>：</w:t>
      </w:r>
      <w:r w:rsidRPr="00FC1444">
        <w:rPr>
          <w:rFonts w:eastAsiaTheme="minorEastAsia"/>
          <w:bCs/>
          <w:kern w:val="0"/>
          <w:sz w:val="24"/>
          <w:szCs w:val="20"/>
        </w:rPr>
        <w:t>450mg/L</w:t>
      </w:r>
      <w:r w:rsidRPr="00FC1444">
        <w:rPr>
          <w:rFonts w:eastAsiaTheme="minorEastAsia"/>
          <w:bCs/>
          <w:kern w:val="0"/>
          <w:sz w:val="24"/>
          <w:szCs w:val="20"/>
        </w:rPr>
        <w:t>、</w:t>
      </w:r>
      <w:r w:rsidRPr="00FC1444">
        <w:rPr>
          <w:rFonts w:eastAsiaTheme="minorEastAsia"/>
          <w:bCs/>
          <w:kern w:val="0"/>
          <w:sz w:val="24"/>
          <w:szCs w:val="20"/>
        </w:rPr>
        <w:t>BOD</w:t>
      </w:r>
      <w:r w:rsidRPr="00FC1444">
        <w:rPr>
          <w:rFonts w:eastAsiaTheme="minorEastAsia"/>
          <w:bCs/>
          <w:kern w:val="0"/>
          <w:sz w:val="24"/>
          <w:szCs w:val="20"/>
          <w:vertAlign w:val="subscript"/>
        </w:rPr>
        <w:t>5</w:t>
      </w:r>
      <w:r w:rsidRPr="00FC1444">
        <w:rPr>
          <w:rFonts w:eastAsiaTheme="minorEastAsia"/>
          <w:bCs/>
          <w:kern w:val="0"/>
          <w:sz w:val="24"/>
          <w:szCs w:val="20"/>
        </w:rPr>
        <w:t>：</w:t>
      </w:r>
      <w:r w:rsidRPr="00FC1444">
        <w:rPr>
          <w:rFonts w:eastAsiaTheme="minorEastAsia"/>
          <w:bCs/>
          <w:kern w:val="0"/>
          <w:sz w:val="24"/>
          <w:szCs w:val="20"/>
        </w:rPr>
        <w:t>250mg/L</w:t>
      </w:r>
      <w:r w:rsidRPr="00FC1444">
        <w:rPr>
          <w:rFonts w:eastAsiaTheme="minorEastAsia"/>
          <w:bCs/>
          <w:kern w:val="0"/>
          <w:sz w:val="24"/>
          <w:szCs w:val="20"/>
        </w:rPr>
        <w:t>、</w:t>
      </w:r>
      <w:r w:rsidRPr="00FC1444">
        <w:rPr>
          <w:rFonts w:eastAsiaTheme="minorEastAsia"/>
          <w:bCs/>
          <w:kern w:val="0"/>
          <w:sz w:val="24"/>
          <w:szCs w:val="20"/>
        </w:rPr>
        <w:t>SS</w:t>
      </w:r>
      <w:r w:rsidRPr="00FC1444">
        <w:rPr>
          <w:rFonts w:eastAsiaTheme="minorEastAsia"/>
          <w:bCs/>
          <w:kern w:val="0"/>
          <w:sz w:val="24"/>
          <w:szCs w:val="20"/>
        </w:rPr>
        <w:t>：</w:t>
      </w:r>
      <w:r w:rsidRPr="00FC1444">
        <w:rPr>
          <w:rFonts w:eastAsiaTheme="minorEastAsia"/>
          <w:bCs/>
          <w:kern w:val="0"/>
          <w:sz w:val="24"/>
          <w:szCs w:val="20"/>
        </w:rPr>
        <w:t>300mg/L</w:t>
      </w:r>
      <w:r w:rsidRPr="00FC1444">
        <w:rPr>
          <w:rFonts w:eastAsiaTheme="minorEastAsia"/>
          <w:bCs/>
          <w:kern w:val="0"/>
          <w:sz w:val="24"/>
          <w:szCs w:val="20"/>
        </w:rPr>
        <w:t>、氨氮：</w:t>
      </w:r>
      <w:r w:rsidRPr="00FC1444">
        <w:rPr>
          <w:rFonts w:eastAsiaTheme="minorEastAsia"/>
          <w:bCs/>
          <w:kern w:val="0"/>
          <w:sz w:val="24"/>
          <w:szCs w:val="20"/>
        </w:rPr>
        <w:t>40mg/L</w:t>
      </w:r>
      <w:r w:rsidRPr="00FC1444">
        <w:rPr>
          <w:rFonts w:eastAsiaTheme="minorEastAsia"/>
          <w:bCs/>
          <w:kern w:val="0"/>
          <w:sz w:val="24"/>
          <w:szCs w:val="20"/>
        </w:rPr>
        <w:t>、</w:t>
      </w:r>
      <w:r w:rsidRPr="00FC1444">
        <w:rPr>
          <w:rFonts w:eastAsiaTheme="minorEastAsia"/>
          <w:snapToGrid w:val="0"/>
          <w:sz w:val="24"/>
        </w:rPr>
        <w:t>pH</w:t>
      </w:r>
      <w:r w:rsidRPr="00FC1444">
        <w:rPr>
          <w:rFonts w:eastAsiaTheme="minorEastAsia"/>
          <w:snapToGrid w:val="0"/>
          <w:sz w:val="24"/>
        </w:rPr>
        <w:t>：</w:t>
      </w:r>
      <w:r w:rsidRPr="00FC1444">
        <w:rPr>
          <w:rFonts w:eastAsiaTheme="minorEastAsia"/>
          <w:bCs/>
          <w:sz w:val="24"/>
        </w:rPr>
        <w:t>6-9</w:t>
      </w:r>
      <w:r w:rsidRPr="00FC1444">
        <w:rPr>
          <w:rFonts w:eastAsiaTheme="minorEastAsia"/>
          <w:bCs/>
          <w:sz w:val="24"/>
        </w:rPr>
        <w:t>（无量纲）</w:t>
      </w:r>
      <w:r w:rsidRPr="00FC1444">
        <w:rPr>
          <w:rFonts w:eastAsiaTheme="minorEastAsia"/>
          <w:bCs/>
          <w:kern w:val="0"/>
          <w:sz w:val="24"/>
          <w:szCs w:val="20"/>
        </w:rPr>
        <w:t>，</w:t>
      </w:r>
      <w:r w:rsidRPr="00FC1444">
        <w:rPr>
          <w:rFonts w:eastAsiaTheme="minorEastAsia"/>
          <w:bCs/>
          <w:sz w:val="24"/>
        </w:rPr>
        <w:t>生活污水依托附近民房防渗旱厕，定期清掏，外运堆肥，不外排。</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3-3-1</w:t>
      </w:r>
      <w:r w:rsidRPr="00FC1444">
        <w:rPr>
          <w:rFonts w:eastAsiaTheme="minorEastAsia"/>
          <w:b/>
          <w:kern w:val="0"/>
          <w:szCs w:val="21"/>
        </w:rPr>
        <w:t>施工期生活污水排放情况表</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1291"/>
        <w:gridCol w:w="1844"/>
        <w:gridCol w:w="1174"/>
        <w:gridCol w:w="983"/>
        <w:gridCol w:w="914"/>
        <w:gridCol w:w="707"/>
        <w:gridCol w:w="1609"/>
      </w:tblGrid>
      <w:tr w:rsidR="002A5A5E" w:rsidRPr="00FC1444" w:rsidTr="00E86661">
        <w:trPr>
          <w:trHeight w:val="35"/>
        </w:trPr>
        <w:tc>
          <w:tcPr>
            <w:tcW w:w="7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废水量（</w:t>
            </w:r>
            <w:r w:rsidRPr="00FC1444">
              <w:rPr>
                <w:rFonts w:eastAsiaTheme="minorEastAsia" w:hAnsi="Times New Roman"/>
                <w:snapToGrid w:val="0"/>
                <w:szCs w:val="22"/>
              </w:rPr>
              <w:t>t/d</w:t>
            </w:r>
            <w:r w:rsidRPr="00FC1444">
              <w:rPr>
                <w:rFonts w:eastAsiaTheme="minorEastAsia" w:hAnsi="Times New Roman"/>
                <w:snapToGrid w:val="0"/>
                <w:szCs w:val="22"/>
              </w:rPr>
              <w:t>）</w:t>
            </w:r>
          </w:p>
        </w:tc>
        <w:tc>
          <w:tcPr>
            <w:tcW w:w="1082"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水质</w:t>
            </w:r>
          </w:p>
        </w:tc>
        <w:tc>
          <w:tcPr>
            <w:tcW w:w="689"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CODcr</w:t>
            </w:r>
          </w:p>
        </w:tc>
        <w:tc>
          <w:tcPr>
            <w:tcW w:w="57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BOD</w:t>
            </w:r>
            <w:r w:rsidRPr="00FC1444">
              <w:rPr>
                <w:rFonts w:eastAsiaTheme="minorEastAsia" w:hAnsi="Times New Roman"/>
                <w:snapToGrid w:val="0"/>
                <w:szCs w:val="22"/>
                <w:vertAlign w:val="subscript"/>
              </w:rPr>
              <w:t>5</w:t>
            </w:r>
          </w:p>
        </w:tc>
        <w:tc>
          <w:tcPr>
            <w:tcW w:w="536"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SS</w:t>
            </w:r>
          </w:p>
        </w:tc>
        <w:tc>
          <w:tcPr>
            <w:tcW w:w="415"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氨氮</w:t>
            </w:r>
          </w:p>
        </w:tc>
        <w:tc>
          <w:tcPr>
            <w:tcW w:w="945" w:type="pct"/>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pH</w:t>
            </w:r>
          </w:p>
        </w:tc>
      </w:tr>
      <w:tr w:rsidR="002A5A5E" w:rsidRPr="00FC1444" w:rsidTr="00E86661">
        <w:trPr>
          <w:trHeight w:val="54"/>
        </w:trPr>
        <w:tc>
          <w:tcPr>
            <w:tcW w:w="757" w:type="pct"/>
            <w:vMerge w:val="restart"/>
            <w:shd w:val="clear" w:color="auto" w:fill="auto"/>
            <w:vAlign w:val="center"/>
          </w:tcPr>
          <w:p w:rsidR="002A5A5E" w:rsidRPr="00FC1444" w:rsidRDefault="006974EB">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10.6</w:t>
            </w:r>
          </w:p>
        </w:tc>
        <w:tc>
          <w:tcPr>
            <w:tcW w:w="1082"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产生浓度（</w:t>
            </w:r>
            <w:r w:rsidRPr="00FC1444">
              <w:rPr>
                <w:rFonts w:eastAsiaTheme="minorEastAsia" w:hAnsi="Times New Roman"/>
                <w:snapToGrid w:val="0"/>
                <w:szCs w:val="22"/>
              </w:rPr>
              <w:t>mg/L</w:t>
            </w:r>
            <w:r w:rsidRPr="00FC1444">
              <w:rPr>
                <w:rFonts w:eastAsiaTheme="minorEastAsia" w:hAnsi="Times New Roman"/>
                <w:snapToGrid w:val="0"/>
                <w:szCs w:val="22"/>
              </w:rPr>
              <w:t>）</w:t>
            </w:r>
          </w:p>
        </w:tc>
        <w:tc>
          <w:tcPr>
            <w:tcW w:w="689" w:type="pct"/>
            <w:shd w:val="clear" w:color="auto" w:fill="auto"/>
            <w:vAlign w:val="center"/>
          </w:tcPr>
          <w:p w:rsidR="002A5A5E" w:rsidRPr="00FC1444" w:rsidRDefault="00611CBA">
            <w:pPr>
              <w:contextualSpacing/>
              <w:jc w:val="center"/>
              <w:rPr>
                <w:rFonts w:eastAsiaTheme="minorEastAsia"/>
                <w:bCs/>
                <w:szCs w:val="21"/>
              </w:rPr>
            </w:pPr>
            <w:r w:rsidRPr="00FC1444">
              <w:rPr>
                <w:rFonts w:eastAsiaTheme="minorEastAsia"/>
                <w:bCs/>
                <w:szCs w:val="21"/>
              </w:rPr>
              <w:t>450</w:t>
            </w:r>
          </w:p>
        </w:tc>
        <w:tc>
          <w:tcPr>
            <w:tcW w:w="577" w:type="pct"/>
            <w:shd w:val="clear" w:color="auto" w:fill="auto"/>
            <w:vAlign w:val="center"/>
          </w:tcPr>
          <w:p w:rsidR="002A5A5E" w:rsidRPr="00FC1444" w:rsidRDefault="00611CBA">
            <w:pPr>
              <w:contextualSpacing/>
              <w:jc w:val="center"/>
              <w:rPr>
                <w:rFonts w:eastAsiaTheme="minorEastAsia"/>
                <w:bCs/>
                <w:szCs w:val="21"/>
              </w:rPr>
            </w:pPr>
            <w:r w:rsidRPr="00FC1444">
              <w:rPr>
                <w:rFonts w:eastAsiaTheme="minorEastAsia"/>
                <w:bCs/>
                <w:szCs w:val="21"/>
              </w:rPr>
              <w:t>250</w:t>
            </w:r>
          </w:p>
        </w:tc>
        <w:tc>
          <w:tcPr>
            <w:tcW w:w="536" w:type="pct"/>
            <w:shd w:val="clear" w:color="auto" w:fill="auto"/>
            <w:vAlign w:val="center"/>
          </w:tcPr>
          <w:p w:rsidR="002A5A5E" w:rsidRPr="00FC1444" w:rsidRDefault="00611CBA">
            <w:pPr>
              <w:contextualSpacing/>
              <w:jc w:val="center"/>
              <w:rPr>
                <w:rFonts w:eastAsiaTheme="minorEastAsia"/>
                <w:bCs/>
                <w:szCs w:val="21"/>
              </w:rPr>
            </w:pPr>
            <w:r w:rsidRPr="00FC1444">
              <w:rPr>
                <w:rFonts w:eastAsiaTheme="minorEastAsia"/>
                <w:bCs/>
                <w:szCs w:val="21"/>
              </w:rPr>
              <w:t>300</w:t>
            </w:r>
          </w:p>
        </w:tc>
        <w:tc>
          <w:tcPr>
            <w:tcW w:w="415" w:type="pct"/>
            <w:shd w:val="clear" w:color="auto" w:fill="auto"/>
            <w:vAlign w:val="center"/>
          </w:tcPr>
          <w:p w:rsidR="002A5A5E" w:rsidRPr="00FC1444" w:rsidRDefault="00611CBA">
            <w:pPr>
              <w:contextualSpacing/>
              <w:jc w:val="center"/>
              <w:rPr>
                <w:rFonts w:eastAsiaTheme="minorEastAsia"/>
                <w:bCs/>
                <w:szCs w:val="21"/>
              </w:rPr>
            </w:pPr>
            <w:r w:rsidRPr="00FC1444">
              <w:rPr>
                <w:rFonts w:eastAsiaTheme="minorEastAsia"/>
                <w:bCs/>
                <w:szCs w:val="21"/>
              </w:rPr>
              <w:t>40</w:t>
            </w:r>
          </w:p>
        </w:tc>
        <w:tc>
          <w:tcPr>
            <w:tcW w:w="945" w:type="pct"/>
          </w:tcPr>
          <w:p w:rsidR="002A5A5E" w:rsidRPr="00FC1444" w:rsidRDefault="00611CBA">
            <w:pPr>
              <w:contextualSpacing/>
              <w:jc w:val="center"/>
              <w:rPr>
                <w:rFonts w:eastAsiaTheme="minorEastAsia"/>
                <w:bCs/>
                <w:szCs w:val="21"/>
              </w:rPr>
            </w:pPr>
            <w:r w:rsidRPr="00FC1444">
              <w:rPr>
                <w:rFonts w:eastAsiaTheme="minorEastAsia"/>
                <w:bCs/>
                <w:szCs w:val="21"/>
              </w:rPr>
              <w:t>6-9</w:t>
            </w:r>
            <w:r w:rsidRPr="00FC1444">
              <w:rPr>
                <w:rFonts w:eastAsiaTheme="minorEastAsia"/>
                <w:bCs/>
                <w:szCs w:val="21"/>
              </w:rPr>
              <w:t>（无量纲）</w:t>
            </w:r>
          </w:p>
        </w:tc>
      </w:tr>
      <w:tr w:rsidR="002A5A5E" w:rsidRPr="00FC1444" w:rsidTr="00E86661">
        <w:trPr>
          <w:trHeight w:val="54"/>
        </w:trPr>
        <w:tc>
          <w:tcPr>
            <w:tcW w:w="757" w:type="pct"/>
            <w:vMerge/>
            <w:shd w:val="clear" w:color="auto" w:fill="auto"/>
            <w:vAlign w:val="center"/>
          </w:tcPr>
          <w:p w:rsidR="002A5A5E" w:rsidRPr="00FC1444" w:rsidRDefault="002A5A5E">
            <w:pPr>
              <w:pStyle w:val="aff7"/>
              <w:spacing w:line="0" w:lineRule="atLeast"/>
              <w:rPr>
                <w:rFonts w:eastAsiaTheme="minorEastAsia" w:hAnsi="Times New Roman"/>
                <w:snapToGrid w:val="0"/>
              </w:rPr>
            </w:pPr>
          </w:p>
        </w:tc>
        <w:tc>
          <w:tcPr>
            <w:tcW w:w="1082" w:type="pct"/>
            <w:shd w:val="clear" w:color="auto" w:fill="auto"/>
            <w:vAlign w:val="center"/>
          </w:tcPr>
          <w:p w:rsidR="002A5A5E" w:rsidRPr="00FC1444" w:rsidRDefault="00611CBA">
            <w:pPr>
              <w:pStyle w:val="aff7"/>
              <w:spacing w:line="0" w:lineRule="atLeast"/>
              <w:rPr>
                <w:rFonts w:eastAsiaTheme="minorEastAsia" w:hAnsi="Times New Roman"/>
                <w:b/>
                <w:snapToGrid w:val="0"/>
                <w:szCs w:val="22"/>
              </w:rPr>
            </w:pPr>
            <w:r w:rsidRPr="00FC1444">
              <w:rPr>
                <w:rFonts w:eastAsiaTheme="minorEastAsia" w:hAnsi="Times New Roman"/>
                <w:snapToGrid w:val="0"/>
                <w:szCs w:val="22"/>
              </w:rPr>
              <w:t>产生量（</w:t>
            </w:r>
            <w:r w:rsidRPr="00FC1444">
              <w:rPr>
                <w:rFonts w:eastAsiaTheme="minorEastAsia" w:hAnsi="Times New Roman"/>
                <w:snapToGrid w:val="0"/>
                <w:szCs w:val="22"/>
              </w:rPr>
              <w:t>kg/d</w:t>
            </w:r>
            <w:r w:rsidRPr="00FC1444">
              <w:rPr>
                <w:rFonts w:eastAsiaTheme="minorEastAsia" w:hAnsi="Times New Roman"/>
                <w:snapToGrid w:val="0"/>
                <w:szCs w:val="22"/>
              </w:rPr>
              <w:t>）</w:t>
            </w:r>
          </w:p>
        </w:tc>
        <w:tc>
          <w:tcPr>
            <w:tcW w:w="689" w:type="pct"/>
            <w:shd w:val="clear" w:color="auto" w:fill="auto"/>
            <w:vAlign w:val="center"/>
          </w:tcPr>
          <w:p w:rsidR="002A5A5E" w:rsidRPr="00FC1444" w:rsidRDefault="000E00D5" w:rsidP="0042166B">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4.77</w:t>
            </w:r>
          </w:p>
        </w:tc>
        <w:tc>
          <w:tcPr>
            <w:tcW w:w="577" w:type="pct"/>
            <w:shd w:val="clear" w:color="auto" w:fill="auto"/>
            <w:vAlign w:val="center"/>
          </w:tcPr>
          <w:p w:rsidR="002A5A5E" w:rsidRPr="00FC1444" w:rsidRDefault="000E00D5">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2.65</w:t>
            </w:r>
          </w:p>
        </w:tc>
        <w:tc>
          <w:tcPr>
            <w:tcW w:w="536" w:type="pct"/>
            <w:shd w:val="clear" w:color="auto" w:fill="auto"/>
            <w:vAlign w:val="center"/>
          </w:tcPr>
          <w:p w:rsidR="002A5A5E" w:rsidRPr="00FC1444" w:rsidRDefault="000E00D5">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3.18</w:t>
            </w:r>
          </w:p>
        </w:tc>
        <w:tc>
          <w:tcPr>
            <w:tcW w:w="415" w:type="pct"/>
            <w:shd w:val="clear" w:color="auto" w:fill="auto"/>
            <w:vAlign w:val="center"/>
          </w:tcPr>
          <w:p w:rsidR="002A5A5E" w:rsidRPr="00FC1444" w:rsidRDefault="000E00D5" w:rsidP="00E86661">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0.42</w:t>
            </w:r>
          </w:p>
        </w:tc>
        <w:tc>
          <w:tcPr>
            <w:tcW w:w="945" w:type="pct"/>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w:t>
            </w:r>
          </w:p>
        </w:tc>
      </w:tr>
    </w:tbl>
    <w:p w:rsidR="002A5A5E" w:rsidRPr="00FC1444" w:rsidRDefault="009840DD">
      <w:pPr>
        <w:autoSpaceDE w:val="0"/>
        <w:autoSpaceDN w:val="0"/>
        <w:adjustRightInd w:val="0"/>
        <w:spacing w:line="360" w:lineRule="auto"/>
        <w:ind w:firstLineChars="200" w:firstLine="480"/>
        <w:jc w:val="left"/>
        <w:rPr>
          <w:rFonts w:eastAsiaTheme="minorEastAsia"/>
          <w:bCs/>
          <w:kern w:val="0"/>
          <w:sz w:val="24"/>
        </w:rPr>
      </w:pPr>
      <w:r w:rsidRPr="00FC1444">
        <w:rPr>
          <w:rFonts w:eastAsiaTheme="minorEastAsia"/>
          <w:bCs/>
          <w:kern w:val="0"/>
          <w:sz w:val="24"/>
        </w:rPr>
        <w:fldChar w:fldCharType="begin"/>
      </w:r>
      <w:r w:rsidR="00611CBA" w:rsidRPr="00FC1444">
        <w:rPr>
          <w:rFonts w:eastAsiaTheme="minorEastAsia"/>
          <w:bCs/>
          <w:kern w:val="0"/>
          <w:sz w:val="24"/>
        </w:rPr>
        <w:instrText xml:space="preserve"> = 2 \* GB3 </w:instrText>
      </w:r>
      <w:r w:rsidRPr="00FC1444">
        <w:rPr>
          <w:rFonts w:eastAsiaTheme="minorEastAsia"/>
          <w:bCs/>
          <w:kern w:val="0"/>
          <w:sz w:val="24"/>
        </w:rPr>
        <w:fldChar w:fldCharType="separate"/>
      </w:r>
      <w:r w:rsidR="00611CBA" w:rsidRPr="00FC1444">
        <w:rPr>
          <w:rFonts w:ascii="宋体" w:hAnsi="宋体" w:cs="宋体" w:hint="eastAsia"/>
          <w:bCs/>
          <w:kern w:val="0"/>
          <w:sz w:val="24"/>
        </w:rPr>
        <w:t>②</w:t>
      </w:r>
      <w:r w:rsidRPr="00FC1444">
        <w:rPr>
          <w:rFonts w:eastAsiaTheme="minorEastAsia"/>
          <w:bCs/>
          <w:kern w:val="0"/>
          <w:sz w:val="24"/>
        </w:rPr>
        <w:fldChar w:fldCharType="end"/>
      </w:r>
      <w:r w:rsidR="00611CBA" w:rsidRPr="00FC1444">
        <w:rPr>
          <w:rFonts w:eastAsiaTheme="minorEastAsia"/>
          <w:bCs/>
          <w:kern w:val="0"/>
          <w:sz w:val="24"/>
        </w:rPr>
        <w:t>洗井废水</w:t>
      </w:r>
    </w:p>
    <w:p w:rsidR="002A5A5E" w:rsidRPr="00FC1444" w:rsidRDefault="00611CBA">
      <w:pPr>
        <w:widowControl/>
        <w:spacing w:line="360" w:lineRule="auto"/>
        <w:ind w:firstLineChars="200" w:firstLine="480"/>
        <w:rPr>
          <w:rFonts w:eastAsiaTheme="minorEastAsia"/>
          <w:sz w:val="24"/>
        </w:rPr>
      </w:pPr>
      <w:r w:rsidRPr="00FC1444">
        <w:rPr>
          <w:rFonts w:eastAsiaTheme="minorEastAsia"/>
          <w:bCs/>
          <w:kern w:val="0"/>
          <w:sz w:val="24"/>
          <w:szCs w:val="20"/>
        </w:rPr>
        <w:t>完井后，需进行洗井作业，本项目洗井液采用清水对管套内进行清洗，其成分主要为</w:t>
      </w:r>
      <w:r w:rsidRPr="00FC1444">
        <w:rPr>
          <w:rFonts w:eastAsiaTheme="minorEastAsia"/>
          <w:bCs/>
          <w:kern w:val="0"/>
          <w:sz w:val="24"/>
          <w:szCs w:val="20"/>
        </w:rPr>
        <w:t>SS</w:t>
      </w:r>
      <w:r w:rsidRPr="00FC1444">
        <w:rPr>
          <w:rFonts w:eastAsiaTheme="minorEastAsia"/>
          <w:bCs/>
          <w:kern w:val="0"/>
          <w:sz w:val="24"/>
          <w:szCs w:val="20"/>
        </w:rPr>
        <w:t>，无其他化学药剂，</w:t>
      </w:r>
      <w:r w:rsidRPr="00FC1444">
        <w:rPr>
          <w:rFonts w:eastAsiaTheme="minorEastAsia"/>
          <w:sz w:val="24"/>
        </w:rPr>
        <w:t>洗井废水产生</w:t>
      </w:r>
      <w:r w:rsidRPr="00FC1444">
        <w:rPr>
          <w:rFonts w:eastAsiaTheme="minorEastAsia"/>
          <w:sz w:val="24"/>
          <w:szCs w:val="22"/>
        </w:rPr>
        <w:t>量为</w:t>
      </w:r>
      <w:r w:rsidR="006974EB" w:rsidRPr="00FC1444">
        <w:rPr>
          <w:rFonts w:eastAsiaTheme="minorEastAsia"/>
          <w:sz w:val="24"/>
          <w:szCs w:val="22"/>
        </w:rPr>
        <w:t>2475m</w:t>
      </w:r>
      <w:r w:rsidRPr="00FC1444">
        <w:rPr>
          <w:rFonts w:eastAsiaTheme="minorEastAsia"/>
          <w:sz w:val="24"/>
          <w:szCs w:val="22"/>
          <w:vertAlign w:val="superscript"/>
        </w:rPr>
        <w:t>3</w:t>
      </w:r>
      <w:r w:rsidRPr="00FC1444">
        <w:rPr>
          <w:rFonts w:eastAsiaTheme="minorEastAsia"/>
          <w:sz w:val="24"/>
          <w:szCs w:val="22"/>
        </w:rPr>
        <w:t>，</w:t>
      </w:r>
      <w:r w:rsidRPr="00FC1444">
        <w:rPr>
          <w:rFonts w:eastAsiaTheme="minorEastAsia"/>
          <w:sz w:val="24"/>
        </w:rPr>
        <w:t>用于洒水降尘。</w:t>
      </w:r>
    </w:p>
    <w:p w:rsidR="002A5A5E" w:rsidRPr="00FC1444" w:rsidRDefault="009840DD" w:rsidP="00611CBA">
      <w:pPr>
        <w:widowControl/>
        <w:spacing w:line="360" w:lineRule="auto"/>
        <w:ind w:firstLineChars="200" w:firstLine="480"/>
        <w:rPr>
          <w:rFonts w:eastAsiaTheme="minorEastAsia"/>
          <w:spacing w:val="-5"/>
          <w:sz w:val="24"/>
        </w:rPr>
      </w:pPr>
      <w:r w:rsidRPr="00FC1444">
        <w:rPr>
          <w:rFonts w:eastAsiaTheme="minorEastAsia"/>
          <w:spacing w:val="-5"/>
          <w:sz w:val="24"/>
        </w:rPr>
        <w:fldChar w:fldCharType="begin"/>
      </w:r>
      <w:r w:rsidR="00611CBA" w:rsidRPr="00FC1444">
        <w:rPr>
          <w:rFonts w:eastAsiaTheme="minorEastAsia"/>
          <w:spacing w:val="-5"/>
          <w:sz w:val="24"/>
        </w:rPr>
        <w:instrText xml:space="preserve"> = 3 \* GB3 </w:instrText>
      </w:r>
      <w:r w:rsidRPr="00FC1444">
        <w:rPr>
          <w:rFonts w:eastAsiaTheme="minorEastAsia"/>
          <w:spacing w:val="-5"/>
          <w:sz w:val="24"/>
        </w:rPr>
        <w:fldChar w:fldCharType="separate"/>
      </w:r>
      <w:r w:rsidR="00611CBA" w:rsidRPr="00FC1444">
        <w:rPr>
          <w:rFonts w:ascii="宋体" w:hAnsi="宋体" w:cs="宋体" w:hint="eastAsia"/>
          <w:spacing w:val="-5"/>
          <w:sz w:val="24"/>
        </w:rPr>
        <w:t>③</w:t>
      </w:r>
      <w:r w:rsidRPr="00FC1444">
        <w:rPr>
          <w:rFonts w:eastAsiaTheme="minorEastAsia"/>
          <w:spacing w:val="-5"/>
          <w:sz w:val="24"/>
        </w:rPr>
        <w:fldChar w:fldCharType="end"/>
      </w:r>
      <w:r w:rsidR="00611CBA" w:rsidRPr="00FC1444">
        <w:rPr>
          <w:rFonts w:eastAsiaTheme="minorEastAsia"/>
          <w:sz w:val="24"/>
        </w:rPr>
        <w:t>钻井</w:t>
      </w:r>
      <w:r w:rsidR="00611CBA" w:rsidRPr="00FC1444">
        <w:rPr>
          <w:rFonts w:eastAsiaTheme="minorEastAsia"/>
          <w:bCs/>
          <w:sz w:val="24"/>
          <w:szCs w:val="22"/>
        </w:rPr>
        <w:t>泥浆</w:t>
      </w:r>
    </w:p>
    <w:p w:rsidR="002A5A5E" w:rsidRPr="00FC1444" w:rsidRDefault="00611CBA">
      <w:pPr>
        <w:widowControl/>
        <w:spacing w:line="360" w:lineRule="auto"/>
        <w:ind w:firstLineChars="200" w:firstLine="480"/>
        <w:rPr>
          <w:rFonts w:eastAsiaTheme="minorEastAsia"/>
          <w:sz w:val="24"/>
        </w:rPr>
      </w:pPr>
      <w:r w:rsidRPr="00FC1444">
        <w:rPr>
          <w:rFonts w:eastAsiaTheme="minorEastAsia"/>
          <w:sz w:val="24"/>
          <w:szCs w:val="22"/>
        </w:rPr>
        <w:t>本项目</w:t>
      </w:r>
      <w:r w:rsidR="00DE2B0A" w:rsidRPr="00FC1444">
        <w:rPr>
          <w:rFonts w:eastAsiaTheme="minorEastAsia"/>
          <w:bCs/>
          <w:sz w:val="24"/>
          <w:szCs w:val="22"/>
        </w:rPr>
        <w:t>单井泥浆最大产生量</w:t>
      </w:r>
      <w:r w:rsidR="006974EB" w:rsidRPr="00FC1444">
        <w:rPr>
          <w:rFonts w:eastAsiaTheme="minorEastAsia"/>
          <w:bCs/>
          <w:sz w:val="24"/>
          <w:szCs w:val="22"/>
        </w:rPr>
        <w:t>10</w:t>
      </w:r>
      <w:r w:rsidR="00DE2B0A" w:rsidRPr="00FC1444">
        <w:rPr>
          <w:rFonts w:eastAsiaTheme="minorEastAsia"/>
          <w:bCs/>
          <w:sz w:val="24"/>
          <w:szCs w:val="22"/>
        </w:rPr>
        <w:t>m</w:t>
      </w:r>
      <w:r w:rsidR="00DE2B0A" w:rsidRPr="00FC1444">
        <w:rPr>
          <w:rFonts w:eastAsiaTheme="minorEastAsia"/>
          <w:bCs/>
          <w:sz w:val="24"/>
          <w:szCs w:val="22"/>
          <w:vertAlign w:val="superscript"/>
        </w:rPr>
        <w:t>3</w:t>
      </w:r>
      <w:r w:rsidRPr="00FC1444">
        <w:rPr>
          <w:rFonts w:eastAsiaTheme="minorEastAsia"/>
          <w:bCs/>
          <w:sz w:val="24"/>
          <w:szCs w:val="22"/>
        </w:rPr>
        <w:t>，</w:t>
      </w:r>
      <w:r w:rsidRPr="00FC1444">
        <w:rPr>
          <w:rFonts w:eastAsiaTheme="minorEastAsia"/>
          <w:sz w:val="24"/>
          <w:szCs w:val="22"/>
        </w:rPr>
        <w:t>钻井泥浆可循环利用，废泥浆</w:t>
      </w:r>
      <w:r w:rsidRPr="00FC1444">
        <w:rPr>
          <w:rFonts w:eastAsiaTheme="minorEastAsia"/>
          <w:sz w:val="24"/>
        </w:rPr>
        <w:t>暂存于施工场地</w:t>
      </w:r>
      <w:r w:rsidR="006974EB" w:rsidRPr="00FC1444">
        <w:rPr>
          <w:rFonts w:eastAsiaTheme="minorEastAsia"/>
          <w:sz w:val="24"/>
        </w:rPr>
        <w:t>1</w:t>
      </w:r>
      <w:r w:rsidR="0009673A" w:rsidRPr="00FC1444">
        <w:rPr>
          <w:rFonts w:eastAsiaTheme="minorEastAsia"/>
          <w:sz w:val="24"/>
        </w:rPr>
        <w:t>个</w:t>
      </w:r>
      <w:r w:rsidR="006974EB" w:rsidRPr="00FC1444">
        <w:rPr>
          <w:rFonts w:eastAsiaTheme="minorEastAsia"/>
          <w:sz w:val="24"/>
        </w:rPr>
        <w:t>1</w:t>
      </w:r>
      <w:r w:rsidRPr="00FC1444">
        <w:rPr>
          <w:rFonts w:eastAsiaTheme="minorEastAsia"/>
          <w:sz w:val="24"/>
        </w:rPr>
        <w:t>0</w:t>
      </w:r>
      <w:r w:rsidRPr="00FC1444">
        <w:rPr>
          <w:rFonts w:eastAsiaTheme="minorEastAsia"/>
          <w:sz w:val="24"/>
          <w:szCs w:val="22"/>
        </w:rPr>
        <w:t>m</w:t>
      </w:r>
      <w:r w:rsidRPr="00FC1444">
        <w:rPr>
          <w:rFonts w:eastAsiaTheme="minorEastAsia"/>
          <w:sz w:val="24"/>
          <w:szCs w:val="22"/>
          <w:vertAlign w:val="superscript"/>
        </w:rPr>
        <w:t>3</w:t>
      </w:r>
      <w:r w:rsidRPr="00FC1444">
        <w:rPr>
          <w:rFonts w:eastAsiaTheme="minorEastAsia"/>
          <w:sz w:val="24"/>
        </w:rPr>
        <w:t>移动式不锈钢沉淀池内，沉淀后上层清水用于洒水降尘，下层钻井</w:t>
      </w:r>
      <w:r w:rsidRPr="00FC1444">
        <w:rPr>
          <w:rFonts w:eastAsiaTheme="minorEastAsia"/>
          <w:bCs/>
          <w:sz w:val="24"/>
          <w:szCs w:val="22"/>
        </w:rPr>
        <w:t>泥浆自然干化后用于周围道路平整。</w:t>
      </w:r>
    </w:p>
    <w:p w:rsidR="002A5A5E" w:rsidRPr="00FC1444" w:rsidRDefault="009840DD" w:rsidP="00611CBA">
      <w:pPr>
        <w:widowControl/>
        <w:spacing w:line="360" w:lineRule="auto"/>
        <w:ind w:firstLineChars="200" w:firstLine="480"/>
        <w:rPr>
          <w:rFonts w:eastAsiaTheme="minorEastAsia"/>
          <w:spacing w:val="-5"/>
          <w:sz w:val="24"/>
        </w:rPr>
      </w:pPr>
      <w:r w:rsidRPr="00FC1444">
        <w:rPr>
          <w:rFonts w:eastAsiaTheme="minorEastAsia"/>
          <w:spacing w:val="-5"/>
          <w:sz w:val="24"/>
        </w:rPr>
        <w:fldChar w:fldCharType="begin"/>
      </w:r>
      <w:r w:rsidR="00611CBA" w:rsidRPr="00FC1444">
        <w:rPr>
          <w:rFonts w:eastAsiaTheme="minorEastAsia"/>
          <w:spacing w:val="-5"/>
          <w:sz w:val="24"/>
        </w:rPr>
        <w:instrText xml:space="preserve"> = 4 \* GB3 </w:instrText>
      </w:r>
      <w:r w:rsidRPr="00FC1444">
        <w:rPr>
          <w:rFonts w:eastAsiaTheme="minorEastAsia"/>
          <w:spacing w:val="-5"/>
          <w:sz w:val="24"/>
        </w:rPr>
        <w:fldChar w:fldCharType="separate"/>
      </w:r>
      <w:r w:rsidR="00611CBA" w:rsidRPr="00FC1444">
        <w:rPr>
          <w:rFonts w:ascii="宋体" w:hAnsi="宋体" w:cs="宋体" w:hint="eastAsia"/>
          <w:spacing w:val="-5"/>
          <w:sz w:val="24"/>
        </w:rPr>
        <w:t>④</w:t>
      </w:r>
      <w:r w:rsidRPr="00FC1444">
        <w:rPr>
          <w:rFonts w:eastAsiaTheme="minorEastAsia"/>
          <w:spacing w:val="-5"/>
          <w:sz w:val="24"/>
        </w:rPr>
        <w:fldChar w:fldCharType="end"/>
      </w:r>
      <w:r w:rsidR="00611CBA" w:rsidRPr="00FC1444">
        <w:rPr>
          <w:rFonts w:eastAsiaTheme="minorEastAsia"/>
          <w:spacing w:val="-5"/>
          <w:sz w:val="24"/>
        </w:rPr>
        <w:t>清淤沥水</w:t>
      </w:r>
    </w:p>
    <w:p w:rsidR="002A5A5E" w:rsidRPr="00FC1444" w:rsidRDefault="00611CBA" w:rsidP="00E208B8">
      <w:pPr>
        <w:widowControl/>
        <w:spacing w:line="360" w:lineRule="auto"/>
        <w:ind w:firstLineChars="200" w:firstLine="480"/>
        <w:rPr>
          <w:rFonts w:eastAsiaTheme="minorEastAsia"/>
          <w:kern w:val="10"/>
          <w:sz w:val="24"/>
          <w:szCs w:val="22"/>
        </w:rPr>
      </w:pPr>
      <w:r w:rsidRPr="00FC1444">
        <w:rPr>
          <w:rFonts w:eastAsiaTheme="minorEastAsia"/>
          <w:bCs/>
          <w:kern w:val="0"/>
          <w:sz w:val="24"/>
          <w:szCs w:val="20"/>
        </w:rPr>
        <w:lastRenderedPageBreak/>
        <w:t>清淤污泥铺摊晾晒过程中可能会产生少量沥水，但由于</w:t>
      </w:r>
      <w:r w:rsidR="005510C6" w:rsidRPr="00FC1444">
        <w:rPr>
          <w:rFonts w:eastAsiaTheme="minorEastAsia"/>
          <w:bCs/>
          <w:kern w:val="0"/>
          <w:sz w:val="24"/>
          <w:szCs w:val="20"/>
        </w:rPr>
        <w:t>在</w:t>
      </w:r>
      <w:r w:rsidRPr="00FC1444">
        <w:rPr>
          <w:rFonts w:eastAsiaTheme="minorEastAsia"/>
          <w:bCs/>
          <w:kern w:val="0"/>
          <w:sz w:val="24"/>
          <w:szCs w:val="20"/>
        </w:rPr>
        <w:t>干槽时段进行清淤，污泥含水率较低</w:t>
      </w:r>
      <w:r w:rsidR="00631660" w:rsidRPr="00FC1444">
        <w:rPr>
          <w:rFonts w:eastAsiaTheme="minorEastAsia"/>
          <w:bCs/>
          <w:kern w:val="0"/>
          <w:sz w:val="24"/>
          <w:szCs w:val="20"/>
        </w:rPr>
        <w:t>，约为</w:t>
      </w:r>
      <w:r w:rsidR="00631660" w:rsidRPr="00FC1444">
        <w:rPr>
          <w:rFonts w:eastAsiaTheme="minorEastAsia"/>
          <w:bCs/>
          <w:kern w:val="0"/>
          <w:sz w:val="24"/>
          <w:szCs w:val="20"/>
        </w:rPr>
        <w:t>60%</w:t>
      </w:r>
      <w:r w:rsidRPr="00FC1444">
        <w:rPr>
          <w:rFonts w:eastAsiaTheme="minorEastAsia"/>
          <w:bCs/>
          <w:kern w:val="0"/>
          <w:sz w:val="24"/>
          <w:szCs w:val="20"/>
        </w:rPr>
        <w:t>。</w:t>
      </w:r>
      <w:r w:rsidR="004C69F2" w:rsidRPr="00FC1444">
        <w:rPr>
          <w:rFonts w:eastAsiaTheme="minorEastAsia"/>
          <w:kern w:val="10"/>
          <w:sz w:val="24"/>
          <w:szCs w:val="22"/>
        </w:rPr>
        <w:t>本项目排水沟底泥检测样品无重金属污染，底泥污染物均满足《土壤环境质量农用地土壤污染风险管控标准（试行）》（</w:t>
      </w:r>
      <w:r w:rsidR="004C69F2" w:rsidRPr="00FC1444">
        <w:rPr>
          <w:rFonts w:eastAsiaTheme="minorEastAsia"/>
          <w:kern w:val="10"/>
          <w:sz w:val="24"/>
          <w:szCs w:val="22"/>
        </w:rPr>
        <w:t>GB15618-2018</w:t>
      </w:r>
      <w:r w:rsidR="004C69F2" w:rsidRPr="00FC1444">
        <w:rPr>
          <w:rFonts w:eastAsiaTheme="minorEastAsia"/>
          <w:kern w:val="10"/>
          <w:sz w:val="24"/>
          <w:szCs w:val="22"/>
        </w:rPr>
        <w:t>）表</w:t>
      </w:r>
      <w:r w:rsidR="004C69F2" w:rsidRPr="00FC1444">
        <w:rPr>
          <w:rFonts w:eastAsiaTheme="minorEastAsia"/>
          <w:kern w:val="10"/>
          <w:sz w:val="24"/>
          <w:szCs w:val="22"/>
        </w:rPr>
        <w:t>1</w:t>
      </w:r>
      <w:r w:rsidR="004C69F2" w:rsidRPr="00FC1444">
        <w:rPr>
          <w:rFonts w:eastAsiaTheme="minorEastAsia"/>
          <w:kern w:val="10"/>
          <w:sz w:val="24"/>
          <w:szCs w:val="22"/>
        </w:rPr>
        <w:t>、表</w:t>
      </w:r>
      <w:r w:rsidR="004C69F2" w:rsidRPr="00FC1444">
        <w:rPr>
          <w:rFonts w:eastAsiaTheme="minorEastAsia"/>
          <w:kern w:val="10"/>
          <w:sz w:val="24"/>
          <w:szCs w:val="22"/>
        </w:rPr>
        <w:t>2</w:t>
      </w:r>
      <w:r w:rsidR="004C69F2" w:rsidRPr="00FC1444">
        <w:rPr>
          <w:rFonts w:eastAsiaTheme="minorEastAsia"/>
          <w:kern w:val="10"/>
          <w:sz w:val="24"/>
          <w:szCs w:val="22"/>
        </w:rPr>
        <w:t>中筛选值。</w:t>
      </w:r>
      <w:r w:rsidR="00E208B8" w:rsidRPr="00FC1444">
        <w:rPr>
          <w:rFonts w:eastAsiaTheme="minorEastAsia"/>
          <w:bCs/>
          <w:kern w:val="10"/>
          <w:sz w:val="24"/>
          <w:szCs w:val="22"/>
        </w:rPr>
        <w:t>污泥</w:t>
      </w:r>
      <w:r w:rsidR="00E208B8" w:rsidRPr="00FC1444">
        <w:rPr>
          <w:rFonts w:eastAsiaTheme="minorEastAsia"/>
          <w:bCs/>
          <w:kern w:val="0"/>
          <w:sz w:val="24"/>
          <w:szCs w:val="20"/>
        </w:rPr>
        <w:t>铺摊</w:t>
      </w:r>
      <w:r w:rsidR="00E208B8" w:rsidRPr="00FC1444">
        <w:rPr>
          <w:spacing w:val="-1"/>
          <w:sz w:val="24"/>
        </w:rPr>
        <w:t>前先</w:t>
      </w:r>
      <w:r w:rsidR="00631660" w:rsidRPr="00FC1444">
        <w:rPr>
          <w:spacing w:val="-1"/>
          <w:sz w:val="24"/>
        </w:rPr>
        <w:t>根据地势</w:t>
      </w:r>
      <w:r w:rsidR="00E208B8" w:rsidRPr="00FC1444">
        <w:rPr>
          <w:spacing w:val="-1"/>
          <w:sz w:val="24"/>
        </w:rPr>
        <w:t>铺设</w:t>
      </w:r>
      <w:r w:rsidR="00E208B8" w:rsidRPr="00FC1444">
        <w:rPr>
          <w:spacing w:val="-1"/>
          <w:sz w:val="24"/>
        </w:rPr>
        <w:t>5cm</w:t>
      </w:r>
      <w:r w:rsidR="00E208B8" w:rsidRPr="00FC1444">
        <w:rPr>
          <w:spacing w:val="-1"/>
          <w:sz w:val="24"/>
        </w:rPr>
        <w:t>卵石层、</w:t>
      </w:r>
      <w:r w:rsidR="00E208B8" w:rsidRPr="00FC1444">
        <w:rPr>
          <w:spacing w:val="-1"/>
          <w:sz w:val="24"/>
        </w:rPr>
        <w:t>20cm</w:t>
      </w:r>
      <w:r w:rsidR="00E208B8" w:rsidRPr="00FC1444">
        <w:rPr>
          <w:spacing w:val="-1"/>
          <w:sz w:val="24"/>
        </w:rPr>
        <w:t>砂子层，</w:t>
      </w:r>
      <w:r w:rsidR="00B13779" w:rsidRPr="00FC1444">
        <w:rPr>
          <w:spacing w:val="-1"/>
          <w:sz w:val="24"/>
        </w:rPr>
        <w:t>形成一侧临沟渠偏低、另一侧靠农田偏高的坡度，防止淤泥沥水渗入周边农田。</w:t>
      </w:r>
      <w:r w:rsidR="00E208B8" w:rsidRPr="00FC1444">
        <w:rPr>
          <w:spacing w:val="-5"/>
          <w:sz w:val="24"/>
        </w:rPr>
        <w:t>污泥沥水</w:t>
      </w:r>
      <w:r w:rsidRPr="00FC1444">
        <w:rPr>
          <w:rFonts w:eastAsiaTheme="minorEastAsia"/>
          <w:bCs/>
          <w:kern w:val="0"/>
          <w:sz w:val="24"/>
          <w:szCs w:val="20"/>
        </w:rPr>
        <w:t>与渠道内水质基本一致，</w:t>
      </w:r>
      <w:r w:rsidR="00E208B8" w:rsidRPr="00FC1444">
        <w:rPr>
          <w:spacing w:val="-5"/>
          <w:sz w:val="24"/>
        </w:rPr>
        <w:t>经过滤处理后</w:t>
      </w:r>
      <w:r w:rsidRPr="00FC1444">
        <w:rPr>
          <w:rFonts w:eastAsiaTheme="minorEastAsia"/>
          <w:bCs/>
          <w:kern w:val="0"/>
          <w:sz w:val="24"/>
          <w:szCs w:val="20"/>
        </w:rPr>
        <w:t>排至</w:t>
      </w:r>
      <w:r w:rsidR="00B13779" w:rsidRPr="00FC1444">
        <w:rPr>
          <w:rFonts w:eastAsiaTheme="minorEastAsia"/>
          <w:bCs/>
          <w:kern w:val="0"/>
          <w:sz w:val="24"/>
          <w:szCs w:val="20"/>
        </w:rPr>
        <w:t>原有</w:t>
      </w:r>
      <w:r w:rsidRPr="00FC1444">
        <w:rPr>
          <w:rFonts w:eastAsiaTheme="minorEastAsia"/>
          <w:bCs/>
          <w:kern w:val="0"/>
          <w:sz w:val="24"/>
          <w:szCs w:val="20"/>
        </w:rPr>
        <w:t>渠道内</w:t>
      </w:r>
      <w:r w:rsidR="00E208B8" w:rsidRPr="00FC1444">
        <w:rPr>
          <w:rFonts w:eastAsiaTheme="minorEastAsia"/>
          <w:bCs/>
          <w:kern w:val="0"/>
          <w:sz w:val="24"/>
          <w:szCs w:val="20"/>
        </w:rPr>
        <w:t>。</w:t>
      </w:r>
      <w:r w:rsidRPr="00FC1444">
        <w:rPr>
          <w:rFonts w:eastAsiaTheme="minorEastAsia"/>
          <w:bCs/>
          <w:kern w:val="0"/>
          <w:sz w:val="24"/>
          <w:szCs w:val="20"/>
        </w:rPr>
        <w:t>不会对灌区水质产生不良影响。</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3.3.1.2</w:t>
      </w:r>
      <w:r w:rsidRPr="00FC1444">
        <w:rPr>
          <w:rFonts w:eastAsiaTheme="minorEastAsia"/>
          <w:b/>
          <w:sz w:val="24"/>
        </w:rPr>
        <w:t>废气污染分析</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snapToGrid w:val="0"/>
        </w:rPr>
        <w:t>施工期大气污染物主要为取料场及</w:t>
      </w:r>
      <w:r w:rsidRPr="00FC1444">
        <w:rPr>
          <w:rFonts w:ascii="Times New Roman" w:hAnsi="Times New Roman" w:cs="Times New Roman"/>
          <w:szCs w:val="21"/>
        </w:rPr>
        <w:t>堆料场</w:t>
      </w:r>
      <w:r w:rsidRPr="00FC1444">
        <w:rPr>
          <w:rFonts w:ascii="Times New Roman" w:hAnsi="Times New Roman" w:cs="Times New Roman"/>
          <w:snapToGrid w:val="0"/>
        </w:rPr>
        <w:t>物料存取及运输扬尘、施工机械、泥浆配置、运输车辆尾气，施工环节产生的扬尘，</w:t>
      </w:r>
      <w:r w:rsidRPr="00FC1444">
        <w:rPr>
          <w:rFonts w:ascii="Times New Roman" w:hAnsi="Times New Roman" w:cs="Times New Roman"/>
          <w:smallCaps/>
        </w:rPr>
        <w:t>根据施工组织设计，大气污染源具有流动性和间歇性特点，且源强不大，施工结束后随即消失</w:t>
      </w:r>
      <w:r w:rsidRPr="00FC1444">
        <w:rPr>
          <w:rFonts w:ascii="Times New Roman" w:hAnsi="Times New Roman" w:cs="Times New Roman"/>
          <w:snapToGrid w:val="0"/>
        </w:rPr>
        <w:t>。</w:t>
      </w:r>
      <w:r w:rsidRPr="00FC1444">
        <w:rPr>
          <w:rFonts w:ascii="Times New Roman" w:hAnsi="Times New Roman" w:cs="Times New Roman"/>
        </w:rPr>
        <w:t>清淤工程产生恶臭异味。</w:t>
      </w:r>
    </w:p>
    <w:p w:rsidR="002A5A5E" w:rsidRPr="00FC1444" w:rsidRDefault="00611CBA">
      <w:pPr>
        <w:autoSpaceDE w:val="0"/>
        <w:autoSpaceDN w:val="0"/>
        <w:adjustRightInd w:val="0"/>
        <w:spacing w:line="360" w:lineRule="auto"/>
        <w:ind w:firstLineChars="225" w:firstLine="540"/>
        <w:jc w:val="left"/>
        <w:rPr>
          <w:rFonts w:eastAsiaTheme="minorEastAsia"/>
          <w:bCs/>
          <w:kern w:val="0"/>
          <w:sz w:val="24"/>
        </w:rPr>
      </w:pPr>
      <w:r w:rsidRPr="00FC1444">
        <w:rPr>
          <w:rFonts w:ascii="宋体" w:hAnsi="宋体" w:cs="宋体" w:hint="eastAsia"/>
          <w:bCs/>
          <w:kern w:val="0"/>
          <w:sz w:val="24"/>
        </w:rPr>
        <w:t>①</w:t>
      </w:r>
      <w:r w:rsidRPr="00FC1444">
        <w:rPr>
          <w:rFonts w:eastAsiaTheme="minorEastAsia"/>
          <w:bCs/>
          <w:kern w:val="0"/>
          <w:sz w:val="24"/>
        </w:rPr>
        <w:t>扬尘</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snapToGrid w:val="0"/>
        </w:rPr>
        <w:t>施工期扬尘主要产生于土方挖掘、平整土地、取料场及</w:t>
      </w:r>
      <w:r w:rsidRPr="00FC1444">
        <w:rPr>
          <w:rFonts w:ascii="Times New Roman" w:hAnsi="Times New Roman" w:cs="Times New Roman"/>
          <w:szCs w:val="21"/>
        </w:rPr>
        <w:t>堆料场</w:t>
      </w:r>
      <w:r w:rsidRPr="00FC1444">
        <w:rPr>
          <w:rFonts w:ascii="Times New Roman" w:hAnsi="Times New Roman" w:cs="Times New Roman"/>
          <w:snapToGrid w:val="0"/>
        </w:rPr>
        <w:t>物料存取及运输、泥浆配置以及车辆行驶等作业环节（主要是</w:t>
      </w:r>
      <w:r w:rsidRPr="00FC1444">
        <w:rPr>
          <w:rFonts w:ascii="Times New Roman" w:hAnsi="Times New Roman" w:cs="Times New Roman"/>
          <w:snapToGrid w:val="0"/>
        </w:rPr>
        <w:t>TSP</w:t>
      </w:r>
      <w:r w:rsidRPr="00FC1444">
        <w:rPr>
          <w:rFonts w:ascii="Times New Roman" w:hAnsi="Times New Roman" w:cs="Times New Roman"/>
          <w:snapToGrid w:val="0"/>
        </w:rPr>
        <w:t>）。根据类比调查，施工作业场地近地面扬尘浓度可达</w:t>
      </w:r>
      <w:r w:rsidRPr="00FC1444">
        <w:rPr>
          <w:rFonts w:ascii="Times New Roman" w:hAnsi="Times New Roman" w:cs="Times New Roman"/>
          <w:snapToGrid w:val="0"/>
        </w:rPr>
        <w:t>1.5mg/m</w:t>
      </w:r>
      <w:r w:rsidRPr="00FC1444">
        <w:rPr>
          <w:rFonts w:ascii="Times New Roman" w:hAnsi="Times New Roman" w:cs="Times New Roman"/>
          <w:snapToGrid w:val="0"/>
          <w:vertAlign w:val="superscript"/>
        </w:rPr>
        <w:t>3</w:t>
      </w:r>
      <w:r w:rsidRPr="00FC1444">
        <w:rPr>
          <w:rFonts w:ascii="Times New Roman" w:hAnsi="Times New Roman" w:cs="Times New Roman"/>
          <w:snapToGrid w:val="0"/>
        </w:rPr>
        <w:t>～</w:t>
      </w:r>
      <w:r w:rsidRPr="00FC1444">
        <w:rPr>
          <w:rFonts w:ascii="Times New Roman" w:hAnsi="Times New Roman" w:cs="Times New Roman"/>
          <w:snapToGrid w:val="0"/>
        </w:rPr>
        <w:t>30mg/m</w:t>
      </w:r>
      <w:r w:rsidRPr="00FC1444">
        <w:rPr>
          <w:rFonts w:ascii="Times New Roman" w:hAnsi="Times New Roman" w:cs="Times New Roman"/>
          <w:snapToGrid w:val="0"/>
          <w:vertAlign w:val="superscript"/>
        </w:rPr>
        <w:t>3</w:t>
      </w:r>
      <w:r w:rsidRPr="00FC1444">
        <w:rPr>
          <w:rFonts w:ascii="Times New Roman" w:hAnsi="Times New Roman" w:cs="Times New Roman"/>
          <w:snapToGrid w:val="0"/>
        </w:rPr>
        <w:t>，将对项目周边产生一定的不利影响。考虑到施工期产生扬尘颗粒粒径较大，受自然沉降作用明显。由于施工机械数量少且较分散，施工期不长，其污染程度相对较轻。</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rPr>
        <w:t>施工过程中，各种施工材料的运输，尤其是混凝土及松散物料的运输将给运输道路的沿线带来扬尘污染。根据同类工程类比可知，在自然风力作用下，施工现场的道路扬尘一般在下风向</w:t>
      </w:r>
      <w:r w:rsidRPr="00FC1444">
        <w:rPr>
          <w:rFonts w:ascii="Times New Roman" w:hAnsi="Times New Roman" w:cs="Times New Roman"/>
        </w:rPr>
        <w:t>50m~110m</w:t>
      </w:r>
      <w:r w:rsidRPr="00FC1444">
        <w:rPr>
          <w:rFonts w:ascii="Times New Roman" w:hAnsi="Times New Roman" w:cs="Times New Roman"/>
        </w:rPr>
        <w:t>范围内超过《环境空气质量标准》（</w:t>
      </w:r>
      <w:r w:rsidRPr="00FC1444">
        <w:rPr>
          <w:rFonts w:ascii="Times New Roman" w:hAnsi="Times New Roman" w:cs="Times New Roman"/>
        </w:rPr>
        <w:t>GB3095-20</w:t>
      </w:r>
      <w:r w:rsidR="00C07A9E" w:rsidRPr="00FC1444">
        <w:rPr>
          <w:rFonts w:ascii="Times New Roman" w:hAnsi="Times New Roman" w:cs="Times New Roman"/>
        </w:rPr>
        <w:t>26</w:t>
      </w:r>
      <w:r w:rsidRPr="00FC1444">
        <w:rPr>
          <w:rFonts w:ascii="Times New Roman" w:hAnsi="Times New Roman" w:cs="Times New Roman"/>
        </w:rPr>
        <w:t>）中二级标准；在土路路况较差，施工现场的道路扬尘一般在下风向</w:t>
      </w:r>
      <w:r w:rsidRPr="00FC1444">
        <w:rPr>
          <w:rFonts w:ascii="Times New Roman" w:hAnsi="Times New Roman" w:cs="Times New Roman"/>
        </w:rPr>
        <w:t>80m</w:t>
      </w:r>
      <w:r w:rsidRPr="00FC1444">
        <w:rPr>
          <w:rFonts w:ascii="Times New Roman" w:hAnsi="Times New Roman" w:cs="Times New Roman"/>
        </w:rPr>
        <w:t>～</w:t>
      </w:r>
      <w:r w:rsidRPr="00FC1444">
        <w:rPr>
          <w:rFonts w:ascii="Times New Roman" w:hAnsi="Times New Roman" w:cs="Times New Roman"/>
        </w:rPr>
        <w:t>130m</w:t>
      </w:r>
      <w:r w:rsidRPr="00FC1444">
        <w:rPr>
          <w:rFonts w:ascii="Times New Roman" w:hAnsi="Times New Roman" w:cs="Times New Roman"/>
        </w:rPr>
        <w:t>范围内超过环境空气质量标准中二级标准。施工期间运输道路扬尘将对本工程沿线范围内居民敏感点产生一定影响，应采取必要措施以减少扬尘对沿线道路两侧及施工区附近居民区环境空气质量的影响。</w:t>
      </w:r>
    </w:p>
    <w:p w:rsidR="002A5A5E" w:rsidRPr="00FC1444" w:rsidRDefault="00611CBA">
      <w:pPr>
        <w:adjustRightInd w:val="0"/>
        <w:spacing w:line="360" w:lineRule="auto"/>
        <w:ind w:firstLineChars="200" w:firstLine="480"/>
        <w:rPr>
          <w:rFonts w:eastAsiaTheme="minorEastAsia"/>
          <w:sz w:val="24"/>
        </w:rPr>
      </w:pPr>
      <w:r w:rsidRPr="00FC1444">
        <w:rPr>
          <w:rFonts w:ascii="宋体" w:hAnsi="宋体" w:cs="宋体" w:hint="eastAsia"/>
          <w:sz w:val="24"/>
        </w:rPr>
        <w:t>②</w:t>
      </w:r>
      <w:r w:rsidRPr="00FC1444">
        <w:rPr>
          <w:rFonts w:eastAsiaTheme="minorEastAsia"/>
          <w:sz w:val="24"/>
        </w:rPr>
        <w:t>汽车尾气</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szCs w:val="20"/>
        </w:rPr>
        <w:t>施工过程中将会有各种工程及运输车辆来往于施工现场，主要有运输卡车、推土机、平地机等，会产生汽车尾气，由于尾气产生量较少，产生浓度较低，且</w:t>
      </w:r>
      <w:r w:rsidRPr="00FC1444">
        <w:rPr>
          <w:rFonts w:ascii="Times New Roman" w:hAnsi="Times New Roman" w:cs="Times New Roman"/>
          <w:szCs w:val="20"/>
        </w:rPr>
        <w:lastRenderedPageBreak/>
        <w:t>施工地点附近均为农田，周围环境较空旷，扩散条件较好，不会对周围空气环境产生较大不利影响</w:t>
      </w:r>
      <w:r w:rsidRPr="00FC1444">
        <w:rPr>
          <w:rFonts w:ascii="Times New Roman" w:hAnsi="Times New Roman" w:cs="Times New Roman"/>
          <w:snapToGrid w:val="0"/>
        </w:rPr>
        <w:t>。</w:t>
      </w:r>
    </w:p>
    <w:p w:rsidR="002A5A5E" w:rsidRPr="00FC1444" w:rsidRDefault="009840DD">
      <w:pPr>
        <w:pStyle w:val="aff4"/>
        <w:adjustRightInd/>
        <w:snapToGrid/>
        <w:jc w:val="both"/>
        <w:rPr>
          <w:rFonts w:ascii="Times New Roman" w:hAnsi="Times New Roman" w:cs="Times New Roman"/>
          <w:bCs/>
        </w:rPr>
      </w:pPr>
      <w:r w:rsidRPr="00FC1444">
        <w:rPr>
          <w:rFonts w:ascii="Times New Roman" w:hAnsi="Times New Roman" w:cs="Times New Roman"/>
          <w:bCs/>
        </w:rPr>
        <w:fldChar w:fldCharType="begin"/>
      </w:r>
      <w:r w:rsidR="00611CBA" w:rsidRPr="00FC1444">
        <w:rPr>
          <w:rFonts w:ascii="Times New Roman" w:hAnsi="Times New Roman" w:cs="Times New Roman"/>
          <w:bCs/>
        </w:rPr>
        <w:instrText xml:space="preserve"> = 3 \* GB3 </w:instrText>
      </w:r>
      <w:r w:rsidRPr="00FC1444">
        <w:rPr>
          <w:rFonts w:ascii="Times New Roman" w:hAnsi="Times New Roman" w:cs="Times New Roman"/>
          <w:bCs/>
        </w:rPr>
        <w:fldChar w:fldCharType="separate"/>
      </w:r>
      <w:r w:rsidR="00611CBA" w:rsidRPr="00FC1444">
        <w:rPr>
          <w:rFonts w:ascii="宋体" w:eastAsia="宋体" w:hAnsi="宋体" w:cs="宋体" w:hint="eastAsia"/>
          <w:bCs/>
        </w:rPr>
        <w:t>③</w:t>
      </w:r>
      <w:r w:rsidRPr="00FC1444">
        <w:rPr>
          <w:rFonts w:ascii="Times New Roman" w:hAnsi="Times New Roman" w:cs="Times New Roman"/>
          <w:bCs/>
        </w:rPr>
        <w:fldChar w:fldCharType="end"/>
      </w:r>
      <w:r w:rsidR="00611CBA" w:rsidRPr="00FC1444">
        <w:rPr>
          <w:rFonts w:ascii="Times New Roman" w:hAnsi="Times New Roman" w:cs="Times New Roman"/>
        </w:rPr>
        <w:t>发电机废气</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移动式柴油发电机运行时也将产生废气。类比同类移动式柴油发电机，柴油消耗量约为</w:t>
      </w:r>
      <w:r w:rsidRPr="00FC1444">
        <w:rPr>
          <w:rFonts w:ascii="Times New Roman" w:hAnsi="Times New Roman" w:cs="Times New Roman"/>
        </w:rPr>
        <w:t>200g/kWh</w:t>
      </w:r>
      <w:r w:rsidRPr="00FC1444">
        <w:rPr>
          <w:rFonts w:ascii="Times New Roman" w:hAnsi="Times New Roman" w:cs="Times New Roman"/>
        </w:rPr>
        <w:t>，柴油密度为</w:t>
      </w:r>
      <w:r w:rsidRPr="00FC1444">
        <w:rPr>
          <w:rFonts w:ascii="Times New Roman" w:hAnsi="Times New Roman" w:cs="Times New Roman"/>
        </w:rPr>
        <w:t>1.192kL/t</w:t>
      </w:r>
      <w:r w:rsidRPr="00FC1444">
        <w:rPr>
          <w:rFonts w:ascii="Times New Roman" w:hAnsi="Times New Roman" w:cs="Times New Roman"/>
        </w:rPr>
        <w:t>，则柴油用量为</w:t>
      </w:r>
      <w:r w:rsidRPr="00FC1444">
        <w:rPr>
          <w:rFonts w:ascii="Times New Roman" w:hAnsi="Times New Roman" w:cs="Times New Roman"/>
        </w:rPr>
        <w:t>2.384×10</w:t>
      </w:r>
      <w:r w:rsidRPr="00FC1444">
        <w:rPr>
          <w:rFonts w:ascii="Times New Roman" w:hAnsi="Times New Roman" w:cs="Times New Roman"/>
          <w:vertAlign w:val="superscript"/>
        </w:rPr>
        <w:t>-4</w:t>
      </w:r>
      <w:r w:rsidRPr="00FC1444">
        <w:rPr>
          <w:rFonts w:ascii="Times New Roman" w:hAnsi="Times New Roman" w:cs="Times New Roman"/>
        </w:rPr>
        <w:t>kL/kWh</w:t>
      </w:r>
      <w:r w:rsidRPr="00FC1444">
        <w:rPr>
          <w:rFonts w:ascii="Times New Roman" w:hAnsi="Times New Roman" w:cs="Times New Roman"/>
        </w:rPr>
        <w:t>，柴油机移动泵车废气主要污染物为</w:t>
      </w:r>
      <w:r w:rsidRPr="00FC1444">
        <w:rPr>
          <w:rFonts w:ascii="Times New Roman" w:hAnsi="Times New Roman" w:cs="Times New Roman"/>
        </w:rPr>
        <w:t>CO</w:t>
      </w:r>
      <w:r w:rsidRPr="00FC1444">
        <w:rPr>
          <w:rFonts w:ascii="Times New Roman" w:hAnsi="Times New Roman" w:cs="Times New Roman"/>
        </w:rPr>
        <w:t>、</w:t>
      </w:r>
      <w:r w:rsidRPr="00FC1444">
        <w:rPr>
          <w:rFonts w:ascii="Times New Roman" w:hAnsi="Times New Roman" w:cs="Times New Roman"/>
        </w:rPr>
        <w:t>HC+NO</w:t>
      </w:r>
      <w:r w:rsidRPr="00FC1444">
        <w:rPr>
          <w:rFonts w:ascii="Times New Roman" w:hAnsi="Times New Roman" w:cs="Times New Roman"/>
          <w:vertAlign w:val="subscript"/>
        </w:rPr>
        <w:t>x</w:t>
      </w:r>
      <w:r w:rsidRPr="00FC1444">
        <w:rPr>
          <w:rFonts w:ascii="Times New Roman" w:hAnsi="Times New Roman" w:cs="Times New Roman"/>
        </w:rPr>
        <w:t>、</w:t>
      </w:r>
      <w:r w:rsidRPr="00FC1444">
        <w:rPr>
          <w:rFonts w:ascii="Times New Roman" w:hAnsi="Times New Roman" w:cs="Times New Roman"/>
        </w:rPr>
        <w:t>PM</w:t>
      </w:r>
      <w:r w:rsidRPr="00FC1444">
        <w:rPr>
          <w:rFonts w:ascii="Times New Roman" w:hAnsi="Times New Roman" w:cs="Times New Roman"/>
        </w:rPr>
        <w:t>（颗粒物）。</w:t>
      </w:r>
    </w:p>
    <w:p w:rsidR="002A5A5E" w:rsidRPr="00FC1444" w:rsidRDefault="00611CBA">
      <w:pPr>
        <w:contextualSpacing/>
        <w:jc w:val="center"/>
        <w:rPr>
          <w:rFonts w:eastAsiaTheme="minorEastAsia"/>
          <w:sz w:val="24"/>
        </w:rPr>
      </w:pPr>
      <w:r w:rsidRPr="00FC1444">
        <w:rPr>
          <w:rFonts w:eastAsiaTheme="minorEastAsia"/>
          <w:b/>
          <w:kern w:val="0"/>
          <w:szCs w:val="21"/>
        </w:rPr>
        <w:t>表</w:t>
      </w:r>
      <w:r w:rsidRPr="00FC1444">
        <w:rPr>
          <w:rFonts w:eastAsiaTheme="minorEastAsia"/>
          <w:b/>
          <w:kern w:val="0"/>
          <w:szCs w:val="21"/>
        </w:rPr>
        <w:t>3-3-2</w:t>
      </w:r>
      <w:r w:rsidRPr="00FC1444">
        <w:rPr>
          <w:rFonts w:eastAsiaTheme="minorEastAsia"/>
          <w:b/>
          <w:kern w:val="0"/>
          <w:szCs w:val="21"/>
        </w:rPr>
        <w:t>柴油机移动泵车中各污染物产生情况一览表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236"/>
        <w:gridCol w:w="2048"/>
        <w:gridCol w:w="2048"/>
        <w:gridCol w:w="2049"/>
      </w:tblGrid>
      <w:tr w:rsidR="002A5A5E" w:rsidRPr="00FC1444">
        <w:trPr>
          <w:trHeight w:val="294"/>
          <w:jc w:val="center"/>
        </w:trPr>
        <w:tc>
          <w:tcPr>
            <w:tcW w:w="2236"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污染物</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CO</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HC+NO</w:t>
            </w:r>
            <w:r w:rsidRPr="00FC1444">
              <w:rPr>
                <w:rFonts w:eastAsiaTheme="minorEastAsia"/>
                <w:szCs w:val="21"/>
                <w:vertAlign w:val="subscript"/>
              </w:rPr>
              <w:t>x</w:t>
            </w:r>
          </w:p>
        </w:tc>
        <w:tc>
          <w:tcPr>
            <w:tcW w:w="2049"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PM</w:t>
            </w:r>
            <w:r w:rsidRPr="00FC1444">
              <w:rPr>
                <w:rFonts w:eastAsiaTheme="minorEastAsia"/>
                <w:szCs w:val="21"/>
              </w:rPr>
              <w:t>（颗粒物）</w:t>
            </w:r>
          </w:p>
        </w:tc>
      </w:tr>
      <w:tr w:rsidR="002A5A5E" w:rsidRPr="00FC1444">
        <w:trPr>
          <w:trHeight w:val="315"/>
          <w:jc w:val="center"/>
        </w:trPr>
        <w:tc>
          <w:tcPr>
            <w:tcW w:w="2236"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排污系数（</w:t>
            </w:r>
            <w:r w:rsidRPr="00FC1444">
              <w:rPr>
                <w:rFonts w:eastAsiaTheme="minorEastAsia"/>
                <w:szCs w:val="21"/>
              </w:rPr>
              <w:t>kg/kL</w:t>
            </w:r>
            <w:r w:rsidRPr="00FC1444">
              <w:rPr>
                <w:rFonts w:eastAsiaTheme="minorEastAsia"/>
                <w:szCs w:val="21"/>
              </w:rPr>
              <w:t>柴油）</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0.63</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2.92</w:t>
            </w:r>
          </w:p>
        </w:tc>
        <w:tc>
          <w:tcPr>
            <w:tcW w:w="2049"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0.25</w:t>
            </w:r>
          </w:p>
        </w:tc>
      </w:tr>
      <w:tr w:rsidR="002A5A5E" w:rsidRPr="00FC1444">
        <w:trPr>
          <w:trHeight w:val="294"/>
          <w:jc w:val="center"/>
        </w:trPr>
        <w:tc>
          <w:tcPr>
            <w:tcW w:w="2236"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排放速率（</w:t>
            </w:r>
            <w:r w:rsidRPr="00FC1444">
              <w:rPr>
                <w:rFonts w:eastAsiaTheme="minorEastAsia"/>
                <w:szCs w:val="21"/>
              </w:rPr>
              <w:t>g/kW·h</w:t>
            </w:r>
            <w:r w:rsidRPr="00FC1444">
              <w:rPr>
                <w:rFonts w:eastAsiaTheme="minorEastAsia"/>
                <w:szCs w:val="21"/>
              </w:rPr>
              <w:t>）</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0.15</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0.696</w:t>
            </w:r>
          </w:p>
        </w:tc>
        <w:tc>
          <w:tcPr>
            <w:tcW w:w="2049"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0.06</w:t>
            </w:r>
          </w:p>
        </w:tc>
      </w:tr>
      <w:tr w:rsidR="002A5A5E" w:rsidRPr="00FC1444">
        <w:trPr>
          <w:trHeight w:val="294"/>
          <w:jc w:val="center"/>
        </w:trPr>
        <w:tc>
          <w:tcPr>
            <w:tcW w:w="2236"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排放标准（</w:t>
            </w:r>
            <w:r w:rsidRPr="00FC1444">
              <w:rPr>
                <w:rFonts w:eastAsiaTheme="minorEastAsia"/>
                <w:szCs w:val="21"/>
              </w:rPr>
              <w:t>g/kW·h</w:t>
            </w:r>
            <w:r w:rsidRPr="00FC1444">
              <w:rPr>
                <w:rFonts w:eastAsiaTheme="minorEastAsia"/>
                <w:szCs w:val="21"/>
              </w:rPr>
              <w:t>）</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3.5</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4.0</w:t>
            </w:r>
          </w:p>
        </w:tc>
        <w:tc>
          <w:tcPr>
            <w:tcW w:w="2049"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0.2</w:t>
            </w:r>
          </w:p>
        </w:tc>
      </w:tr>
      <w:tr w:rsidR="002A5A5E" w:rsidRPr="00FC1444">
        <w:trPr>
          <w:trHeight w:val="294"/>
          <w:jc w:val="center"/>
        </w:trPr>
        <w:tc>
          <w:tcPr>
            <w:tcW w:w="2236"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达标情况</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达标</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达标</w:t>
            </w:r>
          </w:p>
        </w:tc>
        <w:tc>
          <w:tcPr>
            <w:tcW w:w="2049"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达标</w:t>
            </w:r>
          </w:p>
        </w:tc>
      </w:tr>
    </w:tbl>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由上表可知，本项目各污染物排放速率能够满足</w:t>
      </w:r>
      <w:r w:rsidRPr="00FC1444">
        <w:rPr>
          <w:rFonts w:ascii="Times New Roman" w:hAnsi="Times New Roman" w:cs="Times New Roman"/>
        </w:rPr>
        <w:t>GB20891-2014</w:t>
      </w:r>
      <w:r w:rsidRPr="00FC1444">
        <w:rPr>
          <w:rFonts w:ascii="Times New Roman" w:hAnsi="Times New Roman" w:cs="Times New Roman"/>
        </w:rPr>
        <w:t>《非道路移动机械用柴油机移动泵车污染物排放限值及测量方法（中国三、四阶段）》中第四阶段（</w:t>
      </w:r>
      <w:r w:rsidRPr="00FC1444">
        <w:rPr>
          <w:rFonts w:ascii="Times New Roman" w:hAnsi="Times New Roman" w:cs="Times New Roman"/>
        </w:rPr>
        <w:t>130</w:t>
      </w:r>
      <w:r w:rsidRPr="00FC1444">
        <w:rPr>
          <w:rFonts w:ascii="Times New Roman" w:hAnsi="Times New Roman" w:cs="Times New Roman"/>
        </w:rPr>
        <w:t>＜额定功率＜</w:t>
      </w:r>
      <w:r w:rsidRPr="00FC1444">
        <w:rPr>
          <w:rFonts w:ascii="Times New Roman" w:hAnsi="Times New Roman" w:cs="Times New Roman"/>
        </w:rPr>
        <w:t>560kW</w:t>
      </w:r>
      <w:r w:rsidRPr="00FC1444">
        <w:rPr>
          <w:rFonts w:ascii="Times New Roman" w:hAnsi="Times New Roman" w:cs="Times New Roman"/>
        </w:rPr>
        <w:t>）中要求。</w:t>
      </w:r>
    </w:p>
    <w:p w:rsidR="002A5A5E" w:rsidRPr="00FC1444" w:rsidRDefault="009840DD">
      <w:pPr>
        <w:pStyle w:val="aff4"/>
        <w:adjustRightInd/>
        <w:snapToGrid/>
        <w:jc w:val="both"/>
        <w:rPr>
          <w:rFonts w:ascii="Times New Roman" w:hAnsi="Times New Roman" w:cs="Times New Roman"/>
        </w:rPr>
      </w:pPr>
      <w:r w:rsidRPr="00FC1444">
        <w:rPr>
          <w:rFonts w:ascii="Times New Roman" w:hAnsi="Times New Roman" w:cs="Times New Roman"/>
        </w:rPr>
        <w:fldChar w:fldCharType="begin"/>
      </w:r>
      <w:r w:rsidR="00611CBA" w:rsidRPr="00FC1444">
        <w:rPr>
          <w:rFonts w:ascii="Times New Roman" w:hAnsi="Times New Roman" w:cs="Times New Roman"/>
        </w:rPr>
        <w:instrText xml:space="preserve"> = 4 \* GB3 </w:instrText>
      </w:r>
      <w:r w:rsidRPr="00FC1444">
        <w:rPr>
          <w:rFonts w:ascii="Times New Roman" w:hAnsi="Times New Roman" w:cs="Times New Roman"/>
        </w:rPr>
        <w:fldChar w:fldCharType="separate"/>
      </w:r>
      <w:r w:rsidR="00611CBA" w:rsidRPr="00FC1444">
        <w:rPr>
          <w:rFonts w:ascii="宋体" w:eastAsia="宋体" w:hAnsi="宋体" w:cs="宋体" w:hint="eastAsia"/>
        </w:rPr>
        <w:t>④</w:t>
      </w:r>
      <w:r w:rsidRPr="00FC1444">
        <w:rPr>
          <w:rFonts w:ascii="Times New Roman" w:hAnsi="Times New Roman" w:cs="Times New Roman"/>
        </w:rPr>
        <w:fldChar w:fldCharType="end"/>
      </w:r>
      <w:r w:rsidR="00611CBA" w:rsidRPr="00FC1444">
        <w:rPr>
          <w:rFonts w:ascii="Times New Roman" w:hAnsi="Times New Roman" w:cs="Times New Roman"/>
        </w:rPr>
        <w:t>淤泥恶臭异味</w:t>
      </w:r>
    </w:p>
    <w:p w:rsidR="00873083" w:rsidRPr="00FC1444" w:rsidRDefault="00873083" w:rsidP="00873083">
      <w:pPr>
        <w:pStyle w:val="aff4"/>
        <w:adjustRightInd/>
        <w:snapToGrid/>
        <w:rPr>
          <w:rFonts w:ascii="Times New Roman" w:hAnsi="Times New Roman" w:cs="Times New Roman"/>
          <w:spacing w:val="-5"/>
        </w:rPr>
      </w:pPr>
      <w:r w:rsidRPr="00FC1444">
        <w:rPr>
          <w:rFonts w:ascii="Times New Roman" w:hAnsi="Times New Roman" w:cs="Times New Roman"/>
          <w:kern w:val="10"/>
          <w:szCs w:val="22"/>
        </w:rPr>
        <w:t>本项目排水沟底泥检测样品无重金属污染，底泥污染物均满足《土壤环境质量农用地土壤污染风险管控标准（试行）》（</w:t>
      </w:r>
      <w:r w:rsidRPr="00FC1444">
        <w:rPr>
          <w:rFonts w:ascii="Times New Roman" w:hAnsi="Times New Roman" w:cs="Times New Roman"/>
          <w:kern w:val="10"/>
          <w:szCs w:val="22"/>
        </w:rPr>
        <w:t>GB15618-2018</w:t>
      </w:r>
      <w:r w:rsidRPr="00FC1444">
        <w:rPr>
          <w:rFonts w:ascii="Times New Roman" w:hAnsi="Times New Roman" w:cs="Times New Roman"/>
          <w:kern w:val="10"/>
          <w:szCs w:val="22"/>
        </w:rPr>
        <w:t>）表</w:t>
      </w:r>
      <w:r w:rsidRPr="00FC1444">
        <w:rPr>
          <w:rFonts w:ascii="Times New Roman" w:hAnsi="Times New Roman" w:cs="Times New Roman"/>
          <w:kern w:val="10"/>
          <w:szCs w:val="22"/>
        </w:rPr>
        <w:t>1</w:t>
      </w:r>
      <w:r w:rsidRPr="00FC1444">
        <w:rPr>
          <w:rFonts w:ascii="Times New Roman" w:hAnsi="Times New Roman" w:cs="Times New Roman"/>
          <w:kern w:val="10"/>
          <w:szCs w:val="22"/>
        </w:rPr>
        <w:t>、表</w:t>
      </w:r>
      <w:r w:rsidRPr="00FC1444">
        <w:rPr>
          <w:rFonts w:ascii="Times New Roman" w:hAnsi="Times New Roman" w:cs="Times New Roman"/>
          <w:kern w:val="10"/>
          <w:szCs w:val="22"/>
        </w:rPr>
        <w:t>2</w:t>
      </w:r>
      <w:r w:rsidRPr="00FC1444">
        <w:rPr>
          <w:rFonts w:ascii="Times New Roman" w:hAnsi="Times New Roman" w:cs="Times New Roman"/>
          <w:kern w:val="10"/>
          <w:szCs w:val="22"/>
        </w:rPr>
        <w:t>中筛选值。</w:t>
      </w:r>
    </w:p>
    <w:p w:rsidR="00873083" w:rsidRPr="00FC1444" w:rsidRDefault="00873083" w:rsidP="00873083">
      <w:pPr>
        <w:widowControl/>
        <w:spacing w:line="360" w:lineRule="auto"/>
        <w:ind w:firstLineChars="200" w:firstLine="480"/>
        <w:rPr>
          <w:rFonts w:eastAsiaTheme="minorEastAsia"/>
          <w:sz w:val="24"/>
        </w:rPr>
      </w:pPr>
      <w:r w:rsidRPr="00FC1444">
        <w:rPr>
          <w:rFonts w:eastAsiaTheme="minorEastAsia"/>
          <w:sz w:val="24"/>
        </w:rPr>
        <w:t>本项目排水沟清淤方式为机械及人工相结合，排水沟淤泥</w:t>
      </w:r>
      <w:r w:rsidRPr="00FC1444">
        <w:rPr>
          <w:rFonts w:eastAsiaTheme="minorEastAsia"/>
          <w:bCs/>
          <w:sz w:val="24"/>
        </w:rPr>
        <w:t>培至工程附近</w:t>
      </w:r>
      <w:r w:rsidRPr="00FC1444">
        <w:rPr>
          <w:rFonts w:eastAsiaTheme="minorEastAsia"/>
          <w:bCs/>
          <w:sz w:val="24"/>
        </w:rPr>
        <w:t>200</w:t>
      </w:r>
      <w:r w:rsidRPr="00FC1444">
        <w:rPr>
          <w:rFonts w:eastAsiaTheme="minorEastAsia"/>
          <w:bCs/>
          <w:sz w:val="24"/>
        </w:rPr>
        <w:t>米范围内无环境保护目标的排水沟两侧（</w:t>
      </w:r>
      <w:r w:rsidR="00386D57" w:rsidRPr="00FC1444">
        <w:rPr>
          <w:rFonts w:eastAsiaTheme="minorEastAsia"/>
          <w:bCs/>
          <w:sz w:val="24"/>
        </w:rPr>
        <w:t>避开黄家屯、李荒子屯等</w:t>
      </w:r>
      <w:r w:rsidR="00386D57" w:rsidRPr="00FC1444">
        <w:rPr>
          <w:rFonts w:eastAsiaTheme="minorEastAsia"/>
          <w:bCs/>
          <w:sz w:val="24"/>
        </w:rPr>
        <w:t>22</w:t>
      </w:r>
      <w:r w:rsidR="00386D57" w:rsidRPr="00FC1444">
        <w:rPr>
          <w:rFonts w:eastAsiaTheme="minorEastAsia"/>
          <w:bCs/>
          <w:sz w:val="24"/>
        </w:rPr>
        <w:t>个村屯</w:t>
      </w:r>
      <w:r w:rsidRPr="00FC1444">
        <w:rPr>
          <w:rFonts w:eastAsiaTheme="minorEastAsia"/>
          <w:bCs/>
          <w:sz w:val="24"/>
        </w:rPr>
        <w:t>，具体见表</w:t>
      </w:r>
      <w:r w:rsidRPr="00FC1444">
        <w:rPr>
          <w:rFonts w:eastAsiaTheme="minorEastAsia"/>
          <w:bCs/>
          <w:sz w:val="24"/>
        </w:rPr>
        <w:t>2-8-2</w:t>
      </w:r>
      <w:r w:rsidRPr="00FC1444">
        <w:rPr>
          <w:rFonts w:eastAsiaTheme="minorEastAsia"/>
          <w:bCs/>
          <w:sz w:val="24"/>
        </w:rPr>
        <w:t>），</w:t>
      </w:r>
      <w:r w:rsidRPr="00FC1444">
        <w:rPr>
          <w:rFonts w:eastAsiaTheme="minorEastAsia"/>
          <w:sz w:val="24"/>
        </w:rPr>
        <w:t>自然晾晒干化，晾晒</w:t>
      </w:r>
      <w:r w:rsidRPr="00FC1444">
        <w:rPr>
          <w:rFonts w:eastAsiaTheme="minorEastAsia"/>
          <w:sz w:val="24"/>
        </w:rPr>
        <w:t>7</w:t>
      </w:r>
      <w:r w:rsidRPr="00FC1444">
        <w:rPr>
          <w:rFonts w:eastAsiaTheme="minorEastAsia"/>
          <w:sz w:val="24"/>
        </w:rPr>
        <w:t>～</w:t>
      </w:r>
      <w:r w:rsidRPr="00FC1444">
        <w:rPr>
          <w:rFonts w:eastAsiaTheme="minorEastAsia"/>
          <w:sz w:val="24"/>
        </w:rPr>
        <w:t>10d</w:t>
      </w:r>
      <w:r w:rsidRPr="00FC1444">
        <w:rPr>
          <w:rFonts w:eastAsiaTheme="minorEastAsia"/>
          <w:sz w:val="24"/>
        </w:rPr>
        <w:t>后含水率大幅下降，厌氧环境破坏，臭气浓度释放量显著降低，后期臭气影响大幅减弱。</w:t>
      </w:r>
    </w:p>
    <w:p w:rsidR="00873083" w:rsidRPr="00FC1444" w:rsidRDefault="00873083" w:rsidP="00873083">
      <w:pPr>
        <w:widowControl/>
        <w:spacing w:line="360" w:lineRule="auto"/>
        <w:ind w:firstLineChars="200" w:firstLine="480"/>
        <w:rPr>
          <w:rFonts w:eastAsiaTheme="minorEastAsia"/>
          <w:spacing w:val="-5"/>
          <w:sz w:val="24"/>
        </w:rPr>
      </w:pPr>
      <w:r w:rsidRPr="00FC1444">
        <w:rPr>
          <w:sz w:val="24"/>
        </w:rPr>
        <w:t>本工程清淤施工期选定</w:t>
      </w:r>
      <w:r w:rsidRPr="00FC1444">
        <w:rPr>
          <w:sz w:val="24"/>
        </w:rPr>
        <w:t xml:space="preserve"> 2027</w:t>
      </w:r>
      <w:r w:rsidRPr="00FC1444">
        <w:rPr>
          <w:sz w:val="24"/>
        </w:rPr>
        <w:t>年</w:t>
      </w:r>
      <w:r w:rsidRPr="00FC1444">
        <w:rPr>
          <w:sz w:val="24"/>
        </w:rPr>
        <w:t>3</w:t>
      </w:r>
      <w:r w:rsidRPr="00FC1444">
        <w:rPr>
          <w:rFonts w:eastAsiaTheme="minorEastAsia"/>
          <w:kern w:val="0"/>
          <w:sz w:val="24"/>
        </w:rPr>
        <w:t>～</w:t>
      </w:r>
      <w:r w:rsidRPr="00FC1444">
        <w:rPr>
          <w:sz w:val="24"/>
        </w:rPr>
        <w:t>4</w:t>
      </w:r>
      <w:r w:rsidRPr="00FC1444">
        <w:rPr>
          <w:sz w:val="24"/>
        </w:rPr>
        <w:t>月河道枯水期开展，该阶段河流水位低，河床淤泥自然疏干、含水率较低，叠加初春低温气象条件，淤泥内厌氧微生物产臭活性受到双重抑制，恶臭污染物生成及挥发速率整体偏低；同时采用干化开挖施工，避免汛期水下扰动淤泥造成恶臭气体集中瞬时释放，整体臭气平均排放浓度优于丰水期清淤工况。</w:t>
      </w:r>
    </w:p>
    <w:p w:rsidR="002A5A5E" w:rsidRPr="00FC1444" w:rsidRDefault="00611CBA">
      <w:pPr>
        <w:pStyle w:val="aff4"/>
        <w:adjustRightInd/>
        <w:snapToGrid/>
        <w:ind w:firstLine="460"/>
        <w:rPr>
          <w:rFonts w:ascii="Times New Roman" w:hAnsi="Times New Roman" w:cs="Times New Roman"/>
          <w:spacing w:val="-5"/>
        </w:rPr>
      </w:pPr>
      <w:r w:rsidRPr="00FC1444">
        <w:rPr>
          <w:rFonts w:ascii="Times New Roman" w:hAnsi="Times New Roman" w:cs="Times New Roman"/>
          <w:spacing w:val="-5"/>
        </w:rPr>
        <w:t>淤泥恶臭主要来自渠道清淤，本项目整治在干槽时段进行，但局部排水沟段或低洼处会有少量水体，清淤时水体受到搅动会产生恶臭，另外淤泥脱水过程中会产生恶臭。恶臭强度是以嗅觉阈值为基准划分等级的，目前国内将恶臭强度划分为</w:t>
      </w:r>
      <w:r w:rsidRPr="00FC1444">
        <w:rPr>
          <w:rFonts w:ascii="Times New Roman" w:hAnsi="Times New Roman" w:cs="Times New Roman"/>
          <w:spacing w:val="-5"/>
        </w:rPr>
        <w:t>6</w:t>
      </w:r>
      <w:r w:rsidRPr="00FC1444">
        <w:rPr>
          <w:rFonts w:ascii="Times New Roman" w:hAnsi="Times New Roman" w:cs="Times New Roman"/>
          <w:spacing w:val="-5"/>
        </w:rPr>
        <w:lastRenderedPageBreak/>
        <w:t>级，限值标准相当于恶臭强度</w:t>
      </w:r>
      <w:r w:rsidRPr="00FC1444">
        <w:rPr>
          <w:rFonts w:ascii="Times New Roman" w:hAnsi="Times New Roman" w:cs="Times New Roman"/>
          <w:spacing w:val="-5"/>
        </w:rPr>
        <w:t>2.5~3.5</w:t>
      </w:r>
      <w:r w:rsidRPr="00FC1444">
        <w:rPr>
          <w:rFonts w:ascii="Times New Roman" w:hAnsi="Times New Roman" w:cs="Times New Roman"/>
          <w:spacing w:val="-5"/>
        </w:rPr>
        <w:t>级，超出该强度范围，即发生恶臭污染，需要采取防护措施。</w:t>
      </w:r>
    </w:p>
    <w:p w:rsidR="002A5A5E" w:rsidRPr="00FC1444" w:rsidRDefault="00611CBA">
      <w:pPr>
        <w:pStyle w:val="aff4"/>
        <w:adjustRightInd/>
        <w:snapToGrid/>
        <w:ind w:firstLine="460"/>
        <w:jc w:val="both"/>
        <w:rPr>
          <w:rFonts w:ascii="Times New Roman" w:hAnsi="Times New Roman" w:cs="Times New Roman"/>
          <w:spacing w:val="-5"/>
        </w:rPr>
      </w:pPr>
      <w:r w:rsidRPr="00FC1444">
        <w:rPr>
          <w:rFonts w:ascii="Times New Roman" w:hAnsi="Times New Roman" w:cs="Times New Roman"/>
          <w:spacing w:val="-5"/>
        </w:rPr>
        <w:t>根据同类项目及有关调查分析，清淤过程及堆放中在该段排水沟道边将会有明显的臭味，恶臭强度约为</w:t>
      </w:r>
      <w:r w:rsidRPr="00FC1444">
        <w:rPr>
          <w:rFonts w:ascii="Times New Roman" w:hAnsi="Times New Roman" w:cs="Times New Roman"/>
          <w:spacing w:val="-5"/>
        </w:rPr>
        <w:t>2-3</w:t>
      </w:r>
      <w:r w:rsidRPr="00FC1444">
        <w:rPr>
          <w:rFonts w:ascii="Times New Roman" w:hAnsi="Times New Roman" w:cs="Times New Roman"/>
          <w:spacing w:val="-5"/>
        </w:rPr>
        <w:t>级左右，影响范围在</w:t>
      </w:r>
      <w:r w:rsidRPr="00FC1444">
        <w:rPr>
          <w:rFonts w:ascii="Times New Roman" w:hAnsi="Times New Roman" w:cs="Times New Roman"/>
          <w:spacing w:val="-5"/>
        </w:rPr>
        <w:t>30m</w:t>
      </w:r>
      <w:r w:rsidRPr="00FC1444">
        <w:rPr>
          <w:rFonts w:ascii="Times New Roman" w:hAnsi="Times New Roman" w:cs="Times New Roman"/>
          <w:spacing w:val="-5"/>
        </w:rPr>
        <w:t>左右，</w:t>
      </w:r>
      <w:r w:rsidRPr="00FC1444">
        <w:rPr>
          <w:rFonts w:ascii="Times New Roman" w:hAnsi="Times New Roman" w:cs="Times New Roman"/>
          <w:spacing w:val="-5"/>
        </w:rPr>
        <w:t>30m</w:t>
      </w:r>
      <w:r w:rsidRPr="00FC1444">
        <w:rPr>
          <w:rFonts w:ascii="Times New Roman" w:hAnsi="Times New Roman" w:cs="Times New Roman"/>
          <w:spacing w:val="-5"/>
        </w:rPr>
        <w:t>之外达</w:t>
      </w:r>
      <w:r w:rsidRPr="00FC1444">
        <w:rPr>
          <w:rFonts w:ascii="Times New Roman" w:hAnsi="Times New Roman" w:cs="Times New Roman"/>
          <w:spacing w:val="-5"/>
        </w:rPr>
        <w:t>2</w:t>
      </w:r>
      <w:r w:rsidRPr="00FC1444">
        <w:rPr>
          <w:rFonts w:ascii="Times New Roman" w:hAnsi="Times New Roman" w:cs="Times New Roman"/>
          <w:spacing w:val="-5"/>
        </w:rPr>
        <w:t>级强度，有轻微的臭味，</w:t>
      </w:r>
      <w:r w:rsidRPr="00FC1444">
        <w:rPr>
          <w:rFonts w:ascii="Times New Roman" w:hAnsi="Times New Roman" w:cs="Times New Roman"/>
          <w:spacing w:val="-5"/>
        </w:rPr>
        <w:t>80m</w:t>
      </w:r>
      <w:r w:rsidRPr="00FC1444">
        <w:rPr>
          <w:rFonts w:ascii="Times New Roman" w:hAnsi="Times New Roman" w:cs="Times New Roman"/>
          <w:spacing w:val="-5"/>
        </w:rPr>
        <w:t>之外基本无气味。本项目不设淤泥排泥场，其影响主要为排水沟两侧的农户。清淤过程中可喷洒微生物除臭剂，有效抑制腐败细菌的生长，改善有机物的分解途径，减少恶臭气体的产生，起到源头控制臭气产生作用。</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3.3.1.3</w:t>
      </w:r>
      <w:r w:rsidRPr="00FC1444">
        <w:rPr>
          <w:rFonts w:eastAsiaTheme="minorEastAsia"/>
          <w:b/>
          <w:sz w:val="24"/>
        </w:rPr>
        <w:t>噪声污染分析</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项目施工期噪声主要来源于施工机械噪声和运输车辆噪声。在施工过程中，由于各种施工机械设备的运转和各类车辆的运行，不可避免地将产生噪声污染。这些施工噪声与运输车辆噪声对施工区周边及车辆经过的村镇声环境将产生不利影响，因此在施工过程中需采取降噪措施减少对声环境的影响。</w:t>
      </w:r>
      <w:r w:rsidRPr="00FC1444">
        <w:rPr>
          <w:spacing w:val="-5"/>
          <w:sz w:val="24"/>
        </w:rPr>
        <w:t>通过查阅《环境保护实用数据手册》及《环境影响评价技术手册水利水电工程》，结合施工现场实测，确定各施工机械设备、运输车辆等设备噪声值范围见</w:t>
      </w:r>
      <w:r w:rsidRPr="00FC1444">
        <w:rPr>
          <w:rFonts w:eastAsiaTheme="minorEastAsia"/>
          <w:sz w:val="24"/>
        </w:rPr>
        <w:t>表</w:t>
      </w:r>
      <w:r w:rsidRPr="00FC1444">
        <w:rPr>
          <w:rFonts w:eastAsiaTheme="minorEastAsia"/>
          <w:sz w:val="24"/>
        </w:rPr>
        <w:t>3-3-3</w:t>
      </w:r>
      <w:r w:rsidRPr="00FC1444">
        <w:rPr>
          <w:rFonts w:eastAsiaTheme="minorEastAsia"/>
          <w:sz w:val="24"/>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3-3-3</w:t>
      </w:r>
      <w:r w:rsidRPr="00FC1444">
        <w:rPr>
          <w:rFonts w:eastAsiaTheme="minorEastAsia"/>
          <w:b/>
          <w:kern w:val="0"/>
          <w:szCs w:val="21"/>
        </w:rPr>
        <w:t>各施工阶段主要噪声源强及周围环境噪声情况</w:t>
      </w:r>
    </w:p>
    <w:tbl>
      <w:tblPr>
        <w:tblW w:w="7959"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2237"/>
        <w:gridCol w:w="3402"/>
        <w:gridCol w:w="2320"/>
      </w:tblGrid>
      <w:tr w:rsidR="002A5A5E" w:rsidRPr="00FC1444">
        <w:trPr>
          <w:trHeight w:val="4"/>
          <w:tblHeader/>
          <w:jc w:val="center"/>
        </w:trPr>
        <w:tc>
          <w:tcPr>
            <w:tcW w:w="2237"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声源</w:t>
            </w:r>
          </w:p>
        </w:tc>
        <w:tc>
          <w:tcPr>
            <w:tcW w:w="340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噪声源强</w:t>
            </w:r>
            <w:r w:rsidRPr="00FC1444">
              <w:rPr>
                <w:rFonts w:eastAsiaTheme="minorEastAsia"/>
                <w:kern w:val="0"/>
                <w:szCs w:val="21"/>
              </w:rPr>
              <w:t>dB(A)</w:t>
            </w:r>
          </w:p>
        </w:tc>
        <w:tc>
          <w:tcPr>
            <w:tcW w:w="2320"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备注</w:t>
            </w:r>
          </w:p>
        </w:tc>
      </w:tr>
      <w:tr w:rsidR="002A5A5E" w:rsidRPr="00FC1444">
        <w:trPr>
          <w:trHeight w:val="13"/>
          <w:tblHeader/>
          <w:jc w:val="center"/>
        </w:trPr>
        <w:tc>
          <w:tcPr>
            <w:tcW w:w="2237"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轮式装载机</w:t>
            </w:r>
          </w:p>
        </w:tc>
        <w:tc>
          <w:tcPr>
            <w:tcW w:w="340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88</w:t>
            </w:r>
          </w:p>
        </w:tc>
        <w:tc>
          <w:tcPr>
            <w:tcW w:w="2320" w:type="dxa"/>
            <w:vMerge w:val="restart"/>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距离声源</w:t>
            </w:r>
            <w:r w:rsidRPr="00FC1444">
              <w:rPr>
                <w:rFonts w:eastAsiaTheme="minorEastAsia"/>
                <w:kern w:val="0"/>
                <w:szCs w:val="21"/>
              </w:rPr>
              <w:t>1m</w:t>
            </w:r>
            <w:r w:rsidRPr="00FC1444">
              <w:rPr>
                <w:rFonts w:eastAsiaTheme="minorEastAsia"/>
                <w:kern w:val="0"/>
                <w:szCs w:val="21"/>
              </w:rPr>
              <w:t>处</w:t>
            </w:r>
          </w:p>
        </w:tc>
      </w:tr>
      <w:tr w:rsidR="002A5A5E" w:rsidRPr="00FC1444">
        <w:trPr>
          <w:trHeight w:val="13"/>
          <w:tblHeader/>
          <w:jc w:val="center"/>
        </w:trPr>
        <w:tc>
          <w:tcPr>
            <w:tcW w:w="2237"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平地机</w:t>
            </w:r>
          </w:p>
        </w:tc>
        <w:tc>
          <w:tcPr>
            <w:tcW w:w="340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86</w:t>
            </w:r>
          </w:p>
        </w:tc>
        <w:tc>
          <w:tcPr>
            <w:tcW w:w="2320"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3"/>
          <w:tblHeader/>
          <w:jc w:val="center"/>
        </w:trPr>
        <w:tc>
          <w:tcPr>
            <w:tcW w:w="2237"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压路机</w:t>
            </w:r>
          </w:p>
        </w:tc>
        <w:tc>
          <w:tcPr>
            <w:tcW w:w="340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86</w:t>
            </w:r>
          </w:p>
        </w:tc>
        <w:tc>
          <w:tcPr>
            <w:tcW w:w="2320"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3"/>
          <w:tblHeader/>
          <w:jc w:val="center"/>
        </w:trPr>
        <w:tc>
          <w:tcPr>
            <w:tcW w:w="2237"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推土机</w:t>
            </w:r>
          </w:p>
        </w:tc>
        <w:tc>
          <w:tcPr>
            <w:tcW w:w="340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spacing w:val="20"/>
                <w:szCs w:val="21"/>
              </w:rPr>
              <w:t>86</w:t>
            </w:r>
          </w:p>
        </w:tc>
        <w:tc>
          <w:tcPr>
            <w:tcW w:w="2320"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3"/>
          <w:tblHeader/>
          <w:jc w:val="center"/>
        </w:trPr>
        <w:tc>
          <w:tcPr>
            <w:tcW w:w="2237"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挖掘机</w:t>
            </w:r>
          </w:p>
        </w:tc>
        <w:tc>
          <w:tcPr>
            <w:tcW w:w="340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spacing w:val="20"/>
                <w:szCs w:val="21"/>
              </w:rPr>
              <w:t>88</w:t>
            </w:r>
          </w:p>
        </w:tc>
        <w:tc>
          <w:tcPr>
            <w:tcW w:w="2320"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3"/>
          <w:tblHeader/>
          <w:jc w:val="center"/>
        </w:trPr>
        <w:tc>
          <w:tcPr>
            <w:tcW w:w="2237"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摊铺机</w:t>
            </w:r>
          </w:p>
        </w:tc>
        <w:tc>
          <w:tcPr>
            <w:tcW w:w="340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86</w:t>
            </w:r>
          </w:p>
        </w:tc>
        <w:tc>
          <w:tcPr>
            <w:tcW w:w="2320"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3"/>
          <w:tblHeader/>
          <w:jc w:val="center"/>
        </w:trPr>
        <w:tc>
          <w:tcPr>
            <w:tcW w:w="2237"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冲击式钻井机</w:t>
            </w:r>
          </w:p>
        </w:tc>
        <w:tc>
          <w:tcPr>
            <w:tcW w:w="340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87</w:t>
            </w:r>
          </w:p>
        </w:tc>
        <w:tc>
          <w:tcPr>
            <w:tcW w:w="2320"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3"/>
          <w:tblHeader/>
          <w:jc w:val="center"/>
        </w:trPr>
        <w:tc>
          <w:tcPr>
            <w:tcW w:w="2237"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卡车</w:t>
            </w:r>
          </w:p>
        </w:tc>
        <w:tc>
          <w:tcPr>
            <w:tcW w:w="340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spacing w:val="20"/>
                <w:szCs w:val="21"/>
              </w:rPr>
              <w:t>80</w:t>
            </w:r>
          </w:p>
        </w:tc>
        <w:tc>
          <w:tcPr>
            <w:tcW w:w="2320"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3"/>
          <w:tblHeader/>
          <w:jc w:val="center"/>
        </w:trPr>
        <w:tc>
          <w:tcPr>
            <w:tcW w:w="2237"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移动式吊车</w:t>
            </w:r>
          </w:p>
        </w:tc>
        <w:tc>
          <w:tcPr>
            <w:tcW w:w="340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spacing w:val="20"/>
                <w:szCs w:val="21"/>
              </w:rPr>
              <w:t>80</w:t>
            </w:r>
          </w:p>
        </w:tc>
        <w:tc>
          <w:tcPr>
            <w:tcW w:w="2320"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3"/>
          <w:tblHeader/>
          <w:jc w:val="center"/>
        </w:trPr>
        <w:tc>
          <w:tcPr>
            <w:tcW w:w="2237"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发电机组</w:t>
            </w:r>
          </w:p>
        </w:tc>
        <w:tc>
          <w:tcPr>
            <w:tcW w:w="340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80</w:t>
            </w:r>
          </w:p>
        </w:tc>
        <w:tc>
          <w:tcPr>
            <w:tcW w:w="2320" w:type="dxa"/>
            <w:vMerge/>
            <w:vAlign w:val="center"/>
          </w:tcPr>
          <w:p w:rsidR="002A5A5E" w:rsidRPr="00FC1444" w:rsidRDefault="002A5A5E">
            <w:pPr>
              <w:widowControl/>
              <w:spacing w:line="240" w:lineRule="atLeast"/>
              <w:jc w:val="center"/>
              <w:rPr>
                <w:rFonts w:eastAsiaTheme="minorEastAsia"/>
                <w:kern w:val="0"/>
                <w:szCs w:val="21"/>
              </w:rPr>
            </w:pPr>
          </w:p>
        </w:tc>
      </w:tr>
    </w:tbl>
    <w:p w:rsidR="002A5A5E" w:rsidRPr="00FC1444" w:rsidRDefault="00611CBA">
      <w:pPr>
        <w:autoSpaceDE w:val="0"/>
        <w:autoSpaceDN w:val="0"/>
        <w:spacing w:before="100" w:beforeAutospacing="1" w:after="100" w:afterAutospacing="1"/>
        <w:outlineLvl w:val="3"/>
        <w:rPr>
          <w:rFonts w:eastAsiaTheme="minorEastAsia"/>
          <w:b/>
          <w:sz w:val="24"/>
        </w:rPr>
      </w:pPr>
      <w:bookmarkStart w:id="95" w:name="_Toc15991650"/>
      <w:r w:rsidRPr="00FC1444">
        <w:rPr>
          <w:rFonts w:eastAsiaTheme="minorEastAsia"/>
          <w:b/>
          <w:sz w:val="24"/>
        </w:rPr>
        <w:t>3.3.1.4</w:t>
      </w:r>
      <w:r w:rsidRPr="00FC1444">
        <w:rPr>
          <w:rFonts w:eastAsiaTheme="minorEastAsia"/>
          <w:b/>
          <w:sz w:val="24"/>
        </w:rPr>
        <w:t>固废污染分析</w:t>
      </w:r>
    </w:p>
    <w:p w:rsidR="00957CE3" w:rsidRPr="00FC1444" w:rsidRDefault="00957CE3" w:rsidP="00957CE3">
      <w:pPr>
        <w:pStyle w:val="aff4"/>
        <w:adjustRightInd/>
        <w:snapToGrid/>
        <w:contextualSpacing/>
        <w:jc w:val="both"/>
        <w:rPr>
          <w:rFonts w:ascii="Times New Roman" w:hAnsi="Times New Roman" w:cs="Times New Roman"/>
          <w:snapToGrid w:val="0"/>
        </w:rPr>
      </w:pPr>
      <w:r w:rsidRPr="00FC1444">
        <w:rPr>
          <w:rFonts w:ascii="Times New Roman" w:hAnsi="Times New Roman" w:cs="Times New Roman"/>
          <w:snapToGrid w:val="0"/>
        </w:rPr>
        <w:t>施工机械如发生故障，维修将会</w:t>
      </w:r>
      <w:r w:rsidRPr="00FC1444">
        <w:rPr>
          <w:rFonts w:ascii="Times New Roman" w:hAnsi="Times New Roman" w:cs="Times New Roman"/>
          <w:spacing w:val="-5"/>
        </w:rPr>
        <w:t>产生的废机油，</w:t>
      </w:r>
      <w:r w:rsidRPr="00FC1444">
        <w:rPr>
          <w:rFonts w:ascii="Times New Roman" w:hAnsi="Times New Roman" w:cs="Times New Roman"/>
        </w:rPr>
        <w:t>及其包装容器，属于危险废物，本项目不设置维修站，发生故障后送至附近专业维修站，故本项目施工期不产生危险废物。</w:t>
      </w:r>
    </w:p>
    <w:p w:rsidR="002A5A5E" w:rsidRPr="00FC1444" w:rsidRDefault="00611CBA">
      <w:pPr>
        <w:pStyle w:val="aff4"/>
        <w:adjustRightInd/>
        <w:snapToGrid/>
        <w:contextualSpacing/>
        <w:jc w:val="both"/>
        <w:rPr>
          <w:rFonts w:ascii="Times New Roman" w:hAnsi="Times New Roman" w:cs="Times New Roman"/>
          <w:snapToGrid w:val="0"/>
        </w:rPr>
      </w:pPr>
      <w:r w:rsidRPr="00FC1444">
        <w:rPr>
          <w:rFonts w:ascii="Times New Roman" w:hAnsi="Times New Roman" w:cs="Times New Roman"/>
          <w:snapToGrid w:val="0"/>
        </w:rPr>
        <w:lastRenderedPageBreak/>
        <w:t>施工期固体废物主要包括</w:t>
      </w:r>
      <w:r w:rsidR="00957CE3" w:rsidRPr="00FC1444">
        <w:rPr>
          <w:rFonts w:ascii="Times New Roman" w:hAnsi="Times New Roman" w:cs="Times New Roman"/>
          <w:spacing w:val="-4"/>
          <w:szCs w:val="21"/>
        </w:rPr>
        <w:t>建筑垃圾、土方（表土、</w:t>
      </w:r>
      <w:r w:rsidR="00957CE3" w:rsidRPr="00FC1444">
        <w:rPr>
          <w:rFonts w:ascii="Times New Roman" w:hAnsi="Times New Roman" w:cs="Times New Roman"/>
          <w:szCs w:val="22"/>
        </w:rPr>
        <w:t>钻井泥浆</w:t>
      </w:r>
      <w:r w:rsidR="00957CE3" w:rsidRPr="00FC1444">
        <w:rPr>
          <w:rFonts w:ascii="Times New Roman" w:hAnsi="Times New Roman" w:cs="Times New Roman"/>
          <w:spacing w:val="-4"/>
          <w:szCs w:val="21"/>
        </w:rPr>
        <w:t>）、生活垃圾、淤泥、废肥料包装袋</w:t>
      </w:r>
      <w:r w:rsidRPr="00FC1444">
        <w:rPr>
          <w:rFonts w:ascii="Times New Roman" w:hAnsi="Times New Roman" w:cs="Times New Roman"/>
          <w:snapToGrid w:val="0"/>
        </w:rPr>
        <w:t>。</w:t>
      </w:r>
    </w:p>
    <w:p w:rsidR="002A5A5E" w:rsidRPr="00FC1444" w:rsidRDefault="009840DD" w:rsidP="00F9040C">
      <w:pPr>
        <w:pStyle w:val="aff4"/>
        <w:adjustRightInd/>
        <w:snapToGrid/>
        <w:contextualSpacing/>
        <w:jc w:val="both"/>
        <w:rPr>
          <w:rFonts w:ascii="Times New Roman" w:hAnsi="Times New Roman" w:cs="Times New Roman"/>
          <w:snapToGrid w:val="0"/>
        </w:rPr>
      </w:pPr>
      <w:r w:rsidRPr="00FC1444">
        <w:rPr>
          <w:rFonts w:ascii="Times New Roman" w:hAnsi="Times New Roman" w:cs="Times New Roman"/>
          <w:snapToGrid w:val="0"/>
        </w:rPr>
        <w:fldChar w:fldCharType="begin"/>
      </w:r>
      <w:r w:rsidR="00611CBA" w:rsidRPr="00FC1444">
        <w:rPr>
          <w:rFonts w:ascii="Times New Roman" w:hAnsi="Times New Roman" w:cs="Times New Roman"/>
          <w:snapToGrid w:val="0"/>
        </w:rPr>
        <w:instrText>= 1 \* GB3</w:instrText>
      </w:r>
      <w:r w:rsidRPr="00FC1444">
        <w:rPr>
          <w:rFonts w:ascii="Times New Roman" w:hAnsi="Times New Roman" w:cs="Times New Roman"/>
          <w:snapToGrid w:val="0"/>
        </w:rPr>
        <w:fldChar w:fldCharType="separate"/>
      </w:r>
      <w:r w:rsidR="00611CBA" w:rsidRPr="00FC1444">
        <w:rPr>
          <w:rFonts w:ascii="宋体" w:eastAsia="宋体" w:hAnsi="宋体" w:cs="宋体" w:hint="eastAsia"/>
          <w:snapToGrid w:val="0"/>
        </w:rPr>
        <w:t>①</w:t>
      </w:r>
      <w:r w:rsidRPr="00FC1444">
        <w:rPr>
          <w:rFonts w:ascii="Times New Roman" w:hAnsi="Times New Roman" w:cs="Times New Roman"/>
          <w:snapToGrid w:val="0"/>
        </w:rPr>
        <w:fldChar w:fldCharType="end"/>
      </w:r>
      <w:r w:rsidR="006D1744" w:rsidRPr="00FC1444">
        <w:rPr>
          <w:rFonts w:ascii="Times New Roman" w:hAnsi="Times New Roman" w:cs="Times New Roman"/>
          <w:spacing w:val="-4"/>
          <w:szCs w:val="21"/>
        </w:rPr>
        <w:t>建筑垃圾主要为道路、</w:t>
      </w:r>
      <w:r w:rsidR="006D1744" w:rsidRPr="00FC1444">
        <w:rPr>
          <w:rFonts w:ascii="Times New Roman" w:hAnsi="Times New Roman" w:cs="Times New Roman"/>
          <w:bCs/>
          <w:spacing w:val="-4"/>
          <w:szCs w:val="21"/>
        </w:rPr>
        <w:t>渠道衬砌</w:t>
      </w:r>
      <w:r w:rsidR="006D1744" w:rsidRPr="00FC1444">
        <w:rPr>
          <w:rFonts w:ascii="Times New Roman" w:hAnsi="Times New Roman" w:cs="Times New Roman"/>
          <w:spacing w:val="-4"/>
          <w:szCs w:val="21"/>
        </w:rPr>
        <w:t>及建筑物工程拆除的废建材、废包装袋。</w:t>
      </w:r>
      <w:r w:rsidR="00611CBA" w:rsidRPr="00FC1444">
        <w:rPr>
          <w:rFonts w:ascii="Times New Roman" w:hAnsi="Times New Roman" w:cs="Times New Roman"/>
          <w:snapToGrid w:val="0"/>
        </w:rPr>
        <w:t>对可再利用的建筑废料，进行回收利用，以节省资源。最大程度减小对环境的影响。</w:t>
      </w:r>
      <w:r w:rsidR="00A26F21" w:rsidRPr="00FC1444">
        <w:rPr>
          <w:rFonts w:ascii="Times New Roman" w:hAnsi="Times New Roman" w:cs="Times New Roman"/>
          <w:spacing w:val="-4"/>
          <w:szCs w:val="21"/>
        </w:rPr>
        <w:t>根据已批复的《</w:t>
      </w:r>
      <w:r w:rsidR="00AE168C" w:rsidRPr="00FC1444">
        <w:rPr>
          <w:rFonts w:ascii="Times New Roman" w:hAnsi="Times New Roman" w:cs="Times New Roman"/>
          <w:snapToGrid w:val="0"/>
          <w:kern w:val="0"/>
        </w:rPr>
        <w:t>北林区</w:t>
      </w:r>
      <w:r w:rsidR="00AE168C" w:rsidRPr="00FC1444">
        <w:rPr>
          <w:rFonts w:ascii="Times New Roman" w:hAnsi="Times New Roman" w:cs="Times New Roman"/>
          <w:snapToGrid w:val="0"/>
          <w:kern w:val="0"/>
        </w:rPr>
        <w:t>2026</w:t>
      </w:r>
      <w:r w:rsidR="00AE168C" w:rsidRPr="00FC1444">
        <w:rPr>
          <w:rFonts w:ascii="Times New Roman" w:hAnsi="Times New Roman" w:cs="Times New Roman"/>
          <w:snapToGrid w:val="0"/>
          <w:kern w:val="0"/>
        </w:rPr>
        <w:t>年高标准农田建设项目</w:t>
      </w:r>
      <w:r w:rsidR="00A26F21" w:rsidRPr="00FC1444">
        <w:rPr>
          <w:rFonts w:ascii="Times New Roman" w:hAnsi="Times New Roman" w:cs="Times New Roman"/>
          <w:snapToGrid w:val="0"/>
          <w:kern w:val="0"/>
        </w:rPr>
        <w:t>初步设计报告</w:t>
      </w:r>
      <w:r w:rsidR="00A26F21" w:rsidRPr="00FC1444">
        <w:rPr>
          <w:rFonts w:ascii="Times New Roman" w:hAnsi="Times New Roman" w:cs="Times New Roman"/>
          <w:spacing w:val="-4"/>
          <w:szCs w:val="21"/>
        </w:rPr>
        <w:t>》，</w:t>
      </w:r>
      <w:r w:rsidR="00611CBA" w:rsidRPr="00FC1444">
        <w:rPr>
          <w:rFonts w:ascii="Times New Roman" w:hAnsi="Times New Roman" w:cs="Times New Roman"/>
          <w:snapToGrid w:val="0"/>
        </w:rPr>
        <w:t>拆除的建筑垃圾产生量共</w:t>
      </w:r>
      <w:r w:rsidR="007A65D0" w:rsidRPr="00FC1444">
        <w:rPr>
          <w:rFonts w:ascii="Times New Roman" w:hAnsi="Times New Roman" w:cs="Times New Roman" w:hint="eastAsia"/>
          <w:snapToGrid w:val="0"/>
        </w:rPr>
        <w:t>206473</w:t>
      </w:r>
      <w:r w:rsidR="00611CBA" w:rsidRPr="00FC1444">
        <w:rPr>
          <w:rFonts w:ascii="Times New Roman" w:hAnsi="Times New Roman" w:cs="Times New Roman"/>
          <w:bCs/>
          <w:snapToGrid w:val="0"/>
        </w:rPr>
        <w:t>m</w:t>
      </w:r>
      <w:r w:rsidR="00611CBA" w:rsidRPr="00FC1444">
        <w:rPr>
          <w:rFonts w:ascii="Times New Roman" w:hAnsi="Times New Roman" w:cs="Times New Roman"/>
          <w:bCs/>
          <w:snapToGrid w:val="0"/>
          <w:vertAlign w:val="superscript"/>
        </w:rPr>
        <w:t>3</w:t>
      </w:r>
      <w:r w:rsidR="00611CBA" w:rsidRPr="00FC1444">
        <w:rPr>
          <w:rFonts w:ascii="Times New Roman" w:hAnsi="Times New Roman" w:cs="Times New Roman"/>
          <w:snapToGrid w:val="0"/>
        </w:rPr>
        <w:t>，其中</w:t>
      </w:r>
      <w:r w:rsidR="007A65D0" w:rsidRPr="00FC1444">
        <w:rPr>
          <w:rFonts w:ascii="Times New Roman" w:hAnsi="Times New Roman" w:cs="Times New Roman" w:hint="eastAsia"/>
          <w:snapToGrid w:val="0"/>
        </w:rPr>
        <w:t>191523</w:t>
      </w:r>
      <w:r w:rsidR="00611CBA" w:rsidRPr="00FC1444">
        <w:rPr>
          <w:rFonts w:ascii="Times New Roman" w:hAnsi="Times New Roman" w:cs="Times New Roman"/>
          <w:bCs/>
          <w:snapToGrid w:val="0"/>
        </w:rPr>
        <w:t>m</w:t>
      </w:r>
      <w:r w:rsidR="00611CBA" w:rsidRPr="00FC1444">
        <w:rPr>
          <w:rFonts w:ascii="Times New Roman" w:hAnsi="Times New Roman" w:cs="Times New Roman"/>
          <w:bCs/>
          <w:snapToGrid w:val="0"/>
          <w:vertAlign w:val="superscript"/>
        </w:rPr>
        <w:t>3</w:t>
      </w:r>
      <w:r w:rsidR="00611CBA" w:rsidRPr="00FC1444">
        <w:rPr>
          <w:rFonts w:ascii="Times New Roman" w:hAnsi="Times New Roman" w:cs="Times New Roman"/>
          <w:bCs/>
          <w:snapToGrid w:val="0"/>
        </w:rPr>
        <w:t>作为</w:t>
      </w:r>
      <w:r w:rsidR="00611CBA" w:rsidRPr="00FC1444">
        <w:rPr>
          <w:rFonts w:ascii="Times New Roman" w:hAnsi="Times New Roman" w:cs="Times New Roman"/>
          <w:snapToGrid w:val="0"/>
          <w:kern w:val="0"/>
        </w:rPr>
        <w:t>田块整治工程回填</w:t>
      </w:r>
      <w:r w:rsidR="00611CBA" w:rsidRPr="00FC1444">
        <w:rPr>
          <w:rFonts w:ascii="Times New Roman" w:hAnsi="Times New Roman" w:cs="Times New Roman"/>
          <w:snapToGrid w:val="0"/>
        </w:rPr>
        <w:t>。剩余</w:t>
      </w:r>
      <w:r w:rsidR="007A65D0" w:rsidRPr="00FC1444">
        <w:rPr>
          <w:rFonts w:ascii="Times New Roman" w:hAnsi="Times New Roman" w:cs="Times New Roman"/>
          <w:snapToGrid w:val="0"/>
        </w:rPr>
        <w:t>14950</w:t>
      </w:r>
      <w:r w:rsidR="00611CBA" w:rsidRPr="00FC1444">
        <w:rPr>
          <w:rFonts w:ascii="Times New Roman" w:hAnsi="Times New Roman" w:cs="Times New Roman"/>
          <w:bCs/>
          <w:snapToGrid w:val="0"/>
        </w:rPr>
        <w:t>m</w:t>
      </w:r>
      <w:r w:rsidR="00611CBA" w:rsidRPr="00FC1444">
        <w:rPr>
          <w:rFonts w:ascii="Times New Roman" w:hAnsi="Times New Roman" w:cs="Times New Roman"/>
          <w:bCs/>
          <w:snapToGrid w:val="0"/>
          <w:vertAlign w:val="superscript"/>
        </w:rPr>
        <w:t>3</w:t>
      </w:r>
      <w:r w:rsidR="00611CBA" w:rsidRPr="00FC1444">
        <w:rPr>
          <w:rFonts w:ascii="Times New Roman" w:hAnsi="Times New Roman" w:cs="Times New Roman"/>
          <w:snapToGrid w:val="0"/>
        </w:rPr>
        <w:t>及时送至建材公司回用。</w:t>
      </w:r>
      <w:r w:rsidR="00957CE3" w:rsidRPr="00FC1444">
        <w:rPr>
          <w:rFonts w:ascii="Times New Roman" w:hAnsi="Times New Roman" w:cs="Times New Roman"/>
          <w:spacing w:val="-4"/>
          <w:szCs w:val="21"/>
        </w:rPr>
        <w:t>废包装袋外售废品收购站。</w:t>
      </w:r>
    </w:p>
    <w:p w:rsidR="002A5A5E" w:rsidRPr="00FC1444" w:rsidRDefault="00611CBA">
      <w:pPr>
        <w:pStyle w:val="aff4"/>
        <w:adjustRightInd/>
        <w:snapToGrid/>
        <w:contextualSpacing/>
        <w:jc w:val="both"/>
        <w:rPr>
          <w:rFonts w:ascii="Times New Roman" w:hAnsi="Times New Roman" w:cs="Times New Roman"/>
          <w:snapToGrid w:val="0"/>
        </w:rPr>
      </w:pPr>
      <w:r w:rsidRPr="00FC1444">
        <w:rPr>
          <w:rFonts w:ascii="宋体" w:eastAsia="宋体" w:hAnsi="宋体" w:cs="宋体" w:hint="eastAsia"/>
          <w:snapToGrid w:val="0"/>
        </w:rPr>
        <w:t>②</w:t>
      </w:r>
      <w:r w:rsidRPr="00FC1444">
        <w:rPr>
          <w:rFonts w:ascii="Times New Roman" w:hAnsi="Times New Roman" w:cs="Times New Roman"/>
          <w:szCs w:val="22"/>
        </w:rPr>
        <w:t>本项目</w:t>
      </w:r>
      <w:r w:rsidR="00DE2B0A" w:rsidRPr="00FC1444">
        <w:rPr>
          <w:rFonts w:ascii="Times New Roman" w:hAnsi="Times New Roman" w:cs="Times New Roman"/>
          <w:bCs/>
          <w:szCs w:val="22"/>
        </w:rPr>
        <w:t>单井泥浆最大产生量</w:t>
      </w:r>
      <w:r w:rsidR="000E00D5" w:rsidRPr="00FC1444">
        <w:rPr>
          <w:rFonts w:ascii="Times New Roman" w:hAnsi="Times New Roman" w:cs="Times New Roman"/>
          <w:bCs/>
          <w:szCs w:val="22"/>
        </w:rPr>
        <w:t>10</w:t>
      </w:r>
      <w:r w:rsidR="00DE2B0A" w:rsidRPr="00FC1444">
        <w:rPr>
          <w:rFonts w:ascii="Times New Roman" w:hAnsi="Times New Roman" w:cs="Times New Roman"/>
          <w:bCs/>
          <w:szCs w:val="22"/>
        </w:rPr>
        <w:t>m</w:t>
      </w:r>
      <w:r w:rsidR="00DE2B0A" w:rsidRPr="00FC1444">
        <w:rPr>
          <w:rFonts w:ascii="Times New Roman" w:hAnsi="Times New Roman" w:cs="Times New Roman"/>
          <w:bCs/>
          <w:szCs w:val="22"/>
          <w:vertAlign w:val="superscript"/>
        </w:rPr>
        <w:t>3</w:t>
      </w:r>
      <w:r w:rsidRPr="00FC1444">
        <w:rPr>
          <w:rFonts w:ascii="Times New Roman" w:hAnsi="Times New Roman" w:cs="Times New Roman"/>
          <w:bCs/>
          <w:szCs w:val="22"/>
        </w:rPr>
        <w:t>，</w:t>
      </w:r>
      <w:r w:rsidRPr="00FC1444">
        <w:rPr>
          <w:rFonts w:ascii="Times New Roman" w:hAnsi="Times New Roman" w:cs="Times New Roman"/>
          <w:szCs w:val="22"/>
        </w:rPr>
        <w:t>钻井泥浆可循环利用，废泥浆</w:t>
      </w:r>
      <w:r w:rsidRPr="00FC1444">
        <w:rPr>
          <w:rFonts w:ascii="Times New Roman" w:hAnsi="Times New Roman" w:cs="Times New Roman"/>
        </w:rPr>
        <w:t>暂存于施工场地</w:t>
      </w:r>
      <w:r w:rsidR="006974EB" w:rsidRPr="00FC1444">
        <w:rPr>
          <w:rFonts w:ascii="Times New Roman" w:hAnsi="Times New Roman" w:cs="Times New Roman"/>
        </w:rPr>
        <w:t>1</w:t>
      </w:r>
      <w:r w:rsidR="0009673A" w:rsidRPr="00FC1444">
        <w:rPr>
          <w:rFonts w:ascii="Times New Roman" w:hAnsi="Times New Roman" w:cs="Times New Roman"/>
        </w:rPr>
        <w:t>个</w:t>
      </w:r>
      <w:r w:rsidR="006974EB" w:rsidRPr="00FC1444">
        <w:rPr>
          <w:rFonts w:ascii="Times New Roman" w:hAnsi="Times New Roman" w:cs="Times New Roman"/>
        </w:rPr>
        <w:t>1</w:t>
      </w:r>
      <w:r w:rsidRPr="00FC1444">
        <w:rPr>
          <w:rFonts w:ascii="Times New Roman" w:hAnsi="Times New Roman" w:cs="Times New Roman"/>
        </w:rPr>
        <w:t>0</w:t>
      </w:r>
      <w:r w:rsidRPr="00FC1444">
        <w:rPr>
          <w:rFonts w:ascii="Times New Roman" w:hAnsi="Times New Roman" w:cs="Times New Roman"/>
          <w:szCs w:val="22"/>
        </w:rPr>
        <w:t>m</w:t>
      </w:r>
      <w:r w:rsidRPr="00FC1444">
        <w:rPr>
          <w:rFonts w:ascii="Times New Roman" w:hAnsi="Times New Roman" w:cs="Times New Roman"/>
          <w:szCs w:val="22"/>
          <w:vertAlign w:val="superscript"/>
        </w:rPr>
        <w:t>3</w:t>
      </w:r>
      <w:r w:rsidRPr="00FC1444">
        <w:rPr>
          <w:rFonts w:ascii="Times New Roman" w:hAnsi="Times New Roman" w:cs="Times New Roman"/>
        </w:rPr>
        <w:t>移动式不锈钢沉淀池内，沉淀后上层清水用于洒水降尘，下层钻井</w:t>
      </w:r>
      <w:r w:rsidRPr="00FC1444">
        <w:rPr>
          <w:rFonts w:ascii="Times New Roman" w:hAnsi="Times New Roman" w:cs="Times New Roman"/>
          <w:bCs/>
          <w:szCs w:val="22"/>
        </w:rPr>
        <w:t>泥浆自然干化后用于周围路面平整</w:t>
      </w:r>
      <w:r w:rsidRPr="00FC1444">
        <w:rPr>
          <w:rFonts w:ascii="Times New Roman" w:hAnsi="Times New Roman" w:cs="Times New Roman"/>
          <w:szCs w:val="21"/>
        </w:rPr>
        <w:t>。</w:t>
      </w:r>
      <w:r w:rsidRPr="00FC1444">
        <w:rPr>
          <w:rFonts w:ascii="Times New Roman" w:hAnsi="Times New Roman" w:cs="Times New Roman"/>
          <w:snapToGrid w:val="0"/>
          <w:kern w:val="0"/>
        </w:rPr>
        <w:t>表土用于临时工程土地恢复及田块整治工程</w:t>
      </w:r>
      <w:r w:rsidRPr="00FC1444">
        <w:rPr>
          <w:rFonts w:ascii="Times New Roman" w:hAnsi="Times New Roman" w:cs="Times New Roman"/>
          <w:snapToGrid w:val="0"/>
        </w:rPr>
        <w:t>，</w:t>
      </w:r>
      <w:r w:rsidR="009C6020" w:rsidRPr="00FC1444">
        <w:rPr>
          <w:rFonts w:ascii="Times New Roman" w:hAnsi="Times New Roman" w:cs="Times New Roman"/>
        </w:rPr>
        <w:t>资源化利用</w:t>
      </w:r>
      <w:r w:rsidRPr="00FC1444">
        <w:rPr>
          <w:rFonts w:ascii="Times New Roman" w:hAnsi="Times New Roman" w:cs="Times New Roman"/>
          <w:snapToGrid w:val="0"/>
        </w:rPr>
        <w:t>。</w:t>
      </w:r>
    </w:p>
    <w:p w:rsidR="002A5A5E" w:rsidRPr="00FC1444" w:rsidRDefault="00611CBA">
      <w:pPr>
        <w:pStyle w:val="aff4"/>
        <w:adjustRightInd/>
        <w:snapToGrid/>
        <w:contextualSpacing/>
        <w:jc w:val="both"/>
        <w:rPr>
          <w:rFonts w:ascii="Times New Roman" w:hAnsi="Times New Roman" w:cs="Times New Roman"/>
          <w:snapToGrid w:val="0"/>
        </w:rPr>
      </w:pPr>
      <w:r w:rsidRPr="00FC1444">
        <w:rPr>
          <w:rFonts w:ascii="宋体" w:eastAsia="宋体" w:hAnsi="宋体" w:cs="宋体" w:hint="eastAsia"/>
          <w:snapToGrid w:val="0"/>
        </w:rPr>
        <w:t>③</w:t>
      </w:r>
      <w:r w:rsidRPr="00FC1444">
        <w:rPr>
          <w:rFonts w:ascii="Times New Roman" w:hAnsi="Times New Roman" w:cs="Times New Roman"/>
          <w:snapToGrid w:val="0"/>
        </w:rPr>
        <w:t>施工期总人数约为</w:t>
      </w:r>
      <w:r w:rsidR="000E00D5" w:rsidRPr="00FC1444">
        <w:rPr>
          <w:rFonts w:ascii="Times New Roman" w:hAnsi="Times New Roman" w:cs="Times New Roman"/>
          <w:snapToGrid w:val="0"/>
        </w:rPr>
        <w:t>165</w:t>
      </w:r>
      <w:r w:rsidRPr="00FC1444">
        <w:rPr>
          <w:rFonts w:ascii="Times New Roman" w:hAnsi="Times New Roman" w:cs="Times New Roman"/>
          <w:snapToGrid w:val="0"/>
        </w:rPr>
        <w:t>人</w:t>
      </w:r>
      <w:r w:rsidRPr="00FC1444">
        <w:rPr>
          <w:rFonts w:ascii="Times New Roman" w:hAnsi="Times New Roman" w:cs="Times New Roman"/>
          <w:snapToGrid w:val="0"/>
        </w:rPr>
        <w:t>/d</w:t>
      </w:r>
      <w:r w:rsidRPr="00FC1444">
        <w:rPr>
          <w:rFonts w:ascii="Times New Roman" w:hAnsi="Times New Roman" w:cs="Times New Roman"/>
          <w:snapToGrid w:val="0"/>
        </w:rPr>
        <w:t>，按每人每天</w:t>
      </w:r>
      <w:r w:rsidRPr="00FC1444">
        <w:rPr>
          <w:rFonts w:ascii="Times New Roman" w:hAnsi="Times New Roman" w:cs="Times New Roman"/>
          <w:snapToGrid w:val="0"/>
        </w:rPr>
        <w:t>0.4kg</w:t>
      </w:r>
      <w:r w:rsidRPr="00FC1444">
        <w:rPr>
          <w:rFonts w:ascii="Times New Roman" w:hAnsi="Times New Roman" w:cs="Times New Roman"/>
          <w:snapToGrid w:val="0"/>
        </w:rPr>
        <w:t>计，预计一天产生</w:t>
      </w:r>
      <w:r w:rsidR="000E00D5" w:rsidRPr="00FC1444">
        <w:rPr>
          <w:rFonts w:ascii="Times New Roman" w:hAnsi="Times New Roman" w:cs="Times New Roman"/>
          <w:snapToGrid w:val="0"/>
        </w:rPr>
        <w:t>66</w:t>
      </w:r>
      <w:r w:rsidRPr="00FC1444">
        <w:rPr>
          <w:rFonts w:ascii="Times New Roman" w:hAnsi="Times New Roman" w:cs="Times New Roman"/>
          <w:snapToGrid w:val="0"/>
        </w:rPr>
        <w:t>kg</w:t>
      </w:r>
      <w:r w:rsidRPr="00FC1444">
        <w:rPr>
          <w:rFonts w:ascii="Times New Roman" w:hAnsi="Times New Roman" w:cs="Times New Roman"/>
          <w:snapToGrid w:val="0"/>
        </w:rPr>
        <w:t>固体废物。施工人员产生的生活垃圾若随意堆放，不仅影响施工区环境景观，而且影响施工区环境卫生。在施工现场设置垃圾收集箱，集中收集后由市政环卫部门统一清运处置。</w:t>
      </w:r>
    </w:p>
    <w:p w:rsidR="002A5A5E" w:rsidRPr="00FC1444" w:rsidRDefault="009840DD">
      <w:pPr>
        <w:pStyle w:val="aff4"/>
        <w:adjustRightInd/>
        <w:snapToGrid/>
        <w:contextualSpacing/>
        <w:jc w:val="both"/>
        <w:rPr>
          <w:rFonts w:ascii="Times New Roman" w:hAnsi="Times New Roman" w:cs="Times New Roman"/>
          <w:snapToGrid w:val="0"/>
        </w:rPr>
      </w:pPr>
      <w:r w:rsidRPr="00FC1444">
        <w:rPr>
          <w:rFonts w:ascii="Times New Roman" w:hAnsi="Times New Roman" w:cs="Times New Roman"/>
          <w:snapToGrid w:val="0"/>
        </w:rPr>
        <w:fldChar w:fldCharType="begin"/>
      </w:r>
      <w:r w:rsidR="00611CBA" w:rsidRPr="00FC1444">
        <w:rPr>
          <w:rFonts w:ascii="Times New Roman" w:hAnsi="Times New Roman" w:cs="Times New Roman"/>
          <w:snapToGrid w:val="0"/>
        </w:rPr>
        <w:instrText xml:space="preserve"> = 4 \* GB3 </w:instrText>
      </w:r>
      <w:r w:rsidRPr="00FC1444">
        <w:rPr>
          <w:rFonts w:ascii="Times New Roman" w:hAnsi="Times New Roman" w:cs="Times New Roman"/>
          <w:snapToGrid w:val="0"/>
        </w:rPr>
        <w:fldChar w:fldCharType="separate"/>
      </w:r>
      <w:r w:rsidR="00611CBA" w:rsidRPr="00FC1444">
        <w:rPr>
          <w:rFonts w:ascii="宋体" w:eastAsia="宋体" w:hAnsi="宋体" w:cs="宋体" w:hint="eastAsia"/>
          <w:snapToGrid w:val="0"/>
        </w:rPr>
        <w:t>④</w:t>
      </w:r>
      <w:r w:rsidRPr="00FC1444">
        <w:rPr>
          <w:rFonts w:ascii="Times New Roman" w:hAnsi="Times New Roman" w:cs="Times New Roman"/>
          <w:snapToGrid w:val="0"/>
        </w:rPr>
        <w:fldChar w:fldCharType="end"/>
      </w:r>
      <w:r w:rsidR="00611CBA" w:rsidRPr="00FC1444">
        <w:rPr>
          <w:rFonts w:ascii="Times New Roman" w:hAnsi="Times New Roman" w:cs="Times New Roman"/>
          <w:snapToGrid w:val="0"/>
        </w:rPr>
        <w:t>排水沟淤泥</w:t>
      </w:r>
    </w:p>
    <w:p w:rsidR="002A5A5E" w:rsidRPr="00FC1444" w:rsidRDefault="00611CBA">
      <w:pPr>
        <w:pStyle w:val="aff4"/>
        <w:adjustRightInd/>
        <w:snapToGrid/>
        <w:contextualSpacing/>
        <w:rPr>
          <w:rFonts w:ascii="Times New Roman" w:hAnsi="Times New Roman" w:cs="Times New Roman"/>
          <w:bCs/>
        </w:rPr>
      </w:pPr>
      <w:r w:rsidRPr="00FC1444">
        <w:rPr>
          <w:rFonts w:ascii="Times New Roman" w:hAnsi="Times New Roman" w:cs="Times New Roman"/>
        </w:rPr>
        <w:t>依据哈尔滨新巨环保科技有限公司</w:t>
      </w:r>
      <w:r w:rsidR="00363CBD" w:rsidRPr="00FC1444">
        <w:rPr>
          <w:rFonts w:ascii="Times New Roman" w:hAnsi="Times New Roman" w:cs="Times New Roman"/>
        </w:rPr>
        <w:t>2026</w:t>
      </w:r>
      <w:r w:rsidR="00363CBD" w:rsidRPr="00FC1444">
        <w:rPr>
          <w:rFonts w:ascii="Times New Roman" w:hAnsi="Times New Roman" w:cs="Times New Roman"/>
        </w:rPr>
        <w:t>年</w:t>
      </w:r>
      <w:r w:rsidR="00363CBD" w:rsidRPr="00FC1444">
        <w:rPr>
          <w:rFonts w:ascii="Times New Roman" w:hAnsi="Times New Roman" w:cs="Times New Roman" w:hint="eastAsia"/>
        </w:rPr>
        <w:t>8</w:t>
      </w:r>
      <w:r w:rsidR="00363CBD" w:rsidRPr="00FC1444">
        <w:rPr>
          <w:rFonts w:ascii="Times New Roman" w:hAnsi="Times New Roman" w:cs="Times New Roman"/>
        </w:rPr>
        <w:t>月</w:t>
      </w:r>
      <w:r w:rsidR="00363CBD" w:rsidRPr="00FC1444">
        <w:rPr>
          <w:rFonts w:ascii="Times New Roman" w:hAnsi="Times New Roman" w:cs="Times New Roman" w:hint="eastAsia"/>
        </w:rPr>
        <w:t>31</w:t>
      </w:r>
      <w:r w:rsidR="00363CBD" w:rsidRPr="00FC1444">
        <w:rPr>
          <w:rFonts w:ascii="Times New Roman" w:hAnsi="Times New Roman" w:cs="Times New Roman"/>
        </w:rPr>
        <w:t>日</w:t>
      </w:r>
      <w:r w:rsidRPr="00FC1444">
        <w:rPr>
          <w:rFonts w:ascii="Times New Roman" w:hAnsi="Times New Roman" w:cs="Times New Roman"/>
        </w:rPr>
        <w:t>对本项目排水沟底泥现状检测报告可知，本项目排水沟底泥检测样品无重金属污染，满足</w:t>
      </w:r>
      <w:r w:rsidR="00EE6E53" w:rsidRPr="00FC1444">
        <w:rPr>
          <w:rFonts w:ascii="Times New Roman" w:hAnsi="Times New Roman" w:cs="Times New Roman"/>
        </w:rPr>
        <w:t>《土壤环境质量农用地土壤污染风险管控标准（试行）》（</w:t>
      </w:r>
      <w:r w:rsidR="00EE6E53" w:rsidRPr="00FC1444">
        <w:rPr>
          <w:rFonts w:ascii="Times New Roman" w:hAnsi="Times New Roman" w:cs="Times New Roman"/>
        </w:rPr>
        <w:t>GB15618-2018</w:t>
      </w:r>
      <w:r w:rsidR="00EE6E53" w:rsidRPr="00FC1444">
        <w:rPr>
          <w:rFonts w:ascii="Times New Roman" w:hAnsi="Times New Roman" w:cs="Times New Roman"/>
        </w:rPr>
        <w:t>）表</w:t>
      </w:r>
      <w:r w:rsidR="00EE6E53" w:rsidRPr="00FC1444">
        <w:rPr>
          <w:rFonts w:ascii="Times New Roman" w:hAnsi="Times New Roman" w:cs="Times New Roman"/>
        </w:rPr>
        <w:t>1</w:t>
      </w:r>
      <w:r w:rsidR="00EE6E53" w:rsidRPr="00FC1444">
        <w:rPr>
          <w:rFonts w:ascii="Times New Roman" w:hAnsi="Times New Roman" w:cs="Times New Roman"/>
        </w:rPr>
        <w:t>、表</w:t>
      </w:r>
      <w:r w:rsidR="00EE6E53" w:rsidRPr="00FC1444">
        <w:rPr>
          <w:rFonts w:ascii="Times New Roman" w:hAnsi="Times New Roman" w:cs="Times New Roman"/>
        </w:rPr>
        <w:t>2</w:t>
      </w:r>
      <w:r w:rsidR="00EE6E53" w:rsidRPr="00FC1444">
        <w:rPr>
          <w:rFonts w:ascii="Times New Roman" w:hAnsi="Times New Roman" w:cs="Times New Roman"/>
        </w:rPr>
        <w:t>中筛选值要求</w:t>
      </w:r>
      <w:r w:rsidRPr="00FC1444">
        <w:rPr>
          <w:rFonts w:ascii="Times New Roman" w:hAnsi="Times New Roman" w:cs="Times New Roman"/>
        </w:rPr>
        <w:t>。</w:t>
      </w:r>
      <w:r w:rsidR="00631660" w:rsidRPr="00FC1444">
        <w:rPr>
          <w:rFonts w:ascii="Times New Roman" w:hAnsi="Times New Roman" w:cs="Times New Roman"/>
        </w:rPr>
        <w:t>本工程清淤施工期选定</w:t>
      </w:r>
      <w:r w:rsidR="00631660" w:rsidRPr="00FC1444">
        <w:rPr>
          <w:rFonts w:ascii="Times New Roman" w:hAnsi="Times New Roman" w:cs="Times New Roman"/>
        </w:rPr>
        <w:t xml:space="preserve"> 2027</w:t>
      </w:r>
      <w:r w:rsidR="00631660" w:rsidRPr="00FC1444">
        <w:rPr>
          <w:rFonts w:ascii="Times New Roman" w:hAnsi="Times New Roman" w:cs="Times New Roman"/>
        </w:rPr>
        <w:t>年</w:t>
      </w:r>
      <w:r w:rsidR="00631660" w:rsidRPr="00FC1444">
        <w:rPr>
          <w:rFonts w:ascii="Times New Roman" w:hAnsi="Times New Roman" w:cs="Times New Roman"/>
        </w:rPr>
        <w:t>3</w:t>
      </w:r>
      <w:r w:rsidR="00631660" w:rsidRPr="00FC1444">
        <w:rPr>
          <w:rFonts w:ascii="Times New Roman" w:hAnsi="Times New Roman" w:cs="Times New Roman"/>
        </w:rPr>
        <w:t>～</w:t>
      </w:r>
      <w:r w:rsidR="00631660" w:rsidRPr="00FC1444">
        <w:rPr>
          <w:rFonts w:ascii="Times New Roman" w:hAnsi="Times New Roman" w:cs="Times New Roman"/>
        </w:rPr>
        <w:t>4</w:t>
      </w:r>
      <w:r w:rsidR="00631660" w:rsidRPr="00FC1444">
        <w:rPr>
          <w:rFonts w:ascii="Times New Roman" w:hAnsi="Times New Roman" w:cs="Times New Roman"/>
        </w:rPr>
        <w:t>月河道枯水期开展，该阶段河流水位低，河床淤泥自然疏干</w:t>
      </w:r>
      <w:r w:rsidR="00631660" w:rsidRPr="00FC1444">
        <w:rPr>
          <w:rFonts w:ascii="Times New Roman" w:hAnsi="Times New Roman" w:cs="Times New Roman"/>
          <w:bCs/>
        </w:rPr>
        <w:t>，</w:t>
      </w:r>
      <w:r w:rsidR="00631660" w:rsidRPr="00FC1444">
        <w:rPr>
          <w:rFonts w:ascii="Times New Roman" w:hAnsi="Times New Roman" w:cs="Times New Roman"/>
          <w:bCs/>
          <w:kern w:val="0"/>
          <w:szCs w:val="20"/>
        </w:rPr>
        <w:t>污泥含水率较低，约为</w:t>
      </w:r>
      <w:r w:rsidR="00631660" w:rsidRPr="00FC1444">
        <w:rPr>
          <w:rFonts w:ascii="Times New Roman" w:hAnsi="Times New Roman" w:cs="Times New Roman"/>
          <w:bCs/>
          <w:kern w:val="0"/>
          <w:szCs w:val="20"/>
        </w:rPr>
        <w:t>60%</w:t>
      </w:r>
      <w:r w:rsidR="00631660" w:rsidRPr="00FC1444">
        <w:rPr>
          <w:rFonts w:ascii="Times New Roman" w:hAnsi="Times New Roman" w:cs="Times New Roman"/>
          <w:bCs/>
        </w:rPr>
        <w:t>。</w:t>
      </w:r>
      <w:r w:rsidRPr="00FC1444">
        <w:rPr>
          <w:rFonts w:ascii="Times New Roman" w:hAnsi="Times New Roman" w:cs="Times New Roman"/>
          <w:bCs/>
        </w:rPr>
        <w:t>本工程产生弃方淤泥</w:t>
      </w:r>
      <w:r w:rsidR="00EB2C0F" w:rsidRPr="00FC1444">
        <w:rPr>
          <w:rFonts w:ascii="Times New Roman" w:hAnsi="Times New Roman" w:cs="Times New Roman"/>
          <w:bCs/>
        </w:rPr>
        <w:t>0.</w:t>
      </w:r>
      <w:r w:rsidR="00EB2C0F" w:rsidRPr="00FC1444">
        <w:rPr>
          <w:rFonts w:ascii="Times New Roman" w:hAnsi="Times New Roman" w:cs="Times New Roman" w:hint="eastAsia"/>
          <w:bCs/>
        </w:rPr>
        <w:t>3</w:t>
      </w:r>
      <w:r w:rsidR="000037AB" w:rsidRPr="00FC1444">
        <w:rPr>
          <w:rFonts w:ascii="Times New Roman" w:hAnsi="Times New Roman" w:cs="Times New Roman"/>
          <w:bCs/>
        </w:rPr>
        <w:t>55</w:t>
      </w:r>
      <w:r w:rsidR="000037AB" w:rsidRPr="00FC1444">
        <w:rPr>
          <w:rFonts w:ascii="Times New Roman" w:hAnsi="Times New Roman" w:cs="Times New Roman"/>
          <w:bCs/>
        </w:rPr>
        <w:t>万</w:t>
      </w:r>
      <w:r w:rsidR="000037AB" w:rsidRPr="00FC1444">
        <w:rPr>
          <w:rFonts w:ascii="Times New Roman" w:hAnsi="Times New Roman" w:cs="Times New Roman"/>
          <w:bCs/>
        </w:rPr>
        <w:t>m</w:t>
      </w:r>
      <w:r w:rsidRPr="00FC1444">
        <w:rPr>
          <w:rFonts w:ascii="Times New Roman" w:hAnsi="Times New Roman" w:cs="Times New Roman"/>
          <w:bCs/>
          <w:vertAlign w:val="superscript"/>
        </w:rPr>
        <w:t>3</w:t>
      </w:r>
      <w:r w:rsidRPr="00FC1444">
        <w:rPr>
          <w:rFonts w:ascii="Times New Roman" w:hAnsi="Times New Roman" w:cs="Times New Roman"/>
          <w:bCs/>
        </w:rPr>
        <w:t>，</w:t>
      </w:r>
      <w:r w:rsidRPr="00FC1444">
        <w:rPr>
          <w:rFonts w:ascii="Times New Roman" w:hAnsi="Times New Roman" w:cs="Times New Roman"/>
          <w:spacing w:val="-5"/>
        </w:rPr>
        <w:t>清淤采用挖掘机和人工结合的方式进行。</w:t>
      </w:r>
      <w:r w:rsidR="00730492" w:rsidRPr="00FC1444">
        <w:rPr>
          <w:rFonts w:ascii="Times New Roman" w:hAnsi="Times New Roman" w:cs="Times New Roman"/>
          <w:bCs/>
        </w:rPr>
        <w:t>排水沟淤泥培至工程附近</w:t>
      </w:r>
      <w:r w:rsidR="00730492" w:rsidRPr="00FC1444">
        <w:rPr>
          <w:rFonts w:ascii="Times New Roman" w:hAnsi="Times New Roman" w:cs="Times New Roman"/>
          <w:bCs/>
        </w:rPr>
        <w:t>200</w:t>
      </w:r>
      <w:r w:rsidR="00730492" w:rsidRPr="00FC1444">
        <w:rPr>
          <w:rFonts w:ascii="Times New Roman" w:hAnsi="Times New Roman" w:cs="Times New Roman"/>
          <w:bCs/>
        </w:rPr>
        <w:t>米范围内无环境保护目标的排水沟两侧（</w:t>
      </w:r>
      <w:r w:rsidR="00386D57" w:rsidRPr="00FC1444">
        <w:rPr>
          <w:rFonts w:ascii="Times New Roman" w:hAnsi="Times New Roman" w:cs="Times New Roman"/>
          <w:bCs/>
        </w:rPr>
        <w:t>避开黄家屯、李荒子屯等</w:t>
      </w:r>
      <w:r w:rsidR="00386D57" w:rsidRPr="00FC1444">
        <w:rPr>
          <w:rFonts w:ascii="Times New Roman" w:hAnsi="Times New Roman" w:cs="Times New Roman"/>
          <w:bCs/>
        </w:rPr>
        <w:t>22</w:t>
      </w:r>
      <w:r w:rsidR="00386D57" w:rsidRPr="00FC1444">
        <w:rPr>
          <w:rFonts w:ascii="Times New Roman" w:hAnsi="Times New Roman" w:cs="Times New Roman"/>
          <w:bCs/>
        </w:rPr>
        <w:t>个村屯</w:t>
      </w:r>
      <w:r w:rsidR="00730492" w:rsidRPr="00FC1444">
        <w:rPr>
          <w:rFonts w:ascii="Times New Roman" w:hAnsi="Times New Roman" w:cs="Times New Roman"/>
          <w:bCs/>
        </w:rPr>
        <w:t>，具体见表</w:t>
      </w:r>
      <w:r w:rsidR="00730492" w:rsidRPr="00FC1444">
        <w:rPr>
          <w:rFonts w:ascii="Times New Roman" w:hAnsi="Times New Roman" w:cs="Times New Roman"/>
          <w:bCs/>
        </w:rPr>
        <w:t>2-8-2</w:t>
      </w:r>
      <w:r w:rsidR="00730492" w:rsidRPr="00FC1444">
        <w:rPr>
          <w:rFonts w:ascii="Times New Roman" w:hAnsi="Times New Roman" w:cs="Times New Roman"/>
          <w:bCs/>
        </w:rPr>
        <w:t>）</w:t>
      </w:r>
      <w:r w:rsidRPr="00FC1444">
        <w:rPr>
          <w:rFonts w:ascii="Times New Roman" w:hAnsi="Times New Roman" w:cs="Times New Roman"/>
          <w:bCs/>
        </w:rPr>
        <w:t>。</w:t>
      </w:r>
    </w:p>
    <w:p w:rsidR="002A5A5E" w:rsidRPr="00FC1444" w:rsidRDefault="009840DD">
      <w:pPr>
        <w:pStyle w:val="aff4"/>
        <w:adjustRightInd/>
        <w:snapToGrid/>
        <w:contextualSpacing/>
        <w:rPr>
          <w:rFonts w:ascii="Times New Roman" w:hAnsi="Times New Roman" w:cs="Times New Roman"/>
          <w:bCs/>
        </w:rPr>
      </w:pPr>
      <w:r w:rsidRPr="00FC1444">
        <w:rPr>
          <w:rFonts w:ascii="Times New Roman" w:hAnsi="Times New Roman" w:cs="Times New Roman"/>
          <w:bCs/>
        </w:rPr>
        <w:fldChar w:fldCharType="begin"/>
      </w:r>
      <w:r w:rsidR="00611CBA" w:rsidRPr="00FC1444">
        <w:rPr>
          <w:rFonts w:ascii="Times New Roman" w:hAnsi="Times New Roman" w:cs="Times New Roman"/>
          <w:bCs/>
        </w:rPr>
        <w:instrText xml:space="preserve"> = 5 \* GB3 </w:instrText>
      </w:r>
      <w:r w:rsidRPr="00FC1444">
        <w:rPr>
          <w:rFonts w:ascii="Times New Roman" w:hAnsi="Times New Roman" w:cs="Times New Roman"/>
          <w:bCs/>
        </w:rPr>
        <w:fldChar w:fldCharType="separate"/>
      </w:r>
      <w:r w:rsidR="00611CBA" w:rsidRPr="00FC1444">
        <w:rPr>
          <w:rFonts w:ascii="宋体" w:eastAsia="宋体" w:hAnsi="宋体" w:cs="宋体" w:hint="eastAsia"/>
          <w:bCs/>
        </w:rPr>
        <w:t>⑤</w:t>
      </w:r>
      <w:r w:rsidRPr="00FC1444">
        <w:rPr>
          <w:rFonts w:ascii="Times New Roman" w:hAnsi="Times New Roman" w:cs="Times New Roman"/>
          <w:bCs/>
        </w:rPr>
        <w:fldChar w:fldCharType="end"/>
      </w:r>
      <w:r w:rsidR="00611CBA" w:rsidRPr="00FC1444">
        <w:rPr>
          <w:rFonts w:ascii="Times New Roman" w:hAnsi="Times New Roman" w:cs="Times New Roman"/>
        </w:rPr>
        <w:t>废肥料包装袋</w:t>
      </w:r>
    </w:p>
    <w:p w:rsidR="002A5A5E" w:rsidRPr="00FC1444" w:rsidRDefault="00611CBA">
      <w:pPr>
        <w:pStyle w:val="aff4"/>
        <w:adjustRightInd/>
        <w:snapToGrid/>
        <w:contextualSpacing/>
        <w:rPr>
          <w:rFonts w:ascii="Times New Roman" w:hAnsi="Times New Roman" w:cs="Times New Roman"/>
          <w:bCs/>
        </w:rPr>
      </w:pPr>
      <w:r w:rsidRPr="00FC1444">
        <w:rPr>
          <w:rFonts w:ascii="Times New Roman" w:hAnsi="Times New Roman" w:cs="Times New Roman"/>
        </w:rPr>
        <w:t>施工期</w:t>
      </w:r>
      <w:r w:rsidR="00D61453" w:rsidRPr="00FC1444">
        <w:rPr>
          <w:rFonts w:ascii="Times New Roman" w:hAnsi="Times New Roman" w:cs="Times New Roman"/>
        </w:rPr>
        <w:t>田块整治</w:t>
      </w:r>
      <w:r w:rsidRPr="00FC1444">
        <w:rPr>
          <w:rFonts w:ascii="Times New Roman" w:hAnsi="Times New Roman" w:cs="Times New Roman"/>
          <w:bCs/>
          <w:snapToGrid w:val="0"/>
          <w:kern w:val="0"/>
        </w:rPr>
        <w:t>工程</w:t>
      </w:r>
      <w:r w:rsidRPr="00FC1444">
        <w:rPr>
          <w:rFonts w:ascii="Times New Roman" w:hAnsi="Times New Roman" w:cs="Times New Roman"/>
        </w:rPr>
        <w:t>将会产生少量的废肥料包装袋，产生量约为</w:t>
      </w:r>
      <w:r w:rsidRPr="00FC1444">
        <w:rPr>
          <w:rFonts w:ascii="Times New Roman" w:hAnsi="Times New Roman" w:cs="Times New Roman"/>
        </w:rPr>
        <w:t>0.01t/a</w:t>
      </w:r>
      <w:r w:rsidRPr="00FC1444">
        <w:rPr>
          <w:rFonts w:ascii="Times New Roman" w:hAnsi="Times New Roman" w:cs="Times New Roman"/>
        </w:rPr>
        <w:t>。</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3.3.1.5</w:t>
      </w:r>
      <w:r w:rsidRPr="00FC1444">
        <w:rPr>
          <w:rFonts w:eastAsiaTheme="minorEastAsia"/>
          <w:b/>
          <w:sz w:val="24"/>
        </w:rPr>
        <w:t>生态污染分析</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kern w:val="24"/>
        </w:rPr>
        <w:t>项目施工期对生态环境的影响主要体现为占用土地、扰动土层、生物量减少、土地利用类型、生态系统功能、</w:t>
      </w:r>
      <w:r w:rsidRPr="00FC1444">
        <w:rPr>
          <w:rFonts w:ascii="Times New Roman" w:hAnsi="Times New Roman" w:cs="Times New Roman"/>
          <w:szCs w:val="21"/>
        </w:rPr>
        <w:t>景观完整性</w:t>
      </w:r>
      <w:r w:rsidRPr="00FC1444">
        <w:rPr>
          <w:rFonts w:ascii="Times New Roman" w:hAnsi="Times New Roman" w:cs="Times New Roman"/>
          <w:kern w:val="24"/>
        </w:rPr>
        <w:t>、加剧水土流失</w:t>
      </w:r>
      <w:r w:rsidRPr="00FC1444">
        <w:rPr>
          <w:rFonts w:ascii="Times New Roman" w:hAnsi="Times New Roman" w:cs="Times New Roman"/>
          <w:lang w:val="zh-CN"/>
        </w:rPr>
        <w:t>。</w:t>
      </w:r>
      <w:r w:rsidRPr="00FC1444">
        <w:rPr>
          <w:rFonts w:ascii="Times New Roman" w:hAnsi="Times New Roman" w:cs="Times New Roman"/>
          <w:spacing w:val="-3"/>
        </w:rPr>
        <w:t>产生的扬尘和噪声</w:t>
      </w:r>
      <w:r w:rsidRPr="00FC1444">
        <w:rPr>
          <w:rFonts w:ascii="Times New Roman" w:hAnsi="Times New Roman" w:cs="Times New Roman"/>
          <w:spacing w:val="-3"/>
        </w:rPr>
        <w:lastRenderedPageBreak/>
        <w:t>也将对动植物产生影响，同时土方开挖、平整场地、原料堆放等行为，在雨季或大风天气情况下，会产生一定的水土流失</w:t>
      </w:r>
      <w:r w:rsidRPr="00FC1444">
        <w:rPr>
          <w:rFonts w:ascii="Times New Roman" w:hAnsi="Times New Roman" w:cs="Times New Roman"/>
          <w:snapToGrid w:val="0"/>
        </w:rPr>
        <w:t>。</w:t>
      </w:r>
    </w:p>
    <w:p w:rsidR="002A5A5E" w:rsidRPr="00FC1444" w:rsidRDefault="00611CBA">
      <w:pPr>
        <w:pStyle w:val="aff4"/>
        <w:adjustRightInd/>
        <w:snapToGrid/>
        <w:jc w:val="both"/>
        <w:rPr>
          <w:rFonts w:ascii="Times New Roman" w:hAnsi="Times New Roman" w:cs="Times New Roman"/>
          <w:smallCaps/>
        </w:rPr>
      </w:pPr>
      <w:r w:rsidRPr="00FC1444">
        <w:rPr>
          <w:rFonts w:ascii="Times New Roman" w:hAnsi="Times New Roman" w:cs="Times New Roman"/>
          <w:snapToGrid w:val="0"/>
        </w:rPr>
        <w:t>（</w:t>
      </w:r>
      <w:r w:rsidRPr="00FC1444">
        <w:rPr>
          <w:rFonts w:ascii="Times New Roman" w:hAnsi="Times New Roman" w:cs="Times New Roman"/>
          <w:snapToGrid w:val="0"/>
        </w:rPr>
        <w:t>1</w:t>
      </w:r>
      <w:r w:rsidRPr="00FC1444">
        <w:rPr>
          <w:rFonts w:ascii="Times New Roman" w:hAnsi="Times New Roman" w:cs="Times New Roman"/>
          <w:snapToGrid w:val="0"/>
        </w:rPr>
        <w:t>）</w:t>
      </w:r>
      <w:r w:rsidRPr="00FC1444">
        <w:rPr>
          <w:rFonts w:ascii="Times New Roman" w:hAnsi="Times New Roman" w:cs="Times New Roman"/>
          <w:smallCaps/>
        </w:rPr>
        <w:t>陆生生态</w:t>
      </w:r>
    </w:p>
    <w:p w:rsidR="002A5A5E" w:rsidRPr="00FC1444" w:rsidRDefault="00611CBA">
      <w:pPr>
        <w:spacing w:line="360" w:lineRule="auto"/>
        <w:ind w:firstLineChars="200" w:firstLine="480"/>
        <w:rPr>
          <w:rFonts w:eastAsiaTheme="minorEastAsia"/>
          <w:sz w:val="24"/>
          <w:szCs w:val="21"/>
        </w:rPr>
      </w:pPr>
      <w:r w:rsidRPr="00FC1444">
        <w:rPr>
          <w:rFonts w:eastAsiaTheme="minorEastAsia"/>
          <w:sz w:val="24"/>
          <w:szCs w:val="21"/>
        </w:rPr>
        <w:t>本工程永久占地和工程施工期料场、临时工程建设将占用土地，破坏地表植被，这些破坏在施工结束后大多可采取措施进行恢复。</w:t>
      </w:r>
    </w:p>
    <w:p w:rsidR="002A5A5E" w:rsidRPr="00FC1444" w:rsidRDefault="00611CBA">
      <w:pPr>
        <w:spacing w:line="360" w:lineRule="auto"/>
        <w:ind w:firstLineChars="200" w:firstLine="480"/>
        <w:rPr>
          <w:rFonts w:eastAsiaTheme="minorEastAsia"/>
          <w:sz w:val="24"/>
          <w:szCs w:val="21"/>
        </w:rPr>
      </w:pPr>
      <w:r w:rsidRPr="00FC1444">
        <w:rPr>
          <w:rFonts w:eastAsiaTheme="minorEastAsia"/>
          <w:sz w:val="24"/>
          <w:szCs w:val="21"/>
        </w:rPr>
        <w:t>在工程建设中，土料场的开挖等需要对其原有地表植被进行清理，这些都将破坏地表植被，造成水土流失、生物量减少、破坏景观完整性、土地利用类型改变，影响生态系统功能；土方开挖、平整场地、原料堆放等行为，在雨季或大风天气情况下，会产生一定的水土流失。</w:t>
      </w:r>
    </w:p>
    <w:p w:rsidR="002A5A5E" w:rsidRPr="00FC1444" w:rsidRDefault="00611CBA">
      <w:pPr>
        <w:spacing w:line="360" w:lineRule="auto"/>
        <w:ind w:firstLineChars="200" w:firstLine="480"/>
        <w:rPr>
          <w:rFonts w:eastAsiaTheme="minorEastAsia"/>
          <w:sz w:val="24"/>
          <w:szCs w:val="21"/>
        </w:rPr>
      </w:pPr>
      <w:r w:rsidRPr="00FC1444">
        <w:rPr>
          <w:rFonts w:eastAsiaTheme="minorEastAsia"/>
          <w:sz w:val="24"/>
          <w:szCs w:val="21"/>
        </w:rPr>
        <w:t>工程施工过程中，由于嘈杂的噪声，惊扰周围部分动物的正常生活，使它们被迫迁移，故在工程施工期间，施工场区周围动物密度有所下降，但施工结束后将得到恢复。</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snapToGrid w:val="0"/>
        </w:rPr>
        <w:t>（</w:t>
      </w:r>
      <w:r w:rsidRPr="00FC1444">
        <w:rPr>
          <w:rFonts w:ascii="Times New Roman" w:hAnsi="Times New Roman" w:cs="Times New Roman"/>
          <w:snapToGrid w:val="0"/>
        </w:rPr>
        <w:t>2</w:t>
      </w:r>
      <w:r w:rsidRPr="00FC1444">
        <w:rPr>
          <w:rFonts w:ascii="Times New Roman" w:hAnsi="Times New Roman" w:cs="Times New Roman"/>
          <w:snapToGrid w:val="0"/>
        </w:rPr>
        <w:t>）</w:t>
      </w:r>
      <w:r w:rsidRPr="00FC1444">
        <w:rPr>
          <w:rFonts w:ascii="Times New Roman" w:hAnsi="Times New Roman" w:cs="Times New Roman"/>
          <w:smallCaps/>
        </w:rPr>
        <w:t>水生生态</w:t>
      </w:r>
    </w:p>
    <w:p w:rsidR="002A5A5E" w:rsidRPr="00FC1444" w:rsidRDefault="00611CBA">
      <w:pPr>
        <w:spacing w:line="360" w:lineRule="auto"/>
        <w:ind w:firstLineChars="200" w:firstLine="480"/>
        <w:rPr>
          <w:rFonts w:eastAsiaTheme="minorEastAsia"/>
          <w:bCs/>
          <w:smallCaps/>
          <w:sz w:val="24"/>
        </w:rPr>
      </w:pPr>
      <w:r w:rsidRPr="00FC1444">
        <w:rPr>
          <w:rFonts w:eastAsiaTheme="minorEastAsia"/>
          <w:snapToGrid w:val="0"/>
          <w:kern w:val="0"/>
          <w:sz w:val="24"/>
        </w:rPr>
        <w:t>本项目施工仅在现有工程基础上进行改造，主要是进行渠道衬砌及清淤整形等。</w:t>
      </w:r>
      <w:r w:rsidRPr="00FC1444">
        <w:rPr>
          <w:rFonts w:eastAsiaTheme="minorEastAsia"/>
          <w:sz w:val="24"/>
          <w:szCs w:val="21"/>
        </w:rPr>
        <w:t>合理安排施工时序，选择</w:t>
      </w:r>
      <w:r w:rsidRPr="00FC1444">
        <w:rPr>
          <w:rFonts w:eastAsiaTheme="minorEastAsia"/>
          <w:sz w:val="24"/>
          <w:szCs w:val="21"/>
        </w:rPr>
        <w:t>3</w:t>
      </w:r>
      <w:r w:rsidRPr="00FC1444">
        <w:rPr>
          <w:rFonts w:eastAsiaTheme="minorEastAsia"/>
          <w:sz w:val="24"/>
          <w:szCs w:val="21"/>
        </w:rPr>
        <w:t>月至</w:t>
      </w:r>
      <w:r w:rsidRPr="00FC1444">
        <w:rPr>
          <w:rFonts w:eastAsiaTheme="minorEastAsia"/>
          <w:sz w:val="24"/>
          <w:szCs w:val="21"/>
        </w:rPr>
        <w:t>4</w:t>
      </w:r>
      <w:r w:rsidRPr="00FC1444">
        <w:rPr>
          <w:rFonts w:eastAsiaTheme="minorEastAsia"/>
          <w:sz w:val="24"/>
          <w:szCs w:val="21"/>
        </w:rPr>
        <w:t>月进行清淤及护砌等，</w:t>
      </w:r>
      <w:r w:rsidRPr="00FC1444">
        <w:rPr>
          <w:rFonts w:eastAsiaTheme="minorEastAsia"/>
          <w:snapToGrid w:val="0"/>
          <w:kern w:val="0"/>
          <w:sz w:val="24"/>
        </w:rPr>
        <w:t>在枯水期进行，</w:t>
      </w:r>
      <w:r w:rsidRPr="00FC1444">
        <w:rPr>
          <w:rFonts w:eastAsiaTheme="minorEastAsia"/>
          <w:sz w:val="24"/>
          <w:szCs w:val="21"/>
        </w:rPr>
        <w:t>沟</w:t>
      </w:r>
      <w:r w:rsidRPr="00FC1444">
        <w:rPr>
          <w:rFonts w:eastAsiaTheme="minorEastAsia"/>
          <w:snapToGrid w:val="0"/>
          <w:kern w:val="0"/>
          <w:sz w:val="24"/>
        </w:rPr>
        <w:t>渠</w:t>
      </w:r>
      <w:r w:rsidRPr="00FC1444">
        <w:rPr>
          <w:rFonts w:eastAsiaTheme="minorEastAsia"/>
          <w:sz w:val="24"/>
          <w:szCs w:val="21"/>
        </w:rPr>
        <w:t>干涸，不涉水，避免对地表水体的影响</w:t>
      </w:r>
      <w:r w:rsidRPr="00FC1444">
        <w:rPr>
          <w:rFonts w:eastAsiaTheme="minorEastAsia"/>
          <w:bCs/>
          <w:smallCaps/>
          <w:sz w:val="24"/>
        </w:rPr>
        <w:t>。</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3.3.1.6</w:t>
      </w:r>
      <w:r w:rsidRPr="00FC1444">
        <w:rPr>
          <w:rFonts w:eastAsiaTheme="minorEastAsia"/>
          <w:b/>
          <w:sz w:val="24"/>
        </w:rPr>
        <w:t>地下水污染分析</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snapToGrid w:val="0"/>
        </w:rPr>
        <w:t>项目施工期灌溉井工程打井过程中，</w:t>
      </w:r>
      <w:r w:rsidRPr="00FC1444">
        <w:rPr>
          <w:rFonts w:ascii="Times New Roman" w:hAnsi="Times New Roman" w:cs="Times New Roman"/>
        </w:rPr>
        <w:t>不使用有毒有害</w:t>
      </w:r>
      <w:r w:rsidR="00164CD3" w:rsidRPr="00FC1444">
        <w:rPr>
          <w:rFonts w:ascii="Times New Roman" w:hAnsi="Times New Roman" w:cs="Times New Roman"/>
        </w:rPr>
        <w:t>及油类</w:t>
      </w:r>
      <w:r w:rsidRPr="00FC1444">
        <w:rPr>
          <w:rFonts w:ascii="Times New Roman" w:hAnsi="Times New Roman" w:cs="Times New Roman"/>
        </w:rPr>
        <w:t>物质，泥浆循环使用，妥善收集，施工过程中产生的废水经静置后用于场地洒水降尘，施工过程加强环境管理，杜绝油品跑冒滴漏事故，施工期不会对地下水产生明显污染影响。</w:t>
      </w:r>
    </w:p>
    <w:p w:rsidR="002A5A5E" w:rsidRPr="00FC1444" w:rsidRDefault="00611CBA">
      <w:pPr>
        <w:keepNext/>
        <w:keepLines/>
        <w:spacing w:before="100" w:beforeAutospacing="1" w:after="100" w:afterAutospacing="1"/>
        <w:outlineLvl w:val="2"/>
        <w:rPr>
          <w:rFonts w:eastAsiaTheme="minorEastAsia"/>
          <w:b/>
          <w:sz w:val="28"/>
          <w:szCs w:val="28"/>
        </w:rPr>
      </w:pPr>
      <w:bookmarkStart w:id="96" w:name="_Toc15991651"/>
      <w:bookmarkEnd w:id="95"/>
      <w:r w:rsidRPr="00FC1444">
        <w:rPr>
          <w:rFonts w:eastAsiaTheme="minorEastAsia"/>
          <w:b/>
          <w:sz w:val="28"/>
          <w:szCs w:val="28"/>
        </w:rPr>
        <w:t>3.3.2</w:t>
      </w:r>
      <w:r w:rsidRPr="00FC1444">
        <w:rPr>
          <w:rFonts w:eastAsiaTheme="minorEastAsia"/>
          <w:b/>
          <w:sz w:val="28"/>
          <w:szCs w:val="28"/>
        </w:rPr>
        <w:t>运营期污染源强</w:t>
      </w:r>
      <w:bookmarkEnd w:id="96"/>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3.3.2.1</w:t>
      </w:r>
      <w:r w:rsidRPr="00FC1444">
        <w:rPr>
          <w:rFonts w:eastAsiaTheme="minorEastAsia"/>
          <w:b/>
          <w:sz w:val="24"/>
        </w:rPr>
        <w:t>废水污染分析</w:t>
      </w:r>
    </w:p>
    <w:p w:rsidR="00EE17B3" w:rsidRPr="00FC1444" w:rsidRDefault="00EE17B3" w:rsidP="00EE17B3">
      <w:pPr>
        <w:spacing w:line="360" w:lineRule="auto"/>
        <w:ind w:firstLineChars="200" w:firstLine="480"/>
        <w:jc w:val="left"/>
        <w:rPr>
          <w:rFonts w:eastAsiaTheme="minorEastAsia"/>
          <w:kern w:val="0"/>
          <w:sz w:val="24"/>
        </w:rPr>
      </w:pPr>
      <w:r w:rsidRPr="00FC1444">
        <w:rPr>
          <w:rFonts w:eastAsiaTheme="minorEastAsia"/>
          <w:kern w:val="0"/>
          <w:sz w:val="24"/>
        </w:rPr>
        <w:t>现有水田退水排放规律：灌区泡田期</w:t>
      </w:r>
      <w:r w:rsidRPr="00FC1444">
        <w:rPr>
          <w:rFonts w:eastAsiaTheme="minorEastAsia"/>
          <w:kern w:val="0"/>
          <w:sz w:val="24"/>
        </w:rPr>
        <w:t>(5</w:t>
      </w:r>
      <w:r w:rsidRPr="00FC1444">
        <w:rPr>
          <w:rFonts w:eastAsiaTheme="minorEastAsia"/>
          <w:kern w:val="0"/>
          <w:sz w:val="24"/>
        </w:rPr>
        <w:t>月中旬</w:t>
      </w:r>
      <w:r w:rsidRPr="00FC1444">
        <w:rPr>
          <w:rFonts w:eastAsiaTheme="minorEastAsia"/>
          <w:kern w:val="0"/>
          <w:sz w:val="24"/>
        </w:rPr>
        <w:t>)</w:t>
      </w:r>
      <w:r w:rsidRPr="00FC1444">
        <w:rPr>
          <w:rFonts w:eastAsiaTheme="minorEastAsia"/>
          <w:kern w:val="0"/>
          <w:sz w:val="24"/>
        </w:rPr>
        <w:t>后插秧前退水量占水田退水量的</w:t>
      </w:r>
      <w:r w:rsidRPr="00FC1444">
        <w:rPr>
          <w:rFonts w:eastAsiaTheme="minorEastAsia"/>
          <w:kern w:val="0"/>
          <w:sz w:val="24"/>
        </w:rPr>
        <w:t>55%</w:t>
      </w:r>
      <w:r w:rsidR="00523B85" w:rsidRPr="00FC1444">
        <w:rPr>
          <w:rFonts w:eastAsiaTheme="minorEastAsia"/>
          <w:kern w:val="0"/>
          <w:sz w:val="24"/>
        </w:rPr>
        <w:t>。</w:t>
      </w:r>
      <w:r w:rsidRPr="00FC1444">
        <w:rPr>
          <w:rFonts w:eastAsiaTheme="minorEastAsia"/>
          <w:kern w:val="0"/>
          <w:sz w:val="24"/>
        </w:rPr>
        <w:t>分蘖临界期</w:t>
      </w:r>
      <w:r w:rsidRPr="00FC1444">
        <w:rPr>
          <w:rFonts w:eastAsiaTheme="minorEastAsia"/>
          <w:kern w:val="0"/>
          <w:sz w:val="24"/>
        </w:rPr>
        <w:t>(6</w:t>
      </w:r>
      <w:r w:rsidRPr="00FC1444">
        <w:rPr>
          <w:rFonts w:eastAsiaTheme="minorEastAsia"/>
          <w:kern w:val="0"/>
          <w:sz w:val="24"/>
        </w:rPr>
        <w:t>月末</w:t>
      </w:r>
      <w:r w:rsidRPr="00FC1444">
        <w:rPr>
          <w:rFonts w:eastAsiaTheme="minorEastAsia"/>
          <w:kern w:val="0"/>
          <w:sz w:val="24"/>
        </w:rPr>
        <w:t>)</w:t>
      </w:r>
      <w:r w:rsidRPr="00FC1444">
        <w:rPr>
          <w:rFonts w:eastAsiaTheme="minorEastAsia"/>
          <w:kern w:val="0"/>
          <w:sz w:val="24"/>
        </w:rPr>
        <w:t>退水量占水田总退水量的</w:t>
      </w:r>
      <w:r w:rsidRPr="00FC1444">
        <w:rPr>
          <w:rFonts w:eastAsiaTheme="minorEastAsia"/>
          <w:kern w:val="0"/>
          <w:sz w:val="24"/>
        </w:rPr>
        <w:t>25%</w:t>
      </w:r>
      <w:r w:rsidRPr="00FC1444">
        <w:rPr>
          <w:rFonts w:eastAsiaTheme="minorEastAsia"/>
          <w:kern w:val="0"/>
          <w:sz w:val="24"/>
        </w:rPr>
        <w:t>，拔节孕穗期</w:t>
      </w:r>
      <w:r w:rsidRPr="00FC1444">
        <w:rPr>
          <w:rFonts w:eastAsiaTheme="minorEastAsia"/>
          <w:kern w:val="0"/>
          <w:sz w:val="24"/>
        </w:rPr>
        <w:t>(7</w:t>
      </w:r>
      <w:r w:rsidRPr="00FC1444">
        <w:rPr>
          <w:rFonts w:eastAsiaTheme="minorEastAsia"/>
          <w:kern w:val="0"/>
          <w:sz w:val="24"/>
        </w:rPr>
        <w:t>月下旬</w:t>
      </w:r>
      <w:r w:rsidRPr="00FC1444">
        <w:rPr>
          <w:rFonts w:eastAsiaTheme="minorEastAsia"/>
          <w:kern w:val="0"/>
          <w:sz w:val="24"/>
        </w:rPr>
        <w:t>)</w:t>
      </w:r>
      <w:r w:rsidRPr="00FC1444">
        <w:rPr>
          <w:rFonts w:eastAsiaTheme="minorEastAsia"/>
          <w:kern w:val="0"/>
          <w:sz w:val="24"/>
        </w:rPr>
        <w:t>退水量占水田总退水量的</w:t>
      </w:r>
      <w:r w:rsidRPr="00FC1444">
        <w:rPr>
          <w:rFonts w:eastAsiaTheme="minorEastAsia"/>
          <w:kern w:val="0"/>
          <w:sz w:val="24"/>
        </w:rPr>
        <w:t>5%</w:t>
      </w:r>
      <w:r w:rsidRPr="00FC1444">
        <w:rPr>
          <w:rFonts w:eastAsiaTheme="minorEastAsia"/>
          <w:kern w:val="0"/>
          <w:sz w:val="24"/>
        </w:rPr>
        <w:t>，黄熟期</w:t>
      </w:r>
      <w:r w:rsidRPr="00FC1444">
        <w:rPr>
          <w:rFonts w:eastAsiaTheme="minorEastAsia"/>
          <w:kern w:val="0"/>
          <w:sz w:val="24"/>
        </w:rPr>
        <w:t>(9</w:t>
      </w:r>
      <w:r w:rsidRPr="00FC1444">
        <w:rPr>
          <w:rFonts w:eastAsiaTheme="minorEastAsia"/>
          <w:kern w:val="0"/>
          <w:sz w:val="24"/>
        </w:rPr>
        <w:t>月后</w:t>
      </w:r>
      <w:r w:rsidRPr="00FC1444">
        <w:rPr>
          <w:rFonts w:eastAsiaTheme="minorEastAsia"/>
          <w:kern w:val="0"/>
          <w:sz w:val="24"/>
        </w:rPr>
        <w:t>)</w:t>
      </w:r>
      <w:r w:rsidRPr="00FC1444">
        <w:rPr>
          <w:rFonts w:eastAsiaTheme="minorEastAsia"/>
          <w:kern w:val="0"/>
          <w:sz w:val="24"/>
        </w:rPr>
        <w:t>退水量占水田总退水量的</w:t>
      </w:r>
      <w:r w:rsidRPr="00FC1444">
        <w:rPr>
          <w:rFonts w:eastAsiaTheme="minorEastAsia"/>
          <w:kern w:val="0"/>
          <w:sz w:val="24"/>
        </w:rPr>
        <w:t>15%</w:t>
      </w:r>
      <w:r w:rsidRPr="00FC1444">
        <w:rPr>
          <w:rFonts w:eastAsiaTheme="minorEastAsia"/>
          <w:kern w:val="0"/>
          <w:sz w:val="24"/>
        </w:rPr>
        <w:t>。每次退水持续时间约为</w:t>
      </w:r>
      <w:r w:rsidRPr="00FC1444">
        <w:rPr>
          <w:rFonts w:eastAsiaTheme="minorEastAsia"/>
          <w:kern w:val="0"/>
          <w:sz w:val="24"/>
        </w:rPr>
        <w:t>20</w:t>
      </w:r>
      <w:r w:rsidRPr="00FC1444">
        <w:rPr>
          <w:rFonts w:eastAsiaTheme="minorEastAsia"/>
          <w:kern w:val="0"/>
          <w:sz w:val="24"/>
        </w:rPr>
        <w:t>天。主要集中在</w:t>
      </w:r>
      <w:r w:rsidRPr="00FC1444">
        <w:rPr>
          <w:rFonts w:eastAsiaTheme="minorEastAsia"/>
          <w:kern w:val="0"/>
          <w:sz w:val="24"/>
        </w:rPr>
        <w:t>5</w:t>
      </w:r>
      <w:r w:rsidRPr="00FC1444">
        <w:rPr>
          <w:rFonts w:eastAsiaTheme="minorEastAsia"/>
          <w:kern w:val="0"/>
          <w:sz w:val="24"/>
        </w:rPr>
        <w:t>月中旬至</w:t>
      </w:r>
      <w:r w:rsidRPr="00FC1444">
        <w:rPr>
          <w:rFonts w:eastAsiaTheme="minorEastAsia"/>
          <w:kern w:val="0"/>
          <w:sz w:val="24"/>
        </w:rPr>
        <w:t>9</w:t>
      </w:r>
      <w:r w:rsidRPr="00FC1444">
        <w:rPr>
          <w:rFonts w:eastAsiaTheme="minorEastAsia"/>
          <w:kern w:val="0"/>
          <w:sz w:val="24"/>
        </w:rPr>
        <w:t>月下旬。</w:t>
      </w:r>
    </w:p>
    <w:p w:rsidR="00FD5924" w:rsidRPr="00FC1444" w:rsidRDefault="00FD5924" w:rsidP="00FD5924">
      <w:pPr>
        <w:spacing w:line="360" w:lineRule="auto"/>
        <w:ind w:firstLineChars="200" w:firstLine="480"/>
        <w:jc w:val="left"/>
        <w:rPr>
          <w:rFonts w:eastAsiaTheme="minorEastAsia"/>
          <w:kern w:val="0"/>
          <w:sz w:val="24"/>
        </w:rPr>
      </w:pPr>
      <w:r w:rsidRPr="00FC1444">
        <w:rPr>
          <w:rFonts w:eastAsiaTheme="minorEastAsia"/>
          <w:kern w:val="0"/>
          <w:sz w:val="24"/>
        </w:rPr>
        <w:t>项目区现有水田退水系统及组成：</w:t>
      </w:r>
      <w:r w:rsidR="00E456D6" w:rsidRPr="00FC1444">
        <w:rPr>
          <w:rFonts w:eastAsiaTheme="minorEastAsia" w:hint="eastAsia"/>
          <w:sz w:val="24"/>
        </w:rPr>
        <w:t>项目区排水工程已基本形成规模，绥胜片</w:t>
      </w:r>
      <w:r w:rsidR="00E456D6" w:rsidRPr="00FC1444">
        <w:rPr>
          <w:rFonts w:eastAsiaTheme="minorEastAsia" w:hint="eastAsia"/>
          <w:sz w:val="24"/>
        </w:rPr>
        <w:lastRenderedPageBreak/>
        <w:t>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00EE17B3" w:rsidRPr="00FC1444">
        <w:rPr>
          <w:rFonts w:eastAsiaTheme="minorEastAsia"/>
          <w:sz w:val="24"/>
        </w:rPr>
        <w:t>片区内</w:t>
      </w:r>
      <w:r w:rsidR="00AC69F4" w:rsidRPr="00FC1444">
        <w:rPr>
          <w:rFonts w:eastAsiaTheme="minorEastAsia"/>
          <w:sz w:val="24"/>
        </w:rPr>
        <w:t>排水承泄区为津河、呼兰河、努敏河</w:t>
      </w:r>
      <w:r w:rsidR="00EE17B3" w:rsidRPr="00FC1444">
        <w:rPr>
          <w:kern w:val="0"/>
          <w:sz w:val="24"/>
        </w:rPr>
        <w:t>。</w:t>
      </w:r>
      <w:r w:rsidRPr="00FC1444">
        <w:rPr>
          <w:rFonts w:eastAsiaTheme="minorEastAsia"/>
          <w:sz w:val="24"/>
        </w:rPr>
        <w:t>本项目退水路线及水系图见附图</w:t>
      </w:r>
      <w:r w:rsidRPr="00FC1444">
        <w:rPr>
          <w:rFonts w:eastAsiaTheme="minorEastAsia"/>
          <w:sz w:val="24"/>
        </w:rPr>
        <w:t>9</w:t>
      </w:r>
      <w:r w:rsidRPr="00FC1444">
        <w:rPr>
          <w:rFonts w:eastAsiaTheme="minorEastAsia"/>
          <w:sz w:val="24"/>
        </w:rPr>
        <w:t>。</w:t>
      </w:r>
    </w:p>
    <w:p w:rsidR="002F45F4" w:rsidRPr="00FC1444" w:rsidRDefault="000B5B02" w:rsidP="002F45F4">
      <w:pPr>
        <w:pStyle w:val="aff4"/>
        <w:adjustRightInd/>
        <w:snapToGrid/>
        <w:rPr>
          <w:rFonts w:ascii="Times New Roman" w:hAnsi="Times New Roman" w:cs="Times New Roman"/>
          <w:smallCaps/>
          <w:shd w:val="clear" w:color="auto" w:fill="FFFFFF"/>
        </w:rPr>
      </w:pPr>
      <w:r w:rsidRPr="00FC1444">
        <w:rPr>
          <w:rFonts w:ascii="Times New Roman" w:hAnsi="Times New Roman" w:cs="Times New Roman" w:hint="eastAsia"/>
        </w:rPr>
        <w:t>本项目建设前后项目区水田面积不变，仍为</w:t>
      </w:r>
      <w:r w:rsidRPr="00FC1444">
        <w:rPr>
          <w:rFonts w:ascii="Times New Roman" w:hAnsi="Times New Roman" w:cs="Times New Roman" w:hint="eastAsia"/>
        </w:rPr>
        <w:t>9.16</w:t>
      </w:r>
      <w:r w:rsidR="0033279E" w:rsidRPr="00FC1444">
        <w:rPr>
          <w:rFonts w:ascii="Times New Roman" w:hAnsi="Times New Roman" w:cs="Times New Roman" w:hint="eastAsia"/>
        </w:rPr>
        <w:t>万亩。不新增灌溉设施，</w:t>
      </w:r>
      <w:r w:rsidRPr="00FC1444">
        <w:rPr>
          <w:rFonts w:ascii="Times New Roman" w:hAnsi="Times New Roman" w:cs="Times New Roman" w:hint="eastAsia"/>
        </w:rPr>
        <w:t>灌溉方式为现有农民自打地下水井井灌。退水总量及主要污染物：绥胜片区</w:t>
      </w:r>
      <w:r w:rsidRPr="00FC1444">
        <w:rPr>
          <w:rFonts w:ascii="Times New Roman" w:hAnsi="Times New Roman" w:cs="Times New Roman" w:hint="eastAsia"/>
        </w:rPr>
        <w:t>0.6</w:t>
      </w:r>
      <w:r w:rsidRPr="00FC1444">
        <w:rPr>
          <w:rFonts w:ascii="Times New Roman" w:hAnsi="Times New Roman" w:cs="Times New Roman" w:hint="eastAsia"/>
        </w:rPr>
        <w:t>万亩、津河片区</w:t>
      </w:r>
      <w:r w:rsidRPr="00FC1444">
        <w:rPr>
          <w:rFonts w:ascii="Times New Roman" w:hAnsi="Times New Roman" w:cs="Times New Roman" w:hint="eastAsia"/>
        </w:rPr>
        <w:t>1.54</w:t>
      </w:r>
      <w:r w:rsidRPr="00FC1444">
        <w:rPr>
          <w:rFonts w:ascii="Times New Roman" w:hAnsi="Times New Roman" w:cs="Times New Roman" w:hint="eastAsia"/>
        </w:rPr>
        <w:t>万亩、五营片区</w:t>
      </w:r>
      <w:r w:rsidRPr="00FC1444">
        <w:rPr>
          <w:rFonts w:ascii="Times New Roman" w:hAnsi="Times New Roman" w:cs="Times New Roman" w:hint="eastAsia"/>
        </w:rPr>
        <w:t>4.92</w:t>
      </w:r>
      <w:r w:rsidRPr="00FC1444">
        <w:rPr>
          <w:rFonts w:ascii="Times New Roman" w:hAnsi="Times New Roman" w:cs="Times New Roman" w:hint="eastAsia"/>
        </w:rPr>
        <w:t>万亩，三河片区</w:t>
      </w:r>
      <w:r w:rsidRPr="00FC1444">
        <w:rPr>
          <w:rFonts w:ascii="Times New Roman" w:hAnsi="Times New Roman" w:cs="Times New Roman" w:hint="eastAsia"/>
        </w:rPr>
        <w:t>2.1</w:t>
      </w:r>
      <w:r w:rsidRPr="00FC1444">
        <w:rPr>
          <w:rFonts w:ascii="Times New Roman" w:hAnsi="Times New Roman" w:cs="Times New Roman" w:hint="eastAsia"/>
        </w:rPr>
        <w:t>万亩。田取水量</w:t>
      </w:r>
      <w:r w:rsidRPr="00FC1444">
        <w:rPr>
          <w:rFonts w:ascii="Times New Roman" w:hAnsi="Times New Roman" w:cs="Times New Roman" w:hint="eastAsia"/>
        </w:rPr>
        <w:t>=</w:t>
      </w:r>
      <w:r w:rsidRPr="00FC1444">
        <w:rPr>
          <w:rFonts w:ascii="Times New Roman" w:hAnsi="Times New Roman" w:cs="Times New Roman" w:hint="eastAsia"/>
        </w:rPr>
        <w:t>灌溉面积×灌溉定额。现状年灌溉水利用系数</w:t>
      </w:r>
      <w:r w:rsidRPr="00FC1444">
        <w:rPr>
          <w:rFonts w:ascii="Times New Roman" w:hAnsi="Times New Roman" w:cs="Times New Roman" w:hint="eastAsia"/>
        </w:rPr>
        <w:t>0.67</w:t>
      </w:r>
      <w:r w:rsidRPr="00FC1444">
        <w:rPr>
          <w:rFonts w:ascii="Times New Roman" w:hAnsi="Times New Roman" w:cs="Times New Roman" w:hint="eastAsia"/>
        </w:rPr>
        <w:t>，水田灌溉用水定额为</w:t>
      </w:r>
      <w:r w:rsidRPr="00FC1444">
        <w:rPr>
          <w:rFonts w:ascii="Times New Roman" w:hAnsi="Times New Roman" w:cs="Times New Roman" w:hint="eastAsia"/>
        </w:rPr>
        <w:t>685m</w:t>
      </w:r>
      <w:r w:rsidRPr="00FC1444">
        <w:rPr>
          <w:rFonts w:ascii="Times New Roman" w:hAnsi="Times New Roman" w:cs="Times New Roman" w:hint="eastAsia"/>
          <w:vertAlign w:val="superscript"/>
        </w:rPr>
        <w:t>3</w:t>
      </w:r>
      <w:r w:rsidRPr="00FC1444">
        <w:rPr>
          <w:rFonts w:ascii="Times New Roman" w:hAnsi="Times New Roman" w:cs="Times New Roman" w:hint="eastAsia"/>
        </w:rPr>
        <w:t>/</w:t>
      </w:r>
      <w:r w:rsidRPr="00FC1444">
        <w:rPr>
          <w:rFonts w:ascii="Times New Roman" w:hAnsi="Times New Roman" w:cs="Times New Roman" w:hint="eastAsia"/>
        </w:rPr>
        <w:t>亩，现状引水总量</w:t>
      </w:r>
      <w:r w:rsidRPr="00FC1444">
        <w:rPr>
          <w:rFonts w:ascii="Times New Roman" w:hAnsi="Times New Roman" w:cs="Times New Roman" w:hint="eastAsia"/>
        </w:rPr>
        <w:t>6274.6</w:t>
      </w:r>
      <w:r w:rsidRPr="00FC1444">
        <w:rPr>
          <w:rFonts w:ascii="Times New Roman" w:hAnsi="Times New Roman" w:cs="Times New Roman" w:hint="eastAsia"/>
        </w:rPr>
        <w:t>万</w:t>
      </w:r>
      <w:r w:rsidRPr="00FC1444">
        <w:rPr>
          <w:rFonts w:ascii="Times New Roman" w:hAnsi="Times New Roman" w:cs="Times New Roman" w:hint="eastAsia"/>
        </w:rPr>
        <w:t>m</w:t>
      </w:r>
      <w:r w:rsidRPr="00FC1444">
        <w:rPr>
          <w:rFonts w:ascii="Times New Roman" w:hAnsi="Times New Roman" w:cs="Times New Roman" w:hint="eastAsia"/>
          <w:vertAlign w:val="superscript"/>
        </w:rPr>
        <w:t>3</w:t>
      </w:r>
      <w:r w:rsidRPr="00FC1444">
        <w:rPr>
          <w:rFonts w:ascii="Times New Roman" w:hAnsi="Times New Roman" w:cs="Times New Roman" w:hint="eastAsia"/>
        </w:rPr>
        <w:t>，现状退水系数按</w:t>
      </w:r>
      <w:r w:rsidRPr="00FC1444">
        <w:rPr>
          <w:rFonts w:ascii="Times New Roman" w:hAnsi="Times New Roman" w:cs="Times New Roman" w:hint="eastAsia"/>
        </w:rPr>
        <w:t>0.2</w:t>
      </w:r>
      <w:r w:rsidRPr="00FC1444">
        <w:rPr>
          <w:rFonts w:ascii="Times New Roman" w:hAnsi="Times New Roman" w:cs="Times New Roman" w:hint="eastAsia"/>
        </w:rPr>
        <w:t>计，则现状年灌区退水总量</w:t>
      </w:r>
      <w:r w:rsidRPr="00FC1444">
        <w:rPr>
          <w:rFonts w:ascii="Times New Roman" w:hAnsi="Times New Roman" w:cs="Times New Roman" w:hint="eastAsia"/>
        </w:rPr>
        <w:t>1255</w:t>
      </w:r>
      <w:r w:rsidRPr="00FC1444">
        <w:rPr>
          <w:rFonts w:ascii="Times New Roman" w:hAnsi="Times New Roman" w:cs="Times New Roman" w:hint="eastAsia"/>
        </w:rPr>
        <w:t>万</w:t>
      </w:r>
      <w:r w:rsidRPr="00FC1444">
        <w:rPr>
          <w:rFonts w:ascii="Times New Roman" w:hAnsi="Times New Roman" w:cs="Times New Roman" w:hint="eastAsia"/>
        </w:rPr>
        <w:t>m</w:t>
      </w:r>
      <w:r w:rsidRPr="00FC1444">
        <w:rPr>
          <w:rFonts w:ascii="Times New Roman" w:hAnsi="Times New Roman" w:cs="Times New Roman" w:hint="eastAsia"/>
          <w:vertAlign w:val="superscript"/>
        </w:rPr>
        <w:t>3</w:t>
      </w:r>
      <w:r w:rsidR="002F45F4" w:rsidRPr="00FC1444">
        <w:rPr>
          <w:rFonts w:ascii="Times New Roman" w:hAnsi="Times New Roman" w:cs="Times New Roman"/>
        </w:rPr>
        <w:t>。</w:t>
      </w:r>
    </w:p>
    <w:p w:rsidR="002F45F4" w:rsidRPr="00FC1444" w:rsidRDefault="002F45F4" w:rsidP="002F45F4">
      <w:pPr>
        <w:adjustRightInd w:val="0"/>
        <w:spacing w:line="360" w:lineRule="auto"/>
        <w:ind w:firstLineChars="200" w:firstLine="480"/>
        <w:rPr>
          <w:sz w:val="24"/>
        </w:rPr>
      </w:pPr>
      <w:r w:rsidRPr="00FC1444">
        <w:rPr>
          <w:sz w:val="24"/>
        </w:rPr>
        <w:t>本项目建设后现有水田灌溉方式不变。通过格田改造、土地平整等工程，可以减少池埂占地面积，减少田面不均补水，提高农田保水能力，并且由于渠系配套完善，减少引水的跑冒滴漏。根据</w:t>
      </w:r>
      <w:r w:rsidRPr="00FC1444">
        <w:rPr>
          <w:rFonts w:eastAsiaTheme="minorEastAsia"/>
          <w:sz w:val="24"/>
        </w:rPr>
        <w:t>《黑龙江：用水定额》（</w:t>
      </w:r>
      <w:r w:rsidRPr="00FC1444">
        <w:rPr>
          <w:rFonts w:eastAsiaTheme="minorEastAsia"/>
          <w:sz w:val="24"/>
        </w:rPr>
        <w:t>DB23/T 727-2025</w:t>
      </w:r>
      <w:r w:rsidRPr="00FC1444">
        <w:rPr>
          <w:rFonts w:eastAsiaTheme="minorEastAsia"/>
          <w:sz w:val="24"/>
        </w:rPr>
        <w:t>）</w:t>
      </w:r>
      <w:r w:rsidRPr="00FC1444">
        <w:rPr>
          <w:sz w:val="24"/>
        </w:rPr>
        <w:t>，渠道防渗输水灌溉水利用系数提升至</w:t>
      </w:r>
      <w:r w:rsidRPr="00FC1444">
        <w:rPr>
          <w:sz w:val="24"/>
        </w:rPr>
        <w:t>0.7</w:t>
      </w:r>
      <w:r w:rsidRPr="00FC1444">
        <w:rPr>
          <w:sz w:val="24"/>
        </w:rPr>
        <w:t>，水田灌溉用水定额为</w:t>
      </w:r>
      <w:r w:rsidRPr="00FC1444">
        <w:rPr>
          <w:sz w:val="24"/>
        </w:rPr>
        <w:t>600m</w:t>
      </w:r>
      <w:r w:rsidRPr="00FC1444">
        <w:rPr>
          <w:sz w:val="24"/>
          <w:vertAlign w:val="superscript"/>
        </w:rPr>
        <w:t>3</w:t>
      </w:r>
      <w:r w:rsidRPr="00FC1444">
        <w:rPr>
          <w:sz w:val="24"/>
        </w:rPr>
        <w:t>/</w:t>
      </w:r>
      <w:r w:rsidRPr="00FC1444">
        <w:rPr>
          <w:sz w:val="24"/>
        </w:rPr>
        <w:t>亩，引水总量</w:t>
      </w:r>
      <w:r w:rsidR="000B5B02" w:rsidRPr="00FC1444">
        <w:rPr>
          <w:rFonts w:hint="eastAsia"/>
          <w:sz w:val="24"/>
        </w:rPr>
        <w:t>5496</w:t>
      </w:r>
      <w:r w:rsidRPr="00FC1444">
        <w:rPr>
          <w:sz w:val="24"/>
        </w:rPr>
        <w:t>万</w:t>
      </w:r>
      <w:r w:rsidRPr="00FC1444">
        <w:rPr>
          <w:sz w:val="24"/>
        </w:rPr>
        <w:t>m</w:t>
      </w:r>
      <w:r w:rsidRPr="00FC1444">
        <w:rPr>
          <w:sz w:val="24"/>
          <w:vertAlign w:val="superscript"/>
        </w:rPr>
        <w:t>3</w:t>
      </w:r>
      <w:r w:rsidRPr="00FC1444">
        <w:rPr>
          <w:sz w:val="24"/>
        </w:rPr>
        <w:t>。本项目建成后，进行土地平整、格田改造，消除高低不平造成的漫灌溢水、不均匀渗漏，减少田面弃水和无效深层渗漏，土壤保水能力增强，退水系数降至</w:t>
      </w:r>
      <w:r w:rsidRPr="00FC1444">
        <w:rPr>
          <w:sz w:val="24"/>
        </w:rPr>
        <w:t>0.15</w:t>
      </w:r>
      <w:r w:rsidRPr="00FC1444">
        <w:rPr>
          <w:sz w:val="24"/>
        </w:rPr>
        <w:t>，则项目建成后年灌区退水总量为</w:t>
      </w:r>
      <w:r w:rsidR="000B5B02" w:rsidRPr="00FC1444">
        <w:rPr>
          <w:rFonts w:hint="eastAsia"/>
          <w:sz w:val="24"/>
        </w:rPr>
        <w:t>824</w:t>
      </w:r>
      <w:r w:rsidRPr="00FC1444">
        <w:rPr>
          <w:sz w:val="24"/>
        </w:rPr>
        <w:t>万</w:t>
      </w:r>
      <w:r w:rsidRPr="00FC1444">
        <w:rPr>
          <w:sz w:val="24"/>
        </w:rPr>
        <w:t>m</w:t>
      </w:r>
      <w:r w:rsidRPr="00FC1444">
        <w:rPr>
          <w:sz w:val="24"/>
          <w:vertAlign w:val="superscript"/>
        </w:rPr>
        <w:t>3</w:t>
      </w:r>
      <w:r w:rsidRPr="00FC1444">
        <w:rPr>
          <w:sz w:val="24"/>
        </w:rPr>
        <w:t>。</w:t>
      </w:r>
      <w:r w:rsidR="00E008D1" w:rsidRPr="00FC1444">
        <w:rPr>
          <w:sz w:val="24"/>
        </w:rPr>
        <w:t>项目建成后灌区年退水量与现状相比减少</w:t>
      </w:r>
      <w:r w:rsidR="00E008D1" w:rsidRPr="00FC1444">
        <w:rPr>
          <w:sz w:val="24"/>
        </w:rPr>
        <w:t>431</w:t>
      </w:r>
      <w:r w:rsidR="00E008D1" w:rsidRPr="00FC1444">
        <w:rPr>
          <w:sz w:val="24"/>
        </w:rPr>
        <w:t>万</w:t>
      </w:r>
      <w:r w:rsidRPr="00FC1444">
        <w:rPr>
          <w:sz w:val="24"/>
        </w:rPr>
        <w:t>m</w:t>
      </w:r>
      <w:r w:rsidRPr="00FC1444">
        <w:rPr>
          <w:sz w:val="24"/>
          <w:vertAlign w:val="superscript"/>
        </w:rPr>
        <w:t>3</w:t>
      </w:r>
      <w:r w:rsidRPr="00FC1444">
        <w:rPr>
          <w:rFonts w:eastAsiaTheme="minorEastAsia"/>
          <w:sz w:val="24"/>
        </w:rPr>
        <w:t>。</w:t>
      </w:r>
    </w:p>
    <w:p w:rsidR="002A5A5E" w:rsidRPr="00FC1444" w:rsidRDefault="000E00D5">
      <w:pPr>
        <w:contextualSpacing/>
        <w:jc w:val="center"/>
        <w:rPr>
          <w:rFonts w:eastAsiaTheme="minorEastAsia"/>
          <w:b/>
          <w:szCs w:val="21"/>
        </w:rPr>
      </w:pPr>
      <w:r w:rsidRPr="00FC1444">
        <w:rPr>
          <w:rFonts w:eastAsiaTheme="minorEastAsia"/>
          <w:b/>
          <w:szCs w:val="21"/>
        </w:rPr>
        <w:t xml:space="preserve">      </w:t>
      </w:r>
      <w:r w:rsidR="00611CBA" w:rsidRPr="00FC1444">
        <w:rPr>
          <w:rFonts w:eastAsiaTheme="minorEastAsia"/>
          <w:b/>
          <w:szCs w:val="21"/>
        </w:rPr>
        <w:t>表</w:t>
      </w:r>
      <w:r w:rsidR="00611CBA" w:rsidRPr="00FC1444">
        <w:rPr>
          <w:rFonts w:eastAsiaTheme="minorEastAsia"/>
          <w:b/>
          <w:szCs w:val="21"/>
        </w:rPr>
        <w:t>3-3-4</w:t>
      </w:r>
      <w:r w:rsidR="00880037" w:rsidRPr="00FC1444">
        <w:rPr>
          <w:rFonts w:eastAsiaTheme="minorEastAsia"/>
          <w:b/>
          <w:szCs w:val="21"/>
        </w:rPr>
        <w:t>本项目退</w:t>
      </w:r>
      <w:r w:rsidR="002A00FD" w:rsidRPr="00FC1444">
        <w:rPr>
          <w:rFonts w:eastAsiaTheme="minorEastAsia"/>
          <w:b/>
          <w:szCs w:val="21"/>
        </w:rPr>
        <w:t>水口</w:t>
      </w:r>
      <w:r w:rsidR="00611CBA" w:rsidRPr="00FC1444">
        <w:rPr>
          <w:rFonts w:eastAsiaTheme="minorEastAsia"/>
          <w:b/>
          <w:szCs w:val="21"/>
        </w:rPr>
        <w:t>退水量</w:t>
      </w:r>
      <w:r w:rsidR="00A717E1" w:rsidRPr="00FC1444">
        <w:rPr>
          <w:rFonts w:eastAsiaTheme="minorEastAsia"/>
          <w:b/>
          <w:szCs w:val="21"/>
        </w:rPr>
        <w:t>变化</w:t>
      </w:r>
      <w:r w:rsidR="00611CBA" w:rsidRPr="00FC1444">
        <w:rPr>
          <w:rFonts w:eastAsiaTheme="minorEastAsia"/>
          <w:b/>
          <w:szCs w:val="21"/>
        </w:rPr>
        <w:t>情况</w:t>
      </w:r>
      <w:r w:rsidR="002A00FD" w:rsidRPr="00FC1444">
        <w:rPr>
          <w:rFonts w:eastAsiaTheme="minorEastAsia"/>
          <w:b/>
          <w:szCs w:val="21"/>
        </w:rPr>
        <w:t>一览表</w:t>
      </w:r>
      <w:r w:rsidR="00A717E1" w:rsidRPr="00FC1444">
        <w:rPr>
          <w:rFonts w:eastAsiaTheme="minorEastAsia"/>
          <w:b/>
          <w:szCs w:val="21"/>
        </w:rPr>
        <w:t xml:space="preserve">         </w:t>
      </w:r>
      <w:r w:rsidR="00611CBA" w:rsidRPr="00FC1444">
        <w:rPr>
          <w:rFonts w:eastAsiaTheme="minorEastAsia"/>
          <w:b/>
          <w:szCs w:val="21"/>
        </w:rPr>
        <w:t>单位：万</w:t>
      </w:r>
      <w:r w:rsidR="00611CBA" w:rsidRPr="00FC1444">
        <w:rPr>
          <w:rFonts w:eastAsiaTheme="minorEastAsia"/>
          <w:b/>
          <w:szCs w:val="21"/>
        </w:rPr>
        <w:t>m</w:t>
      </w:r>
      <w:r w:rsidR="00611CBA" w:rsidRPr="00FC1444">
        <w:rPr>
          <w:rFonts w:eastAsiaTheme="minorEastAsia"/>
          <w:b/>
          <w:szCs w:val="21"/>
          <w:vertAlign w:val="superscript"/>
        </w:rPr>
        <w:t>3</w:t>
      </w:r>
      <w:r w:rsidR="00611CBA" w:rsidRPr="00FC1444">
        <w:rPr>
          <w:rFonts w:eastAsiaTheme="minorEastAsia"/>
          <w:b/>
          <w:bCs/>
          <w:szCs w:val="21"/>
        </w:rPr>
        <w:t>/a</w:t>
      </w:r>
    </w:p>
    <w:tbl>
      <w:tblPr>
        <w:tblStyle w:val="afc"/>
        <w:tblW w:w="4951" w:type="pct"/>
        <w:tblBorders>
          <w:top w:val="single" w:sz="12" w:space="0" w:color="auto"/>
          <w:left w:val="none" w:sz="0" w:space="0" w:color="auto"/>
          <w:bottom w:val="single" w:sz="12" w:space="0" w:color="auto"/>
          <w:right w:val="none" w:sz="0" w:space="0" w:color="auto"/>
        </w:tblBorders>
        <w:tblLook w:val="04A0"/>
      </w:tblPr>
      <w:tblGrid>
        <w:gridCol w:w="1240"/>
        <w:gridCol w:w="884"/>
        <w:gridCol w:w="916"/>
        <w:gridCol w:w="1105"/>
        <w:gridCol w:w="991"/>
        <w:gridCol w:w="991"/>
        <w:gridCol w:w="996"/>
        <w:gridCol w:w="1315"/>
      </w:tblGrid>
      <w:tr w:rsidR="000B5B02" w:rsidRPr="00FC1444" w:rsidTr="000B5B02">
        <w:trPr>
          <w:trHeight w:val="1170"/>
        </w:trPr>
        <w:tc>
          <w:tcPr>
            <w:tcW w:w="735" w:type="pct"/>
            <w:vAlign w:val="center"/>
          </w:tcPr>
          <w:p w:rsidR="000B5B02" w:rsidRPr="00FC1444" w:rsidRDefault="000B5B02" w:rsidP="009F26BB">
            <w:pPr>
              <w:jc w:val="center"/>
              <w:rPr>
                <w:rFonts w:eastAsiaTheme="minorEastAsia"/>
                <w:kern w:val="0"/>
                <w:szCs w:val="21"/>
              </w:rPr>
            </w:pPr>
            <w:r w:rsidRPr="00FC1444">
              <w:rPr>
                <w:rFonts w:eastAsiaTheme="minorEastAsia"/>
                <w:kern w:val="0"/>
                <w:szCs w:val="21"/>
              </w:rPr>
              <w:t>灌区</w:t>
            </w:r>
          </w:p>
        </w:tc>
        <w:tc>
          <w:tcPr>
            <w:tcW w:w="524" w:type="pct"/>
            <w:vAlign w:val="center"/>
          </w:tcPr>
          <w:p w:rsidR="000B5B02" w:rsidRPr="00FC1444" w:rsidRDefault="000B5B02" w:rsidP="009F26BB">
            <w:pPr>
              <w:jc w:val="center"/>
              <w:rPr>
                <w:rFonts w:eastAsiaTheme="minorEastAsia"/>
                <w:kern w:val="0"/>
                <w:szCs w:val="21"/>
              </w:rPr>
            </w:pPr>
            <w:r w:rsidRPr="00FC1444">
              <w:rPr>
                <w:rFonts w:eastAsiaTheme="minorEastAsia"/>
                <w:kern w:val="0"/>
                <w:szCs w:val="21"/>
              </w:rPr>
              <w:t>总用水量</w:t>
            </w:r>
          </w:p>
        </w:tc>
        <w:tc>
          <w:tcPr>
            <w:tcW w:w="543" w:type="pct"/>
            <w:vAlign w:val="center"/>
          </w:tcPr>
          <w:p w:rsidR="000B5B02" w:rsidRPr="00FC1444" w:rsidRDefault="000B5B02" w:rsidP="009F26BB">
            <w:pPr>
              <w:jc w:val="center"/>
              <w:rPr>
                <w:rFonts w:eastAsiaTheme="minorEastAsia"/>
                <w:kern w:val="0"/>
                <w:szCs w:val="21"/>
              </w:rPr>
            </w:pPr>
            <w:r w:rsidRPr="00FC1444">
              <w:rPr>
                <w:rFonts w:eastAsiaTheme="minorEastAsia"/>
                <w:kern w:val="0"/>
                <w:szCs w:val="21"/>
              </w:rPr>
              <w:t>总退水量</w:t>
            </w:r>
          </w:p>
        </w:tc>
        <w:tc>
          <w:tcPr>
            <w:tcW w:w="655" w:type="pct"/>
            <w:vAlign w:val="center"/>
          </w:tcPr>
          <w:p w:rsidR="000B5B02" w:rsidRPr="00FC1444" w:rsidRDefault="000B5B02" w:rsidP="009F26BB">
            <w:pPr>
              <w:jc w:val="center"/>
              <w:rPr>
                <w:rFonts w:eastAsiaTheme="minorEastAsia"/>
                <w:kern w:val="0"/>
                <w:szCs w:val="21"/>
              </w:rPr>
            </w:pPr>
            <w:r w:rsidRPr="00FC1444">
              <w:rPr>
                <w:rFonts w:eastAsiaTheme="minorEastAsia"/>
                <w:bCs/>
                <w:kern w:val="0"/>
                <w:szCs w:val="21"/>
              </w:rPr>
              <w:t>入津河</w:t>
            </w:r>
            <w:r w:rsidRPr="00FC1444">
              <w:rPr>
                <w:rFonts w:eastAsiaTheme="minorEastAsia"/>
                <w:kern w:val="0"/>
                <w:szCs w:val="21"/>
              </w:rPr>
              <w:t>退水口（</w:t>
            </w:r>
            <w:r w:rsidRPr="00FC1444">
              <w:rPr>
                <w:rFonts w:eastAsiaTheme="minorEastAsia" w:hint="eastAsia"/>
                <w:kern w:val="0"/>
                <w:szCs w:val="21"/>
              </w:rPr>
              <w:t>津河片区</w:t>
            </w:r>
            <w:r w:rsidRPr="00FC1444">
              <w:rPr>
                <w:rFonts w:eastAsiaTheme="minorEastAsia"/>
                <w:kern w:val="0"/>
                <w:szCs w:val="21"/>
              </w:rPr>
              <w:t>）</w:t>
            </w:r>
          </w:p>
        </w:tc>
        <w:tc>
          <w:tcPr>
            <w:tcW w:w="587" w:type="pct"/>
            <w:vAlign w:val="center"/>
          </w:tcPr>
          <w:p w:rsidR="000B5B02" w:rsidRPr="00FC1444" w:rsidRDefault="000B5B02" w:rsidP="009F26BB">
            <w:pPr>
              <w:jc w:val="center"/>
              <w:rPr>
                <w:rFonts w:eastAsiaTheme="minorEastAsia"/>
                <w:kern w:val="0"/>
                <w:szCs w:val="21"/>
              </w:rPr>
            </w:pPr>
            <w:r w:rsidRPr="00FC1444">
              <w:rPr>
                <w:rFonts w:eastAsiaTheme="minorEastAsia"/>
                <w:bCs/>
                <w:kern w:val="0"/>
                <w:szCs w:val="21"/>
              </w:rPr>
              <w:t>入努敏河</w:t>
            </w:r>
            <w:r w:rsidRPr="00FC1444">
              <w:rPr>
                <w:rFonts w:eastAsiaTheme="minorEastAsia"/>
                <w:kern w:val="0"/>
                <w:szCs w:val="21"/>
              </w:rPr>
              <w:t>退水口（</w:t>
            </w:r>
            <w:r w:rsidRPr="00FC1444">
              <w:rPr>
                <w:rFonts w:eastAsiaTheme="minorEastAsia" w:hint="eastAsia"/>
                <w:kern w:val="0"/>
                <w:szCs w:val="21"/>
              </w:rPr>
              <w:t>三河片区</w:t>
            </w:r>
            <w:r w:rsidRPr="00FC1444">
              <w:rPr>
                <w:rFonts w:eastAsiaTheme="minorEastAsia"/>
                <w:kern w:val="0"/>
                <w:szCs w:val="21"/>
              </w:rPr>
              <w:t>）</w:t>
            </w:r>
          </w:p>
        </w:tc>
        <w:tc>
          <w:tcPr>
            <w:tcW w:w="587" w:type="pct"/>
            <w:vAlign w:val="center"/>
          </w:tcPr>
          <w:p w:rsidR="000B5B02" w:rsidRPr="00FC1444" w:rsidRDefault="000B5B02" w:rsidP="009F26BB">
            <w:pPr>
              <w:jc w:val="center"/>
              <w:rPr>
                <w:rFonts w:eastAsiaTheme="minorEastAsia"/>
                <w:kern w:val="0"/>
                <w:szCs w:val="21"/>
              </w:rPr>
            </w:pPr>
            <w:r w:rsidRPr="00FC1444">
              <w:rPr>
                <w:rFonts w:eastAsiaTheme="minorEastAsia"/>
                <w:bCs/>
                <w:kern w:val="0"/>
                <w:szCs w:val="21"/>
              </w:rPr>
              <w:t>入呼兰河</w:t>
            </w:r>
            <w:r w:rsidRPr="00FC1444">
              <w:rPr>
                <w:rFonts w:eastAsiaTheme="minorEastAsia"/>
                <w:kern w:val="0"/>
                <w:szCs w:val="21"/>
              </w:rPr>
              <w:t>退水口（</w:t>
            </w:r>
            <w:r w:rsidRPr="00FC1444">
              <w:rPr>
                <w:rFonts w:eastAsiaTheme="minorEastAsia" w:hint="eastAsia"/>
                <w:kern w:val="0"/>
                <w:szCs w:val="21"/>
              </w:rPr>
              <w:t>绥胜片区</w:t>
            </w:r>
            <w:r w:rsidRPr="00FC1444">
              <w:rPr>
                <w:rFonts w:eastAsiaTheme="minorEastAsia"/>
                <w:kern w:val="0"/>
                <w:szCs w:val="21"/>
              </w:rPr>
              <w:t>）</w:t>
            </w:r>
          </w:p>
        </w:tc>
        <w:tc>
          <w:tcPr>
            <w:tcW w:w="590" w:type="pct"/>
            <w:vAlign w:val="center"/>
          </w:tcPr>
          <w:p w:rsidR="000B5B02" w:rsidRPr="00FC1444" w:rsidRDefault="000B5B02" w:rsidP="009F26BB">
            <w:pPr>
              <w:jc w:val="center"/>
              <w:rPr>
                <w:rFonts w:eastAsiaTheme="minorEastAsia"/>
                <w:kern w:val="0"/>
                <w:szCs w:val="21"/>
              </w:rPr>
            </w:pPr>
            <w:r w:rsidRPr="00FC1444">
              <w:rPr>
                <w:rFonts w:eastAsiaTheme="minorEastAsia"/>
                <w:bCs/>
                <w:kern w:val="0"/>
                <w:szCs w:val="21"/>
              </w:rPr>
              <w:t>入呼兰河</w:t>
            </w:r>
            <w:r w:rsidRPr="00FC1444">
              <w:rPr>
                <w:rFonts w:eastAsiaTheme="minorEastAsia"/>
                <w:kern w:val="0"/>
                <w:szCs w:val="21"/>
              </w:rPr>
              <w:t>退水口（</w:t>
            </w:r>
            <w:r w:rsidRPr="00FC1444">
              <w:rPr>
                <w:rFonts w:eastAsiaTheme="minorEastAsia" w:hint="eastAsia"/>
                <w:kern w:val="0"/>
                <w:szCs w:val="21"/>
              </w:rPr>
              <w:t>五营片区</w:t>
            </w:r>
            <w:r w:rsidRPr="00FC1444">
              <w:rPr>
                <w:rFonts w:eastAsiaTheme="minorEastAsia"/>
                <w:kern w:val="0"/>
                <w:szCs w:val="21"/>
              </w:rPr>
              <w:t>）</w:t>
            </w:r>
          </w:p>
        </w:tc>
        <w:tc>
          <w:tcPr>
            <w:tcW w:w="779" w:type="pct"/>
            <w:vAlign w:val="center"/>
          </w:tcPr>
          <w:p w:rsidR="000B5B02" w:rsidRPr="00FC1444" w:rsidRDefault="000B5B02" w:rsidP="009F26BB">
            <w:pPr>
              <w:jc w:val="center"/>
              <w:rPr>
                <w:rFonts w:eastAsiaTheme="minorEastAsia"/>
                <w:kern w:val="0"/>
                <w:szCs w:val="21"/>
              </w:rPr>
            </w:pPr>
            <w:r w:rsidRPr="00FC1444">
              <w:rPr>
                <w:rFonts w:eastAsiaTheme="minorEastAsia"/>
                <w:bCs/>
                <w:kern w:val="0"/>
                <w:szCs w:val="21"/>
              </w:rPr>
              <w:t>呼兰河</w:t>
            </w:r>
            <w:r w:rsidRPr="00FC1444">
              <w:rPr>
                <w:rFonts w:eastAsiaTheme="minorEastAsia"/>
                <w:kern w:val="0"/>
                <w:szCs w:val="21"/>
              </w:rPr>
              <w:t>合计退水量</w:t>
            </w:r>
          </w:p>
        </w:tc>
      </w:tr>
      <w:tr w:rsidR="00C91490" w:rsidRPr="00FC1444" w:rsidTr="000B5B02">
        <w:trPr>
          <w:trHeight w:val="468"/>
        </w:trPr>
        <w:tc>
          <w:tcPr>
            <w:tcW w:w="735" w:type="pct"/>
            <w:vAlign w:val="center"/>
          </w:tcPr>
          <w:p w:rsidR="00C91490" w:rsidRPr="00FC1444" w:rsidRDefault="00C91490" w:rsidP="009F26BB">
            <w:pPr>
              <w:jc w:val="center"/>
              <w:rPr>
                <w:rFonts w:eastAsiaTheme="minorEastAsia"/>
                <w:kern w:val="0"/>
                <w:szCs w:val="21"/>
              </w:rPr>
            </w:pPr>
            <w:r w:rsidRPr="00FC1444">
              <w:rPr>
                <w:rFonts w:eastAsiaTheme="minorEastAsia"/>
                <w:kern w:val="0"/>
                <w:szCs w:val="21"/>
              </w:rPr>
              <w:t>建成前</w:t>
            </w:r>
          </w:p>
        </w:tc>
        <w:tc>
          <w:tcPr>
            <w:tcW w:w="524" w:type="pct"/>
            <w:vAlign w:val="center"/>
          </w:tcPr>
          <w:p w:rsidR="00C91490" w:rsidRPr="00FC1444" w:rsidRDefault="00C91490">
            <w:pPr>
              <w:jc w:val="center"/>
              <w:rPr>
                <w:color w:val="000000"/>
                <w:szCs w:val="21"/>
              </w:rPr>
            </w:pPr>
            <w:r w:rsidRPr="00FC1444">
              <w:rPr>
                <w:color w:val="000000"/>
                <w:szCs w:val="21"/>
              </w:rPr>
              <w:t>6274.6</w:t>
            </w:r>
          </w:p>
        </w:tc>
        <w:tc>
          <w:tcPr>
            <w:tcW w:w="543" w:type="pct"/>
            <w:vAlign w:val="center"/>
          </w:tcPr>
          <w:p w:rsidR="00C91490" w:rsidRPr="00FC1444" w:rsidRDefault="00C91490">
            <w:pPr>
              <w:jc w:val="center"/>
              <w:rPr>
                <w:szCs w:val="21"/>
              </w:rPr>
            </w:pPr>
            <w:r w:rsidRPr="00FC1444">
              <w:rPr>
                <w:szCs w:val="21"/>
              </w:rPr>
              <w:t>1255</w:t>
            </w:r>
          </w:p>
        </w:tc>
        <w:tc>
          <w:tcPr>
            <w:tcW w:w="655" w:type="pct"/>
            <w:vAlign w:val="center"/>
          </w:tcPr>
          <w:p w:rsidR="00C91490" w:rsidRPr="00FC1444" w:rsidRDefault="00C91490">
            <w:pPr>
              <w:jc w:val="center"/>
              <w:rPr>
                <w:color w:val="000000"/>
                <w:szCs w:val="21"/>
              </w:rPr>
            </w:pPr>
            <w:r w:rsidRPr="00FC1444">
              <w:rPr>
                <w:color w:val="000000"/>
                <w:szCs w:val="21"/>
              </w:rPr>
              <w:t xml:space="preserve">210.8 </w:t>
            </w:r>
          </w:p>
        </w:tc>
        <w:tc>
          <w:tcPr>
            <w:tcW w:w="587" w:type="pct"/>
            <w:vAlign w:val="center"/>
          </w:tcPr>
          <w:p w:rsidR="00C91490" w:rsidRPr="00FC1444" w:rsidRDefault="00C91490">
            <w:pPr>
              <w:jc w:val="center"/>
              <w:rPr>
                <w:color w:val="000000"/>
                <w:szCs w:val="21"/>
              </w:rPr>
            </w:pPr>
            <w:r w:rsidRPr="00FC1444">
              <w:rPr>
                <w:color w:val="000000"/>
                <w:szCs w:val="21"/>
              </w:rPr>
              <w:t xml:space="preserve">287.4 </w:t>
            </w:r>
          </w:p>
        </w:tc>
        <w:tc>
          <w:tcPr>
            <w:tcW w:w="587" w:type="pct"/>
            <w:vAlign w:val="center"/>
          </w:tcPr>
          <w:p w:rsidR="00C91490" w:rsidRPr="00FC1444" w:rsidRDefault="00C91490">
            <w:pPr>
              <w:jc w:val="center"/>
              <w:rPr>
                <w:color w:val="000000"/>
                <w:szCs w:val="21"/>
              </w:rPr>
            </w:pPr>
            <w:r w:rsidRPr="00FC1444">
              <w:rPr>
                <w:color w:val="000000"/>
                <w:szCs w:val="21"/>
              </w:rPr>
              <w:t xml:space="preserve">82.8 </w:t>
            </w:r>
          </w:p>
        </w:tc>
        <w:tc>
          <w:tcPr>
            <w:tcW w:w="590" w:type="pct"/>
            <w:vAlign w:val="center"/>
          </w:tcPr>
          <w:p w:rsidR="00C91490" w:rsidRPr="00FC1444" w:rsidRDefault="00C91490">
            <w:pPr>
              <w:jc w:val="center"/>
              <w:rPr>
                <w:color w:val="000000"/>
                <w:szCs w:val="21"/>
              </w:rPr>
            </w:pPr>
            <w:r w:rsidRPr="00FC1444">
              <w:rPr>
                <w:color w:val="000000"/>
                <w:szCs w:val="21"/>
              </w:rPr>
              <w:t xml:space="preserve">673.9 </w:t>
            </w:r>
          </w:p>
        </w:tc>
        <w:tc>
          <w:tcPr>
            <w:tcW w:w="779" w:type="pct"/>
            <w:vAlign w:val="center"/>
          </w:tcPr>
          <w:p w:rsidR="00C91490" w:rsidRPr="00FC1444" w:rsidRDefault="00C91490" w:rsidP="00C91490">
            <w:pPr>
              <w:jc w:val="center"/>
              <w:rPr>
                <w:color w:val="000000"/>
                <w:szCs w:val="21"/>
              </w:rPr>
            </w:pPr>
            <w:r w:rsidRPr="00FC1444">
              <w:rPr>
                <w:rFonts w:hint="eastAsia"/>
                <w:color w:val="000000"/>
                <w:szCs w:val="21"/>
              </w:rPr>
              <w:t>756.8</w:t>
            </w:r>
          </w:p>
        </w:tc>
      </w:tr>
      <w:tr w:rsidR="00C91490" w:rsidRPr="00FC1444" w:rsidTr="000B5B02">
        <w:trPr>
          <w:trHeight w:val="515"/>
        </w:trPr>
        <w:tc>
          <w:tcPr>
            <w:tcW w:w="735" w:type="pct"/>
            <w:vAlign w:val="center"/>
          </w:tcPr>
          <w:p w:rsidR="00C91490" w:rsidRPr="00FC1444" w:rsidRDefault="00C91490" w:rsidP="009F26BB">
            <w:pPr>
              <w:jc w:val="center"/>
              <w:rPr>
                <w:rFonts w:eastAsiaTheme="minorEastAsia"/>
                <w:kern w:val="0"/>
                <w:szCs w:val="21"/>
              </w:rPr>
            </w:pPr>
            <w:r w:rsidRPr="00FC1444">
              <w:rPr>
                <w:rFonts w:eastAsiaTheme="minorEastAsia"/>
                <w:kern w:val="0"/>
                <w:szCs w:val="21"/>
              </w:rPr>
              <w:t>建成后</w:t>
            </w:r>
          </w:p>
        </w:tc>
        <w:tc>
          <w:tcPr>
            <w:tcW w:w="524" w:type="pct"/>
            <w:vAlign w:val="center"/>
          </w:tcPr>
          <w:p w:rsidR="00C91490" w:rsidRPr="00FC1444" w:rsidRDefault="00C91490">
            <w:pPr>
              <w:jc w:val="center"/>
              <w:rPr>
                <w:color w:val="000000"/>
                <w:szCs w:val="21"/>
              </w:rPr>
            </w:pPr>
            <w:r w:rsidRPr="00FC1444">
              <w:rPr>
                <w:color w:val="000000"/>
                <w:szCs w:val="21"/>
              </w:rPr>
              <w:t>5496</w:t>
            </w:r>
          </w:p>
        </w:tc>
        <w:tc>
          <w:tcPr>
            <w:tcW w:w="543" w:type="pct"/>
            <w:vAlign w:val="center"/>
          </w:tcPr>
          <w:p w:rsidR="00C91490" w:rsidRPr="00FC1444" w:rsidRDefault="00C91490">
            <w:pPr>
              <w:jc w:val="center"/>
              <w:rPr>
                <w:szCs w:val="21"/>
              </w:rPr>
            </w:pPr>
            <w:r w:rsidRPr="00FC1444">
              <w:rPr>
                <w:szCs w:val="21"/>
              </w:rPr>
              <w:t>824</w:t>
            </w:r>
          </w:p>
        </w:tc>
        <w:tc>
          <w:tcPr>
            <w:tcW w:w="655" w:type="pct"/>
            <w:vAlign w:val="center"/>
          </w:tcPr>
          <w:p w:rsidR="00C91490" w:rsidRPr="00FC1444" w:rsidRDefault="00C91490">
            <w:pPr>
              <w:jc w:val="center"/>
              <w:rPr>
                <w:color w:val="000000"/>
                <w:szCs w:val="21"/>
              </w:rPr>
            </w:pPr>
            <w:r w:rsidRPr="00FC1444">
              <w:rPr>
                <w:color w:val="000000"/>
                <w:szCs w:val="21"/>
              </w:rPr>
              <w:t xml:space="preserve">138.4 </w:t>
            </w:r>
          </w:p>
        </w:tc>
        <w:tc>
          <w:tcPr>
            <w:tcW w:w="587" w:type="pct"/>
            <w:vAlign w:val="center"/>
          </w:tcPr>
          <w:p w:rsidR="00C91490" w:rsidRPr="00FC1444" w:rsidRDefault="00C91490">
            <w:pPr>
              <w:jc w:val="center"/>
              <w:rPr>
                <w:color w:val="000000"/>
                <w:szCs w:val="21"/>
              </w:rPr>
            </w:pPr>
            <w:r w:rsidRPr="00FC1444">
              <w:rPr>
                <w:color w:val="000000"/>
                <w:szCs w:val="21"/>
              </w:rPr>
              <w:t xml:space="preserve">188.7 </w:t>
            </w:r>
          </w:p>
        </w:tc>
        <w:tc>
          <w:tcPr>
            <w:tcW w:w="587" w:type="pct"/>
            <w:vAlign w:val="center"/>
          </w:tcPr>
          <w:p w:rsidR="00C91490" w:rsidRPr="00FC1444" w:rsidRDefault="00C91490">
            <w:pPr>
              <w:jc w:val="center"/>
              <w:rPr>
                <w:color w:val="000000"/>
                <w:szCs w:val="21"/>
              </w:rPr>
            </w:pPr>
            <w:r w:rsidRPr="00FC1444">
              <w:rPr>
                <w:color w:val="000000"/>
                <w:szCs w:val="21"/>
              </w:rPr>
              <w:t xml:space="preserve">54.4 </w:t>
            </w:r>
          </w:p>
        </w:tc>
        <w:tc>
          <w:tcPr>
            <w:tcW w:w="590" w:type="pct"/>
            <w:vAlign w:val="center"/>
          </w:tcPr>
          <w:p w:rsidR="00C91490" w:rsidRPr="00FC1444" w:rsidRDefault="00C91490">
            <w:pPr>
              <w:jc w:val="center"/>
              <w:rPr>
                <w:color w:val="000000"/>
                <w:szCs w:val="21"/>
              </w:rPr>
            </w:pPr>
            <w:r w:rsidRPr="00FC1444">
              <w:rPr>
                <w:color w:val="000000"/>
                <w:szCs w:val="21"/>
              </w:rPr>
              <w:t xml:space="preserve">442.5 </w:t>
            </w:r>
          </w:p>
        </w:tc>
        <w:tc>
          <w:tcPr>
            <w:tcW w:w="779" w:type="pct"/>
            <w:vAlign w:val="center"/>
          </w:tcPr>
          <w:p w:rsidR="00C91490" w:rsidRPr="00FC1444" w:rsidRDefault="00C91490" w:rsidP="00C91490">
            <w:pPr>
              <w:jc w:val="center"/>
              <w:rPr>
                <w:color w:val="000000"/>
                <w:szCs w:val="21"/>
              </w:rPr>
            </w:pPr>
            <w:r w:rsidRPr="00FC1444">
              <w:rPr>
                <w:rFonts w:hint="eastAsia"/>
                <w:color w:val="000000"/>
                <w:szCs w:val="21"/>
              </w:rPr>
              <w:t>496.9</w:t>
            </w:r>
          </w:p>
        </w:tc>
      </w:tr>
      <w:tr w:rsidR="000B5B02" w:rsidRPr="00FC1444" w:rsidTr="000B5B02">
        <w:trPr>
          <w:trHeight w:val="528"/>
        </w:trPr>
        <w:tc>
          <w:tcPr>
            <w:tcW w:w="735" w:type="pct"/>
            <w:vAlign w:val="center"/>
          </w:tcPr>
          <w:p w:rsidR="000B5B02" w:rsidRPr="00FC1444" w:rsidRDefault="000B5B02" w:rsidP="009F26BB">
            <w:pPr>
              <w:jc w:val="center"/>
              <w:rPr>
                <w:rFonts w:eastAsiaTheme="minorEastAsia"/>
                <w:kern w:val="0"/>
                <w:szCs w:val="21"/>
              </w:rPr>
            </w:pPr>
            <w:r w:rsidRPr="00FC1444">
              <w:rPr>
                <w:rFonts w:eastAsiaTheme="minorEastAsia"/>
                <w:kern w:val="0"/>
                <w:szCs w:val="21"/>
              </w:rPr>
              <w:t>变化量</w:t>
            </w:r>
          </w:p>
        </w:tc>
        <w:tc>
          <w:tcPr>
            <w:tcW w:w="524" w:type="pct"/>
            <w:vAlign w:val="center"/>
          </w:tcPr>
          <w:p w:rsidR="000B5B02" w:rsidRPr="00FC1444" w:rsidRDefault="000B5B02" w:rsidP="00F760F0">
            <w:pPr>
              <w:jc w:val="center"/>
              <w:rPr>
                <w:szCs w:val="21"/>
              </w:rPr>
            </w:pPr>
            <w:r w:rsidRPr="00FC1444">
              <w:rPr>
                <w:rFonts w:hint="eastAsia"/>
                <w:szCs w:val="21"/>
              </w:rPr>
              <w:t>-</w:t>
            </w:r>
            <w:r w:rsidR="00880037" w:rsidRPr="00FC1444">
              <w:rPr>
                <w:rFonts w:hint="eastAsia"/>
                <w:szCs w:val="21"/>
              </w:rPr>
              <w:t>778.6</w:t>
            </w:r>
          </w:p>
        </w:tc>
        <w:tc>
          <w:tcPr>
            <w:tcW w:w="543" w:type="pct"/>
            <w:vAlign w:val="center"/>
          </w:tcPr>
          <w:p w:rsidR="000B5B02" w:rsidRPr="00FC1444" w:rsidRDefault="000B5B02" w:rsidP="00F760F0">
            <w:pPr>
              <w:jc w:val="center"/>
              <w:rPr>
                <w:szCs w:val="21"/>
              </w:rPr>
            </w:pPr>
            <w:r w:rsidRPr="00FC1444">
              <w:rPr>
                <w:rFonts w:hint="eastAsia"/>
                <w:szCs w:val="21"/>
              </w:rPr>
              <w:t>-</w:t>
            </w:r>
            <w:r w:rsidR="00880037" w:rsidRPr="00FC1444">
              <w:rPr>
                <w:rFonts w:hint="eastAsia"/>
                <w:szCs w:val="21"/>
              </w:rPr>
              <w:t>431</w:t>
            </w:r>
          </w:p>
        </w:tc>
        <w:tc>
          <w:tcPr>
            <w:tcW w:w="655" w:type="pct"/>
            <w:vAlign w:val="center"/>
          </w:tcPr>
          <w:p w:rsidR="000B5B02" w:rsidRPr="00FC1444" w:rsidRDefault="000B5B02" w:rsidP="00A246B1">
            <w:pPr>
              <w:jc w:val="center"/>
              <w:rPr>
                <w:rFonts w:eastAsiaTheme="minorEastAsia"/>
                <w:kern w:val="0"/>
                <w:szCs w:val="21"/>
              </w:rPr>
            </w:pPr>
            <w:r w:rsidRPr="00FC1444">
              <w:rPr>
                <w:rFonts w:eastAsiaTheme="minorEastAsia" w:hint="eastAsia"/>
                <w:kern w:val="0"/>
                <w:szCs w:val="21"/>
              </w:rPr>
              <w:t>-</w:t>
            </w:r>
            <w:r w:rsidR="00C91490" w:rsidRPr="00FC1444">
              <w:rPr>
                <w:rFonts w:eastAsiaTheme="minorEastAsia" w:hint="eastAsia"/>
                <w:kern w:val="0"/>
                <w:szCs w:val="21"/>
              </w:rPr>
              <w:t>72.4</w:t>
            </w:r>
          </w:p>
        </w:tc>
        <w:tc>
          <w:tcPr>
            <w:tcW w:w="587" w:type="pct"/>
            <w:vAlign w:val="center"/>
          </w:tcPr>
          <w:p w:rsidR="000B5B02" w:rsidRPr="00FC1444" w:rsidRDefault="000B5B02" w:rsidP="00A246B1">
            <w:pPr>
              <w:jc w:val="center"/>
              <w:rPr>
                <w:rFonts w:eastAsiaTheme="minorEastAsia"/>
                <w:kern w:val="0"/>
                <w:szCs w:val="21"/>
              </w:rPr>
            </w:pPr>
            <w:r w:rsidRPr="00FC1444">
              <w:rPr>
                <w:rFonts w:eastAsiaTheme="minorEastAsia" w:hint="eastAsia"/>
                <w:kern w:val="0"/>
                <w:szCs w:val="21"/>
              </w:rPr>
              <w:t>-</w:t>
            </w:r>
            <w:r w:rsidR="00C91490" w:rsidRPr="00FC1444">
              <w:rPr>
                <w:rFonts w:eastAsiaTheme="minorEastAsia" w:hint="eastAsia"/>
                <w:kern w:val="0"/>
                <w:szCs w:val="21"/>
              </w:rPr>
              <w:t>98.7</w:t>
            </w:r>
          </w:p>
        </w:tc>
        <w:tc>
          <w:tcPr>
            <w:tcW w:w="587" w:type="pct"/>
            <w:vAlign w:val="center"/>
          </w:tcPr>
          <w:p w:rsidR="000B5B02" w:rsidRPr="00FC1444" w:rsidRDefault="000B5B02" w:rsidP="00A246B1">
            <w:pPr>
              <w:jc w:val="center"/>
              <w:rPr>
                <w:rFonts w:eastAsiaTheme="minorEastAsia"/>
                <w:kern w:val="0"/>
                <w:szCs w:val="21"/>
              </w:rPr>
            </w:pPr>
            <w:r w:rsidRPr="00FC1444">
              <w:rPr>
                <w:rFonts w:eastAsiaTheme="minorEastAsia" w:hint="eastAsia"/>
                <w:kern w:val="0"/>
                <w:szCs w:val="21"/>
              </w:rPr>
              <w:t>-</w:t>
            </w:r>
            <w:r w:rsidR="00C91490" w:rsidRPr="00FC1444">
              <w:rPr>
                <w:rFonts w:eastAsiaTheme="minorEastAsia" w:hint="eastAsia"/>
                <w:kern w:val="0"/>
                <w:szCs w:val="21"/>
              </w:rPr>
              <w:t>28.4</w:t>
            </w:r>
          </w:p>
        </w:tc>
        <w:tc>
          <w:tcPr>
            <w:tcW w:w="590" w:type="pct"/>
            <w:vAlign w:val="center"/>
          </w:tcPr>
          <w:p w:rsidR="000B5B02" w:rsidRPr="00FC1444" w:rsidRDefault="000B5B02" w:rsidP="00F760F0">
            <w:pPr>
              <w:jc w:val="center"/>
              <w:rPr>
                <w:rFonts w:eastAsiaTheme="minorEastAsia"/>
                <w:kern w:val="0"/>
                <w:szCs w:val="21"/>
              </w:rPr>
            </w:pPr>
            <w:r w:rsidRPr="00FC1444">
              <w:rPr>
                <w:rFonts w:eastAsiaTheme="minorEastAsia" w:hint="eastAsia"/>
                <w:kern w:val="0"/>
                <w:szCs w:val="21"/>
              </w:rPr>
              <w:t>-</w:t>
            </w:r>
            <w:r w:rsidR="00C91490" w:rsidRPr="00FC1444">
              <w:rPr>
                <w:rFonts w:eastAsiaTheme="minorEastAsia" w:hint="eastAsia"/>
                <w:kern w:val="0"/>
                <w:szCs w:val="21"/>
              </w:rPr>
              <w:t>231.4</w:t>
            </w:r>
          </w:p>
        </w:tc>
        <w:tc>
          <w:tcPr>
            <w:tcW w:w="779" w:type="pct"/>
            <w:vAlign w:val="center"/>
          </w:tcPr>
          <w:p w:rsidR="000B5B02" w:rsidRPr="00FC1444" w:rsidRDefault="000B5B02" w:rsidP="009F26BB">
            <w:pPr>
              <w:jc w:val="center"/>
              <w:rPr>
                <w:rFonts w:eastAsiaTheme="minorEastAsia"/>
                <w:kern w:val="0"/>
                <w:szCs w:val="21"/>
              </w:rPr>
            </w:pPr>
            <w:r w:rsidRPr="00FC1444">
              <w:rPr>
                <w:rFonts w:eastAsiaTheme="minorEastAsia" w:hint="eastAsia"/>
                <w:kern w:val="0"/>
                <w:szCs w:val="21"/>
              </w:rPr>
              <w:t>-</w:t>
            </w:r>
            <w:r w:rsidR="00C91490" w:rsidRPr="00FC1444">
              <w:rPr>
                <w:rFonts w:eastAsiaTheme="minorEastAsia" w:hint="eastAsia"/>
                <w:kern w:val="0"/>
                <w:szCs w:val="21"/>
              </w:rPr>
              <w:t>259.9</w:t>
            </w:r>
          </w:p>
        </w:tc>
      </w:tr>
    </w:tbl>
    <w:p w:rsidR="002A5A5E" w:rsidRPr="00FC1444" w:rsidRDefault="00611CBA">
      <w:pPr>
        <w:pStyle w:val="aff4"/>
        <w:rPr>
          <w:rFonts w:ascii="Times New Roman" w:hAnsi="Times New Roman" w:cs="Times New Roman"/>
          <w:bCs/>
          <w:snapToGrid w:val="0"/>
        </w:rPr>
      </w:pPr>
      <w:r w:rsidRPr="00FC1444">
        <w:rPr>
          <w:rFonts w:ascii="Times New Roman" w:hAnsi="Times New Roman" w:cs="Times New Roman"/>
          <w:bCs/>
          <w:snapToGrid w:val="0"/>
        </w:rPr>
        <w:t>参考《黑龙江省五常市龙凤山灌区</w:t>
      </w:r>
      <w:r w:rsidRPr="00FC1444">
        <w:rPr>
          <w:rFonts w:ascii="Times New Roman" w:hAnsi="Times New Roman" w:cs="Times New Roman"/>
          <w:bCs/>
          <w:snapToGrid w:val="0"/>
        </w:rPr>
        <w:t>“</w:t>
      </w:r>
      <w:r w:rsidRPr="00FC1444">
        <w:rPr>
          <w:rFonts w:ascii="Times New Roman" w:hAnsi="Times New Roman" w:cs="Times New Roman"/>
          <w:bCs/>
          <w:snapToGrid w:val="0"/>
        </w:rPr>
        <w:t>十四五</w:t>
      </w:r>
      <w:r w:rsidRPr="00FC1444">
        <w:rPr>
          <w:rFonts w:ascii="Times New Roman" w:hAnsi="Times New Roman" w:cs="Times New Roman"/>
          <w:bCs/>
          <w:snapToGrid w:val="0"/>
        </w:rPr>
        <w:t>”</w:t>
      </w:r>
      <w:r w:rsidRPr="00FC1444">
        <w:rPr>
          <w:rFonts w:ascii="Times New Roman" w:hAnsi="Times New Roman" w:cs="Times New Roman"/>
          <w:bCs/>
          <w:snapToGrid w:val="0"/>
        </w:rPr>
        <w:t>续建配套与现代化改造项目（</w:t>
      </w:r>
      <w:r w:rsidRPr="00FC1444">
        <w:rPr>
          <w:rFonts w:ascii="Times New Roman" w:hAnsi="Times New Roman" w:cs="Times New Roman"/>
          <w:bCs/>
          <w:snapToGrid w:val="0"/>
        </w:rPr>
        <w:t>2022-2025</w:t>
      </w:r>
      <w:r w:rsidRPr="00FC1444">
        <w:rPr>
          <w:rFonts w:ascii="Times New Roman" w:hAnsi="Times New Roman" w:cs="Times New Roman"/>
          <w:bCs/>
          <w:snapToGrid w:val="0"/>
        </w:rPr>
        <w:t>年度）环境影响报告书》中于</w:t>
      </w:r>
      <w:r w:rsidRPr="00FC1444">
        <w:rPr>
          <w:rFonts w:ascii="Times New Roman" w:hAnsi="Times New Roman" w:cs="Times New Roman"/>
          <w:bCs/>
          <w:snapToGrid w:val="0"/>
        </w:rPr>
        <w:t>2024</w:t>
      </w:r>
      <w:r w:rsidRPr="00FC1444">
        <w:rPr>
          <w:rFonts w:ascii="Times New Roman" w:hAnsi="Times New Roman" w:cs="Times New Roman"/>
          <w:bCs/>
          <w:snapToGrid w:val="0"/>
        </w:rPr>
        <w:t>年对</w:t>
      </w:r>
      <w:r w:rsidR="00D6722A" w:rsidRPr="00FC1444">
        <w:rPr>
          <w:rFonts w:ascii="Times New Roman" w:hAnsi="Times New Roman" w:cs="Times New Roman"/>
          <w:bCs/>
          <w:snapToGrid w:val="0"/>
        </w:rPr>
        <w:t>该</w:t>
      </w:r>
      <w:r w:rsidRPr="00FC1444">
        <w:rPr>
          <w:rFonts w:ascii="Times New Roman" w:hAnsi="Times New Roman" w:cs="Times New Roman"/>
          <w:bCs/>
          <w:snapToGrid w:val="0"/>
        </w:rPr>
        <w:t>项目退水期间的水质监测资料，</w:t>
      </w:r>
      <w:r w:rsidRPr="00FC1444">
        <w:rPr>
          <w:rFonts w:ascii="Times New Roman" w:hAnsi="Times New Roman" w:cs="Times New Roman"/>
          <w:bCs/>
          <w:snapToGrid w:val="0"/>
        </w:rPr>
        <w:t>COD</w:t>
      </w:r>
      <w:r w:rsidRPr="00FC1444">
        <w:rPr>
          <w:rFonts w:ascii="Times New Roman" w:hAnsi="Times New Roman" w:cs="Times New Roman"/>
          <w:bCs/>
          <w:snapToGrid w:val="0"/>
        </w:rPr>
        <w:t>和氨氮排水浓度分别为</w:t>
      </w:r>
      <w:r w:rsidRPr="00FC1444">
        <w:rPr>
          <w:rFonts w:ascii="Times New Roman" w:hAnsi="Times New Roman" w:cs="Times New Roman"/>
          <w:bCs/>
          <w:snapToGrid w:val="0"/>
        </w:rPr>
        <w:t>52.7mg/L</w:t>
      </w:r>
      <w:r w:rsidRPr="00FC1444">
        <w:rPr>
          <w:rFonts w:ascii="Times New Roman" w:hAnsi="Times New Roman" w:cs="Times New Roman"/>
          <w:bCs/>
          <w:snapToGrid w:val="0"/>
        </w:rPr>
        <w:t>和</w:t>
      </w:r>
      <w:r w:rsidRPr="00FC1444">
        <w:rPr>
          <w:rFonts w:ascii="Times New Roman" w:hAnsi="Times New Roman" w:cs="Times New Roman"/>
          <w:bCs/>
          <w:snapToGrid w:val="0"/>
        </w:rPr>
        <w:t>1.26mg/L</w:t>
      </w:r>
      <w:r w:rsidRPr="00FC1444">
        <w:rPr>
          <w:rFonts w:ascii="Times New Roman" w:hAnsi="Times New Roman" w:cs="Times New Roman"/>
          <w:bCs/>
          <w:snapToGrid w:val="0"/>
        </w:rPr>
        <w:t>。参考哈尔滨市呼兰生态环境局于</w:t>
      </w:r>
      <w:r w:rsidRPr="00FC1444">
        <w:rPr>
          <w:rFonts w:ascii="Times New Roman" w:hAnsi="Times New Roman" w:cs="Times New Roman"/>
          <w:bCs/>
          <w:snapToGrid w:val="0"/>
        </w:rPr>
        <w:t>2025</w:t>
      </w:r>
      <w:r w:rsidRPr="00FC1444">
        <w:rPr>
          <w:rFonts w:ascii="Times New Roman" w:hAnsi="Times New Roman" w:cs="Times New Roman"/>
          <w:bCs/>
          <w:snapToGrid w:val="0"/>
        </w:rPr>
        <w:t>年</w:t>
      </w:r>
      <w:r w:rsidRPr="00FC1444">
        <w:rPr>
          <w:rFonts w:ascii="Times New Roman" w:hAnsi="Times New Roman" w:cs="Times New Roman"/>
          <w:bCs/>
          <w:snapToGrid w:val="0"/>
        </w:rPr>
        <w:t>7</w:t>
      </w:r>
      <w:r w:rsidRPr="00FC1444">
        <w:rPr>
          <w:rFonts w:ascii="Times New Roman" w:hAnsi="Times New Roman" w:cs="Times New Roman"/>
          <w:bCs/>
          <w:snapToGrid w:val="0"/>
        </w:rPr>
        <w:t>月对</w:t>
      </w:r>
      <w:r w:rsidR="001261AE" w:rsidRPr="00FC1444">
        <w:rPr>
          <w:rFonts w:ascii="Times New Roman" w:hAnsi="Times New Roman" w:cs="Times New Roman" w:hint="eastAsia"/>
          <w:bCs/>
          <w:snapToGrid w:val="0"/>
        </w:rPr>
        <w:t>区域</w:t>
      </w:r>
      <w:r w:rsidRPr="00FC1444">
        <w:rPr>
          <w:rFonts w:ascii="Times New Roman" w:hAnsi="Times New Roman" w:cs="Times New Roman"/>
          <w:bCs/>
          <w:snapToGrid w:val="0"/>
        </w:rPr>
        <w:t>孟家乡六排干河口内退水期间的水质监测资料，</w:t>
      </w:r>
      <w:r w:rsidRPr="00FC1444">
        <w:rPr>
          <w:rFonts w:ascii="Times New Roman" w:hAnsi="Times New Roman" w:cs="Times New Roman"/>
          <w:bCs/>
          <w:snapToGrid w:val="0"/>
        </w:rPr>
        <w:lastRenderedPageBreak/>
        <w:t>总磷排水浓度为</w:t>
      </w:r>
      <w:r w:rsidRPr="00FC1444">
        <w:rPr>
          <w:rFonts w:ascii="Times New Roman" w:hAnsi="Times New Roman" w:cs="Times New Roman"/>
          <w:bCs/>
          <w:snapToGrid w:val="0"/>
        </w:rPr>
        <w:t>1.84mg/L</w:t>
      </w:r>
      <w:r w:rsidR="00CA6EC1" w:rsidRPr="00FC1444">
        <w:rPr>
          <w:rFonts w:ascii="Times New Roman" w:hAnsi="Times New Roman" w:cs="Times New Roman"/>
          <w:bCs/>
          <w:snapToGrid w:val="0"/>
        </w:rPr>
        <w:t>，总氮排水浓度为</w:t>
      </w:r>
      <w:r w:rsidR="001617CC" w:rsidRPr="00FC1444">
        <w:rPr>
          <w:rFonts w:ascii="Times New Roman" w:hAnsi="Times New Roman" w:cs="Times New Roman"/>
          <w:bCs/>
          <w:snapToGrid w:val="0"/>
        </w:rPr>
        <w:t>4.2</w:t>
      </w:r>
      <w:r w:rsidR="00CA6EC1" w:rsidRPr="00FC1444">
        <w:rPr>
          <w:rFonts w:ascii="Times New Roman" w:hAnsi="Times New Roman" w:cs="Times New Roman"/>
          <w:bCs/>
          <w:snapToGrid w:val="0"/>
        </w:rPr>
        <w:t>mg/L</w:t>
      </w:r>
      <w:r w:rsidRPr="00FC1444">
        <w:rPr>
          <w:rFonts w:ascii="Times New Roman" w:hAnsi="Times New Roman" w:cs="Times New Roman"/>
          <w:bCs/>
          <w:snapToGrid w:val="0"/>
        </w:rPr>
        <w:t>。计算本项目</w:t>
      </w:r>
      <w:r w:rsidRPr="00FC1444">
        <w:rPr>
          <w:rFonts w:ascii="Times New Roman" w:hAnsi="Times New Roman" w:cs="Times New Roman"/>
          <w:szCs w:val="21"/>
        </w:rPr>
        <w:t>主要污染物入河量变化情况。</w:t>
      </w:r>
    </w:p>
    <w:p w:rsidR="002A5A5E" w:rsidRPr="00FC1444" w:rsidRDefault="00611CBA">
      <w:pPr>
        <w:contextualSpacing/>
        <w:jc w:val="center"/>
        <w:rPr>
          <w:rFonts w:eastAsiaTheme="minorEastAsia"/>
          <w:b/>
          <w:szCs w:val="21"/>
        </w:rPr>
      </w:pPr>
      <w:r w:rsidRPr="00FC1444">
        <w:rPr>
          <w:rFonts w:eastAsiaTheme="minorEastAsia"/>
          <w:b/>
          <w:szCs w:val="21"/>
        </w:rPr>
        <w:t>表</w:t>
      </w:r>
      <w:r w:rsidRPr="00FC1444">
        <w:rPr>
          <w:rFonts w:eastAsiaTheme="minorEastAsia"/>
          <w:b/>
          <w:szCs w:val="21"/>
        </w:rPr>
        <w:t>3-3-5</w:t>
      </w:r>
      <w:r w:rsidRPr="00FC1444">
        <w:rPr>
          <w:rFonts w:eastAsiaTheme="minorEastAsia"/>
          <w:b/>
          <w:szCs w:val="21"/>
        </w:rPr>
        <w:t>不同河流主要污染物入河量变化情况</w:t>
      </w:r>
      <w:r w:rsidRPr="00FC1444">
        <w:rPr>
          <w:rFonts w:eastAsiaTheme="minorEastAsia"/>
          <w:b/>
          <w:szCs w:val="21"/>
        </w:rPr>
        <w:t xml:space="preserve">    </w:t>
      </w:r>
      <w:r w:rsidRPr="00FC1444">
        <w:rPr>
          <w:rFonts w:eastAsiaTheme="minorEastAsia"/>
          <w:b/>
          <w:szCs w:val="21"/>
        </w:rPr>
        <w:t>单位：</w:t>
      </w:r>
      <w:r w:rsidRPr="00FC1444">
        <w:rPr>
          <w:rFonts w:eastAsiaTheme="minorEastAsia"/>
          <w:b/>
          <w:szCs w:val="21"/>
        </w:rPr>
        <w:t>t/a</w:t>
      </w:r>
    </w:p>
    <w:tbl>
      <w:tblPr>
        <w:tblW w:w="5000" w:type="pct"/>
        <w:jc w:val="center"/>
        <w:tblLook w:val="04A0"/>
      </w:tblPr>
      <w:tblGrid>
        <w:gridCol w:w="803"/>
        <w:gridCol w:w="694"/>
        <w:gridCol w:w="621"/>
        <w:gridCol w:w="621"/>
        <w:gridCol w:w="621"/>
        <w:gridCol w:w="694"/>
        <w:gridCol w:w="621"/>
        <w:gridCol w:w="621"/>
        <w:gridCol w:w="621"/>
        <w:gridCol w:w="743"/>
        <w:gridCol w:w="596"/>
        <w:gridCol w:w="596"/>
        <w:gridCol w:w="670"/>
      </w:tblGrid>
      <w:tr w:rsidR="004C526E" w:rsidRPr="00FC1444" w:rsidTr="00C341EA">
        <w:trPr>
          <w:trHeight w:val="280"/>
          <w:tblHeader/>
          <w:jc w:val="center"/>
        </w:trPr>
        <w:tc>
          <w:tcPr>
            <w:tcW w:w="531" w:type="pct"/>
            <w:vMerge w:val="restart"/>
            <w:tcBorders>
              <w:top w:val="single" w:sz="12" w:space="0" w:color="auto"/>
              <w:left w:val="nil"/>
              <w:bottom w:val="single" w:sz="4" w:space="0" w:color="auto"/>
              <w:right w:val="single" w:sz="4" w:space="0" w:color="auto"/>
            </w:tcBorders>
            <w:noWrap/>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排入河流</w:t>
            </w:r>
          </w:p>
        </w:tc>
        <w:tc>
          <w:tcPr>
            <w:tcW w:w="1672" w:type="pct"/>
            <w:gridSpan w:val="4"/>
            <w:tcBorders>
              <w:top w:val="single" w:sz="12" w:space="0" w:color="auto"/>
              <w:left w:val="single" w:sz="4" w:space="0" w:color="auto"/>
              <w:bottom w:val="single" w:sz="4" w:space="0" w:color="auto"/>
              <w:right w:val="single" w:sz="4" w:space="0" w:color="auto"/>
            </w:tcBorders>
            <w:noWrap/>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建成前</w:t>
            </w:r>
          </w:p>
        </w:tc>
        <w:tc>
          <w:tcPr>
            <w:tcW w:w="1672" w:type="pct"/>
            <w:gridSpan w:val="4"/>
            <w:tcBorders>
              <w:top w:val="single" w:sz="12" w:space="0" w:color="auto"/>
              <w:left w:val="single" w:sz="4" w:space="0" w:color="auto"/>
              <w:bottom w:val="single" w:sz="4" w:space="0" w:color="auto"/>
              <w:right w:val="single" w:sz="4" w:space="0" w:color="auto"/>
            </w:tcBorders>
            <w:noWrap/>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建成后</w:t>
            </w:r>
          </w:p>
        </w:tc>
        <w:tc>
          <w:tcPr>
            <w:tcW w:w="1125" w:type="pct"/>
            <w:gridSpan w:val="4"/>
            <w:tcBorders>
              <w:top w:val="single" w:sz="12" w:space="0" w:color="auto"/>
              <w:left w:val="single" w:sz="4" w:space="0" w:color="auto"/>
              <w:bottom w:val="single" w:sz="4" w:space="0" w:color="auto"/>
              <w:right w:val="nil"/>
            </w:tcBorders>
            <w:noWrap/>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变化情况</w:t>
            </w:r>
          </w:p>
        </w:tc>
      </w:tr>
      <w:tr w:rsidR="00C341EA" w:rsidRPr="00FC1444" w:rsidTr="00C341EA">
        <w:trPr>
          <w:trHeight w:val="280"/>
          <w:tblHeader/>
          <w:jc w:val="center"/>
        </w:trPr>
        <w:tc>
          <w:tcPr>
            <w:tcW w:w="531" w:type="pct"/>
            <w:vMerge/>
            <w:tcBorders>
              <w:top w:val="single" w:sz="4" w:space="0" w:color="auto"/>
              <w:left w:val="nil"/>
              <w:bottom w:val="single" w:sz="4" w:space="0" w:color="auto"/>
              <w:right w:val="single" w:sz="4" w:space="0" w:color="auto"/>
            </w:tcBorders>
            <w:vAlign w:val="center"/>
          </w:tcPr>
          <w:p w:rsidR="004C526E" w:rsidRPr="00FC1444" w:rsidRDefault="004C526E" w:rsidP="004C526E">
            <w:pPr>
              <w:jc w:val="center"/>
              <w:rPr>
                <w:rFonts w:eastAsiaTheme="minorEastAsia"/>
                <w:kern w:val="0"/>
                <w:szCs w:val="21"/>
              </w:rPr>
            </w:pPr>
          </w:p>
        </w:tc>
        <w:tc>
          <w:tcPr>
            <w:tcW w:w="455" w:type="pct"/>
            <w:tcBorders>
              <w:top w:val="single" w:sz="4" w:space="0" w:color="auto"/>
              <w:left w:val="single" w:sz="4" w:space="0" w:color="auto"/>
              <w:bottom w:val="single" w:sz="4" w:space="0" w:color="auto"/>
              <w:right w:val="single" w:sz="4" w:space="0" w:color="auto"/>
            </w:tcBorders>
            <w:noWrap/>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COD</w:t>
            </w:r>
          </w:p>
        </w:tc>
        <w:tc>
          <w:tcPr>
            <w:tcW w:w="405" w:type="pct"/>
            <w:tcBorders>
              <w:top w:val="single" w:sz="4" w:space="0" w:color="auto"/>
              <w:left w:val="single" w:sz="4" w:space="0" w:color="auto"/>
              <w:bottom w:val="single" w:sz="4" w:space="0" w:color="auto"/>
              <w:right w:val="single" w:sz="4" w:space="0" w:color="auto"/>
            </w:tcBorders>
            <w:noWrap/>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氨氮</w:t>
            </w:r>
          </w:p>
        </w:tc>
        <w:tc>
          <w:tcPr>
            <w:tcW w:w="405" w:type="pct"/>
            <w:tcBorders>
              <w:top w:val="single" w:sz="4" w:space="0" w:color="auto"/>
              <w:left w:val="single" w:sz="4" w:space="0" w:color="auto"/>
              <w:bottom w:val="single" w:sz="4" w:space="0" w:color="auto"/>
              <w:right w:val="single" w:sz="4" w:space="0" w:color="auto"/>
            </w:tcBorders>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总磷</w:t>
            </w:r>
          </w:p>
        </w:tc>
        <w:tc>
          <w:tcPr>
            <w:tcW w:w="405" w:type="pct"/>
            <w:tcBorders>
              <w:top w:val="single" w:sz="4" w:space="0" w:color="auto"/>
              <w:left w:val="single" w:sz="4" w:space="0" w:color="auto"/>
              <w:bottom w:val="single" w:sz="4" w:space="0" w:color="auto"/>
              <w:right w:val="single" w:sz="4" w:space="0" w:color="auto"/>
            </w:tcBorders>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总氮</w:t>
            </w:r>
          </w:p>
        </w:tc>
        <w:tc>
          <w:tcPr>
            <w:tcW w:w="456" w:type="pct"/>
            <w:tcBorders>
              <w:top w:val="single" w:sz="4" w:space="0" w:color="auto"/>
              <w:left w:val="single" w:sz="4" w:space="0" w:color="auto"/>
              <w:bottom w:val="single" w:sz="4" w:space="0" w:color="auto"/>
              <w:right w:val="single" w:sz="4" w:space="0" w:color="auto"/>
            </w:tcBorders>
            <w:noWrap/>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COD</w:t>
            </w:r>
          </w:p>
        </w:tc>
        <w:tc>
          <w:tcPr>
            <w:tcW w:w="405" w:type="pct"/>
            <w:tcBorders>
              <w:top w:val="single" w:sz="4" w:space="0" w:color="auto"/>
              <w:left w:val="single" w:sz="4" w:space="0" w:color="auto"/>
              <w:bottom w:val="single" w:sz="4" w:space="0" w:color="auto"/>
              <w:right w:val="single" w:sz="4" w:space="0" w:color="auto"/>
            </w:tcBorders>
            <w:noWrap/>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氨氮</w:t>
            </w:r>
          </w:p>
        </w:tc>
        <w:tc>
          <w:tcPr>
            <w:tcW w:w="405" w:type="pct"/>
            <w:tcBorders>
              <w:top w:val="single" w:sz="4" w:space="0" w:color="auto"/>
              <w:left w:val="single" w:sz="4" w:space="0" w:color="auto"/>
              <w:bottom w:val="single" w:sz="4" w:space="0" w:color="auto"/>
              <w:right w:val="single" w:sz="4" w:space="0" w:color="auto"/>
            </w:tcBorders>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总磷</w:t>
            </w:r>
          </w:p>
        </w:tc>
        <w:tc>
          <w:tcPr>
            <w:tcW w:w="405" w:type="pct"/>
            <w:tcBorders>
              <w:top w:val="single" w:sz="4" w:space="0" w:color="auto"/>
              <w:left w:val="single" w:sz="4" w:space="0" w:color="auto"/>
              <w:bottom w:val="single" w:sz="4" w:space="0" w:color="auto"/>
              <w:right w:val="single" w:sz="4" w:space="0" w:color="auto"/>
            </w:tcBorders>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总氮</w:t>
            </w:r>
          </w:p>
        </w:tc>
        <w:tc>
          <w:tcPr>
            <w:tcW w:w="341" w:type="pct"/>
            <w:tcBorders>
              <w:top w:val="single" w:sz="4" w:space="0" w:color="auto"/>
              <w:left w:val="single" w:sz="4" w:space="0" w:color="auto"/>
              <w:bottom w:val="single" w:sz="4" w:space="0" w:color="auto"/>
              <w:right w:val="single" w:sz="4" w:space="0" w:color="auto"/>
            </w:tcBorders>
            <w:noWrap/>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COD</w:t>
            </w:r>
          </w:p>
        </w:tc>
        <w:tc>
          <w:tcPr>
            <w:tcW w:w="329" w:type="pct"/>
            <w:tcBorders>
              <w:top w:val="single" w:sz="4" w:space="0" w:color="auto"/>
              <w:left w:val="single" w:sz="4" w:space="0" w:color="auto"/>
              <w:bottom w:val="single" w:sz="4" w:space="0" w:color="auto"/>
              <w:right w:val="nil"/>
            </w:tcBorders>
            <w:noWrap/>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氨氮</w:t>
            </w:r>
          </w:p>
        </w:tc>
        <w:tc>
          <w:tcPr>
            <w:tcW w:w="228" w:type="pct"/>
            <w:tcBorders>
              <w:top w:val="single" w:sz="4" w:space="0" w:color="auto"/>
              <w:left w:val="single" w:sz="4" w:space="0" w:color="auto"/>
              <w:bottom w:val="single" w:sz="4" w:space="0" w:color="auto"/>
              <w:right w:val="nil"/>
            </w:tcBorders>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总磷</w:t>
            </w:r>
          </w:p>
        </w:tc>
        <w:tc>
          <w:tcPr>
            <w:tcW w:w="228" w:type="pct"/>
            <w:tcBorders>
              <w:top w:val="single" w:sz="4" w:space="0" w:color="auto"/>
              <w:left w:val="single" w:sz="4" w:space="0" w:color="auto"/>
              <w:bottom w:val="single" w:sz="4" w:space="0" w:color="auto"/>
              <w:right w:val="nil"/>
            </w:tcBorders>
            <w:vAlign w:val="center"/>
          </w:tcPr>
          <w:p w:rsidR="004C526E" w:rsidRPr="00FC1444" w:rsidRDefault="004C526E" w:rsidP="004C526E">
            <w:pPr>
              <w:jc w:val="center"/>
              <w:rPr>
                <w:rFonts w:eastAsiaTheme="minorEastAsia"/>
                <w:kern w:val="0"/>
                <w:szCs w:val="21"/>
              </w:rPr>
            </w:pPr>
            <w:r w:rsidRPr="00FC1444">
              <w:rPr>
                <w:rFonts w:eastAsiaTheme="minorEastAsia"/>
                <w:kern w:val="0"/>
                <w:szCs w:val="21"/>
              </w:rPr>
              <w:t>总氮</w:t>
            </w:r>
          </w:p>
        </w:tc>
      </w:tr>
      <w:tr w:rsidR="00C341EA" w:rsidRPr="00FC1444" w:rsidTr="00C341EA">
        <w:trPr>
          <w:trHeight w:val="280"/>
          <w:jc w:val="center"/>
        </w:trPr>
        <w:tc>
          <w:tcPr>
            <w:tcW w:w="531" w:type="pct"/>
            <w:tcBorders>
              <w:top w:val="single" w:sz="4" w:space="0" w:color="auto"/>
              <w:left w:val="nil"/>
              <w:bottom w:val="single" w:sz="4" w:space="0" w:color="auto"/>
              <w:right w:val="single" w:sz="4" w:space="0" w:color="auto"/>
            </w:tcBorders>
            <w:noWrap/>
            <w:vAlign w:val="center"/>
          </w:tcPr>
          <w:p w:rsidR="00C341EA" w:rsidRPr="00FC1444" w:rsidRDefault="00C341EA" w:rsidP="004C526E">
            <w:pPr>
              <w:jc w:val="center"/>
              <w:rPr>
                <w:rFonts w:eastAsiaTheme="minorEastAsia"/>
                <w:kern w:val="0"/>
                <w:szCs w:val="21"/>
              </w:rPr>
            </w:pPr>
            <w:r w:rsidRPr="00FC1444">
              <w:rPr>
                <w:rFonts w:eastAsiaTheme="minorEastAsia"/>
                <w:bCs/>
                <w:kern w:val="0"/>
                <w:szCs w:val="21"/>
              </w:rPr>
              <w:t>呼兰河</w:t>
            </w:r>
          </w:p>
        </w:tc>
        <w:tc>
          <w:tcPr>
            <w:tcW w:w="45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398.815 </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9.535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 xml:space="preserve">13.924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 xml:space="preserve">31.784 </w:t>
            </w:r>
          </w:p>
        </w:tc>
        <w:tc>
          <w:tcPr>
            <w:tcW w:w="456"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261.852 </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6.261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 xml:space="preserve">9.142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 xml:space="preserve">20.869 </w:t>
            </w:r>
          </w:p>
        </w:tc>
        <w:tc>
          <w:tcPr>
            <w:tcW w:w="341"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 xml:space="preserve">136.964 </w:t>
            </w:r>
          </w:p>
        </w:tc>
        <w:tc>
          <w:tcPr>
            <w:tcW w:w="329" w:type="pct"/>
            <w:tcBorders>
              <w:top w:val="single" w:sz="4" w:space="0" w:color="auto"/>
              <w:left w:val="single" w:sz="4" w:space="0" w:color="auto"/>
              <w:bottom w:val="single" w:sz="4" w:space="0" w:color="auto"/>
              <w:right w:val="nil"/>
            </w:tcBorders>
            <w:noWrap/>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 xml:space="preserve">3.275 </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 xml:space="preserve">4.782 </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 xml:space="preserve">10.916 </w:t>
            </w:r>
          </w:p>
        </w:tc>
      </w:tr>
      <w:tr w:rsidR="00C341EA" w:rsidRPr="00FC1444" w:rsidTr="00C341EA">
        <w:trPr>
          <w:trHeight w:val="280"/>
          <w:jc w:val="center"/>
        </w:trPr>
        <w:tc>
          <w:tcPr>
            <w:tcW w:w="531" w:type="pct"/>
            <w:tcBorders>
              <w:top w:val="single" w:sz="4" w:space="0" w:color="auto"/>
              <w:left w:val="nil"/>
              <w:bottom w:val="single" w:sz="4" w:space="0" w:color="auto"/>
              <w:right w:val="single" w:sz="4" w:space="0" w:color="auto"/>
            </w:tcBorders>
            <w:noWrap/>
            <w:vAlign w:val="center"/>
          </w:tcPr>
          <w:p w:rsidR="00C341EA" w:rsidRPr="00FC1444" w:rsidRDefault="00C341EA" w:rsidP="00B526E5">
            <w:pPr>
              <w:jc w:val="center"/>
              <w:rPr>
                <w:rFonts w:eastAsiaTheme="minorEastAsia"/>
                <w:kern w:val="0"/>
                <w:szCs w:val="21"/>
              </w:rPr>
            </w:pPr>
            <w:r w:rsidRPr="00FC1444">
              <w:rPr>
                <w:rFonts w:eastAsiaTheme="minorEastAsia"/>
                <w:bCs/>
                <w:kern w:val="0"/>
                <w:szCs w:val="21"/>
              </w:rPr>
              <w:t>津河</w:t>
            </w:r>
          </w:p>
        </w:tc>
        <w:tc>
          <w:tcPr>
            <w:tcW w:w="45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111.113 </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2.657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 xml:space="preserve">3.879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 xml:space="preserve">8.855 </w:t>
            </w:r>
          </w:p>
        </w:tc>
        <w:tc>
          <w:tcPr>
            <w:tcW w:w="456"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72.954 </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1.744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 xml:space="preserve">2.547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 xml:space="preserve">5.814 </w:t>
            </w:r>
          </w:p>
        </w:tc>
        <w:tc>
          <w:tcPr>
            <w:tcW w:w="341"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 xml:space="preserve">38.159 </w:t>
            </w:r>
          </w:p>
        </w:tc>
        <w:tc>
          <w:tcPr>
            <w:tcW w:w="329" w:type="pct"/>
            <w:tcBorders>
              <w:top w:val="single" w:sz="4" w:space="0" w:color="auto"/>
              <w:left w:val="single" w:sz="4" w:space="0" w:color="auto"/>
              <w:bottom w:val="single" w:sz="4" w:space="0" w:color="auto"/>
              <w:right w:val="nil"/>
            </w:tcBorders>
            <w:noWrap/>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 xml:space="preserve">0.912 </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 xml:space="preserve">1.332 </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 xml:space="preserve">3.041 </w:t>
            </w:r>
          </w:p>
        </w:tc>
      </w:tr>
      <w:tr w:rsidR="00C341EA" w:rsidRPr="00FC1444" w:rsidTr="00C341EA">
        <w:trPr>
          <w:trHeight w:val="280"/>
          <w:jc w:val="center"/>
        </w:trPr>
        <w:tc>
          <w:tcPr>
            <w:tcW w:w="531" w:type="pct"/>
            <w:tcBorders>
              <w:top w:val="single" w:sz="4" w:space="0" w:color="auto"/>
              <w:left w:val="nil"/>
              <w:bottom w:val="single" w:sz="4" w:space="0" w:color="auto"/>
              <w:right w:val="single" w:sz="4" w:space="0" w:color="auto"/>
            </w:tcBorders>
            <w:noWrap/>
            <w:vAlign w:val="center"/>
          </w:tcPr>
          <w:p w:rsidR="00C341EA" w:rsidRPr="00FC1444" w:rsidRDefault="00C341EA" w:rsidP="004C526E">
            <w:pPr>
              <w:jc w:val="center"/>
              <w:rPr>
                <w:rFonts w:eastAsiaTheme="minorEastAsia"/>
                <w:kern w:val="0"/>
                <w:szCs w:val="21"/>
              </w:rPr>
            </w:pPr>
            <w:r w:rsidRPr="00FC1444">
              <w:rPr>
                <w:rFonts w:eastAsiaTheme="minorEastAsia"/>
                <w:bCs/>
                <w:kern w:val="0"/>
                <w:szCs w:val="21"/>
              </w:rPr>
              <w:t>努敏河</w:t>
            </w:r>
          </w:p>
        </w:tc>
        <w:tc>
          <w:tcPr>
            <w:tcW w:w="45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151.457 </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3.621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 xml:space="preserve">5.288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 xml:space="preserve">12.071 </w:t>
            </w:r>
          </w:p>
        </w:tc>
        <w:tc>
          <w:tcPr>
            <w:tcW w:w="456"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99.443 </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2.378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 xml:space="preserve">3.472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 xml:space="preserve">7.925 </w:t>
            </w:r>
          </w:p>
        </w:tc>
        <w:tc>
          <w:tcPr>
            <w:tcW w:w="341"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 xml:space="preserve">52.014 </w:t>
            </w:r>
          </w:p>
        </w:tc>
        <w:tc>
          <w:tcPr>
            <w:tcW w:w="329" w:type="pct"/>
            <w:tcBorders>
              <w:top w:val="single" w:sz="4" w:space="0" w:color="auto"/>
              <w:left w:val="single" w:sz="4" w:space="0" w:color="auto"/>
              <w:bottom w:val="single" w:sz="4" w:space="0" w:color="auto"/>
              <w:right w:val="nil"/>
            </w:tcBorders>
            <w:noWrap/>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 xml:space="preserve">1.244 </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 xml:space="preserve">1.816 </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 xml:space="preserve">4.145 </w:t>
            </w:r>
          </w:p>
        </w:tc>
      </w:tr>
      <w:tr w:rsidR="00C341EA" w:rsidRPr="00FC1444" w:rsidTr="00C341EA">
        <w:trPr>
          <w:trHeight w:val="280"/>
          <w:jc w:val="center"/>
        </w:trPr>
        <w:tc>
          <w:tcPr>
            <w:tcW w:w="531" w:type="pct"/>
            <w:tcBorders>
              <w:top w:val="single" w:sz="4" w:space="0" w:color="auto"/>
              <w:left w:val="nil"/>
              <w:bottom w:val="single" w:sz="12" w:space="0" w:color="auto"/>
              <w:right w:val="single" w:sz="4" w:space="0" w:color="auto"/>
            </w:tcBorders>
            <w:noWrap/>
            <w:vAlign w:val="center"/>
          </w:tcPr>
          <w:p w:rsidR="00C341EA" w:rsidRPr="00FC1444" w:rsidRDefault="00C341EA" w:rsidP="004C526E">
            <w:pPr>
              <w:jc w:val="center"/>
              <w:rPr>
                <w:rFonts w:eastAsiaTheme="minorEastAsia"/>
                <w:kern w:val="0"/>
                <w:szCs w:val="21"/>
              </w:rPr>
            </w:pPr>
            <w:r w:rsidRPr="00FC1444">
              <w:rPr>
                <w:rFonts w:eastAsiaTheme="minorEastAsia"/>
                <w:kern w:val="0"/>
                <w:szCs w:val="21"/>
              </w:rPr>
              <w:t>合计</w:t>
            </w:r>
          </w:p>
        </w:tc>
        <w:tc>
          <w:tcPr>
            <w:tcW w:w="455" w:type="pct"/>
            <w:tcBorders>
              <w:top w:val="single" w:sz="4" w:space="0" w:color="auto"/>
              <w:left w:val="single" w:sz="4" w:space="0" w:color="auto"/>
              <w:bottom w:val="single" w:sz="12"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 xml:space="preserve">661.385 </w:t>
            </w:r>
          </w:p>
        </w:tc>
        <w:tc>
          <w:tcPr>
            <w:tcW w:w="405" w:type="pct"/>
            <w:tcBorders>
              <w:top w:val="single" w:sz="4" w:space="0" w:color="auto"/>
              <w:left w:val="single" w:sz="4" w:space="0" w:color="auto"/>
              <w:bottom w:val="single" w:sz="12"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15.813</w:t>
            </w:r>
          </w:p>
        </w:tc>
        <w:tc>
          <w:tcPr>
            <w:tcW w:w="405" w:type="pct"/>
            <w:tcBorders>
              <w:top w:val="single" w:sz="4" w:space="0" w:color="auto"/>
              <w:left w:val="single" w:sz="4" w:space="0" w:color="auto"/>
              <w:bottom w:val="single" w:sz="12"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23.092</w:t>
            </w:r>
          </w:p>
        </w:tc>
        <w:tc>
          <w:tcPr>
            <w:tcW w:w="405" w:type="pct"/>
            <w:tcBorders>
              <w:top w:val="single" w:sz="4" w:space="0" w:color="auto"/>
              <w:left w:val="single" w:sz="4" w:space="0" w:color="auto"/>
              <w:bottom w:val="single" w:sz="12" w:space="0" w:color="auto"/>
              <w:right w:val="single" w:sz="4" w:space="0" w:color="auto"/>
            </w:tcBorders>
            <w:vAlign w:val="center"/>
          </w:tcPr>
          <w:p w:rsidR="00C341EA" w:rsidRPr="00FC1444" w:rsidRDefault="00C341EA">
            <w:pPr>
              <w:jc w:val="center"/>
              <w:rPr>
                <w:color w:val="000000"/>
                <w:szCs w:val="21"/>
              </w:rPr>
            </w:pPr>
            <w:r w:rsidRPr="00FC1444">
              <w:rPr>
                <w:color w:val="000000"/>
                <w:szCs w:val="21"/>
              </w:rPr>
              <w:t>52.71</w:t>
            </w:r>
          </w:p>
        </w:tc>
        <w:tc>
          <w:tcPr>
            <w:tcW w:w="456" w:type="pct"/>
            <w:tcBorders>
              <w:top w:val="single" w:sz="4" w:space="0" w:color="auto"/>
              <w:left w:val="single" w:sz="4" w:space="0" w:color="auto"/>
              <w:bottom w:val="single" w:sz="12" w:space="0" w:color="auto"/>
              <w:right w:val="single" w:sz="4" w:space="0" w:color="auto"/>
            </w:tcBorders>
            <w:noWrap/>
            <w:vAlign w:val="center"/>
          </w:tcPr>
          <w:p w:rsidR="00C341EA" w:rsidRPr="00FC1444" w:rsidRDefault="00C341EA">
            <w:pPr>
              <w:jc w:val="center"/>
              <w:rPr>
                <w:color w:val="000000"/>
                <w:szCs w:val="21"/>
              </w:rPr>
            </w:pPr>
            <w:r w:rsidRPr="00FC1444">
              <w:rPr>
                <w:color w:val="000000"/>
                <w:szCs w:val="21"/>
              </w:rPr>
              <w:t>434.248</w:t>
            </w:r>
          </w:p>
        </w:tc>
        <w:tc>
          <w:tcPr>
            <w:tcW w:w="405" w:type="pct"/>
            <w:tcBorders>
              <w:top w:val="single" w:sz="4" w:space="0" w:color="auto"/>
              <w:left w:val="single" w:sz="4" w:space="0" w:color="auto"/>
              <w:bottom w:val="single" w:sz="12" w:space="0" w:color="auto"/>
              <w:right w:val="single" w:sz="4" w:space="0" w:color="auto"/>
            </w:tcBorders>
            <w:noWrap/>
            <w:vAlign w:val="center"/>
          </w:tcPr>
          <w:p w:rsidR="00C341EA" w:rsidRPr="00FC1444" w:rsidRDefault="00C341EA" w:rsidP="007851CD">
            <w:pPr>
              <w:jc w:val="center"/>
              <w:rPr>
                <w:color w:val="000000"/>
                <w:szCs w:val="21"/>
              </w:rPr>
            </w:pPr>
            <w:r w:rsidRPr="00FC1444">
              <w:rPr>
                <w:color w:val="000000"/>
                <w:szCs w:val="21"/>
              </w:rPr>
              <w:t xml:space="preserve">10.382 </w:t>
            </w:r>
          </w:p>
        </w:tc>
        <w:tc>
          <w:tcPr>
            <w:tcW w:w="405" w:type="pct"/>
            <w:tcBorders>
              <w:top w:val="single" w:sz="4" w:space="0" w:color="auto"/>
              <w:left w:val="single" w:sz="4" w:space="0" w:color="auto"/>
              <w:bottom w:val="single" w:sz="12" w:space="0" w:color="auto"/>
              <w:right w:val="single" w:sz="4" w:space="0" w:color="auto"/>
            </w:tcBorders>
            <w:vAlign w:val="center"/>
          </w:tcPr>
          <w:p w:rsidR="00C341EA" w:rsidRPr="00FC1444" w:rsidRDefault="00C341EA" w:rsidP="007851CD">
            <w:pPr>
              <w:jc w:val="center"/>
              <w:rPr>
                <w:color w:val="000000"/>
                <w:szCs w:val="21"/>
              </w:rPr>
            </w:pPr>
            <w:r w:rsidRPr="00FC1444">
              <w:rPr>
                <w:color w:val="000000"/>
                <w:szCs w:val="21"/>
              </w:rPr>
              <w:t xml:space="preserve">15.162 </w:t>
            </w:r>
          </w:p>
        </w:tc>
        <w:tc>
          <w:tcPr>
            <w:tcW w:w="405" w:type="pct"/>
            <w:tcBorders>
              <w:top w:val="single" w:sz="4" w:space="0" w:color="auto"/>
              <w:left w:val="single" w:sz="4" w:space="0" w:color="auto"/>
              <w:bottom w:val="single" w:sz="12" w:space="0" w:color="auto"/>
              <w:right w:val="single" w:sz="4" w:space="0" w:color="auto"/>
            </w:tcBorders>
            <w:vAlign w:val="center"/>
          </w:tcPr>
          <w:p w:rsidR="00C341EA" w:rsidRPr="00FC1444" w:rsidRDefault="00C341EA" w:rsidP="007851CD">
            <w:pPr>
              <w:jc w:val="center"/>
              <w:rPr>
                <w:color w:val="000000"/>
                <w:szCs w:val="21"/>
              </w:rPr>
            </w:pPr>
            <w:r w:rsidRPr="00FC1444">
              <w:rPr>
                <w:color w:val="000000"/>
                <w:szCs w:val="21"/>
              </w:rPr>
              <w:t xml:space="preserve">34.608 </w:t>
            </w:r>
          </w:p>
        </w:tc>
        <w:tc>
          <w:tcPr>
            <w:tcW w:w="341" w:type="pct"/>
            <w:tcBorders>
              <w:top w:val="single" w:sz="4" w:space="0" w:color="auto"/>
              <w:left w:val="single" w:sz="4" w:space="0" w:color="auto"/>
              <w:bottom w:val="single" w:sz="12" w:space="0" w:color="auto"/>
              <w:right w:val="single" w:sz="4" w:space="0" w:color="auto"/>
            </w:tcBorders>
            <w:noWrap/>
            <w:vAlign w:val="center"/>
          </w:tcPr>
          <w:p w:rsidR="00C341EA" w:rsidRPr="00FC1444" w:rsidRDefault="00C341EA" w:rsidP="007851CD">
            <w:pPr>
              <w:jc w:val="center"/>
              <w:rPr>
                <w:color w:val="000000"/>
                <w:szCs w:val="21"/>
              </w:rPr>
            </w:pPr>
            <w:r w:rsidRPr="00FC1444">
              <w:rPr>
                <w:rFonts w:hint="eastAsia"/>
                <w:color w:val="000000"/>
                <w:szCs w:val="21"/>
              </w:rPr>
              <w:t>-</w:t>
            </w:r>
            <w:r w:rsidRPr="00FC1444">
              <w:rPr>
                <w:color w:val="000000"/>
                <w:szCs w:val="21"/>
              </w:rPr>
              <w:t xml:space="preserve">227.137 </w:t>
            </w:r>
          </w:p>
        </w:tc>
        <w:tc>
          <w:tcPr>
            <w:tcW w:w="329" w:type="pct"/>
            <w:tcBorders>
              <w:top w:val="single" w:sz="4" w:space="0" w:color="auto"/>
              <w:left w:val="single" w:sz="4" w:space="0" w:color="auto"/>
              <w:bottom w:val="single" w:sz="12" w:space="0" w:color="auto"/>
              <w:right w:val="nil"/>
            </w:tcBorders>
            <w:noWrap/>
            <w:vAlign w:val="center"/>
          </w:tcPr>
          <w:p w:rsidR="00C341EA" w:rsidRPr="00FC1444" w:rsidRDefault="00C341EA" w:rsidP="007851CD">
            <w:pPr>
              <w:jc w:val="center"/>
              <w:rPr>
                <w:color w:val="000000"/>
                <w:szCs w:val="21"/>
              </w:rPr>
            </w:pPr>
            <w:r w:rsidRPr="00FC1444">
              <w:rPr>
                <w:rFonts w:hint="eastAsia"/>
                <w:color w:val="000000"/>
                <w:szCs w:val="21"/>
              </w:rPr>
              <w:t>-</w:t>
            </w:r>
            <w:r w:rsidRPr="00FC1444">
              <w:rPr>
                <w:color w:val="000000"/>
                <w:szCs w:val="21"/>
              </w:rPr>
              <w:t xml:space="preserve">5.431 </w:t>
            </w:r>
          </w:p>
        </w:tc>
        <w:tc>
          <w:tcPr>
            <w:tcW w:w="228" w:type="pct"/>
            <w:tcBorders>
              <w:top w:val="single" w:sz="4" w:space="0" w:color="auto"/>
              <w:left w:val="single" w:sz="4" w:space="0" w:color="auto"/>
              <w:bottom w:val="single" w:sz="12" w:space="0" w:color="auto"/>
              <w:right w:val="nil"/>
            </w:tcBorders>
            <w:vAlign w:val="center"/>
          </w:tcPr>
          <w:p w:rsidR="00C341EA" w:rsidRPr="00FC1444" w:rsidRDefault="00C341EA">
            <w:pPr>
              <w:jc w:val="center"/>
              <w:rPr>
                <w:color w:val="000000"/>
                <w:szCs w:val="21"/>
              </w:rPr>
            </w:pPr>
            <w:r w:rsidRPr="00FC1444">
              <w:rPr>
                <w:rFonts w:hint="eastAsia"/>
                <w:color w:val="000000"/>
                <w:szCs w:val="21"/>
              </w:rPr>
              <w:t>-</w:t>
            </w:r>
            <w:r w:rsidRPr="00FC1444">
              <w:rPr>
                <w:color w:val="000000"/>
                <w:szCs w:val="21"/>
              </w:rPr>
              <w:t>7.93</w:t>
            </w:r>
          </w:p>
        </w:tc>
        <w:tc>
          <w:tcPr>
            <w:tcW w:w="228" w:type="pct"/>
            <w:tcBorders>
              <w:top w:val="single" w:sz="4" w:space="0" w:color="auto"/>
              <w:left w:val="single" w:sz="4" w:space="0" w:color="auto"/>
              <w:bottom w:val="single" w:sz="12" w:space="0" w:color="auto"/>
              <w:right w:val="nil"/>
            </w:tcBorders>
            <w:vAlign w:val="center"/>
          </w:tcPr>
          <w:p w:rsidR="00C341EA" w:rsidRPr="00FC1444" w:rsidRDefault="00C341EA" w:rsidP="007851CD">
            <w:pPr>
              <w:jc w:val="center"/>
              <w:rPr>
                <w:color w:val="000000"/>
                <w:szCs w:val="21"/>
              </w:rPr>
            </w:pPr>
            <w:r w:rsidRPr="00FC1444">
              <w:rPr>
                <w:rFonts w:hint="eastAsia"/>
                <w:color w:val="000000"/>
                <w:szCs w:val="21"/>
              </w:rPr>
              <w:t>-</w:t>
            </w:r>
            <w:r w:rsidRPr="00FC1444">
              <w:rPr>
                <w:color w:val="000000"/>
                <w:szCs w:val="21"/>
              </w:rPr>
              <w:t xml:space="preserve">18.102 </w:t>
            </w:r>
          </w:p>
        </w:tc>
      </w:tr>
    </w:tbl>
    <w:p w:rsidR="002A5A5E" w:rsidRPr="00FC1444" w:rsidRDefault="00611CBA">
      <w:pPr>
        <w:adjustRightInd w:val="0"/>
        <w:snapToGrid w:val="0"/>
        <w:spacing w:line="360" w:lineRule="auto"/>
        <w:ind w:firstLineChars="200" w:firstLine="480"/>
        <w:rPr>
          <w:rFonts w:eastAsiaTheme="minorEastAsia"/>
          <w:sz w:val="24"/>
        </w:rPr>
      </w:pPr>
      <w:r w:rsidRPr="00FC1444">
        <w:rPr>
          <w:rFonts w:eastAsiaTheme="minorEastAsia"/>
          <w:sz w:val="24"/>
        </w:rPr>
        <w:t>项目的地表水退水口利用现有。</w:t>
      </w:r>
      <w:r w:rsidRPr="00FC1444">
        <w:rPr>
          <w:rFonts w:eastAsiaTheme="minorEastAsia"/>
          <w:sz w:val="24"/>
          <w:szCs w:val="21"/>
        </w:rPr>
        <w:t>本项目实施后，不新增水田总面积，由于灌溉水利用系数的提升、农田保水能力增强以及渠系配套系统的完善，地表水退水量减少，相应污染物入河量与现状相比也有一定程度的削减，</w:t>
      </w:r>
      <w:r w:rsidR="00E008D1" w:rsidRPr="00FC1444">
        <w:rPr>
          <w:rFonts w:eastAsiaTheme="minorEastAsia"/>
          <w:sz w:val="24"/>
        </w:rPr>
        <w:t>项目建成后灌区年退水量与现状相比减少</w:t>
      </w:r>
      <w:r w:rsidR="00E008D1" w:rsidRPr="00FC1444">
        <w:rPr>
          <w:rFonts w:eastAsiaTheme="minorEastAsia"/>
          <w:sz w:val="24"/>
        </w:rPr>
        <w:t>431</w:t>
      </w:r>
      <w:r w:rsidR="00E008D1" w:rsidRPr="00FC1444">
        <w:rPr>
          <w:rFonts w:eastAsiaTheme="minorEastAsia"/>
          <w:sz w:val="24"/>
        </w:rPr>
        <w:t>万</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w:t>
      </w:r>
      <w:r w:rsidR="00C341EA" w:rsidRPr="00FC1444">
        <w:rPr>
          <w:rFonts w:eastAsiaTheme="minorEastAsia"/>
          <w:bCs/>
          <w:sz w:val="24"/>
        </w:rPr>
        <w:t>COD</w:t>
      </w:r>
      <w:r w:rsidR="00C341EA" w:rsidRPr="00FC1444">
        <w:rPr>
          <w:rFonts w:eastAsiaTheme="minorEastAsia"/>
          <w:bCs/>
          <w:sz w:val="24"/>
        </w:rPr>
        <w:t>、氨氮、总磷及总氮排放量分别减少</w:t>
      </w:r>
      <w:r w:rsidR="00C341EA" w:rsidRPr="00FC1444">
        <w:rPr>
          <w:rFonts w:eastAsiaTheme="minorEastAsia"/>
          <w:bCs/>
          <w:sz w:val="24"/>
        </w:rPr>
        <w:t>227.137t/a</w:t>
      </w:r>
      <w:r w:rsidR="00C341EA" w:rsidRPr="00FC1444">
        <w:rPr>
          <w:rFonts w:eastAsiaTheme="minorEastAsia"/>
          <w:bCs/>
          <w:sz w:val="24"/>
        </w:rPr>
        <w:t>、</w:t>
      </w:r>
      <w:r w:rsidR="00C341EA" w:rsidRPr="00FC1444">
        <w:rPr>
          <w:rFonts w:eastAsiaTheme="minorEastAsia"/>
          <w:bCs/>
          <w:sz w:val="24"/>
        </w:rPr>
        <w:t>5.431t/a</w:t>
      </w:r>
      <w:r w:rsidR="00C341EA" w:rsidRPr="00FC1444">
        <w:rPr>
          <w:rFonts w:eastAsiaTheme="minorEastAsia"/>
          <w:bCs/>
          <w:sz w:val="24"/>
        </w:rPr>
        <w:t>、</w:t>
      </w:r>
      <w:r w:rsidR="00C341EA" w:rsidRPr="00FC1444">
        <w:rPr>
          <w:rFonts w:eastAsiaTheme="minorEastAsia"/>
          <w:bCs/>
          <w:sz w:val="24"/>
        </w:rPr>
        <w:t>7.93t/a</w:t>
      </w:r>
      <w:r w:rsidR="00C341EA" w:rsidRPr="00FC1444">
        <w:rPr>
          <w:rFonts w:eastAsiaTheme="minorEastAsia"/>
          <w:bCs/>
          <w:sz w:val="24"/>
        </w:rPr>
        <w:t>、</w:t>
      </w:r>
      <w:r w:rsidR="00C341EA" w:rsidRPr="00FC1444">
        <w:rPr>
          <w:rFonts w:eastAsiaTheme="minorEastAsia"/>
          <w:bCs/>
          <w:sz w:val="24"/>
        </w:rPr>
        <w:t>18.102t/a</w:t>
      </w:r>
      <w:r w:rsidR="00C341EA" w:rsidRPr="00FC1444">
        <w:rPr>
          <w:rFonts w:eastAsiaTheme="minorEastAsia"/>
          <w:bCs/>
          <w:sz w:val="24"/>
        </w:rPr>
        <w:t>。</w:t>
      </w:r>
      <w:r w:rsidRPr="00FC1444">
        <w:rPr>
          <w:rFonts w:eastAsiaTheme="minorEastAsia"/>
          <w:bCs/>
          <w:sz w:val="24"/>
        </w:rPr>
        <w:t>本次改造后，通过加强管理，削减化肥和化学农药用量，增加有机肥、复合肥以及生物农药和高效低毒低残留农药的施用量，</w:t>
      </w:r>
      <w:r w:rsidRPr="00FC1444">
        <w:rPr>
          <w:rFonts w:eastAsiaTheme="minorEastAsia"/>
          <w:smallCaps/>
          <w:sz w:val="24"/>
        </w:rPr>
        <w:t>采取测土配方施肥、水肥一体化措施</w:t>
      </w:r>
      <w:r w:rsidRPr="00FC1444">
        <w:rPr>
          <w:rFonts w:eastAsiaTheme="minorEastAsia"/>
          <w:bCs/>
          <w:sz w:val="24"/>
        </w:rPr>
        <w:t>，减少农田退水中的农药、化肥含量，防止农药、化肥污染承泄区水体。合理安排施肥、施药时间，</w:t>
      </w:r>
      <w:r w:rsidRPr="00FC1444">
        <w:rPr>
          <w:rFonts w:eastAsiaTheme="minorEastAsia"/>
          <w:kern w:val="0"/>
          <w:sz w:val="24"/>
        </w:rPr>
        <w:t>故工程实施后对</w:t>
      </w:r>
      <w:r w:rsidR="00E456D6" w:rsidRPr="00FC1444">
        <w:rPr>
          <w:rFonts w:eastAsiaTheme="minorEastAsia"/>
          <w:sz w:val="24"/>
        </w:rPr>
        <w:t>呼兰河、津河及努敏河</w:t>
      </w:r>
      <w:r w:rsidRPr="00FC1444">
        <w:rPr>
          <w:rFonts w:eastAsiaTheme="minorEastAsia"/>
          <w:sz w:val="24"/>
        </w:rPr>
        <w:t>水生生态</w:t>
      </w:r>
      <w:r w:rsidRPr="00FC1444">
        <w:rPr>
          <w:rFonts w:eastAsiaTheme="minorEastAsia"/>
          <w:kern w:val="0"/>
          <w:sz w:val="24"/>
        </w:rPr>
        <w:t>环境起到一定改善作用</w:t>
      </w:r>
      <w:r w:rsidRPr="00FC1444">
        <w:rPr>
          <w:rFonts w:eastAsiaTheme="minorEastAsia"/>
          <w:bCs/>
          <w:sz w:val="24"/>
        </w:rPr>
        <w:t>。</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3.3.2.2</w:t>
      </w:r>
      <w:r w:rsidRPr="00FC1444">
        <w:rPr>
          <w:rFonts w:eastAsiaTheme="minorEastAsia"/>
          <w:b/>
          <w:sz w:val="24"/>
        </w:rPr>
        <w:t>废气污染分析</w:t>
      </w:r>
    </w:p>
    <w:p w:rsidR="002A5A5E" w:rsidRPr="00FC1444" w:rsidRDefault="00611CBA">
      <w:pPr>
        <w:spacing w:line="360" w:lineRule="auto"/>
        <w:ind w:firstLineChars="200" w:firstLine="480"/>
        <w:rPr>
          <w:rFonts w:eastAsiaTheme="minorEastAsia"/>
          <w:sz w:val="24"/>
        </w:rPr>
      </w:pPr>
      <w:r w:rsidRPr="00FC1444">
        <w:rPr>
          <w:rFonts w:eastAsiaTheme="minorEastAsia"/>
          <w:bCs/>
          <w:sz w:val="24"/>
        </w:rPr>
        <w:t>本项目无冬季供暖，机耕路主要在春、秋农忙季节有少量农机车辆行驶，其他时段基本无车辆通过，车辆通过会产生少量汽车尾气，汽车尾气中主要污染物为</w:t>
      </w:r>
      <w:r w:rsidRPr="00FC1444">
        <w:rPr>
          <w:rFonts w:eastAsiaTheme="minorEastAsia"/>
          <w:bCs/>
          <w:sz w:val="24"/>
        </w:rPr>
        <w:t>CO</w:t>
      </w:r>
      <w:r w:rsidRPr="00FC1444">
        <w:rPr>
          <w:rFonts w:eastAsiaTheme="minorEastAsia"/>
          <w:bCs/>
          <w:sz w:val="24"/>
        </w:rPr>
        <w:t>、</w:t>
      </w:r>
      <w:r w:rsidRPr="00FC1444">
        <w:rPr>
          <w:rFonts w:eastAsiaTheme="minorEastAsia"/>
          <w:bCs/>
          <w:sz w:val="24"/>
        </w:rPr>
        <w:t>NO</w:t>
      </w:r>
      <w:r w:rsidRPr="00FC1444">
        <w:rPr>
          <w:rFonts w:eastAsiaTheme="minorEastAsia"/>
          <w:bCs/>
          <w:sz w:val="24"/>
          <w:vertAlign w:val="subscript"/>
        </w:rPr>
        <w:t>X</w:t>
      </w:r>
      <w:r w:rsidRPr="00FC1444">
        <w:rPr>
          <w:rFonts w:eastAsiaTheme="minorEastAsia"/>
          <w:bCs/>
          <w:sz w:val="24"/>
        </w:rPr>
        <w:t>、</w:t>
      </w:r>
      <w:r w:rsidRPr="00FC1444">
        <w:rPr>
          <w:rFonts w:eastAsiaTheme="minorEastAsia"/>
          <w:bCs/>
          <w:sz w:val="24"/>
        </w:rPr>
        <w:t>THC</w:t>
      </w:r>
      <w:r w:rsidRPr="00FC1444">
        <w:rPr>
          <w:rFonts w:eastAsiaTheme="minorEastAsia"/>
          <w:bCs/>
          <w:sz w:val="24"/>
        </w:rPr>
        <w:t>等</w:t>
      </w:r>
      <w:r w:rsidRPr="00FC1444">
        <w:rPr>
          <w:rFonts w:eastAsiaTheme="minorEastAsia"/>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kern w:val="0"/>
          <w:sz w:val="24"/>
          <w:szCs w:val="20"/>
        </w:rPr>
        <w:t>项目区</w:t>
      </w:r>
      <w:r w:rsidRPr="00FC1444">
        <w:rPr>
          <w:rFonts w:eastAsiaTheme="minorEastAsia"/>
          <w:sz w:val="24"/>
        </w:rPr>
        <w:t>设置</w:t>
      </w:r>
      <w:r w:rsidR="007D6514" w:rsidRPr="00FC1444">
        <w:rPr>
          <w:rFonts w:eastAsiaTheme="minorEastAsia"/>
          <w:sz w:val="24"/>
        </w:rPr>
        <w:t>15</w:t>
      </w:r>
      <w:r w:rsidR="007D6514" w:rsidRPr="00FC1444">
        <w:rPr>
          <w:rFonts w:eastAsiaTheme="minorEastAsia"/>
          <w:sz w:val="24"/>
        </w:rPr>
        <w:t>台</w:t>
      </w:r>
      <w:r w:rsidRPr="00FC1444">
        <w:rPr>
          <w:rFonts w:eastAsiaTheme="minorEastAsia"/>
          <w:sz w:val="24"/>
        </w:rPr>
        <w:t>柴油机移动泵车</w:t>
      </w:r>
      <w:r w:rsidRPr="00FC1444">
        <w:rPr>
          <w:rFonts w:eastAsiaTheme="minorEastAsia"/>
          <w:kern w:val="0"/>
          <w:sz w:val="24"/>
          <w:szCs w:val="20"/>
        </w:rPr>
        <w:t>。</w:t>
      </w:r>
      <w:r w:rsidRPr="00FC1444">
        <w:rPr>
          <w:rFonts w:eastAsiaTheme="minorEastAsia"/>
          <w:sz w:val="24"/>
        </w:rPr>
        <w:t>根据建设单位提供，柴油机移动泵车功率为</w:t>
      </w:r>
      <w:r w:rsidRPr="00FC1444">
        <w:rPr>
          <w:rFonts w:eastAsiaTheme="minorEastAsia"/>
          <w:sz w:val="24"/>
        </w:rPr>
        <w:t>22kW</w:t>
      </w:r>
      <w:r w:rsidRPr="00FC1444">
        <w:rPr>
          <w:rFonts w:eastAsiaTheme="minorEastAsia"/>
          <w:sz w:val="24"/>
        </w:rPr>
        <w:t>，由于泵车分布较分散，单个泵车视为一个施工厂区，类比同类柴油机移动泵车，柴油消耗量约为</w:t>
      </w:r>
      <w:r w:rsidRPr="00FC1444">
        <w:rPr>
          <w:rFonts w:eastAsiaTheme="minorEastAsia"/>
          <w:sz w:val="24"/>
        </w:rPr>
        <w:t>200g/kWh</w:t>
      </w:r>
      <w:r w:rsidRPr="00FC1444">
        <w:rPr>
          <w:rFonts w:eastAsiaTheme="minorEastAsia"/>
          <w:sz w:val="24"/>
        </w:rPr>
        <w:t>，柴油密度为</w:t>
      </w:r>
      <w:r w:rsidRPr="00FC1444">
        <w:rPr>
          <w:rFonts w:eastAsiaTheme="minorEastAsia"/>
          <w:sz w:val="24"/>
        </w:rPr>
        <w:t>1.192kL/t</w:t>
      </w:r>
      <w:r w:rsidRPr="00FC1444">
        <w:rPr>
          <w:rFonts w:eastAsiaTheme="minorEastAsia"/>
          <w:sz w:val="24"/>
        </w:rPr>
        <w:t>，则柴油用量为</w:t>
      </w:r>
      <w:r w:rsidRPr="00FC1444">
        <w:rPr>
          <w:rFonts w:eastAsiaTheme="minorEastAsia"/>
          <w:sz w:val="24"/>
        </w:rPr>
        <w:t>2.384×10</w:t>
      </w:r>
      <w:r w:rsidRPr="00FC1444">
        <w:rPr>
          <w:rFonts w:eastAsiaTheme="minorEastAsia"/>
          <w:sz w:val="24"/>
          <w:vertAlign w:val="superscript"/>
        </w:rPr>
        <w:t>-4</w:t>
      </w:r>
      <w:r w:rsidRPr="00FC1444">
        <w:rPr>
          <w:rFonts w:eastAsiaTheme="minorEastAsia"/>
          <w:sz w:val="24"/>
        </w:rPr>
        <w:t>kL/kWh</w:t>
      </w:r>
      <w:r w:rsidRPr="00FC1444">
        <w:rPr>
          <w:rFonts w:eastAsiaTheme="minorEastAsia"/>
          <w:sz w:val="24"/>
        </w:rPr>
        <w:t>，</w:t>
      </w:r>
      <w:r w:rsidR="00051111" w:rsidRPr="00FC1444">
        <w:rPr>
          <w:rFonts w:eastAsiaTheme="minorEastAsia"/>
          <w:sz w:val="24"/>
        </w:rPr>
        <w:t>参考《非道路移动源大气污染物排放清单编制技术指南（试行）》，</w:t>
      </w:r>
      <w:r w:rsidRPr="00FC1444">
        <w:rPr>
          <w:rFonts w:eastAsiaTheme="minorEastAsia"/>
          <w:sz w:val="24"/>
        </w:rPr>
        <w:t>柴油机移动泵车废气主要污染物为</w:t>
      </w:r>
      <w:r w:rsidRPr="00FC1444">
        <w:rPr>
          <w:rFonts w:eastAsiaTheme="minorEastAsia"/>
          <w:sz w:val="24"/>
        </w:rPr>
        <w:t>CO</w:t>
      </w:r>
      <w:r w:rsidRPr="00FC1444">
        <w:rPr>
          <w:rFonts w:eastAsiaTheme="minorEastAsia"/>
          <w:sz w:val="24"/>
        </w:rPr>
        <w:t>、</w:t>
      </w:r>
      <w:r w:rsidRPr="00FC1444">
        <w:rPr>
          <w:rFonts w:eastAsiaTheme="minorEastAsia"/>
          <w:sz w:val="24"/>
        </w:rPr>
        <w:t>HC+NO</w:t>
      </w:r>
      <w:r w:rsidRPr="00FC1444">
        <w:rPr>
          <w:rFonts w:eastAsiaTheme="minorEastAsia"/>
          <w:sz w:val="24"/>
          <w:vertAlign w:val="subscript"/>
        </w:rPr>
        <w:t>x</w:t>
      </w:r>
      <w:r w:rsidRPr="00FC1444">
        <w:rPr>
          <w:rFonts w:eastAsiaTheme="minorEastAsia"/>
          <w:sz w:val="24"/>
        </w:rPr>
        <w:t>、</w:t>
      </w:r>
      <w:r w:rsidRPr="00FC1444">
        <w:rPr>
          <w:rFonts w:eastAsiaTheme="minorEastAsia"/>
          <w:sz w:val="24"/>
        </w:rPr>
        <w:t>PM</w:t>
      </w:r>
      <w:r w:rsidRPr="00FC1444">
        <w:rPr>
          <w:rFonts w:eastAsiaTheme="minorEastAsia"/>
          <w:sz w:val="24"/>
        </w:rPr>
        <w:t>（颗粒物），本项</w:t>
      </w:r>
      <w:r w:rsidRPr="00FC1444">
        <w:rPr>
          <w:rFonts w:eastAsiaTheme="minorEastAsia"/>
          <w:sz w:val="24"/>
        </w:rPr>
        <w:lastRenderedPageBreak/>
        <w:t>目各污染物排放速率等详见下表。</w:t>
      </w:r>
    </w:p>
    <w:p w:rsidR="002A5A5E" w:rsidRPr="00FC1444" w:rsidRDefault="00611CBA">
      <w:pPr>
        <w:contextualSpacing/>
        <w:jc w:val="center"/>
        <w:rPr>
          <w:rFonts w:eastAsiaTheme="minorEastAsia"/>
          <w:sz w:val="24"/>
        </w:rPr>
      </w:pPr>
      <w:r w:rsidRPr="00FC1444">
        <w:rPr>
          <w:rFonts w:eastAsiaTheme="minorEastAsia"/>
          <w:b/>
          <w:kern w:val="0"/>
          <w:szCs w:val="21"/>
        </w:rPr>
        <w:t>表</w:t>
      </w:r>
      <w:r w:rsidRPr="00FC1444">
        <w:rPr>
          <w:rFonts w:eastAsiaTheme="minorEastAsia"/>
          <w:b/>
          <w:kern w:val="0"/>
          <w:szCs w:val="21"/>
        </w:rPr>
        <w:t>3-3-6</w:t>
      </w:r>
      <w:r w:rsidRPr="00FC1444">
        <w:rPr>
          <w:rFonts w:eastAsiaTheme="minorEastAsia"/>
          <w:b/>
          <w:kern w:val="0"/>
          <w:szCs w:val="21"/>
        </w:rPr>
        <w:t>柴油机移动泵车中各污染物产生情况一览表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236"/>
        <w:gridCol w:w="2048"/>
        <w:gridCol w:w="2048"/>
        <w:gridCol w:w="2049"/>
      </w:tblGrid>
      <w:tr w:rsidR="002A5A5E" w:rsidRPr="00FC1444">
        <w:trPr>
          <w:trHeight w:val="294"/>
          <w:jc w:val="center"/>
        </w:trPr>
        <w:tc>
          <w:tcPr>
            <w:tcW w:w="2236"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污染物</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CO</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HC+NO</w:t>
            </w:r>
            <w:r w:rsidRPr="00FC1444">
              <w:rPr>
                <w:rFonts w:eastAsiaTheme="minorEastAsia"/>
                <w:szCs w:val="21"/>
                <w:vertAlign w:val="subscript"/>
              </w:rPr>
              <w:t>x</w:t>
            </w:r>
          </w:p>
        </w:tc>
        <w:tc>
          <w:tcPr>
            <w:tcW w:w="2049"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PM</w:t>
            </w:r>
            <w:r w:rsidRPr="00FC1444">
              <w:rPr>
                <w:rFonts w:eastAsiaTheme="minorEastAsia"/>
                <w:szCs w:val="21"/>
              </w:rPr>
              <w:t>（颗粒物）</w:t>
            </w:r>
          </w:p>
        </w:tc>
      </w:tr>
      <w:tr w:rsidR="002A5A5E" w:rsidRPr="00FC1444">
        <w:trPr>
          <w:trHeight w:val="315"/>
          <w:jc w:val="center"/>
        </w:trPr>
        <w:tc>
          <w:tcPr>
            <w:tcW w:w="2236"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排污系数（</w:t>
            </w:r>
            <w:r w:rsidRPr="00FC1444">
              <w:rPr>
                <w:rFonts w:eastAsiaTheme="minorEastAsia"/>
                <w:szCs w:val="21"/>
              </w:rPr>
              <w:t>kg/kL</w:t>
            </w:r>
            <w:r w:rsidRPr="00FC1444">
              <w:rPr>
                <w:rFonts w:eastAsiaTheme="minorEastAsia"/>
                <w:szCs w:val="21"/>
              </w:rPr>
              <w:t>柴油）</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0.63</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2.92</w:t>
            </w:r>
          </w:p>
        </w:tc>
        <w:tc>
          <w:tcPr>
            <w:tcW w:w="2049"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0.25</w:t>
            </w:r>
          </w:p>
        </w:tc>
      </w:tr>
      <w:tr w:rsidR="002A5A5E" w:rsidRPr="00FC1444">
        <w:trPr>
          <w:trHeight w:val="294"/>
          <w:jc w:val="center"/>
        </w:trPr>
        <w:tc>
          <w:tcPr>
            <w:tcW w:w="2236"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排放速率（</w:t>
            </w:r>
            <w:r w:rsidRPr="00FC1444">
              <w:rPr>
                <w:rFonts w:eastAsiaTheme="minorEastAsia"/>
                <w:szCs w:val="21"/>
              </w:rPr>
              <w:t>g/kW·h</w:t>
            </w:r>
            <w:r w:rsidRPr="00FC1444">
              <w:rPr>
                <w:rFonts w:eastAsiaTheme="minorEastAsia"/>
                <w:szCs w:val="21"/>
              </w:rPr>
              <w:t>）</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0.15</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0.696</w:t>
            </w:r>
          </w:p>
        </w:tc>
        <w:tc>
          <w:tcPr>
            <w:tcW w:w="2049"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0.06</w:t>
            </w:r>
          </w:p>
        </w:tc>
      </w:tr>
      <w:tr w:rsidR="002A5A5E" w:rsidRPr="00FC1444">
        <w:trPr>
          <w:trHeight w:val="294"/>
          <w:jc w:val="center"/>
        </w:trPr>
        <w:tc>
          <w:tcPr>
            <w:tcW w:w="2236"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排放标准（</w:t>
            </w:r>
            <w:r w:rsidRPr="00FC1444">
              <w:rPr>
                <w:rFonts w:eastAsiaTheme="minorEastAsia"/>
                <w:szCs w:val="21"/>
              </w:rPr>
              <w:t>g/kW·h</w:t>
            </w:r>
            <w:r w:rsidRPr="00FC1444">
              <w:rPr>
                <w:rFonts w:eastAsiaTheme="minorEastAsia"/>
                <w:szCs w:val="21"/>
              </w:rPr>
              <w:t>）</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3.5</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4.0</w:t>
            </w:r>
          </w:p>
        </w:tc>
        <w:tc>
          <w:tcPr>
            <w:tcW w:w="2049"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0.2</w:t>
            </w:r>
          </w:p>
        </w:tc>
      </w:tr>
      <w:tr w:rsidR="002A5A5E" w:rsidRPr="00FC1444">
        <w:trPr>
          <w:trHeight w:val="294"/>
          <w:jc w:val="center"/>
        </w:trPr>
        <w:tc>
          <w:tcPr>
            <w:tcW w:w="2236"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达标情况</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达标</w:t>
            </w:r>
          </w:p>
        </w:tc>
        <w:tc>
          <w:tcPr>
            <w:tcW w:w="2048"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达标</w:t>
            </w:r>
          </w:p>
        </w:tc>
        <w:tc>
          <w:tcPr>
            <w:tcW w:w="2049" w:type="dxa"/>
            <w:tcBorders>
              <w:tl2br w:val="nil"/>
              <w:tr2bl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达标</w:t>
            </w:r>
          </w:p>
        </w:tc>
      </w:tr>
    </w:tbl>
    <w:p w:rsidR="002A5A5E" w:rsidRPr="00FC1444" w:rsidRDefault="00611CBA">
      <w:pPr>
        <w:pStyle w:val="aff4"/>
        <w:adjustRightInd/>
        <w:rPr>
          <w:rFonts w:ascii="Times New Roman" w:hAnsi="Times New Roman" w:cs="Times New Roman"/>
          <w:snapToGrid w:val="0"/>
        </w:rPr>
      </w:pPr>
      <w:r w:rsidRPr="00FC1444">
        <w:rPr>
          <w:rFonts w:ascii="Times New Roman" w:hAnsi="Times New Roman" w:cs="Times New Roman"/>
        </w:rPr>
        <w:t>由上表可知，本项目各污染物排放速率能够满足</w:t>
      </w:r>
      <w:r w:rsidRPr="00FC1444">
        <w:rPr>
          <w:rFonts w:ascii="Times New Roman" w:hAnsi="Times New Roman" w:cs="Times New Roman"/>
        </w:rPr>
        <w:t>GB20891-2014</w:t>
      </w:r>
      <w:r w:rsidRPr="00FC1444">
        <w:rPr>
          <w:rFonts w:ascii="Times New Roman" w:hAnsi="Times New Roman" w:cs="Times New Roman"/>
        </w:rPr>
        <w:t>《非道路移动机械用柴油机移动泵车污染物排放限值及测量方法（中国三、四阶段）》中第四阶段（</w:t>
      </w:r>
      <w:r w:rsidRPr="00FC1444">
        <w:rPr>
          <w:rFonts w:ascii="Times New Roman" w:hAnsi="Times New Roman" w:cs="Times New Roman"/>
        </w:rPr>
        <w:t>130</w:t>
      </w:r>
      <w:r w:rsidRPr="00FC1444">
        <w:rPr>
          <w:rFonts w:ascii="Times New Roman" w:hAnsi="Times New Roman" w:cs="Times New Roman"/>
        </w:rPr>
        <w:t>＜额定功率＜</w:t>
      </w:r>
      <w:r w:rsidRPr="00FC1444">
        <w:rPr>
          <w:rFonts w:ascii="Times New Roman" w:hAnsi="Times New Roman" w:cs="Times New Roman"/>
        </w:rPr>
        <w:t>560kW</w:t>
      </w:r>
      <w:r w:rsidRPr="00FC1444">
        <w:rPr>
          <w:rFonts w:ascii="Times New Roman" w:hAnsi="Times New Roman" w:cs="Times New Roman"/>
        </w:rPr>
        <w:t>）中要求。</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3.3.2.3</w:t>
      </w:r>
      <w:r w:rsidRPr="00FC1444">
        <w:rPr>
          <w:rFonts w:eastAsiaTheme="minorEastAsia"/>
          <w:b/>
          <w:sz w:val="24"/>
        </w:rPr>
        <w:t>噪声污染分析</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本项目固定噪声源主要为水泵、</w:t>
      </w:r>
      <w:r w:rsidR="00A4540D" w:rsidRPr="00FC1444">
        <w:rPr>
          <w:rFonts w:eastAsiaTheme="minorEastAsia"/>
          <w:sz w:val="24"/>
        </w:rPr>
        <w:t>水肥一体化设备</w:t>
      </w:r>
      <w:r w:rsidRPr="00FC1444">
        <w:rPr>
          <w:rFonts w:eastAsiaTheme="minorEastAsia"/>
          <w:sz w:val="24"/>
        </w:rPr>
        <w:t>等，</w:t>
      </w:r>
      <w:r w:rsidRPr="00FC1444">
        <w:rPr>
          <w:rFonts w:eastAsiaTheme="minorEastAsia"/>
          <w:bCs/>
          <w:sz w:val="24"/>
        </w:rPr>
        <w:t>由于灌溉井潜水泵在灌溉井管内（位于地下）能够有效地阻隔声传播，经地下土体阻挡后，产生的噪声微弱</w:t>
      </w:r>
      <w:r w:rsidRPr="00FC1444">
        <w:rPr>
          <w:rFonts w:eastAsiaTheme="minorEastAsia"/>
          <w:sz w:val="24"/>
        </w:rPr>
        <w:t>，噪声源强见下表。</w:t>
      </w:r>
    </w:p>
    <w:p w:rsidR="002A5A5E" w:rsidRPr="00FC1444" w:rsidRDefault="00611CBA">
      <w:pPr>
        <w:contextualSpacing/>
        <w:jc w:val="center"/>
        <w:rPr>
          <w:rFonts w:eastAsiaTheme="minorEastAsia"/>
          <w:b/>
          <w:szCs w:val="21"/>
        </w:rPr>
      </w:pPr>
      <w:r w:rsidRPr="00FC1444">
        <w:rPr>
          <w:rFonts w:eastAsiaTheme="minorEastAsia"/>
          <w:b/>
          <w:szCs w:val="21"/>
        </w:rPr>
        <w:t>表</w:t>
      </w:r>
      <w:r w:rsidRPr="00FC1444">
        <w:rPr>
          <w:rFonts w:eastAsiaTheme="minorEastAsia"/>
          <w:b/>
          <w:szCs w:val="21"/>
        </w:rPr>
        <w:t xml:space="preserve">3-3-7 </w:t>
      </w:r>
      <w:r w:rsidRPr="00FC1444">
        <w:rPr>
          <w:rFonts w:eastAsiaTheme="minorEastAsia"/>
          <w:b/>
          <w:szCs w:val="21"/>
        </w:rPr>
        <w:t>噪声源强一览表（室内）</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394"/>
        <w:gridCol w:w="389"/>
        <w:gridCol w:w="392"/>
        <w:gridCol w:w="527"/>
        <w:gridCol w:w="533"/>
        <w:gridCol w:w="850"/>
        <w:gridCol w:w="515"/>
        <w:gridCol w:w="337"/>
        <w:gridCol w:w="424"/>
        <w:gridCol w:w="738"/>
        <w:gridCol w:w="716"/>
        <w:gridCol w:w="569"/>
        <w:gridCol w:w="716"/>
        <w:gridCol w:w="716"/>
        <w:gridCol w:w="706"/>
      </w:tblGrid>
      <w:tr w:rsidR="002A5A5E" w:rsidRPr="00FC1444" w:rsidTr="001815BB">
        <w:trPr>
          <w:trHeight w:val="20"/>
          <w:jc w:val="center"/>
        </w:trPr>
        <w:tc>
          <w:tcPr>
            <w:tcW w:w="231" w:type="pct"/>
            <w:vMerge w:val="restart"/>
            <w:vAlign w:val="center"/>
          </w:tcPr>
          <w:p w:rsidR="002A5A5E" w:rsidRPr="00FC1444" w:rsidRDefault="00611CBA">
            <w:pPr>
              <w:jc w:val="center"/>
              <w:rPr>
                <w:rFonts w:eastAsiaTheme="minorEastAsia"/>
                <w:szCs w:val="21"/>
              </w:rPr>
            </w:pPr>
            <w:r w:rsidRPr="00FC1444">
              <w:rPr>
                <w:rFonts w:eastAsiaTheme="minorEastAsia"/>
                <w:szCs w:val="21"/>
              </w:rPr>
              <w:t>工序</w:t>
            </w:r>
            <w:r w:rsidRPr="00FC1444">
              <w:rPr>
                <w:rFonts w:eastAsiaTheme="minorEastAsia"/>
                <w:szCs w:val="21"/>
              </w:rPr>
              <w:t>/</w:t>
            </w:r>
            <w:r w:rsidRPr="00FC1444">
              <w:rPr>
                <w:rFonts w:eastAsiaTheme="minorEastAsia"/>
                <w:szCs w:val="21"/>
              </w:rPr>
              <w:t>生产线</w:t>
            </w:r>
          </w:p>
        </w:tc>
        <w:tc>
          <w:tcPr>
            <w:tcW w:w="228" w:type="pct"/>
            <w:vMerge w:val="restart"/>
            <w:vAlign w:val="center"/>
          </w:tcPr>
          <w:p w:rsidR="002A5A5E" w:rsidRPr="00FC1444" w:rsidRDefault="00611CBA">
            <w:pPr>
              <w:jc w:val="center"/>
              <w:rPr>
                <w:rFonts w:eastAsiaTheme="minorEastAsia"/>
                <w:szCs w:val="21"/>
              </w:rPr>
            </w:pPr>
            <w:r w:rsidRPr="00FC1444">
              <w:rPr>
                <w:rFonts w:eastAsiaTheme="minorEastAsia"/>
                <w:szCs w:val="21"/>
              </w:rPr>
              <w:t>建筑物名称</w:t>
            </w:r>
          </w:p>
        </w:tc>
        <w:tc>
          <w:tcPr>
            <w:tcW w:w="230" w:type="pct"/>
            <w:vMerge w:val="restart"/>
            <w:vAlign w:val="center"/>
          </w:tcPr>
          <w:p w:rsidR="002A5A5E" w:rsidRPr="00FC1444" w:rsidRDefault="00611CBA">
            <w:pPr>
              <w:jc w:val="center"/>
              <w:rPr>
                <w:rFonts w:eastAsiaTheme="minorEastAsia"/>
                <w:szCs w:val="21"/>
              </w:rPr>
            </w:pPr>
            <w:r w:rsidRPr="00FC1444">
              <w:rPr>
                <w:rFonts w:eastAsiaTheme="minorEastAsia"/>
                <w:szCs w:val="21"/>
              </w:rPr>
              <w:t>声源名称</w:t>
            </w:r>
          </w:p>
        </w:tc>
        <w:tc>
          <w:tcPr>
            <w:tcW w:w="622" w:type="pct"/>
            <w:gridSpan w:val="2"/>
            <w:vAlign w:val="center"/>
          </w:tcPr>
          <w:p w:rsidR="002A5A5E" w:rsidRPr="00FC1444" w:rsidRDefault="00611CBA">
            <w:pPr>
              <w:jc w:val="center"/>
              <w:rPr>
                <w:rFonts w:eastAsiaTheme="minorEastAsia"/>
                <w:szCs w:val="21"/>
              </w:rPr>
            </w:pPr>
            <w:r w:rsidRPr="00FC1444">
              <w:rPr>
                <w:rFonts w:eastAsiaTheme="minorEastAsia"/>
                <w:szCs w:val="21"/>
              </w:rPr>
              <w:t>声源源强</w:t>
            </w:r>
          </w:p>
        </w:tc>
        <w:tc>
          <w:tcPr>
            <w:tcW w:w="499" w:type="pct"/>
            <w:vAlign w:val="center"/>
          </w:tcPr>
          <w:p w:rsidR="002A5A5E" w:rsidRPr="00FC1444" w:rsidRDefault="00611CBA">
            <w:pPr>
              <w:jc w:val="center"/>
              <w:rPr>
                <w:rFonts w:eastAsiaTheme="minorEastAsia"/>
                <w:szCs w:val="21"/>
              </w:rPr>
            </w:pPr>
            <w:r w:rsidRPr="00FC1444">
              <w:rPr>
                <w:rFonts w:eastAsiaTheme="minorEastAsia"/>
                <w:szCs w:val="21"/>
              </w:rPr>
              <w:t>声源控制措施</w:t>
            </w:r>
          </w:p>
        </w:tc>
        <w:tc>
          <w:tcPr>
            <w:tcW w:w="749" w:type="pct"/>
            <w:gridSpan w:val="3"/>
            <w:vAlign w:val="center"/>
          </w:tcPr>
          <w:p w:rsidR="002A5A5E" w:rsidRPr="00FC1444" w:rsidRDefault="00611CBA">
            <w:pPr>
              <w:jc w:val="center"/>
              <w:rPr>
                <w:rFonts w:eastAsiaTheme="minorEastAsia"/>
                <w:szCs w:val="21"/>
              </w:rPr>
            </w:pPr>
            <w:r w:rsidRPr="00FC1444">
              <w:rPr>
                <w:rFonts w:eastAsiaTheme="minorEastAsia"/>
                <w:szCs w:val="21"/>
              </w:rPr>
              <w:t>空间相对位置</w:t>
            </w:r>
            <w:r w:rsidRPr="00FC1444">
              <w:rPr>
                <w:rFonts w:eastAsiaTheme="minorEastAsia"/>
                <w:szCs w:val="21"/>
              </w:rPr>
              <w:t>/m</w:t>
            </w:r>
          </w:p>
        </w:tc>
        <w:tc>
          <w:tcPr>
            <w:tcW w:w="433" w:type="pct"/>
            <w:vMerge w:val="restart"/>
            <w:vAlign w:val="center"/>
          </w:tcPr>
          <w:p w:rsidR="002A5A5E" w:rsidRPr="00FC1444" w:rsidRDefault="00611CBA">
            <w:pPr>
              <w:jc w:val="center"/>
              <w:rPr>
                <w:rFonts w:eastAsiaTheme="minorEastAsia"/>
                <w:szCs w:val="21"/>
              </w:rPr>
            </w:pPr>
            <w:r w:rsidRPr="00FC1444">
              <w:rPr>
                <w:rFonts w:eastAsiaTheme="minorEastAsia"/>
                <w:szCs w:val="21"/>
              </w:rPr>
              <w:t>距室内边界距离</w:t>
            </w:r>
            <w:r w:rsidRPr="00FC1444">
              <w:rPr>
                <w:rFonts w:eastAsiaTheme="minorEastAsia"/>
                <w:szCs w:val="21"/>
              </w:rPr>
              <w:t>/m</w:t>
            </w:r>
          </w:p>
        </w:tc>
        <w:tc>
          <w:tcPr>
            <w:tcW w:w="420" w:type="pct"/>
            <w:vMerge w:val="restart"/>
            <w:vAlign w:val="center"/>
          </w:tcPr>
          <w:p w:rsidR="002A5A5E" w:rsidRPr="00FC1444" w:rsidRDefault="00611CBA">
            <w:pPr>
              <w:jc w:val="center"/>
              <w:rPr>
                <w:rFonts w:eastAsiaTheme="minorEastAsia"/>
                <w:szCs w:val="21"/>
              </w:rPr>
            </w:pPr>
            <w:r w:rsidRPr="00FC1444">
              <w:rPr>
                <w:rFonts w:eastAsiaTheme="minorEastAsia"/>
                <w:szCs w:val="21"/>
              </w:rPr>
              <w:t>室内边界声级</w:t>
            </w:r>
            <w:r w:rsidRPr="00FC1444">
              <w:rPr>
                <w:rFonts w:eastAsiaTheme="minorEastAsia"/>
                <w:szCs w:val="21"/>
              </w:rPr>
              <w:t>/dB(A)</w:t>
            </w:r>
          </w:p>
        </w:tc>
        <w:tc>
          <w:tcPr>
            <w:tcW w:w="334" w:type="pct"/>
            <w:vMerge w:val="restart"/>
            <w:vAlign w:val="center"/>
          </w:tcPr>
          <w:p w:rsidR="002A5A5E" w:rsidRPr="00FC1444" w:rsidRDefault="00611CBA">
            <w:pPr>
              <w:jc w:val="center"/>
              <w:rPr>
                <w:rFonts w:eastAsiaTheme="minorEastAsia"/>
                <w:szCs w:val="21"/>
              </w:rPr>
            </w:pPr>
            <w:r w:rsidRPr="00FC1444">
              <w:rPr>
                <w:rFonts w:eastAsiaTheme="minorEastAsia"/>
                <w:szCs w:val="21"/>
              </w:rPr>
              <w:t>运行时段</w:t>
            </w:r>
          </w:p>
        </w:tc>
        <w:tc>
          <w:tcPr>
            <w:tcW w:w="420" w:type="pct"/>
            <w:vMerge w:val="restart"/>
            <w:vAlign w:val="center"/>
          </w:tcPr>
          <w:p w:rsidR="002A5A5E" w:rsidRPr="00FC1444" w:rsidRDefault="00611CBA">
            <w:pPr>
              <w:jc w:val="center"/>
              <w:rPr>
                <w:rFonts w:eastAsiaTheme="minorEastAsia"/>
                <w:szCs w:val="21"/>
              </w:rPr>
            </w:pPr>
            <w:r w:rsidRPr="00FC1444">
              <w:rPr>
                <w:rFonts w:eastAsiaTheme="minorEastAsia"/>
                <w:szCs w:val="21"/>
              </w:rPr>
              <w:t>建筑物插入损失</w:t>
            </w:r>
            <w:r w:rsidRPr="00FC1444">
              <w:rPr>
                <w:rFonts w:eastAsiaTheme="minorEastAsia"/>
                <w:szCs w:val="21"/>
              </w:rPr>
              <w:t>/dB(A)</w:t>
            </w:r>
          </w:p>
        </w:tc>
        <w:tc>
          <w:tcPr>
            <w:tcW w:w="834" w:type="pct"/>
            <w:gridSpan w:val="2"/>
            <w:vAlign w:val="center"/>
          </w:tcPr>
          <w:p w:rsidR="002A5A5E" w:rsidRPr="00FC1444" w:rsidRDefault="00611CBA">
            <w:pPr>
              <w:jc w:val="center"/>
              <w:rPr>
                <w:rFonts w:eastAsiaTheme="minorEastAsia"/>
                <w:szCs w:val="21"/>
              </w:rPr>
            </w:pPr>
            <w:r w:rsidRPr="00FC1444">
              <w:rPr>
                <w:rFonts w:eastAsiaTheme="minorEastAsia"/>
                <w:szCs w:val="21"/>
              </w:rPr>
              <w:t>建筑物外噪声</w:t>
            </w:r>
          </w:p>
        </w:tc>
      </w:tr>
      <w:tr w:rsidR="002A5A5E" w:rsidRPr="00FC1444" w:rsidTr="001815BB">
        <w:trPr>
          <w:trHeight w:val="858"/>
          <w:tblHeader/>
          <w:jc w:val="center"/>
        </w:trPr>
        <w:tc>
          <w:tcPr>
            <w:tcW w:w="231" w:type="pct"/>
            <w:vMerge/>
            <w:vAlign w:val="center"/>
          </w:tcPr>
          <w:p w:rsidR="002A5A5E" w:rsidRPr="00FC1444" w:rsidRDefault="002A5A5E">
            <w:pPr>
              <w:jc w:val="center"/>
              <w:rPr>
                <w:rFonts w:eastAsiaTheme="minorEastAsia"/>
                <w:szCs w:val="21"/>
              </w:rPr>
            </w:pPr>
          </w:p>
        </w:tc>
        <w:tc>
          <w:tcPr>
            <w:tcW w:w="228" w:type="pct"/>
            <w:vMerge/>
            <w:vAlign w:val="center"/>
          </w:tcPr>
          <w:p w:rsidR="002A5A5E" w:rsidRPr="00FC1444" w:rsidRDefault="002A5A5E">
            <w:pPr>
              <w:jc w:val="center"/>
              <w:rPr>
                <w:rFonts w:eastAsiaTheme="minorEastAsia"/>
                <w:szCs w:val="21"/>
              </w:rPr>
            </w:pPr>
          </w:p>
        </w:tc>
        <w:tc>
          <w:tcPr>
            <w:tcW w:w="230" w:type="pct"/>
            <w:vMerge/>
            <w:vAlign w:val="center"/>
          </w:tcPr>
          <w:p w:rsidR="002A5A5E" w:rsidRPr="00FC1444" w:rsidRDefault="002A5A5E">
            <w:pPr>
              <w:jc w:val="center"/>
              <w:rPr>
                <w:rFonts w:eastAsiaTheme="minorEastAsia"/>
                <w:szCs w:val="21"/>
              </w:rPr>
            </w:pPr>
          </w:p>
        </w:tc>
        <w:tc>
          <w:tcPr>
            <w:tcW w:w="622" w:type="pct"/>
            <w:gridSpan w:val="2"/>
            <w:vAlign w:val="center"/>
          </w:tcPr>
          <w:p w:rsidR="002A5A5E" w:rsidRPr="00FC1444" w:rsidRDefault="00611CBA">
            <w:pPr>
              <w:jc w:val="center"/>
              <w:rPr>
                <w:rFonts w:eastAsiaTheme="minorEastAsia"/>
                <w:szCs w:val="21"/>
              </w:rPr>
            </w:pPr>
            <w:r w:rsidRPr="00FC1444">
              <w:rPr>
                <w:rFonts w:eastAsiaTheme="minorEastAsia"/>
                <w:szCs w:val="21"/>
              </w:rPr>
              <w:t>（声压级</w:t>
            </w:r>
            <w:r w:rsidRPr="00FC1444">
              <w:rPr>
                <w:rFonts w:eastAsiaTheme="minorEastAsia"/>
                <w:szCs w:val="21"/>
              </w:rPr>
              <w:t>/</w:t>
            </w:r>
            <w:r w:rsidRPr="00FC1444">
              <w:rPr>
                <w:rFonts w:eastAsiaTheme="minorEastAsia"/>
                <w:szCs w:val="21"/>
              </w:rPr>
              <w:t>距声源距离）</w:t>
            </w:r>
            <w:r w:rsidRPr="00FC1444">
              <w:rPr>
                <w:rFonts w:eastAsiaTheme="minorEastAsia"/>
                <w:szCs w:val="21"/>
              </w:rPr>
              <w:t>/</w:t>
            </w:r>
            <w:r w:rsidRPr="00FC1444">
              <w:rPr>
                <w:rFonts w:eastAsiaTheme="minorEastAsia"/>
                <w:szCs w:val="21"/>
              </w:rPr>
              <w:t>（</w:t>
            </w:r>
            <w:r w:rsidRPr="00FC1444">
              <w:rPr>
                <w:rFonts w:eastAsiaTheme="minorEastAsia"/>
                <w:szCs w:val="21"/>
              </w:rPr>
              <w:t>dB(A)/m</w:t>
            </w:r>
            <w:r w:rsidRPr="00FC1444">
              <w:rPr>
                <w:rFonts w:eastAsiaTheme="minorEastAsia"/>
                <w:szCs w:val="21"/>
              </w:rPr>
              <w:t>）</w:t>
            </w:r>
          </w:p>
        </w:tc>
        <w:tc>
          <w:tcPr>
            <w:tcW w:w="499" w:type="pct"/>
            <w:vAlign w:val="center"/>
          </w:tcPr>
          <w:p w:rsidR="002A5A5E" w:rsidRPr="00FC1444" w:rsidRDefault="00611CBA">
            <w:pPr>
              <w:jc w:val="center"/>
              <w:rPr>
                <w:rFonts w:eastAsiaTheme="minorEastAsia"/>
                <w:szCs w:val="21"/>
              </w:rPr>
            </w:pPr>
            <w:r w:rsidRPr="00FC1444">
              <w:rPr>
                <w:rFonts w:eastAsiaTheme="minorEastAsia"/>
                <w:szCs w:val="21"/>
              </w:rPr>
              <w:t>工艺</w:t>
            </w:r>
          </w:p>
        </w:tc>
        <w:tc>
          <w:tcPr>
            <w:tcW w:w="302" w:type="pct"/>
            <w:vAlign w:val="center"/>
          </w:tcPr>
          <w:p w:rsidR="002A5A5E" w:rsidRPr="00FC1444" w:rsidRDefault="00611CBA">
            <w:pPr>
              <w:jc w:val="center"/>
              <w:rPr>
                <w:rFonts w:eastAsiaTheme="minorEastAsia"/>
                <w:szCs w:val="21"/>
              </w:rPr>
            </w:pPr>
            <w:r w:rsidRPr="00FC1444">
              <w:rPr>
                <w:rFonts w:eastAsiaTheme="minorEastAsia"/>
                <w:szCs w:val="21"/>
              </w:rPr>
              <w:t>X</w:t>
            </w:r>
          </w:p>
        </w:tc>
        <w:tc>
          <w:tcPr>
            <w:tcW w:w="198" w:type="pct"/>
            <w:vAlign w:val="center"/>
          </w:tcPr>
          <w:p w:rsidR="002A5A5E" w:rsidRPr="00FC1444" w:rsidRDefault="00611CBA">
            <w:pPr>
              <w:jc w:val="center"/>
              <w:rPr>
                <w:rFonts w:eastAsiaTheme="minorEastAsia"/>
                <w:szCs w:val="21"/>
              </w:rPr>
            </w:pPr>
            <w:r w:rsidRPr="00FC1444">
              <w:rPr>
                <w:rFonts w:eastAsiaTheme="minorEastAsia"/>
                <w:szCs w:val="21"/>
              </w:rPr>
              <w:t>Y</w:t>
            </w:r>
          </w:p>
        </w:tc>
        <w:tc>
          <w:tcPr>
            <w:tcW w:w="249" w:type="pct"/>
            <w:vAlign w:val="center"/>
          </w:tcPr>
          <w:p w:rsidR="002A5A5E" w:rsidRPr="00FC1444" w:rsidRDefault="00611CBA">
            <w:pPr>
              <w:jc w:val="center"/>
              <w:rPr>
                <w:rFonts w:eastAsiaTheme="minorEastAsia"/>
                <w:szCs w:val="21"/>
              </w:rPr>
            </w:pPr>
            <w:r w:rsidRPr="00FC1444">
              <w:rPr>
                <w:rFonts w:eastAsiaTheme="minorEastAsia"/>
                <w:szCs w:val="21"/>
              </w:rPr>
              <w:t>Z</w:t>
            </w:r>
          </w:p>
        </w:tc>
        <w:tc>
          <w:tcPr>
            <w:tcW w:w="433" w:type="pct"/>
            <w:vMerge/>
            <w:vAlign w:val="center"/>
          </w:tcPr>
          <w:p w:rsidR="002A5A5E" w:rsidRPr="00FC1444" w:rsidRDefault="002A5A5E">
            <w:pPr>
              <w:jc w:val="center"/>
              <w:rPr>
                <w:rFonts w:eastAsiaTheme="minorEastAsia"/>
                <w:szCs w:val="21"/>
              </w:rPr>
            </w:pPr>
          </w:p>
        </w:tc>
        <w:tc>
          <w:tcPr>
            <w:tcW w:w="420" w:type="pct"/>
            <w:vMerge/>
            <w:vAlign w:val="center"/>
          </w:tcPr>
          <w:p w:rsidR="002A5A5E" w:rsidRPr="00FC1444" w:rsidRDefault="002A5A5E">
            <w:pPr>
              <w:jc w:val="center"/>
              <w:rPr>
                <w:rFonts w:eastAsiaTheme="minorEastAsia"/>
                <w:szCs w:val="21"/>
              </w:rPr>
            </w:pPr>
          </w:p>
        </w:tc>
        <w:tc>
          <w:tcPr>
            <w:tcW w:w="334" w:type="pct"/>
            <w:vMerge/>
            <w:vAlign w:val="center"/>
          </w:tcPr>
          <w:p w:rsidR="002A5A5E" w:rsidRPr="00FC1444" w:rsidRDefault="002A5A5E">
            <w:pPr>
              <w:jc w:val="center"/>
              <w:rPr>
                <w:rFonts w:eastAsiaTheme="minorEastAsia"/>
                <w:szCs w:val="21"/>
              </w:rPr>
            </w:pPr>
          </w:p>
        </w:tc>
        <w:tc>
          <w:tcPr>
            <w:tcW w:w="420" w:type="pct"/>
            <w:vMerge/>
            <w:vAlign w:val="center"/>
          </w:tcPr>
          <w:p w:rsidR="002A5A5E" w:rsidRPr="00FC1444" w:rsidRDefault="002A5A5E">
            <w:pPr>
              <w:jc w:val="center"/>
              <w:rPr>
                <w:rFonts w:eastAsiaTheme="minorEastAsia"/>
                <w:szCs w:val="21"/>
              </w:rPr>
            </w:pPr>
          </w:p>
        </w:tc>
        <w:tc>
          <w:tcPr>
            <w:tcW w:w="420" w:type="pct"/>
            <w:vAlign w:val="center"/>
          </w:tcPr>
          <w:p w:rsidR="002A5A5E" w:rsidRPr="00FC1444" w:rsidRDefault="00611CBA">
            <w:pPr>
              <w:jc w:val="center"/>
              <w:rPr>
                <w:rFonts w:eastAsiaTheme="minorEastAsia"/>
                <w:szCs w:val="21"/>
              </w:rPr>
            </w:pPr>
            <w:r w:rsidRPr="00FC1444">
              <w:rPr>
                <w:rFonts w:eastAsiaTheme="minorEastAsia"/>
                <w:szCs w:val="21"/>
              </w:rPr>
              <w:t>声压级</w:t>
            </w:r>
          </w:p>
          <w:p w:rsidR="002A5A5E" w:rsidRPr="00FC1444" w:rsidRDefault="00611CBA">
            <w:pPr>
              <w:jc w:val="center"/>
              <w:rPr>
                <w:rFonts w:eastAsiaTheme="minorEastAsia"/>
                <w:szCs w:val="21"/>
              </w:rPr>
            </w:pPr>
            <w:r w:rsidRPr="00FC1444">
              <w:rPr>
                <w:rFonts w:eastAsiaTheme="minorEastAsia"/>
                <w:szCs w:val="21"/>
              </w:rPr>
              <w:t>/dB(A)</w:t>
            </w:r>
          </w:p>
        </w:tc>
        <w:tc>
          <w:tcPr>
            <w:tcW w:w="414" w:type="pct"/>
            <w:vAlign w:val="center"/>
          </w:tcPr>
          <w:p w:rsidR="002A5A5E" w:rsidRPr="00FC1444" w:rsidRDefault="00611CBA">
            <w:pPr>
              <w:jc w:val="center"/>
              <w:rPr>
                <w:rFonts w:eastAsiaTheme="minorEastAsia"/>
                <w:szCs w:val="21"/>
              </w:rPr>
            </w:pPr>
            <w:r w:rsidRPr="00FC1444">
              <w:rPr>
                <w:rFonts w:eastAsiaTheme="minorEastAsia"/>
                <w:szCs w:val="21"/>
              </w:rPr>
              <w:t>建筑物外距离（</w:t>
            </w:r>
            <w:r w:rsidRPr="00FC1444">
              <w:rPr>
                <w:rFonts w:eastAsiaTheme="minorEastAsia"/>
                <w:szCs w:val="21"/>
              </w:rPr>
              <w:t>m</w:t>
            </w:r>
            <w:r w:rsidRPr="00FC1444">
              <w:rPr>
                <w:rFonts w:eastAsiaTheme="minorEastAsia"/>
                <w:szCs w:val="21"/>
              </w:rPr>
              <w:t>）</w:t>
            </w:r>
          </w:p>
        </w:tc>
      </w:tr>
      <w:tr w:rsidR="002A5A5E" w:rsidRPr="00FC1444" w:rsidTr="001815BB">
        <w:trPr>
          <w:trHeight w:val="20"/>
          <w:tblHeader/>
          <w:jc w:val="center"/>
        </w:trPr>
        <w:tc>
          <w:tcPr>
            <w:tcW w:w="231" w:type="pct"/>
            <w:vMerge w:val="restart"/>
            <w:vAlign w:val="center"/>
          </w:tcPr>
          <w:p w:rsidR="002A5A5E" w:rsidRPr="00FC1444" w:rsidRDefault="00611CBA">
            <w:pPr>
              <w:contextualSpacing/>
              <w:jc w:val="center"/>
              <w:rPr>
                <w:rFonts w:eastAsiaTheme="minorEastAsia"/>
                <w:szCs w:val="21"/>
              </w:rPr>
            </w:pPr>
            <w:r w:rsidRPr="00FC1444">
              <w:rPr>
                <w:rFonts w:eastAsiaTheme="minorEastAsia"/>
                <w:szCs w:val="21"/>
              </w:rPr>
              <w:t>灌溉</w:t>
            </w:r>
          </w:p>
        </w:tc>
        <w:tc>
          <w:tcPr>
            <w:tcW w:w="228" w:type="pct"/>
            <w:vMerge w:val="restart"/>
            <w:vAlign w:val="center"/>
          </w:tcPr>
          <w:p w:rsidR="002A5A5E" w:rsidRPr="00FC1444" w:rsidRDefault="00611CBA">
            <w:pPr>
              <w:contextualSpacing/>
              <w:jc w:val="center"/>
              <w:rPr>
                <w:rFonts w:eastAsiaTheme="minorEastAsia"/>
                <w:szCs w:val="21"/>
              </w:rPr>
            </w:pPr>
            <w:r w:rsidRPr="00FC1444">
              <w:rPr>
                <w:rFonts w:eastAsiaTheme="minorEastAsia"/>
                <w:szCs w:val="21"/>
              </w:rPr>
              <w:t>井房</w:t>
            </w:r>
          </w:p>
        </w:tc>
        <w:tc>
          <w:tcPr>
            <w:tcW w:w="230" w:type="pct"/>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snapToGrid w:val="0"/>
                <w:kern w:val="0"/>
              </w:rPr>
              <w:t>水肥一体</w:t>
            </w:r>
            <w:r w:rsidR="0003457C" w:rsidRPr="00FC1444">
              <w:rPr>
                <w:rFonts w:eastAsiaTheme="minorEastAsia"/>
                <w:snapToGrid w:val="0"/>
                <w:kern w:val="0"/>
              </w:rPr>
              <w:t>化</w:t>
            </w:r>
            <w:r w:rsidRPr="00FC1444">
              <w:rPr>
                <w:rFonts w:eastAsiaTheme="minorEastAsia"/>
                <w:snapToGrid w:val="0"/>
                <w:kern w:val="0"/>
              </w:rPr>
              <w:t>设备</w:t>
            </w:r>
          </w:p>
        </w:tc>
        <w:tc>
          <w:tcPr>
            <w:tcW w:w="309" w:type="pct"/>
            <w:vAlign w:val="center"/>
          </w:tcPr>
          <w:p w:rsidR="002A5A5E" w:rsidRPr="00FC1444" w:rsidRDefault="00611CBA">
            <w:pPr>
              <w:jc w:val="center"/>
              <w:rPr>
                <w:rFonts w:eastAsiaTheme="minorEastAsia"/>
                <w:szCs w:val="21"/>
              </w:rPr>
            </w:pPr>
            <w:r w:rsidRPr="00FC1444">
              <w:rPr>
                <w:rFonts w:eastAsiaTheme="minorEastAsia"/>
                <w:szCs w:val="21"/>
              </w:rPr>
              <w:t>70</w:t>
            </w:r>
          </w:p>
        </w:tc>
        <w:tc>
          <w:tcPr>
            <w:tcW w:w="313" w:type="pct"/>
            <w:vAlign w:val="center"/>
          </w:tcPr>
          <w:p w:rsidR="002A5A5E" w:rsidRPr="00FC1444" w:rsidRDefault="00611CBA">
            <w:pPr>
              <w:contextualSpacing/>
              <w:jc w:val="center"/>
              <w:rPr>
                <w:rFonts w:eastAsiaTheme="minorEastAsia"/>
                <w:szCs w:val="21"/>
              </w:rPr>
            </w:pPr>
            <w:r w:rsidRPr="00FC1444">
              <w:rPr>
                <w:rFonts w:eastAsiaTheme="minorEastAsia"/>
                <w:szCs w:val="21"/>
              </w:rPr>
              <w:t>设备外</w:t>
            </w:r>
            <w:r w:rsidRPr="00FC1444">
              <w:rPr>
                <w:rFonts w:eastAsiaTheme="minorEastAsia"/>
                <w:szCs w:val="21"/>
              </w:rPr>
              <w:t>1m</w:t>
            </w:r>
          </w:p>
        </w:tc>
        <w:tc>
          <w:tcPr>
            <w:tcW w:w="499" w:type="pct"/>
            <w:vAlign w:val="center"/>
          </w:tcPr>
          <w:p w:rsidR="002A5A5E" w:rsidRPr="00FC1444" w:rsidRDefault="00611CBA">
            <w:pPr>
              <w:adjustRightInd w:val="0"/>
              <w:snapToGrid w:val="0"/>
              <w:spacing w:line="0" w:lineRule="atLeast"/>
              <w:jc w:val="center"/>
              <w:rPr>
                <w:rFonts w:eastAsiaTheme="minorEastAsia"/>
                <w:snapToGrid w:val="0"/>
                <w:szCs w:val="21"/>
              </w:rPr>
            </w:pPr>
            <w:r w:rsidRPr="00FC1444">
              <w:rPr>
                <w:rFonts w:eastAsiaTheme="minorEastAsia"/>
                <w:snapToGrid w:val="0"/>
                <w:szCs w:val="21"/>
              </w:rPr>
              <w:t>井房隔声</w:t>
            </w:r>
          </w:p>
        </w:tc>
        <w:tc>
          <w:tcPr>
            <w:tcW w:w="302" w:type="pct"/>
            <w:vAlign w:val="center"/>
          </w:tcPr>
          <w:p w:rsidR="002A5A5E" w:rsidRPr="00FC1444" w:rsidRDefault="00611CBA">
            <w:pPr>
              <w:jc w:val="center"/>
              <w:rPr>
                <w:rFonts w:eastAsiaTheme="minorEastAsia"/>
                <w:szCs w:val="21"/>
              </w:rPr>
            </w:pPr>
            <w:r w:rsidRPr="00FC1444">
              <w:rPr>
                <w:rFonts w:eastAsiaTheme="minorEastAsia"/>
                <w:szCs w:val="21"/>
              </w:rPr>
              <w:t>2</w:t>
            </w:r>
          </w:p>
        </w:tc>
        <w:tc>
          <w:tcPr>
            <w:tcW w:w="198" w:type="pct"/>
            <w:vAlign w:val="center"/>
          </w:tcPr>
          <w:p w:rsidR="002A5A5E" w:rsidRPr="00FC1444" w:rsidRDefault="00611CBA">
            <w:pPr>
              <w:jc w:val="center"/>
              <w:rPr>
                <w:rFonts w:eastAsiaTheme="minorEastAsia"/>
                <w:szCs w:val="21"/>
              </w:rPr>
            </w:pPr>
            <w:r w:rsidRPr="00FC1444">
              <w:rPr>
                <w:rFonts w:eastAsiaTheme="minorEastAsia"/>
                <w:szCs w:val="21"/>
              </w:rPr>
              <w:t>2</w:t>
            </w:r>
          </w:p>
        </w:tc>
        <w:tc>
          <w:tcPr>
            <w:tcW w:w="249" w:type="pct"/>
            <w:vAlign w:val="center"/>
          </w:tcPr>
          <w:p w:rsidR="002A5A5E" w:rsidRPr="00FC1444" w:rsidRDefault="00611CBA">
            <w:pPr>
              <w:jc w:val="center"/>
              <w:rPr>
                <w:rFonts w:eastAsiaTheme="minorEastAsia"/>
                <w:szCs w:val="21"/>
              </w:rPr>
            </w:pPr>
            <w:r w:rsidRPr="00FC1444">
              <w:rPr>
                <w:rFonts w:eastAsiaTheme="minorEastAsia"/>
                <w:szCs w:val="21"/>
              </w:rPr>
              <w:t>1</w:t>
            </w:r>
          </w:p>
        </w:tc>
        <w:tc>
          <w:tcPr>
            <w:tcW w:w="433" w:type="pct"/>
            <w:vAlign w:val="center"/>
          </w:tcPr>
          <w:p w:rsidR="002A5A5E" w:rsidRPr="00FC1444" w:rsidRDefault="00611CBA">
            <w:pPr>
              <w:jc w:val="center"/>
              <w:rPr>
                <w:rFonts w:eastAsiaTheme="minorEastAsia"/>
                <w:szCs w:val="21"/>
              </w:rPr>
            </w:pPr>
            <w:r w:rsidRPr="00FC1444">
              <w:rPr>
                <w:rFonts w:eastAsiaTheme="minorEastAsia"/>
                <w:szCs w:val="21"/>
              </w:rPr>
              <w:t>2</w:t>
            </w:r>
          </w:p>
        </w:tc>
        <w:tc>
          <w:tcPr>
            <w:tcW w:w="420" w:type="pct"/>
            <w:vAlign w:val="center"/>
          </w:tcPr>
          <w:p w:rsidR="002A5A5E" w:rsidRPr="00FC1444" w:rsidRDefault="00611CBA">
            <w:pPr>
              <w:jc w:val="center"/>
              <w:rPr>
                <w:rFonts w:eastAsiaTheme="minorEastAsia"/>
                <w:szCs w:val="21"/>
              </w:rPr>
            </w:pPr>
            <w:r w:rsidRPr="00FC1444">
              <w:rPr>
                <w:rFonts w:eastAsiaTheme="minorEastAsia"/>
                <w:szCs w:val="21"/>
              </w:rPr>
              <w:t>64</w:t>
            </w:r>
          </w:p>
        </w:tc>
        <w:tc>
          <w:tcPr>
            <w:tcW w:w="334" w:type="pct"/>
            <w:vMerge w:val="restart"/>
            <w:vAlign w:val="center"/>
          </w:tcPr>
          <w:p w:rsidR="002A5A5E" w:rsidRPr="00FC1444" w:rsidRDefault="00611CBA">
            <w:pPr>
              <w:jc w:val="center"/>
              <w:rPr>
                <w:rFonts w:eastAsiaTheme="minorEastAsia"/>
                <w:szCs w:val="21"/>
              </w:rPr>
            </w:pPr>
            <w:r w:rsidRPr="00FC1444">
              <w:rPr>
                <w:rFonts w:eastAsiaTheme="minorEastAsia"/>
                <w:szCs w:val="21"/>
              </w:rPr>
              <w:t>昼间、夜间</w:t>
            </w:r>
          </w:p>
        </w:tc>
        <w:tc>
          <w:tcPr>
            <w:tcW w:w="420" w:type="pct"/>
            <w:vAlign w:val="center"/>
          </w:tcPr>
          <w:p w:rsidR="002A5A5E" w:rsidRPr="00FC1444" w:rsidRDefault="00611CBA">
            <w:pPr>
              <w:jc w:val="center"/>
              <w:rPr>
                <w:rFonts w:eastAsiaTheme="minorEastAsia"/>
                <w:szCs w:val="21"/>
              </w:rPr>
            </w:pPr>
            <w:r w:rsidRPr="00FC1444">
              <w:rPr>
                <w:rFonts w:eastAsiaTheme="minorEastAsia"/>
                <w:szCs w:val="21"/>
              </w:rPr>
              <w:t>10</w:t>
            </w:r>
          </w:p>
        </w:tc>
        <w:tc>
          <w:tcPr>
            <w:tcW w:w="420" w:type="pct"/>
            <w:vAlign w:val="center"/>
          </w:tcPr>
          <w:p w:rsidR="002A5A5E" w:rsidRPr="00FC1444" w:rsidRDefault="00611CBA">
            <w:pPr>
              <w:jc w:val="center"/>
              <w:rPr>
                <w:rFonts w:eastAsiaTheme="minorEastAsia"/>
                <w:szCs w:val="21"/>
              </w:rPr>
            </w:pPr>
            <w:r w:rsidRPr="00FC1444">
              <w:rPr>
                <w:rFonts w:eastAsiaTheme="minorEastAsia"/>
                <w:szCs w:val="21"/>
              </w:rPr>
              <w:t>54</w:t>
            </w:r>
          </w:p>
        </w:tc>
        <w:tc>
          <w:tcPr>
            <w:tcW w:w="414" w:type="pct"/>
            <w:vAlign w:val="center"/>
          </w:tcPr>
          <w:p w:rsidR="002A5A5E" w:rsidRPr="00FC1444" w:rsidRDefault="00611CBA">
            <w:pPr>
              <w:jc w:val="center"/>
              <w:rPr>
                <w:rFonts w:eastAsiaTheme="minorEastAsia"/>
                <w:szCs w:val="21"/>
              </w:rPr>
            </w:pPr>
            <w:r w:rsidRPr="00FC1444">
              <w:rPr>
                <w:rFonts w:eastAsiaTheme="minorEastAsia"/>
                <w:szCs w:val="21"/>
              </w:rPr>
              <w:t>1</w:t>
            </w:r>
          </w:p>
        </w:tc>
      </w:tr>
      <w:tr w:rsidR="002A5A5E" w:rsidRPr="00FC1444" w:rsidTr="001815BB">
        <w:trPr>
          <w:trHeight w:val="20"/>
          <w:tblHeader/>
          <w:jc w:val="center"/>
        </w:trPr>
        <w:tc>
          <w:tcPr>
            <w:tcW w:w="231" w:type="pct"/>
            <w:vMerge/>
            <w:vAlign w:val="center"/>
          </w:tcPr>
          <w:p w:rsidR="002A5A5E" w:rsidRPr="00FC1444" w:rsidRDefault="002A5A5E">
            <w:pPr>
              <w:jc w:val="center"/>
              <w:rPr>
                <w:rFonts w:eastAsiaTheme="minorEastAsia"/>
                <w:szCs w:val="21"/>
              </w:rPr>
            </w:pPr>
          </w:p>
        </w:tc>
        <w:tc>
          <w:tcPr>
            <w:tcW w:w="228" w:type="pct"/>
            <w:vMerge/>
            <w:vAlign w:val="center"/>
          </w:tcPr>
          <w:p w:rsidR="002A5A5E" w:rsidRPr="00FC1444" w:rsidRDefault="002A5A5E">
            <w:pPr>
              <w:jc w:val="center"/>
              <w:rPr>
                <w:rFonts w:eastAsiaTheme="minorEastAsia"/>
                <w:szCs w:val="21"/>
              </w:rPr>
            </w:pPr>
          </w:p>
        </w:tc>
        <w:tc>
          <w:tcPr>
            <w:tcW w:w="230" w:type="pct"/>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潜水泵</w:t>
            </w:r>
          </w:p>
        </w:tc>
        <w:tc>
          <w:tcPr>
            <w:tcW w:w="309" w:type="pct"/>
            <w:vAlign w:val="center"/>
          </w:tcPr>
          <w:p w:rsidR="002A5A5E" w:rsidRPr="00FC1444" w:rsidRDefault="009524A2">
            <w:pPr>
              <w:jc w:val="center"/>
              <w:rPr>
                <w:rFonts w:eastAsiaTheme="minorEastAsia"/>
                <w:szCs w:val="21"/>
              </w:rPr>
            </w:pPr>
            <w:r w:rsidRPr="00FC1444">
              <w:rPr>
                <w:rFonts w:eastAsiaTheme="minorEastAsia"/>
                <w:szCs w:val="21"/>
              </w:rPr>
              <w:t>70</w:t>
            </w:r>
          </w:p>
        </w:tc>
        <w:tc>
          <w:tcPr>
            <w:tcW w:w="313" w:type="pct"/>
            <w:vAlign w:val="center"/>
          </w:tcPr>
          <w:p w:rsidR="002A5A5E" w:rsidRPr="00FC1444" w:rsidRDefault="00611CBA">
            <w:pPr>
              <w:jc w:val="center"/>
              <w:rPr>
                <w:rFonts w:eastAsiaTheme="minorEastAsia"/>
                <w:szCs w:val="21"/>
              </w:rPr>
            </w:pPr>
            <w:r w:rsidRPr="00FC1444">
              <w:rPr>
                <w:rFonts w:eastAsiaTheme="minorEastAsia"/>
                <w:szCs w:val="21"/>
              </w:rPr>
              <w:t>设备外</w:t>
            </w:r>
            <w:r w:rsidRPr="00FC1444">
              <w:rPr>
                <w:rFonts w:eastAsiaTheme="minorEastAsia"/>
                <w:szCs w:val="21"/>
              </w:rPr>
              <w:t>1m</w:t>
            </w:r>
          </w:p>
        </w:tc>
        <w:tc>
          <w:tcPr>
            <w:tcW w:w="499" w:type="pct"/>
            <w:vAlign w:val="center"/>
          </w:tcPr>
          <w:p w:rsidR="002A5A5E" w:rsidRPr="00FC1444" w:rsidRDefault="00611CBA">
            <w:pPr>
              <w:spacing w:line="0" w:lineRule="atLeast"/>
              <w:jc w:val="center"/>
              <w:rPr>
                <w:rFonts w:eastAsiaTheme="minorEastAsia"/>
                <w:snapToGrid w:val="0"/>
                <w:szCs w:val="22"/>
              </w:rPr>
            </w:pPr>
            <w:r w:rsidRPr="00FC1444">
              <w:rPr>
                <w:rFonts w:eastAsiaTheme="minorEastAsia"/>
                <w:snapToGrid w:val="0"/>
                <w:szCs w:val="21"/>
              </w:rPr>
              <w:t>井房隔声、</w:t>
            </w:r>
            <w:r w:rsidRPr="00FC1444">
              <w:rPr>
                <w:rFonts w:eastAsiaTheme="minorEastAsia"/>
              </w:rPr>
              <w:t>基础减振、位于地下</w:t>
            </w:r>
          </w:p>
        </w:tc>
        <w:tc>
          <w:tcPr>
            <w:tcW w:w="302" w:type="pct"/>
            <w:vAlign w:val="center"/>
          </w:tcPr>
          <w:p w:rsidR="002A5A5E" w:rsidRPr="00FC1444" w:rsidRDefault="00611CBA">
            <w:pPr>
              <w:jc w:val="center"/>
              <w:rPr>
                <w:rFonts w:eastAsiaTheme="minorEastAsia"/>
                <w:szCs w:val="21"/>
              </w:rPr>
            </w:pPr>
            <w:r w:rsidRPr="00FC1444">
              <w:rPr>
                <w:rFonts w:eastAsiaTheme="minorEastAsia"/>
                <w:szCs w:val="21"/>
              </w:rPr>
              <w:t>0</w:t>
            </w:r>
          </w:p>
        </w:tc>
        <w:tc>
          <w:tcPr>
            <w:tcW w:w="198" w:type="pct"/>
            <w:vAlign w:val="center"/>
          </w:tcPr>
          <w:p w:rsidR="002A5A5E" w:rsidRPr="00FC1444" w:rsidRDefault="00611CBA">
            <w:pPr>
              <w:jc w:val="center"/>
              <w:rPr>
                <w:rFonts w:eastAsiaTheme="minorEastAsia"/>
                <w:szCs w:val="21"/>
              </w:rPr>
            </w:pPr>
            <w:r w:rsidRPr="00FC1444">
              <w:rPr>
                <w:rFonts w:eastAsiaTheme="minorEastAsia"/>
                <w:szCs w:val="21"/>
              </w:rPr>
              <w:t>0</w:t>
            </w:r>
          </w:p>
        </w:tc>
        <w:tc>
          <w:tcPr>
            <w:tcW w:w="249" w:type="pct"/>
            <w:vAlign w:val="center"/>
          </w:tcPr>
          <w:p w:rsidR="002A5A5E" w:rsidRPr="00FC1444" w:rsidRDefault="00611CBA">
            <w:pPr>
              <w:jc w:val="center"/>
              <w:rPr>
                <w:rFonts w:eastAsiaTheme="minorEastAsia"/>
                <w:szCs w:val="21"/>
              </w:rPr>
            </w:pPr>
            <w:r w:rsidRPr="00FC1444">
              <w:rPr>
                <w:rFonts w:eastAsiaTheme="minorEastAsia"/>
                <w:szCs w:val="21"/>
              </w:rPr>
              <w:t>1</w:t>
            </w:r>
          </w:p>
        </w:tc>
        <w:tc>
          <w:tcPr>
            <w:tcW w:w="433" w:type="pct"/>
            <w:vAlign w:val="center"/>
          </w:tcPr>
          <w:p w:rsidR="002A5A5E" w:rsidRPr="00FC1444" w:rsidRDefault="00611CBA">
            <w:pPr>
              <w:jc w:val="center"/>
              <w:rPr>
                <w:rFonts w:eastAsiaTheme="minorEastAsia"/>
                <w:szCs w:val="21"/>
              </w:rPr>
            </w:pPr>
            <w:r w:rsidRPr="00FC1444">
              <w:rPr>
                <w:rFonts w:eastAsiaTheme="minorEastAsia"/>
                <w:szCs w:val="21"/>
              </w:rPr>
              <w:t xml:space="preserve">2 </w:t>
            </w:r>
          </w:p>
        </w:tc>
        <w:tc>
          <w:tcPr>
            <w:tcW w:w="420" w:type="pct"/>
            <w:vAlign w:val="center"/>
          </w:tcPr>
          <w:p w:rsidR="002A5A5E" w:rsidRPr="00FC1444" w:rsidRDefault="00611CBA">
            <w:pPr>
              <w:jc w:val="center"/>
              <w:rPr>
                <w:rFonts w:eastAsiaTheme="minorEastAsia"/>
                <w:szCs w:val="21"/>
              </w:rPr>
            </w:pPr>
            <w:r w:rsidRPr="00FC1444">
              <w:rPr>
                <w:rFonts w:eastAsiaTheme="minorEastAsia"/>
                <w:szCs w:val="21"/>
              </w:rPr>
              <w:t>64</w:t>
            </w:r>
          </w:p>
        </w:tc>
        <w:tc>
          <w:tcPr>
            <w:tcW w:w="334" w:type="pct"/>
            <w:vMerge/>
            <w:vAlign w:val="center"/>
          </w:tcPr>
          <w:p w:rsidR="002A5A5E" w:rsidRPr="00FC1444" w:rsidRDefault="002A5A5E">
            <w:pPr>
              <w:jc w:val="center"/>
              <w:rPr>
                <w:rFonts w:eastAsiaTheme="minorEastAsia"/>
                <w:szCs w:val="21"/>
              </w:rPr>
            </w:pPr>
          </w:p>
        </w:tc>
        <w:tc>
          <w:tcPr>
            <w:tcW w:w="420" w:type="pct"/>
            <w:vAlign w:val="center"/>
          </w:tcPr>
          <w:p w:rsidR="002A5A5E" w:rsidRPr="00FC1444" w:rsidRDefault="00611CBA">
            <w:pPr>
              <w:jc w:val="center"/>
              <w:rPr>
                <w:rFonts w:eastAsiaTheme="minorEastAsia"/>
                <w:szCs w:val="21"/>
              </w:rPr>
            </w:pPr>
            <w:r w:rsidRPr="00FC1444">
              <w:rPr>
                <w:rFonts w:eastAsiaTheme="minorEastAsia"/>
                <w:szCs w:val="21"/>
              </w:rPr>
              <w:t>20</w:t>
            </w:r>
          </w:p>
        </w:tc>
        <w:tc>
          <w:tcPr>
            <w:tcW w:w="420" w:type="pct"/>
            <w:vAlign w:val="center"/>
          </w:tcPr>
          <w:p w:rsidR="002A5A5E" w:rsidRPr="00FC1444" w:rsidRDefault="00611CBA">
            <w:pPr>
              <w:jc w:val="center"/>
              <w:rPr>
                <w:rFonts w:eastAsiaTheme="minorEastAsia"/>
                <w:szCs w:val="21"/>
              </w:rPr>
            </w:pPr>
            <w:r w:rsidRPr="00FC1444">
              <w:rPr>
                <w:rFonts w:eastAsiaTheme="minorEastAsia"/>
                <w:szCs w:val="21"/>
              </w:rPr>
              <w:t>44</w:t>
            </w:r>
          </w:p>
        </w:tc>
        <w:tc>
          <w:tcPr>
            <w:tcW w:w="414" w:type="pct"/>
            <w:vAlign w:val="center"/>
          </w:tcPr>
          <w:p w:rsidR="002A5A5E" w:rsidRPr="00FC1444" w:rsidRDefault="00611CBA">
            <w:pPr>
              <w:jc w:val="center"/>
              <w:rPr>
                <w:rFonts w:eastAsiaTheme="minorEastAsia"/>
                <w:szCs w:val="21"/>
              </w:rPr>
            </w:pPr>
            <w:r w:rsidRPr="00FC1444">
              <w:rPr>
                <w:rFonts w:eastAsiaTheme="minorEastAsia"/>
                <w:szCs w:val="21"/>
              </w:rPr>
              <w:t>1</w:t>
            </w:r>
          </w:p>
        </w:tc>
      </w:tr>
    </w:tbl>
    <w:p w:rsidR="007B71AC" w:rsidRPr="00FC1444" w:rsidRDefault="007B71AC">
      <w:pPr>
        <w:contextualSpacing/>
        <w:jc w:val="center"/>
        <w:rPr>
          <w:rFonts w:eastAsiaTheme="minorEastAsia"/>
          <w:b/>
          <w:szCs w:val="21"/>
        </w:rPr>
      </w:pPr>
    </w:p>
    <w:p w:rsidR="007B71AC" w:rsidRPr="00FC1444" w:rsidRDefault="007B71AC">
      <w:pPr>
        <w:contextualSpacing/>
        <w:jc w:val="center"/>
        <w:rPr>
          <w:rFonts w:eastAsiaTheme="minorEastAsia"/>
          <w:b/>
          <w:szCs w:val="21"/>
        </w:rPr>
      </w:pPr>
    </w:p>
    <w:p w:rsidR="007B71AC" w:rsidRPr="00FC1444" w:rsidRDefault="007B71AC">
      <w:pPr>
        <w:contextualSpacing/>
        <w:jc w:val="center"/>
        <w:rPr>
          <w:rFonts w:eastAsiaTheme="minorEastAsia"/>
          <w:b/>
          <w:szCs w:val="21"/>
        </w:rPr>
      </w:pPr>
    </w:p>
    <w:p w:rsidR="007B71AC" w:rsidRPr="00FC1444" w:rsidRDefault="007B71AC">
      <w:pPr>
        <w:contextualSpacing/>
        <w:jc w:val="center"/>
        <w:rPr>
          <w:rFonts w:eastAsiaTheme="minorEastAsia"/>
          <w:b/>
          <w:szCs w:val="21"/>
        </w:rPr>
      </w:pPr>
    </w:p>
    <w:p w:rsidR="00107A4B" w:rsidRPr="00FC1444" w:rsidRDefault="00107A4B">
      <w:pPr>
        <w:contextualSpacing/>
        <w:jc w:val="center"/>
        <w:rPr>
          <w:rFonts w:eastAsiaTheme="minorEastAsia"/>
          <w:b/>
          <w:szCs w:val="21"/>
        </w:rPr>
      </w:pPr>
    </w:p>
    <w:p w:rsidR="00C341EA" w:rsidRPr="00FC1444" w:rsidRDefault="00C341EA">
      <w:pPr>
        <w:contextualSpacing/>
        <w:jc w:val="center"/>
        <w:rPr>
          <w:rFonts w:eastAsiaTheme="minorEastAsia"/>
          <w:b/>
          <w:szCs w:val="21"/>
        </w:rPr>
      </w:pPr>
    </w:p>
    <w:p w:rsidR="00C341EA" w:rsidRPr="00FC1444" w:rsidRDefault="00C341EA">
      <w:pPr>
        <w:contextualSpacing/>
        <w:jc w:val="center"/>
        <w:rPr>
          <w:rFonts w:eastAsiaTheme="minorEastAsia"/>
          <w:b/>
          <w:szCs w:val="21"/>
        </w:rPr>
      </w:pPr>
    </w:p>
    <w:p w:rsidR="002A5A5E" w:rsidRPr="00FC1444" w:rsidRDefault="00611CBA">
      <w:pPr>
        <w:contextualSpacing/>
        <w:jc w:val="center"/>
        <w:rPr>
          <w:rFonts w:eastAsiaTheme="minorEastAsia"/>
          <w:b/>
          <w:szCs w:val="21"/>
        </w:rPr>
      </w:pPr>
      <w:r w:rsidRPr="00FC1444">
        <w:rPr>
          <w:rFonts w:eastAsiaTheme="minorEastAsia"/>
          <w:b/>
          <w:szCs w:val="21"/>
        </w:rPr>
        <w:lastRenderedPageBreak/>
        <w:t>表</w:t>
      </w:r>
      <w:r w:rsidRPr="00FC1444">
        <w:rPr>
          <w:rFonts w:eastAsiaTheme="minorEastAsia"/>
          <w:b/>
          <w:szCs w:val="21"/>
        </w:rPr>
        <w:t xml:space="preserve">3-3-8 </w:t>
      </w:r>
      <w:r w:rsidRPr="00FC1444">
        <w:rPr>
          <w:rFonts w:eastAsiaTheme="minorEastAsia"/>
          <w:b/>
          <w:szCs w:val="21"/>
        </w:rPr>
        <w:t>噪声源强一览表（室外）</w:t>
      </w:r>
    </w:p>
    <w:tbl>
      <w:tblPr>
        <w:tblW w:w="0" w:type="auto"/>
        <w:jc w:val="center"/>
        <w:tblBorders>
          <w:top w:val="single" w:sz="12" w:space="0" w:color="auto"/>
          <w:bottom w:val="single" w:sz="12" w:space="0" w:color="auto"/>
          <w:insideH w:val="single" w:sz="4" w:space="0" w:color="auto"/>
          <w:insideV w:val="single" w:sz="4" w:space="0" w:color="auto"/>
        </w:tblBorders>
        <w:tblLook w:val="04A0"/>
      </w:tblPr>
      <w:tblGrid>
        <w:gridCol w:w="608"/>
        <w:gridCol w:w="1315"/>
        <w:gridCol w:w="935"/>
        <w:gridCol w:w="862"/>
        <w:gridCol w:w="862"/>
        <w:gridCol w:w="667"/>
        <w:gridCol w:w="1380"/>
        <w:gridCol w:w="1216"/>
        <w:gridCol w:w="677"/>
      </w:tblGrid>
      <w:tr w:rsidR="002A5A5E" w:rsidRPr="00FC1444">
        <w:trPr>
          <w:trHeight w:val="41"/>
          <w:jc w:val="center"/>
        </w:trPr>
        <w:tc>
          <w:tcPr>
            <w:tcW w:w="608" w:type="dxa"/>
            <w:vMerge w:val="restart"/>
            <w:vAlign w:val="center"/>
          </w:tcPr>
          <w:p w:rsidR="002A5A5E" w:rsidRPr="00FC1444" w:rsidRDefault="00611CBA">
            <w:pPr>
              <w:jc w:val="center"/>
              <w:rPr>
                <w:rFonts w:eastAsiaTheme="minorEastAsia"/>
                <w:szCs w:val="21"/>
              </w:rPr>
            </w:pPr>
            <w:r w:rsidRPr="00FC1444">
              <w:rPr>
                <w:rFonts w:eastAsiaTheme="minorEastAsia"/>
                <w:szCs w:val="21"/>
              </w:rPr>
              <w:t>序号</w:t>
            </w:r>
          </w:p>
        </w:tc>
        <w:tc>
          <w:tcPr>
            <w:tcW w:w="1315" w:type="dxa"/>
            <w:vMerge w:val="restart"/>
            <w:vAlign w:val="center"/>
          </w:tcPr>
          <w:p w:rsidR="002A5A5E" w:rsidRPr="00FC1444" w:rsidRDefault="00611CBA">
            <w:pPr>
              <w:jc w:val="center"/>
              <w:rPr>
                <w:rFonts w:eastAsiaTheme="minorEastAsia"/>
                <w:szCs w:val="21"/>
              </w:rPr>
            </w:pPr>
            <w:r w:rsidRPr="00FC1444">
              <w:rPr>
                <w:rFonts w:eastAsiaTheme="minorEastAsia"/>
                <w:szCs w:val="21"/>
              </w:rPr>
              <w:t>声源名称</w:t>
            </w:r>
          </w:p>
        </w:tc>
        <w:tc>
          <w:tcPr>
            <w:tcW w:w="935" w:type="dxa"/>
            <w:vMerge w:val="restart"/>
            <w:vAlign w:val="center"/>
          </w:tcPr>
          <w:p w:rsidR="002A5A5E" w:rsidRPr="00FC1444" w:rsidRDefault="00611CBA">
            <w:pPr>
              <w:jc w:val="center"/>
              <w:rPr>
                <w:rFonts w:eastAsiaTheme="minorEastAsia"/>
                <w:szCs w:val="21"/>
              </w:rPr>
            </w:pPr>
            <w:r w:rsidRPr="00FC1444">
              <w:rPr>
                <w:rFonts w:eastAsiaTheme="minorEastAsia"/>
                <w:szCs w:val="21"/>
              </w:rPr>
              <w:t>型号</w:t>
            </w:r>
          </w:p>
        </w:tc>
        <w:tc>
          <w:tcPr>
            <w:tcW w:w="2391" w:type="dxa"/>
            <w:gridSpan w:val="3"/>
            <w:vAlign w:val="center"/>
          </w:tcPr>
          <w:p w:rsidR="002A5A5E" w:rsidRPr="00FC1444" w:rsidRDefault="00611CBA">
            <w:pPr>
              <w:jc w:val="center"/>
              <w:rPr>
                <w:rFonts w:eastAsiaTheme="minorEastAsia"/>
                <w:szCs w:val="21"/>
              </w:rPr>
            </w:pPr>
            <w:r w:rsidRPr="00FC1444">
              <w:rPr>
                <w:rFonts w:eastAsiaTheme="minorEastAsia"/>
                <w:szCs w:val="21"/>
              </w:rPr>
              <w:t>空间相对位置</w:t>
            </w:r>
            <w:r w:rsidRPr="00FC1444">
              <w:rPr>
                <w:rFonts w:eastAsiaTheme="minorEastAsia"/>
                <w:szCs w:val="21"/>
              </w:rPr>
              <w:t>/m</w:t>
            </w:r>
          </w:p>
        </w:tc>
        <w:tc>
          <w:tcPr>
            <w:tcW w:w="1380" w:type="dxa"/>
            <w:vAlign w:val="center"/>
          </w:tcPr>
          <w:p w:rsidR="002A5A5E" w:rsidRPr="00FC1444" w:rsidRDefault="00611CBA">
            <w:pPr>
              <w:jc w:val="center"/>
              <w:rPr>
                <w:rFonts w:eastAsiaTheme="minorEastAsia"/>
                <w:szCs w:val="21"/>
              </w:rPr>
            </w:pPr>
            <w:r w:rsidRPr="00FC1444">
              <w:rPr>
                <w:rFonts w:eastAsiaTheme="minorEastAsia"/>
                <w:szCs w:val="21"/>
              </w:rPr>
              <w:t>声源源强</w:t>
            </w:r>
          </w:p>
        </w:tc>
        <w:tc>
          <w:tcPr>
            <w:tcW w:w="1216" w:type="dxa"/>
            <w:vMerge w:val="restart"/>
            <w:vAlign w:val="center"/>
          </w:tcPr>
          <w:p w:rsidR="002A5A5E" w:rsidRPr="00FC1444" w:rsidRDefault="00611CBA">
            <w:pPr>
              <w:jc w:val="center"/>
              <w:rPr>
                <w:rFonts w:eastAsiaTheme="minorEastAsia"/>
                <w:szCs w:val="21"/>
              </w:rPr>
            </w:pPr>
            <w:r w:rsidRPr="00FC1444">
              <w:rPr>
                <w:rFonts w:eastAsiaTheme="minorEastAsia"/>
                <w:szCs w:val="21"/>
              </w:rPr>
              <w:t>声源控制措施</w:t>
            </w:r>
          </w:p>
        </w:tc>
        <w:tc>
          <w:tcPr>
            <w:tcW w:w="677" w:type="dxa"/>
            <w:vMerge w:val="restart"/>
            <w:vAlign w:val="center"/>
          </w:tcPr>
          <w:p w:rsidR="002A5A5E" w:rsidRPr="00FC1444" w:rsidRDefault="00611CBA">
            <w:pPr>
              <w:jc w:val="center"/>
              <w:rPr>
                <w:rFonts w:eastAsiaTheme="minorEastAsia"/>
                <w:szCs w:val="21"/>
              </w:rPr>
            </w:pPr>
            <w:r w:rsidRPr="00FC1444">
              <w:rPr>
                <w:rFonts w:eastAsiaTheme="minorEastAsia"/>
                <w:szCs w:val="21"/>
              </w:rPr>
              <w:t>运行时段</w:t>
            </w:r>
          </w:p>
        </w:tc>
      </w:tr>
      <w:tr w:rsidR="002A5A5E" w:rsidRPr="00FC1444">
        <w:trPr>
          <w:trHeight w:val="52"/>
          <w:jc w:val="center"/>
        </w:trPr>
        <w:tc>
          <w:tcPr>
            <w:tcW w:w="608" w:type="dxa"/>
            <w:vMerge/>
            <w:vAlign w:val="center"/>
          </w:tcPr>
          <w:p w:rsidR="002A5A5E" w:rsidRPr="00FC1444" w:rsidRDefault="002A5A5E">
            <w:pPr>
              <w:jc w:val="center"/>
              <w:rPr>
                <w:rFonts w:eastAsiaTheme="minorEastAsia"/>
                <w:szCs w:val="21"/>
              </w:rPr>
            </w:pPr>
          </w:p>
        </w:tc>
        <w:tc>
          <w:tcPr>
            <w:tcW w:w="1315" w:type="dxa"/>
            <w:vMerge/>
            <w:vAlign w:val="center"/>
          </w:tcPr>
          <w:p w:rsidR="002A5A5E" w:rsidRPr="00FC1444" w:rsidRDefault="002A5A5E">
            <w:pPr>
              <w:jc w:val="center"/>
              <w:rPr>
                <w:rFonts w:eastAsiaTheme="minorEastAsia"/>
                <w:szCs w:val="21"/>
              </w:rPr>
            </w:pPr>
          </w:p>
        </w:tc>
        <w:tc>
          <w:tcPr>
            <w:tcW w:w="935" w:type="dxa"/>
            <w:vMerge/>
            <w:vAlign w:val="center"/>
          </w:tcPr>
          <w:p w:rsidR="002A5A5E" w:rsidRPr="00FC1444" w:rsidRDefault="002A5A5E">
            <w:pPr>
              <w:jc w:val="center"/>
              <w:rPr>
                <w:rFonts w:eastAsiaTheme="minorEastAsia"/>
                <w:szCs w:val="21"/>
              </w:rPr>
            </w:pPr>
          </w:p>
        </w:tc>
        <w:tc>
          <w:tcPr>
            <w:tcW w:w="862" w:type="dxa"/>
            <w:vAlign w:val="center"/>
          </w:tcPr>
          <w:p w:rsidR="002A5A5E" w:rsidRPr="00FC1444" w:rsidRDefault="00611CBA">
            <w:pPr>
              <w:jc w:val="center"/>
              <w:rPr>
                <w:rFonts w:eastAsiaTheme="minorEastAsia"/>
                <w:szCs w:val="21"/>
              </w:rPr>
            </w:pPr>
            <w:r w:rsidRPr="00FC1444">
              <w:rPr>
                <w:rFonts w:eastAsiaTheme="minorEastAsia"/>
                <w:szCs w:val="21"/>
              </w:rPr>
              <w:t>X</w:t>
            </w:r>
          </w:p>
        </w:tc>
        <w:tc>
          <w:tcPr>
            <w:tcW w:w="862" w:type="dxa"/>
            <w:vAlign w:val="center"/>
          </w:tcPr>
          <w:p w:rsidR="002A5A5E" w:rsidRPr="00FC1444" w:rsidRDefault="00611CBA">
            <w:pPr>
              <w:jc w:val="center"/>
              <w:rPr>
                <w:rFonts w:eastAsiaTheme="minorEastAsia"/>
                <w:szCs w:val="21"/>
              </w:rPr>
            </w:pPr>
            <w:r w:rsidRPr="00FC1444">
              <w:rPr>
                <w:rFonts w:eastAsiaTheme="minorEastAsia"/>
                <w:szCs w:val="21"/>
              </w:rPr>
              <w:t>Y</w:t>
            </w:r>
          </w:p>
        </w:tc>
        <w:tc>
          <w:tcPr>
            <w:tcW w:w="667" w:type="dxa"/>
            <w:vAlign w:val="center"/>
          </w:tcPr>
          <w:p w:rsidR="002A5A5E" w:rsidRPr="00FC1444" w:rsidRDefault="00611CBA">
            <w:pPr>
              <w:jc w:val="center"/>
              <w:rPr>
                <w:rFonts w:eastAsiaTheme="minorEastAsia"/>
                <w:szCs w:val="21"/>
              </w:rPr>
            </w:pPr>
            <w:r w:rsidRPr="00FC1444">
              <w:rPr>
                <w:rFonts w:eastAsiaTheme="minorEastAsia"/>
                <w:szCs w:val="21"/>
              </w:rPr>
              <w:t>Z</w:t>
            </w:r>
          </w:p>
        </w:tc>
        <w:tc>
          <w:tcPr>
            <w:tcW w:w="1380" w:type="dxa"/>
            <w:vAlign w:val="center"/>
          </w:tcPr>
          <w:p w:rsidR="002A5A5E" w:rsidRPr="00FC1444" w:rsidRDefault="00611CBA">
            <w:pPr>
              <w:jc w:val="center"/>
              <w:rPr>
                <w:rFonts w:eastAsiaTheme="minorEastAsia"/>
                <w:szCs w:val="21"/>
              </w:rPr>
            </w:pPr>
            <w:r w:rsidRPr="00FC1444">
              <w:rPr>
                <w:rFonts w:eastAsiaTheme="minorEastAsia"/>
                <w:szCs w:val="21"/>
              </w:rPr>
              <w:t>声功率级</w:t>
            </w:r>
            <w:r w:rsidRPr="00FC1444">
              <w:rPr>
                <w:rFonts w:eastAsiaTheme="minorEastAsia"/>
                <w:szCs w:val="21"/>
              </w:rPr>
              <w:t>/dB</w:t>
            </w:r>
            <w:r w:rsidRPr="00FC1444">
              <w:rPr>
                <w:rFonts w:eastAsiaTheme="minorEastAsia"/>
                <w:szCs w:val="21"/>
              </w:rPr>
              <w:t>（</w:t>
            </w:r>
            <w:r w:rsidRPr="00FC1444">
              <w:rPr>
                <w:rFonts w:eastAsiaTheme="minorEastAsia"/>
                <w:szCs w:val="21"/>
              </w:rPr>
              <w:t>A</w:t>
            </w:r>
            <w:r w:rsidRPr="00FC1444">
              <w:rPr>
                <w:rFonts w:eastAsiaTheme="minorEastAsia"/>
                <w:szCs w:val="21"/>
              </w:rPr>
              <w:t>）</w:t>
            </w:r>
          </w:p>
        </w:tc>
        <w:tc>
          <w:tcPr>
            <w:tcW w:w="1216" w:type="dxa"/>
            <w:vMerge/>
            <w:vAlign w:val="center"/>
          </w:tcPr>
          <w:p w:rsidR="002A5A5E" w:rsidRPr="00FC1444" w:rsidRDefault="002A5A5E">
            <w:pPr>
              <w:jc w:val="center"/>
              <w:rPr>
                <w:rFonts w:eastAsiaTheme="minorEastAsia"/>
                <w:szCs w:val="21"/>
              </w:rPr>
            </w:pPr>
          </w:p>
        </w:tc>
        <w:tc>
          <w:tcPr>
            <w:tcW w:w="677" w:type="dxa"/>
            <w:vMerge/>
            <w:vAlign w:val="center"/>
          </w:tcPr>
          <w:p w:rsidR="002A5A5E" w:rsidRPr="00FC1444" w:rsidRDefault="002A5A5E">
            <w:pPr>
              <w:jc w:val="center"/>
              <w:rPr>
                <w:rFonts w:eastAsiaTheme="minorEastAsia"/>
                <w:szCs w:val="21"/>
              </w:rPr>
            </w:pPr>
          </w:p>
        </w:tc>
      </w:tr>
      <w:tr w:rsidR="002A5A5E" w:rsidRPr="00FC1444">
        <w:trPr>
          <w:trHeight w:val="52"/>
          <w:jc w:val="center"/>
        </w:trPr>
        <w:tc>
          <w:tcPr>
            <w:tcW w:w="608" w:type="dxa"/>
            <w:vAlign w:val="center"/>
          </w:tcPr>
          <w:p w:rsidR="002A5A5E" w:rsidRPr="00FC1444" w:rsidRDefault="00611CBA">
            <w:pPr>
              <w:jc w:val="center"/>
              <w:rPr>
                <w:rFonts w:eastAsiaTheme="minorEastAsia"/>
                <w:szCs w:val="21"/>
              </w:rPr>
            </w:pPr>
            <w:r w:rsidRPr="00FC1444">
              <w:rPr>
                <w:rFonts w:eastAsiaTheme="minorEastAsia"/>
                <w:szCs w:val="21"/>
              </w:rPr>
              <w:t>1</w:t>
            </w:r>
          </w:p>
        </w:tc>
        <w:tc>
          <w:tcPr>
            <w:tcW w:w="1315"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变压器</w:t>
            </w:r>
          </w:p>
        </w:tc>
        <w:tc>
          <w:tcPr>
            <w:tcW w:w="935" w:type="dxa"/>
            <w:vAlign w:val="center"/>
          </w:tcPr>
          <w:p w:rsidR="002A5A5E" w:rsidRPr="00FC1444" w:rsidRDefault="00611CBA">
            <w:pPr>
              <w:jc w:val="center"/>
              <w:rPr>
                <w:rFonts w:eastAsiaTheme="minorEastAsia"/>
                <w:szCs w:val="21"/>
              </w:rPr>
            </w:pPr>
            <w:r w:rsidRPr="00FC1444">
              <w:rPr>
                <w:rFonts w:eastAsiaTheme="minorEastAsia"/>
                <w:szCs w:val="21"/>
              </w:rPr>
              <w:t>/</w:t>
            </w:r>
          </w:p>
        </w:tc>
        <w:tc>
          <w:tcPr>
            <w:tcW w:w="862" w:type="dxa"/>
            <w:vAlign w:val="center"/>
          </w:tcPr>
          <w:p w:rsidR="002A5A5E" w:rsidRPr="00FC1444" w:rsidRDefault="00611CBA">
            <w:pPr>
              <w:jc w:val="center"/>
              <w:rPr>
                <w:rFonts w:eastAsiaTheme="minorEastAsia"/>
                <w:szCs w:val="21"/>
              </w:rPr>
            </w:pPr>
            <w:r w:rsidRPr="00FC1444">
              <w:rPr>
                <w:rFonts w:eastAsiaTheme="minorEastAsia"/>
                <w:szCs w:val="21"/>
              </w:rPr>
              <w:t>1500</w:t>
            </w:r>
          </w:p>
        </w:tc>
        <w:tc>
          <w:tcPr>
            <w:tcW w:w="862" w:type="dxa"/>
            <w:vAlign w:val="center"/>
          </w:tcPr>
          <w:p w:rsidR="002A5A5E" w:rsidRPr="00FC1444" w:rsidRDefault="00611CBA">
            <w:pPr>
              <w:jc w:val="center"/>
              <w:rPr>
                <w:rFonts w:eastAsiaTheme="minorEastAsia"/>
                <w:szCs w:val="21"/>
              </w:rPr>
            </w:pPr>
            <w:r w:rsidRPr="00FC1444">
              <w:rPr>
                <w:rFonts w:eastAsiaTheme="minorEastAsia"/>
                <w:szCs w:val="21"/>
              </w:rPr>
              <w:t>3500</w:t>
            </w:r>
          </w:p>
        </w:tc>
        <w:tc>
          <w:tcPr>
            <w:tcW w:w="667" w:type="dxa"/>
            <w:vAlign w:val="center"/>
          </w:tcPr>
          <w:p w:rsidR="002A5A5E" w:rsidRPr="00FC1444" w:rsidRDefault="00611CBA">
            <w:pPr>
              <w:jc w:val="center"/>
              <w:rPr>
                <w:rFonts w:eastAsiaTheme="minorEastAsia"/>
                <w:szCs w:val="21"/>
              </w:rPr>
            </w:pPr>
            <w:r w:rsidRPr="00FC1444">
              <w:rPr>
                <w:rFonts w:eastAsiaTheme="minorEastAsia"/>
                <w:szCs w:val="21"/>
              </w:rPr>
              <w:t>1</w:t>
            </w:r>
          </w:p>
        </w:tc>
        <w:tc>
          <w:tcPr>
            <w:tcW w:w="1380" w:type="dxa"/>
            <w:vAlign w:val="center"/>
          </w:tcPr>
          <w:p w:rsidR="002A5A5E" w:rsidRPr="00FC1444" w:rsidRDefault="00611CBA">
            <w:pPr>
              <w:spacing w:line="0" w:lineRule="atLeast"/>
              <w:jc w:val="center"/>
              <w:rPr>
                <w:rFonts w:eastAsiaTheme="minorEastAsia"/>
                <w:snapToGrid w:val="0"/>
                <w:szCs w:val="22"/>
              </w:rPr>
            </w:pPr>
            <w:r w:rsidRPr="00FC1444">
              <w:rPr>
                <w:rFonts w:eastAsiaTheme="minorEastAsia"/>
                <w:snapToGrid w:val="0"/>
                <w:szCs w:val="22"/>
              </w:rPr>
              <w:t>70</w:t>
            </w:r>
          </w:p>
        </w:tc>
        <w:tc>
          <w:tcPr>
            <w:tcW w:w="1216" w:type="dxa"/>
            <w:vAlign w:val="center"/>
          </w:tcPr>
          <w:p w:rsidR="002A5A5E" w:rsidRPr="00FC1444" w:rsidRDefault="00611CBA">
            <w:pPr>
              <w:jc w:val="center"/>
              <w:rPr>
                <w:rFonts w:eastAsiaTheme="minorEastAsia"/>
                <w:szCs w:val="21"/>
              </w:rPr>
            </w:pPr>
            <w:r w:rsidRPr="00FC1444">
              <w:rPr>
                <w:rFonts w:eastAsiaTheme="minorEastAsia"/>
              </w:rPr>
              <w:t>基础减振</w:t>
            </w:r>
          </w:p>
        </w:tc>
        <w:tc>
          <w:tcPr>
            <w:tcW w:w="677" w:type="dxa"/>
            <w:vAlign w:val="center"/>
          </w:tcPr>
          <w:p w:rsidR="002A5A5E" w:rsidRPr="00FC1444" w:rsidRDefault="00611CBA">
            <w:pPr>
              <w:jc w:val="center"/>
              <w:rPr>
                <w:rFonts w:eastAsiaTheme="minorEastAsia"/>
                <w:szCs w:val="21"/>
              </w:rPr>
            </w:pPr>
            <w:r w:rsidRPr="00FC1444">
              <w:rPr>
                <w:rFonts w:eastAsiaTheme="minorEastAsia"/>
                <w:szCs w:val="21"/>
              </w:rPr>
              <w:t>连续</w:t>
            </w:r>
          </w:p>
        </w:tc>
      </w:tr>
      <w:tr w:rsidR="002A5A5E" w:rsidRPr="00FC1444">
        <w:trPr>
          <w:trHeight w:val="52"/>
          <w:jc w:val="center"/>
        </w:trPr>
        <w:tc>
          <w:tcPr>
            <w:tcW w:w="608" w:type="dxa"/>
            <w:vAlign w:val="center"/>
          </w:tcPr>
          <w:p w:rsidR="002A5A5E" w:rsidRPr="00FC1444" w:rsidRDefault="00611CBA">
            <w:pPr>
              <w:jc w:val="center"/>
              <w:rPr>
                <w:rFonts w:eastAsiaTheme="minorEastAsia"/>
                <w:szCs w:val="21"/>
              </w:rPr>
            </w:pPr>
            <w:r w:rsidRPr="00FC1444">
              <w:rPr>
                <w:rFonts w:eastAsiaTheme="minorEastAsia"/>
                <w:szCs w:val="21"/>
              </w:rPr>
              <w:t>2</w:t>
            </w:r>
          </w:p>
        </w:tc>
        <w:tc>
          <w:tcPr>
            <w:tcW w:w="1315" w:type="dxa"/>
            <w:vAlign w:val="center"/>
          </w:tcPr>
          <w:p w:rsidR="002A5A5E" w:rsidRPr="00FC1444" w:rsidRDefault="00611CBA">
            <w:pPr>
              <w:adjustRightInd w:val="0"/>
              <w:snapToGrid w:val="0"/>
              <w:spacing w:before="40" w:after="40" w:line="240" w:lineRule="exact"/>
              <w:jc w:val="center"/>
              <w:rPr>
                <w:rFonts w:eastAsiaTheme="minorEastAsia"/>
                <w:snapToGrid w:val="0"/>
                <w:kern w:val="0"/>
              </w:rPr>
            </w:pPr>
            <w:r w:rsidRPr="00FC1444">
              <w:rPr>
                <w:rFonts w:eastAsiaTheme="minorEastAsia"/>
                <w:snapToGrid w:val="0"/>
                <w:kern w:val="0"/>
              </w:rPr>
              <w:t>柴油机移动泵车</w:t>
            </w:r>
          </w:p>
        </w:tc>
        <w:tc>
          <w:tcPr>
            <w:tcW w:w="935" w:type="dxa"/>
            <w:vAlign w:val="center"/>
          </w:tcPr>
          <w:p w:rsidR="002A5A5E" w:rsidRPr="00FC1444" w:rsidRDefault="00611CBA">
            <w:pPr>
              <w:jc w:val="center"/>
              <w:rPr>
                <w:rFonts w:eastAsiaTheme="minorEastAsia"/>
                <w:szCs w:val="21"/>
              </w:rPr>
            </w:pPr>
            <w:r w:rsidRPr="00FC1444">
              <w:rPr>
                <w:rFonts w:eastAsiaTheme="minorEastAsia"/>
                <w:szCs w:val="21"/>
              </w:rPr>
              <w:t>/</w:t>
            </w:r>
          </w:p>
        </w:tc>
        <w:tc>
          <w:tcPr>
            <w:tcW w:w="862" w:type="dxa"/>
            <w:vAlign w:val="center"/>
          </w:tcPr>
          <w:p w:rsidR="002A5A5E" w:rsidRPr="00FC1444" w:rsidRDefault="00611CBA">
            <w:pPr>
              <w:jc w:val="center"/>
              <w:rPr>
                <w:rFonts w:eastAsiaTheme="minorEastAsia"/>
                <w:szCs w:val="21"/>
              </w:rPr>
            </w:pPr>
            <w:r w:rsidRPr="00FC1444">
              <w:rPr>
                <w:rFonts w:eastAsiaTheme="minorEastAsia"/>
                <w:szCs w:val="21"/>
              </w:rPr>
              <w:t>4200</w:t>
            </w:r>
          </w:p>
        </w:tc>
        <w:tc>
          <w:tcPr>
            <w:tcW w:w="862" w:type="dxa"/>
            <w:vAlign w:val="center"/>
          </w:tcPr>
          <w:p w:rsidR="002A5A5E" w:rsidRPr="00FC1444" w:rsidRDefault="00611CBA">
            <w:pPr>
              <w:jc w:val="center"/>
              <w:rPr>
                <w:rFonts w:eastAsiaTheme="minorEastAsia"/>
                <w:szCs w:val="21"/>
              </w:rPr>
            </w:pPr>
            <w:r w:rsidRPr="00FC1444">
              <w:rPr>
                <w:rFonts w:eastAsiaTheme="minorEastAsia"/>
                <w:szCs w:val="21"/>
              </w:rPr>
              <w:t>1500</w:t>
            </w:r>
          </w:p>
        </w:tc>
        <w:tc>
          <w:tcPr>
            <w:tcW w:w="667" w:type="dxa"/>
            <w:vAlign w:val="center"/>
          </w:tcPr>
          <w:p w:rsidR="002A5A5E" w:rsidRPr="00FC1444" w:rsidRDefault="00611CBA">
            <w:pPr>
              <w:jc w:val="center"/>
              <w:rPr>
                <w:rFonts w:eastAsiaTheme="minorEastAsia"/>
                <w:szCs w:val="21"/>
              </w:rPr>
            </w:pPr>
            <w:r w:rsidRPr="00FC1444">
              <w:rPr>
                <w:rFonts w:eastAsiaTheme="minorEastAsia"/>
                <w:szCs w:val="21"/>
              </w:rPr>
              <w:t>1</w:t>
            </w:r>
          </w:p>
        </w:tc>
        <w:tc>
          <w:tcPr>
            <w:tcW w:w="1380" w:type="dxa"/>
            <w:vAlign w:val="center"/>
          </w:tcPr>
          <w:p w:rsidR="002A5A5E" w:rsidRPr="00FC1444" w:rsidRDefault="00611CBA">
            <w:pPr>
              <w:spacing w:line="0" w:lineRule="atLeast"/>
              <w:jc w:val="center"/>
              <w:rPr>
                <w:rFonts w:eastAsiaTheme="minorEastAsia"/>
                <w:snapToGrid w:val="0"/>
                <w:szCs w:val="22"/>
              </w:rPr>
            </w:pPr>
            <w:r w:rsidRPr="00FC1444">
              <w:rPr>
                <w:rFonts w:eastAsiaTheme="minorEastAsia"/>
                <w:snapToGrid w:val="0"/>
                <w:szCs w:val="22"/>
              </w:rPr>
              <w:t>70</w:t>
            </w:r>
          </w:p>
        </w:tc>
        <w:tc>
          <w:tcPr>
            <w:tcW w:w="1216" w:type="dxa"/>
            <w:vAlign w:val="center"/>
          </w:tcPr>
          <w:p w:rsidR="002A5A5E" w:rsidRPr="00FC1444" w:rsidRDefault="00611CBA">
            <w:pPr>
              <w:jc w:val="center"/>
              <w:rPr>
                <w:rFonts w:eastAsiaTheme="minorEastAsia"/>
                <w:szCs w:val="21"/>
              </w:rPr>
            </w:pPr>
            <w:r w:rsidRPr="00FC1444">
              <w:rPr>
                <w:rFonts w:eastAsiaTheme="minorEastAsia"/>
                <w:szCs w:val="21"/>
              </w:rPr>
              <w:t>/</w:t>
            </w:r>
          </w:p>
        </w:tc>
        <w:tc>
          <w:tcPr>
            <w:tcW w:w="677" w:type="dxa"/>
            <w:vAlign w:val="center"/>
          </w:tcPr>
          <w:p w:rsidR="002A5A5E" w:rsidRPr="00FC1444" w:rsidRDefault="00611CBA">
            <w:pPr>
              <w:jc w:val="center"/>
              <w:rPr>
                <w:rFonts w:eastAsiaTheme="minorEastAsia"/>
                <w:szCs w:val="21"/>
              </w:rPr>
            </w:pPr>
            <w:r w:rsidRPr="00FC1444">
              <w:rPr>
                <w:rFonts w:eastAsiaTheme="minorEastAsia"/>
                <w:szCs w:val="21"/>
              </w:rPr>
              <w:t>非连续</w:t>
            </w:r>
          </w:p>
        </w:tc>
      </w:tr>
      <w:tr w:rsidR="002A5A5E" w:rsidRPr="00FC1444">
        <w:trPr>
          <w:trHeight w:val="52"/>
          <w:jc w:val="center"/>
        </w:trPr>
        <w:tc>
          <w:tcPr>
            <w:tcW w:w="608" w:type="dxa"/>
            <w:vAlign w:val="center"/>
          </w:tcPr>
          <w:p w:rsidR="002A5A5E" w:rsidRPr="00FC1444" w:rsidRDefault="00611CBA">
            <w:pPr>
              <w:jc w:val="center"/>
              <w:rPr>
                <w:rFonts w:eastAsiaTheme="minorEastAsia"/>
                <w:szCs w:val="21"/>
              </w:rPr>
            </w:pPr>
            <w:r w:rsidRPr="00FC1444">
              <w:rPr>
                <w:rFonts w:eastAsiaTheme="minorEastAsia"/>
                <w:szCs w:val="21"/>
              </w:rPr>
              <w:t>3</w:t>
            </w:r>
          </w:p>
        </w:tc>
        <w:tc>
          <w:tcPr>
            <w:tcW w:w="1315" w:type="dxa"/>
            <w:vAlign w:val="center"/>
          </w:tcPr>
          <w:p w:rsidR="002A5A5E" w:rsidRPr="00FC1444" w:rsidRDefault="00716701">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施肥机</w:t>
            </w:r>
          </w:p>
        </w:tc>
        <w:tc>
          <w:tcPr>
            <w:tcW w:w="935" w:type="dxa"/>
            <w:vAlign w:val="center"/>
          </w:tcPr>
          <w:p w:rsidR="002A5A5E" w:rsidRPr="00FC1444" w:rsidRDefault="00611CBA">
            <w:pPr>
              <w:jc w:val="center"/>
              <w:rPr>
                <w:rFonts w:eastAsiaTheme="minorEastAsia"/>
                <w:szCs w:val="21"/>
              </w:rPr>
            </w:pPr>
            <w:r w:rsidRPr="00FC1444">
              <w:rPr>
                <w:rFonts w:eastAsiaTheme="minorEastAsia"/>
                <w:szCs w:val="21"/>
              </w:rPr>
              <w:t>/</w:t>
            </w:r>
          </w:p>
        </w:tc>
        <w:tc>
          <w:tcPr>
            <w:tcW w:w="862" w:type="dxa"/>
            <w:vAlign w:val="center"/>
          </w:tcPr>
          <w:p w:rsidR="002A5A5E" w:rsidRPr="00FC1444" w:rsidRDefault="00611CBA">
            <w:pPr>
              <w:jc w:val="center"/>
              <w:rPr>
                <w:rFonts w:eastAsiaTheme="minorEastAsia"/>
                <w:szCs w:val="21"/>
              </w:rPr>
            </w:pPr>
            <w:r w:rsidRPr="00FC1444">
              <w:rPr>
                <w:rFonts w:eastAsiaTheme="minorEastAsia"/>
                <w:szCs w:val="21"/>
              </w:rPr>
              <w:t>120</w:t>
            </w:r>
          </w:p>
        </w:tc>
        <w:tc>
          <w:tcPr>
            <w:tcW w:w="862" w:type="dxa"/>
            <w:vAlign w:val="center"/>
          </w:tcPr>
          <w:p w:rsidR="002A5A5E" w:rsidRPr="00FC1444" w:rsidRDefault="00611CBA">
            <w:pPr>
              <w:jc w:val="center"/>
              <w:rPr>
                <w:rFonts w:eastAsiaTheme="minorEastAsia"/>
                <w:szCs w:val="21"/>
              </w:rPr>
            </w:pPr>
            <w:r w:rsidRPr="00FC1444">
              <w:rPr>
                <w:rFonts w:eastAsiaTheme="minorEastAsia"/>
                <w:szCs w:val="21"/>
              </w:rPr>
              <w:t>100</w:t>
            </w:r>
          </w:p>
        </w:tc>
        <w:tc>
          <w:tcPr>
            <w:tcW w:w="667" w:type="dxa"/>
            <w:vAlign w:val="center"/>
          </w:tcPr>
          <w:p w:rsidR="002A5A5E" w:rsidRPr="00FC1444" w:rsidRDefault="00611CBA">
            <w:pPr>
              <w:jc w:val="center"/>
              <w:rPr>
                <w:rFonts w:eastAsiaTheme="minorEastAsia"/>
                <w:szCs w:val="21"/>
              </w:rPr>
            </w:pPr>
            <w:r w:rsidRPr="00FC1444">
              <w:rPr>
                <w:rFonts w:eastAsiaTheme="minorEastAsia"/>
                <w:szCs w:val="21"/>
              </w:rPr>
              <w:t>1</w:t>
            </w:r>
          </w:p>
        </w:tc>
        <w:tc>
          <w:tcPr>
            <w:tcW w:w="1380" w:type="dxa"/>
            <w:vAlign w:val="center"/>
          </w:tcPr>
          <w:p w:rsidR="002A5A5E" w:rsidRPr="00FC1444" w:rsidRDefault="00611CBA">
            <w:pPr>
              <w:spacing w:line="0" w:lineRule="atLeast"/>
              <w:jc w:val="center"/>
              <w:rPr>
                <w:rFonts w:eastAsiaTheme="minorEastAsia"/>
                <w:snapToGrid w:val="0"/>
                <w:szCs w:val="22"/>
              </w:rPr>
            </w:pPr>
            <w:r w:rsidRPr="00FC1444">
              <w:rPr>
                <w:rFonts w:eastAsiaTheme="minorEastAsia"/>
                <w:snapToGrid w:val="0"/>
                <w:szCs w:val="22"/>
              </w:rPr>
              <w:t>70</w:t>
            </w:r>
          </w:p>
        </w:tc>
        <w:tc>
          <w:tcPr>
            <w:tcW w:w="1216" w:type="dxa"/>
            <w:vAlign w:val="center"/>
          </w:tcPr>
          <w:p w:rsidR="002A5A5E" w:rsidRPr="00FC1444" w:rsidRDefault="00611CBA">
            <w:pPr>
              <w:jc w:val="center"/>
              <w:rPr>
                <w:rFonts w:eastAsiaTheme="minorEastAsia"/>
                <w:szCs w:val="21"/>
              </w:rPr>
            </w:pPr>
            <w:r w:rsidRPr="00FC1444">
              <w:rPr>
                <w:rFonts w:eastAsiaTheme="minorEastAsia"/>
                <w:szCs w:val="21"/>
              </w:rPr>
              <w:t>/</w:t>
            </w:r>
          </w:p>
        </w:tc>
        <w:tc>
          <w:tcPr>
            <w:tcW w:w="677" w:type="dxa"/>
            <w:vAlign w:val="center"/>
          </w:tcPr>
          <w:p w:rsidR="002A5A5E" w:rsidRPr="00FC1444" w:rsidRDefault="00611CBA">
            <w:pPr>
              <w:jc w:val="center"/>
              <w:rPr>
                <w:rFonts w:eastAsiaTheme="minorEastAsia"/>
                <w:szCs w:val="21"/>
              </w:rPr>
            </w:pPr>
            <w:r w:rsidRPr="00FC1444">
              <w:rPr>
                <w:rFonts w:eastAsiaTheme="minorEastAsia"/>
                <w:szCs w:val="21"/>
              </w:rPr>
              <w:t>连续</w:t>
            </w:r>
          </w:p>
        </w:tc>
      </w:tr>
      <w:tr w:rsidR="002A5A5E" w:rsidRPr="00FC1444">
        <w:trPr>
          <w:trHeight w:val="52"/>
          <w:jc w:val="center"/>
        </w:trPr>
        <w:tc>
          <w:tcPr>
            <w:tcW w:w="608" w:type="dxa"/>
            <w:vAlign w:val="center"/>
          </w:tcPr>
          <w:p w:rsidR="002A5A5E" w:rsidRPr="00FC1444" w:rsidRDefault="00611CBA">
            <w:pPr>
              <w:jc w:val="center"/>
              <w:rPr>
                <w:rFonts w:eastAsiaTheme="minorEastAsia"/>
                <w:szCs w:val="21"/>
              </w:rPr>
            </w:pPr>
            <w:r w:rsidRPr="00FC1444">
              <w:rPr>
                <w:rFonts w:eastAsiaTheme="minorEastAsia"/>
                <w:szCs w:val="21"/>
              </w:rPr>
              <w:t>4</w:t>
            </w:r>
          </w:p>
        </w:tc>
        <w:tc>
          <w:tcPr>
            <w:tcW w:w="1315" w:type="dxa"/>
            <w:vAlign w:val="center"/>
          </w:tcPr>
          <w:p w:rsidR="002A5A5E" w:rsidRPr="00FC1444" w:rsidRDefault="00611CBA">
            <w:pPr>
              <w:adjustRightInd w:val="0"/>
              <w:snapToGrid w:val="0"/>
              <w:spacing w:before="40" w:after="40" w:line="240" w:lineRule="exact"/>
              <w:jc w:val="center"/>
              <w:rPr>
                <w:rFonts w:eastAsiaTheme="minorEastAsia"/>
                <w:snapToGrid w:val="0"/>
                <w:kern w:val="0"/>
              </w:rPr>
            </w:pPr>
            <w:r w:rsidRPr="00FC1444">
              <w:rPr>
                <w:rFonts w:eastAsiaTheme="minorEastAsia"/>
                <w:snapToGrid w:val="0"/>
                <w:kern w:val="0"/>
              </w:rPr>
              <w:t>机动车</w:t>
            </w:r>
          </w:p>
        </w:tc>
        <w:tc>
          <w:tcPr>
            <w:tcW w:w="935" w:type="dxa"/>
            <w:vAlign w:val="center"/>
          </w:tcPr>
          <w:p w:rsidR="002A5A5E" w:rsidRPr="00FC1444" w:rsidRDefault="00611CBA">
            <w:pPr>
              <w:jc w:val="center"/>
              <w:rPr>
                <w:rFonts w:eastAsiaTheme="minorEastAsia"/>
                <w:szCs w:val="21"/>
              </w:rPr>
            </w:pPr>
            <w:r w:rsidRPr="00FC1444">
              <w:rPr>
                <w:rFonts w:eastAsiaTheme="minorEastAsia"/>
                <w:szCs w:val="21"/>
              </w:rPr>
              <w:t>/</w:t>
            </w:r>
          </w:p>
        </w:tc>
        <w:tc>
          <w:tcPr>
            <w:tcW w:w="862" w:type="dxa"/>
            <w:vAlign w:val="center"/>
          </w:tcPr>
          <w:p w:rsidR="002A5A5E" w:rsidRPr="00FC1444" w:rsidRDefault="00611CBA">
            <w:pPr>
              <w:jc w:val="center"/>
              <w:rPr>
                <w:rFonts w:eastAsiaTheme="minorEastAsia"/>
                <w:szCs w:val="21"/>
              </w:rPr>
            </w:pPr>
            <w:r w:rsidRPr="00FC1444">
              <w:rPr>
                <w:rFonts w:eastAsiaTheme="minorEastAsia"/>
                <w:szCs w:val="21"/>
              </w:rPr>
              <w:t>/</w:t>
            </w:r>
          </w:p>
        </w:tc>
        <w:tc>
          <w:tcPr>
            <w:tcW w:w="862" w:type="dxa"/>
            <w:vAlign w:val="center"/>
          </w:tcPr>
          <w:p w:rsidR="002A5A5E" w:rsidRPr="00FC1444" w:rsidRDefault="00611CBA">
            <w:pPr>
              <w:jc w:val="center"/>
              <w:rPr>
                <w:rFonts w:eastAsiaTheme="minorEastAsia"/>
                <w:szCs w:val="21"/>
              </w:rPr>
            </w:pPr>
            <w:r w:rsidRPr="00FC1444">
              <w:rPr>
                <w:rFonts w:eastAsiaTheme="minorEastAsia"/>
                <w:szCs w:val="21"/>
              </w:rPr>
              <w:t>/</w:t>
            </w:r>
          </w:p>
        </w:tc>
        <w:tc>
          <w:tcPr>
            <w:tcW w:w="667" w:type="dxa"/>
            <w:vAlign w:val="center"/>
          </w:tcPr>
          <w:p w:rsidR="002A5A5E" w:rsidRPr="00FC1444" w:rsidRDefault="00611CBA">
            <w:pPr>
              <w:jc w:val="center"/>
              <w:rPr>
                <w:rFonts w:eastAsiaTheme="minorEastAsia"/>
                <w:szCs w:val="21"/>
              </w:rPr>
            </w:pPr>
            <w:r w:rsidRPr="00FC1444">
              <w:rPr>
                <w:rFonts w:eastAsiaTheme="minorEastAsia"/>
                <w:szCs w:val="21"/>
              </w:rPr>
              <w:t>/</w:t>
            </w:r>
          </w:p>
        </w:tc>
        <w:tc>
          <w:tcPr>
            <w:tcW w:w="1380" w:type="dxa"/>
            <w:vAlign w:val="center"/>
          </w:tcPr>
          <w:p w:rsidR="002A5A5E" w:rsidRPr="00FC1444" w:rsidRDefault="00611CBA">
            <w:pPr>
              <w:spacing w:line="0" w:lineRule="atLeast"/>
              <w:jc w:val="center"/>
              <w:rPr>
                <w:rFonts w:eastAsiaTheme="minorEastAsia"/>
                <w:snapToGrid w:val="0"/>
                <w:szCs w:val="22"/>
              </w:rPr>
            </w:pPr>
            <w:r w:rsidRPr="00FC1444">
              <w:rPr>
                <w:rFonts w:eastAsiaTheme="minorEastAsia"/>
                <w:snapToGrid w:val="0"/>
                <w:szCs w:val="22"/>
              </w:rPr>
              <w:t>70</w:t>
            </w:r>
          </w:p>
        </w:tc>
        <w:tc>
          <w:tcPr>
            <w:tcW w:w="1216" w:type="dxa"/>
            <w:vAlign w:val="center"/>
          </w:tcPr>
          <w:p w:rsidR="002A5A5E" w:rsidRPr="00FC1444" w:rsidRDefault="00611CBA">
            <w:pPr>
              <w:jc w:val="center"/>
              <w:rPr>
                <w:rFonts w:eastAsiaTheme="minorEastAsia"/>
                <w:szCs w:val="21"/>
              </w:rPr>
            </w:pPr>
            <w:r w:rsidRPr="00FC1444">
              <w:rPr>
                <w:rFonts w:eastAsiaTheme="minorEastAsia"/>
                <w:szCs w:val="21"/>
              </w:rPr>
              <w:t>/</w:t>
            </w:r>
          </w:p>
        </w:tc>
        <w:tc>
          <w:tcPr>
            <w:tcW w:w="677" w:type="dxa"/>
            <w:vAlign w:val="center"/>
          </w:tcPr>
          <w:p w:rsidR="002A5A5E" w:rsidRPr="00FC1444" w:rsidRDefault="00611CBA">
            <w:pPr>
              <w:jc w:val="center"/>
              <w:rPr>
                <w:rFonts w:eastAsiaTheme="minorEastAsia"/>
                <w:szCs w:val="21"/>
              </w:rPr>
            </w:pPr>
            <w:r w:rsidRPr="00FC1444">
              <w:rPr>
                <w:rFonts w:eastAsiaTheme="minorEastAsia"/>
                <w:szCs w:val="21"/>
              </w:rPr>
              <w:t>连续</w:t>
            </w:r>
          </w:p>
        </w:tc>
      </w:tr>
    </w:tbl>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3.3.2.4</w:t>
      </w:r>
      <w:r w:rsidRPr="00FC1444">
        <w:rPr>
          <w:rFonts w:eastAsiaTheme="minorEastAsia"/>
          <w:b/>
          <w:sz w:val="24"/>
        </w:rPr>
        <w:t>固体废物污染分析</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本项目运营期产生固体废物主要为秸秆、</w:t>
      </w:r>
      <w:r w:rsidRPr="00FC1444">
        <w:rPr>
          <w:rFonts w:eastAsiaTheme="minorEastAsia"/>
          <w:bCs/>
          <w:sz w:val="24"/>
        </w:rPr>
        <w:t>农药包装物及废肥料包装袋</w:t>
      </w:r>
      <w:r w:rsidRPr="00FC1444">
        <w:rPr>
          <w:rFonts w:eastAsiaTheme="minorEastAsia"/>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本项目运营期使用的喷灌设备、潜水泵等设备如进行维修或保养，直接拆卸至厂家维修或更换，不在现场处置，故不会产生废润滑油等废弃物。</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本项目灌溉井工程采用填滤料过滤器，滤料位于井管底部，深入地下水层，与井管在出厂前焊接在一起，不定期更换。填料层位于地下水透水层，属于井管最下层，起过滤作用，运营期间不更换</w:t>
      </w:r>
      <w:r w:rsidRPr="00FC1444">
        <w:rPr>
          <w:rFonts w:eastAsiaTheme="minorEastAsia"/>
          <w:sz w:val="24"/>
          <w:szCs w:val="20"/>
        </w:rPr>
        <w:t>。</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本项目变压器均为小型变压器，运行方式为独立运行，该类油箱采取全密封结构，采用真空注油工艺，防止进水、进气，延缓变压器老化，提高运行可靠性。变压器使用期间不换油、不补油，使用寿命结束后或出现设备故障时直接整体更换变压器，由设备厂家带走，不产生危险废物。</w:t>
      </w:r>
      <w:r w:rsidRPr="00FC1444">
        <w:rPr>
          <w:rFonts w:ascii="Times New Roman" w:hAnsi="Times New Roman" w:cs="Times New Roman"/>
          <w:bCs/>
          <w:snapToGrid w:val="0"/>
        </w:rPr>
        <w:t>运营期由所在村屯日常维护和管理。</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bCs/>
        </w:rPr>
        <w:t>高标准农田耕种过程中将会产生农药包装物及废肥料包装袋，依据《农药包装废弃物回收处理管理办法》（中华人民共和国农业农村部</w:t>
      </w:r>
      <w:r w:rsidRPr="00FC1444">
        <w:rPr>
          <w:rFonts w:ascii="Times New Roman" w:hAnsi="Times New Roman" w:cs="Times New Roman"/>
          <w:bCs/>
        </w:rPr>
        <w:t xml:space="preserve"> </w:t>
      </w:r>
      <w:r w:rsidRPr="00FC1444">
        <w:rPr>
          <w:rFonts w:ascii="Times New Roman" w:hAnsi="Times New Roman" w:cs="Times New Roman"/>
          <w:bCs/>
        </w:rPr>
        <w:t>生态环境部令</w:t>
      </w:r>
      <w:r w:rsidRPr="00FC1444">
        <w:rPr>
          <w:rFonts w:ascii="Times New Roman" w:hAnsi="Times New Roman" w:cs="Times New Roman"/>
          <w:bCs/>
        </w:rPr>
        <w:t>2020</w:t>
      </w:r>
      <w:r w:rsidRPr="00FC1444">
        <w:rPr>
          <w:rFonts w:ascii="Times New Roman" w:hAnsi="Times New Roman" w:cs="Times New Roman"/>
          <w:bCs/>
        </w:rPr>
        <w:t>年</w:t>
      </w:r>
      <w:r w:rsidRPr="00FC1444">
        <w:rPr>
          <w:rFonts w:ascii="Times New Roman" w:hAnsi="Times New Roman" w:cs="Times New Roman"/>
          <w:bCs/>
        </w:rPr>
        <w:t xml:space="preserve"> </w:t>
      </w:r>
      <w:r w:rsidRPr="00FC1444">
        <w:rPr>
          <w:rFonts w:ascii="Times New Roman" w:hAnsi="Times New Roman" w:cs="Times New Roman"/>
          <w:bCs/>
        </w:rPr>
        <w:t>第</w:t>
      </w:r>
      <w:r w:rsidRPr="00FC1444">
        <w:rPr>
          <w:rFonts w:ascii="Times New Roman" w:hAnsi="Times New Roman" w:cs="Times New Roman"/>
          <w:bCs/>
        </w:rPr>
        <w:t>6</w:t>
      </w:r>
      <w:r w:rsidRPr="00FC1444">
        <w:rPr>
          <w:rFonts w:ascii="Times New Roman" w:hAnsi="Times New Roman" w:cs="Times New Roman"/>
          <w:bCs/>
        </w:rPr>
        <w:t>号）以及《国家危险废物名录（</w:t>
      </w:r>
      <w:r w:rsidRPr="00FC1444">
        <w:rPr>
          <w:rFonts w:ascii="Times New Roman" w:hAnsi="Times New Roman" w:cs="Times New Roman"/>
          <w:bCs/>
        </w:rPr>
        <w:t>2025</w:t>
      </w:r>
      <w:r w:rsidRPr="00FC1444">
        <w:rPr>
          <w:rFonts w:ascii="Times New Roman" w:hAnsi="Times New Roman" w:cs="Times New Roman"/>
          <w:bCs/>
        </w:rPr>
        <w:t>年版）》危险废物豁免管理清单，农药包装物不按照危险废物管理。</w:t>
      </w:r>
      <w:r w:rsidRPr="00FC1444">
        <w:rPr>
          <w:rFonts w:ascii="Times New Roman" w:hAnsi="Times New Roman" w:cs="Times New Roman"/>
        </w:rPr>
        <w:t>秸秆产生量约为</w:t>
      </w:r>
      <w:r w:rsidRPr="00FC1444">
        <w:rPr>
          <w:rFonts w:ascii="Times New Roman" w:hAnsi="Times New Roman" w:cs="Times New Roman"/>
        </w:rPr>
        <w:t>0.01t/a</w:t>
      </w:r>
      <w:r w:rsidRPr="00FC1444">
        <w:rPr>
          <w:rFonts w:ascii="Times New Roman" w:hAnsi="Times New Roman" w:cs="Times New Roman"/>
        </w:rPr>
        <w:t>、</w:t>
      </w:r>
      <w:r w:rsidRPr="00FC1444">
        <w:rPr>
          <w:rFonts w:ascii="Times New Roman" w:hAnsi="Times New Roman" w:cs="Times New Roman"/>
          <w:bCs/>
        </w:rPr>
        <w:t>废肥料包装袋</w:t>
      </w:r>
      <w:r w:rsidRPr="00FC1444">
        <w:rPr>
          <w:rFonts w:ascii="Times New Roman" w:hAnsi="Times New Roman" w:cs="Times New Roman"/>
        </w:rPr>
        <w:t>产生量约为</w:t>
      </w:r>
      <w:r w:rsidRPr="00FC1444">
        <w:rPr>
          <w:rFonts w:ascii="Times New Roman" w:hAnsi="Times New Roman" w:cs="Times New Roman"/>
        </w:rPr>
        <w:t>0.01t/a</w:t>
      </w:r>
      <w:r w:rsidRPr="00FC1444">
        <w:rPr>
          <w:rFonts w:ascii="Times New Roman" w:hAnsi="Times New Roman" w:cs="Times New Roman"/>
        </w:rPr>
        <w:t>，</w:t>
      </w:r>
      <w:r w:rsidRPr="00FC1444">
        <w:rPr>
          <w:rFonts w:ascii="Times New Roman" w:hAnsi="Times New Roman" w:cs="Times New Roman"/>
          <w:bCs/>
        </w:rPr>
        <w:t>由当地农民负责外售综合利用。建设单位负责监管。</w:t>
      </w:r>
      <w:r w:rsidR="009E4DCE" w:rsidRPr="00FC1444">
        <w:rPr>
          <w:rFonts w:ascii="Times New Roman" w:hAnsi="Times New Roman" w:cs="Times New Roman"/>
          <w:bCs/>
        </w:rPr>
        <w:t>农药包装物</w:t>
      </w:r>
      <w:r w:rsidR="009E4DCE" w:rsidRPr="00FC1444">
        <w:rPr>
          <w:rFonts w:ascii="Times New Roman" w:hAnsi="Times New Roman" w:cs="Times New Roman"/>
        </w:rPr>
        <w:t>产生量约为</w:t>
      </w:r>
      <w:r w:rsidR="009E4DCE" w:rsidRPr="00FC1444">
        <w:rPr>
          <w:rFonts w:ascii="Times New Roman" w:hAnsi="Times New Roman" w:cs="Times New Roman"/>
        </w:rPr>
        <w:t>0.01t/a</w:t>
      </w:r>
      <w:r w:rsidR="009E4DCE" w:rsidRPr="00FC1444">
        <w:rPr>
          <w:rFonts w:ascii="Times New Roman" w:hAnsi="Times New Roman" w:cs="Times New Roman"/>
        </w:rPr>
        <w:t>，</w:t>
      </w:r>
      <w:r w:rsidR="009E4DCE" w:rsidRPr="00FC1444">
        <w:rPr>
          <w:rFonts w:ascii="Times New Roman" w:hAnsi="Times New Roman" w:cs="Times New Roman"/>
          <w:bCs/>
        </w:rPr>
        <w:t>农业使用者及时收集农药包装物，由并交回农药经营者或回收站。</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3.3.2.5</w:t>
      </w:r>
      <w:r w:rsidRPr="00FC1444">
        <w:rPr>
          <w:rFonts w:eastAsiaTheme="minorEastAsia"/>
          <w:b/>
          <w:sz w:val="24"/>
        </w:rPr>
        <w:t>生态污染分析</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bCs/>
          <w:kern w:val="0"/>
          <w:sz w:val="24"/>
        </w:rPr>
        <w:t>本项目灌溉井工程开采地下水使地下水资源减少可能导致地表植被受到影</w:t>
      </w:r>
      <w:r w:rsidRPr="00FC1444">
        <w:rPr>
          <w:rFonts w:eastAsiaTheme="minorEastAsia"/>
          <w:bCs/>
          <w:kern w:val="0"/>
          <w:sz w:val="24"/>
        </w:rPr>
        <w:lastRenderedPageBreak/>
        <w:t>响，产生的扬尘和噪声也将对动植物产生影响。现有水田取水、退水对水生生态环境产生影响。</w:t>
      </w:r>
    </w:p>
    <w:p w:rsidR="002A5A5E" w:rsidRPr="00FC1444" w:rsidRDefault="00611CBA">
      <w:pPr>
        <w:pStyle w:val="aff4"/>
        <w:adjustRightInd/>
        <w:snapToGrid/>
        <w:jc w:val="both"/>
        <w:rPr>
          <w:rFonts w:ascii="Times New Roman" w:hAnsi="Times New Roman" w:cs="Times New Roman"/>
          <w:smallCaps/>
        </w:rPr>
      </w:pPr>
      <w:r w:rsidRPr="00FC1444">
        <w:rPr>
          <w:rFonts w:ascii="Times New Roman" w:hAnsi="Times New Roman" w:cs="Times New Roman"/>
          <w:snapToGrid w:val="0"/>
        </w:rPr>
        <w:t>（</w:t>
      </w:r>
      <w:r w:rsidRPr="00FC1444">
        <w:rPr>
          <w:rFonts w:ascii="Times New Roman" w:hAnsi="Times New Roman" w:cs="Times New Roman"/>
          <w:snapToGrid w:val="0"/>
        </w:rPr>
        <w:t>1</w:t>
      </w:r>
      <w:r w:rsidRPr="00FC1444">
        <w:rPr>
          <w:rFonts w:ascii="Times New Roman" w:hAnsi="Times New Roman" w:cs="Times New Roman"/>
          <w:snapToGrid w:val="0"/>
        </w:rPr>
        <w:t>）</w:t>
      </w:r>
      <w:r w:rsidRPr="00FC1444">
        <w:rPr>
          <w:rFonts w:ascii="Times New Roman" w:hAnsi="Times New Roman" w:cs="Times New Roman"/>
          <w:smallCaps/>
        </w:rPr>
        <w:t>陆生生态</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smallCaps/>
          <w:sz w:val="24"/>
        </w:rPr>
        <w:t>项目区以农田生态系统为主，已形成多年，项目建成后区域仍以农田生态系统为主，项目区无重要物种、重要生境，工程运行期间，有效利用水肥资源，有利于农田生态系统健康发展，不会造成物种、生物量损失及生境变化，不会对区域</w:t>
      </w:r>
      <w:r w:rsidRPr="00FC1444">
        <w:rPr>
          <w:rFonts w:eastAsiaTheme="minorEastAsia"/>
          <w:bCs/>
          <w:kern w:val="0"/>
          <w:sz w:val="24"/>
        </w:rPr>
        <w:t>生物多样性产生较大影响。本区域通过车辆一般为当地农用车，车速较慢、产生的尾气及扬尘较少，同时采取限速、禁鸣措施。灌溉井泵类位于地下，能够有效的阻隔声传播，柴油机移动泵车及</w:t>
      </w:r>
      <w:r w:rsidR="00716701" w:rsidRPr="00FC1444">
        <w:rPr>
          <w:rFonts w:eastAsiaTheme="minorEastAsia"/>
          <w:bCs/>
          <w:kern w:val="0"/>
          <w:sz w:val="24"/>
        </w:rPr>
        <w:t>施肥机</w:t>
      </w:r>
      <w:r w:rsidRPr="00FC1444">
        <w:rPr>
          <w:rFonts w:eastAsiaTheme="minorEastAsia"/>
          <w:bCs/>
          <w:kern w:val="0"/>
          <w:sz w:val="24"/>
        </w:rPr>
        <w:t>使用时间较短，减少扬尘和噪声对陆生动植物产生的影响。</w:t>
      </w:r>
      <w:r w:rsidRPr="00FC1444">
        <w:rPr>
          <w:rFonts w:eastAsiaTheme="minorEastAsia"/>
          <w:kern w:val="0"/>
          <w:sz w:val="24"/>
        </w:rPr>
        <w:t>根据</w:t>
      </w:r>
      <w:r w:rsidRPr="00FC1444">
        <w:rPr>
          <w:rFonts w:eastAsiaTheme="minorEastAsia"/>
          <w:sz w:val="24"/>
        </w:rPr>
        <w:t>已批复《</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水资源论证报告书》，</w:t>
      </w:r>
      <w:r w:rsidRPr="00FC1444">
        <w:rPr>
          <w:rFonts w:eastAsiaTheme="minorEastAsia"/>
          <w:kern w:val="0"/>
          <w:sz w:val="24"/>
        </w:rPr>
        <w:t>本工程开采后地下水</w:t>
      </w:r>
      <w:r w:rsidRPr="00FC1444">
        <w:rPr>
          <w:rFonts w:eastAsiaTheme="minorEastAsia"/>
          <w:bCs/>
          <w:kern w:val="0"/>
          <w:sz w:val="24"/>
        </w:rPr>
        <w:t>持续开采取水中心最大水位降深</w:t>
      </w:r>
      <w:r w:rsidR="00FD6E06" w:rsidRPr="00FC1444">
        <w:rPr>
          <w:rFonts w:eastAsiaTheme="minorEastAsia"/>
          <w:bCs/>
          <w:kern w:val="0"/>
          <w:sz w:val="24"/>
        </w:rPr>
        <w:t>小于</w:t>
      </w:r>
      <w:r w:rsidR="00FD6E06" w:rsidRPr="00FC1444">
        <w:rPr>
          <w:rFonts w:eastAsiaTheme="minorEastAsia"/>
          <w:bCs/>
          <w:kern w:val="0"/>
          <w:sz w:val="24"/>
        </w:rPr>
        <w:t>0.1m</w:t>
      </w:r>
      <w:r w:rsidRPr="00FC1444">
        <w:rPr>
          <w:rFonts w:eastAsiaTheme="minorEastAsia"/>
          <w:kern w:val="0"/>
          <w:sz w:val="24"/>
        </w:rPr>
        <w:t>，小于合理降深</w:t>
      </w:r>
      <w:r w:rsidRPr="00FC1444">
        <w:rPr>
          <w:rFonts w:eastAsiaTheme="minorEastAsia"/>
          <w:kern w:val="0"/>
          <w:sz w:val="24"/>
        </w:rPr>
        <w:t>5m</w:t>
      </w:r>
      <w:r w:rsidRPr="00FC1444">
        <w:rPr>
          <w:rFonts w:eastAsiaTheme="minorEastAsia"/>
          <w:kern w:val="0"/>
          <w:sz w:val="24"/>
        </w:rPr>
        <w:t>的动水位要求</w:t>
      </w:r>
      <w:r w:rsidRPr="00FC1444">
        <w:rPr>
          <w:rFonts w:eastAsiaTheme="minorEastAsia"/>
          <w:bCs/>
          <w:kern w:val="0"/>
          <w:sz w:val="24"/>
        </w:rPr>
        <w:t>，</w:t>
      </w:r>
      <w:r w:rsidRPr="00FC1444">
        <w:rPr>
          <w:rFonts w:eastAsiaTheme="minorEastAsia"/>
          <w:kern w:val="0"/>
          <w:sz w:val="24"/>
        </w:rPr>
        <w:t>同时本工程为非持续性取水，基本分布于春季耕种和夏季防旱，本项目灌溉水除植物吸收外，基本以蒸发和下渗的方式回归自然，能够对地下水位的恢复起到正效益，同时在丰水期地下水得到充分的补给，地下水位可以得到充分恢复。故</w:t>
      </w:r>
      <w:r w:rsidRPr="00FC1444">
        <w:rPr>
          <w:rFonts w:eastAsiaTheme="minorEastAsia"/>
          <w:bCs/>
          <w:kern w:val="0"/>
          <w:sz w:val="24"/>
        </w:rPr>
        <w:t>对陆生动植物产生影响较小。</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bCs/>
          <w:kern w:val="0"/>
          <w:sz w:val="24"/>
        </w:rPr>
        <w:t>（</w:t>
      </w:r>
      <w:r w:rsidRPr="00FC1444">
        <w:rPr>
          <w:rFonts w:eastAsiaTheme="minorEastAsia"/>
          <w:bCs/>
          <w:kern w:val="0"/>
          <w:sz w:val="24"/>
        </w:rPr>
        <w:t>2</w:t>
      </w:r>
      <w:r w:rsidRPr="00FC1444">
        <w:rPr>
          <w:rFonts w:eastAsiaTheme="minorEastAsia"/>
          <w:bCs/>
          <w:kern w:val="0"/>
          <w:sz w:val="24"/>
        </w:rPr>
        <w:t>）水生生态</w:t>
      </w:r>
      <w:r w:rsidR="00E5148C" w:rsidRPr="00FC1444">
        <w:rPr>
          <w:rFonts w:eastAsiaTheme="minorEastAsia"/>
          <w:bCs/>
          <w:kern w:val="0"/>
          <w:sz w:val="24"/>
        </w:rPr>
        <w:t>及自然保护区</w:t>
      </w:r>
    </w:p>
    <w:p w:rsidR="002A5A5E" w:rsidRPr="00FC1444" w:rsidRDefault="00611CBA">
      <w:pPr>
        <w:spacing w:line="360" w:lineRule="auto"/>
        <w:ind w:firstLineChars="200" w:firstLine="480"/>
        <w:rPr>
          <w:rFonts w:eastAsiaTheme="minorEastAsia"/>
          <w:smallCaps/>
          <w:sz w:val="24"/>
        </w:rPr>
      </w:pPr>
      <w:r w:rsidRPr="00FC1444">
        <w:rPr>
          <w:rFonts w:eastAsiaTheme="minorEastAsia"/>
          <w:smallCaps/>
          <w:sz w:val="24"/>
        </w:rPr>
        <w:t>灌区建设多年，区域水生生态系统经过长时间的演替，已形成稳定的适合现有鱼类及水生生物生长繁殖的生境和生态系统。由于工程的实施，减少渠道上的</w:t>
      </w:r>
      <w:r w:rsidRPr="00FC1444">
        <w:rPr>
          <w:rFonts w:eastAsiaTheme="minorEastAsia"/>
          <w:smallCaps/>
          <w:sz w:val="24"/>
        </w:rPr>
        <w:t>“</w:t>
      </w:r>
      <w:r w:rsidRPr="00FC1444">
        <w:rPr>
          <w:rFonts w:eastAsiaTheme="minorEastAsia"/>
          <w:smallCaps/>
          <w:sz w:val="24"/>
        </w:rPr>
        <w:t>跑、漏、冒</w:t>
      </w:r>
      <w:r w:rsidRPr="00FC1444">
        <w:rPr>
          <w:rFonts w:eastAsiaTheme="minorEastAsia"/>
          <w:smallCaps/>
          <w:sz w:val="24"/>
        </w:rPr>
        <w:t>”</w:t>
      </w:r>
      <w:r w:rsidRPr="00FC1444">
        <w:rPr>
          <w:rFonts w:eastAsiaTheme="minorEastAsia"/>
          <w:smallCaps/>
          <w:sz w:val="24"/>
        </w:rPr>
        <w:t>水现象，节约了水资源，提升水资源利用效率。工程实施前后退水量、污染物入河量均减少，对区域水文情势、鱼类栖息及繁殖、浮游生物、底栖动物、水生维管束植物产生有利影响。</w:t>
      </w:r>
    </w:p>
    <w:p w:rsidR="002A5A5E" w:rsidRPr="00FC1444" w:rsidRDefault="00611CBA">
      <w:pPr>
        <w:spacing w:line="360" w:lineRule="auto"/>
        <w:ind w:firstLineChars="200" w:firstLine="480"/>
        <w:rPr>
          <w:rFonts w:eastAsiaTheme="minorEastAsia"/>
          <w:smallCaps/>
          <w:sz w:val="24"/>
        </w:rPr>
      </w:pPr>
      <w:r w:rsidRPr="00FC1444">
        <w:rPr>
          <w:rFonts w:eastAsiaTheme="minorEastAsia"/>
          <w:sz w:val="24"/>
        </w:rPr>
        <w:t>本项目农田退水集中在</w:t>
      </w:r>
      <w:r w:rsidRPr="00FC1444">
        <w:rPr>
          <w:rFonts w:eastAsiaTheme="minorEastAsia"/>
          <w:sz w:val="24"/>
        </w:rPr>
        <w:t>5</w:t>
      </w:r>
      <w:r w:rsidRPr="00FC1444">
        <w:rPr>
          <w:rFonts w:eastAsiaTheme="minorEastAsia"/>
          <w:sz w:val="24"/>
        </w:rPr>
        <w:t>～</w:t>
      </w:r>
      <w:r w:rsidRPr="00FC1444">
        <w:rPr>
          <w:rFonts w:eastAsiaTheme="minorEastAsia"/>
          <w:sz w:val="24"/>
        </w:rPr>
        <w:t>9</w:t>
      </w:r>
      <w:r w:rsidRPr="00FC1444">
        <w:rPr>
          <w:rFonts w:eastAsiaTheme="minorEastAsia"/>
          <w:sz w:val="24"/>
        </w:rPr>
        <w:t>月份，</w:t>
      </w:r>
      <w:r w:rsidR="005E02F2" w:rsidRPr="00FC1444">
        <w:rPr>
          <w:rFonts w:eastAsiaTheme="minorEastAsia"/>
          <w:sz w:val="24"/>
        </w:rPr>
        <w:t>入</w:t>
      </w:r>
      <w:r w:rsidR="009D6C76" w:rsidRPr="00FC1444">
        <w:rPr>
          <w:rFonts w:eastAsiaTheme="minorEastAsia" w:hint="eastAsia"/>
          <w:sz w:val="24"/>
        </w:rPr>
        <w:t>呼兰河</w:t>
      </w:r>
      <w:r w:rsidRPr="00FC1444">
        <w:rPr>
          <w:rFonts w:eastAsiaTheme="minorEastAsia"/>
          <w:sz w:val="24"/>
        </w:rPr>
        <w:t>年退水量与现状相比</w:t>
      </w:r>
      <w:r w:rsidR="00F25A84" w:rsidRPr="00FC1444">
        <w:rPr>
          <w:rFonts w:eastAsiaTheme="minorEastAsia"/>
          <w:sz w:val="24"/>
        </w:rPr>
        <w:t>减少</w:t>
      </w:r>
      <w:r w:rsidR="009D6C76" w:rsidRPr="00FC1444">
        <w:rPr>
          <w:rFonts w:eastAsiaTheme="minorEastAsia" w:hint="eastAsia"/>
          <w:sz w:val="24"/>
        </w:rPr>
        <w:t>259.9</w:t>
      </w:r>
      <w:r w:rsidR="001E2976" w:rsidRPr="00FC1444">
        <w:rPr>
          <w:rFonts w:eastAsiaTheme="minorEastAsia"/>
          <w:sz w:val="24"/>
        </w:rPr>
        <w:t>万</w:t>
      </w:r>
      <w:r w:rsidR="001E2976" w:rsidRPr="00FC1444">
        <w:rPr>
          <w:rFonts w:eastAsiaTheme="minorEastAsia"/>
          <w:sz w:val="24"/>
        </w:rPr>
        <w:t>m</w:t>
      </w:r>
      <w:r w:rsidRPr="00FC1444">
        <w:rPr>
          <w:rFonts w:eastAsiaTheme="minorEastAsia"/>
          <w:sz w:val="24"/>
          <w:vertAlign w:val="superscript"/>
        </w:rPr>
        <w:t>3</w:t>
      </w:r>
      <w:r w:rsidRPr="00FC1444">
        <w:rPr>
          <w:rFonts w:eastAsiaTheme="minorEastAsia"/>
          <w:sz w:val="24"/>
        </w:rPr>
        <w:t>，</w:t>
      </w:r>
      <w:r w:rsidR="009D6C76" w:rsidRPr="00FC1444">
        <w:rPr>
          <w:rFonts w:eastAsiaTheme="minorEastAsia" w:hint="eastAsia"/>
          <w:sz w:val="24"/>
        </w:rPr>
        <w:t>呼兰河</w:t>
      </w:r>
      <w:r w:rsidRPr="00FC1444">
        <w:rPr>
          <w:rFonts w:eastAsiaTheme="minorEastAsia"/>
          <w:sz w:val="24"/>
        </w:rPr>
        <w:t>流域多年平均年径流量约为</w:t>
      </w:r>
      <w:r w:rsidRPr="00FC1444">
        <w:rPr>
          <w:rFonts w:eastAsiaTheme="minorEastAsia"/>
          <w:sz w:val="24"/>
        </w:rPr>
        <w:t> </w:t>
      </w:r>
      <w:r w:rsidR="0015654D" w:rsidRPr="00FC1444">
        <w:rPr>
          <w:rFonts w:eastAsiaTheme="minorEastAsia" w:hint="eastAsia"/>
          <w:bCs/>
          <w:sz w:val="24"/>
        </w:rPr>
        <w:t>41.3</w:t>
      </w:r>
      <w:r w:rsidRPr="00FC1444">
        <w:rPr>
          <w:rFonts w:eastAsiaTheme="minorEastAsia"/>
          <w:bCs/>
          <w:sz w:val="24"/>
        </w:rPr>
        <w:t>亿</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，退水减少量占比约为</w:t>
      </w:r>
      <w:r w:rsidRPr="00FC1444">
        <w:rPr>
          <w:rFonts w:eastAsiaTheme="minorEastAsia"/>
          <w:sz w:val="24"/>
        </w:rPr>
        <w:t>0.0</w:t>
      </w:r>
      <w:r w:rsidR="0015654D" w:rsidRPr="00FC1444">
        <w:rPr>
          <w:rFonts w:eastAsiaTheme="minorEastAsia" w:hint="eastAsia"/>
          <w:sz w:val="24"/>
        </w:rPr>
        <w:t>6</w:t>
      </w:r>
      <w:r w:rsidRPr="00FC1444">
        <w:rPr>
          <w:rFonts w:eastAsiaTheme="minorEastAsia"/>
          <w:sz w:val="24"/>
        </w:rPr>
        <w:t>%</w:t>
      </w:r>
      <w:r w:rsidRPr="00FC1444">
        <w:rPr>
          <w:rFonts w:eastAsiaTheme="minorEastAsia"/>
          <w:sz w:val="24"/>
        </w:rPr>
        <w:t>。</w:t>
      </w:r>
      <w:r w:rsidR="001201E2" w:rsidRPr="00FC1444">
        <w:rPr>
          <w:rFonts w:eastAsiaTheme="minorEastAsia"/>
          <w:sz w:val="24"/>
        </w:rPr>
        <w:t>入</w:t>
      </w:r>
      <w:r w:rsidR="009D6C76" w:rsidRPr="00FC1444">
        <w:rPr>
          <w:rFonts w:eastAsiaTheme="minorEastAsia" w:hint="eastAsia"/>
          <w:sz w:val="24"/>
        </w:rPr>
        <w:t>津</w:t>
      </w:r>
      <w:r w:rsidR="009D6C76" w:rsidRPr="00FC1444">
        <w:rPr>
          <w:rFonts w:eastAsiaTheme="minorEastAsia"/>
          <w:sz w:val="24"/>
        </w:rPr>
        <w:t>河</w:t>
      </w:r>
      <w:r w:rsidR="001201E2" w:rsidRPr="00FC1444">
        <w:rPr>
          <w:rFonts w:eastAsiaTheme="minorEastAsia"/>
          <w:sz w:val="24"/>
        </w:rPr>
        <w:t>年</w:t>
      </w:r>
      <w:r w:rsidRPr="00FC1444">
        <w:rPr>
          <w:rFonts w:eastAsiaTheme="minorEastAsia"/>
          <w:sz w:val="24"/>
        </w:rPr>
        <w:t>退水量与现状相比</w:t>
      </w:r>
      <w:r w:rsidR="00212BE0" w:rsidRPr="00FC1444">
        <w:rPr>
          <w:rFonts w:eastAsiaTheme="minorEastAsia"/>
          <w:sz w:val="24"/>
        </w:rPr>
        <w:t>减少</w:t>
      </w:r>
      <w:r w:rsidR="00783148" w:rsidRPr="00FC1444">
        <w:rPr>
          <w:rFonts w:eastAsiaTheme="minorEastAsia" w:hint="eastAsia"/>
          <w:sz w:val="24"/>
        </w:rPr>
        <w:t>72.4</w:t>
      </w:r>
      <w:r w:rsidR="00212BE0" w:rsidRPr="00FC1444">
        <w:rPr>
          <w:rFonts w:eastAsiaTheme="minorEastAsia"/>
          <w:sz w:val="24"/>
        </w:rPr>
        <w:t>万</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w:t>
      </w:r>
      <w:r w:rsidR="009D6C76" w:rsidRPr="00FC1444">
        <w:rPr>
          <w:rFonts w:eastAsiaTheme="minorEastAsia" w:hint="eastAsia"/>
          <w:sz w:val="24"/>
        </w:rPr>
        <w:t>津</w:t>
      </w:r>
      <w:r w:rsidR="009D6C76" w:rsidRPr="00FC1444">
        <w:rPr>
          <w:rFonts w:eastAsiaTheme="minorEastAsia"/>
          <w:sz w:val="24"/>
        </w:rPr>
        <w:t>河</w:t>
      </w:r>
      <w:r w:rsidRPr="00FC1444">
        <w:rPr>
          <w:rFonts w:eastAsiaTheme="minorEastAsia"/>
          <w:sz w:val="24"/>
        </w:rPr>
        <w:t>流域多年平均年径流量约为</w:t>
      </w:r>
      <w:r w:rsidR="0015654D" w:rsidRPr="00FC1444">
        <w:rPr>
          <w:rFonts w:eastAsiaTheme="minorEastAsia" w:hint="eastAsia"/>
          <w:bCs/>
          <w:sz w:val="24"/>
        </w:rPr>
        <w:t>0.11</w:t>
      </w:r>
      <w:r w:rsidRPr="00FC1444">
        <w:rPr>
          <w:rFonts w:eastAsiaTheme="minorEastAsia"/>
          <w:bCs/>
          <w:sz w:val="24"/>
        </w:rPr>
        <w:t>亿</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，退水减少量占比约为</w:t>
      </w:r>
      <w:r w:rsidR="0015654D" w:rsidRPr="00FC1444">
        <w:rPr>
          <w:rFonts w:eastAsiaTheme="minorEastAsia" w:hint="eastAsia"/>
          <w:sz w:val="24"/>
        </w:rPr>
        <w:t>6.58</w:t>
      </w:r>
      <w:r w:rsidRPr="00FC1444">
        <w:rPr>
          <w:rFonts w:eastAsiaTheme="minorEastAsia"/>
          <w:sz w:val="24"/>
        </w:rPr>
        <w:t>%</w:t>
      </w:r>
      <w:r w:rsidRPr="00FC1444">
        <w:rPr>
          <w:rFonts w:eastAsiaTheme="minorEastAsia"/>
          <w:sz w:val="24"/>
        </w:rPr>
        <w:t>。</w:t>
      </w:r>
      <w:r w:rsidR="001201E2" w:rsidRPr="00FC1444">
        <w:rPr>
          <w:rFonts w:eastAsiaTheme="minorEastAsia"/>
          <w:sz w:val="24"/>
        </w:rPr>
        <w:t>入</w:t>
      </w:r>
      <w:r w:rsidR="009D6C76" w:rsidRPr="00FC1444">
        <w:rPr>
          <w:rFonts w:eastAsiaTheme="minorEastAsia" w:hint="eastAsia"/>
          <w:sz w:val="24"/>
        </w:rPr>
        <w:t>努</w:t>
      </w:r>
      <w:r w:rsidR="009D6C76" w:rsidRPr="00FC1444">
        <w:rPr>
          <w:rFonts w:eastAsiaTheme="minorEastAsia"/>
          <w:sz w:val="24"/>
        </w:rPr>
        <w:t>敏河</w:t>
      </w:r>
      <w:r w:rsidR="001201E2" w:rsidRPr="00FC1444">
        <w:rPr>
          <w:rFonts w:eastAsiaTheme="minorEastAsia"/>
          <w:sz w:val="24"/>
        </w:rPr>
        <w:t>年</w:t>
      </w:r>
      <w:r w:rsidR="009D6C76" w:rsidRPr="00FC1444">
        <w:rPr>
          <w:rFonts w:eastAsiaTheme="minorEastAsia"/>
          <w:sz w:val="24"/>
        </w:rPr>
        <w:t>退水量与现状相比减少</w:t>
      </w:r>
      <w:r w:rsidR="00783148" w:rsidRPr="00FC1444">
        <w:rPr>
          <w:rFonts w:eastAsiaTheme="minorEastAsia" w:hint="eastAsia"/>
          <w:sz w:val="24"/>
        </w:rPr>
        <w:t>98.7</w:t>
      </w:r>
      <w:r w:rsidR="009D6C76" w:rsidRPr="00FC1444">
        <w:rPr>
          <w:rFonts w:eastAsiaTheme="minorEastAsia"/>
          <w:sz w:val="24"/>
        </w:rPr>
        <w:t>万</w:t>
      </w:r>
      <w:r w:rsidR="009D6C76" w:rsidRPr="00FC1444">
        <w:rPr>
          <w:rFonts w:eastAsiaTheme="minorEastAsia"/>
          <w:sz w:val="24"/>
        </w:rPr>
        <w:t>m</w:t>
      </w:r>
      <w:r w:rsidR="009D6C76" w:rsidRPr="00FC1444">
        <w:rPr>
          <w:rFonts w:eastAsiaTheme="minorEastAsia"/>
          <w:sz w:val="24"/>
          <w:vertAlign w:val="superscript"/>
        </w:rPr>
        <w:t>3</w:t>
      </w:r>
      <w:r w:rsidR="009D6C76" w:rsidRPr="00FC1444">
        <w:rPr>
          <w:rFonts w:eastAsiaTheme="minorEastAsia"/>
          <w:sz w:val="24"/>
        </w:rPr>
        <w:t>，</w:t>
      </w:r>
      <w:r w:rsidR="009D6C76" w:rsidRPr="00FC1444">
        <w:rPr>
          <w:rFonts w:eastAsiaTheme="minorEastAsia" w:hint="eastAsia"/>
          <w:sz w:val="24"/>
        </w:rPr>
        <w:t>努</w:t>
      </w:r>
      <w:r w:rsidR="009D6C76" w:rsidRPr="00FC1444">
        <w:rPr>
          <w:rFonts w:eastAsiaTheme="minorEastAsia"/>
          <w:sz w:val="24"/>
        </w:rPr>
        <w:t>敏河流域多年平均年径流量约为</w:t>
      </w:r>
      <w:r w:rsidR="009D6C76" w:rsidRPr="00FC1444">
        <w:rPr>
          <w:rFonts w:eastAsiaTheme="minorEastAsia"/>
          <w:sz w:val="24"/>
        </w:rPr>
        <w:t> </w:t>
      </w:r>
      <w:r w:rsidR="001201E2" w:rsidRPr="00FC1444">
        <w:rPr>
          <w:rFonts w:eastAsiaTheme="minorEastAsia" w:hint="eastAsia"/>
          <w:bCs/>
          <w:sz w:val="24"/>
        </w:rPr>
        <w:t>7.24</w:t>
      </w:r>
      <w:r w:rsidR="009D6C76" w:rsidRPr="00FC1444">
        <w:rPr>
          <w:rFonts w:eastAsiaTheme="minorEastAsia"/>
          <w:bCs/>
          <w:sz w:val="24"/>
        </w:rPr>
        <w:t>亿</w:t>
      </w:r>
      <w:r w:rsidR="009D6C76" w:rsidRPr="00FC1444">
        <w:rPr>
          <w:rFonts w:eastAsiaTheme="minorEastAsia"/>
          <w:sz w:val="24"/>
        </w:rPr>
        <w:t>m</w:t>
      </w:r>
      <w:r w:rsidR="009D6C76" w:rsidRPr="00FC1444">
        <w:rPr>
          <w:rFonts w:eastAsiaTheme="minorEastAsia"/>
          <w:sz w:val="24"/>
          <w:vertAlign w:val="superscript"/>
        </w:rPr>
        <w:t>3</w:t>
      </w:r>
      <w:r w:rsidR="009D6C76" w:rsidRPr="00FC1444">
        <w:rPr>
          <w:rFonts w:eastAsiaTheme="minorEastAsia"/>
          <w:sz w:val="24"/>
        </w:rPr>
        <w:t>，退水减少量占比约为</w:t>
      </w:r>
      <w:r w:rsidR="009D6C76" w:rsidRPr="00FC1444">
        <w:rPr>
          <w:rFonts w:eastAsiaTheme="minorEastAsia"/>
          <w:sz w:val="24"/>
        </w:rPr>
        <w:t>0.1</w:t>
      </w:r>
      <w:r w:rsidR="001201E2" w:rsidRPr="00FC1444">
        <w:rPr>
          <w:rFonts w:eastAsiaTheme="minorEastAsia" w:hint="eastAsia"/>
          <w:sz w:val="24"/>
        </w:rPr>
        <w:t>4</w:t>
      </w:r>
      <w:r w:rsidR="009D6C76" w:rsidRPr="00FC1444">
        <w:rPr>
          <w:rFonts w:eastAsiaTheme="minorEastAsia"/>
          <w:sz w:val="24"/>
        </w:rPr>
        <w:t>%</w:t>
      </w:r>
      <w:r w:rsidR="009D6C76" w:rsidRPr="00FC1444">
        <w:rPr>
          <w:rFonts w:eastAsiaTheme="minorEastAsia"/>
          <w:sz w:val="24"/>
        </w:rPr>
        <w:t>。</w:t>
      </w:r>
      <w:r w:rsidRPr="00FC1444">
        <w:rPr>
          <w:rFonts w:eastAsiaTheme="minorEastAsia"/>
          <w:sz w:val="24"/>
        </w:rPr>
        <w:t>占比</w:t>
      </w:r>
      <w:r w:rsidR="0015654D" w:rsidRPr="00FC1444">
        <w:rPr>
          <w:rFonts w:eastAsiaTheme="minorEastAsia" w:hint="eastAsia"/>
          <w:sz w:val="24"/>
        </w:rPr>
        <w:t>较</w:t>
      </w:r>
      <w:r w:rsidRPr="00FC1444">
        <w:rPr>
          <w:rFonts w:eastAsiaTheme="minorEastAsia"/>
          <w:sz w:val="24"/>
        </w:rPr>
        <w:t>小，故不会对已形成的现有的水域形态、径流条件、水力条件以及冲於条件等造成显著影响。</w:t>
      </w:r>
    </w:p>
    <w:p w:rsidR="002A5A5E" w:rsidRPr="00FC1444" w:rsidRDefault="00611CBA">
      <w:pPr>
        <w:spacing w:line="360" w:lineRule="auto"/>
        <w:ind w:firstLineChars="200" w:firstLine="480"/>
        <w:rPr>
          <w:rFonts w:eastAsiaTheme="minorEastAsia"/>
          <w:sz w:val="24"/>
          <w:szCs w:val="21"/>
        </w:rPr>
      </w:pPr>
      <w:r w:rsidRPr="00FC1444">
        <w:rPr>
          <w:rFonts w:eastAsiaTheme="minorEastAsia"/>
          <w:smallCaps/>
          <w:sz w:val="24"/>
        </w:rPr>
        <w:t>项目施行</w:t>
      </w:r>
      <w:r w:rsidRPr="00FC1444">
        <w:rPr>
          <w:rFonts w:eastAsiaTheme="minorEastAsia"/>
          <w:smallCaps/>
          <w:sz w:val="24"/>
        </w:rPr>
        <w:t>“</w:t>
      </w:r>
      <w:r w:rsidRPr="00FC1444">
        <w:rPr>
          <w:rFonts w:eastAsiaTheme="minorEastAsia"/>
          <w:smallCaps/>
          <w:sz w:val="24"/>
        </w:rPr>
        <w:t>三减</w:t>
      </w:r>
      <w:r w:rsidRPr="00FC1444">
        <w:rPr>
          <w:rFonts w:eastAsiaTheme="minorEastAsia"/>
          <w:smallCaps/>
          <w:sz w:val="24"/>
        </w:rPr>
        <w:t>”</w:t>
      </w:r>
      <w:r w:rsidRPr="00FC1444">
        <w:rPr>
          <w:rFonts w:eastAsiaTheme="minorEastAsia"/>
          <w:smallCaps/>
          <w:sz w:val="24"/>
        </w:rPr>
        <w:t>行动，即减化肥、减农药、减除草剂，提出测土配方施肥、</w:t>
      </w:r>
      <w:r w:rsidRPr="00FC1444">
        <w:rPr>
          <w:rFonts w:eastAsiaTheme="minorEastAsia"/>
          <w:smallCaps/>
          <w:sz w:val="24"/>
        </w:rPr>
        <w:lastRenderedPageBreak/>
        <w:t>水肥一体化、控制农药与化肥施用种类及数量措施，</w:t>
      </w:r>
      <w:r w:rsidRPr="00FC1444">
        <w:rPr>
          <w:rFonts w:eastAsiaTheme="minorEastAsia"/>
          <w:kern w:val="0"/>
          <w:sz w:val="24"/>
        </w:rPr>
        <w:t>故工程实施后对</w:t>
      </w:r>
      <w:r w:rsidR="00E456D6" w:rsidRPr="00FC1444">
        <w:rPr>
          <w:rFonts w:eastAsiaTheme="minorEastAsia"/>
          <w:sz w:val="24"/>
        </w:rPr>
        <w:t>呼兰河、津河及努敏河</w:t>
      </w:r>
      <w:r w:rsidRPr="00FC1444">
        <w:rPr>
          <w:rFonts w:eastAsiaTheme="minorEastAsia"/>
          <w:sz w:val="24"/>
        </w:rPr>
        <w:t>水生生态</w:t>
      </w:r>
      <w:r w:rsidRPr="00FC1444">
        <w:rPr>
          <w:rFonts w:eastAsiaTheme="minorEastAsia"/>
          <w:kern w:val="0"/>
          <w:sz w:val="24"/>
        </w:rPr>
        <w:t>环境起到一定改善作用</w:t>
      </w:r>
      <w:r w:rsidRPr="00FC1444">
        <w:rPr>
          <w:rFonts w:eastAsiaTheme="minorEastAsia"/>
          <w:smallCaps/>
          <w:sz w:val="24"/>
        </w:rPr>
        <w:t>。</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3.3.2.6</w:t>
      </w:r>
      <w:r w:rsidRPr="00FC1444">
        <w:rPr>
          <w:rFonts w:eastAsiaTheme="minorEastAsia"/>
          <w:b/>
          <w:sz w:val="24"/>
        </w:rPr>
        <w:t>环境风险污染分析</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建设项目涉及的物料为具有易燃易爆、有毒有害特性的危险化学品，一旦发生事故，会对环境和人体健康造成危害，为落实《关于进一步加强环境影响评价管理防范环境风险的通知》（环发</w:t>
      </w:r>
      <w:r w:rsidRPr="00FC1444">
        <w:rPr>
          <w:rFonts w:eastAsiaTheme="minorEastAsia"/>
          <w:sz w:val="24"/>
        </w:rPr>
        <w:t>[2012]77</w:t>
      </w:r>
      <w:r w:rsidRPr="00FC1444">
        <w:rPr>
          <w:rFonts w:eastAsiaTheme="minorEastAsia"/>
          <w:sz w:val="24"/>
        </w:rPr>
        <w:t>号）、《关于开展涉及易燃易爆危险品建设项目环境风险排查和整改的通知》（环办</w:t>
      </w:r>
      <w:r w:rsidRPr="00FC1444">
        <w:rPr>
          <w:rFonts w:eastAsiaTheme="minorEastAsia"/>
          <w:sz w:val="24"/>
        </w:rPr>
        <w:t>[2010]111</w:t>
      </w:r>
      <w:r w:rsidRPr="00FC1444">
        <w:rPr>
          <w:rFonts w:eastAsiaTheme="minorEastAsia"/>
          <w:sz w:val="24"/>
        </w:rPr>
        <w:t>号）和《关于开展全国重点行业企业环境风险及化学品检查工作的通知》（环办</w:t>
      </w:r>
      <w:r w:rsidRPr="00FC1444">
        <w:rPr>
          <w:rFonts w:eastAsiaTheme="minorEastAsia"/>
          <w:sz w:val="24"/>
        </w:rPr>
        <w:t>[2010]13</w:t>
      </w:r>
      <w:r w:rsidRPr="00FC1444">
        <w:rPr>
          <w:rFonts w:eastAsiaTheme="minorEastAsia"/>
          <w:sz w:val="24"/>
        </w:rPr>
        <w:t>号）的要求，采用风险识别、风险分析和后果计算等方法进行环境风险评价提出减少风险事故应急措施及应急预案，为工程设计和环境管理提供资料和依据，以达到降低环境风险的目的。</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1</w:t>
      </w:r>
      <w:r w:rsidR="002D2CFD" w:rsidRPr="00FC1444">
        <w:rPr>
          <w:rFonts w:eastAsiaTheme="minorEastAsia" w:hint="eastAsia"/>
          <w:sz w:val="24"/>
        </w:rPr>
        <w:t>.</w:t>
      </w:r>
      <w:r w:rsidRPr="00FC1444">
        <w:rPr>
          <w:rFonts w:eastAsiaTheme="minorEastAsia"/>
          <w:bCs/>
          <w:sz w:val="24"/>
        </w:rPr>
        <w:t>风险调查</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根据《建设项目环境风险评价技术导则》（</w:t>
      </w:r>
      <w:r w:rsidRPr="00FC1444">
        <w:rPr>
          <w:rFonts w:eastAsiaTheme="minorEastAsia"/>
          <w:sz w:val="24"/>
        </w:rPr>
        <w:t>HJ169-2018</w:t>
      </w:r>
      <w:r w:rsidRPr="00FC1444">
        <w:rPr>
          <w:rFonts w:eastAsiaTheme="minorEastAsia"/>
          <w:sz w:val="24"/>
        </w:rPr>
        <w:t>）</w:t>
      </w:r>
      <w:r w:rsidRPr="00FC1444">
        <w:rPr>
          <w:rFonts w:eastAsiaTheme="minorEastAsia"/>
          <w:sz w:val="24"/>
        </w:rPr>
        <w:t>“</w:t>
      </w:r>
      <w:r w:rsidRPr="00FC1444">
        <w:rPr>
          <w:rFonts w:eastAsiaTheme="minorEastAsia"/>
          <w:sz w:val="24"/>
        </w:rPr>
        <w:t>附录</w:t>
      </w:r>
      <w:r w:rsidRPr="00FC1444">
        <w:rPr>
          <w:rFonts w:eastAsiaTheme="minorEastAsia"/>
          <w:sz w:val="24"/>
        </w:rPr>
        <w:t>B</w:t>
      </w:r>
      <w:r w:rsidRPr="00FC1444">
        <w:rPr>
          <w:rFonts w:eastAsiaTheme="minorEastAsia"/>
          <w:sz w:val="24"/>
        </w:rPr>
        <w:t>重点关注的危险物质及临界量</w:t>
      </w:r>
      <w:r w:rsidRPr="00FC1444">
        <w:rPr>
          <w:rFonts w:eastAsiaTheme="minorEastAsia"/>
          <w:sz w:val="24"/>
        </w:rPr>
        <w:t>”</w:t>
      </w:r>
      <w:r w:rsidRPr="00FC1444">
        <w:rPr>
          <w:rFonts w:eastAsiaTheme="minorEastAsia"/>
          <w:sz w:val="24"/>
        </w:rPr>
        <w:t>可知，本项目所涉及的危险物质为：柴油、变压器油。</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2</w:t>
      </w:r>
      <w:r w:rsidR="002D2CFD" w:rsidRPr="00FC1444">
        <w:rPr>
          <w:rFonts w:eastAsiaTheme="minorEastAsia" w:hint="eastAsia"/>
          <w:sz w:val="24"/>
        </w:rPr>
        <w:t>.</w:t>
      </w:r>
      <w:r w:rsidRPr="00FC1444">
        <w:rPr>
          <w:rFonts w:eastAsiaTheme="minorEastAsia"/>
          <w:sz w:val="24"/>
        </w:rPr>
        <w:t>风险识别</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）物质危险性识别</w:t>
      </w:r>
    </w:p>
    <w:p w:rsidR="002A5A5E" w:rsidRPr="00FC1444" w:rsidRDefault="009840DD">
      <w:pPr>
        <w:spacing w:line="360" w:lineRule="auto"/>
        <w:ind w:firstLineChars="200" w:firstLine="480"/>
        <w:rPr>
          <w:rFonts w:eastAsiaTheme="minorEastAsia"/>
          <w:sz w:val="24"/>
        </w:rPr>
      </w:pPr>
      <w:r w:rsidRPr="00FC1444">
        <w:rPr>
          <w:rFonts w:eastAsiaTheme="minorEastAsia"/>
          <w:sz w:val="24"/>
        </w:rPr>
        <w:fldChar w:fldCharType="begin"/>
      </w:r>
      <w:r w:rsidR="00611CBA" w:rsidRPr="00FC1444">
        <w:rPr>
          <w:rFonts w:eastAsiaTheme="minorEastAsia"/>
          <w:sz w:val="24"/>
        </w:rPr>
        <w:instrText xml:space="preserve"> = 1 \* GB3 </w:instrText>
      </w:r>
      <w:r w:rsidRPr="00FC1444">
        <w:rPr>
          <w:rFonts w:eastAsiaTheme="minorEastAsia"/>
          <w:sz w:val="24"/>
        </w:rPr>
        <w:fldChar w:fldCharType="separate"/>
      </w:r>
      <w:r w:rsidR="00611CBA" w:rsidRPr="00FC1444">
        <w:rPr>
          <w:rFonts w:ascii="宋体" w:hAnsi="宋体" w:cs="宋体" w:hint="eastAsia"/>
          <w:sz w:val="24"/>
        </w:rPr>
        <w:t>①</w:t>
      </w:r>
      <w:r w:rsidRPr="00FC1444">
        <w:rPr>
          <w:rFonts w:eastAsiaTheme="minorEastAsia"/>
          <w:sz w:val="24"/>
        </w:rPr>
        <w:fldChar w:fldCharType="end"/>
      </w:r>
      <w:r w:rsidR="00611CBA" w:rsidRPr="00FC1444">
        <w:rPr>
          <w:rFonts w:eastAsiaTheme="minorEastAsia"/>
          <w:sz w:val="24"/>
        </w:rPr>
        <w:t>物质识别</w:t>
      </w:r>
    </w:p>
    <w:p w:rsidR="002A5A5E" w:rsidRPr="00FC1444" w:rsidRDefault="00611CBA">
      <w:pPr>
        <w:spacing w:line="360" w:lineRule="auto"/>
        <w:ind w:firstLineChars="200" w:firstLine="480"/>
        <w:rPr>
          <w:rFonts w:eastAsiaTheme="minorEastAsia"/>
          <w:b/>
        </w:rPr>
      </w:pPr>
      <w:r w:rsidRPr="00FC1444">
        <w:rPr>
          <w:rFonts w:eastAsiaTheme="minorEastAsia"/>
          <w:sz w:val="24"/>
        </w:rPr>
        <w:t>本次评价通过对原辅材料、产品、生产过程排放的</w:t>
      </w:r>
      <w:r w:rsidRPr="00FC1444">
        <w:rPr>
          <w:rFonts w:eastAsiaTheme="minorEastAsia"/>
          <w:sz w:val="24"/>
        </w:rPr>
        <w:t>“</w:t>
      </w:r>
      <w:r w:rsidRPr="00FC1444">
        <w:rPr>
          <w:rFonts w:eastAsiaTheme="minorEastAsia"/>
          <w:sz w:val="24"/>
        </w:rPr>
        <w:t>三废</w:t>
      </w:r>
      <w:r w:rsidRPr="00FC1444">
        <w:rPr>
          <w:rFonts w:eastAsiaTheme="minorEastAsia"/>
          <w:sz w:val="24"/>
        </w:rPr>
        <w:t>”</w:t>
      </w:r>
      <w:r w:rsidRPr="00FC1444">
        <w:rPr>
          <w:rFonts w:eastAsiaTheme="minorEastAsia"/>
          <w:sz w:val="24"/>
        </w:rPr>
        <w:t>污染物及火灾、爆炸伴生</w:t>
      </w:r>
      <w:r w:rsidRPr="00FC1444">
        <w:rPr>
          <w:rFonts w:eastAsiaTheme="minorEastAsia"/>
          <w:sz w:val="24"/>
        </w:rPr>
        <w:t>/</w:t>
      </w:r>
      <w:r w:rsidRPr="00FC1444">
        <w:rPr>
          <w:rFonts w:eastAsiaTheme="minorEastAsia"/>
          <w:sz w:val="24"/>
        </w:rPr>
        <w:t>次生危险物质分析，工程涉及的危险物质理化特性及毒理指标见下表</w:t>
      </w:r>
      <w:r w:rsidRPr="00FC1444">
        <w:rPr>
          <w:rFonts w:eastAsiaTheme="minorEastAsia"/>
        </w:rPr>
        <w:t>。</w:t>
      </w:r>
    </w:p>
    <w:p w:rsidR="009555CD" w:rsidRPr="00FC1444" w:rsidRDefault="009555CD">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7B71AC" w:rsidRPr="00FC1444" w:rsidRDefault="007B71AC">
      <w:pPr>
        <w:contextualSpacing/>
        <w:jc w:val="center"/>
        <w:rPr>
          <w:rFonts w:eastAsiaTheme="minorEastAsia"/>
          <w:b/>
          <w:kern w:val="0"/>
          <w:szCs w:val="21"/>
        </w:rPr>
      </w:pPr>
    </w:p>
    <w:p w:rsidR="00B526E5" w:rsidRPr="00FC1444" w:rsidRDefault="00B526E5">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 xml:space="preserve">3-3-9 </w:t>
      </w:r>
      <w:r w:rsidRPr="00FC1444">
        <w:rPr>
          <w:rFonts w:eastAsiaTheme="minorEastAsia"/>
          <w:b/>
          <w:kern w:val="0"/>
          <w:szCs w:val="21"/>
        </w:rPr>
        <w:t>油类物质理化性质</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1998"/>
        <w:gridCol w:w="2168"/>
        <w:gridCol w:w="193"/>
        <w:gridCol w:w="1958"/>
        <w:gridCol w:w="2205"/>
      </w:tblGrid>
      <w:tr w:rsidR="002A5A5E" w:rsidRPr="00FC1444">
        <w:trPr>
          <w:trHeight w:val="397"/>
          <w:jc w:val="center"/>
        </w:trPr>
        <w:tc>
          <w:tcPr>
            <w:tcW w:w="5000" w:type="pct"/>
            <w:gridSpan w:val="5"/>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ascii="宋体" w:hAnsi="宋体" w:cs="宋体" w:hint="eastAsia"/>
                <w:kern w:val="0"/>
                <w:szCs w:val="21"/>
                <w:lang w:eastAsia="en-US" w:bidi="en-US"/>
              </w:rPr>
              <w:t>①</w:t>
            </w:r>
            <w:r w:rsidRPr="00FC1444">
              <w:rPr>
                <w:rFonts w:eastAsiaTheme="minorEastAsia"/>
                <w:kern w:val="0"/>
                <w:szCs w:val="21"/>
                <w:lang w:eastAsia="en-US" w:bidi="en-US"/>
              </w:rPr>
              <w:t>危险性概述</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危险性类别</w:t>
            </w:r>
          </w:p>
        </w:tc>
        <w:tc>
          <w:tcPr>
            <w:tcW w:w="1385" w:type="pct"/>
            <w:gridSpan w:val="2"/>
            <w:vAlign w:val="center"/>
          </w:tcPr>
          <w:p w:rsidR="002A5A5E" w:rsidRPr="00FC1444" w:rsidRDefault="00611CBA">
            <w:pPr>
              <w:widowControl/>
              <w:spacing w:line="300" w:lineRule="exact"/>
              <w:jc w:val="left"/>
              <w:rPr>
                <w:rFonts w:eastAsiaTheme="minorEastAsia"/>
                <w:kern w:val="0"/>
                <w:szCs w:val="21"/>
                <w:lang w:bidi="en-US"/>
              </w:rPr>
            </w:pPr>
            <w:r w:rsidRPr="00FC1444">
              <w:rPr>
                <w:rFonts w:eastAsiaTheme="minorEastAsia"/>
                <w:kern w:val="0"/>
                <w:szCs w:val="21"/>
                <w:lang w:bidi="en-US"/>
              </w:rPr>
              <w:t>第</w:t>
            </w:r>
            <w:r w:rsidRPr="00FC1444">
              <w:rPr>
                <w:rFonts w:eastAsiaTheme="minorEastAsia"/>
                <w:kern w:val="0"/>
                <w:szCs w:val="21"/>
                <w:lang w:bidi="en-US"/>
              </w:rPr>
              <w:t>3.3</w:t>
            </w:r>
            <w:r w:rsidRPr="00FC1444">
              <w:rPr>
                <w:rFonts w:eastAsiaTheme="minorEastAsia"/>
                <w:kern w:val="0"/>
                <w:szCs w:val="21"/>
                <w:lang w:bidi="en-US"/>
              </w:rPr>
              <w:t>类高闪点，易燃液体</w:t>
            </w:r>
          </w:p>
        </w:tc>
        <w:tc>
          <w:tcPr>
            <w:tcW w:w="1149"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燃爆危险</w:t>
            </w:r>
          </w:p>
        </w:tc>
        <w:tc>
          <w:tcPr>
            <w:tcW w:w="1294"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易燃</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侵入途径</w:t>
            </w:r>
          </w:p>
        </w:tc>
        <w:tc>
          <w:tcPr>
            <w:tcW w:w="1385" w:type="pct"/>
            <w:gridSpan w:val="2"/>
            <w:vAlign w:val="center"/>
          </w:tcPr>
          <w:p w:rsidR="002A5A5E" w:rsidRPr="00FC1444" w:rsidRDefault="00611CBA">
            <w:pPr>
              <w:widowControl/>
              <w:spacing w:line="300" w:lineRule="exact"/>
              <w:jc w:val="left"/>
              <w:rPr>
                <w:rFonts w:eastAsiaTheme="minorEastAsia"/>
                <w:kern w:val="0"/>
                <w:szCs w:val="21"/>
                <w:lang w:bidi="en-US"/>
              </w:rPr>
            </w:pPr>
            <w:r w:rsidRPr="00FC1444">
              <w:rPr>
                <w:rFonts w:eastAsiaTheme="minorEastAsia"/>
                <w:kern w:val="0"/>
                <w:szCs w:val="21"/>
                <w:lang w:bidi="en-US"/>
              </w:rPr>
              <w:t>吸入、食入、经皮吸收</w:t>
            </w:r>
          </w:p>
        </w:tc>
        <w:tc>
          <w:tcPr>
            <w:tcW w:w="1149"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有害燃烧产物</w:t>
            </w:r>
          </w:p>
        </w:tc>
        <w:tc>
          <w:tcPr>
            <w:tcW w:w="1294"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一氧化碳、二氧化碳</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环境危害</w:t>
            </w:r>
          </w:p>
        </w:tc>
        <w:tc>
          <w:tcPr>
            <w:tcW w:w="3828" w:type="pct"/>
            <w:gridSpan w:val="4"/>
            <w:vAlign w:val="center"/>
          </w:tcPr>
          <w:p w:rsidR="002A5A5E" w:rsidRPr="00FC1444" w:rsidRDefault="00611CBA">
            <w:pPr>
              <w:widowControl/>
              <w:spacing w:line="300" w:lineRule="exact"/>
              <w:jc w:val="left"/>
              <w:rPr>
                <w:rFonts w:eastAsiaTheme="minorEastAsia"/>
                <w:kern w:val="0"/>
                <w:szCs w:val="21"/>
                <w:lang w:bidi="en-US"/>
              </w:rPr>
            </w:pPr>
            <w:r w:rsidRPr="00FC1444">
              <w:rPr>
                <w:rFonts w:eastAsiaTheme="minorEastAsia"/>
                <w:kern w:val="0"/>
                <w:szCs w:val="21"/>
                <w:lang w:bidi="en-US"/>
              </w:rPr>
              <w:t>该物质对环境有危害，应特别注意对地表水、土壤、大气和饮用水的污染。</w:t>
            </w:r>
          </w:p>
        </w:tc>
      </w:tr>
      <w:tr w:rsidR="002A5A5E" w:rsidRPr="00FC1444">
        <w:trPr>
          <w:trHeight w:val="397"/>
          <w:jc w:val="center"/>
        </w:trPr>
        <w:tc>
          <w:tcPr>
            <w:tcW w:w="5000" w:type="pct"/>
            <w:gridSpan w:val="5"/>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ascii="宋体" w:hAnsi="宋体" w:cs="宋体" w:hint="eastAsia"/>
                <w:kern w:val="0"/>
                <w:szCs w:val="21"/>
                <w:lang w:eastAsia="en-US" w:bidi="en-US"/>
              </w:rPr>
              <w:t>②</w:t>
            </w:r>
            <w:r w:rsidRPr="00FC1444">
              <w:rPr>
                <w:rFonts w:eastAsiaTheme="minorEastAsia"/>
                <w:kern w:val="0"/>
                <w:szCs w:val="21"/>
                <w:lang w:eastAsia="en-US" w:bidi="en-US"/>
              </w:rPr>
              <w:t>理化性质</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外观及性状</w:t>
            </w:r>
          </w:p>
        </w:tc>
        <w:tc>
          <w:tcPr>
            <w:tcW w:w="12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稍有粘性的棕色液体</w:t>
            </w:r>
          </w:p>
        </w:tc>
        <w:tc>
          <w:tcPr>
            <w:tcW w:w="1262" w:type="pct"/>
            <w:gridSpan w:val="2"/>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主要途径</w:t>
            </w:r>
          </w:p>
        </w:tc>
        <w:tc>
          <w:tcPr>
            <w:tcW w:w="1294"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用作柴油机的燃料等</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闪点</w:t>
            </w:r>
            <w:r w:rsidRPr="00FC1444">
              <w:rPr>
                <w:rFonts w:eastAsiaTheme="minorEastAsia"/>
                <w:kern w:val="0"/>
                <w:szCs w:val="21"/>
                <w:lang w:eastAsia="en-US" w:bidi="en-US"/>
              </w:rPr>
              <w:t>℃</w:t>
            </w:r>
          </w:p>
        </w:tc>
        <w:tc>
          <w:tcPr>
            <w:tcW w:w="12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45</w:t>
            </w:r>
            <w:r w:rsidRPr="00FC1444">
              <w:rPr>
                <w:rFonts w:eastAsiaTheme="minorEastAsia"/>
                <w:kern w:val="0"/>
                <w:szCs w:val="21"/>
                <w:lang w:eastAsia="en-US" w:bidi="en-US"/>
              </w:rPr>
              <w:t>～</w:t>
            </w:r>
            <w:r w:rsidRPr="00FC1444">
              <w:rPr>
                <w:rFonts w:eastAsiaTheme="minorEastAsia"/>
                <w:kern w:val="0"/>
                <w:szCs w:val="21"/>
                <w:lang w:eastAsia="en-US" w:bidi="en-US"/>
              </w:rPr>
              <w:t>55</w:t>
            </w:r>
          </w:p>
        </w:tc>
        <w:tc>
          <w:tcPr>
            <w:tcW w:w="1262" w:type="pct"/>
            <w:gridSpan w:val="2"/>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相对密度</w:t>
            </w:r>
          </w:p>
        </w:tc>
        <w:tc>
          <w:tcPr>
            <w:tcW w:w="1294"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0.87</w:t>
            </w:r>
            <w:r w:rsidRPr="00FC1444">
              <w:rPr>
                <w:rFonts w:eastAsiaTheme="minorEastAsia"/>
                <w:kern w:val="0"/>
                <w:szCs w:val="21"/>
                <w:lang w:eastAsia="en-US" w:bidi="en-US"/>
              </w:rPr>
              <w:t>～</w:t>
            </w:r>
            <w:r w:rsidRPr="00FC1444">
              <w:rPr>
                <w:rFonts w:eastAsiaTheme="minorEastAsia"/>
                <w:kern w:val="0"/>
                <w:szCs w:val="21"/>
                <w:lang w:eastAsia="en-US" w:bidi="en-US"/>
              </w:rPr>
              <w:t>0.9</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沸点</w:t>
            </w:r>
            <w:r w:rsidRPr="00FC1444">
              <w:rPr>
                <w:rFonts w:eastAsiaTheme="minorEastAsia"/>
                <w:kern w:val="0"/>
                <w:szCs w:val="21"/>
                <w:lang w:eastAsia="en-US" w:bidi="en-US"/>
              </w:rPr>
              <w:t>℃</w:t>
            </w:r>
          </w:p>
        </w:tc>
        <w:tc>
          <w:tcPr>
            <w:tcW w:w="12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200</w:t>
            </w:r>
            <w:r w:rsidRPr="00FC1444">
              <w:rPr>
                <w:rFonts w:eastAsiaTheme="minorEastAsia"/>
                <w:kern w:val="0"/>
                <w:szCs w:val="21"/>
                <w:lang w:eastAsia="en-US" w:bidi="en-US"/>
              </w:rPr>
              <w:t>～</w:t>
            </w:r>
            <w:r w:rsidRPr="00FC1444">
              <w:rPr>
                <w:rFonts w:eastAsiaTheme="minorEastAsia"/>
                <w:kern w:val="0"/>
                <w:szCs w:val="21"/>
                <w:lang w:eastAsia="en-US" w:bidi="en-US"/>
              </w:rPr>
              <w:t>350</w:t>
            </w:r>
          </w:p>
        </w:tc>
        <w:tc>
          <w:tcPr>
            <w:tcW w:w="1262" w:type="pct"/>
            <w:gridSpan w:val="2"/>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爆炸上限</w:t>
            </w:r>
            <w:r w:rsidRPr="00FC1444">
              <w:rPr>
                <w:rFonts w:eastAsiaTheme="minorEastAsia"/>
                <w:kern w:val="0"/>
                <w:szCs w:val="21"/>
                <w:lang w:eastAsia="en-US" w:bidi="en-US"/>
              </w:rPr>
              <w:t>%</w:t>
            </w:r>
            <w:r w:rsidRPr="00FC1444">
              <w:rPr>
                <w:rFonts w:eastAsiaTheme="minorEastAsia"/>
                <w:kern w:val="0"/>
                <w:szCs w:val="21"/>
                <w:lang w:eastAsia="en-US" w:bidi="en-US"/>
              </w:rPr>
              <w:t>（</w:t>
            </w:r>
            <w:r w:rsidRPr="00FC1444">
              <w:rPr>
                <w:rFonts w:eastAsiaTheme="minorEastAsia"/>
                <w:kern w:val="0"/>
                <w:szCs w:val="21"/>
                <w:lang w:eastAsia="en-US" w:bidi="en-US"/>
              </w:rPr>
              <w:t>V/V</w:t>
            </w:r>
            <w:r w:rsidRPr="00FC1444">
              <w:rPr>
                <w:rFonts w:eastAsiaTheme="minorEastAsia"/>
                <w:kern w:val="0"/>
                <w:szCs w:val="21"/>
                <w:lang w:eastAsia="en-US" w:bidi="en-US"/>
              </w:rPr>
              <w:t>）</w:t>
            </w:r>
          </w:p>
        </w:tc>
        <w:tc>
          <w:tcPr>
            <w:tcW w:w="1294"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4.5</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自然点</w:t>
            </w:r>
            <w:r w:rsidRPr="00FC1444">
              <w:rPr>
                <w:rFonts w:eastAsiaTheme="minorEastAsia"/>
                <w:kern w:val="0"/>
                <w:szCs w:val="21"/>
                <w:lang w:eastAsia="en-US" w:bidi="en-US"/>
              </w:rPr>
              <w:t>℃</w:t>
            </w:r>
          </w:p>
        </w:tc>
        <w:tc>
          <w:tcPr>
            <w:tcW w:w="12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257</w:t>
            </w:r>
          </w:p>
        </w:tc>
        <w:tc>
          <w:tcPr>
            <w:tcW w:w="1262" w:type="pct"/>
            <w:gridSpan w:val="2"/>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爆炸下限</w:t>
            </w:r>
            <w:r w:rsidRPr="00FC1444">
              <w:rPr>
                <w:rFonts w:eastAsiaTheme="minorEastAsia"/>
                <w:kern w:val="0"/>
                <w:szCs w:val="21"/>
                <w:lang w:eastAsia="en-US" w:bidi="en-US"/>
              </w:rPr>
              <w:t>%</w:t>
            </w:r>
            <w:r w:rsidRPr="00FC1444">
              <w:rPr>
                <w:rFonts w:eastAsiaTheme="minorEastAsia"/>
                <w:kern w:val="0"/>
                <w:szCs w:val="21"/>
                <w:lang w:eastAsia="en-US" w:bidi="en-US"/>
              </w:rPr>
              <w:t>（</w:t>
            </w:r>
            <w:r w:rsidRPr="00FC1444">
              <w:rPr>
                <w:rFonts w:eastAsiaTheme="minorEastAsia"/>
                <w:kern w:val="0"/>
                <w:szCs w:val="21"/>
                <w:lang w:eastAsia="en-US" w:bidi="en-US"/>
              </w:rPr>
              <w:t>V/V</w:t>
            </w:r>
            <w:r w:rsidRPr="00FC1444">
              <w:rPr>
                <w:rFonts w:eastAsiaTheme="minorEastAsia"/>
                <w:kern w:val="0"/>
                <w:szCs w:val="21"/>
                <w:lang w:eastAsia="en-US" w:bidi="en-US"/>
              </w:rPr>
              <w:t>）</w:t>
            </w:r>
          </w:p>
        </w:tc>
        <w:tc>
          <w:tcPr>
            <w:tcW w:w="1294"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1.5</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溶解性</w:t>
            </w:r>
          </w:p>
        </w:tc>
        <w:tc>
          <w:tcPr>
            <w:tcW w:w="3828" w:type="pct"/>
            <w:gridSpan w:val="4"/>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不溶于水，易溶于苯、二氧化碳、醇，易溶于脂肪</w:t>
            </w:r>
          </w:p>
        </w:tc>
      </w:tr>
      <w:tr w:rsidR="002A5A5E" w:rsidRPr="00FC1444">
        <w:trPr>
          <w:trHeight w:val="397"/>
          <w:jc w:val="center"/>
        </w:trPr>
        <w:tc>
          <w:tcPr>
            <w:tcW w:w="5000" w:type="pct"/>
            <w:gridSpan w:val="5"/>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ascii="宋体" w:hAnsi="宋体" w:cs="宋体" w:hint="eastAsia"/>
                <w:kern w:val="0"/>
                <w:szCs w:val="21"/>
                <w:lang w:eastAsia="en-US" w:bidi="en-US"/>
              </w:rPr>
              <w:t>③</w:t>
            </w:r>
            <w:r w:rsidRPr="00FC1444">
              <w:rPr>
                <w:rFonts w:eastAsiaTheme="minorEastAsia"/>
                <w:kern w:val="0"/>
                <w:szCs w:val="21"/>
                <w:lang w:eastAsia="en-US" w:bidi="en-US"/>
              </w:rPr>
              <w:t>稳定性及化学活性</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稳定性：</w:t>
            </w:r>
          </w:p>
        </w:tc>
        <w:tc>
          <w:tcPr>
            <w:tcW w:w="12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稳定</w:t>
            </w:r>
          </w:p>
        </w:tc>
        <w:tc>
          <w:tcPr>
            <w:tcW w:w="1262" w:type="pct"/>
            <w:gridSpan w:val="2"/>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避免接触的条件：</w:t>
            </w:r>
          </w:p>
        </w:tc>
        <w:tc>
          <w:tcPr>
            <w:tcW w:w="1294"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明火、高热</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禁配物：</w:t>
            </w:r>
          </w:p>
        </w:tc>
        <w:tc>
          <w:tcPr>
            <w:tcW w:w="12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强氧化剂、卤素</w:t>
            </w:r>
          </w:p>
        </w:tc>
        <w:tc>
          <w:tcPr>
            <w:tcW w:w="1262" w:type="pct"/>
            <w:gridSpan w:val="2"/>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聚合危害：</w:t>
            </w:r>
          </w:p>
        </w:tc>
        <w:tc>
          <w:tcPr>
            <w:tcW w:w="1294"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不聚合</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分解产物：</w:t>
            </w:r>
          </w:p>
        </w:tc>
        <w:tc>
          <w:tcPr>
            <w:tcW w:w="3828" w:type="pct"/>
            <w:gridSpan w:val="4"/>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一氧化碳、二氧化碳</w:t>
            </w:r>
          </w:p>
        </w:tc>
      </w:tr>
      <w:tr w:rsidR="002A5A5E" w:rsidRPr="00FC1444">
        <w:trPr>
          <w:trHeight w:val="397"/>
          <w:jc w:val="center"/>
        </w:trPr>
        <w:tc>
          <w:tcPr>
            <w:tcW w:w="5000" w:type="pct"/>
            <w:gridSpan w:val="5"/>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ascii="宋体" w:hAnsi="宋体" w:cs="宋体" w:hint="eastAsia"/>
                <w:kern w:val="0"/>
                <w:szCs w:val="21"/>
                <w:lang w:eastAsia="en-US" w:bidi="en-US"/>
              </w:rPr>
              <w:t>④</w:t>
            </w:r>
            <w:r w:rsidRPr="00FC1444">
              <w:rPr>
                <w:rFonts w:eastAsiaTheme="minorEastAsia"/>
                <w:kern w:val="0"/>
                <w:szCs w:val="21"/>
                <w:lang w:eastAsia="en-US" w:bidi="en-US"/>
              </w:rPr>
              <w:t>毒理学资料</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急性毒性：</w:t>
            </w:r>
          </w:p>
        </w:tc>
        <w:tc>
          <w:tcPr>
            <w:tcW w:w="3828" w:type="pct"/>
            <w:gridSpan w:val="4"/>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 xml:space="preserve">LD50       LC50   </w:t>
            </w:r>
            <w:r w:rsidRPr="00FC1444">
              <w:rPr>
                <w:rFonts w:eastAsiaTheme="minorEastAsia"/>
                <w:kern w:val="0"/>
                <w:szCs w:val="21"/>
                <w:lang w:eastAsia="en-US" w:bidi="en-US"/>
              </w:rPr>
              <w:t>（目前尚无数据）</w:t>
            </w:r>
          </w:p>
        </w:tc>
      </w:tr>
      <w:tr w:rsidR="002A5A5E" w:rsidRPr="00FC1444">
        <w:trPr>
          <w:trHeight w:val="397"/>
          <w:jc w:val="center"/>
        </w:trPr>
        <w:tc>
          <w:tcPr>
            <w:tcW w:w="1172" w:type="pct"/>
            <w:vAlign w:val="center"/>
          </w:tcPr>
          <w:p w:rsidR="002A5A5E" w:rsidRPr="00FC1444" w:rsidRDefault="00611CBA">
            <w:pPr>
              <w:widowControl/>
              <w:spacing w:line="300" w:lineRule="exact"/>
              <w:jc w:val="left"/>
              <w:rPr>
                <w:rFonts w:eastAsiaTheme="minorEastAsia"/>
                <w:kern w:val="0"/>
                <w:szCs w:val="21"/>
                <w:lang w:eastAsia="en-US" w:bidi="en-US"/>
              </w:rPr>
            </w:pPr>
            <w:r w:rsidRPr="00FC1444">
              <w:rPr>
                <w:rFonts w:eastAsiaTheme="minorEastAsia"/>
                <w:kern w:val="0"/>
                <w:szCs w:val="21"/>
                <w:lang w:eastAsia="en-US" w:bidi="en-US"/>
              </w:rPr>
              <w:t>灭火剂</w:t>
            </w:r>
          </w:p>
        </w:tc>
        <w:tc>
          <w:tcPr>
            <w:tcW w:w="3828" w:type="pct"/>
            <w:gridSpan w:val="4"/>
            <w:vAlign w:val="center"/>
          </w:tcPr>
          <w:p w:rsidR="002A5A5E" w:rsidRPr="00FC1444" w:rsidRDefault="00611CBA">
            <w:pPr>
              <w:widowControl/>
              <w:spacing w:line="300" w:lineRule="exact"/>
              <w:jc w:val="left"/>
              <w:rPr>
                <w:rFonts w:eastAsiaTheme="minorEastAsia"/>
                <w:kern w:val="0"/>
                <w:szCs w:val="21"/>
                <w:lang w:bidi="en-US"/>
              </w:rPr>
            </w:pPr>
            <w:r w:rsidRPr="00FC1444">
              <w:rPr>
                <w:rFonts w:eastAsiaTheme="minorEastAsia"/>
                <w:kern w:val="0"/>
                <w:szCs w:val="21"/>
                <w:lang w:bidi="en-US"/>
              </w:rPr>
              <w:t>泡沫、干粉、</w:t>
            </w:r>
            <w:r w:rsidRPr="00FC1444">
              <w:rPr>
                <w:rFonts w:eastAsiaTheme="minorEastAsia"/>
                <w:kern w:val="0"/>
                <w:szCs w:val="21"/>
                <w:lang w:bidi="en-US"/>
              </w:rPr>
              <w:t>CO</w:t>
            </w:r>
            <w:r w:rsidRPr="00FC1444">
              <w:rPr>
                <w:rFonts w:eastAsiaTheme="minorEastAsia"/>
                <w:kern w:val="0"/>
                <w:szCs w:val="21"/>
                <w:vertAlign w:val="subscript"/>
                <w:lang w:bidi="en-US"/>
              </w:rPr>
              <w:t>2</w:t>
            </w:r>
            <w:r w:rsidRPr="00FC1444">
              <w:rPr>
                <w:rFonts w:eastAsiaTheme="minorEastAsia"/>
                <w:kern w:val="0"/>
                <w:szCs w:val="21"/>
                <w:lang w:bidi="en-US"/>
              </w:rPr>
              <w:t>、砂土，用水冷却容器（用水灭火无效）</w:t>
            </w:r>
          </w:p>
        </w:tc>
      </w:tr>
    </w:tbl>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）识别结果</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根据以上物质危险特性，参照《建设项目环境风险评价技术导则》（</w:t>
      </w:r>
      <w:r w:rsidRPr="00FC1444">
        <w:rPr>
          <w:rFonts w:eastAsiaTheme="minorEastAsia"/>
          <w:sz w:val="24"/>
        </w:rPr>
        <w:t>HJ169-2018</w:t>
      </w:r>
      <w:r w:rsidRPr="00FC1444">
        <w:rPr>
          <w:rFonts w:eastAsiaTheme="minorEastAsia"/>
          <w:sz w:val="24"/>
        </w:rPr>
        <w:t>）中物质危险性标准分类原则，本项目所涉及的物质属于可燃和易燃物质（柴油），本项目排水工程设置</w:t>
      </w:r>
      <w:r w:rsidR="007D6514" w:rsidRPr="00FC1444">
        <w:rPr>
          <w:rFonts w:eastAsiaTheme="minorEastAsia"/>
          <w:sz w:val="24"/>
        </w:rPr>
        <w:t>15</w:t>
      </w:r>
      <w:r w:rsidR="007D6514" w:rsidRPr="00FC1444">
        <w:rPr>
          <w:rFonts w:eastAsiaTheme="minorEastAsia"/>
          <w:sz w:val="24"/>
        </w:rPr>
        <w:t>台</w:t>
      </w:r>
      <w:r w:rsidRPr="00FC1444">
        <w:rPr>
          <w:rFonts w:eastAsiaTheme="minorEastAsia"/>
          <w:sz w:val="24"/>
        </w:rPr>
        <w:t>柴油机移动泵车，</w:t>
      </w:r>
      <w:r w:rsidRPr="00FC1444">
        <w:rPr>
          <w:rFonts w:eastAsiaTheme="minorEastAsia"/>
          <w:kern w:val="0"/>
          <w:sz w:val="24"/>
          <w:szCs w:val="20"/>
        </w:rPr>
        <w:t>分布于康金街道、方台镇、孟家乡、莲花镇、石人镇</w:t>
      </w:r>
      <w:r w:rsidRPr="00FC1444">
        <w:rPr>
          <w:rFonts w:eastAsiaTheme="minorEastAsia"/>
          <w:sz w:val="24"/>
        </w:rPr>
        <w:t>，由于泵车分布较分散，各柴油机移动泵车可视为一个单独厂区，最大存储量为</w:t>
      </w:r>
      <w:r w:rsidRPr="00FC1444">
        <w:rPr>
          <w:rFonts w:eastAsiaTheme="minorEastAsia"/>
          <w:sz w:val="24"/>
        </w:rPr>
        <w:t>150L</w:t>
      </w:r>
      <w:r w:rsidRPr="00FC1444">
        <w:rPr>
          <w:rFonts w:eastAsiaTheme="minorEastAsia"/>
          <w:sz w:val="24"/>
        </w:rPr>
        <w:t>（</w:t>
      </w:r>
      <w:r w:rsidRPr="00FC1444">
        <w:rPr>
          <w:rFonts w:eastAsiaTheme="minorEastAsia"/>
          <w:sz w:val="24"/>
        </w:rPr>
        <w:t>0.125t</w:t>
      </w:r>
      <w:r w:rsidRPr="00FC1444">
        <w:rPr>
          <w:rFonts w:eastAsiaTheme="minorEastAsia"/>
          <w:sz w:val="24"/>
        </w:rPr>
        <w:t>）。本项目采用油浸式变压器较传统变压器的变压器油相对小，各变压器箱内变压器油存储量最大为</w:t>
      </w:r>
      <w:r w:rsidRPr="00FC1444">
        <w:rPr>
          <w:rFonts w:eastAsiaTheme="minorEastAsia"/>
          <w:sz w:val="24"/>
        </w:rPr>
        <w:t>115kg</w:t>
      </w:r>
      <w:r w:rsidRPr="00FC1444">
        <w:rPr>
          <w:rFonts w:eastAsiaTheme="minorEastAsia"/>
          <w:sz w:val="24"/>
        </w:rPr>
        <w:t>。运营期由于项目分散，各变压器可视为一个单独厂区。</w:t>
      </w:r>
    </w:p>
    <w:p w:rsidR="002A5A5E" w:rsidRPr="00FC1444" w:rsidRDefault="00611CBA">
      <w:pPr>
        <w:spacing w:line="360" w:lineRule="auto"/>
        <w:ind w:firstLineChars="200" w:firstLine="480"/>
        <w:rPr>
          <w:rFonts w:eastAsiaTheme="minorEastAsia"/>
          <w:sz w:val="24"/>
        </w:rPr>
      </w:pPr>
      <w:r w:rsidRPr="00FC1444">
        <w:rPr>
          <w:rFonts w:eastAsiaTheme="minorEastAsia"/>
          <w:bCs/>
          <w:sz w:val="24"/>
        </w:rPr>
        <w:t>柴油、变压器油</w:t>
      </w:r>
      <w:r w:rsidRPr="00FC1444">
        <w:rPr>
          <w:rFonts w:eastAsiaTheme="minorEastAsia"/>
          <w:sz w:val="24"/>
        </w:rPr>
        <w:t>泄漏后，引发的火灾，火灾事故排放烟尘、二氧化硫、氮氧化物等有毒有害物质主要通过大气扩散，在不利气象条件下可能对周围居民区等敏感目标造成不利影响。泄漏液体进入地下水，将对区域地下水造成影响。</w:t>
      </w:r>
    </w:p>
    <w:p w:rsidR="00E5148C" w:rsidRPr="00FC1444" w:rsidRDefault="00E5148C" w:rsidP="00E5148C">
      <w:pPr>
        <w:autoSpaceDE w:val="0"/>
        <w:autoSpaceDN w:val="0"/>
        <w:spacing w:before="100" w:beforeAutospacing="1" w:after="100" w:afterAutospacing="1"/>
        <w:outlineLvl w:val="3"/>
        <w:rPr>
          <w:rFonts w:eastAsiaTheme="minorEastAsia"/>
          <w:b/>
          <w:sz w:val="24"/>
        </w:rPr>
      </w:pPr>
      <w:r w:rsidRPr="00FC1444">
        <w:rPr>
          <w:rFonts w:eastAsiaTheme="minorEastAsia"/>
          <w:b/>
          <w:sz w:val="24"/>
        </w:rPr>
        <w:t>3.3.2.7</w:t>
      </w:r>
      <w:r w:rsidRPr="00FC1444">
        <w:rPr>
          <w:rFonts w:eastAsiaTheme="minorEastAsia"/>
          <w:b/>
          <w:sz w:val="24"/>
        </w:rPr>
        <w:t>地下水污染分析</w:t>
      </w:r>
    </w:p>
    <w:p w:rsidR="00E5148C" w:rsidRPr="00FC1444" w:rsidRDefault="00E5148C" w:rsidP="00E5148C">
      <w:pPr>
        <w:spacing w:line="360" w:lineRule="auto"/>
        <w:ind w:firstLineChars="200" w:firstLine="480"/>
        <w:rPr>
          <w:rFonts w:eastAsiaTheme="minorEastAsia"/>
          <w:sz w:val="24"/>
        </w:rPr>
      </w:pPr>
      <w:r w:rsidRPr="00FC1444">
        <w:rPr>
          <w:rFonts w:eastAsiaTheme="minorEastAsia"/>
          <w:sz w:val="24"/>
        </w:rPr>
        <w:lastRenderedPageBreak/>
        <w:t>正常状况：本项目运营期柴油机移动泵车油箱密闭，柴油机移动泵车运行过程油箱正常情况下会发生泄漏。不使用时于村内暂存，暂存处地面设置重点防渗，正常情况下不会泄漏。</w:t>
      </w:r>
    </w:p>
    <w:p w:rsidR="00E5148C" w:rsidRPr="00FC1444" w:rsidRDefault="00E5148C" w:rsidP="00E5148C">
      <w:pPr>
        <w:spacing w:line="360" w:lineRule="auto"/>
        <w:ind w:firstLineChars="200" w:firstLine="480"/>
        <w:rPr>
          <w:rFonts w:eastAsiaTheme="minorEastAsia"/>
          <w:sz w:val="24"/>
        </w:rPr>
      </w:pPr>
      <w:r w:rsidRPr="00FC1444">
        <w:rPr>
          <w:rFonts w:eastAsiaTheme="minorEastAsia"/>
          <w:sz w:val="24"/>
        </w:rPr>
        <w:t>非正常状况：非正常工况下，柴油机移动泵车油箱在使用和停放时发生泄漏事故，柴油渗漏对地下水水质造成影响。选取石油类作为预测因子。假设柴油机移动泵车油箱全部泄漏，泄漏量为</w:t>
      </w:r>
      <w:r w:rsidRPr="00FC1444">
        <w:rPr>
          <w:rFonts w:eastAsiaTheme="minorEastAsia"/>
          <w:sz w:val="24"/>
        </w:rPr>
        <w:t>125kg</w:t>
      </w:r>
      <w:r w:rsidRPr="00FC1444">
        <w:rPr>
          <w:rFonts w:eastAsiaTheme="minorEastAsia"/>
          <w:sz w:val="24"/>
        </w:rPr>
        <w:t>。</w:t>
      </w:r>
    </w:p>
    <w:p w:rsidR="007917BB" w:rsidRPr="00FC1444" w:rsidRDefault="007917BB" w:rsidP="007917BB">
      <w:pPr>
        <w:spacing w:before="100" w:beforeAutospacing="1" w:after="100" w:afterAutospacing="1"/>
        <w:contextualSpacing/>
        <w:jc w:val="left"/>
        <w:outlineLvl w:val="1"/>
        <w:rPr>
          <w:rFonts w:eastAsiaTheme="minorEastAsia"/>
          <w:b/>
          <w:bCs/>
          <w:kern w:val="44"/>
          <w:sz w:val="30"/>
          <w:szCs w:val="30"/>
        </w:rPr>
      </w:pPr>
      <w:r w:rsidRPr="00FC1444">
        <w:rPr>
          <w:rFonts w:eastAsiaTheme="minorEastAsia"/>
          <w:b/>
          <w:bCs/>
          <w:kern w:val="44"/>
          <w:sz w:val="30"/>
          <w:szCs w:val="30"/>
        </w:rPr>
        <w:t>3.4</w:t>
      </w:r>
      <w:r w:rsidRPr="00FC1444">
        <w:rPr>
          <w:rFonts w:eastAsiaTheme="minorEastAsia"/>
          <w:b/>
          <w:bCs/>
          <w:kern w:val="44"/>
          <w:sz w:val="30"/>
          <w:szCs w:val="30"/>
        </w:rPr>
        <w:t>清洁生产</w:t>
      </w:r>
    </w:p>
    <w:p w:rsidR="007917BB" w:rsidRPr="00FC1444" w:rsidRDefault="007917BB" w:rsidP="007917BB">
      <w:pPr>
        <w:spacing w:line="360" w:lineRule="auto"/>
        <w:ind w:firstLineChars="200" w:firstLine="480"/>
        <w:rPr>
          <w:rFonts w:eastAsiaTheme="minorEastAsia"/>
          <w:sz w:val="24"/>
        </w:rPr>
      </w:pPr>
      <w:r w:rsidRPr="00FC1444">
        <w:rPr>
          <w:rFonts w:eastAsiaTheme="minorEastAsia"/>
          <w:sz w:val="24"/>
        </w:rPr>
        <w:t>推行清洁生产是实施生产全过程控制、进行整体污染预防，可实现节能、降耗、减污、增效，是实现达标排放和污染物总量控制的重要手段，是我国环境保护的重大策略。</w:t>
      </w:r>
    </w:p>
    <w:p w:rsidR="007917BB" w:rsidRPr="00FC1444" w:rsidRDefault="007917BB" w:rsidP="007917BB">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w:t>
      </w:r>
      <w:r w:rsidR="00223625" w:rsidRPr="00FC1444">
        <w:rPr>
          <w:rFonts w:eastAsiaTheme="minorEastAsia"/>
          <w:sz w:val="24"/>
        </w:rPr>
        <w:t>资</w:t>
      </w:r>
      <w:r w:rsidRPr="00FC1444">
        <w:rPr>
          <w:rFonts w:eastAsiaTheme="minorEastAsia"/>
          <w:sz w:val="24"/>
        </w:rPr>
        <w:t>源的清洁性分析</w:t>
      </w:r>
    </w:p>
    <w:p w:rsidR="007917BB" w:rsidRPr="00FC1444" w:rsidRDefault="00223625" w:rsidP="00223625">
      <w:pPr>
        <w:spacing w:line="360" w:lineRule="auto"/>
        <w:ind w:firstLineChars="200" w:firstLine="480"/>
        <w:rPr>
          <w:rFonts w:eastAsiaTheme="minorEastAsia"/>
          <w:sz w:val="24"/>
        </w:rPr>
      </w:pPr>
      <w:r w:rsidRPr="00FC1444">
        <w:rPr>
          <w:rFonts w:eastAsiaTheme="minorEastAsia"/>
          <w:sz w:val="24"/>
        </w:rPr>
        <w:t>本项目合理开采和利用地下水资源，严格执行灌溉制度，制定合理的用水计划，采取有效的地下水保护措施</w:t>
      </w:r>
      <w:r w:rsidR="007917BB" w:rsidRPr="00FC1444">
        <w:rPr>
          <w:rFonts w:eastAsiaTheme="minorEastAsia"/>
          <w:sz w:val="24"/>
        </w:rPr>
        <w:t>。</w:t>
      </w:r>
      <w:r w:rsidRPr="00FC1444">
        <w:rPr>
          <w:rFonts w:eastAsiaTheme="minorEastAsia"/>
          <w:sz w:val="24"/>
        </w:rPr>
        <w:t>采取节水灌溉措施，建设水肥一体化系统，灌溉水利用系数大幅提升。</w:t>
      </w:r>
    </w:p>
    <w:p w:rsidR="007917BB" w:rsidRPr="00FC1444" w:rsidRDefault="007917BB" w:rsidP="007917BB">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w:t>
      </w:r>
      <w:r w:rsidR="00223625" w:rsidRPr="00FC1444">
        <w:rPr>
          <w:rFonts w:eastAsiaTheme="minorEastAsia"/>
          <w:sz w:val="24"/>
        </w:rPr>
        <w:t>节能降碳清洁性</w:t>
      </w:r>
      <w:r w:rsidRPr="00FC1444">
        <w:rPr>
          <w:rFonts w:eastAsiaTheme="minorEastAsia"/>
          <w:sz w:val="24"/>
        </w:rPr>
        <w:t>分析</w:t>
      </w:r>
    </w:p>
    <w:p w:rsidR="007917BB" w:rsidRPr="00FC1444" w:rsidRDefault="00223625" w:rsidP="00223625">
      <w:pPr>
        <w:spacing w:line="360" w:lineRule="auto"/>
        <w:ind w:firstLineChars="200" w:firstLine="480"/>
        <w:rPr>
          <w:rFonts w:eastAsiaTheme="minorEastAsia"/>
          <w:sz w:val="24"/>
        </w:rPr>
      </w:pPr>
      <w:r w:rsidRPr="00FC1444">
        <w:rPr>
          <w:rFonts w:eastAsiaTheme="minorEastAsia"/>
          <w:sz w:val="24"/>
        </w:rPr>
        <w:t>本项目为高标准农田建设项目，项目施行</w:t>
      </w:r>
      <w:r w:rsidRPr="00FC1444">
        <w:rPr>
          <w:rFonts w:eastAsiaTheme="minorEastAsia"/>
          <w:sz w:val="24"/>
        </w:rPr>
        <w:t>“</w:t>
      </w:r>
      <w:r w:rsidRPr="00FC1444">
        <w:rPr>
          <w:rFonts w:eastAsiaTheme="minorEastAsia"/>
          <w:sz w:val="24"/>
        </w:rPr>
        <w:t>三减</w:t>
      </w:r>
      <w:r w:rsidRPr="00FC1444">
        <w:rPr>
          <w:rFonts w:eastAsiaTheme="minorEastAsia"/>
          <w:sz w:val="24"/>
        </w:rPr>
        <w:t>”</w:t>
      </w:r>
      <w:r w:rsidRPr="00FC1444">
        <w:rPr>
          <w:rFonts w:eastAsiaTheme="minorEastAsia"/>
          <w:sz w:val="24"/>
        </w:rPr>
        <w:t>行动，即减化肥、减农药、减除草剂，积极推广科学施肥，使化肥、农药实现减量化施用，增加有机肥的施用，优化调整农药施用结构，控制农药施用量，采取测土配方施肥、水肥一体化措施。</w:t>
      </w:r>
    </w:p>
    <w:p w:rsidR="007917BB" w:rsidRPr="00FC1444" w:rsidRDefault="007917BB" w:rsidP="007917BB">
      <w:pPr>
        <w:spacing w:line="360" w:lineRule="auto"/>
        <w:ind w:firstLineChars="200" w:firstLine="480"/>
        <w:rPr>
          <w:rFonts w:eastAsiaTheme="minorEastAsia"/>
          <w:sz w:val="24"/>
        </w:rPr>
      </w:pPr>
      <w:r w:rsidRPr="00FC1444">
        <w:rPr>
          <w:rFonts w:eastAsiaTheme="minorEastAsia"/>
          <w:sz w:val="24"/>
        </w:rPr>
        <w:t>（</w:t>
      </w:r>
      <w:r w:rsidR="00223625" w:rsidRPr="00FC1444">
        <w:rPr>
          <w:rFonts w:eastAsiaTheme="minorEastAsia"/>
          <w:sz w:val="24"/>
        </w:rPr>
        <w:t>3</w:t>
      </w:r>
      <w:r w:rsidRPr="00FC1444">
        <w:rPr>
          <w:rFonts w:eastAsiaTheme="minorEastAsia"/>
          <w:sz w:val="24"/>
        </w:rPr>
        <w:t>）环境管理要求</w:t>
      </w:r>
    </w:p>
    <w:p w:rsidR="007917BB" w:rsidRPr="00FC1444" w:rsidRDefault="007917BB" w:rsidP="007917BB">
      <w:pPr>
        <w:spacing w:line="360" w:lineRule="auto"/>
        <w:ind w:firstLineChars="200" w:firstLine="480"/>
        <w:rPr>
          <w:rFonts w:eastAsiaTheme="minorEastAsia"/>
          <w:sz w:val="24"/>
        </w:rPr>
      </w:pPr>
      <w:r w:rsidRPr="00FC1444">
        <w:rPr>
          <w:rFonts w:ascii="宋体" w:hAnsi="宋体" w:cs="宋体" w:hint="eastAsia"/>
          <w:sz w:val="24"/>
        </w:rPr>
        <w:t>①</w:t>
      </w:r>
      <w:r w:rsidR="00E242C3" w:rsidRPr="00FC1444">
        <w:rPr>
          <w:rFonts w:eastAsiaTheme="minorEastAsia"/>
          <w:sz w:val="24"/>
        </w:rPr>
        <w:t>建设单位应加强生产过程中环境管理，定期对设备进行检修和维护环保设施正常运行。</w:t>
      </w:r>
    </w:p>
    <w:p w:rsidR="007917BB" w:rsidRPr="00FC1444" w:rsidRDefault="007917BB" w:rsidP="007917BB">
      <w:pPr>
        <w:spacing w:line="360" w:lineRule="auto"/>
        <w:ind w:firstLineChars="200" w:firstLine="480"/>
        <w:rPr>
          <w:rFonts w:eastAsiaTheme="minorEastAsia"/>
          <w:sz w:val="24"/>
        </w:rPr>
      </w:pPr>
      <w:r w:rsidRPr="00FC1444">
        <w:rPr>
          <w:rFonts w:ascii="宋体" w:hAnsi="宋体" w:cs="宋体" w:hint="eastAsia"/>
          <w:sz w:val="24"/>
        </w:rPr>
        <w:t>②</w:t>
      </w:r>
      <w:r w:rsidR="00E242C3" w:rsidRPr="00FC1444">
        <w:rPr>
          <w:rFonts w:eastAsiaTheme="minorEastAsia"/>
          <w:sz w:val="24"/>
        </w:rPr>
        <w:t>建立健全环境管理机构和制度，对能源消耗实行定额管理，原始记录及统计数据齐全。</w:t>
      </w:r>
    </w:p>
    <w:p w:rsidR="007917BB" w:rsidRPr="00FC1444" w:rsidRDefault="007917BB" w:rsidP="007917BB">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5</w:t>
      </w:r>
      <w:r w:rsidRPr="00FC1444">
        <w:rPr>
          <w:rFonts w:eastAsiaTheme="minorEastAsia"/>
          <w:sz w:val="24"/>
        </w:rPr>
        <w:t>）清洁生产分析结论</w:t>
      </w:r>
    </w:p>
    <w:p w:rsidR="007917BB" w:rsidRPr="00FC1444" w:rsidRDefault="007917BB" w:rsidP="007917BB">
      <w:pPr>
        <w:spacing w:line="360" w:lineRule="auto"/>
        <w:ind w:firstLineChars="200" w:firstLine="480"/>
        <w:rPr>
          <w:rFonts w:eastAsiaTheme="minorEastAsia"/>
          <w:sz w:val="24"/>
        </w:rPr>
        <w:sectPr w:rsidR="007917BB" w:rsidRPr="00FC1444">
          <w:pgSz w:w="11906" w:h="16838"/>
          <w:pgMar w:top="1440" w:right="1800" w:bottom="1440" w:left="1800" w:header="851" w:footer="992" w:gutter="0"/>
          <w:cols w:space="425"/>
          <w:docGrid w:type="lines" w:linePitch="312"/>
        </w:sectPr>
      </w:pPr>
      <w:r w:rsidRPr="00FC1444">
        <w:rPr>
          <w:rFonts w:eastAsiaTheme="minorEastAsia"/>
          <w:sz w:val="24"/>
        </w:rPr>
        <w:t>综上，</w:t>
      </w:r>
      <w:r w:rsidR="00223625" w:rsidRPr="00FC1444">
        <w:rPr>
          <w:rFonts w:eastAsiaTheme="minorEastAsia"/>
          <w:sz w:val="24"/>
        </w:rPr>
        <w:t>本项目农业运营全周期落实清洁生产理念，通过高效节水灌溉、测土配方施肥等成套清洁生产技术，实现水资源、化肥、农药源头减量，大幅降低农业面源污染物产生与入河量，相比传统分散农田清洁生产水平显著提升，符合农业绿色发展、黑土地保护、地表水水质管控</w:t>
      </w:r>
      <w:r w:rsidR="002D2CFD" w:rsidRPr="00FC1444">
        <w:rPr>
          <w:rFonts w:eastAsiaTheme="minorEastAsia"/>
          <w:sz w:val="24"/>
        </w:rPr>
        <w:t>等</w:t>
      </w:r>
      <w:r w:rsidR="00223625" w:rsidRPr="00FC1444">
        <w:rPr>
          <w:rFonts w:eastAsiaTheme="minorEastAsia"/>
          <w:sz w:val="24"/>
        </w:rPr>
        <w:t>相关政策要求</w:t>
      </w:r>
      <w:r w:rsidRPr="00FC1444">
        <w:rPr>
          <w:rFonts w:eastAsiaTheme="minorEastAsia"/>
          <w:sz w:val="24"/>
        </w:rPr>
        <w:t>。因此，本项目符合</w:t>
      </w:r>
      <w:r w:rsidRPr="00FC1444">
        <w:rPr>
          <w:rFonts w:eastAsiaTheme="minorEastAsia"/>
          <w:sz w:val="24"/>
        </w:rPr>
        <w:lastRenderedPageBreak/>
        <w:t>清洁生产要求。</w:t>
      </w:r>
    </w:p>
    <w:p w:rsidR="002A5A5E" w:rsidRPr="00FC1444"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97" w:name="_Toc208906236"/>
      <w:bookmarkStart w:id="98" w:name="_Toc477954563"/>
      <w:r w:rsidRPr="00FC1444">
        <w:rPr>
          <w:rFonts w:eastAsiaTheme="minorEastAsia"/>
          <w:b/>
          <w:kern w:val="0"/>
          <w:sz w:val="32"/>
          <w:szCs w:val="32"/>
        </w:rPr>
        <w:lastRenderedPageBreak/>
        <w:t>4</w:t>
      </w:r>
      <w:r w:rsidRPr="00FC1444">
        <w:rPr>
          <w:rFonts w:eastAsiaTheme="minorEastAsia"/>
          <w:b/>
          <w:kern w:val="0"/>
          <w:sz w:val="32"/>
          <w:szCs w:val="32"/>
        </w:rPr>
        <w:t>环境现状调查与评价</w:t>
      </w:r>
      <w:bookmarkEnd w:id="97"/>
      <w:bookmarkEnd w:id="98"/>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99" w:name="_Toc208906237"/>
      <w:r w:rsidRPr="00FC1444">
        <w:rPr>
          <w:rFonts w:eastAsiaTheme="minorEastAsia"/>
          <w:b/>
          <w:bCs/>
          <w:kern w:val="44"/>
          <w:sz w:val="30"/>
          <w:szCs w:val="30"/>
        </w:rPr>
        <w:t>4.1</w:t>
      </w:r>
      <w:r w:rsidRPr="00FC1444">
        <w:rPr>
          <w:rFonts w:eastAsiaTheme="minorEastAsia"/>
          <w:b/>
          <w:bCs/>
          <w:kern w:val="44"/>
          <w:sz w:val="30"/>
          <w:szCs w:val="30"/>
        </w:rPr>
        <w:t>自然环境概况</w:t>
      </w:r>
      <w:bookmarkEnd w:id="99"/>
    </w:p>
    <w:p w:rsidR="002A5A5E" w:rsidRPr="00FC1444" w:rsidRDefault="00611CBA">
      <w:pPr>
        <w:keepNext/>
        <w:keepLines/>
        <w:spacing w:before="100" w:beforeAutospacing="1" w:after="100" w:afterAutospacing="1"/>
        <w:outlineLvl w:val="2"/>
        <w:rPr>
          <w:rFonts w:eastAsiaTheme="minorEastAsia"/>
          <w:b/>
          <w:sz w:val="28"/>
          <w:szCs w:val="28"/>
        </w:rPr>
      </w:pPr>
      <w:bookmarkStart w:id="100" w:name="_Toc218825485"/>
      <w:r w:rsidRPr="00FC1444">
        <w:rPr>
          <w:rFonts w:eastAsiaTheme="minorEastAsia"/>
          <w:b/>
          <w:sz w:val="28"/>
          <w:szCs w:val="28"/>
        </w:rPr>
        <w:t>4.1.1</w:t>
      </w:r>
      <w:r w:rsidRPr="00FC1444">
        <w:rPr>
          <w:rFonts w:eastAsiaTheme="minorEastAsia"/>
          <w:b/>
          <w:sz w:val="28"/>
          <w:szCs w:val="28"/>
        </w:rPr>
        <w:t>地理位置</w:t>
      </w:r>
      <w:bookmarkEnd w:id="100"/>
    </w:p>
    <w:p w:rsidR="002A5A5E" w:rsidRPr="00FC1444" w:rsidRDefault="001A7AD6" w:rsidP="001A7AD6">
      <w:pPr>
        <w:pStyle w:val="2fa"/>
        <w:ind w:firstLine="480"/>
        <w:rPr>
          <w:rFonts w:ascii="Times New Roman" w:hAnsi="Times New Roman" w:cs="Times New Roman"/>
        </w:rPr>
      </w:pPr>
      <w:r w:rsidRPr="00FC1444">
        <w:rPr>
          <w:rFonts w:ascii="Times New Roman" w:hAnsi="Times New Roman" w:cs="Times New Roman"/>
        </w:rPr>
        <w:t>绥化位于黑龙江省中部，松嫩平原北端、小兴安岭西麓，地理坐标为东经</w:t>
      </w:r>
      <w:r w:rsidRPr="00FC1444">
        <w:rPr>
          <w:rFonts w:ascii="Times New Roman" w:hAnsi="Times New Roman" w:cs="Times New Roman"/>
        </w:rPr>
        <w:t>124°13′</w:t>
      </w:r>
      <w:r w:rsidRPr="00FC1444">
        <w:rPr>
          <w:rFonts w:ascii="Times New Roman" w:hAnsi="Times New Roman" w:cs="Times New Roman"/>
        </w:rPr>
        <w:t>～</w:t>
      </w:r>
      <w:r w:rsidRPr="00FC1444">
        <w:rPr>
          <w:rFonts w:ascii="Times New Roman" w:hAnsi="Times New Roman" w:cs="Times New Roman"/>
        </w:rPr>
        <w:t>128°30′</w:t>
      </w:r>
      <w:r w:rsidRPr="00FC1444">
        <w:rPr>
          <w:rFonts w:ascii="Times New Roman" w:hAnsi="Times New Roman" w:cs="Times New Roman"/>
        </w:rPr>
        <w:t>，北纬</w:t>
      </w:r>
      <w:r w:rsidRPr="00FC1444">
        <w:rPr>
          <w:rFonts w:ascii="Times New Roman" w:hAnsi="Times New Roman" w:cs="Times New Roman"/>
        </w:rPr>
        <w:t>45°03′</w:t>
      </w:r>
      <w:r w:rsidRPr="00FC1444">
        <w:rPr>
          <w:rFonts w:ascii="Times New Roman" w:hAnsi="Times New Roman" w:cs="Times New Roman"/>
        </w:rPr>
        <w:t>～</w:t>
      </w:r>
      <w:r w:rsidRPr="00FC1444">
        <w:rPr>
          <w:rFonts w:ascii="Times New Roman" w:hAnsi="Times New Roman" w:cs="Times New Roman"/>
        </w:rPr>
        <w:t>48°02′</w:t>
      </w:r>
      <w:r w:rsidRPr="00FC1444">
        <w:rPr>
          <w:rFonts w:ascii="Times New Roman" w:hAnsi="Times New Roman" w:cs="Times New Roman"/>
        </w:rPr>
        <w:t>。东接伊春市，南临省会哈尔滨市，西靠油城大庆市，北依黑河市，西北连齐齐哈尔市。全市行政区划面积</w:t>
      </w:r>
      <w:r w:rsidRPr="00FC1444">
        <w:rPr>
          <w:rFonts w:ascii="Times New Roman" w:hAnsi="Times New Roman" w:cs="Times New Roman"/>
        </w:rPr>
        <w:t>35221</w:t>
      </w:r>
      <w:r w:rsidRPr="00FC1444">
        <w:rPr>
          <w:rFonts w:ascii="Times New Roman" w:hAnsi="Times New Roman" w:cs="Times New Roman"/>
        </w:rPr>
        <w:t>平方公里</w:t>
      </w:r>
      <w:r w:rsidR="00611CBA" w:rsidRPr="00FC1444">
        <w:rPr>
          <w:rFonts w:ascii="Times New Roman" w:hAnsi="Times New Roman" w:cs="Times New Roman"/>
        </w:rPr>
        <w:t>。</w:t>
      </w:r>
    </w:p>
    <w:p w:rsidR="002A5A5E" w:rsidRPr="00FC1444" w:rsidRDefault="00611CBA">
      <w:pPr>
        <w:spacing w:line="360" w:lineRule="auto"/>
        <w:ind w:firstLineChars="200" w:firstLine="480"/>
        <w:rPr>
          <w:rFonts w:eastAsiaTheme="minorEastAsia"/>
          <w:b/>
          <w:sz w:val="24"/>
        </w:rPr>
      </w:pPr>
      <w:r w:rsidRPr="00FC1444">
        <w:rPr>
          <w:rFonts w:eastAsiaTheme="minorEastAsia"/>
          <w:sz w:val="24"/>
        </w:rPr>
        <w:t>本项目位于</w:t>
      </w:r>
      <w:r w:rsidR="00433F49" w:rsidRPr="00FC1444">
        <w:rPr>
          <w:rFonts w:eastAsiaTheme="minorEastAsia"/>
          <w:bCs/>
          <w:sz w:val="24"/>
        </w:rPr>
        <w:t>黑龙江省绥化市北林区绥胜镇富强村、胜利二村；津河镇民胜村、津河村、靠河村；五营乡互相村、东围村、金伏村；三河镇太安村、永德村、合作村</w:t>
      </w:r>
      <w:r w:rsidRPr="00FC1444">
        <w:rPr>
          <w:rFonts w:eastAsiaTheme="minorEastAsia"/>
          <w:sz w:val="24"/>
        </w:rPr>
        <w:t>。</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4.1.2</w:t>
      </w:r>
      <w:r w:rsidRPr="00FC1444">
        <w:rPr>
          <w:rFonts w:eastAsiaTheme="minorEastAsia"/>
          <w:b/>
          <w:sz w:val="28"/>
          <w:szCs w:val="28"/>
        </w:rPr>
        <w:t>地形地貌</w:t>
      </w:r>
    </w:p>
    <w:p w:rsidR="001A7AD6" w:rsidRPr="00FC1444" w:rsidRDefault="001A7AD6" w:rsidP="001A7AD6">
      <w:pPr>
        <w:pStyle w:val="2fa"/>
        <w:ind w:firstLine="480"/>
        <w:rPr>
          <w:rFonts w:ascii="Times New Roman" w:hAnsi="Times New Roman" w:cs="Times New Roman"/>
        </w:rPr>
      </w:pPr>
      <w:bookmarkStart w:id="101" w:name="_Toc241292978"/>
      <w:r w:rsidRPr="00FC1444">
        <w:rPr>
          <w:rFonts w:ascii="Times New Roman" w:hAnsi="Times New Roman" w:cs="Times New Roman"/>
        </w:rPr>
        <w:t>本项目所在区域处于黑龙江省中南部，地貌单元主要属松嫩平原与小兴安岭西麓山前丘陵过渡带。地势总体东北高、西南低，由低山丘陵、岗丘状高平原逐渐渡为河谷平原，地形起伏平缓</w:t>
      </w:r>
      <w:r w:rsidR="00611CBA" w:rsidRPr="00FC1444">
        <w:rPr>
          <w:rFonts w:ascii="Times New Roman" w:hAnsi="Times New Roman" w:cs="Times New Roman"/>
        </w:rPr>
        <w:t>。</w:t>
      </w:r>
    </w:p>
    <w:p w:rsidR="001A7AD6" w:rsidRPr="00FC1444" w:rsidRDefault="001A7AD6" w:rsidP="001A7AD6">
      <w:pPr>
        <w:pStyle w:val="2fa"/>
        <w:ind w:firstLine="480"/>
        <w:rPr>
          <w:rFonts w:ascii="Times New Roman" w:hAnsi="Times New Roman" w:cs="Times New Roman"/>
        </w:rPr>
      </w:pPr>
      <w:r w:rsidRPr="00FC1444">
        <w:rPr>
          <w:rFonts w:ascii="Times New Roman" w:hAnsi="Times New Roman" w:cs="Times New Roman"/>
        </w:rPr>
        <w:t>绥胜片区位于北林区西南</w:t>
      </w:r>
      <w:r w:rsidRPr="00FC1444">
        <w:rPr>
          <w:rFonts w:ascii="Times New Roman" w:hAnsi="Times New Roman" w:cs="Times New Roman"/>
        </w:rPr>
        <w:t>15km</w:t>
      </w:r>
      <w:r w:rsidRPr="00FC1444">
        <w:rPr>
          <w:rFonts w:ascii="Times New Roman" w:hAnsi="Times New Roman" w:cs="Times New Roman"/>
        </w:rPr>
        <w:t>，东西跨度</w:t>
      </w:r>
      <w:r w:rsidRPr="00FC1444">
        <w:rPr>
          <w:rFonts w:ascii="Times New Roman" w:hAnsi="Times New Roman" w:cs="Times New Roman"/>
        </w:rPr>
        <w:t>6km</w:t>
      </w:r>
      <w:r w:rsidRPr="00FC1444">
        <w:rPr>
          <w:rFonts w:ascii="Times New Roman" w:hAnsi="Times New Roman" w:cs="Times New Roman"/>
        </w:rPr>
        <w:t>，南北最长跨度</w:t>
      </w:r>
      <w:r w:rsidRPr="00FC1444">
        <w:rPr>
          <w:rFonts w:ascii="Times New Roman" w:hAnsi="Times New Roman" w:cs="Times New Roman"/>
        </w:rPr>
        <w:t>3km</w:t>
      </w:r>
      <w:r w:rsidRPr="00FC1444">
        <w:rPr>
          <w:rFonts w:ascii="Times New Roman" w:hAnsi="Times New Roman" w:cs="Times New Roman"/>
        </w:rPr>
        <w:t>，片区地势北高南低，东高西低，从北到南高程</w:t>
      </w:r>
      <w:r w:rsidRPr="00FC1444">
        <w:rPr>
          <w:rFonts w:ascii="Times New Roman" w:hAnsi="Times New Roman" w:cs="Times New Roman"/>
        </w:rPr>
        <w:t>173m-165m</w:t>
      </w:r>
      <w:r w:rsidRPr="00FC1444">
        <w:rPr>
          <w:rFonts w:ascii="Times New Roman" w:hAnsi="Times New Roman" w:cs="Times New Roman"/>
        </w:rPr>
        <w:t>，坡度</w:t>
      </w:r>
      <w:r w:rsidRPr="00FC1444">
        <w:rPr>
          <w:rFonts w:ascii="Times New Roman" w:hAnsi="Times New Roman" w:cs="Times New Roman"/>
        </w:rPr>
        <w:t>1/400</w:t>
      </w:r>
      <w:r w:rsidRPr="00FC1444">
        <w:rPr>
          <w:rFonts w:ascii="Times New Roman" w:hAnsi="Times New Roman" w:cs="Times New Roman"/>
        </w:rPr>
        <w:t>，从东到西高程</w:t>
      </w:r>
      <w:r w:rsidRPr="00FC1444">
        <w:rPr>
          <w:rFonts w:ascii="Times New Roman" w:hAnsi="Times New Roman" w:cs="Times New Roman"/>
        </w:rPr>
        <w:t>174m-165m</w:t>
      </w:r>
      <w:r w:rsidRPr="00FC1444">
        <w:rPr>
          <w:rFonts w:ascii="Times New Roman" w:hAnsi="Times New Roman" w:cs="Times New Roman"/>
        </w:rPr>
        <w:t>，坡度</w:t>
      </w:r>
      <w:r w:rsidRPr="00FC1444">
        <w:rPr>
          <w:rFonts w:ascii="Times New Roman" w:hAnsi="Times New Roman" w:cs="Times New Roman"/>
        </w:rPr>
        <w:t>1/800</w:t>
      </w:r>
      <w:r w:rsidRPr="00FC1444">
        <w:rPr>
          <w:rFonts w:ascii="Times New Roman" w:hAnsi="Times New Roman" w:cs="Times New Roman"/>
        </w:rPr>
        <w:t>。</w:t>
      </w:r>
    </w:p>
    <w:p w:rsidR="001A7AD6" w:rsidRPr="00FC1444" w:rsidRDefault="001A7AD6" w:rsidP="001A7AD6">
      <w:pPr>
        <w:pStyle w:val="2fa"/>
        <w:ind w:firstLine="480"/>
        <w:rPr>
          <w:rFonts w:ascii="Times New Roman" w:hAnsi="Times New Roman" w:cs="Times New Roman"/>
        </w:rPr>
      </w:pPr>
      <w:r w:rsidRPr="00FC1444">
        <w:rPr>
          <w:rFonts w:ascii="Times New Roman" w:hAnsi="Times New Roman" w:cs="Times New Roman"/>
        </w:rPr>
        <w:t>津河片区位于北林区西北</w:t>
      </w:r>
      <w:r w:rsidRPr="00FC1444">
        <w:rPr>
          <w:rFonts w:ascii="Times New Roman" w:hAnsi="Times New Roman" w:cs="Times New Roman"/>
        </w:rPr>
        <w:t>8km</w:t>
      </w:r>
      <w:r w:rsidRPr="00FC1444">
        <w:rPr>
          <w:rFonts w:ascii="Times New Roman" w:hAnsi="Times New Roman" w:cs="Times New Roman"/>
        </w:rPr>
        <w:t>，东西最长跨度</w:t>
      </w:r>
      <w:r w:rsidRPr="00FC1444">
        <w:rPr>
          <w:rFonts w:ascii="Times New Roman" w:hAnsi="Times New Roman" w:cs="Times New Roman"/>
        </w:rPr>
        <w:t>14km</w:t>
      </w:r>
      <w:r w:rsidRPr="00FC1444">
        <w:rPr>
          <w:rFonts w:ascii="Times New Roman" w:hAnsi="Times New Roman" w:cs="Times New Roman"/>
        </w:rPr>
        <w:t>，南北最长跨度</w:t>
      </w:r>
      <w:r w:rsidRPr="00FC1444">
        <w:rPr>
          <w:rFonts w:ascii="Times New Roman" w:hAnsi="Times New Roman" w:cs="Times New Roman"/>
        </w:rPr>
        <w:t>12km</w:t>
      </w:r>
      <w:r w:rsidRPr="00FC1444">
        <w:rPr>
          <w:rFonts w:ascii="Times New Roman" w:hAnsi="Times New Roman" w:cs="Times New Roman"/>
        </w:rPr>
        <w:t>，片区地势南高北低，东高西低，从南到北高程</w:t>
      </w:r>
      <w:r w:rsidRPr="00FC1444">
        <w:rPr>
          <w:rFonts w:ascii="Times New Roman" w:hAnsi="Times New Roman" w:cs="Times New Roman"/>
        </w:rPr>
        <w:t>181m-157m</w:t>
      </w:r>
      <w:r w:rsidRPr="00FC1444">
        <w:rPr>
          <w:rFonts w:ascii="Times New Roman" w:hAnsi="Times New Roman" w:cs="Times New Roman"/>
        </w:rPr>
        <w:t>，坡度</w:t>
      </w:r>
      <w:r w:rsidRPr="00FC1444">
        <w:rPr>
          <w:rFonts w:ascii="Times New Roman" w:hAnsi="Times New Roman" w:cs="Times New Roman"/>
        </w:rPr>
        <w:t>1/500</w:t>
      </w:r>
      <w:r w:rsidRPr="00FC1444">
        <w:rPr>
          <w:rFonts w:ascii="Times New Roman" w:hAnsi="Times New Roman" w:cs="Times New Roman"/>
        </w:rPr>
        <w:t>，从东到西高程</w:t>
      </w:r>
      <w:r w:rsidRPr="00FC1444">
        <w:rPr>
          <w:rFonts w:ascii="Times New Roman" w:hAnsi="Times New Roman" w:cs="Times New Roman"/>
        </w:rPr>
        <w:t>178m-158m</w:t>
      </w:r>
      <w:r w:rsidRPr="00FC1444">
        <w:rPr>
          <w:rFonts w:ascii="Times New Roman" w:hAnsi="Times New Roman" w:cs="Times New Roman"/>
        </w:rPr>
        <w:t>，坡度</w:t>
      </w:r>
      <w:r w:rsidRPr="00FC1444">
        <w:rPr>
          <w:rFonts w:ascii="Times New Roman" w:hAnsi="Times New Roman" w:cs="Times New Roman"/>
        </w:rPr>
        <w:t>1/900</w:t>
      </w:r>
      <w:r w:rsidRPr="00FC1444">
        <w:rPr>
          <w:rFonts w:ascii="Times New Roman" w:hAnsi="Times New Roman" w:cs="Times New Roman"/>
        </w:rPr>
        <w:t>。</w:t>
      </w:r>
    </w:p>
    <w:p w:rsidR="001A7AD6" w:rsidRPr="00FC1444" w:rsidRDefault="001A7AD6" w:rsidP="001A7AD6">
      <w:pPr>
        <w:pStyle w:val="2fa"/>
        <w:ind w:firstLine="480"/>
        <w:rPr>
          <w:rFonts w:ascii="Times New Roman" w:hAnsi="Times New Roman" w:cs="Times New Roman"/>
        </w:rPr>
      </w:pPr>
      <w:r w:rsidRPr="00FC1444">
        <w:rPr>
          <w:rFonts w:ascii="Times New Roman" w:hAnsi="Times New Roman" w:cs="Times New Roman"/>
        </w:rPr>
        <w:t>三河镇和五营乡位于北林区北部，小兴安岭余脉前缘松嫩平原区，地势东高西低，高低差别不大，比较平坦，区内按成因类型和形态类型分为岗丘状高平原、岗阜状高平原、微倾斜高平原、一级阶地、高漫滩和低漫滩等。</w:t>
      </w:r>
    </w:p>
    <w:p w:rsidR="002A5A5E" w:rsidRPr="00FC1444" w:rsidRDefault="001A7AD6" w:rsidP="001A7AD6">
      <w:pPr>
        <w:pStyle w:val="2fa"/>
        <w:ind w:firstLine="480"/>
        <w:rPr>
          <w:rFonts w:ascii="Times New Roman" w:hAnsi="Times New Roman" w:cs="Times New Roman"/>
        </w:rPr>
      </w:pPr>
      <w:r w:rsidRPr="00FC1444">
        <w:rPr>
          <w:rFonts w:ascii="Times New Roman" w:hAnsi="Times New Roman" w:cs="Times New Roman"/>
        </w:rPr>
        <w:t>工作区地形以平川漫岗为主。海拔高度</w:t>
      </w:r>
      <w:r w:rsidRPr="00FC1444">
        <w:rPr>
          <w:rFonts w:ascii="Times New Roman" w:hAnsi="Times New Roman" w:cs="Times New Roman"/>
        </w:rPr>
        <w:t>160-180m</w:t>
      </w:r>
      <w:r w:rsidRPr="00FC1444">
        <w:rPr>
          <w:rFonts w:ascii="Times New Roman" w:hAnsi="Times New Roman" w:cs="Times New Roman"/>
        </w:rPr>
        <w:t>，阶面宽而平坦，微向河床倾斜，坡度小于</w:t>
      </w:r>
      <w:r w:rsidRPr="00FC1444">
        <w:rPr>
          <w:rFonts w:ascii="Times New Roman" w:hAnsi="Times New Roman" w:cs="Times New Roman"/>
        </w:rPr>
        <w:t>3°</w:t>
      </w:r>
      <w:r w:rsidRPr="00FC1444">
        <w:rPr>
          <w:rFonts w:ascii="Times New Roman" w:hAnsi="Times New Roman" w:cs="Times New Roman"/>
        </w:rPr>
        <w:t>；高漫滩主要分布于河流两侧，海拔高度</w:t>
      </w:r>
      <w:r w:rsidRPr="00FC1444">
        <w:rPr>
          <w:rFonts w:ascii="Times New Roman" w:hAnsi="Times New Roman" w:cs="Times New Roman"/>
        </w:rPr>
        <w:t>155-175m</w:t>
      </w:r>
      <w:r w:rsidRPr="00FC1444">
        <w:rPr>
          <w:rFonts w:ascii="Times New Roman" w:hAnsi="Times New Roman" w:cs="Times New Roman"/>
        </w:rPr>
        <w:t>，漫滩宽阔，地势平坦；低漫滩沿河流两侧呈条带状分布，一般宽</w:t>
      </w:r>
      <w:r w:rsidRPr="00FC1444">
        <w:rPr>
          <w:rFonts w:ascii="Times New Roman" w:hAnsi="Times New Roman" w:cs="Times New Roman"/>
        </w:rPr>
        <w:t>0.5-1km</w:t>
      </w:r>
      <w:r w:rsidR="00611CBA" w:rsidRPr="00FC1444">
        <w:rPr>
          <w:rFonts w:ascii="Times New Roman" w:hAnsi="Times New Roman" w:cs="Times New Roman"/>
        </w:rPr>
        <w:t>。</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lastRenderedPageBreak/>
        <w:t>4.1.3</w:t>
      </w:r>
      <w:r w:rsidRPr="00FC1444">
        <w:rPr>
          <w:rFonts w:eastAsiaTheme="minorEastAsia"/>
          <w:b/>
          <w:sz w:val="28"/>
          <w:szCs w:val="28"/>
        </w:rPr>
        <w:t>气候</w:t>
      </w:r>
      <w:bookmarkEnd w:id="101"/>
      <w:r w:rsidRPr="00FC1444">
        <w:rPr>
          <w:rFonts w:eastAsiaTheme="minorEastAsia"/>
          <w:b/>
          <w:sz w:val="28"/>
          <w:szCs w:val="28"/>
        </w:rPr>
        <w:t>、气象</w:t>
      </w:r>
    </w:p>
    <w:p w:rsidR="002A5A5E" w:rsidRPr="00FC1444" w:rsidRDefault="001A7AD6" w:rsidP="001A7AD6">
      <w:pPr>
        <w:spacing w:line="360" w:lineRule="auto"/>
        <w:ind w:firstLineChars="200" w:firstLine="480"/>
        <w:contextualSpacing/>
        <w:rPr>
          <w:rFonts w:eastAsiaTheme="minorEastAsia"/>
          <w:snapToGrid w:val="0"/>
          <w:sz w:val="24"/>
          <w:szCs w:val="21"/>
        </w:rPr>
      </w:pPr>
      <w:r w:rsidRPr="00FC1444">
        <w:rPr>
          <w:rFonts w:eastAsiaTheme="minorEastAsia"/>
          <w:snapToGrid w:val="0"/>
          <w:sz w:val="24"/>
          <w:szCs w:val="21"/>
        </w:rPr>
        <w:t>北林区地处中温带亚湿润气候区，横跨二三积温带，冬季寒冷干燥、夏季温热多雨、春秋凉爽。日照总时数</w:t>
      </w:r>
      <w:r w:rsidRPr="00FC1444">
        <w:rPr>
          <w:rFonts w:eastAsiaTheme="minorEastAsia"/>
          <w:snapToGrid w:val="0"/>
          <w:sz w:val="24"/>
          <w:szCs w:val="21"/>
        </w:rPr>
        <w:t>2766</w:t>
      </w:r>
      <w:r w:rsidRPr="00FC1444">
        <w:rPr>
          <w:rFonts w:eastAsiaTheme="minorEastAsia"/>
          <w:snapToGrid w:val="0"/>
          <w:sz w:val="24"/>
          <w:szCs w:val="21"/>
        </w:rPr>
        <w:t>小时、无霜期</w:t>
      </w:r>
      <w:r w:rsidRPr="00FC1444">
        <w:rPr>
          <w:rFonts w:eastAsiaTheme="minorEastAsia"/>
          <w:snapToGrid w:val="0"/>
          <w:sz w:val="24"/>
          <w:szCs w:val="21"/>
        </w:rPr>
        <w:t>129</w:t>
      </w:r>
      <w:r w:rsidRPr="00FC1444">
        <w:rPr>
          <w:rFonts w:eastAsiaTheme="minorEastAsia"/>
          <w:snapToGrid w:val="0"/>
          <w:sz w:val="24"/>
          <w:szCs w:val="21"/>
        </w:rPr>
        <w:t>天左右。主导风向为西南风，春夏季盛行西南风，秋季盛行西南风，冬季盛行西风，平均风速为</w:t>
      </w:r>
      <w:r w:rsidRPr="00FC1444">
        <w:rPr>
          <w:rFonts w:eastAsiaTheme="minorEastAsia"/>
          <w:snapToGrid w:val="0"/>
          <w:sz w:val="24"/>
          <w:szCs w:val="21"/>
        </w:rPr>
        <w:t>2.0m/s</w:t>
      </w:r>
      <w:r w:rsidRPr="00FC1444">
        <w:rPr>
          <w:rFonts w:eastAsiaTheme="minorEastAsia"/>
          <w:snapToGrid w:val="0"/>
          <w:sz w:val="24"/>
          <w:szCs w:val="21"/>
        </w:rPr>
        <w:t>。历年气温最低的月份为</w:t>
      </w:r>
      <w:r w:rsidRPr="00FC1444">
        <w:rPr>
          <w:rFonts w:eastAsiaTheme="minorEastAsia"/>
          <w:snapToGrid w:val="0"/>
          <w:sz w:val="24"/>
          <w:szCs w:val="21"/>
        </w:rPr>
        <w:t>1</w:t>
      </w:r>
      <w:r w:rsidRPr="00FC1444">
        <w:rPr>
          <w:rFonts w:eastAsiaTheme="minorEastAsia"/>
          <w:snapToGrid w:val="0"/>
          <w:sz w:val="24"/>
          <w:szCs w:val="21"/>
        </w:rPr>
        <w:t>月，其平均温度为</w:t>
      </w:r>
      <w:r w:rsidRPr="00FC1444">
        <w:rPr>
          <w:rFonts w:eastAsiaTheme="minorEastAsia"/>
          <w:snapToGrid w:val="0"/>
          <w:sz w:val="24"/>
          <w:szCs w:val="21"/>
        </w:rPr>
        <w:t>-19.4</w:t>
      </w:r>
      <w:r w:rsidRPr="00FC1444">
        <w:rPr>
          <w:rFonts w:eastAsiaTheme="minorEastAsia"/>
          <w:snapToGrid w:val="0"/>
          <w:sz w:val="24"/>
          <w:szCs w:val="21"/>
        </w:rPr>
        <w:t>度；历年气温最高月份为</w:t>
      </w:r>
      <w:r w:rsidRPr="00FC1444">
        <w:rPr>
          <w:rFonts w:eastAsiaTheme="minorEastAsia"/>
          <w:snapToGrid w:val="0"/>
          <w:sz w:val="24"/>
          <w:szCs w:val="21"/>
        </w:rPr>
        <w:t>7</w:t>
      </w:r>
      <w:r w:rsidRPr="00FC1444">
        <w:rPr>
          <w:rFonts w:eastAsiaTheme="minorEastAsia"/>
          <w:snapToGrid w:val="0"/>
          <w:sz w:val="24"/>
          <w:szCs w:val="21"/>
        </w:rPr>
        <w:t>月，其平均温度为</w:t>
      </w:r>
      <w:r w:rsidRPr="00FC1444">
        <w:rPr>
          <w:rFonts w:eastAsiaTheme="minorEastAsia"/>
          <w:snapToGrid w:val="0"/>
          <w:sz w:val="24"/>
          <w:szCs w:val="21"/>
        </w:rPr>
        <w:t>24.9</w:t>
      </w:r>
      <w:r w:rsidRPr="00FC1444">
        <w:rPr>
          <w:rFonts w:eastAsiaTheme="minorEastAsia"/>
          <w:snapToGrid w:val="0"/>
          <w:sz w:val="24"/>
          <w:szCs w:val="21"/>
        </w:rPr>
        <w:t>度，年平均温度为</w:t>
      </w:r>
      <w:r w:rsidRPr="00FC1444">
        <w:rPr>
          <w:rFonts w:eastAsiaTheme="minorEastAsia"/>
          <w:snapToGrid w:val="0"/>
          <w:sz w:val="24"/>
          <w:szCs w:val="21"/>
        </w:rPr>
        <w:t>2.8℃</w:t>
      </w:r>
      <w:r w:rsidRPr="00FC1444">
        <w:rPr>
          <w:rFonts w:eastAsiaTheme="minorEastAsia"/>
          <w:snapToGrid w:val="0"/>
          <w:sz w:val="24"/>
          <w:szCs w:val="21"/>
        </w:rPr>
        <w:t>左右。年平均总降水量为</w:t>
      </w:r>
      <w:r w:rsidRPr="00FC1444">
        <w:rPr>
          <w:rFonts w:eastAsiaTheme="minorEastAsia"/>
          <w:snapToGrid w:val="0"/>
          <w:sz w:val="24"/>
          <w:szCs w:val="21"/>
        </w:rPr>
        <w:t>525mm</w:t>
      </w:r>
      <w:r w:rsidRPr="00FC1444">
        <w:rPr>
          <w:rFonts w:eastAsiaTheme="minorEastAsia"/>
          <w:snapToGrid w:val="0"/>
          <w:sz w:val="24"/>
          <w:szCs w:val="21"/>
        </w:rPr>
        <w:t>。无霜期平均为</w:t>
      </w:r>
      <w:r w:rsidRPr="00FC1444">
        <w:rPr>
          <w:rFonts w:eastAsiaTheme="minorEastAsia"/>
          <w:snapToGrid w:val="0"/>
          <w:sz w:val="24"/>
          <w:szCs w:val="21"/>
        </w:rPr>
        <w:t>130</w:t>
      </w:r>
      <w:r w:rsidRPr="00FC1444">
        <w:rPr>
          <w:rFonts w:eastAsiaTheme="minorEastAsia"/>
          <w:snapToGrid w:val="0"/>
          <w:sz w:val="24"/>
          <w:szCs w:val="21"/>
        </w:rPr>
        <w:t>天</w:t>
      </w:r>
      <w:r w:rsidR="00611CBA" w:rsidRPr="00FC1444">
        <w:rPr>
          <w:rFonts w:eastAsiaTheme="minorEastAsia"/>
          <w:snapToGrid w:val="0"/>
          <w:sz w:val="24"/>
          <w:szCs w:val="21"/>
        </w:rPr>
        <w:t>。</w:t>
      </w:r>
    </w:p>
    <w:p w:rsidR="002A5A5E" w:rsidRPr="00FC1444" w:rsidRDefault="00611CBA">
      <w:pPr>
        <w:keepNext/>
        <w:keepLines/>
        <w:spacing w:before="100" w:beforeAutospacing="1" w:after="100" w:afterAutospacing="1"/>
        <w:outlineLvl w:val="2"/>
        <w:rPr>
          <w:rFonts w:eastAsiaTheme="minorEastAsia"/>
          <w:b/>
          <w:sz w:val="28"/>
          <w:szCs w:val="28"/>
        </w:rPr>
      </w:pPr>
      <w:bookmarkStart w:id="102" w:name="_Toc241292979"/>
      <w:r w:rsidRPr="00FC1444">
        <w:rPr>
          <w:rFonts w:eastAsiaTheme="minorEastAsia"/>
          <w:b/>
          <w:sz w:val="28"/>
          <w:szCs w:val="28"/>
        </w:rPr>
        <w:t>4.1.4</w:t>
      </w:r>
      <w:r w:rsidRPr="00FC1444">
        <w:rPr>
          <w:rFonts w:eastAsiaTheme="minorEastAsia"/>
          <w:b/>
          <w:sz w:val="28"/>
          <w:szCs w:val="28"/>
        </w:rPr>
        <w:t>水文</w:t>
      </w:r>
      <w:bookmarkEnd w:id="102"/>
      <w:r w:rsidRPr="00FC1444">
        <w:rPr>
          <w:rFonts w:eastAsiaTheme="minorEastAsia"/>
          <w:b/>
          <w:sz w:val="28"/>
          <w:szCs w:val="28"/>
        </w:rPr>
        <w:t>地质情况</w:t>
      </w:r>
    </w:p>
    <w:p w:rsidR="002A5A5E" w:rsidRPr="00FC1444" w:rsidRDefault="00611CBA">
      <w:pPr>
        <w:autoSpaceDE w:val="0"/>
        <w:autoSpaceDN w:val="0"/>
        <w:spacing w:before="100" w:beforeAutospacing="1" w:after="100" w:afterAutospacing="1"/>
        <w:outlineLvl w:val="3"/>
        <w:rPr>
          <w:rFonts w:eastAsiaTheme="minorEastAsia"/>
          <w:b/>
          <w:bCs/>
          <w:sz w:val="24"/>
        </w:rPr>
      </w:pPr>
      <w:bookmarkStart w:id="103" w:name="_Toc241292980"/>
      <w:r w:rsidRPr="00FC1444">
        <w:rPr>
          <w:rFonts w:eastAsiaTheme="minorEastAsia"/>
          <w:b/>
          <w:bCs/>
          <w:sz w:val="24"/>
        </w:rPr>
        <w:t>4.1.4.1</w:t>
      </w:r>
      <w:r w:rsidRPr="00FC1444">
        <w:rPr>
          <w:rFonts w:eastAsiaTheme="minorEastAsia"/>
          <w:b/>
          <w:bCs/>
          <w:sz w:val="24"/>
        </w:rPr>
        <w:t>流域概况</w:t>
      </w:r>
    </w:p>
    <w:p w:rsidR="001A7AD6" w:rsidRPr="00FC1444" w:rsidRDefault="001A7AD6" w:rsidP="001A7AD6">
      <w:pPr>
        <w:spacing w:line="360" w:lineRule="auto"/>
        <w:ind w:firstLineChars="200" w:firstLine="480"/>
        <w:contextualSpacing/>
        <w:rPr>
          <w:rFonts w:eastAsiaTheme="minorEastAsia"/>
          <w:snapToGrid w:val="0"/>
          <w:sz w:val="24"/>
          <w:szCs w:val="21"/>
        </w:rPr>
      </w:pPr>
      <w:r w:rsidRPr="00FC1444">
        <w:rPr>
          <w:rFonts w:eastAsiaTheme="minorEastAsia"/>
          <w:snapToGrid w:val="0"/>
          <w:sz w:val="24"/>
          <w:szCs w:val="21"/>
        </w:rPr>
        <w:t>绥化市境内河流密布，水系发达，共有大小河流约</w:t>
      </w:r>
      <w:r w:rsidRPr="00FC1444">
        <w:rPr>
          <w:rFonts w:eastAsiaTheme="minorEastAsia"/>
          <w:snapToGrid w:val="0"/>
          <w:sz w:val="24"/>
          <w:szCs w:val="21"/>
        </w:rPr>
        <w:t>336</w:t>
      </w:r>
      <w:r w:rsidRPr="00FC1444">
        <w:rPr>
          <w:rFonts w:eastAsiaTheme="minorEastAsia"/>
          <w:snapToGrid w:val="0"/>
          <w:sz w:val="24"/>
          <w:szCs w:val="21"/>
        </w:rPr>
        <w:t>条，均属松花江水系。主要河流包括呼兰河、通肯河、努敏河、克音河、泥河等。</w:t>
      </w:r>
    </w:p>
    <w:p w:rsidR="00C11725" w:rsidRPr="00FC1444" w:rsidRDefault="001A7AD6" w:rsidP="001A7AD6">
      <w:pPr>
        <w:spacing w:line="360" w:lineRule="auto"/>
        <w:ind w:firstLineChars="200" w:firstLine="480"/>
        <w:contextualSpacing/>
        <w:rPr>
          <w:rFonts w:eastAsiaTheme="minorEastAsia"/>
          <w:snapToGrid w:val="0"/>
          <w:sz w:val="24"/>
          <w:szCs w:val="21"/>
        </w:rPr>
      </w:pPr>
      <w:r w:rsidRPr="00FC1444">
        <w:rPr>
          <w:rFonts w:eastAsiaTheme="minorEastAsia"/>
          <w:snapToGrid w:val="0"/>
          <w:sz w:val="24"/>
          <w:szCs w:val="21"/>
        </w:rPr>
        <w:t>呼兰河是松花江左岸最大支流，也是绥化境内核心水系。发源于小兴安岭西麓，自东北向西南贯穿全市，流经北林、庆安、绥棱、望奎等区县，于哈尔滨市境内注入松花江</w:t>
      </w:r>
      <w:r w:rsidR="00611CBA" w:rsidRPr="00FC1444">
        <w:rPr>
          <w:rFonts w:eastAsiaTheme="minorEastAsia"/>
          <w:snapToGrid w:val="0"/>
          <w:sz w:val="24"/>
          <w:szCs w:val="21"/>
        </w:rPr>
        <w:t>。</w:t>
      </w:r>
    </w:p>
    <w:p w:rsidR="00C11725" w:rsidRPr="00FC1444" w:rsidRDefault="00C11725" w:rsidP="00C11725">
      <w:pPr>
        <w:spacing w:line="360" w:lineRule="auto"/>
        <w:ind w:firstLineChars="200" w:firstLine="480"/>
        <w:contextualSpacing/>
        <w:rPr>
          <w:rFonts w:eastAsiaTheme="minorEastAsia"/>
          <w:snapToGrid w:val="0"/>
          <w:sz w:val="24"/>
          <w:szCs w:val="21"/>
        </w:rPr>
      </w:pPr>
      <w:r w:rsidRPr="00FC1444">
        <w:rPr>
          <w:rFonts w:eastAsiaTheme="minorEastAsia"/>
          <w:snapToGrid w:val="0"/>
          <w:sz w:val="24"/>
          <w:szCs w:val="21"/>
        </w:rPr>
        <w:t>努敏河发源于北林区小兴安岭余脉的南伦山，海拔</w:t>
      </w:r>
      <w:r w:rsidRPr="00FC1444">
        <w:rPr>
          <w:rFonts w:eastAsiaTheme="minorEastAsia"/>
          <w:snapToGrid w:val="0"/>
          <w:sz w:val="24"/>
          <w:szCs w:val="21"/>
        </w:rPr>
        <w:t>480m</w:t>
      </w:r>
      <w:r w:rsidRPr="00FC1444">
        <w:rPr>
          <w:rFonts w:eastAsiaTheme="minorEastAsia"/>
          <w:snapToGrid w:val="0"/>
          <w:sz w:val="24"/>
          <w:szCs w:val="21"/>
        </w:rPr>
        <w:t>。向西南流经北林</w:t>
      </w:r>
    </w:p>
    <w:p w:rsidR="00C11725" w:rsidRPr="00FC1444" w:rsidRDefault="00C11725" w:rsidP="00C11725">
      <w:pPr>
        <w:spacing w:line="360" w:lineRule="auto"/>
        <w:contextualSpacing/>
        <w:rPr>
          <w:rFonts w:eastAsiaTheme="minorEastAsia"/>
          <w:snapToGrid w:val="0"/>
          <w:sz w:val="24"/>
          <w:szCs w:val="21"/>
        </w:rPr>
      </w:pPr>
      <w:r w:rsidRPr="00FC1444">
        <w:rPr>
          <w:rFonts w:eastAsiaTheme="minorEastAsia"/>
          <w:snapToGrid w:val="0"/>
          <w:sz w:val="24"/>
          <w:szCs w:val="21"/>
        </w:rPr>
        <w:t>区在北林区联合乡十六村东山入境，全长</w:t>
      </w:r>
      <w:r w:rsidRPr="00FC1444">
        <w:rPr>
          <w:rFonts w:eastAsiaTheme="minorEastAsia"/>
          <w:snapToGrid w:val="0"/>
          <w:sz w:val="24"/>
          <w:szCs w:val="21"/>
        </w:rPr>
        <w:t>285km</w:t>
      </w:r>
      <w:r w:rsidRPr="00FC1444">
        <w:rPr>
          <w:rFonts w:eastAsiaTheme="minorEastAsia"/>
          <w:snapToGrid w:val="0"/>
          <w:sz w:val="24"/>
          <w:szCs w:val="21"/>
        </w:rPr>
        <w:t>，流域面积</w:t>
      </w:r>
      <w:r w:rsidRPr="00FC1444">
        <w:rPr>
          <w:rFonts w:eastAsiaTheme="minorEastAsia"/>
          <w:snapToGrid w:val="0"/>
          <w:sz w:val="24"/>
          <w:szCs w:val="21"/>
        </w:rPr>
        <w:t>5388km</w:t>
      </w:r>
      <w:r w:rsidRPr="00FC1444">
        <w:rPr>
          <w:rFonts w:eastAsiaTheme="minorEastAsia"/>
          <w:snapToGrid w:val="0"/>
          <w:sz w:val="24"/>
          <w:szCs w:val="21"/>
          <w:vertAlign w:val="superscript"/>
        </w:rPr>
        <w:t>2</w:t>
      </w:r>
      <w:r w:rsidRPr="00FC1444">
        <w:rPr>
          <w:rFonts w:eastAsiaTheme="minorEastAsia"/>
          <w:snapToGrid w:val="0"/>
          <w:sz w:val="24"/>
          <w:szCs w:val="21"/>
        </w:rPr>
        <w:t>，河道窄深流急，具有山溪性河流特点。细沙质河床，河道比降约</w:t>
      </w:r>
      <w:r w:rsidRPr="00FC1444">
        <w:rPr>
          <w:rFonts w:eastAsiaTheme="minorEastAsia"/>
          <w:snapToGrid w:val="0"/>
          <w:sz w:val="24"/>
          <w:szCs w:val="21"/>
        </w:rPr>
        <w:t xml:space="preserve"> 1/1000</w:t>
      </w:r>
      <w:r w:rsidRPr="00FC1444">
        <w:rPr>
          <w:rFonts w:eastAsiaTheme="minorEastAsia"/>
          <w:snapToGrid w:val="0"/>
          <w:sz w:val="24"/>
          <w:szCs w:val="21"/>
        </w:rPr>
        <w:t>～</w:t>
      </w:r>
      <w:r w:rsidRPr="00FC1444">
        <w:rPr>
          <w:rFonts w:eastAsiaTheme="minorEastAsia"/>
          <w:snapToGrid w:val="0"/>
          <w:sz w:val="24"/>
          <w:szCs w:val="21"/>
        </w:rPr>
        <w:t>1/3000</w:t>
      </w:r>
      <w:r w:rsidRPr="00FC1444">
        <w:rPr>
          <w:rFonts w:eastAsiaTheme="minorEastAsia"/>
          <w:snapToGrid w:val="0"/>
          <w:sz w:val="24"/>
          <w:szCs w:val="21"/>
        </w:rPr>
        <w:t>，上游主河槽宽为</w:t>
      </w:r>
      <w:r w:rsidRPr="00FC1444">
        <w:rPr>
          <w:rFonts w:eastAsiaTheme="minorEastAsia"/>
          <w:snapToGrid w:val="0"/>
          <w:sz w:val="24"/>
          <w:szCs w:val="21"/>
        </w:rPr>
        <w:t>60</w:t>
      </w:r>
      <w:r w:rsidRPr="00FC1444">
        <w:rPr>
          <w:rFonts w:eastAsiaTheme="minorEastAsia"/>
          <w:snapToGrid w:val="0"/>
          <w:sz w:val="24"/>
          <w:szCs w:val="21"/>
        </w:rPr>
        <w:t>～</w:t>
      </w:r>
      <w:r w:rsidRPr="00FC1444">
        <w:rPr>
          <w:rFonts w:eastAsiaTheme="minorEastAsia"/>
          <w:snapToGrid w:val="0"/>
          <w:sz w:val="24"/>
          <w:szCs w:val="21"/>
        </w:rPr>
        <w:t>120m</w:t>
      </w:r>
      <w:r w:rsidRPr="00FC1444">
        <w:rPr>
          <w:rFonts w:eastAsiaTheme="minorEastAsia"/>
          <w:snapToGrid w:val="0"/>
          <w:sz w:val="24"/>
          <w:szCs w:val="21"/>
        </w:rPr>
        <w:t>，下游为</w:t>
      </w:r>
      <w:r w:rsidRPr="00FC1444">
        <w:rPr>
          <w:rFonts w:eastAsiaTheme="minorEastAsia"/>
          <w:snapToGrid w:val="0"/>
          <w:sz w:val="24"/>
          <w:szCs w:val="21"/>
        </w:rPr>
        <w:t>45</w:t>
      </w:r>
      <w:r w:rsidRPr="00FC1444">
        <w:rPr>
          <w:rFonts w:eastAsiaTheme="minorEastAsia"/>
          <w:snapToGrid w:val="0"/>
          <w:sz w:val="24"/>
          <w:szCs w:val="21"/>
        </w:rPr>
        <w:t>～</w:t>
      </w:r>
      <w:r w:rsidRPr="00FC1444">
        <w:rPr>
          <w:rFonts w:eastAsiaTheme="minorEastAsia"/>
          <w:snapToGrid w:val="0"/>
          <w:sz w:val="24"/>
          <w:szCs w:val="21"/>
        </w:rPr>
        <w:t>800m</w:t>
      </w:r>
      <w:r w:rsidRPr="00FC1444">
        <w:rPr>
          <w:rFonts w:eastAsiaTheme="minorEastAsia"/>
          <w:snapToGrid w:val="0"/>
          <w:sz w:val="24"/>
          <w:szCs w:val="21"/>
        </w:rPr>
        <w:t>。北林区境内干流长为</w:t>
      </w:r>
      <w:r w:rsidRPr="00FC1444">
        <w:rPr>
          <w:rFonts w:eastAsiaTheme="minorEastAsia"/>
          <w:snapToGrid w:val="0"/>
          <w:sz w:val="24"/>
          <w:szCs w:val="21"/>
        </w:rPr>
        <w:t>118km</w:t>
      </w:r>
      <w:r w:rsidRPr="00FC1444">
        <w:rPr>
          <w:rFonts w:eastAsiaTheme="minorEastAsia"/>
          <w:snapToGrid w:val="0"/>
          <w:sz w:val="24"/>
          <w:szCs w:val="21"/>
        </w:rPr>
        <w:t>，平均宽度为</w:t>
      </w:r>
      <w:r w:rsidRPr="00FC1444">
        <w:rPr>
          <w:rFonts w:eastAsiaTheme="minorEastAsia"/>
          <w:snapToGrid w:val="0"/>
          <w:sz w:val="24"/>
          <w:szCs w:val="21"/>
        </w:rPr>
        <w:t>90m</w:t>
      </w:r>
      <w:r w:rsidRPr="00FC1444">
        <w:rPr>
          <w:rFonts w:eastAsiaTheme="minorEastAsia"/>
          <w:snapToGrid w:val="0"/>
          <w:sz w:val="24"/>
          <w:szCs w:val="21"/>
        </w:rPr>
        <w:t>、平均深度为</w:t>
      </w:r>
      <w:r w:rsidRPr="00FC1444">
        <w:rPr>
          <w:rFonts w:eastAsiaTheme="minorEastAsia"/>
          <w:snapToGrid w:val="0"/>
          <w:sz w:val="24"/>
          <w:szCs w:val="21"/>
        </w:rPr>
        <w:t>2.5m</w:t>
      </w:r>
      <w:r w:rsidRPr="00FC1444">
        <w:rPr>
          <w:rFonts w:eastAsiaTheme="minorEastAsia"/>
          <w:snapToGrid w:val="0"/>
          <w:sz w:val="24"/>
          <w:szCs w:val="21"/>
        </w:rPr>
        <w:t>。</w:t>
      </w:r>
    </w:p>
    <w:p w:rsidR="00C11725" w:rsidRPr="00FC1444" w:rsidRDefault="00C11725" w:rsidP="00C11725">
      <w:pPr>
        <w:spacing w:line="360" w:lineRule="auto"/>
        <w:ind w:firstLineChars="200" w:firstLine="480"/>
        <w:contextualSpacing/>
        <w:rPr>
          <w:rFonts w:eastAsiaTheme="minorEastAsia"/>
          <w:snapToGrid w:val="0"/>
          <w:sz w:val="24"/>
          <w:szCs w:val="21"/>
        </w:rPr>
      </w:pPr>
      <w:r w:rsidRPr="00FC1444">
        <w:rPr>
          <w:rFonts w:eastAsiaTheme="minorEastAsia"/>
          <w:snapToGrid w:val="0"/>
          <w:sz w:val="24"/>
          <w:szCs w:val="21"/>
        </w:rPr>
        <w:t>克音河发源于小兴安岭南麓，在三井乡入北林境，总河长</w:t>
      </w:r>
      <w:r w:rsidRPr="00FC1444">
        <w:rPr>
          <w:rFonts w:eastAsiaTheme="minorEastAsia"/>
          <w:snapToGrid w:val="0"/>
          <w:sz w:val="24"/>
          <w:szCs w:val="21"/>
        </w:rPr>
        <w:t>147km</w:t>
      </w:r>
      <w:r w:rsidRPr="00FC1444">
        <w:rPr>
          <w:rFonts w:eastAsiaTheme="minorEastAsia"/>
          <w:snapToGrid w:val="0"/>
          <w:sz w:val="24"/>
          <w:szCs w:val="21"/>
        </w:rPr>
        <w:t>，流域面积为</w:t>
      </w:r>
      <w:r w:rsidRPr="00FC1444">
        <w:rPr>
          <w:rFonts w:eastAsiaTheme="minorEastAsia"/>
          <w:snapToGrid w:val="0"/>
          <w:sz w:val="24"/>
          <w:szCs w:val="21"/>
        </w:rPr>
        <w:t xml:space="preserve"> 2000km</w:t>
      </w:r>
      <w:r w:rsidRPr="00FC1444">
        <w:rPr>
          <w:rFonts w:eastAsiaTheme="minorEastAsia"/>
          <w:snapToGrid w:val="0"/>
          <w:sz w:val="24"/>
          <w:szCs w:val="21"/>
          <w:vertAlign w:val="superscript"/>
        </w:rPr>
        <w:t>2</w:t>
      </w:r>
      <w:r w:rsidRPr="00FC1444">
        <w:rPr>
          <w:rFonts w:eastAsiaTheme="minorEastAsia"/>
          <w:snapToGrid w:val="0"/>
          <w:sz w:val="24"/>
          <w:szCs w:val="21"/>
        </w:rPr>
        <w:t>，多年平均年径流量为</w:t>
      </w:r>
      <w:r w:rsidRPr="00FC1444">
        <w:rPr>
          <w:rFonts w:eastAsiaTheme="minorEastAsia"/>
          <w:snapToGrid w:val="0"/>
          <w:sz w:val="24"/>
          <w:szCs w:val="21"/>
        </w:rPr>
        <w:t>19887×104m</w:t>
      </w:r>
      <w:r w:rsidRPr="00FC1444">
        <w:rPr>
          <w:rFonts w:eastAsiaTheme="minorEastAsia"/>
          <w:snapToGrid w:val="0"/>
          <w:sz w:val="24"/>
          <w:szCs w:val="21"/>
          <w:vertAlign w:val="superscript"/>
        </w:rPr>
        <w:t>3</w:t>
      </w:r>
      <w:r w:rsidRPr="00FC1444">
        <w:rPr>
          <w:rFonts w:eastAsiaTheme="minorEastAsia"/>
          <w:snapToGrid w:val="0"/>
          <w:sz w:val="24"/>
          <w:szCs w:val="21"/>
        </w:rPr>
        <w:t>，河道比降为</w:t>
      </w:r>
      <w:r w:rsidRPr="00FC1444">
        <w:rPr>
          <w:rFonts w:eastAsiaTheme="minorEastAsia"/>
          <w:snapToGrid w:val="0"/>
          <w:sz w:val="24"/>
          <w:szCs w:val="21"/>
        </w:rPr>
        <w:t>1/1000</w:t>
      </w:r>
      <w:r w:rsidRPr="00FC1444">
        <w:rPr>
          <w:rFonts w:eastAsiaTheme="minorEastAsia"/>
          <w:snapToGrid w:val="0"/>
          <w:sz w:val="24"/>
          <w:szCs w:val="21"/>
        </w:rPr>
        <w:t>～</w:t>
      </w:r>
      <w:r w:rsidRPr="00FC1444">
        <w:rPr>
          <w:rFonts w:eastAsiaTheme="minorEastAsia"/>
          <w:snapToGrid w:val="0"/>
          <w:sz w:val="24"/>
          <w:szCs w:val="21"/>
        </w:rPr>
        <w:t>1/2000</w:t>
      </w:r>
      <w:r w:rsidRPr="00FC1444">
        <w:rPr>
          <w:rFonts w:eastAsiaTheme="minorEastAsia"/>
          <w:snapToGrid w:val="0"/>
          <w:sz w:val="24"/>
          <w:szCs w:val="21"/>
        </w:rPr>
        <w:t>，主河槽宽</w:t>
      </w:r>
      <w:r w:rsidRPr="00FC1444">
        <w:rPr>
          <w:rFonts w:eastAsiaTheme="minorEastAsia"/>
          <w:snapToGrid w:val="0"/>
          <w:sz w:val="24"/>
          <w:szCs w:val="21"/>
        </w:rPr>
        <w:t>20</w:t>
      </w:r>
      <w:r w:rsidRPr="00FC1444">
        <w:rPr>
          <w:rFonts w:eastAsiaTheme="minorEastAsia"/>
          <w:snapToGrid w:val="0"/>
          <w:sz w:val="24"/>
          <w:szCs w:val="21"/>
        </w:rPr>
        <w:t>～</w:t>
      </w:r>
      <w:r w:rsidRPr="00FC1444">
        <w:rPr>
          <w:rFonts w:eastAsiaTheme="minorEastAsia"/>
          <w:snapToGrid w:val="0"/>
          <w:sz w:val="24"/>
          <w:szCs w:val="21"/>
        </w:rPr>
        <w:t>30m</w:t>
      </w:r>
      <w:r w:rsidRPr="00FC1444">
        <w:rPr>
          <w:rFonts w:eastAsiaTheme="minorEastAsia"/>
          <w:snapToGrid w:val="0"/>
          <w:sz w:val="24"/>
          <w:szCs w:val="21"/>
        </w:rPr>
        <w:t>。北林区境内河长</w:t>
      </w:r>
      <w:r w:rsidRPr="00FC1444">
        <w:rPr>
          <w:rFonts w:eastAsiaTheme="minorEastAsia"/>
          <w:snapToGrid w:val="0"/>
          <w:sz w:val="24"/>
          <w:szCs w:val="21"/>
        </w:rPr>
        <w:t xml:space="preserve"> 56km</w:t>
      </w:r>
      <w:r w:rsidRPr="00FC1444">
        <w:rPr>
          <w:rFonts w:eastAsiaTheme="minorEastAsia"/>
          <w:snapToGrid w:val="0"/>
          <w:sz w:val="24"/>
          <w:szCs w:val="21"/>
        </w:rPr>
        <w:t>，平均宽度</w:t>
      </w:r>
      <w:r w:rsidRPr="00FC1444">
        <w:rPr>
          <w:rFonts w:eastAsiaTheme="minorEastAsia"/>
          <w:snapToGrid w:val="0"/>
          <w:sz w:val="24"/>
          <w:szCs w:val="21"/>
        </w:rPr>
        <w:t>25m</w:t>
      </w:r>
      <w:r w:rsidRPr="00FC1444">
        <w:rPr>
          <w:rFonts w:eastAsiaTheme="minorEastAsia"/>
          <w:snapToGrid w:val="0"/>
          <w:sz w:val="24"/>
          <w:szCs w:val="21"/>
        </w:rPr>
        <w:t>，平均深度</w:t>
      </w:r>
      <w:r w:rsidRPr="00FC1444">
        <w:rPr>
          <w:rFonts w:eastAsiaTheme="minorEastAsia"/>
          <w:snapToGrid w:val="0"/>
          <w:sz w:val="24"/>
          <w:szCs w:val="21"/>
        </w:rPr>
        <w:t>3m</w:t>
      </w:r>
      <w:r w:rsidRPr="00FC1444">
        <w:rPr>
          <w:rFonts w:eastAsiaTheme="minorEastAsia"/>
          <w:snapToGrid w:val="0"/>
          <w:sz w:val="24"/>
          <w:szCs w:val="21"/>
        </w:rPr>
        <w:t>，流域面积</w:t>
      </w:r>
      <w:r w:rsidRPr="00FC1444">
        <w:rPr>
          <w:rFonts w:eastAsiaTheme="minorEastAsia"/>
          <w:snapToGrid w:val="0"/>
          <w:sz w:val="24"/>
          <w:szCs w:val="21"/>
        </w:rPr>
        <w:t>341.4km</w:t>
      </w:r>
      <w:r w:rsidRPr="00FC1444">
        <w:rPr>
          <w:rFonts w:eastAsiaTheme="minorEastAsia"/>
          <w:snapToGrid w:val="0"/>
          <w:sz w:val="24"/>
          <w:szCs w:val="21"/>
          <w:vertAlign w:val="superscript"/>
        </w:rPr>
        <w:t>2</w:t>
      </w:r>
      <w:r w:rsidRPr="00FC1444">
        <w:rPr>
          <w:rFonts w:eastAsiaTheme="minorEastAsia"/>
          <w:snapToGrid w:val="0"/>
          <w:sz w:val="24"/>
          <w:szCs w:val="21"/>
        </w:rPr>
        <w:t>，多年平均径流量为</w:t>
      </w:r>
      <w:r w:rsidRPr="00FC1444">
        <w:rPr>
          <w:rFonts w:eastAsiaTheme="minorEastAsia"/>
          <w:snapToGrid w:val="0"/>
          <w:sz w:val="24"/>
          <w:szCs w:val="21"/>
        </w:rPr>
        <w:t>2987×10</w:t>
      </w:r>
      <w:r w:rsidRPr="00FC1444">
        <w:rPr>
          <w:rFonts w:eastAsiaTheme="minorEastAsia"/>
          <w:snapToGrid w:val="0"/>
          <w:sz w:val="24"/>
          <w:szCs w:val="21"/>
          <w:vertAlign w:val="superscript"/>
        </w:rPr>
        <w:t>4</w:t>
      </w:r>
      <w:r w:rsidRPr="00FC1444">
        <w:rPr>
          <w:rFonts w:eastAsiaTheme="minorEastAsia"/>
          <w:snapToGrid w:val="0"/>
          <w:sz w:val="24"/>
          <w:szCs w:val="21"/>
        </w:rPr>
        <w:t>m</w:t>
      </w:r>
      <w:r w:rsidRPr="00FC1444">
        <w:rPr>
          <w:rFonts w:eastAsiaTheme="minorEastAsia"/>
          <w:snapToGrid w:val="0"/>
          <w:sz w:val="24"/>
          <w:szCs w:val="21"/>
          <w:vertAlign w:val="superscript"/>
        </w:rPr>
        <w:t>3</w:t>
      </w:r>
      <w:r w:rsidRPr="00FC1444">
        <w:rPr>
          <w:rFonts w:eastAsiaTheme="minorEastAsia"/>
          <w:snapToGrid w:val="0"/>
          <w:sz w:val="24"/>
          <w:szCs w:val="21"/>
        </w:rPr>
        <w:t>。</w:t>
      </w:r>
    </w:p>
    <w:p w:rsidR="002A5A5E" w:rsidRPr="00FC1444" w:rsidRDefault="00611CBA" w:rsidP="001A7AD6">
      <w:pPr>
        <w:spacing w:line="360" w:lineRule="auto"/>
        <w:ind w:firstLineChars="200" w:firstLine="480"/>
        <w:contextualSpacing/>
        <w:rPr>
          <w:rFonts w:eastAsiaTheme="minorEastAsia"/>
          <w:snapToGrid w:val="0"/>
          <w:sz w:val="24"/>
          <w:szCs w:val="21"/>
        </w:rPr>
      </w:pPr>
      <w:r w:rsidRPr="00FC1444">
        <w:rPr>
          <w:rFonts w:eastAsiaTheme="minorEastAsia"/>
          <w:snapToGrid w:val="0"/>
          <w:sz w:val="24"/>
          <w:szCs w:val="21"/>
        </w:rPr>
        <w:t>水系图见</w:t>
      </w:r>
      <w:r w:rsidRPr="00FC1444">
        <w:rPr>
          <w:rFonts w:eastAsiaTheme="minorEastAsia"/>
          <w:snapToGrid w:val="0"/>
          <w:sz w:val="24"/>
          <w:szCs w:val="21"/>
        </w:rPr>
        <w:t>4-1-</w:t>
      </w:r>
      <w:r w:rsidR="00F90B8B" w:rsidRPr="00FC1444">
        <w:rPr>
          <w:rFonts w:eastAsiaTheme="minorEastAsia" w:hint="eastAsia"/>
          <w:snapToGrid w:val="0"/>
          <w:sz w:val="24"/>
          <w:szCs w:val="21"/>
        </w:rPr>
        <w:t>1</w:t>
      </w:r>
      <w:r w:rsidRPr="00FC1444">
        <w:rPr>
          <w:rFonts w:eastAsiaTheme="minorEastAsia"/>
          <w:snapToGrid w:val="0"/>
          <w:sz w:val="24"/>
          <w:szCs w:val="21"/>
        </w:rPr>
        <w:t>。</w:t>
      </w:r>
    </w:p>
    <w:p w:rsidR="008C79E2" w:rsidRPr="00FC1444" w:rsidRDefault="000533E0" w:rsidP="008C79E2">
      <w:pPr>
        <w:spacing w:line="360" w:lineRule="auto"/>
        <w:contextualSpacing/>
        <w:rPr>
          <w:rFonts w:eastAsiaTheme="minorEastAsia"/>
          <w:snapToGrid w:val="0"/>
          <w:sz w:val="24"/>
          <w:szCs w:val="21"/>
        </w:rPr>
      </w:pPr>
      <w:r w:rsidRPr="00FC1444">
        <w:rPr>
          <w:rFonts w:eastAsiaTheme="minorEastAsia"/>
          <w:noProof/>
          <w:sz w:val="24"/>
        </w:rPr>
        <w:lastRenderedPageBreak/>
        <w:drawing>
          <wp:inline distT="0" distB="0" distL="0" distR="0">
            <wp:extent cx="5274310" cy="3503089"/>
            <wp:effectExtent l="19050" t="19050" r="21590" b="21161"/>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6"/>
                    <a:srcRect/>
                    <a:stretch>
                      <a:fillRect/>
                    </a:stretch>
                  </pic:blipFill>
                  <pic:spPr bwMode="auto">
                    <a:xfrm>
                      <a:off x="0" y="0"/>
                      <a:ext cx="5274310" cy="3503089"/>
                    </a:xfrm>
                    <a:prstGeom prst="rect">
                      <a:avLst/>
                    </a:prstGeom>
                    <a:noFill/>
                    <a:ln w="9525">
                      <a:solidFill>
                        <a:schemeClr val="tx1"/>
                      </a:solidFill>
                      <a:miter lim="800000"/>
                      <a:headEnd/>
                      <a:tailEnd/>
                    </a:ln>
                  </pic:spPr>
                </pic:pic>
              </a:graphicData>
            </a:graphic>
          </wp:inline>
        </w:drawing>
      </w:r>
    </w:p>
    <w:p w:rsidR="008C79E2" w:rsidRPr="00FC1444" w:rsidRDefault="008C79E2" w:rsidP="008C79E2">
      <w:pPr>
        <w:contextualSpacing/>
        <w:jc w:val="center"/>
        <w:rPr>
          <w:rFonts w:eastAsiaTheme="minorEastAsia"/>
          <w:b/>
          <w:kern w:val="0"/>
          <w:szCs w:val="21"/>
        </w:rPr>
      </w:pPr>
      <w:r w:rsidRPr="00FC1444">
        <w:rPr>
          <w:rFonts w:eastAsiaTheme="minorEastAsia"/>
          <w:b/>
          <w:kern w:val="0"/>
          <w:szCs w:val="21"/>
        </w:rPr>
        <w:t>图</w:t>
      </w:r>
      <w:r w:rsidR="001A7AD6" w:rsidRPr="00FC1444">
        <w:rPr>
          <w:rFonts w:eastAsiaTheme="minorEastAsia"/>
          <w:b/>
          <w:kern w:val="0"/>
          <w:szCs w:val="21"/>
        </w:rPr>
        <w:t>4-1-1</w:t>
      </w:r>
      <w:r w:rsidRPr="00FC1444">
        <w:rPr>
          <w:rFonts w:eastAsiaTheme="minorEastAsia"/>
          <w:b/>
          <w:kern w:val="0"/>
          <w:szCs w:val="21"/>
        </w:rPr>
        <w:t xml:space="preserve"> </w:t>
      </w:r>
      <w:r w:rsidRPr="00FC1444">
        <w:rPr>
          <w:rFonts w:eastAsiaTheme="minorEastAsia"/>
          <w:b/>
          <w:kern w:val="0"/>
          <w:szCs w:val="21"/>
        </w:rPr>
        <w:t>水系图</w:t>
      </w:r>
    </w:p>
    <w:p w:rsidR="002A5A5E" w:rsidRPr="00FC1444" w:rsidRDefault="00611CBA">
      <w:pPr>
        <w:autoSpaceDE w:val="0"/>
        <w:autoSpaceDN w:val="0"/>
        <w:spacing w:before="100" w:beforeAutospacing="1" w:after="100" w:afterAutospacing="1"/>
        <w:outlineLvl w:val="3"/>
        <w:rPr>
          <w:rFonts w:eastAsiaTheme="minorEastAsia"/>
          <w:b/>
          <w:bCs/>
          <w:sz w:val="24"/>
        </w:rPr>
      </w:pPr>
      <w:r w:rsidRPr="00FC1444">
        <w:rPr>
          <w:rFonts w:eastAsiaTheme="minorEastAsia"/>
          <w:b/>
          <w:bCs/>
          <w:sz w:val="24"/>
        </w:rPr>
        <w:t>4.1.4.2</w:t>
      </w:r>
      <w:r w:rsidRPr="00FC1444">
        <w:rPr>
          <w:rFonts w:eastAsiaTheme="minorEastAsia"/>
          <w:b/>
          <w:bCs/>
          <w:sz w:val="24"/>
        </w:rPr>
        <w:t>地下水资源</w:t>
      </w:r>
    </w:p>
    <w:p w:rsidR="002A5A5E" w:rsidRPr="00FC1444" w:rsidRDefault="00611CBA">
      <w:pPr>
        <w:spacing w:line="360" w:lineRule="auto"/>
        <w:ind w:firstLineChars="200" w:firstLine="480"/>
        <w:contextualSpacing/>
        <w:rPr>
          <w:rFonts w:eastAsiaTheme="minorEastAsia"/>
          <w:snapToGrid w:val="0"/>
          <w:sz w:val="24"/>
          <w:szCs w:val="21"/>
        </w:rPr>
      </w:pPr>
      <w:r w:rsidRPr="00FC1444">
        <w:rPr>
          <w:sz w:val="24"/>
        </w:rPr>
        <w:t>《</w:t>
      </w:r>
      <w:r w:rsidR="00AE168C" w:rsidRPr="00FC1444">
        <w:rPr>
          <w:sz w:val="24"/>
        </w:rPr>
        <w:t>北林区</w:t>
      </w:r>
      <w:r w:rsidR="00AE168C" w:rsidRPr="00FC1444">
        <w:rPr>
          <w:sz w:val="24"/>
        </w:rPr>
        <w:t>2026</w:t>
      </w:r>
      <w:r w:rsidR="00AE168C" w:rsidRPr="00FC1444">
        <w:rPr>
          <w:sz w:val="24"/>
        </w:rPr>
        <w:t>年高标准农田建设项目</w:t>
      </w:r>
      <w:r w:rsidRPr="00FC1444">
        <w:rPr>
          <w:sz w:val="24"/>
        </w:rPr>
        <w:t>水资源论证报告书》已通过专家审查。项目范围</w:t>
      </w:r>
      <w:r w:rsidR="005511F0" w:rsidRPr="00FC1444">
        <w:rPr>
          <w:rFonts w:eastAsiaTheme="minorEastAsia"/>
          <w:sz w:val="24"/>
        </w:rPr>
        <w:t>北林</w:t>
      </w:r>
      <w:r w:rsidRPr="00FC1444">
        <w:rPr>
          <w:sz w:val="24"/>
        </w:rPr>
        <w:t>区地下水可开采量为</w:t>
      </w:r>
      <w:r w:rsidR="00555CA4" w:rsidRPr="00FC1444">
        <w:rPr>
          <w:sz w:val="24"/>
        </w:rPr>
        <w:t>31238</w:t>
      </w:r>
      <w:r w:rsidRPr="00FC1444">
        <w:rPr>
          <w:sz w:val="24"/>
        </w:rPr>
        <w:t>×10</w:t>
      </w:r>
      <w:r w:rsidRPr="00FC1444">
        <w:rPr>
          <w:sz w:val="24"/>
          <w:vertAlign w:val="superscript"/>
        </w:rPr>
        <w:t>4</w:t>
      </w:r>
      <w:r w:rsidRPr="00FC1444">
        <w:rPr>
          <w:sz w:val="24"/>
        </w:rPr>
        <w:t>m</w:t>
      </w:r>
      <w:r w:rsidRPr="00FC1444">
        <w:rPr>
          <w:sz w:val="24"/>
          <w:vertAlign w:val="superscript"/>
        </w:rPr>
        <w:t>3</w:t>
      </w:r>
      <w:r w:rsidRPr="00FC1444">
        <w:rPr>
          <w:sz w:val="24"/>
        </w:rPr>
        <w:t>，现状年地下水用水量</w:t>
      </w:r>
      <w:r w:rsidRPr="00FC1444">
        <w:rPr>
          <w:rFonts w:eastAsiaTheme="minorEastAsia"/>
          <w:sz w:val="24"/>
        </w:rPr>
        <w:t>（含现状农民自打井取水）</w:t>
      </w:r>
      <w:r w:rsidR="00555CA4" w:rsidRPr="00FC1444">
        <w:rPr>
          <w:sz w:val="24"/>
        </w:rPr>
        <w:t>14857</w:t>
      </w:r>
      <w:r w:rsidRPr="00FC1444">
        <w:rPr>
          <w:sz w:val="24"/>
        </w:rPr>
        <w:t>×10</w:t>
      </w:r>
      <w:r w:rsidRPr="00FC1444">
        <w:rPr>
          <w:sz w:val="24"/>
          <w:vertAlign w:val="superscript"/>
        </w:rPr>
        <w:t>4</w:t>
      </w:r>
      <w:r w:rsidRPr="00FC1444">
        <w:rPr>
          <w:sz w:val="24"/>
        </w:rPr>
        <w:t>m</w:t>
      </w:r>
      <w:r w:rsidRPr="00FC1444">
        <w:rPr>
          <w:sz w:val="24"/>
          <w:vertAlign w:val="superscript"/>
        </w:rPr>
        <w:t>3</w:t>
      </w:r>
      <w:r w:rsidRPr="00FC1444">
        <w:rPr>
          <w:sz w:val="24"/>
        </w:rPr>
        <w:t>，开发利用程度为</w:t>
      </w:r>
      <w:r w:rsidR="00555CA4" w:rsidRPr="00FC1444">
        <w:rPr>
          <w:sz w:val="24"/>
        </w:rPr>
        <w:t>48</w:t>
      </w:r>
      <w:r w:rsidRPr="00FC1444">
        <w:rPr>
          <w:sz w:val="24"/>
        </w:rPr>
        <w:t>%</w:t>
      </w:r>
      <w:r w:rsidRPr="00FC1444">
        <w:rPr>
          <w:sz w:val="24"/>
        </w:rPr>
        <w:t>，地下水资源具备开发潜力</w:t>
      </w:r>
      <w:r w:rsidRPr="00FC1444">
        <w:rPr>
          <w:rFonts w:eastAsiaTheme="minorEastAsia"/>
          <w:snapToGrid w:val="0"/>
          <w:sz w:val="24"/>
          <w:szCs w:val="21"/>
        </w:rPr>
        <w:t>。</w:t>
      </w:r>
    </w:p>
    <w:p w:rsidR="002A5A5E" w:rsidRPr="00FC1444" w:rsidRDefault="00611CBA">
      <w:pPr>
        <w:pStyle w:val="2fa"/>
        <w:ind w:firstLine="480"/>
        <w:rPr>
          <w:rFonts w:ascii="Times New Roman" w:hAnsi="Times New Roman" w:cs="Times New Roman"/>
          <w:snapToGrid w:val="0"/>
        </w:rPr>
      </w:pPr>
      <w:bookmarkStart w:id="104" w:name="_Toc497861170"/>
      <w:r w:rsidRPr="00FC1444">
        <w:rPr>
          <w:rFonts w:ascii="Times New Roman" w:hAnsi="Times New Roman" w:cs="Times New Roman"/>
          <w:snapToGrid w:val="0"/>
        </w:rPr>
        <w:t>（</w:t>
      </w:r>
      <w:r w:rsidR="00C10A42" w:rsidRPr="00FC1444">
        <w:rPr>
          <w:rFonts w:ascii="Times New Roman" w:hAnsi="Times New Roman" w:cs="Times New Roman"/>
          <w:snapToGrid w:val="0"/>
        </w:rPr>
        <w:t>1</w:t>
      </w:r>
      <w:r w:rsidRPr="00FC1444">
        <w:rPr>
          <w:rFonts w:ascii="Times New Roman" w:hAnsi="Times New Roman" w:cs="Times New Roman"/>
          <w:snapToGrid w:val="0"/>
        </w:rPr>
        <w:t>）区域水文地质条件</w:t>
      </w:r>
    </w:p>
    <w:p w:rsidR="002A5A5E" w:rsidRPr="00FC1444" w:rsidRDefault="009840DD">
      <w:pPr>
        <w:pStyle w:val="2fa"/>
        <w:ind w:firstLine="480"/>
        <w:rPr>
          <w:rFonts w:ascii="Times New Roman" w:hAnsi="Times New Roman" w:cs="Times New Roman"/>
          <w:snapToGrid w:val="0"/>
        </w:rPr>
      </w:pPr>
      <w:r w:rsidRPr="00FC1444">
        <w:rPr>
          <w:rFonts w:ascii="Times New Roman" w:hAnsi="Times New Roman" w:cs="Times New Roman"/>
          <w:snapToGrid w:val="0"/>
        </w:rPr>
        <w:fldChar w:fldCharType="begin"/>
      </w:r>
      <w:r w:rsidR="00250C31" w:rsidRPr="00FC1444">
        <w:rPr>
          <w:rFonts w:ascii="Times New Roman" w:hAnsi="Times New Roman" w:cs="Times New Roman"/>
          <w:snapToGrid w:val="0"/>
        </w:rPr>
        <w:instrText xml:space="preserve"> = 1 \* GB3 </w:instrText>
      </w:r>
      <w:r w:rsidRPr="00FC1444">
        <w:rPr>
          <w:rFonts w:ascii="Times New Roman" w:hAnsi="Times New Roman" w:cs="Times New Roman"/>
          <w:snapToGrid w:val="0"/>
        </w:rPr>
        <w:fldChar w:fldCharType="separate"/>
      </w:r>
      <w:r w:rsidR="00250C31" w:rsidRPr="00FC1444">
        <w:rPr>
          <w:rFonts w:eastAsia="宋体" w:cs="宋体" w:hint="eastAsia"/>
          <w:noProof/>
          <w:snapToGrid w:val="0"/>
        </w:rPr>
        <w:t>①</w:t>
      </w:r>
      <w:r w:rsidRPr="00FC1444">
        <w:rPr>
          <w:rFonts w:ascii="Times New Roman" w:hAnsi="Times New Roman" w:cs="Times New Roman"/>
          <w:snapToGrid w:val="0"/>
        </w:rPr>
        <w:fldChar w:fldCharType="end"/>
      </w:r>
      <w:r w:rsidR="00C10A42" w:rsidRPr="00FC1444">
        <w:rPr>
          <w:rFonts w:ascii="Times New Roman" w:hAnsi="Times New Roman" w:cs="Times New Roman"/>
          <w:snapToGrid w:val="0"/>
        </w:rPr>
        <w:t>第四系全新统、中更新统砂砾石孔隙潜水</w:t>
      </w:r>
    </w:p>
    <w:p w:rsidR="002A5A5E" w:rsidRPr="00FC1444" w:rsidRDefault="00C10A42" w:rsidP="00C10A42">
      <w:pPr>
        <w:pStyle w:val="2fa"/>
        <w:ind w:firstLine="480"/>
        <w:rPr>
          <w:rFonts w:ascii="Times New Roman" w:hAnsi="Times New Roman" w:cs="Times New Roman"/>
          <w:snapToGrid w:val="0"/>
        </w:rPr>
      </w:pPr>
      <w:r w:rsidRPr="00FC1444">
        <w:rPr>
          <w:rFonts w:ascii="Times New Roman" w:hAnsi="Times New Roman" w:cs="Times New Roman"/>
          <w:snapToGrid w:val="0"/>
        </w:rPr>
        <w:t>地下水赋存于泥河漫滩区，由全新统和其下的中更新统下荒山组构成的统一含层中，含水层厚</w:t>
      </w:r>
      <w:r w:rsidRPr="00FC1444">
        <w:rPr>
          <w:rFonts w:ascii="Times New Roman" w:hAnsi="Times New Roman" w:cs="Times New Roman"/>
          <w:snapToGrid w:val="0"/>
        </w:rPr>
        <w:t>5</w:t>
      </w:r>
      <w:r w:rsidRPr="00FC1444">
        <w:rPr>
          <w:rFonts w:ascii="Times New Roman" w:hAnsi="Times New Roman" w:cs="Times New Roman"/>
          <w:snapToGrid w:val="0"/>
        </w:rPr>
        <w:t>～</w:t>
      </w:r>
      <w:r w:rsidRPr="00FC1444">
        <w:rPr>
          <w:rFonts w:ascii="Times New Roman" w:hAnsi="Times New Roman" w:cs="Times New Roman"/>
          <w:snapToGrid w:val="0"/>
        </w:rPr>
        <w:t>20m</w:t>
      </w:r>
      <w:r w:rsidRPr="00FC1444">
        <w:rPr>
          <w:rFonts w:ascii="Times New Roman" w:hAnsi="Times New Roman" w:cs="Times New Roman"/>
          <w:snapToGrid w:val="0"/>
        </w:rPr>
        <w:t>，岩性为含砾中砂、中粗砂、砂砾石层，中间夹</w:t>
      </w:r>
      <w:r w:rsidRPr="00FC1444">
        <w:rPr>
          <w:rFonts w:ascii="Times New Roman" w:hAnsi="Times New Roman" w:cs="Times New Roman"/>
          <w:snapToGrid w:val="0"/>
        </w:rPr>
        <w:t xml:space="preserve"> 1</w:t>
      </w:r>
      <w:r w:rsidRPr="00FC1444">
        <w:rPr>
          <w:rFonts w:ascii="Times New Roman" w:hAnsi="Times New Roman" w:cs="Times New Roman"/>
          <w:snapToGrid w:val="0"/>
        </w:rPr>
        <w:t>～</w:t>
      </w:r>
      <w:r w:rsidRPr="00FC1444">
        <w:rPr>
          <w:rFonts w:ascii="Times New Roman" w:hAnsi="Times New Roman" w:cs="Times New Roman"/>
          <w:snapToGrid w:val="0"/>
        </w:rPr>
        <w:t>2</w:t>
      </w:r>
      <w:r w:rsidRPr="00FC1444">
        <w:rPr>
          <w:rFonts w:ascii="Times New Roman" w:hAnsi="Times New Roman" w:cs="Times New Roman"/>
          <w:snapToGrid w:val="0"/>
        </w:rPr>
        <w:t>层厚度为</w:t>
      </w:r>
      <w:r w:rsidRPr="00FC1444">
        <w:rPr>
          <w:rFonts w:ascii="Times New Roman" w:hAnsi="Times New Roman" w:cs="Times New Roman"/>
          <w:snapToGrid w:val="0"/>
        </w:rPr>
        <w:t>0.5</w:t>
      </w:r>
      <w:r w:rsidRPr="00FC1444">
        <w:rPr>
          <w:rFonts w:ascii="Times New Roman" w:hAnsi="Times New Roman" w:cs="Times New Roman"/>
          <w:snapToGrid w:val="0"/>
        </w:rPr>
        <w:t>～</w:t>
      </w:r>
      <w:r w:rsidRPr="00FC1444">
        <w:rPr>
          <w:rFonts w:ascii="Times New Roman" w:hAnsi="Times New Roman" w:cs="Times New Roman"/>
          <w:snapToGrid w:val="0"/>
        </w:rPr>
        <w:t xml:space="preserve">1m </w:t>
      </w:r>
      <w:r w:rsidRPr="00FC1444">
        <w:rPr>
          <w:rFonts w:ascii="Times New Roman" w:hAnsi="Times New Roman" w:cs="Times New Roman"/>
          <w:snapToGrid w:val="0"/>
        </w:rPr>
        <w:t>的淤泥质粉质粘土薄层或透镜体，上覆</w:t>
      </w:r>
      <w:r w:rsidRPr="00FC1444">
        <w:rPr>
          <w:rFonts w:ascii="Times New Roman" w:hAnsi="Times New Roman" w:cs="Times New Roman"/>
          <w:snapToGrid w:val="0"/>
        </w:rPr>
        <w:t>0.5</w:t>
      </w:r>
      <w:r w:rsidRPr="00FC1444">
        <w:rPr>
          <w:rFonts w:ascii="Times New Roman" w:hAnsi="Times New Roman" w:cs="Times New Roman"/>
          <w:snapToGrid w:val="0"/>
        </w:rPr>
        <w:t>～</w:t>
      </w:r>
      <w:r w:rsidRPr="00FC1444">
        <w:rPr>
          <w:rFonts w:ascii="Times New Roman" w:hAnsi="Times New Roman" w:cs="Times New Roman"/>
          <w:snapToGrid w:val="0"/>
        </w:rPr>
        <w:t xml:space="preserve">5m </w:t>
      </w:r>
      <w:r w:rsidRPr="00FC1444">
        <w:rPr>
          <w:rFonts w:ascii="Times New Roman" w:hAnsi="Times New Roman" w:cs="Times New Roman"/>
          <w:snapToGrid w:val="0"/>
        </w:rPr>
        <w:t>粉质粘土，下伏白垩系泥岩构成连续隔水底板。含水层埋深</w:t>
      </w:r>
      <w:r w:rsidRPr="00FC1444">
        <w:rPr>
          <w:rFonts w:ascii="Times New Roman" w:hAnsi="Times New Roman" w:cs="Times New Roman"/>
          <w:snapToGrid w:val="0"/>
        </w:rPr>
        <w:t>0.5</w:t>
      </w:r>
      <w:r w:rsidRPr="00FC1444">
        <w:rPr>
          <w:rFonts w:ascii="Times New Roman" w:hAnsi="Times New Roman" w:cs="Times New Roman"/>
          <w:snapToGrid w:val="0"/>
        </w:rPr>
        <w:t>～</w:t>
      </w:r>
      <w:r w:rsidRPr="00FC1444">
        <w:rPr>
          <w:rFonts w:ascii="Times New Roman" w:hAnsi="Times New Roman" w:cs="Times New Roman"/>
          <w:snapToGrid w:val="0"/>
        </w:rPr>
        <w:t>5.0m</w:t>
      </w:r>
      <w:r w:rsidRPr="00FC1444">
        <w:rPr>
          <w:rFonts w:ascii="Times New Roman" w:hAnsi="Times New Roman" w:cs="Times New Roman"/>
          <w:snapToGrid w:val="0"/>
        </w:rPr>
        <w:t>，从北向南方向递减，即与波状高平原交接处最厚，越接近泥河越薄，河流岸边地带砂砾石层直接裸露于地表。隔水底板从东南向西北逐渐抬升，使砂砾石含水层厚度逐渐减薄。含水层颗粒成分主要以含砾中粗砂为主，松散，分选较差，磨圆中等，呈灰白色、灰黄色、淡黄褐色；成分砂以石英、长石为主，砾石以中酸性岩浆岩为主。其粒度垂向从上到下、横向从泥河下游向泥河上游有由细到粗的韵律变化</w:t>
      </w:r>
      <w:r w:rsidR="00611CBA" w:rsidRPr="00FC1444">
        <w:rPr>
          <w:rFonts w:ascii="Times New Roman" w:hAnsi="Times New Roman" w:cs="Times New Roman"/>
          <w:snapToGrid w:val="0"/>
        </w:rPr>
        <w:t>。</w:t>
      </w:r>
    </w:p>
    <w:p w:rsidR="00C10A42" w:rsidRPr="00FC1444" w:rsidRDefault="00C10A42" w:rsidP="00C10A42">
      <w:pPr>
        <w:pStyle w:val="2fa"/>
        <w:ind w:firstLine="480"/>
        <w:rPr>
          <w:rFonts w:ascii="Times New Roman" w:hAnsi="Times New Roman" w:cs="Times New Roman"/>
          <w:snapToGrid w:val="0"/>
        </w:rPr>
      </w:pPr>
      <w:r w:rsidRPr="00FC1444">
        <w:rPr>
          <w:rFonts w:ascii="Times New Roman" w:hAnsi="Times New Roman" w:cs="Times New Roman"/>
          <w:snapToGrid w:val="0"/>
        </w:rPr>
        <w:lastRenderedPageBreak/>
        <w:t>地下水水位埋深一般为</w:t>
      </w:r>
      <w:r w:rsidRPr="00FC1444">
        <w:rPr>
          <w:rFonts w:ascii="Times New Roman" w:hAnsi="Times New Roman" w:cs="Times New Roman"/>
          <w:snapToGrid w:val="0"/>
        </w:rPr>
        <w:t>3</w:t>
      </w:r>
      <w:r w:rsidRPr="00FC1444">
        <w:rPr>
          <w:rFonts w:ascii="Times New Roman" w:hAnsi="Times New Roman" w:cs="Times New Roman"/>
          <w:snapToGrid w:val="0"/>
        </w:rPr>
        <w:t>～</w:t>
      </w:r>
      <w:r w:rsidRPr="00FC1444">
        <w:rPr>
          <w:rFonts w:ascii="Times New Roman" w:hAnsi="Times New Roman" w:cs="Times New Roman"/>
          <w:snapToGrid w:val="0"/>
        </w:rPr>
        <w:t>5m</w:t>
      </w:r>
      <w:r w:rsidRPr="00FC1444">
        <w:rPr>
          <w:rFonts w:ascii="Times New Roman" w:hAnsi="Times New Roman" w:cs="Times New Roman"/>
          <w:snapToGrid w:val="0"/>
        </w:rPr>
        <w:t>，水位标高</w:t>
      </w:r>
      <w:r w:rsidRPr="00FC1444">
        <w:rPr>
          <w:rFonts w:ascii="Times New Roman" w:hAnsi="Times New Roman" w:cs="Times New Roman"/>
          <w:snapToGrid w:val="0"/>
        </w:rPr>
        <w:t>142</w:t>
      </w:r>
      <w:r w:rsidRPr="00FC1444">
        <w:rPr>
          <w:rFonts w:ascii="Times New Roman" w:hAnsi="Times New Roman" w:cs="Times New Roman"/>
          <w:snapToGrid w:val="0"/>
        </w:rPr>
        <w:t>～</w:t>
      </w:r>
      <w:r w:rsidRPr="00FC1444">
        <w:rPr>
          <w:rFonts w:ascii="Times New Roman" w:hAnsi="Times New Roman" w:cs="Times New Roman"/>
          <w:snapToGrid w:val="0"/>
        </w:rPr>
        <w:t>145m</w:t>
      </w:r>
      <w:r w:rsidRPr="00FC1444">
        <w:rPr>
          <w:rFonts w:ascii="Times New Roman" w:hAnsi="Times New Roman" w:cs="Times New Roman"/>
          <w:snapToGrid w:val="0"/>
        </w:rPr>
        <w:t>。水位埋深受地势变化控制明显，横向上由漫滩区后缘向泥河方向，水位埋深逐渐变浅，纵向上沿泥河流向水位埋深变化不明显，水位标高则逐渐降低。该区大部分地下水都是潜水，仅漫滩区后缘局部具有微承压性，水头高度</w:t>
      </w:r>
      <w:r w:rsidRPr="00FC1444">
        <w:rPr>
          <w:rFonts w:ascii="Times New Roman" w:hAnsi="Times New Roman" w:cs="Times New Roman"/>
          <w:snapToGrid w:val="0"/>
        </w:rPr>
        <w:t>1</w:t>
      </w:r>
      <w:r w:rsidRPr="00FC1444">
        <w:rPr>
          <w:rFonts w:ascii="Times New Roman" w:hAnsi="Times New Roman" w:cs="Times New Roman"/>
          <w:snapToGrid w:val="0"/>
        </w:rPr>
        <w:t>～</w:t>
      </w:r>
      <w:r w:rsidRPr="00FC1444">
        <w:rPr>
          <w:rFonts w:ascii="Times New Roman" w:hAnsi="Times New Roman" w:cs="Times New Roman"/>
          <w:snapToGrid w:val="0"/>
        </w:rPr>
        <w:t>2m</w:t>
      </w:r>
      <w:r w:rsidRPr="00FC1444">
        <w:rPr>
          <w:rFonts w:ascii="Times New Roman" w:hAnsi="Times New Roman" w:cs="Times New Roman"/>
          <w:snapToGrid w:val="0"/>
        </w:rPr>
        <w:t>。</w:t>
      </w:r>
    </w:p>
    <w:p w:rsidR="002A5A5E" w:rsidRPr="00FC1444" w:rsidRDefault="009840DD" w:rsidP="00C10A42">
      <w:pPr>
        <w:pStyle w:val="2fa"/>
        <w:ind w:firstLine="480"/>
        <w:rPr>
          <w:rFonts w:ascii="Times New Roman" w:hAnsi="Times New Roman" w:cs="Times New Roman"/>
          <w:snapToGrid w:val="0"/>
        </w:rPr>
      </w:pPr>
      <w:r w:rsidRPr="00FC1444">
        <w:rPr>
          <w:rFonts w:ascii="Times New Roman" w:hAnsi="Times New Roman" w:cs="Times New Roman"/>
          <w:snapToGrid w:val="0"/>
        </w:rPr>
        <w:fldChar w:fldCharType="begin"/>
      </w:r>
      <w:r w:rsidR="00250C31" w:rsidRPr="00FC1444">
        <w:rPr>
          <w:rFonts w:ascii="Times New Roman" w:hAnsi="Times New Roman" w:cs="Times New Roman"/>
          <w:snapToGrid w:val="0"/>
        </w:rPr>
        <w:instrText xml:space="preserve"> = 2 \* GB3 </w:instrText>
      </w:r>
      <w:r w:rsidRPr="00FC1444">
        <w:rPr>
          <w:rFonts w:ascii="Times New Roman" w:hAnsi="Times New Roman" w:cs="Times New Roman"/>
          <w:snapToGrid w:val="0"/>
        </w:rPr>
        <w:fldChar w:fldCharType="separate"/>
      </w:r>
      <w:r w:rsidR="00250C31" w:rsidRPr="00FC1444">
        <w:rPr>
          <w:rFonts w:eastAsia="宋体" w:cs="宋体" w:hint="eastAsia"/>
          <w:noProof/>
          <w:snapToGrid w:val="0"/>
        </w:rPr>
        <w:t>②</w:t>
      </w:r>
      <w:r w:rsidRPr="00FC1444">
        <w:rPr>
          <w:rFonts w:ascii="Times New Roman" w:hAnsi="Times New Roman" w:cs="Times New Roman"/>
          <w:snapToGrid w:val="0"/>
        </w:rPr>
        <w:fldChar w:fldCharType="end"/>
      </w:r>
      <w:r w:rsidR="00C10A42" w:rsidRPr="00FC1444">
        <w:rPr>
          <w:rFonts w:ascii="Times New Roman" w:hAnsi="Times New Roman" w:cs="Times New Roman"/>
          <w:snapToGrid w:val="0"/>
        </w:rPr>
        <w:t>第四系中更新统砾砂层孔隙承压水</w:t>
      </w:r>
    </w:p>
    <w:p w:rsidR="002A5A5E" w:rsidRPr="00FC1444" w:rsidRDefault="00C10A42" w:rsidP="00C10A42">
      <w:pPr>
        <w:pStyle w:val="2fa"/>
        <w:ind w:firstLineChars="232" w:firstLine="557"/>
        <w:rPr>
          <w:rFonts w:ascii="Times New Roman" w:hAnsi="Times New Roman" w:cs="Times New Roman"/>
          <w:snapToGrid w:val="0"/>
        </w:rPr>
      </w:pPr>
      <w:r w:rsidRPr="00FC1444">
        <w:rPr>
          <w:rFonts w:ascii="Times New Roman" w:hAnsi="Times New Roman" w:cs="Times New Roman"/>
          <w:snapToGrid w:val="0"/>
        </w:rPr>
        <w:t>赋存于波状高平原区中更新统下荒山组砂、砂砾石层中。含水层厚度</w:t>
      </w:r>
      <w:r w:rsidRPr="00FC1444">
        <w:rPr>
          <w:rFonts w:ascii="Times New Roman" w:hAnsi="Times New Roman" w:cs="Times New Roman"/>
          <w:snapToGrid w:val="0"/>
        </w:rPr>
        <w:t>15</w:t>
      </w:r>
      <w:r w:rsidR="00611CBA" w:rsidRPr="00FC1444">
        <w:rPr>
          <w:rFonts w:ascii="Times New Roman" w:hAnsi="Times New Roman" w:cs="Times New Roman"/>
          <w:snapToGrid w:val="0"/>
        </w:rPr>
        <w:t>～</w:t>
      </w:r>
      <w:r w:rsidRPr="00FC1444">
        <w:rPr>
          <w:rFonts w:ascii="Times New Roman" w:hAnsi="Times New Roman" w:cs="Times New Roman"/>
          <w:snapToGrid w:val="0"/>
        </w:rPr>
        <w:t>37m</w:t>
      </w:r>
      <w:r w:rsidRPr="00FC1444">
        <w:rPr>
          <w:rFonts w:ascii="Times New Roman" w:hAnsi="Times New Roman" w:cs="Times New Roman"/>
          <w:snapToGrid w:val="0"/>
        </w:rPr>
        <w:t>，中间夹</w:t>
      </w:r>
      <w:r w:rsidRPr="00FC1444">
        <w:rPr>
          <w:rFonts w:ascii="Times New Roman" w:hAnsi="Times New Roman" w:cs="Times New Roman"/>
          <w:snapToGrid w:val="0"/>
        </w:rPr>
        <w:t>1</w:t>
      </w:r>
      <w:r w:rsidRPr="00FC1444">
        <w:rPr>
          <w:rFonts w:ascii="Times New Roman" w:hAnsi="Times New Roman" w:cs="Times New Roman"/>
          <w:snapToGrid w:val="0"/>
        </w:rPr>
        <w:t>～</w:t>
      </w:r>
      <w:r w:rsidRPr="00FC1444">
        <w:rPr>
          <w:rFonts w:ascii="Times New Roman" w:hAnsi="Times New Roman" w:cs="Times New Roman"/>
          <w:snapToGrid w:val="0"/>
        </w:rPr>
        <w:t>3</w:t>
      </w:r>
      <w:r w:rsidRPr="00FC1444">
        <w:rPr>
          <w:rFonts w:ascii="Times New Roman" w:hAnsi="Times New Roman" w:cs="Times New Roman"/>
          <w:snapToGrid w:val="0"/>
        </w:rPr>
        <w:t>层淤泥质粉质粘土透镜体，透镜体单层厚度</w:t>
      </w:r>
      <w:r w:rsidRPr="00FC1444">
        <w:rPr>
          <w:rFonts w:ascii="Times New Roman" w:hAnsi="Times New Roman" w:cs="Times New Roman"/>
          <w:snapToGrid w:val="0"/>
        </w:rPr>
        <w:t>0.5</w:t>
      </w:r>
      <w:r w:rsidRPr="00FC1444">
        <w:rPr>
          <w:rFonts w:ascii="Times New Roman" w:hAnsi="Times New Roman" w:cs="Times New Roman"/>
          <w:snapToGrid w:val="0"/>
        </w:rPr>
        <w:t>～</w:t>
      </w:r>
      <w:r w:rsidRPr="00FC1444">
        <w:rPr>
          <w:rFonts w:ascii="Times New Roman" w:hAnsi="Times New Roman" w:cs="Times New Roman"/>
          <w:snapToGrid w:val="0"/>
        </w:rPr>
        <w:t>3m</w:t>
      </w:r>
      <w:r w:rsidRPr="00FC1444">
        <w:rPr>
          <w:rFonts w:ascii="Times New Roman" w:hAnsi="Times New Roman" w:cs="Times New Roman"/>
          <w:snapToGrid w:val="0"/>
        </w:rPr>
        <w:t>。下伏地层为白垩系泥岩，构成连续的隔水底板。含水层厚度主要受基底起伏的控制，评价区内六马架、新立屯一带最厚度</w:t>
      </w:r>
      <w:r w:rsidRPr="00FC1444">
        <w:rPr>
          <w:rFonts w:ascii="Times New Roman" w:hAnsi="Times New Roman" w:cs="Times New Roman"/>
          <w:snapToGrid w:val="0"/>
        </w:rPr>
        <w:t>30</w:t>
      </w:r>
      <w:r w:rsidRPr="00FC1444">
        <w:rPr>
          <w:rFonts w:ascii="Times New Roman" w:hAnsi="Times New Roman" w:cs="Times New Roman"/>
          <w:snapToGrid w:val="0"/>
        </w:rPr>
        <w:t>～</w:t>
      </w:r>
      <w:r w:rsidRPr="00FC1444">
        <w:rPr>
          <w:rFonts w:ascii="Times New Roman" w:hAnsi="Times New Roman" w:cs="Times New Roman"/>
          <w:snapToGrid w:val="0"/>
        </w:rPr>
        <w:t>37m</w:t>
      </w:r>
      <w:r w:rsidRPr="00FC1444">
        <w:rPr>
          <w:rFonts w:ascii="Times New Roman" w:hAnsi="Times New Roman" w:cs="Times New Roman"/>
          <w:snapToGrid w:val="0"/>
        </w:rPr>
        <w:t>，含水层顶板标高较为稳定，为</w:t>
      </w:r>
      <w:r w:rsidRPr="00FC1444">
        <w:rPr>
          <w:rFonts w:ascii="Times New Roman" w:hAnsi="Times New Roman" w:cs="Times New Roman"/>
          <w:snapToGrid w:val="0"/>
        </w:rPr>
        <w:t>131</w:t>
      </w:r>
      <w:r w:rsidRPr="00FC1444">
        <w:rPr>
          <w:rFonts w:ascii="Times New Roman" w:hAnsi="Times New Roman" w:cs="Times New Roman"/>
          <w:snapToGrid w:val="0"/>
        </w:rPr>
        <w:t>～</w:t>
      </w:r>
      <w:r w:rsidRPr="00FC1444">
        <w:rPr>
          <w:rFonts w:ascii="Times New Roman" w:hAnsi="Times New Roman" w:cs="Times New Roman"/>
          <w:snapToGrid w:val="0"/>
        </w:rPr>
        <w:t>139m</w:t>
      </w:r>
      <w:r w:rsidRPr="00FC1444">
        <w:rPr>
          <w:rFonts w:ascii="Times New Roman" w:hAnsi="Times New Roman" w:cs="Times New Roman"/>
          <w:snapToGrid w:val="0"/>
        </w:rPr>
        <w:t>，含水层顶板埋深则变化较大，</w:t>
      </w:r>
      <w:r w:rsidRPr="00FC1444">
        <w:rPr>
          <w:rFonts w:ascii="Times New Roman" w:hAnsi="Times New Roman" w:cs="Times New Roman"/>
          <w:snapToGrid w:val="0"/>
        </w:rPr>
        <w:t>5</w:t>
      </w:r>
      <w:r w:rsidRPr="00FC1444">
        <w:rPr>
          <w:rFonts w:ascii="Times New Roman" w:hAnsi="Times New Roman" w:cs="Times New Roman"/>
          <w:snapToGrid w:val="0"/>
        </w:rPr>
        <w:t>～</w:t>
      </w:r>
      <w:r w:rsidRPr="00FC1444">
        <w:rPr>
          <w:rFonts w:ascii="Times New Roman" w:hAnsi="Times New Roman" w:cs="Times New Roman"/>
          <w:snapToGrid w:val="0"/>
        </w:rPr>
        <w:t xml:space="preserve">50m </w:t>
      </w:r>
      <w:r w:rsidRPr="00FC1444">
        <w:rPr>
          <w:rFonts w:ascii="Times New Roman" w:hAnsi="Times New Roman" w:cs="Times New Roman"/>
          <w:snapToGrid w:val="0"/>
        </w:rPr>
        <w:t>不等，主要是受地形起伏的影响和控制，总的趋势是随着地势逐渐降低，含水层的埋深亦逐渐变浅，即从东向西逐渐变浅。含水层颗粒成分在垂向上自上而下，横向上由东、西向中部均有由细到粗的沉积韵律变化。自上而下岩性一般为中砂、中粗砂、含砾中粗砂、砂砾石、卵砾石。其中中粗砂、含砾中粗砂、砂砾石层厚度</w:t>
      </w:r>
      <w:r w:rsidRPr="00FC1444">
        <w:rPr>
          <w:rFonts w:ascii="Times New Roman" w:hAnsi="Times New Roman" w:cs="Times New Roman"/>
          <w:snapToGrid w:val="0"/>
        </w:rPr>
        <w:t xml:space="preserve"> 5</w:t>
      </w:r>
      <w:r w:rsidRPr="00FC1444">
        <w:rPr>
          <w:rFonts w:ascii="Times New Roman" w:hAnsi="Times New Roman" w:cs="Times New Roman"/>
          <w:snapToGrid w:val="0"/>
        </w:rPr>
        <w:t>～</w:t>
      </w:r>
      <w:r w:rsidRPr="00FC1444">
        <w:rPr>
          <w:rFonts w:ascii="Times New Roman" w:hAnsi="Times New Roman" w:cs="Times New Roman"/>
          <w:snapToGrid w:val="0"/>
        </w:rPr>
        <w:t>30m</w:t>
      </w:r>
      <w:r w:rsidRPr="00FC1444">
        <w:rPr>
          <w:rFonts w:ascii="Times New Roman" w:hAnsi="Times New Roman" w:cs="Times New Roman"/>
          <w:snapToGrid w:val="0"/>
        </w:rPr>
        <w:t>，卵砾石断续分布在中部基底低洼地带，厚度</w:t>
      </w:r>
      <w:r w:rsidRPr="00FC1444">
        <w:rPr>
          <w:rFonts w:ascii="Times New Roman" w:hAnsi="Times New Roman" w:cs="Times New Roman"/>
          <w:snapToGrid w:val="0"/>
        </w:rPr>
        <w:t xml:space="preserve"> 1</w:t>
      </w:r>
      <w:r w:rsidRPr="00FC1444">
        <w:rPr>
          <w:rFonts w:ascii="Times New Roman" w:hAnsi="Times New Roman" w:cs="Times New Roman"/>
          <w:snapToGrid w:val="0"/>
        </w:rPr>
        <w:t>～</w:t>
      </w:r>
      <w:r w:rsidRPr="00FC1444">
        <w:rPr>
          <w:rFonts w:ascii="Times New Roman" w:hAnsi="Times New Roman" w:cs="Times New Roman"/>
          <w:snapToGrid w:val="0"/>
        </w:rPr>
        <w:t>2m</w:t>
      </w:r>
      <w:r w:rsidRPr="00FC1444">
        <w:rPr>
          <w:rFonts w:ascii="Times New Roman" w:hAnsi="Times New Roman" w:cs="Times New Roman"/>
          <w:snapToGrid w:val="0"/>
        </w:rPr>
        <w:t>。灰白色，矿物成分以石英为主。占</w:t>
      </w:r>
      <w:r w:rsidRPr="00FC1444">
        <w:rPr>
          <w:rFonts w:ascii="Times New Roman" w:hAnsi="Times New Roman" w:cs="Times New Roman"/>
          <w:snapToGrid w:val="0"/>
        </w:rPr>
        <w:t>70%</w:t>
      </w:r>
      <w:r w:rsidRPr="00FC1444">
        <w:rPr>
          <w:rFonts w:ascii="Times New Roman" w:hAnsi="Times New Roman" w:cs="Times New Roman"/>
          <w:snapToGrid w:val="0"/>
        </w:rPr>
        <w:t>，</w:t>
      </w:r>
      <w:r w:rsidR="002D2CFD" w:rsidRPr="00FC1444">
        <w:rPr>
          <w:rFonts w:ascii="Times New Roman" w:hAnsi="Times New Roman" w:cs="Times New Roman"/>
          <w:snapToGrid w:val="0"/>
        </w:rPr>
        <w:t>其</w:t>
      </w:r>
      <w:r w:rsidRPr="00FC1444">
        <w:rPr>
          <w:rFonts w:ascii="Times New Roman" w:hAnsi="Times New Roman" w:cs="Times New Roman"/>
          <w:snapToGrid w:val="0"/>
        </w:rPr>
        <w:t>次为长石占</w:t>
      </w:r>
      <w:r w:rsidRPr="00FC1444">
        <w:rPr>
          <w:rFonts w:ascii="Times New Roman" w:hAnsi="Times New Roman" w:cs="Times New Roman"/>
          <w:snapToGrid w:val="0"/>
        </w:rPr>
        <w:t xml:space="preserve"> 20%</w:t>
      </w:r>
      <w:r w:rsidRPr="00FC1444">
        <w:rPr>
          <w:rFonts w:ascii="Times New Roman" w:hAnsi="Times New Roman" w:cs="Times New Roman"/>
          <w:snapToGrid w:val="0"/>
        </w:rPr>
        <w:t>～</w:t>
      </w:r>
      <w:r w:rsidRPr="00FC1444">
        <w:rPr>
          <w:rFonts w:ascii="Times New Roman" w:hAnsi="Times New Roman" w:cs="Times New Roman"/>
          <w:snapToGrid w:val="0"/>
        </w:rPr>
        <w:t>25%</w:t>
      </w:r>
      <w:r w:rsidRPr="00FC1444">
        <w:rPr>
          <w:rFonts w:ascii="Times New Roman" w:hAnsi="Times New Roman" w:cs="Times New Roman"/>
          <w:snapToGrid w:val="0"/>
        </w:rPr>
        <w:t>，并含少量暗色矿物。卵砾石呈杂色，成分以中酸性火山岩为主。砂磨圆较差，次棱角状。卵砾石磨圆程度较高，多呈次圆状，粒径多为</w:t>
      </w:r>
      <w:r w:rsidRPr="00FC1444">
        <w:rPr>
          <w:rFonts w:ascii="Times New Roman" w:hAnsi="Times New Roman" w:cs="Times New Roman"/>
          <w:snapToGrid w:val="0"/>
        </w:rPr>
        <w:t xml:space="preserve"> 2</w:t>
      </w:r>
      <w:r w:rsidRPr="00FC1444">
        <w:rPr>
          <w:rFonts w:ascii="Times New Roman" w:hAnsi="Times New Roman" w:cs="Times New Roman"/>
          <w:snapToGrid w:val="0"/>
        </w:rPr>
        <w:t>～</w:t>
      </w:r>
      <w:r w:rsidRPr="00FC1444">
        <w:rPr>
          <w:rFonts w:ascii="Times New Roman" w:hAnsi="Times New Roman" w:cs="Times New Roman"/>
          <w:snapToGrid w:val="0"/>
        </w:rPr>
        <w:t>4mm</w:t>
      </w:r>
      <w:r w:rsidRPr="00FC1444">
        <w:rPr>
          <w:rFonts w:ascii="Times New Roman" w:hAnsi="Times New Roman" w:cs="Times New Roman"/>
          <w:snapToGrid w:val="0"/>
        </w:rPr>
        <w:t>，卵石直径</w:t>
      </w:r>
      <w:r w:rsidRPr="00FC1444">
        <w:rPr>
          <w:rFonts w:ascii="Times New Roman" w:hAnsi="Times New Roman" w:cs="Times New Roman"/>
          <w:snapToGrid w:val="0"/>
        </w:rPr>
        <w:t>2</w:t>
      </w:r>
      <w:r w:rsidRPr="00FC1444">
        <w:rPr>
          <w:rFonts w:ascii="Times New Roman" w:hAnsi="Times New Roman" w:cs="Times New Roman"/>
          <w:snapToGrid w:val="0"/>
        </w:rPr>
        <w:t>～</w:t>
      </w:r>
      <w:r w:rsidRPr="00FC1444">
        <w:rPr>
          <w:rFonts w:ascii="Times New Roman" w:hAnsi="Times New Roman" w:cs="Times New Roman"/>
          <w:snapToGrid w:val="0"/>
        </w:rPr>
        <w:t>7cm</w:t>
      </w:r>
      <w:r w:rsidRPr="00FC1444">
        <w:rPr>
          <w:rFonts w:ascii="Times New Roman" w:hAnsi="Times New Roman" w:cs="Times New Roman"/>
          <w:snapToGrid w:val="0"/>
        </w:rPr>
        <w:t>。地下水位埋深则受地形起伏影响明显，基本上随地形起伏而变化，地势高埋深大，地势低埋深浅，水位埋深在</w:t>
      </w:r>
      <w:r w:rsidRPr="00FC1444">
        <w:rPr>
          <w:rFonts w:ascii="Times New Roman" w:hAnsi="Times New Roman" w:cs="Times New Roman"/>
          <w:snapToGrid w:val="0"/>
        </w:rPr>
        <w:t>5.0</w:t>
      </w:r>
      <w:r w:rsidRPr="00FC1444">
        <w:rPr>
          <w:rFonts w:ascii="Times New Roman" w:hAnsi="Times New Roman" w:cs="Times New Roman"/>
          <w:snapToGrid w:val="0"/>
        </w:rPr>
        <w:t>～</w:t>
      </w:r>
      <w:r w:rsidRPr="00FC1444">
        <w:rPr>
          <w:rFonts w:ascii="Times New Roman" w:hAnsi="Times New Roman" w:cs="Times New Roman"/>
          <w:snapToGrid w:val="0"/>
        </w:rPr>
        <w:t>12.5m</w:t>
      </w:r>
      <w:r w:rsidRPr="00FC1444">
        <w:rPr>
          <w:rFonts w:ascii="Times New Roman" w:hAnsi="Times New Roman" w:cs="Times New Roman"/>
          <w:snapToGrid w:val="0"/>
        </w:rPr>
        <w:t>，从东到西埋深由深变浅，为评价区内集中供水水源地和分散式饮用水水源地主要供水目的层</w:t>
      </w:r>
      <w:r w:rsidR="00611CBA" w:rsidRPr="00FC1444">
        <w:rPr>
          <w:rFonts w:ascii="Times New Roman" w:hAnsi="Times New Roman" w:cs="Times New Roman"/>
          <w:snapToGrid w:val="0"/>
        </w:rPr>
        <w:t>。</w:t>
      </w:r>
      <w:bookmarkEnd w:id="104"/>
    </w:p>
    <w:p w:rsidR="002A5A5E" w:rsidRPr="00FC1444" w:rsidRDefault="009840DD">
      <w:pPr>
        <w:pStyle w:val="2fa"/>
        <w:ind w:firstLineChars="0" w:firstLine="0"/>
        <w:rPr>
          <w:rFonts w:ascii="Times New Roman" w:hAnsi="Times New Roman" w:cs="Times New Roman"/>
          <w:snapToGrid w:val="0"/>
        </w:rPr>
      </w:pPr>
      <w:r w:rsidRPr="00FC1444">
        <w:rPr>
          <w:rFonts w:ascii="Times New Roman" w:hAnsi="Times New Roman" w:cs="Times New Roman"/>
          <w:noProof/>
        </w:rPr>
        <w:lastRenderedPageBreak/>
        <w:pict>
          <v:shape id="_x0000_s697204" type="#_x0000_t202" style="position:absolute;left:0;text-align:left;margin-left:178.4pt;margin-top:203.45pt;width:62.75pt;height:25.15pt;z-index:251846656" filled="f" stroked="f">
            <v:textbox style="mso-next-textbox:#_x0000_s697204">
              <w:txbxContent>
                <w:p w:rsidR="006F5CC4" w:rsidRPr="00EA5063" w:rsidRDefault="006F5CC4">
                  <w:pPr>
                    <w:rPr>
                      <w:b/>
                      <w:color w:val="00B0F0"/>
                    </w:rPr>
                  </w:pPr>
                  <w:r w:rsidRPr="00EA5063">
                    <w:rPr>
                      <w:b/>
                      <w:color w:val="00B0F0"/>
                    </w:rPr>
                    <w:t>水流方向</w:t>
                  </w:r>
                </w:p>
              </w:txbxContent>
            </v:textbox>
          </v:shape>
        </w:pict>
      </w:r>
      <w:r w:rsidRPr="00FC1444">
        <w:rPr>
          <w:rFonts w:ascii="Times New Roman" w:hAnsi="Times New Roman" w:cs="Times New Roman"/>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697203" type="#_x0000_t13" style="position:absolute;left:0;text-align:left;margin-left:207pt;margin-top:205.4pt;width:51.95pt;height:7.15pt;rotation:16356901fd;z-index:251845632" fillcolor="#00b0f0" strokecolor="#00b0f0"/>
        </w:pict>
      </w:r>
      <w:r w:rsidR="00A37BE0" w:rsidRPr="00FC1444">
        <w:rPr>
          <w:rFonts w:ascii="Times New Roman" w:hAnsi="Times New Roman" w:cs="Times New Roman"/>
          <w:noProof/>
        </w:rPr>
        <w:drawing>
          <wp:inline distT="0" distB="0" distL="0" distR="0">
            <wp:extent cx="5274310" cy="5334039"/>
            <wp:effectExtent l="19050" t="0" r="2540" b="0"/>
            <wp:docPr id="1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a:srcRect/>
                    <a:stretch>
                      <a:fillRect/>
                    </a:stretch>
                  </pic:blipFill>
                  <pic:spPr bwMode="auto">
                    <a:xfrm>
                      <a:off x="0" y="0"/>
                      <a:ext cx="5274310" cy="5334039"/>
                    </a:xfrm>
                    <a:prstGeom prst="rect">
                      <a:avLst/>
                    </a:prstGeom>
                    <a:noFill/>
                    <a:ln w="9525">
                      <a:noFill/>
                      <a:miter lim="800000"/>
                      <a:headEnd/>
                      <a:tailEnd/>
                    </a:ln>
                  </pic:spPr>
                </pic:pic>
              </a:graphicData>
            </a:graphic>
          </wp:inline>
        </w:drawing>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00F90B8B" w:rsidRPr="00FC1444">
        <w:rPr>
          <w:rFonts w:eastAsiaTheme="minorEastAsia"/>
          <w:b/>
          <w:kern w:val="0"/>
          <w:szCs w:val="21"/>
        </w:rPr>
        <w:t>4-1-</w:t>
      </w:r>
      <w:r w:rsidR="00F90B8B" w:rsidRPr="00FC1444">
        <w:rPr>
          <w:rFonts w:eastAsiaTheme="minorEastAsia" w:hint="eastAsia"/>
          <w:b/>
          <w:kern w:val="0"/>
          <w:szCs w:val="21"/>
        </w:rPr>
        <w:t>2</w:t>
      </w:r>
      <w:r w:rsidRPr="00FC1444">
        <w:rPr>
          <w:rFonts w:eastAsiaTheme="minorEastAsia"/>
          <w:b/>
          <w:kern w:val="0"/>
          <w:szCs w:val="21"/>
        </w:rPr>
        <w:t>区域水文地质图</w:t>
      </w:r>
      <w:bookmarkStart w:id="105" w:name="_Toc497861171"/>
    </w:p>
    <w:bookmarkEnd w:id="105"/>
    <w:p w:rsidR="002A5A5E" w:rsidRPr="00FC1444" w:rsidRDefault="00611CBA">
      <w:pPr>
        <w:pStyle w:val="2fa"/>
        <w:ind w:firstLine="480"/>
        <w:rPr>
          <w:rFonts w:ascii="Times New Roman" w:hAnsi="Times New Roman" w:cs="Times New Roman"/>
          <w:snapToGrid w:val="0"/>
        </w:rPr>
      </w:pPr>
      <w:r w:rsidRPr="00FC1444">
        <w:rPr>
          <w:rFonts w:ascii="Times New Roman" w:hAnsi="Times New Roman" w:cs="Times New Roman"/>
          <w:snapToGrid w:val="0"/>
        </w:rPr>
        <w:t>（</w:t>
      </w:r>
      <w:r w:rsidR="00C10A42" w:rsidRPr="00FC1444">
        <w:rPr>
          <w:rFonts w:ascii="Times New Roman" w:hAnsi="Times New Roman" w:cs="Times New Roman"/>
          <w:snapToGrid w:val="0"/>
        </w:rPr>
        <w:t>2</w:t>
      </w:r>
      <w:r w:rsidRPr="00FC1444">
        <w:rPr>
          <w:rFonts w:ascii="Times New Roman" w:hAnsi="Times New Roman" w:cs="Times New Roman"/>
          <w:snapToGrid w:val="0"/>
        </w:rPr>
        <w:t>）地下水的补给、径流与排泄条件</w:t>
      </w:r>
    </w:p>
    <w:p w:rsidR="00C10A42" w:rsidRPr="00FC1444" w:rsidRDefault="00C10A42" w:rsidP="00C10A42">
      <w:pPr>
        <w:pStyle w:val="2fa"/>
        <w:ind w:firstLine="480"/>
        <w:rPr>
          <w:rFonts w:ascii="Times New Roman" w:hAnsi="Times New Roman" w:cs="Times New Roman"/>
          <w:snapToGrid w:val="0"/>
        </w:rPr>
      </w:pPr>
      <w:r w:rsidRPr="00FC1444">
        <w:rPr>
          <w:rFonts w:eastAsia="宋体" w:cs="宋体" w:hint="eastAsia"/>
          <w:snapToGrid w:val="0"/>
        </w:rPr>
        <w:t>①</w:t>
      </w:r>
      <w:r w:rsidRPr="00FC1444">
        <w:rPr>
          <w:rFonts w:ascii="Times New Roman" w:hAnsi="Times New Roman" w:cs="Times New Roman"/>
          <w:snapToGrid w:val="0"/>
        </w:rPr>
        <w:t>第四系全新统、中更新统砂砾石孔隙潜水</w:t>
      </w:r>
    </w:p>
    <w:p w:rsidR="00C10A42" w:rsidRPr="00FC1444" w:rsidRDefault="00C10A42" w:rsidP="00C10A42">
      <w:pPr>
        <w:pStyle w:val="2fa"/>
        <w:ind w:firstLine="480"/>
        <w:rPr>
          <w:rFonts w:ascii="Times New Roman" w:hAnsi="Times New Roman" w:cs="Times New Roman"/>
          <w:snapToGrid w:val="0"/>
        </w:rPr>
      </w:pPr>
      <w:r w:rsidRPr="00FC1444">
        <w:rPr>
          <w:rFonts w:ascii="Times New Roman" w:hAnsi="Times New Roman" w:cs="Times New Roman"/>
          <w:snapToGrid w:val="0"/>
        </w:rPr>
        <w:t>漫滩区第四系孔隙潜水含水层埋藏浅，覆盖层较薄，局部直接裸露于地表，补给条件优越。补给来源为大气降水渗入补给及上游侧向径流补给。地下水以侧向径流、人工开采和蒸发方式排泄。其侧向径流排泄途径较为复杂，一是向下游排泄，二是高水位时向高平原区承压水和河流排泄。人工开采主要为每年</w:t>
      </w:r>
      <w:r w:rsidRPr="00FC1444">
        <w:rPr>
          <w:rFonts w:ascii="Times New Roman" w:hAnsi="Times New Roman" w:cs="Times New Roman"/>
          <w:snapToGrid w:val="0"/>
        </w:rPr>
        <w:t>5</w:t>
      </w:r>
      <w:r w:rsidRPr="00FC1444">
        <w:rPr>
          <w:rFonts w:ascii="Times New Roman" w:hAnsi="Times New Roman" w:cs="Times New Roman"/>
          <w:snapToGrid w:val="0"/>
        </w:rPr>
        <w:t>～</w:t>
      </w:r>
      <w:r w:rsidRPr="00FC1444">
        <w:rPr>
          <w:rFonts w:ascii="Times New Roman" w:hAnsi="Times New Roman" w:cs="Times New Roman"/>
          <w:snapToGrid w:val="0"/>
        </w:rPr>
        <w:t>7</w:t>
      </w:r>
      <w:r w:rsidRPr="00FC1444">
        <w:rPr>
          <w:rFonts w:ascii="Times New Roman" w:hAnsi="Times New Roman" w:cs="Times New Roman"/>
          <w:snapToGrid w:val="0"/>
        </w:rPr>
        <w:t>月份抽水灌溉稻田，开采量不大。</w:t>
      </w:r>
    </w:p>
    <w:p w:rsidR="00C10A42" w:rsidRPr="00FC1444" w:rsidRDefault="00C10A42" w:rsidP="00C10A42">
      <w:pPr>
        <w:pStyle w:val="2fa"/>
        <w:ind w:firstLine="480"/>
        <w:rPr>
          <w:rFonts w:ascii="Times New Roman" w:hAnsi="Times New Roman" w:cs="Times New Roman"/>
          <w:snapToGrid w:val="0"/>
        </w:rPr>
      </w:pPr>
      <w:r w:rsidRPr="00FC1444">
        <w:rPr>
          <w:rFonts w:ascii="Times New Roman" w:hAnsi="Times New Roman" w:cs="Times New Roman"/>
          <w:snapToGrid w:val="0"/>
        </w:rPr>
        <w:t>漫滩区孔隙潜水补给条件优越，补给来源充沛，补给路途短，排泄畅通，径流循环交替强烈。根据水位统测资料表明，潜水流向由东向西，下游稍偏向南，水力坡度</w:t>
      </w:r>
      <w:r w:rsidRPr="00FC1444">
        <w:rPr>
          <w:rFonts w:ascii="Times New Roman" w:hAnsi="Times New Roman" w:cs="Times New Roman"/>
          <w:snapToGrid w:val="0"/>
        </w:rPr>
        <w:t xml:space="preserve"> 0.</w:t>
      </w:r>
      <w:r w:rsidR="006F5CC4" w:rsidRPr="00FC1444">
        <w:rPr>
          <w:rFonts w:ascii="Times New Roman" w:hAnsi="Times New Roman" w:cs="Times New Roman" w:hint="eastAsia"/>
          <w:snapToGrid w:val="0"/>
        </w:rPr>
        <w:t>61</w:t>
      </w:r>
      <w:r w:rsidRPr="00FC1444">
        <w:rPr>
          <w:rFonts w:ascii="Times New Roman" w:hAnsi="Times New Roman" w:cs="Times New Roman"/>
          <w:snapToGrid w:val="0"/>
        </w:rPr>
        <w:t>‰</w:t>
      </w:r>
      <w:r w:rsidRPr="00FC1444">
        <w:rPr>
          <w:rFonts w:ascii="Times New Roman" w:hAnsi="Times New Roman" w:cs="Times New Roman"/>
          <w:snapToGrid w:val="0"/>
        </w:rPr>
        <w:t>。</w:t>
      </w:r>
    </w:p>
    <w:p w:rsidR="002A5A5E" w:rsidRPr="00FC1444" w:rsidRDefault="00C10A42" w:rsidP="00C10A42">
      <w:pPr>
        <w:pStyle w:val="2fa"/>
        <w:ind w:firstLine="480"/>
        <w:rPr>
          <w:rFonts w:ascii="Times New Roman" w:hAnsi="Times New Roman" w:cs="Times New Roman"/>
          <w:snapToGrid w:val="0"/>
        </w:rPr>
      </w:pPr>
      <w:r w:rsidRPr="00FC1444">
        <w:rPr>
          <w:rFonts w:ascii="Times New Roman" w:hAnsi="Times New Roman" w:cs="Times New Roman"/>
          <w:snapToGrid w:val="0"/>
        </w:rPr>
        <w:t>地下水长观资料显示，漫滩区潜水正常年份的丰水期在</w:t>
      </w:r>
      <w:r w:rsidRPr="00FC1444">
        <w:rPr>
          <w:rFonts w:ascii="Times New Roman" w:hAnsi="Times New Roman" w:cs="Times New Roman"/>
          <w:snapToGrid w:val="0"/>
        </w:rPr>
        <w:t>8</w:t>
      </w:r>
      <w:r w:rsidRPr="00FC1444">
        <w:rPr>
          <w:rFonts w:ascii="Times New Roman" w:hAnsi="Times New Roman" w:cs="Times New Roman"/>
          <w:snapToGrid w:val="0"/>
        </w:rPr>
        <w:t>～</w:t>
      </w:r>
      <w:r w:rsidRPr="00FC1444">
        <w:rPr>
          <w:rFonts w:ascii="Times New Roman" w:hAnsi="Times New Roman" w:cs="Times New Roman"/>
          <w:snapToGrid w:val="0"/>
        </w:rPr>
        <w:t>9</w:t>
      </w:r>
      <w:r w:rsidRPr="00FC1444">
        <w:rPr>
          <w:rFonts w:ascii="Times New Roman" w:hAnsi="Times New Roman" w:cs="Times New Roman"/>
          <w:snapToGrid w:val="0"/>
        </w:rPr>
        <w:t>月，枯水期在</w:t>
      </w:r>
      <w:r w:rsidRPr="00FC1444">
        <w:rPr>
          <w:rFonts w:ascii="Times New Roman" w:hAnsi="Times New Roman" w:cs="Times New Roman"/>
          <w:snapToGrid w:val="0"/>
        </w:rPr>
        <w:lastRenderedPageBreak/>
        <w:t>来年的</w:t>
      </w:r>
      <w:r w:rsidRPr="00FC1444">
        <w:rPr>
          <w:rFonts w:ascii="Times New Roman" w:hAnsi="Times New Roman" w:cs="Times New Roman"/>
          <w:snapToGrid w:val="0"/>
        </w:rPr>
        <w:t xml:space="preserve"> 1</w:t>
      </w:r>
      <w:r w:rsidRPr="00FC1444">
        <w:rPr>
          <w:rFonts w:ascii="Times New Roman" w:hAnsi="Times New Roman" w:cs="Times New Roman"/>
          <w:snapToGrid w:val="0"/>
        </w:rPr>
        <w:t>～</w:t>
      </w:r>
      <w:r w:rsidR="0046658C" w:rsidRPr="00FC1444">
        <w:rPr>
          <w:rFonts w:ascii="Times New Roman" w:hAnsi="Times New Roman" w:cs="Times New Roman"/>
          <w:snapToGrid w:val="0"/>
        </w:rPr>
        <w:t>4</w:t>
      </w:r>
      <w:r w:rsidRPr="00FC1444">
        <w:rPr>
          <w:rFonts w:ascii="Times New Roman" w:hAnsi="Times New Roman" w:cs="Times New Roman"/>
          <w:snapToGrid w:val="0"/>
        </w:rPr>
        <w:t>月。潜水位直接受大气降水和河水影响，雨后水位迅速上升，汛期更为明显。岸边地带受河水位变化影响更明显，水位变化同步于河水变化，随距离增大其变化略滞后于河水位的变化。水位年变幅</w:t>
      </w:r>
      <w:r w:rsidRPr="00FC1444">
        <w:rPr>
          <w:rFonts w:ascii="Times New Roman" w:hAnsi="Times New Roman" w:cs="Times New Roman"/>
          <w:snapToGrid w:val="0"/>
        </w:rPr>
        <w:t>1.0</w:t>
      </w:r>
      <w:r w:rsidRPr="00FC1444">
        <w:rPr>
          <w:rFonts w:ascii="Times New Roman" w:hAnsi="Times New Roman" w:cs="Times New Roman"/>
          <w:snapToGrid w:val="0"/>
        </w:rPr>
        <w:t>～</w:t>
      </w:r>
      <w:r w:rsidRPr="00FC1444">
        <w:rPr>
          <w:rFonts w:ascii="Times New Roman" w:hAnsi="Times New Roman" w:cs="Times New Roman"/>
          <w:snapToGrid w:val="0"/>
        </w:rPr>
        <w:t>1.5m</w:t>
      </w:r>
      <w:r w:rsidRPr="00FC1444">
        <w:rPr>
          <w:rFonts w:ascii="Times New Roman" w:hAnsi="Times New Roman" w:cs="Times New Roman"/>
          <w:snapToGrid w:val="0"/>
        </w:rPr>
        <w:t>。</w:t>
      </w:r>
    </w:p>
    <w:p w:rsidR="00C10A42" w:rsidRPr="00FC1444" w:rsidRDefault="00C10A42" w:rsidP="00C10A42">
      <w:pPr>
        <w:pStyle w:val="2fa"/>
        <w:ind w:firstLine="480"/>
        <w:rPr>
          <w:rFonts w:ascii="Times New Roman" w:hAnsi="Times New Roman" w:cs="Times New Roman"/>
          <w:snapToGrid w:val="0"/>
        </w:rPr>
      </w:pPr>
      <w:r w:rsidRPr="00FC1444">
        <w:rPr>
          <w:rFonts w:eastAsia="宋体" w:cs="宋体" w:hint="eastAsia"/>
          <w:snapToGrid w:val="0"/>
        </w:rPr>
        <w:t>②</w:t>
      </w:r>
      <w:r w:rsidRPr="00FC1444">
        <w:rPr>
          <w:rFonts w:ascii="Times New Roman" w:hAnsi="Times New Roman" w:cs="Times New Roman"/>
          <w:snapToGrid w:val="0"/>
        </w:rPr>
        <w:t>第四系中更新统砾砂层孔隙承压水</w:t>
      </w:r>
    </w:p>
    <w:p w:rsidR="002A5A5E" w:rsidRPr="00FC1444" w:rsidRDefault="00C10A42" w:rsidP="00C10A42">
      <w:pPr>
        <w:pStyle w:val="2fa"/>
        <w:ind w:firstLine="480"/>
        <w:rPr>
          <w:rFonts w:ascii="Times New Roman" w:hAnsi="Times New Roman" w:cs="Times New Roman"/>
          <w:snapToGrid w:val="0"/>
        </w:rPr>
      </w:pPr>
      <w:r w:rsidRPr="00FC1444">
        <w:rPr>
          <w:rFonts w:ascii="Times New Roman" w:hAnsi="Times New Roman" w:cs="Times New Roman"/>
          <w:snapToGrid w:val="0"/>
        </w:rPr>
        <w:t>承压水补给来源主要为大气降水补给或黄土状粉质黏土层裂隙水的径流补给，上游区地下水的侧向径流补给和漫滩区潜水的侧向径流补给。承压水的运移方向是由东偏北向西偏南方向运移，水力坡度在</w:t>
      </w:r>
      <w:r w:rsidRPr="00FC1444">
        <w:rPr>
          <w:rFonts w:ascii="Times New Roman" w:hAnsi="Times New Roman" w:cs="Times New Roman"/>
          <w:snapToGrid w:val="0"/>
        </w:rPr>
        <w:t>0.3‰</w:t>
      </w:r>
      <w:r w:rsidRPr="00FC1444">
        <w:rPr>
          <w:rFonts w:ascii="Times New Roman" w:hAnsi="Times New Roman" w:cs="Times New Roman"/>
          <w:snapToGrid w:val="0"/>
        </w:rPr>
        <w:t>左右。波状高平原第四系承压水埋藏较深，与上层微裂隙孔隙潜水存在水力联系，由于承压含水层上覆粉质粘土层厚度大而透水性差，承压水水位动态变化受降雨因素影响较小，同时来自漫滩潜水区的补给也相对缓慢，这样就使承压水水位变化滞后于上层潜水和漫滩区潜水水位变化较长时间，正常年份</w:t>
      </w:r>
      <w:r w:rsidRPr="00FC1444">
        <w:rPr>
          <w:rFonts w:ascii="Times New Roman" w:hAnsi="Times New Roman" w:cs="Times New Roman"/>
          <w:snapToGrid w:val="0"/>
        </w:rPr>
        <w:t>1</w:t>
      </w:r>
      <w:r w:rsidRPr="00FC1444">
        <w:rPr>
          <w:rFonts w:ascii="Times New Roman" w:hAnsi="Times New Roman" w:cs="Times New Roman"/>
          <w:snapToGrid w:val="0"/>
        </w:rPr>
        <w:t>月到</w:t>
      </w:r>
      <w:r w:rsidRPr="00FC1444">
        <w:rPr>
          <w:rFonts w:ascii="Times New Roman" w:hAnsi="Times New Roman" w:cs="Times New Roman"/>
          <w:snapToGrid w:val="0"/>
        </w:rPr>
        <w:t>2</w:t>
      </w:r>
      <w:r w:rsidRPr="00FC1444">
        <w:rPr>
          <w:rFonts w:ascii="Times New Roman" w:hAnsi="Times New Roman" w:cs="Times New Roman"/>
          <w:snapToGrid w:val="0"/>
        </w:rPr>
        <w:t>月份水位持续下降，到</w:t>
      </w:r>
      <w:r w:rsidRPr="00FC1444">
        <w:rPr>
          <w:rFonts w:ascii="Times New Roman" w:hAnsi="Times New Roman" w:cs="Times New Roman"/>
          <w:snapToGrid w:val="0"/>
        </w:rPr>
        <w:t>4</w:t>
      </w:r>
      <w:r w:rsidRPr="00FC1444">
        <w:rPr>
          <w:rFonts w:ascii="Times New Roman" w:hAnsi="Times New Roman" w:cs="Times New Roman"/>
          <w:snapToGrid w:val="0"/>
        </w:rPr>
        <w:t>月末水位降到最低，进入</w:t>
      </w:r>
      <w:r w:rsidRPr="00FC1444">
        <w:rPr>
          <w:rFonts w:ascii="Times New Roman" w:hAnsi="Times New Roman" w:cs="Times New Roman"/>
          <w:snapToGrid w:val="0"/>
        </w:rPr>
        <w:t>7</w:t>
      </w:r>
      <w:r w:rsidRPr="00FC1444">
        <w:rPr>
          <w:rFonts w:ascii="Times New Roman" w:hAnsi="Times New Roman" w:cs="Times New Roman"/>
          <w:snapToGrid w:val="0"/>
        </w:rPr>
        <w:t>月水位开始回升，一般在</w:t>
      </w:r>
      <w:r w:rsidRPr="00FC1444">
        <w:rPr>
          <w:rFonts w:ascii="Times New Roman" w:hAnsi="Times New Roman" w:cs="Times New Roman"/>
          <w:snapToGrid w:val="0"/>
        </w:rPr>
        <w:t xml:space="preserve"> 9</w:t>
      </w:r>
      <w:r w:rsidRPr="00FC1444">
        <w:rPr>
          <w:rFonts w:ascii="Times New Roman" w:hAnsi="Times New Roman" w:cs="Times New Roman"/>
          <w:snapToGrid w:val="0"/>
        </w:rPr>
        <w:t>～</w:t>
      </w:r>
      <w:r w:rsidRPr="00FC1444">
        <w:rPr>
          <w:rFonts w:ascii="Times New Roman" w:hAnsi="Times New Roman" w:cs="Times New Roman"/>
          <w:snapToGrid w:val="0"/>
        </w:rPr>
        <w:t>10</w:t>
      </w:r>
      <w:r w:rsidRPr="00FC1444">
        <w:rPr>
          <w:rFonts w:ascii="Times New Roman" w:hAnsi="Times New Roman" w:cs="Times New Roman"/>
          <w:snapToGrid w:val="0"/>
        </w:rPr>
        <w:t>月达到最高，水位变幅一般</w:t>
      </w:r>
      <w:r w:rsidRPr="00FC1444">
        <w:rPr>
          <w:rFonts w:ascii="Times New Roman" w:hAnsi="Times New Roman" w:cs="Times New Roman"/>
          <w:snapToGrid w:val="0"/>
        </w:rPr>
        <w:t>0.5</w:t>
      </w:r>
      <w:r w:rsidRPr="00FC1444">
        <w:rPr>
          <w:rFonts w:ascii="Times New Roman" w:hAnsi="Times New Roman" w:cs="Times New Roman"/>
          <w:snapToGrid w:val="0"/>
        </w:rPr>
        <w:t>～</w:t>
      </w:r>
      <w:r w:rsidRPr="00FC1444">
        <w:rPr>
          <w:rFonts w:ascii="Times New Roman" w:hAnsi="Times New Roman" w:cs="Times New Roman"/>
          <w:snapToGrid w:val="0"/>
        </w:rPr>
        <w:t>1m</w:t>
      </w:r>
      <w:r w:rsidRPr="00FC1444">
        <w:rPr>
          <w:rFonts w:ascii="Times New Roman" w:hAnsi="Times New Roman" w:cs="Times New Roman"/>
          <w:snapToGrid w:val="0"/>
        </w:rPr>
        <w:t>，与漫滩区潜水的动态变化基本一致</w:t>
      </w:r>
      <w:r w:rsidR="00611CBA" w:rsidRPr="00FC1444">
        <w:rPr>
          <w:rFonts w:ascii="Times New Roman" w:hAnsi="Times New Roman" w:cs="Times New Roman"/>
          <w:snapToGrid w:val="0"/>
        </w:rPr>
        <w:t>。</w:t>
      </w:r>
    </w:p>
    <w:p w:rsidR="002A5A5E" w:rsidRPr="00FC1444" w:rsidRDefault="00233E8C" w:rsidP="00233E8C">
      <w:pPr>
        <w:pStyle w:val="2fa"/>
        <w:ind w:firstLine="480"/>
        <w:rPr>
          <w:rFonts w:ascii="Times New Roman" w:hAnsi="Times New Roman" w:cs="Times New Roman"/>
          <w:snapToGrid w:val="0"/>
        </w:rPr>
      </w:pPr>
      <w:r w:rsidRPr="00FC1444">
        <w:rPr>
          <w:rFonts w:ascii="Times New Roman" w:hAnsi="Times New Roman" w:cs="Times New Roman"/>
          <w:snapToGrid w:val="0"/>
        </w:rPr>
        <w:t>项目区地下水含水组岩性类型为高平原下更新统冲洪积、冲湖积砂砾石含水岩组、高平原中更新统冲洪积冲潮租业粘土、砂、砂砾石含水岩组。地下水类型为第四系松散岩类孔隙潜水，含水层厚</w:t>
      </w:r>
      <w:r w:rsidRPr="00FC1444">
        <w:rPr>
          <w:rFonts w:ascii="Times New Roman" w:hAnsi="Times New Roman" w:cs="Times New Roman"/>
          <w:snapToGrid w:val="0"/>
        </w:rPr>
        <w:t>5</w:t>
      </w:r>
      <w:r w:rsidRPr="00FC1444">
        <w:rPr>
          <w:rFonts w:ascii="Times New Roman" w:hAnsi="Times New Roman" w:cs="Times New Roman"/>
          <w:snapToGrid w:val="0"/>
        </w:rPr>
        <w:t>～</w:t>
      </w:r>
      <w:r w:rsidRPr="00FC1444">
        <w:rPr>
          <w:rFonts w:ascii="Times New Roman" w:hAnsi="Times New Roman" w:cs="Times New Roman"/>
          <w:snapToGrid w:val="0"/>
        </w:rPr>
        <w:t>35m</w:t>
      </w:r>
      <w:r w:rsidRPr="00FC1444">
        <w:rPr>
          <w:rFonts w:ascii="Times New Roman" w:hAnsi="Times New Roman" w:cs="Times New Roman"/>
          <w:snapToGrid w:val="0"/>
        </w:rPr>
        <w:t>，局部达</w:t>
      </w:r>
      <w:r w:rsidRPr="00FC1444">
        <w:rPr>
          <w:rFonts w:ascii="Times New Roman" w:hAnsi="Times New Roman" w:cs="Times New Roman"/>
          <w:snapToGrid w:val="0"/>
        </w:rPr>
        <w:t>39m</w:t>
      </w:r>
      <w:r w:rsidRPr="00FC1444">
        <w:rPr>
          <w:rFonts w:ascii="Times New Roman" w:hAnsi="Times New Roman" w:cs="Times New Roman"/>
          <w:snapToGrid w:val="0"/>
        </w:rPr>
        <w:t>，水位埋深</w:t>
      </w:r>
      <w:r w:rsidRPr="00FC1444">
        <w:rPr>
          <w:rFonts w:ascii="Times New Roman" w:hAnsi="Times New Roman" w:cs="Times New Roman"/>
          <w:snapToGrid w:val="0"/>
        </w:rPr>
        <w:t>3.28</w:t>
      </w:r>
      <w:r w:rsidRPr="00FC1444">
        <w:rPr>
          <w:rFonts w:ascii="Times New Roman" w:hAnsi="Times New Roman" w:cs="Times New Roman"/>
          <w:snapToGrid w:val="0"/>
        </w:rPr>
        <w:t>～</w:t>
      </w:r>
      <w:r w:rsidRPr="00FC1444">
        <w:rPr>
          <w:rFonts w:ascii="Times New Roman" w:hAnsi="Times New Roman" w:cs="Times New Roman"/>
          <w:snapToGrid w:val="0"/>
        </w:rPr>
        <w:t>27m</w:t>
      </w:r>
      <w:r w:rsidRPr="00FC1444">
        <w:rPr>
          <w:rFonts w:ascii="Times New Roman" w:hAnsi="Times New Roman" w:cs="Times New Roman"/>
          <w:snapToGrid w:val="0"/>
        </w:rPr>
        <w:t>。</w:t>
      </w:r>
      <w:r w:rsidR="00BD4A92" w:rsidRPr="00FC1444">
        <w:rPr>
          <w:rFonts w:ascii="Times New Roman" w:hAnsi="Times New Roman" w:cs="Times New Roman"/>
          <w:snapToGrid w:val="0"/>
        </w:rPr>
        <w:t>项目砂砾石含水层连续分布，透水性强，补给较充沛，径流通畅，循环交替较强烈，水质总体较好，水化学类型以</w:t>
      </w:r>
      <w:r w:rsidR="006F5CC4" w:rsidRPr="00FC1444">
        <w:rPr>
          <w:rFonts w:ascii="Times New Roman" w:hAnsi="Times New Roman" w:cs="Times New Roman"/>
          <w:snapToGrid w:val="0"/>
        </w:rPr>
        <w:t>HCO</w:t>
      </w:r>
      <w:r w:rsidR="006F5CC4" w:rsidRPr="00FC1444">
        <w:rPr>
          <w:rFonts w:ascii="Times New Roman" w:hAnsi="Times New Roman" w:cs="Times New Roman"/>
          <w:snapToGrid w:val="0"/>
          <w:vertAlign w:val="subscript"/>
        </w:rPr>
        <w:t>3</w:t>
      </w:r>
      <w:r w:rsidR="006F5CC4" w:rsidRPr="00FC1444">
        <w:rPr>
          <w:rFonts w:ascii="Times New Roman" w:hAnsi="Times New Roman" w:cs="Times New Roman"/>
          <w:snapToGrid w:val="0"/>
          <w:vertAlign w:val="superscript"/>
        </w:rPr>
        <w:t>-</w:t>
      </w:r>
      <w:r w:rsidR="006F5CC4" w:rsidRPr="00FC1444">
        <w:rPr>
          <w:rFonts w:ascii="Times New Roman" w:hAnsi="Times New Roman" w:cs="Times New Roman"/>
          <w:snapToGrid w:val="0"/>
        </w:rPr>
        <w:t>-SO</w:t>
      </w:r>
      <w:r w:rsidR="006F5CC4" w:rsidRPr="00FC1444">
        <w:rPr>
          <w:rFonts w:ascii="Times New Roman" w:hAnsi="Times New Roman" w:cs="Times New Roman"/>
          <w:snapToGrid w:val="0"/>
          <w:vertAlign w:val="subscript"/>
        </w:rPr>
        <w:t>4</w:t>
      </w:r>
      <w:r w:rsidR="006F5CC4" w:rsidRPr="00FC1444">
        <w:rPr>
          <w:rFonts w:ascii="Times New Roman" w:hAnsi="Times New Roman" w:cs="Times New Roman"/>
          <w:snapToGrid w:val="0"/>
          <w:vertAlign w:val="superscript"/>
        </w:rPr>
        <w:t>2--</w:t>
      </w:r>
      <w:r w:rsidR="006F5CC4" w:rsidRPr="00FC1444">
        <w:rPr>
          <w:rFonts w:ascii="Times New Roman" w:hAnsi="Times New Roman" w:cs="Times New Roman"/>
          <w:snapToGrid w:val="0"/>
        </w:rPr>
        <w:t xml:space="preserve"> Cl</w:t>
      </w:r>
      <w:r w:rsidR="006F5CC4" w:rsidRPr="00FC1444">
        <w:rPr>
          <w:rFonts w:ascii="Times New Roman" w:hAnsi="Times New Roman" w:cs="Times New Roman"/>
          <w:snapToGrid w:val="0"/>
          <w:vertAlign w:val="superscript"/>
        </w:rPr>
        <w:t>-</w:t>
      </w:r>
      <w:r w:rsidR="006F5CC4" w:rsidRPr="00FC1444">
        <w:rPr>
          <w:rFonts w:ascii="Times New Roman" w:hAnsi="Times New Roman" w:cs="Times New Roman"/>
          <w:snapToGrid w:val="0"/>
        </w:rPr>
        <w:t>-Ca</w:t>
      </w:r>
      <w:r w:rsidR="006F5CC4" w:rsidRPr="00FC1444">
        <w:rPr>
          <w:rFonts w:ascii="Times New Roman" w:hAnsi="Times New Roman" w:cs="Times New Roman"/>
          <w:snapToGrid w:val="0"/>
          <w:vertAlign w:val="superscript"/>
        </w:rPr>
        <w:t>2+</w:t>
      </w:r>
      <w:r w:rsidR="006F5CC4" w:rsidRPr="00FC1444">
        <w:rPr>
          <w:rFonts w:ascii="Times New Roman" w:hAnsi="Times New Roman" w:cs="Times New Roman"/>
          <w:snapToGrid w:val="0"/>
        </w:rPr>
        <w:t>型水</w:t>
      </w:r>
      <w:r w:rsidR="00BD4A92" w:rsidRPr="00FC1444">
        <w:rPr>
          <w:rFonts w:ascii="Times New Roman" w:hAnsi="Times New Roman" w:cs="Times New Roman"/>
          <w:snapToGrid w:val="0"/>
        </w:rPr>
        <w:t>、</w:t>
      </w:r>
      <w:r w:rsidR="006F5CC4" w:rsidRPr="00FC1444">
        <w:rPr>
          <w:rFonts w:ascii="Times New Roman" w:hAnsi="Times New Roman" w:cs="Times New Roman"/>
          <w:snapToGrid w:val="0"/>
        </w:rPr>
        <w:t>HCO</w:t>
      </w:r>
      <w:r w:rsidR="006F5CC4" w:rsidRPr="00FC1444">
        <w:rPr>
          <w:rFonts w:ascii="Times New Roman" w:hAnsi="Times New Roman" w:cs="Times New Roman"/>
          <w:snapToGrid w:val="0"/>
          <w:vertAlign w:val="subscript"/>
        </w:rPr>
        <w:t>3</w:t>
      </w:r>
      <w:r w:rsidR="006F5CC4" w:rsidRPr="00FC1444">
        <w:rPr>
          <w:rFonts w:ascii="Times New Roman" w:hAnsi="Times New Roman" w:cs="Times New Roman"/>
          <w:snapToGrid w:val="0"/>
          <w:vertAlign w:val="superscript"/>
        </w:rPr>
        <w:t>-</w:t>
      </w:r>
      <w:r w:rsidR="006F5CC4" w:rsidRPr="00FC1444">
        <w:rPr>
          <w:rFonts w:ascii="Times New Roman" w:hAnsi="Times New Roman" w:cs="Times New Roman"/>
          <w:snapToGrid w:val="0"/>
        </w:rPr>
        <w:t>-Ca</w:t>
      </w:r>
      <w:r w:rsidR="006F5CC4" w:rsidRPr="00FC1444">
        <w:rPr>
          <w:rFonts w:ascii="Times New Roman" w:hAnsi="Times New Roman" w:cs="Times New Roman"/>
          <w:snapToGrid w:val="0"/>
          <w:vertAlign w:val="superscript"/>
        </w:rPr>
        <w:t>2+</w:t>
      </w:r>
      <w:r w:rsidR="006F5CC4" w:rsidRPr="00FC1444">
        <w:rPr>
          <w:rFonts w:ascii="Times New Roman" w:hAnsi="Times New Roman" w:cs="Times New Roman"/>
          <w:snapToGrid w:val="0"/>
        </w:rPr>
        <w:t>型水、</w:t>
      </w:r>
      <w:r w:rsidR="006F5CC4" w:rsidRPr="00FC1444">
        <w:rPr>
          <w:rFonts w:ascii="Times New Roman" w:hAnsi="Times New Roman" w:cs="Times New Roman"/>
          <w:snapToGrid w:val="0"/>
        </w:rPr>
        <w:t>SO</w:t>
      </w:r>
      <w:r w:rsidR="006F5CC4" w:rsidRPr="00FC1444">
        <w:rPr>
          <w:rFonts w:ascii="Times New Roman" w:hAnsi="Times New Roman" w:cs="Times New Roman"/>
          <w:snapToGrid w:val="0"/>
          <w:vertAlign w:val="subscript"/>
        </w:rPr>
        <w:t>4</w:t>
      </w:r>
      <w:r w:rsidR="006F5CC4" w:rsidRPr="00FC1444">
        <w:rPr>
          <w:rFonts w:ascii="Times New Roman" w:hAnsi="Times New Roman" w:cs="Times New Roman"/>
          <w:snapToGrid w:val="0"/>
          <w:vertAlign w:val="superscript"/>
        </w:rPr>
        <w:t>2-</w:t>
      </w:r>
      <w:r w:rsidR="006F5CC4" w:rsidRPr="00FC1444">
        <w:rPr>
          <w:rFonts w:ascii="Times New Roman" w:hAnsi="Times New Roman" w:cs="Times New Roman"/>
          <w:snapToGrid w:val="0"/>
        </w:rPr>
        <w:t>- Ca</w:t>
      </w:r>
      <w:r w:rsidR="006F5CC4" w:rsidRPr="00FC1444">
        <w:rPr>
          <w:rFonts w:ascii="Times New Roman" w:hAnsi="Times New Roman" w:cs="Times New Roman"/>
          <w:snapToGrid w:val="0"/>
          <w:vertAlign w:val="superscript"/>
        </w:rPr>
        <w:t>2+</w:t>
      </w:r>
      <w:r w:rsidR="006F5CC4" w:rsidRPr="00FC1444">
        <w:rPr>
          <w:rFonts w:ascii="Times New Roman" w:hAnsi="Times New Roman" w:cs="Times New Roman"/>
          <w:snapToGrid w:val="0"/>
        </w:rPr>
        <w:t>型水</w:t>
      </w:r>
      <w:r w:rsidR="00BD4A92" w:rsidRPr="00FC1444">
        <w:rPr>
          <w:rFonts w:ascii="Times New Roman" w:hAnsi="Times New Roman" w:cs="Times New Roman"/>
          <w:snapToGrid w:val="0"/>
        </w:rPr>
        <w:t>为主，矿化度低，属中性、偏弱碱性水，矿化度</w:t>
      </w:r>
      <w:r w:rsidR="006F5CC4" w:rsidRPr="00FC1444">
        <w:rPr>
          <w:rFonts w:ascii="Times New Roman" w:hAnsi="Times New Roman" w:cs="Times New Roman"/>
          <w:snapToGrid w:val="0"/>
        </w:rPr>
        <w:t>0.</w:t>
      </w:r>
      <w:r w:rsidR="006F5CC4" w:rsidRPr="00FC1444">
        <w:rPr>
          <w:rFonts w:ascii="Times New Roman" w:hAnsi="Times New Roman" w:cs="Times New Roman" w:hint="eastAsia"/>
          <w:snapToGrid w:val="0"/>
        </w:rPr>
        <w:t>27</w:t>
      </w:r>
      <w:r w:rsidR="006F5CC4" w:rsidRPr="00FC1444">
        <w:rPr>
          <w:rFonts w:ascii="Times New Roman" w:hAnsi="Times New Roman" w:cs="Times New Roman"/>
          <w:snapToGrid w:val="0"/>
        </w:rPr>
        <w:t>-0.</w:t>
      </w:r>
      <w:r w:rsidR="006F5CC4" w:rsidRPr="00FC1444">
        <w:rPr>
          <w:rFonts w:ascii="Times New Roman" w:hAnsi="Times New Roman" w:cs="Times New Roman" w:hint="eastAsia"/>
          <w:snapToGrid w:val="0"/>
        </w:rPr>
        <w:t>4</w:t>
      </w:r>
      <w:r w:rsidR="00BD4A92" w:rsidRPr="00FC1444">
        <w:rPr>
          <w:rFonts w:ascii="Times New Roman" w:hAnsi="Times New Roman" w:cs="Times New Roman"/>
          <w:snapToGrid w:val="0"/>
        </w:rPr>
        <w:t>g/L</w:t>
      </w:r>
      <w:r w:rsidR="00BD4A92" w:rsidRPr="00FC1444">
        <w:rPr>
          <w:rFonts w:ascii="Times New Roman" w:hAnsi="Times New Roman" w:cs="Times New Roman"/>
          <w:snapToGrid w:val="0"/>
        </w:rPr>
        <w:t>，属低矿化度淡水</w:t>
      </w:r>
      <w:r w:rsidR="00611CBA" w:rsidRPr="00FC1444">
        <w:rPr>
          <w:rFonts w:ascii="Times New Roman" w:hAnsi="Times New Roman" w:cs="Times New Roman"/>
          <w:snapToGrid w:val="0"/>
        </w:rPr>
        <w:t>。</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4.1.5</w:t>
      </w:r>
      <w:r w:rsidRPr="00FC1444">
        <w:rPr>
          <w:rFonts w:eastAsiaTheme="minorEastAsia"/>
          <w:b/>
          <w:sz w:val="28"/>
          <w:szCs w:val="28"/>
        </w:rPr>
        <w:t>土壤</w:t>
      </w:r>
      <w:bookmarkEnd w:id="103"/>
    </w:p>
    <w:p w:rsidR="002A5A5E" w:rsidRPr="00FC1444" w:rsidRDefault="001A7AD6" w:rsidP="001A7AD6">
      <w:pPr>
        <w:pStyle w:val="2fa"/>
        <w:ind w:firstLine="480"/>
        <w:rPr>
          <w:rFonts w:ascii="Times New Roman" w:hAnsi="Times New Roman" w:cs="Times New Roman"/>
        </w:rPr>
      </w:pPr>
      <w:r w:rsidRPr="00FC1444">
        <w:rPr>
          <w:rFonts w:ascii="Times New Roman" w:hAnsi="Times New Roman" w:cs="Times New Roman"/>
        </w:rPr>
        <w:t>项目区土壤主要为</w:t>
      </w:r>
      <w:r w:rsidR="00F90B8B" w:rsidRPr="00FC1444">
        <w:rPr>
          <w:rFonts w:ascii="Times New Roman" w:hAnsi="Times New Roman" w:cs="Times New Roman"/>
        </w:rPr>
        <w:t>普通黑土、普通潜育土、潜育水稻土</w:t>
      </w:r>
      <w:r w:rsidRPr="00FC1444">
        <w:rPr>
          <w:rFonts w:ascii="Times New Roman" w:hAnsi="Times New Roman" w:cs="Times New Roman"/>
        </w:rPr>
        <w:t>。有效土层厚度</w:t>
      </w:r>
      <w:r w:rsidRPr="00FC1444">
        <w:rPr>
          <w:rFonts w:ascii="Times New Roman" w:hAnsi="Times New Roman" w:cs="Times New Roman"/>
        </w:rPr>
        <w:t>30~60cm</w:t>
      </w:r>
      <w:r w:rsidRPr="00FC1444">
        <w:rPr>
          <w:rFonts w:ascii="Times New Roman" w:hAnsi="Times New Roman" w:cs="Times New Roman"/>
        </w:rPr>
        <w:t>，腐殖质含量为</w:t>
      </w:r>
      <w:r w:rsidRPr="00FC1444">
        <w:rPr>
          <w:rFonts w:ascii="Times New Roman" w:hAnsi="Times New Roman" w:cs="Times New Roman"/>
        </w:rPr>
        <w:t>2.14</w:t>
      </w:r>
      <w:r w:rsidRPr="00FC1444">
        <w:rPr>
          <w:rFonts w:ascii="Times New Roman" w:hAnsi="Times New Roman" w:cs="Times New Roman"/>
        </w:rPr>
        <w:t>～</w:t>
      </w:r>
      <w:r w:rsidRPr="00FC1444">
        <w:rPr>
          <w:rFonts w:ascii="Times New Roman" w:hAnsi="Times New Roman" w:cs="Times New Roman"/>
        </w:rPr>
        <w:t>2.17%</w:t>
      </w:r>
      <w:r w:rsidRPr="00FC1444">
        <w:rPr>
          <w:rFonts w:ascii="Times New Roman" w:hAnsi="Times New Roman" w:cs="Times New Roman"/>
        </w:rPr>
        <w:t>，土壤类型比较单一，土质较好，养分含量较高，适宜农耕</w:t>
      </w:r>
      <w:r w:rsidR="00611CBA" w:rsidRPr="00FC1444">
        <w:rPr>
          <w:rFonts w:ascii="Times New Roman" w:hAnsi="Times New Roman" w:cs="Times New Roman"/>
        </w:rPr>
        <w:t>。</w:t>
      </w:r>
    </w:p>
    <w:p w:rsidR="001A7AD6" w:rsidRPr="00FC1444" w:rsidRDefault="001A7AD6" w:rsidP="001A7AD6">
      <w:pPr>
        <w:pStyle w:val="2fa"/>
        <w:ind w:firstLine="480"/>
        <w:rPr>
          <w:rFonts w:ascii="Times New Roman" w:hAnsi="Times New Roman" w:cs="Times New Roman"/>
        </w:rPr>
      </w:pPr>
      <w:r w:rsidRPr="00FC1444">
        <w:rPr>
          <w:rFonts w:ascii="Times New Roman" w:hAnsi="Times New Roman" w:cs="Times New Roman"/>
        </w:rPr>
        <w:t>黑土面积</w:t>
      </w:r>
      <w:r w:rsidRPr="00FC1444">
        <w:rPr>
          <w:rFonts w:ascii="Times New Roman" w:hAnsi="Times New Roman" w:cs="Times New Roman"/>
        </w:rPr>
        <w:t>70%</w:t>
      </w:r>
      <w:r w:rsidRPr="00FC1444">
        <w:rPr>
          <w:rFonts w:ascii="Times New Roman" w:hAnsi="Times New Roman" w:cs="Times New Roman"/>
        </w:rPr>
        <w:t>，黑钙土面积占</w:t>
      </w:r>
      <w:r w:rsidRPr="00FC1444">
        <w:rPr>
          <w:rFonts w:ascii="Times New Roman" w:hAnsi="Times New Roman" w:cs="Times New Roman"/>
        </w:rPr>
        <w:t>15%</w:t>
      </w:r>
      <w:r w:rsidRPr="00FC1444">
        <w:rPr>
          <w:rFonts w:ascii="Times New Roman" w:hAnsi="Times New Roman" w:cs="Times New Roman"/>
        </w:rPr>
        <w:t>，草甸土面积占</w:t>
      </w:r>
      <w:r w:rsidRPr="00FC1444">
        <w:rPr>
          <w:rFonts w:ascii="Times New Roman" w:hAnsi="Times New Roman" w:cs="Times New Roman"/>
        </w:rPr>
        <w:t>10%</w:t>
      </w:r>
      <w:r w:rsidRPr="00FC1444">
        <w:rPr>
          <w:rFonts w:ascii="Times New Roman" w:hAnsi="Times New Roman" w:cs="Times New Roman"/>
        </w:rPr>
        <w:t>。其他土类占</w:t>
      </w:r>
      <w:r w:rsidRPr="00FC1444">
        <w:rPr>
          <w:rFonts w:ascii="Times New Roman" w:hAnsi="Times New Roman" w:cs="Times New Roman"/>
        </w:rPr>
        <w:t>5%</w:t>
      </w:r>
      <w:r w:rsidRPr="00FC1444">
        <w:rPr>
          <w:rFonts w:ascii="Times New Roman" w:hAnsi="Times New Roman" w:cs="Times New Roman"/>
        </w:rPr>
        <w:t>。耕层土壤养分状况：土壤有机质平均</w:t>
      </w:r>
      <w:r w:rsidRPr="00FC1444">
        <w:rPr>
          <w:rFonts w:ascii="Times New Roman" w:hAnsi="Times New Roman" w:cs="Times New Roman"/>
        </w:rPr>
        <w:t>4.18%</w:t>
      </w:r>
      <w:r w:rsidRPr="00FC1444">
        <w:rPr>
          <w:rFonts w:ascii="Times New Roman" w:hAnsi="Times New Roman" w:cs="Times New Roman"/>
        </w:rPr>
        <w:t>，全氮平</w:t>
      </w:r>
      <w:r w:rsidRPr="00FC1444">
        <w:rPr>
          <w:rFonts w:ascii="Times New Roman" w:hAnsi="Times New Roman" w:cs="Times New Roman"/>
        </w:rPr>
        <w:t>0.20%</w:t>
      </w:r>
      <w:r w:rsidRPr="00FC1444">
        <w:rPr>
          <w:rFonts w:ascii="Times New Roman" w:hAnsi="Times New Roman" w:cs="Times New Roman"/>
        </w:rPr>
        <w:t>，速度效磷平均</w:t>
      </w:r>
      <w:r w:rsidRPr="00FC1444">
        <w:rPr>
          <w:rFonts w:ascii="Times New Roman" w:hAnsi="Times New Roman" w:cs="Times New Roman"/>
        </w:rPr>
        <w:t>42.4ppm</w:t>
      </w:r>
      <w:r w:rsidRPr="00FC1444">
        <w:rPr>
          <w:rFonts w:ascii="Times New Roman" w:hAnsi="Times New Roman" w:cs="Times New Roman"/>
        </w:rPr>
        <w:t>，速度钾平均</w:t>
      </w:r>
      <w:r w:rsidRPr="00FC1444">
        <w:rPr>
          <w:rFonts w:ascii="Times New Roman" w:hAnsi="Times New Roman" w:cs="Times New Roman"/>
        </w:rPr>
        <w:t xml:space="preserve"> 227ppm</w:t>
      </w:r>
      <w:r w:rsidRPr="00FC1444">
        <w:rPr>
          <w:rFonts w:ascii="Times New Roman" w:hAnsi="Times New Roman" w:cs="Times New Roman"/>
        </w:rPr>
        <w:t>。耕层土壤物理状况：容重</w:t>
      </w:r>
      <w:r w:rsidRPr="00FC1444">
        <w:rPr>
          <w:rFonts w:ascii="Times New Roman" w:hAnsi="Times New Roman" w:cs="Times New Roman"/>
        </w:rPr>
        <w:t>1.1-1.2</w:t>
      </w:r>
      <w:r w:rsidRPr="00FC1444">
        <w:rPr>
          <w:rFonts w:ascii="Times New Roman" w:hAnsi="Times New Roman" w:cs="Times New Roman"/>
        </w:rPr>
        <w:t>克</w:t>
      </w:r>
      <w:r w:rsidRPr="00FC1444">
        <w:rPr>
          <w:rFonts w:ascii="Times New Roman" w:hAnsi="Times New Roman" w:cs="Times New Roman"/>
        </w:rPr>
        <w:t>/</w:t>
      </w:r>
      <w:r w:rsidRPr="00FC1444">
        <w:rPr>
          <w:rFonts w:ascii="Times New Roman" w:hAnsi="Times New Roman" w:cs="Times New Roman"/>
        </w:rPr>
        <w:t>立方厘米，总孔隙度</w:t>
      </w:r>
      <w:r w:rsidRPr="00FC1444">
        <w:rPr>
          <w:rFonts w:ascii="Times New Roman" w:hAnsi="Times New Roman" w:cs="Times New Roman"/>
        </w:rPr>
        <w:t>50</w:t>
      </w:r>
      <w:r w:rsidRPr="00FC1444">
        <w:rPr>
          <w:rFonts w:ascii="Times New Roman" w:hAnsi="Times New Roman" w:cs="Times New Roman"/>
        </w:rPr>
        <w:t>～</w:t>
      </w:r>
      <w:r w:rsidRPr="00FC1444">
        <w:rPr>
          <w:rFonts w:ascii="Times New Roman" w:hAnsi="Times New Roman" w:cs="Times New Roman"/>
        </w:rPr>
        <w:t>54%</w:t>
      </w:r>
      <w:r w:rsidRPr="00FC1444">
        <w:rPr>
          <w:rFonts w:ascii="Times New Roman" w:hAnsi="Times New Roman" w:cs="Times New Roman"/>
        </w:rPr>
        <w:t>。田间持水量：</w:t>
      </w:r>
      <w:r w:rsidRPr="00FC1444">
        <w:rPr>
          <w:rFonts w:ascii="Times New Roman" w:hAnsi="Times New Roman" w:cs="Times New Roman"/>
        </w:rPr>
        <w:t>30</w:t>
      </w:r>
      <w:r w:rsidRPr="00FC1444">
        <w:rPr>
          <w:rFonts w:ascii="Times New Roman" w:hAnsi="Times New Roman" w:cs="Times New Roman"/>
        </w:rPr>
        <w:t>～</w:t>
      </w:r>
      <w:r w:rsidRPr="00FC1444">
        <w:rPr>
          <w:rFonts w:ascii="Times New Roman" w:hAnsi="Times New Roman" w:cs="Times New Roman"/>
        </w:rPr>
        <w:t>40%</w:t>
      </w:r>
      <w:r w:rsidRPr="00FC1444">
        <w:rPr>
          <w:rFonts w:ascii="Times New Roman" w:hAnsi="Times New Roman" w:cs="Times New Roman"/>
        </w:rPr>
        <w:t>，毛管孔隙度：</w:t>
      </w:r>
      <w:r w:rsidRPr="00FC1444">
        <w:rPr>
          <w:rFonts w:ascii="Times New Roman" w:hAnsi="Times New Roman" w:cs="Times New Roman"/>
        </w:rPr>
        <w:t>40</w:t>
      </w:r>
      <w:r w:rsidRPr="00FC1444">
        <w:rPr>
          <w:rFonts w:ascii="Times New Roman" w:hAnsi="Times New Roman" w:cs="Times New Roman"/>
        </w:rPr>
        <w:t>～</w:t>
      </w:r>
      <w:r w:rsidRPr="00FC1444">
        <w:rPr>
          <w:rFonts w:ascii="Times New Roman" w:hAnsi="Times New Roman" w:cs="Times New Roman"/>
        </w:rPr>
        <w:t>50%</w:t>
      </w:r>
      <w:r w:rsidRPr="00FC1444">
        <w:rPr>
          <w:rFonts w:ascii="Times New Roman" w:hAnsi="Times New Roman" w:cs="Times New Roman"/>
        </w:rPr>
        <w:t>，通气孔隙：</w:t>
      </w:r>
      <w:r w:rsidRPr="00FC1444">
        <w:rPr>
          <w:rFonts w:ascii="Times New Roman" w:hAnsi="Times New Roman" w:cs="Times New Roman"/>
        </w:rPr>
        <w:t>4</w:t>
      </w:r>
      <w:r w:rsidRPr="00FC1444">
        <w:rPr>
          <w:rFonts w:ascii="Times New Roman" w:hAnsi="Times New Roman" w:cs="Times New Roman"/>
        </w:rPr>
        <w:t>～</w:t>
      </w:r>
      <w:r w:rsidRPr="00FC1444">
        <w:rPr>
          <w:rFonts w:ascii="Times New Roman" w:hAnsi="Times New Roman" w:cs="Times New Roman"/>
        </w:rPr>
        <w:t>8%</w:t>
      </w:r>
      <w:r w:rsidRPr="00FC1444">
        <w:rPr>
          <w:rFonts w:ascii="Times New Roman" w:hAnsi="Times New Roman" w:cs="Times New Roman"/>
        </w:rPr>
        <w:t>，</w:t>
      </w:r>
      <w:r w:rsidRPr="00FC1444">
        <w:rPr>
          <w:rFonts w:ascii="Times New Roman" w:hAnsi="Times New Roman" w:cs="Times New Roman"/>
        </w:rPr>
        <w:lastRenderedPageBreak/>
        <w:t>土壤质地：中壤</w:t>
      </w:r>
      <w:r w:rsidRPr="00FC1444">
        <w:rPr>
          <w:rFonts w:ascii="Times New Roman" w:hAnsi="Times New Roman" w:cs="Times New Roman"/>
        </w:rPr>
        <w:t>—</w:t>
      </w:r>
      <w:r w:rsidRPr="00FC1444">
        <w:rPr>
          <w:rFonts w:ascii="Times New Roman" w:hAnsi="Times New Roman" w:cs="Times New Roman"/>
        </w:rPr>
        <w:t>轻壤。</w:t>
      </w:r>
      <w:r w:rsidRPr="00FC1444">
        <w:rPr>
          <w:rFonts w:ascii="Times New Roman" w:hAnsi="Times New Roman" w:cs="Times New Roman"/>
        </w:rPr>
        <w:t>pH</w:t>
      </w:r>
      <w:r w:rsidRPr="00FC1444">
        <w:rPr>
          <w:rFonts w:ascii="Times New Roman" w:hAnsi="Times New Roman" w:cs="Times New Roman"/>
        </w:rPr>
        <w:t>值</w:t>
      </w:r>
      <w:r w:rsidRPr="00FC1444">
        <w:rPr>
          <w:rFonts w:ascii="Times New Roman" w:hAnsi="Times New Roman" w:cs="Times New Roman"/>
        </w:rPr>
        <w:t>6</w:t>
      </w:r>
      <w:r w:rsidRPr="00FC1444">
        <w:rPr>
          <w:rFonts w:ascii="Times New Roman" w:hAnsi="Times New Roman" w:cs="Times New Roman"/>
        </w:rPr>
        <w:t>～</w:t>
      </w:r>
      <w:r w:rsidRPr="00FC1444">
        <w:rPr>
          <w:rFonts w:ascii="Times New Roman" w:hAnsi="Times New Roman" w:cs="Times New Roman"/>
        </w:rPr>
        <w:t>8</w:t>
      </w:r>
      <w:r w:rsidRPr="00FC1444">
        <w:rPr>
          <w:rFonts w:ascii="Times New Roman" w:hAnsi="Times New Roman" w:cs="Times New Roman"/>
        </w:rPr>
        <w:t>，土壤肥沃，完全可以满足一年一熟作物生长发育需求。</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4.1.</w:t>
      </w:r>
      <w:r w:rsidR="000E00D5" w:rsidRPr="00FC1444">
        <w:rPr>
          <w:rFonts w:eastAsiaTheme="minorEastAsia"/>
          <w:b/>
          <w:sz w:val="28"/>
          <w:szCs w:val="28"/>
        </w:rPr>
        <w:t>6</w:t>
      </w:r>
      <w:r w:rsidRPr="00FC1444">
        <w:rPr>
          <w:rFonts w:eastAsiaTheme="minorEastAsia"/>
          <w:b/>
          <w:sz w:val="28"/>
          <w:szCs w:val="28"/>
        </w:rPr>
        <w:t>生态环境</w:t>
      </w:r>
    </w:p>
    <w:p w:rsidR="002A5A5E" w:rsidRPr="00FC1444" w:rsidRDefault="00611CBA">
      <w:pPr>
        <w:pStyle w:val="2fa"/>
        <w:ind w:firstLine="480"/>
        <w:rPr>
          <w:rFonts w:ascii="Times New Roman" w:hAnsi="Times New Roman" w:cs="Times New Roman"/>
          <w:bCs/>
          <w:szCs w:val="24"/>
        </w:rPr>
      </w:pPr>
      <w:r w:rsidRPr="00FC1444">
        <w:rPr>
          <w:rFonts w:ascii="Times New Roman" w:hAnsi="Times New Roman" w:cs="Times New Roman"/>
        </w:rPr>
        <w:t>由于多年的开发活动，本区自然生态环境已为人工生态环境所取代。长期的精耕细作，形成了本区良好的农业生态环境，区内土地肥沃，植被主要以水稻、玉米、大豆等粮食作物为主，其他农作物主要为蔬菜。此外，道路、河道两旁及房前屋后栽种的各种绿化或经济林木也有效地改善了生态环境质量。本区陆生动物除了人工饲养的牛、猪、鸡、兔、羊之外，还有少量的野生动物，包括鸟、鼠、蛙、昆虫等，但已无大型野生哺乳动物。</w:t>
      </w: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06" w:name="_Toc208906238"/>
      <w:r w:rsidRPr="00FC1444">
        <w:rPr>
          <w:rFonts w:eastAsiaTheme="minorEastAsia"/>
          <w:b/>
          <w:bCs/>
          <w:kern w:val="44"/>
          <w:sz w:val="30"/>
          <w:szCs w:val="30"/>
        </w:rPr>
        <w:t>4.2</w:t>
      </w:r>
      <w:r w:rsidRPr="00FC1444">
        <w:rPr>
          <w:rFonts w:eastAsiaTheme="minorEastAsia"/>
          <w:b/>
          <w:bCs/>
          <w:kern w:val="44"/>
          <w:sz w:val="30"/>
          <w:szCs w:val="30"/>
        </w:rPr>
        <w:t>环境质量现状调查</w:t>
      </w:r>
      <w:bookmarkEnd w:id="106"/>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4.2.1</w:t>
      </w:r>
      <w:r w:rsidRPr="00FC1444">
        <w:rPr>
          <w:rFonts w:eastAsiaTheme="minorEastAsia"/>
          <w:b/>
          <w:sz w:val="28"/>
          <w:szCs w:val="28"/>
        </w:rPr>
        <w:t>环境空气质量现状评价</w:t>
      </w:r>
    </w:p>
    <w:p w:rsidR="002A5A5E" w:rsidRPr="00FC1444" w:rsidRDefault="00611CBA">
      <w:pPr>
        <w:autoSpaceDE w:val="0"/>
        <w:autoSpaceDN w:val="0"/>
        <w:spacing w:before="100" w:beforeAutospacing="1" w:after="100" w:afterAutospacing="1"/>
        <w:outlineLvl w:val="3"/>
        <w:rPr>
          <w:rFonts w:eastAsiaTheme="minorEastAsia"/>
          <w:b/>
          <w:bCs/>
          <w:sz w:val="24"/>
        </w:rPr>
      </w:pPr>
      <w:r w:rsidRPr="00FC1444">
        <w:rPr>
          <w:rFonts w:eastAsiaTheme="minorEastAsia"/>
          <w:b/>
          <w:bCs/>
          <w:sz w:val="24"/>
        </w:rPr>
        <w:t>4.2.1.1</w:t>
      </w:r>
      <w:r w:rsidRPr="00FC1444">
        <w:rPr>
          <w:rFonts w:eastAsiaTheme="minorEastAsia"/>
          <w:b/>
          <w:bCs/>
          <w:sz w:val="24"/>
        </w:rPr>
        <w:t>区域基本污染物环境质量达标情况</w:t>
      </w:r>
    </w:p>
    <w:p w:rsidR="002A5A5E" w:rsidRPr="00FC1444" w:rsidRDefault="00611CBA" w:rsidP="00E15A18">
      <w:pPr>
        <w:spacing w:line="360" w:lineRule="auto"/>
        <w:ind w:firstLineChars="200" w:firstLine="480"/>
        <w:rPr>
          <w:rFonts w:eastAsiaTheme="minorEastAsia"/>
          <w:sz w:val="24"/>
        </w:rPr>
      </w:pPr>
      <w:r w:rsidRPr="00FC1444">
        <w:rPr>
          <w:rFonts w:eastAsiaTheme="minorEastAsia"/>
          <w:sz w:val="24"/>
        </w:rPr>
        <w:t>根据</w:t>
      </w:r>
      <w:r w:rsidRPr="00FC1444">
        <w:rPr>
          <w:rFonts w:eastAsiaTheme="minorEastAsia"/>
          <w:sz w:val="24"/>
          <w:lang w:val="zh-CN"/>
        </w:rPr>
        <w:t>《</w:t>
      </w:r>
      <w:r w:rsidR="00E15A18" w:rsidRPr="00FC1444">
        <w:rPr>
          <w:rFonts w:eastAsiaTheme="minorEastAsia"/>
          <w:bCs/>
          <w:sz w:val="24"/>
        </w:rPr>
        <w:t>2025</w:t>
      </w:r>
      <w:r w:rsidR="00E15A18" w:rsidRPr="00FC1444">
        <w:rPr>
          <w:rFonts w:eastAsiaTheme="minorEastAsia"/>
          <w:bCs/>
          <w:sz w:val="24"/>
        </w:rPr>
        <w:t>年绥化市环境质量年报</w:t>
      </w:r>
      <w:r w:rsidRPr="00FC1444">
        <w:rPr>
          <w:rFonts w:eastAsiaTheme="minorEastAsia"/>
          <w:sz w:val="24"/>
          <w:lang w:val="zh-CN"/>
        </w:rPr>
        <w:t>》</w:t>
      </w:r>
      <w:r w:rsidRPr="00FC1444">
        <w:rPr>
          <w:rFonts w:eastAsiaTheme="minorEastAsia"/>
          <w:sz w:val="24"/>
        </w:rPr>
        <w:t>，</w:t>
      </w:r>
      <w:r w:rsidR="00E15A18" w:rsidRPr="00FC1444">
        <w:rPr>
          <w:rFonts w:eastAsiaTheme="minorEastAsia"/>
          <w:sz w:val="24"/>
        </w:rPr>
        <w:t>2025</w:t>
      </w:r>
      <w:r w:rsidR="00E15A18" w:rsidRPr="00FC1444">
        <w:rPr>
          <w:rFonts w:eastAsiaTheme="minorEastAsia"/>
          <w:sz w:val="24"/>
        </w:rPr>
        <w:t>年绥化市空气质量级别劣于二级，空气质量综合指数为</w:t>
      </w:r>
      <w:r w:rsidR="00E15A18" w:rsidRPr="00FC1444">
        <w:rPr>
          <w:rFonts w:eastAsiaTheme="minorEastAsia"/>
          <w:sz w:val="24"/>
        </w:rPr>
        <w:t>3.46</w:t>
      </w:r>
      <w:r w:rsidR="00E15A18" w:rsidRPr="00FC1444">
        <w:rPr>
          <w:rFonts w:eastAsiaTheme="minorEastAsia"/>
          <w:sz w:val="24"/>
        </w:rPr>
        <w:t>，同比下降</w:t>
      </w:r>
      <w:r w:rsidR="00E15A18" w:rsidRPr="00FC1444">
        <w:rPr>
          <w:rFonts w:eastAsiaTheme="minorEastAsia"/>
          <w:sz w:val="24"/>
        </w:rPr>
        <w:t>4.9%</w:t>
      </w:r>
      <w:r w:rsidR="00E15A18" w:rsidRPr="00FC1444">
        <w:rPr>
          <w:rFonts w:eastAsiaTheme="minorEastAsia"/>
          <w:sz w:val="24"/>
        </w:rPr>
        <w:t>，</w:t>
      </w:r>
      <w:r w:rsidR="00E15A18" w:rsidRPr="00FC1444">
        <w:rPr>
          <w:rFonts w:eastAsiaTheme="minorEastAsia"/>
          <w:sz w:val="24"/>
        </w:rPr>
        <w:t>PM</w:t>
      </w:r>
      <w:r w:rsidR="00E15A18" w:rsidRPr="00FC1444">
        <w:rPr>
          <w:rFonts w:eastAsiaTheme="minorEastAsia"/>
          <w:sz w:val="24"/>
          <w:vertAlign w:val="subscript"/>
        </w:rPr>
        <w:t>10</w:t>
      </w:r>
      <w:r w:rsidR="00E15A18" w:rsidRPr="00FC1444">
        <w:rPr>
          <w:rFonts w:eastAsiaTheme="minorEastAsia"/>
          <w:sz w:val="24"/>
        </w:rPr>
        <w:t>年均浓度为</w:t>
      </w:r>
      <w:r w:rsidR="00E15A18" w:rsidRPr="00FC1444">
        <w:rPr>
          <w:rFonts w:eastAsiaTheme="minorEastAsia"/>
          <w:sz w:val="24"/>
        </w:rPr>
        <w:t>54μg/m</w:t>
      </w:r>
      <w:r w:rsidR="00E15A18" w:rsidRPr="00FC1444">
        <w:rPr>
          <w:rFonts w:eastAsiaTheme="minorEastAsia"/>
          <w:sz w:val="24"/>
          <w:vertAlign w:val="superscript"/>
        </w:rPr>
        <w:t>3</w:t>
      </w:r>
      <w:r w:rsidR="00E15A18" w:rsidRPr="00FC1444">
        <w:rPr>
          <w:rFonts w:eastAsiaTheme="minorEastAsia"/>
          <w:sz w:val="24"/>
        </w:rPr>
        <w:t>，</w:t>
      </w:r>
      <w:r w:rsidR="00E15A18" w:rsidRPr="00FC1444">
        <w:rPr>
          <w:rFonts w:eastAsiaTheme="minorEastAsia"/>
          <w:sz w:val="24"/>
        </w:rPr>
        <w:t>SO</w:t>
      </w:r>
      <w:r w:rsidR="00E15A18" w:rsidRPr="00FC1444">
        <w:rPr>
          <w:rFonts w:eastAsiaTheme="minorEastAsia"/>
          <w:sz w:val="24"/>
          <w:vertAlign w:val="subscript"/>
        </w:rPr>
        <w:t>2</w:t>
      </w:r>
      <w:r w:rsidR="00E15A18" w:rsidRPr="00FC1444">
        <w:rPr>
          <w:rFonts w:eastAsiaTheme="minorEastAsia"/>
          <w:sz w:val="24"/>
        </w:rPr>
        <w:t>年均浓度为</w:t>
      </w:r>
      <w:r w:rsidR="00E15A18" w:rsidRPr="00FC1444">
        <w:rPr>
          <w:rFonts w:eastAsiaTheme="minorEastAsia"/>
          <w:sz w:val="24"/>
        </w:rPr>
        <w:t>6μg/m</w:t>
      </w:r>
      <w:r w:rsidR="00E15A18" w:rsidRPr="00FC1444">
        <w:rPr>
          <w:rFonts w:eastAsiaTheme="minorEastAsia"/>
          <w:sz w:val="24"/>
          <w:vertAlign w:val="superscript"/>
        </w:rPr>
        <w:t>3</w:t>
      </w:r>
      <w:r w:rsidR="00E15A18" w:rsidRPr="00FC1444">
        <w:rPr>
          <w:rFonts w:eastAsiaTheme="minorEastAsia"/>
          <w:sz w:val="24"/>
        </w:rPr>
        <w:t>，</w:t>
      </w:r>
      <w:r w:rsidR="00E15A18" w:rsidRPr="00FC1444">
        <w:rPr>
          <w:rFonts w:eastAsiaTheme="minorEastAsia"/>
          <w:sz w:val="24"/>
        </w:rPr>
        <w:t>NO</w:t>
      </w:r>
      <w:r w:rsidR="00E15A18" w:rsidRPr="00FC1444">
        <w:rPr>
          <w:rFonts w:eastAsiaTheme="minorEastAsia"/>
          <w:sz w:val="24"/>
          <w:vertAlign w:val="subscript"/>
        </w:rPr>
        <w:t>2</w:t>
      </w:r>
      <w:r w:rsidR="00E15A18" w:rsidRPr="00FC1444">
        <w:rPr>
          <w:rFonts w:eastAsiaTheme="minorEastAsia"/>
          <w:sz w:val="24"/>
        </w:rPr>
        <w:t>年均浓度为</w:t>
      </w:r>
      <w:r w:rsidR="00E15A18" w:rsidRPr="00FC1444">
        <w:rPr>
          <w:rFonts w:eastAsiaTheme="minorEastAsia"/>
          <w:sz w:val="24"/>
        </w:rPr>
        <w:t>19μg/m</w:t>
      </w:r>
      <w:r w:rsidR="00E15A18" w:rsidRPr="00FC1444">
        <w:rPr>
          <w:rFonts w:eastAsiaTheme="minorEastAsia"/>
          <w:sz w:val="24"/>
          <w:vertAlign w:val="superscript"/>
        </w:rPr>
        <w:t>3</w:t>
      </w:r>
      <w:r w:rsidR="00E15A18" w:rsidRPr="00FC1444">
        <w:rPr>
          <w:rFonts w:eastAsiaTheme="minorEastAsia"/>
          <w:sz w:val="24"/>
        </w:rPr>
        <w:t>，</w:t>
      </w:r>
      <w:r w:rsidR="00E15A18" w:rsidRPr="00FC1444">
        <w:rPr>
          <w:rFonts w:eastAsiaTheme="minorEastAsia"/>
          <w:sz w:val="24"/>
        </w:rPr>
        <w:t>PM</w:t>
      </w:r>
      <w:r w:rsidR="00E15A18" w:rsidRPr="00FC1444">
        <w:rPr>
          <w:rFonts w:eastAsiaTheme="minorEastAsia"/>
          <w:sz w:val="24"/>
          <w:vertAlign w:val="subscript"/>
        </w:rPr>
        <w:t>2.5</w:t>
      </w:r>
      <w:r w:rsidR="00E15A18" w:rsidRPr="00FC1444">
        <w:rPr>
          <w:rFonts w:eastAsiaTheme="minorEastAsia"/>
          <w:sz w:val="24"/>
        </w:rPr>
        <w:t>年均浓度为</w:t>
      </w:r>
      <w:r w:rsidR="00E15A18" w:rsidRPr="00FC1444">
        <w:rPr>
          <w:rFonts w:eastAsiaTheme="minorEastAsia"/>
          <w:sz w:val="24"/>
        </w:rPr>
        <w:t xml:space="preserve"> 38μg/m</w:t>
      </w:r>
      <w:r w:rsidR="00E15A18" w:rsidRPr="00FC1444">
        <w:rPr>
          <w:rFonts w:eastAsiaTheme="minorEastAsia"/>
          <w:sz w:val="24"/>
          <w:vertAlign w:val="superscript"/>
        </w:rPr>
        <w:t>3</w:t>
      </w:r>
      <w:r w:rsidR="00E15A18" w:rsidRPr="00FC1444">
        <w:rPr>
          <w:rFonts w:eastAsiaTheme="minorEastAsia"/>
          <w:sz w:val="24"/>
        </w:rPr>
        <w:t>，一氧化碳</w:t>
      </w:r>
      <w:r w:rsidR="00E15A18" w:rsidRPr="00FC1444">
        <w:rPr>
          <w:rFonts w:eastAsiaTheme="minorEastAsia"/>
          <w:sz w:val="24"/>
        </w:rPr>
        <w:t>24</w:t>
      </w:r>
      <w:r w:rsidR="00E15A18" w:rsidRPr="00FC1444">
        <w:rPr>
          <w:rFonts w:eastAsiaTheme="minorEastAsia"/>
          <w:sz w:val="24"/>
        </w:rPr>
        <w:t>小时平均第</w:t>
      </w:r>
      <w:r w:rsidR="00E15A18" w:rsidRPr="00FC1444">
        <w:rPr>
          <w:rFonts w:eastAsiaTheme="minorEastAsia"/>
          <w:sz w:val="24"/>
        </w:rPr>
        <w:t>95</w:t>
      </w:r>
      <w:r w:rsidR="00E15A18" w:rsidRPr="00FC1444">
        <w:rPr>
          <w:rFonts w:eastAsiaTheme="minorEastAsia"/>
          <w:sz w:val="24"/>
        </w:rPr>
        <w:t>百分位数浓度为</w:t>
      </w:r>
      <w:r w:rsidR="00E15A18" w:rsidRPr="00FC1444">
        <w:rPr>
          <w:rFonts w:eastAsiaTheme="minorEastAsia"/>
          <w:sz w:val="24"/>
        </w:rPr>
        <w:t>1.1mg/m</w:t>
      </w:r>
      <w:r w:rsidR="00E15A18" w:rsidRPr="00FC1444">
        <w:rPr>
          <w:rFonts w:eastAsiaTheme="minorEastAsia"/>
          <w:sz w:val="24"/>
          <w:vertAlign w:val="superscript"/>
        </w:rPr>
        <w:t>3</w:t>
      </w:r>
      <w:r w:rsidR="00E15A18" w:rsidRPr="00FC1444">
        <w:rPr>
          <w:rFonts w:eastAsiaTheme="minorEastAsia"/>
          <w:sz w:val="24"/>
        </w:rPr>
        <w:t>，</w:t>
      </w:r>
      <w:r w:rsidR="00E15A18" w:rsidRPr="00FC1444">
        <w:rPr>
          <w:rFonts w:eastAsiaTheme="minorEastAsia"/>
          <w:sz w:val="24"/>
        </w:rPr>
        <w:t>O</w:t>
      </w:r>
      <w:r w:rsidR="00E15A18" w:rsidRPr="00FC1444">
        <w:rPr>
          <w:rFonts w:eastAsiaTheme="minorEastAsia"/>
          <w:sz w:val="24"/>
          <w:vertAlign w:val="subscript"/>
        </w:rPr>
        <w:t>3</w:t>
      </w:r>
      <w:r w:rsidR="00E15A18" w:rsidRPr="00FC1444">
        <w:rPr>
          <w:rFonts w:eastAsiaTheme="minorEastAsia"/>
          <w:sz w:val="24"/>
        </w:rPr>
        <w:t>日最大</w:t>
      </w:r>
      <w:r w:rsidR="00E15A18" w:rsidRPr="00FC1444">
        <w:rPr>
          <w:rFonts w:eastAsiaTheme="minorEastAsia"/>
          <w:sz w:val="24"/>
        </w:rPr>
        <w:t>8</w:t>
      </w:r>
      <w:r w:rsidR="00E15A18" w:rsidRPr="00FC1444">
        <w:rPr>
          <w:rFonts w:eastAsiaTheme="minorEastAsia"/>
          <w:sz w:val="24"/>
        </w:rPr>
        <w:t>小时平均第</w:t>
      </w:r>
      <w:r w:rsidR="00E15A18" w:rsidRPr="00FC1444">
        <w:rPr>
          <w:rFonts w:eastAsiaTheme="minorEastAsia"/>
          <w:sz w:val="24"/>
        </w:rPr>
        <w:t>90</w:t>
      </w:r>
      <w:r w:rsidR="00E15A18" w:rsidRPr="00FC1444">
        <w:rPr>
          <w:rFonts w:eastAsiaTheme="minorEastAsia"/>
          <w:sz w:val="24"/>
        </w:rPr>
        <w:t>百分位数浓度为</w:t>
      </w:r>
      <w:r w:rsidR="00E15A18" w:rsidRPr="00FC1444">
        <w:rPr>
          <w:rFonts w:eastAsiaTheme="minorEastAsia"/>
          <w:sz w:val="24"/>
        </w:rPr>
        <w:t>119μg/m</w:t>
      </w:r>
      <w:r w:rsidR="00E15A18" w:rsidRPr="00FC1444">
        <w:rPr>
          <w:rFonts w:eastAsiaTheme="minorEastAsia"/>
          <w:sz w:val="24"/>
          <w:vertAlign w:val="superscript"/>
        </w:rPr>
        <w:t>3</w:t>
      </w:r>
      <w:r w:rsidR="00E15A18" w:rsidRPr="00FC1444">
        <w:rPr>
          <w:rFonts w:eastAsiaTheme="minorEastAsia"/>
          <w:sz w:val="24"/>
        </w:rPr>
        <w:t>。有效监测天数为</w:t>
      </w:r>
      <w:r w:rsidR="00E15A18" w:rsidRPr="00FC1444">
        <w:rPr>
          <w:rFonts w:eastAsiaTheme="minorEastAsia"/>
          <w:sz w:val="24"/>
        </w:rPr>
        <w:t>364</w:t>
      </w:r>
      <w:r w:rsidR="00E15A18" w:rsidRPr="00FC1444">
        <w:rPr>
          <w:rFonts w:eastAsiaTheme="minorEastAsia"/>
          <w:sz w:val="24"/>
        </w:rPr>
        <w:t>天，达标天数为</w:t>
      </w:r>
      <w:r w:rsidR="00E15A18" w:rsidRPr="00FC1444">
        <w:rPr>
          <w:rFonts w:eastAsiaTheme="minorEastAsia"/>
          <w:sz w:val="24"/>
        </w:rPr>
        <w:t>307</w:t>
      </w:r>
      <w:r w:rsidR="00E15A18" w:rsidRPr="00FC1444">
        <w:rPr>
          <w:rFonts w:eastAsiaTheme="minorEastAsia"/>
          <w:sz w:val="24"/>
        </w:rPr>
        <w:t>天，达标率为</w:t>
      </w:r>
      <w:r w:rsidR="00E15A18" w:rsidRPr="00FC1444">
        <w:rPr>
          <w:rFonts w:eastAsiaTheme="minorEastAsia"/>
          <w:sz w:val="24"/>
        </w:rPr>
        <w:t>84.3%</w:t>
      </w:r>
      <w:r w:rsidR="00E15A18" w:rsidRPr="00FC1444">
        <w:rPr>
          <w:rFonts w:eastAsiaTheme="minorEastAsia"/>
          <w:sz w:val="24"/>
        </w:rPr>
        <w:t>，同比升高</w:t>
      </w:r>
      <w:r w:rsidR="0046658C" w:rsidRPr="00FC1444">
        <w:rPr>
          <w:rFonts w:eastAsiaTheme="minorEastAsia"/>
          <w:sz w:val="24"/>
        </w:rPr>
        <w:t>1</w:t>
      </w:r>
      <w:r w:rsidR="00E15A18" w:rsidRPr="00FC1444">
        <w:rPr>
          <w:rFonts w:eastAsiaTheme="minorEastAsia"/>
          <w:sz w:val="24"/>
        </w:rPr>
        <w:t>个百分点。重度及以上污染天数共</w:t>
      </w:r>
      <w:r w:rsidR="00E15A18" w:rsidRPr="00FC1444">
        <w:rPr>
          <w:rFonts w:eastAsiaTheme="minorEastAsia"/>
          <w:sz w:val="24"/>
        </w:rPr>
        <w:t>11</w:t>
      </w:r>
      <w:r w:rsidR="00E15A18" w:rsidRPr="00FC1444">
        <w:rPr>
          <w:rFonts w:eastAsiaTheme="minorEastAsia"/>
          <w:sz w:val="24"/>
        </w:rPr>
        <w:t>天，同比减少</w:t>
      </w:r>
      <w:r w:rsidR="00E15A18" w:rsidRPr="00FC1444">
        <w:rPr>
          <w:rFonts w:eastAsiaTheme="minorEastAsia"/>
          <w:sz w:val="24"/>
        </w:rPr>
        <w:t>6</w:t>
      </w:r>
      <w:r w:rsidR="00E15A18" w:rsidRPr="00FC1444">
        <w:rPr>
          <w:rFonts w:eastAsiaTheme="minorEastAsia"/>
          <w:sz w:val="24"/>
        </w:rPr>
        <w:t>天，重污染天数比例为</w:t>
      </w:r>
      <w:r w:rsidR="00E15A18" w:rsidRPr="00FC1444">
        <w:rPr>
          <w:rFonts w:eastAsiaTheme="minorEastAsia"/>
          <w:sz w:val="24"/>
        </w:rPr>
        <w:t>3.0%</w:t>
      </w:r>
      <w:r w:rsidR="00E15A18" w:rsidRPr="00FC1444">
        <w:rPr>
          <w:rFonts w:eastAsiaTheme="minorEastAsia"/>
          <w:sz w:val="24"/>
        </w:rPr>
        <w:t>，同比下降</w:t>
      </w:r>
      <w:r w:rsidR="00E15A18" w:rsidRPr="00FC1444">
        <w:rPr>
          <w:rFonts w:eastAsiaTheme="minorEastAsia"/>
          <w:sz w:val="24"/>
        </w:rPr>
        <w:t>1.6</w:t>
      </w:r>
      <w:r w:rsidR="00E15A18" w:rsidRPr="00FC1444">
        <w:rPr>
          <w:rFonts w:eastAsiaTheme="minorEastAsia"/>
          <w:sz w:val="24"/>
        </w:rPr>
        <w:t>个百分点。</w:t>
      </w:r>
      <w:r w:rsidRPr="00FC1444">
        <w:rPr>
          <w:rFonts w:eastAsiaTheme="minorEastAsia"/>
          <w:sz w:val="24"/>
        </w:rPr>
        <w:t>本项目所在区域为不达标区。</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 xml:space="preserve">4-2-1 </w:t>
      </w:r>
      <w:r w:rsidRPr="00FC1444">
        <w:rPr>
          <w:rFonts w:eastAsiaTheme="minorEastAsia"/>
          <w:b/>
          <w:kern w:val="0"/>
          <w:szCs w:val="21"/>
        </w:rPr>
        <w:t>区域空气质量现状评价表</w:t>
      </w:r>
    </w:p>
    <w:tbl>
      <w:tblPr>
        <w:tblW w:w="4998" w:type="pct"/>
        <w:jc w:val="center"/>
        <w:tblBorders>
          <w:top w:val="single" w:sz="12" w:space="0" w:color="auto"/>
          <w:bottom w:val="single" w:sz="12" w:space="0" w:color="auto"/>
          <w:insideH w:val="single" w:sz="8" w:space="0" w:color="auto"/>
          <w:insideV w:val="single" w:sz="8" w:space="0" w:color="auto"/>
        </w:tblBorders>
        <w:tblLook w:val="04A0"/>
      </w:tblPr>
      <w:tblGrid>
        <w:gridCol w:w="1962"/>
        <w:gridCol w:w="1947"/>
        <w:gridCol w:w="1220"/>
        <w:gridCol w:w="1274"/>
        <w:gridCol w:w="1075"/>
        <w:gridCol w:w="1041"/>
      </w:tblGrid>
      <w:tr w:rsidR="00E15A18" w:rsidRPr="00FC1444" w:rsidTr="00591495">
        <w:trPr>
          <w:trHeight w:val="278"/>
          <w:jc w:val="center"/>
        </w:trPr>
        <w:tc>
          <w:tcPr>
            <w:tcW w:w="1150" w:type="pct"/>
            <w:tcBorders>
              <w:top w:val="single" w:sz="12" w:space="0" w:color="auto"/>
              <w:left w:val="nil"/>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污染物</w:t>
            </w:r>
          </w:p>
        </w:tc>
        <w:tc>
          <w:tcPr>
            <w:tcW w:w="1141" w:type="pct"/>
            <w:tcBorders>
              <w:top w:val="single" w:sz="12"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年评价指标</w:t>
            </w:r>
          </w:p>
        </w:tc>
        <w:tc>
          <w:tcPr>
            <w:tcW w:w="716" w:type="pct"/>
            <w:tcBorders>
              <w:top w:val="single" w:sz="12"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现状浓度</w:t>
            </w:r>
            <w:r w:rsidRPr="00FC1444">
              <w:t>/</w:t>
            </w:r>
          </w:p>
          <w:p w:rsidR="00E15A18" w:rsidRPr="00FC1444" w:rsidRDefault="00E15A18" w:rsidP="00E15A18">
            <w:pPr>
              <w:tabs>
                <w:tab w:val="center" w:pos="4153"/>
                <w:tab w:val="right" w:pos="8306"/>
              </w:tabs>
              <w:snapToGrid w:val="0"/>
              <w:jc w:val="center"/>
              <w:rPr>
                <w:szCs w:val="21"/>
              </w:rPr>
            </w:pPr>
            <w:r w:rsidRPr="00FC1444">
              <w:t>（</w:t>
            </w:r>
            <w:r w:rsidRPr="00FC1444">
              <w:t>μg/m</w:t>
            </w:r>
            <w:r w:rsidRPr="00FC1444">
              <w:rPr>
                <w:vertAlign w:val="superscript"/>
              </w:rPr>
              <w:t>3</w:t>
            </w:r>
            <w:r w:rsidRPr="00FC1444">
              <w:t>）</w:t>
            </w:r>
          </w:p>
        </w:tc>
        <w:tc>
          <w:tcPr>
            <w:tcW w:w="748" w:type="pct"/>
            <w:tcBorders>
              <w:top w:val="single" w:sz="12"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标准值</w:t>
            </w:r>
            <w:r w:rsidRPr="00FC1444">
              <w:t>/</w:t>
            </w:r>
          </w:p>
          <w:p w:rsidR="00E15A18" w:rsidRPr="00FC1444" w:rsidRDefault="00E15A18" w:rsidP="00E15A18">
            <w:pPr>
              <w:tabs>
                <w:tab w:val="center" w:pos="4153"/>
                <w:tab w:val="right" w:pos="8306"/>
              </w:tabs>
              <w:snapToGrid w:val="0"/>
              <w:jc w:val="center"/>
              <w:rPr>
                <w:szCs w:val="21"/>
              </w:rPr>
            </w:pPr>
            <w:r w:rsidRPr="00FC1444">
              <w:t>（</w:t>
            </w:r>
            <w:r w:rsidRPr="00FC1444">
              <w:t>μg/m</w:t>
            </w:r>
            <w:r w:rsidRPr="00FC1444">
              <w:rPr>
                <w:vertAlign w:val="superscript"/>
              </w:rPr>
              <w:t>3</w:t>
            </w:r>
            <w:r w:rsidRPr="00FC1444">
              <w:t>）</w:t>
            </w:r>
          </w:p>
        </w:tc>
        <w:tc>
          <w:tcPr>
            <w:tcW w:w="631" w:type="pct"/>
            <w:tcBorders>
              <w:top w:val="single" w:sz="12"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占标率</w:t>
            </w:r>
            <w:r w:rsidRPr="00FC1444">
              <w:t>/</w:t>
            </w:r>
          </w:p>
          <w:p w:rsidR="00E15A18" w:rsidRPr="00FC1444" w:rsidRDefault="00E15A18" w:rsidP="00E15A18">
            <w:pPr>
              <w:tabs>
                <w:tab w:val="center" w:pos="4153"/>
                <w:tab w:val="right" w:pos="8306"/>
              </w:tabs>
              <w:snapToGrid w:val="0"/>
              <w:jc w:val="center"/>
              <w:rPr>
                <w:szCs w:val="21"/>
              </w:rPr>
            </w:pPr>
            <w:r w:rsidRPr="00FC1444">
              <w:t>（</w:t>
            </w:r>
            <w:r w:rsidRPr="00FC1444">
              <w:t>%</w:t>
            </w:r>
            <w:r w:rsidRPr="00FC1444">
              <w:t>）</w:t>
            </w:r>
          </w:p>
        </w:tc>
        <w:tc>
          <w:tcPr>
            <w:tcW w:w="611" w:type="pct"/>
            <w:tcBorders>
              <w:top w:val="single" w:sz="12" w:space="0" w:color="auto"/>
              <w:left w:val="single" w:sz="8" w:space="0" w:color="auto"/>
              <w:bottom w:val="single" w:sz="8" w:space="0" w:color="auto"/>
              <w:right w:val="nil"/>
            </w:tcBorders>
            <w:vAlign w:val="center"/>
            <w:hideMark/>
          </w:tcPr>
          <w:p w:rsidR="00E15A18" w:rsidRPr="00FC1444" w:rsidRDefault="00E15A18" w:rsidP="00E15A18">
            <w:pPr>
              <w:tabs>
                <w:tab w:val="center" w:pos="4153"/>
                <w:tab w:val="right" w:pos="8306"/>
              </w:tabs>
              <w:snapToGrid w:val="0"/>
              <w:jc w:val="center"/>
              <w:rPr>
                <w:szCs w:val="21"/>
              </w:rPr>
            </w:pPr>
            <w:r w:rsidRPr="00FC1444">
              <w:t>达标情况</w:t>
            </w:r>
          </w:p>
        </w:tc>
      </w:tr>
      <w:tr w:rsidR="00E15A18" w:rsidRPr="00FC1444" w:rsidTr="00591495">
        <w:trPr>
          <w:trHeight w:val="37"/>
          <w:jc w:val="center"/>
        </w:trPr>
        <w:tc>
          <w:tcPr>
            <w:tcW w:w="1150" w:type="pct"/>
            <w:tcBorders>
              <w:top w:val="single" w:sz="8" w:space="0" w:color="auto"/>
              <w:left w:val="nil"/>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细颗粒物（</w:t>
            </w:r>
            <w:r w:rsidRPr="00FC1444">
              <w:t>PM</w:t>
            </w:r>
            <w:r w:rsidRPr="00FC1444">
              <w:rPr>
                <w:vertAlign w:val="subscript"/>
              </w:rPr>
              <w:t>2.5</w:t>
            </w:r>
            <w:r w:rsidRPr="00FC1444">
              <w:t>）</w:t>
            </w:r>
          </w:p>
        </w:tc>
        <w:tc>
          <w:tcPr>
            <w:tcW w:w="1141"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年平均质量浓度</w:t>
            </w:r>
          </w:p>
        </w:tc>
        <w:tc>
          <w:tcPr>
            <w:tcW w:w="716"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38</w:t>
            </w:r>
          </w:p>
        </w:tc>
        <w:tc>
          <w:tcPr>
            <w:tcW w:w="748"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180FD9" w:rsidP="00E15A18">
            <w:pPr>
              <w:tabs>
                <w:tab w:val="center" w:pos="4153"/>
                <w:tab w:val="right" w:pos="8306"/>
              </w:tabs>
              <w:snapToGrid w:val="0"/>
              <w:jc w:val="center"/>
              <w:rPr>
                <w:szCs w:val="21"/>
              </w:rPr>
            </w:pPr>
            <w:r w:rsidRPr="00FC1444">
              <w:rPr>
                <w:rFonts w:hint="eastAsia"/>
              </w:rPr>
              <w:t>30</w:t>
            </w:r>
          </w:p>
        </w:tc>
        <w:tc>
          <w:tcPr>
            <w:tcW w:w="631"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180FD9" w:rsidP="00E15A18">
            <w:pPr>
              <w:tabs>
                <w:tab w:val="center" w:pos="4153"/>
                <w:tab w:val="right" w:pos="8306"/>
              </w:tabs>
              <w:snapToGrid w:val="0"/>
              <w:jc w:val="center"/>
              <w:rPr>
                <w:szCs w:val="21"/>
              </w:rPr>
            </w:pPr>
            <w:r w:rsidRPr="00FC1444">
              <w:rPr>
                <w:rFonts w:hint="eastAsia"/>
              </w:rPr>
              <w:t>126.7</w:t>
            </w:r>
            <w:r w:rsidR="00E15A18" w:rsidRPr="00FC1444">
              <w:t>%</w:t>
            </w:r>
          </w:p>
        </w:tc>
        <w:tc>
          <w:tcPr>
            <w:tcW w:w="611" w:type="pct"/>
            <w:tcBorders>
              <w:top w:val="single" w:sz="8" w:space="0" w:color="auto"/>
              <w:left w:val="single" w:sz="8" w:space="0" w:color="auto"/>
              <w:bottom w:val="single" w:sz="8" w:space="0" w:color="auto"/>
              <w:right w:val="nil"/>
            </w:tcBorders>
            <w:vAlign w:val="center"/>
            <w:hideMark/>
          </w:tcPr>
          <w:p w:rsidR="00E15A18" w:rsidRPr="00FC1444" w:rsidRDefault="00E15A18" w:rsidP="00E15A18">
            <w:pPr>
              <w:tabs>
                <w:tab w:val="center" w:pos="4153"/>
                <w:tab w:val="right" w:pos="8306"/>
              </w:tabs>
              <w:snapToGrid w:val="0"/>
              <w:jc w:val="center"/>
              <w:rPr>
                <w:szCs w:val="21"/>
              </w:rPr>
            </w:pPr>
            <w:r w:rsidRPr="00FC1444">
              <w:t>不达标</w:t>
            </w:r>
          </w:p>
        </w:tc>
      </w:tr>
      <w:tr w:rsidR="00E15A18" w:rsidRPr="00FC1444" w:rsidTr="00591495">
        <w:trPr>
          <w:trHeight w:val="166"/>
          <w:jc w:val="center"/>
        </w:trPr>
        <w:tc>
          <w:tcPr>
            <w:tcW w:w="1150" w:type="pct"/>
            <w:tcBorders>
              <w:top w:val="single" w:sz="8" w:space="0" w:color="auto"/>
              <w:left w:val="nil"/>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可吸入颗粒物（</w:t>
            </w:r>
            <w:r w:rsidRPr="00FC1444">
              <w:t>PM</w:t>
            </w:r>
            <w:r w:rsidRPr="00FC1444">
              <w:rPr>
                <w:vertAlign w:val="subscript"/>
              </w:rPr>
              <w:t>10</w:t>
            </w:r>
            <w:r w:rsidRPr="00FC1444">
              <w:t>）</w:t>
            </w:r>
          </w:p>
        </w:tc>
        <w:tc>
          <w:tcPr>
            <w:tcW w:w="1141"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年平均质量浓度</w:t>
            </w:r>
          </w:p>
        </w:tc>
        <w:tc>
          <w:tcPr>
            <w:tcW w:w="716"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54</w:t>
            </w:r>
          </w:p>
        </w:tc>
        <w:tc>
          <w:tcPr>
            <w:tcW w:w="748"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180FD9" w:rsidP="00E15A18">
            <w:pPr>
              <w:tabs>
                <w:tab w:val="center" w:pos="4153"/>
                <w:tab w:val="right" w:pos="8306"/>
              </w:tabs>
              <w:snapToGrid w:val="0"/>
              <w:jc w:val="center"/>
              <w:rPr>
                <w:szCs w:val="21"/>
              </w:rPr>
            </w:pPr>
            <w:r w:rsidRPr="00FC1444">
              <w:rPr>
                <w:rFonts w:hint="eastAsia"/>
              </w:rPr>
              <w:t>60</w:t>
            </w:r>
          </w:p>
        </w:tc>
        <w:tc>
          <w:tcPr>
            <w:tcW w:w="631"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180FD9" w:rsidP="00E15A18">
            <w:pPr>
              <w:tabs>
                <w:tab w:val="center" w:pos="4153"/>
                <w:tab w:val="right" w:pos="8306"/>
              </w:tabs>
              <w:snapToGrid w:val="0"/>
              <w:jc w:val="center"/>
              <w:rPr>
                <w:szCs w:val="21"/>
              </w:rPr>
            </w:pPr>
            <w:r w:rsidRPr="00FC1444">
              <w:rPr>
                <w:rFonts w:hint="eastAsia"/>
              </w:rPr>
              <w:t>90</w:t>
            </w:r>
            <w:r w:rsidR="00E15A18" w:rsidRPr="00FC1444">
              <w:t>%</w:t>
            </w:r>
          </w:p>
        </w:tc>
        <w:tc>
          <w:tcPr>
            <w:tcW w:w="611" w:type="pct"/>
            <w:tcBorders>
              <w:top w:val="single" w:sz="8" w:space="0" w:color="auto"/>
              <w:left w:val="single" w:sz="8" w:space="0" w:color="auto"/>
              <w:bottom w:val="single" w:sz="8" w:space="0" w:color="auto"/>
              <w:right w:val="nil"/>
            </w:tcBorders>
            <w:vAlign w:val="center"/>
            <w:hideMark/>
          </w:tcPr>
          <w:p w:rsidR="00E15A18" w:rsidRPr="00FC1444" w:rsidRDefault="00E15A18" w:rsidP="00E15A18">
            <w:pPr>
              <w:jc w:val="center"/>
              <w:rPr>
                <w:szCs w:val="21"/>
              </w:rPr>
            </w:pPr>
            <w:r w:rsidRPr="00FC1444">
              <w:t>达标</w:t>
            </w:r>
          </w:p>
        </w:tc>
      </w:tr>
      <w:tr w:rsidR="00E15A18" w:rsidRPr="00FC1444" w:rsidTr="00591495">
        <w:trPr>
          <w:trHeight w:val="37"/>
          <w:jc w:val="center"/>
        </w:trPr>
        <w:tc>
          <w:tcPr>
            <w:tcW w:w="1150" w:type="pct"/>
            <w:tcBorders>
              <w:top w:val="single" w:sz="8" w:space="0" w:color="auto"/>
              <w:left w:val="nil"/>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二氧化氮</w:t>
            </w:r>
          </w:p>
        </w:tc>
        <w:tc>
          <w:tcPr>
            <w:tcW w:w="1141"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年平均质量浓度</w:t>
            </w:r>
          </w:p>
        </w:tc>
        <w:tc>
          <w:tcPr>
            <w:tcW w:w="716"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19</w:t>
            </w:r>
          </w:p>
        </w:tc>
        <w:tc>
          <w:tcPr>
            <w:tcW w:w="748"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40</w:t>
            </w:r>
          </w:p>
        </w:tc>
        <w:tc>
          <w:tcPr>
            <w:tcW w:w="631"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47.5%</w:t>
            </w:r>
          </w:p>
        </w:tc>
        <w:tc>
          <w:tcPr>
            <w:tcW w:w="611" w:type="pct"/>
            <w:tcBorders>
              <w:top w:val="single" w:sz="8" w:space="0" w:color="auto"/>
              <w:left w:val="single" w:sz="8" w:space="0" w:color="auto"/>
              <w:bottom w:val="single" w:sz="8" w:space="0" w:color="auto"/>
              <w:right w:val="nil"/>
            </w:tcBorders>
            <w:vAlign w:val="center"/>
            <w:hideMark/>
          </w:tcPr>
          <w:p w:rsidR="00E15A18" w:rsidRPr="00FC1444" w:rsidRDefault="00E15A18" w:rsidP="00E15A18">
            <w:pPr>
              <w:jc w:val="center"/>
              <w:rPr>
                <w:szCs w:val="21"/>
              </w:rPr>
            </w:pPr>
            <w:r w:rsidRPr="00FC1444">
              <w:t>达标</w:t>
            </w:r>
          </w:p>
        </w:tc>
      </w:tr>
      <w:tr w:rsidR="00E15A18" w:rsidRPr="00FC1444" w:rsidTr="00591495">
        <w:trPr>
          <w:trHeight w:val="282"/>
          <w:jc w:val="center"/>
        </w:trPr>
        <w:tc>
          <w:tcPr>
            <w:tcW w:w="1150" w:type="pct"/>
            <w:tcBorders>
              <w:top w:val="single" w:sz="8" w:space="0" w:color="auto"/>
              <w:left w:val="nil"/>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二氧化硫</w:t>
            </w:r>
          </w:p>
        </w:tc>
        <w:tc>
          <w:tcPr>
            <w:tcW w:w="1141"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年平均质量浓度</w:t>
            </w:r>
          </w:p>
        </w:tc>
        <w:tc>
          <w:tcPr>
            <w:tcW w:w="716"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6</w:t>
            </w:r>
          </w:p>
        </w:tc>
        <w:tc>
          <w:tcPr>
            <w:tcW w:w="748"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60</w:t>
            </w:r>
          </w:p>
        </w:tc>
        <w:tc>
          <w:tcPr>
            <w:tcW w:w="631"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BA4E4D">
            <w:pPr>
              <w:tabs>
                <w:tab w:val="center" w:pos="4153"/>
                <w:tab w:val="right" w:pos="8306"/>
              </w:tabs>
              <w:snapToGrid w:val="0"/>
              <w:jc w:val="center"/>
              <w:rPr>
                <w:szCs w:val="21"/>
              </w:rPr>
            </w:pPr>
            <w:r w:rsidRPr="00FC1444">
              <w:t>1</w:t>
            </w:r>
            <w:r w:rsidR="00BA4E4D" w:rsidRPr="00FC1444">
              <w:t>0</w:t>
            </w:r>
            <w:r w:rsidRPr="00FC1444">
              <w:t>%</w:t>
            </w:r>
          </w:p>
        </w:tc>
        <w:tc>
          <w:tcPr>
            <w:tcW w:w="611" w:type="pct"/>
            <w:tcBorders>
              <w:top w:val="single" w:sz="8" w:space="0" w:color="auto"/>
              <w:left w:val="single" w:sz="8" w:space="0" w:color="auto"/>
              <w:bottom w:val="single" w:sz="8" w:space="0" w:color="auto"/>
              <w:right w:val="nil"/>
            </w:tcBorders>
            <w:vAlign w:val="center"/>
            <w:hideMark/>
          </w:tcPr>
          <w:p w:rsidR="00E15A18" w:rsidRPr="00FC1444" w:rsidRDefault="00E15A18" w:rsidP="00E15A18">
            <w:pPr>
              <w:tabs>
                <w:tab w:val="center" w:pos="4153"/>
                <w:tab w:val="right" w:pos="8306"/>
              </w:tabs>
              <w:snapToGrid w:val="0"/>
              <w:jc w:val="center"/>
              <w:rPr>
                <w:szCs w:val="21"/>
              </w:rPr>
            </w:pPr>
            <w:r w:rsidRPr="00FC1444">
              <w:t>达标</w:t>
            </w:r>
          </w:p>
        </w:tc>
      </w:tr>
      <w:tr w:rsidR="00E15A18" w:rsidRPr="00FC1444" w:rsidTr="00591495">
        <w:trPr>
          <w:trHeight w:val="37"/>
          <w:jc w:val="center"/>
        </w:trPr>
        <w:tc>
          <w:tcPr>
            <w:tcW w:w="1150" w:type="pct"/>
            <w:tcBorders>
              <w:top w:val="single" w:sz="8" w:space="0" w:color="auto"/>
              <w:left w:val="nil"/>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一氧化碳</w:t>
            </w:r>
          </w:p>
        </w:tc>
        <w:tc>
          <w:tcPr>
            <w:tcW w:w="1141"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百分位数日平均</w:t>
            </w:r>
          </w:p>
        </w:tc>
        <w:tc>
          <w:tcPr>
            <w:tcW w:w="716"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1100</w:t>
            </w:r>
          </w:p>
        </w:tc>
        <w:tc>
          <w:tcPr>
            <w:tcW w:w="748"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4000</w:t>
            </w:r>
          </w:p>
        </w:tc>
        <w:tc>
          <w:tcPr>
            <w:tcW w:w="631" w:type="pct"/>
            <w:tcBorders>
              <w:top w:val="single" w:sz="8" w:space="0" w:color="auto"/>
              <w:left w:val="single" w:sz="8" w:space="0" w:color="auto"/>
              <w:bottom w:val="single" w:sz="8" w:space="0" w:color="auto"/>
              <w:right w:val="single" w:sz="8" w:space="0" w:color="auto"/>
            </w:tcBorders>
            <w:vAlign w:val="center"/>
            <w:hideMark/>
          </w:tcPr>
          <w:p w:rsidR="00E15A18" w:rsidRPr="00FC1444" w:rsidRDefault="00E15A18" w:rsidP="00BA4E4D">
            <w:pPr>
              <w:tabs>
                <w:tab w:val="center" w:pos="4153"/>
                <w:tab w:val="right" w:pos="8306"/>
              </w:tabs>
              <w:snapToGrid w:val="0"/>
              <w:jc w:val="center"/>
              <w:rPr>
                <w:szCs w:val="21"/>
              </w:rPr>
            </w:pPr>
            <w:r w:rsidRPr="00FC1444">
              <w:t>2</w:t>
            </w:r>
            <w:r w:rsidR="00BA4E4D" w:rsidRPr="00FC1444">
              <w:t>7.5</w:t>
            </w:r>
            <w:r w:rsidRPr="00FC1444">
              <w:t>%</w:t>
            </w:r>
          </w:p>
        </w:tc>
        <w:tc>
          <w:tcPr>
            <w:tcW w:w="611" w:type="pct"/>
            <w:tcBorders>
              <w:top w:val="single" w:sz="8" w:space="0" w:color="auto"/>
              <w:left w:val="single" w:sz="8" w:space="0" w:color="auto"/>
              <w:bottom w:val="single" w:sz="8" w:space="0" w:color="auto"/>
              <w:right w:val="nil"/>
            </w:tcBorders>
            <w:vAlign w:val="center"/>
            <w:hideMark/>
          </w:tcPr>
          <w:p w:rsidR="00E15A18" w:rsidRPr="00FC1444" w:rsidRDefault="00E15A18" w:rsidP="00E15A18">
            <w:pPr>
              <w:tabs>
                <w:tab w:val="center" w:pos="4153"/>
                <w:tab w:val="right" w:pos="8306"/>
              </w:tabs>
              <w:snapToGrid w:val="0"/>
              <w:jc w:val="center"/>
              <w:rPr>
                <w:szCs w:val="21"/>
              </w:rPr>
            </w:pPr>
            <w:r w:rsidRPr="00FC1444">
              <w:t>达标</w:t>
            </w:r>
          </w:p>
        </w:tc>
      </w:tr>
      <w:tr w:rsidR="00E15A18" w:rsidRPr="00FC1444" w:rsidTr="00591495">
        <w:trPr>
          <w:trHeight w:val="37"/>
          <w:jc w:val="center"/>
        </w:trPr>
        <w:tc>
          <w:tcPr>
            <w:tcW w:w="1150" w:type="pct"/>
            <w:tcBorders>
              <w:top w:val="single" w:sz="8" w:space="0" w:color="auto"/>
              <w:left w:val="nil"/>
              <w:bottom w:val="single" w:sz="12"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臭氧</w:t>
            </w:r>
          </w:p>
        </w:tc>
        <w:tc>
          <w:tcPr>
            <w:tcW w:w="1141" w:type="pct"/>
            <w:tcBorders>
              <w:top w:val="single" w:sz="8" w:space="0" w:color="auto"/>
              <w:left w:val="single" w:sz="8" w:space="0" w:color="auto"/>
              <w:bottom w:val="single" w:sz="12"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8h</w:t>
            </w:r>
            <w:r w:rsidRPr="00FC1444">
              <w:t>平均质量浓度</w:t>
            </w:r>
          </w:p>
        </w:tc>
        <w:tc>
          <w:tcPr>
            <w:tcW w:w="716" w:type="pct"/>
            <w:tcBorders>
              <w:top w:val="single" w:sz="8" w:space="0" w:color="auto"/>
              <w:left w:val="single" w:sz="8" w:space="0" w:color="auto"/>
              <w:bottom w:val="single" w:sz="12"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119</w:t>
            </w:r>
          </w:p>
        </w:tc>
        <w:tc>
          <w:tcPr>
            <w:tcW w:w="748" w:type="pct"/>
            <w:tcBorders>
              <w:top w:val="single" w:sz="8" w:space="0" w:color="auto"/>
              <w:left w:val="single" w:sz="8" w:space="0" w:color="auto"/>
              <w:bottom w:val="single" w:sz="12" w:space="0" w:color="auto"/>
              <w:right w:val="single" w:sz="8" w:space="0" w:color="auto"/>
            </w:tcBorders>
            <w:vAlign w:val="center"/>
            <w:hideMark/>
          </w:tcPr>
          <w:p w:rsidR="00E15A18" w:rsidRPr="00FC1444" w:rsidRDefault="00E15A18" w:rsidP="00E15A18">
            <w:pPr>
              <w:tabs>
                <w:tab w:val="center" w:pos="4153"/>
                <w:tab w:val="right" w:pos="8306"/>
              </w:tabs>
              <w:snapToGrid w:val="0"/>
              <w:jc w:val="center"/>
              <w:rPr>
                <w:szCs w:val="21"/>
              </w:rPr>
            </w:pPr>
            <w:r w:rsidRPr="00FC1444">
              <w:t>160</w:t>
            </w:r>
          </w:p>
        </w:tc>
        <w:tc>
          <w:tcPr>
            <w:tcW w:w="631" w:type="pct"/>
            <w:tcBorders>
              <w:top w:val="single" w:sz="8" w:space="0" w:color="auto"/>
              <w:left w:val="single" w:sz="8" w:space="0" w:color="auto"/>
              <w:bottom w:val="single" w:sz="12" w:space="0" w:color="auto"/>
              <w:right w:val="single" w:sz="8" w:space="0" w:color="auto"/>
            </w:tcBorders>
            <w:vAlign w:val="center"/>
            <w:hideMark/>
          </w:tcPr>
          <w:p w:rsidR="00E15A18" w:rsidRPr="00FC1444" w:rsidRDefault="00E15A18" w:rsidP="00BA4E4D">
            <w:pPr>
              <w:tabs>
                <w:tab w:val="center" w:pos="4153"/>
                <w:tab w:val="right" w:pos="8306"/>
              </w:tabs>
              <w:snapToGrid w:val="0"/>
              <w:jc w:val="center"/>
              <w:rPr>
                <w:szCs w:val="21"/>
              </w:rPr>
            </w:pPr>
            <w:r w:rsidRPr="00FC1444">
              <w:t>7</w:t>
            </w:r>
            <w:r w:rsidR="00BA4E4D" w:rsidRPr="00FC1444">
              <w:t>4.4</w:t>
            </w:r>
            <w:r w:rsidRPr="00FC1444">
              <w:t>%</w:t>
            </w:r>
          </w:p>
        </w:tc>
        <w:tc>
          <w:tcPr>
            <w:tcW w:w="611" w:type="pct"/>
            <w:tcBorders>
              <w:top w:val="single" w:sz="8" w:space="0" w:color="auto"/>
              <w:left w:val="single" w:sz="8" w:space="0" w:color="auto"/>
              <w:bottom w:val="single" w:sz="12" w:space="0" w:color="auto"/>
              <w:right w:val="nil"/>
            </w:tcBorders>
            <w:vAlign w:val="center"/>
            <w:hideMark/>
          </w:tcPr>
          <w:p w:rsidR="00E15A18" w:rsidRPr="00FC1444" w:rsidRDefault="00E15A18" w:rsidP="00E15A18">
            <w:pPr>
              <w:tabs>
                <w:tab w:val="center" w:pos="4153"/>
                <w:tab w:val="right" w:pos="8306"/>
              </w:tabs>
              <w:snapToGrid w:val="0"/>
              <w:jc w:val="center"/>
              <w:rPr>
                <w:szCs w:val="21"/>
              </w:rPr>
            </w:pPr>
            <w:r w:rsidRPr="00FC1444">
              <w:t>达标</w:t>
            </w:r>
          </w:p>
        </w:tc>
      </w:tr>
    </w:tbl>
    <w:p w:rsidR="002A5A5E" w:rsidRPr="00FC1444" w:rsidRDefault="00611CBA">
      <w:pPr>
        <w:autoSpaceDE w:val="0"/>
        <w:autoSpaceDN w:val="0"/>
        <w:spacing w:before="100" w:beforeAutospacing="1" w:after="100" w:afterAutospacing="1"/>
        <w:outlineLvl w:val="3"/>
        <w:rPr>
          <w:rFonts w:eastAsiaTheme="minorEastAsia"/>
          <w:b/>
          <w:bCs/>
          <w:sz w:val="24"/>
        </w:rPr>
      </w:pPr>
      <w:r w:rsidRPr="00FC1444">
        <w:rPr>
          <w:rFonts w:eastAsiaTheme="minorEastAsia"/>
          <w:b/>
          <w:bCs/>
          <w:sz w:val="24"/>
        </w:rPr>
        <w:lastRenderedPageBreak/>
        <w:t>4.2.1.2</w:t>
      </w:r>
      <w:r w:rsidRPr="00FC1444">
        <w:rPr>
          <w:rFonts w:eastAsiaTheme="minorEastAsia"/>
          <w:b/>
          <w:bCs/>
          <w:sz w:val="24"/>
        </w:rPr>
        <w:t>其他污染物环境质量达标情况</w:t>
      </w:r>
    </w:p>
    <w:p w:rsidR="002A5A5E" w:rsidRPr="00FC1444" w:rsidRDefault="00EE4022" w:rsidP="00EE4022">
      <w:pPr>
        <w:widowControl/>
        <w:spacing w:line="360" w:lineRule="auto"/>
        <w:ind w:firstLineChars="200" w:firstLine="480"/>
        <w:contextualSpacing/>
        <w:rPr>
          <w:rFonts w:eastAsiaTheme="minorEastAsia"/>
          <w:sz w:val="24"/>
        </w:rPr>
      </w:pPr>
      <w:r w:rsidRPr="00FC1444">
        <w:rPr>
          <w:rFonts w:eastAsiaTheme="minorEastAsia"/>
          <w:kern w:val="0"/>
          <w:sz w:val="24"/>
        </w:rPr>
        <w:t>绥化市</w:t>
      </w:r>
      <w:r w:rsidR="00AE168C" w:rsidRPr="00FC1444">
        <w:rPr>
          <w:rFonts w:eastAsiaTheme="minorEastAsia"/>
          <w:kern w:val="0"/>
          <w:sz w:val="24"/>
        </w:rPr>
        <w:t>北林区农业农村局</w:t>
      </w:r>
      <w:r w:rsidR="00611CBA" w:rsidRPr="00FC1444">
        <w:rPr>
          <w:rFonts w:eastAsiaTheme="minorEastAsia"/>
          <w:sz w:val="24"/>
          <w:szCs w:val="22"/>
        </w:rPr>
        <w:t>委托哈尔滨新巨环保科技有限公司于</w:t>
      </w:r>
      <w:r w:rsidR="00611CBA" w:rsidRPr="00FC1444">
        <w:rPr>
          <w:rFonts w:eastAsiaTheme="minorEastAsia"/>
          <w:sz w:val="24"/>
          <w:szCs w:val="22"/>
        </w:rPr>
        <w:t>202</w:t>
      </w:r>
      <w:r w:rsidR="00EF2502" w:rsidRPr="00FC1444">
        <w:rPr>
          <w:rFonts w:eastAsiaTheme="minorEastAsia"/>
          <w:sz w:val="24"/>
          <w:szCs w:val="22"/>
        </w:rPr>
        <w:t>6</w:t>
      </w:r>
      <w:r w:rsidR="00611CBA" w:rsidRPr="00FC1444">
        <w:rPr>
          <w:rFonts w:eastAsiaTheme="minorEastAsia"/>
          <w:sz w:val="24"/>
          <w:szCs w:val="22"/>
        </w:rPr>
        <w:t>年</w:t>
      </w:r>
      <w:r w:rsidR="008D6454" w:rsidRPr="00FC1444">
        <w:rPr>
          <w:rFonts w:eastAsiaTheme="minorEastAsia" w:hint="eastAsia"/>
          <w:sz w:val="24"/>
          <w:szCs w:val="22"/>
        </w:rPr>
        <w:t>8</w:t>
      </w:r>
      <w:r w:rsidR="00611CBA" w:rsidRPr="00FC1444">
        <w:rPr>
          <w:rFonts w:eastAsiaTheme="minorEastAsia"/>
          <w:sz w:val="24"/>
          <w:szCs w:val="22"/>
        </w:rPr>
        <w:t>月</w:t>
      </w:r>
      <w:r w:rsidR="008D6454" w:rsidRPr="00FC1444">
        <w:rPr>
          <w:rFonts w:eastAsiaTheme="minorEastAsia" w:hint="eastAsia"/>
          <w:sz w:val="24"/>
          <w:szCs w:val="22"/>
        </w:rPr>
        <w:t>3</w:t>
      </w:r>
      <w:r w:rsidR="002134CD" w:rsidRPr="00FC1444">
        <w:rPr>
          <w:rFonts w:eastAsiaTheme="minorEastAsia"/>
          <w:sz w:val="24"/>
          <w:szCs w:val="22"/>
        </w:rPr>
        <w:t>1</w:t>
      </w:r>
      <w:r w:rsidR="00611CBA" w:rsidRPr="00FC1444">
        <w:rPr>
          <w:rFonts w:eastAsiaTheme="minorEastAsia"/>
          <w:sz w:val="24"/>
          <w:szCs w:val="22"/>
        </w:rPr>
        <w:t>日</w:t>
      </w:r>
      <w:r w:rsidR="00611CBA" w:rsidRPr="00FC1444">
        <w:rPr>
          <w:rFonts w:eastAsiaTheme="minorEastAsia"/>
          <w:sz w:val="24"/>
          <w:szCs w:val="22"/>
        </w:rPr>
        <w:t>~</w:t>
      </w:r>
      <w:r w:rsidR="0046658C" w:rsidRPr="00FC1444">
        <w:rPr>
          <w:rFonts w:eastAsiaTheme="minorEastAsia" w:hint="eastAsia"/>
          <w:sz w:val="24"/>
          <w:szCs w:val="22"/>
        </w:rPr>
        <w:t>9</w:t>
      </w:r>
      <w:r w:rsidR="00611CBA" w:rsidRPr="00FC1444">
        <w:rPr>
          <w:rFonts w:eastAsiaTheme="minorEastAsia"/>
          <w:sz w:val="24"/>
          <w:szCs w:val="22"/>
        </w:rPr>
        <w:t>月</w:t>
      </w:r>
      <w:r w:rsidR="008D6454" w:rsidRPr="00FC1444">
        <w:rPr>
          <w:rFonts w:eastAsiaTheme="minorEastAsia" w:hint="eastAsia"/>
          <w:sz w:val="24"/>
          <w:szCs w:val="22"/>
        </w:rPr>
        <w:t>6</w:t>
      </w:r>
      <w:r w:rsidR="00611CBA" w:rsidRPr="00FC1444">
        <w:rPr>
          <w:rFonts w:eastAsiaTheme="minorEastAsia"/>
          <w:sz w:val="24"/>
          <w:szCs w:val="22"/>
        </w:rPr>
        <w:t>日对本项目下风向处的</w:t>
      </w:r>
      <w:r w:rsidR="00611CBA" w:rsidRPr="00FC1444">
        <w:rPr>
          <w:rFonts w:eastAsiaTheme="minorEastAsia"/>
          <w:sz w:val="24"/>
          <w:szCs w:val="22"/>
        </w:rPr>
        <w:t>TSP</w:t>
      </w:r>
      <w:r w:rsidR="00611CBA" w:rsidRPr="00FC1444">
        <w:rPr>
          <w:rFonts w:eastAsiaTheme="minorEastAsia"/>
          <w:sz w:val="24"/>
          <w:szCs w:val="22"/>
        </w:rPr>
        <w:t>、</w:t>
      </w:r>
      <w:r w:rsidR="00611CBA" w:rsidRPr="00FC1444">
        <w:rPr>
          <w:rFonts w:eastAsiaTheme="minorEastAsia"/>
          <w:sz w:val="24"/>
          <w:szCs w:val="22"/>
        </w:rPr>
        <w:t>NO</w:t>
      </w:r>
      <w:r w:rsidR="00611CBA" w:rsidRPr="00FC1444">
        <w:rPr>
          <w:rFonts w:eastAsiaTheme="minorEastAsia"/>
          <w:sz w:val="24"/>
          <w:szCs w:val="22"/>
          <w:vertAlign w:val="subscript"/>
        </w:rPr>
        <w:t>X</w:t>
      </w:r>
      <w:r w:rsidR="00611CBA" w:rsidRPr="00FC1444">
        <w:rPr>
          <w:rFonts w:eastAsiaTheme="minorEastAsia"/>
          <w:sz w:val="24"/>
          <w:szCs w:val="22"/>
        </w:rPr>
        <w:t>2</w:t>
      </w:r>
      <w:r w:rsidR="00611CBA" w:rsidRPr="00FC1444">
        <w:rPr>
          <w:rFonts w:eastAsiaTheme="minorEastAsia"/>
          <w:sz w:val="24"/>
          <w:szCs w:val="22"/>
        </w:rPr>
        <w:t>项其他污染物进行现状监测。</w:t>
      </w:r>
      <w:r w:rsidR="00611CBA" w:rsidRPr="00FC1444">
        <w:rPr>
          <w:rFonts w:eastAsiaTheme="minorEastAsia"/>
          <w:sz w:val="24"/>
        </w:rPr>
        <w:t>监测点位信息见表</w:t>
      </w:r>
      <w:r w:rsidR="00611CBA" w:rsidRPr="00FC1444">
        <w:rPr>
          <w:rFonts w:eastAsiaTheme="minorEastAsia"/>
          <w:sz w:val="24"/>
        </w:rPr>
        <w:t>4-2-2</w:t>
      </w:r>
      <w:r w:rsidR="00611CBA" w:rsidRPr="00FC1444">
        <w:rPr>
          <w:rFonts w:eastAsiaTheme="minorEastAsia"/>
          <w:sz w:val="24"/>
        </w:rPr>
        <w:t>及图</w:t>
      </w:r>
      <w:r w:rsidR="00611CBA" w:rsidRPr="00FC1444">
        <w:rPr>
          <w:rFonts w:eastAsiaTheme="minorEastAsia"/>
          <w:sz w:val="24"/>
        </w:rPr>
        <w:t>4-2-1~4-2-</w:t>
      </w:r>
      <w:r w:rsidR="00F90B8B" w:rsidRPr="00FC1444">
        <w:rPr>
          <w:rFonts w:eastAsiaTheme="minorEastAsia" w:hint="eastAsia"/>
          <w:sz w:val="24"/>
        </w:rPr>
        <w:t>4</w:t>
      </w:r>
      <w:r w:rsidR="00611CBA" w:rsidRPr="00FC1444">
        <w:rPr>
          <w:rFonts w:eastAsiaTheme="minorEastAsia"/>
          <w:sz w:val="24"/>
        </w:rPr>
        <w:t>，监测结果见表</w:t>
      </w:r>
      <w:r w:rsidR="00611CBA" w:rsidRPr="00FC1444">
        <w:rPr>
          <w:rFonts w:eastAsiaTheme="minorEastAsia"/>
          <w:sz w:val="24"/>
        </w:rPr>
        <w:t>4-2-3</w:t>
      </w:r>
      <w:r w:rsidR="00611CBA" w:rsidRPr="00FC1444">
        <w:rPr>
          <w:rFonts w:eastAsiaTheme="minorEastAsia"/>
          <w:sz w:val="24"/>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 xml:space="preserve">4-2-2 </w:t>
      </w:r>
      <w:r w:rsidRPr="00FC1444">
        <w:rPr>
          <w:rFonts w:eastAsiaTheme="minorEastAsia"/>
          <w:b/>
          <w:kern w:val="0"/>
          <w:szCs w:val="21"/>
        </w:rPr>
        <w:t>其他污染物补充监测点基本信息</w:t>
      </w:r>
    </w:p>
    <w:tbl>
      <w:tblPr>
        <w:tblW w:w="5000" w:type="pct"/>
        <w:tblBorders>
          <w:top w:val="single" w:sz="12" w:space="0" w:color="000000"/>
          <w:bottom w:val="single" w:sz="12" w:space="0" w:color="000000"/>
          <w:insideH w:val="single" w:sz="4" w:space="0" w:color="000000"/>
          <w:insideV w:val="single" w:sz="4" w:space="0" w:color="000000"/>
        </w:tblBorders>
        <w:tblLayout w:type="fixed"/>
        <w:tblLook w:val="04A0"/>
      </w:tblPr>
      <w:tblGrid>
        <w:gridCol w:w="1387"/>
        <w:gridCol w:w="1558"/>
        <w:gridCol w:w="1416"/>
        <w:gridCol w:w="849"/>
        <w:gridCol w:w="1403"/>
        <w:gridCol w:w="811"/>
        <w:gridCol w:w="1098"/>
      </w:tblGrid>
      <w:tr w:rsidR="002A5A5E" w:rsidRPr="00FC1444" w:rsidTr="0058132D">
        <w:trPr>
          <w:trHeight w:val="285"/>
        </w:trPr>
        <w:tc>
          <w:tcPr>
            <w:tcW w:w="814" w:type="pct"/>
            <w:vMerge w:val="restar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监测点名称</w:t>
            </w:r>
          </w:p>
        </w:tc>
        <w:tc>
          <w:tcPr>
            <w:tcW w:w="1745" w:type="pct"/>
            <w:gridSpan w:val="2"/>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监测点坐标</w:t>
            </w:r>
            <w:r w:rsidRPr="00FC1444">
              <w:rPr>
                <w:rFonts w:eastAsiaTheme="minorEastAsia"/>
                <w:kern w:val="0"/>
                <w:szCs w:val="21"/>
              </w:rPr>
              <w:t>/°</w:t>
            </w:r>
          </w:p>
        </w:tc>
        <w:tc>
          <w:tcPr>
            <w:tcW w:w="498" w:type="pct"/>
            <w:vMerge w:val="restart"/>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监测因子</w:t>
            </w:r>
          </w:p>
        </w:tc>
        <w:tc>
          <w:tcPr>
            <w:tcW w:w="823" w:type="pct"/>
            <w:vMerge w:val="restar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监测时段</w:t>
            </w:r>
          </w:p>
        </w:tc>
        <w:tc>
          <w:tcPr>
            <w:tcW w:w="476" w:type="pct"/>
            <w:vMerge w:val="restar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相对</w:t>
            </w:r>
            <w:r w:rsidR="00F0656F" w:rsidRPr="00FC1444">
              <w:rPr>
                <w:rFonts w:eastAsiaTheme="minorEastAsia"/>
                <w:szCs w:val="21"/>
              </w:rPr>
              <w:t>项目</w:t>
            </w:r>
            <w:r w:rsidRPr="00FC1444">
              <w:rPr>
                <w:rFonts w:eastAsiaTheme="minorEastAsia"/>
                <w:szCs w:val="21"/>
              </w:rPr>
              <w:t>方位</w:t>
            </w:r>
          </w:p>
        </w:tc>
        <w:tc>
          <w:tcPr>
            <w:tcW w:w="644" w:type="pct"/>
            <w:vMerge w:val="restar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相对厂界距离</w:t>
            </w:r>
            <w:r w:rsidRPr="00FC1444">
              <w:rPr>
                <w:rFonts w:eastAsiaTheme="minorEastAsia"/>
                <w:szCs w:val="21"/>
              </w:rPr>
              <w:t>/m</w:t>
            </w:r>
          </w:p>
        </w:tc>
      </w:tr>
      <w:tr w:rsidR="002A5A5E" w:rsidRPr="00FC1444" w:rsidTr="0058132D">
        <w:trPr>
          <w:trHeight w:val="190"/>
        </w:trPr>
        <w:tc>
          <w:tcPr>
            <w:tcW w:w="814" w:type="pct"/>
            <w:vMerge/>
            <w:vAlign w:val="center"/>
          </w:tcPr>
          <w:p w:rsidR="002A5A5E" w:rsidRPr="00FC1444" w:rsidRDefault="002A5A5E">
            <w:pPr>
              <w:widowControl/>
              <w:spacing w:line="0" w:lineRule="atLeast"/>
              <w:contextualSpacing/>
              <w:jc w:val="left"/>
              <w:rPr>
                <w:rFonts w:eastAsiaTheme="minorEastAsia"/>
                <w:szCs w:val="21"/>
              </w:rPr>
            </w:pPr>
          </w:p>
        </w:tc>
        <w:tc>
          <w:tcPr>
            <w:tcW w:w="914" w:type="pct"/>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经度</w:t>
            </w:r>
          </w:p>
        </w:tc>
        <w:tc>
          <w:tcPr>
            <w:tcW w:w="831" w:type="pct"/>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纬度</w:t>
            </w:r>
          </w:p>
        </w:tc>
        <w:tc>
          <w:tcPr>
            <w:tcW w:w="498" w:type="pct"/>
            <w:vMerge/>
            <w:vAlign w:val="center"/>
          </w:tcPr>
          <w:p w:rsidR="002A5A5E" w:rsidRPr="00FC1444" w:rsidRDefault="002A5A5E">
            <w:pPr>
              <w:widowControl/>
              <w:spacing w:line="0" w:lineRule="atLeast"/>
              <w:contextualSpacing/>
              <w:jc w:val="left"/>
              <w:rPr>
                <w:rFonts w:eastAsiaTheme="minorEastAsia"/>
                <w:kern w:val="0"/>
                <w:szCs w:val="21"/>
              </w:rPr>
            </w:pPr>
          </w:p>
        </w:tc>
        <w:tc>
          <w:tcPr>
            <w:tcW w:w="823" w:type="pct"/>
            <w:vMerge/>
            <w:vAlign w:val="center"/>
          </w:tcPr>
          <w:p w:rsidR="002A5A5E" w:rsidRPr="00FC1444" w:rsidRDefault="002A5A5E">
            <w:pPr>
              <w:widowControl/>
              <w:spacing w:line="0" w:lineRule="atLeast"/>
              <w:contextualSpacing/>
              <w:jc w:val="left"/>
              <w:rPr>
                <w:rFonts w:eastAsiaTheme="minorEastAsia"/>
                <w:szCs w:val="21"/>
              </w:rPr>
            </w:pPr>
          </w:p>
        </w:tc>
        <w:tc>
          <w:tcPr>
            <w:tcW w:w="476" w:type="pct"/>
            <w:vMerge/>
            <w:vAlign w:val="center"/>
          </w:tcPr>
          <w:p w:rsidR="002A5A5E" w:rsidRPr="00FC1444" w:rsidRDefault="002A5A5E">
            <w:pPr>
              <w:widowControl/>
              <w:spacing w:line="0" w:lineRule="atLeast"/>
              <w:contextualSpacing/>
              <w:jc w:val="left"/>
              <w:rPr>
                <w:rFonts w:eastAsiaTheme="minorEastAsia"/>
                <w:szCs w:val="21"/>
              </w:rPr>
            </w:pPr>
          </w:p>
        </w:tc>
        <w:tc>
          <w:tcPr>
            <w:tcW w:w="644" w:type="pct"/>
            <w:vMerge/>
            <w:vAlign w:val="center"/>
          </w:tcPr>
          <w:p w:rsidR="002A5A5E" w:rsidRPr="00FC1444" w:rsidRDefault="002A5A5E">
            <w:pPr>
              <w:widowControl/>
              <w:spacing w:line="0" w:lineRule="atLeast"/>
              <w:contextualSpacing/>
              <w:jc w:val="left"/>
              <w:rPr>
                <w:rFonts w:eastAsiaTheme="minorEastAsia"/>
                <w:szCs w:val="21"/>
              </w:rPr>
            </w:pPr>
          </w:p>
        </w:tc>
      </w:tr>
      <w:tr w:rsidR="0046658C" w:rsidRPr="00FC1444" w:rsidTr="0058132D">
        <w:trPr>
          <w:trHeight w:val="525"/>
        </w:trPr>
        <w:tc>
          <w:tcPr>
            <w:tcW w:w="814" w:type="pct"/>
            <w:vAlign w:val="center"/>
          </w:tcPr>
          <w:p w:rsidR="0046658C" w:rsidRPr="00FC1444" w:rsidRDefault="007B71AC" w:rsidP="0046658C">
            <w:pPr>
              <w:spacing w:line="0" w:lineRule="atLeast"/>
              <w:contextualSpacing/>
              <w:jc w:val="center"/>
              <w:rPr>
                <w:rFonts w:eastAsiaTheme="minorEastAsia"/>
                <w:szCs w:val="21"/>
              </w:rPr>
            </w:pPr>
            <w:r w:rsidRPr="00FC1444">
              <w:rPr>
                <w:rFonts w:eastAsiaTheme="minorEastAsia"/>
                <w:szCs w:val="21"/>
              </w:rPr>
              <w:t>绥胜</w:t>
            </w:r>
            <w:r w:rsidR="0046658C" w:rsidRPr="00FC1444">
              <w:rPr>
                <w:rFonts w:eastAsiaTheme="minorEastAsia"/>
                <w:szCs w:val="21"/>
              </w:rPr>
              <w:t>片区下风向</w:t>
            </w:r>
            <w:r w:rsidR="0046658C" w:rsidRPr="00FC1444">
              <w:rPr>
                <w:rFonts w:eastAsiaTheme="minorEastAsia"/>
                <w:szCs w:val="21"/>
              </w:rPr>
              <w:t>○1</w:t>
            </w:r>
          </w:p>
        </w:tc>
        <w:tc>
          <w:tcPr>
            <w:tcW w:w="914" w:type="pct"/>
            <w:vAlign w:val="center"/>
          </w:tcPr>
          <w:p w:rsidR="0046658C" w:rsidRPr="00FC1444" w:rsidRDefault="001E5751">
            <w:pPr>
              <w:spacing w:line="0" w:lineRule="atLeast"/>
              <w:contextualSpacing/>
              <w:jc w:val="center"/>
              <w:rPr>
                <w:rFonts w:eastAsiaTheme="minorEastAsia"/>
                <w:kern w:val="0"/>
                <w:szCs w:val="21"/>
              </w:rPr>
            </w:pPr>
            <w:r w:rsidRPr="00FC1444">
              <w:rPr>
                <w:rFonts w:eastAsiaTheme="minorEastAsia"/>
                <w:kern w:val="0"/>
                <w:szCs w:val="21"/>
              </w:rPr>
              <w:t>126.5243286</w:t>
            </w:r>
          </w:p>
        </w:tc>
        <w:tc>
          <w:tcPr>
            <w:tcW w:w="831" w:type="pct"/>
            <w:vAlign w:val="center"/>
          </w:tcPr>
          <w:p w:rsidR="0046658C" w:rsidRPr="00FC1444" w:rsidRDefault="001E5751">
            <w:pPr>
              <w:spacing w:line="0" w:lineRule="atLeast"/>
              <w:contextualSpacing/>
              <w:jc w:val="center"/>
              <w:rPr>
                <w:rFonts w:eastAsiaTheme="minorEastAsia"/>
                <w:kern w:val="0"/>
                <w:szCs w:val="21"/>
              </w:rPr>
            </w:pPr>
            <w:r w:rsidRPr="00FC1444">
              <w:rPr>
                <w:rFonts w:eastAsiaTheme="minorEastAsia"/>
                <w:kern w:val="0"/>
                <w:szCs w:val="21"/>
              </w:rPr>
              <w:t>46.332617</w:t>
            </w:r>
          </w:p>
        </w:tc>
        <w:tc>
          <w:tcPr>
            <w:tcW w:w="498" w:type="pct"/>
            <w:vMerge w:val="restart"/>
            <w:vAlign w:val="center"/>
          </w:tcPr>
          <w:p w:rsidR="0046658C" w:rsidRPr="00FC1444" w:rsidRDefault="0046658C">
            <w:pPr>
              <w:spacing w:line="0" w:lineRule="atLeast"/>
              <w:contextualSpacing/>
              <w:jc w:val="center"/>
              <w:rPr>
                <w:rFonts w:eastAsiaTheme="minorEastAsia"/>
                <w:szCs w:val="21"/>
              </w:rPr>
            </w:pPr>
            <w:r w:rsidRPr="00FC1444">
              <w:rPr>
                <w:rFonts w:eastAsiaTheme="minorEastAsia"/>
                <w:kern w:val="0"/>
                <w:szCs w:val="21"/>
              </w:rPr>
              <w:t>NO</w:t>
            </w:r>
            <w:r w:rsidRPr="00FC1444">
              <w:rPr>
                <w:rFonts w:eastAsiaTheme="minorEastAsia"/>
                <w:kern w:val="0"/>
                <w:szCs w:val="21"/>
                <w:vertAlign w:val="subscript"/>
              </w:rPr>
              <w:t>X</w:t>
            </w:r>
            <w:r w:rsidRPr="00FC1444">
              <w:rPr>
                <w:rFonts w:eastAsiaTheme="minorEastAsia"/>
                <w:kern w:val="0"/>
                <w:szCs w:val="21"/>
              </w:rPr>
              <w:t>、</w:t>
            </w:r>
            <w:r w:rsidRPr="00FC1444">
              <w:rPr>
                <w:rFonts w:eastAsiaTheme="minorEastAsia"/>
                <w:kern w:val="0"/>
                <w:szCs w:val="21"/>
              </w:rPr>
              <w:t>TSP</w:t>
            </w:r>
          </w:p>
        </w:tc>
        <w:tc>
          <w:tcPr>
            <w:tcW w:w="823" w:type="pct"/>
            <w:vMerge w:val="restart"/>
            <w:vAlign w:val="center"/>
          </w:tcPr>
          <w:p w:rsidR="0046658C" w:rsidRPr="00FC1444" w:rsidRDefault="0046658C" w:rsidP="008D6454">
            <w:pPr>
              <w:spacing w:line="0" w:lineRule="atLeast"/>
              <w:contextualSpacing/>
              <w:jc w:val="center"/>
              <w:rPr>
                <w:rFonts w:eastAsiaTheme="minorEastAsia"/>
                <w:szCs w:val="21"/>
              </w:rPr>
            </w:pPr>
            <w:r w:rsidRPr="00FC1444">
              <w:rPr>
                <w:rFonts w:eastAsiaTheme="minorEastAsia"/>
                <w:szCs w:val="21"/>
              </w:rPr>
              <w:t>2026</w:t>
            </w:r>
            <w:r w:rsidRPr="00FC1444">
              <w:rPr>
                <w:rFonts w:eastAsiaTheme="minorEastAsia"/>
                <w:szCs w:val="21"/>
              </w:rPr>
              <w:t>年</w:t>
            </w:r>
            <w:r w:rsidR="008D6454" w:rsidRPr="00FC1444">
              <w:rPr>
                <w:rFonts w:eastAsiaTheme="minorEastAsia" w:hint="eastAsia"/>
                <w:szCs w:val="21"/>
              </w:rPr>
              <w:t>8</w:t>
            </w:r>
            <w:r w:rsidRPr="00FC1444">
              <w:rPr>
                <w:rFonts w:eastAsiaTheme="minorEastAsia"/>
                <w:szCs w:val="21"/>
              </w:rPr>
              <w:t>月</w:t>
            </w:r>
            <w:r w:rsidR="008D6454" w:rsidRPr="00FC1444">
              <w:rPr>
                <w:rFonts w:eastAsiaTheme="minorEastAsia" w:hint="eastAsia"/>
                <w:szCs w:val="21"/>
              </w:rPr>
              <w:t>3</w:t>
            </w:r>
            <w:r w:rsidRPr="00FC1444">
              <w:rPr>
                <w:rFonts w:eastAsiaTheme="minorEastAsia"/>
                <w:szCs w:val="21"/>
              </w:rPr>
              <w:t>1</w:t>
            </w:r>
            <w:r w:rsidRPr="00FC1444">
              <w:rPr>
                <w:rFonts w:eastAsiaTheme="minorEastAsia"/>
                <w:szCs w:val="21"/>
              </w:rPr>
              <w:t>日</w:t>
            </w:r>
            <w:r w:rsidRPr="00FC1444">
              <w:rPr>
                <w:rFonts w:eastAsiaTheme="minorEastAsia"/>
                <w:szCs w:val="21"/>
              </w:rPr>
              <w:t>~</w:t>
            </w:r>
            <w:r w:rsidR="008D6454" w:rsidRPr="00FC1444">
              <w:rPr>
                <w:rFonts w:eastAsiaTheme="minorEastAsia" w:hint="eastAsia"/>
                <w:szCs w:val="21"/>
              </w:rPr>
              <w:t>9</w:t>
            </w:r>
            <w:r w:rsidRPr="00FC1444">
              <w:rPr>
                <w:rFonts w:eastAsiaTheme="minorEastAsia"/>
                <w:szCs w:val="21"/>
              </w:rPr>
              <w:t>月</w:t>
            </w:r>
            <w:r w:rsidR="008D6454" w:rsidRPr="00FC1444">
              <w:rPr>
                <w:rFonts w:eastAsiaTheme="minorEastAsia" w:hint="eastAsia"/>
                <w:szCs w:val="21"/>
              </w:rPr>
              <w:t>6</w:t>
            </w:r>
            <w:r w:rsidRPr="00FC1444">
              <w:rPr>
                <w:rFonts w:eastAsiaTheme="minorEastAsia"/>
                <w:szCs w:val="21"/>
              </w:rPr>
              <w:t>日</w:t>
            </w:r>
          </w:p>
        </w:tc>
        <w:tc>
          <w:tcPr>
            <w:tcW w:w="476" w:type="pct"/>
            <w:vAlign w:val="center"/>
          </w:tcPr>
          <w:p w:rsidR="0046658C" w:rsidRPr="00FC1444" w:rsidRDefault="001E5751">
            <w:pPr>
              <w:spacing w:line="0" w:lineRule="atLeast"/>
              <w:contextualSpacing/>
              <w:jc w:val="center"/>
              <w:rPr>
                <w:rFonts w:eastAsiaTheme="minorEastAsia"/>
                <w:szCs w:val="21"/>
              </w:rPr>
            </w:pPr>
            <w:r w:rsidRPr="00FC1444">
              <w:rPr>
                <w:rFonts w:eastAsiaTheme="minorEastAsia" w:hint="eastAsia"/>
                <w:szCs w:val="21"/>
              </w:rPr>
              <w:t>NE</w:t>
            </w:r>
          </w:p>
        </w:tc>
        <w:tc>
          <w:tcPr>
            <w:tcW w:w="644" w:type="pct"/>
            <w:vAlign w:val="center"/>
          </w:tcPr>
          <w:p w:rsidR="0046658C" w:rsidRPr="00FC1444" w:rsidRDefault="001E5751">
            <w:pPr>
              <w:spacing w:line="0" w:lineRule="atLeast"/>
              <w:contextualSpacing/>
              <w:jc w:val="center"/>
              <w:rPr>
                <w:rFonts w:eastAsiaTheme="minorEastAsia"/>
                <w:szCs w:val="21"/>
              </w:rPr>
            </w:pPr>
            <w:r w:rsidRPr="00FC1444">
              <w:rPr>
                <w:rFonts w:eastAsiaTheme="minorEastAsia" w:hint="eastAsia"/>
                <w:szCs w:val="21"/>
              </w:rPr>
              <w:t>240</w:t>
            </w:r>
          </w:p>
        </w:tc>
      </w:tr>
      <w:tr w:rsidR="0046658C" w:rsidRPr="00FC1444" w:rsidTr="0058132D">
        <w:trPr>
          <w:trHeight w:val="525"/>
        </w:trPr>
        <w:tc>
          <w:tcPr>
            <w:tcW w:w="814" w:type="pct"/>
            <w:vAlign w:val="center"/>
          </w:tcPr>
          <w:p w:rsidR="0046658C" w:rsidRPr="00FC1444" w:rsidRDefault="007B71AC" w:rsidP="0046658C">
            <w:pPr>
              <w:spacing w:line="0" w:lineRule="atLeast"/>
              <w:contextualSpacing/>
              <w:jc w:val="center"/>
              <w:rPr>
                <w:rFonts w:eastAsiaTheme="minorEastAsia"/>
                <w:szCs w:val="21"/>
              </w:rPr>
            </w:pPr>
            <w:r w:rsidRPr="00FC1444">
              <w:rPr>
                <w:rFonts w:eastAsiaTheme="minorEastAsia"/>
                <w:szCs w:val="21"/>
              </w:rPr>
              <w:t>津河</w:t>
            </w:r>
            <w:r w:rsidR="0046658C" w:rsidRPr="00FC1444">
              <w:rPr>
                <w:rFonts w:eastAsiaTheme="minorEastAsia"/>
                <w:szCs w:val="21"/>
              </w:rPr>
              <w:t>片区下风向</w:t>
            </w:r>
            <w:r w:rsidR="0046658C" w:rsidRPr="00FC1444">
              <w:rPr>
                <w:rFonts w:eastAsiaTheme="minorEastAsia"/>
                <w:szCs w:val="21"/>
              </w:rPr>
              <w:t>○2</w:t>
            </w:r>
          </w:p>
        </w:tc>
        <w:tc>
          <w:tcPr>
            <w:tcW w:w="914" w:type="pct"/>
            <w:vAlign w:val="center"/>
          </w:tcPr>
          <w:p w:rsidR="0046658C" w:rsidRPr="00FC1444" w:rsidRDefault="001E5751">
            <w:pPr>
              <w:spacing w:line="0" w:lineRule="atLeast"/>
              <w:contextualSpacing/>
              <w:jc w:val="center"/>
              <w:rPr>
                <w:rFonts w:eastAsiaTheme="minorEastAsia"/>
                <w:kern w:val="0"/>
                <w:szCs w:val="21"/>
              </w:rPr>
            </w:pPr>
            <w:r w:rsidRPr="00FC1444">
              <w:rPr>
                <w:rFonts w:eastAsiaTheme="minorEastAsia"/>
                <w:kern w:val="0"/>
                <w:szCs w:val="21"/>
              </w:rPr>
              <w:t>127.1224866</w:t>
            </w:r>
          </w:p>
        </w:tc>
        <w:tc>
          <w:tcPr>
            <w:tcW w:w="831" w:type="pct"/>
            <w:vAlign w:val="center"/>
          </w:tcPr>
          <w:p w:rsidR="0046658C" w:rsidRPr="00FC1444" w:rsidRDefault="001E5751">
            <w:pPr>
              <w:spacing w:line="0" w:lineRule="atLeast"/>
              <w:contextualSpacing/>
              <w:jc w:val="center"/>
              <w:rPr>
                <w:rFonts w:eastAsiaTheme="minorEastAsia"/>
                <w:kern w:val="0"/>
                <w:szCs w:val="21"/>
              </w:rPr>
            </w:pPr>
            <w:r w:rsidRPr="00FC1444">
              <w:rPr>
                <w:rFonts w:eastAsiaTheme="minorEastAsia"/>
                <w:kern w:val="0"/>
                <w:szCs w:val="21"/>
              </w:rPr>
              <w:t>46.460575</w:t>
            </w:r>
          </w:p>
        </w:tc>
        <w:tc>
          <w:tcPr>
            <w:tcW w:w="498" w:type="pct"/>
            <w:vMerge/>
            <w:vAlign w:val="center"/>
          </w:tcPr>
          <w:p w:rsidR="0046658C" w:rsidRPr="00FC1444" w:rsidRDefault="0046658C">
            <w:pPr>
              <w:spacing w:line="0" w:lineRule="atLeast"/>
              <w:contextualSpacing/>
              <w:jc w:val="center"/>
              <w:rPr>
                <w:rFonts w:eastAsiaTheme="minorEastAsia"/>
                <w:kern w:val="0"/>
                <w:szCs w:val="21"/>
              </w:rPr>
            </w:pPr>
          </w:p>
        </w:tc>
        <w:tc>
          <w:tcPr>
            <w:tcW w:w="823" w:type="pct"/>
            <w:vMerge/>
            <w:vAlign w:val="center"/>
          </w:tcPr>
          <w:p w:rsidR="0046658C" w:rsidRPr="00FC1444" w:rsidRDefault="0046658C">
            <w:pPr>
              <w:spacing w:line="0" w:lineRule="atLeast"/>
              <w:contextualSpacing/>
              <w:jc w:val="center"/>
              <w:rPr>
                <w:rFonts w:eastAsiaTheme="minorEastAsia"/>
                <w:szCs w:val="21"/>
              </w:rPr>
            </w:pPr>
          </w:p>
        </w:tc>
        <w:tc>
          <w:tcPr>
            <w:tcW w:w="476" w:type="pct"/>
            <w:vAlign w:val="center"/>
          </w:tcPr>
          <w:p w:rsidR="0046658C" w:rsidRPr="00FC1444" w:rsidRDefault="001E5751">
            <w:pPr>
              <w:spacing w:line="0" w:lineRule="atLeast"/>
              <w:contextualSpacing/>
              <w:jc w:val="center"/>
              <w:rPr>
                <w:rFonts w:eastAsiaTheme="minorEastAsia"/>
                <w:szCs w:val="21"/>
              </w:rPr>
            </w:pPr>
            <w:r w:rsidRPr="00FC1444">
              <w:rPr>
                <w:rFonts w:eastAsiaTheme="minorEastAsia" w:hint="eastAsia"/>
                <w:szCs w:val="21"/>
              </w:rPr>
              <w:t>NE</w:t>
            </w:r>
          </w:p>
        </w:tc>
        <w:tc>
          <w:tcPr>
            <w:tcW w:w="644" w:type="pct"/>
            <w:vAlign w:val="center"/>
          </w:tcPr>
          <w:p w:rsidR="0046658C" w:rsidRPr="00FC1444" w:rsidRDefault="001E5751">
            <w:pPr>
              <w:spacing w:line="0" w:lineRule="atLeast"/>
              <w:contextualSpacing/>
              <w:jc w:val="center"/>
              <w:rPr>
                <w:rFonts w:eastAsiaTheme="minorEastAsia"/>
                <w:szCs w:val="21"/>
              </w:rPr>
            </w:pPr>
            <w:r w:rsidRPr="00FC1444">
              <w:rPr>
                <w:rFonts w:eastAsiaTheme="minorEastAsia" w:hint="eastAsia"/>
                <w:szCs w:val="21"/>
              </w:rPr>
              <w:t>200</w:t>
            </w:r>
          </w:p>
        </w:tc>
      </w:tr>
      <w:tr w:rsidR="0046658C" w:rsidRPr="00FC1444" w:rsidTr="0058132D">
        <w:trPr>
          <w:trHeight w:val="525"/>
        </w:trPr>
        <w:tc>
          <w:tcPr>
            <w:tcW w:w="814" w:type="pct"/>
            <w:vAlign w:val="center"/>
          </w:tcPr>
          <w:p w:rsidR="0046658C" w:rsidRPr="00FC1444" w:rsidRDefault="007B71AC" w:rsidP="004C7650">
            <w:pPr>
              <w:spacing w:line="0" w:lineRule="atLeast"/>
              <w:contextualSpacing/>
              <w:jc w:val="center"/>
              <w:rPr>
                <w:rFonts w:eastAsiaTheme="minorEastAsia"/>
                <w:szCs w:val="21"/>
              </w:rPr>
            </w:pPr>
            <w:r w:rsidRPr="00FC1444">
              <w:rPr>
                <w:rFonts w:eastAsiaTheme="minorEastAsia"/>
                <w:szCs w:val="21"/>
              </w:rPr>
              <w:t>五营</w:t>
            </w:r>
            <w:r w:rsidR="0046658C" w:rsidRPr="00FC1444">
              <w:rPr>
                <w:rFonts w:eastAsiaTheme="minorEastAsia"/>
                <w:szCs w:val="21"/>
              </w:rPr>
              <w:t>片区下风向</w:t>
            </w:r>
            <w:r w:rsidR="0046658C" w:rsidRPr="00FC1444">
              <w:rPr>
                <w:rFonts w:eastAsiaTheme="minorEastAsia"/>
                <w:szCs w:val="21"/>
              </w:rPr>
              <w:t>○</w:t>
            </w:r>
            <w:r w:rsidR="0046658C" w:rsidRPr="00FC1444">
              <w:rPr>
                <w:rFonts w:eastAsiaTheme="minorEastAsia" w:hint="eastAsia"/>
                <w:szCs w:val="21"/>
              </w:rPr>
              <w:t>3</w:t>
            </w:r>
          </w:p>
        </w:tc>
        <w:tc>
          <w:tcPr>
            <w:tcW w:w="914" w:type="pct"/>
            <w:vAlign w:val="center"/>
          </w:tcPr>
          <w:p w:rsidR="0046658C" w:rsidRPr="00FC1444" w:rsidRDefault="001E5751">
            <w:pPr>
              <w:spacing w:line="0" w:lineRule="atLeast"/>
              <w:contextualSpacing/>
              <w:jc w:val="center"/>
              <w:rPr>
                <w:rFonts w:eastAsiaTheme="minorEastAsia"/>
                <w:kern w:val="0"/>
                <w:szCs w:val="21"/>
              </w:rPr>
            </w:pPr>
            <w:r w:rsidRPr="00FC1444">
              <w:rPr>
                <w:rFonts w:eastAsiaTheme="minorEastAsia"/>
                <w:kern w:val="0"/>
                <w:szCs w:val="21"/>
              </w:rPr>
              <w:t>127.1746834</w:t>
            </w:r>
          </w:p>
        </w:tc>
        <w:tc>
          <w:tcPr>
            <w:tcW w:w="831" w:type="pct"/>
            <w:vAlign w:val="center"/>
          </w:tcPr>
          <w:p w:rsidR="0046658C" w:rsidRPr="00FC1444" w:rsidRDefault="001E5751">
            <w:pPr>
              <w:spacing w:line="0" w:lineRule="atLeast"/>
              <w:contextualSpacing/>
              <w:jc w:val="center"/>
              <w:rPr>
                <w:rFonts w:eastAsiaTheme="minorEastAsia"/>
                <w:kern w:val="0"/>
                <w:szCs w:val="21"/>
              </w:rPr>
            </w:pPr>
            <w:r w:rsidRPr="00FC1444">
              <w:rPr>
                <w:rFonts w:eastAsiaTheme="minorEastAsia"/>
                <w:kern w:val="0"/>
                <w:szCs w:val="21"/>
              </w:rPr>
              <w:t>46.562192</w:t>
            </w:r>
          </w:p>
        </w:tc>
        <w:tc>
          <w:tcPr>
            <w:tcW w:w="498" w:type="pct"/>
            <w:vMerge/>
            <w:vAlign w:val="center"/>
          </w:tcPr>
          <w:p w:rsidR="0046658C" w:rsidRPr="00FC1444" w:rsidRDefault="0046658C">
            <w:pPr>
              <w:spacing w:line="0" w:lineRule="atLeast"/>
              <w:contextualSpacing/>
              <w:jc w:val="center"/>
              <w:rPr>
                <w:rFonts w:eastAsiaTheme="minorEastAsia"/>
                <w:kern w:val="0"/>
                <w:szCs w:val="21"/>
              </w:rPr>
            </w:pPr>
          </w:p>
        </w:tc>
        <w:tc>
          <w:tcPr>
            <w:tcW w:w="823" w:type="pct"/>
            <w:vMerge/>
            <w:vAlign w:val="center"/>
          </w:tcPr>
          <w:p w:rsidR="0046658C" w:rsidRPr="00FC1444" w:rsidRDefault="0046658C">
            <w:pPr>
              <w:spacing w:line="0" w:lineRule="atLeast"/>
              <w:contextualSpacing/>
              <w:jc w:val="center"/>
              <w:rPr>
                <w:rFonts w:eastAsiaTheme="minorEastAsia"/>
                <w:szCs w:val="21"/>
              </w:rPr>
            </w:pPr>
          </w:p>
        </w:tc>
        <w:tc>
          <w:tcPr>
            <w:tcW w:w="476" w:type="pct"/>
            <w:vAlign w:val="center"/>
          </w:tcPr>
          <w:p w:rsidR="0046658C" w:rsidRPr="00FC1444" w:rsidRDefault="001E5751">
            <w:pPr>
              <w:spacing w:line="0" w:lineRule="atLeast"/>
              <w:contextualSpacing/>
              <w:jc w:val="center"/>
              <w:rPr>
                <w:rFonts w:eastAsiaTheme="minorEastAsia"/>
                <w:szCs w:val="21"/>
              </w:rPr>
            </w:pPr>
            <w:r w:rsidRPr="00FC1444">
              <w:rPr>
                <w:rFonts w:eastAsiaTheme="minorEastAsia" w:hint="eastAsia"/>
                <w:szCs w:val="21"/>
              </w:rPr>
              <w:t>NE</w:t>
            </w:r>
          </w:p>
        </w:tc>
        <w:tc>
          <w:tcPr>
            <w:tcW w:w="644" w:type="pct"/>
            <w:vAlign w:val="center"/>
          </w:tcPr>
          <w:p w:rsidR="0046658C" w:rsidRPr="00FC1444" w:rsidRDefault="001E5751">
            <w:pPr>
              <w:spacing w:line="0" w:lineRule="atLeast"/>
              <w:contextualSpacing/>
              <w:jc w:val="center"/>
              <w:rPr>
                <w:rFonts w:eastAsiaTheme="minorEastAsia"/>
                <w:szCs w:val="21"/>
              </w:rPr>
            </w:pPr>
            <w:r w:rsidRPr="00FC1444">
              <w:rPr>
                <w:rFonts w:eastAsiaTheme="minorEastAsia" w:hint="eastAsia"/>
                <w:szCs w:val="21"/>
              </w:rPr>
              <w:t>160</w:t>
            </w:r>
          </w:p>
        </w:tc>
      </w:tr>
      <w:tr w:rsidR="0046658C" w:rsidRPr="00FC1444" w:rsidTr="0058132D">
        <w:trPr>
          <w:trHeight w:val="525"/>
        </w:trPr>
        <w:tc>
          <w:tcPr>
            <w:tcW w:w="814" w:type="pct"/>
            <w:vAlign w:val="center"/>
          </w:tcPr>
          <w:p w:rsidR="0046658C" w:rsidRPr="00FC1444" w:rsidRDefault="007B71AC" w:rsidP="004C7650">
            <w:pPr>
              <w:spacing w:line="0" w:lineRule="atLeast"/>
              <w:contextualSpacing/>
              <w:jc w:val="center"/>
              <w:rPr>
                <w:rFonts w:eastAsiaTheme="minorEastAsia"/>
                <w:szCs w:val="21"/>
              </w:rPr>
            </w:pPr>
            <w:r w:rsidRPr="00FC1444">
              <w:rPr>
                <w:rFonts w:eastAsiaTheme="minorEastAsia"/>
                <w:szCs w:val="21"/>
              </w:rPr>
              <w:t>三河</w:t>
            </w:r>
            <w:r w:rsidR="0046658C" w:rsidRPr="00FC1444">
              <w:rPr>
                <w:rFonts w:eastAsiaTheme="minorEastAsia"/>
                <w:szCs w:val="21"/>
              </w:rPr>
              <w:t>片区下风向</w:t>
            </w:r>
            <w:r w:rsidR="0046658C" w:rsidRPr="00FC1444">
              <w:rPr>
                <w:rFonts w:eastAsiaTheme="minorEastAsia"/>
                <w:szCs w:val="21"/>
              </w:rPr>
              <w:t>○</w:t>
            </w:r>
            <w:r w:rsidR="0046658C" w:rsidRPr="00FC1444">
              <w:rPr>
                <w:rFonts w:eastAsiaTheme="minorEastAsia" w:hint="eastAsia"/>
                <w:szCs w:val="21"/>
              </w:rPr>
              <w:t>4</w:t>
            </w:r>
          </w:p>
        </w:tc>
        <w:tc>
          <w:tcPr>
            <w:tcW w:w="914" w:type="pct"/>
            <w:vAlign w:val="center"/>
          </w:tcPr>
          <w:p w:rsidR="0046658C" w:rsidRPr="00FC1444" w:rsidRDefault="001E5751">
            <w:pPr>
              <w:spacing w:line="0" w:lineRule="atLeast"/>
              <w:contextualSpacing/>
              <w:jc w:val="center"/>
              <w:rPr>
                <w:rFonts w:eastAsiaTheme="minorEastAsia"/>
                <w:kern w:val="0"/>
                <w:szCs w:val="21"/>
              </w:rPr>
            </w:pPr>
            <w:r w:rsidRPr="00FC1444">
              <w:rPr>
                <w:rFonts w:eastAsiaTheme="minorEastAsia"/>
                <w:kern w:val="0"/>
                <w:szCs w:val="21"/>
              </w:rPr>
              <w:t>127.163931</w:t>
            </w:r>
            <w:r w:rsidRPr="00FC1444">
              <w:rPr>
                <w:rFonts w:eastAsiaTheme="minorEastAsia" w:hint="eastAsia"/>
                <w:kern w:val="0"/>
                <w:szCs w:val="21"/>
              </w:rPr>
              <w:t>9</w:t>
            </w:r>
          </w:p>
        </w:tc>
        <w:tc>
          <w:tcPr>
            <w:tcW w:w="831" w:type="pct"/>
            <w:vAlign w:val="center"/>
          </w:tcPr>
          <w:p w:rsidR="0046658C" w:rsidRPr="00FC1444" w:rsidRDefault="001E5751">
            <w:pPr>
              <w:spacing w:line="0" w:lineRule="atLeast"/>
              <w:contextualSpacing/>
              <w:jc w:val="center"/>
              <w:rPr>
                <w:rFonts w:eastAsiaTheme="minorEastAsia"/>
                <w:kern w:val="0"/>
                <w:szCs w:val="21"/>
              </w:rPr>
            </w:pPr>
            <w:r w:rsidRPr="00FC1444">
              <w:rPr>
                <w:rFonts w:eastAsiaTheme="minorEastAsia"/>
                <w:kern w:val="0"/>
                <w:szCs w:val="21"/>
              </w:rPr>
              <w:t>47.024498</w:t>
            </w:r>
          </w:p>
        </w:tc>
        <w:tc>
          <w:tcPr>
            <w:tcW w:w="498" w:type="pct"/>
            <w:vMerge/>
            <w:vAlign w:val="center"/>
          </w:tcPr>
          <w:p w:rsidR="0046658C" w:rsidRPr="00FC1444" w:rsidRDefault="0046658C">
            <w:pPr>
              <w:spacing w:line="0" w:lineRule="atLeast"/>
              <w:contextualSpacing/>
              <w:jc w:val="center"/>
              <w:rPr>
                <w:rFonts w:eastAsiaTheme="minorEastAsia"/>
                <w:kern w:val="0"/>
                <w:szCs w:val="21"/>
              </w:rPr>
            </w:pPr>
          </w:p>
        </w:tc>
        <w:tc>
          <w:tcPr>
            <w:tcW w:w="823" w:type="pct"/>
            <w:vMerge/>
            <w:vAlign w:val="center"/>
          </w:tcPr>
          <w:p w:rsidR="0046658C" w:rsidRPr="00FC1444" w:rsidRDefault="0046658C">
            <w:pPr>
              <w:spacing w:line="0" w:lineRule="atLeast"/>
              <w:contextualSpacing/>
              <w:jc w:val="center"/>
              <w:rPr>
                <w:rFonts w:eastAsiaTheme="minorEastAsia"/>
                <w:szCs w:val="21"/>
              </w:rPr>
            </w:pPr>
          </w:p>
        </w:tc>
        <w:tc>
          <w:tcPr>
            <w:tcW w:w="476" w:type="pct"/>
            <w:vAlign w:val="center"/>
          </w:tcPr>
          <w:p w:rsidR="0046658C" w:rsidRPr="00FC1444" w:rsidRDefault="001E5751">
            <w:pPr>
              <w:spacing w:line="0" w:lineRule="atLeast"/>
              <w:contextualSpacing/>
              <w:jc w:val="center"/>
              <w:rPr>
                <w:rFonts w:eastAsiaTheme="minorEastAsia"/>
                <w:szCs w:val="21"/>
              </w:rPr>
            </w:pPr>
            <w:r w:rsidRPr="00FC1444">
              <w:rPr>
                <w:rFonts w:eastAsiaTheme="minorEastAsia" w:hint="eastAsia"/>
                <w:szCs w:val="21"/>
              </w:rPr>
              <w:t>NE</w:t>
            </w:r>
          </w:p>
        </w:tc>
        <w:tc>
          <w:tcPr>
            <w:tcW w:w="644" w:type="pct"/>
            <w:vAlign w:val="center"/>
          </w:tcPr>
          <w:p w:rsidR="0046658C" w:rsidRPr="00FC1444" w:rsidRDefault="001E5751">
            <w:pPr>
              <w:spacing w:line="0" w:lineRule="atLeast"/>
              <w:contextualSpacing/>
              <w:jc w:val="center"/>
              <w:rPr>
                <w:rFonts w:eastAsiaTheme="minorEastAsia"/>
                <w:szCs w:val="21"/>
              </w:rPr>
            </w:pPr>
            <w:r w:rsidRPr="00FC1444">
              <w:rPr>
                <w:rFonts w:eastAsiaTheme="minorEastAsia" w:hint="eastAsia"/>
                <w:szCs w:val="21"/>
              </w:rPr>
              <w:t>180</w:t>
            </w:r>
          </w:p>
        </w:tc>
      </w:tr>
    </w:tbl>
    <w:p w:rsidR="002A5A5E" w:rsidRPr="00FC1444" w:rsidRDefault="006D4646">
      <w:pPr>
        <w:adjustRightInd w:val="0"/>
        <w:snapToGrid w:val="0"/>
        <w:jc w:val="center"/>
        <w:rPr>
          <w:rFonts w:eastAsiaTheme="minorEastAsia"/>
          <w:b/>
          <w:sz w:val="24"/>
        </w:rPr>
      </w:pPr>
      <w:r w:rsidRPr="00FC1444">
        <w:rPr>
          <w:rFonts w:eastAsiaTheme="minorEastAsia"/>
          <w:b/>
          <w:noProof/>
          <w:sz w:val="24"/>
        </w:rPr>
        <w:drawing>
          <wp:inline distT="0" distB="0" distL="0" distR="0">
            <wp:extent cx="5129919" cy="3953860"/>
            <wp:effectExtent l="19050" t="19050" r="13581" b="27590"/>
            <wp:docPr id="67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srcRect/>
                    <a:stretch>
                      <a:fillRect/>
                    </a:stretch>
                  </pic:blipFill>
                  <pic:spPr bwMode="auto">
                    <a:xfrm>
                      <a:off x="0" y="0"/>
                      <a:ext cx="5136455" cy="3958898"/>
                    </a:xfrm>
                    <a:prstGeom prst="rect">
                      <a:avLst/>
                    </a:prstGeom>
                    <a:noFill/>
                    <a:ln w="9525">
                      <a:solidFill>
                        <a:schemeClr val="tx1"/>
                      </a:solidFill>
                      <a:miter lim="800000"/>
                      <a:headEnd/>
                      <a:tailEnd/>
                    </a:ln>
                  </pic:spPr>
                </pic:pic>
              </a:graphicData>
            </a:graphic>
          </wp:inline>
        </w:drawing>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 xml:space="preserve">4-2-1 </w:t>
      </w:r>
      <w:r w:rsidRPr="00FC1444">
        <w:rPr>
          <w:rFonts w:eastAsiaTheme="minorEastAsia"/>
          <w:b/>
          <w:kern w:val="0"/>
          <w:szCs w:val="21"/>
        </w:rPr>
        <w:t>环境空气补充监测点位（</w:t>
      </w:r>
      <w:r w:rsidRPr="00FC1444">
        <w:rPr>
          <w:rFonts w:eastAsiaTheme="minorEastAsia"/>
          <w:b/>
          <w:kern w:val="0"/>
          <w:szCs w:val="21"/>
        </w:rPr>
        <w:t>1</w:t>
      </w:r>
      <w:r w:rsidRPr="00FC1444">
        <w:rPr>
          <w:rFonts w:eastAsiaTheme="minorEastAsia"/>
          <w:b/>
          <w:kern w:val="0"/>
          <w:szCs w:val="21"/>
        </w:rPr>
        <w:t>）</w:t>
      </w:r>
    </w:p>
    <w:p w:rsidR="002A5A5E" w:rsidRPr="00FC1444" w:rsidRDefault="006D4646">
      <w:pPr>
        <w:adjustRightInd w:val="0"/>
        <w:snapToGrid w:val="0"/>
        <w:jc w:val="center"/>
        <w:rPr>
          <w:rFonts w:eastAsiaTheme="minorEastAsia"/>
          <w:b/>
          <w:sz w:val="24"/>
        </w:rPr>
      </w:pPr>
      <w:r w:rsidRPr="00FC1444">
        <w:rPr>
          <w:rFonts w:eastAsiaTheme="minorEastAsia"/>
          <w:b/>
          <w:noProof/>
          <w:sz w:val="24"/>
        </w:rPr>
        <w:lastRenderedPageBreak/>
        <w:drawing>
          <wp:inline distT="0" distB="0" distL="0" distR="0">
            <wp:extent cx="4953329" cy="4015743"/>
            <wp:effectExtent l="19050" t="19050" r="18721" b="22857"/>
            <wp:docPr id="67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a:srcRect/>
                    <a:stretch>
                      <a:fillRect/>
                    </a:stretch>
                  </pic:blipFill>
                  <pic:spPr bwMode="auto">
                    <a:xfrm>
                      <a:off x="0" y="0"/>
                      <a:ext cx="4955699" cy="4017664"/>
                    </a:xfrm>
                    <a:prstGeom prst="rect">
                      <a:avLst/>
                    </a:prstGeom>
                    <a:noFill/>
                    <a:ln w="9525">
                      <a:solidFill>
                        <a:schemeClr val="tx1"/>
                      </a:solidFill>
                      <a:miter lim="800000"/>
                      <a:headEnd/>
                      <a:tailEnd/>
                    </a:ln>
                  </pic:spPr>
                </pic:pic>
              </a:graphicData>
            </a:graphic>
          </wp:inline>
        </w:drawing>
      </w:r>
    </w:p>
    <w:p w:rsidR="002A5A5E" w:rsidRPr="00FC1444" w:rsidRDefault="00611CBA">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 xml:space="preserve">4-2-2 </w:t>
      </w:r>
      <w:r w:rsidRPr="00FC1444">
        <w:rPr>
          <w:rFonts w:eastAsiaTheme="minorEastAsia"/>
          <w:b/>
          <w:kern w:val="0"/>
          <w:szCs w:val="21"/>
        </w:rPr>
        <w:t>环境空气补充监测点位（</w:t>
      </w:r>
      <w:r w:rsidRPr="00FC1444">
        <w:rPr>
          <w:rFonts w:eastAsiaTheme="minorEastAsia"/>
          <w:b/>
          <w:kern w:val="0"/>
          <w:szCs w:val="21"/>
        </w:rPr>
        <w:t>2</w:t>
      </w:r>
      <w:r w:rsidRPr="00FC1444">
        <w:rPr>
          <w:rFonts w:eastAsiaTheme="minorEastAsia"/>
          <w:b/>
          <w:kern w:val="0"/>
          <w:szCs w:val="21"/>
        </w:rPr>
        <w:t>）</w:t>
      </w:r>
    </w:p>
    <w:p w:rsidR="002E7015" w:rsidRPr="00FC1444" w:rsidRDefault="006D4646" w:rsidP="002E7015">
      <w:pPr>
        <w:contextualSpacing/>
        <w:jc w:val="center"/>
        <w:rPr>
          <w:rFonts w:eastAsiaTheme="minorEastAsia"/>
          <w:b/>
          <w:kern w:val="0"/>
          <w:szCs w:val="21"/>
        </w:rPr>
      </w:pPr>
      <w:r w:rsidRPr="00FC1444">
        <w:rPr>
          <w:rFonts w:eastAsiaTheme="minorEastAsia" w:hint="eastAsia"/>
          <w:b/>
          <w:noProof/>
          <w:kern w:val="0"/>
          <w:szCs w:val="21"/>
        </w:rPr>
        <w:drawing>
          <wp:inline distT="0" distB="0" distL="0" distR="0">
            <wp:extent cx="5007693" cy="3969626"/>
            <wp:effectExtent l="19050" t="19050" r="21507" b="11824"/>
            <wp:docPr id="67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0"/>
                    <a:srcRect/>
                    <a:stretch>
                      <a:fillRect/>
                    </a:stretch>
                  </pic:blipFill>
                  <pic:spPr bwMode="auto">
                    <a:xfrm>
                      <a:off x="0" y="0"/>
                      <a:ext cx="5015061" cy="3975467"/>
                    </a:xfrm>
                    <a:prstGeom prst="rect">
                      <a:avLst/>
                    </a:prstGeom>
                    <a:noFill/>
                    <a:ln w="9525">
                      <a:solidFill>
                        <a:schemeClr val="tx1"/>
                      </a:solidFill>
                      <a:miter lim="800000"/>
                      <a:headEnd/>
                      <a:tailEnd/>
                    </a:ln>
                  </pic:spPr>
                </pic:pic>
              </a:graphicData>
            </a:graphic>
          </wp:inline>
        </w:drawing>
      </w:r>
    </w:p>
    <w:p w:rsidR="002E7015" w:rsidRPr="00FC1444" w:rsidRDefault="002E7015" w:rsidP="002E7015">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4-2-</w:t>
      </w:r>
      <w:r w:rsidRPr="00FC1444">
        <w:rPr>
          <w:rFonts w:eastAsiaTheme="minorEastAsia" w:hint="eastAsia"/>
          <w:b/>
          <w:kern w:val="0"/>
          <w:szCs w:val="21"/>
        </w:rPr>
        <w:t>3</w:t>
      </w:r>
      <w:r w:rsidRPr="00FC1444">
        <w:rPr>
          <w:rFonts w:eastAsiaTheme="minorEastAsia"/>
          <w:b/>
          <w:kern w:val="0"/>
          <w:szCs w:val="21"/>
        </w:rPr>
        <w:t xml:space="preserve"> </w:t>
      </w:r>
      <w:r w:rsidRPr="00FC1444">
        <w:rPr>
          <w:rFonts w:eastAsiaTheme="minorEastAsia"/>
          <w:b/>
          <w:kern w:val="0"/>
          <w:szCs w:val="21"/>
        </w:rPr>
        <w:t>环境空气补充监测点位（</w:t>
      </w:r>
      <w:r w:rsidRPr="00FC1444">
        <w:rPr>
          <w:rFonts w:eastAsiaTheme="minorEastAsia" w:hint="eastAsia"/>
          <w:b/>
          <w:kern w:val="0"/>
          <w:szCs w:val="21"/>
        </w:rPr>
        <w:t>3</w:t>
      </w:r>
      <w:r w:rsidRPr="00FC1444">
        <w:rPr>
          <w:rFonts w:eastAsiaTheme="minorEastAsia"/>
          <w:b/>
          <w:kern w:val="0"/>
          <w:szCs w:val="21"/>
        </w:rPr>
        <w:t>）</w:t>
      </w:r>
    </w:p>
    <w:p w:rsidR="002E7015" w:rsidRPr="00FC1444" w:rsidRDefault="002E7015" w:rsidP="002E7015">
      <w:pPr>
        <w:contextualSpacing/>
        <w:jc w:val="center"/>
        <w:rPr>
          <w:rFonts w:eastAsiaTheme="minorEastAsia"/>
          <w:b/>
          <w:kern w:val="0"/>
          <w:szCs w:val="21"/>
        </w:rPr>
      </w:pPr>
    </w:p>
    <w:p w:rsidR="006D4646" w:rsidRPr="00FC1444" w:rsidRDefault="006D4646" w:rsidP="002E7015">
      <w:pPr>
        <w:contextualSpacing/>
        <w:jc w:val="center"/>
        <w:rPr>
          <w:rFonts w:eastAsiaTheme="minorEastAsia"/>
          <w:b/>
          <w:kern w:val="0"/>
          <w:szCs w:val="21"/>
        </w:rPr>
      </w:pPr>
      <w:r w:rsidRPr="00FC1444">
        <w:rPr>
          <w:rFonts w:eastAsiaTheme="minorEastAsia" w:hint="eastAsia"/>
          <w:b/>
          <w:noProof/>
          <w:kern w:val="0"/>
          <w:szCs w:val="21"/>
        </w:rPr>
        <w:lastRenderedPageBreak/>
        <w:drawing>
          <wp:inline distT="0" distB="0" distL="0" distR="0">
            <wp:extent cx="4839409" cy="3660342"/>
            <wp:effectExtent l="19050" t="19050" r="18341" b="16308"/>
            <wp:docPr id="67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srcRect/>
                    <a:stretch>
                      <a:fillRect/>
                    </a:stretch>
                  </pic:blipFill>
                  <pic:spPr bwMode="auto">
                    <a:xfrm>
                      <a:off x="0" y="0"/>
                      <a:ext cx="4840328" cy="3661037"/>
                    </a:xfrm>
                    <a:prstGeom prst="rect">
                      <a:avLst/>
                    </a:prstGeom>
                    <a:noFill/>
                    <a:ln w="9525">
                      <a:solidFill>
                        <a:schemeClr val="tx1"/>
                      </a:solidFill>
                      <a:miter lim="800000"/>
                      <a:headEnd/>
                      <a:tailEnd/>
                    </a:ln>
                  </pic:spPr>
                </pic:pic>
              </a:graphicData>
            </a:graphic>
          </wp:inline>
        </w:drawing>
      </w:r>
    </w:p>
    <w:p w:rsidR="002E7015" w:rsidRPr="00FC1444" w:rsidRDefault="002E7015" w:rsidP="002E7015">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4-2-</w:t>
      </w:r>
      <w:r w:rsidRPr="00FC1444">
        <w:rPr>
          <w:rFonts w:eastAsiaTheme="minorEastAsia" w:hint="eastAsia"/>
          <w:b/>
          <w:kern w:val="0"/>
          <w:szCs w:val="21"/>
        </w:rPr>
        <w:t>4</w:t>
      </w:r>
      <w:r w:rsidRPr="00FC1444">
        <w:rPr>
          <w:rFonts w:eastAsiaTheme="minorEastAsia"/>
          <w:b/>
          <w:kern w:val="0"/>
          <w:szCs w:val="21"/>
        </w:rPr>
        <w:t xml:space="preserve"> </w:t>
      </w:r>
      <w:r w:rsidRPr="00FC1444">
        <w:rPr>
          <w:rFonts w:eastAsiaTheme="minorEastAsia"/>
          <w:b/>
          <w:kern w:val="0"/>
          <w:szCs w:val="21"/>
        </w:rPr>
        <w:t>环境空气补充监测点位（</w:t>
      </w:r>
      <w:r w:rsidRPr="00FC1444">
        <w:rPr>
          <w:rFonts w:eastAsiaTheme="minorEastAsia" w:hint="eastAsia"/>
          <w:b/>
          <w:kern w:val="0"/>
          <w:szCs w:val="21"/>
        </w:rPr>
        <w:t>4</w:t>
      </w:r>
      <w:r w:rsidRPr="00FC1444">
        <w:rPr>
          <w:rFonts w:eastAsiaTheme="minorEastAsia"/>
          <w:b/>
          <w:kern w:val="0"/>
          <w:szCs w:val="21"/>
        </w:rPr>
        <w:t>）</w:t>
      </w:r>
    </w:p>
    <w:p w:rsidR="002A5A5E" w:rsidRPr="00FC1444" w:rsidRDefault="002A5A5E"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6D4646" w:rsidRPr="00FC1444" w:rsidRDefault="006D4646" w:rsidP="006364CE">
      <w:pPr>
        <w:adjustRightInd w:val="0"/>
        <w:snapToGrid w:val="0"/>
        <w:jc w:val="center"/>
        <w:rPr>
          <w:rFonts w:eastAsiaTheme="minorEastAsia"/>
          <w:b/>
          <w:kern w:val="0"/>
          <w:szCs w:val="21"/>
        </w:rPr>
      </w:pPr>
    </w:p>
    <w:p w:rsidR="006D4646" w:rsidRPr="00FC1444" w:rsidRDefault="006D4646" w:rsidP="006364CE">
      <w:pPr>
        <w:adjustRightInd w:val="0"/>
        <w:snapToGrid w:val="0"/>
        <w:jc w:val="center"/>
        <w:rPr>
          <w:rFonts w:eastAsiaTheme="minorEastAsia"/>
          <w:b/>
          <w:kern w:val="0"/>
          <w:szCs w:val="21"/>
        </w:rPr>
      </w:pPr>
    </w:p>
    <w:p w:rsidR="006D4646" w:rsidRPr="00FC1444" w:rsidRDefault="006D4646" w:rsidP="006364CE">
      <w:pPr>
        <w:adjustRightInd w:val="0"/>
        <w:snapToGrid w:val="0"/>
        <w:jc w:val="center"/>
        <w:rPr>
          <w:rFonts w:eastAsiaTheme="minorEastAsia"/>
          <w:b/>
          <w:kern w:val="0"/>
          <w:szCs w:val="21"/>
        </w:rPr>
      </w:pPr>
    </w:p>
    <w:p w:rsidR="006D4646" w:rsidRPr="00FC1444" w:rsidRDefault="006D4646" w:rsidP="006364CE">
      <w:pPr>
        <w:adjustRightInd w:val="0"/>
        <w:snapToGrid w:val="0"/>
        <w:jc w:val="center"/>
        <w:rPr>
          <w:rFonts w:eastAsiaTheme="minorEastAsia"/>
          <w:b/>
          <w:kern w:val="0"/>
          <w:szCs w:val="21"/>
        </w:rPr>
      </w:pPr>
    </w:p>
    <w:p w:rsidR="006D4646" w:rsidRPr="00FC1444" w:rsidRDefault="006D4646" w:rsidP="006364CE">
      <w:pPr>
        <w:adjustRightInd w:val="0"/>
        <w:snapToGrid w:val="0"/>
        <w:jc w:val="center"/>
        <w:rPr>
          <w:rFonts w:eastAsiaTheme="minorEastAsia"/>
          <w:b/>
          <w:kern w:val="0"/>
          <w:szCs w:val="21"/>
        </w:rPr>
      </w:pPr>
    </w:p>
    <w:p w:rsidR="006D4646" w:rsidRPr="00FC1444" w:rsidRDefault="006D4646" w:rsidP="006364CE">
      <w:pPr>
        <w:adjustRightInd w:val="0"/>
        <w:snapToGrid w:val="0"/>
        <w:jc w:val="center"/>
        <w:rPr>
          <w:rFonts w:eastAsiaTheme="minorEastAsia"/>
          <w:b/>
          <w:kern w:val="0"/>
          <w:szCs w:val="21"/>
        </w:rPr>
      </w:pPr>
    </w:p>
    <w:p w:rsidR="006D4646" w:rsidRPr="00FC1444" w:rsidRDefault="006D4646"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E7015" w:rsidRPr="00FC1444" w:rsidRDefault="002E7015" w:rsidP="006364CE">
      <w:pPr>
        <w:adjustRightInd w:val="0"/>
        <w:snapToGrid w:val="0"/>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 xml:space="preserve">4-2-3 </w:t>
      </w:r>
      <w:r w:rsidRPr="00FC1444">
        <w:rPr>
          <w:rFonts w:eastAsiaTheme="minorEastAsia"/>
          <w:b/>
          <w:kern w:val="0"/>
          <w:szCs w:val="21"/>
        </w:rPr>
        <w:t>其他污染物环境质量现状（监测结果）表</w:t>
      </w:r>
    </w:p>
    <w:tbl>
      <w:tblPr>
        <w:tblW w:w="5103" w:type="pct"/>
        <w:jc w:val="center"/>
        <w:tblBorders>
          <w:top w:val="single" w:sz="12" w:space="0" w:color="000000"/>
          <w:bottom w:val="single" w:sz="12" w:space="0" w:color="000000"/>
          <w:insideH w:val="single" w:sz="4" w:space="0" w:color="000000"/>
          <w:insideV w:val="single" w:sz="4" w:space="0" w:color="000000"/>
        </w:tblBorders>
        <w:tblLook w:val="04A0"/>
      </w:tblPr>
      <w:tblGrid>
        <w:gridCol w:w="973"/>
        <w:gridCol w:w="1320"/>
        <w:gridCol w:w="1110"/>
        <w:gridCol w:w="623"/>
        <w:gridCol w:w="1141"/>
        <w:gridCol w:w="924"/>
        <w:gridCol w:w="1052"/>
        <w:gridCol w:w="678"/>
        <w:gridCol w:w="451"/>
        <w:gridCol w:w="426"/>
      </w:tblGrid>
      <w:tr w:rsidR="002A5A5E" w:rsidRPr="00FC1444" w:rsidTr="00377111">
        <w:trPr>
          <w:trHeight w:val="634"/>
          <w:jc w:val="center"/>
        </w:trPr>
        <w:tc>
          <w:tcPr>
            <w:tcW w:w="559" w:type="pct"/>
            <w:vMerge w:val="restar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监测点位</w:t>
            </w:r>
          </w:p>
        </w:tc>
        <w:tc>
          <w:tcPr>
            <w:tcW w:w="1396" w:type="pct"/>
            <w:gridSpan w:val="2"/>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监测点坐标</w:t>
            </w:r>
            <w:r w:rsidRPr="00FC1444">
              <w:rPr>
                <w:rFonts w:eastAsiaTheme="minorEastAsia"/>
                <w:kern w:val="0"/>
                <w:szCs w:val="21"/>
              </w:rPr>
              <w:t>/°</w:t>
            </w:r>
          </w:p>
        </w:tc>
        <w:tc>
          <w:tcPr>
            <w:tcW w:w="358" w:type="pct"/>
            <w:vMerge w:val="restar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污染物</w:t>
            </w:r>
          </w:p>
        </w:tc>
        <w:tc>
          <w:tcPr>
            <w:tcW w:w="656" w:type="pct"/>
            <w:vMerge w:val="restar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平均时间</w:t>
            </w:r>
          </w:p>
        </w:tc>
        <w:tc>
          <w:tcPr>
            <w:tcW w:w="531" w:type="pct"/>
            <w:vMerge w:val="restar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评价标准</w:t>
            </w:r>
            <w:r w:rsidRPr="00FC1444">
              <w:rPr>
                <w:rFonts w:eastAsiaTheme="minorEastAsia"/>
                <w:kern w:val="0"/>
                <w:szCs w:val="21"/>
              </w:rPr>
              <w:t>/(μg/m</w:t>
            </w:r>
            <w:r w:rsidRPr="00FC1444">
              <w:rPr>
                <w:rFonts w:eastAsiaTheme="minorEastAsia"/>
                <w:kern w:val="0"/>
                <w:szCs w:val="21"/>
                <w:vertAlign w:val="superscript"/>
              </w:rPr>
              <w:t>3</w:t>
            </w:r>
            <w:r w:rsidRPr="00FC1444">
              <w:rPr>
                <w:rFonts w:eastAsiaTheme="minorEastAsia"/>
                <w:kern w:val="0"/>
                <w:szCs w:val="21"/>
              </w:rPr>
              <w:t>)</w:t>
            </w:r>
          </w:p>
        </w:tc>
        <w:tc>
          <w:tcPr>
            <w:tcW w:w="605" w:type="pct"/>
            <w:vMerge w:val="restar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监测浓度范围</w:t>
            </w:r>
            <w:r w:rsidRPr="00FC1444">
              <w:rPr>
                <w:rFonts w:eastAsiaTheme="minorEastAsia"/>
                <w:kern w:val="0"/>
                <w:szCs w:val="21"/>
              </w:rPr>
              <w:t>/(μg/m</w:t>
            </w:r>
            <w:r w:rsidRPr="00FC1444">
              <w:rPr>
                <w:rFonts w:eastAsiaTheme="minorEastAsia"/>
                <w:kern w:val="0"/>
                <w:szCs w:val="21"/>
                <w:vertAlign w:val="superscript"/>
              </w:rPr>
              <w:t>3</w:t>
            </w:r>
            <w:r w:rsidRPr="00FC1444">
              <w:rPr>
                <w:rFonts w:eastAsiaTheme="minorEastAsia"/>
                <w:kern w:val="0"/>
                <w:szCs w:val="21"/>
              </w:rPr>
              <w:t>)</w:t>
            </w:r>
          </w:p>
        </w:tc>
        <w:tc>
          <w:tcPr>
            <w:tcW w:w="390" w:type="pct"/>
            <w:vMerge w:val="restar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最大浓度占标率</w:t>
            </w:r>
            <w:r w:rsidRPr="00FC1444">
              <w:rPr>
                <w:rFonts w:eastAsiaTheme="minorEastAsia"/>
                <w:kern w:val="0"/>
                <w:szCs w:val="21"/>
              </w:rPr>
              <w:t>/%</w:t>
            </w:r>
          </w:p>
        </w:tc>
        <w:tc>
          <w:tcPr>
            <w:tcW w:w="259" w:type="pct"/>
            <w:vMerge w:val="restar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超标率</w:t>
            </w:r>
            <w:r w:rsidRPr="00FC1444">
              <w:rPr>
                <w:rFonts w:eastAsiaTheme="minorEastAsia"/>
                <w:kern w:val="0"/>
                <w:szCs w:val="21"/>
              </w:rPr>
              <w:t>/%</w:t>
            </w:r>
          </w:p>
        </w:tc>
        <w:tc>
          <w:tcPr>
            <w:tcW w:w="245" w:type="pct"/>
            <w:vMerge w:val="restar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达标情况</w:t>
            </w:r>
          </w:p>
        </w:tc>
      </w:tr>
      <w:tr w:rsidR="002A5A5E" w:rsidRPr="00FC1444" w:rsidTr="00377111">
        <w:trPr>
          <w:trHeight w:val="56"/>
          <w:jc w:val="center"/>
        </w:trPr>
        <w:tc>
          <w:tcPr>
            <w:tcW w:w="559" w:type="pct"/>
            <w:vMerge/>
            <w:vAlign w:val="center"/>
          </w:tcPr>
          <w:p w:rsidR="002A5A5E" w:rsidRPr="00FC1444" w:rsidRDefault="002A5A5E">
            <w:pPr>
              <w:widowControl/>
              <w:spacing w:line="0" w:lineRule="atLeast"/>
              <w:jc w:val="left"/>
              <w:rPr>
                <w:rFonts w:eastAsiaTheme="minorEastAsia"/>
                <w:kern w:val="0"/>
                <w:szCs w:val="21"/>
              </w:rPr>
            </w:pPr>
          </w:p>
        </w:tc>
        <w:tc>
          <w:tcPr>
            <w:tcW w:w="758" w:type="pct"/>
            <w:vAlign w:val="center"/>
          </w:tcPr>
          <w:p w:rsidR="002A5A5E" w:rsidRPr="00FC1444" w:rsidRDefault="00611CBA">
            <w:pPr>
              <w:adjustRightInd w:val="0"/>
              <w:snapToGrid w:val="0"/>
              <w:spacing w:line="0" w:lineRule="atLeast"/>
              <w:jc w:val="center"/>
              <w:rPr>
                <w:rFonts w:eastAsiaTheme="minorEastAsia"/>
                <w:kern w:val="0"/>
                <w:szCs w:val="21"/>
              </w:rPr>
            </w:pPr>
            <w:r w:rsidRPr="00FC1444">
              <w:rPr>
                <w:rFonts w:eastAsiaTheme="minorEastAsia"/>
                <w:kern w:val="0"/>
                <w:szCs w:val="21"/>
              </w:rPr>
              <w:t>经度</w:t>
            </w:r>
          </w:p>
        </w:tc>
        <w:tc>
          <w:tcPr>
            <w:tcW w:w="638" w:type="pct"/>
            <w:vAlign w:val="center"/>
          </w:tcPr>
          <w:p w:rsidR="002A5A5E" w:rsidRPr="00FC1444" w:rsidRDefault="00611CBA">
            <w:pPr>
              <w:adjustRightInd w:val="0"/>
              <w:snapToGrid w:val="0"/>
              <w:spacing w:line="0" w:lineRule="atLeast"/>
              <w:jc w:val="center"/>
              <w:rPr>
                <w:rFonts w:eastAsiaTheme="minorEastAsia"/>
                <w:kern w:val="0"/>
                <w:szCs w:val="21"/>
              </w:rPr>
            </w:pPr>
            <w:r w:rsidRPr="00FC1444">
              <w:rPr>
                <w:rFonts w:eastAsiaTheme="minorEastAsia"/>
                <w:kern w:val="0"/>
                <w:szCs w:val="21"/>
              </w:rPr>
              <w:t>纬度</w:t>
            </w:r>
          </w:p>
        </w:tc>
        <w:tc>
          <w:tcPr>
            <w:tcW w:w="358" w:type="pct"/>
            <w:vMerge/>
            <w:vAlign w:val="center"/>
          </w:tcPr>
          <w:p w:rsidR="002A5A5E" w:rsidRPr="00FC1444" w:rsidRDefault="002A5A5E">
            <w:pPr>
              <w:widowControl/>
              <w:spacing w:line="0" w:lineRule="atLeast"/>
              <w:jc w:val="left"/>
              <w:rPr>
                <w:rFonts w:eastAsiaTheme="minorEastAsia"/>
                <w:kern w:val="0"/>
                <w:szCs w:val="21"/>
              </w:rPr>
            </w:pPr>
          </w:p>
        </w:tc>
        <w:tc>
          <w:tcPr>
            <w:tcW w:w="656" w:type="pct"/>
            <w:vMerge/>
            <w:vAlign w:val="center"/>
          </w:tcPr>
          <w:p w:rsidR="002A5A5E" w:rsidRPr="00FC1444" w:rsidRDefault="002A5A5E">
            <w:pPr>
              <w:widowControl/>
              <w:spacing w:line="0" w:lineRule="atLeast"/>
              <w:jc w:val="left"/>
              <w:rPr>
                <w:rFonts w:eastAsiaTheme="minorEastAsia"/>
                <w:kern w:val="0"/>
                <w:szCs w:val="21"/>
              </w:rPr>
            </w:pPr>
          </w:p>
        </w:tc>
        <w:tc>
          <w:tcPr>
            <w:tcW w:w="0" w:type="auto"/>
            <w:vMerge/>
            <w:vAlign w:val="center"/>
          </w:tcPr>
          <w:p w:rsidR="002A5A5E" w:rsidRPr="00FC1444" w:rsidRDefault="002A5A5E">
            <w:pPr>
              <w:widowControl/>
              <w:spacing w:line="0" w:lineRule="atLeast"/>
              <w:jc w:val="left"/>
              <w:rPr>
                <w:rFonts w:eastAsiaTheme="minorEastAsia"/>
                <w:kern w:val="0"/>
                <w:szCs w:val="21"/>
              </w:rPr>
            </w:pPr>
          </w:p>
        </w:tc>
        <w:tc>
          <w:tcPr>
            <w:tcW w:w="605" w:type="pct"/>
            <w:vMerge/>
            <w:vAlign w:val="center"/>
          </w:tcPr>
          <w:p w:rsidR="002A5A5E" w:rsidRPr="00FC1444" w:rsidRDefault="002A5A5E">
            <w:pPr>
              <w:widowControl/>
              <w:spacing w:line="0" w:lineRule="atLeast"/>
              <w:jc w:val="left"/>
              <w:rPr>
                <w:rFonts w:eastAsiaTheme="minorEastAsia"/>
                <w:kern w:val="0"/>
                <w:szCs w:val="21"/>
              </w:rPr>
            </w:pPr>
          </w:p>
        </w:tc>
        <w:tc>
          <w:tcPr>
            <w:tcW w:w="390" w:type="pct"/>
            <w:vMerge/>
            <w:vAlign w:val="center"/>
          </w:tcPr>
          <w:p w:rsidR="002A5A5E" w:rsidRPr="00FC1444" w:rsidRDefault="002A5A5E">
            <w:pPr>
              <w:widowControl/>
              <w:spacing w:line="0" w:lineRule="atLeast"/>
              <w:jc w:val="left"/>
              <w:rPr>
                <w:rFonts w:eastAsiaTheme="minorEastAsia"/>
                <w:kern w:val="0"/>
                <w:szCs w:val="21"/>
              </w:rPr>
            </w:pPr>
          </w:p>
        </w:tc>
        <w:tc>
          <w:tcPr>
            <w:tcW w:w="0" w:type="auto"/>
            <w:vMerge/>
            <w:vAlign w:val="center"/>
          </w:tcPr>
          <w:p w:rsidR="002A5A5E" w:rsidRPr="00FC1444" w:rsidRDefault="002A5A5E">
            <w:pPr>
              <w:widowControl/>
              <w:spacing w:line="0" w:lineRule="atLeast"/>
              <w:jc w:val="left"/>
              <w:rPr>
                <w:rFonts w:eastAsiaTheme="minorEastAsia"/>
                <w:kern w:val="0"/>
                <w:szCs w:val="21"/>
              </w:rPr>
            </w:pPr>
          </w:p>
        </w:tc>
        <w:tc>
          <w:tcPr>
            <w:tcW w:w="0" w:type="auto"/>
            <w:vMerge/>
            <w:vAlign w:val="center"/>
          </w:tcPr>
          <w:p w:rsidR="002A5A5E" w:rsidRPr="00FC1444" w:rsidRDefault="002A5A5E">
            <w:pPr>
              <w:widowControl/>
              <w:spacing w:line="0" w:lineRule="atLeast"/>
              <w:jc w:val="left"/>
              <w:rPr>
                <w:rFonts w:eastAsiaTheme="minorEastAsia"/>
                <w:kern w:val="0"/>
                <w:szCs w:val="21"/>
              </w:rPr>
            </w:pPr>
          </w:p>
        </w:tc>
      </w:tr>
      <w:tr w:rsidR="001E5751" w:rsidRPr="00FC1444" w:rsidTr="00377111">
        <w:trPr>
          <w:jc w:val="center"/>
        </w:trPr>
        <w:tc>
          <w:tcPr>
            <w:tcW w:w="559" w:type="pct"/>
            <w:vMerge w:val="restart"/>
            <w:vAlign w:val="center"/>
          </w:tcPr>
          <w:p w:rsidR="001E5751" w:rsidRPr="00FC1444" w:rsidRDefault="001E5751" w:rsidP="006364CE">
            <w:pPr>
              <w:spacing w:line="0" w:lineRule="atLeast"/>
              <w:contextualSpacing/>
              <w:jc w:val="center"/>
              <w:rPr>
                <w:rFonts w:eastAsiaTheme="minorEastAsia"/>
                <w:szCs w:val="21"/>
              </w:rPr>
            </w:pPr>
            <w:r w:rsidRPr="00FC1444">
              <w:rPr>
                <w:rFonts w:eastAsiaTheme="minorEastAsia"/>
                <w:szCs w:val="21"/>
              </w:rPr>
              <w:t>绥胜片区下风向</w:t>
            </w:r>
            <w:r w:rsidRPr="00FC1444">
              <w:rPr>
                <w:rFonts w:eastAsiaTheme="minorEastAsia"/>
                <w:szCs w:val="21"/>
              </w:rPr>
              <w:t>○1</w:t>
            </w:r>
          </w:p>
        </w:tc>
        <w:tc>
          <w:tcPr>
            <w:tcW w:w="758" w:type="pct"/>
            <w:vMerge w:val="restart"/>
            <w:vAlign w:val="center"/>
          </w:tcPr>
          <w:p w:rsidR="001E5751" w:rsidRPr="00FC1444" w:rsidRDefault="001E5751" w:rsidP="00C04989">
            <w:pPr>
              <w:spacing w:line="0" w:lineRule="atLeast"/>
              <w:contextualSpacing/>
              <w:jc w:val="center"/>
              <w:rPr>
                <w:rFonts w:eastAsiaTheme="minorEastAsia"/>
                <w:kern w:val="0"/>
                <w:szCs w:val="21"/>
              </w:rPr>
            </w:pPr>
            <w:r w:rsidRPr="00FC1444">
              <w:rPr>
                <w:rFonts w:eastAsiaTheme="minorEastAsia"/>
                <w:kern w:val="0"/>
                <w:szCs w:val="21"/>
              </w:rPr>
              <w:t>126.5243286</w:t>
            </w:r>
          </w:p>
        </w:tc>
        <w:tc>
          <w:tcPr>
            <w:tcW w:w="638" w:type="pct"/>
            <w:vMerge w:val="restart"/>
            <w:vAlign w:val="center"/>
          </w:tcPr>
          <w:p w:rsidR="001E5751" w:rsidRPr="00FC1444" w:rsidRDefault="001E5751" w:rsidP="00C04989">
            <w:pPr>
              <w:spacing w:line="0" w:lineRule="atLeast"/>
              <w:contextualSpacing/>
              <w:jc w:val="center"/>
              <w:rPr>
                <w:rFonts w:eastAsiaTheme="minorEastAsia"/>
                <w:kern w:val="0"/>
                <w:szCs w:val="21"/>
              </w:rPr>
            </w:pPr>
            <w:r w:rsidRPr="00FC1444">
              <w:rPr>
                <w:rFonts w:eastAsiaTheme="minorEastAsia"/>
                <w:kern w:val="0"/>
                <w:szCs w:val="21"/>
              </w:rPr>
              <w:t>46.332617</w:t>
            </w:r>
          </w:p>
        </w:tc>
        <w:tc>
          <w:tcPr>
            <w:tcW w:w="358" w:type="pct"/>
            <w:vAlign w:val="center"/>
          </w:tcPr>
          <w:p w:rsidR="001E5751" w:rsidRPr="00FC1444" w:rsidRDefault="001E5751">
            <w:pPr>
              <w:spacing w:line="0" w:lineRule="atLeast"/>
              <w:jc w:val="center"/>
              <w:rPr>
                <w:rFonts w:eastAsiaTheme="minorEastAsia"/>
                <w:kern w:val="0"/>
                <w:szCs w:val="21"/>
              </w:rPr>
            </w:pPr>
            <w:r w:rsidRPr="00FC1444">
              <w:rPr>
                <w:rFonts w:eastAsiaTheme="minorEastAsia"/>
                <w:kern w:val="0"/>
                <w:szCs w:val="21"/>
              </w:rPr>
              <w:t>TSP</w:t>
            </w:r>
          </w:p>
        </w:tc>
        <w:tc>
          <w:tcPr>
            <w:tcW w:w="656" w:type="pct"/>
            <w:vAlign w:val="center"/>
          </w:tcPr>
          <w:p w:rsidR="001E5751" w:rsidRPr="00FC1444" w:rsidRDefault="001E5751">
            <w:pPr>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小时均值</w:t>
            </w:r>
          </w:p>
        </w:tc>
        <w:tc>
          <w:tcPr>
            <w:tcW w:w="0" w:type="auto"/>
            <w:vAlign w:val="center"/>
          </w:tcPr>
          <w:p w:rsidR="001E5751" w:rsidRPr="00FC1444" w:rsidRDefault="001E5751">
            <w:pPr>
              <w:widowControl/>
              <w:spacing w:line="0" w:lineRule="atLeast"/>
              <w:jc w:val="center"/>
              <w:rPr>
                <w:rFonts w:eastAsiaTheme="minorEastAsia"/>
                <w:kern w:val="0"/>
                <w:szCs w:val="21"/>
              </w:rPr>
            </w:pPr>
            <w:r w:rsidRPr="00FC1444">
              <w:rPr>
                <w:rFonts w:eastAsiaTheme="minorEastAsia"/>
                <w:kern w:val="0"/>
                <w:szCs w:val="21"/>
              </w:rPr>
              <w:t>300</w:t>
            </w:r>
          </w:p>
        </w:tc>
        <w:tc>
          <w:tcPr>
            <w:tcW w:w="605" w:type="pct"/>
            <w:vAlign w:val="center"/>
          </w:tcPr>
          <w:p w:rsidR="001E5751" w:rsidRPr="00FC1444" w:rsidRDefault="007355A7" w:rsidP="007355A7">
            <w:pPr>
              <w:spacing w:line="0" w:lineRule="atLeast"/>
              <w:jc w:val="center"/>
              <w:rPr>
                <w:rFonts w:eastAsiaTheme="minorEastAsia"/>
                <w:kern w:val="0"/>
                <w:szCs w:val="21"/>
              </w:rPr>
            </w:pPr>
            <w:r w:rsidRPr="00FC1444">
              <w:rPr>
                <w:rFonts w:eastAsiaTheme="minorEastAsia" w:hint="eastAsia"/>
                <w:kern w:val="0"/>
                <w:szCs w:val="21"/>
              </w:rPr>
              <w:t>80</w:t>
            </w:r>
            <w:r w:rsidR="001E5751" w:rsidRPr="00FC1444">
              <w:rPr>
                <w:rFonts w:eastAsiaTheme="minorEastAsia"/>
                <w:kern w:val="0"/>
                <w:szCs w:val="21"/>
              </w:rPr>
              <w:t>-</w:t>
            </w:r>
            <w:r w:rsidRPr="00FC1444">
              <w:rPr>
                <w:rFonts w:eastAsiaTheme="minorEastAsia" w:hint="eastAsia"/>
                <w:kern w:val="0"/>
                <w:szCs w:val="21"/>
              </w:rPr>
              <w:t>85</w:t>
            </w:r>
          </w:p>
        </w:tc>
        <w:tc>
          <w:tcPr>
            <w:tcW w:w="390" w:type="pct"/>
            <w:vAlign w:val="center"/>
          </w:tcPr>
          <w:p w:rsidR="001E5751" w:rsidRPr="00FC1444" w:rsidRDefault="00DE1D55">
            <w:pPr>
              <w:spacing w:line="0" w:lineRule="atLeast"/>
              <w:jc w:val="center"/>
              <w:rPr>
                <w:rFonts w:eastAsiaTheme="minorEastAsia"/>
                <w:kern w:val="0"/>
                <w:szCs w:val="21"/>
              </w:rPr>
            </w:pPr>
            <w:r w:rsidRPr="00FC1444">
              <w:rPr>
                <w:rFonts w:eastAsiaTheme="minorEastAsia" w:hint="eastAsia"/>
                <w:kern w:val="0"/>
                <w:szCs w:val="21"/>
              </w:rPr>
              <w:t>28.3</w:t>
            </w:r>
          </w:p>
        </w:tc>
        <w:tc>
          <w:tcPr>
            <w:tcW w:w="259" w:type="pct"/>
            <w:vAlign w:val="center"/>
          </w:tcPr>
          <w:p w:rsidR="001E5751" w:rsidRPr="00FC1444" w:rsidRDefault="001E5751">
            <w:pPr>
              <w:spacing w:line="0" w:lineRule="atLeast"/>
              <w:jc w:val="center"/>
              <w:rPr>
                <w:rFonts w:eastAsiaTheme="minorEastAsia"/>
                <w:kern w:val="0"/>
                <w:szCs w:val="21"/>
              </w:rPr>
            </w:pPr>
            <w:r w:rsidRPr="00FC1444">
              <w:rPr>
                <w:rFonts w:eastAsiaTheme="minorEastAsia"/>
                <w:kern w:val="0"/>
                <w:szCs w:val="21"/>
              </w:rPr>
              <w:t>0</w:t>
            </w:r>
          </w:p>
        </w:tc>
        <w:tc>
          <w:tcPr>
            <w:tcW w:w="0" w:type="auto"/>
            <w:vAlign w:val="center"/>
          </w:tcPr>
          <w:p w:rsidR="001E5751" w:rsidRPr="00FC1444" w:rsidRDefault="001E5751">
            <w:pPr>
              <w:widowControl/>
              <w:spacing w:line="0" w:lineRule="atLeast"/>
              <w:jc w:val="left"/>
              <w:rPr>
                <w:rFonts w:eastAsiaTheme="minorEastAsia"/>
                <w:kern w:val="0"/>
                <w:szCs w:val="21"/>
              </w:rPr>
            </w:pPr>
            <w:r w:rsidRPr="00FC1444">
              <w:rPr>
                <w:rFonts w:eastAsiaTheme="minorEastAsia"/>
                <w:kern w:val="0"/>
                <w:szCs w:val="21"/>
              </w:rPr>
              <w:t>达标</w:t>
            </w:r>
          </w:p>
        </w:tc>
      </w:tr>
      <w:tr w:rsidR="006364CE" w:rsidRPr="00FC1444" w:rsidTr="00377111">
        <w:trPr>
          <w:trHeight w:val="591"/>
          <w:jc w:val="center"/>
        </w:trPr>
        <w:tc>
          <w:tcPr>
            <w:tcW w:w="559" w:type="pct"/>
            <w:vMerge/>
            <w:vAlign w:val="center"/>
          </w:tcPr>
          <w:p w:rsidR="006364CE" w:rsidRPr="00FC1444" w:rsidRDefault="006364CE">
            <w:pPr>
              <w:spacing w:line="0" w:lineRule="atLeast"/>
              <w:jc w:val="center"/>
              <w:rPr>
                <w:rFonts w:eastAsiaTheme="minorEastAsia"/>
                <w:szCs w:val="21"/>
              </w:rPr>
            </w:pPr>
          </w:p>
        </w:tc>
        <w:tc>
          <w:tcPr>
            <w:tcW w:w="758" w:type="pct"/>
            <w:vMerge/>
            <w:vAlign w:val="center"/>
          </w:tcPr>
          <w:p w:rsidR="006364CE" w:rsidRPr="00FC1444" w:rsidRDefault="006364CE">
            <w:pPr>
              <w:spacing w:line="0" w:lineRule="atLeast"/>
              <w:jc w:val="center"/>
              <w:rPr>
                <w:rFonts w:eastAsiaTheme="minorEastAsia"/>
                <w:kern w:val="0"/>
                <w:szCs w:val="21"/>
              </w:rPr>
            </w:pPr>
          </w:p>
        </w:tc>
        <w:tc>
          <w:tcPr>
            <w:tcW w:w="638" w:type="pct"/>
            <w:vMerge/>
            <w:vAlign w:val="center"/>
          </w:tcPr>
          <w:p w:rsidR="006364CE" w:rsidRPr="00FC1444" w:rsidRDefault="006364CE">
            <w:pPr>
              <w:spacing w:line="0" w:lineRule="atLeast"/>
              <w:jc w:val="center"/>
              <w:rPr>
                <w:rFonts w:eastAsiaTheme="minorEastAsia"/>
                <w:kern w:val="0"/>
                <w:szCs w:val="21"/>
              </w:rPr>
            </w:pPr>
          </w:p>
        </w:tc>
        <w:tc>
          <w:tcPr>
            <w:tcW w:w="358" w:type="pct"/>
            <w:vMerge w:val="restart"/>
            <w:vAlign w:val="center"/>
          </w:tcPr>
          <w:p w:rsidR="006364CE" w:rsidRPr="00FC1444" w:rsidRDefault="006364CE">
            <w:pPr>
              <w:widowControl/>
              <w:spacing w:line="0" w:lineRule="atLeast"/>
              <w:jc w:val="center"/>
              <w:rPr>
                <w:rFonts w:eastAsiaTheme="minorEastAsia"/>
                <w:kern w:val="0"/>
                <w:szCs w:val="21"/>
              </w:rPr>
            </w:pPr>
            <w:r w:rsidRPr="00FC1444">
              <w:rPr>
                <w:rFonts w:eastAsiaTheme="minorEastAsia"/>
                <w:kern w:val="0"/>
                <w:szCs w:val="21"/>
              </w:rPr>
              <w:t>NO</w:t>
            </w:r>
            <w:r w:rsidRPr="00FC1444">
              <w:rPr>
                <w:rFonts w:eastAsiaTheme="minorEastAsia"/>
                <w:kern w:val="0"/>
                <w:szCs w:val="21"/>
                <w:vertAlign w:val="subscript"/>
              </w:rPr>
              <w:t>X</w:t>
            </w:r>
          </w:p>
        </w:tc>
        <w:tc>
          <w:tcPr>
            <w:tcW w:w="656" w:type="pct"/>
            <w:vAlign w:val="center"/>
          </w:tcPr>
          <w:p w:rsidR="006364CE" w:rsidRPr="00FC1444" w:rsidRDefault="006364CE">
            <w:pPr>
              <w:spacing w:line="0" w:lineRule="atLeast"/>
              <w:jc w:val="center"/>
              <w:rPr>
                <w:rFonts w:eastAsiaTheme="minorEastAsia"/>
                <w:kern w:val="0"/>
                <w:szCs w:val="21"/>
              </w:rPr>
            </w:pPr>
            <w:r w:rsidRPr="00FC1444">
              <w:rPr>
                <w:rFonts w:eastAsiaTheme="minorEastAsia"/>
                <w:kern w:val="0"/>
                <w:szCs w:val="21"/>
              </w:rPr>
              <w:t>1</w:t>
            </w:r>
            <w:r w:rsidRPr="00FC1444">
              <w:rPr>
                <w:rFonts w:eastAsiaTheme="minorEastAsia"/>
                <w:kern w:val="0"/>
                <w:szCs w:val="21"/>
              </w:rPr>
              <w:t>小时均值</w:t>
            </w:r>
          </w:p>
        </w:tc>
        <w:tc>
          <w:tcPr>
            <w:tcW w:w="0" w:type="auto"/>
            <w:vAlign w:val="center"/>
          </w:tcPr>
          <w:p w:rsidR="006364CE" w:rsidRPr="00FC1444" w:rsidRDefault="006364CE">
            <w:pPr>
              <w:widowControl/>
              <w:spacing w:line="0" w:lineRule="atLeast"/>
              <w:jc w:val="center"/>
              <w:rPr>
                <w:rFonts w:eastAsiaTheme="minorEastAsia"/>
                <w:kern w:val="0"/>
                <w:szCs w:val="21"/>
              </w:rPr>
            </w:pPr>
            <w:r w:rsidRPr="00FC1444">
              <w:rPr>
                <w:rFonts w:eastAsiaTheme="minorEastAsia"/>
                <w:kern w:val="0"/>
                <w:szCs w:val="21"/>
              </w:rPr>
              <w:t>250</w:t>
            </w:r>
          </w:p>
        </w:tc>
        <w:tc>
          <w:tcPr>
            <w:tcW w:w="605" w:type="pct"/>
            <w:vAlign w:val="center"/>
          </w:tcPr>
          <w:p w:rsidR="006364CE" w:rsidRPr="00FC1444" w:rsidRDefault="005025C0" w:rsidP="009C5DD3">
            <w:pPr>
              <w:spacing w:line="0" w:lineRule="atLeast"/>
              <w:jc w:val="center"/>
              <w:rPr>
                <w:rFonts w:eastAsiaTheme="minorEastAsia"/>
                <w:kern w:val="0"/>
                <w:szCs w:val="21"/>
              </w:rPr>
            </w:pPr>
            <w:r w:rsidRPr="00FC1444">
              <w:rPr>
                <w:rFonts w:eastAsiaTheme="minorEastAsia" w:hint="eastAsia"/>
                <w:kern w:val="0"/>
                <w:szCs w:val="21"/>
              </w:rPr>
              <w:t>46</w:t>
            </w:r>
            <w:r w:rsidR="006364CE" w:rsidRPr="00FC1444">
              <w:rPr>
                <w:rFonts w:eastAsiaTheme="minorEastAsia"/>
                <w:kern w:val="0"/>
                <w:szCs w:val="21"/>
              </w:rPr>
              <w:t>-</w:t>
            </w:r>
            <w:r w:rsidRPr="00FC1444">
              <w:rPr>
                <w:rFonts w:eastAsiaTheme="minorEastAsia" w:hint="eastAsia"/>
                <w:kern w:val="0"/>
                <w:szCs w:val="21"/>
              </w:rPr>
              <w:t>56</w:t>
            </w:r>
          </w:p>
        </w:tc>
        <w:tc>
          <w:tcPr>
            <w:tcW w:w="390" w:type="pct"/>
            <w:vAlign w:val="center"/>
          </w:tcPr>
          <w:p w:rsidR="006364CE" w:rsidRPr="00FC1444" w:rsidRDefault="009869E0">
            <w:pPr>
              <w:spacing w:line="0" w:lineRule="atLeast"/>
              <w:jc w:val="center"/>
              <w:rPr>
                <w:rFonts w:eastAsiaTheme="minorEastAsia"/>
                <w:kern w:val="0"/>
                <w:szCs w:val="21"/>
              </w:rPr>
            </w:pPr>
            <w:r w:rsidRPr="00FC1444">
              <w:rPr>
                <w:rFonts w:eastAsiaTheme="minorEastAsia" w:hint="eastAsia"/>
                <w:kern w:val="0"/>
                <w:szCs w:val="21"/>
              </w:rPr>
              <w:t>22.4</w:t>
            </w:r>
          </w:p>
        </w:tc>
        <w:tc>
          <w:tcPr>
            <w:tcW w:w="259" w:type="pct"/>
            <w:vAlign w:val="center"/>
          </w:tcPr>
          <w:p w:rsidR="006364CE" w:rsidRPr="00FC1444" w:rsidRDefault="006364CE">
            <w:pPr>
              <w:spacing w:line="0" w:lineRule="atLeast"/>
              <w:jc w:val="center"/>
              <w:rPr>
                <w:rFonts w:eastAsiaTheme="minorEastAsia"/>
                <w:kern w:val="0"/>
                <w:szCs w:val="21"/>
              </w:rPr>
            </w:pPr>
            <w:r w:rsidRPr="00FC1444">
              <w:rPr>
                <w:rFonts w:eastAsiaTheme="minorEastAsia"/>
                <w:kern w:val="0"/>
                <w:szCs w:val="21"/>
              </w:rPr>
              <w:t>0</w:t>
            </w:r>
          </w:p>
        </w:tc>
        <w:tc>
          <w:tcPr>
            <w:tcW w:w="0" w:type="auto"/>
            <w:vMerge w:val="restart"/>
            <w:vAlign w:val="center"/>
          </w:tcPr>
          <w:p w:rsidR="006364CE" w:rsidRPr="00FC1444" w:rsidRDefault="006364CE">
            <w:pPr>
              <w:widowControl/>
              <w:spacing w:line="0" w:lineRule="atLeast"/>
              <w:jc w:val="left"/>
              <w:rPr>
                <w:rFonts w:eastAsiaTheme="minorEastAsia"/>
                <w:kern w:val="0"/>
                <w:szCs w:val="21"/>
              </w:rPr>
            </w:pPr>
            <w:r w:rsidRPr="00FC1444">
              <w:rPr>
                <w:rFonts w:eastAsiaTheme="minorEastAsia"/>
                <w:kern w:val="0"/>
                <w:szCs w:val="21"/>
              </w:rPr>
              <w:t>达标</w:t>
            </w:r>
          </w:p>
        </w:tc>
      </w:tr>
      <w:tr w:rsidR="006364CE" w:rsidRPr="00FC1444" w:rsidTr="00377111">
        <w:trPr>
          <w:jc w:val="center"/>
        </w:trPr>
        <w:tc>
          <w:tcPr>
            <w:tcW w:w="559" w:type="pct"/>
            <w:vMerge/>
            <w:vAlign w:val="center"/>
          </w:tcPr>
          <w:p w:rsidR="006364CE" w:rsidRPr="00FC1444" w:rsidRDefault="006364CE">
            <w:pPr>
              <w:spacing w:line="0" w:lineRule="atLeast"/>
              <w:jc w:val="center"/>
              <w:rPr>
                <w:rFonts w:eastAsiaTheme="minorEastAsia"/>
                <w:szCs w:val="21"/>
              </w:rPr>
            </w:pPr>
          </w:p>
        </w:tc>
        <w:tc>
          <w:tcPr>
            <w:tcW w:w="758" w:type="pct"/>
            <w:vMerge/>
            <w:vAlign w:val="center"/>
          </w:tcPr>
          <w:p w:rsidR="006364CE" w:rsidRPr="00FC1444" w:rsidRDefault="006364CE">
            <w:pPr>
              <w:spacing w:line="0" w:lineRule="atLeast"/>
              <w:jc w:val="center"/>
              <w:rPr>
                <w:rFonts w:eastAsiaTheme="minorEastAsia"/>
                <w:kern w:val="0"/>
                <w:szCs w:val="21"/>
              </w:rPr>
            </w:pPr>
          </w:p>
        </w:tc>
        <w:tc>
          <w:tcPr>
            <w:tcW w:w="638" w:type="pct"/>
            <w:vMerge/>
            <w:vAlign w:val="center"/>
          </w:tcPr>
          <w:p w:rsidR="006364CE" w:rsidRPr="00FC1444" w:rsidRDefault="006364CE">
            <w:pPr>
              <w:spacing w:line="0" w:lineRule="atLeast"/>
              <w:jc w:val="center"/>
              <w:rPr>
                <w:rFonts w:eastAsiaTheme="minorEastAsia"/>
                <w:kern w:val="0"/>
                <w:szCs w:val="21"/>
              </w:rPr>
            </w:pPr>
          </w:p>
        </w:tc>
        <w:tc>
          <w:tcPr>
            <w:tcW w:w="358" w:type="pct"/>
            <w:vMerge/>
            <w:vAlign w:val="center"/>
          </w:tcPr>
          <w:p w:rsidR="006364CE" w:rsidRPr="00FC1444" w:rsidRDefault="006364CE">
            <w:pPr>
              <w:widowControl/>
              <w:spacing w:line="0" w:lineRule="atLeast"/>
              <w:jc w:val="center"/>
              <w:rPr>
                <w:rFonts w:eastAsiaTheme="minorEastAsia"/>
                <w:kern w:val="0"/>
                <w:szCs w:val="21"/>
              </w:rPr>
            </w:pPr>
          </w:p>
        </w:tc>
        <w:tc>
          <w:tcPr>
            <w:tcW w:w="656" w:type="pct"/>
            <w:vAlign w:val="center"/>
          </w:tcPr>
          <w:p w:rsidR="006364CE" w:rsidRPr="00FC1444" w:rsidRDefault="006364CE">
            <w:pPr>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小时均值</w:t>
            </w:r>
          </w:p>
        </w:tc>
        <w:tc>
          <w:tcPr>
            <w:tcW w:w="0" w:type="auto"/>
            <w:vAlign w:val="center"/>
          </w:tcPr>
          <w:p w:rsidR="006364CE" w:rsidRPr="00FC1444" w:rsidRDefault="006364CE">
            <w:pPr>
              <w:widowControl/>
              <w:spacing w:line="0" w:lineRule="atLeast"/>
              <w:jc w:val="center"/>
              <w:rPr>
                <w:rFonts w:eastAsiaTheme="minorEastAsia"/>
                <w:kern w:val="0"/>
                <w:szCs w:val="21"/>
              </w:rPr>
            </w:pPr>
            <w:r w:rsidRPr="00FC1444">
              <w:rPr>
                <w:rFonts w:eastAsiaTheme="minorEastAsia"/>
                <w:kern w:val="0"/>
                <w:szCs w:val="21"/>
              </w:rPr>
              <w:t>100</w:t>
            </w:r>
          </w:p>
        </w:tc>
        <w:tc>
          <w:tcPr>
            <w:tcW w:w="605" w:type="pct"/>
            <w:vAlign w:val="center"/>
          </w:tcPr>
          <w:p w:rsidR="006364CE" w:rsidRPr="00FC1444" w:rsidRDefault="005025C0" w:rsidP="009C5DD3">
            <w:pPr>
              <w:spacing w:line="0" w:lineRule="atLeast"/>
              <w:jc w:val="center"/>
              <w:rPr>
                <w:rFonts w:eastAsiaTheme="minorEastAsia"/>
                <w:kern w:val="0"/>
                <w:szCs w:val="21"/>
              </w:rPr>
            </w:pPr>
            <w:r w:rsidRPr="00FC1444">
              <w:rPr>
                <w:rFonts w:eastAsiaTheme="minorEastAsia"/>
                <w:kern w:val="0"/>
                <w:szCs w:val="21"/>
              </w:rPr>
              <w:t>2</w:t>
            </w:r>
            <w:r w:rsidRPr="00FC1444">
              <w:rPr>
                <w:rFonts w:eastAsiaTheme="minorEastAsia" w:hint="eastAsia"/>
                <w:kern w:val="0"/>
                <w:szCs w:val="21"/>
              </w:rPr>
              <w:t>8</w:t>
            </w:r>
            <w:r w:rsidR="006364CE" w:rsidRPr="00FC1444">
              <w:rPr>
                <w:rFonts w:eastAsiaTheme="minorEastAsia"/>
                <w:kern w:val="0"/>
                <w:szCs w:val="21"/>
              </w:rPr>
              <w:t>-</w:t>
            </w:r>
            <w:r w:rsidR="009C5DD3" w:rsidRPr="00FC1444">
              <w:rPr>
                <w:rFonts w:eastAsiaTheme="minorEastAsia"/>
                <w:kern w:val="0"/>
                <w:szCs w:val="21"/>
              </w:rPr>
              <w:t>3</w:t>
            </w:r>
            <w:r w:rsidRPr="00FC1444">
              <w:rPr>
                <w:rFonts w:eastAsiaTheme="minorEastAsia" w:hint="eastAsia"/>
                <w:kern w:val="0"/>
                <w:szCs w:val="21"/>
              </w:rPr>
              <w:t>5</w:t>
            </w:r>
          </w:p>
        </w:tc>
        <w:tc>
          <w:tcPr>
            <w:tcW w:w="390" w:type="pct"/>
            <w:vAlign w:val="center"/>
          </w:tcPr>
          <w:p w:rsidR="006364CE" w:rsidRPr="00FC1444" w:rsidRDefault="00DE1D55">
            <w:pPr>
              <w:spacing w:line="0" w:lineRule="atLeast"/>
              <w:jc w:val="center"/>
              <w:rPr>
                <w:rFonts w:eastAsiaTheme="minorEastAsia"/>
                <w:kern w:val="0"/>
                <w:szCs w:val="21"/>
              </w:rPr>
            </w:pPr>
            <w:r w:rsidRPr="00FC1444">
              <w:rPr>
                <w:rFonts w:eastAsiaTheme="minorEastAsia" w:hint="eastAsia"/>
                <w:kern w:val="0"/>
                <w:szCs w:val="21"/>
              </w:rPr>
              <w:t>35</w:t>
            </w:r>
          </w:p>
        </w:tc>
        <w:tc>
          <w:tcPr>
            <w:tcW w:w="259" w:type="pct"/>
            <w:vAlign w:val="center"/>
          </w:tcPr>
          <w:p w:rsidR="006364CE" w:rsidRPr="00FC1444" w:rsidRDefault="006364CE">
            <w:pPr>
              <w:spacing w:line="0" w:lineRule="atLeast"/>
              <w:jc w:val="center"/>
              <w:rPr>
                <w:rFonts w:eastAsiaTheme="minorEastAsia"/>
                <w:kern w:val="0"/>
                <w:szCs w:val="21"/>
              </w:rPr>
            </w:pPr>
            <w:r w:rsidRPr="00FC1444">
              <w:rPr>
                <w:rFonts w:eastAsiaTheme="minorEastAsia"/>
                <w:kern w:val="0"/>
                <w:szCs w:val="21"/>
              </w:rPr>
              <w:t>0</w:t>
            </w:r>
          </w:p>
        </w:tc>
        <w:tc>
          <w:tcPr>
            <w:tcW w:w="0" w:type="auto"/>
            <w:vMerge/>
            <w:vAlign w:val="center"/>
          </w:tcPr>
          <w:p w:rsidR="006364CE" w:rsidRPr="00FC1444" w:rsidRDefault="006364CE">
            <w:pPr>
              <w:widowControl/>
              <w:spacing w:line="0" w:lineRule="atLeast"/>
              <w:jc w:val="left"/>
              <w:rPr>
                <w:rFonts w:eastAsiaTheme="minorEastAsia"/>
                <w:kern w:val="0"/>
                <w:szCs w:val="21"/>
              </w:rPr>
            </w:pPr>
          </w:p>
        </w:tc>
      </w:tr>
      <w:tr w:rsidR="001E5751" w:rsidRPr="00FC1444" w:rsidTr="00377111">
        <w:trPr>
          <w:trHeight w:val="389"/>
          <w:jc w:val="center"/>
        </w:trPr>
        <w:tc>
          <w:tcPr>
            <w:tcW w:w="559" w:type="pct"/>
            <w:vMerge w:val="restart"/>
            <w:vAlign w:val="center"/>
          </w:tcPr>
          <w:p w:rsidR="001E5751" w:rsidRPr="00FC1444" w:rsidRDefault="001E5751" w:rsidP="004C7650">
            <w:pPr>
              <w:spacing w:line="0" w:lineRule="atLeast"/>
              <w:contextualSpacing/>
              <w:jc w:val="center"/>
              <w:rPr>
                <w:rFonts w:eastAsiaTheme="minorEastAsia"/>
                <w:szCs w:val="21"/>
              </w:rPr>
            </w:pPr>
            <w:r w:rsidRPr="00FC1444">
              <w:rPr>
                <w:rFonts w:eastAsiaTheme="minorEastAsia"/>
                <w:szCs w:val="21"/>
              </w:rPr>
              <w:t>津河片区下风向</w:t>
            </w:r>
            <w:r w:rsidRPr="00FC1444">
              <w:rPr>
                <w:rFonts w:eastAsiaTheme="minorEastAsia"/>
                <w:szCs w:val="21"/>
              </w:rPr>
              <w:t>○2</w:t>
            </w:r>
          </w:p>
        </w:tc>
        <w:tc>
          <w:tcPr>
            <w:tcW w:w="758" w:type="pct"/>
            <w:vMerge w:val="restart"/>
            <w:vAlign w:val="center"/>
          </w:tcPr>
          <w:p w:rsidR="001E5751" w:rsidRPr="00FC1444" w:rsidRDefault="001E5751" w:rsidP="00C04989">
            <w:pPr>
              <w:spacing w:line="0" w:lineRule="atLeast"/>
              <w:contextualSpacing/>
              <w:jc w:val="center"/>
              <w:rPr>
                <w:rFonts w:eastAsiaTheme="minorEastAsia"/>
                <w:kern w:val="0"/>
                <w:szCs w:val="21"/>
              </w:rPr>
            </w:pPr>
            <w:r w:rsidRPr="00FC1444">
              <w:rPr>
                <w:rFonts w:eastAsiaTheme="minorEastAsia"/>
                <w:kern w:val="0"/>
                <w:szCs w:val="21"/>
              </w:rPr>
              <w:t>127.1224866</w:t>
            </w:r>
          </w:p>
        </w:tc>
        <w:tc>
          <w:tcPr>
            <w:tcW w:w="638" w:type="pct"/>
            <w:vMerge w:val="restart"/>
            <w:vAlign w:val="center"/>
          </w:tcPr>
          <w:p w:rsidR="001E5751" w:rsidRPr="00FC1444" w:rsidRDefault="001E5751" w:rsidP="00C04989">
            <w:pPr>
              <w:spacing w:line="0" w:lineRule="atLeast"/>
              <w:contextualSpacing/>
              <w:jc w:val="center"/>
              <w:rPr>
                <w:rFonts w:eastAsiaTheme="minorEastAsia"/>
                <w:kern w:val="0"/>
                <w:szCs w:val="21"/>
              </w:rPr>
            </w:pPr>
            <w:r w:rsidRPr="00FC1444">
              <w:rPr>
                <w:rFonts w:eastAsiaTheme="minorEastAsia"/>
                <w:kern w:val="0"/>
                <w:szCs w:val="21"/>
              </w:rPr>
              <w:t>46.460575</w:t>
            </w:r>
          </w:p>
        </w:tc>
        <w:tc>
          <w:tcPr>
            <w:tcW w:w="358" w:type="pct"/>
            <w:vAlign w:val="center"/>
          </w:tcPr>
          <w:p w:rsidR="001E5751" w:rsidRPr="00FC1444" w:rsidRDefault="001E5751">
            <w:pPr>
              <w:spacing w:line="0" w:lineRule="atLeast"/>
              <w:jc w:val="center"/>
              <w:rPr>
                <w:rFonts w:eastAsiaTheme="minorEastAsia"/>
                <w:kern w:val="0"/>
                <w:szCs w:val="21"/>
              </w:rPr>
            </w:pPr>
            <w:r w:rsidRPr="00FC1444">
              <w:rPr>
                <w:rFonts w:eastAsiaTheme="minorEastAsia"/>
                <w:kern w:val="0"/>
                <w:szCs w:val="21"/>
              </w:rPr>
              <w:t>TSP</w:t>
            </w:r>
          </w:p>
        </w:tc>
        <w:tc>
          <w:tcPr>
            <w:tcW w:w="656" w:type="pct"/>
            <w:vAlign w:val="center"/>
          </w:tcPr>
          <w:p w:rsidR="001E5751" w:rsidRPr="00FC1444" w:rsidRDefault="001E5751">
            <w:pPr>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小时均值</w:t>
            </w:r>
          </w:p>
        </w:tc>
        <w:tc>
          <w:tcPr>
            <w:tcW w:w="0" w:type="auto"/>
            <w:vAlign w:val="center"/>
          </w:tcPr>
          <w:p w:rsidR="001E5751" w:rsidRPr="00FC1444" w:rsidRDefault="001E5751">
            <w:pPr>
              <w:widowControl/>
              <w:spacing w:line="0" w:lineRule="atLeast"/>
              <w:jc w:val="center"/>
              <w:rPr>
                <w:rFonts w:eastAsiaTheme="minorEastAsia"/>
                <w:kern w:val="0"/>
                <w:szCs w:val="21"/>
              </w:rPr>
            </w:pPr>
            <w:r w:rsidRPr="00FC1444">
              <w:rPr>
                <w:rFonts w:eastAsiaTheme="minorEastAsia"/>
                <w:kern w:val="0"/>
                <w:szCs w:val="21"/>
              </w:rPr>
              <w:t>300</w:t>
            </w:r>
          </w:p>
        </w:tc>
        <w:tc>
          <w:tcPr>
            <w:tcW w:w="605" w:type="pct"/>
            <w:vAlign w:val="center"/>
          </w:tcPr>
          <w:p w:rsidR="001E5751" w:rsidRPr="00FC1444" w:rsidRDefault="005025C0">
            <w:pPr>
              <w:spacing w:line="0" w:lineRule="atLeast"/>
              <w:jc w:val="center"/>
              <w:rPr>
                <w:rFonts w:eastAsiaTheme="minorEastAsia"/>
                <w:kern w:val="0"/>
                <w:szCs w:val="21"/>
              </w:rPr>
            </w:pPr>
            <w:r w:rsidRPr="00FC1444">
              <w:rPr>
                <w:rFonts w:eastAsiaTheme="minorEastAsia" w:hint="eastAsia"/>
                <w:kern w:val="0"/>
                <w:szCs w:val="21"/>
              </w:rPr>
              <w:t>78</w:t>
            </w:r>
            <w:r w:rsidRPr="00FC1444">
              <w:rPr>
                <w:rFonts w:eastAsiaTheme="minorEastAsia"/>
                <w:kern w:val="0"/>
                <w:szCs w:val="21"/>
              </w:rPr>
              <w:t>-</w:t>
            </w:r>
            <w:r w:rsidRPr="00FC1444">
              <w:rPr>
                <w:rFonts w:eastAsiaTheme="minorEastAsia" w:hint="eastAsia"/>
                <w:kern w:val="0"/>
                <w:szCs w:val="21"/>
              </w:rPr>
              <w:t>84</w:t>
            </w:r>
          </w:p>
        </w:tc>
        <w:tc>
          <w:tcPr>
            <w:tcW w:w="390" w:type="pct"/>
            <w:vAlign w:val="center"/>
          </w:tcPr>
          <w:p w:rsidR="001E5751" w:rsidRPr="00FC1444" w:rsidRDefault="00DE1D55">
            <w:pPr>
              <w:spacing w:line="0" w:lineRule="atLeast"/>
              <w:jc w:val="center"/>
              <w:rPr>
                <w:rFonts w:eastAsiaTheme="minorEastAsia"/>
                <w:kern w:val="0"/>
                <w:szCs w:val="21"/>
              </w:rPr>
            </w:pPr>
            <w:r w:rsidRPr="00FC1444">
              <w:rPr>
                <w:rFonts w:eastAsiaTheme="minorEastAsia" w:hint="eastAsia"/>
                <w:kern w:val="0"/>
                <w:szCs w:val="21"/>
              </w:rPr>
              <w:t>28</w:t>
            </w:r>
          </w:p>
        </w:tc>
        <w:tc>
          <w:tcPr>
            <w:tcW w:w="259" w:type="pct"/>
            <w:vAlign w:val="center"/>
          </w:tcPr>
          <w:p w:rsidR="001E5751" w:rsidRPr="00FC1444" w:rsidRDefault="001E5751">
            <w:pPr>
              <w:spacing w:line="0" w:lineRule="atLeast"/>
              <w:jc w:val="center"/>
              <w:rPr>
                <w:rFonts w:eastAsiaTheme="minorEastAsia"/>
                <w:kern w:val="0"/>
                <w:szCs w:val="21"/>
              </w:rPr>
            </w:pPr>
            <w:r w:rsidRPr="00FC1444">
              <w:rPr>
                <w:rFonts w:eastAsiaTheme="minorEastAsia"/>
                <w:kern w:val="0"/>
                <w:szCs w:val="21"/>
              </w:rPr>
              <w:t>0</w:t>
            </w:r>
          </w:p>
        </w:tc>
        <w:tc>
          <w:tcPr>
            <w:tcW w:w="0" w:type="auto"/>
            <w:vAlign w:val="center"/>
          </w:tcPr>
          <w:p w:rsidR="001E5751" w:rsidRPr="00FC1444" w:rsidRDefault="001E5751">
            <w:pPr>
              <w:widowControl/>
              <w:spacing w:line="0" w:lineRule="atLeast"/>
              <w:jc w:val="left"/>
              <w:rPr>
                <w:rFonts w:eastAsiaTheme="minorEastAsia"/>
                <w:kern w:val="0"/>
                <w:szCs w:val="21"/>
              </w:rPr>
            </w:pPr>
            <w:r w:rsidRPr="00FC1444">
              <w:rPr>
                <w:rFonts w:eastAsiaTheme="minorEastAsia"/>
                <w:kern w:val="0"/>
                <w:szCs w:val="21"/>
              </w:rPr>
              <w:t>达标</w:t>
            </w:r>
          </w:p>
        </w:tc>
      </w:tr>
      <w:tr w:rsidR="002A5A5E" w:rsidRPr="00FC1444" w:rsidTr="00377111">
        <w:trPr>
          <w:trHeight w:val="409"/>
          <w:jc w:val="center"/>
        </w:trPr>
        <w:tc>
          <w:tcPr>
            <w:tcW w:w="559" w:type="pct"/>
            <w:vMerge/>
            <w:vAlign w:val="center"/>
          </w:tcPr>
          <w:p w:rsidR="002A5A5E" w:rsidRPr="00FC1444" w:rsidRDefault="002A5A5E">
            <w:pPr>
              <w:spacing w:line="0" w:lineRule="atLeast"/>
              <w:jc w:val="center"/>
              <w:rPr>
                <w:rFonts w:eastAsiaTheme="minorEastAsia"/>
                <w:szCs w:val="21"/>
              </w:rPr>
            </w:pPr>
          </w:p>
        </w:tc>
        <w:tc>
          <w:tcPr>
            <w:tcW w:w="758" w:type="pct"/>
            <w:vMerge/>
            <w:vAlign w:val="center"/>
          </w:tcPr>
          <w:p w:rsidR="002A5A5E" w:rsidRPr="00FC1444" w:rsidRDefault="002A5A5E">
            <w:pPr>
              <w:spacing w:line="0" w:lineRule="atLeast"/>
              <w:jc w:val="center"/>
              <w:rPr>
                <w:rFonts w:eastAsiaTheme="minorEastAsia"/>
                <w:kern w:val="0"/>
                <w:szCs w:val="21"/>
              </w:rPr>
            </w:pPr>
          </w:p>
        </w:tc>
        <w:tc>
          <w:tcPr>
            <w:tcW w:w="638" w:type="pct"/>
            <w:vMerge/>
            <w:vAlign w:val="center"/>
          </w:tcPr>
          <w:p w:rsidR="002A5A5E" w:rsidRPr="00FC1444" w:rsidRDefault="002A5A5E">
            <w:pPr>
              <w:spacing w:line="0" w:lineRule="atLeast"/>
              <w:jc w:val="center"/>
              <w:rPr>
                <w:rFonts w:eastAsiaTheme="minorEastAsia"/>
                <w:kern w:val="0"/>
                <w:szCs w:val="21"/>
              </w:rPr>
            </w:pPr>
          </w:p>
        </w:tc>
        <w:tc>
          <w:tcPr>
            <w:tcW w:w="358" w:type="pct"/>
            <w:vMerge w:val="restart"/>
            <w:vAlign w:val="center"/>
          </w:tcPr>
          <w:p w:rsidR="002A5A5E" w:rsidRPr="00FC1444" w:rsidRDefault="00611CBA">
            <w:pPr>
              <w:widowControl/>
              <w:spacing w:line="0" w:lineRule="atLeast"/>
              <w:jc w:val="center"/>
              <w:rPr>
                <w:rFonts w:eastAsiaTheme="minorEastAsia"/>
                <w:kern w:val="0"/>
                <w:szCs w:val="21"/>
              </w:rPr>
            </w:pPr>
            <w:r w:rsidRPr="00FC1444">
              <w:rPr>
                <w:rFonts w:eastAsiaTheme="minorEastAsia"/>
                <w:kern w:val="0"/>
                <w:szCs w:val="21"/>
              </w:rPr>
              <w:t>NO</w:t>
            </w:r>
            <w:r w:rsidRPr="00FC1444">
              <w:rPr>
                <w:rFonts w:eastAsiaTheme="minorEastAsia"/>
                <w:kern w:val="0"/>
                <w:szCs w:val="21"/>
                <w:vertAlign w:val="subscript"/>
              </w:rPr>
              <w:t>X</w:t>
            </w:r>
          </w:p>
        </w:tc>
        <w:tc>
          <w:tcPr>
            <w:tcW w:w="656" w:type="pc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1</w:t>
            </w:r>
            <w:r w:rsidRPr="00FC1444">
              <w:rPr>
                <w:rFonts w:eastAsiaTheme="minorEastAsia"/>
                <w:kern w:val="0"/>
                <w:szCs w:val="21"/>
              </w:rPr>
              <w:t>小时均值</w:t>
            </w:r>
          </w:p>
        </w:tc>
        <w:tc>
          <w:tcPr>
            <w:tcW w:w="0" w:type="auto"/>
            <w:vAlign w:val="center"/>
          </w:tcPr>
          <w:p w:rsidR="002A5A5E" w:rsidRPr="00FC1444" w:rsidRDefault="00611CBA">
            <w:pPr>
              <w:widowControl/>
              <w:spacing w:line="0" w:lineRule="atLeast"/>
              <w:jc w:val="center"/>
              <w:rPr>
                <w:rFonts w:eastAsiaTheme="minorEastAsia"/>
                <w:kern w:val="0"/>
                <w:szCs w:val="21"/>
              </w:rPr>
            </w:pPr>
            <w:r w:rsidRPr="00FC1444">
              <w:rPr>
                <w:rFonts w:eastAsiaTheme="minorEastAsia"/>
                <w:kern w:val="0"/>
                <w:szCs w:val="21"/>
              </w:rPr>
              <w:t>250</w:t>
            </w:r>
          </w:p>
        </w:tc>
        <w:tc>
          <w:tcPr>
            <w:tcW w:w="605" w:type="pct"/>
            <w:vAlign w:val="center"/>
          </w:tcPr>
          <w:p w:rsidR="002A5A5E" w:rsidRPr="00FC1444" w:rsidRDefault="005025C0" w:rsidP="00DA1877">
            <w:pPr>
              <w:spacing w:line="0" w:lineRule="atLeast"/>
              <w:jc w:val="center"/>
              <w:rPr>
                <w:rFonts w:eastAsiaTheme="minorEastAsia"/>
                <w:kern w:val="0"/>
                <w:szCs w:val="21"/>
              </w:rPr>
            </w:pPr>
            <w:r w:rsidRPr="00FC1444">
              <w:rPr>
                <w:rFonts w:eastAsiaTheme="minorEastAsia" w:hint="eastAsia"/>
                <w:kern w:val="0"/>
                <w:szCs w:val="21"/>
              </w:rPr>
              <w:t>49</w:t>
            </w:r>
            <w:r w:rsidR="00611CBA" w:rsidRPr="00FC1444">
              <w:rPr>
                <w:rFonts w:eastAsiaTheme="minorEastAsia"/>
                <w:kern w:val="0"/>
                <w:szCs w:val="21"/>
              </w:rPr>
              <w:t>-</w:t>
            </w:r>
            <w:r w:rsidRPr="00FC1444">
              <w:rPr>
                <w:rFonts w:eastAsiaTheme="minorEastAsia" w:hint="eastAsia"/>
                <w:kern w:val="0"/>
                <w:szCs w:val="21"/>
              </w:rPr>
              <w:t>61</w:t>
            </w:r>
          </w:p>
        </w:tc>
        <w:tc>
          <w:tcPr>
            <w:tcW w:w="390" w:type="pct"/>
            <w:vAlign w:val="center"/>
          </w:tcPr>
          <w:p w:rsidR="002A5A5E" w:rsidRPr="00FC1444" w:rsidRDefault="00DE1D55">
            <w:pPr>
              <w:spacing w:line="0" w:lineRule="atLeast"/>
              <w:jc w:val="center"/>
              <w:rPr>
                <w:rFonts w:eastAsiaTheme="minorEastAsia"/>
                <w:kern w:val="0"/>
                <w:szCs w:val="21"/>
              </w:rPr>
            </w:pPr>
            <w:r w:rsidRPr="00FC1444">
              <w:rPr>
                <w:rFonts w:eastAsiaTheme="minorEastAsia" w:hint="eastAsia"/>
                <w:kern w:val="0"/>
                <w:szCs w:val="21"/>
              </w:rPr>
              <w:t>24.4</w:t>
            </w:r>
          </w:p>
        </w:tc>
        <w:tc>
          <w:tcPr>
            <w:tcW w:w="259" w:type="pc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0</w:t>
            </w:r>
          </w:p>
        </w:tc>
        <w:tc>
          <w:tcPr>
            <w:tcW w:w="0" w:type="auto"/>
            <w:vMerge w:val="restart"/>
            <w:vAlign w:val="center"/>
          </w:tcPr>
          <w:p w:rsidR="002A5A5E" w:rsidRPr="00FC1444" w:rsidRDefault="00611CBA">
            <w:pPr>
              <w:widowControl/>
              <w:spacing w:line="0" w:lineRule="atLeast"/>
              <w:jc w:val="left"/>
              <w:rPr>
                <w:rFonts w:eastAsiaTheme="minorEastAsia"/>
                <w:kern w:val="0"/>
                <w:szCs w:val="21"/>
              </w:rPr>
            </w:pPr>
            <w:r w:rsidRPr="00FC1444">
              <w:rPr>
                <w:rFonts w:eastAsiaTheme="minorEastAsia"/>
                <w:kern w:val="0"/>
                <w:szCs w:val="21"/>
              </w:rPr>
              <w:t>达标</w:t>
            </w:r>
          </w:p>
        </w:tc>
      </w:tr>
      <w:tr w:rsidR="002A5A5E" w:rsidRPr="00FC1444" w:rsidTr="00377111">
        <w:trPr>
          <w:trHeight w:val="409"/>
          <w:jc w:val="center"/>
        </w:trPr>
        <w:tc>
          <w:tcPr>
            <w:tcW w:w="559" w:type="pct"/>
            <w:vMerge/>
            <w:vAlign w:val="center"/>
          </w:tcPr>
          <w:p w:rsidR="002A5A5E" w:rsidRPr="00FC1444" w:rsidRDefault="002A5A5E">
            <w:pPr>
              <w:spacing w:line="0" w:lineRule="atLeast"/>
              <w:jc w:val="center"/>
              <w:rPr>
                <w:rFonts w:eastAsiaTheme="minorEastAsia"/>
                <w:szCs w:val="21"/>
              </w:rPr>
            </w:pPr>
          </w:p>
        </w:tc>
        <w:tc>
          <w:tcPr>
            <w:tcW w:w="758" w:type="pct"/>
            <w:vMerge/>
            <w:vAlign w:val="center"/>
          </w:tcPr>
          <w:p w:rsidR="002A5A5E" w:rsidRPr="00FC1444" w:rsidRDefault="002A5A5E">
            <w:pPr>
              <w:spacing w:line="0" w:lineRule="atLeast"/>
              <w:jc w:val="center"/>
              <w:rPr>
                <w:rFonts w:eastAsiaTheme="minorEastAsia"/>
                <w:kern w:val="0"/>
                <w:szCs w:val="21"/>
              </w:rPr>
            </w:pPr>
          </w:p>
        </w:tc>
        <w:tc>
          <w:tcPr>
            <w:tcW w:w="638" w:type="pct"/>
            <w:vMerge/>
            <w:vAlign w:val="center"/>
          </w:tcPr>
          <w:p w:rsidR="002A5A5E" w:rsidRPr="00FC1444" w:rsidRDefault="002A5A5E">
            <w:pPr>
              <w:spacing w:line="0" w:lineRule="atLeast"/>
              <w:jc w:val="center"/>
              <w:rPr>
                <w:rFonts w:eastAsiaTheme="minorEastAsia"/>
                <w:kern w:val="0"/>
                <w:szCs w:val="21"/>
              </w:rPr>
            </w:pPr>
          </w:p>
        </w:tc>
        <w:tc>
          <w:tcPr>
            <w:tcW w:w="358" w:type="pct"/>
            <w:vMerge/>
            <w:vAlign w:val="center"/>
          </w:tcPr>
          <w:p w:rsidR="002A5A5E" w:rsidRPr="00FC1444" w:rsidRDefault="002A5A5E">
            <w:pPr>
              <w:widowControl/>
              <w:spacing w:line="0" w:lineRule="atLeast"/>
              <w:jc w:val="center"/>
              <w:rPr>
                <w:rFonts w:eastAsiaTheme="minorEastAsia"/>
                <w:kern w:val="0"/>
                <w:szCs w:val="21"/>
              </w:rPr>
            </w:pPr>
          </w:p>
        </w:tc>
        <w:tc>
          <w:tcPr>
            <w:tcW w:w="656" w:type="pc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小时均值</w:t>
            </w:r>
          </w:p>
        </w:tc>
        <w:tc>
          <w:tcPr>
            <w:tcW w:w="0" w:type="auto"/>
            <w:vAlign w:val="center"/>
          </w:tcPr>
          <w:p w:rsidR="002A5A5E" w:rsidRPr="00FC1444" w:rsidRDefault="00611CBA">
            <w:pPr>
              <w:widowControl/>
              <w:spacing w:line="0" w:lineRule="atLeast"/>
              <w:jc w:val="center"/>
              <w:rPr>
                <w:rFonts w:eastAsiaTheme="minorEastAsia"/>
                <w:kern w:val="0"/>
                <w:szCs w:val="21"/>
              </w:rPr>
            </w:pPr>
            <w:r w:rsidRPr="00FC1444">
              <w:rPr>
                <w:rFonts w:eastAsiaTheme="minorEastAsia"/>
                <w:kern w:val="0"/>
                <w:szCs w:val="21"/>
              </w:rPr>
              <w:t>100</w:t>
            </w:r>
          </w:p>
        </w:tc>
        <w:tc>
          <w:tcPr>
            <w:tcW w:w="605" w:type="pct"/>
            <w:vAlign w:val="center"/>
          </w:tcPr>
          <w:p w:rsidR="002A5A5E" w:rsidRPr="00FC1444" w:rsidRDefault="00DA1877" w:rsidP="00DA1877">
            <w:pPr>
              <w:spacing w:line="0" w:lineRule="atLeast"/>
              <w:jc w:val="center"/>
              <w:rPr>
                <w:rFonts w:eastAsiaTheme="minorEastAsia"/>
                <w:kern w:val="0"/>
                <w:szCs w:val="21"/>
              </w:rPr>
            </w:pPr>
            <w:r w:rsidRPr="00FC1444">
              <w:rPr>
                <w:rFonts w:eastAsiaTheme="minorEastAsia"/>
                <w:kern w:val="0"/>
                <w:szCs w:val="21"/>
              </w:rPr>
              <w:t>2</w:t>
            </w:r>
            <w:r w:rsidR="005025C0" w:rsidRPr="00FC1444">
              <w:rPr>
                <w:rFonts w:eastAsiaTheme="minorEastAsia" w:hint="eastAsia"/>
                <w:kern w:val="0"/>
                <w:szCs w:val="21"/>
              </w:rPr>
              <w:t>6</w:t>
            </w:r>
            <w:r w:rsidR="00611CBA" w:rsidRPr="00FC1444">
              <w:rPr>
                <w:rFonts w:eastAsiaTheme="minorEastAsia"/>
                <w:kern w:val="0"/>
                <w:szCs w:val="21"/>
              </w:rPr>
              <w:t>-</w:t>
            </w:r>
            <w:r w:rsidRPr="00FC1444">
              <w:rPr>
                <w:rFonts w:eastAsiaTheme="minorEastAsia"/>
                <w:kern w:val="0"/>
                <w:szCs w:val="21"/>
              </w:rPr>
              <w:t>3</w:t>
            </w:r>
            <w:r w:rsidR="005025C0" w:rsidRPr="00FC1444">
              <w:rPr>
                <w:rFonts w:eastAsiaTheme="minorEastAsia" w:hint="eastAsia"/>
                <w:kern w:val="0"/>
                <w:szCs w:val="21"/>
              </w:rPr>
              <w:t>7</w:t>
            </w:r>
          </w:p>
        </w:tc>
        <w:tc>
          <w:tcPr>
            <w:tcW w:w="390" w:type="pct"/>
            <w:vAlign w:val="center"/>
          </w:tcPr>
          <w:p w:rsidR="002A5A5E" w:rsidRPr="00FC1444" w:rsidRDefault="00DE1D55">
            <w:pPr>
              <w:spacing w:line="0" w:lineRule="atLeast"/>
              <w:jc w:val="center"/>
              <w:rPr>
                <w:rFonts w:eastAsiaTheme="minorEastAsia"/>
                <w:kern w:val="0"/>
                <w:szCs w:val="21"/>
              </w:rPr>
            </w:pPr>
            <w:r w:rsidRPr="00FC1444">
              <w:rPr>
                <w:rFonts w:eastAsiaTheme="minorEastAsia" w:hint="eastAsia"/>
                <w:kern w:val="0"/>
                <w:szCs w:val="21"/>
              </w:rPr>
              <w:t>37</w:t>
            </w:r>
          </w:p>
        </w:tc>
        <w:tc>
          <w:tcPr>
            <w:tcW w:w="259" w:type="pc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0</w:t>
            </w:r>
          </w:p>
        </w:tc>
        <w:tc>
          <w:tcPr>
            <w:tcW w:w="0" w:type="auto"/>
            <w:vMerge/>
            <w:vAlign w:val="center"/>
          </w:tcPr>
          <w:p w:rsidR="002A5A5E" w:rsidRPr="00FC1444" w:rsidRDefault="002A5A5E">
            <w:pPr>
              <w:widowControl/>
              <w:spacing w:line="0" w:lineRule="atLeast"/>
              <w:jc w:val="left"/>
              <w:rPr>
                <w:rFonts w:eastAsiaTheme="minorEastAsia"/>
                <w:kern w:val="0"/>
                <w:szCs w:val="21"/>
              </w:rPr>
            </w:pPr>
          </w:p>
        </w:tc>
      </w:tr>
      <w:tr w:rsidR="001E5751" w:rsidRPr="00FC1444" w:rsidTr="00377111">
        <w:trPr>
          <w:trHeight w:val="389"/>
          <w:jc w:val="center"/>
        </w:trPr>
        <w:tc>
          <w:tcPr>
            <w:tcW w:w="559" w:type="pct"/>
            <w:vMerge w:val="restart"/>
            <w:vAlign w:val="center"/>
          </w:tcPr>
          <w:p w:rsidR="001E5751" w:rsidRPr="00FC1444" w:rsidRDefault="001E5751" w:rsidP="00DF4950">
            <w:pPr>
              <w:spacing w:line="0" w:lineRule="atLeast"/>
              <w:contextualSpacing/>
              <w:jc w:val="center"/>
              <w:rPr>
                <w:rFonts w:eastAsiaTheme="minorEastAsia"/>
                <w:szCs w:val="21"/>
              </w:rPr>
            </w:pPr>
            <w:r w:rsidRPr="00FC1444">
              <w:rPr>
                <w:rFonts w:eastAsiaTheme="minorEastAsia"/>
                <w:szCs w:val="21"/>
              </w:rPr>
              <w:t>五营片区下风向</w:t>
            </w:r>
            <w:r w:rsidRPr="00FC1444">
              <w:rPr>
                <w:rFonts w:eastAsiaTheme="minorEastAsia"/>
                <w:szCs w:val="21"/>
              </w:rPr>
              <w:t>○</w:t>
            </w:r>
            <w:r w:rsidRPr="00FC1444">
              <w:rPr>
                <w:rFonts w:eastAsiaTheme="minorEastAsia" w:hint="eastAsia"/>
                <w:szCs w:val="21"/>
              </w:rPr>
              <w:t>3</w:t>
            </w:r>
          </w:p>
        </w:tc>
        <w:tc>
          <w:tcPr>
            <w:tcW w:w="758" w:type="pct"/>
            <w:vMerge w:val="restart"/>
            <w:vAlign w:val="center"/>
          </w:tcPr>
          <w:p w:rsidR="001E5751" w:rsidRPr="00FC1444" w:rsidRDefault="001E5751" w:rsidP="00C04989">
            <w:pPr>
              <w:spacing w:line="0" w:lineRule="atLeast"/>
              <w:contextualSpacing/>
              <w:jc w:val="center"/>
              <w:rPr>
                <w:rFonts w:eastAsiaTheme="minorEastAsia"/>
                <w:kern w:val="0"/>
                <w:szCs w:val="21"/>
              </w:rPr>
            </w:pPr>
            <w:r w:rsidRPr="00FC1444">
              <w:rPr>
                <w:rFonts w:eastAsiaTheme="minorEastAsia"/>
                <w:kern w:val="0"/>
                <w:szCs w:val="21"/>
              </w:rPr>
              <w:t>127.1746834</w:t>
            </w:r>
          </w:p>
        </w:tc>
        <w:tc>
          <w:tcPr>
            <w:tcW w:w="638" w:type="pct"/>
            <w:vMerge w:val="restart"/>
            <w:vAlign w:val="center"/>
          </w:tcPr>
          <w:p w:rsidR="001E5751" w:rsidRPr="00FC1444" w:rsidRDefault="001E5751" w:rsidP="00C04989">
            <w:pPr>
              <w:spacing w:line="0" w:lineRule="atLeast"/>
              <w:contextualSpacing/>
              <w:jc w:val="center"/>
              <w:rPr>
                <w:rFonts w:eastAsiaTheme="minorEastAsia"/>
                <w:kern w:val="0"/>
                <w:szCs w:val="21"/>
              </w:rPr>
            </w:pPr>
            <w:r w:rsidRPr="00FC1444">
              <w:rPr>
                <w:rFonts w:eastAsiaTheme="minorEastAsia"/>
                <w:kern w:val="0"/>
                <w:szCs w:val="21"/>
              </w:rPr>
              <w:t>46.562192</w:t>
            </w:r>
          </w:p>
        </w:tc>
        <w:tc>
          <w:tcPr>
            <w:tcW w:w="358" w:type="pct"/>
            <w:vAlign w:val="center"/>
          </w:tcPr>
          <w:p w:rsidR="001E5751" w:rsidRPr="00FC1444" w:rsidRDefault="001E5751" w:rsidP="00DF4950">
            <w:pPr>
              <w:spacing w:line="0" w:lineRule="atLeast"/>
              <w:jc w:val="center"/>
              <w:rPr>
                <w:rFonts w:eastAsiaTheme="minorEastAsia"/>
                <w:kern w:val="0"/>
                <w:szCs w:val="21"/>
              </w:rPr>
            </w:pPr>
            <w:r w:rsidRPr="00FC1444">
              <w:rPr>
                <w:rFonts w:eastAsiaTheme="minorEastAsia"/>
                <w:kern w:val="0"/>
                <w:szCs w:val="21"/>
              </w:rPr>
              <w:t>TSP</w:t>
            </w:r>
          </w:p>
        </w:tc>
        <w:tc>
          <w:tcPr>
            <w:tcW w:w="656" w:type="pct"/>
            <w:vAlign w:val="center"/>
          </w:tcPr>
          <w:p w:rsidR="001E5751" w:rsidRPr="00FC1444" w:rsidRDefault="001E5751" w:rsidP="00DF4950">
            <w:pPr>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小时均值</w:t>
            </w:r>
          </w:p>
        </w:tc>
        <w:tc>
          <w:tcPr>
            <w:tcW w:w="0" w:type="auto"/>
            <w:vAlign w:val="center"/>
          </w:tcPr>
          <w:p w:rsidR="001E5751" w:rsidRPr="00FC1444" w:rsidRDefault="001E5751" w:rsidP="00DF4950">
            <w:pPr>
              <w:widowControl/>
              <w:spacing w:line="0" w:lineRule="atLeast"/>
              <w:jc w:val="center"/>
              <w:rPr>
                <w:rFonts w:eastAsiaTheme="minorEastAsia"/>
                <w:kern w:val="0"/>
                <w:szCs w:val="21"/>
              </w:rPr>
            </w:pPr>
            <w:r w:rsidRPr="00FC1444">
              <w:rPr>
                <w:rFonts w:eastAsiaTheme="minorEastAsia"/>
                <w:kern w:val="0"/>
                <w:szCs w:val="21"/>
              </w:rPr>
              <w:t>300</w:t>
            </w:r>
          </w:p>
        </w:tc>
        <w:tc>
          <w:tcPr>
            <w:tcW w:w="605" w:type="pct"/>
            <w:vAlign w:val="center"/>
          </w:tcPr>
          <w:p w:rsidR="001E5751" w:rsidRPr="00FC1444" w:rsidRDefault="004C71C3" w:rsidP="00DF4950">
            <w:pPr>
              <w:spacing w:line="0" w:lineRule="atLeast"/>
              <w:jc w:val="center"/>
              <w:rPr>
                <w:rFonts w:eastAsiaTheme="minorEastAsia"/>
                <w:kern w:val="0"/>
                <w:szCs w:val="21"/>
              </w:rPr>
            </w:pPr>
            <w:r w:rsidRPr="00FC1444">
              <w:rPr>
                <w:rFonts w:eastAsiaTheme="minorEastAsia" w:hint="eastAsia"/>
                <w:kern w:val="0"/>
                <w:szCs w:val="21"/>
              </w:rPr>
              <w:t>80</w:t>
            </w:r>
            <w:r w:rsidRPr="00FC1444">
              <w:rPr>
                <w:rFonts w:eastAsiaTheme="minorEastAsia"/>
                <w:kern w:val="0"/>
                <w:szCs w:val="21"/>
              </w:rPr>
              <w:t>-</w:t>
            </w:r>
            <w:r w:rsidRPr="00FC1444">
              <w:rPr>
                <w:rFonts w:eastAsiaTheme="minorEastAsia" w:hint="eastAsia"/>
                <w:kern w:val="0"/>
                <w:szCs w:val="21"/>
              </w:rPr>
              <w:t>86</w:t>
            </w:r>
          </w:p>
        </w:tc>
        <w:tc>
          <w:tcPr>
            <w:tcW w:w="390" w:type="pct"/>
            <w:vAlign w:val="center"/>
          </w:tcPr>
          <w:p w:rsidR="001E5751" w:rsidRPr="00FC1444" w:rsidRDefault="00DE1D55" w:rsidP="00DF4950">
            <w:pPr>
              <w:spacing w:line="0" w:lineRule="atLeast"/>
              <w:jc w:val="center"/>
              <w:rPr>
                <w:rFonts w:eastAsiaTheme="minorEastAsia"/>
                <w:kern w:val="0"/>
                <w:szCs w:val="21"/>
              </w:rPr>
            </w:pPr>
            <w:r w:rsidRPr="00FC1444">
              <w:rPr>
                <w:rFonts w:eastAsiaTheme="minorEastAsia" w:hint="eastAsia"/>
                <w:kern w:val="0"/>
                <w:szCs w:val="21"/>
              </w:rPr>
              <w:t>28.7</w:t>
            </w:r>
          </w:p>
        </w:tc>
        <w:tc>
          <w:tcPr>
            <w:tcW w:w="259" w:type="pct"/>
            <w:vAlign w:val="center"/>
          </w:tcPr>
          <w:p w:rsidR="001E5751" w:rsidRPr="00FC1444" w:rsidRDefault="001E5751" w:rsidP="00DF4950">
            <w:pPr>
              <w:spacing w:line="0" w:lineRule="atLeast"/>
              <w:jc w:val="center"/>
              <w:rPr>
                <w:rFonts w:eastAsiaTheme="minorEastAsia"/>
                <w:kern w:val="0"/>
                <w:szCs w:val="21"/>
              </w:rPr>
            </w:pPr>
            <w:r w:rsidRPr="00FC1444">
              <w:rPr>
                <w:rFonts w:eastAsiaTheme="minorEastAsia"/>
                <w:kern w:val="0"/>
                <w:szCs w:val="21"/>
              </w:rPr>
              <w:t>0</w:t>
            </w:r>
          </w:p>
        </w:tc>
        <w:tc>
          <w:tcPr>
            <w:tcW w:w="0" w:type="auto"/>
            <w:vAlign w:val="center"/>
          </w:tcPr>
          <w:p w:rsidR="001E5751" w:rsidRPr="00FC1444" w:rsidRDefault="001E5751" w:rsidP="00DF4950">
            <w:pPr>
              <w:widowControl/>
              <w:spacing w:line="0" w:lineRule="atLeast"/>
              <w:jc w:val="left"/>
              <w:rPr>
                <w:rFonts w:eastAsiaTheme="minorEastAsia"/>
                <w:kern w:val="0"/>
                <w:szCs w:val="21"/>
              </w:rPr>
            </w:pPr>
            <w:r w:rsidRPr="00FC1444">
              <w:rPr>
                <w:rFonts w:eastAsiaTheme="minorEastAsia"/>
                <w:kern w:val="0"/>
                <w:szCs w:val="21"/>
              </w:rPr>
              <w:t>达标</w:t>
            </w:r>
          </w:p>
        </w:tc>
      </w:tr>
      <w:tr w:rsidR="002E7015" w:rsidRPr="00FC1444" w:rsidTr="00377111">
        <w:trPr>
          <w:trHeight w:val="409"/>
          <w:jc w:val="center"/>
        </w:trPr>
        <w:tc>
          <w:tcPr>
            <w:tcW w:w="559" w:type="pct"/>
            <w:vMerge/>
            <w:vAlign w:val="center"/>
          </w:tcPr>
          <w:p w:rsidR="002E7015" w:rsidRPr="00FC1444" w:rsidRDefault="002E7015" w:rsidP="00DF4950">
            <w:pPr>
              <w:spacing w:line="0" w:lineRule="atLeast"/>
              <w:jc w:val="center"/>
              <w:rPr>
                <w:rFonts w:eastAsiaTheme="minorEastAsia"/>
                <w:szCs w:val="21"/>
              </w:rPr>
            </w:pPr>
          </w:p>
        </w:tc>
        <w:tc>
          <w:tcPr>
            <w:tcW w:w="758" w:type="pct"/>
            <w:vMerge/>
            <w:vAlign w:val="center"/>
          </w:tcPr>
          <w:p w:rsidR="002E7015" w:rsidRPr="00FC1444" w:rsidRDefault="002E7015" w:rsidP="00DF4950">
            <w:pPr>
              <w:spacing w:line="0" w:lineRule="atLeast"/>
              <w:jc w:val="center"/>
              <w:rPr>
                <w:rFonts w:eastAsiaTheme="minorEastAsia"/>
                <w:kern w:val="0"/>
                <w:szCs w:val="21"/>
              </w:rPr>
            </w:pPr>
          </w:p>
        </w:tc>
        <w:tc>
          <w:tcPr>
            <w:tcW w:w="638" w:type="pct"/>
            <w:vMerge/>
            <w:vAlign w:val="center"/>
          </w:tcPr>
          <w:p w:rsidR="002E7015" w:rsidRPr="00FC1444" w:rsidRDefault="002E7015" w:rsidP="00DF4950">
            <w:pPr>
              <w:spacing w:line="0" w:lineRule="atLeast"/>
              <w:jc w:val="center"/>
              <w:rPr>
                <w:rFonts w:eastAsiaTheme="minorEastAsia"/>
                <w:kern w:val="0"/>
                <w:szCs w:val="21"/>
              </w:rPr>
            </w:pPr>
          </w:p>
        </w:tc>
        <w:tc>
          <w:tcPr>
            <w:tcW w:w="358" w:type="pct"/>
            <w:vMerge w:val="restart"/>
            <w:vAlign w:val="center"/>
          </w:tcPr>
          <w:p w:rsidR="002E7015" w:rsidRPr="00FC1444" w:rsidRDefault="002E7015" w:rsidP="00DF4950">
            <w:pPr>
              <w:widowControl/>
              <w:spacing w:line="0" w:lineRule="atLeast"/>
              <w:jc w:val="center"/>
              <w:rPr>
                <w:rFonts w:eastAsiaTheme="minorEastAsia"/>
                <w:kern w:val="0"/>
                <w:szCs w:val="21"/>
              </w:rPr>
            </w:pPr>
            <w:r w:rsidRPr="00FC1444">
              <w:rPr>
                <w:rFonts w:eastAsiaTheme="minorEastAsia"/>
                <w:kern w:val="0"/>
                <w:szCs w:val="21"/>
              </w:rPr>
              <w:t>NO</w:t>
            </w:r>
            <w:r w:rsidRPr="00FC1444">
              <w:rPr>
                <w:rFonts w:eastAsiaTheme="minorEastAsia"/>
                <w:kern w:val="0"/>
                <w:szCs w:val="21"/>
                <w:vertAlign w:val="subscript"/>
              </w:rPr>
              <w:t>X</w:t>
            </w:r>
          </w:p>
        </w:tc>
        <w:tc>
          <w:tcPr>
            <w:tcW w:w="656" w:type="pct"/>
            <w:vAlign w:val="center"/>
          </w:tcPr>
          <w:p w:rsidR="002E7015" w:rsidRPr="00FC1444" w:rsidRDefault="002E7015" w:rsidP="00DF4950">
            <w:pPr>
              <w:spacing w:line="0" w:lineRule="atLeast"/>
              <w:jc w:val="center"/>
              <w:rPr>
                <w:rFonts w:eastAsiaTheme="minorEastAsia"/>
                <w:kern w:val="0"/>
                <w:szCs w:val="21"/>
              </w:rPr>
            </w:pPr>
            <w:r w:rsidRPr="00FC1444">
              <w:rPr>
                <w:rFonts w:eastAsiaTheme="minorEastAsia"/>
                <w:kern w:val="0"/>
                <w:szCs w:val="21"/>
              </w:rPr>
              <w:t>1</w:t>
            </w:r>
            <w:r w:rsidRPr="00FC1444">
              <w:rPr>
                <w:rFonts w:eastAsiaTheme="minorEastAsia"/>
                <w:kern w:val="0"/>
                <w:szCs w:val="21"/>
              </w:rPr>
              <w:t>小时均值</w:t>
            </w:r>
          </w:p>
        </w:tc>
        <w:tc>
          <w:tcPr>
            <w:tcW w:w="0" w:type="auto"/>
            <w:vAlign w:val="center"/>
          </w:tcPr>
          <w:p w:rsidR="002E7015" w:rsidRPr="00FC1444" w:rsidRDefault="002E7015" w:rsidP="00DF4950">
            <w:pPr>
              <w:widowControl/>
              <w:spacing w:line="0" w:lineRule="atLeast"/>
              <w:jc w:val="center"/>
              <w:rPr>
                <w:rFonts w:eastAsiaTheme="minorEastAsia"/>
                <w:kern w:val="0"/>
                <w:szCs w:val="21"/>
              </w:rPr>
            </w:pPr>
            <w:r w:rsidRPr="00FC1444">
              <w:rPr>
                <w:rFonts w:eastAsiaTheme="minorEastAsia"/>
                <w:kern w:val="0"/>
                <w:szCs w:val="21"/>
              </w:rPr>
              <w:t>250</w:t>
            </w:r>
          </w:p>
        </w:tc>
        <w:tc>
          <w:tcPr>
            <w:tcW w:w="605" w:type="pct"/>
            <w:vAlign w:val="center"/>
          </w:tcPr>
          <w:p w:rsidR="002E7015" w:rsidRPr="00FC1444" w:rsidRDefault="004C71C3" w:rsidP="00DF4950">
            <w:pPr>
              <w:spacing w:line="0" w:lineRule="atLeast"/>
              <w:jc w:val="center"/>
              <w:rPr>
                <w:rFonts w:eastAsiaTheme="minorEastAsia"/>
                <w:kern w:val="0"/>
                <w:szCs w:val="21"/>
              </w:rPr>
            </w:pPr>
            <w:r w:rsidRPr="00FC1444">
              <w:rPr>
                <w:rFonts w:eastAsiaTheme="minorEastAsia" w:hint="eastAsia"/>
                <w:kern w:val="0"/>
                <w:szCs w:val="21"/>
              </w:rPr>
              <w:t>49</w:t>
            </w:r>
            <w:r w:rsidRPr="00FC1444">
              <w:rPr>
                <w:rFonts w:eastAsiaTheme="minorEastAsia"/>
                <w:kern w:val="0"/>
                <w:szCs w:val="21"/>
              </w:rPr>
              <w:t>-</w:t>
            </w:r>
            <w:r w:rsidRPr="00FC1444">
              <w:rPr>
                <w:rFonts w:eastAsiaTheme="minorEastAsia" w:hint="eastAsia"/>
                <w:kern w:val="0"/>
                <w:szCs w:val="21"/>
              </w:rPr>
              <w:t>67</w:t>
            </w:r>
          </w:p>
        </w:tc>
        <w:tc>
          <w:tcPr>
            <w:tcW w:w="390" w:type="pct"/>
            <w:vAlign w:val="center"/>
          </w:tcPr>
          <w:p w:rsidR="002E7015" w:rsidRPr="00FC1444" w:rsidRDefault="00DE1D55" w:rsidP="00DF4950">
            <w:pPr>
              <w:spacing w:line="0" w:lineRule="atLeast"/>
              <w:jc w:val="center"/>
              <w:rPr>
                <w:rFonts w:eastAsiaTheme="minorEastAsia"/>
                <w:kern w:val="0"/>
                <w:szCs w:val="21"/>
              </w:rPr>
            </w:pPr>
            <w:r w:rsidRPr="00FC1444">
              <w:rPr>
                <w:rFonts w:eastAsiaTheme="minorEastAsia" w:hint="eastAsia"/>
                <w:kern w:val="0"/>
                <w:szCs w:val="21"/>
              </w:rPr>
              <w:t>26.8</w:t>
            </w:r>
          </w:p>
        </w:tc>
        <w:tc>
          <w:tcPr>
            <w:tcW w:w="259" w:type="pct"/>
            <w:vAlign w:val="center"/>
          </w:tcPr>
          <w:p w:rsidR="002E7015" w:rsidRPr="00FC1444" w:rsidRDefault="002E7015" w:rsidP="00DF4950">
            <w:pPr>
              <w:spacing w:line="0" w:lineRule="atLeast"/>
              <w:jc w:val="center"/>
              <w:rPr>
                <w:rFonts w:eastAsiaTheme="minorEastAsia"/>
                <w:kern w:val="0"/>
                <w:szCs w:val="21"/>
              </w:rPr>
            </w:pPr>
            <w:r w:rsidRPr="00FC1444">
              <w:rPr>
                <w:rFonts w:eastAsiaTheme="minorEastAsia"/>
                <w:kern w:val="0"/>
                <w:szCs w:val="21"/>
              </w:rPr>
              <w:t>0</w:t>
            </w:r>
          </w:p>
        </w:tc>
        <w:tc>
          <w:tcPr>
            <w:tcW w:w="0" w:type="auto"/>
            <w:vMerge w:val="restart"/>
            <w:vAlign w:val="center"/>
          </w:tcPr>
          <w:p w:rsidR="002E7015" w:rsidRPr="00FC1444" w:rsidRDefault="002E7015" w:rsidP="00DF4950">
            <w:pPr>
              <w:widowControl/>
              <w:spacing w:line="0" w:lineRule="atLeast"/>
              <w:jc w:val="left"/>
              <w:rPr>
                <w:rFonts w:eastAsiaTheme="minorEastAsia"/>
                <w:kern w:val="0"/>
                <w:szCs w:val="21"/>
              </w:rPr>
            </w:pPr>
            <w:r w:rsidRPr="00FC1444">
              <w:rPr>
                <w:rFonts w:eastAsiaTheme="minorEastAsia"/>
                <w:kern w:val="0"/>
                <w:szCs w:val="21"/>
              </w:rPr>
              <w:t>达标</w:t>
            </w:r>
          </w:p>
        </w:tc>
      </w:tr>
      <w:tr w:rsidR="002E7015" w:rsidRPr="00FC1444" w:rsidTr="00377111">
        <w:trPr>
          <w:trHeight w:val="409"/>
          <w:jc w:val="center"/>
        </w:trPr>
        <w:tc>
          <w:tcPr>
            <w:tcW w:w="559" w:type="pct"/>
            <w:vMerge/>
            <w:vAlign w:val="center"/>
          </w:tcPr>
          <w:p w:rsidR="002E7015" w:rsidRPr="00FC1444" w:rsidRDefault="002E7015" w:rsidP="00DF4950">
            <w:pPr>
              <w:spacing w:line="0" w:lineRule="atLeast"/>
              <w:jc w:val="center"/>
              <w:rPr>
                <w:rFonts w:eastAsiaTheme="minorEastAsia"/>
                <w:szCs w:val="21"/>
              </w:rPr>
            </w:pPr>
          </w:p>
        </w:tc>
        <w:tc>
          <w:tcPr>
            <w:tcW w:w="758" w:type="pct"/>
            <w:vMerge/>
            <w:vAlign w:val="center"/>
          </w:tcPr>
          <w:p w:rsidR="002E7015" w:rsidRPr="00FC1444" w:rsidRDefault="002E7015" w:rsidP="00DF4950">
            <w:pPr>
              <w:spacing w:line="0" w:lineRule="atLeast"/>
              <w:jc w:val="center"/>
              <w:rPr>
                <w:rFonts w:eastAsiaTheme="minorEastAsia"/>
                <w:kern w:val="0"/>
                <w:szCs w:val="21"/>
              </w:rPr>
            </w:pPr>
          </w:p>
        </w:tc>
        <w:tc>
          <w:tcPr>
            <w:tcW w:w="638" w:type="pct"/>
            <w:vMerge/>
            <w:vAlign w:val="center"/>
          </w:tcPr>
          <w:p w:rsidR="002E7015" w:rsidRPr="00FC1444" w:rsidRDefault="002E7015" w:rsidP="00DF4950">
            <w:pPr>
              <w:spacing w:line="0" w:lineRule="atLeast"/>
              <w:jc w:val="center"/>
              <w:rPr>
                <w:rFonts w:eastAsiaTheme="minorEastAsia"/>
                <w:kern w:val="0"/>
                <w:szCs w:val="21"/>
              </w:rPr>
            </w:pPr>
          </w:p>
        </w:tc>
        <w:tc>
          <w:tcPr>
            <w:tcW w:w="358" w:type="pct"/>
            <w:vMerge/>
            <w:vAlign w:val="center"/>
          </w:tcPr>
          <w:p w:rsidR="002E7015" w:rsidRPr="00FC1444" w:rsidRDefault="002E7015" w:rsidP="00DF4950">
            <w:pPr>
              <w:widowControl/>
              <w:spacing w:line="0" w:lineRule="atLeast"/>
              <w:jc w:val="center"/>
              <w:rPr>
                <w:rFonts w:eastAsiaTheme="minorEastAsia"/>
                <w:kern w:val="0"/>
                <w:szCs w:val="21"/>
              </w:rPr>
            </w:pPr>
          </w:p>
        </w:tc>
        <w:tc>
          <w:tcPr>
            <w:tcW w:w="656" w:type="pct"/>
            <w:vAlign w:val="center"/>
          </w:tcPr>
          <w:p w:rsidR="002E7015" w:rsidRPr="00FC1444" w:rsidRDefault="002E7015" w:rsidP="00DF4950">
            <w:pPr>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小时均值</w:t>
            </w:r>
          </w:p>
        </w:tc>
        <w:tc>
          <w:tcPr>
            <w:tcW w:w="0" w:type="auto"/>
            <w:vAlign w:val="center"/>
          </w:tcPr>
          <w:p w:rsidR="002E7015" w:rsidRPr="00FC1444" w:rsidRDefault="002E7015" w:rsidP="00DF4950">
            <w:pPr>
              <w:widowControl/>
              <w:spacing w:line="0" w:lineRule="atLeast"/>
              <w:jc w:val="center"/>
              <w:rPr>
                <w:rFonts w:eastAsiaTheme="minorEastAsia"/>
                <w:kern w:val="0"/>
                <w:szCs w:val="21"/>
              </w:rPr>
            </w:pPr>
            <w:r w:rsidRPr="00FC1444">
              <w:rPr>
                <w:rFonts w:eastAsiaTheme="minorEastAsia"/>
                <w:kern w:val="0"/>
                <w:szCs w:val="21"/>
              </w:rPr>
              <w:t>100</w:t>
            </w:r>
          </w:p>
        </w:tc>
        <w:tc>
          <w:tcPr>
            <w:tcW w:w="605" w:type="pct"/>
            <w:vAlign w:val="center"/>
          </w:tcPr>
          <w:p w:rsidR="002E7015" w:rsidRPr="00FC1444" w:rsidRDefault="004C71C3" w:rsidP="00DF4950">
            <w:pPr>
              <w:spacing w:line="0" w:lineRule="atLeast"/>
              <w:jc w:val="center"/>
              <w:rPr>
                <w:rFonts w:eastAsiaTheme="minorEastAsia"/>
                <w:kern w:val="0"/>
                <w:szCs w:val="21"/>
              </w:rPr>
            </w:pPr>
            <w:r w:rsidRPr="00FC1444">
              <w:rPr>
                <w:rFonts w:eastAsiaTheme="minorEastAsia"/>
                <w:kern w:val="0"/>
                <w:szCs w:val="21"/>
              </w:rPr>
              <w:t>2</w:t>
            </w:r>
            <w:r w:rsidRPr="00FC1444">
              <w:rPr>
                <w:rFonts w:eastAsiaTheme="minorEastAsia" w:hint="eastAsia"/>
                <w:kern w:val="0"/>
                <w:szCs w:val="21"/>
              </w:rPr>
              <w:t>4</w:t>
            </w:r>
            <w:r w:rsidRPr="00FC1444">
              <w:rPr>
                <w:rFonts w:eastAsiaTheme="minorEastAsia"/>
                <w:kern w:val="0"/>
                <w:szCs w:val="21"/>
              </w:rPr>
              <w:t>-3</w:t>
            </w:r>
            <w:r w:rsidRPr="00FC1444">
              <w:rPr>
                <w:rFonts w:eastAsiaTheme="minorEastAsia" w:hint="eastAsia"/>
                <w:kern w:val="0"/>
                <w:szCs w:val="21"/>
              </w:rPr>
              <w:t>3</w:t>
            </w:r>
          </w:p>
        </w:tc>
        <w:tc>
          <w:tcPr>
            <w:tcW w:w="390" w:type="pct"/>
            <w:vAlign w:val="center"/>
          </w:tcPr>
          <w:p w:rsidR="002E7015" w:rsidRPr="00FC1444" w:rsidRDefault="00DE1D55" w:rsidP="00DF4950">
            <w:pPr>
              <w:spacing w:line="0" w:lineRule="atLeast"/>
              <w:jc w:val="center"/>
              <w:rPr>
                <w:rFonts w:eastAsiaTheme="minorEastAsia"/>
                <w:kern w:val="0"/>
                <w:szCs w:val="21"/>
              </w:rPr>
            </w:pPr>
            <w:r w:rsidRPr="00FC1444">
              <w:rPr>
                <w:rFonts w:eastAsiaTheme="minorEastAsia" w:hint="eastAsia"/>
                <w:kern w:val="0"/>
                <w:szCs w:val="21"/>
              </w:rPr>
              <w:t>33</w:t>
            </w:r>
          </w:p>
        </w:tc>
        <w:tc>
          <w:tcPr>
            <w:tcW w:w="259" w:type="pct"/>
            <w:vAlign w:val="center"/>
          </w:tcPr>
          <w:p w:rsidR="002E7015" w:rsidRPr="00FC1444" w:rsidRDefault="002E7015" w:rsidP="00DF4950">
            <w:pPr>
              <w:spacing w:line="0" w:lineRule="atLeast"/>
              <w:jc w:val="center"/>
              <w:rPr>
                <w:rFonts w:eastAsiaTheme="minorEastAsia"/>
                <w:kern w:val="0"/>
                <w:szCs w:val="21"/>
              </w:rPr>
            </w:pPr>
            <w:r w:rsidRPr="00FC1444">
              <w:rPr>
                <w:rFonts w:eastAsiaTheme="minorEastAsia"/>
                <w:kern w:val="0"/>
                <w:szCs w:val="21"/>
              </w:rPr>
              <w:t>0</w:t>
            </w:r>
          </w:p>
        </w:tc>
        <w:tc>
          <w:tcPr>
            <w:tcW w:w="0" w:type="auto"/>
            <w:vMerge/>
            <w:vAlign w:val="center"/>
          </w:tcPr>
          <w:p w:rsidR="002E7015" w:rsidRPr="00FC1444" w:rsidRDefault="002E7015" w:rsidP="00DF4950">
            <w:pPr>
              <w:widowControl/>
              <w:spacing w:line="0" w:lineRule="atLeast"/>
              <w:jc w:val="left"/>
              <w:rPr>
                <w:rFonts w:eastAsiaTheme="minorEastAsia"/>
                <w:kern w:val="0"/>
                <w:szCs w:val="21"/>
              </w:rPr>
            </w:pPr>
          </w:p>
        </w:tc>
      </w:tr>
      <w:tr w:rsidR="001E5751" w:rsidRPr="00FC1444" w:rsidTr="00377111">
        <w:trPr>
          <w:trHeight w:val="389"/>
          <w:jc w:val="center"/>
        </w:trPr>
        <w:tc>
          <w:tcPr>
            <w:tcW w:w="559" w:type="pct"/>
            <w:vMerge w:val="restart"/>
            <w:vAlign w:val="center"/>
          </w:tcPr>
          <w:p w:rsidR="001E5751" w:rsidRPr="00FC1444" w:rsidRDefault="001E5751" w:rsidP="00DF4950">
            <w:pPr>
              <w:spacing w:line="0" w:lineRule="atLeast"/>
              <w:contextualSpacing/>
              <w:jc w:val="center"/>
              <w:rPr>
                <w:rFonts w:eastAsiaTheme="minorEastAsia"/>
                <w:szCs w:val="21"/>
              </w:rPr>
            </w:pPr>
            <w:r w:rsidRPr="00FC1444">
              <w:rPr>
                <w:rFonts w:eastAsiaTheme="minorEastAsia"/>
                <w:szCs w:val="21"/>
              </w:rPr>
              <w:t>三河片区下风向</w:t>
            </w:r>
            <w:r w:rsidRPr="00FC1444">
              <w:rPr>
                <w:rFonts w:eastAsiaTheme="minorEastAsia"/>
                <w:szCs w:val="21"/>
              </w:rPr>
              <w:t>○</w:t>
            </w:r>
            <w:r w:rsidRPr="00FC1444">
              <w:rPr>
                <w:rFonts w:eastAsiaTheme="minorEastAsia" w:hint="eastAsia"/>
                <w:szCs w:val="21"/>
              </w:rPr>
              <w:t>4</w:t>
            </w:r>
          </w:p>
        </w:tc>
        <w:tc>
          <w:tcPr>
            <w:tcW w:w="758" w:type="pct"/>
            <w:vMerge w:val="restart"/>
            <w:vAlign w:val="center"/>
          </w:tcPr>
          <w:p w:rsidR="001E5751" w:rsidRPr="00FC1444" w:rsidRDefault="001E5751" w:rsidP="00C04989">
            <w:pPr>
              <w:spacing w:line="0" w:lineRule="atLeast"/>
              <w:contextualSpacing/>
              <w:jc w:val="center"/>
              <w:rPr>
                <w:rFonts w:eastAsiaTheme="minorEastAsia"/>
                <w:kern w:val="0"/>
                <w:szCs w:val="21"/>
              </w:rPr>
            </w:pPr>
            <w:r w:rsidRPr="00FC1444">
              <w:rPr>
                <w:rFonts w:eastAsiaTheme="minorEastAsia"/>
                <w:kern w:val="0"/>
                <w:szCs w:val="21"/>
              </w:rPr>
              <w:t>127.163931</w:t>
            </w:r>
            <w:r w:rsidRPr="00FC1444">
              <w:rPr>
                <w:rFonts w:eastAsiaTheme="minorEastAsia" w:hint="eastAsia"/>
                <w:kern w:val="0"/>
                <w:szCs w:val="21"/>
              </w:rPr>
              <w:t>9</w:t>
            </w:r>
          </w:p>
        </w:tc>
        <w:tc>
          <w:tcPr>
            <w:tcW w:w="638" w:type="pct"/>
            <w:vMerge w:val="restart"/>
            <w:vAlign w:val="center"/>
          </w:tcPr>
          <w:p w:rsidR="001E5751" w:rsidRPr="00FC1444" w:rsidRDefault="001E5751" w:rsidP="00C04989">
            <w:pPr>
              <w:spacing w:line="0" w:lineRule="atLeast"/>
              <w:contextualSpacing/>
              <w:jc w:val="center"/>
              <w:rPr>
                <w:rFonts w:eastAsiaTheme="minorEastAsia"/>
                <w:kern w:val="0"/>
                <w:szCs w:val="21"/>
              </w:rPr>
            </w:pPr>
            <w:r w:rsidRPr="00FC1444">
              <w:rPr>
                <w:rFonts w:eastAsiaTheme="minorEastAsia"/>
                <w:kern w:val="0"/>
                <w:szCs w:val="21"/>
              </w:rPr>
              <w:t>47.024498</w:t>
            </w:r>
          </w:p>
        </w:tc>
        <w:tc>
          <w:tcPr>
            <w:tcW w:w="358" w:type="pct"/>
            <w:vAlign w:val="center"/>
          </w:tcPr>
          <w:p w:rsidR="001E5751" w:rsidRPr="00FC1444" w:rsidRDefault="001E5751" w:rsidP="00DF4950">
            <w:pPr>
              <w:spacing w:line="0" w:lineRule="atLeast"/>
              <w:jc w:val="center"/>
              <w:rPr>
                <w:rFonts w:eastAsiaTheme="minorEastAsia"/>
                <w:kern w:val="0"/>
                <w:szCs w:val="21"/>
              </w:rPr>
            </w:pPr>
            <w:r w:rsidRPr="00FC1444">
              <w:rPr>
                <w:rFonts w:eastAsiaTheme="minorEastAsia"/>
                <w:kern w:val="0"/>
                <w:szCs w:val="21"/>
              </w:rPr>
              <w:t>TSP</w:t>
            </w:r>
          </w:p>
        </w:tc>
        <w:tc>
          <w:tcPr>
            <w:tcW w:w="656" w:type="pct"/>
            <w:vAlign w:val="center"/>
          </w:tcPr>
          <w:p w:rsidR="001E5751" w:rsidRPr="00FC1444" w:rsidRDefault="001E5751" w:rsidP="00DF4950">
            <w:pPr>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小时均值</w:t>
            </w:r>
          </w:p>
        </w:tc>
        <w:tc>
          <w:tcPr>
            <w:tcW w:w="0" w:type="auto"/>
            <w:vAlign w:val="center"/>
          </w:tcPr>
          <w:p w:rsidR="001E5751" w:rsidRPr="00FC1444" w:rsidRDefault="001E5751" w:rsidP="00DF4950">
            <w:pPr>
              <w:widowControl/>
              <w:spacing w:line="0" w:lineRule="atLeast"/>
              <w:jc w:val="center"/>
              <w:rPr>
                <w:rFonts w:eastAsiaTheme="minorEastAsia"/>
                <w:kern w:val="0"/>
                <w:szCs w:val="21"/>
              </w:rPr>
            </w:pPr>
            <w:r w:rsidRPr="00FC1444">
              <w:rPr>
                <w:rFonts w:eastAsiaTheme="minorEastAsia"/>
                <w:kern w:val="0"/>
                <w:szCs w:val="21"/>
              </w:rPr>
              <w:t>300</w:t>
            </w:r>
          </w:p>
        </w:tc>
        <w:tc>
          <w:tcPr>
            <w:tcW w:w="605" w:type="pct"/>
            <w:vAlign w:val="center"/>
          </w:tcPr>
          <w:p w:rsidR="001E5751" w:rsidRPr="00FC1444" w:rsidRDefault="004C71C3" w:rsidP="00DF4950">
            <w:pPr>
              <w:spacing w:line="0" w:lineRule="atLeast"/>
              <w:jc w:val="center"/>
              <w:rPr>
                <w:rFonts w:eastAsiaTheme="minorEastAsia"/>
                <w:kern w:val="0"/>
                <w:szCs w:val="21"/>
              </w:rPr>
            </w:pPr>
            <w:r w:rsidRPr="00FC1444">
              <w:rPr>
                <w:rFonts w:eastAsiaTheme="minorEastAsia" w:hint="eastAsia"/>
                <w:kern w:val="0"/>
                <w:szCs w:val="21"/>
              </w:rPr>
              <w:t>81</w:t>
            </w:r>
            <w:r w:rsidRPr="00FC1444">
              <w:rPr>
                <w:rFonts w:eastAsiaTheme="minorEastAsia"/>
                <w:kern w:val="0"/>
                <w:szCs w:val="21"/>
              </w:rPr>
              <w:t>-</w:t>
            </w:r>
            <w:r w:rsidRPr="00FC1444">
              <w:rPr>
                <w:rFonts w:eastAsiaTheme="minorEastAsia" w:hint="eastAsia"/>
                <w:kern w:val="0"/>
                <w:szCs w:val="21"/>
              </w:rPr>
              <w:t>85</w:t>
            </w:r>
          </w:p>
        </w:tc>
        <w:tc>
          <w:tcPr>
            <w:tcW w:w="390" w:type="pct"/>
            <w:vAlign w:val="center"/>
          </w:tcPr>
          <w:p w:rsidR="001E5751" w:rsidRPr="00FC1444" w:rsidRDefault="00DE1D55" w:rsidP="00DF4950">
            <w:pPr>
              <w:spacing w:line="0" w:lineRule="atLeast"/>
              <w:jc w:val="center"/>
              <w:rPr>
                <w:rFonts w:eastAsiaTheme="minorEastAsia"/>
                <w:kern w:val="0"/>
                <w:szCs w:val="21"/>
              </w:rPr>
            </w:pPr>
            <w:r w:rsidRPr="00FC1444">
              <w:rPr>
                <w:rFonts w:eastAsiaTheme="minorEastAsia" w:hint="eastAsia"/>
                <w:kern w:val="0"/>
                <w:szCs w:val="21"/>
              </w:rPr>
              <w:t>28.3</w:t>
            </w:r>
          </w:p>
        </w:tc>
        <w:tc>
          <w:tcPr>
            <w:tcW w:w="259" w:type="pct"/>
            <w:vAlign w:val="center"/>
          </w:tcPr>
          <w:p w:rsidR="001E5751" w:rsidRPr="00FC1444" w:rsidRDefault="001E5751" w:rsidP="00DF4950">
            <w:pPr>
              <w:spacing w:line="0" w:lineRule="atLeast"/>
              <w:jc w:val="center"/>
              <w:rPr>
                <w:rFonts w:eastAsiaTheme="minorEastAsia"/>
                <w:kern w:val="0"/>
                <w:szCs w:val="21"/>
              </w:rPr>
            </w:pPr>
            <w:r w:rsidRPr="00FC1444">
              <w:rPr>
                <w:rFonts w:eastAsiaTheme="minorEastAsia"/>
                <w:kern w:val="0"/>
                <w:szCs w:val="21"/>
              </w:rPr>
              <w:t>0</w:t>
            </w:r>
          </w:p>
        </w:tc>
        <w:tc>
          <w:tcPr>
            <w:tcW w:w="0" w:type="auto"/>
            <w:vAlign w:val="center"/>
          </w:tcPr>
          <w:p w:rsidR="001E5751" w:rsidRPr="00FC1444" w:rsidRDefault="001E5751" w:rsidP="00DF4950">
            <w:pPr>
              <w:widowControl/>
              <w:spacing w:line="0" w:lineRule="atLeast"/>
              <w:jc w:val="left"/>
              <w:rPr>
                <w:rFonts w:eastAsiaTheme="minorEastAsia"/>
                <w:kern w:val="0"/>
                <w:szCs w:val="21"/>
              </w:rPr>
            </w:pPr>
            <w:r w:rsidRPr="00FC1444">
              <w:rPr>
                <w:rFonts w:eastAsiaTheme="minorEastAsia"/>
                <w:kern w:val="0"/>
                <w:szCs w:val="21"/>
              </w:rPr>
              <w:t>达标</w:t>
            </w:r>
          </w:p>
        </w:tc>
      </w:tr>
      <w:tr w:rsidR="002E7015" w:rsidRPr="00FC1444" w:rsidTr="00377111">
        <w:trPr>
          <w:trHeight w:val="409"/>
          <w:jc w:val="center"/>
        </w:trPr>
        <w:tc>
          <w:tcPr>
            <w:tcW w:w="559" w:type="pct"/>
            <w:vMerge/>
            <w:vAlign w:val="center"/>
          </w:tcPr>
          <w:p w:rsidR="002E7015" w:rsidRPr="00FC1444" w:rsidRDefault="002E7015" w:rsidP="00DF4950">
            <w:pPr>
              <w:spacing w:line="0" w:lineRule="atLeast"/>
              <w:jc w:val="center"/>
              <w:rPr>
                <w:rFonts w:eastAsiaTheme="minorEastAsia"/>
                <w:szCs w:val="21"/>
              </w:rPr>
            </w:pPr>
          </w:p>
        </w:tc>
        <w:tc>
          <w:tcPr>
            <w:tcW w:w="758" w:type="pct"/>
            <w:vMerge/>
            <w:vAlign w:val="center"/>
          </w:tcPr>
          <w:p w:rsidR="002E7015" w:rsidRPr="00FC1444" w:rsidRDefault="002E7015" w:rsidP="00DF4950">
            <w:pPr>
              <w:spacing w:line="0" w:lineRule="atLeast"/>
              <w:jc w:val="center"/>
              <w:rPr>
                <w:rFonts w:eastAsiaTheme="minorEastAsia"/>
                <w:kern w:val="0"/>
                <w:szCs w:val="21"/>
              </w:rPr>
            </w:pPr>
          </w:p>
        </w:tc>
        <w:tc>
          <w:tcPr>
            <w:tcW w:w="638" w:type="pct"/>
            <w:vMerge/>
            <w:vAlign w:val="center"/>
          </w:tcPr>
          <w:p w:rsidR="002E7015" w:rsidRPr="00FC1444" w:rsidRDefault="002E7015" w:rsidP="00DF4950">
            <w:pPr>
              <w:spacing w:line="0" w:lineRule="atLeast"/>
              <w:jc w:val="center"/>
              <w:rPr>
                <w:rFonts w:eastAsiaTheme="minorEastAsia"/>
                <w:kern w:val="0"/>
                <w:szCs w:val="21"/>
              </w:rPr>
            </w:pPr>
          </w:p>
        </w:tc>
        <w:tc>
          <w:tcPr>
            <w:tcW w:w="358" w:type="pct"/>
            <w:vMerge w:val="restart"/>
            <w:vAlign w:val="center"/>
          </w:tcPr>
          <w:p w:rsidR="002E7015" w:rsidRPr="00FC1444" w:rsidRDefault="002E7015" w:rsidP="00DF4950">
            <w:pPr>
              <w:widowControl/>
              <w:spacing w:line="0" w:lineRule="atLeast"/>
              <w:jc w:val="center"/>
              <w:rPr>
                <w:rFonts w:eastAsiaTheme="minorEastAsia"/>
                <w:kern w:val="0"/>
                <w:szCs w:val="21"/>
              </w:rPr>
            </w:pPr>
            <w:r w:rsidRPr="00FC1444">
              <w:rPr>
                <w:rFonts w:eastAsiaTheme="minorEastAsia"/>
                <w:kern w:val="0"/>
                <w:szCs w:val="21"/>
              </w:rPr>
              <w:t>NO</w:t>
            </w:r>
            <w:r w:rsidRPr="00FC1444">
              <w:rPr>
                <w:rFonts w:eastAsiaTheme="minorEastAsia"/>
                <w:kern w:val="0"/>
                <w:szCs w:val="21"/>
                <w:vertAlign w:val="subscript"/>
              </w:rPr>
              <w:t>X</w:t>
            </w:r>
          </w:p>
        </w:tc>
        <w:tc>
          <w:tcPr>
            <w:tcW w:w="656" w:type="pct"/>
            <w:vAlign w:val="center"/>
          </w:tcPr>
          <w:p w:rsidR="002E7015" w:rsidRPr="00FC1444" w:rsidRDefault="002E7015" w:rsidP="00DF4950">
            <w:pPr>
              <w:spacing w:line="0" w:lineRule="atLeast"/>
              <w:jc w:val="center"/>
              <w:rPr>
                <w:rFonts w:eastAsiaTheme="minorEastAsia"/>
                <w:kern w:val="0"/>
                <w:szCs w:val="21"/>
              </w:rPr>
            </w:pPr>
            <w:r w:rsidRPr="00FC1444">
              <w:rPr>
                <w:rFonts w:eastAsiaTheme="minorEastAsia"/>
                <w:kern w:val="0"/>
                <w:szCs w:val="21"/>
              </w:rPr>
              <w:t>1</w:t>
            </w:r>
            <w:r w:rsidRPr="00FC1444">
              <w:rPr>
                <w:rFonts w:eastAsiaTheme="minorEastAsia"/>
                <w:kern w:val="0"/>
                <w:szCs w:val="21"/>
              </w:rPr>
              <w:t>小时均值</w:t>
            </w:r>
          </w:p>
        </w:tc>
        <w:tc>
          <w:tcPr>
            <w:tcW w:w="0" w:type="auto"/>
            <w:vAlign w:val="center"/>
          </w:tcPr>
          <w:p w:rsidR="002E7015" w:rsidRPr="00FC1444" w:rsidRDefault="002E7015" w:rsidP="00DF4950">
            <w:pPr>
              <w:widowControl/>
              <w:spacing w:line="0" w:lineRule="atLeast"/>
              <w:jc w:val="center"/>
              <w:rPr>
                <w:rFonts w:eastAsiaTheme="minorEastAsia"/>
                <w:kern w:val="0"/>
                <w:szCs w:val="21"/>
              </w:rPr>
            </w:pPr>
            <w:r w:rsidRPr="00FC1444">
              <w:rPr>
                <w:rFonts w:eastAsiaTheme="minorEastAsia"/>
                <w:kern w:val="0"/>
                <w:szCs w:val="21"/>
              </w:rPr>
              <w:t>250</w:t>
            </w:r>
          </w:p>
        </w:tc>
        <w:tc>
          <w:tcPr>
            <w:tcW w:w="605" w:type="pct"/>
            <w:vAlign w:val="center"/>
          </w:tcPr>
          <w:p w:rsidR="002E7015" w:rsidRPr="00FC1444" w:rsidRDefault="004C71C3" w:rsidP="00DF4950">
            <w:pPr>
              <w:spacing w:line="0" w:lineRule="atLeast"/>
              <w:jc w:val="center"/>
              <w:rPr>
                <w:rFonts w:eastAsiaTheme="minorEastAsia"/>
                <w:kern w:val="0"/>
                <w:szCs w:val="21"/>
              </w:rPr>
            </w:pPr>
            <w:r w:rsidRPr="00FC1444">
              <w:rPr>
                <w:rFonts w:eastAsiaTheme="minorEastAsia" w:hint="eastAsia"/>
                <w:kern w:val="0"/>
                <w:szCs w:val="21"/>
              </w:rPr>
              <w:t>57</w:t>
            </w:r>
            <w:r w:rsidRPr="00FC1444">
              <w:rPr>
                <w:rFonts w:eastAsiaTheme="minorEastAsia"/>
                <w:kern w:val="0"/>
                <w:szCs w:val="21"/>
              </w:rPr>
              <w:t>-</w:t>
            </w:r>
            <w:r w:rsidRPr="00FC1444">
              <w:rPr>
                <w:rFonts w:eastAsiaTheme="minorEastAsia" w:hint="eastAsia"/>
                <w:kern w:val="0"/>
                <w:szCs w:val="21"/>
              </w:rPr>
              <w:t>72</w:t>
            </w:r>
          </w:p>
        </w:tc>
        <w:tc>
          <w:tcPr>
            <w:tcW w:w="390" w:type="pct"/>
            <w:vAlign w:val="center"/>
          </w:tcPr>
          <w:p w:rsidR="002E7015" w:rsidRPr="00FC1444" w:rsidRDefault="00DE1D55" w:rsidP="00DF4950">
            <w:pPr>
              <w:spacing w:line="0" w:lineRule="atLeast"/>
              <w:jc w:val="center"/>
              <w:rPr>
                <w:rFonts w:eastAsiaTheme="minorEastAsia"/>
                <w:kern w:val="0"/>
                <w:szCs w:val="21"/>
              </w:rPr>
            </w:pPr>
            <w:r w:rsidRPr="00FC1444">
              <w:rPr>
                <w:rFonts w:eastAsiaTheme="minorEastAsia" w:hint="eastAsia"/>
                <w:kern w:val="0"/>
                <w:szCs w:val="21"/>
              </w:rPr>
              <w:t>28.8</w:t>
            </w:r>
          </w:p>
        </w:tc>
        <w:tc>
          <w:tcPr>
            <w:tcW w:w="259" w:type="pct"/>
            <w:vAlign w:val="center"/>
          </w:tcPr>
          <w:p w:rsidR="002E7015" w:rsidRPr="00FC1444" w:rsidRDefault="002E7015" w:rsidP="00DF4950">
            <w:pPr>
              <w:spacing w:line="0" w:lineRule="atLeast"/>
              <w:jc w:val="center"/>
              <w:rPr>
                <w:rFonts w:eastAsiaTheme="minorEastAsia"/>
                <w:kern w:val="0"/>
                <w:szCs w:val="21"/>
              </w:rPr>
            </w:pPr>
            <w:r w:rsidRPr="00FC1444">
              <w:rPr>
                <w:rFonts w:eastAsiaTheme="minorEastAsia"/>
                <w:kern w:val="0"/>
                <w:szCs w:val="21"/>
              </w:rPr>
              <w:t>0</w:t>
            </w:r>
          </w:p>
        </w:tc>
        <w:tc>
          <w:tcPr>
            <w:tcW w:w="0" w:type="auto"/>
            <w:vMerge w:val="restart"/>
            <w:vAlign w:val="center"/>
          </w:tcPr>
          <w:p w:rsidR="002E7015" w:rsidRPr="00FC1444" w:rsidRDefault="002E7015" w:rsidP="00DF4950">
            <w:pPr>
              <w:widowControl/>
              <w:spacing w:line="0" w:lineRule="atLeast"/>
              <w:jc w:val="left"/>
              <w:rPr>
                <w:rFonts w:eastAsiaTheme="minorEastAsia"/>
                <w:kern w:val="0"/>
                <w:szCs w:val="21"/>
              </w:rPr>
            </w:pPr>
            <w:r w:rsidRPr="00FC1444">
              <w:rPr>
                <w:rFonts w:eastAsiaTheme="minorEastAsia"/>
                <w:kern w:val="0"/>
                <w:szCs w:val="21"/>
              </w:rPr>
              <w:t>达标</w:t>
            </w:r>
          </w:p>
        </w:tc>
      </w:tr>
      <w:tr w:rsidR="002E7015" w:rsidRPr="00FC1444" w:rsidTr="00377111">
        <w:trPr>
          <w:trHeight w:val="409"/>
          <w:jc w:val="center"/>
        </w:trPr>
        <w:tc>
          <w:tcPr>
            <w:tcW w:w="559" w:type="pct"/>
            <w:vMerge/>
            <w:vAlign w:val="center"/>
          </w:tcPr>
          <w:p w:rsidR="002E7015" w:rsidRPr="00FC1444" w:rsidRDefault="002E7015" w:rsidP="00DF4950">
            <w:pPr>
              <w:spacing w:line="0" w:lineRule="atLeast"/>
              <w:jc w:val="center"/>
              <w:rPr>
                <w:rFonts w:eastAsiaTheme="minorEastAsia"/>
                <w:szCs w:val="21"/>
              </w:rPr>
            </w:pPr>
          </w:p>
        </w:tc>
        <w:tc>
          <w:tcPr>
            <w:tcW w:w="758" w:type="pct"/>
            <w:vMerge/>
            <w:vAlign w:val="center"/>
          </w:tcPr>
          <w:p w:rsidR="002E7015" w:rsidRPr="00FC1444" w:rsidRDefault="002E7015" w:rsidP="00DF4950">
            <w:pPr>
              <w:spacing w:line="0" w:lineRule="atLeast"/>
              <w:jc w:val="center"/>
              <w:rPr>
                <w:rFonts w:eastAsiaTheme="minorEastAsia"/>
                <w:kern w:val="0"/>
                <w:szCs w:val="21"/>
              </w:rPr>
            </w:pPr>
          </w:p>
        </w:tc>
        <w:tc>
          <w:tcPr>
            <w:tcW w:w="638" w:type="pct"/>
            <w:vMerge/>
            <w:vAlign w:val="center"/>
          </w:tcPr>
          <w:p w:rsidR="002E7015" w:rsidRPr="00FC1444" w:rsidRDefault="002E7015" w:rsidP="00DF4950">
            <w:pPr>
              <w:spacing w:line="0" w:lineRule="atLeast"/>
              <w:jc w:val="center"/>
              <w:rPr>
                <w:rFonts w:eastAsiaTheme="minorEastAsia"/>
                <w:kern w:val="0"/>
                <w:szCs w:val="21"/>
              </w:rPr>
            </w:pPr>
          </w:p>
        </w:tc>
        <w:tc>
          <w:tcPr>
            <w:tcW w:w="358" w:type="pct"/>
            <w:vMerge/>
            <w:vAlign w:val="center"/>
          </w:tcPr>
          <w:p w:rsidR="002E7015" w:rsidRPr="00FC1444" w:rsidRDefault="002E7015" w:rsidP="00DF4950">
            <w:pPr>
              <w:widowControl/>
              <w:spacing w:line="0" w:lineRule="atLeast"/>
              <w:jc w:val="center"/>
              <w:rPr>
                <w:rFonts w:eastAsiaTheme="minorEastAsia"/>
                <w:kern w:val="0"/>
                <w:szCs w:val="21"/>
              </w:rPr>
            </w:pPr>
          </w:p>
        </w:tc>
        <w:tc>
          <w:tcPr>
            <w:tcW w:w="656" w:type="pct"/>
            <w:vAlign w:val="center"/>
          </w:tcPr>
          <w:p w:rsidR="002E7015" w:rsidRPr="00FC1444" w:rsidRDefault="002E7015" w:rsidP="00DF4950">
            <w:pPr>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小时均值</w:t>
            </w:r>
          </w:p>
        </w:tc>
        <w:tc>
          <w:tcPr>
            <w:tcW w:w="0" w:type="auto"/>
            <w:vAlign w:val="center"/>
          </w:tcPr>
          <w:p w:rsidR="002E7015" w:rsidRPr="00FC1444" w:rsidRDefault="002E7015" w:rsidP="00DF4950">
            <w:pPr>
              <w:widowControl/>
              <w:spacing w:line="0" w:lineRule="atLeast"/>
              <w:jc w:val="center"/>
              <w:rPr>
                <w:rFonts w:eastAsiaTheme="minorEastAsia"/>
                <w:kern w:val="0"/>
                <w:szCs w:val="21"/>
              </w:rPr>
            </w:pPr>
            <w:r w:rsidRPr="00FC1444">
              <w:rPr>
                <w:rFonts w:eastAsiaTheme="minorEastAsia"/>
                <w:kern w:val="0"/>
                <w:szCs w:val="21"/>
              </w:rPr>
              <w:t>100</w:t>
            </w:r>
          </w:p>
        </w:tc>
        <w:tc>
          <w:tcPr>
            <w:tcW w:w="605" w:type="pct"/>
            <w:vAlign w:val="center"/>
          </w:tcPr>
          <w:p w:rsidR="002E7015" w:rsidRPr="00FC1444" w:rsidRDefault="004C71C3" w:rsidP="00DF4950">
            <w:pPr>
              <w:spacing w:line="0" w:lineRule="atLeast"/>
              <w:jc w:val="center"/>
              <w:rPr>
                <w:rFonts w:eastAsiaTheme="minorEastAsia"/>
                <w:kern w:val="0"/>
                <w:szCs w:val="21"/>
              </w:rPr>
            </w:pPr>
            <w:r w:rsidRPr="00FC1444">
              <w:rPr>
                <w:rFonts w:eastAsiaTheme="minorEastAsia" w:hint="eastAsia"/>
                <w:kern w:val="0"/>
                <w:szCs w:val="21"/>
              </w:rPr>
              <w:t>23</w:t>
            </w:r>
            <w:r w:rsidRPr="00FC1444">
              <w:rPr>
                <w:rFonts w:eastAsiaTheme="minorEastAsia"/>
                <w:kern w:val="0"/>
                <w:szCs w:val="21"/>
              </w:rPr>
              <w:t>-</w:t>
            </w:r>
            <w:r w:rsidRPr="00FC1444">
              <w:rPr>
                <w:rFonts w:eastAsiaTheme="minorEastAsia" w:hint="eastAsia"/>
                <w:kern w:val="0"/>
                <w:szCs w:val="21"/>
              </w:rPr>
              <w:t>32</w:t>
            </w:r>
          </w:p>
        </w:tc>
        <w:tc>
          <w:tcPr>
            <w:tcW w:w="390" w:type="pct"/>
            <w:vAlign w:val="center"/>
          </w:tcPr>
          <w:p w:rsidR="002E7015" w:rsidRPr="00FC1444" w:rsidRDefault="00DE1D55" w:rsidP="00DF4950">
            <w:pPr>
              <w:spacing w:line="0" w:lineRule="atLeast"/>
              <w:jc w:val="center"/>
              <w:rPr>
                <w:rFonts w:eastAsiaTheme="minorEastAsia"/>
                <w:kern w:val="0"/>
                <w:szCs w:val="21"/>
              </w:rPr>
            </w:pPr>
            <w:r w:rsidRPr="00FC1444">
              <w:rPr>
                <w:rFonts w:eastAsiaTheme="minorEastAsia" w:hint="eastAsia"/>
                <w:kern w:val="0"/>
                <w:szCs w:val="21"/>
              </w:rPr>
              <w:t>32</w:t>
            </w:r>
          </w:p>
        </w:tc>
        <w:tc>
          <w:tcPr>
            <w:tcW w:w="259" w:type="pct"/>
            <w:vAlign w:val="center"/>
          </w:tcPr>
          <w:p w:rsidR="002E7015" w:rsidRPr="00FC1444" w:rsidRDefault="002E7015" w:rsidP="00DF4950">
            <w:pPr>
              <w:spacing w:line="0" w:lineRule="atLeast"/>
              <w:jc w:val="center"/>
              <w:rPr>
                <w:rFonts w:eastAsiaTheme="minorEastAsia"/>
                <w:kern w:val="0"/>
                <w:szCs w:val="21"/>
              </w:rPr>
            </w:pPr>
            <w:r w:rsidRPr="00FC1444">
              <w:rPr>
                <w:rFonts w:eastAsiaTheme="minorEastAsia"/>
                <w:kern w:val="0"/>
                <w:szCs w:val="21"/>
              </w:rPr>
              <w:t>0</w:t>
            </w:r>
          </w:p>
        </w:tc>
        <w:tc>
          <w:tcPr>
            <w:tcW w:w="0" w:type="auto"/>
            <w:vMerge/>
            <w:vAlign w:val="center"/>
          </w:tcPr>
          <w:p w:rsidR="002E7015" w:rsidRPr="00FC1444" w:rsidRDefault="002E7015" w:rsidP="00DF4950">
            <w:pPr>
              <w:widowControl/>
              <w:spacing w:line="0" w:lineRule="atLeast"/>
              <w:jc w:val="left"/>
              <w:rPr>
                <w:rFonts w:eastAsiaTheme="minorEastAsia"/>
                <w:kern w:val="0"/>
                <w:szCs w:val="21"/>
              </w:rPr>
            </w:pPr>
          </w:p>
        </w:tc>
      </w:tr>
      <w:tr w:rsidR="002A5A5E" w:rsidRPr="00FC1444" w:rsidTr="00377111">
        <w:trPr>
          <w:trHeight w:val="409"/>
          <w:jc w:val="center"/>
        </w:trPr>
        <w:tc>
          <w:tcPr>
            <w:tcW w:w="559" w:type="pct"/>
            <w:vMerge w:val="restart"/>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各点位平均值</w:t>
            </w:r>
          </w:p>
        </w:tc>
        <w:tc>
          <w:tcPr>
            <w:tcW w:w="758" w:type="pct"/>
            <w:vMerge w:val="restar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w:t>
            </w:r>
          </w:p>
        </w:tc>
        <w:tc>
          <w:tcPr>
            <w:tcW w:w="638" w:type="pct"/>
            <w:vMerge w:val="restar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w:t>
            </w:r>
          </w:p>
        </w:tc>
        <w:tc>
          <w:tcPr>
            <w:tcW w:w="358" w:type="pc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TSP</w:t>
            </w:r>
          </w:p>
        </w:tc>
        <w:tc>
          <w:tcPr>
            <w:tcW w:w="656" w:type="pc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小时均值</w:t>
            </w:r>
          </w:p>
        </w:tc>
        <w:tc>
          <w:tcPr>
            <w:tcW w:w="0" w:type="auto"/>
            <w:vAlign w:val="center"/>
          </w:tcPr>
          <w:p w:rsidR="002A5A5E" w:rsidRPr="00FC1444" w:rsidRDefault="00611CBA">
            <w:pPr>
              <w:widowControl/>
              <w:spacing w:line="0" w:lineRule="atLeast"/>
              <w:jc w:val="center"/>
              <w:rPr>
                <w:rFonts w:eastAsiaTheme="minorEastAsia"/>
                <w:kern w:val="0"/>
                <w:szCs w:val="21"/>
              </w:rPr>
            </w:pPr>
            <w:r w:rsidRPr="00FC1444">
              <w:rPr>
                <w:rFonts w:eastAsiaTheme="minorEastAsia"/>
                <w:kern w:val="0"/>
                <w:szCs w:val="21"/>
              </w:rPr>
              <w:t>300</w:t>
            </w:r>
          </w:p>
        </w:tc>
        <w:tc>
          <w:tcPr>
            <w:tcW w:w="605" w:type="pct"/>
            <w:vAlign w:val="center"/>
          </w:tcPr>
          <w:p w:rsidR="002A5A5E" w:rsidRPr="00FC1444" w:rsidRDefault="00DE1D55">
            <w:pPr>
              <w:spacing w:line="0" w:lineRule="atLeast"/>
              <w:jc w:val="center"/>
              <w:rPr>
                <w:rFonts w:eastAsiaTheme="minorEastAsia"/>
                <w:kern w:val="0"/>
                <w:szCs w:val="21"/>
              </w:rPr>
            </w:pPr>
            <w:r w:rsidRPr="00FC1444">
              <w:rPr>
                <w:rFonts w:eastAsiaTheme="minorEastAsia" w:hint="eastAsia"/>
                <w:kern w:val="0"/>
                <w:szCs w:val="21"/>
              </w:rPr>
              <w:t>81</w:t>
            </w:r>
            <w:r w:rsidR="00611CBA" w:rsidRPr="00FC1444">
              <w:rPr>
                <w:rFonts w:eastAsiaTheme="minorEastAsia"/>
                <w:kern w:val="0"/>
                <w:szCs w:val="21"/>
              </w:rPr>
              <w:t>-</w:t>
            </w:r>
            <w:r w:rsidRPr="00FC1444">
              <w:rPr>
                <w:rFonts w:eastAsiaTheme="minorEastAsia" w:hint="eastAsia"/>
                <w:kern w:val="0"/>
                <w:szCs w:val="21"/>
              </w:rPr>
              <w:t>84</w:t>
            </w:r>
          </w:p>
        </w:tc>
        <w:tc>
          <w:tcPr>
            <w:tcW w:w="390" w:type="pct"/>
            <w:vAlign w:val="center"/>
          </w:tcPr>
          <w:p w:rsidR="002A5A5E" w:rsidRPr="00FC1444" w:rsidRDefault="00DE1D55">
            <w:pPr>
              <w:spacing w:line="0" w:lineRule="atLeast"/>
              <w:jc w:val="center"/>
              <w:rPr>
                <w:rFonts w:eastAsiaTheme="minorEastAsia"/>
                <w:kern w:val="0"/>
                <w:szCs w:val="21"/>
              </w:rPr>
            </w:pPr>
            <w:r w:rsidRPr="00FC1444">
              <w:rPr>
                <w:rFonts w:eastAsiaTheme="minorEastAsia" w:hint="eastAsia"/>
                <w:kern w:val="0"/>
                <w:szCs w:val="21"/>
              </w:rPr>
              <w:t>28</w:t>
            </w:r>
          </w:p>
        </w:tc>
        <w:tc>
          <w:tcPr>
            <w:tcW w:w="259" w:type="pc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0</w:t>
            </w:r>
          </w:p>
        </w:tc>
        <w:tc>
          <w:tcPr>
            <w:tcW w:w="0" w:type="auto"/>
            <w:vMerge w:val="restart"/>
            <w:vAlign w:val="center"/>
          </w:tcPr>
          <w:p w:rsidR="002A5A5E" w:rsidRPr="00FC1444" w:rsidRDefault="00611CBA">
            <w:pPr>
              <w:widowControl/>
              <w:spacing w:line="0" w:lineRule="atLeast"/>
              <w:jc w:val="left"/>
              <w:rPr>
                <w:rFonts w:eastAsiaTheme="minorEastAsia"/>
                <w:kern w:val="0"/>
                <w:szCs w:val="21"/>
              </w:rPr>
            </w:pPr>
            <w:r w:rsidRPr="00FC1444">
              <w:rPr>
                <w:rFonts w:eastAsiaTheme="minorEastAsia"/>
                <w:kern w:val="0"/>
                <w:szCs w:val="21"/>
              </w:rPr>
              <w:t>达标</w:t>
            </w:r>
          </w:p>
        </w:tc>
      </w:tr>
      <w:tr w:rsidR="002A5A5E" w:rsidRPr="00FC1444" w:rsidTr="00377111">
        <w:trPr>
          <w:trHeight w:val="409"/>
          <w:jc w:val="center"/>
        </w:trPr>
        <w:tc>
          <w:tcPr>
            <w:tcW w:w="559" w:type="pct"/>
            <w:vMerge/>
            <w:vAlign w:val="center"/>
          </w:tcPr>
          <w:p w:rsidR="002A5A5E" w:rsidRPr="00FC1444" w:rsidRDefault="002A5A5E">
            <w:pPr>
              <w:spacing w:line="0" w:lineRule="atLeast"/>
              <w:jc w:val="center"/>
              <w:rPr>
                <w:rFonts w:eastAsiaTheme="minorEastAsia"/>
                <w:szCs w:val="21"/>
              </w:rPr>
            </w:pPr>
          </w:p>
        </w:tc>
        <w:tc>
          <w:tcPr>
            <w:tcW w:w="758" w:type="pct"/>
            <w:vMerge/>
            <w:vAlign w:val="center"/>
          </w:tcPr>
          <w:p w:rsidR="002A5A5E" w:rsidRPr="00FC1444" w:rsidRDefault="002A5A5E">
            <w:pPr>
              <w:spacing w:line="0" w:lineRule="atLeast"/>
              <w:jc w:val="center"/>
              <w:rPr>
                <w:rFonts w:eastAsiaTheme="minorEastAsia"/>
                <w:kern w:val="0"/>
                <w:szCs w:val="21"/>
              </w:rPr>
            </w:pPr>
          </w:p>
        </w:tc>
        <w:tc>
          <w:tcPr>
            <w:tcW w:w="638" w:type="pct"/>
            <w:vMerge/>
            <w:vAlign w:val="center"/>
          </w:tcPr>
          <w:p w:rsidR="002A5A5E" w:rsidRPr="00FC1444" w:rsidRDefault="002A5A5E">
            <w:pPr>
              <w:spacing w:line="0" w:lineRule="atLeast"/>
              <w:jc w:val="center"/>
              <w:rPr>
                <w:rFonts w:eastAsiaTheme="minorEastAsia"/>
                <w:kern w:val="0"/>
                <w:szCs w:val="21"/>
              </w:rPr>
            </w:pPr>
          </w:p>
        </w:tc>
        <w:tc>
          <w:tcPr>
            <w:tcW w:w="358" w:type="pct"/>
            <w:vMerge w:val="restart"/>
            <w:vAlign w:val="center"/>
          </w:tcPr>
          <w:p w:rsidR="002A5A5E" w:rsidRPr="00FC1444" w:rsidRDefault="00611CBA">
            <w:pPr>
              <w:widowControl/>
              <w:spacing w:line="0" w:lineRule="atLeast"/>
              <w:jc w:val="center"/>
              <w:rPr>
                <w:rFonts w:eastAsiaTheme="minorEastAsia"/>
                <w:kern w:val="0"/>
                <w:szCs w:val="21"/>
              </w:rPr>
            </w:pPr>
            <w:r w:rsidRPr="00FC1444">
              <w:rPr>
                <w:rFonts w:eastAsiaTheme="minorEastAsia"/>
                <w:kern w:val="0"/>
                <w:szCs w:val="21"/>
              </w:rPr>
              <w:t>NO</w:t>
            </w:r>
            <w:r w:rsidRPr="00FC1444">
              <w:rPr>
                <w:rFonts w:eastAsiaTheme="minorEastAsia"/>
                <w:kern w:val="0"/>
                <w:szCs w:val="21"/>
                <w:vertAlign w:val="subscript"/>
              </w:rPr>
              <w:t>X</w:t>
            </w:r>
          </w:p>
        </w:tc>
        <w:tc>
          <w:tcPr>
            <w:tcW w:w="656" w:type="pc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1</w:t>
            </w:r>
            <w:r w:rsidRPr="00FC1444">
              <w:rPr>
                <w:rFonts w:eastAsiaTheme="minorEastAsia"/>
                <w:kern w:val="0"/>
                <w:szCs w:val="21"/>
              </w:rPr>
              <w:t>小时均值</w:t>
            </w:r>
          </w:p>
        </w:tc>
        <w:tc>
          <w:tcPr>
            <w:tcW w:w="0" w:type="auto"/>
            <w:vAlign w:val="center"/>
          </w:tcPr>
          <w:p w:rsidR="002A5A5E" w:rsidRPr="00FC1444" w:rsidRDefault="00611CBA">
            <w:pPr>
              <w:widowControl/>
              <w:spacing w:line="0" w:lineRule="atLeast"/>
              <w:jc w:val="center"/>
              <w:rPr>
                <w:rFonts w:eastAsiaTheme="minorEastAsia"/>
                <w:kern w:val="0"/>
                <w:szCs w:val="21"/>
              </w:rPr>
            </w:pPr>
            <w:r w:rsidRPr="00FC1444">
              <w:rPr>
                <w:rFonts w:eastAsiaTheme="minorEastAsia"/>
                <w:kern w:val="0"/>
                <w:szCs w:val="21"/>
              </w:rPr>
              <w:t>250</w:t>
            </w:r>
          </w:p>
        </w:tc>
        <w:tc>
          <w:tcPr>
            <w:tcW w:w="605" w:type="pct"/>
            <w:vAlign w:val="center"/>
          </w:tcPr>
          <w:p w:rsidR="002A5A5E" w:rsidRPr="00FC1444" w:rsidRDefault="00DE1D55" w:rsidP="00656C02">
            <w:pPr>
              <w:spacing w:line="0" w:lineRule="atLeast"/>
              <w:jc w:val="center"/>
              <w:rPr>
                <w:rFonts w:eastAsiaTheme="minorEastAsia"/>
                <w:kern w:val="0"/>
                <w:szCs w:val="21"/>
              </w:rPr>
            </w:pPr>
            <w:r w:rsidRPr="00FC1444">
              <w:rPr>
                <w:rFonts w:eastAsiaTheme="minorEastAsia" w:hint="eastAsia"/>
                <w:kern w:val="0"/>
                <w:szCs w:val="21"/>
              </w:rPr>
              <w:t>53</w:t>
            </w:r>
            <w:r w:rsidR="00611CBA" w:rsidRPr="00FC1444">
              <w:rPr>
                <w:rFonts w:eastAsiaTheme="minorEastAsia"/>
                <w:kern w:val="0"/>
                <w:szCs w:val="21"/>
              </w:rPr>
              <w:t>-</w:t>
            </w:r>
            <w:r w:rsidRPr="00FC1444">
              <w:rPr>
                <w:rFonts w:eastAsiaTheme="minorEastAsia" w:hint="eastAsia"/>
                <w:kern w:val="0"/>
                <w:szCs w:val="21"/>
              </w:rPr>
              <w:t>61</w:t>
            </w:r>
          </w:p>
        </w:tc>
        <w:tc>
          <w:tcPr>
            <w:tcW w:w="390" w:type="pct"/>
            <w:vAlign w:val="center"/>
          </w:tcPr>
          <w:p w:rsidR="002A5A5E" w:rsidRPr="00FC1444" w:rsidRDefault="00DE1D55">
            <w:pPr>
              <w:spacing w:line="0" w:lineRule="atLeast"/>
              <w:jc w:val="center"/>
              <w:rPr>
                <w:rFonts w:eastAsiaTheme="minorEastAsia"/>
                <w:kern w:val="0"/>
                <w:szCs w:val="21"/>
              </w:rPr>
            </w:pPr>
            <w:r w:rsidRPr="00FC1444">
              <w:rPr>
                <w:rFonts w:eastAsiaTheme="minorEastAsia" w:hint="eastAsia"/>
                <w:kern w:val="0"/>
                <w:szCs w:val="21"/>
              </w:rPr>
              <w:t>24.4</w:t>
            </w:r>
          </w:p>
        </w:tc>
        <w:tc>
          <w:tcPr>
            <w:tcW w:w="259" w:type="pc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0</w:t>
            </w:r>
          </w:p>
        </w:tc>
        <w:tc>
          <w:tcPr>
            <w:tcW w:w="0" w:type="auto"/>
            <w:vMerge/>
            <w:vAlign w:val="center"/>
          </w:tcPr>
          <w:p w:rsidR="002A5A5E" w:rsidRPr="00FC1444" w:rsidRDefault="002A5A5E">
            <w:pPr>
              <w:widowControl/>
              <w:spacing w:line="0" w:lineRule="atLeast"/>
              <w:jc w:val="left"/>
              <w:rPr>
                <w:rFonts w:eastAsiaTheme="minorEastAsia"/>
                <w:kern w:val="0"/>
                <w:szCs w:val="21"/>
              </w:rPr>
            </w:pPr>
          </w:p>
        </w:tc>
      </w:tr>
      <w:tr w:rsidR="002A5A5E" w:rsidRPr="00FC1444" w:rsidTr="00377111">
        <w:trPr>
          <w:trHeight w:val="409"/>
          <w:jc w:val="center"/>
        </w:trPr>
        <w:tc>
          <w:tcPr>
            <w:tcW w:w="559" w:type="pct"/>
            <w:vMerge/>
            <w:vAlign w:val="center"/>
          </w:tcPr>
          <w:p w:rsidR="002A5A5E" w:rsidRPr="00FC1444" w:rsidRDefault="002A5A5E">
            <w:pPr>
              <w:spacing w:line="0" w:lineRule="atLeast"/>
              <w:jc w:val="center"/>
              <w:rPr>
                <w:rFonts w:eastAsiaTheme="minorEastAsia"/>
                <w:szCs w:val="21"/>
              </w:rPr>
            </w:pPr>
          </w:p>
        </w:tc>
        <w:tc>
          <w:tcPr>
            <w:tcW w:w="758" w:type="pct"/>
            <w:vMerge/>
            <w:vAlign w:val="center"/>
          </w:tcPr>
          <w:p w:rsidR="002A5A5E" w:rsidRPr="00FC1444" w:rsidRDefault="002A5A5E">
            <w:pPr>
              <w:spacing w:line="0" w:lineRule="atLeast"/>
              <w:jc w:val="center"/>
              <w:rPr>
                <w:rFonts w:eastAsiaTheme="minorEastAsia"/>
                <w:kern w:val="0"/>
                <w:szCs w:val="21"/>
              </w:rPr>
            </w:pPr>
          </w:p>
        </w:tc>
        <w:tc>
          <w:tcPr>
            <w:tcW w:w="638" w:type="pct"/>
            <w:vMerge/>
            <w:vAlign w:val="center"/>
          </w:tcPr>
          <w:p w:rsidR="002A5A5E" w:rsidRPr="00FC1444" w:rsidRDefault="002A5A5E">
            <w:pPr>
              <w:spacing w:line="0" w:lineRule="atLeast"/>
              <w:jc w:val="center"/>
              <w:rPr>
                <w:rFonts w:eastAsiaTheme="minorEastAsia"/>
                <w:kern w:val="0"/>
                <w:szCs w:val="21"/>
              </w:rPr>
            </w:pPr>
          </w:p>
        </w:tc>
        <w:tc>
          <w:tcPr>
            <w:tcW w:w="358" w:type="pct"/>
            <w:vMerge/>
            <w:vAlign w:val="center"/>
          </w:tcPr>
          <w:p w:rsidR="002A5A5E" w:rsidRPr="00FC1444" w:rsidRDefault="002A5A5E">
            <w:pPr>
              <w:widowControl/>
              <w:spacing w:line="0" w:lineRule="atLeast"/>
              <w:jc w:val="center"/>
              <w:rPr>
                <w:rFonts w:eastAsiaTheme="minorEastAsia"/>
                <w:kern w:val="0"/>
                <w:szCs w:val="21"/>
              </w:rPr>
            </w:pPr>
          </w:p>
        </w:tc>
        <w:tc>
          <w:tcPr>
            <w:tcW w:w="656" w:type="pc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24</w:t>
            </w:r>
            <w:r w:rsidRPr="00FC1444">
              <w:rPr>
                <w:rFonts w:eastAsiaTheme="minorEastAsia"/>
                <w:kern w:val="0"/>
                <w:szCs w:val="21"/>
              </w:rPr>
              <w:t>小时均值</w:t>
            </w:r>
          </w:p>
        </w:tc>
        <w:tc>
          <w:tcPr>
            <w:tcW w:w="0" w:type="auto"/>
            <w:vAlign w:val="center"/>
          </w:tcPr>
          <w:p w:rsidR="002A5A5E" w:rsidRPr="00FC1444" w:rsidRDefault="00611CBA">
            <w:pPr>
              <w:widowControl/>
              <w:spacing w:line="0" w:lineRule="atLeast"/>
              <w:jc w:val="center"/>
              <w:rPr>
                <w:rFonts w:eastAsiaTheme="minorEastAsia"/>
                <w:kern w:val="0"/>
                <w:szCs w:val="21"/>
              </w:rPr>
            </w:pPr>
            <w:r w:rsidRPr="00FC1444">
              <w:rPr>
                <w:rFonts w:eastAsiaTheme="minorEastAsia"/>
                <w:kern w:val="0"/>
                <w:szCs w:val="21"/>
              </w:rPr>
              <w:t>100</w:t>
            </w:r>
          </w:p>
        </w:tc>
        <w:tc>
          <w:tcPr>
            <w:tcW w:w="605" w:type="pct"/>
            <w:vAlign w:val="center"/>
          </w:tcPr>
          <w:p w:rsidR="002A5A5E" w:rsidRPr="00FC1444" w:rsidRDefault="00DE1D55" w:rsidP="00656C02">
            <w:pPr>
              <w:spacing w:line="0" w:lineRule="atLeast"/>
              <w:jc w:val="center"/>
              <w:rPr>
                <w:rFonts w:eastAsiaTheme="minorEastAsia"/>
                <w:kern w:val="0"/>
                <w:szCs w:val="21"/>
              </w:rPr>
            </w:pPr>
            <w:r w:rsidRPr="00FC1444">
              <w:rPr>
                <w:rFonts w:eastAsiaTheme="minorEastAsia" w:hint="eastAsia"/>
                <w:kern w:val="0"/>
                <w:szCs w:val="21"/>
              </w:rPr>
              <w:t>26</w:t>
            </w:r>
            <w:r w:rsidR="00611CBA" w:rsidRPr="00FC1444">
              <w:rPr>
                <w:rFonts w:eastAsiaTheme="minorEastAsia"/>
                <w:kern w:val="0"/>
                <w:szCs w:val="21"/>
              </w:rPr>
              <w:t>-</w:t>
            </w:r>
            <w:r w:rsidRPr="00FC1444">
              <w:rPr>
                <w:rFonts w:eastAsiaTheme="minorEastAsia" w:hint="eastAsia"/>
                <w:kern w:val="0"/>
                <w:szCs w:val="21"/>
              </w:rPr>
              <w:t>32</w:t>
            </w:r>
          </w:p>
        </w:tc>
        <w:tc>
          <w:tcPr>
            <w:tcW w:w="390" w:type="pct"/>
            <w:vAlign w:val="center"/>
          </w:tcPr>
          <w:p w:rsidR="002A5A5E" w:rsidRPr="00FC1444" w:rsidRDefault="00DE1D55">
            <w:pPr>
              <w:spacing w:line="0" w:lineRule="atLeast"/>
              <w:jc w:val="center"/>
              <w:rPr>
                <w:rFonts w:eastAsiaTheme="minorEastAsia"/>
                <w:kern w:val="0"/>
                <w:szCs w:val="21"/>
              </w:rPr>
            </w:pPr>
            <w:r w:rsidRPr="00FC1444">
              <w:rPr>
                <w:rFonts w:eastAsiaTheme="minorEastAsia" w:hint="eastAsia"/>
                <w:kern w:val="0"/>
                <w:szCs w:val="21"/>
              </w:rPr>
              <w:t>32</w:t>
            </w:r>
          </w:p>
        </w:tc>
        <w:tc>
          <w:tcPr>
            <w:tcW w:w="259" w:type="pct"/>
            <w:vAlign w:val="center"/>
          </w:tcPr>
          <w:p w:rsidR="002A5A5E" w:rsidRPr="00FC1444" w:rsidRDefault="00611CBA">
            <w:pPr>
              <w:spacing w:line="0" w:lineRule="atLeast"/>
              <w:jc w:val="center"/>
              <w:rPr>
                <w:rFonts w:eastAsiaTheme="minorEastAsia"/>
                <w:kern w:val="0"/>
                <w:szCs w:val="21"/>
              </w:rPr>
            </w:pPr>
            <w:r w:rsidRPr="00FC1444">
              <w:rPr>
                <w:rFonts w:eastAsiaTheme="minorEastAsia"/>
                <w:kern w:val="0"/>
                <w:szCs w:val="21"/>
              </w:rPr>
              <w:t>0</w:t>
            </w:r>
          </w:p>
        </w:tc>
        <w:tc>
          <w:tcPr>
            <w:tcW w:w="0" w:type="auto"/>
            <w:vMerge/>
            <w:vAlign w:val="center"/>
          </w:tcPr>
          <w:p w:rsidR="002A5A5E" w:rsidRPr="00FC1444" w:rsidRDefault="002A5A5E">
            <w:pPr>
              <w:widowControl/>
              <w:spacing w:line="0" w:lineRule="atLeast"/>
              <w:jc w:val="left"/>
              <w:rPr>
                <w:rFonts w:eastAsiaTheme="minorEastAsia"/>
                <w:kern w:val="0"/>
                <w:szCs w:val="21"/>
              </w:rPr>
            </w:pPr>
          </w:p>
        </w:tc>
      </w:tr>
    </w:tbl>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通过监测结果表明，</w:t>
      </w:r>
      <w:r w:rsidRPr="00FC1444">
        <w:rPr>
          <w:rFonts w:ascii="Times New Roman" w:hAnsi="Times New Roman" w:cs="Times New Roman"/>
          <w:snapToGrid w:val="0"/>
          <w:lang w:val="en-GB"/>
        </w:rPr>
        <w:t>本项目补充监测的</w:t>
      </w:r>
      <w:r w:rsidR="00C72EBF" w:rsidRPr="00FC1444">
        <w:rPr>
          <w:rFonts w:ascii="Times New Roman" w:eastAsia="宋体" w:hAnsi="Times New Roman" w:cs="Times New Roman"/>
          <w:bCs/>
        </w:rPr>
        <w:t>NOx</w:t>
      </w:r>
      <w:r w:rsidR="00C72EBF" w:rsidRPr="00FC1444">
        <w:rPr>
          <w:rFonts w:ascii="Times New Roman" w:eastAsia="宋体" w:hAnsi="Times New Roman" w:cs="Times New Roman"/>
          <w:bCs/>
        </w:rPr>
        <w:t>满足《环境空气质量标准》（</w:t>
      </w:r>
      <w:r w:rsidR="00C72EBF" w:rsidRPr="00FC1444">
        <w:rPr>
          <w:rFonts w:ascii="Times New Roman" w:eastAsia="宋体" w:hAnsi="Times New Roman" w:cs="Times New Roman"/>
          <w:bCs/>
        </w:rPr>
        <w:t>GB3095</w:t>
      </w:r>
      <w:r w:rsidR="00C72EBF" w:rsidRPr="00FC1444">
        <w:rPr>
          <w:rFonts w:ascii="Times New Roman" w:eastAsia="宋体" w:hAnsi="Times New Roman" w:cs="Times New Roman"/>
          <w:bCs/>
        </w:rPr>
        <w:sym w:font="Symbol" w:char="F02D"/>
      </w:r>
      <w:r w:rsidR="00C72EBF" w:rsidRPr="00FC1444">
        <w:rPr>
          <w:rFonts w:ascii="Times New Roman" w:eastAsia="宋体" w:hAnsi="Times New Roman" w:cs="Times New Roman"/>
          <w:bCs/>
        </w:rPr>
        <w:t>2026</w:t>
      </w:r>
      <w:r w:rsidR="00C72EBF" w:rsidRPr="00FC1444">
        <w:rPr>
          <w:rFonts w:ascii="Times New Roman" w:eastAsia="宋体" w:hAnsi="Times New Roman" w:cs="Times New Roman"/>
          <w:bCs/>
        </w:rPr>
        <w:t>）表</w:t>
      </w:r>
      <w:r w:rsidR="00C72EBF" w:rsidRPr="00FC1444">
        <w:rPr>
          <w:rFonts w:ascii="Times New Roman" w:eastAsia="宋体" w:hAnsi="Times New Roman" w:cs="Times New Roman"/>
          <w:bCs/>
        </w:rPr>
        <w:t>2</w:t>
      </w:r>
      <w:r w:rsidR="00C72EBF" w:rsidRPr="00FC1444">
        <w:rPr>
          <w:rFonts w:ascii="Times New Roman" w:eastAsia="宋体" w:hAnsi="Times New Roman" w:cs="Times New Roman"/>
          <w:bCs/>
        </w:rPr>
        <w:t>过渡阶段二级标准浓度限值，</w:t>
      </w:r>
      <w:r w:rsidR="00C72EBF" w:rsidRPr="00FC1444">
        <w:rPr>
          <w:rFonts w:ascii="Times New Roman" w:eastAsia="宋体" w:hAnsi="Times New Roman" w:cs="Times New Roman"/>
          <w:bCs/>
        </w:rPr>
        <w:t>TSP</w:t>
      </w:r>
      <w:r w:rsidR="00C72EBF" w:rsidRPr="00FC1444">
        <w:rPr>
          <w:rFonts w:ascii="Times New Roman" w:eastAsia="宋体" w:hAnsi="Times New Roman" w:cs="Times New Roman"/>
          <w:bCs/>
        </w:rPr>
        <w:t>满足表</w:t>
      </w:r>
      <w:r w:rsidR="00C72EBF" w:rsidRPr="00FC1444">
        <w:rPr>
          <w:rFonts w:ascii="Times New Roman" w:eastAsia="宋体" w:hAnsi="Times New Roman" w:cs="Times New Roman"/>
          <w:bCs/>
        </w:rPr>
        <w:t>2</w:t>
      </w:r>
      <w:r w:rsidR="00C72EBF" w:rsidRPr="00FC1444">
        <w:rPr>
          <w:rFonts w:ascii="Times New Roman" w:eastAsia="宋体" w:hAnsi="Times New Roman" w:cs="Times New Roman"/>
          <w:bCs/>
        </w:rPr>
        <w:t>二级标准浓度限值要求</w:t>
      </w:r>
      <w:r w:rsidRPr="00FC1444">
        <w:rPr>
          <w:rFonts w:ascii="Times New Roman" w:hAnsi="Times New Roman" w:cs="Times New Roman"/>
        </w:rPr>
        <w:t>。</w:t>
      </w:r>
    </w:p>
    <w:p w:rsidR="002A5A5E" w:rsidRPr="00FC1444" w:rsidRDefault="00611CBA">
      <w:pPr>
        <w:keepNext/>
        <w:keepLines/>
        <w:spacing w:before="100" w:beforeAutospacing="1" w:after="100" w:afterAutospacing="1"/>
        <w:ind w:firstLineChars="49" w:firstLine="138"/>
        <w:outlineLvl w:val="2"/>
        <w:rPr>
          <w:rFonts w:eastAsiaTheme="minorEastAsia"/>
          <w:b/>
          <w:sz w:val="28"/>
          <w:szCs w:val="28"/>
        </w:rPr>
      </w:pPr>
      <w:r w:rsidRPr="00FC1444">
        <w:rPr>
          <w:rFonts w:eastAsiaTheme="minorEastAsia"/>
          <w:b/>
          <w:sz w:val="28"/>
          <w:szCs w:val="28"/>
        </w:rPr>
        <w:t>4.2.2</w:t>
      </w:r>
      <w:r w:rsidRPr="00FC1444">
        <w:rPr>
          <w:rFonts w:eastAsiaTheme="minorEastAsia"/>
          <w:b/>
          <w:sz w:val="28"/>
          <w:szCs w:val="28"/>
        </w:rPr>
        <w:t>地表水现状评价</w:t>
      </w:r>
    </w:p>
    <w:p w:rsidR="005D66E3" w:rsidRPr="00FC1444" w:rsidRDefault="008C5D0C" w:rsidP="00386D57">
      <w:pPr>
        <w:spacing w:line="360" w:lineRule="auto"/>
        <w:ind w:firstLineChars="200" w:firstLine="480"/>
        <w:rPr>
          <w:rFonts w:eastAsiaTheme="minorEastAsia"/>
          <w:bCs/>
          <w:sz w:val="24"/>
        </w:rPr>
      </w:pPr>
      <w:r w:rsidRPr="00FC1444">
        <w:rPr>
          <w:rFonts w:eastAsiaTheme="minorEastAsia"/>
          <w:sz w:val="24"/>
        </w:rPr>
        <w:t>本项目</w:t>
      </w:r>
      <w:r w:rsidRPr="00FC1444">
        <w:rPr>
          <w:rFonts w:eastAsiaTheme="minorEastAsia"/>
          <w:snapToGrid w:val="0"/>
          <w:sz w:val="24"/>
        </w:rPr>
        <w:t>承泄区</w:t>
      </w:r>
      <w:r w:rsidRPr="00FC1444">
        <w:rPr>
          <w:rFonts w:eastAsiaTheme="minorEastAsia"/>
          <w:sz w:val="24"/>
        </w:rPr>
        <w:t>为津河、</w:t>
      </w:r>
      <w:r w:rsidRPr="00FC1444">
        <w:rPr>
          <w:rFonts w:eastAsiaTheme="minorEastAsia" w:hint="eastAsia"/>
          <w:sz w:val="24"/>
        </w:rPr>
        <w:t>呼兰河、努敏河。</w:t>
      </w:r>
      <w:r w:rsidRPr="00FC1444">
        <w:rPr>
          <w:rFonts w:eastAsiaTheme="minorEastAsia"/>
          <w:kern w:val="24"/>
          <w:sz w:val="24"/>
        </w:rPr>
        <w:t>根据</w:t>
      </w:r>
      <w:r w:rsidRPr="00FC1444">
        <w:rPr>
          <w:rFonts w:eastAsiaTheme="minorEastAsia"/>
          <w:kern w:val="0"/>
          <w:sz w:val="24"/>
        </w:rPr>
        <w:t>《</w:t>
      </w:r>
      <w:r w:rsidRPr="00FC1444">
        <w:rPr>
          <w:rFonts w:eastAsiaTheme="minorEastAsia"/>
          <w:kern w:val="0"/>
          <w:sz w:val="24"/>
        </w:rPr>
        <w:t>2025</w:t>
      </w:r>
      <w:r w:rsidRPr="00FC1444">
        <w:rPr>
          <w:rFonts w:eastAsiaTheme="minorEastAsia"/>
          <w:kern w:val="0"/>
          <w:sz w:val="24"/>
        </w:rPr>
        <w:t>年绥化市环境质量年报》，</w:t>
      </w:r>
      <w:r w:rsidRPr="00FC1444">
        <w:rPr>
          <w:rFonts w:eastAsiaTheme="minorEastAsia" w:hint="eastAsia"/>
          <w:sz w:val="24"/>
        </w:rPr>
        <w:t>呼兰河</w:t>
      </w:r>
      <w:r w:rsidRPr="00FC1444">
        <w:rPr>
          <w:rFonts w:eastAsiaTheme="minorEastAsia"/>
          <w:bCs/>
          <w:kern w:val="0"/>
          <w:sz w:val="24"/>
        </w:rPr>
        <w:t>绥望桥断面、</w:t>
      </w:r>
      <w:r w:rsidRPr="00FC1444">
        <w:rPr>
          <w:rFonts w:eastAsiaTheme="minorEastAsia" w:hint="eastAsia"/>
          <w:bCs/>
          <w:kern w:val="0"/>
          <w:sz w:val="24"/>
        </w:rPr>
        <w:t>榆林镇鞍山屯断面</w:t>
      </w:r>
      <w:r w:rsidRPr="00FC1444">
        <w:rPr>
          <w:rFonts w:eastAsiaTheme="minorEastAsia"/>
          <w:bCs/>
          <w:kern w:val="0"/>
          <w:sz w:val="24"/>
          <w:szCs w:val="21"/>
        </w:rPr>
        <w:t>水质目标为</w:t>
      </w:r>
      <w:r w:rsidRPr="00FC1444">
        <w:rPr>
          <w:rFonts w:eastAsiaTheme="minorEastAsia"/>
          <w:bCs/>
          <w:kern w:val="0"/>
          <w:sz w:val="24"/>
          <w:szCs w:val="21"/>
        </w:rPr>
        <w:t>Ⅲ</w:t>
      </w:r>
      <w:r w:rsidRPr="00FC1444">
        <w:rPr>
          <w:rFonts w:eastAsiaTheme="minorEastAsia"/>
          <w:bCs/>
          <w:kern w:val="0"/>
          <w:sz w:val="24"/>
          <w:szCs w:val="21"/>
        </w:rPr>
        <w:t>类。</w:t>
      </w:r>
      <w:r w:rsidRPr="00FC1444">
        <w:rPr>
          <w:rFonts w:eastAsiaTheme="minorEastAsia" w:hint="eastAsia"/>
          <w:bCs/>
          <w:kern w:val="0"/>
          <w:sz w:val="24"/>
          <w:szCs w:val="21"/>
        </w:rPr>
        <w:t>努敏河绥化市断面</w:t>
      </w:r>
      <w:r w:rsidRPr="00FC1444">
        <w:rPr>
          <w:rFonts w:eastAsiaTheme="minorEastAsia"/>
          <w:bCs/>
          <w:kern w:val="0"/>
          <w:sz w:val="24"/>
        </w:rPr>
        <w:t>水质目标为</w:t>
      </w:r>
      <w:r w:rsidRPr="00FC1444">
        <w:rPr>
          <w:rFonts w:eastAsiaTheme="minorEastAsia"/>
          <w:bCs/>
          <w:kern w:val="0"/>
          <w:sz w:val="24"/>
          <w:szCs w:val="21"/>
        </w:rPr>
        <w:t>Ⅲ</w:t>
      </w:r>
      <w:r w:rsidRPr="00FC1444">
        <w:rPr>
          <w:rFonts w:eastAsiaTheme="minorEastAsia"/>
          <w:bCs/>
          <w:kern w:val="0"/>
          <w:sz w:val="24"/>
        </w:rPr>
        <w:t>类。</w:t>
      </w:r>
      <w:r w:rsidRPr="00FC1444">
        <w:rPr>
          <w:rFonts w:eastAsiaTheme="minorEastAsia"/>
          <w:sz w:val="24"/>
        </w:rPr>
        <w:t>津河</w:t>
      </w:r>
      <w:r w:rsidRPr="00FC1444">
        <w:rPr>
          <w:rFonts w:eastAsiaTheme="minorEastAsia"/>
          <w:bCs/>
          <w:kern w:val="0"/>
          <w:sz w:val="24"/>
        </w:rPr>
        <w:t>未划分水功能区，</w:t>
      </w:r>
      <w:r w:rsidRPr="00FC1444">
        <w:rPr>
          <w:rFonts w:eastAsiaTheme="minorEastAsia"/>
          <w:sz w:val="24"/>
        </w:rPr>
        <w:t>津河</w:t>
      </w:r>
      <w:r w:rsidRPr="00FC1444">
        <w:rPr>
          <w:rFonts w:eastAsiaTheme="minorEastAsia"/>
          <w:bCs/>
          <w:kern w:val="0"/>
          <w:sz w:val="24"/>
        </w:rPr>
        <w:t>汇入</w:t>
      </w:r>
      <w:r w:rsidRPr="00FC1444">
        <w:rPr>
          <w:rFonts w:eastAsiaTheme="minorEastAsia" w:hint="eastAsia"/>
          <w:bCs/>
          <w:kern w:val="0"/>
          <w:sz w:val="24"/>
        </w:rPr>
        <w:t>呼兰</w:t>
      </w:r>
      <w:r w:rsidRPr="00FC1444">
        <w:rPr>
          <w:rFonts w:eastAsiaTheme="minorEastAsia"/>
          <w:bCs/>
          <w:kern w:val="0"/>
          <w:sz w:val="24"/>
        </w:rPr>
        <w:t>河，</w:t>
      </w:r>
      <w:r w:rsidRPr="00FC1444">
        <w:rPr>
          <w:rFonts w:eastAsiaTheme="minorEastAsia" w:hint="eastAsia"/>
          <w:bCs/>
          <w:kern w:val="0"/>
          <w:sz w:val="24"/>
        </w:rPr>
        <w:t>呼兰</w:t>
      </w:r>
      <w:r w:rsidRPr="00FC1444">
        <w:rPr>
          <w:rFonts w:eastAsiaTheme="minorEastAsia"/>
          <w:bCs/>
          <w:kern w:val="0"/>
          <w:sz w:val="24"/>
        </w:rPr>
        <w:t>河绥望桥断面</w:t>
      </w:r>
      <w:r w:rsidRPr="00FC1444">
        <w:rPr>
          <w:rFonts w:eastAsiaTheme="minorEastAsia"/>
          <w:bCs/>
          <w:kern w:val="0"/>
          <w:sz w:val="24"/>
        </w:rPr>
        <w:lastRenderedPageBreak/>
        <w:t>水质目标为</w:t>
      </w:r>
      <w:r w:rsidRPr="00FC1444">
        <w:rPr>
          <w:rFonts w:eastAsiaTheme="minorEastAsia"/>
          <w:bCs/>
          <w:kern w:val="0"/>
          <w:sz w:val="24"/>
          <w:szCs w:val="21"/>
        </w:rPr>
        <w:t>Ⅲ</w:t>
      </w:r>
      <w:r w:rsidRPr="00FC1444">
        <w:rPr>
          <w:rFonts w:eastAsiaTheme="minorEastAsia"/>
          <w:bCs/>
          <w:kern w:val="0"/>
          <w:sz w:val="24"/>
        </w:rPr>
        <w:t>类，</w:t>
      </w:r>
      <w:r w:rsidRPr="00FC1444">
        <w:rPr>
          <w:rFonts w:eastAsiaTheme="minorEastAsia"/>
          <w:sz w:val="24"/>
        </w:rPr>
        <w:t>津河</w:t>
      </w:r>
      <w:r w:rsidRPr="00FC1444">
        <w:rPr>
          <w:rFonts w:eastAsiaTheme="minorEastAsia"/>
          <w:bCs/>
          <w:kern w:val="0"/>
          <w:sz w:val="24"/>
        </w:rPr>
        <w:t>参照</w:t>
      </w:r>
      <w:r w:rsidRPr="00FC1444">
        <w:rPr>
          <w:rFonts w:eastAsiaTheme="minorEastAsia" w:hint="eastAsia"/>
          <w:bCs/>
          <w:kern w:val="0"/>
          <w:sz w:val="24"/>
        </w:rPr>
        <w:t>呼兰</w:t>
      </w:r>
      <w:r w:rsidRPr="00FC1444">
        <w:rPr>
          <w:rFonts w:eastAsiaTheme="minorEastAsia"/>
          <w:bCs/>
          <w:kern w:val="0"/>
          <w:sz w:val="24"/>
        </w:rPr>
        <w:t>河执行</w:t>
      </w:r>
      <w:r w:rsidR="00611CBA" w:rsidRPr="00FC1444">
        <w:rPr>
          <w:rFonts w:eastAsiaTheme="minorEastAsia"/>
          <w:bCs/>
          <w:sz w:val="24"/>
        </w:rPr>
        <w:t>。</w:t>
      </w:r>
      <w:r w:rsidR="00386D57" w:rsidRPr="00FC1444">
        <w:rPr>
          <w:rFonts w:eastAsiaTheme="minorEastAsia" w:hint="eastAsia"/>
          <w:sz w:val="24"/>
        </w:rPr>
        <w:t>2025</w:t>
      </w:r>
      <w:r w:rsidR="00386D57" w:rsidRPr="00FC1444">
        <w:rPr>
          <w:rFonts w:eastAsiaTheme="minorEastAsia" w:hint="eastAsia"/>
          <w:sz w:val="24"/>
        </w:rPr>
        <w:t>年</w:t>
      </w:r>
      <w:r w:rsidR="00D865D2" w:rsidRPr="00FC1444">
        <w:rPr>
          <w:rFonts w:eastAsiaTheme="minorEastAsia"/>
          <w:bCs/>
          <w:sz w:val="24"/>
        </w:rPr>
        <w:t>绥望桥断面、榆林镇鞍山屯</w:t>
      </w:r>
      <w:r w:rsidR="00D865D2" w:rsidRPr="00FC1444">
        <w:rPr>
          <w:rFonts w:eastAsiaTheme="minorEastAsia"/>
          <w:bCs/>
          <w:kern w:val="0"/>
          <w:sz w:val="24"/>
        </w:rPr>
        <w:t>断面、努敏河绥化市断面水质类别均为</w:t>
      </w:r>
      <w:r w:rsidR="00D865D2" w:rsidRPr="00FC1444">
        <w:rPr>
          <w:rFonts w:eastAsiaTheme="minorEastAsia"/>
          <w:bCs/>
          <w:kern w:val="0"/>
          <w:sz w:val="24"/>
        </w:rPr>
        <w:t>Ⅲ</w:t>
      </w:r>
      <w:r w:rsidR="00D865D2" w:rsidRPr="00FC1444">
        <w:rPr>
          <w:rFonts w:eastAsiaTheme="minorEastAsia"/>
          <w:bCs/>
          <w:kern w:val="0"/>
          <w:sz w:val="24"/>
        </w:rPr>
        <w:t>类，满足</w:t>
      </w:r>
      <w:r w:rsidR="00D865D2" w:rsidRPr="00FC1444">
        <w:rPr>
          <w:rFonts w:eastAsiaTheme="minorEastAsia"/>
          <w:sz w:val="24"/>
        </w:rPr>
        <w:t>水体类别要求</w:t>
      </w:r>
      <w:r w:rsidR="00D865D2" w:rsidRPr="00FC1444">
        <w:rPr>
          <w:rFonts w:eastAsiaTheme="minorEastAsia"/>
          <w:bCs/>
          <w:kern w:val="0"/>
          <w:sz w:val="24"/>
        </w:rPr>
        <w:t>。</w:t>
      </w:r>
    </w:p>
    <w:p w:rsidR="002A5A5E" w:rsidRPr="00FC1444" w:rsidRDefault="00611CBA">
      <w:pPr>
        <w:spacing w:line="360" w:lineRule="auto"/>
        <w:outlineLvl w:val="2"/>
        <w:rPr>
          <w:rFonts w:eastAsiaTheme="minorEastAsia"/>
          <w:b/>
          <w:sz w:val="28"/>
          <w:szCs w:val="28"/>
        </w:rPr>
      </w:pPr>
      <w:r w:rsidRPr="00FC1444">
        <w:rPr>
          <w:rFonts w:eastAsiaTheme="minorEastAsia"/>
          <w:b/>
          <w:sz w:val="28"/>
          <w:szCs w:val="28"/>
        </w:rPr>
        <w:t>4.2.3</w:t>
      </w:r>
      <w:r w:rsidRPr="00FC1444">
        <w:rPr>
          <w:rFonts w:eastAsiaTheme="minorEastAsia"/>
          <w:b/>
          <w:sz w:val="28"/>
          <w:szCs w:val="28"/>
        </w:rPr>
        <w:t>地下水质量现状评价</w:t>
      </w:r>
    </w:p>
    <w:p w:rsidR="002A5A5E" w:rsidRPr="00FC1444" w:rsidRDefault="00611CBA">
      <w:pPr>
        <w:autoSpaceDE w:val="0"/>
        <w:autoSpaceDN w:val="0"/>
        <w:spacing w:before="100" w:beforeAutospacing="1" w:after="100" w:afterAutospacing="1"/>
        <w:outlineLvl w:val="3"/>
        <w:rPr>
          <w:rFonts w:eastAsiaTheme="minorEastAsia"/>
          <w:b/>
          <w:bCs/>
          <w:sz w:val="24"/>
        </w:rPr>
      </w:pPr>
      <w:r w:rsidRPr="00FC1444">
        <w:rPr>
          <w:rFonts w:eastAsiaTheme="minorEastAsia"/>
          <w:b/>
          <w:bCs/>
          <w:sz w:val="24"/>
        </w:rPr>
        <w:t>4.2.3.1</w:t>
      </w:r>
      <w:r w:rsidRPr="00FC1444">
        <w:rPr>
          <w:rFonts w:eastAsiaTheme="minorEastAsia"/>
          <w:b/>
          <w:bCs/>
          <w:sz w:val="24"/>
        </w:rPr>
        <w:t>地下水环境现状监测</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）数据来源</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rPr>
        <w:t>监测数据源于哈尔滨新巨环保科技有限公司，详细情况见附件</w:t>
      </w:r>
      <w:r w:rsidRPr="00FC1444">
        <w:rPr>
          <w:rFonts w:eastAsiaTheme="minorEastAsia"/>
          <w:sz w:val="24"/>
        </w:rPr>
        <w:t>2</w:t>
      </w:r>
      <w:r w:rsidRPr="00FC1444">
        <w:rPr>
          <w:rFonts w:eastAsiaTheme="minorEastAsia"/>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）监测点位</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本次地下水监测取水目的层含承压水，为评价区内具有供水意义的含水层。根据地下水流向在本项目上游、下游、侧向共设置</w:t>
      </w:r>
      <w:r w:rsidRPr="00FC1444">
        <w:rPr>
          <w:rFonts w:eastAsiaTheme="minorEastAsia"/>
          <w:sz w:val="24"/>
        </w:rPr>
        <w:t>4</w:t>
      </w:r>
      <w:r w:rsidRPr="00FC1444">
        <w:rPr>
          <w:rFonts w:eastAsiaTheme="minorEastAsia"/>
          <w:sz w:val="24"/>
        </w:rPr>
        <w:t>个地下水水质监测点，</w:t>
      </w:r>
      <w:r w:rsidRPr="00FC1444">
        <w:rPr>
          <w:rFonts w:eastAsiaTheme="minorEastAsia"/>
          <w:sz w:val="24"/>
        </w:rPr>
        <w:t>8</w:t>
      </w:r>
      <w:r w:rsidRPr="00FC1444">
        <w:rPr>
          <w:rFonts w:eastAsiaTheme="minorEastAsia"/>
          <w:sz w:val="24"/>
        </w:rPr>
        <w:t>个地下水水位监测点</w:t>
      </w:r>
      <w:r w:rsidR="008A22F8" w:rsidRPr="00FC1444">
        <w:rPr>
          <w:rFonts w:eastAsiaTheme="minorEastAsia"/>
          <w:sz w:val="24"/>
        </w:rPr>
        <w:t>。监测目的层为潜层及承压层，地下水监测点位及监测目的层设置合理</w:t>
      </w:r>
      <w:r w:rsidRPr="00FC1444">
        <w:rPr>
          <w:rFonts w:eastAsiaTheme="minorEastAsia"/>
          <w:sz w:val="24"/>
        </w:rPr>
        <w:t>。本项目地下水现状监测点位布置具体见表</w:t>
      </w:r>
      <w:r w:rsidRPr="00FC1444">
        <w:rPr>
          <w:rFonts w:eastAsiaTheme="minorEastAsia"/>
          <w:sz w:val="24"/>
        </w:rPr>
        <w:t>4-2-</w:t>
      </w:r>
      <w:r w:rsidR="00F90B8B" w:rsidRPr="00FC1444">
        <w:rPr>
          <w:rFonts w:eastAsiaTheme="minorEastAsia" w:hint="eastAsia"/>
          <w:sz w:val="24"/>
        </w:rPr>
        <w:t>4</w:t>
      </w:r>
      <w:r w:rsidRPr="00FC1444">
        <w:rPr>
          <w:rFonts w:eastAsiaTheme="minorEastAsia"/>
          <w:sz w:val="24"/>
        </w:rPr>
        <w:t>和图</w:t>
      </w:r>
      <w:r w:rsidRPr="00FC1444">
        <w:rPr>
          <w:rFonts w:eastAsiaTheme="minorEastAsia"/>
          <w:sz w:val="24"/>
        </w:rPr>
        <w:t>4-2-</w:t>
      </w:r>
      <w:r w:rsidR="00F90B8B" w:rsidRPr="00FC1444">
        <w:rPr>
          <w:rFonts w:eastAsiaTheme="minorEastAsia" w:hint="eastAsia"/>
          <w:sz w:val="24"/>
        </w:rPr>
        <w:t>5</w:t>
      </w:r>
      <w:r w:rsidRPr="00FC1444">
        <w:rPr>
          <w:rFonts w:eastAsiaTheme="minorEastAsia"/>
          <w:sz w:val="24"/>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4-2-</w:t>
      </w:r>
      <w:r w:rsidR="00F90B8B" w:rsidRPr="00FC1444">
        <w:rPr>
          <w:rFonts w:eastAsiaTheme="minorEastAsia" w:hint="eastAsia"/>
          <w:b/>
          <w:kern w:val="0"/>
          <w:szCs w:val="21"/>
        </w:rPr>
        <w:t>4</w:t>
      </w:r>
      <w:r w:rsidRPr="00FC1444">
        <w:rPr>
          <w:rFonts w:eastAsiaTheme="minorEastAsia"/>
          <w:b/>
          <w:kern w:val="0"/>
          <w:szCs w:val="21"/>
        </w:rPr>
        <w:t xml:space="preserve"> </w:t>
      </w:r>
      <w:r w:rsidRPr="00FC1444">
        <w:rPr>
          <w:rFonts w:eastAsiaTheme="minorEastAsia"/>
          <w:b/>
          <w:kern w:val="0"/>
          <w:szCs w:val="21"/>
        </w:rPr>
        <w:t>地下水现状监测点位表</w:t>
      </w:r>
    </w:p>
    <w:tbl>
      <w:tblPr>
        <w:tblW w:w="5000" w:type="pct"/>
        <w:jc w:val="center"/>
        <w:tblBorders>
          <w:top w:val="single" w:sz="12" w:space="0" w:color="auto"/>
          <w:bottom w:val="single" w:sz="12" w:space="0" w:color="auto"/>
          <w:insideH w:val="single" w:sz="2" w:space="0" w:color="auto"/>
          <w:insideV w:val="single" w:sz="2" w:space="0" w:color="auto"/>
        </w:tblBorders>
        <w:tblLook w:val="04A0"/>
      </w:tblPr>
      <w:tblGrid>
        <w:gridCol w:w="686"/>
        <w:gridCol w:w="1933"/>
        <w:gridCol w:w="1367"/>
        <w:gridCol w:w="942"/>
        <w:gridCol w:w="1344"/>
        <w:gridCol w:w="1165"/>
        <w:gridCol w:w="1085"/>
      </w:tblGrid>
      <w:tr w:rsidR="00CF5EBD" w:rsidRPr="00FC1444" w:rsidTr="00CF5EBD">
        <w:trPr>
          <w:trHeight w:val="371"/>
          <w:jc w:val="center"/>
        </w:trPr>
        <w:tc>
          <w:tcPr>
            <w:tcW w:w="686" w:type="dxa"/>
            <w:vAlign w:val="center"/>
          </w:tcPr>
          <w:p w:rsidR="00CF5EBD" w:rsidRPr="00FC1444" w:rsidRDefault="00CF5EBD" w:rsidP="00CF5EBD">
            <w:pPr>
              <w:jc w:val="center"/>
              <w:rPr>
                <w:rFonts w:eastAsiaTheme="minorEastAsia"/>
                <w:szCs w:val="21"/>
              </w:rPr>
            </w:pPr>
            <w:r w:rsidRPr="00FC1444">
              <w:rPr>
                <w:rFonts w:eastAsiaTheme="minorEastAsia"/>
                <w:szCs w:val="21"/>
              </w:rPr>
              <w:t>序号</w:t>
            </w:r>
          </w:p>
        </w:tc>
        <w:tc>
          <w:tcPr>
            <w:tcW w:w="1933" w:type="dxa"/>
            <w:vAlign w:val="center"/>
          </w:tcPr>
          <w:p w:rsidR="00CF5EBD" w:rsidRPr="00FC1444" w:rsidRDefault="00CF5EBD" w:rsidP="00CF5EBD">
            <w:pPr>
              <w:jc w:val="center"/>
              <w:rPr>
                <w:rFonts w:eastAsiaTheme="minorEastAsia"/>
                <w:szCs w:val="21"/>
              </w:rPr>
            </w:pPr>
            <w:r w:rsidRPr="00FC1444">
              <w:rPr>
                <w:rFonts w:eastAsiaTheme="minorEastAsia"/>
                <w:szCs w:val="21"/>
              </w:rPr>
              <w:t>监测点位</w:t>
            </w:r>
          </w:p>
        </w:tc>
        <w:tc>
          <w:tcPr>
            <w:tcW w:w="1367" w:type="dxa"/>
            <w:vAlign w:val="center"/>
          </w:tcPr>
          <w:p w:rsidR="00CF5EBD" w:rsidRPr="00FC1444" w:rsidRDefault="00CF5EBD" w:rsidP="00CF5EBD">
            <w:pPr>
              <w:jc w:val="center"/>
              <w:rPr>
                <w:rFonts w:eastAsiaTheme="minorEastAsia"/>
                <w:szCs w:val="21"/>
              </w:rPr>
            </w:pPr>
            <w:r w:rsidRPr="00FC1444">
              <w:rPr>
                <w:rFonts w:eastAsiaTheme="minorEastAsia"/>
                <w:szCs w:val="21"/>
              </w:rPr>
              <w:t>监测项目</w:t>
            </w:r>
          </w:p>
        </w:tc>
        <w:tc>
          <w:tcPr>
            <w:tcW w:w="942" w:type="dxa"/>
            <w:vAlign w:val="center"/>
          </w:tcPr>
          <w:p w:rsidR="00CF5EBD" w:rsidRPr="00FC1444" w:rsidRDefault="00CF5EBD" w:rsidP="00CF5EBD">
            <w:pPr>
              <w:jc w:val="center"/>
              <w:rPr>
                <w:rFonts w:eastAsiaTheme="minorEastAsia"/>
                <w:szCs w:val="21"/>
              </w:rPr>
            </w:pPr>
            <w:r w:rsidRPr="00FC1444">
              <w:rPr>
                <w:rFonts w:eastAsiaTheme="minorEastAsia"/>
                <w:szCs w:val="21"/>
              </w:rPr>
              <w:t>用途</w:t>
            </w:r>
          </w:p>
        </w:tc>
        <w:tc>
          <w:tcPr>
            <w:tcW w:w="1344" w:type="dxa"/>
            <w:vAlign w:val="center"/>
          </w:tcPr>
          <w:p w:rsidR="00CF5EBD" w:rsidRPr="00FC1444" w:rsidRDefault="00CF5EBD" w:rsidP="00CF5EBD">
            <w:pPr>
              <w:jc w:val="center"/>
              <w:rPr>
                <w:rFonts w:eastAsiaTheme="minorEastAsia"/>
                <w:szCs w:val="21"/>
              </w:rPr>
            </w:pPr>
            <w:r w:rsidRPr="00FC1444">
              <w:rPr>
                <w:rFonts w:eastAsiaTheme="minorEastAsia"/>
                <w:szCs w:val="21"/>
              </w:rPr>
              <w:t>监测目的层</w:t>
            </w:r>
          </w:p>
        </w:tc>
        <w:tc>
          <w:tcPr>
            <w:tcW w:w="1165" w:type="dxa"/>
            <w:tcBorders>
              <w:right w:val="single" w:sz="2" w:space="0" w:color="auto"/>
            </w:tcBorders>
            <w:vAlign w:val="center"/>
          </w:tcPr>
          <w:p w:rsidR="00CF5EBD" w:rsidRPr="00FC1444" w:rsidRDefault="00CF5EBD" w:rsidP="00CF5EBD">
            <w:pPr>
              <w:jc w:val="center"/>
              <w:rPr>
                <w:rFonts w:eastAsiaTheme="minorEastAsia"/>
                <w:szCs w:val="21"/>
              </w:rPr>
            </w:pPr>
            <w:r w:rsidRPr="00FC1444">
              <w:rPr>
                <w:rFonts w:eastAsiaTheme="minorEastAsia"/>
                <w:szCs w:val="21"/>
              </w:rPr>
              <w:t>水位（</w:t>
            </w:r>
            <w:r w:rsidRPr="00FC1444">
              <w:rPr>
                <w:rFonts w:eastAsiaTheme="minorEastAsia"/>
                <w:szCs w:val="21"/>
              </w:rPr>
              <w:t>m</w:t>
            </w:r>
            <w:r w:rsidRPr="00FC1444">
              <w:rPr>
                <w:rFonts w:eastAsiaTheme="minorEastAsia"/>
                <w:szCs w:val="21"/>
              </w:rPr>
              <w:t>）</w:t>
            </w:r>
          </w:p>
        </w:tc>
        <w:tc>
          <w:tcPr>
            <w:tcW w:w="1085" w:type="dxa"/>
            <w:tcBorders>
              <w:left w:val="single" w:sz="2" w:space="0" w:color="auto"/>
            </w:tcBorders>
            <w:vAlign w:val="center"/>
          </w:tcPr>
          <w:p w:rsidR="00CF5EBD" w:rsidRPr="00FC1444" w:rsidRDefault="00CF5EBD" w:rsidP="00CF5EBD">
            <w:pPr>
              <w:jc w:val="center"/>
              <w:rPr>
                <w:rFonts w:eastAsiaTheme="minorEastAsia"/>
                <w:szCs w:val="21"/>
              </w:rPr>
            </w:pPr>
            <w:r w:rsidRPr="00FC1444">
              <w:rPr>
                <w:rFonts w:eastAsiaTheme="minorEastAsia"/>
                <w:szCs w:val="21"/>
              </w:rPr>
              <w:t>井深（</w:t>
            </w:r>
            <w:r w:rsidRPr="00FC1444">
              <w:rPr>
                <w:rFonts w:eastAsiaTheme="minorEastAsia"/>
                <w:szCs w:val="21"/>
              </w:rPr>
              <w:t>m</w:t>
            </w:r>
            <w:r w:rsidRPr="00FC1444">
              <w:rPr>
                <w:rFonts w:eastAsiaTheme="minorEastAsia"/>
                <w:szCs w:val="21"/>
              </w:rPr>
              <w:t>）</w:t>
            </w:r>
          </w:p>
        </w:tc>
      </w:tr>
      <w:tr w:rsidR="00CF5EBD" w:rsidRPr="00FC1444" w:rsidTr="00CF5EBD">
        <w:trPr>
          <w:trHeight w:val="71"/>
          <w:jc w:val="center"/>
        </w:trPr>
        <w:tc>
          <w:tcPr>
            <w:tcW w:w="686" w:type="dxa"/>
            <w:vAlign w:val="center"/>
          </w:tcPr>
          <w:p w:rsidR="00CF5EBD" w:rsidRPr="00FC1444" w:rsidRDefault="00CF5EBD" w:rsidP="00CF5EBD">
            <w:pPr>
              <w:jc w:val="center"/>
              <w:rPr>
                <w:rFonts w:eastAsiaTheme="minorEastAsia"/>
                <w:szCs w:val="21"/>
              </w:rPr>
            </w:pPr>
            <w:r w:rsidRPr="00FC1444">
              <w:rPr>
                <w:rFonts w:eastAsiaTheme="minorEastAsia"/>
                <w:szCs w:val="21"/>
              </w:rPr>
              <w:t>1</w:t>
            </w:r>
          </w:p>
        </w:tc>
        <w:tc>
          <w:tcPr>
            <w:tcW w:w="1933" w:type="dxa"/>
            <w:vAlign w:val="center"/>
          </w:tcPr>
          <w:p w:rsidR="00CF5EBD" w:rsidRPr="00FC1444" w:rsidRDefault="00CF5EBD" w:rsidP="00CF5EBD">
            <w:pPr>
              <w:jc w:val="center"/>
              <w:rPr>
                <w:rFonts w:eastAsiaTheme="minorEastAsia"/>
                <w:szCs w:val="21"/>
              </w:rPr>
            </w:pPr>
            <w:r w:rsidRPr="00FC1444">
              <w:rPr>
                <w:rFonts w:eastAsiaTheme="minorEastAsia"/>
                <w:szCs w:val="21"/>
              </w:rPr>
              <w:t>上游监测孔</w:t>
            </w:r>
            <w:r w:rsidRPr="00FC1444">
              <w:rPr>
                <w:rFonts w:ascii="宋体" w:hAnsi="宋体" w:cs="宋体" w:hint="eastAsia"/>
                <w:szCs w:val="21"/>
              </w:rPr>
              <w:t>☆</w:t>
            </w:r>
            <w:r w:rsidRPr="00FC1444">
              <w:rPr>
                <w:rFonts w:eastAsiaTheme="minorEastAsia"/>
                <w:szCs w:val="21"/>
              </w:rPr>
              <w:t>01</w:t>
            </w:r>
          </w:p>
        </w:tc>
        <w:tc>
          <w:tcPr>
            <w:tcW w:w="1367" w:type="dxa"/>
            <w:vAlign w:val="center"/>
          </w:tcPr>
          <w:p w:rsidR="00CF5EBD" w:rsidRPr="00FC1444" w:rsidRDefault="00CF5EBD" w:rsidP="00CF5EBD">
            <w:pPr>
              <w:jc w:val="center"/>
              <w:rPr>
                <w:rFonts w:eastAsiaTheme="minorEastAsia"/>
                <w:szCs w:val="21"/>
              </w:rPr>
            </w:pPr>
            <w:r w:rsidRPr="00FC1444">
              <w:rPr>
                <w:rFonts w:eastAsiaTheme="minorEastAsia"/>
                <w:szCs w:val="21"/>
              </w:rPr>
              <w:t>水质、水位</w:t>
            </w:r>
          </w:p>
        </w:tc>
        <w:tc>
          <w:tcPr>
            <w:tcW w:w="942" w:type="dxa"/>
            <w:vAlign w:val="center"/>
          </w:tcPr>
          <w:p w:rsidR="00CF5EBD" w:rsidRPr="00FC1444" w:rsidRDefault="00CF5EBD" w:rsidP="00CF5EBD">
            <w:pPr>
              <w:jc w:val="center"/>
              <w:rPr>
                <w:rFonts w:eastAsiaTheme="minorEastAsia"/>
                <w:szCs w:val="21"/>
              </w:rPr>
            </w:pPr>
            <w:r w:rsidRPr="00FC1444">
              <w:rPr>
                <w:rFonts w:eastAsiaTheme="minorEastAsia"/>
                <w:szCs w:val="21"/>
              </w:rPr>
              <w:t>灌溉</w:t>
            </w:r>
          </w:p>
        </w:tc>
        <w:tc>
          <w:tcPr>
            <w:tcW w:w="1344" w:type="dxa"/>
            <w:vAlign w:val="center"/>
          </w:tcPr>
          <w:p w:rsidR="00CF5EBD" w:rsidRPr="00FC1444" w:rsidRDefault="00CF5EBD" w:rsidP="00CF5EBD">
            <w:pPr>
              <w:spacing w:line="360" w:lineRule="auto"/>
              <w:jc w:val="center"/>
              <w:rPr>
                <w:rFonts w:eastAsiaTheme="minorEastAsia"/>
                <w:kern w:val="0"/>
                <w:szCs w:val="21"/>
              </w:rPr>
            </w:pPr>
            <w:r w:rsidRPr="00FC1444">
              <w:rPr>
                <w:rFonts w:eastAsiaTheme="minorEastAsia"/>
                <w:szCs w:val="21"/>
              </w:rPr>
              <w:t>潜层</w:t>
            </w:r>
          </w:p>
        </w:tc>
        <w:tc>
          <w:tcPr>
            <w:tcW w:w="1165" w:type="dxa"/>
            <w:tcBorders>
              <w:right w:val="single" w:sz="2" w:space="0" w:color="auto"/>
            </w:tcBorders>
            <w:vAlign w:val="center"/>
          </w:tcPr>
          <w:p w:rsidR="00CF5EBD" w:rsidRPr="00FC1444" w:rsidRDefault="00CF5EBD" w:rsidP="00905865">
            <w:pPr>
              <w:spacing w:line="360" w:lineRule="auto"/>
              <w:jc w:val="center"/>
              <w:rPr>
                <w:rFonts w:eastAsiaTheme="minorEastAsia"/>
                <w:kern w:val="0"/>
                <w:szCs w:val="21"/>
              </w:rPr>
            </w:pPr>
            <w:r w:rsidRPr="00FC1444">
              <w:rPr>
                <w:rFonts w:eastAsiaTheme="minorEastAsia"/>
                <w:kern w:val="0"/>
                <w:szCs w:val="21"/>
              </w:rPr>
              <w:t>1</w:t>
            </w:r>
            <w:r w:rsidR="00905865" w:rsidRPr="00FC1444">
              <w:rPr>
                <w:rFonts w:eastAsiaTheme="minorEastAsia" w:hint="eastAsia"/>
                <w:kern w:val="0"/>
                <w:szCs w:val="21"/>
              </w:rPr>
              <w:t>6</w:t>
            </w:r>
            <w:r w:rsidRPr="00FC1444">
              <w:rPr>
                <w:rFonts w:eastAsiaTheme="minorEastAsia"/>
                <w:kern w:val="0"/>
                <w:szCs w:val="21"/>
              </w:rPr>
              <w:t>1.</w:t>
            </w:r>
            <w:r w:rsidR="00963A73" w:rsidRPr="00FC1444">
              <w:rPr>
                <w:rFonts w:eastAsiaTheme="minorEastAsia" w:hint="eastAsia"/>
                <w:kern w:val="0"/>
                <w:szCs w:val="21"/>
              </w:rPr>
              <w:t>5</w:t>
            </w:r>
          </w:p>
        </w:tc>
        <w:tc>
          <w:tcPr>
            <w:tcW w:w="1085" w:type="dxa"/>
            <w:tcBorders>
              <w:left w:val="single" w:sz="2" w:space="0" w:color="auto"/>
            </w:tcBorders>
            <w:vAlign w:val="center"/>
          </w:tcPr>
          <w:p w:rsidR="00CF5EBD" w:rsidRPr="00FC1444" w:rsidRDefault="00CF5EBD" w:rsidP="00CF5EBD">
            <w:pPr>
              <w:jc w:val="center"/>
              <w:rPr>
                <w:rFonts w:eastAsiaTheme="minorEastAsia"/>
                <w:szCs w:val="21"/>
              </w:rPr>
            </w:pPr>
            <w:r w:rsidRPr="00FC1444">
              <w:rPr>
                <w:rFonts w:eastAsiaTheme="minorEastAsia"/>
                <w:szCs w:val="21"/>
              </w:rPr>
              <w:t>30</w:t>
            </w:r>
          </w:p>
        </w:tc>
      </w:tr>
      <w:tr w:rsidR="00CF5EBD" w:rsidRPr="00FC1444" w:rsidTr="00CF5EBD">
        <w:trPr>
          <w:trHeight w:val="71"/>
          <w:jc w:val="center"/>
        </w:trPr>
        <w:tc>
          <w:tcPr>
            <w:tcW w:w="686" w:type="dxa"/>
            <w:vAlign w:val="center"/>
          </w:tcPr>
          <w:p w:rsidR="00CF5EBD" w:rsidRPr="00FC1444" w:rsidRDefault="00CF5EBD" w:rsidP="00CF5EBD">
            <w:pPr>
              <w:jc w:val="center"/>
              <w:rPr>
                <w:rFonts w:eastAsiaTheme="minorEastAsia"/>
                <w:szCs w:val="21"/>
              </w:rPr>
            </w:pPr>
            <w:r w:rsidRPr="00FC1444">
              <w:rPr>
                <w:rFonts w:eastAsiaTheme="minorEastAsia"/>
                <w:szCs w:val="21"/>
              </w:rPr>
              <w:t>2</w:t>
            </w:r>
          </w:p>
        </w:tc>
        <w:tc>
          <w:tcPr>
            <w:tcW w:w="1933" w:type="dxa"/>
            <w:vAlign w:val="center"/>
          </w:tcPr>
          <w:p w:rsidR="00CF5EBD" w:rsidRPr="00FC1444" w:rsidRDefault="00CF5EBD" w:rsidP="00CF5EBD">
            <w:pPr>
              <w:jc w:val="center"/>
              <w:rPr>
                <w:rFonts w:eastAsiaTheme="minorEastAsia"/>
                <w:szCs w:val="21"/>
              </w:rPr>
            </w:pPr>
            <w:r w:rsidRPr="00FC1444">
              <w:rPr>
                <w:rFonts w:eastAsiaTheme="minorEastAsia"/>
                <w:szCs w:val="21"/>
              </w:rPr>
              <w:t>下游监测孔</w:t>
            </w:r>
            <w:r w:rsidRPr="00FC1444">
              <w:rPr>
                <w:rFonts w:ascii="宋体" w:hAnsi="宋体" w:cs="宋体" w:hint="eastAsia"/>
                <w:szCs w:val="21"/>
              </w:rPr>
              <w:t>☆</w:t>
            </w:r>
            <w:r w:rsidRPr="00FC1444">
              <w:rPr>
                <w:rFonts w:eastAsiaTheme="minorEastAsia"/>
                <w:szCs w:val="21"/>
              </w:rPr>
              <w:t>02</w:t>
            </w:r>
          </w:p>
        </w:tc>
        <w:tc>
          <w:tcPr>
            <w:tcW w:w="1367" w:type="dxa"/>
            <w:vAlign w:val="center"/>
          </w:tcPr>
          <w:p w:rsidR="00CF5EBD" w:rsidRPr="00FC1444" w:rsidRDefault="00CF5EBD" w:rsidP="00CF5EBD">
            <w:pPr>
              <w:jc w:val="center"/>
              <w:rPr>
                <w:rFonts w:eastAsiaTheme="minorEastAsia"/>
                <w:szCs w:val="21"/>
              </w:rPr>
            </w:pPr>
            <w:r w:rsidRPr="00FC1444">
              <w:rPr>
                <w:rFonts w:eastAsiaTheme="minorEastAsia"/>
                <w:szCs w:val="21"/>
              </w:rPr>
              <w:t>水质、水位</w:t>
            </w:r>
          </w:p>
        </w:tc>
        <w:tc>
          <w:tcPr>
            <w:tcW w:w="942" w:type="dxa"/>
            <w:vAlign w:val="center"/>
          </w:tcPr>
          <w:p w:rsidR="00CF5EBD" w:rsidRPr="00FC1444" w:rsidRDefault="00CF5EBD" w:rsidP="00CF5EBD">
            <w:pPr>
              <w:jc w:val="center"/>
              <w:rPr>
                <w:rFonts w:eastAsiaTheme="minorEastAsia"/>
                <w:szCs w:val="21"/>
              </w:rPr>
            </w:pPr>
            <w:r w:rsidRPr="00FC1444">
              <w:rPr>
                <w:rFonts w:eastAsiaTheme="minorEastAsia"/>
                <w:szCs w:val="21"/>
              </w:rPr>
              <w:t>灌溉</w:t>
            </w:r>
          </w:p>
        </w:tc>
        <w:tc>
          <w:tcPr>
            <w:tcW w:w="1344" w:type="dxa"/>
            <w:vAlign w:val="center"/>
          </w:tcPr>
          <w:p w:rsidR="00CF5EBD" w:rsidRPr="00FC1444" w:rsidRDefault="00CF5EBD" w:rsidP="00CF5EBD">
            <w:pPr>
              <w:spacing w:line="360" w:lineRule="auto"/>
              <w:jc w:val="center"/>
              <w:rPr>
                <w:rFonts w:eastAsiaTheme="minorEastAsia"/>
                <w:kern w:val="0"/>
                <w:szCs w:val="21"/>
              </w:rPr>
            </w:pPr>
            <w:r w:rsidRPr="00FC1444">
              <w:rPr>
                <w:rFonts w:eastAsiaTheme="minorEastAsia"/>
                <w:szCs w:val="21"/>
              </w:rPr>
              <w:t>潜层</w:t>
            </w:r>
          </w:p>
        </w:tc>
        <w:tc>
          <w:tcPr>
            <w:tcW w:w="1165" w:type="dxa"/>
            <w:tcBorders>
              <w:right w:val="single" w:sz="2" w:space="0" w:color="auto"/>
            </w:tcBorders>
            <w:vAlign w:val="center"/>
          </w:tcPr>
          <w:p w:rsidR="00CF5EBD" w:rsidRPr="00FC1444" w:rsidRDefault="00CF5EBD" w:rsidP="00905865">
            <w:pPr>
              <w:spacing w:line="360" w:lineRule="auto"/>
              <w:jc w:val="center"/>
              <w:rPr>
                <w:rFonts w:eastAsiaTheme="minorEastAsia"/>
                <w:kern w:val="0"/>
                <w:szCs w:val="21"/>
              </w:rPr>
            </w:pPr>
            <w:r w:rsidRPr="00FC1444">
              <w:rPr>
                <w:rFonts w:eastAsiaTheme="minorEastAsia"/>
                <w:kern w:val="0"/>
                <w:szCs w:val="21"/>
              </w:rPr>
              <w:t>1</w:t>
            </w:r>
            <w:r w:rsidR="00905865" w:rsidRPr="00FC1444">
              <w:rPr>
                <w:rFonts w:eastAsiaTheme="minorEastAsia" w:hint="eastAsia"/>
                <w:kern w:val="0"/>
                <w:szCs w:val="21"/>
              </w:rPr>
              <w:t>4</w:t>
            </w:r>
            <w:r w:rsidRPr="00FC1444">
              <w:rPr>
                <w:rFonts w:eastAsiaTheme="minorEastAsia"/>
                <w:kern w:val="0"/>
                <w:szCs w:val="21"/>
              </w:rPr>
              <w:t>8.</w:t>
            </w:r>
            <w:r w:rsidR="00A810B6" w:rsidRPr="00FC1444">
              <w:rPr>
                <w:rFonts w:eastAsiaTheme="minorEastAsia"/>
                <w:kern w:val="0"/>
                <w:szCs w:val="21"/>
              </w:rPr>
              <w:t>9</w:t>
            </w:r>
          </w:p>
        </w:tc>
        <w:tc>
          <w:tcPr>
            <w:tcW w:w="1085" w:type="dxa"/>
            <w:tcBorders>
              <w:left w:val="single" w:sz="2" w:space="0" w:color="auto"/>
            </w:tcBorders>
            <w:vAlign w:val="center"/>
          </w:tcPr>
          <w:p w:rsidR="00CF5EBD" w:rsidRPr="00FC1444" w:rsidRDefault="001915DC" w:rsidP="00CF5EBD">
            <w:pPr>
              <w:jc w:val="center"/>
              <w:rPr>
                <w:rFonts w:eastAsiaTheme="minorEastAsia"/>
                <w:szCs w:val="21"/>
              </w:rPr>
            </w:pPr>
            <w:r w:rsidRPr="00FC1444">
              <w:rPr>
                <w:rFonts w:eastAsiaTheme="minorEastAsia"/>
                <w:szCs w:val="21"/>
              </w:rPr>
              <w:t>28</w:t>
            </w:r>
          </w:p>
        </w:tc>
      </w:tr>
      <w:tr w:rsidR="00CF5EBD" w:rsidRPr="00FC1444" w:rsidTr="00CF5EBD">
        <w:trPr>
          <w:trHeight w:val="71"/>
          <w:jc w:val="center"/>
        </w:trPr>
        <w:tc>
          <w:tcPr>
            <w:tcW w:w="686" w:type="dxa"/>
            <w:vAlign w:val="center"/>
          </w:tcPr>
          <w:p w:rsidR="00CF5EBD" w:rsidRPr="00FC1444" w:rsidRDefault="00CF5EBD" w:rsidP="00CF5EBD">
            <w:pPr>
              <w:jc w:val="center"/>
              <w:rPr>
                <w:rFonts w:eastAsiaTheme="minorEastAsia"/>
                <w:szCs w:val="21"/>
              </w:rPr>
            </w:pPr>
            <w:r w:rsidRPr="00FC1444">
              <w:rPr>
                <w:rFonts w:eastAsiaTheme="minorEastAsia"/>
                <w:szCs w:val="21"/>
              </w:rPr>
              <w:t>3</w:t>
            </w:r>
          </w:p>
        </w:tc>
        <w:tc>
          <w:tcPr>
            <w:tcW w:w="1933" w:type="dxa"/>
            <w:vAlign w:val="center"/>
          </w:tcPr>
          <w:p w:rsidR="00CF5EBD" w:rsidRPr="00FC1444" w:rsidRDefault="00CF5EBD" w:rsidP="00CF5EBD">
            <w:pPr>
              <w:jc w:val="center"/>
              <w:rPr>
                <w:rFonts w:eastAsiaTheme="minorEastAsia"/>
                <w:szCs w:val="21"/>
              </w:rPr>
            </w:pPr>
            <w:r w:rsidRPr="00FC1444">
              <w:rPr>
                <w:rFonts w:eastAsiaTheme="minorEastAsia"/>
                <w:szCs w:val="21"/>
              </w:rPr>
              <w:t>下游监测孔</w:t>
            </w:r>
            <w:r w:rsidRPr="00FC1444">
              <w:rPr>
                <w:rFonts w:ascii="宋体" w:hAnsi="宋体" w:cs="宋体" w:hint="eastAsia"/>
                <w:szCs w:val="21"/>
              </w:rPr>
              <w:t>☆</w:t>
            </w:r>
            <w:r w:rsidRPr="00FC1444">
              <w:rPr>
                <w:rFonts w:eastAsiaTheme="minorEastAsia"/>
                <w:szCs w:val="21"/>
              </w:rPr>
              <w:t>03</w:t>
            </w:r>
          </w:p>
        </w:tc>
        <w:tc>
          <w:tcPr>
            <w:tcW w:w="1367" w:type="dxa"/>
            <w:vAlign w:val="center"/>
          </w:tcPr>
          <w:p w:rsidR="00CF5EBD" w:rsidRPr="00FC1444" w:rsidRDefault="00CF5EBD" w:rsidP="00CF5EBD">
            <w:pPr>
              <w:jc w:val="center"/>
              <w:rPr>
                <w:rFonts w:eastAsiaTheme="minorEastAsia"/>
                <w:szCs w:val="21"/>
              </w:rPr>
            </w:pPr>
            <w:r w:rsidRPr="00FC1444">
              <w:rPr>
                <w:rFonts w:eastAsiaTheme="minorEastAsia"/>
                <w:szCs w:val="21"/>
              </w:rPr>
              <w:t>水质、水位</w:t>
            </w:r>
          </w:p>
        </w:tc>
        <w:tc>
          <w:tcPr>
            <w:tcW w:w="942" w:type="dxa"/>
            <w:vAlign w:val="center"/>
          </w:tcPr>
          <w:p w:rsidR="00CF5EBD" w:rsidRPr="00FC1444" w:rsidRDefault="00CF5EBD" w:rsidP="00CF5EBD">
            <w:pPr>
              <w:jc w:val="center"/>
              <w:rPr>
                <w:rFonts w:eastAsiaTheme="minorEastAsia"/>
                <w:szCs w:val="21"/>
              </w:rPr>
            </w:pPr>
            <w:r w:rsidRPr="00FC1444">
              <w:rPr>
                <w:rFonts w:eastAsiaTheme="minorEastAsia"/>
                <w:szCs w:val="21"/>
              </w:rPr>
              <w:t>饮用</w:t>
            </w:r>
          </w:p>
        </w:tc>
        <w:tc>
          <w:tcPr>
            <w:tcW w:w="1344" w:type="dxa"/>
            <w:vAlign w:val="center"/>
          </w:tcPr>
          <w:p w:rsidR="00CF5EBD" w:rsidRPr="00FC1444" w:rsidRDefault="00CF5EBD" w:rsidP="00CF5EBD">
            <w:pPr>
              <w:spacing w:line="360" w:lineRule="auto"/>
              <w:jc w:val="center"/>
              <w:rPr>
                <w:rFonts w:eastAsiaTheme="minorEastAsia"/>
                <w:kern w:val="0"/>
                <w:szCs w:val="21"/>
              </w:rPr>
            </w:pPr>
            <w:r w:rsidRPr="00FC1444">
              <w:rPr>
                <w:rFonts w:eastAsiaTheme="minorEastAsia"/>
                <w:szCs w:val="21"/>
              </w:rPr>
              <w:t>承压层</w:t>
            </w:r>
          </w:p>
        </w:tc>
        <w:tc>
          <w:tcPr>
            <w:tcW w:w="1165" w:type="dxa"/>
            <w:tcBorders>
              <w:right w:val="single" w:sz="2" w:space="0" w:color="auto"/>
            </w:tcBorders>
            <w:vAlign w:val="center"/>
          </w:tcPr>
          <w:p w:rsidR="00CF5EBD" w:rsidRPr="00FC1444" w:rsidRDefault="00CF5EBD" w:rsidP="00905865">
            <w:pPr>
              <w:spacing w:line="360" w:lineRule="auto"/>
              <w:jc w:val="center"/>
              <w:rPr>
                <w:rFonts w:eastAsiaTheme="minorEastAsia"/>
                <w:kern w:val="0"/>
                <w:szCs w:val="21"/>
              </w:rPr>
            </w:pPr>
            <w:r w:rsidRPr="00FC1444">
              <w:rPr>
                <w:rFonts w:eastAsiaTheme="minorEastAsia"/>
                <w:kern w:val="0"/>
                <w:szCs w:val="21"/>
              </w:rPr>
              <w:t>1</w:t>
            </w:r>
            <w:r w:rsidR="00905865" w:rsidRPr="00FC1444">
              <w:rPr>
                <w:rFonts w:eastAsiaTheme="minorEastAsia" w:hint="eastAsia"/>
                <w:kern w:val="0"/>
                <w:szCs w:val="21"/>
              </w:rPr>
              <w:t>4</w:t>
            </w:r>
            <w:r w:rsidRPr="00FC1444">
              <w:rPr>
                <w:rFonts w:eastAsiaTheme="minorEastAsia"/>
                <w:kern w:val="0"/>
                <w:szCs w:val="21"/>
              </w:rPr>
              <w:t>6.4</w:t>
            </w:r>
          </w:p>
        </w:tc>
        <w:tc>
          <w:tcPr>
            <w:tcW w:w="1085" w:type="dxa"/>
            <w:tcBorders>
              <w:left w:val="single" w:sz="2" w:space="0" w:color="auto"/>
            </w:tcBorders>
            <w:vAlign w:val="center"/>
          </w:tcPr>
          <w:p w:rsidR="00CF5EBD" w:rsidRPr="00FC1444" w:rsidRDefault="00093610" w:rsidP="00CF5EBD">
            <w:pPr>
              <w:jc w:val="center"/>
              <w:rPr>
                <w:rFonts w:eastAsiaTheme="minorEastAsia"/>
                <w:szCs w:val="21"/>
              </w:rPr>
            </w:pPr>
            <w:r w:rsidRPr="00FC1444">
              <w:rPr>
                <w:rFonts w:eastAsiaTheme="minorEastAsia" w:hint="eastAsia"/>
                <w:szCs w:val="21"/>
              </w:rPr>
              <w:t>120</w:t>
            </w:r>
          </w:p>
        </w:tc>
      </w:tr>
      <w:tr w:rsidR="00CF5EBD" w:rsidRPr="00FC1444" w:rsidTr="00CF5EBD">
        <w:trPr>
          <w:trHeight w:val="71"/>
          <w:jc w:val="center"/>
        </w:trPr>
        <w:tc>
          <w:tcPr>
            <w:tcW w:w="686" w:type="dxa"/>
            <w:vAlign w:val="center"/>
          </w:tcPr>
          <w:p w:rsidR="00CF5EBD" w:rsidRPr="00FC1444" w:rsidRDefault="00CF5EBD" w:rsidP="00CF5EBD">
            <w:pPr>
              <w:jc w:val="center"/>
              <w:rPr>
                <w:rFonts w:eastAsiaTheme="minorEastAsia"/>
                <w:szCs w:val="21"/>
              </w:rPr>
            </w:pPr>
            <w:r w:rsidRPr="00FC1444">
              <w:rPr>
                <w:rFonts w:eastAsiaTheme="minorEastAsia"/>
                <w:szCs w:val="21"/>
              </w:rPr>
              <w:t>4</w:t>
            </w:r>
          </w:p>
        </w:tc>
        <w:tc>
          <w:tcPr>
            <w:tcW w:w="1933" w:type="dxa"/>
            <w:vAlign w:val="center"/>
          </w:tcPr>
          <w:p w:rsidR="00CF5EBD" w:rsidRPr="00FC1444" w:rsidRDefault="00CF5EBD" w:rsidP="00CF5EBD">
            <w:pPr>
              <w:jc w:val="center"/>
              <w:rPr>
                <w:rFonts w:eastAsiaTheme="minorEastAsia"/>
                <w:szCs w:val="21"/>
              </w:rPr>
            </w:pPr>
            <w:r w:rsidRPr="00FC1444">
              <w:rPr>
                <w:rFonts w:eastAsiaTheme="minorEastAsia"/>
                <w:szCs w:val="21"/>
              </w:rPr>
              <w:t>右侧监测孔</w:t>
            </w:r>
            <w:r w:rsidRPr="00FC1444">
              <w:rPr>
                <w:rFonts w:ascii="宋体" w:hAnsi="宋体" w:cs="宋体" w:hint="eastAsia"/>
                <w:szCs w:val="21"/>
              </w:rPr>
              <w:t>☆</w:t>
            </w:r>
            <w:r w:rsidRPr="00FC1444">
              <w:rPr>
                <w:rFonts w:eastAsiaTheme="minorEastAsia"/>
                <w:szCs w:val="21"/>
              </w:rPr>
              <w:t>04</w:t>
            </w:r>
          </w:p>
        </w:tc>
        <w:tc>
          <w:tcPr>
            <w:tcW w:w="1367" w:type="dxa"/>
            <w:vAlign w:val="center"/>
          </w:tcPr>
          <w:p w:rsidR="00CF5EBD" w:rsidRPr="00FC1444" w:rsidRDefault="00CF5EBD" w:rsidP="00CF5EBD">
            <w:pPr>
              <w:jc w:val="center"/>
              <w:rPr>
                <w:rFonts w:eastAsiaTheme="minorEastAsia"/>
                <w:szCs w:val="21"/>
              </w:rPr>
            </w:pPr>
            <w:r w:rsidRPr="00FC1444">
              <w:rPr>
                <w:rFonts w:eastAsiaTheme="minorEastAsia"/>
                <w:szCs w:val="21"/>
              </w:rPr>
              <w:t>水质、水位</w:t>
            </w:r>
          </w:p>
        </w:tc>
        <w:tc>
          <w:tcPr>
            <w:tcW w:w="942" w:type="dxa"/>
            <w:vAlign w:val="center"/>
          </w:tcPr>
          <w:p w:rsidR="00CF5EBD" w:rsidRPr="00FC1444" w:rsidRDefault="00CF5EBD" w:rsidP="00CF5EBD">
            <w:pPr>
              <w:jc w:val="center"/>
              <w:rPr>
                <w:rFonts w:eastAsiaTheme="minorEastAsia"/>
                <w:szCs w:val="21"/>
              </w:rPr>
            </w:pPr>
            <w:r w:rsidRPr="00FC1444">
              <w:rPr>
                <w:rFonts w:eastAsiaTheme="minorEastAsia"/>
                <w:szCs w:val="21"/>
              </w:rPr>
              <w:t>灌溉</w:t>
            </w:r>
          </w:p>
        </w:tc>
        <w:tc>
          <w:tcPr>
            <w:tcW w:w="1344" w:type="dxa"/>
            <w:vAlign w:val="center"/>
          </w:tcPr>
          <w:p w:rsidR="00CF5EBD" w:rsidRPr="00FC1444" w:rsidRDefault="00CF5EBD" w:rsidP="00CF5EBD">
            <w:pPr>
              <w:spacing w:line="360" w:lineRule="auto"/>
              <w:jc w:val="center"/>
              <w:rPr>
                <w:rFonts w:eastAsiaTheme="minorEastAsia"/>
                <w:kern w:val="0"/>
                <w:szCs w:val="21"/>
              </w:rPr>
            </w:pPr>
            <w:r w:rsidRPr="00FC1444">
              <w:rPr>
                <w:rFonts w:eastAsiaTheme="minorEastAsia"/>
                <w:szCs w:val="21"/>
              </w:rPr>
              <w:t>潜层</w:t>
            </w:r>
          </w:p>
        </w:tc>
        <w:tc>
          <w:tcPr>
            <w:tcW w:w="1165" w:type="dxa"/>
            <w:tcBorders>
              <w:right w:val="single" w:sz="2" w:space="0" w:color="auto"/>
            </w:tcBorders>
            <w:vAlign w:val="center"/>
          </w:tcPr>
          <w:p w:rsidR="00CF5EBD" w:rsidRPr="00FC1444" w:rsidRDefault="00CF5EBD" w:rsidP="00905865">
            <w:pPr>
              <w:spacing w:line="360" w:lineRule="auto"/>
              <w:jc w:val="center"/>
              <w:rPr>
                <w:rFonts w:eastAsiaTheme="minorEastAsia"/>
                <w:kern w:val="0"/>
                <w:szCs w:val="21"/>
              </w:rPr>
            </w:pPr>
            <w:r w:rsidRPr="00FC1444">
              <w:rPr>
                <w:rFonts w:eastAsiaTheme="minorEastAsia"/>
                <w:kern w:val="0"/>
                <w:szCs w:val="21"/>
              </w:rPr>
              <w:t>1</w:t>
            </w:r>
            <w:r w:rsidR="00905865" w:rsidRPr="00FC1444">
              <w:rPr>
                <w:rFonts w:eastAsiaTheme="minorEastAsia" w:hint="eastAsia"/>
                <w:kern w:val="0"/>
                <w:szCs w:val="21"/>
              </w:rPr>
              <w:t>5</w:t>
            </w:r>
            <w:r w:rsidRPr="00FC1444">
              <w:rPr>
                <w:rFonts w:eastAsiaTheme="minorEastAsia"/>
                <w:kern w:val="0"/>
                <w:szCs w:val="21"/>
              </w:rPr>
              <w:t>9.5</w:t>
            </w:r>
          </w:p>
        </w:tc>
        <w:tc>
          <w:tcPr>
            <w:tcW w:w="1085" w:type="dxa"/>
            <w:tcBorders>
              <w:left w:val="single" w:sz="2" w:space="0" w:color="auto"/>
            </w:tcBorders>
            <w:vAlign w:val="center"/>
          </w:tcPr>
          <w:p w:rsidR="00CF5EBD" w:rsidRPr="00FC1444" w:rsidRDefault="00CF5EBD" w:rsidP="00093610">
            <w:pPr>
              <w:jc w:val="center"/>
              <w:rPr>
                <w:rFonts w:eastAsiaTheme="minorEastAsia"/>
                <w:szCs w:val="21"/>
              </w:rPr>
            </w:pPr>
            <w:r w:rsidRPr="00FC1444">
              <w:rPr>
                <w:rFonts w:eastAsiaTheme="minorEastAsia"/>
                <w:szCs w:val="21"/>
              </w:rPr>
              <w:t>1</w:t>
            </w:r>
            <w:r w:rsidR="00093610" w:rsidRPr="00FC1444">
              <w:rPr>
                <w:rFonts w:eastAsiaTheme="minorEastAsia" w:hint="eastAsia"/>
                <w:szCs w:val="21"/>
              </w:rPr>
              <w:t>6</w:t>
            </w:r>
          </w:p>
        </w:tc>
      </w:tr>
      <w:tr w:rsidR="00CF5EBD" w:rsidRPr="00FC1444" w:rsidTr="00CF5EBD">
        <w:trPr>
          <w:trHeight w:val="71"/>
          <w:jc w:val="center"/>
        </w:trPr>
        <w:tc>
          <w:tcPr>
            <w:tcW w:w="686" w:type="dxa"/>
            <w:vAlign w:val="center"/>
          </w:tcPr>
          <w:p w:rsidR="00CF5EBD" w:rsidRPr="00FC1444" w:rsidRDefault="00CF5EBD" w:rsidP="00CF5EBD">
            <w:pPr>
              <w:jc w:val="center"/>
              <w:rPr>
                <w:rFonts w:eastAsiaTheme="minorEastAsia"/>
                <w:szCs w:val="21"/>
              </w:rPr>
            </w:pPr>
            <w:r w:rsidRPr="00FC1444">
              <w:rPr>
                <w:rFonts w:eastAsiaTheme="minorEastAsia"/>
                <w:szCs w:val="21"/>
              </w:rPr>
              <w:t>5</w:t>
            </w:r>
          </w:p>
        </w:tc>
        <w:tc>
          <w:tcPr>
            <w:tcW w:w="1933" w:type="dxa"/>
            <w:vAlign w:val="center"/>
          </w:tcPr>
          <w:p w:rsidR="00CF5EBD" w:rsidRPr="00FC1444" w:rsidRDefault="00CF5EBD" w:rsidP="00CF5EBD">
            <w:pPr>
              <w:jc w:val="center"/>
              <w:rPr>
                <w:rFonts w:eastAsiaTheme="minorEastAsia"/>
                <w:szCs w:val="21"/>
              </w:rPr>
            </w:pPr>
            <w:r w:rsidRPr="00FC1444">
              <w:rPr>
                <w:rFonts w:eastAsiaTheme="minorEastAsia"/>
                <w:szCs w:val="21"/>
              </w:rPr>
              <w:t>左侧监测孔</w:t>
            </w:r>
            <w:r w:rsidRPr="00FC1444">
              <w:rPr>
                <w:rFonts w:ascii="宋体" w:hAnsi="宋体" w:cs="宋体" w:hint="eastAsia"/>
                <w:szCs w:val="21"/>
              </w:rPr>
              <w:t>☆</w:t>
            </w:r>
            <w:r w:rsidRPr="00FC1444">
              <w:rPr>
                <w:rFonts w:eastAsiaTheme="minorEastAsia"/>
                <w:szCs w:val="21"/>
              </w:rPr>
              <w:t>05</w:t>
            </w:r>
          </w:p>
        </w:tc>
        <w:tc>
          <w:tcPr>
            <w:tcW w:w="1367" w:type="dxa"/>
            <w:vAlign w:val="center"/>
          </w:tcPr>
          <w:p w:rsidR="00CF5EBD" w:rsidRPr="00FC1444" w:rsidRDefault="00CF5EBD" w:rsidP="00CF5EBD">
            <w:pPr>
              <w:jc w:val="center"/>
              <w:rPr>
                <w:rFonts w:eastAsiaTheme="minorEastAsia"/>
                <w:szCs w:val="21"/>
              </w:rPr>
            </w:pPr>
            <w:r w:rsidRPr="00FC1444">
              <w:rPr>
                <w:rFonts w:eastAsiaTheme="minorEastAsia"/>
                <w:szCs w:val="21"/>
              </w:rPr>
              <w:t>水位</w:t>
            </w:r>
          </w:p>
        </w:tc>
        <w:tc>
          <w:tcPr>
            <w:tcW w:w="942" w:type="dxa"/>
            <w:vAlign w:val="center"/>
          </w:tcPr>
          <w:p w:rsidR="00CF5EBD" w:rsidRPr="00FC1444" w:rsidRDefault="00CF5EBD" w:rsidP="00CF5EBD">
            <w:pPr>
              <w:jc w:val="center"/>
              <w:rPr>
                <w:rFonts w:eastAsiaTheme="minorEastAsia"/>
                <w:szCs w:val="21"/>
              </w:rPr>
            </w:pPr>
            <w:r w:rsidRPr="00FC1444">
              <w:rPr>
                <w:rFonts w:eastAsiaTheme="minorEastAsia"/>
                <w:szCs w:val="21"/>
              </w:rPr>
              <w:t>灌溉</w:t>
            </w:r>
          </w:p>
        </w:tc>
        <w:tc>
          <w:tcPr>
            <w:tcW w:w="1344" w:type="dxa"/>
            <w:vAlign w:val="center"/>
          </w:tcPr>
          <w:p w:rsidR="00CF5EBD" w:rsidRPr="00FC1444" w:rsidRDefault="00CF5EBD" w:rsidP="00CF5EBD">
            <w:pPr>
              <w:spacing w:line="360" w:lineRule="auto"/>
              <w:jc w:val="center"/>
              <w:rPr>
                <w:rFonts w:eastAsiaTheme="minorEastAsia"/>
                <w:kern w:val="0"/>
                <w:szCs w:val="21"/>
              </w:rPr>
            </w:pPr>
            <w:r w:rsidRPr="00FC1444">
              <w:rPr>
                <w:rFonts w:eastAsiaTheme="minorEastAsia"/>
                <w:szCs w:val="21"/>
              </w:rPr>
              <w:t>潜层</w:t>
            </w:r>
          </w:p>
        </w:tc>
        <w:tc>
          <w:tcPr>
            <w:tcW w:w="1165" w:type="dxa"/>
            <w:tcBorders>
              <w:right w:val="single" w:sz="2" w:space="0" w:color="auto"/>
            </w:tcBorders>
            <w:vAlign w:val="center"/>
          </w:tcPr>
          <w:p w:rsidR="00CF5EBD" w:rsidRPr="00FC1444" w:rsidRDefault="00CF5EBD" w:rsidP="00905865">
            <w:pPr>
              <w:spacing w:line="360" w:lineRule="auto"/>
              <w:jc w:val="center"/>
              <w:rPr>
                <w:rFonts w:eastAsiaTheme="minorEastAsia"/>
                <w:kern w:val="0"/>
                <w:szCs w:val="21"/>
              </w:rPr>
            </w:pPr>
            <w:r w:rsidRPr="00FC1444">
              <w:rPr>
                <w:rFonts w:eastAsiaTheme="minorEastAsia"/>
                <w:kern w:val="0"/>
                <w:szCs w:val="21"/>
              </w:rPr>
              <w:t>1</w:t>
            </w:r>
            <w:r w:rsidR="00905865" w:rsidRPr="00FC1444">
              <w:rPr>
                <w:rFonts w:eastAsiaTheme="minorEastAsia" w:hint="eastAsia"/>
                <w:kern w:val="0"/>
                <w:szCs w:val="21"/>
              </w:rPr>
              <w:t>5</w:t>
            </w:r>
            <w:r w:rsidRPr="00FC1444">
              <w:rPr>
                <w:rFonts w:eastAsiaTheme="minorEastAsia"/>
                <w:kern w:val="0"/>
                <w:szCs w:val="21"/>
              </w:rPr>
              <w:t>5.5</w:t>
            </w:r>
          </w:p>
        </w:tc>
        <w:tc>
          <w:tcPr>
            <w:tcW w:w="1085" w:type="dxa"/>
            <w:tcBorders>
              <w:left w:val="single" w:sz="2" w:space="0" w:color="auto"/>
            </w:tcBorders>
            <w:vAlign w:val="center"/>
          </w:tcPr>
          <w:p w:rsidR="00CF5EBD" w:rsidRPr="00FC1444" w:rsidRDefault="00CF5EBD" w:rsidP="00CF5EBD">
            <w:pPr>
              <w:jc w:val="center"/>
              <w:rPr>
                <w:rFonts w:eastAsiaTheme="minorEastAsia"/>
                <w:szCs w:val="21"/>
              </w:rPr>
            </w:pPr>
            <w:r w:rsidRPr="00FC1444">
              <w:rPr>
                <w:rFonts w:eastAsiaTheme="minorEastAsia"/>
                <w:szCs w:val="21"/>
              </w:rPr>
              <w:t>18</w:t>
            </w:r>
          </w:p>
        </w:tc>
      </w:tr>
      <w:tr w:rsidR="00CF5EBD" w:rsidRPr="00FC1444" w:rsidTr="00CF5EBD">
        <w:trPr>
          <w:trHeight w:val="71"/>
          <w:jc w:val="center"/>
        </w:trPr>
        <w:tc>
          <w:tcPr>
            <w:tcW w:w="686" w:type="dxa"/>
            <w:vAlign w:val="center"/>
          </w:tcPr>
          <w:p w:rsidR="00CF5EBD" w:rsidRPr="00FC1444" w:rsidRDefault="00CF5EBD" w:rsidP="00CF5EBD">
            <w:pPr>
              <w:jc w:val="center"/>
              <w:rPr>
                <w:rFonts w:eastAsiaTheme="minorEastAsia"/>
                <w:szCs w:val="21"/>
              </w:rPr>
            </w:pPr>
            <w:r w:rsidRPr="00FC1444">
              <w:rPr>
                <w:rFonts w:eastAsiaTheme="minorEastAsia"/>
                <w:szCs w:val="21"/>
              </w:rPr>
              <w:t>6</w:t>
            </w:r>
          </w:p>
        </w:tc>
        <w:tc>
          <w:tcPr>
            <w:tcW w:w="1933" w:type="dxa"/>
            <w:vAlign w:val="center"/>
          </w:tcPr>
          <w:p w:rsidR="00CF5EBD" w:rsidRPr="00FC1444" w:rsidRDefault="00CF5EBD" w:rsidP="00CF5EBD">
            <w:pPr>
              <w:jc w:val="center"/>
              <w:rPr>
                <w:rFonts w:eastAsiaTheme="minorEastAsia"/>
                <w:szCs w:val="21"/>
              </w:rPr>
            </w:pPr>
            <w:r w:rsidRPr="00FC1444">
              <w:rPr>
                <w:rFonts w:eastAsiaTheme="minorEastAsia"/>
                <w:szCs w:val="21"/>
              </w:rPr>
              <w:t>下游监测孔</w:t>
            </w:r>
            <w:r w:rsidRPr="00FC1444">
              <w:rPr>
                <w:rFonts w:ascii="宋体" w:hAnsi="宋体" w:cs="宋体" w:hint="eastAsia"/>
                <w:szCs w:val="21"/>
              </w:rPr>
              <w:t>☆</w:t>
            </w:r>
            <w:r w:rsidRPr="00FC1444">
              <w:rPr>
                <w:rFonts w:eastAsiaTheme="minorEastAsia"/>
                <w:szCs w:val="21"/>
              </w:rPr>
              <w:t>06</w:t>
            </w:r>
          </w:p>
        </w:tc>
        <w:tc>
          <w:tcPr>
            <w:tcW w:w="1367" w:type="dxa"/>
            <w:vAlign w:val="center"/>
          </w:tcPr>
          <w:p w:rsidR="00CF5EBD" w:rsidRPr="00FC1444" w:rsidRDefault="00CF5EBD" w:rsidP="00CF5EBD">
            <w:pPr>
              <w:jc w:val="center"/>
              <w:rPr>
                <w:rFonts w:eastAsiaTheme="minorEastAsia"/>
                <w:szCs w:val="21"/>
              </w:rPr>
            </w:pPr>
            <w:r w:rsidRPr="00FC1444">
              <w:rPr>
                <w:rFonts w:eastAsiaTheme="minorEastAsia"/>
                <w:szCs w:val="21"/>
              </w:rPr>
              <w:t>水位</w:t>
            </w:r>
          </w:p>
        </w:tc>
        <w:tc>
          <w:tcPr>
            <w:tcW w:w="942" w:type="dxa"/>
            <w:vAlign w:val="center"/>
          </w:tcPr>
          <w:p w:rsidR="00CF5EBD" w:rsidRPr="00FC1444" w:rsidRDefault="00CF5EBD" w:rsidP="00CF5EBD">
            <w:pPr>
              <w:jc w:val="center"/>
              <w:rPr>
                <w:rFonts w:eastAsiaTheme="minorEastAsia"/>
                <w:szCs w:val="21"/>
              </w:rPr>
            </w:pPr>
            <w:r w:rsidRPr="00FC1444">
              <w:rPr>
                <w:rFonts w:eastAsiaTheme="minorEastAsia"/>
                <w:szCs w:val="21"/>
              </w:rPr>
              <w:t>灌溉</w:t>
            </w:r>
          </w:p>
        </w:tc>
        <w:tc>
          <w:tcPr>
            <w:tcW w:w="1344" w:type="dxa"/>
            <w:vAlign w:val="center"/>
          </w:tcPr>
          <w:p w:rsidR="00CF5EBD" w:rsidRPr="00FC1444" w:rsidRDefault="00CF5EBD" w:rsidP="00CF5EBD">
            <w:pPr>
              <w:spacing w:line="360" w:lineRule="auto"/>
              <w:jc w:val="center"/>
              <w:rPr>
                <w:rFonts w:eastAsiaTheme="minorEastAsia"/>
                <w:kern w:val="0"/>
                <w:szCs w:val="21"/>
              </w:rPr>
            </w:pPr>
            <w:r w:rsidRPr="00FC1444">
              <w:rPr>
                <w:rFonts w:eastAsiaTheme="minorEastAsia"/>
                <w:szCs w:val="21"/>
              </w:rPr>
              <w:t>潜层</w:t>
            </w:r>
          </w:p>
        </w:tc>
        <w:tc>
          <w:tcPr>
            <w:tcW w:w="1165" w:type="dxa"/>
            <w:tcBorders>
              <w:right w:val="single" w:sz="2" w:space="0" w:color="auto"/>
            </w:tcBorders>
            <w:vAlign w:val="center"/>
          </w:tcPr>
          <w:p w:rsidR="00CF5EBD" w:rsidRPr="00FC1444" w:rsidRDefault="00CF5EBD" w:rsidP="00905865">
            <w:pPr>
              <w:spacing w:line="360" w:lineRule="auto"/>
              <w:jc w:val="center"/>
              <w:rPr>
                <w:rFonts w:eastAsiaTheme="minorEastAsia"/>
                <w:kern w:val="0"/>
                <w:szCs w:val="21"/>
              </w:rPr>
            </w:pPr>
            <w:r w:rsidRPr="00FC1444">
              <w:rPr>
                <w:rFonts w:eastAsiaTheme="minorEastAsia"/>
                <w:kern w:val="0"/>
                <w:szCs w:val="21"/>
              </w:rPr>
              <w:t>1</w:t>
            </w:r>
            <w:r w:rsidR="00905865" w:rsidRPr="00FC1444">
              <w:rPr>
                <w:rFonts w:eastAsiaTheme="minorEastAsia" w:hint="eastAsia"/>
                <w:kern w:val="0"/>
                <w:szCs w:val="21"/>
              </w:rPr>
              <w:t>4</w:t>
            </w:r>
            <w:r w:rsidRPr="00FC1444">
              <w:rPr>
                <w:rFonts w:eastAsiaTheme="minorEastAsia"/>
                <w:kern w:val="0"/>
                <w:szCs w:val="21"/>
              </w:rPr>
              <w:t>8.2</w:t>
            </w:r>
          </w:p>
        </w:tc>
        <w:tc>
          <w:tcPr>
            <w:tcW w:w="1085" w:type="dxa"/>
            <w:tcBorders>
              <w:left w:val="single" w:sz="2" w:space="0" w:color="auto"/>
            </w:tcBorders>
            <w:vAlign w:val="center"/>
          </w:tcPr>
          <w:p w:rsidR="00CF5EBD" w:rsidRPr="00FC1444" w:rsidRDefault="00CF5EBD" w:rsidP="00CF5EBD">
            <w:pPr>
              <w:jc w:val="center"/>
              <w:rPr>
                <w:rFonts w:eastAsiaTheme="minorEastAsia"/>
                <w:szCs w:val="21"/>
              </w:rPr>
            </w:pPr>
            <w:r w:rsidRPr="00FC1444">
              <w:rPr>
                <w:rFonts w:eastAsiaTheme="minorEastAsia"/>
                <w:szCs w:val="21"/>
              </w:rPr>
              <w:t>30</w:t>
            </w:r>
          </w:p>
        </w:tc>
      </w:tr>
      <w:tr w:rsidR="00CF5EBD" w:rsidRPr="00FC1444" w:rsidTr="00CF5EBD">
        <w:trPr>
          <w:trHeight w:val="71"/>
          <w:jc w:val="center"/>
        </w:trPr>
        <w:tc>
          <w:tcPr>
            <w:tcW w:w="686" w:type="dxa"/>
            <w:vAlign w:val="center"/>
          </w:tcPr>
          <w:p w:rsidR="00CF5EBD" w:rsidRPr="00FC1444" w:rsidRDefault="00CF5EBD" w:rsidP="00CF5EBD">
            <w:pPr>
              <w:jc w:val="center"/>
              <w:rPr>
                <w:rFonts w:eastAsiaTheme="minorEastAsia"/>
                <w:szCs w:val="21"/>
              </w:rPr>
            </w:pPr>
            <w:r w:rsidRPr="00FC1444">
              <w:rPr>
                <w:rFonts w:eastAsiaTheme="minorEastAsia"/>
                <w:szCs w:val="21"/>
              </w:rPr>
              <w:t>7</w:t>
            </w:r>
          </w:p>
        </w:tc>
        <w:tc>
          <w:tcPr>
            <w:tcW w:w="1933" w:type="dxa"/>
            <w:vAlign w:val="center"/>
          </w:tcPr>
          <w:p w:rsidR="00CF5EBD" w:rsidRPr="00FC1444" w:rsidRDefault="00CF5EBD" w:rsidP="00CF5EBD">
            <w:pPr>
              <w:jc w:val="center"/>
              <w:rPr>
                <w:rFonts w:eastAsiaTheme="minorEastAsia"/>
                <w:szCs w:val="21"/>
              </w:rPr>
            </w:pPr>
            <w:r w:rsidRPr="00FC1444">
              <w:rPr>
                <w:rFonts w:eastAsiaTheme="minorEastAsia"/>
                <w:szCs w:val="21"/>
              </w:rPr>
              <w:t>左侧监测孔</w:t>
            </w:r>
            <w:r w:rsidRPr="00FC1444">
              <w:rPr>
                <w:rFonts w:ascii="宋体" w:hAnsi="宋体" w:cs="宋体" w:hint="eastAsia"/>
                <w:szCs w:val="21"/>
              </w:rPr>
              <w:t>☆</w:t>
            </w:r>
            <w:r w:rsidRPr="00FC1444">
              <w:rPr>
                <w:rFonts w:eastAsiaTheme="minorEastAsia"/>
                <w:szCs w:val="21"/>
              </w:rPr>
              <w:t>07</w:t>
            </w:r>
          </w:p>
        </w:tc>
        <w:tc>
          <w:tcPr>
            <w:tcW w:w="1367" w:type="dxa"/>
            <w:vAlign w:val="center"/>
          </w:tcPr>
          <w:p w:rsidR="00CF5EBD" w:rsidRPr="00FC1444" w:rsidRDefault="00CF5EBD" w:rsidP="00CF5EBD">
            <w:pPr>
              <w:jc w:val="center"/>
              <w:rPr>
                <w:rFonts w:eastAsiaTheme="minorEastAsia"/>
                <w:szCs w:val="21"/>
              </w:rPr>
            </w:pPr>
            <w:r w:rsidRPr="00FC1444">
              <w:rPr>
                <w:rFonts w:eastAsiaTheme="minorEastAsia"/>
                <w:szCs w:val="21"/>
              </w:rPr>
              <w:t>水位</w:t>
            </w:r>
          </w:p>
        </w:tc>
        <w:tc>
          <w:tcPr>
            <w:tcW w:w="942" w:type="dxa"/>
            <w:vAlign w:val="center"/>
          </w:tcPr>
          <w:p w:rsidR="00CF5EBD" w:rsidRPr="00FC1444" w:rsidRDefault="00CF5EBD" w:rsidP="00CF5EBD">
            <w:pPr>
              <w:jc w:val="center"/>
              <w:rPr>
                <w:rFonts w:eastAsiaTheme="minorEastAsia"/>
                <w:szCs w:val="21"/>
              </w:rPr>
            </w:pPr>
            <w:r w:rsidRPr="00FC1444">
              <w:rPr>
                <w:rFonts w:eastAsiaTheme="minorEastAsia"/>
                <w:szCs w:val="21"/>
              </w:rPr>
              <w:t>灌溉</w:t>
            </w:r>
          </w:p>
        </w:tc>
        <w:tc>
          <w:tcPr>
            <w:tcW w:w="1344" w:type="dxa"/>
            <w:vAlign w:val="center"/>
          </w:tcPr>
          <w:p w:rsidR="00CF5EBD" w:rsidRPr="00FC1444" w:rsidRDefault="00CF5EBD" w:rsidP="00CF5EBD">
            <w:pPr>
              <w:spacing w:line="360" w:lineRule="auto"/>
              <w:jc w:val="center"/>
              <w:rPr>
                <w:rFonts w:eastAsiaTheme="minorEastAsia"/>
                <w:kern w:val="0"/>
                <w:szCs w:val="21"/>
              </w:rPr>
            </w:pPr>
            <w:r w:rsidRPr="00FC1444">
              <w:rPr>
                <w:rFonts w:eastAsiaTheme="minorEastAsia"/>
                <w:szCs w:val="21"/>
              </w:rPr>
              <w:t>潜层</w:t>
            </w:r>
          </w:p>
        </w:tc>
        <w:tc>
          <w:tcPr>
            <w:tcW w:w="1165" w:type="dxa"/>
            <w:tcBorders>
              <w:right w:val="single" w:sz="2" w:space="0" w:color="auto"/>
            </w:tcBorders>
            <w:vAlign w:val="center"/>
          </w:tcPr>
          <w:p w:rsidR="00CF5EBD" w:rsidRPr="00FC1444" w:rsidRDefault="00CF5EBD" w:rsidP="00905865">
            <w:pPr>
              <w:spacing w:line="360" w:lineRule="auto"/>
              <w:jc w:val="center"/>
              <w:rPr>
                <w:rFonts w:eastAsiaTheme="minorEastAsia"/>
                <w:kern w:val="0"/>
                <w:szCs w:val="21"/>
              </w:rPr>
            </w:pPr>
            <w:r w:rsidRPr="00FC1444">
              <w:rPr>
                <w:rFonts w:eastAsiaTheme="minorEastAsia"/>
                <w:kern w:val="0"/>
                <w:szCs w:val="21"/>
              </w:rPr>
              <w:t>1</w:t>
            </w:r>
            <w:r w:rsidR="00905865" w:rsidRPr="00FC1444">
              <w:rPr>
                <w:rFonts w:eastAsiaTheme="minorEastAsia" w:hint="eastAsia"/>
                <w:kern w:val="0"/>
                <w:szCs w:val="21"/>
              </w:rPr>
              <w:t>5</w:t>
            </w:r>
            <w:r w:rsidRPr="00FC1444">
              <w:rPr>
                <w:rFonts w:eastAsiaTheme="minorEastAsia"/>
                <w:kern w:val="0"/>
                <w:szCs w:val="21"/>
              </w:rPr>
              <w:t>9.8</w:t>
            </w:r>
          </w:p>
        </w:tc>
        <w:tc>
          <w:tcPr>
            <w:tcW w:w="1085" w:type="dxa"/>
            <w:tcBorders>
              <w:left w:val="single" w:sz="2" w:space="0" w:color="auto"/>
            </w:tcBorders>
            <w:vAlign w:val="center"/>
          </w:tcPr>
          <w:p w:rsidR="00CF5EBD" w:rsidRPr="00FC1444" w:rsidRDefault="00CF5EBD" w:rsidP="00CF5EBD">
            <w:pPr>
              <w:jc w:val="center"/>
              <w:rPr>
                <w:rFonts w:eastAsiaTheme="minorEastAsia"/>
                <w:szCs w:val="21"/>
              </w:rPr>
            </w:pPr>
            <w:r w:rsidRPr="00FC1444">
              <w:rPr>
                <w:rFonts w:eastAsiaTheme="minorEastAsia"/>
                <w:szCs w:val="21"/>
              </w:rPr>
              <w:t>20</w:t>
            </w:r>
          </w:p>
        </w:tc>
      </w:tr>
      <w:tr w:rsidR="00CF5EBD" w:rsidRPr="00FC1444" w:rsidTr="00CF5EBD">
        <w:trPr>
          <w:trHeight w:val="71"/>
          <w:jc w:val="center"/>
        </w:trPr>
        <w:tc>
          <w:tcPr>
            <w:tcW w:w="686" w:type="dxa"/>
            <w:vAlign w:val="center"/>
          </w:tcPr>
          <w:p w:rsidR="00CF5EBD" w:rsidRPr="00FC1444" w:rsidRDefault="00CF5EBD" w:rsidP="00CF5EBD">
            <w:pPr>
              <w:jc w:val="center"/>
              <w:rPr>
                <w:rFonts w:eastAsiaTheme="minorEastAsia"/>
                <w:szCs w:val="21"/>
              </w:rPr>
            </w:pPr>
            <w:r w:rsidRPr="00FC1444">
              <w:rPr>
                <w:rFonts w:eastAsiaTheme="minorEastAsia"/>
                <w:szCs w:val="21"/>
              </w:rPr>
              <w:t>8</w:t>
            </w:r>
          </w:p>
        </w:tc>
        <w:tc>
          <w:tcPr>
            <w:tcW w:w="1933" w:type="dxa"/>
            <w:vAlign w:val="center"/>
          </w:tcPr>
          <w:p w:rsidR="00CF5EBD" w:rsidRPr="00FC1444" w:rsidRDefault="00CF5EBD" w:rsidP="00CF5EBD">
            <w:pPr>
              <w:jc w:val="center"/>
              <w:rPr>
                <w:rFonts w:eastAsiaTheme="minorEastAsia"/>
                <w:szCs w:val="21"/>
              </w:rPr>
            </w:pPr>
            <w:r w:rsidRPr="00FC1444">
              <w:rPr>
                <w:rFonts w:eastAsiaTheme="minorEastAsia"/>
                <w:szCs w:val="21"/>
              </w:rPr>
              <w:t>上游监测孔</w:t>
            </w:r>
            <w:r w:rsidRPr="00FC1444">
              <w:rPr>
                <w:rFonts w:ascii="宋体" w:hAnsi="宋体" w:cs="宋体" w:hint="eastAsia"/>
                <w:szCs w:val="21"/>
              </w:rPr>
              <w:t>☆</w:t>
            </w:r>
            <w:r w:rsidRPr="00FC1444">
              <w:rPr>
                <w:rFonts w:eastAsiaTheme="minorEastAsia"/>
                <w:szCs w:val="21"/>
              </w:rPr>
              <w:t>08</w:t>
            </w:r>
          </w:p>
        </w:tc>
        <w:tc>
          <w:tcPr>
            <w:tcW w:w="1367" w:type="dxa"/>
            <w:vAlign w:val="center"/>
          </w:tcPr>
          <w:p w:rsidR="00CF5EBD" w:rsidRPr="00FC1444" w:rsidRDefault="00CF5EBD" w:rsidP="00CF5EBD">
            <w:pPr>
              <w:jc w:val="center"/>
              <w:rPr>
                <w:rFonts w:eastAsiaTheme="minorEastAsia"/>
                <w:szCs w:val="21"/>
              </w:rPr>
            </w:pPr>
            <w:r w:rsidRPr="00FC1444">
              <w:rPr>
                <w:rFonts w:eastAsiaTheme="minorEastAsia"/>
                <w:szCs w:val="21"/>
              </w:rPr>
              <w:t>水位</w:t>
            </w:r>
          </w:p>
        </w:tc>
        <w:tc>
          <w:tcPr>
            <w:tcW w:w="942" w:type="dxa"/>
            <w:vAlign w:val="center"/>
          </w:tcPr>
          <w:p w:rsidR="00CF5EBD" w:rsidRPr="00FC1444" w:rsidRDefault="00CF5EBD" w:rsidP="00CF5EBD">
            <w:pPr>
              <w:jc w:val="center"/>
              <w:rPr>
                <w:rFonts w:eastAsiaTheme="minorEastAsia"/>
                <w:szCs w:val="21"/>
              </w:rPr>
            </w:pPr>
            <w:r w:rsidRPr="00FC1444">
              <w:rPr>
                <w:rFonts w:eastAsiaTheme="minorEastAsia"/>
                <w:szCs w:val="21"/>
              </w:rPr>
              <w:t>灌溉</w:t>
            </w:r>
          </w:p>
        </w:tc>
        <w:tc>
          <w:tcPr>
            <w:tcW w:w="1344" w:type="dxa"/>
            <w:vAlign w:val="center"/>
          </w:tcPr>
          <w:p w:rsidR="00CF5EBD" w:rsidRPr="00FC1444" w:rsidRDefault="00CF5EBD" w:rsidP="00CF5EBD">
            <w:pPr>
              <w:spacing w:line="360" w:lineRule="auto"/>
              <w:jc w:val="center"/>
              <w:rPr>
                <w:rFonts w:eastAsiaTheme="minorEastAsia"/>
                <w:kern w:val="0"/>
                <w:szCs w:val="21"/>
              </w:rPr>
            </w:pPr>
            <w:r w:rsidRPr="00FC1444">
              <w:rPr>
                <w:rFonts w:eastAsiaTheme="minorEastAsia"/>
                <w:szCs w:val="21"/>
              </w:rPr>
              <w:t>潜层</w:t>
            </w:r>
          </w:p>
        </w:tc>
        <w:tc>
          <w:tcPr>
            <w:tcW w:w="1165" w:type="dxa"/>
            <w:tcBorders>
              <w:right w:val="single" w:sz="2" w:space="0" w:color="auto"/>
            </w:tcBorders>
            <w:vAlign w:val="center"/>
          </w:tcPr>
          <w:p w:rsidR="00CF5EBD" w:rsidRPr="00FC1444" w:rsidRDefault="00CF5EBD" w:rsidP="00905865">
            <w:pPr>
              <w:spacing w:line="360" w:lineRule="auto"/>
              <w:jc w:val="center"/>
              <w:rPr>
                <w:rFonts w:eastAsiaTheme="minorEastAsia"/>
                <w:kern w:val="0"/>
                <w:szCs w:val="21"/>
              </w:rPr>
            </w:pPr>
            <w:r w:rsidRPr="00FC1444">
              <w:rPr>
                <w:rFonts w:eastAsiaTheme="minorEastAsia"/>
                <w:kern w:val="0"/>
                <w:szCs w:val="21"/>
              </w:rPr>
              <w:t>1</w:t>
            </w:r>
            <w:r w:rsidR="00905865" w:rsidRPr="00FC1444">
              <w:rPr>
                <w:rFonts w:eastAsiaTheme="minorEastAsia" w:hint="eastAsia"/>
                <w:kern w:val="0"/>
                <w:szCs w:val="21"/>
              </w:rPr>
              <w:t>6</w:t>
            </w:r>
            <w:r w:rsidRPr="00FC1444">
              <w:rPr>
                <w:rFonts w:eastAsiaTheme="minorEastAsia"/>
                <w:kern w:val="0"/>
                <w:szCs w:val="21"/>
              </w:rPr>
              <w:t>0.</w:t>
            </w:r>
            <w:r w:rsidR="00963A73" w:rsidRPr="00FC1444">
              <w:rPr>
                <w:rFonts w:eastAsiaTheme="minorEastAsia" w:hint="eastAsia"/>
                <w:kern w:val="0"/>
                <w:szCs w:val="21"/>
              </w:rPr>
              <w:t>5</w:t>
            </w:r>
          </w:p>
        </w:tc>
        <w:tc>
          <w:tcPr>
            <w:tcW w:w="1085" w:type="dxa"/>
            <w:tcBorders>
              <w:left w:val="single" w:sz="2" w:space="0" w:color="auto"/>
            </w:tcBorders>
            <w:vAlign w:val="center"/>
          </w:tcPr>
          <w:p w:rsidR="00CF5EBD" w:rsidRPr="00FC1444" w:rsidRDefault="00CF5EBD" w:rsidP="00093610">
            <w:pPr>
              <w:jc w:val="center"/>
              <w:rPr>
                <w:rFonts w:eastAsiaTheme="minorEastAsia"/>
                <w:szCs w:val="21"/>
              </w:rPr>
            </w:pPr>
            <w:r w:rsidRPr="00FC1444">
              <w:rPr>
                <w:rFonts w:eastAsiaTheme="minorEastAsia"/>
                <w:szCs w:val="21"/>
              </w:rPr>
              <w:t>1</w:t>
            </w:r>
            <w:r w:rsidR="00093610" w:rsidRPr="00FC1444">
              <w:rPr>
                <w:rFonts w:eastAsiaTheme="minorEastAsia" w:hint="eastAsia"/>
                <w:szCs w:val="21"/>
              </w:rPr>
              <w:t>5</w:t>
            </w:r>
          </w:p>
        </w:tc>
      </w:tr>
    </w:tbl>
    <w:p w:rsidR="002A5A5E" w:rsidRPr="00FC1444" w:rsidRDefault="006D4646" w:rsidP="006364CE">
      <w:pPr>
        <w:spacing w:line="0" w:lineRule="atLeast"/>
        <w:jc w:val="center"/>
        <w:rPr>
          <w:rFonts w:eastAsiaTheme="minorEastAsia"/>
        </w:rPr>
      </w:pPr>
      <w:r w:rsidRPr="00FC1444">
        <w:rPr>
          <w:rFonts w:eastAsiaTheme="minorEastAsia"/>
          <w:noProof/>
        </w:rPr>
        <w:lastRenderedPageBreak/>
        <w:drawing>
          <wp:inline distT="0" distB="0" distL="0" distR="0">
            <wp:extent cx="5248910" cy="4821555"/>
            <wp:effectExtent l="19050" t="19050" r="27940" b="17145"/>
            <wp:docPr id="67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2"/>
                    <a:srcRect/>
                    <a:stretch>
                      <a:fillRect/>
                    </a:stretch>
                  </pic:blipFill>
                  <pic:spPr bwMode="auto">
                    <a:xfrm>
                      <a:off x="0" y="0"/>
                      <a:ext cx="5248910" cy="4821555"/>
                    </a:xfrm>
                    <a:prstGeom prst="rect">
                      <a:avLst/>
                    </a:prstGeom>
                    <a:noFill/>
                    <a:ln w="9525">
                      <a:solidFill>
                        <a:schemeClr val="tx1"/>
                      </a:solidFill>
                      <a:miter lim="800000"/>
                      <a:headEnd/>
                      <a:tailEnd/>
                    </a:ln>
                  </pic:spPr>
                </pic:pic>
              </a:graphicData>
            </a:graphic>
          </wp:inline>
        </w:drawing>
      </w:r>
    </w:p>
    <w:p w:rsidR="002A5A5E" w:rsidRPr="00FC1444" w:rsidRDefault="00611CBA" w:rsidP="006364CE">
      <w:pPr>
        <w:spacing w:line="0" w:lineRule="atLeast"/>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4-2-</w:t>
      </w:r>
      <w:r w:rsidR="00F90B8B" w:rsidRPr="00FC1444">
        <w:rPr>
          <w:rFonts w:eastAsiaTheme="minorEastAsia" w:hint="eastAsia"/>
          <w:b/>
          <w:kern w:val="0"/>
          <w:szCs w:val="21"/>
        </w:rPr>
        <w:t>5</w:t>
      </w:r>
      <w:r w:rsidRPr="00FC1444">
        <w:rPr>
          <w:rFonts w:eastAsiaTheme="minorEastAsia"/>
          <w:b/>
          <w:kern w:val="0"/>
          <w:szCs w:val="21"/>
        </w:rPr>
        <w:t xml:space="preserve"> </w:t>
      </w:r>
      <w:r w:rsidRPr="00FC1444">
        <w:rPr>
          <w:rFonts w:eastAsiaTheme="minorEastAsia"/>
          <w:b/>
          <w:kern w:val="0"/>
          <w:szCs w:val="21"/>
        </w:rPr>
        <w:t>地下水监测点位</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3</w:t>
      </w:r>
      <w:r w:rsidRPr="00FC1444">
        <w:rPr>
          <w:rFonts w:eastAsiaTheme="minorEastAsia"/>
          <w:sz w:val="24"/>
        </w:rPr>
        <w:t>）监测因子</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基本因子：</w:t>
      </w:r>
      <w:r w:rsidRPr="00FC1444">
        <w:rPr>
          <w:rFonts w:eastAsiaTheme="minorEastAsia"/>
          <w:sz w:val="24"/>
        </w:rPr>
        <w:t>pH</w:t>
      </w:r>
      <w:r w:rsidRPr="00FC1444">
        <w:rPr>
          <w:rFonts w:eastAsiaTheme="minorEastAsia"/>
          <w:sz w:val="24"/>
        </w:rPr>
        <w:t>、总硬度、溶解性总固体、硫酸盐、氯化物、挥发酚、</w:t>
      </w:r>
      <w:r w:rsidR="00AE7C88" w:rsidRPr="00FC1444">
        <w:rPr>
          <w:rFonts w:eastAsiaTheme="minorEastAsia"/>
          <w:sz w:val="24"/>
        </w:rPr>
        <w:t>耗氧量</w:t>
      </w:r>
      <w:r w:rsidRPr="00FC1444">
        <w:rPr>
          <w:rFonts w:eastAsiaTheme="minorEastAsia"/>
          <w:sz w:val="24"/>
        </w:rPr>
        <w:t>、硝酸盐氮、亚硝酸盐氮、氨氮、六价铬、氟化物、氰化物、总大肠菌群、细菌总数、铁、锰、砷、汞、铅、镉共</w:t>
      </w:r>
      <w:r w:rsidRPr="00FC1444">
        <w:rPr>
          <w:rFonts w:eastAsiaTheme="minorEastAsia"/>
          <w:sz w:val="24"/>
        </w:rPr>
        <w:t>21</w:t>
      </w:r>
      <w:r w:rsidRPr="00FC1444">
        <w:rPr>
          <w:rFonts w:eastAsiaTheme="minorEastAsia"/>
          <w:sz w:val="24"/>
        </w:rPr>
        <w:t>项基本水质因子和</w:t>
      </w:r>
      <w:r w:rsidRPr="00FC1444">
        <w:rPr>
          <w:rFonts w:eastAsiaTheme="minorEastAsia"/>
          <w:sz w:val="24"/>
        </w:rPr>
        <w:t>K</w:t>
      </w:r>
      <w:r w:rsidRPr="00FC1444">
        <w:rPr>
          <w:rFonts w:eastAsiaTheme="minorEastAsia"/>
          <w:sz w:val="24"/>
          <w:vertAlign w:val="superscript"/>
        </w:rPr>
        <w:t>+</w:t>
      </w:r>
      <w:r w:rsidRPr="00FC1444">
        <w:rPr>
          <w:rFonts w:eastAsiaTheme="minorEastAsia"/>
          <w:sz w:val="24"/>
        </w:rPr>
        <w:t>、</w:t>
      </w:r>
      <w:r w:rsidRPr="00FC1444">
        <w:rPr>
          <w:rFonts w:eastAsiaTheme="minorEastAsia"/>
          <w:sz w:val="24"/>
        </w:rPr>
        <w:t>Na</w:t>
      </w:r>
      <w:r w:rsidRPr="00FC1444">
        <w:rPr>
          <w:rFonts w:eastAsiaTheme="minorEastAsia"/>
          <w:sz w:val="24"/>
          <w:vertAlign w:val="superscript"/>
        </w:rPr>
        <w:t>+</w:t>
      </w:r>
      <w:r w:rsidRPr="00FC1444">
        <w:rPr>
          <w:rFonts w:eastAsiaTheme="minorEastAsia"/>
          <w:sz w:val="24"/>
        </w:rPr>
        <w:t>、</w:t>
      </w:r>
      <w:r w:rsidRPr="00FC1444">
        <w:rPr>
          <w:rFonts w:eastAsiaTheme="minorEastAsia"/>
          <w:sz w:val="24"/>
        </w:rPr>
        <w:t>Ca</w:t>
      </w:r>
      <w:r w:rsidRPr="00FC1444">
        <w:rPr>
          <w:rFonts w:eastAsiaTheme="minorEastAsia"/>
          <w:sz w:val="24"/>
          <w:vertAlign w:val="superscript"/>
        </w:rPr>
        <w:t>+</w:t>
      </w:r>
      <w:r w:rsidRPr="00FC1444">
        <w:rPr>
          <w:rFonts w:eastAsiaTheme="minorEastAsia"/>
          <w:sz w:val="24"/>
        </w:rPr>
        <w:t>、</w:t>
      </w:r>
      <w:r w:rsidRPr="00FC1444">
        <w:rPr>
          <w:rFonts w:eastAsiaTheme="minorEastAsia"/>
          <w:sz w:val="24"/>
        </w:rPr>
        <w:t>Mg</w:t>
      </w:r>
      <w:r w:rsidRPr="00FC1444">
        <w:rPr>
          <w:rFonts w:eastAsiaTheme="minorEastAsia"/>
          <w:sz w:val="24"/>
          <w:vertAlign w:val="superscript"/>
        </w:rPr>
        <w:t>2+</w:t>
      </w:r>
      <w:r w:rsidRPr="00FC1444">
        <w:rPr>
          <w:rFonts w:eastAsiaTheme="minorEastAsia"/>
          <w:sz w:val="24"/>
        </w:rPr>
        <w:t>、</w:t>
      </w:r>
      <w:r w:rsidRPr="00FC1444">
        <w:rPr>
          <w:rFonts w:eastAsiaTheme="minorEastAsia"/>
          <w:sz w:val="24"/>
        </w:rPr>
        <w:t>CO</w:t>
      </w:r>
      <w:r w:rsidRPr="00FC1444">
        <w:rPr>
          <w:rFonts w:eastAsiaTheme="minorEastAsia"/>
          <w:sz w:val="24"/>
          <w:vertAlign w:val="subscript"/>
        </w:rPr>
        <w:t>3</w:t>
      </w:r>
      <w:r w:rsidRPr="00FC1444">
        <w:rPr>
          <w:rFonts w:eastAsiaTheme="minorEastAsia"/>
          <w:sz w:val="24"/>
          <w:vertAlign w:val="superscript"/>
        </w:rPr>
        <w:t>2-</w:t>
      </w:r>
      <w:r w:rsidRPr="00FC1444">
        <w:rPr>
          <w:rFonts w:eastAsiaTheme="minorEastAsia"/>
          <w:sz w:val="24"/>
        </w:rPr>
        <w:t>、</w:t>
      </w:r>
      <w:r w:rsidRPr="00FC1444">
        <w:rPr>
          <w:rFonts w:eastAsiaTheme="minorEastAsia"/>
          <w:sz w:val="24"/>
        </w:rPr>
        <w:t>HCO</w:t>
      </w:r>
      <w:r w:rsidRPr="00FC1444">
        <w:rPr>
          <w:rFonts w:eastAsiaTheme="minorEastAsia"/>
          <w:sz w:val="24"/>
          <w:vertAlign w:val="subscript"/>
        </w:rPr>
        <w:t>3</w:t>
      </w:r>
      <w:r w:rsidRPr="00FC1444">
        <w:rPr>
          <w:rFonts w:eastAsiaTheme="minorEastAsia"/>
          <w:sz w:val="24"/>
          <w:vertAlign w:val="superscript"/>
        </w:rPr>
        <w:t>-</w:t>
      </w:r>
      <w:r w:rsidRPr="00FC1444">
        <w:rPr>
          <w:rFonts w:eastAsiaTheme="minorEastAsia"/>
          <w:sz w:val="24"/>
        </w:rPr>
        <w:t>、</w:t>
      </w:r>
      <w:r w:rsidRPr="00FC1444">
        <w:rPr>
          <w:rFonts w:eastAsiaTheme="minorEastAsia"/>
          <w:sz w:val="24"/>
        </w:rPr>
        <w:t>Cl</w:t>
      </w:r>
      <w:r w:rsidRPr="00FC1444">
        <w:rPr>
          <w:rFonts w:eastAsiaTheme="minorEastAsia"/>
          <w:sz w:val="24"/>
          <w:vertAlign w:val="superscript"/>
        </w:rPr>
        <w:t>-</w:t>
      </w:r>
      <w:r w:rsidRPr="00FC1444">
        <w:rPr>
          <w:rFonts w:eastAsiaTheme="minorEastAsia"/>
          <w:sz w:val="24"/>
        </w:rPr>
        <w:t>、</w:t>
      </w:r>
      <w:r w:rsidRPr="00FC1444">
        <w:rPr>
          <w:rFonts w:eastAsiaTheme="minorEastAsia"/>
          <w:sz w:val="24"/>
        </w:rPr>
        <w:t>SO</w:t>
      </w:r>
      <w:r w:rsidRPr="00FC1444">
        <w:rPr>
          <w:rFonts w:eastAsiaTheme="minorEastAsia"/>
          <w:sz w:val="24"/>
          <w:vertAlign w:val="subscript"/>
        </w:rPr>
        <w:t>4</w:t>
      </w:r>
      <w:r w:rsidRPr="00FC1444">
        <w:rPr>
          <w:rFonts w:eastAsiaTheme="minorEastAsia"/>
          <w:sz w:val="24"/>
          <w:vertAlign w:val="superscript"/>
        </w:rPr>
        <w:t>2-</w:t>
      </w:r>
      <w:r w:rsidRPr="00FC1444">
        <w:rPr>
          <w:rFonts w:eastAsiaTheme="minorEastAsia"/>
          <w:sz w:val="24"/>
        </w:rPr>
        <w:t>共</w:t>
      </w:r>
      <w:r w:rsidRPr="00FC1444">
        <w:rPr>
          <w:rFonts w:eastAsiaTheme="minorEastAsia"/>
          <w:sz w:val="24"/>
        </w:rPr>
        <w:t>8</w:t>
      </w:r>
      <w:r w:rsidRPr="00FC1444">
        <w:rPr>
          <w:rFonts w:eastAsiaTheme="minorEastAsia"/>
          <w:sz w:val="24"/>
        </w:rPr>
        <w:t>项离子及特征因子石油类。</w:t>
      </w:r>
    </w:p>
    <w:p w:rsidR="002A5A5E" w:rsidRPr="00FC1444" w:rsidRDefault="00611CBA">
      <w:pPr>
        <w:pStyle w:val="ae"/>
        <w:spacing w:line="360" w:lineRule="auto"/>
        <w:ind w:firstLineChars="200" w:firstLine="480"/>
        <w:rPr>
          <w:rFonts w:ascii="Times New Roman" w:eastAsiaTheme="minorEastAsia" w:hAnsi="Times New Roman" w:cs="Times New Roman"/>
          <w:sz w:val="24"/>
          <w:szCs w:val="24"/>
        </w:rPr>
      </w:pPr>
      <w:r w:rsidRPr="00FC1444">
        <w:rPr>
          <w:rFonts w:ascii="Times New Roman" w:eastAsiaTheme="minorEastAsia" w:hAnsi="Times New Roman" w:cs="Times New Roman"/>
          <w:sz w:val="24"/>
        </w:rPr>
        <w:t>（</w:t>
      </w:r>
      <w:r w:rsidRPr="00FC1444">
        <w:rPr>
          <w:rFonts w:ascii="Times New Roman" w:eastAsiaTheme="minorEastAsia" w:hAnsi="Times New Roman" w:cs="Times New Roman"/>
          <w:sz w:val="24"/>
        </w:rPr>
        <w:t>4</w:t>
      </w:r>
      <w:r w:rsidRPr="00FC1444">
        <w:rPr>
          <w:rFonts w:ascii="Times New Roman" w:eastAsiaTheme="minorEastAsia" w:hAnsi="Times New Roman" w:cs="Times New Roman"/>
          <w:sz w:val="24"/>
        </w:rPr>
        <w:t>）</w:t>
      </w:r>
      <w:r w:rsidRPr="00FC1444">
        <w:rPr>
          <w:rFonts w:ascii="Times New Roman" w:eastAsiaTheme="minorEastAsia" w:hAnsi="Times New Roman" w:cs="Times New Roman"/>
          <w:sz w:val="24"/>
          <w:szCs w:val="24"/>
        </w:rPr>
        <w:t>采样时间及频率</w:t>
      </w:r>
    </w:p>
    <w:p w:rsidR="002A5A5E" w:rsidRPr="00FC1444" w:rsidRDefault="00611CBA">
      <w:pPr>
        <w:pStyle w:val="ae"/>
        <w:spacing w:line="360" w:lineRule="auto"/>
        <w:ind w:firstLineChars="200" w:firstLine="480"/>
        <w:rPr>
          <w:rFonts w:ascii="Times New Roman" w:eastAsiaTheme="minorEastAsia" w:hAnsi="Times New Roman" w:cs="Times New Roman"/>
          <w:sz w:val="24"/>
          <w:szCs w:val="24"/>
        </w:rPr>
      </w:pPr>
      <w:r w:rsidRPr="00FC1444">
        <w:rPr>
          <w:rFonts w:ascii="Times New Roman" w:eastAsiaTheme="minorEastAsia" w:hAnsi="Times New Roman" w:cs="Times New Roman"/>
          <w:sz w:val="24"/>
          <w:szCs w:val="24"/>
        </w:rPr>
        <w:t>监测时间为</w:t>
      </w:r>
      <w:r w:rsidRPr="00FC1444">
        <w:rPr>
          <w:rFonts w:ascii="Times New Roman" w:eastAsiaTheme="minorEastAsia" w:hAnsi="Times New Roman" w:cs="Times New Roman"/>
          <w:sz w:val="24"/>
          <w:szCs w:val="24"/>
        </w:rPr>
        <w:t>202</w:t>
      </w:r>
      <w:r w:rsidR="009875F8" w:rsidRPr="00FC1444">
        <w:rPr>
          <w:rFonts w:ascii="Times New Roman" w:eastAsiaTheme="minorEastAsia" w:hAnsi="Times New Roman" w:cs="Times New Roman"/>
          <w:sz w:val="24"/>
          <w:szCs w:val="24"/>
        </w:rPr>
        <w:t>6</w:t>
      </w:r>
      <w:r w:rsidRPr="00FC1444">
        <w:rPr>
          <w:rFonts w:ascii="Times New Roman" w:eastAsiaTheme="minorEastAsia" w:hAnsi="Times New Roman" w:cs="Times New Roman"/>
          <w:sz w:val="24"/>
          <w:szCs w:val="24"/>
        </w:rPr>
        <w:t>年</w:t>
      </w:r>
      <w:r w:rsidR="008D6454" w:rsidRPr="00FC1444">
        <w:rPr>
          <w:rFonts w:ascii="Times New Roman" w:eastAsiaTheme="minorEastAsia" w:hAnsi="Times New Roman" w:cs="Times New Roman" w:hint="eastAsia"/>
          <w:sz w:val="24"/>
          <w:szCs w:val="24"/>
        </w:rPr>
        <w:t>8</w:t>
      </w:r>
      <w:r w:rsidRPr="00FC1444">
        <w:rPr>
          <w:rFonts w:ascii="Times New Roman" w:eastAsiaTheme="minorEastAsia" w:hAnsi="Times New Roman" w:cs="Times New Roman"/>
          <w:sz w:val="24"/>
          <w:szCs w:val="24"/>
        </w:rPr>
        <w:t>月</w:t>
      </w:r>
      <w:r w:rsidR="008D6454" w:rsidRPr="00FC1444">
        <w:rPr>
          <w:rFonts w:ascii="Times New Roman" w:eastAsiaTheme="minorEastAsia" w:hAnsi="Times New Roman" w:cs="Times New Roman" w:hint="eastAsia"/>
          <w:sz w:val="24"/>
          <w:szCs w:val="24"/>
        </w:rPr>
        <w:t>3</w:t>
      </w:r>
      <w:r w:rsidR="009875F8" w:rsidRPr="00FC1444">
        <w:rPr>
          <w:rFonts w:ascii="Times New Roman" w:eastAsiaTheme="minorEastAsia" w:hAnsi="Times New Roman" w:cs="Times New Roman"/>
          <w:sz w:val="24"/>
          <w:szCs w:val="24"/>
        </w:rPr>
        <w:t>1</w:t>
      </w:r>
      <w:r w:rsidRPr="00FC1444">
        <w:rPr>
          <w:rFonts w:ascii="Times New Roman" w:eastAsiaTheme="minorEastAsia" w:hAnsi="Times New Roman" w:cs="Times New Roman"/>
          <w:sz w:val="24"/>
          <w:szCs w:val="24"/>
        </w:rPr>
        <w:t>日，</w:t>
      </w:r>
      <w:r w:rsidRPr="00FC1444">
        <w:rPr>
          <w:rFonts w:ascii="Times New Roman" w:eastAsiaTheme="minorEastAsia" w:hAnsi="Times New Roman" w:cs="Times New Roman"/>
          <w:sz w:val="24"/>
          <w:szCs w:val="24"/>
        </w:rPr>
        <w:t>1</w:t>
      </w:r>
      <w:r w:rsidRPr="00FC1444">
        <w:rPr>
          <w:rFonts w:ascii="Times New Roman" w:eastAsiaTheme="minorEastAsia" w:hAnsi="Times New Roman" w:cs="Times New Roman"/>
          <w:sz w:val="24"/>
          <w:szCs w:val="24"/>
        </w:rPr>
        <w:t>天</w:t>
      </w:r>
      <w:r w:rsidRPr="00FC1444">
        <w:rPr>
          <w:rFonts w:ascii="Times New Roman" w:eastAsiaTheme="minorEastAsia" w:hAnsi="Times New Roman" w:cs="Times New Roman"/>
          <w:sz w:val="24"/>
          <w:szCs w:val="24"/>
        </w:rPr>
        <w:t>1</w:t>
      </w:r>
      <w:r w:rsidRPr="00FC1444">
        <w:rPr>
          <w:rFonts w:ascii="Times New Roman" w:eastAsiaTheme="minorEastAsia" w:hAnsi="Times New Roman" w:cs="Times New Roman"/>
          <w:sz w:val="24"/>
          <w:szCs w:val="24"/>
        </w:rPr>
        <w:t>次。</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5</w:t>
      </w:r>
      <w:r w:rsidRPr="00FC1444">
        <w:rPr>
          <w:rFonts w:eastAsiaTheme="minorEastAsia"/>
          <w:sz w:val="24"/>
        </w:rPr>
        <w:t>）分析方法</w:t>
      </w:r>
    </w:p>
    <w:p w:rsidR="00890D83" w:rsidRPr="00FC1444" w:rsidRDefault="00890D83">
      <w:pPr>
        <w:contextualSpacing/>
        <w:jc w:val="center"/>
        <w:rPr>
          <w:rFonts w:eastAsiaTheme="minorEastAsia"/>
          <w:b/>
          <w:kern w:val="0"/>
          <w:szCs w:val="21"/>
        </w:rPr>
      </w:pPr>
    </w:p>
    <w:p w:rsidR="00890D83" w:rsidRPr="00FC1444" w:rsidRDefault="00890D83">
      <w:pPr>
        <w:contextualSpacing/>
        <w:jc w:val="center"/>
        <w:rPr>
          <w:rFonts w:eastAsiaTheme="minorEastAsia"/>
          <w:b/>
          <w:kern w:val="0"/>
          <w:szCs w:val="21"/>
        </w:rPr>
      </w:pPr>
    </w:p>
    <w:p w:rsidR="00890D83" w:rsidRPr="00FC1444" w:rsidRDefault="00890D83">
      <w:pPr>
        <w:contextualSpacing/>
        <w:jc w:val="center"/>
        <w:rPr>
          <w:rFonts w:eastAsiaTheme="minorEastAsia"/>
          <w:b/>
          <w:kern w:val="0"/>
          <w:szCs w:val="21"/>
        </w:rPr>
      </w:pPr>
    </w:p>
    <w:p w:rsidR="00890D83" w:rsidRPr="00FC1444" w:rsidRDefault="00890D83">
      <w:pPr>
        <w:contextualSpacing/>
        <w:jc w:val="center"/>
        <w:rPr>
          <w:rFonts w:eastAsiaTheme="minorEastAsia"/>
          <w:b/>
          <w:kern w:val="0"/>
          <w:szCs w:val="21"/>
        </w:rPr>
      </w:pPr>
    </w:p>
    <w:p w:rsidR="006D4646" w:rsidRPr="00FC1444" w:rsidRDefault="006D4646">
      <w:pPr>
        <w:contextualSpacing/>
        <w:jc w:val="center"/>
        <w:rPr>
          <w:rFonts w:eastAsiaTheme="minorEastAsia"/>
          <w:b/>
          <w:kern w:val="0"/>
          <w:szCs w:val="21"/>
        </w:rPr>
      </w:pPr>
    </w:p>
    <w:p w:rsidR="00890D83" w:rsidRPr="00FC1444" w:rsidRDefault="00890D83">
      <w:pPr>
        <w:contextualSpacing/>
        <w:jc w:val="center"/>
        <w:rPr>
          <w:rFonts w:eastAsiaTheme="minorEastAsia"/>
          <w:b/>
          <w:kern w:val="0"/>
          <w:szCs w:val="21"/>
        </w:rPr>
      </w:pPr>
    </w:p>
    <w:p w:rsidR="00890D83" w:rsidRPr="00FC1444" w:rsidRDefault="00890D83">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4-2-</w:t>
      </w:r>
      <w:r w:rsidR="00F90B8B" w:rsidRPr="00FC1444">
        <w:rPr>
          <w:rFonts w:eastAsiaTheme="minorEastAsia" w:hint="eastAsia"/>
          <w:b/>
          <w:kern w:val="0"/>
          <w:szCs w:val="21"/>
        </w:rPr>
        <w:t>5</w:t>
      </w:r>
      <w:r w:rsidRPr="00FC1444">
        <w:rPr>
          <w:rFonts w:eastAsiaTheme="minorEastAsia"/>
          <w:b/>
          <w:kern w:val="0"/>
          <w:szCs w:val="21"/>
        </w:rPr>
        <w:t xml:space="preserve"> </w:t>
      </w:r>
      <w:r w:rsidRPr="00FC1444">
        <w:rPr>
          <w:rFonts w:eastAsiaTheme="minorEastAsia"/>
          <w:b/>
          <w:kern w:val="0"/>
          <w:szCs w:val="21"/>
        </w:rPr>
        <w:t>监测分析方法一览表</w:t>
      </w:r>
    </w:p>
    <w:tbl>
      <w:tblPr>
        <w:tblW w:w="8472" w:type="dxa"/>
        <w:tblBorders>
          <w:top w:val="single" w:sz="12" w:space="0" w:color="000000"/>
          <w:bottom w:val="single" w:sz="12" w:space="0" w:color="000000"/>
          <w:insideH w:val="single" w:sz="4" w:space="0" w:color="000000"/>
          <w:insideV w:val="single" w:sz="4" w:space="0" w:color="000000"/>
        </w:tblBorders>
        <w:tblLayout w:type="fixed"/>
        <w:tblLook w:val="04A0"/>
      </w:tblPr>
      <w:tblGrid>
        <w:gridCol w:w="1141"/>
        <w:gridCol w:w="3220"/>
        <w:gridCol w:w="1701"/>
        <w:gridCol w:w="2410"/>
      </w:tblGrid>
      <w:tr w:rsidR="002A5A5E" w:rsidRPr="00FC1444">
        <w:trPr>
          <w:trHeight w:val="447"/>
        </w:trPr>
        <w:tc>
          <w:tcPr>
            <w:tcW w:w="1141" w:type="dxa"/>
            <w:vAlign w:val="center"/>
          </w:tcPr>
          <w:p w:rsidR="002A5A5E" w:rsidRPr="00FC1444" w:rsidRDefault="00611CBA">
            <w:pPr>
              <w:jc w:val="center"/>
              <w:rPr>
                <w:rFonts w:eastAsiaTheme="minorEastAsia"/>
                <w:b/>
                <w:szCs w:val="21"/>
              </w:rPr>
            </w:pPr>
            <w:r w:rsidRPr="00FC1444">
              <w:rPr>
                <w:rFonts w:eastAsiaTheme="minorEastAsia"/>
                <w:b/>
                <w:szCs w:val="21"/>
              </w:rPr>
              <w:t>分析项目</w:t>
            </w:r>
          </w:p>
        </w:tc>
        <w:tc>
          <w:tcPr>
            <w:tcW w:w="3220" w:type="dxa"/>
            <w:vAlign w:val="center"/>
          </w:tcPr>
          <w:p w:rsidR="002A5A5E" w:rsidRPr="00FC1444" w:rsidRDefault="00611CBA">
            <w:pPr>
              <w:jc w:val="center"/>
              <w:rPr>
                <w:rFonts w:eastAsiaTheme="minorEastAsia"/>
                <w:b/>
                <w:szCs w:val="21"/>
              </w:rPr>
            </w:pPr>
            <w:r w:rsidRPr="00FC1444">
              <w:rPr>
                <w:rFonts w:eastAsiaTheme="minorEastAsia"/>
                <w:b/>
                <w:szCs w:val="21"/>
              </w:rPr>
              <w:t>分析方法及标准号</w:t>
            </w:r>
          </w:p>
        </w:tc>
        <w:tc>
          <w:tcPr>
            <w:tcW w:w="1701" w:type="dxa"/>
            <w:vAlign w:val="center"/>
          </w:tcPr>
          <w:p w:rsidR="002A5A5E" w:rsidRPr="00FC1444" w:rsidRDefault="00611CBA">
            <w:pPr>
              <w:jc w:val="center"/>
              <w:rPr>
                <w:rFonts w:eastAsiaTheme="minorEastAsia"/>
                <w:b/>
                <w:szCs w:val="21"/>
              </w:rPr>
            </w:pPr>
            <w:r w:rsidRPr="00FC1444">
              <w:rPr>
                <w:rFonts w:eastAsiaTheme="minorEastAsia"/>
                <w:b/>
                <w:szCs w:val="21"/>
              </w:rPr>
              <w:t>仪器名称</w:t>
            </w:r>
          </w:p>
        </w:tc>
        <w:tc>
          <w:tcPr>
            <w:tcW w:w="2410" w:type="dxa"/>
            <w:vAlign w:val="center"/>
          </w:tcPr>
          <w:p w:rsidR="002A5A5E" w:rsidRPr="00FC1444" w:rsidRDefault="00611CBA">
            <w:pPr>
              <w:jc w:val="center"/>
              <w:rPr>
                <w:rFonts w:eastAsiaTheme="minorEastAsia"/>
                <w:b/>
                <w:szCs w:val="21"/>
              </w:rPr>
            </w:pPr>
            <w:r w:rsidRPr="00FC1444">
              <w:rPr>
                <w:rFonts w:eastAsiaTheme="minorEastAsia"/>
                <w:b/>
                <w:szCs w:val="21"/>
              </w:rPr>
              <w:t>仪器型号及编号</w:t>
            </w:r>
          </w:p>
        </w:tc>
      </w:tr>
      <w:tr w:rsidR="002A5A5E" w:rsidRPr="00FC1444">
        <w:trPr>
          <w:trHeight w:val="700"/>
        </w:trPr>
        <w:tc>
          <w:tcPr>
            <w:tcW w:w="1141" w:type="dxa"/>
            <w:vAlign w:val="center"/>
          </w:tcPr>
          <w:p w:rsidR="002A5A5E" w:rsidRPr="00FC1444" w:rsidRDefault="00611CBA">
            <w:pPr>
              <w:jc w:val="center"/>
              <w:rPr>
                <w:rFonts w:eastAsiaTheme="minorEastAsia"/>
                <w:kern w:val="0"/>
                <w:szCs w:val="21"/>
              </w:rPr>
            </w:pPr>
            <w:r w:rsidRPr="00FC1444">
              <w:rPr>
                <w:rFonts w:eastAsiaTheme="minorEastAsia"/>
                <w:kern w:val="0"/>
                <w:szCs w:val="21"/>
              </w:rPr>
              <w:t>PH</w:t>
            </w:r>
          </w:p>
        </w:tc>
        <w:tc>
          <w:tcPr>
            <w:tcW w:w="3220" w:type="dxa"/>
            <w:vAlign w:val="center"/>
          </w:tcPr>
          <w:p w:rsidR="002A5A5E" w:rsidRPr="00FC1444" w:rsidRDefault="00611CBA">
            <w:pPr>
              <w:jc w:val="center"/>
              <w:rPr>
                <w:rFonts w:eastAsiaTheme="minorEastAsia"/>
                <w:szCs w:val="21"/>
              </w:rPr>
            </w:pPr>
            <w:r w:rsidRPr="00FC1444">
              <w:rPr>
                <w:rFonts w:eastAsiaTheme="minorEastAsia"/>
                <w:szCs w:val="21"/>
              </w:rPr>
              <w:t>生活饮用水标准检验方法</w:t>
            </w:r>
            <w:r w:rsidRPr="00FC1444">
              <w:rPr>
                <w:rFonts w:eastAsiaTheme="minorEastAsia"/>
                <w:szCs w:val="21"/>
              </w:rPr>
              <w:t xml:space="preserve"> </w:t>
            </w:r>
            <w:r w:rsidRPr="00FC1444">
              <w:rPr>
                <w:rFonts w:eastAsiaTheme="minorEastAsia"/>
                <w:szCs w:val="21"/>
              </w:rPr>
              <w:t>感官性状和物理指标（</w:t>
            </w:r>
            <w:r w:rsidRPr="00FC1444">
              <w:rPr>
                <w:rFonts w:eastAsiaTheme="minorEastAsia"/>
                <w:szCs w:val="21"/>
              </w:rPr>
              <w:t xml:space="preserve">5.1 </w:t>
            </w:r>
            <w:r w:rsidRPr="00FC1444">
              <w:rPr>
                <w:rFonts w:eastAsiaTheme="minorEastAsia"/>
                <w:szCs w:val="21"/>
              </w:rPr>
              <w:t>玻璃电极法）</w:t>
            </w:r>
            <w:r w:rsidRPr="00FC1444">
              <w:rPr>
                <w:rFonts w:eastAsiaTheme="minorEastAsia"/>
                <w:szCs w:val="21"/>
              </w:rPr>
              <w:t>GB/T 5750.4-2006</w:t>
            </w:r>
          </w:p>
        </w:tc>
        <w:tc>
          <w:tcPr>
            <w:tcW w:w="1701" w:type="dxa"/>
            <w:vAlign w:val="center"/>
          </w:tcPr>
          <w:p w:rsidR="002A5A5E" w:rsidRPr="00FC1444" w:rsidRDefault="00611CBA">
            <w:pPr>
              <w:pStyle w:val="aff9"/>
              <w:overflowPunct w:val="0"/>
              <w:topLinePunct/>
              <w:snapToGrid w:val="0"/>
              <w:jc w:val="center"/>
              <w:rPr>
                <w:rFonts w:ascii="Times New Roman" w:eastAsiaTheme="minorEastAsia"/>
                <w:sz w:val="21"/>
                <w:szCs w:val="21"/>
              </w:rPr>
            </w:pPr>
            <w:r w:rsidRPr="00FC1444">
              <w:rPr>
                <w:rFonts w:ascii="Times New Roman" w:eastAsiaTheme="minorEastAsia"/>
                <w:sz w:val="21"/>
                <w:szCs w:val="21"/>
              </w:rPr>
              <w:t>pH</w:t>
            </w:r>
            <w:r w:rsidRPr="00FC1444">
              <w:rPr>
                <w:rFonts w:ascii="Times New Roman" w:eastAsiaTheme="minorEastAsia"/>
                <w:sz w:val="21"/>
                <w:szCs w:val="21"/>
              </w:rPr>
              <w:t>计</w:t>
            </w:r>
          </w:p>
        </w:tc>
        <w:tc>
          <w:tcPr>
            <w:tcW w:w="2410" w:type="dxa"/>
            <w:vAlign w:val="center"/>
          </w:tcPr>
          <w:p w:rsidR="002A5A5E" w:rsidRPr="00FC1444" w:rsidRDefault="00611CBA">
            <w:pPr>
              <w:pStyle w:val="aff9"/>
              <w:overflowPunct w:val="0"/>
              <w:topLinePunct/>
              <w:snapToGrid w:val="0"/>
              <w:jc w:val="center"/>
              <w:rPr>
                <w:rFonts w:ascii="Times New Roman" w:eastAsiaTheme="minorEastAsia"/>
                <w:sz w:val="21"/>
                <w:szCs w:val="21"/>
              </w:rPr>
            </w:pPr>
            <w:r w:rsidRPr="00FC1444">
              <w:rPr>
                <w:rFonts w:ascii="Times New Roman" w:eastAsiaTheme="minorEastAsia"/>
                <w:sz w:val="21"/>
                <w:szCs w:val="21"/>
              </w:rPr>
              <w:t>PHS-3C/XJYQ-041-2017</w:t>
            </w:r>
          </w:p>
        </w:tc>
      </w:tr>
      <w:tr w:rsidR="002A5A5E" w:rsidRPr="00FC1444">
        <w:trPr>
          <w:trHeight w:val="437"/>
        </w:trPr>
        <w:tc>
          <w:tcPr>
            <w:tcW w:w="1141" w:type="dxa"/>
            <w:vAlign w:val="center"/>
          </w:tcPr>
          <w:p w:rsidR="002A5A5E" w:rsidRPr="00FC1444" w:rsidRDefault="00611CBA">
            <w:pPr>
              <w:jc w:val="center"/>
              <w:rPr>
                <w:rFonts w:eastAsiaTheme="minorEastAsia"/>
                <w:szCs w:val="21"/>
              </w:rPr>
            </w:pPr>
            <w:r w:rsidRPr="00FC1444">
              <w:rPr>
                <w:rFonts w:eastAsiaTheme="minorEastAsia"/>
                <w:szCs w:val="21"/>
              </w:rPr>
              <w:t>总硬度</w:t>
            </w:r>
          </w:p>
        </w:tc>
        <w:tc>
          <w:tcPr>
            <w:tcW w:w="3220" w:type="dxa"/>
            <w:vAlign w:val="center"/>
          </w:tcPr>
          <w:p w:rsidR="002A5A5E" w:rsidRPr="00FC1444" w:rsidRDefault="00611CBA">
            <w:pPr>
              <w:jc w:val="center"/>
              <w:rPr>
                <w:rFonts w:eastAsiaTheme="minorEastAsia"/>
                <w:szCs w:val="21"/>
              </w:rPr>
            </w:pPr>
            <w:r w:rsidRPr="00FC1444">
              <w:rPr>
                <w:rFonts w:eastAsiaTheme="minorEastAsia"/>
                <w:szCs w:val="21"/>
              </w:rPr>
              <w:t>水质</w:t>
            </w:r>
            <w:r w:rsidRPr="00FC1444">
              <w:rPr>
                <w:rFonts w:eastAsiaTheme="minorEastAsia"/>
                <w:szCs w:val="21"/>
              </w:rPr>
              <w:t xml:space="preserve"> </w:t>
            </w:r>
            <w:r w:rsidRPr="00FC1444">
              <w:rPr>
                <w:rFonts w:eastAsiaTheme="minorEastAsia"/>
                <w:szCs w:val="21"/>
              </w:rPr>
              <w:t>钙和镁总量的测定</w:t>
            </w:r>
            <w:r w:rsidRPr="00FC1444">
              <w:rPr>
                <w:rFonts w:eastAsiaTheme="minorEastAsia"/>
                <w:szCs w:val="21"/>
              </w:rPr>
              <w:t xml:space="preserve"> EDTA</w:t>
            </w:r>
            <w:r w:rsidRPr="00FC1444">
              <w:rPr>
                <w:rFonts w:eastAsiaTheme="minorEastAsia"/>
                <w:szCs w:val="21"/>
              </w:rPr>
              <w:t>滴定法</w:t>
            </w:r>
            <w:r w:rsidRPr="00FC1444">
              <w:rPr>
                <w:rFonts w:eastAsiaTheme="minorEastAsia"/>
                <w:szCs w:val="21"/>
              </w:rPr>
              <w:t>GB7477-87</w:t>
            </w:r>
          </w:p>
        </w:tc>
        <w:tc>
          <w:tcPr>
            <w:tcW w:w="1701" w:type="dxa"/>
            <w:vAlign w:val="center"/>
          </w:tcPr>
          <w:p w:rsidR="002A5A5E" w:rsidRPr="00FC1444" w:rsidRDefault="00611CBA">
            <w:pPr>
              <w:jc w:val="center"/>
              <w:rPr>
                <w:rFonts w:eastAsiaTheme="minorEastAsia"/>
                <w:szCs w:val="21"/>
              </w:rPr>
            </w:pPr>
            <w:r w:rsidRPr="00FC1444">
              <w:rPr>
                <w:rFonts w:eastAsiaTheme="minorEastAsia"/>
                <w:szCs w:val="21"/>
              </w:rPr>
              <w:t>滴定管</w:t>
            </w:r>
          </w:p>
        </w:tc>
        <w:tc>
          <w:tcPr>
            <w:tcW w:w="2410" w:type="dxa"/>
            <w:vAlign w:val="center"/>
          </w:tcPr>
          <w:p w:rsidR="002A5A5E" w:rsidRPr="00FC1444" w:rsidRDefault="00611CBA">
            <w:pPr>
              <w:jc w:val="center"/>
              <w:rPr>
                <w:rFonts w:eastAsiaTheme="minorEastAsia"/>
                <w:szCs w:val="21"/>
              </w:rPr>
            </w:pPr>
            <w:r w:rsidRPr="00FC1444">
              <w:rPr>
                <w:rFonts w:eastAsiaTheme="minorEastAsia"/>
                <w:szCs w:val="21"/>
              </w:rPr>
              <w:t>25ml /--</w:t>
            </w:r>
          </w:p>
        </w:tc>
      </w:tr>
      <w:tr w:rsidR="002A5A5E" w:rsidRPr="00FC1444">
        <w:trPr>
          <w:trHeight w:val="437"/>
        </w:trPr>
        <w:tc>
          <w:tcPr>
            <w:tcW w:w="1141" w:type="dxa"/>
            <w:vAlign w:val="center"/>
          </w:tcPr>
          <w:p w:rsidR="002A5A5E" w:rsidRPr="00FC1444" w:rsidRDefault="00611CBA">
            <w:pPr>
              <w:jc w:val="center"/>
              <w:rPr>
                <w:rFonts w:eastAsiaTheme="minorEastAsia"/>
                <w:szCs w:val="21"/>
              </w:rPr>
            </w:pPr>
            <w:r w:rsidRPr="00FC1444">
              <w:rPr>
                <w:rFonts w:eastAsiaTheme="minorEastAsia"/>
                <w:szCs w:val="21"/>
              </w:rPr>
              <w:t>溶解性</w:t>
            </w:r>
          </w:p>
          <w:p w:rsidR="002A5A5E" w:rsidRPr="00FC1444" w:rsidRDefault="00611CBA">
            <w:pPr>
              <w:jc w:val="center"/>
              <w:rPr>
                <w:rFonts w:eastAsiaTheme="minorEastAsia"/>
                <w:szCs w:val="21"/>
              </w:rPr>
            </w:pPr>
            <w:r w:rsidRPr="00FC1444">
              <w:rPr>
                <w:rFonts w:eastAsiaTheme="minorEastAsia"/>
                <w:szCs w:val="21"/>
              </w:rPr>
              <w:t>总固体</w:t>
            </w:r>
          </w:p>
        </w:tc>
        <w:tc>
          <w:tcPr>
            <w:tcW w:w="3220" w:type="dxa"/>
            <w:vAlign w:val="center"/>
          </w:tcPr>
          <w:p w:rsidR="002A5A5E" w:rsidRPr="00FC1444" w:rsidRDefault="00611CBA">
            <w:pPr>
              <w:jc w:val="center"/>
              <w:rPr>
                <w:rFonts w:eastAsiaTheme="minorEastAsia"/>
                <w:szCs w:val="21"/>
              </w:rPr>
            </w:pPr>
            <w:r w:rsidRPr="00FC1444">
              <w:rPr>
                <w:rFonts w:eastAsiaTheme="minorEastAsia"/>
                <w:szCs w:val="21"/>
              </w:rPr>
              <w:t>生活饮用水标准检验方法</w:t>
            </w:r>
            <w:r w:rsidRPr="00FC1444">
              <w:rPr>
                <w:rFonts w:eastAsiaTheme="minorEastAsia"/>
                <w:szCs w:val="21"/>
              </w:rPr>
              <w:t xml:space="preserve"> </w:t>
            </w:r>
            <w:r w:rsidRPr="00FC1444">
              <w:rPr>
                <w:rFonts w:eastAsiaTheme="minorEastAsia"/>
                <w:szCs w:val="21"/>
              </w:rPr>
              <w:t>感官性状和物理指标（</w:t>
            </w:r>
            <w:r w:rsidRPr="00FC1444">
              <w:rPr>
                <w:rFonts w:eastAsiaTheme="minorEastAsia"/>
                <w:szCs w:val="21"/>
              </w:rPr>
              <w:t>8.1</w:t>
            </w:r>
            <w:r w:rsidRPr="00FC1444">
              <w:rPr>
                <w:rFonts w:eastAsiaTheme="minorEastAsia"/>
                <w:szCs w:val="21"/>
              </w:rPr>
              <w:t>称量法）</w:t>
            </w:r>
            <w:r w:rsidRPr="00FC1444">
              <w:rPr>
                <w:rFonts w:eastAsiaTheme="minorEastAsia"/>
                <w:szCs w:val="21"/>
              </w:rPr>
              <w:t>GB/T5750.4-2006</w:t>
            </w:r>
          </w:p>
        </w:tc>
        <w:tc>
          <w:tcPr>
            <w:tcW w:w="1701" w:type="dxa"/>
            <w:vAlign w:val="center"/>
          </w:tcPr>
          <w:p w:rsidR="002A5A5E" w:rsidRPr="00FC1444" w:rsidRDefault="00611CBA">
            <w:pPr>
              <w:jc w:val="center"/>
              <w:rPr>
                <w:rFonts w:eastAsiaTheme="minorEastAsia"/>
                <w:szCs w:val="21"/>
              </w:rPr>
            </w:pPr>
            <w:r w:rsidRPr="00FC1444">
              <w:rPr>
                <w:rFonts w:eastAsiaTheme="minorEastAsia"/>
                <w:szCs w:val="21"/>
              </w:rPr>
              <w:t>分析天平</w:t>
            </w:r>
          </w:p>
          <w:p w:rsidR="002A5A5E" w:rsidRPr="00FC1444" w:rsidRDefault="00611CBA">
            <w:pPr>
              <w:jc w:val="center"/>
              <w:rPr>
                <w:rFonts w:eastAsiaTheme="minorEastAsia"/>
                <w:szCs w:val="21"/>
              </w:rPr>
            </w:pPr>
            <w:r w:rsidRPr="00FC1444">
              <w:rPr>
                <w:rFonts w:eastAsiaTheme="minorEastAsia"/>
                <w:szCs w:val="21"/>
              </w:rPr>
              <w:t>电热鼓风干燥箱</w:t>
            </w:r>
          </w:p>
        </w:tc>
        <w:tc>
          <w:tcPr>
            <w:tcW w:w="2410" w:type="dxa"/>
            <w:vAlign w:val="center"/>
          </w:tcPr>
          <w:p w:rsidR="002A5A5E" w:rsidRPr="00FC1444" w:rsidRDefault="00611CBA">
            <w:pPr>
              <w:jc w:val="center"/>
              <w:rPr>
                <w:rFonts w:eastAsiaTheme="minorEastAsia"/>
                <w:szCs w:val="21"/>
              </w:rPr>
            </w:pPr>
            <w:r w:rsidRPr="00FC1444">
              <w:rPr>
                <w:rFonts w:eastAsiaTheme="minorEastAsia"/>
                <w:szCs w:val="21"/>
              </w:rPr>
              <w:t>AUW120D/XJYQ-046-2017</w:t>
            </w:r>
          </w:p>
          <w:p w:rsidR="002A5A5E" w:rsidRPr="00FC1444" w:rsidRDefault="00611CBA">
            <w:pPr>
              <w:jc w:val="center"/>
              <w:rPr>
                <w:rFonts w:eastAsiaTheme="minorEastAsia"/>
                <w:szCs w:val="21"/>
              </w:rPr>
            </w:pPr>
            <w:r w:rsidRPr="00FC1444">
              <w:rPr>
                <w:rFonts w:eastAsiaTheme="minorEastAsia"/>
                <w:szCs w:val="21"/>
              </w:rPr>
              <w:t>BGZ-70/XJYQ-055-2017</w:t>
            </w:r>
          </w:p>
        </w:tc>
      </w:tr>
      <w:tr w:rsidR="002A5A5E" w:rsidRPr="00FC1444">
        <w:trPr>
          <w:trHeight w:val="816"/>
        </w:trPr>
        <w:tc>
          <w:tcPr>
            <w:tcW w:w="1141" w:type="dxa"/>
            <w:vAlign w:val="center"/>
          </w:tcPr>
          <w:p w:rsidR="002A5A5E" w:rsidRPr="00FC1444" w:rsidRDefault="00611CBA">
            <w:pPr>
              <w:jc w:val="center"/>
              <w:rPr>
                <w:rFonts w:eastAsiaTheme="minorEastAsia"/>
                <w:szCs w:val="21"/>
              </w:rPr>
            </w:pPr>
            <w:r w:rsidRPr="00FC1444">
              <w:rPr>
                <w:rFonts w:eastAsiaTheme="minorEastAsia"/>
                <w:szCs w:val="21"/>
              </w:rPr>
              <w:t>硫酸盐</w:t>
            </w:r>
          </w:p>
        </w:tc>
        <w:tc>
          <w:tcPr>
            <w:tcW w:w="3220" w:type="dxa"/>
            <w:vAlign w:val="center"/>
          </w:tcPr>
          <w:p w:rsidR="002A5A5E" w:rsidRPr="00FC1444" w:rsidRDefault="00611CBA">
            <w:pPr>
              <w:jc w:val="center"/>
              <w:rPr>
                <w:rFonts w:eastAsiaTheme="minorEastAsia"/>
                <w:szCs w:val="21"/>
              </w:rPr>
            </w:pPr>
            <w:r w:rsidRPr="00FC1444">
              <w:rPr>
                <w:rFonts w:eastAsiaTheme="minorEastAsia"/>
                <w:szCs w:val="21"/>
              </w:rPr>
              <w:t>生活饮用水标准检验方法无机非金属指标</w:t>
            </w:r>
            <w:r w:rsidRPr="00FC1444">
              <w:rPr>
                <w:rFonts w:eastAsiaTheme="minorEastAsia"/>
                <w:szCs w:val="21"/>
              </w:rPr>
              <w:t xml:space="preserve">1.3 </w:t>
            </w:r>
            <w:r w:rsidRPr="00FC1444">
              <w:rPr>
                <w:rFonts w:eastAsiaTheme="minorEastAsia"/>
                <w:szCs w:val="21"/>
              </w:rPr>
              <w:t>铬酸钡分光光度法（热法）</w:t>
            </w:r>
            <w:r w:rsidRPr="00FC1444">
              <w:rPr>
                <w:rFonts w:eastAsiaTheme="minorEastAsia"/>
                <w:szCs w:val="21"/>
              </w:rPr>
              <w:t xml:space="preserve"> GB/T5750.5-2006</w:t>
            </w:r>
          </w:p>
        </w:tc>
        <w:tc>
          <w:tcPr>
            <w:tcW w:w="1701" w:type="dxa"/>
            <w:vAlign w:val="center"/>
          </w:tcPr>
          <w:p w:rsidR="002A5A5E" w:rsidRPr="00FC1444" w:rsidRDefault="00611CBA">
            <w:pPr>
              <w:jc w:val="center"/>
              <w:rPr>
                <w:rFonts w:eastAsiaTheme="minorEastAsia"/>
                <w:szCs w:val="21"/>
              </w:rPr>
            </w:pPr>
            <w:r w:rsidRPr="00FC1444">
              <w:rPr>
                <w:rFonts w:eastAsiaTheme="minorEastAsia"/>
                <w:szCs w:val="21"/>
              </w:rPr>
              <w:t>紫外</w:t>
            </w:r>
            <w:r w:rsidRPr="00FC1444">
              <w:rPr>
                <w:rFonts w:eastAsiaTheme="minorEastAsia"/>
                <w:szCs w:val="21"/>
              </w:rPr>
              <w:t>/</w:t>
            </w:r>
            <w:r w:rsidRPr="00FC1444">
              <w:rPr>
                <w:rFonts w:eastAsiaTheme="minorEastAsia"/>
                <w:szCs w:val="21"/>
              </w:rPr>
              <w:t>可见分光光度计</w:t>
            </w:r>
          </w:p>
        </w:tc>
        <w:tc>
          <w:tcPr>
            <w:tcW w:w="2410" w:type="dxa"/>
            <w:vAlign w:val="center"/>
          </w:tcPr>
          <w:p w:rsidR="002A5A5E" w:rsidRPr="00FC1444" w:rsidRDefault="00611CBA">
            <w:pPr>
              <w:jc w:val="center"/>
              <w:rPr>
                <w:rFonts w:eastAsiaTheme="minorEastAsia"/>
                <w:szCs w:val="21"/>
              </w:rPr>
            </w:pPr>
            <w:r w:rsidRPr="00FC1444">
              <w:rPr>
                <w:rFonts w:eastAsiaTheme="minorEastAsia"/>
                <w:szCs w:val="21"/>
              </w:rPr>
              <w:t>T6</w:t>
            </w:r>
            <w:r w:rsidRPr="00FC1444">
              <w:rPr>
                <w:rFonts w:eastAsiaTheme="minorEastAsia"/>
                <w:szCs w:val="21"/>
              </w:rPr>
              <w:t>新世纪</w:t>
            </w:r>
            <w:r w:rsidRPr="00FC1444">
              <w:rPr>
                <w:rFonts w:eastAsiaTheme="minorEastAsia"/>
                <w:szCs w:val="21"/>
              </w:rPr>
              <w:t>/XJYQ-090-2017</w:t>
            </w:r>
          </w:p>
        </w:tc>
      </w:tr>
      <w:tr w:rsidR="002A5A5E" w:rsidRPr="00FC1444">
        <w:trPr>
          <w:trHeight w:val="907"/>
        </w:trPr>
        <w:tc>
          <w:tcPr>
            <w:tcW w:w="1141" w:type="dxa"/>
            <w:vAlign w:val="center"/>
          </w:tcPr>
          <w:p w:rsidR="002A5A5E" w:rsidRPr="00FC1444" w:rsidRDefault="00611CBA">
            <w:pPr>
              <w:jc w:val="center"/>
              <w:rPr>
                <w:rFonts w:eastAsiaTheme="minorEastAsia"/>
                <w:szCs w:val="21"/>
              </w:rPr>
            </w:pPr>
            <w:r w:rsidRPr="00FC1444">
              <w:rPr>
                <w:rFonts w:eastAsiaTheme="minorEastAsia"/>
                <w:szCs w:val="21"/>
              </w:rPr>
              <w:t>氯化物</w:t>
            </w:r>
          </w:p>
        </w:tc>
        <w:tc>
          <w:tcPr>
            <w:tcW w:w="3220" w:type="dxa"/>
            <w:vAlign w:val="center"/>
          </w:tcPr>
          <w:p w:rsidR="002A5A5E" w:rsidRPr="00FC1444" w:rsidRDefault="00611CBA">
            <w:pPr>
              <w:jc w:val="center"/>
              <w:rPr>
                <w:rFonts w:eastAsiaTheme="minorEastAsia"/>
                <w:szCs w:val="21"/>
              </w:rPr>
            </w:pPr>
            <w:r w:rsidRPr="00FC1444">
              <w:rPr>
                <w:rFonts w:eastAsiaTheme="minorEastAsia"/>
                <w:szCs w:val="21"/>
              </w:rPr>
              <w:t>生活饮用水标准检验方法</w:t>
            </w:r>
            <w:r w:rsidRPr="00FC1444">
              <w:rPr>
                <w:rFonts w:eastAsiaTheme="minorEastAsia"/>
                <w:szCs w:val="21"/>
              </w:rPr>
              <w:t xml:space="preserve"> </w:t>
            </w:r>
            <w:r w:rsidRPr="00FC1444">
              <w:rPr>
                <w:rFonts w:eastAsiaTheme="minorEastAsia"/>
                <w:szCs w:val="21"/>
              </w:rPr>
              <w:t>无机非金属指标（</w:t>
            </w:r>
            <w:r w:rsidRPr="00FC1444">
              <w:rPr>
                <w:rFonts w:eastAsiaTheme="minorEastAsia"/>
                <w:szCs w:val="21"/>
              </w:rPr>
              <w:t>2.1</w:t>
            </w:r>
            <w:r w:rsidRPr="00FC1444">
              <w:rPr>
                <w:rFonts w:eastAsiaTheme="minorEastAsia"/>
                <w:szCs w:val="21"/>
              </w:rPr>
              <w:t>硝酸银容量法）</w:t>
            </w:r>
            <w:r w:rsidRPr="00FC1444">
              <w:rPr>
                <w:rFonts w:eastAsiaTheme="minorEastAsia"/>
                <w:szCs w:val="21"/>
              </w:rPr>
              <w:t>GB/T5750.5-2006</w:t>
            </w:r>
          </w:p>
        </w:tc>
        <w:tc>
          <w:tcPr>
            <w:tcW w:w="1701" w:type="dxa"/>
            <w:vAlign w:val="center"/>
          </w:tcPr>
          <w:p w:rsidR="002A5A5E" w:rsidRPr="00FC1444" w:rsidRDefault="00611CBA">
            <w:pPr>
              <w:jc w:val="center"/>
              <w:rPr>
                <w:rFonts w:eastAsiaTheme="minorEastAsia"/>
                <w:szCs w:val="21"/>
              </w:rPr>
            </w:pPr>
            <w:r w:rsidRPr="00FC1444">
              <w:rPr>
                <w:rFonts w:eastAsiaTheme="minorEastAsia"/>
                <w:szCs w:val="21"/>
              </w:rPr>
              <w:t>滴定管</w:t>
            </w:r>
          </w:p>
        </w:tc>
        <w:tc>
          <w:tcPr>
            <w:tcW w:w="2410" w:type="dxa"/>
            <w:vAlign w:val="center"/>
          </w:tcPr>
          <w:p w:rsidR="002A5A5E" w:rsidRPr="00FC1444" w:rsidRDefault="00611CBA">
            <w:pPr>
              <w:jc w:val="center"/>
              <w:rPr>
                <w:rFonts w:eastAsiaTheme="minorEastAsia"/>
                <w:szCs w:val="21"/>
              </w:rPr>
            </w:pPr>
            <w:r w:rsidRPr="00FC1444">
              <w:rPr>
                <w:rFonts w:eastAsiaTheme="minorEastAsia"/>
                <w:szCs w:val="21"/>
              </w:rPr>
              <w:t>25ml/--</w:t>
            </w:r>
          </w:p>
        </w:tc>
      </w:tr>
      <w:tr w:rsidR="002A5A5E" w:rsidRPr="00FC1444">
        <w:trPr>
          <w:trHeight w:val="56"/>
        </w:trPr>
        <w:tc>
          <w:tcPr>
            <w:tcW w:w="1141" w:type="dxa"/>
            <w:vAlign w:val="center"/>
          </w:tcPr>
          <w:p w:rsidR="002A5A5E" w:rsidRPr="00FC1444" w:rsidRDefault="00611CBA">
            <w:pPr>
              <w:jc w:val="center"/>
              <w:rPr>
                <w:rFonts w:eastAsiaTheme="minorEastAsia"/>
                <w:szCs w:val="21"/>
              </w:rPr>
            </w:pPr>
            <w:r w:rsidRPr="00FC1444">
              <w:rPr>
                <w:rFonts w:eastAsiaTheme="minorEastAsia"/>
                <w:szCs w:val="21"/>
              </w:rPr>
              <w:t>挥发酚</w:t>
            </w:r>
          </w:p>
        </w:tc>
        <w:tc>
          <w:tcPr>
            <w:tcW w:w="3220" w:type="dxa"/>
            <w:vAlign w:val="center"/>
          </w:tcPr>
          <w:p w:rsidR="002A5A5E" w:rsidRPr="00FC1444" w:rsidRDefault="00611CBA">
            <w:pPr>
              <w:jc w:val="center"/>
              <w:rPr>
                <w:rFonts w:eastAsiaTheme="minorEastAsia"/>
                <w:szCs w:val="21"/>
              </w:rPr>
            </w:pPr>
            <w:r w:rsidRPr="00FC1444">
              <w:rPr>
                <w:rFonts w:eastAsiaTheme="minorEastAsia"/>
                <w:szCs w:val="21"/>
              </w:rPr>
              <w:t>水质</w:t>
            </w:r>
            <w:r w:rsidRPr="00FC1444">
              <w:rPr>
                <w:rFonts w:eastAsiaTheme="minorEastAsia"/>
                <w:szCs w:val="21"/>
              </w:rPr>
              <w:t xml:space="preserve"> </w:t>
            </w:r>
            <w:r w:rsidRPr="00FC1444">
              <w:rPr>
                <w:rFonts w:eastAsiaTheme="minorEastAsia"/>
                <w:szCs w:val="21"/>
              </w:rPr>
              <w:t>挥发酚的测定</w:t>
            </w:r>
            <w:r w:rsidRPr="00FC1444">
              <w:rPr>
                <w:rFonts w:eastAsiaTheme="minorEastAsia"/>
                <w:szCs w:val="21"/>
              </w:rPr>
              <w:t xml:space="preserve"> 4-</w:t>
            </w:r>
            <w:r w:rsidRPr="00FC1444">
              <w:rPr>
                <w:rFonts w:eastAsiaTheme="minorEastAsia"/>
                <w:szCs w:val="21"/>
              </w:rPr>
              <w:t>氨基安替比林分光光度法</w:t>
            </w:r>
            <w:r w:rsidRPr="00FC1444">
              <w:rPr>
                <w:rFonts w:eastAsiaTheme="minorEastAsia"/>
                <w:szCs w:val="21"/>
              </w:rPr>
              <w:t>HJ503-2009</w:t>
            </w:r>
          </w:p>
        </w:tc>
        <w:tc>
          <w:tcPr>
            <w:tcW w:w="1701" w:type="dxa"/>
            <w:vAlign w:val="center"/>
          </w:tcPr>
          <w:p w:rsidR="002A5A5E" w:rsidRPr="00FC1444" w:rsidRDefault="00611CBA">
            <w:pPr>
              <w:jc w:val="center"/>
              <w:rPr>
                <w:rFonts w:eastAsiaTheme="minorEastAsia"/>
                <w:szCs w:val="21"/>
              </w:rPr>
            </w:pPr>
            <w:r w:rsidRPr="00FC1444">
              <w:rPr>
                <w:rFonts w:eastAsiaTheme="minorEastAsia"/>
                <w:szCs w:val="21"/>
              </w:rPr>
              <w:t>紫外</w:t>
            </w:r>
            <w:r w:rsidRPr="00FC1444">
              <w:rPr>
                <w:rFonts w:eastAsiaTheme="minorEastAsia"/>
                <w:szCs w:val="21"/>
              </w:rPr>
              <w:t>/</w:t>
            </w:r>
            <w:r w:rsidRPr="00FC1444">
              <w:rPr>
                <w:rFonts w:eastAsiaTheme="minorEastAsia"/>
                <w:szCs w:val="21"/>
              </w:rPr>
              <w:t>可见分光光度计</w:t>
            </w:r>
          </w:p>
        </w:tc>
        <w:tc>
          <w:tcPr>
            <w:tcW w:w="2410" w:type="dxa"/>
            <w:vAlign w:val="center"/>
          </w:tcPr>
          <w:p w:rsidR="002A5A5E" w:rsidRPr="00FC1444" w:rsidRDefault="00611CBA">
            <w:pPr>
              <w:jc w:val="center"/>
              <w:rPr>
                <w:rFonts w:eastAsiaTheme="minorEastAsia"/>
                <w:szCs w:val="21"/>
              </w:rPr>
            </w:pPr>
            <w:r w:rsidRPr="00FC1444">
              <w:rPr>
                <w:rFonts w:eastAsiaTheme="minorEastAsia"/>
                <w:szCs w:val="21"/>
              </w:rPr>
              <w:t>T6</w:t>
            </w:r>
            <w:r w:rsidRPr="00FC1444">
              <w:rPr>
                <w:rFonts w:eastAsiaTheme="minorEastAsia"/>
                <w:szCs w:val="21"/>
              </w:rPr>
              <w:t>新世纪</w:t>
            </w:r>
            <w:r w:rsidRPr="00FC1444">
              <w:rPr>
                <w:rFonts w:eastAsiaTheme="minorEastAsia"/>
                <w:szCs w:val="21"/>
              </w:rPr>
              <w:t>/XJYQ-090-2017</w:t>
            </w:r>
          </w:p>
        </w:tc>
      </w:tr>
      <w:tr w:rsidR="002A5A5E" w:rsidRPr="00FC1444">
        <w:trPr>
          <w:trHeight w:val="907"/>
        </w:trPr>
        <w:tc>
          <w:tcPr>
            <w:tcW w:w="1141" w:type="dxa"/>
            <w:vAlign w:val="center"/>
          </w:tcPr>
          <w:p w:rsidR="002A5A5E" w:rsidRPr="00FC1444" w:rsidRDefault="00611CBA">
            <w:pPr>
              <w:jc w:val="center"/>
              <w:rPr>
                <w:rFonts w:eastAsiaTheme="minorEastAsia"/>
                <w:szCs w:val="21"/>
              </w:rPr>
            </w:pPr>
            <w:r w:rsidRPr="00FC1444">
              <w:rPr>
                <w:rFonts w:eastAsiaTheme="minorEastAsia"/>
                <w:szCs w:val="21"/>
              </w:rPr>
              <w:t>耗氧量</w:t>
            </w:r>
          </w:p>
        </w:tc>
        <w:tc>
          <w:tcPr>
            <w:tcW w:w="3220" w:type="dxa"/>
            <w:vAlign w:val="center"/>
          </w:tcPr>
          <w:p w:rsidR="002A5A5E" w:rsidRPr="00FC1444" w:rsidRDefault="00611CBA">
            <w:pPr>
              <w:jc w:val="center"/>
              <w:rPr>
                <w:rFonts w:eastAsiaTheme="minorEastAsia"/>
                <w:szCs w:val="21"/>
              </w:rPr>
            </w:pPr>
            <w:r w:rsidRPr="00FC1444">
              <w:rPr>
                <w:rFonts w:eastAsiaTheme="minorEastAsia"/>
                <w:szCs w:val="21"/>
              </w:rPr>
              <w:t>生活饮用水检验检测方法</w:t>
            </w:r>
            <w:r w:rsidRPr="00FC1444">
              <w:rPr>
                <w:rFonts w:eastAsiaTheme="minorEastAsia"/>
                <w:szCs w:val="21"/>
              </w:rPr>
              <w:t xml:space="preserve"> </w:t>
            </w:r>
            <w:r w:rsidRPr="00FC1444">
              <w:rPr>
                <w:rFonts w:eastAsiaTheme="minorEastAsia"/>
                <w:szCs w:val="21"/>
              </w:rPr>
              <w:t>有机物综合指标（</w:t>
            </w:r>
            <w:r w:rsidRPr="00FC1444">
              <w:rPr>
                <w:rFonts w:eastAsiaTheme="minorEastAsia"/>
                <w:szCs w:val="21"/>
              </w:rPr>
              <w:t>1.1</w:t>
            </w:r>
            <w:r w:rsidRPr="00FC1444">
              <w:rPr>
                <w:rFonts w:eastAsiaTheme="minorEastAsia"/>
                <w:szCs w:val="21"/>
              </w:rPr>
              <w:t>酸性高锰酸钾滴定法）</w:t>
            </w:r>
            <w:r w:rsidRPr="00FC1444">
              <w:rPr>
                <w:rFonts w:eastAsiaTheme="minorEastAsia"/>
                <w:szCs w:val="21"/>
              </w:rPr>
              <w:t>GB/T5750.7-2006</w:t>
            </w:r>
          </w:p>
        </w:tc>
        <w:tc>
          <w:tcPr>
            <w:tcW w:w="1701" w:type="dxa"/>
            <w:vAlign w:val="center"/>
          </w:tcPr>
          <w:p w:rsidR="002A5A5E" w:rsidRPr="00FC1444" w:rsidRDefault="00611CBA">
            <w:pPr>
              <w:jc w:val="center"/>
              <w:rPr>
                <w:rFonts w:eastAsiaTheme="minorEastAsia"/>
                <w:szCs w:val="21"/>
              </w:rPr>
            </w:pPr>
            <w:r w:rsidRPr="00FC1444">
              <w:rPr>
                <w:rFonts w:eastAsiaTheme="minorEastAsia"/>
                <w:szCs w:val="21"/>
              </w:rPr>
              <w:t>滴定管</w:t>
            </w:r>
          </w:p>
        </w:tc>
        <w:tc>
          <w:tcPr>
            <w:tcW w:w="2410" w:type="dxa"/>
            <w:vAlign w:val="center"/>
          </w:tcPr>
          <w:p w:rsidR="002A5A5E" w:rsidRPr="00FC1444" w:rsidRDefault="00611CBA">
            <w:pPr>
              <w:jc w:val="center"/>
              <w:rPr>
                <w:rFonts w:eastAsiaTheme="minorEastAsia"/>
                <w:szCs w:val="21"/>
              </w:rPr>
            </w:pPr>
            <w:r w:rsidRPr="00FC1444">
              <w:rPr>
                <w:rFonts w:eastAsiaTheme="minorEastAsia"/>
                <w:szCs w:val="21"/>
              </w:rPr>
              <w:t>25ml/--</w:t>
            </w:r>
          </w:p>
        </w:tc>
      </w:tr>
      <w:tr w:rsidR="002A5A5E" w:rsidRPr="00FC1444">
        <w:trPr>
          <w:trHeight w:val="907"/>
        </w:trPr>
        <w:tc>
          <w:tcPr>
            <w:tcW w:w="1141" w:type="dxa"/>
            <w:vAlign w:val="center"/>
          </w:tcPr>
          <w:p w:rsidR="002A5A5E" w:rsidRPr="00FC1444" w:rsidRDefault="00611CBA">
            <w:pPr>
              <w:jc w:val="center"/>
              <w:rPr>
                <w:rFonts w:eastAsiaTheme="minorEastAsia"/>
                <w:szCs w:val="21"/>
              </w:rPr>
            </w:pPr>
            <w:r w:rsidRPr="00FC1444">
              <w:rPr>
                <w:rFonts w:eastAsiaTheme="minorEastAsia"/>
                <w:szCs w:val="21"/>
              </w:rPr>
              <w:t>硝酸盐</w:t>
            </w:r>
          </w:p>
        </w:tc>
        <w:tc>
          <w:tcPr>
            <w:tcW w:w="3220" w:type="dxa"/>
            <w:vAlign w:val="center"/>
          </w:tcPr>
          <w:p w:rsidR="002A5A5E" w:rsidRPr="00FC1444" w:rsidRDefault="00611CBA">
            <w:pPr>
              <w:jc w:val="center"/>
              <w:rPr>
                <w:rFonts w:eastAsiaTheme="minorEastAsia"/>
                <w:szCs w:val="21"/>
              </w:rPr>
            </w:pPr>
            <w:r w:rsidRPr="00FC1444">
              <w:rPr>
                <w:rFonts w:eastAsiaTheme="minorEastAsia"/>
                <w:szCs w:val="21"/>
              </w:rPr>
              <w:t>生活饮用水标准检验方法</w:t>
            </w:r>
            <w:r w:rsidRPr="00FC1444">
              <w:rPr>
                <w:rFonts w:eastAsiaTheme="minorEastAsia"/>
                <w:szCs w:val="21"/>
              </w:rPr>
              <w:t xml:space="preserve"> </w:t>
            </w:r>
            <w:r w:rsidRPr="00FC1444">
              <w:rPr>
                <w:rFonts w:eastAsiaTheme="minorEastAsia"/>
                <w:szCs w:val="21"/>
              </w:rPr>
              <w:t>无机非金属指标（</w:t>
            </w:r>
            <w:r w:rsidRPr="00FC1444">
              <w:rPr>
                <w:rFonts w:eastAsiaTheme="minorEastAsia"/>
                <w:szCs w:val="21"/>
              </w:rPr>
              <w:t>5.1</w:t>
            </w:r>
            <w:r w:rsidRPr="00FC1444">
              <w:rPr>
                <w:rFonts w:eastAsiaTheme="minorEastAsia"/>
                <w:szCs w:val="21"/>
              </w:rPr>
              <w:t>麝香草酚分光光度法）</w:t>
            </w:r>
            <w:r w:rsidRPr="00FC1444">
              <w:rPr>
                <w:rFonts w:eastAsiaTheme="minorEastAsia"/>
                <w:szCs w:val="21"/>
              </w:rPr>
              <w:t>GB/T5750.5-2006</w:t>
            </w:r>
          </w:p>
        </w:tc>
        <w:tc>
          <w:tcPr>
            <w:tcW w:w="1701" w:type="dxa"/>
            <w:vAlign w:val="center"/>
          </w:tcPr>
          <w:p w:rsidR="002A5A5E" w:rsidRPr="00FC1444" w:rsidRDefault="00611CBA">
            <w:pPr>
              <w:jc w:val="center"/>
              <w:rPr>
                <w:rFonts w:eastAsiaTheme="minorEastAsia"/>
                <w:szCs w:val="21"/>
              </w:rPr>
            </w:pPr>
            <w:r w:rsidRPr="00FC1444">
              <w:rPr>
                <w:rFonts w:eastAsiaTheme="minorEastAsia"/>
                <w:szCs w:val="21"/>
              </w:rPr>
              <w:t>紫外</w:t>
            </w:r>
            <w:r w:rsidRPr="00FC1444">
              <w:rPr>
                <w:rFonts w:eastAsiaTheme="minorEastAsia"/>
                <w:szCs w:val="21"/>
              </w:rPr>
              <w:t>/</w:t>
            </w:r>
            <w:r w:rsidRPr="00FC1444">
              <w:rPr>
                <w:rFonts w:eastAsiaTheme="minorEastAsia"/>
                <w:szCs w:val="21"/>
              </w:rPr>
              <w:t>可见分光光度计</w:t>
            </w:r>
          </w:p>
        </w:tc>
        <w:tc>
          <w:tcPr>
            <w:tcW w:w="2410" w:type="dxa"/>
            <w:vAlign w:val="center"/>
          </w:tcPr>
          <w:p w:rsidR="002A5A5E" w:rsidRPr="00FC1444" w:rsidRDefault="00611CBA">
            <w:pPr>
              <w:jc w:val="center"/>
              <w:rPr>
                <w:rFonts w:eastAsiaTheme="minorEastAsia"/>
                <w:szCs w:val="21"/>
              </w:rPr>
            </w:pPr>
            <w:r w:rsidRPr="00FC1444">
              <w:rPr>
                <w:rFonts w:eastAsiaTheme="minorEastAsia"/>
                <w:szCs w:val="21"/>
              </w:rPr>
              <w:t>T6</w:t>
            </w:r>
            <w:r w:rsidRPr="00FC1444">
              <w:rPr>
                <w:rFonts w:eastAsiaTheme="minorEastAsia"/>
                <w:szCs w:val="21"/>
              </w:rPr>
              <w:t>新世纪</w:t>
            </w:r>
            <w:r w:rsidRPr="00FC1444">
              <w:rPr>
                <w:rFonts w:eastAsiaTheme="minorEastAsia"/>
                <w:szCs w:val="21"/>
              </w:rPr>
              <w:t>/XJYQ-090-2017</w:t>
            </w:r>
          </w:p>
        </w:tc>
      </w:tr>
      <w:tr w:rsidR="002A5A5E" w:rsidRPr="00FC1444">
        <w:trPr>
          <w:trHeight w:val="907"/>
        </w:trPr>
        <w:tc>
          <w:tcPr>
            <w:tcW w:w="1141" w:type="dxa"/>
            <w:vAlign w:val="center"/>
          </w:tcPr>
          <w:p w:rsidR="002A5A5E" w:rsidRPr="00FC1444" w:rsidRDefault="00611CBA">
            <w:pPr>
              <w:jc w:val="center"/>
              <w:rPr>
                <w:rFonts w:eastAsiaTheme="minorEastAsia"/>
                <w:szCs w:val="21"/>
              </w:rPr>
            </w:pPr>
            <w:r w:rsidRPr="00FC1444">
              <w:rPr>
                <w:rFonts w:eastAsiaTheme="minorEastAsia"/>
                <w:szCs w:val="21"/>
              </w:rPr>
              <w:t>亚硝酸盐</w:t>
            </w:r>
          </w:p>
        </w:tc>
        <w:tc>
          <w:tcPr>
            <w:tcW w:w="3220" w:type="dxa"/>
            <w:vAlign w:val="center"/>
          </w:tcPr>
          <w:p w:rsidR="002A5A5E" w:rsidRPr="00FC1444" w:rsidRDefault="00611CBA">
            <w:pPr>
              <w:jc w:val="center"/>
              <w:rPr>
                <w:rFonts w:eastAsiaTheme="minorEastAsia"/>
                <w:szCs w:val="21"/>
              </w:rPr>
            </w:pPr>
            <w:r w:rsidRPr="00FC1444">
              <w:rPr>
                <w:rFonts w:eastAsiaTheme="minorEastAsia"/>
                <w:szCs w:val="21"/>
              </w:rPr>
              <w:t>生活饮用水标准检验方法</w:t>
            </w:r>
            <w:r w:rsidRPr="00FC1444">
              <w:rPr>
                <w:rFonts w:eastAsiaTheme="minorEastAsia"/>
                <w:szCs w:val="21"/>
              </w:rPr>
              <w:t xml:space="preserve"> </w:t>
            </w:r>
            <w:r w:rsidRPr="00FC1444">
              <w:rPr>
                <w:rFonts w:eastAsiaTheme="minorEastAsia"/>
                <w:szCs w:val="21"/>
              </w:rPr>
              <w:t>无机非金属指标</w:t>
            </w:r>
            <w:r w:rsidRPr="00FC1444">
              <w:rPr>
                <w:rFonts w:eastAsiaTheme="minorEastAsia"/>
                <w:szCs w:val="21"/>
              </w:rPr>
              <w:t>(10.1</w:t>
            </w:r>
            <w:r w:rsidRPr="00FC1444">
              <w:rPr>
                <w:rFonts w:eastAsiaTheme="minorEastAsia"/>
                <w:szCs w:val="21"/>
              </w:rPr>
              <w:t>重氮耦合分光光度法</w:t>
            </w:r>
            <w:r w:rsidRPr="00FC1444">
              <w:rPr>
                <w:rFonts w:eastAsiaTheme="minorEastAsia"/>
                <w:szCs w:val="21"/>
              </w:rPr>
              <w:t>)GB/T5750.5-2006</w:t>
            </w:r>
          </w:p>
        </w:tc>
        <w:tc>
          <w:tcPr>
            <w:tcW w:w="1701" w:type="dxa"/>
            <w:vAlign w:val="center"/>
          </w:tcPr>
          <w:p w:rsidR="002A5A5E" w:rsidRPr="00FC1444" w:rsidRDefault="00611CBA">
            <w:pPr>
              <w:jc w:val="center"/>
              <w:rPr>
                <w:rFonts w:eastAsiaTheme="minorEastAsia"/>
                <w:szCs w:val="21"/>
              </w:rPr>
            </w:pPr>
            <w:r w:rsidRPr="00FC1444">
              <w:rPr>
                <w:rFonts w:eastAsiaTheme="minorEastAsia"/>
                <w:szCs w:val="21"/>
              </w:rPr>
              <w:t>紫外</w:t>
            </w:r>
            <w:r w:rsidRPr="00FC1444">
              <w:rPr>
                <w:rFonts w:eastAsiaTheme="minorEastAsia"/>
                <w:szCs w:val="21"/>
              </w:rPr>
              <w:t>/</w:t>
            </w:r>
            <w:r w:rsidRPr="00FC1444">
              <w:rPr>
                <w:rFonts w:eastAsiaTheme="minorEastAsia"/>
                <w:szCs w:val="21"/>
              </w:rPr>
              <w:t>可见分光光度计</w:t>
            </w:r>
          </w:p>
        </w:tc>
        <w:tc>
          <w:tcPr>
            <w:tcW w:w="2410" w:type="dxa"/>
            <w:vAlign w:val="center"/>
          </w:tcPr>
          <w:p w:rsidR="002A5A5E" w:rsidRPr="00FC1444" w:rsidRDefault="00611CBA">
            <w:pPr>
              <w:jc w:val="center"/>
              <w:rPr>
                <w:rFonts w:eastAsiaTheme="minorEastAsia"/>
                <w:szCs w:val="21"/>
              </w:rPr>
            </w:pPr>
            <w:r w:rsidRPr="00FC1444">
              <w:rPr>
                <w:rFonts w:eastAsiaTheme="minorEastAsia"/>
                <w:szCs w:val="21"/>
              </w:rPr>
              <w:t>T6</w:t>
            </w:r>
            <w:r w:rsidRPr="00FC1444">
              <w:rPr>
                <w:rFonts w:eastAsiaTheme="minorEastAsia"/>
                <w:szCs w:val="21"/>
              </w:rPr>
              <w:t>新世纪</w:t>
            </w:r>
            <w:r w:rsidRPr="00FC1444">
              <w:rPr>
                <w:rFonts w:eastAsiaTheme="minorEastAsia"/>
                <w:szCs w:val="21"/>
              </w:rPr>
              <w:t>/XJYQ-090-2017</w:t>
            </w:r>
          </w:p>
        </w:tc>
      </w:tr>
      <w:tr w:rsidR="002A5A5E" w:rsidRPr="00FC1444">
        <w:trPr>
          <w:trHeight w:val="337"/>
        </w:trPr>
        <w:tc>
          <w:tcPr>
            <w:tcW w:w="1141" w:type="dxa"/>
            <w:vAlign w:val="center"/>
          </w:tcPr>
          <w:p w:rsidR="002A5A5E" w:rsidRPr="00FC1444" w:rsidRDefault="00611CBA">
            <w:pPr>
              <w:jc w:val="center"/>
              <w:rPr>
                <w:rFonts w:eastAsiaTheme="minorEastAsia"/>
              </w:rPr>
            </w:pPr>
            <w:r w:rsidRPr="00FC1444">
              <w:rPr>
                <w:rFonts w:eastAsiaTheme="minorEastAsia"/>
              </w:rPr>
              <w:t>氨氮</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生活饮用水标准检验方法</w:t>
            </w:r>
            <w:r w:rsidRPr="00FC1444">
              <w:rPr>
                <w:rFonts w:eastAsiaTheme="minorEastAsia"/>
                <w:szCs w:val="18"/>
              </w:rPr>
              <w:t xml:space="preserve"> </w:t>
            </w:r>
            <w:r w:rsidRPr="00FC1444">
              <w:rPr>
                <w:rFonts w:eastAsiaTheme="minorEastAsia"/>
                <w:szCs w:val="18"/>
              </w:rPr>
              <w:t>无机非金属指标</w:t>
            </w:r>
            <w:r w:rsidRPr="00FC1444">
              <w:rPr>
                <w:rFonts w:eastAsiaTheme="minorEastAsia"/>
                <w:szCs w:val="18"/>
              </w:rPr>
              <w:t xml:space="preserve"> (9.1</w:t>
            </w:r>
            <w:r w:rsidRPr="00FC1444">
              <w:rPr>
                <w:rFonts w:eastAsiaTheme="minorEastAsia"/>
                <w:szCs w:val="18"/>
              </w:rPr>
              <w:t>纳氏试剂分光光度法</w:t>
            </w:r>
            <w:r w:rsidRPr="00FC1444">
              <w:rPr>
                <w:rFonts w:eastAsiaTheme="minorEastAsia"/>
                <w:szCs w:val="18"/>
              </w:rPr>
              <w:t>)GB/T5750.5-2006</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紫外</w:t>
            </w:r>
            <w:r w:rsidRPr="00FC1444">
              <w:rPr>
                <w:rFonts w:eastAsiaTheme="minorEastAsia"/>
                <w:szCs w:val="18"/>
              </w:rPr>
              <w:t>/</w:t>
            </w:r>
            <w:r w:rsidRPr="00FC1444">
              <w:rPr>
                <w:rFonts w:eastAsiaTheme="minorEastAsia"/>
                <w:szCs w:val="18"/>
              </w:rPr>
              <w:t>可见分光光度计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T6</w:t>
            </w:r>
            <w:r w:rsidRPr="00FC1444">
              <w:rPr>
                <w:rFonts w:eastAsiaTheme="minorEastAsia"/>
                <w:szCs w:val="18"/>
              </w:rPr>
              <w:t>新世纪</w:t>
            </w:r>
            <w:r w:rsidRPr="00FC1444">
              <w:rPr>
                <w:rFonts w:eastAsiaTheme="minorEastAsia"/>
                <w:szCs w:val="18"/>
              </w:rPr>
              <w:t>/XJYQ-090-2017</w:t>
            </w:r>
          </w:p>
        </w:tc>
      </w:tr>
      <w:tr w:rsidR="002A5A5E" w:rsidRPr="00FC1444">
        <w:trPr>
          <w:trHeight w:val="907"/>
        </w:trPr>
        <w:tc>
          <w:tcPr>
            <w:tcW w:w="1141" w:type="dxa"/>
            <w:vAlign w:val="center"/>
          </w:tcPr>
          <w:p w:rsidR="002A5A5E" w:rsidRPr="00FC1444" w:rsidRDefault="00611CBA">
            <w:pPr>
              <w:jc w:val="center"/>
              <w:rPr>
                <w:rFonts w:eastAsiaTheme="minorEastAsia"/>
              </w:rPr>
            </w:pPr>
            <w:r w:rsidRPr="00FC1444">
              <w:rPr>
                <w:rFonts w:eastAsiaTheme="minorEastAsia"/>
              </w:rPr>
              <w:t>六价铬</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生活饮用水标准检验方法</w:t>
            </w:r>
            <w:r w:rsidRPr="00FC1444">
              <w:rPr>
                <w:rFonts w:eastAsiaTheme="minorEastAsia"/>
                <w:szCs w:val="18"/>
              </w:rPr>
              <w:t xml:space="preserve"> </w:t>
            </w:r>
            <w:r w:rsidRPr="00FC1444">
              <w:rPr>
                <w:rFonts w:eastAsiaTheme="minorEastAsia"/>
                <w:szCs w:val="18"/>
              </w:rPr>
              <w:t>金属指标</w:t>
            </w:r>
            <w:r w:rsidRPr="00FC1444">
              <w:rPr>
                <w:rFonts w:eastAsiaTheme="minorEastAsia"/>
                <w:szCs w:val="18"/>
              </w:rPr>
              <w:t xml:space="preserve"> </w:t>
            </w:r>
            <w:r w:rsidRPr="00FC1444">
              <w:rPr>
                <w:rFonts w:eastAsiaTheme="minorEastAsia"/>
                <w:szCs w:val="18"/>
              </w:rPr>
              <w:t>六价铬（</w:t>
            </w:r>
            <w:r w:rsidRPr="00FC1444">
              <w:rPr>
                <w:rFonts w:eastAsiaTheme="minorEastAsia"/>
                <w:szCs w:val="18"/>
              </w:rPr>
              <w:t>10.1</w:t>
            </w:r>
            <w:r w:rsidRPr="00FC1444">
              <w:rPr>
                <w:rFonts w:eastAsiaTheme="minorEastAsia"/>
                <w:szCs w:val="18"/>
              </w:rPr>
              <w:t>二苯碳酰二肼分光光度法）</w:t>
            </w:r>
            <w:r w:rsidRPr="00FC1444">
              <w:rPr>
                <w:rFonts w:eastAsiaTheme="minorEastAsia"/>
                <w:szCs w:val="18"/>
              </w:rPr>
              <w:t>GB/T5750.6-2006</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紫外</w:t>
            </w:r>
            <w:r w:rsidRPr="00FC1444">
              <w:rPr>
                <w:rFonts w:eastAsiaTheme="minorEastAsia"/>
                <w:szCs w:val="18"/>
              </w:rPr>
              <w:t>/</w:t>
            </w:r>
            <w:r w:rsidRPr="00FC1444">
              <w:rPr>
                <w:rFonts w:eastAsiaTheme="minorEastAsia"/>
                <w:szCs w:val="18"/>
              </w:rPr>
              <w:t>可见分光光度计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T6</w:t>
            </w:r>
            <w:r w:rsidRPr="00FC1444">
              <w:rPr>
                <w:rFonts w:eastAsiaTheme="minorEastAsia"/>
                <w:szCs w:val="18"/>
              </w:rPr>
              <w:t>新世纪</w:t>
            </w:r>
            <w:r w:rsidRPr="00FC1444">
              <w:rPr>
                <w:rFonts w:eastAsiaTheme="minorEastAsia"/>
                <w:szCs w:val="18"/>
              </w:rPr>
              <w:t>/XJYQ-090-2017</w:t>
            </w:r>
          </w:p>
        </w:tc>
      </w:tr>
      <w:tr w:rsidR="002A5A5E" w:rsidRPr="00FC1444">
        <w:trPr>
          <w:trHeight w:val="45"/>
        </w:trPr>
        <w:tc>
          <w:tcPr>
            <w:tcW w:w="1141" w:type="dxa"/>
            <w:vAlign w:val="center"/>
          </w:tcPr>
          <w:p w:rsidR="002A5A5E" w:rsidRPr="00FC1444" w:rsidRDefault="00611CBA">
            <w:pPr>
              <w:jc w:val="center"/>
              <w:rPr>
                <w:rFonts w:eastAsiaTheme="minorEastAsia"/>
              </w:rPr>
            </w:pPr>
            <w:r w:rsidRPr="00FC1444">
              <w:rPr>
                <w:rFonts w:eastAsiaTheme="minorEastAsia"/>
              </w:rPr>
              <w:t>氟化物</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水质</w:t>
            </w:r>
            <w:r w:rsidRPr="00FC1444">
              <w:rPr>
                <w:rFonts w:eastAsiaTheme="minorEastAsia"/>
                <w:szCs w:val="18"/>
              </w:rPr>
              <w:t xml:space="preserve"> </w:t>
            </w:r>
            <w:r w:rsidRPr="00FC1444">
              <w:rPr>
                <w:rFonts w:eastAsiaTheme="minorEastAsia"/>
                <w:szCs w:val="18"/>
              </w:rPr>
              <w:t>氟化物的测定</w:t>
            </w:r>
            <w:r w:rsidRPr="00FC1444">
              <w:rPr>
                <w:rFonts w:eastAsiaTheme="minorEastAsia"/>
                <w:szCs w:val="18"/>
              </w:rPr>
              <w:t xml:space="preserve"> </w:t>
            </w:r>
            <w:r w:rsidRPr="00FC1444">
              <w:rPr>
                <w:rFonts w:eastAsiaTheme="minorEastAsia"/>
                <w:szCs w:val="18"/>
              </w:rPr>
              <w:t>氟试剂分光光度法</w:t>
            </w:r>
            <w:r w:rsidRPr="00FC1444">
              <w:rPr>
                <w:rFonts w:eastAsiaTheme="minorEastAsia"/>
                <w:szCs w:val="18"/>
              </w:rPr>
              <w:t>HJ488-2009</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紫外</w:t>
            </w:r>
            <w:r w:rsidRPr="00FC1444">
              <w:rPr>
                <w:rFonts w:eastAsiaTheme="minorEastAsia"/>
                <w:szCs w:val="18"/>
              </w:rPr>
              <w:t>/</w:t>
            </w:r>
            <w:r w:rsidRPr="00FC1444">
              <w:rPr>
                <w:rFonts w:eastAsiaTheme="minorEastAsia"/>
                <w:szCs w:val="18"/>
              </w:rPr>
              <w:t>可见分光光度计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T6</w:t>
            </w:r>
            <w:r w:rsidRPr="00FC1444">
              <w:rPr>
                <w:rFonts w:eastAsiaTheme="minorEastAsia"/>
                <w:szCs w:val="18"/>
              </w:rPr>
              <w:t>新世纪</w:t>
            </w:r>
            <w:r w:rsidRPr="00FC1444">
              <w:rPr>
                <w:rFonts w:eastAsiaTheme="minorEastAsia"/>
                <w:szCs w:val="18"/>
              </w:rPr>
              <w:t>/XJYQ-090-2017</w:t>
            </w:r>
          </w:p>
        </w:tc>
      </w:tr>
    </w:tbl>
    <w:p w:rsidR="006364CE" w:rsidRPr="00FC1444" w:rsidRDefault="006364CE">
      <w:pPr>
        <w:contextualSpacing/>
        <w:jc w:val="center"/>
        <w:rPr>
          <w:rFonts w:eastAsiaTheme="minorEastAsia"/>
          <w:b/>
          <w:kern w:val="0"/>
          <w:szCs w:val="21"/>
        </w:rPr>
      </w:pPr>
    </w:p>
    <w:p w:rsidR="00890D83" w:rsidRPr="00FC1444" w:rsidRDefault="00890D83">
      <w:pPr>
        <w:contextualSpacing/>
        <w:jc w:val="center"/>
        <w:rPr>
          <w:rFonts w:eastAsiaTheme="minorEastAsia"/>
          <w:b/>
          <w:kern w:val="0"/>
          <w:szCs w:val="21"/>
        </w:rPr>
      </w:pPr>
    </w:p>
    <w:p w:rsidR="00890D83" w:rsidRPr="00FC1444" w:rsidRDefault="00890D83">
      <w:pPr>
        <w:contextualSpacing/>
        <w:jc w:val="center"/>
        <w:rPr>
          <w:rFonts w:eastAsiaTheme="minorEastAsia"/>
          <w:b/>
          <w:kern w:val="0"/>
          <w:szCs w:val="21"/>
        </w:rPr>
      </w:pPr>
    </w:p>
    <w:p w:rsidR="00890D83" w:rsidRPr="00FC1444" w:rsidRDefault="00890D83">
      <w:pPr>
        <w:contextualSpacing/>
        <w:jc w:val="center"/>
        <w:rPr>
          <w:rFonts w:eastAsiaTheme="minorEastAsia"/>
          <w:b/>
          <w:kern w:val="0"/>
          <w:szCs w:val="21"/>
        </w:rPr>
      </w:pPr>
    </w:p>
    <w:p w:rsidR="00890D83" w:rsidRPr="00FC1444" w:rsidRDefault="00890D83">
      <w:pPr>
        <w:contextualSpacing/>
        <w:jc w:val="center"/>
        <w:rPr>
          <w:rFonts w:eastAsiaTheme="minorEastAsia"/>
          <w:b/>
          <w:kern w:val="0"/>
          <w:szCs w:val="21"/>
        </w:rPr>
      </w:pPr>
    </w:p>
    <w:p w:rsidR="00890D83" w:rsidRPr="00FC1444" w:rsidRDefault="00890D83">
      <w:pPr>
        <w:contextualSpacing/>
        <w:jc w:val="center"/>
        <w:rPr>
          <w:rFonts w:eastAsiaTheme="minorEastAsia"/>
          <w:b/>
          <w:kern w:val="0"/>
          <w:szCs w:val="21"/>
        </w:rPr>
      </w:pPr>
    </w:p>
    <w:p w:rsidR="00890D83" w:rsidRPr="00FC1444" w:rsidRDefault="00890D83">
      <w:pPr>
        <w:contextualSpacing/>
        <w:jc w:val="center"/>
        <w:rPr>
          <w:rFonts w:eastAsiaTheme="minorEastAsia"/>
          <w:b/>
          <w:kern w:val="0"/>
          <w:szCs w:val="21"/>
        </w:rPr>
      </w:pPr>
    </w:p>
    <w:p w:rsidR="00890D83" w:rsidRPr="00FC1444" w:rsidRDefault="00890D83">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4-2-</w:t>
      </w:r>
      <w:r w:rsidR="00F90B8B" w:rsidRPr="00FC1444">
        <w:rPr>
          <w:rFonts w:eastAsiaTheme="minorEastAsia" w:hint="eastAsia"/>
          <w:b/>
          <w:kern w:val="0"/>
          <w:szCs w:val="21"/>
        </w:rPr>
        <w:t>5</w:t>
      </w:r>
      <w:r w:rsidRPr="00FC1444">
        <w:rPr>
          <w:rFonts w:eastAsiaTheme="minorEastAsia"/>
          <w:b/>
          <w:kern w:val="0"/>
          <w:szCs w:val="21"/>
        </w:rPr>
        <w:t xml:space="preserve"> </w:t>
      </w:r>
      <w:r w:rsidRPr="00FC1444">
        <w:rPr>
          <w:rFonts w:eastAsiaTheme="minorEastAsia"/>
          <w:b/>
          <w:kern w:val="0"/>
          <w:szCs w:val="21"/>
        </w:rPr>
        <w:t>监测分析方法一览表</w:t>
      </w:r>
    </w:p>
    <w:tbl>
      <w:tblPr>
        <w:tblW w:w="8472" w:type="dxa"/>
        <w:tblBorders>
          <w:top w:val="single" w:sz="12" w:space="0" w:color="000000"/>
          <w:bottom w:val="single" w:sz="12" w:space="0" w:color="000000"/>
          <w:insideH w:val="single" w:sz="4" w:space="0" w:color="000000"/>
          <w:insideV w:val="single" w:sz="4" w:space="0" w:color="000000"/>
        </w:tblBorders>
        <w:tblLayout w:type="fixed"/>
        <w:tblLook w:val="04A0"/>
      </w:tblPr>
      <w:tblGrid>
        <w:gridCol w:w="1141"/>
        <w:gridCol w:w="3220"/>
        <w:gridCol w:w="1701"/>
        <w:gridCol w:w="2410"/>
      </w:tblGrid>
      <w:tr w:rsidR="002A5A5E" w:rsidRPr="00FC1444">
        <w:trPr>
          <w:trHeight w:val="907"/>
        </w:trPr>
        <w:tc>
          <w:tcPr>
            <w:tcW w:w="1141" w:type="dxa"/>
            <w:vAlign w:val="center"/>
          </w:tcPr>
          <w:p w:rsidR="002A5A5E" w:rsidRPr="00FC1444" w:rsidRDefault="00611CBA">
            <w:pPr>
              <w:jc w:val="center"/>
              <w:rPr>
                <w:rFonts w:eastAsiaTheme="minorEastAsia"/>
              </w:rPr>
            </w:pPr>
            <w:r w:rsidRPr="00FC1444">
              <w:rPr>
                <w:rFonts w:eastAsiaTheme="minorEastAsia"/>
              </w:rPr>
              <w:t>氰化物</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生活饮用水标准检验方法</w:t>
            </w:r>
            <w:r w:rsidRPr="00FC1444">
              <w:rPr>
                <w:rFonts w:eastAsiaTheme="minorEastAsia"/>
                <w:szCs w:val="18"/>
              </w:rPr>
              <w:t xml:space="preserve"> </w:t>
            </w:r>
            <w:r w:rsidRPr="00FC1444">
              <w:rPr>
                <w:rFonts w:eastAsiaTheme="minorEastAsia"/>
                <w:szCs w:val="18"/>
              </w:rPr>
              <w:t>无机非金属指标（</w:t>
            </w:r>
            <w:r w:rsidRPr="00FC1444">
              <w:rPr>
                <w:rFonts w:eastAsiaTheme="minorEastAsia"/>
                <w:szCs w:val="18"/>
              </w:rPr>
              <w:t>4.1</w:t>
            </w:r>
            <w:r w:rsidRPr="00FC1444">
              <w:rPr>
                <w:rFonts w:eastAsiaTheme="minorEastAsia"/>
                <w:szCs w:val="18"/>
              </w:rPr>
              <w:t>异烟酸</w:t>
            </w:r>
            <w:r w:rsidRPr="00FC1444">
              <w:rPr>
                <w:rFonts w:eastAsiaTheme="minorEastAsia"/>
                <w:szCs w:val="18"/>
              </w:rPr>
              <w:t>-</w:t>
            </w:r>
            <w:r w:rsidRPr="00FC1444">
              <w:rPr>
                <w:rFonts w:eastAsiaTheme="minorEastAsia"/>
                <w:szCs w:val="18"/>
              </w:rPr>
              <w:t>吡唑酮分光光度法）</w:t>
            </w:r>
            <w:r w:rsidRPr="00FC1444">
              <w:rPr>
                <w:rFonts w:eastAsiaTheme="minorEastAsia"/>
                <w:szCs w:val="18"/>
              </w:rPr>
              <w:t>GB/T5750.5-2006</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紫外</w:t>
            </w:r>
            <w:r w:rsidRPr="00FC1444">
              <w:rPr>
                <w:rFonts w:eastAsiaTheme="minorEastAsia"/>
                <w:szCs w:val="18"/>
              </w:rPr>
              <w:t>/</w:t>
            </w:r>
            <w:r w:rsidRPr="00FC1444">
              <w:rPr>
                <w:rFonts w:eastAsiaTheme="minorEastAsia"/>
                <w:szCs w:val="18"/>
              </w:rPr>
              <w:t>可见分光光度计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T6</w:t>
            </w:r>
            <w:r w:rsidRPr="00FC1444">
              <w:rPr>
                <w:rFonts w:eastAsiaTheme="minorEastAsia"/>
                <w:szCs w:val="18"/>
              </w:rPr>
              <w:t>新世纪</w:t>
            </w:r>
            <w:r w:rsidRPr="00FC1444">
              <w:rPr>
                <w:rFonts w:eastAsiaTheme="minorEastAsia"/>
                <w:szCs w:val="18"/>
              </w:rPr>
              <w:t>/XJYQ-090-2017</w:t>
            </w:r>
          </w:p>
        </w:tc>
      </w:tr>
      <w:tr w:rsidR="002A5A5E" w:rsidRPr="00FC1444">
        <w:trPr>
          <w:trHeight w:val="907"/>
        </w:trPr>
        <w:tc>
          <w:tcPr>
            <w:tcW w:w="1141" w:type="dxa"/>
            <w:vAlign w:val="center"/>
          </w:tcPr>
          <w:p w:rsidR="002A5A5E" w:rsidRPr="00FC1444" w:rsidRDefault="00611CBA">
            <w:pPr>
              <w:jc w:val="center"/>
              <w:rPr>
                <w:rFonts w:eastAsiaTheme="minorEastAsia"/>
                <w:b/>
              </w:rPr>
            </w:pPr>
            <w:r w:rsidRPr="00FC1444">
              <w:rPr>
                <w:rFonts w:eastAsiaTheme="minorEastAsia"/>
              </w:rPr>
              <w:t>总大肠菌群</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生活饮用水标准检验方法</w:t>
            </w:r>
            <w:r w:rsidRPr="00FC1444">
              <w:rPr>
                <w:rFonts w:eastAsiaTheme="minorEastAsia"/>
                <w:szCs w:val="18"/>
              </w:rPr>
              <w:t xml:space="preserve"> </w:t>
            </w:r>
            <w:r w:rsidRPr="00FC1444">
              <w:rPr>
                <w:rFonts w:eastAsiaTheme="minorEastAsia"/>
                <w:szCs w:val="18"/>
              </w:rPr>
              <w:t>微生物指标</w:t>
            </w:r>
            <w:r w:rsidRPr="00FC1444">
              <w:rPr>
                <w:rFonts w:eastAsiaTheme="minorEastAsia"/>
                <w:szCs w:val="18"/>
              </w:rPr>
              <w:t xml:space="preserve"> (2.1</w:t>
            </w:r>
            <w:r w:rsidRPr="00FC1444">
              <w:rPr>
                <w:rFonts w:eastAsiaTheme="minorEastAsia"/>
                <w:szCs w:val="18"/>
              </w:rPr>
              <w:t>多管发酵法</w:t>
            </w:r>
            <w:r w:rsidRPr="00FC1444">
              <w:rPr>
                <w:rFonts w:eastAsiaTheme="minorEastAsia"/>
                <w:szCs w:val="18"/>
              </w:rPr>
              <w:t>)GB/T5750.12-2006</w:t>
            </w:r>
          </w:p>
        </w:tc>
        <w:tc>
          <w:tcPr>
            <w:tcW w:w="1701" w:type="dxa"/>
            <w:vAlign w:val="center"/>
          </w:tcPr>
          <w:p w:rsidR="002A5A5E" w:rsidRPr="00FC1444" w:rsidRDefault="00611CBA">
            <w:pPr>
              <w:jc w:val="center"/>
              <w:rPr>
                <w:rFonts w:eastAsiaTheme="minorEastAsia"/>
                <w:szCs w:val="18"/>
              </w:rPr>
            </w:pPr>
            <w:r w:rsidRPr="00FC1444">
              <w:rPr>
                <w:rFonts w:eastAsiaTheme="minorEastAsia"/>
              </w:rPr>
              <w:t>电热恒温培养箱</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BPX-82/XJYQ-087-2017</w:t>
            </w:r>
          </w:p>
        </w:tc>
      </w:tr>
      <w:tr w:rsidR="002A5A5E" w:rsidRPr="00FC1444">
        <w:trPr>
          <w:trHeight w:val="907"/>
        </w:trPr>
        <w:tc>
          <w:tcPr>
            <w:tcW w:w="1141" w:type="dxa"/>
            <w:vAlign w:val="center"/>
          </w:tcPr>
          <w:p w:rsidR="002A5A5E" w:rsidRPr="00FC1444" w:rsidRDefault="00611CBA">
            <w:pPr>
              <w:jc w:val="center"/>
              <w:rPr>
                <w:rFonts w:eastAsiaTheme="minorEastAsia"/>
              </w:rPr>
            </w:pPr>
            <w:r w:rsidRPr="00FC1444">
              <w:rPr>
                <w:rFonts w:eastAsiaTheme="minorEastAsia"/>
              </w:rPr>
              <w:t>菌落总数</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生活饮用水标准检验方法</w:t>
            </w:r>
            <w:r w:rsidRPr="00FC1444">
              <w:rPr>
                <w:rFonts w:eastAsiaTheme="minorEastAsia"/>
                <w:szCs w:val="18"/>
              </w:rPr>
              <w:t xml:space="preserve"> </w:t>
            </w:r>
            <w:r w:rsidRPr="00FC1444">
              <w:rPr>
                <w:rFonts w:eastAsiaTheme="minorEastAsia"/>
                <w:szCs w:val="18"/>
              </w:rPr>
              <w:t>微生物指标（</w:t>
            </w:r>
            <w:r w:rsidRPr="00FC1444">
              <w:rPr>
                <w:rFonts w:eastAsiaTheme="minorEastAsia"/>
                <w:szCs w:val="18"/>
              </w:rPr>
              <w:t xml:space="preserve">1.1 </w:t>
            </w:r>
            <w:r w:rsidRPr="00FC1444">
              <w:rPr>
                <w:rFonts w:eastAsiaTheme="minorEastAsia"/>
                <w:szCs w:val="18"/>
              </w:rPr>
              <w:t>平皿计数法）</w:t>
            </w:r>
            <w:r w:rsidRPr="00FC1444">
              <w:rPr>
                <w:rFonts w:eastAsiaTheme="minorEastAsia"/>
                <w:szCs w:val="18"/>
              </w:rPr>
              <w:t>GB/T5750.12-2006</w:t>
            </w:r>
          </w:p>
        </w:tc>
        <w:tc>
          <w:tcPr>
            <w:tcW w:w="1701" w:type="dxa"/>
            <w:vAlign w:val="center"/>
          </w:tcPr>
          <w:p w:rsidR="002A5A5E" w:rsidRPr="00FC1444" w:rsidRDefault="00611CBA">
            <w:pPr>
              <w:jc w:val="center"/>
              <w:rPr>
                <w:rFonts w:eastAsiaTheme="minorEastAsia"/>
                <w:szCs w:val="18"/>
              </w:rPr>
            </w:pPr>
            <w:r w:rsidRPr="00FC1444">
              <w:rPr>
                <w:rFonts w:eastAsiaTheme="minorEastAsia"/>
              </w:rPr>
              <w:t>电热恒温培养箱</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BPX-82/XJYQ-087-2017</w:t>
            </w:r>
          </w:p>
        </w:tc>
      </w:tr>
      <w:tr w:rsidR="002A5A5E" w:rsidRPr="00FC1444">
        <w:trPr>
          <w:trHeight w:val="381"/>
        </w:trPr>
        <w:tc>
          <w:tcPr>
            <w:tcW w:w="1141" w:type="dxa"/>
            <w:vAlign w:val="center"/>
          </w:tcPr>
          <w:p w:rsidR="002A5A5E" w:rsidRPr="00FC1444" w:rsidRDefault="00611CBA">
            <w:pPr>
              <w:jc w:val="center"/>
              <w:rPr>
                <w:rFonts w:eastAsiaTheme="minorEastAsia"/>
              </w:rPr>
            </w:pPr>
            <w:r w:rsidRPr="00FC1444">
              <w:rPr>
                <w:rFonts w:eastAsiaTheme="minorEastAsia"/>
              </w:rPr>
              <w:t>铁</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水质</w:t>
            </w:r>
            <w:r w:rsidRPr="00FC1444">
              <w:rPr>
                <w:rFonts w:eastAsiaTheme="minorEastAsia"/>
                <w:szCs w:val="18"/>
              </w:rPr>
              <w:t xml:space="preserve"> </w:t>
            </w:r>
            <w:r w:rsidRPr="00FC1444">
              <w:rPr>
                <w:rFonts w:eastAsiaTheme="minorEastAsia"/>
                <w:szCs w:val="18"/>
              </w:rPr>
              <w:t>铁、锰的测定</w:t>
            </w:r>
            <w:r w:rsidRPr="00FC1444">
              <w:rPr>
                <w:rFonts w:eastAsiaTheme="minorEastAsia"/>
                <w:szCs w:val="18"/>
              </w:rPr>
              <w:t xml:space="preserve"> </w:t>
            </w:r>
            <w:r w:rsidRPr="00FC1444">
              <w:rPr>
                <w:rFonts w:eastAsiaTheme="minorEastAsia"/>
                <w:szCs w:val="18"/>
              </w:rPr>
              <w:t>火焰原子吸收分光光度法</w:t>
            </w:r>
            <w:r w:rsidRPr="00FC1444">
              <w:rPr>
                <w:rFonts w:eastAsiaTheme="minorEastAsia"/>
                <w:szCs w:val="18"/>
              </w:rPr>
              <w:t>GB11911-89</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原子吸收分光光度计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TAS-990F/XJYQ-039-2017</w:t>
            </w:r>
          </w:p>
        </w:tc>
      </w:tr>
      <w:tr w:rsidR="002A5A5E" w:rsidRPr="00FC1444">
        <w:trPr>
          <w:trHeight w:val="187"/>
        </w:trPr>
        <w:tc>
          <w:tcPr>
            <w:tcW w:w="1141" w:type="dxa"/>
            <w:vAlign w:val="center"/>
          </w:tcPr>
          <w:p w:rsidR="002A5A5E" w:rsidRPr="00FC1444" w:rsidRDefault="00611CBA">
            <w:pPr>
              <w:jc w:val="center"/>
              <w:rPr>
                <w:rFonts w:eastAsiaTheme="minorEastAsia"/>
              </w:rPr>
            </w:pPr>
            <w:r w:rsidRPr="00FC1444">
              <w:rPr>
                <w:rFonts w:eastAsiaTheme="minorEastAsia"/>
              </w:rPr>
              <w:t>锰</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水质</w:t>
            </w:r>
            <w:r w:rsidRPr="00FC1444">
              <w:rPr>
                <w:rFonts w:eastAsiaTheme="minorEastAsia"/>
                <w:szCs w:val="18"/>
              </w:rPr>
              <w:t xml:space="preserve"> </w:t>
            </w:r>
            <w:r w:rsidRPr="00FC1444">
              <w:rPr>
                <w:rFonts w:eastAsiaTheme="minorEastAsia"/>
                <w:szCs w:val="18"/>
              </w:rPr>
              <w:t>铁、锰的测定</w:t>
            </w:r>
            <w:r w:rsidRPr="00FC1444">
              <w:rPr>
                <w:rFonts w:eastAsiaTheme="minorEastAsia"/>
                <w:szCs w:val="18"/>
              </w:rPr>
              <w:t xml:space="preserve"> </w:t>
            </w:r>
            <w:r w:rsidRPr="00FC1444">
              <w:rPr>
                <w:rFonts w:eastAsiaTheme="minorEastAsia"/>
                <w:szCs w:val="18"/>
              </w:rPr>
              <w:t>火焰原子吸收分光光度法</w:t>
            </w:r>
            <w:r w:rsidRPr="00FC1444">
              <w:rPr>
                <w:rFonts w:eastAsiaTheme="minorEastAsia"/>
                <w:szCs w:val="18"/>
              </w:rPr>
              <w:t>GB11911-89</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原子吸收分光光度计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TAS-990F/XJYQ-039-2017</w:t>
            </w:r>
          </w:p>
        </w:tc>
      </w:tr>
      <w:tr w:rsidR="002A5A5E" w:rsidRPr="00FC1444">
        <w:trPr>
          <w:trHeight w:val="187"/>
        </w:trPr>
        <w:tc>
          <w:tcPr>
            <w:tcW w:w="1141" w:type="dxa"/>
            <w:vAlign w:val="center"/>
          </w:tcPr>
          <w:p w:rsidR="002A5A5E" w:rsidRPr="00FC1444" w:rsidRDefault="00611CBA">
            <w:pPr>
              <w:jc w:val="center"/>
              <w:rPr>
                <w:rFonts w:eastAsiaTheme="minorEastAsia"/>
              </w:rPr>
            </w:pPr>
            <w:r w:rsidRPr="00FC1444">
              <w:rPr>
                <w:rFonts w:eastAsiaTheme="minorEastAsia"/>
              </w:rPr>
              <w:t>砷</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水质</w:t>
            </w:r>
            <w:r w:rsidRPr="00FC1444">
              <w:rPr>
                <w:rFonts w:eastAsiaTheme="minorEastAsia"/>
                <w:szCs w:val="18"/>
              </w:rPr>
              <w:t xml:space="preserve"> </w:t>
            </w:r>
            <w:r w:rsidRPr="00FC1444">
              <w:rPr>
                <w:rFonts w:eastAsiaTheme="minorEastAsia"/>
                <w:szCs w:val="18"/>
              </w:rPr>
              <w:t>汞、砷、硒、铋和锑的测定</w:t>
            </w:r>
            <w:r w:rsidRPr="00FC1444">
              <w:rPr>
                <w:rFonts w:eastAsiaTheme="minorEastAsia"/>
                <w:szCs w:val="18"/>
              </w:rPr>
              <w:t xml:space="preserve"> </w:t>
            </w:r>
            <w:r w:rsidRPr="00FC1444">
              <w:rPr>
                <w:rFonts w:eastAsiaTheme="minorEastAsia"/>
                <w:szCs w:val="18"/>
              </w:rPr>
              <w:t>原子荧光法</w:t>
            </w:r>
            <w:r w:rsidRPr="00FC1444">
              <w:rPr>
                <w:rFonts w:eastAsiaTheme="minorEastAsia"/>
                <w:szCs w:val="18"/>
              </w:rPr>
              <w:t xml:space="preserve"> HJ694-2014</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原子荧光光谱仪</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AF-610E/XJYQ-080-2017</w:t>
            </w:r>
          </w:p>
        </w:tc>
      </w:tr>
      <w:tr w:rsidR="002A5A5E" w:rsidRPr="00FC1444">
        <w:trPr>
          <w:trHeight w:val="36"/>
        </w:trPr>
        <w:tc>
          <w:tcPr>
            <w:tcW w:w="1141" w:type="dxa"/>
            <w:vAlign w:val="center"/>
          </w:tcPr>
          <w:p w:rsidR="002A5A5E" w:rsidRPr="00FC1444" w:rsidRDefault="00611CBA">
            <w:pPr>
              <w:jc w:val="center"/>
              <w:rPr>
                <w:rFonts w:eastAsiaTheme="minorEastAsia"/>
              </w:rPr>
            </w:pPr>
            <w:r w:rsidRPr="00FC1444">
              <w:rPr>
                <w:rFonts w:eastAsiaTheme="minorEastAsia"/>
              </w:rPr>
              <w:t>汞</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水质</w:t>
            </w:r>
            <w:r w:rsidRPr="00FC1444">
              <w:rPr>
                <w:rFonts w:eastAsiaTheme="minorEastAsia"/>
                <w:szCs w:val="18"/>
              </w:rPr>
              <w:t xml:space="preserve"> </w:t>
            </w:r>
            <w:r w:rsidRPr="00FC1444">
              <w:rPr>
                <w:rFonts w:eastAsiaTheme="minorEastAsia"/>
                <w:szCs w:val="18"/>
              </w:rPr>
              <w:t>汞、砷、硒、铋和锑的测定</w:t>
            </w:r>
            <w:r w:rsidRPr="00FC1444">
              <w:rPr>
                <w:rFonts w:eastAsiaTheme="minorEastAsia"/>
                <w:szCs w:val="18"/>
              </w:rPr>
              <w:t xml:space="preserve"> </w:t>
            </w:r>
            <w:r w:rsidRPr="00FC1444">
              <w:rPr>
                <w:rFonts w:eastAsiaTheme="minorEastAsia"/>
                <w:szCs w:val="18"/>
              </w:rPr>
              <w:t>原子荧光法</w:t>
            </w:r>
            <w:r w:rsidRPr="00FC1444">
              <w:rPr>
                <w:rFonts w:eastAsiaTheme="minorEastAsia"/>
                <w:szCs w:val="18"/>
              </w:rPr>
              <w:t xml:space="preserve"> HJ694-2014</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原子荧光光谱仪</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AF-610E/XJYQ-080-2017</w:t>
            </w:r>
          </w:p>
        </w:tc>
      </w:tr>
      <w:tr w:rsidR="002A5A5E" w:rsidRPr="00FC1444">
        <w:trPr>
          <w:trHeight w:val="907"/>
        </w:trPr>
        <w:tc>
          <w:tcPr>
            <w:tcW w:w="1141" w:type="dxa"/>
            <w:vAlign w:val="center"/>
          </w:tcPr>
          <w:p w:rsidR="002A5A5E" w:rsidRPr="00FC1444" w:rsidRDefault="00611CBA">
            <w:pPr>
              <w:jc w:val="center"/>
              <w:rPr>
                <w:rFonts w:eastAsiaTheme="minorEastAsia"/>
              </w:rPr>
            </w:pPr>
            <w:r w:rsidRPr="00FC1444">
              <w:rPr>
                <w:rFonts w:eastAsiaTheme="minorEastAsia"/>
              </w:rPr>
              <w:t>铅</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生活饮用水标准检验方法</w:t>
            </w:r>
            <w:r w:rsidRPr="00FC1444">
              <w:rPr>
                <w:rFonts w:eastAsiaTheme="minorEastAsia"/>
                <w:szCs w:val="18"/>
              </w:rPr>
              <w:t xml:space="preserve"> </w:t>
            </w:r>
            <w:r w:rsidRPr="00FC1444">
              <w:rPr>
                <w:rFonts w:eastAsiaTheme="minorEastAsia"/>
                <w:szCs w:val="18"/>
              </w:rPr>
              <w:t>金属指标（</w:t>
            </w:r>
            <w:r w:rsidRPr="00FC1444">
              <w:rPr>
                <w:rFonts w:eastAsiaTheme="minorEastAsia"/>
                <w:szCs w:val="18"/>
              </w:rPr>
              <w:t>11.1</w:t>
            </w:r>
            <w:r w:rsidRPr="00FC1444">
              <w:rPr>
                <w:rFonts w:eastAsiaTheme="minorEastAsia"/>
                <w:szCs w:val="18"/>
              </w:rPr>
              <w:t>无火焰原子吸收分光光度法）</w:t>
            </w:r>
            <w:r w:rsidRPr="00FC1444">
              <w:rPr>
                <w:rFonts w:eastAsiaTheme="minorEastAsia"/>
                <w:szCs w:val="18"/>
              </w:rPr>
              <w:t>GB/T5750.6-2006</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原子吸收分光光度计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SP-3590AA/XJYQ-081-2017</w:t>
            </w:r>
          </w:p>
        </w:tc>
      </w:tr>
      <w:tr w:rsidR="002A5A5E" w:rsidRPr="00FC1444">
        <w:trPr>
          <w:trHeight w:val="907"/>
        </w:trPr>
        <w:tc>
          <w:tcPr>
            <w:tcW w:w="1141" w:type="dxa"/>
            <w:vAlign w:val="center"/>
          </w:tcPr>
          <w:p w:rsidR="002A5A5E" w:rsidRPr="00FC1444" w:rsidRDefault="00611CBA">
            <w:pPr>
              <w:jc w:val="center"/>
              <w:rPr>
                <w:rFonts w:eastAsiaTheme="minorEastAsia"/>
              </w:rPr>
            </w:pPr>
            <w:r w:rsidRPr="00FC1444">
              <w:rPr>
                <w:rFonts w:eastAsiaTheme="minorEastAsia"/>
              </w:rPr>
              <w:t>镉</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生活饮用水标准检验方法</w:t>
            </w:r>
            <w:r w:rsidRPr="00FC1444">
              <w:rPr>
                <w:rFonts w:eastAsiaTheme="minorEastAsia"/>
                <w:szCs w:val="18"/>
              </w:rPr>
              <w:t xml:space="preserve"> </w:t>
            </w:r>
            <w:r w:rsidRPr="00FC1444">
              <w:rPr>
                <w:rFonts w:eastAsiaTheme="minorEastAsia"/>
                <w:szCs w:val="18"/>
              </w:rPr>
              <w:t>金属指标（</w:t>
            </w:r>
            <w:r w:rsidRPr="00FC1444">
              <w:rPr>
                <w:rFonts w:eastAsiaTheme="minorEastAsia"/>
                <w:szCs w:val="18"/>
              </w:rPr>
              <w:t>9.1</w:t>
            </w:r>
            <w:r w:rsidRPr="00FC1444">
              <w:rPr>
                <w:rFonts w:eastAsiaTheme="minorEastAsia"/>
                <w:szCs w:val="18"/>
              </w:rPr>
              <w:t>无火焰原子吸收分光光度法）</w:t>
            </w:r>
            <w:r w:rsidRPr="00FC1444">
              <w:rPr>
                <w:rFonts w:eastAsiaTheme="minorEastAsia"/>
                <w:szCs w:val="18"/>
              </w:rPr>
              <w:t>GB/T5750.6-2006</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原子吸收分光光度计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SP-3590AA/XJYQ-081-2017</w:t>
            </w:r>
          </w:p>
        </w:tc>
      </w:tr>
      <w:tr w:rsidR="002A5A5E" w:rsidRPr="00FC1444">
        <w:trPr>
          <w:trHeight w:val="56"/>
        </w:trPr>
        <w:tc>
          <w:tcPr>
            <w:tcW w:w="1141" w:type="dxa"/>
            <w:vAlign w:val="center"/>
          </w:tcPr>
          <w:p w:rsidR="002A5A5E" w:rsidRPr="00FC1444" w:rsidRDefault="00611CBA">
            <w:pPr>
              <w:jc w:val="center"/>
              <w:rPr>
                <w:rFonts w:eastAsiaTheme="minorEastAsia"/>
              </w:rPr>
            </w:pPr>
            <w:r w:rsidRPr="00FC1444">
              <w:rPr>
                <w:rFonts w:eastAsiaTheme="minorEastAsia"/>
              </w:rPr>
              <w:t>钾</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水质</w:t>
            </w:r>
            <w:r w:rsidRPr="00FC1444">
              <w:rPr>
                <w:rFonts w:eastAsiaTheme="minorEastAsia"/>
                <w:szCs w:val="18"/>
              </w:rPr>
              <w:t xml:space="preserve"> </w:t>
            </w:r>
            <w:r w:rsidRPr="00FC1444">
              <w:rPr>
                <w:rFonts w:eastAsiaTheme="minorEastAsia"/>
                <w:szCs w:val="18"/>
              </w:rPr>
              <w:t>钾和钠的测定</w:t>
            </w:r>
            <w:r w:rsidRPr="00FC1444">
              <w:rPr>
                <w:rFonts w:eastAsiaTheme="minorEastAsia"/>
                <w:szCs w:val="18"/>
              </w:rPr>
              <w:t xml:space="preserve"> </w:t>
            </w:r>
            <w:r w:rsidRPr="00FC1444">
              <w:rPr>
                <w:rFonts w:eastAsiaTheme="minorEastAsia"/>
                <w:szCs w:val="18"/>
              </w:rPr>
              <w:t>火焰原子吸收分光光度法</w:t>
            </w:r>
            <w:r w:rsidRPr="00FC1444">
              <w:rPr>
                <w:rFonts w:eastAsiaTheme="minorEastAsia"/>
                <w:szCs w:val="18"/>
              </w:rPr>
              <w:t>GB11904-89</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原子吸收分光光度计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TAS-990F/XJYQ-039-2017</w:t>
            </w:r>
          </w:p>
        </w:tc>
      </w:tr>
      <w:tr w:rsidR="002A5A5E" w:rsidRPr="00FC1444">
        <w:trPr>
          <w:trHeight w:val="56"/>
        </w:trPr>
        <w:tc>
          <w:tcPr>
            <w:tcW w:w="1141" w:type="dxa"/>
            <w:vAlign w:val="center"/>
          </w:tcPr>
          <w:p w:rsidR="002A5A5E" w:rsidRPr="00FC1444" w:rsidRDefault="00611CBA">
            <w:pPr>
              <w:jc w:val="center"/>
              <w:rPr>
                <w:rFonts w:eastAsiaTheme="minorEastAsia"/>
              </w:rPr>
            </w:pPr>
            <w:r w:rsidRPr="00FC1444">
              <w:rPr>
                <w:rFonts w:eastAsiaTheme="minorEastAsia"/>
              </w:rPr>
              <w:t>钠</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水质</w:t>
            </w:r>
            <w:r w:rsidRPr="00FC1444">
              <w:rPr>
                <w:rFonts w:eastAsiaTheme="minorEastAsia"/>
                <w:szCs w:val="18"/>
              </w:rPr>
              <w:t xml:space="preserve"> </w:t>
            </w:r>
            <w:r w:rsidRPr="00FC1444">
              <w:rPr>
                <w:rFonts w:eastAsiaTheme="minorEastAsia"/>
                <w:szCs w:val="18"/>
              </w:rPr>
              <w:t>钾和钠的测定</w:t>
            </w:r>
            <w:r w:rsidRPr="00FC1444">
              <w:rPr>
                <w:rFonts w:eastAsiaTheme="minorEastAsia"/>
                <w:szCs w:val="18"/>
              </w:rPr>
              <w:t xml:space="preserve"> </w:t>
            </w:r>
            <w:r w:rsidRPr="00FC1444">
              <w:rPr>
                <w:rFonts w:eastAsiaTheme="minorEastAsia"/>
                <w:szCs w:val="18"/>
              </w:rPr>
              <w:t>火焰原子吸收分光光度法</w:t>
            </w:r>
            <w:r w:rsidRPr="00FC1444">
              <w:rPr>
                <w:rFonts w:eastAsiaTheme="minorEastAsia"/>
                <w:szCs w:val="18"/>
              </w:rPr>
              <w:t>GB11904-89</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原子吸收分光光度计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TAS-990F/XJYQ-039-2017</w:t>
            </w:r>
          </w:p>
        </w:tc>
      </w:tr>
      <w:tr w:rsidR="002A5A5E" w:rsidRPr="00FC1444">
        <w:trPr>
          <w:trHeight w:val="195"/>
        </w:trPr>
        <w:tc>
          <w:tcPr>
            <w:tcW w:w="1141" w:type="dxa"/>
            <w:vAlign w:val="center"/>
          </w:tcPr>
          <w:p w:rsidR="002A5A5E" w:rsidRPr="00FC1444" w:rsidRDefault="00611CBA">
            <w:pPr>
              <w:jc w:val="center"/>
              <w:rPr>
                <w:rFonts w:eastAsiaTheme="minorEastAsia"/>
              </w:rPr>
            </w:pPr>
            <w:r w:rsidRPr="00FC1444">
              <w:rPr>
                <w:rFonts w:eastAsiaTheme="minorEastAsia"/>
              </w:rPr>
              <w:t>钙</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水质</w:t>
            </w:r>
            <w:r w:rsidRPr="00FC1444">
              <w:rPr>
                <w:rFonts w:eastAsiaTheme="minorEastAsia"/>
                <w:szCs w:val="18"/>
              </w:rPr>
              <w:t xml:space="preserve"> </w:t>
            </w:r>
            <w:r w:rsidRPr="00FC1444">
              <w:rPr>
                <w:rFonts w:eastAsiaTheme="minorEastAsia"/>
                <w:szCs w:val="18"/>
              </w:rPr>
              <w:t>钙的测定</w:t>
            </w:r>
            <w:r w:rsidRPr="00FC1444">
              <w:rPr>
                <w:rFonts w:eastAsiaTheme="minorEastAsia"/>
                <w:szCs w:val="18"/>
              </w:rPr>
              <w:t xml:space="preserve"> </w:t>
            </w:r>
            <w:r w:rsidRPr="00FC1444">
              <w:rPr>
                <w:rFonts w:eastAsiaTheme="minorEastAsia"/>
                <w:szCs w:val="18"/>
              </w:rPr>
              <w:t>火焰原子吸收分光光度法</w:t>
            </w:r>
            <w:r w:rsidRPr="00FC1444">
              <w:rPr>
                <w:rFonts w:eastAsiaTheme="minorEastAsia"/>
                <w:szCs w:val="18"/>
              </w:rPr>
              <w:t>GB11905-89</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原子吸收分光光度计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TAS-990F/XJYQ-039-2017</w:t>
            </w:r>
          </w:p>
        </w:tc>
      </w:tr>
      <w:tr w:rsidR="002A5A5E" w:rsidRPr="00FC1444">
        <w:trPr>
          <w:trHeight w:val="119"/>
        </w:trPr>
        <w:tc>
          <w:tcPr>
            <w:tcW w:w="1141" w:type="dxa"/>
            <w:vAlign w:val="center"/>
          </w:tcPr>
          <w:p w:rsidR="002A5A5E" w:rsidRPr="00FC1444" w:rsidRDefault="00611CBA">
            <w:pPr>
              <w:jc w:val="center"/>
              <w:rPr>
                <w:rFonts w:eastAsiaTheme="minorEastAsia"/>
              </w:rPr>
            </w:pPr>
            <w:r w:rsidRPr="00FC1444">
              <w:rPr>
                <w:rFonts w:eastAsiaTheme="minorEastAsia"/>
              </w:rPr>
              <w:t>镁</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水质</w:t>
            </w:r>
            <w:r w:rsidRPr="00FC1444">
              <w:rPr>
                <w:rFonts w:eastAsiaTheme="minorEastAsia"/>
                <w:szCs w:val="18"/>
              </w:rPr>
              <w:t xml:space="preserve"> </w:t>
            </w:r>
            <w:r w:rsidRPr="00FC1444">
              <w:rPr>
                <w:rFonts w:eastAsiaTheme="minorEastAsia"/>
                <w:szCs w:val="18"/>
              </w:rPr>
              <w:t>镁的测定</w:t>
            </w:r>
            <w:r w:rsidRPr="00FC1444">
              <w:rPr>
                <w:rFonts w:eastAsiaTheme="minorEastAsia"/>
                <w:szCs w:val="18"/>
              </w:rPr>
              <w:t xml:space="preserve"> </w:t>
            </w:r>
            <w:r w:rsidRPr="00FC1444">
              <w:rPr>
                <w:rFonts w:eastAsiaTheme="minorEastAsia"/>
                <w:szCs w:val="18"/>
              </w:rPr>
              <w:t>火焰原子吸收分光光度法</w:t>
            </w:r>
            <w:r w:rsidRPr="00FC1444">
              <w:rPr>
                <w:rFonts w:eastAsiaTheme="minorEastAsia"/>
                <w:szCs w:val="18"/>
              </w:rPr>
              <w:t>GB11905-89</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原子吸收分光光度计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TAS-990F/XJYQ-039-2017</w:t>
            </w:r>
          </w:p>
        </w:tc>
      </w:tr>
      <w:tr w:rsidR="002A5A5E" w:rsidRPr="00FC1444">
        <w:trPr>
          <w:trHeight w:val="907"/>
        </w:trPr>
        <w:tc>
          <w:tcPr>
            <w:tcW w:w="1141" w:type="dxa"/>
            <w:vAlign w:val="center"/>
          </w:tcPr>
          <w:p w:rsidR="002A5A5E" w:rsidRPr="00FC1444" w:rsidRDefault="00611CBA">
            <w:pPr>
              <w:jc w:val="center"/>
              <w:rPr>
                <w:rFonts w:eastAsiaTheme="minorEastAsia"/>
              </w:rPr>
            </w:pPr>
            <w:r w:rsidRPr="00FC1444">
              <w:rPr>
                <w:rFonts w:eastAsiaTheme="minorEastAsia"/>
              </w:rPr>
              <w:t>碳酸根</w:t>
            </w:r>
          </w:p>
          <w:p w:rsidR="002A5A5E" w:rsidRPr="00FC1444" w:rsidRDefault="00611CBA">
            <w:pPr>
              <w:jc w:val="center"/>
              <w:rPr>
                <w:rFonts w:eastAsiaTheme="minorEastAsia"/>
              </w:rPr>
            </w:pPr>
            <w:r w:rsidRPr="00FC1444">
              <w:rPr>
                <w:rFonts w:eastAsiaTheme="minorEastAsia"/>
              </w:rPr>
              <w:t>离子</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酸碱指示剂滴定法《水和废水监测分析方法》</w:t>
            </w:r>
            <w:r w:rsidRPr="00FC1444">
              <w:rPr>
                <w:rFonts w:eastAsiaTheme="minorEastAsia"/>
                <w:szCs w:val="18"/>
              </w:rPr>
              <w:t>(</w:t>
            </w:r>
            <w:r w:rsidRPr="00FC1444">
              <w:rPr>
                <w:rFonts w:eastAsiaTheme="minorEastAsia"/>
                <w:szCs w:val="18"/>
              </w:rPr>
              <w:t>第四版增补版</w:t>
            </w:r>
            <w:r w:rsidRPr="00FC1444">
              <w:rPr>
                <w:rFonts w:eastAsiaTheme="minorEastAsia"/>
                <w:szCs w:val="18"/>
              </w:rPr>
              <w:t>)</w:t>
            </w:r>
            <w:r w:rsidRPr="00FC1444">
              <w:rPr>
                <w:rFonts w:eastAsiaTheme="minorEastAsia"/>
                <w:szCs w:val="18"/>
              </w:rPr>
              <w:t>国家环保总局</w:t>
            </w:r>
            <w:r w:rsidRPr="00FC1444">
              <w:rPr>
                <w:rFonts w:eastAsiaTheme="minorEastAsia"/>
                <w:szCs w:val="18"/>
              </w:rPr>
              <w:t>(2002) P121</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滴定管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25ml /--</w:t>
            </w:r>
          </w:p>
        </w:tc>
      </w:tr>
      <w:tr w:rsidR="002A5A5E" w:rsidRPr="00FC1444">
        <w:trPr>
          <w:trHeight w:val="907"/>
        </w:trPr>
        <w:tc>
          <w:tcPr>
            <w:tcW w:w="1141" w:type="dxa"/>
            <w:vAlign w:val="center"/>
          </w:tcPr>
          <w:p w:rsidR="002A5A5E" w:rsidRPr="00FC1444" w:rsidRDefault="00611CBA">
            <w:pPr>
              <w:jc w:val="center"/>
              <w:rPr>
                <w:rFonts w:eastAsiaTheme="minorEastAsia"/>
              </w:rPr>
            </w:pPr>
            <w:r w:rsidRPr="00FC1444">
              <w:rPr>
                <w:rFonts w:eastAsiaTheme="minorEastAsia"/>
              </w:rPr>
              <w:t>碳酸氢根离子</w:t>
            </w:r>
          </w:p>
        </w:tc>
        <w:tc>
          <w:tcPr>
            <w:tcW w:w="3220" w:type="dxa"/>
            <w:vAlign w:val="center"/>
          </w:tcPr>
          <w:p w:rsidR="002A5A5E" w:rsidRPr="00FC1444" w:rsidRDefault="00611CBA">
            <w:pPr>
              <w:jc w:val="center"/>
              <w:rPr>
                <w:rFonts w:eastAsiaTheme="minorEastAsia"/>
                <w:szCs w:val="18"/>
              </w:rPr>
            </w:pPr>
            <w:r w:rsidRPr="00FC1444">
              <w:rPr>
                <w:rFonts w:eastAsiaTheme="minorEastAsia"/>
                <w:szCs w:val="18"/>
              </w:rPr>
              <w:t>酸碱指示剂滴定法《水和废水监测分析方法》</w:t>
            </w:r>
            <w:r w:rsidRPr="00FC1444">
              <w:rPr>
                <w:rFonts w:eastAsiaTheme="minorEastAsia"/>
                <w:szCs w:val="18"/>
              </w:rPr>
              <w:t>(</w:t>
            </w:r>
            <w:r w:rsidRPr="00FC1444">
              <w:rPr>
                <w:rFonts w:eastAsiaTheme="minorEastAsia"/>
                <w:szCs w:val="18"/>
              </w:rPr>
              <w:t>第四版增补版</w:t>
            </w:r>
            <w:r w:rsidRPr="00FC1444">
              <w:rPr>
                <w:rFonts w:eastAsiaTheme="minorEastAsia"/>
                <w:szCs w:val="18"/>
              </w:rPr>
              <w:t>)</w:t>
            </w:r>
            <w:r w:rsidRPr="00FC1444">
              <w:rPr>
                <w:rFonts w:eastAsiaTheme="minorEastAsia"/>
                <w:szCs w:val="18"/>
              </w:rPr>
              <w:t>国家环保总局</w:t>
            </w:r>
            <w:r w:rsidRPr="00FC1444">
              <w:rPr>
                <w:rFonts w:eastAsiaTheme="minorEastAsia"/>
                <w:szCs w:val="18"/>
              </w:rPr>
              <w:t>(2002) P121</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滴定管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25ml /--</w:t>
            </w:r>
          </w:p>
        </w:tc>
      </w:tr>
      <w:tr w:rsidR="002A5A5E" w:rsidRPr="00FC1444">
        <w:trPr>
          <w:trHeight w:val="907"/>
        </w:trPr>
        <w:tc>
          <w:tcPr>
            <w:tcW w:w="1141" w:type="dxa"/>
            <w:vAlign w:val="center"/>
          </w:tcPr>
          <w:p w:rsidR="002A5A5E" w:rsidRPr="00FC1444" w:rsidRDefault="00611CBA">
            <w:pPr>
              <w:jc w:val="center"/>
              <w:rPr>
                <w:rFonts w:eastAsiaTheme="minorEastAsia"/>
              </w:rPr>
            </w:pPr>
            <w:r w:rsidRPr="00FC1444">
              <w:rPr>
                <w:rFonts w:eastAsiaTheme="minorEastAsia"/>
              </w:rPr>
              <w:t>氯离子</w:t>
            </w:r>
          </w:p>
        </w:tc>
        <w:tc>
          <w:tcPr>
            <w:tcW w:w="3220" w:type="dxa"/>
            <w:vAlign w:val="center"/>
          </w:tcPr>
          <w:p w:rsidR="002A5A5E" w:rsidRPr="00FC1444" w:rsidRDefault="00611CBA">
            <w:pPr>
              <w:jc w:val="center"/>
              <w:rPr>
                <w:rFonts w:eastAsiaTheme="minorEastAsia"/>
                <w:szCs w:val="18"/>
              </w:rPr>
            </w:pPr>
            <w:r w:rsidRPr="00FC1444">
              <w:rPr>
                <w:rFonts w:eastAsiaTheme="minorEastAsia"/>
              </w:rPr>
              <w:t>水质</w:t>
            </w:r>
            <w:r w:rsidRPr="00FC1444">
              <w:rPr>
                <w:rFonts w:eastAsiaTheme="minorEastAsia"/>
              </w:rPr>
              <w:t xml:space="preserve"> </w:t>
            </w:r>
            <w:r w:rsidRPr="00FC1444">
              <w:rPr>
                <w:rFonts w:eastAsiaTheme="minorEastAsia"/>
              </w:rPr>
              <w:t>无机阴离子（</w:t>
            </w:r>
            <w:r w:rsidRPr="00FC1444">
              <w:rPr>
                <w:rFonts w:eastAsiaTheme="minorEastAsia"/>
              </w:rPr>
              <w:t>F</w:t>
            </w:r>
            <w:r w:rsidRPr="00FC1444">
              <w:rPr>
                <w:rFonts w:eastAsiaTheme="minorEastAsia"/>
                <w:vertAlign w:val="superscript"/>
              </w:rPr>
              <w:t>-</w:t>
            </w:r>
            <w:r w:rsidRPr="00FC1444">
              <w:rPr>
                <w:rFonts w:eastAsiaTheme="minorEastAsia"/>
              </w:rPr>
              <w:t>、</w:t>
            </w:r>
            <w:r w:rsidRPr="00FC1444">
              <w:rPr>
                <w:rFonts w:eastAsiaTheme="minorEastAsia"/>
              </w:rPr>
              <w:t>Cl</w:t>
            </w:r>
            <w:r w:rsidRPr="00FC1444">
              <w:rPr>
                <w:rFonts w:eastAsiaTheme="minorEastAsia"/>
                <w:vertAlign w:val="superscript"/>
              </w:rPr>
              <w:t>-</w:t>
            </w:r>
            <w:r w:rsidRPr="00FC1444">
              <w:rPr>
                <w:rFonts w:eastAsiaTheme="minorEastAsia"/>
              </w:rPr>
              <w:t>、</w:t>
            </w:r>
            <w:r w:rsidRPr="00FC1444">
              <w:rPr>
                <w:rFonts w:eastAsiaTheme="minorEastAsia"/>
              </w:rPr>
              <w:t>NO</w:t>
            </w:r>
            <w:r w:rsidRPr="00FC1444">
              <w:rPr>
                <w:rFonts w:eastAsiaTheme="minorEastAsia"/>
                <w:vertAlign w:val="subscript"/>
              </w:rPr>
              <w:t>2</w:t>
            </w:r>
            <w:r w:rsidRPr="00FC1444">
              <w:rPr>
                <w:rFonts w:eastAsiaTheme="minorEastAsia"/>
                <w:vertAlign w:val="superscript"/>
              </w:rPr>
              <w:t>-</w:t>
            </w:r>
            <w:r w:rsidRPr="00FC1444">
              <w:rPr>
                <w:rFonts w:eastAsiaTheme="minorEastAsia"/>
              </w:rPr>
              <w:t>、</w:t>
            </w:r>
            <w:r w:rsidRPr="00FC1444">
              <w:rPr>
                <w:rFonts w:eastAsiaTheme="minorEastAsia"/>
              </w:rPr>
              <w:t>Br</w:t>
            </w:r>
            <w:r w:rsidRPr="00FC1444">
              <w:rPr>
                <w:rFonts w:eastAsiaTheme="minorEastAsia"/>
                <w:vertAlign w:val="superscript"/>
              </w:rPr>
              <w:t>-</w:t>
            </w:r>
            <w:r w:rsidRPr="00FC1444">
              <w:rPr>
                <w:rFonts w:eastAsiaTheme="minorEastAsia"/>
              </w:rPr>
              <w:t>、</w:t>
            </w:r>
            <w:r w:rsidRPr="00FC1444">
              <w:rPr>
                <w:rFonts w:eastAsiaTheme="minorEastAsia"/>
              </w:rPr>
              <w:t>NO</w:t>
            </w:r>
            <w:r w:rsidRPr="00FC1444">
              <w:rPr>
                <w:rFonts w:eastAsiaTheme="minorEastAsia"/>
                <w:vertAlign w:val="subscript"/>
              </w:rPr>
              <w:t>3</w:t>
            </w:r>
            <w:r w:rsidRPr="00FC1444">
              <w:rPr>
                <w:rFonts w:eastAsiaTheme="minorEastAsia"/>
                <w:vertAlign w:val="superscript"/>
              </w:rPr>
              <w:t>-</w:t>
            </w:r>
            <w:r w:rsidRPr="00FC1444">
              <w:rPr>
                <w:rFonts w:eastAsiaTheme="minorEastAsia"/>
              </w:rPr>
              <w:t>、</w:t>
            </w:r>
            <w:r w:rsidRPr="00FC1444">
              <w:rPr>
                <w:rFonts w:eastAsiaTheme="minorEastAsia"/>
              </w:rPr>
              <w:t>PO</w:t>
            </w:r>
            <w:r w:rsidRPr="00FC1444">
              <w:rPr>
                <w:rFonts w:eastAsiaTheme="minorEastAsia"/>
                <w:vertAlign w:val="subscript"/>
              </w:rPr>
              <w:t>4</w:t>
            </w:r>
            <w:r w:rsidRPr="00FC1444">
              <w:rPr>
                <w:rFonts w:eastAsiaTheme="minorEastAsia"/>
                <w:vertAlign w:val="superscript"/>
              </w:rPr>
              <w:t>3-</w:t>
            </w:r>
            <w:r w:rsidRPr="00FC1444">
              <w:rPr>
                <w:rFonts w:eastAsiaTheme="minorEastAsia"/>
              </w:rPr>
              <w:t>、</w:t>
            </w:r>
            <w:r w:rsidRPr="00FC1444">
              <w:rPr>
                <w:rFonts w:eastAsiaTheme="minorEastAsia"/>
              </w:rPr>
              <w:t>SO</w:t>
            </w:r>
            <w:r w:rsidRPr="00FC1444">
              <w:rPr>
                <w:rFonts w:eastAsiaTheme="minorEastAsia"/>
                <w:vertAlign w:val="subscript"/>
              </w:rPr>
              <w:t>3</w:t>
            </w:r>
            <w:r w:rsidRPr="00FC1444">
              <w:rPr>
                <w:rFonts w:eastAsiaTheme="minorEastAsia"/>
                <w:vertAlign w:val="superscript"/>
              </w:rPr>
              <w:t>2-</w:t>
            </w:r>
            <w:r w:rsidRPr="00FC1444">
              <w:rPr>
                <w:rFonts w:eastAsiaTheme="minorEastAsia"/>
              </w:rPr>
              <w:t>、</w:t>
            </w:r>
            <w:r w:rsidRPr="00FC1444">
              <w:rPr>
                <w:rFonts w:eastAsiaTheme="minorEastAsia"/>
              </w:rPr>
              <w:t>SO</w:t>
            </w:r>
            <w:r w:rsidRPr="00FC1444">
              <w:rPr>
                <w:rFonts w:eastAsiaTheme="minorEastAsia"/>
                <w:vertAlign w:val="subscript"/>
              </w:rPr>
              <w:t>4</w:t>
            </w:r>
            <w:r w:rsidRPr="00FC1444">
              <w:rPr>
                <w:rFonts w:eastAsiaTheme="minorEastAsia"/>
                <w:vertAlign w:val="superscript"/>
              </w:rPr>
              <w:t>2-</w:t>
            </w:r>
            <w:r w:rsidRPr="00FC1444">
              <w:rPr>
                <w:rFonts w:eastAsiaTheme="minorEastAsia"/>
              </w:rPr>
              <w:t>）的测定</w:t>
            </w:r>
            <w:r w:rsidRPr="00FC1444">
              <w:rPr>
                <w:rFonts w:eastAsiaTheme="minorEastAsia"/>
              </w:rPr>
              <w:t xml:space="preserve"> </w:t>
            </w:r>
            <w:r w:rsidRPr="00FC1444">
              <w:rPr>
                <w:rFonts w:eastAsiaTheme="minorEastAsia"/>
              </w:rPr>
              <w:t>离子色谱法</w:t>
            </w:r>
            <w:r w:rsidRPr="00FC1444">
              <w:rPr>
                <w:rFonts w:eastAsiaTheme="minorEastAsia"/>
              </w:rPr>
              <w:t>HJ84-2016</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离子色谱仪</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CIC-D100/XJYQ-084-2017</w:t>
            </w:r>
          </w:p>
        </w:tc>
      </w:tr>
      <w:tr w:rsidR="002A5A5E" w:rsidRPr="00FC1444">
        <w:trPr>
          <w:trHeight w:val="907"/>
        </w:trPr>
        <w:tc>
          <w:tcPr>
            <w:tcW w:w="1141" w:type="dxa"/>
            <w:vAlign w:val="center"/>
          </w:tcPr>
          <w:p w:rsidR="002A5A5E" w:rsidRPr="00FC1444" w:rsidRDefault="00611CBA">
            <w:pPr>
              <w:jc w:val="center"/>
              <w:rPr>
                <w:rFonts w:eastAsiaTheme="minorEastAsia"/>
              </w:rPr>
            </w:pPr>
            <w:r w:rsidRPr="00FC1444">
              <w:rPr>
                <w:rFonts w:eastAsiaTheme="minorEastAsia"/>
              </w:rPr>
              <w:t>硫酸根</w:t>
            </w:r>
          </w:p>
          <w:p w:rsidR="002A5A5E" w:rsidRPr="00FC1444" w:rsidRDefault="00611CBA">
            <w:pPr>
              <w:jc w:val="center"/>
              <w:rPr>
                <w:rFonts w:eastAsiaTheme="minorEastAsia"/>
                <w:b/>
              </w:rPr>
            </w:pPr>
            <w:r w:rsidRPr="00FC1444">
              <w:rPr>
                <w:rFonts w:eastAsiaTheme="minorEastAsia"/>
              </w:rPr>
              <w:t>离子</w:t>
            </w:r>
          </w:p>
        </w:tc>
        <w:tc>
          <w:tcPr>
            <w:tcW w:w="3220" w:type="dxa"/>
            <w:vAlign w:val="center"/>
          </w:tcPr>
          <w:p w:rsidR="002A5A5E" w:rsidRPr="00FC1444" w:rsidRDefault="00611CBA">
            <w:pPr>
              <w:jc w:val="center"/>
              <w:rPr>
                <w:rFonts w:eastAsiaTheme="minorEastAsia"/>
                <w:szCs w:val="18"/>
              </w:rPr>
            </w:pPr>
            <w:r w:rsidRPr="00FC1444">
              <w:rPr>
                <w:rFonts w:eastAsiaTheme="minorEastAsia"/>
              </w:rPr>
              <w:t>水质</w:t>
            </w:r>
            <w:r w:rsidRPr="00FC1444">
              <w:rPr>
                <w:rFonts w:eastAsiaTheme="minorEastAsia"/>
              </w:rPr>
              <w:t xml:space="preserve"> </w:t>
            </w:r>
            <w:r w:rsidRPr="00FC1444">
              <w:rPr>
                <w:rFonts w:eastAsiaTheme="minorEastAsia"/>
              </w:rPr>
              <w:t>无机阴离子（</w:t>
            </w:r>
            <w:r w:rsidRPr="00FC1444">
              <w:rPr>
                <w:rFonts w:eastAsiaTheme="minorEastAsia"/>
              </w:rPr>
              <w:t>F</w:t>
            </w:r>
            <w:r w:rsidRPr="00FC1444">
              <w:rPr>
                <w:rFonts w:eastAsiaTheme="minorEastAsia"/>
                <w:vertAlign w:val="superscript"/>
              </w:rPr>
              <w:t>-</w:t>
            </w:r>
            <w:r w:rsidRPr="00FC1444">
              <w:rPr>
                <w:rFonts w:eastAsiaTheme="minorEastAsia"/>
              </w:rPr>
              <w:t>、</w:t>
            </w:r>
            <w:r w:rsidRPr="00FC1444">
              <w:rPr>
                <w:rFonts w:eastAsiaTheme="minorEastAsia"/>
              </w:rPr>
              <w:t>Cl</w:t>
            </w:r>
            <w:r w:rsidRPr="00FC1444">
              <w:rPr>
                <w:rFonts w:eastAsiaTheme="minorEastAsia"/>
                <w:vertAlign w:val="superscript"/>
              </w:rPr>
              <w:t>-</w:t>
            </w:r>
            <w:r w:rsidRPr="00FC1444">
              <w:rPr>
                <w:rFonts w:eastAsiaTheme="minorEastAsia"/>
              </w:rPr>
              <w:t>、</w:t>
            </w:r>
            <w:r w:rsidRPr="00FC1444">
              <w:rPr>
                <w:rFonts w:eastAsiaTheme="minorEastAsia"/>
              </w:rPr>
              <w:t>NO</w:t>
            </w:r>
            <w:r w:rsidRPr="00FC1444">
              <w:rPr>
                <w:rFonts w:eastAsiaTheme="minorEastAsia"/>
                <w:vertAlign w:val="subscript"/>
              </w:rPr>
              <w:t>2</w:t>
            </w:r>
            <w:r w:rsidRPr="00FC1444">
              <w:rPr>
                <w:rFonts w:eastAsiaTheme="minorEastAsia"/>
                <w:vertAlign w:val="superscript"/>
              </w:rPr>
              <w:t>-</w:t>
            </w:r>
            <w:r w:rsidRPr="00FC1444">
              <w:rPr>
                <w:rFonts w:eastAsiaTheme="minorEastAsia"/>
              </w:rPr>
              <w:t>、</w:t>
            </w:r>
            <w:r w:rsidRPr="00FC1444">
              <w:rPr>
                <w:rFonts w:eastAsiaTheme="minorEastAsia"/>
              </w:rPr>
              <w:t>Br</w:t>
            </w:r>
            <w:r w:rsidRPr="00FC1444">
              <w:rPr>
                <w:rFonts w:eastAsiaTheme="minorEastAsia"/>
                <w:vertAlign w:val="superscript"/>
              </w:rPr>
              <w:t>-</w:t>
            </w:r>
            <w:r w:rsidRPr="00FC1444">
              <w:rPr>
                <w:rFonts w:eastAsiaTheme="minorEastAsia"/>
              </w:rPr>
              <w:t>、</w:t>
            </w:r>
            <w:r w:rsidRPr="00FC1444">
              <w:rPr>
                <w:rFonts w:eastAsiaTheme="minorEastAsia"/>
              </w:rPr>
              <w:t>NO</w:t>
            </w:r>
            <w:r w:rsidRPr="00FC1444">
              <w:rPr>
                <w:rFonts w:eastAsiaTheme="minorEastAsia"/>
                <w:vertAlign w:val="subscript"/>
              </w:rPr>
              <w:t>3</w:t>
            </w:r>
            <w:r w:rsidRPr="00FC1444">
              <w:rPr>
                <w:rFonts w:eastAsiaTheme="minorEastAsia"/>
                <w:vertAlign w:val="superscript"/>
              </w:rPr>
              <w:t>-</w:t>
            </w:r>
            <w:r w:rsidRPr="00FC1444">
              <w:rPr>
                <w:rFonts w:eastAsiaTheme="minorEastAsia"/>
              </w:rPr>
              <w:t>、</w:t>
            </w:r>
            <w:r w:rsidRPr="00FC1444">
              <w:rPr>
                <w:rFonts w:eastAsiaTheme="minorEastAsia"/>
              </w:rPr>
              <w:t>PO</w:t>
            </w:r>
            <w:r w:rsidRPr="00FC1444">
              <w:rPr>
                <w:rFonts w:eastAsiaTheme="minorEastAsia"/>
                <w:vertAlign w:val="subscript"/>
              </w:rPr>
              <w:t>4</w:t>
            </w:r>
            <w:r w:rsidRPr="00FC1444">
              <w:rPr>
                <w:rFonts w:eastAsiaTheme="minorEastAsia"/>
                <w:vertAlign w:val="superscript"/>
              </w:rPr>
              <w:t>3-</w:t>
            </w:r>
            <w:r w:rsidRPr="00FC1444">
              <w:rPr>
                <w:rFonts w:eastAsiaTheme="minorEastAsia"/>
              </w:rPr>
              <w:t>、</w:t>
            </w:r>
            <w:r w:rsidRPr="00FC1444">
              <w:rPr>
                <w:rFonts w:eastAsiaTheme="minorEastAsia"/>
              </w:rPr>
              <w:t>SO</w:t>
            </w:r>
            <w:r w:rsidRPr="00FC1444">
              <w:rPr>
                <w:rFonts w:eastAsiaTheme="minorEastAsia"/>
                <w:vertAlign w:val="subscript"/>
              </w:rPr>
              <w:t>3</w:t>
            </w:r>
            <w:r w:rsidRPr="00FC1444">
              <w:rPr>
                <w:rFonts w:eastAsiaTheme="minorEastAsia"/>
                <w:vertAlign w:val="superscript"/>
              </w:rPr>
              <w:t>2-</w:t>
            </w:r>
            <w:r w:rsidRPr="00FC1444">
              <w:rPr>
                <w:rFonts w:eastAsiaTheme="minorEastAsia"/>
              </w:rPr>
              <w:t>、</w:t>
            </w:r>
            <w:r w:rsidRPr="00FC1444">
              <w:rPr>
                <w:rFonts w:eastAsiaTheme="minorEastAsia"/>
              </w:rPr>
              <w:t>SO</w:t>
            </w:r>
            <w:r w:rsidRPr="00FC1444">
              <w:rPr>
                <w:rFonts w:eastAsiaTheme="minorEastAsia"/>
                <w:vertAlign w:val="subscript"/>
              </w:rPr>
              <w:t>4</w:t>
            </w:r>
            <w:r w:rsidRPr="00FC1444">
              <w:rPr>
                <w:rFonts w:eastAsiaTheme="minorEastAsia"/>
                <w:vertAlign w:val="superscript"/>
              </w:rPr>
              <w:t>2-</w:t>
            </w:r>
            <w:r w:rsidRPr="00FC1444">
              <w:rPr>
                <w:rFonts w:eastAsiaTheme="minorEastAsia"/>
              </w:rPr>
              <w:t>）的测定</w:t>
            </w:r>
            <w:r w:rsidRPr="00FC1444">
              <w:rPr>
                <w:rFonts w:eastAsiaTheme="minorEastAsia"/>
              </w:rPr>
              <w:t xml:space="preserve"> </w:t>
            </w:r>
            <w:r w:rsidRPr="00FC1444">
              <w:rPr>
                <w:rFonts w:eastAsiaTheme="minorEastAsia"/>
              </w:rPr>
              <w:t>离子色谱法</w:t>
            </w:r>
            <w:r w:rsidRPr="00FC1444">
              <w:rPr>
                <w:rFonts w:eastAsiaTheme="minorEastAsia"/>
              </w:rPr>
              <w:t>HJ84-2016</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离子色谱仪</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CIC-D100/XJYQ-084-2017</w:t>
            </w:r>
          </w:p>
        </w:tc>
      </w:tr>
    </w:tbl>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4-2-</w:t>
      </w:r>
      <w:r w:rsidR="00F90B8B" w:rsidRPr="00FC1444">
        <w:rPr>
          <w:rFonts w:eastAsiaTheme="minorEastAsia" w:hint="eastAsia"/>
          <w:b/>
          <w:kern w:val="0"/>
          <w:szCs w:val="21"/>
        </w:rPr>
        <w:t>5</w:t>
      </w:r>
      <w:r w:rsidRPr="00FC1444">
        <w:rPr>
          <w:rFonts w:eastAsiaTheme="minorEastAsia"/>
          <w:b/>
          <w:kern w:val="0"/>
          <w:szCs w:val="21"/>
        </w:rPr>
        <w:t xml:space="preserve"> </w:t>
      </w:r>
      <w:r w:rsidRPr="00FC1444">
        <w:rPr>
          <w:rFonts w:eastAsiaTheme="minorEastAsia"/>
          <w:b/>
          <w:kern w:val="0"/>
          <w:szCs w:val="21"/>
        </w:rPr>
        <w:t>监测分析方法一览表</w:t>
      </w:r>
    </w:p>
    <w:tbl>
      <w:tblPr>
        <w:tblW w:w="8472" w:type="dxa"/>
        <w:tblBorders>
          <w:top w:val="single" w:sz="12" w:space="0" w:color="000000"/>
          <w:bottom w:val="single" w:sz="12" w:space="0" w:color="000000"/>
          <w:insideH w:val="single" w:sz="4" w:space="0" w:color="000000"/>
          <w:insideV w:val="single" w:sz="4" w:space="0" w:color="000000"/>
        </w:tblBorders>
        <w:tblLayout w:type="fixed"/>
        <w:tblLook w:val="04A0"/>
      </w:tblPr>
      <w:tblGrid>
        <w:gridCol w:w="1141"/>
        <w:gridCol w:w="3220"/>
        <w:gridCol w:w="1701"/>
        <w:gridCol w:w="2410"/>
      </w:tblGrid>
      <w:tr w:rsidR="002A5A5E" w:rsidRPr="00FC1444">
        <w:trPr>
          <w:trHeight w:val="907"/>
        </w:trPr>
        <w:tc>
          <w:tcPr>
            <w:tcW w:w="1141" w:type="dxa"/>
            <w:vAlign w:val="center"/>
          </w:tcPr>
          <w:p w:rsidR="002A5A5E" w:rsidRPr="00FC1444" w:rsidRDefault="00611CBA">
            <w:pPr>
              <w:jc w:val="center"/>
              <w:rPr>
                <w:rFonts w:eastAsiaTheme="minorEastAsia"/>
              </w:rPr>
            </w:pPr>
            <w:r w:rsidRPr="00FC1444">
              <w:rPr>
                <w:rFonts w:eastAsiaTheme="minorEastAsia"/>
              </w:rPr>
              <w:t>石油类</w:t>
            </w:r>
          </w:p>
        </w:tc>
        <w:tc>
          <w:tcPr>
            <w:tcW w:w="3220" w:type="dxa"/>
            <w:vAlign w:val="center"/>
          </w:tcPr>
          <w:p w:rsidR="002A5A5E" w:rsidRPr="00FC1444" w:rsidRDefault="00611CBA">
            <w:pPr>
              <w:jc w:val="center"/>
              <w:rPr>
                <w:rFonts w:eastAsiaTheme="minorEastAsia"/>
              </w:rPr>
            </w:pPr>
            <w:r w:rsidRPr="00FC1444">
              <w:rPr>
                <w:rFonts w:eastAsiaTheme="minorEastAsia"/>
              </w:rPr>
              <w:t>水质</w:t>
            </w:r>
            <w:r w:rsidRPr="00FC1444">
              <w:rPr>
                <w:rFonts w:eastAsiaTheme="minorEastAsia"/>
              </w:rPr>
              <w:t xml:space="preserve"> </w:t>
            </w:r>
            <w:r w:rsidRPr="00FC1444">
              <w:rPr>
                <w:rFonts w:eastAsiaTheme="minorEastAsia"/>
              </w:rPr>
              <w:t>石油类和动植物油类的测定</w:t>
            </w:r>
            <w:r w:rsidRPr="00FC1444">
              <w:rPr>
                <w:rFonts w:eastAsiaTheme="minorEastAsia"/>
              </w:rPr>
              <w:t xml:space="preserve"> </w:t>
            </w:r>
            <w:r w:rsidRPr="00FC1444">
              <w:rPr>
                <w:rFonts w:eastAsiaTheme="minorEastAsia"/>
              </w:rPr>
              <w:t>红外分光光度法</w:t>
            </w:r>
            <w:r w:rsidRPr="00FC1444">
              <w:rPr>
                <w:rFonts w:eastAsiaTheme="minorEastAsia"/>
              </w:rPr>
              <w:t xml:space="preserve"> HJ637-2018</w:t>
            </w:r>
          </w:p>
        </w:tc>
        <w:tc>
          <w:tcPr>
            <w:tcW w:w="1701" w:type="dxa"/>
            <w:vAlign w:val="center"/>
          </w:tcPr>
          <w:p w:rsidR="002A5A5E" w:rsidRPr="00FC1444" w:rsidRDefault="00611CBA">
            <w:pPr>
              <w:jc w:val="center"/>
              <w:rPr>
                <w:rFonts w:eastAsiaTheme="minorEastAsia"/>
                <w:szCs w:val="18"/>
              </w:rPr>
            </w:pPr>
            <w:r w:rsidRPr="00FC1444">
              <w:rPr>
                <w:rFonts w:eastAsiaTheme="minorEastAsia"/>
                <w:szCs w:val="18"/>
              </w:rPr>
              <w:t>紫外</w:t>
            </w:r>
            <w:r w:rsidRPr="00FC1444">
              <w:rPr>
                <w:rFonts w:eastAsiaTheme="minorEastAsia"/>
                <w:szCs w:val="18"/>
              </w:rPr>
              <w:t>/</w:t>
            </w:r>
            <w:r w:rsidRPr="00FC1444">
              <w:rPr>
                <w:rFonts w:eastAsiaTheme="minorEastAsia"/>
                <w:szCs w:val="18"/>
              </w:rPr>
              <w:t>可见分光光度计</w:t>
            </w:r>
          </w:p>
        </w:tc>
        <w:tc>
          <w:tcPr>
            <w:tcW w:w="2410" w:type="dxa"/>
            <w:vAlign w:val="center"/>
          </w:tcPr>
          <w:p w:rsidR="002A5A5E" w:rsidRPr="00FC1444" w:rsidRDefault="00611CBA">
            <w:pPr>
              <w:jc w:val="center"/>
              <w:rPr>
                <w:rFonts w:eastAsiaTheme="minorEastAsia"/>
                <w:szCs w:val="18"/>
              </w:rPr>
            </w:pPr>
            <w:r w:rsidRPr="00FC1444">
              <w:rPr>
                <w:rFonts w:eastAsiaTheme="minorEastAsia"/>
                <w:szCs w:val="18"/>
              </w:rPr>
              <w:t>T6</w:t>
            </w:r>
            <w:r w:rsidRPr="00FC1444">
              <w:rPr>
                <w:rFonts w:eastAsiaTheme="minorEastAsia"/>
                <w:szCs w:val="18"/>
              </w:rPr>
              <w:t>新世纪</w:t>
            </w:r>
            <w:r w:rsidRPr="00FC1444">
              <w:rPr>
                <w:rFonts w:eastAsiaTheme="minorEastAsia"/>
                <w:szCs w:val="18"/>
              </w:rPr>
              <w:t>/XJYQ-090-2017</w:t>
            </w:r>
          </w:p>
        </w:tc>
      </w:tr>
    </w:tbl>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4</w:t>
      </w:r>
      <w:r w:rsidRPr="00FC1444">
        <w:rPr>
          <w:rFonts w:eastAsiaTheme="minorEastAsia"/>
          <w:sz w:val="24"/>
        </w:rPr>
        <w:t>）监测结果</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监测时间：</w:t>
      </w:r>
      <w:r w:rsidRPr="00FC1444">
        <w:rPr>
          <w:rFonts w:eastAsiaTheme="minorEastAsia"/>
          <w:sz w:val="24"/>
        </w:rPr>
        <w:t>202</w:t>
      </w:r>
      <w:r w:rsidR="009875F8" w:rsidRPr="00FC1444">
        <w:rPr>
          <w:rFonts w:eastAsiaTheme="minorEastAsia"/>
          <w:sz w:val="24"/>
        </w:rPr>
        <w:t>6</w:t>
      </w:r>
      <w:r w:rsidRPr="00FC1444">
        <w:rPr>
          <w:rFonts w:eastAsiaTheme="minorEastAsia"/>
          <w:sz w:val="24"/>
        </w:rPr>
        <w:t>年</w:t>
      </w:r>
      <w:r w:rsidR="008D6454" w:rsidRPr="00FC1444">
        <w:rPr>
          <w:rFonts w:eastAsiaTheme="minorEastAsia" w:hint="eastAsia"/>
          <w:sz w:val="24"/>
        </w:rPr>
        <w:t>8</w:t>
      </w:r>
      <w:r w:rsidRPr="00FC1444">
        <w:rPr>
          <w:rFonts w:eastAsiaTheme="minorEastAsia"/>
          <w:sz w:val="24"/>
        </w:rPr>
        <w:t>月</w:t>
      </w:r>
      <w:r w:rsidR="008D6454" w:rsidRPr="00FC1444">
        <w:rPr>
          <w:rFonts w:eastAsiaTheme="minorEastAsia" w:hint="eastAsia"/>
          <w:sz w:val="24"/>
        </w:rPr>
        <w:t>3</w:t>
      </w:r>
      <w:r w:rsidR="009875F8" w:rsidRPr="00FC1444">
        <w:rPr>
          <w:rFonts w:eastAsiaTheme="minorEastAsia"/>
          <w:sz w:val="24"/>
        </w:rPr>
        <w:t>1</w:t>
      </w:r>
      <w:r w:rsidRPr="00FC1444">
        <w:rPr>
          <w:rFonts w:eastAsiaTheme="minorEastAsia"/>
          <w:sz w:val="24"/>
        </w:rPr>
        <w:t>日，取水层为潜水及承压水，监测结果见表</w:t>
      </w:r>
      <w:r w:rsidRPr="00FC1444">
        <w:rPr>
          <w:rFonts w:eastAsiaTheme="minorEastAsia"/>
          <w:sz w:val="24"/>
        </w:rPr>
        <w:t>4-2-</w:t>
      </w:r>
      <w:r w:rsidR="00F90B8B" w:rsidRPr="00FC1444">
        <w:rPr>
          <w:rFonts w:eastAsiaTheme="minorEastAsia" w:hint="eastAsia"/>
          <w:sz w:val="24"/>
        </w:rPr>
        <w:t>6</w:t>
      </w:r>
      <w:r w:rsidRPr="00FC1444">
        <w:rPr>
          <w:rFonts w:eastAsiaTheme="minorEastAsia"/>
          <w:sz w:val="24"/>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4-2-</w:t>
      </w:r>
      <w:r w:rsidR="00F90B8B" w:rsidRPr="00FC1444">
        <w:rPr>
          <w:rFonts w:eastAsiaTheme="minorEastAsia" w:hint="eastAsia"/>
          <w:b/>
          <w:kern w:val="0"/>
          <w:szCs w:val="21"/>
        </w:rPr>
        <w:t>6</w:t>
      </w:r>
      <w:r w:rsidRPr="00FC1444">
        <w:rPr>
          <w:rFonts w:eastAsiaTheme="minorEastAsia"/>
          <w:b/>
          <w:kern w:val="0"/>
          <w:szCs w:val="21"/>
        </w:rPr>
        <w:t>地下水质量监测结果</w:t>
      </w:r>
    </w:p>
    <w:tbl>
      <w:tblPr>
        <w:tblW w:w="8612" w:type="dxa"/>
        <w:tblBorders>
          <w:top w:val="single" w:sz="12" w:space="0" w:color="000000"/>
          <w:bottom w:val="single" w:sz="12" w:space="0" w:color="000000"/>
          <w:insideH w:val="single" w:sz="4" w:space="0" w:color="000000"/>
          <w:insideV w:val="single" w:sz="4" w:space="0" w:color="000000"/>
        </w:tblBorders>
        <w:tblLayout w:type="fixed"/>
        <w:tblLook w:val="04A0"/>
      </w:tblPr>
      <w:tblGrid>
        <w:gridCol w:w="1872"/>
        <w:gridCol w:w="870"/>
        <w:gridCol w:w="1256"/>
        <w:gridCol w:w="1179"/>
        <w:gridCol w:w="1392"/>
        <w:gridCol w:w="1250"/>
        <w:gridCol w:w="715"/>
        <w:gridCol w:w="78"/>
      </w:tblGrid>
      <w:tr w:rsidR="002A5A5E" w:rsidRPr="00FC1444" w:rsidTr="00994519">
        <w:trPr>
          <w:trHeight w:val="263"/>
        </w:trPr>
        <w:tc>
          <w:tcPr>
            <w:tcW w:w="1872" w:type="dxa"/>
            <w:vMerge w:val="restart"/>
            <w:vAlign w:val="center"/>
          </w:tcPr>
          <w:p w:rsidR="002A5A5E" w:rsidRPr="00FC1444" w:rsidRDefault="00611CBA">
            <w:pPr>
              <w:spacing w:line="0" w:lineRule="atLeast"/>
              <w:contextualSpacing/>
              <w:jc w:val="center"/>
              <w:rPr>
                <w:rFonts w:eastAsiaTheme="minorEastAsia"/>
                <w:bCs/>
                <w:szCs w:val="21"/>
              </w:rPr>
            </w:pPr>
            <w:r w:rsidRPr="00FC1444">
              <w:rPr>
                <w:rFonts w:eastAsiaTheme="minorEastAsia"/>
                <w:bCs/>
                <w:szCs w:val="21"/>
              </w:rPr>
              <w:t>检测</w:t>
            </w:r>
          </w:p>
          <w:p w:rsidR="002A5A5E" w:rsidRPr="00FC1444" w:rsidRDefault="00611CBA">
            <w:pPr>
              <w:spacing w:line="0" w:lineRule="atLeast"/>
              <w:contextualSpacing/>
              <w:jc w:val="center"/>
              <w:rPr>
                <w:rFonts w:eastAsiaTheme="minorEastAsia"/>
                <w:bCs/>
                <w:szCs w:val="21"/>
              </w:rPr>
            </w:pPr>
            <w:r w:rsidRPr="00FC1444">
              <w:rPr>
                <w:rFonts w:eastAsiaTheme="minorEastAsia"/>
                <w:bCs/>
                <w:szCs w:val="21"/>
              </w:rPr>
              <w:t>项目</w:t>
            </w:r>
          </w:p>
        </w:tc>
        <w:tc>
          <w:tcPr>
            <w:tcW w:w="870" w:type="dxa"/>
            <w:vMerge w:val="restart"/>
            <w:vAlign w:val="center"/>
          </w:tcPr>
          <w:p w:rsidR="002A5A5E" w:rsidRPr="00FC1444" w:rsidRDefault="00611CBA">
            <w:pPr>
              <w:widowControl/>
              <w:spacing w:line="0" w:lineRule="atLeast"/>
              <w:contextualSpacing/>
              <w:jc w:val="center"/>
              <w:rPr>
                <w:rFonts w:eastAsiaTheme="minorEastAsia"/>
                <w:bCs/>
                <w:szCs w:val="21"/>
              </w:rPr>
            </w:pPr>
            <w:r w:rsidRPr="00FC1444">
              <w:rPr>
                <w:rFonts w:eastAsiaTheme="minorEastAsia"/>
                <w:bCs/>
                <w:szCs w:val="21"/>
              </w:rPr>
              <w:t>单位</w:t>
            </w:r>
          </w:p>
        </w:tc>
        <w:tc>
          <w:tcPr>
            <w:tcW w:w="5077" w:type="dxa"/>
            <w:gridSpan w:val="4"/>
            <w:vAlign w:val="center"/>
          </w:tcPr>
          <w:p w:rsidR="002A5A5E" w:rsidRPr="00FC1444" w:rsidRDefault="00611CBA">
            <w:pPr>
              <w:spacing w:line="0" w:lineRule="atLeast"/>
              <w:contextualSpacing/>
              <w:jc w:val="center"/>
              <w:rPr>
                <w:rFonts w:eastAsiaTheme="minorEastAsia"/>
                <w:bCs/>
                <w:szCs w:val="21"/>
              </w:rPr>
            </w:pPr>
            <w:r w:rsidRPr="00FC1444">
              <w:rPr>
                <w:rFonts w:eastAsiaTheme="minorEastAsia"/>
                <w:szCs w:val="21"/>
              </w:rPr>
              <w:t>检测结果</w:t>
            </w:r>
          </w:p>
        </w:tc>
        <w:tc>
          <w:tcPr>
            <w:tcW w:w="793" w:type="dxa"/>
            <w:gridSpan w:val="2"/>
            <w:vMerge w:val="restart"/>
            <w:vAlign w:val="center"/>
          </w:tcPr>
          <w:p w:rsidR="002A5A5E" w:rsidRPr="00FC1444" w:rsidRDefault="00611CBA">
            <w:pPr>
              <w:spacing w:line="0" w:lineRule="atLeast"/>
              <w:contextualSpacing/>
              <w:jc w:val="center"/>
              <w:rPr>
                <w:rFonts w:eastAsiaTheme="minorEastAsia"/>
                <w:bCs/>
                <w:szCs w:val="21"/>
              </w:rPr>
            </w:pPr>
            <w:r w:rsidRPr="00FC1444">
              <w:rPr>
                <w:rFonts w:eastAsiaTheme="minorEastAsia"/>
                <w:bCs/>
                <w:szCs w:val="21"/>
              </w:rPr>
              <w:t>标准</w:t>
            </w:r>
          </w:p>
          <w:p w:rsidR="002A5A5E" w:rsidRPr="00FC1444" w:rsidRDefault="00611CBA">
            <w:pPr>
              <w:spacing w:line="0" w:lineRule="atLeast"/>
              <w:contextualSpacing/>
              <w:jc w:val="center"/>
              <w:rPr>
                <w:rFonts w:eastAsiaTheme="minorEastAsia"/>
                <w:szCs w:val="21"/>
              </w:rPr>
            </w:pPr>
            <w:r w:rsidRPr="00FC1444">
              <w:rPr>
                <w:rFonts w:eastAsiaTheme="minorEastAsia"/>
                <w:bCs/>
                <w:szCs w:val="21"/>
              </w:rPr>
              <w:t>限值</w:t>
            </w:r>
          </w:p>
        </w:tc>
      </w:tr>
      <w:tr w:rsidR="002A5A5E" w:rsidRPr="00FC1444" w:rsidTr="00994519">
        <w:trPr>
          <w:trHeight w:val="263"/>
        </w:trPr>
        <w:tc>
          <w:tcPr>
            <w:tcW w:w="1872" w:type="dxa"/>
            <w:vMerge/>
            <w:vAlign w:val="center"/>
          </w:tcPr>
          <w:p w:rsidR="002A5A5E" w:rsidRPr="00FC1444" w:rsidRDefault="002A5A5E">
            <w:pPr>
              <w:spacing w:line="0" w:lineRule="atLeast"/>
              <w:contextualSpacing/>
              <w:jc w:val="center"/>
              <w:rPr>
                <w:rFonts w:eastAsiaTheme="minorEastAsia"/>
                <w:bCs/>
                <w:szCs w:val="21"/>
              </w:rPr>
            </w:pPr>
          </w:p>
        </w:tc>
        <w:tc>
          <w:tcPr>
            <w:tcW w:w="870" w:type="dxa"/>
            <w:vMerge/>
            <w:vAlign w:val="center"/>
          </w:tcPr>
          <w:p w:rsidR="002A5A5E" w:rsidRPr="00FC1444" w:rsidRDefault="002A5A5E">
            <w:pPr>
              <w:widowControl/>
              <w:spacing w:line="0" w:lineRule="atLeast"/>
              <w:contextualSpacing/>
              <w:jc w:val="center"/>
              <w:rPr>
                <w:rFonts w:eastAsiaTheme="minorEastAsia"/>
                <w:bCs/>
                <w:szCs w:val="21"/>
              </w:rPr>
            </w:pPr>
          </w:p>
        </w:tc>
        <w:tc>
          <w:tcPr>
            <w:tcW w:w="5077" w:type="dxa"/>
            <w:gridSpan w:val="4"/>
            <w:vAlign w:val="center"/>
          </w:tcPr>
          <w:p w:rsidR="002A5A5E" w:rsidRPr="00FC1444" w:rsidRDefault="00C11002">
            <w:pPr>
              <w:spacing w:line="0" w:lineRule="atLeast"/>
              <w:contextualSpacing/>
              <w:jc w:val="center"/>
              <w:rPr>
                <w:rFonts w:eastAsiaTheme="minorEastAsia"/>
                <w:bCs/>
                <w:szCs w:val="21"/>
              </w:rPr>
            </w:pPr>
            <w:r w:rsidRPr="00FC1444">
              <w:rPr>
                <w:rFonts w:eastAsiaTheme="minorEastAsia"/>
                <w:bCs/>
              </w:rPr>
              <w:t>202</w:t>
            </w:r>
            <w:r w:rsidRPr="00FC1444">
              <w:rPr>
                <w:rFonts w:eastAsiaTheme="minorEastAsia" w:hint="eastAsia"/>
                <w:bCs/>
              </w:rPr>
              <w:t>6</w:t>
            </w:r>
            <w:r w:rsidR="008D6454" w:rsidRPr="00FC1444">
              <w:rPr>
                <w:rFonts w:eastAsiaTheme="minorEastAsia"/>
                <w:bCs/>
              </w:rPr>
              <w:t>.</w:t>
            </w:r>
            <w:r w:rsidR="008D6454" w:rsidRPr="00FC1444">
              <w:rPr>
                <w:rFonts w:eastAsiaTheme="minorEastAsia" w:hint="eastAsia"/>
                <w:bCs/>
              </w:rPr>
              <w:t>8</w:t>
            </w:r>
            <w:r w:rsidR="00611CBA" w:rsidRPr="00FC1444">
              <w:rPr>
                <w:rFonts w:eastAsiaTheme="minorEastAsia"/>
                <w:bCs/>
              </w:rPr>
              <w:t>.</w:t>
            </w:r>
            <w:r w:rsidR="008D6454" w:rsidRPr="00FC1444">
              <w:rPr>
                <w:rFonts w:eastAsiaTheme="minorEastAsia" w:hint="eastAsia"/>
                <w:bCs/>
              </w:rPr>
              <w:t>31</w:t>
            </w:r>
          </w:p>
        </w:tc>
        <w:tc>
          <w:tcPr>
            <w:tcW w:w="793" w:type="dxa"/>
            <w:gridSpan w:val="2"/>
            <w:vMerge/>
            <w:vAlign w:val="center"/>
          </w:tcPr>
          <w:p w:rsidR="002A5A5E" w:rsidRPr="00FC1444" w:rsidRDefault="002A5A5E">
            <w:pPr>
              <w:spacing w:line="0" w:lineRule="atLeast"/>
              <w:contextualSpacing/>
              <w:jc w:val="center"/>
              <w:rPr>
                <w:rFonts w:eastAsiaTheme="minorEastAsia"/>
                <w:bCs/>
                <w:szCs w:val="21"/>
              </w:rPr>
            </w:pPr>
          </w:p>
        </w:tc>
      </w:tr>
      <w:tr w:rsidR="002A5A5E" w:rsidRPr="00FC1444" w:rsidTr="00994519">
        <w:trPr>
          <w:gridAfter w:val="1"/>
          <w:wAfter w:w="78" w:type="dxa"/>
          <w:trHeight w:val="403"/>
        </w:trPr>
        <w:tc>
          <w:tcPr>
            <w:tcW w:w="1872" w:type="dxa"/>
            <w:vMerge/>
            <w:vAlign w:val="center"/>
          </w:tcPr>
          <w:p w:rsidR="002A5A5E" w:rsidRPr="00FC1444" w:rsidRDefault="002A5A5E">
            <w:pPr>
              <w:spacing w:line="0" w:lineRule="atLeast"/>
              <w:contextualSpacing/>
              <w:jc w:val="center"/>
              <w:rPr>
                <w:rFonts w:eastAsiaTheme="minorEastAsia"/>
                <w:bCs/>
                <w:szCs w:val="21"/>
              </w:rPr>
            </w:pPr>
          </w:p>
        </w:tc>
        <w:tc>
          <w:tcPr>
            <w:tcW w:w="870" w:type="dxa"/>
            <w:vMerge/>
            <w:vAlign w:val="center"/>
          </w:tcPr>
          <w:p w:rsidR="002A5A5E" w:rsidRPr="00FC1444" w:rsidRDefault="002A5A5E">
            <w:pPr>
              <w:widowControl/>
              <w:spacing w:line="0" w:lineRule="atLeast"/>
              <w:contextualSpacing/>
              <w:jc w:val="center"/>
              <w:rPr>
                <w:rFonts w:eastAsiaTheme="minorEastAsia"/>
                <w:bCs/>
                <w:szCs w:val="21"/>
              </w:rPr>
            </w:pPr>
          </w:p>
        </w:tc>
        <w:tc>
          <w:tcPr>
            <w:tcW w:w="1256" w:type="dxa"/>
            <w:vAlign w:val="center"/>
          </w:tcPr>
          <w:p w:rsidR="002A5A5E" w:rsidRPr="00FC1444" w:rsidRDefault="00611CBA">
            <w:pPr>
              <w:adjustRightInd w:val="0"/>
              <w:snapToGrid w:val="0"/>
              <w:jc w:val="center"/>
              <w:rPr>
                <w:rFonts w:eastAsiaTheme="minorEastAsia"/>
                <w:b/>
                <w:bCs/>
              </w:rPr>
            </w:pPr>
            <w:r w:rsidRPr="00FC1444">
              <w:rPr>
                <w:rFonts w:eastAsiaTheme="minorEastAsia"/>
              </w:rPr>
              <w:t>上游监测点</w:t>
            </w:r>
            <w:r w:rsidRPr="00FC1444">
              <w:rPr>
                <w:rFonts w:ascii="宋体" w:hAnsi="宋体" w:cs="宋体" w:hint="eastAsia"/>
              </w:rPr>
              <w:t>☆</w:t>
            </w:r>
            <w:r w:rsidRPr="00FC1444">
              <w:rPr>
                <w:rFonts w:eastAsiaTheme="minorEastAsia"/>
              </w:rPr>
              <w:t>1</w:t>
            </w:r>
          </w:p>
        </w:tc>
        <w:tc>
          <w:tcPr>
            <w:tcW w:w="1179" w:type="dxa"/>
            <w:vAlign w:val="center"/>
          </w:tcPr>
          <w:p w:rsidR="002A5A5E" w:rsidRPr="00FC1444" w:rsidRDefault="00611CBA">
            <w:pPr>
              <w:adjustRightInd w:val="0"/>
              <w:snapToGrid w:val="0"/>
              <w:jc w:val="center"/>
              <w:rPr>
                <w:rFonts w:eastAsiaTheme="minorEastAsia"/>
              </w:rPr>
            </w:pPr>
            <w:r w:rsidRPr="00FC1444">
              <w:rPr>
                <w:rFonts w:eastAsiaTheme="minorEastAsia"/>
              </w:rPr>
              <w:t>下游监测点</w:t>
            </w:r>
            <w:r w:rsidRPr="00FC1444">
              <w:rPr>
                <w:rFonts w:ascii="宋体" w:hAnsi="宋体" w:cs="宋体" w:hint="eastAsia"/>
              </w:rPr>
              <w:t>☆</w:t>
            </w:r>
            <w:r w:rsidRPr="00FC1444">
              <w:rPr>
                <w:rFonts w:eastAsiaTheme="minorEastAsia"/>
              </w:rPr>
              <w:t>2</w:t>
            </w:r>
          </w:p>
        </w:tc>
        <w:tc>
          <w:tcPr>
            <w:tcW w:w="1392" w:type="dxa"/>
            <w:vAlign w:val="center"/>
          </w:tcPr>
          <w:p w:rsidR="002A5A5E" w:rsidRPr="00FC1444" w:rsidRDefault="00611CBA">
            <w:pPr>
              <w:adjustRightInd w:val="0"/>
              <w:snapToGrid w:val="0"/>
              <w:jc w:val="center"/>
              <w:rPr>
                <w:rFonts w:eastAsiaTheme="minorEastAsia"/>
              </w:rPr>
            </w:pPr>
            <w:r w:rsidRPr="00FC1444">
              <w:rPr>
                <w:rFonts w:eastAsiaTheme="minorEastAsia"/>
              </w:rPr>
              <w:t>下游监测点</w:t>
            </w:r>
            <w:r w:rsidRPr="00FC1444">
              <w:rPr>
                <w:rFonts w:ascii="宋体" w:hAnsi="宋体" w:cs="宋体" w:hint="eastAsia"/>
              </w:rPr>
              <w:t>☆</w:t>
            </w:r>
            <w:r w:rsidRPr="00FC1444">
              <w:rPr>
                <w:rFonts w:eastAsiaTheme="minorEastAsia"/>
              </w:rPr>
              <w:t>3</w:t>
            </w:r>
          </w:p>
        </w:tc>
        <w:tc>
          <w:tcPr>
            <w:tcW w:w="1250" w:type="dxa"/>
            <w:vAlign w:val="center"/>
          </w:tcPr>
          <w:p w:rsidR="002A5A5E" w:rsidRPr="00FC1444" w:rsidRDefault="00611CBA">
            <w:pPr>
              <w:adjustRightInd w:val="0"/>
              <w:snapToGrid w:val="0"/>
              <w:jc w:val="center"/>
              <w:rPr>
                <w:rFonts w:eastAsiaTheme="minorEastAsia"/>
              </w:rPr>
            </w:pPr>
            <w:r w:rsidRPr="00FC1444">
              <w:rPr>
                <w:rFonts w:eastAsiaTheme="minorEastAsia"/>
              </w:rPr>
              <w:t>右侧监测点</w:t>
            </w:r>
            <w:r w:rsidRPr="00FC1444">
              <w:rPr>
                <w:rFonts w:ascii="宋体" w:hAnsi="宋体" w:cs="宋体" w:hint="eastAsia"/>
              </w:rPr>
              <w:t>☆</w:t>
            </w:r>
            <w:r w:rsidRPr="00FC1444">
              <w:rPr>
                <w:rFonts w:eastAsiaTheme="minorEastAsia"/>
              </w:rPr>
              <w:t>4</w:t>
            </w:r>
          </w:p>
        </w:tc>
        <w:tc>
          <w:tcPr>
            <w:tcW w:w="715" w:type="dxa"/>
            <w:vAlign w:val="center"/>
          </w:tcPr>
          <w:p w:rsidR="002A5A5E" w:rsidRPr="00FC1444" w:rsidRDefault="00611CBA">
            <w:pPr>
              <w:spacing w:line="0" w:lineRule="atLeast"/>
              <w:contextualSpacing/>
              <w:jc w:val="center"/>
              <w:rPr>
                <w:rFonts w:eastAsiaTheme="minorEastAsia"/>
                <w:bCs/>
                <w:szCs w:val="21"/>
              </w:rPr>
            </w:pPr>
            <w:r w:rsidRPr="00FC1444">
              <w:rPr>
                <w:rFonts w:eastAsiaTheme="minorEastAsia"/>
                <w:bCs/>
                <w:szCs w:val="21"/>
              </w:rPr>
              <w:t>/</w:t>
            </w:r>
          </w:p>
        </w:tc>
      </w:tr>
      <w:tr w:rsidR="008D6454" w:rsidRPr="00FC1444" w:rsidTr="00994519">
        <w:trPr>
          <w:gridAfter w:val="1"/>
          <w:wAfter w:w="78" w:type="dxa"/>
          <w:trHeight w:val="193"/>
        </w:trPr>
        <w:tc>
          <w:tcPr>
            <w:tcW w:w="1872" w:type="dxa"/>
            <w:tcBorders>
              <w:top w:val="single" w:sz="4" w:space="0" w:color="000000"/>
            </w:tcBorders>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钾</w:t>
            </w:r>
          </w:p>
        </w:tc>
        <w:tc>
          <w:tcPr>
            <w:tcW w:w="870" w:type="dxa"/>
            <w:tcBorders>
              <w:top w:val="single" w:sz="4" w:space="0" w:color="000000"/>
            </w:tcBorders>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1.66</w:t>
            </w:r>
          </w:p>
        </w:tc>
        <w:tc>
          <w:tcPr>
            <w:tcW w:w="1179" w:type="dxa"/>
            <w:vAlign w:val="center"/>
          </w:tcPr>
          <w:p w:rsidR="008D6454" w:rsidRPr="00FC1444" w:rsidRDefault="008D6454" w:rsidP="006F5CC4">
            <w:pPr>
              <w:adjustRightInd w:val="0"/>
              <w:snapToGrid w:val="0"/>
              <w:jc w:val="center"/>
              <w:rPr>
                <w:bCs/>
              </w:rPr>
            </w:pPr>
            <w:r w:rsidRPr="00FC1444">
              <w:rPr>
                <w:bCs/>
              </w:rPr>
              <w:t>1.18</w:t>
            </w:r>
          </w:p>
        </w:tc>
        <w:tc>
          <w:tcPr>
            <w:tcW w:w="1392" w:type="dxa"/>
            <w:vAlign w:val="center"/>
          </w:tcPr>
          <w:p w:rsidR="008D6454" w:rsidRPr="00FC1444" w:rsidRDefault="008D6454" w:rsidP="006F5CC4">
            <w:pPr>
              <w:adjustRightInd w:val="0"/>
              <w:snapToGrid w:val="0"/>
              <w:jc w:val="center"/>
              <w:rPr>
                <w:bCs/>
              </w:rPr>
            </w:pPr>
            <w:r w:rsidRPr="00FC1444">
              <w:rPr>
                <w:bCs/>
              </w:rPr>
              <w:t>0.92</w:t>
            </w:r>
          </w:p>
        </w:tc>
        <w:tc>
          <w:tcPr>
            <w:tcW w:w="1250" w:type="dxa"/>
            <w:vAlign w:val="center"/>
          </w:tcPr>
          <w:p w:rsidR="008D6454" w:rsidRPr="00FC1444" w:rsidRDefault="008D6454" w:rsidP="006F5CC4">
            <w:pPr>
              <w:adjustRightInd w:val="0"/>
              <w:snapToGrid w:val="0"/>
              <w:jc w:val="center"/>
              <w:rPr>
                <w:bCs/>
              </w:rPr>
            </w:pPr>
            <w:r w:rsidRPr="00FC1444">
              <w:rPr>
                <w:bCs/>
              </w:rPr>
              <w:t>1.06</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w:t>
            </w:r>
          </w:p>
        </w:tc>
      </w:tr>
      <w:tr w:rsidR="008D6454" w:rsidRPr="00FC1444" w:rsidTr="00994519">
        <w:trPr>
          <w:gridAfter w:val="1"/>
          <w:wAfter w:w="78" w:type="dxa"/>
          <w:trHeight w:val="196"/>
        </w:trPr>
        <w:tc>
          <w:tcPr>
            <w:tcW w:w="1872" w:type="dxa"/>
            <w:tcBorders>
              <w:bottom w:val="single" w:sz="4" w:space="0" w:color="000000"/>
            </w:tcBorders>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钠</w:t>
            </w:r>
          </w:p>
        </w:tc>
        <w:tc>
          <w:tcPr>
            <w:tcW w:w="870" w:type="dxa"/>
            <w:tcBorders>
              <w:bottom w:val="single" w:sz="4" w:space="0" w:color="000000"/>
            </w:tcBorders>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12.3</w:t>
            </w:r>
          </w:p>
        </w:tc>
        <w:tc>
          <w:tcPr>
            <w:tcW w:w="1179" w:type="dxa"/>
            <w:vAlign w:val="center"/>
          </w:tcPr>
          <w:p w:rsidR="008D6454" w:rsidRPr="00FC1444" w:rsidRDefault="008D6454" w:rsidP="006F5CC4">
            <w:pPr>
              <w:adjustRightInd w:val="0"/>
              <w:snapToGrid w:val="0"/>
              <w:jc w:val="center"/>
              <w:rPr>
                <w:bCs/>
              </w:rPr>
            </w:pPr>
            <w:r w:rsidRPr="00FC1444">
              <w:rPr>
                <w:bCs/>
              </w:rPr>
              <w:t>13.5</w:t>
            </w:r>
          </w:p>
        </w:tc>
        <w:tc>
          <w:tcPr>
            <w:tcW w:w="1392" w:type="dxa"/>
            <w:vAlign w:val="center"/>
          </w:tcPr>
          <w:p w:rsidR="008D6454" w:rsidRPr="00FC1444" w:rsidRDefault="008D6454" w:rsidP="006F5CC4">
            <w:pPr>
              <w:adjustRightInd w:val="0"/>
              <w:snapToGrid w:val="0"/>
              <w:jc w:val="center"/>
              <w:rPr>
                <w:bCs/>
              </w:rPr>
            </w:pPr>
            <w:r w:rsidRPr="00FC1444">
              <w:rPr>
                <w:bCs/>
              </w:rPr>
              <w:t>10.5</w:t>
            </w:r>
          </w:p>
        </w:tc>
        <w:tc>
          <w:tcPr>
            <w:tcW w:w="1250" w:type="dxa"/>
            <w:vAlign w:val="center"/>
          </w:tcPr>
          <w:p w:rsidR="008D6454" w:rsidRPr="00FC1444" w:rsidRDefault="008D6454" w:rsidP="006F5CC4">
            <w:pPr>
              <w:adjustRightInd w:val="0"/>
              <w:snapToGrid w:val="0"/>
              <w:jc w:val="center"/>
              <w:rPr>
                <w:bCs/>
              </w:rPr>
            </w:pPr>
            <w:r w:rsidRPr="00FC1444">
              <w:rPr>
                <w:bCs/>
              </w:rPr>
              <w:t>10.9</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200</w:t>
            </w:r>
          </w:p>
        </w:tc>
      </w:tr>
      <w:tr w:rsidR="008D6454" w:rsidRPr="00FC1444" w:rsidTr="00994519">
        <w:trPr>
          <w:gridAfter w:val="1"/>
          <w:wAfter w:w="78" w:type="dxa"/>
          <w:trHeight w:val="93"/>
        </w:trPr>
        <w:tc>
          <w:tcPr>
            <w:tcW w:w="1872" w:type="dxa"/>
            <w:tcBorders>
              <w:top w:val="single" w:sz="4" w:space="0" w:color="000000"/>
            </w:tcBorders>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bCs/>
                <w:szCs w:val="21"/>
              </w:rPr>
              <w:t>钙</w:t>
            </w:r>
          </w:p>
        </w:tc>
        <w:tc>
          <w:tcPr>
            <w:tcW w:w="870" w:type="dxa"/>
            <w:tcBorders>
              <w:top w:val="single" w:sz="4" w:space="0" w:color="000000"/>
            </w:tcBorders>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58.6</w:t>
            </w:r>
          </w:p>
        </w:tc>
        <w:tc>
          <w:tcPr>
            <w:tcW w:w="1179" w:type="dxa"/>
            <w:vAlign w:val="center"/>
          </w:tcPr>
          <w:p w:rsidR="008D6454" w:rsidRPr="00FC1444" w:rsidRDefault="008D6454" w:rsidP="006F5CC4">
            <w:pPr>
              <w:adjustRightInd w:val="0"/>
              <w:snapToGrid w:val="0"/>
              <w:jc w:val="center"/>
              <w:rPr>
                <w:bCs/>
              </w:rPr>
            </w:pPr>
            <w:r w:rsidRPr="00FC1444">
              <w:rPr>
                <w:bCs/>
              </w:rPr>
              <w:t>61.3</w:t>
            </w:r>
          </w:p>
        </w:tc>
        <w:tc>
          <w:tcPr>
            <w:tcW w:w="1392" w:type="dxa"/>
            <w:vAlign w:val="center"/>
          </w:tcPr>
          <w:p w:rsidR="008D6454" w:rsidRPr="00FC1444" w:rsidRDefault="008D6454" w:rsidP="006F5CC4">
            <w:pPr>
              <w:adjustRightInd w:val="0"/>
              <w:snapToGrid w:val="0"/>
              <w:jc w:val="center"/>
              <w:rPr>
                <w:bCs/>
              </w:rPr>
            </w:pPr>
            <w:r w:rsidRPr="00FC1444">
              <w:rPr>
                <w:bCs/>
              </w:rPr>
              <w:t>72.6</w:t>
            </w:r>
          </w:p>
        </w:tc>
        <w:tc>
          <w:tcPr>
            <w:tcW w:w="1250" w:type="dxa"/>
            <w:vAlign w:val="center"/>
          </w:tcPr>
          <w:p w:rsidR="008D6454" w:rsidRPr="00FC1444" w:rsidRDefault="008D6454" w:rsidP="006F5CC4">
            <w:pPr>
              <w:adjustRightInd w:val="0"/>
              <w:snapToGrid w:val="0"/>
              <w:jc w:val="center"/>
              <w:rPr>
                <w:bCs/>
              </w:rPr>
            </w:pPr>
            <w:r w:rsidRPr="00FC1444">
              <w:rPr>
                <w:bCs/>
              </w:rPr>
              <w:t>96.8</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w:t>
            </w:r>
          </w:p>
        </w:tc>
      </w:tr>
      <w:tr w:rsidR="008D6454" w:rsidRPr="00FC1444" w:rsidTr="00994519">
        <w:trPr>
          <w:gridAfter w:val="1"/>
          <w:wAfter w:w="78" w:type="dxa"/>
          <w:trHeight w:val="202"/>
        </w:trPr>
        <w:tc>
          <w:tcPr>
            <w:tcW w:w="1872" w:type="dxa"/>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bCs/>
                <w:szCs w:val="21"/>
              </w:rPr>
              <w:t>镁</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4.86</w:t>
            </w:r>
          </w:p>
        </w:tc>
        <w:tc>
          <w:tcPr>
            <w:tcW w:w="1179" w:type="dxa"/>
            <w:vAlign w:val="center"/>
          </w:tcPr>
          <w:p w:rsidR="008D6454" w:rsidRPr="00FC1444" w:rsidRDefault="008D6454" w:rsidP="006F5CC4">
            <w:pPr>
              <w:adjustRightInd w:val="0"/>
              <w:snapToGrid w:val="0"/>
              <w:jc w:val="center"/>
              <w:rPr>
                <w:bCs/>
              </w:rPr>
            </w:pPr>
            <w:r w:rsidRPr="00FC1444">
              <w:rPr>
                <w:bCs/>
              </w:rPr>
              <w:t>5.12</w:t>
            </w:r>
          </w:p>
        </w:tc>
        <w:tc>
          <w:tcPr>
            <w:tcW w:w="1392" w:type="dxa"/>
            <w:vAlign w:val="center"/>
          </w:tcPr>
          <w:p w:rsidR="008D6454" w:rsidRPr="00FC1444" w:rsidRDefault="008D6454" w:rsidP="006F5CC4">
            <w:pPr>
              <w:adjustRightInd w:val="0"/>
              <w:snapToGrid w:val="0"/>
              <w:jc w:val="center"/>
              <w:rPr>
                <w:bCs/>
              </w:rPr>
            </w:pPr>
            <w:r w:rsidRPr="00FC1444">
              <w:rPr>
                <w:bCs/>
              </w:rPr>
              <w:t>5.69</w:t>
            </w:r>
          </w:p>
        </w:tc>
        <w:tc>
          <w:tcPr>
            <w:tcW w:w="1250" w:type="dxa"/>
            <w:vAlign w:val="center"/>
          </w:tcPr>
          <w:p w:rsidR="008D6454" w:rsidRPr="00FC1444" w:rsidRDefault="008D6454" w:rsidP="006F5CC4">
            <w:pPr>
              <w:adjustRightInd w:val="0"/>
              <w:snapToGrid w:val="0"/>
              <w:jc w:val="center"/>
              <w:rPr>
                <w:bCs/>
              </w:rPr>
            </w:pPr>
            <w:r w:rsidRPr="00FC1444">
              <w:rPr>
                <w:bCs/>
              </w:rPr>
              <w:t>6.13</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w:t>
            </w:r>
          </w:p>
        </w:tc>
      </w:tr>
      <w:tr w:rsidR="00AE7C88" w:rsidRPr="00FC1444" w:rsidTr="00994519">
        <w:trPr>
          <w:gridAfter w:val="1"/>
          <w:wAfter w:w="78" w:type="dxa"/>
          <w:trHeight w:val="100"/>
        </w:trPr>
        <w:tc>
          <w:tcPr>
            <w:tcW w:w="1872" w:type="dxa"/>
            <w:vAlign w:val="center"/>
          </w:tcPr>
          <w:p w:rsidR="00AE7C88" w:rsidRPr="00FC1444" w:rsidRDefault="00AE7C88">
            <w:pPr>
              <w:spacing w:line="0" w:lineRule="atLeast"/>
              <w:contextualSpacing/>
              <w:jc w:val="center"/>
              <w:rPr>
                <w:rFonts w:eastAsiaTheme="minorEastAsia"/>
                <w:bCs/>
                <w:szCs w:val="21"/>
              </w:rPr>
            </w:pPr>
            <w:r w:rsidRPr="00FC1444">
              <w:rPr>
                <w:rFonts w:eastAsiaTheme="minorEastAsia"/>
                <w:bCs/>
                <w:szCs w:val="21"/>
              </w:rPr>
              <w:t>碳酸根离子</w:t>
            </w:r>
          </w:p>
        </w:tc>
        <w:tc>
          <w:tcPr>
            <w:tcW w:w="870" w:type="dxa"/>
            <w:vAlign w:val="center"/>
          </w:tcPr>
          <w:p w:rsidR="00AE7C88" w:rsidRPr="00FC1444" w:rsidRDefault="00AE7C88">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AE7C88" w:rsidRPr="00FC1444" w:rsidRDefault="00AE7C88">
            <w:pPr>
              <w:adjustRightInd w:val="0"/>
              <w:snapToGrid w:val="0"/>
              <w:jc w:val="center"/>
              <w:rPr>
                <w:bCs/>
              </w:rPr>
            </w:pPr>
            <w:r w:rsidRPr="00FC1444">
              <w:rPr>
                <w:bCs/>
              </w:rPr>
              <w:t>5L</w:t>
            </w:r>
          </w:p>
        </w:tc>
        <w:tc>
          <w:tcPr>
            <w:tcW w:w="1179" w:type="dxa"/>
            <w:vAlign w:val="center"/>
          </w:tcPr>
          <w:p w:rsidR="00AE7C88" w:rsidRPr="00FC1444" w:rsidRDefault="00AE7C88">
            <w:pPr>
              <w:adjustRightInd w:val="0"/>
              <w:snapToGrid w:val="0"/>
              <w:jc w:val="center"/>
              <w:rPr>
                <w:bCs/>
              </w:rPr>
            </w:pPr>
            <w:r w:rsidRPr="00FC1444">
              <w:rPr>
                <w:bCs/>
              </w:rPr>
              <w:t>5L</w:t>
            </w:r>
          </w:p>
        </w:tc>
        <w:tc>
          <w:tcPr>
            <w:tcW w:w="1392" w:type="dxa"/>
            <w:vAlign w:val="center"/>
          </w:tcPr>
          <w:p w:rsidR="00AE7C88" w:rsidRPr="00FC1444" w:rsidRDefault="00AE7C88">
            <w:pPr>
              <w:adjustRightInd w:val="0"/>
              <w:snapToGrid w:val="0"/>
              <w:jc w:val="center"/>
              <w:rPr>
                <w:bCs/>
              </w:rPr>
            </w:pPr>
            <w:r w:rsidRPr="00FC1444">
              <w:rPr>
                <w:bCs/>
              </w:rPr>
              <w:t>5L</w:t>
            </w:r>
          </w:p>
        </w:tc>
        <w:tc>
          <w:tcPr>
            <w:tcW w:w="1250" w:type="dxa"/>
            <w:vAlign w:val="center"/>
          </w:tcPr>
          <w:p w:rsidR="00AE7C88" w:rsidRPr="00FC1444" w:rsidRDefault="00AE7C88">
            <w:pPr>
              <w:adjustRightInd w:val="0"/>
              <w:snapToGrid w:val="0"/>
              <w:jc w:val="center"/>
              <w:rPr>
                <w:bCs/>
              </w:rPr>
            </w:pPr>
            <w:r w:rsidRPr="00FC1444">
              <w:rPr>
                <w:bCs/>
              </w:rPr>
              <w:t>5L</w:t>
            </w:r>
          </w:p>
        </w:tc>
        <w:tc>
          <w:tcPr>
            <w:tcW w:w="715" w:type="dxa"/>
            <w:vAlign w:val="center"/>
          </w:tcPr>
          <w:p w:rsidR="00AE7C88" w:rsidRPr="00FC1444" w:rsidRDefault="00AE7C88">
            <w:pPr>
              <w:spacing w:line="0" w:lineRule="atLeast"/>
              <w:contextualSpacing/>
              <w:jc w:val="center"/>
              <w:rPr>
                <w:rFonts w:eastAsiaTheme="minorEastAsia"/>
                <w:szCs w:val="21"/>
              </w:rPr>
            </w:pPr>
            <w:r w:rsidRPr="00FC1444">
              <w:rPr>
                <w:rFonts w:eastAsiaTheme="minorEastAsia"/>
                <w:szCs w:val="21"/>
              </w:rPr>
              <w:t>/</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bCs/>
                <w:szCs w:val="21"/>
              </w:rPr>
              <w:t>碳酸氢根离子</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85</w:t>
            </w:r>
          </w:p>
        </w:tc>
        <w:tc>
          <w:tcPr>
            <w:tcW w:w="1179" w:type="dxa"/>
            <w:vAlign w:val="center"/>
          </w:tcPr>
          <w:p w:rsidR="008D6454" w:rsidRPr="00FC1444" w:rsidRDefault="008D6454" w:rsidP="006F5CC4">
            <w:pPr>
              <w:adjustRightInd w:val="0"/>
              <w:snapToGrid w:val="0"/>
              <w:jc w:val="center"/>
              <w:rPr>
                <w:bCs/>
              </w:rPr>
            </w:pPr>
            <w:r w:rsidRPr="00FC1444">
              <w:rPr>
                <w:bCs/>
              </w:rPr>
              <w:t>216</w:t>
            </w:r>
          </w:p>
        </w:tc>
        <w:tc>
          <w:tcPr>
            <w:tcW w:w="1392" w:type="dxa"/>
            <w:vAlign w:val="center"/>
          </w:tcPr>
          <w:p w:rsidR="008D6454" w:rsidRPr="00FC1444" w:rsidRDefault="008D6454" w:rsidP="006F5CC4">
            <w:pPr>
              <w:adjustRightInd w:val="0"/>
              <w:snapToGrid w:val="0"/>
              <w:jc w:val="center"/>
              <w:rPr>
                <w:bCs/>
              </w:rPr>
            </w:pPr>
            <w:r w:rsidRPr="00FC1444">
              <w:rPr>
                <w:bCs/>
              </w:rPr>
              <w:t>82</w:t>
            </w:r>
          </w:p>
        </w:tc>
        <w:tc>
          <w:tcPr>
            <w:tcW w:w="1250" w:type="dxa"/>
            <w:vAlign w:val="center"/>
          </w:tcPr>
          <w:p w:rsidR="008D6454" w:rsidRPr="00FC1444" w:rsidRDefault="008D6454" w:rsidP="006F5CC4">
            <w:pPr>
              <w:adjustRightInd w:val="0"/>
              <w:snapToGrid w:val="0"/>
              <w:jc w:val="center"/>
              <w:rPr>
                <w:bCs/>
              </w:rPr>
            </w:pPr>
            <w:r w:rsidRPr="00FC1444">
              <w:rPr>
                <w:bCs/>
              </w:rPr>
              <w:t>75</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szCs w:val="21"/>
              </w:rPr>
              <w:t>氯离子</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60.5</w:t>
            </w:r>
          </w:p>
        </w:tc>
        <w:tc>
          <w:tcPr>
            <w:tcW w:w="1179" w:type="dxa"/>
            <w:vAlign w:val="center"/>
          </w:tcPr>
          <w:p w:rsidR="008D6454" w:rsidRPr="00FC1444" w:rsidRDefault="008D6454" w:rsidP="006F5CC4">
            <w:pPr>
              <w:adjustRightInd w:val="0"/>
              <w:snapToGrid w:val="0"/>
              <w:jc w:val="center"/>
              <w:rPr>
                <w:bCs/>
              </w:rPr>
            </w:pPr>
            <w:r w:rsidRPr="00FC1444">
              <w:rPr>
                <w:bCs/>
              </w:rPr>
              <w:t>19.5</w:t>
            </w:r>
          </w:p>
        </w:tc>
        <w:tc>
          <w:tcPr>
            <w:tcW w:w="1392" w:type="dxa"/>
            <w:vAlign w:val="center"/>
          </w:tcPr>
          <w:p w:rsidR="008D6454" w:rsidRPr="00FC1444" w:rsidRDefault="008D6454" w:rsidP="006F5CC4">
            <w:pPr>
              <w:adjustRightInd w:val="0"/>
              <w:snapToGrid w:val="0"/>
              <w:jc w:val="center"/>
              <w:rPr>
                <w:bCs/>
              </w:rPr>
            </w:pPr>
            <w:r w:rsidRPr="00FC1444">
              <w:rPr>
                <w:bCs/>
              </w:rPr>
              <w:t>80.2</w:t>
            </w:r>
          </w:p>
        </w:tc>
        <w:tc>
          <w:tcPr>
            <w:tcW w:w="1250" w:type="dxa"/>
            <w:vAlign w:val="center"/>
          </w:tcPr>
          <w:p w:rsidR="008D6454" w:rsidRPr="00FC1444" w:rsidRDefault="008D6454" w:rsidP="006F5CC4">
            <w:pPr>
              <w:adjustRightInd w:val="0"/>
              <w:snapToGrid w:val="0"/>
              <w:jc w:val="center"/>
              <w:rPr>
                <w:bCs/>
              </w:rPr>
            </w:pPr>
            <w:r w:rsidRPr="00FC1444">
              <w:rPr>
                <w:bCs/>
              </w:rPr>
              <w:t>26.0</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bCs/>
                <w:szCs w:val="21"/>
              </w:rPr>
              <w:t>硫酸根离子</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50.6</w:t>
            </w:r>
          </w:p>
        </w:tc>
        <w:tc>
          <w:tcPr>
            <w:tcW w:w="1179" w:type="dxa"/>
            <w:vAlign w:val="center"/>
          </w:tcPr>
          <w:p w:rsidR="008D6454" w:rsidRPr="00FC1444" w:rsidRDefault="008D6454" w:rsidP="006F5CC4">
            <w:pPr>
              <w:adjustRightInd w:val="0"/>
              <w:snapToGrid w:val="0"/>
              <w:jc w:val="center"/>
              <w:rPr>
                <w:bCs/>
              </w:rPr>
            </w:pPr>
            <w:r w:rsidRPr="00FC1444">
              <w:rPr>
                <w:bCs/>
              </w:rPr>
              <w:t>8.12</w:t>
            </w:r>
          </w:p>
        </w:tc>
        <w:tc>
          <w:tcPr>
            <w:tcW w:w="1392" w:type="dxa"/>
            <w:vAlign w:val="center"/>
          </w:tcPr>
          <w:p w:rsidR="008D6454" w:rsidRPr="00FC1444" w:rsidRDefault="008D6454" w:rsidP="006F5CC4">
            <w:pPr>
              <w:adjustRightInd w:val="0"/>
              <w:snapToGrid w:val="0"/>
              <w:jc w:val="center"/>
              <w:rPr>
                <w:bCs/>
              </w:rPr>
            </w:pPr>
            <w:r w:rsidRPr="00FC1444">
              <w:rPr>
                <w:bCs/>
              </w:rPr>
              <w:t>58.3</w:t>
            </w:r>
          </w:p>
        </w:tc>
        <w:tc>
          <w:tcPr>
            <w:tcW w:w="1250" w:type="dxa"/>
            <w:vAlign w:val="center"/>
          </w:tcPr>
          <w:p w:rsidR="008D6454" w:rsidRPr="00FC1444" w:rsidRDefault="008D6454" w:rsidP="006F5CC4">
            <w:pPr>
              <w:adjustRightInd w:val="0"/>
              <w:snapToGrid w:val="0"/>
              <w:jc w:val="center"/>
              <w:rPr>
                <w:bCs/>
              </w:rPr>
            </w:pPr>
            <w:r w:rsidRPr="00FC1444">
              <w:rPr>
                <w:bCs/>
              </w:rPr>
              <w:t>188</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bCs/>
                <w:szCs w:val="21"/>
              </w:rPr>
              <w:t>pH</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无量纲</w:t>
            </w:r>
          </w:p>
        </w:tc>
        <w:tc>
          <w:tcPr>
            <w:tcW w:w="1256" w:type="dxa"/>
            <w:vAlign w:val="center"/>
          </w:tcPr>
          <w:p w:rsidR="008D6454" w:rsidRPr="00FC1444" w:rsidRDefault="008D6454" w:rsidP="006F5CC4">
            <w:pPr>
              <w:adjustRightInd w:val="0"/>
              <w:snapToGrid w:val="0"/>
              <w:jc w:val="center"/>
              <w:rPr>
                <w:bCs/>
              </w:rPr>
            </w:pPr>
            <w:r w:rsidRPr="00FC1444">
              <w:rPr>
                <w:bCs/>
              </w:rPr>
              <w:t>7.2</w:t>
            </w:r>
          </w:p>
        </w:tc>
        <w:tc>
          <w:tcPr>
            <w:tcW w:w="1179" w:type="dxa"/>
            <w:vAlign w:val="center"/>
          </w:tcPr>
          <w:p w:rsidR="008D6454" w:rsidRPr="00FC1444" w:rsidRDefault="008D6454" w:rsidP="006F5CC4">
            <w:pPr>
              <w:adjustRightInd w:val="0"/>
              <w:snapToGrid w:val="0"/>
              <w:jc w:val="center"/>
              <w:rPr>
                <w:bCs/>
              </w:rPr>
            </w:pPr>
            <w:r w:rsidRPr="00FC1444">
              <w:rPr>
                <w:bCs/>
              </w:rPr>
              <w:t>6.8</w:t>
            </w:r>
          </w:p>
        </w:tc>
        <w:tc>
          <w:tcPr>
            <w:tcW w:w="1392" w:type="dxa"/>
            <w:vAlign w:val="center"/>
          </w:tcPr>
          <w:p w:rsidR="008D6454" w:rsidRPr="00FC1444" w:rsidRDefault="008D6454" w:rsidP="006F5CC4">
            <w:pPr>
              <w:adjustRightInd w:val="0"/>
              <w:snapToGrid w:val="0"/>
              <w:jc w:val="center"/>
              <w:rPr>
                <w:bCs/>
              </w:rPr>
            </w:pPr>
            <w:r w:rsidRPr="00FC1444">
              <w:rPr>
                <w:bCs/>
              </w:rPr>
              <w:t>6.9</w:t>
            </w:r>
          </w:p>
        </w:tc>
        <w:tc>
          <w:tcPr>
            <w:tcW w:w="1250" w:type="dxa"/>
            <w:vAlign w:val="center"/>
          </w:tcPr>
          <w:p w:rsidR="008D6454" w:rsidRPr="00FC1444" w:rsidRDefault="008D6454" w:rsidP="006F5CC4">
            <w:pPr>
              <w:adjustRightInd w:val="0"/>
              <w:snapToGrid w:val="0"/>
              <w:jc w:val="center"/>
              <w:rPr>
                <w:bCs/>
              </w:rPr>
            </w:pPr>
            <w:r w:rsidRPr="00FC1444">
              <w:rPr>
                <w:bCs/>
              </w:rPr>
              <w:t>7.1</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6.5</w:t>
            </w:r>
            <w:r w:rsidRPr="00FC1444">
              <w:rPr>
                <w:rFonts w:eastAsiaTheme="minorEastAsia"/>
                <w:szCs w:val="21"/>
              </w:rPr>
              <w:t>～</w:t>
            </w:r>
            <w:r w:rsidRPr="00FC1444">
              <w:rPr>
                <w:rFonts w:eastAsiaTheme="minorEastAsia"/>
                <w:szCs w:val="21"/>
              </w:rPr>
              <w:t>8.5</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szCs w:val="21"/>
              </w:rPr>
              <w:t>总硬度</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116</w:t>
            </w:r>
          </w:p>
        </w:tc>
        <w:tc>
          <w:tcPr>
            <w:tcW w:w="1179" w:type="dxa"/>
            <w:vAlign w:val="center"/>
          </w:tcPr>
          <w:p w:rsidR="008D6454" w:rsidRPr="00FC1444" w:rsidRDefault="008D6454" w:rsidP="006F5CC4">
            <w:pPr>
              <w:adjustRightInd w:val="0"/>
              <w:snapToGrid w:val="0"/>
              <w:jc w:val="center"/>
              <w:rPr>
                <w:bCs/>
              </w:rPr>
            </w:pPr>
            <w:r w:rsidRPr="00FC1444">
              <w:rPr>
                <w:bCs/>
              </w:rPr>
              <w:t>124</w:t>
            </w:r>
          </w:p>
        </w:tc>
        <w:tc>
          <w:tcPr>
            <w:tcW w:w="1392" w:type="dxa"/>
            <w:vAlign w:val="center"/>
          </w:tcPr>
          <w:p w:rsidR="008D6454" w:rsidRPr="00FC1444" w:rsidRDefault="008D6454" w:rsidP="006F5CC4">
            <w:pPr>
              <w:adjustRightInd w:val="0"/>
              <w:snapToGrid w:val="0"/>
              <w:jc w:val="center"/>
              <w:rPr>
                <w:bCs/>
              </w:rPr>
            </w:pPr>
            <w:r w:rsidRPr="00FC1444">
              <w:rPr>
                <w:bCs/>
              </w:rPr>
              <w:t>142</w:t>
            </w:r>
          </w:p>
        </w:tc>
        <w:tc>
          <w:tcPr>
            <w:tcW w:w="1250" w:type="dxa"/>
            <w:vAlign w:val="center"/>
          </w:tcPr>
          <w:p w:rsidR="008D6454" w:rsidRPr="00FC1444" w:rsidRDefault="008D6454" w:rsidP="006F5CC4">
            <w:pPr>
              <w:adjustRightInd w:val="0"/>
              <w:snapToGrid w:val="0"/>
              <w:jc w:val="center"/>
              <w:rPr>
                <w:bCs/>
              </w:rPr>
            </w:pPr>
            <w:r w:rsidRPr="00FC1444">
              <w:rPr>
                <w:bCs/>
              </w:rPr>
              <w:t>134</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450</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bCs/>
                <w:szCs w:val="21"/>
              </w:rPr>
              <w:t>溶解性总固体</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234</w:t>
            </w:r>
          </w:p>
        </w:tc>
        <w:tc>
          <w:tcPr>
            <w:tcW w:w="1179" w:type="dxa"/>
            <w:vAlign w:val="center"/>
          </w:tcPr>
          <w:p w:rsidR="008D6454" w:rsidRPr="00FC1444" w:rsidRDefault="008D6454" w:rsidP="006F5CC4">
            <w:pPr>
              <w:adjustRightInd w:val="0"/>
              <w:snapToGrid w:val="0"/>
              <w:jc w:val="center"/>
              <w:rPr>
                <w:bCs/>
              </w:rPr>
            </w:pPr>
            <w:r w:rsidRPr="00FC1444">
              <w:rPr>
                <w:bCs/>
              </w:rPr>
              <w:t>251</w:t>
            </w:r>
          </w:p>
        </w:tc>
        <w:tc>
          <w:tcPr>
            <w:tcW w:w="1392" w:type="dxa"/>
            <w:vAlign w:val="center"/>
          </w:tcPr>
          <w:p w:rsidR="008D6454" w:rsidRPr="00FC1444" w:rsidRDefault="008D6454" w:rsidP="006F5CC4">
            <w:pPr>
              <w:adjustRightInd w:val="0"/>
              <w:snapToGrid w:val="0"/>
              <w:jc w:val="center"/>
              <w:rPr>
                <w:bCs/>
              </w:rPr>
            </w:pPr>
            <w:r w:rsidRPr="00FC1444">
              <w:rPr>
                <w:bCs/>
              </w:rPr>
              <w:t>285</w:t>
            </w:r>
          </w:p>
        </w:tc>
        <w:tc>
          <w:tcPr>
            <w:tcW w:w="1250" w:type="dxa"/>
            <w:vAlign w:val="center"/>
          </w:tcPr>
          <w:p w:rsidR="008D6454" w:rsidRPr="00FC1444" w:rsidRDefault="008D6454" w:rsidP="006F5CC4">
            <w:pPr>
              <w:adjustRightInd w:val="0"/>
              <w:snapToGrid w:val="0"/>
              <w:jc w:val="center"/>
              <w:rPr>
                <w:bCs/>
              </w:rPr>
            </w:pPr>
            <w:r w:rsidRPr="00FC1444">
              <w:rPr>
                <w:bCs/>
              </w:rPr>
              <w:t>263</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1000</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szCs w:val="21"/>
              </w:rPr>
              <w:t>硫酸盐</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52</w:t>
            </w:r>
          </w:p>
        </w:tc>
        <w:tc>
          <w:tcPr>
            <w:tcW w:w="1179" w:type="dxa"/>
            <w:vAlign w:val="center"/>
          </w:tcPr>
          <w:p w:rsidR="008D6454" w:rsidRPr="00FC1444" w:rsidRDefault="008D6454" w:rsidP="006F5CC4">
            <w:pPr>
              <w:adjustRightInd w:val="0"/>
              <w:snapToGrid w:val="0"/>
              <w:jc w:val="center"/>
              <w:rPr>
                <w:bCs/>
              </w:rPr>
            </w:pPr>
            <w:r w:rsidRPr="00FC1444">
              <w:rPr>
                <w:bCs/>
              </w:rPr>
              <w:t>10</w:t>
            </w:r>
          </w:p>
        </w:tc>
        <w:tc>
          <w:tcPr>
            <w:tcW w:w="1392" w:type="dxa"/>
            <w:vAlign w:val="center"/>
          </w:tcPr>
          <w:p w:rsidR="008D6454" w:rsidRPr="00FC1444" w:rsidRDefault="008D6454" w:rsidP="006F5CC4">
            <w:pPr>
              <w:adjustRightInd w:val="0"/>
              <w:snapToGrid w:val="0"/>
              <w:jc w:val="center"/>
              <w:rPr>
                <w:bCs/>
              </w:rPr>
            </w:pPr>
            <w:r w:rsidRPr="00FC1444">
              <w:rPr>
                <w:bCs/>
              </w:rPr>
              <w:t>61</w:t>
            </w:r>
          </w:p>
        </w:tc>
        <w:tc>
          <w:tcPr>
            <w:tcW w:w="1250" w:type="dxa"/>
            <w:vAlign w:val="center"/>
          </w:tcPr>
          <w:p w:rsidR="008D6454" w:rsidRPr="00FC1444" w:rsidRDefault="008D6454" w:rsidP="006F5CC4">
            <w:pPr>
              <w:adjustRightInd w:val="0"/>
              <w:snapToGrid w:val="0"/>
              <w:jc w:val="center"/>
              <w:rPr>
                <w:bCs/>
              </w:rPr>
            </w:pPr>
            <w:r w:rsidRPr="00FC1444">
              <w:rPr>
                <w:bCs/>
              </w:rPr>
              <w:t>192</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250</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bCs/>
                <w:szCs w:val="21"/>
              </w:rPr>
              <w:t>氯化物</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56</w:t>
            </w:r>
          </w:p>
        </w:tc>
        <w:tc>
          <w:tcPr>
            <w:tcW w:w="1179" w:type="dxa"/>
            <w:vAlign w:val="center"/>
          </w:tcPr>
          <w:p w:rsidR="008D6454" w:rsidRPr="00FC1444" w:rsidRDefault="008D6454" w:rsidP="006F5CC4">
            <w:pPr>
              <w:adjustRightInd w:val="0"/>
              <w:snapToGrid w:val="0"/>
              <w:jc w:val="center"/>
              <w:rPr>
                <w:bCs/>
              </w:rPr>
            </w:pPr>
            <w:r w:rsidRPr="00FC1444">
              <w:rPr>
                <w:bCs/>
              </w:rPr>
              <w:t>20</w:t>
            </w:r>
          </w:p>
        </w:tc>
        <w:tc>
          <w:tcPr>
            <w:tcW w:w="1392" w:type="dxa"/>
            <w:vAlign w:val="center"/>
          </w:tcPr>
          <w:p w:rsidR="008D6454" w:rsidRPr="00FC1444" w:rsidRDefault="008D6454" w:rsidP="006F5CC4">
            <w:pPr>
              <w:adjustRightInd w:val="0"/>
              <w:snapToGrid w:val="0"/>
              <w:jc w:val="center"/>
              <w:rPr>
                <w:bCs/>
              </w:rPr>
            </w:pPr>
            <w:r w:rsidRPr="00FC1444">
              <w:rPr>
                <w:bCs/>
              </w:rPr>
              <w:t>78</w:t>
            </w:r>
          </w:p>
        </w:tc>
        <w:tc>
          <w:tcPr>
            <w:tcW w:w="1250" w:type="dxa"/>
            <w:vAlign w:val="center"/>
          </w:tcPr>
          <w:p w:rsidR="008D6454" w:rsidRPr="00FC1444" w:rsidRDefault="008D6454" w:rsidP="006F5CC4">
            <w:pPr>
              <w:adjustRightInd w:val="0"/>
              <w:snapToGrid w:val="0"/>
              <w:jc w:val="center"/>
              <w:rPr>
                <w:bCs/>
              </w:rPr>
            </w:pPr>
            <w:r w:rsidRPr="00FC1444">
              <w:rPr>
                <w:bCs/>
              </w:rPr>
              <w:t>24</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250</w:t>
            </w:r>
          </w:p>
        </w:tc>
      </w:tr>
      <w:tr w:rsidR="002A5A5E" w:rsidRPr="00FC1444" w:rsidTr="00994519">
        <w:trPr>
          <w:gridAfter w:val="1"/>
          <w:wAfter w:w="78" w:type="dxa"/>
          <w:trHeight w:val="42"/>
        </w:trPr>
        <w:tc>
          <w:tcPr>
            <w:tcW w:w="1872" w:type="dxa"/>
            <w:vAlign w:val="center"/>
          </w:tcPr>
          <w:p w:rsidR="002A5A5E" w:rsidRPr="00FC1444" w:rsidRDefault="00611CBA">
            <w:pPr>
              <w:spacing w:line="0" w:lineRule="atLeast"/>
              <w:contextualSpacing/>
              <w:jc w:val="center"/>
              <w:rPr>
                <w:rFonts w:eastAsiaTheme="minorEastAsia"/>
                <w:bCs/>
                <w:szCs w:val="21"/>
              </w:rPr>
            </w:pPr>
            <w:r w:rsidRPr="00FC1444">
              <w:rPr>
                <w:rFonts w:eastAsiaTheme="minorEastAsia"/>
                <w:bCs/>
                <w:szCs w:val="21"/>
              </w:rPr>
              <w:t>挥发酚</w:t>
            </w:r>
          </w:p>
        </w:tc>
        <w:tc>
          <w:tcPr>
            <w:tcW w:w="87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2A5A5E" w:rsidRPr="00FC1444" w:rsidRDefault="00611CBA">
            <w:pPr>
              <w:adjustRightInd w:val="0"/>
              <w:snapToGrid w:val="0"/>
              <w:jc w:val="center"/>
              <w:rPr>
                <w:bCs/>
              </w:rPr>
            </w:pPr>
            <w:r w:rsidRPr="00FC1444">
              <w:rPr>
                <w:bCs/>
              </w:rPr>
              <w:t>0.0003L</w:t>
            </w:r>
          </w:p>
        </w:tc>
        <w:tc>
          <w:tcPr>
            <w:tcW w:w="1179" w:type="dxa"/>
            <w:vAlign w:val="center"/>
          </w:tcPr>
          <w:p w:rsidR="002A5A5E" w:rsidRPr="00FC1444" w:rsidRDefault="00611CBA">
            <w:pPr>
              <w:adjustRightInd w:val="0"/>
              <w:snapToGrid w:val="0"/>
              <w:jc w:val="center"/>
              <w:rPr>
                <w:bCs/>
              </w:rPr>
            </w:pPr>
            <w:r w:rsidRPr="00FC1444">
              <w:rPr>
                <w:bCs/>
              </w:rPr>
              <w:t>0.0003L</w:t>
            </w:r>
          </w:p>
        </w:tc>
        <w:tc>
          <w:tcPr>
            <w:tcW w:w="1392" w:type="dxa"/>
            <w:vAlign w:val="center"/>
          </w:tcPr>
          <w:p w:rsidR="002A5A5E" w:rsidRPr="00FC1444" w:rsidRDefault="00611CBA">
            <w:pPr>
              <w:adjustRightInd w:val="0"/>
              <w:snapToGrid w:val="0"/>
              <w:jc w:val="center"/>
              <w:rPr>
                <w:bCs/>
              </w:rPr>
            </w:pPr>
            <w:r w:rsidRPr="00FC1444">
              <w:rPr>
                <w:bCs/>
              </w:rPr>
              <w:t>0.0003L</w:t>
            </w:r>
          </w:p>
        </w:tc>
        <w:tc>
          <w:tcPr>
            <w:tcW w:w="1250" w:type="dxa"/>
            <w:vAlign w:val="center"/>
          </w:tcPr>
          <w:p w:rsidR="002A5A5E" w:rsidRPr="00FC1444" w:rsidRDefault="00611CBA">
            <w:pPr>
              <w:adjustRightInd w:val="0"/>
              <w:snapToGrid w:val="0"/>
              <w:jc w:val="center"/>
              <w:rPr>
                <w:bCs/>
              </w:rPr>
            </w:pPr>
            <w:r w:rsidRPr="00FC1444">
              <w:rPr>
                <w:bCs/>
              </w:rPr>
              <w:t>0.0003L</w:t>
            </w:r>
          </w:p>
        </w:tc>
        <w:tc>
          <w:tcPr>
            <w:tcW w:w="715"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0.002</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bCs/>
                <w:szCs w:val="21"/>
              </w:rPr>
              <w:t>耗氧量</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2.0</w:t>
            </w:r>
          </w:p>
        </w:tc>
        <w:tc>
          <w:tcPr>
            <w:tcW w:w="1179" w:type="dxa"/>
            <w:vAlign w:val="center"/>
          </w:tcPr>
          <w:p w:rsidR="008D6454" w:rsidRPr="00FC1444" w:rsidRDefault="008D6454" w:rsidP="006F5CC4">
            <w:pPr>
              <w:adjustRightInd w:val="0"/>
              <w:snapToGrid w:val="0"/>
              <w:jc w:val="center"/>
              <w:rPr>
                <w:bCs/>
              </w:rPr>
            </w:pPr>
            <w:r w:rsidRPr="00FC1444">
              <w:rPr>
                <w:bCs/>
              </w:rPr>
              <w:t>1.8</w:t>
            </w:r>
          </w:p>
        </w:tc>
        <w:tc>
          <w:tcPr>
            <w:tcW w:w="1392" w:type="dxa"/>
            <w:vAlign w:val="center"/>
          </w:tcPr>
          <w:p w:rsidR="008D6454" w:rsidRPr="00FC1444" w:rsidRDefault="008D6454" w:rsidP="006F5CC4">
            <w:pPr>
              <w:adjustRightInd w:val="0"/>
              <w:snapToGrid w:val="0"/>
              <w:jc w:val="center"/>
              <w:rPr>
                <w:bCs/>
              </w:rPr>
            </w:pPr>
            <w:r w:rsidRPr="00FC1444">
              <w:rPr>
                <w:bCs/>
              </w:rPr>
              <w:t>1.6</w:t>
            </w:r>
          </w:p>
        </w:tc>
        <w:tc>
          <w:tcPr>
            <w:tcW w:w="1250" w:type="dxa"/>
            <w:vAlign w:val="center"/>
          </w:tcPr>
          <w:p w:rsidR="008D6454" w:rsidRPr="00FC1444" w:rsidRDefault="008D6454" w:rsidP="006F5CC4">
            <w:pPr>
              <w:adjustRightInd w:val="0"/>
              <w:snapToGrid w:val="0"/>
              <w:jc w:val="center"/>
              <w:rPr>
                <w:bCs/>
              </w:rPr>
            </w:pPr>
            <w:r w:rsidRPr="00FC1444">
              <w:rPr>
                <w:bCs/>
              </w:rPr>
              <w:t>1.2</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3.0</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szCs w:val="21"/>
              </w:rPr>
              <w:t>硝酸盐</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0.20</w:t>
            </w:r>
          </w:p>
        </w:tc>
        <w:tc>
          <w:tcPr>
            <w:tcW w:w="1179" w:type="dxa"/>
            <w:vAlign w:val="center"/>
          </w:tcPr>
          <w:p w:rsidR="008D6454" w:rsidRPr="00FC1444" w:rsidRDefault="008D6454" w:rsidP="006F5CC4">
            <w:pPr>
              <w:adjustRightInd w:val="0"/>
              <w:snapToGrid w:val="0"/>
              <w:jc w:val="center"/>
              <w:rPr>
                <w:bCs/>
              </w:rPr>
            </w:pPr>
            <w:r w:rsidRPr="00FC1444">
              <w:rPr>
                <w:bCs/>
              </w:rPr>
              <w:t>0.31</w:t>
            </w:r>
          </w:p>
        </w:tc>
        <w:tc>
          <w:tcPr>
            <w:tcW w:w="1392" w:type="dxa"/>
            <w:vAlign w:val="center"/>
          </w:tcPr>
          <w:p w:rsidR="008D6454" w:rsidRPr="00FC1444" w:rsidRDefault="008D6454" w:rsidP="006F5CC4">
            <w:pPr>
              <w:adjustRightInd w:val="0"/>
              <w:snapToGrid w:val="0"/>
              <w:jc w:val="center"/>
              <w:rPr>
                <w:bCs/>
              </w:rPr>
            </w:pPr>
            <w:r w:rsidRPr="00FC1444">
              <w:rPr>
                <w:bCs/>
              </w:rPr>
              <w:t>0.19</w:t>
            </w:r>
          </w:p>
        </w:tc>
        <w:tc>
          <w:tcPr>
            <w:tcW w:w="1250" w:type="dxa"/>
            <w:vAlign w:val="center"/>
          </w:tcPr>
          <w:p w:rsidR="008D6454" w:rsidRPr="00FC1444" w:rsidRDefault="008D6454" w:rsidP="006F5CC4">
            <w:pPr>
              <w:adjustRightInd w:val="0"/>
              <w:snapToGrid w:val="0"/>
              <w:jc w:val="center"/>
              <w:rPr>
                <w:bCs/>
              </w:rPr>
            </w:pPr>
            <w:r w:rsidRPr="00FC1444">
              <w:rPr>
                <w:bCs/>
              </w:rPr>
              <w:t>0.35</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20.0</w:t>
            </w:r>
          </w:p>
        </w:tc>
      </w:tr>
      <w:tr w:rsidR="002A5A5E" w:rsidRPr="00FC1444" w:rsidTr="00994519">
        <w:trPr>
          <w:gridAfter w:val="1"/>
          <w:wAfter w:w="78" w:type="dxa"/>
          <w:trHeight w:val="42"/>
        </w:trPr>
        <w:tc>
          <w:tcPr>
            <w:tcW w:w="1872" w:type="dxa"/>
            <w:vAlign w:val="center"/>
          </w:tcPr>
          <w:p w:rsidR="002A5A5E" w:rsidRPr="00FC1444" w:rsidRDefault="00611CBA">
            <w:pPr>
              <w:spacing w:line="0" w:lineRule="atLeast"/>
              <w:contextualSpacing/>
              <w:jc w:val="center"/>
              <w:rPr>
                <w:rFonts w:eastAsiaTheme="minorEastAsia"/>
                <w:bCs/>
                <w:szCs w:val="21"/>
              </w:rPr>
            </w:pPr>
            <w:r w:rsidRPr="00FC1444">
              <w:rPr>
                <w:rFonts w:eastAsiaTheme="minorEastAsia"/>
                <w:bCs/>
                <w:szCs w:val="21"/>
              </w:rPr>
              <w:t>亚硝酸盐</w:t>
            </w:r>
          </w:p>
        </w:tc>
        <w:tc>
          <w:tcPr>
            <w:tcW w:w="87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2A5A5E" w:rsidRPr="00FC1444" w:rsidRDefault="00611CBA">
            <w:pPr>
              <w:adjustRightInd w:val="0"/>
              <w:snapToGrid w:val="0"/>
              <w:jc w:val="center"/>
              <w:rPr>
                <w:bCs/>
              </w:rPr>
            </w:pPr>
            <w:r w:rsidRPr="00FC1444">
              <w:rPr>
                <w:bCs/>
              </w:rPr>
              <w:t>0.003L</w:t>
            </w:r>
          </w:p>
        </w:tc>
        <w:tc>
          <w:tcPr>
            <w:tcW w:w="1179" w:type="dxa"/>
            <w:vAlign w:val="center"/>
          </w:tcPr>
          <w:p w:rsidR="002A5A5E" w:rsidRPr="00FC1444" w:rsidRDefault="00611CBA">
            <w:pPr>
              <w:adjustRightInd w:val="0"/>
              <w:snapToGrid w:val="0"/>
              <w:jc w:val="center"/>
              <w:rPr>
                <w:bCs/>
              </w:rPr>
            </w:pPr>
            <w:r w:rsidRPr="00FC1444">
              <w:rPr>
                <w:bCs/>
              </w:rPr>
              <w:t>0.003L</w:t>
            </w:r>
          </w:p>
        </w:tc>
        <w:tc>
          <w:tcPr>
            <w:tcW w:w="1392" w:type="dxa"/>
            <w:vAlign w:val="center"/>
          </w:tcPr>
          <w:p w:rsidR="002A5A5E" w:rsidRPr="00FC1444" w:rsidRDefault="00611CBA">
            <w:pPr>
              <w:adjustRightInd w:val="0"/>
              <w:snapToGrid w:val="0"/>
              <w:jc w:val="center"/>
              <w:rPr>
                <w:bCs/>
              </w:rPr>
            </w:pPr>
            <w:r w:rsidRPr="00FC1444">
              <w:rPr>
                <w:bCs/>
              </w:rPr>
              <w:t>0.003L</w:t>
            </w:r>
          </w:p>
        </w:tc>
        <w:tc>
          <w:tcPr>
            <w:tcW w:w="1250" w:type="dxa"/>
            <w:vAlign w:val="center"/>
          </w:tcPr>
          <w:p w:rsidR="002A5A5E" w:rsidRPr="00FC1444" w:rsidRDefault="00611CBA">
            <w:pPr>
              <w:adjustRightInd w:val="0"/>
              <w:snapToGrid w:val="0"/>
              <w:jc w:val="center"/>
              <w:rPr>
                <w:bCs/>
              </w:rPr>
            </w:pPr>
            <w:r w:rsidRPr="00FC1444">
              <w:rPr>
                <w:bCs/>
              </w:rPr>
              <w:t>0.003L</w:t>
            </w:r>
          </w:p>
        </w:tc>
        <w:tc>
          <w:tcPr>
            <w:tcW w:w="715"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1.00</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szCs w:val="21"/>
              </w:rPr>
              <w:t>氨氮</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0.425</w:t>
            </w:r>
          </w:p>
        </w:tc>
        <w:tc>
          <w:tcPr>
            <w:tcW w:w="1179" w:type="dxa"/>
            <w:vAlign w:val="center"/>
          </w:tcPr>
          <w:p w:rsidR="008D6454" w:rsidRPr="00FC1444" w:rsidRDefault="008D6454" w:rsidP="006F5CC4">
            <w:pPr>
              <w:adjustRightInd w:val="0"/>
              <w:snapToGrid w:val="0"/>
              <w:jc w:val="center"/>
              <w:rPr>
                <w:bCs/>
              </w:rPr>
            </w:pPr>
            <w:r w:rsidRPr="00FC1444">
              <w:rPr>
                <w:bCs/>
              </w:rPr>
              <w:t>0.386</w:t>
            </w:r>
          </w:p>
        </w:tc>
        <w:tc>
          <w:tcPr>
            <w:tcW w:w="1392" w:type="dxa"/>
            <w:vAlign w:val="center"/>
          </w:tcPr>
          <w:p w:rsidR="008D6454" w:rsidRPr="00FC1444" w:rsidRDefault="008D6454" w:rsidP="006F5CC4">
            <w:pPr>
              <w:adjustRightInd w:val="0"/>
              <w:snapToGrid w:val="0"/>
              <w:jc w:val="center"/>
              <w:rPr>
                <w:bCs/>
              </w:rPr>
            </w:pPr>
            <w:r w:rsidRPr="00FC1444">
              <w:rPr>
                <w:bCs/>
              </w:rPr>
              <w:t>0.342</w:t>
            </w:r>
          </w:p>
        </w:tc>
        <w:tc>
          <w:tcPr>
            <w:tcW w:w="1250" w:type="dxa"/>
            <w:vAlign w:val="center"/>
          </w:tcPr>
          <w:p w:rsidR="008D6454" w:rsidRPr="00FC1444" w:rsidRDefault="008D6454" w:rsidP="006F5CC4">
            <w:pPr>
              <w:adjustRightInd w:val="0"/>
              <w:snapToGrid w:val="0"/>
              <w:jc w:val="center"/>
              <w:rPr>
                <w:bCs/>
              </w:rPr>
            </w:pPr>
            <w:r w:rsidRPr="00FC1444">
              <w:rPr>
                <w:bCs/>
              </w:rPr>
              <w:t>0.462</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0.50</w:t>
            </w:r>
          </w:p>
        </w:tc>
      </w:tr>
      <w:tr w:rsidR="00AE7C88" w:rsidRPr="00FC1444" w:rsidTr="00994519">
        <w:trPr>
          <w:gridAfter w:val="1"/>
          <w:wAfter w:w="78" w:type="dxa"/>
          <w:trHeight w:val="42"/>
        </w:trPr>
        <w:tc>
          <w:tcPr>
            <w:tcW w:w="1872" w:type="dxa"/>
            <w:vAlign w:val="center"/>
          </w:tcPr>
          <w:p w:rsidR="00AE7C88" w:rsidRPr="00FC1444" w:rsidRDefault="00AE7C88">
            <w:pPr>
              <w:spacing w:line="0" w:lineRule="atLeast"/>
              <w:contextualSpacing/>
              <w:jc w:val="center"/>
              <w:rPr>
                <w:rFonts w:eastAsiaTheme="minorEastAsia"/>
                <w:bCs/>
                <w:szCs w:val="21"/>
              </w:rPr>
            </w:pPr>
            <w:r w:rsidRPr="00FC1444">
              <w:rPr>
                <w:rFonts w:eastAsiaTheme="minorEastAsia"/>
                <w:bCs/>
                <w:szCs w:val="21"/>
              </w:rPr>
              <w:t>六价铬</w:t>
            </w:r>
          </w:p>
        </w:tc>
        <w:tc>
          <w:tcPr>
            <w:tcW w:w="870" w:type="dxa"/>
            <w:vAlign w:val="center"/>
          </w:tcPr>
          <w:p w:rsidR="00AE7C88" w:rsidRPr="00FC1444" w:rsidRDefault="00AE7C88">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AE7C88" w:rsidRPr="00FC1444" w:rsidRDefault="00AE7C88">
            <w:pPr>
              <w:adjustRightInd w:val="0"/>
              <w:snapToGrid w:val="0"/>
              <w:jc w:val="center"/>
              <w:rPr>
                <w:bCs/>
              </w:rPr>
            </w:pPr>
            <w:r w:rsidRPr="00FC1444">
              <w:rPr>
                <w:bCs/>
              </w:rPr>
              <w:t>0.004L</w:t>
            </w:r>
          </w:p>
        </w:tc>
        <w:tc>
          <w:tcPr>
            <w:tcW w:w="1179" w:type="dxa"/>
            <w:vAlign w:val="center"/>
          </w:tcPr>
          <w:p w:rsidR="00AE7C88" w:rsidRPr="00FC1444" w:rsidRDefault="00AE7C88">
            <w:pPr>
              <w:adjustRightInd w:val="0"/>
              <w:snapToGrid w:val="0"/>
              <w:jc w:val="center"/>
              <w:rPr>
                <w:bCs/>
              </w:rPr>
            </w:pPr>
            <w:r w:rsidRPr="00FC1444">
              <w:rPr>
                <w:bCs/>
              </w:rPr>
              <w:t>0.004L</w:t>
            </w:r>
          </w:p>
        </w:tc>
        <w:tc>
          <w:tcPr>
            <w:tcW w:w="1392" w:type="dxa"/>
            <w:vAlign w:val="center"/>
          </w:tcPr>
          <w:p w:rsidR="00AE7C88" w:rsidRPr="00FC1444" w:rsidRDefault="00AE7C88">
            <w:pPr>
              <w:adjustRightInd w:val="0"/>
              <w:snapToGrid w:val="0"/>
              <w:jc w:val="center"/>
              <w:rPr>
                <w:bCs/>
              </w:rPr>
            </w:pPr>
            <w:r w:rsidRPr="00FC1444">
              <w:rPr>
                <w:bCs/>
              </w:rPr>
              <w:t>0.004L</w:t>
            </w:r>
          </w:p>
        </w:tc>
        <w:tc>
          <w:tcPr>
            <w:tcW w:w="1250" w:type="dxa"/>
            <w:vAlign w:val="center"/>
          </w:tcPr>
          <w:p w:rsidR="00AE7C88" w:rsidRPr="00FC1444" w:rsidRDefault="00AE7C88">
            <w:pPr>
              <w:adjustRightInd w:val="0"/>
              <w:snapToGrid w:val="0"/>
              <w:jc w:val="center"/>
              <w:rPr>
                <w:bCs/>
              </w:rPr>
            </w:pPr>
            <w:r w:rsidRPr="00FC1444">
              <w:rPr>
                <w:bCs/>
              </w:rPr>
              <w:t>0.004L</w:t>
            </w:r>
          </w:p>
        </w:tc>
        <w:tc>
          <w:tcPr>
            <w:tcW w:w="715" w:type="dxa"/>
            <w:vAlign w:val="center"/>
          </w:tcPr>
          <w:p w:rsidR="00AE7C88" w:rsidRPr="00FC1444" w:rsidRDefault="00AE7C88">
            <w:pPr>
              <w:spacing w:line="0" w:lineRule="atLeast"/>
              <w:contextualSpacing/>
              <w:jc w:val="center"/>
              <w:rPr>
                <w:rFonts w:eastAsiaTheme="minorEastAsia"/>
                <w:szCs w:val="21"/>
              </w:rPr>
            </w:pPr>
            <w:r w:rsidRPr="00FC1444">
              <w:rPr>
                <w:rFonts w:eastAsiaTheme="minorEastAsia"/>
                <w:szCs w:val="21"/>
              </w:rPr>
              <w:t>0.05</w:t>
            </w:r>
          </w:p>
        </w:tc>
      </w:tr>
      <w:tr w:rsidR="002A5A5E" w:rsidRPr="00FC1444" w:rsidTr="00994519">
        <w:trPr>
          <w:gridAfter w:val="1"/>
          <w:wAfter w:w="78" w:type="dxa"/>
          <w:trHeight w:val="42"/>
        </w:trPr>
        <w:tc>
          <w:tcPr>
            <w:tcW w:w="1872" w:type="dxa"/>
            <w:vAlign w:val="center"/>
          </w:tcPr>
          <w:p w:rsidR="002A5A5E" w:rsidRPr="00FC1444" w:rsidRDefault="00611CBA">
            <w:pPr>
              <w:spacing w:line="0" w:lineRule="atLeast"/>
              <w:contextualSpacing/>
              <w:jc w:val="center"/>
              <w:rPr>
                <w:rFonts w:eastAsiaTheme="minorEastAsia"/>
                <w:bCs/>
                <w:szCs w:val="21"/>
              </w:rPr>
            </w:pPr>
            <w:r w:rsidRPr="00FC1444">
              <w:rPr>
                <w:rFonts w:eastAsiaTheme="minorEastAsia"/>
                <w:bCs/>
                <w:szCs w:val="21"/>
              </w:rPr>
              <w:t>氟化物</w:t>
            </w:r>
          </w:p>
        </w:tc>
        <w:tc>
          <w:tcPr>
            <w:tcW w:w="87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2A5A5E" w:rsidRPr="00FC1444" w:rsidRDefault="00611CBA">
            <w:pPr>
              <w:adjustRightInd w:val="0"/>
              <w:snapToGrid w:val="0"/>
              <w:jc w:val="center"/>
              <w:rPr>
                <w:bCs/>
              </w:rPr>
            </w:pPr>
            <w:r w:rsidRPr="00FC1444">
              <w:rPr>
                <w:bCs/>
              </w:rPr>
              <w:t>0.02L</w:t>
            </w:r>
          </w:p>
        </w:tc>
        <w:tc>
          <w:tcPr>
            <w:tcW w:w="1179" w:type="dxa"/>
            <w:vAlign w:val="center"/>
          </w:tcPr>
          <w:p w:rsidR="002A5A5E" w:rsidRPr="00FC1444" w:rsidRDefault="00611CBA">
            <w:pPr>
              <w:adjustRightInd w:val="0"/>
              <w:snapToGrid w:val="0"/>
              <w:jc w:val="center"/>
              <w:rPr>
                <w:bCs/>
              </w:rPr>
            </w:pPr>
            <w:r w:rsidRPr="00FC1444">
              <w:rPr>
                <w:bCs/>
              </w:rPr>
              <w:t>0.02L</w:t>
            </w:r>
          </w:p>
        </w:tc>
        <w:tc>
          <w:tcPr>
            <w:tcW w:w="1392" w:type="dxa"/>
            <w:vAlign w:val="center"/>
          </w:tcPr>
          <w:p w:rsidR="002A5A5E" w:rsidRPr="00FC1444" w:rsidRDefault="00611CBA">
            <w:pPr>
              <w:adjustRightInd w:val="0"/>
              <w:snapToGrid w:val="0"/>
              <w:jc w:val="center"/>
              <w:rPr>
                <w:bCs/>
              </w:rPr>
            </w:pPr>
            <w:r w:rsidRPr="00FC1444">
              <w:rPr>
                <w:bCs/>
              </w:rPr>
              <w:t>0.02L</w:t>
            </w:r>
          </w:p>
        </w:tc>
        <w:tc>
          <w:tcPr>
            <w:tcW w:w="1250" w:type="dxa"/>
            <w:vAlign w:val="center"/>
          </w:tcPr>
          <w:p w:rsidR="002A5A5E" w:rsidRPr="00FC1444" w:rsidRDefault="00611CBA">
            <w:pPr>
              <w:adjustRightInd w:val="0"/>
              <w:snapToGrid w:val="0"/>
              <w:jc w:val="center"/>
              <w:rPr>
                <w:bCs/>
              </w:rPr>
            </w:pPr>
            <w:r w:rsidRPr="00FC1444">
              <w:rPr>
                <w:bCs/>
              </w:rPr>
              <w:t>0.02L</w:t>
            </w:r>
          </w:p>
        </w:tc>
        <w:tc>
          <w:tcPr>
            <w:tcW w:w="715"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1.0</w:t>
            </w:r>
          </w:p>
        </w:tc>
      </w:tr>
      <w:tr w:rsidR="002A5A5E" w:rsidRPr="00FC1444" w:rsidTr="00994519">
        <w:trPr>
          <w:gridAfter w:val="1"/>
          <w:wAfter w:w="78" w:type="dxa"/>
          <w:trHeight w:val="42"/>
        </w:trPr>
        <w:tc>
          <w:tcPr>
            <w:tcW w:w="1872" w:type="dxa"/>
            <w:vAlign w:val="center"/>
          </w:tcPr>
          <w:p w:rsidR="002A5A5E" w:rsidRPr="00FC1444" w:rsidRDefault="00611CBA">
            <w:pPr>
              <w:spacing w:line="0" w:lineRule="atLeast"/>
              <w:contextualSpacing/>
              <w:jc w:val="center"/>
              <w:rPr>
                <w:rFonts w:eastAsiaTheme="minorEastAsia"/>
                <w:bCs/>
                <w:szCs w:val="21"/>
              </w:rPr>
            </w:pPr>
            <w:r w:rsidRPr="00FC1444">
              <w:rPr>
                <w:rFonts w:eastAsiaTheme="minorEastAsia"/>
                <w:szCs w:val="21"/>
              </w:rPr>
              <w:t>氰化物</w:t>
            </w:r>
          </w:p>
        </w:tc>
        <w:tc>
          <w:tcPr>
            <w:tcW w:w="87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2A5A5E" w:rsidRPr="00FC1444" w:rsidRDefault="00611CBA">
            <w:pPr>
              <w:adjustRightInd w:val="0"/>
              <w:snapToGrid w:val="0"/>
              <w:jc w:val="center"/>
              <w:rPr>
                <w:bCs/>
              </w:rPr>
            </w:pPr>
            <w:r w:rsidRPr="00FC1444">
              <w:rPr>
                <w:bCs/>
              </w:rPr>
              <w:t>0.002L</w:t>
            </w:r>
          </w:p>
        </w:tc>
        <w:tc>
          <w:tcPr>
            <w:tcW w:w="1179" w:type="dxa"/>
            <w:vAlign w:val="center"/>
          </w:tcPr>
          <w:p w:rsidR="002A5A5E" w:rsidRPr="00FC1444" w:rsidRDefault="00611CBA">
            <w:pPr>
              <w:adjustRightInd w:val="0"/>
              <w:snapToGrid w:val="0"/>
              <w:jc w:val="center"/>
              <w:rPr>
                <w:bCs/>
              </w:rPr>
            </w:pPr>
            <w:r w:rsidRPr="00FC1444">
              <w:rPr>
                <w:bCs/>
              </w:rPr>
              <w:t>0.002L</w:t>
            </w:r>
          </w:p>
        </w:tc>
        <w:tc>
          <w:tcPr>
            <w:tcW w:w="1392" w:type="dxa"/>
            <w:vAlign w:val="center"/>
          </w:tcPr>
          <w:p w:rsidR="002A5A5E" w:rsidRPr="00FC1444" w:rsidRDefault="00611CBA">
            <w:pPr>
              <w:adjustRightInd w:val="0"/>
              <w:snapToGrid w:val="0"/>
              <w:jc w:val="center"/>
              <w:rPr>
                <w:bCs/>
              </w:rPr>
            </w:pPr>
            <w:r w:rsidRPr="00FC1444">
              <w:rPr>
                <w:bCs/>
              </w:rPr>
              <w:t>0.002L</w:t>
            </w:r>
          </w:p>
        </w:tc>
        <w:tc>
          <w:tcPr>
            <w:tcW w:w="1250" w:type="dxa"/>
            <w:vAlign w:val="center"/>
          </w:tcPr>
          <w:p w:rsidR="002A5A5E" w:rsidRPr="00FC1444" w:rsidRDefault="00611CBA">
            <w:pPr>
              <w:adjustRightInd w:val="0"/>
              <w:snapToGrid w:val="0"/>
              <w:jc w:val="center"/>
              <w:rPr>
                <w:bCs/>
              </w:rPr>
            </w:pPr>
            <w:r w:rsidRPr="00FC1444">
              <w:rPr>
                <w:bCs/>
              </w:rPr>
              <w:t>0.002L</w:t>
            </w:r>
          </w:p>
        </w:tc>
        <w:tc>
          <w:tcPr>
            <w:tcW w:w="715"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0.05</w:t>
            </w:r>
          </w:p>
        </w:tc>
      </w:tr>
      <w:tr w:rsidR="002A5A5E" w:rsidRPr="00FC1444" w:rsidTr="00994519">
        <w:trPr>
          <w:gridAfter w:val="1"/>
          <w:wAfter w:w="78" w:type="dxa"/>
          <w:trHeight w:val="42"/>
        </w:trPr>
        <w:tc>
          <w:tcPr>
            <w:tcW w:w="1872" w:type="dxa"/>
            <w:vAlign w:val="center"/>
          </w:tcPr>
          <w:p w:rsidR="002A5A5E" w:rsidRPr="00FC1444" w:rsidRDefault="00611CBA">
            <w:pPr>
              <w:spacing w:line="0" w:lineRule="atLeast"/>
              <w:contextualSpacing/>
              <w:jc w:val="center"/>
              <w:rPr>
                <w:rFonts w:eastAsiaTheme="minorEastAsia"/>
                <w:bCs/>
                <w:szCs w:val="21"/>
              </w:rPr>
            </w:pPr>
            <w:r w:rsidRPr="00FC1444">
              <w:rPr>
                <w:rFonts w:eastAsiaTheme="minorEastAsia"/>
                <w:bCs/>
                <w:szCs w:val="21"/>
              </w:rPr>
              <w:t>总大肠菌群数</w:t>
            </w:r>
          </w:p>
        </w:tc>
        <w:tc>
          <w:tcPr>
            <w:tcW w:w="87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MPN/100mL</w:t>
            </w:r>
          </w:p>
        </w:tc>
        <w:tc>
          <w:tcPr>
            <w:tcW w:w="1256" w:type="dxa"/>
            <w:vAlign w:val="center"/>
          </w:tcPr>
          <w:p w:rsidR="002A5A5E" w:rsidRPr="00FC1444" w:rsidRDefault="00611CBA" w:rsidP="00AE7C88">
            <w:pPr>
              <w:adjustRightInd w:val="0"/>
              <w:snapToGrid w:val="0"/>
              <w:jc w:val="center"/>
              <w:rPr>
                <w:bCs/>
              </w:rPr>
            </w:pPr>
            <w:r w:rsidRPr="00FC1444">
              <w:rPr>
                <w:bCs/>
              </w:rPr>
              <w:t>﹤</w:t>
            </w:r>
            <w:r w:rsidRPr="00FC1444">
              <w:rPr>
                <w:bCs/>
              </w:rPr>
              <w:t>2</w:t>
            </w:r>
          </w:p>
        </w:tc>
        <w:tc>
          <w:tcPr>
            <w:tcW w:w="1179" w:type="dxa"/>
            <w:vAlign w:val="center"/>
          </w:tcPr>
          <w:p w:rsidR="002A5A5E" w:rsidRPr="00FC1444" w:rsidRDefault="00611CBA" w:rsidP="00AE7C88">
            <w:pPr>
              <w:adjustRightInd w:val="0"/>
              <w:snapToGrid w:val="0"/>
              <w:jc w:val="center"/>
              <w:rPr>
                <w:bCs/>
              </w:rPr>
            </w:pPr>
            <w:r w:rsidRPr="00FC1444">
              <w:rPr>
                <w:bCs/>
              </w:rPr>
              <w:t>﹤</w:t>
            </w:r>
            <w:r w:rsidRPr="00FC1444">
              <w:rPr>
                <w:bCs/>
              </w:rPr>
              <w:t>2</w:t>
            </w:r>
          </w:p>
        </w:tc>
        <w:tc>
          <w:tcPr>
            <w:tcW w:w="1392" w:type="dxa"/>
            <w:vAlign w:val="center"/>
          </w:tcPr>
          <w:p w:rsidR="002A5A5E" w:rsidRPr="00FC1444" w:rsidRDefault="00611CBA" w:rsidP="00AE7C88">
            <w:pPr>
              <w:adjustRightInd w:val="0"/>
              <w:snapToGrid w:val="0"/>
              <w:jc w:val="center"/>
              <w:rPr>
                <w:bCs/>
              </w:rPr>
            </w:pPr>
            <w:r w:rsidRPr="00FC1444">
              <w:rPr>
                <w:bCs/>
              </w:rPr>
              <w:t>﹤</w:t>
            </w:r>
            <w:r w:rsidRPr="00FC1444">
              <w:rPr>
                <w:bCs/>
              </w:rPr>
              <w:t>2</w:t>
            </w:r>
          </w:p>
        </w:tc>
        <w:tc>
          <w:tcPr>
            <w:tcW w:w="1250" w:type="dxa"/>
            <w:vAlign w:val="center"/>
          </w:tcPr>
          <w:p w:rsidR="002A5A5E" w:rsidRPr="00FC1444" w:rsidRDefault="00611CBA" w:rsidP="00AE7C88">
            <w:pPr>
              <w:adjustRightInd w:val="0"/>
              <w:snapToGrid w:val="0"/>
              <w:jc w:val="center"/>
              <w:rPr>
                <w:bCs/>
              </w:rPr>
            </w:pPr>
            <w:r w:rsidRPr="00FC1444">
              <w:rPr>
                <w:bCs/>
              </w:rPr>
              <w:t>﹤</w:t>
            </w:r>
            <w:r w:rsidRPr="00FC1444">
              <w:rPr>
                <w:bCs/>
              </w:rPr>
              <w:t>2</w:t>
            </w:r>
          </w:p>
        </w:tc>
        <w:tc>
          <w:tcPr>
            <w:tcW w:w="715"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3.0</w:t>
            </w:r>
          </w:p>
        </w:tc>
      </w:tr>
      <w:tr w:rsidR="00AE7C88" w:rsidRPr="00FC1444" w:rsidTr="00994519">
        <w:trPr>
          <w:gridAfter w:val="1"/>
          <w:wAfter w:w="78" w:type="dxa"/>
          <w:trHeight w:val="42"/>
        </w:trPr>
        <w:tc>
          <w:tcPr>
            <w:tcW w:w="1872" w:type="dxa"/>
            <w:vAlign w:val="center"/>
          </w:tcPr>
          <w:p w:rsidR="00AE7C88" w:rsidRPr="00FC1444" w:rsidRDefault="00AE7C88">
            <w:pPr>
              <w:spacing w:line="0" w:lineRule="atLeast"/>
              <w:contextualSpacing/>
              <w:jc w:val="center"/>
              <w:rPr>
                <w:rFonts w:eastAsiaTheme="minorEastAsia"/>
                <w:bCs/>
                <w:szCs w:val="21"/>
              </w:rPr>
            </w:pPr>
            <w:r w:rsidRPr="00FC1444">
              <w:rPr>
                <w:rFonts w:eastAsiaTheme="minorEastAsia"/>
                <w:bCs/>
                <w:szCs w:val="21"/>
              </w:rPr>
              <w:t>菌落总数</w:t>
            </w:r>
          </w:p>
        </w:tc>
        <w:tc>
          <w:tcPr>
            <w:tcW w:w="870" w:type="dxa"/>
            <w:vAlign w:val="center"/>
          </w:tcPr>
          <w:p w:rsidR="00AE7C88" w:rsidRPr="00FC1444" w:rsidRDefault="00AE7C88">
            <w:pPr>
              <w:spacing w:line="0" w:lineRule="atLeast"/>
              <w:contextualSpacing/>
              <w:jc w:val="center"/>
              <w:rPr>
                <w:rFonts w:eastAsiaTheme="minorEastAsia"/>
                <w:szCs w:val="21"/>
              </w:rPr>
            </w:pPr>
            <w:r w:rsidRPr="00FC1444">
              <w:rPr>
                <w:rFonts w:eastAsiaTheme="minorEastAsia"/>
                <w:szCs w:val="21"/>
              </w:rPr>
              <w:t>CFU/mL</w:t>
            </w:r>
          </w:p>
        </w:tc>
        <w:tc>
          <w:tcPr>
            <w:tcW w:w="1256" w:type="dxa"/>
            <w:vAlign w:val="center"/>
          </w:tcPr>
          <w:p w:rsidR="00AE7C88" w:rsidRPr="00FC1444" w:rsidRDefault="00AE7C88">
            <w:pPr>
              <w:adjustRightInd w:val="0"/>
              <w:snapToGrid w:val="0"/>
              <w:jc w:val="center"/>
              <w:rPr>
                <w:bCs/>
              </w:rPr>
            </w:pPr>
            <w:r w:rsidRPr="00FC1444">
              <w:rPr>
                <w:bCs/>
              </w:rPr>
              <w:t>未检出</w:t>
            </w:r>
          </w:p>
        </w:tc>
        <w:tc>
          <w:tcPr>
            <w:tcW w:w="1179" w:type="dxa"/>
            <w:vAlign w:val="center"/>
          </w:tcPr>
          <w:p w:rsidR="00AE7C88" w:rsidRPr="00FC1444" w:rsidRDefault="00AE7C88">
            <w:pPr>
              <w:adjustRightInd w:val="0"/>
              <w:snapToGrid w:val="0"/>
              <w:jc w:val="center"/>
              <w:rPr>
                <w:bCs/>
              </w:rPr>
            </w:pPr>
            <w:r w:rsidRPr="00FC1444">
              <w:rPr>
                <w:bCs/>
              </w:rPr>
              <w:t>未检出</w:t>
            </w:r>
          </w:p>
        </w:tc>
        <w:tc>
          <w:tcPr>
            <w:tcW w:w="1392" w:type="dxa"/>
            <w:vAlign w:val="center"/>
          </w:tcPr>
          <w:p w:rsidR="00AE7C88" w:rsidRPr="00FC1444" w:rsidRDefault="00AE7C88">
            <w:pPr>
              <w:adjustRightInd w:val="0"/>
              <w:snapToGrid w:val="0"/>
              <w:jc w:val="center"/>
              <w:rPr>
                <w:bCs/>
              </w:rPr>
            </w:pPr>
            <w:r w:rsidRPr="00FC1444">
              <w:rPr>
                <w:bCs/>
              </w:rPr>
              <w:t>未检出</w:t>
            </w:r>
          </w:p>
        </w:tc>
        <w:tc>
          <w:tcPr>
            <w:tcW w:w="1250" w:type="dxa"/>
            <w:vAlign w:val="center"/>
          </w:tcPr>
          <w:p w:rsidR="00AE7C88" w:rsidRPr="00FC1444" w:rsidRDefault="00AE7C88">
            <w:pPr>
              <w:adjustRightInd w:val="0"/>
              <w:snapToGrid w:val="0"/>
              <w:jc w:val="center"/>
              <w:rPr>
                <w:bCs/>
              </w:rPr>
            </w:pPr>
            <w:r w:rsidRPr="00FC1444">
              <w:rPr>
                <w:bCs/>
              </w:rPr>
              <w:t>未检出</w:t>
            </w:r>
          </w:p>
        </w:tc>
        <w:tc>
          <w:tcPr>
            <w:tcW w:w="715" w:type="dxa"/>
            <w:vAlign w:val="center"/>
          </w:tcPr>
          <w:p w:rsidR="00AE7C88" w:rsidRPr="00FC1444" w:rsidRDefault="00AE7C88">
            <w:pPr>
              <w:spacing w:line="0" w:lineRule="atLeast"/>
              <w:contextualSpacing/>
              <w:jc w:val="center"/>
              <w:rPr>
                <w:rFonts w:eastAsiaTheme="minorEastAsia"/>
                <w:szCs w:val="21"/>
              </w:rPr>
            </w:pPr>
            <w:r w:rsidRPr="00FC1444">
              <w:rPr>
                <w:rFonts w:eastAsiaTheme="minorEastAsia"/>
                <w:szCs w:val="21"/>
              </w:rPr>
              <w:t>100</w:t>
            </w:r>
          </w:p>
        </w:tc>
      </w:tr>
      <w:tr w:rsidR="00994519" w:rsidRPr="00FC1444" w:rsidTr="00994519">
        <w:trPr>
          <w:gridAfter w:val="1"/>
          <w:wAfter w:w="78" w:type="dxa"/>
          <w:trHeight w:val="42"/>
        </w:trPr>
        <w:tc>
          <w:tcPr>
            <w:tcW w:w="1872" w:type="dxa"/>
            <w:vAlign w:val="center"/>
          </w:tcPr>
          <w:p w:rsidR="00994519" w:rsidRPr="00FC1444" w:rsidRDefault="00994519">
            <w:pPr>
              <w:spacing w:line="0" w:lineRule="atLeast"/>
              <w:contextualSpacing/>
              <w:jc w:val="center"/>
              <w:rPr>
                <w:rFonts w:eastAsiaTheme="minorEastAsia"/>
                <w:bCs/>
                <w:szCs w:val="21"/>
              </w:rPr>
            </w:pPr>
            <w:r w:rsidRPr="00FC1444">
              <w:rPr>
                <w:rFonts w:eastAsiaTheme="minorEastAsia"/>
                <w:szCs w:val="21"/>
              </w:rPr>
              <w:t>铁</w:t>
            </w:r>
          </w:p>
        </w:tc>
        <w:tc>
          <w:tcPr>
            <w:tcW w:w="870" w:type="dxa"/>
            <w:vAlign w:val="center"/>
          </w:tcPr>
          <w:p w:rsidR="00994519" w:rsidRPr="00FC1444" w:rsidRDefault="00994519">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994519" w:rsidRPr="00FC1444" w:rsidRDefault="00994519" w:rsidP="00C57FB7">
            <w:pPr>
              <w:adjustRightInd w:val="0"/>
              <w:snapToGrid w:val="0"/>
              <w:jc w:val="center"/>
              <w:rPr>
                <w:bCs/>
              </w:rPr>
            </w:pPr>
            <w:r w:rsidRPr="00FC1444">
              <w:rPr>
                <w:bCs/>
              </w:rPr>
              <w:t>0.</w:t>
            </w:r>
            <w:r w:rsidRPr="00FC1444">
              <w:rPr>
                <w:rFonts w:hint="eastAsia"/>
                <w:bCs/>
              </w:rPr>
              <w:t>53</w:t>
            </w:r>
          </w:p>
        </w:tc>
        <w:tc>
          <w:tcPr>
            <w:tcW w:w="1179" w:type="dxa"/>
            <w:vAlign w:val="center"/>
          </w:tcPr>
          <w:p w:rsidR="00994519" w:rsidRPr="00FC1444" w:rsidRDefault="00994519" w:rsidP="00C57FB7">
            <w:pPr>
              <w:adjustRightInd w:val="0"/>
              <w:snapToGrid w:val="0"/>
              <w:jc w:val="center"/>
              <w:rPr>
                <w:bCs/>
              </w:rPr>
            </w:pPr>
            <w:r w:rsidRPr="00FC1444">
              <w:rPr>
                <w:bCs/>
              </w:rPr>
              <w:t>0.</w:t>
            </w:r>
            <w:r w:rsidRPr="00FC1444">
              <w:rPr>
                <w:rFonts w:hint="eastAsia"/>
                <w:bCs/>
              </w:rPr>
              <w:t>47</w:t>
            </w:r>
          </w:p>
        </w:tc>
        <w:tc>
          <w:tcPr>
            <w:tcW w:w="1392" w:type="dxa"/>
            <w:vAlign w:val="center"/>
          </w:tcPr>
          <w:p w:rsidR="00994519" w:rsidRPr="00FC1444" w:rsidRDefault="00994519" w:rsidP="00C57FB7">
            <w:pPr>
              <w:adjustRightInd w:val="0"/>
              <w:snapToGrid w:val="0"/>
              <w:jc w:val="center"/>
              <w:rPr>
                <w:bCs/>
              </w:rPr>
            </w:pPr>
            <w:r w:rsidRPr="00FC1444">
              <w:rPr>
                <w:bCs/>
              </w:rPr>
              <w:t>0.</w:t>
            </w:r>
            <w:r w:rsidRPr="00FC1444">
              <w:rPr>
                <w:rFonts w:hint="eastAsia"/>
                <w:bCs/>
              </w:rPr>
              <w:t>56</w:t>
            </w:r>
          </w:p>
        </w:tc>
        <w:tc>
          <w:tcPr>
            <w:tcW w:w="1250" w:type="dxa"/>
            <w:vAlign w:val="center"/>
          </w:tcPr>
          <w:p w:rsidR="00994519" w:rsidRPr="00FC1444" w:rsidRDefault="00994519" w:rsidP="00C57FB7">
            <w:pPr>
              <w:adjustRightInd w:val="0"/>
              <w:snapToGrid w:val="0"/>
              <w:jc w:val="center"/>
              <w:rPr>
                <w:bCs/>
              </w:rPr>
            </w:pPr>
            <w:r w:rsidRPr="00FC1444">
              <w:rPr>
                <w:bCs/>
              </w:rPr>
              <w:t>0.</w:t>
            </w:r>
            <w:r w:rsidRPr="00FC1444">
              <w:rPr>
                <w:rFonts w:hint="eastAsia"/>
                <w:bCs/>
              </w:rPr>
              <w:t>71</w:t>
            </w:r>
          </w:p>
        </w:tc>
        <w:tc>
          <w:tcPr>
            <w:tcW w:w="715" w:type="dxa"/>
            <w:vAlign w:val="center"/>
          </w:tcPr>
          <w:p w:rsidR="00994519" w:rsidRPr="00FC1444" w:rsidRDefault="00994519">
            <w:pPr>
              <w:spacing w:line="0" w:lineRule="atLeast"/>
              <w:contextualSpacing/>
              <w:jc w:val="center"/>
              <w:rPr>
                <w:rFonts w:eastAsiaTheme="minorEastAsia"/>
                <w:szCs w:val="21"/>
              </w:rPr>
            </w:pPr>
            <w:r w:rsidRPr="00FC1444">
              <w:rPr>
                <w:rFonts w:eastAsiaTheme="minorEastAsia"/>
                <w:szCs w:val="21"/>
              </w:rPr>
              <w:t>0.3</w:t>
            </w:r>
          </w:p>
        </w:tc>
      </w:tr>
      <w:tr w:rsidR="00994519" w:rsidRPr="00FC1444" w:rsidTr="00994519">
        <w:trPr>
          <w:gridAfter w:val="1"/>
          <w:wAfter w:w="78" w:type="dxa"/>
          <w:trHeight w:val="42"/>
        </w:trPr>
        <w:tc>
          <w:tcPr>
            <w:tcW w:w="1872" w:type="dxa"/>
            <w:vAlign w:val="center"/>
          </w:tcPr>
          <w:p w:rsidR="00994519" w:rsidRPr="00FC1444" w:rsidRDefault="00994519">
            <w:pPr>
              <w:spacing w:line="0" w:lineRule="atLeast"/>
              <w:contextualSpacing/>
              <w:jc w:val="center"/>
              <w:rPr>
                <w:rFonts w:eastAsiaTheme="minorEastAsia"/>
                <w:bCs/>
                <w:szCs w:val="21"/>
              </w:rPr>
            </w:pPr>
            <w:r w:rsidRPr="00FC1444">
              <w:rPr>
                <w:rFonts w:eastAsiaTheme="minorEastAsia"/>
                <w:bCs/>
                <w:szCs w:val="21"/>
              </w:rPr>
              <w:t>锰</w:t>
            </w:r>
          </w:p>
        </w:tc>
        <w:tc>
          <w:tcPr>
            <w:tcW w:w="870" w:type="dxa"/>
            <w:vAlign w:val="center"/>
          </w:tcPr>
          <w:p w:rsidR="00994519" w:rsidRPr="00FC1444" w:rsidRDefault="00994519">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994519" w:rsidRPr="00FC1444" w:rsidRDefault="00994519" w:rsidP="00C57FB7">
            <w:pPr>
              <w:adjustRightInd w:val="0"/>
              <w:snapToGrid w:val="0"/>
              <w:jc w:val="center"/>
              <w:rPr>
                <w:bCs/>
              </w:rPr>
            </w:pPr>
            <w:r w:rsidRPr="00FC1444">
              <w:rPr>
                <w:bCs/>
              </w:rPr>
              <w:t>0.</w:t>
            </w:r>
            <w:r w:rsidRPr="00FC1444">
              <w:rPr>
                <w:rFonts w:hint="eastAsia"/>
                <w:bCs/>
              </w:rPr>
              <w:t>81</w:t>
            </w:r>
          </w:p>
        </w:tc>
        <w:tc>
          <w:tcPr>
            <w:tcW w:w="1179" w:type="dxa"/>
            <w:vAlign w:val="center"/>
          </w:tcPr>
          <w:p w:rsidR="00994519" w:rsidRPr="00FC1444" w:rsidRDefault="00994519" w:rsidP="00C57FB7">
            <w:pPr>
              <w:adjustRightInd w:val="0"/>
              <w:snapToGrid w:val="0"/>
              <w:jc w:val="center"/>
              <w:rPr>
                <w:bCs/>
              </w:rPr>
            </w:pPr>
            <w:r w:rsidRPr="00FC1444">
              <w:rPr>
                <w:bCs/>
              </w:rPr>
              <w:t>0.</w:t>
            </w:r>
            <w:r w:rsidRPr="00FC1444">
              <w:rPr>
                <w:rFonts w:hint="eastAsia"/>
                <w:bCs/>
              </w:rPr>
              <w:t>78</w:t>
            </w:r>
          </w:p>
        </w:tc>
        <w:tc>
          <w:tcPr>
            <w:tcW w:w="1392" w:type="dxa"/>
            <w:vAlign w:val="center"/>
          </w:tcPr>
          <w:p w:rsidR="00994519" w:rsidRPr="00FC1444" w:rsidRDefault="00994519" w:rsidP="00C57FB7">
            <w:pPr>
              <w:adjustRightInd w:val="0"/>
              <w:snapToGrid w:val="0"/>
              <w:jc w:val="center"/>
              <w:rPr>
                <w:bCs/>
              </w:rPr>
            </w:pPr>
            <w:r w:rsidRPr="00FC1444">
              <w:rPr>
                <w:bCs/>
              </w:rPr>
              <w:t>0.</w:t>
            </w:r>
            <w:r w:rsidRPr="00FC1444">
              <w:rPr>
                <w:rFonts w:hint="eastAsia"/>
                <w:bCs/>
              </w:rPr>
              <w:t>83</w:t>
            </w:r>
          </w:p>
        </w:tc>
        <w:tc>
          <w:tcPr>
            <w:tcW w:w="1250" w:type="dxa"/>
            <w:vAlign w:val="center"/>
          </w:tcPr>
          <w:p w:rsidR="00994519" w:rsidRPr="00FC1444" w:rsidRDefault="00994519" w:rsidP="00C57FB7">
            <w:pPr>
              <w:adjustRightInd w:val="0"/>
              <w:snapToGrid w:val="0"/>
              <w:jc w:val="center"/>
              <w:rPr>
                <w:bCs/>
              </w:rPr>
            </w:pPr>
            <w:r w:rsidRPr="00FC1444">
              <w:rPr>
                <w:bCs/>
              </w:rPr>
              <w:t>0.</w:t>
            </w:r>
            <w:r w:rsidRPr="00FC1444">
              <w:rPr>
                <w:rFonts w:hint="eastAsia"/>
                <w:bCs/>
              </w:rPr>
              <w:t>88</w:t>
            </w:r>
          </w:p>
        </w:tc>
        <w:tc>
          <w:tcPr>
            <w:tcW w:w="715" w:type="dxa"/>
            <w:vAlign w:val="center"/>
          </w:tcPr>
          <w:p w:rsidR="00994519" w:rsidRPr="00FC1444" w:rsidRDefault="00994519">
            <w:pPr>
              <w:spacing w:line="0" w:lineRule="atLeast"/>
              <w:contextualSpacing/>
              <w:jc w:val="center"/>
              <w:rPr>
                <w:rFonts w:eastAsiaTheme="minorEastAsia"/>
                <w:szCs w:val="21"/>
              </w:rPr>
            </w:pPr>
            <w:r w:rsidRPr="00FC1444">
              <w:rPr>
                <w:rFonts w:eastAsiaTheme="minorEastAsia"/>
                <w:szCs w:val="21"/>
              </w:rPr>
              <w:t>0.10</w:t>
            </w:r>
          </w:p>
        </w:tc>
      </w:tr>
      <w:tr w:rsidR="002A5A5E" w:rsidRPr="00FC1444" w:rsidTr="00994519">
        <w:trPr>
          <w:gridAfter w:val="1"/>
          <w:wAfter w:w="78" w:type="dxa"/>
          <w:trHeight w:val="42"/>
        </w:trPr>
        <w:tc>
          <w:tcPr>
            <w:tcW w:w="1872" w:type="dxa"/>
            <w:vAlign w:val="center"/>
          </w:tcPr>
          <w:p w:rsidR="002A5A5E" w:rsidRPr="00FC1444" w:rsidRDefault="00611CBA">
            <w:pPr>
              <w:spacing w:line="0" w:lineRule="atLeast"/>
              <w:contextualSpacing/>
              <w:jc w:val="center"/>
              <w:rPr>
                <w:rFonts w:eastAsiaTheme="minorEastAsia"/>
                <w:bCs/>
                <w:szCs w:val="21"/>
              </w:rPr>
            </w:pPr>
            <w:r w:rsidRPr="00FC1444">
              <w:rPr>
                <w:rFonts w:eastAsiaTheme="minorEastAsia"/>
                <w:szCs w:val="21"/>
              </w:rPr>
              <w:t>砷</w:t>
            </w:r>
          </w:p>
        </w:tc>
        <w:tc>
          <w:tcPr>
            <w:tcW w:w="87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2A5A5E" w:rsidRPr="00FC1444" w:rsidRDefault="00611CBA" w:rsidP="00AE7C88">
            <w:pPr>
              <w:adjustRightInd w:val="0"/>
              <w:snapToGrid w:val="0"/>
              <w:jc w:val="center"/>
              <w:rPr>
                <w:bCs/>
              </w:rPr>
            </w:pPr>
            <w:r w:rsidRPr="00FC1444">
              <w:rPr>
                <w:bCs/>
              </w:rPr>
              <w:t>0.0003L</w:t>
            </w:r>
          </w:p>
        </w:tc>
        <w:tc>
          <w:tcPr>
            <w:tcW w:w="1179" w:type="dxa"/>
            <w:vAlign w:val="center"/>
          </w:tcPr>
          <w:p w:rsidR="002A5A5E" w:rsidRPr="00FC1444" w:rsidRDefault="00611CBA" w:rsidP="00AE7C88">
            <w:pPr>
              <w:adjustRightInd w:val="0"/>
              <w:snapToGrid w:val="0"/>
              <w:jc w:val="center"/>
              <w:rPr>
                <w:bCs/>
              </w:rPr>
            </w:pPr>
            <w:r w:rsidRPr="00FC1444">
              <w:rPr>
                <w:bCs/>
              </w:rPr>
              <w:t>0.0003L</w:t>
            </w:r>
          </w:p>
        </w:tc>
        <w:tc>
          <w:tcPr>
            <w:tcW w:w="1392" w:type="dxa"/>
            <w:vAlign w:val="center"/>
          </w:tcPr>
          <w:p w:rsidR="002A5A5E" w:rsidRPr="00FC1444" w:rsidRDefault="00611CBA" w:rsidP="00AE7C88">
            <w:pPr>
              <w:adjustRightInd w:val="0"/>
              <w:snapToGrid w:val="0"/>
              <w:jc w:val="center"/>
              <w:rPr>
                <w:bCs/>
              </w:rPr>
            </w:pPr>
            <w:r w:rsidRPr="00FC1444">
              <w:rPr>
                <w:bCs/>
              </w:rPr>
              <w:t>0.0003L</w:t>
            </w:r>
          </w:p>
        </w:tc>
        <w:tc>
          <w:tcPr>
            <w:tcW w:w="1250" w:type="dxa"/>
            <w:vAlign w:val="center"/>
          </w:tcPr>
          <w:p w:rsidR="002A5A5E" w:rsidRPr="00FC1444" w:rsidRDefault="00611CBA" w:rsidP="00AE7C88">
            <w:pPr>
              <w:adjustRightInd w:val="0"/>
              <w:snapToGrid w:val="0"/>
              <w:jc w:val="center"/>
              <w:rPr>
                <w:bCs/>
              </w:rPr>
            </w:pPr>
            <w:r w:rsidRPr="00FC1444">
              <w:rPr>
                <w:bCs/>
              </w:rPr>
              <w:t>0.0003L</w:t>
            </w:r>
          </w:p>
        </w:tc>
        <w:tc>
          <w:tcPr>
            <w:tcW w:w="715"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0.01</w:t>
            </w:r>
          </w:p>
        </w:tc>
      </w:tr>
      <w:tr w:rsidR="002A5A5E" w:rsidRPr="00FC1444" w:rsidTr="00994519">
        <w:trPr>
          <w:gridAfter w:val="1"/>
          <w:wAfter w:w="78" w:type="dxa"/>
          <w:trHeight w:val="42"/>
        </w:trPr>
        <w:tc>
          <w:tcPr>
            <w:tcW w:w="1872" w:type="dxa"/>
            <w:vAlign w:val="center"/>
          </w:tcPr>
          <w:p w:rsidR="002A5A5E" w:rsidRPr="00FC1444" w:rsidRDefault="00611CBA">
            <w:pPr>
              <w:spacing w:line="0" w:lineRule="atLeast"/>
              <w:contextualSpacing/>
              <w:jc w:val="center"/>
              <w:rPr>
                <w:rFonts w:eastAsiaTheme="minorEastAsia"/>
                <w:bCs/>
                <w:szCs w:val="21"/>
              </w:rPr>
            </w:pPr>
            <w:r w:rsidRPr="00FC1444">
              <w:rPr>
                <w:rFonts w:eastAsiaTheme="minorEastAsia"/>
                <w:bCs/>
                <w:szCs w:val="21"/>
              </w:rPr>
              <w:t>汞</w:t>
            </w:r>
          </w:p>
        </w:tc>
        <w:tc>
          <w:tcPr>
            <w:tcW w:w="87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2A5A5E" w:rsidRPr="00FC1444" w:rsidRDefault="00611CBA" w:rsidP="00AE7C88">
            <w:pPr>
              <w:adjustRightInd w:val="0"/>
              <w:snapToGrid w:val="0"/>
              <w:jc w:val="center"/>
              <w:rPr>
                <w:bCs/>
              </w:rPr>
            </w:pPr>
            <w:r w:rsidRPr="00FC1444">
              <w:rPr>
                <w:bCs/>
              </w:rPr>
              <w:t>0.00004L</w:t>
            </w:r>
          </w:p>
        </w:tc>
        <w:tc>
          <w:tcPr>
            <w:tcW w:w="1179" w:type="dxa"/>
            <w:vAlign w:val="center"/>
          </w:tcPr>
          <w:p w:rsidR="002A5A5E" w:rsidRPr="00FC1444" w:rsidRDefault="00611CBA" w:rsidP="00AE7C88">
            <w:pPr>
              <w:adjustRightInd w:val="0"/>
              <w:snapToGrid w:val="0"/>
              <w:jc w:val="center"/>
              <w:rPr>
                <w:bCs/>
              </w:rPr>
            </w:pPr>
            <w:r w:rsidRPr="00FC1444">
              <w:rPr>
                <w:bCs/>
              </w:rPr>
              <w:t>0.00004L</w:t>
            </w:r>
          </w:p>
        </w:tc>
        <w:tc>
          <w:tcPr>
            <w:tcW w:w="1392" w:type="dxa"/>
            <w:vAlign w:val="center"/>
          </w:tcPr>
          <w:p w:rsidR="002A5A5E" w:rsidRPr="00FC1444" w:rsidRDefault="00611CBA" w:rsidP="00AE7C88">
            <w:pPr>
              <w:adjustRightInd w:val="0"/>
              <w:snapToGrid w:val="0"/>
              <w:jc w:val="center"/>
              <w:rPr>
                <w:bCs/>
              </w:rPr>
            </w:pPr>
            <w:r w:rsidRPr="00FC1444">
              <w:rPr>
                <w:bCs/>
              </w:rPr>
              <w:t>0.00004L</w:t>
            </w:r>
          </w:p>
        </w:tc>
        <w:tc>
          <w:tcPr>
            <w:tcW w:w="1250" w:type="dxa"/>
            <w:vAlign w:val="center"/>
          </w:tcPr>
          <w:p w:rsidR="002A5A5E" w:rsidRPr="00FC1444" w:rsidRDefault="00611CBA" w:rsidP="00AE7C88">
            <w:pPr>
              <w:adjustRightInd w:val="0"/>
              <w:snapToGrid w:val="0"/>
              <w:jc w:val="center"/>
              <w:rPr>
                <w:bCs/>
              </w:rPr>
            </w:pPr>
            <w:r w:rsidRPr="00FC1444">
              <w:rPr>
                <w:bCs/>
              </w:rPr>
              <w:t>0.00004L</w:t>
            </w:r>
          </w:p>
        </w:tc>
        <w:tc>
          <w:tcPr>
            <w:tcW w:w="715"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0.001</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szCs w:val="21"/>
              </w:rPr>
              <w:t>铅</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0.00124L</w:t>
            </w:r>
          </w:p>
        </w:tc>
        <w:tc>
          <w:tcPr>
            <w:tcW w:w="1179" w:type="dxa"/>
            <w:vAlign w:val="center"/>
          </w:tcPr>
          <w:p w:rsidR="008D6454" w:rsidRPr="00FC1444" w:rsidRDefault="008D6454" w:rsidP="006F5CC4">
            <w:pPr>
              <w:adjustRightInd w:val="0"/>
              <w:snapToGrid w:val="0"/>
              <w:jc w:val="center"/>
              <w:rPr>
                <w:bCs/>
              </w:rPr>
            </w:pPr>
            <w:r w:rsidRPr="00FC1444">
              <w:rPr>
                <w:bCs/>
              </w:rPr>
              <w:t>0.00124L</w:t>
            </w:r>
          </w:p>
        </w:tc>
        <w:tc>
          <w:tcPr>
            <w:tcW w:w="1392" w:type="dxa"/>
            <w:vAlign w:val="center"/>
          </w:tcPr>
          <w:p w:rsidR="008D6454" w:rsidRPr="00FC1444" w:rsidRDefault="008D6454" w:rsidP="006F5CC4">
            <w:pPr>
              <w:adjustRightInd w:val="0"/>
              <w:snapToGrid w:val="0"/>
              <w:jc w:val="center"/>
              <w:rPr>
                <w:bCs/>
              </w:rPr>
            </w:pPr>
            <w:r w:rsidRPr="00FC1444">
              <w:rPr>
                <w:bCs/>
              </w:rPr>
              <w:t>0.00124L</w:t>
            </w:r>
          </w:p>
        </w:tc>
        <w:tc>
          <w:tcPr>
            <w:tcW w:w="1250" w:type="dxa"/>
            <w:vAlign w:val="center"/>
          </w:tcPr>
          <w:p w:rsidR="008D6454" w:rsidRPr="00FC1444" w:rsidRDefault="008D6454" w:rsidP="006F5CC4">
            <w:pPr>
              <w:adjustRightInd w:val="0"/>
              <w:snapToGrid w:val="0"/>
              <w:jc w:val="center"/>
              <w:rPr>
                <w:bCs/>
              </w:rPr>
            </w:pPr>
            <w:r w:rsidRPr="00FC1444">
              <w:rPr>
                <w:bCs/>
              </w:rPr>
              <w:t>0.00124L</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0.01</w:t>
            </w:r>
          </w:p>
        </w:tc>
      </w:tr>
      <w:tr w:rsidR="008D6454" w:rsidRPr="00FC1444" w:rsidTr="00994519">
        <w:trPr>
          <w:gridAfter w:val="1"/>
          <w:wAfter w:w="78" w:type="dxa"/>
          <w:trHeight w:val="42"/>
        </w:trPr>
        <w:tc>
          <w:tcPr>
            <w:tcW w:w="1872" w:type="dxa"/>
            <w:vAlign w:val="center"/>
          </w:tcPr>
          <w:p w:rsidR="008D6454" w:rsidRPr="00FC1444" w:rsidRDefault="008D6454">
            <w:pPr>
              <w:spacing w:line="0" w:lineRule="atLeast"/>
              <w:contextualSpacing/>
              <w:jc w:val="center"/>
              <w:rPr>
                <w:rFonts w:eastAsiaTheme="minorEastAsia"/>
                <w:bCs/>
                <w:szCs w:val="21"/>
              </w:rPr>
            </w:pPr>
            <w:r w:rsidRPr="00FC1444">
              <w:rPr>
                <w:rFonts w:eastAsiaTheme="minorEastAsia"/>
                <w:bCs/>
                <w:szCs w:val="21"/>
              </w:rPr>
              <w:t>镉</w:t>
            </w:r>
          </w:p>
        </w:tc>
        <w:tc>
          <w:tcPr>
            <w:tcW w:w="870"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8D6454" w:rsidRPr="00FC1444" w:rsidRDefault="008D6454" w:rsidP="006F5CC4">
            <w:pPr>
              <w:adjustRightInd w:val="0"/>
              <w:snapToGrid w:val="0"/>
              <w:jc w:val="center"/>
              <w:rPr>
                <w:bCs/>
              </w:rPr>
            </w:pPr>
            <w:r w:rsidRPr="00FC1444">
              <w:rPr>
                <w:bCs/>
              </w:rPr>
              <w:t>0.00017L</w:t>
            </w:r>
          </w:p>
        </w:tc>
        <w:tc>
          <w:tcPr>
            <w:tcW w:w="1179" w:type="dxa"/>
            <w:vAlign w:val="center"/>
          </w:tcPr>
          <w:p w:rsidR="008D6454" w:rsidRPr="00FC1444" w:rsidRDefault="008D6454" w:rsidP="006F5CC4">
            <w:pPr>
              <w:adjustRightInd w:val="0"/>
              <w:snapToGrid w:val="0"/>
              <w:jc w:val="center"/>
              <w:rPr>
                <w:bCs/>
              </w:rPr>
            </w:pPr>
            <w:r w:rsidRPr="00FC1444">
              <w:rPr>
                <w:bCs/>
              </w:rPr>
              <w:t>0.00017L</w:t>
            </w:r>
          </w:p>
        </w:tc>
        <w:tc>
          <w:tcPr>
            <w:tcW w:w="1392" w:type="dxa"/>
            <w:vAlign w:val="center"/>
          </w:tcPr>
          <w:p w:rsidR="008D6454" w:rsidRPr="00FC1444" w:rsidRDefault="008D6454" w:rsidP="006F5CC4">
            <w:pPr>
              <w:adjustRightInd w:val="0"/>
              <w:snapToGrid w:val="0"/>
              <w:jc w:val="center"/>
              <w:rPr>
                <w:bCs/>
              </w:rPr>
            </w:pPr>
            <w:r w:rsidRPr="00FC1444">
              <w:rPr>
                <w:bCs/>
              </w:rPr>
              <w:t>0.00017L</w:t>
            </w:r>
          </w:p>
        </w:tc>
        <w:tc>
          <w:tcPr>
            <w:tcW w:w="1250" w:type="dxa"/>
            <w:vAlign w:val="center"/>
          </w:tcPr>
          <w:p w:rsidR="008D6454" w:rsidRPr="00FC1444" w:rsidRDefault="008D6454" w:rsidP="006F5CC4">
            <w:pPr>
              <w:adjustRightInd w:val="0"/>
              <w:snapToGrid w:val="0"/>
              <w:jc w:val="center"/>
              <w:rPr>
                <w:bCs/>
              </w:rPr>
            </w:pPr>
            <w:r w:rsidRPr="00FC1444">
              <w:rPr>
                <w:bCs/>
              </w:rPr>
              <w:t>0.00017L</w:t>
            </w:r>
          </w:p>
        </w:tc>
        <w:tc>
          <w:tcPr>
            <w:tcW w:w="715" w:type="dxa"/>
            <w:vAlign w:val="center"/>
          </w:tcPr>
          <w:p w:rsidR="008D6454" w:rsidRPr="00FC1444" w:rsidRDefault="008D6454">
            <w:pPr>
              <w:spacing w:line="0" w:lineRule="atLeast"/>
              <w:contextualSpacing/>
              <w:jc w:val="center"/>
              <w:rPr>
                <w:rFonts w:eastAsiaTheme="minorEastAsia"/>
                <w:szCs w:val="21"/>
              </w:rPr>
            </w:pPr>
            <w:r w:rsidRPr="00FC1444">
              <w:rPr>
                <w:rFonts w:eastAsiaTheme="minorEastAsia"/>
                <w:szCs w:val="21"/>
              </w:rPr>
              <w:t>0.005</w:t>
            </w:r>
          </w:p>
        </w:tc>
      </w:tr>
      <w:tr w:rsidR="002A5A5E" w:rsidRPr="00FC1444" w:rsidTr="00994519">
        <w:trPr>
          <w:gridAfter w:val="1"/>
          <w:wAfter w:w="78" w:type="dxa"/>
          <w:trHeight w:val="42"/>
        </w:trPr>
        <w:tc>
          <w:tcPr>
            <w:tcW w:w="1872" w:type="dxa"/>
            <w:vAlign w:val="center"/>
          </w:tcPr>
          <w:p w:rsidR="002A5A5E" w:rsidRPr="00FC1444" w:rsidRDefault="00611CBA">
            <w:pPr>
              <w:spacing w:line="0" w:lineRule="atLeast"/>
              <w:contextualSpacing/>
              <w:jc w:val="center"/>
              <w:rPr>
                <w:rFonts w:eastAsiaTheme="minorEastAsia"/>
                <w:bCs/>
                <w:szCs w:val="21"/>
              </w:rPr>
            </w:pPr>
            <w:r w:rsidRPr="00FC1444">
              <w:rPr>
                <w:rFonts w:eastAsiaTheme="minorEastAsia"/>
                <w:bCs/>
                <w:szCs w:val="21"/>
              </w:rPr>
              <w:t>石油类</w:t>
            </w:r>
          </w:p>
        </w:tc>
        <w:tc>
          <w:tcPr>
            <w:tcW w:w="87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mg/L</w:t>
            </w:r>
          </w:p>
        </w:tc>
        <w:tc>
          <w:tcPr>
            <w:tcW w:w="1256" w:type="dxa"/>
            <w:vAlign w:val="center"/>
          </w:tcPr>
          <w:p w:rsidR="002A5A5E" w:rsidRPr="00FC1444" w:rsidRDefault="00611CBA" w:rsidP="00AE7C88">
            <w:pPr>
              <w:adjustRightInd w:val="0"/>
              <w:snapToGrid w:val="0"/>
              <w:jc w:val="center"/>
              <w:rPr>
                <w:bCs/>
              </w:rPr>
            </w:pPr>
            <w:r w:rsidRPr="00FC1444">
              <w:rPr>
                <w:bCs/>
              </w:rPr>
              <w:t>0.01L</w:t>
            </w:r>
          </w:p>
        </w:tc>
        <w:tc>
          <w:tcPr>
            <w:tcW w:w="1179" w:type="dxa"/>
            <w:vAlign w:val="center"/>
          </w:tcPr>
          <w:p w:rsidR="002A5A5E" w:rsidRPr="00FC1444" w:rsidRDefault="00611CBA" w:rsidP="00AE7C88">
            <w:pPr>
              <w:adjustRightInd w:val="0"/>
              <w:snapToGrid w:val="0"/>
              <w:jc w:val="center"/>
              <w:rPr>
                <w:bCs/>
              </w:rPr>
            </w:pPr>
            <w:r w:rsidRPr="00FC1444">
              <w:rPr>
                <w:bCs/>
              </w:rPr>
              <w:t>0.01L</w:t>
            </w:r>
          </w:p>
        </w:tc>
        <w:tc>
          <w:tcPr>
            <w:tcW w:w="1392" w:type="dxa"/>
            <w:vAlign w:val="center"/>
          </w:tcPr>
          <w:p w:rsidR="002A5A5E" w:rsidRPr="00FC1444" w:rsidRDefault="00611CBA" w:rsidP="00AE7C88">
            <w:pPr>
              <w:adjustRightInd w:val="0"/>
              <w:snapToGrid w:val="0"/>
              <w:jc w:val="center"/>
              <w:rPr>
                <w:bCs/>
              </w:rPr>
            </w:pPr>
            <w:r w:rsidRPr="00FC1444">
              <w:rPr>
                <w:bCs/>
              </w:rPr>
              <w:t>0.01L</w:t>
            </w:r>
          </w:p>
        </w:tc>
        <w:tc>
          <w:tcPr>
            <w:tcW w:w="1250" w:type="dxa"/>
            <w:vAlign w:val="center"/>
          </w:tcPr>
          <w:p w:rsidR="002A5A5E" w:rsidRPr="00FC1444" w:rsidRDefault="00611CBA" w:rsidP="00AE7C88">
            <w:pPr>
              <w:adjustRightInd w:val="0"/>
              <w:snapToGrid w:val="0"/>
              <w:jc w:val="center"/>
              <w:rPr>
                <w:bCs/>
              </w:rPr>
            </w:pPr>
            <w:r w:rsidRPr="00FC1444">
              <w:rPr>
                <w:bCs/>
              </w:rPr>
              <w:t>0.01L</w:t>
            </w:r>
          </w:p>
        </w:tc>
        <w:tc>
          <w:tcPr>
            <w:tcW w:w="715"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0.05</w:t>
            </w:r>
          </w:p>
        </w:tc>
      </w:tr>
    </w:tbl>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4.2.3.2</w:t>
      </w:r>
      <w:r w:rsidRPr="00FC1444">
        <w:rPr>
          <w:rFonts w:eastAsiaTheme="minorEastAsia"/>
          <w:b/>
          <w:sz w:val="24"/>
        </w:rPr>
        <w:t>地下水环境现状评价</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lastRenderedPageBreak/>
        <w:t>（</w:t>
      </w:r>
      <w:r w:rsidRPr="00FC1444">
        <w:rPr>
          <w:rFonts w:eastAsiaTheme="minorEastAsia"/>
          <w:sz w:val="24"/>
        </w:rPr>
        <w:t>1</w:t>
      </w:r>
      <w:r w:rsidRPr="00FC1444">
        <w:rPr>
          <w:rFonts w:eastAsiaTheme="minorEastAsia"/>
          <w:sz w:val="24"/>
        </w:rPr>
        <w:t>）评价标准</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采用《地下水质量标准》（</w:t>
      </w:r>
      <w:r w:rsidRPr="00FC1444">
        <w:rPr>
          <w:rFonts w:eastAsiaTheme="minorEastAsia"/>
          <w:sz w:val="24"/>
        </w:rPr>
        <w:t>GB/T14848-2017</w:t>
      </w:r>
      <w:r w:rsidRPr="00FC1444">
        <w:rPr>
          <w:rFonts w:eastAsiaTheme="minorEastAsia"/>
          <w:sz w:val="24"/>
        </w:rPr>
        <w:t>）中</w:t>
      </w:r>
      <w:r w:rsidRPr="00FC1444">
        <w:rPr>
          <w:rFonts w:eastAsiaTheme="minorEastAsia"/>
          <w:sz w:val="24"/>
        </w:rPr>
        <w:t>Ⅲ</w:t>
      </w:r>
      <w:r w:rsidRPr="00FC1444">
        <w:rPr>
          <w:rFonts w:eastAsiaTheme="minorEastAsia"/>
          <w:sz w:val="24"/>
        </w:rPr>
        <w:t>类标准、《地表水环境质量标准》（</w:t>
      </w:r>
      <w:r w:rsidRPr="00FC1444">
        <w:rPr>
          <w:rFonts w:eastAsiaTheme="minorEastAsia"/>
          <w:sz w:val="24"/>
        </w:rPr>
        <w:t>GB3838-2002</w:t>
      </w:r>
      <w:r w:rsidRPr="00FC1444">
        <w:rPr>
          <w:rFonts w:eastAsiaTheme="minorEastAsia"/>
          <w:sz w:val="24"/>
        </w:rPr>
        <w:t>）</w:t>
      </w:r>
      <w:r w:rsidR="009840DD" w:rsidRPr="00FC1444">
        <w:rPr>
          <w:rFonts w:eastAsiaTheme="minorEastAsia"/>
          <w:bCs/>
          <w:sz w:val="24"/>
        </w:rPr>
        <w:fldChar w:fldCharType="begin"/>
      </w:r>
      <w:r w:rsidR="004B63C1" w:rsidRPr="00FC1444">
        <w:rPr>
          <w:rFonts w:eastAsiaTheme="minorEastAsia"/>
          <w:bCs/>
          <w:sz w:val="24"/>
        </w:rPr>
        <w:instrText xml:space="preserve"> = 2 \* ROMAN </w:instrText>
      </w:r>
      <w:r w:rsidR="009840DD" w:rsidRPr="00FC1444">
        <w:rPr>
          <w:rFonts w:eastAsiaTheme="minorEastAsia"/>
          <w:bCs/>
          <w:sz w:val="24"/>
        </w:rPr>
        <w:fldChar w:fldCharType="separate"/>
      </w:r>
      <w:r w:rsidR="004B63C1" w:rsidRPr="00FC1444">
        <w:rPr>
          <w:rFonts w:eastAsiaTheme="minorEastAsia"/>
          <w:bCs/>
          <w:noProof/>
          <w:sz w:val="24"/>
        </w:rPr>
        <w:t>II</w:t>
      </w:r>
      <w:r w:rsidR="009840DD" w:rsidRPr="00FC1444">
        <w:rPr>
          <w:rFonts w:eastAsiaTheme="minorEastAsia"/>
          <w:bCs/>
          <w:sz w:val="24"/>
        </w:rPr>
        <w:fldChar w:fldCharType="end"/>
      </w:r>
      <w:r w:rsidRPr="00FC1444">
        <w:rPr>
          <w:rFonts w:eastAsiaTheme="minorEastAsia"/>
          <w:sz w:val="24"/>
        </w:rPr>
        <w:t>类标准。</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00F90B8B" w:rsidRPr="00FC1444">
        <w:rPr>
          <w:rFonts w:eastAsiaTheme="minorEastAsia"/>
          <w:b/>
          <w:kern w:val="0"/>
          <w:szCs w:val="21"/>
        </w:rPr>
        <w:t>4-2-</w:t>
      </w:r>
      <w:r w:rsidR="00F90B8B" w:rsidRPr="00FC1444">
        <w:rPr>
          <w:rFonts w:eastAsiaTheme="minorEastAsia" w:hint="eastAsia"/>
          <w:b/>
          <w:kern w:val="0"/>
          <w:szCs w:val="21"/>
        </w:rPr>
        <w:t>7</w:t>
      </w:r>
      <w:r w:rsidRPr="00FC1444">
        <w:rPr>
          <w:rFonts w:eastAsiaTheme="minorEastAsia"/>
          <w:b/>
          <w:kern w:val="0"/>
          <w:szCs w:val="21"/>
        </w:rPr>
        <w:t xml:space="preserve"> </w:t>
      </w:r>
      <w:r w:rsidRPr="00FC1444">
        <w:rPr>
          <w:rFonts w:eastAsiaTheme="minorEastAsia"/>
          <w:b/>
          <w:kern w:val="0"/>
          <w:szCs w:val="21"/>
        </w:rPr>
        <w:t>地下水评价因子及执行标准</w:t>
      </w:r>
    </w:p>
    <w:tbl>
      <w:tblPr>
        <w:tblW w:w="4842" w:type="pct"/>
        <w:jc w:val="center"/>
        <w:tblBorders>
          <w:top w:val="single" w:sz="12" w:space="0" w:color="auto"/>
          <w:bottom w:val="single" w:sz="12" w:space="0" w:color="auto"/>
          <w:insideH w:val="single" w:sz="4" w:space="0" w:color="auto"/>
          <w:insideV w:val="single" w:sz="4" w:space="0" w:color="auto"/>
        </w:tblBorders>
        <w:tblLook w:val="04A0"/>
      </w:tblPr>
      <w:tblGrid>
        <w:gridCol w:w="683"/>
        <w:gridCol w:w="2204"/>
        <w:gridCol w:w="1873"/>
        <w:gridCol w:w="1337"/>
        <w:gridCol w:w="2156"/>
      </w:tblGrid>
      <w:tr w:rsidR="002A5A5E" w:rsidRPr="00FC1444">
        <w:trPr>
          <w:trHeight w:val="196"/>
          <w:jc w:val="center"/>
        </w:trPr>
        <w:tc>
          <w:tcPr>
            <w:tcW w:w="414" w:type="pct"/>
            <w:shd w:val="clear" w:color="auto" w:fill="auto"/>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环境要素</w:t>
            </w:r>
          </w:p>
        </w:tc>
        <w:tc>
          <w:tcPr>
            <w:tcW w:w="1335" w:type="pct"/>
            <w:shd w:val="clear" w:color="auto" w:fill="auto"/>
            <w:vAlign w:val="center"/>
          </w:tcPr>
          <w:p w:rsidR="002A5A5E" w:rsidRPr="00FC1444" w:rsidRDefault="00611CBA">
            <w:pPr>
              <w:snapToGrid w:val="0"/>
              <w:spacing w:line="0" w:lineRule="atLeast"/>
              <w:jc w:val="center"/>
              <w:rPr>
                <w:rFonts w:eastAsiaTheme="minorEastAsia"/>
                <w:kern w:val="0"/>
                <w:szCs w:val="21"/>
              </w:rPr>
            </w:pPr>
            <w:r w:rsidRPr="00FC1444">
              <w:rPr>
                <w:rFonts w:eastAsiaTheme="minorEastAsia"/>
                <w:kern w:val="0"/>
                <w:szCs w:val="21"/>
              </w:rPr>
              <w:t>标准名称及级（类）别</w:t>
            </w: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项目</w:t>
            </w:r>
          </w:p>
        </w:tc>
        <w:tc>
          <w:tcPr>
            <w:tcW w:w="810"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单位</w:t>
            </w: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标准限值</w:t>
            </w:r>
          </w:p>
        </w:tc>
      </w:tr>
      <w:tr w:rsidR="002A5A5E" w:rsidRPr="00FC1444">
        <w:trPr>
          <w:trHeight w:val="196"/>
          <w:jc w:val="center"/>
        </w:trPr>
        <w:tc>
          <w:tcPr>
            <w:tcW w:w="414" w:type="pct"/>
            <w:vMerge w:val="restart"/>
            <w:shd w:val="clear" w:color="auto" w:fill="auto"/>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地下水环境</w:t>
            </w:r>
          </w:p>
        </w:tc>
        <w:tc>
          <w:tcPr>
            <w:tcW w:w="1335" w:type="pct"/>
            <w:vMerge w:val="restart"/>
            <w:shd w:val="clear" w:color="auto" w:fill="auto"/>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kern w:val="0"/>
                <w:szCs w:val="21"/>
              </w:rPr>
              <w:t>《地下水质量标准》（</w:t>
            </w:r>
            <w:r w:rsidRPr="00FC1444">
              <w:rPr>
                <w:rFonts w:eastAsiaTheme="minorEastAsia"/>
                <w:kern w:val="0"/>
                <w:szCs w:val="21"/>
              </w:rPr>
              <w:t>GB/T14848-2017</w:t>
            </w:r>
            <w:r w:rsidRPr="00FC1444">
              <w:rPr>
                <w:rFonts w:eastAsiaTheme="minorEastAsia"/>
                <w:kern w:val="0"/>
                <w:szCs w:val="21"/>
              </w:rPr>
              <w:t>）</w:t>
            </w:r>
            <w:r w:rsidRPr="00FC1444">
              <w:rPr>
                <w:rFonts w:eastAsiaTheme="minorEastAsia"/>
                <w:kern w:val="0"/>
                <w:szCs w:val="21"/>
              </w:rPr>
              <w:t>Ⅲ</w:t>
            </w:r>
            <w:r w:rsidRPr="00FC1444">
              <w:rPr>
                <w:rFonts w:eastAsiaTheme="minorEastAsia"/>
                <w:kern w:val="0"/>
                <w:szCs w:val="21"/>
              </w:rPr>
              <w:t>类</w:t>
            </w: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pH</w:t>
            </w:r>
            <w:r w:rsidRPr="00FC1444">
              <w:rPr>
                <w:rFonts w:eastAsiaTheme="minorEastAsia"/>
                <w:snapToGrid w:val="0"/>
                <w:szCs w:val="21"/>
              </w:rPr>
              <w:t>值</w:t>
            </w:r>
          </w:p>
        </w:tc>
        <w:tc>
          <w:tcPr>
            <w:tcW w:w="810"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无量纲</w:t>
            </w: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6.5</w:t>
            </w:r>
            <w:r w:rsidRPr="00FC1444">
              <w:rPr>
                <w:rFonts w:eastAsiaTheme="minorEastAsia"/>
                <w:snapToGrid w:val="0"/>
                <w:szCs w:val="21"/>
              </w:rPr>
              <w:t>～</w:t>
            </w:r>
            <w:r w:rsidRPr="00FC1444">
              <w:rPr>
                <w:rFonts w:eastAsiaTheme="minorEastAsia"/>
                <w:snapToGrid w:val="0"/>
                <w:szCs w:val="21"/>
              </w:rPr>
              <w:t>8.5</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总硬度</w:t>
            </w:r>
          </w:p>
        </w:tc>
        <w:tc>
          <w:tcPr>
            <w:tcW w:w="810" w:type="pct"/>
            <w:vMerge w:val="restar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mg/L</w:t>
            </w: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≤450</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铁</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≤0.3</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锰</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≤0.1</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溶解性总固体</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≤1000</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挥发酚类</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≤0.002</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耗氧量（</w:t>
            </w:r>
            <w:r w:rsidRPr="00FC1444">
              <w:rPr>
                <w:rFonts w:eastAsiaTheme="minorEastAsia"/>
                <w:snapToGrid w:val="0"/>
                <w:szCs w:val="21"/>
              </w:rPr>
              <w:t>COD</w:t>
            </w:r>
            <w:r w:rsidRPr="00FC1444">
              <w:rPr>
                <w:rFonts w:eastAsiaTheme="minorEastAsia"/>
                <w:snapToGrid w:val="0"/>
                <w:szCs w:val="21"/>
                <w:vertAlign w:val="subscript"/>
              </w:rPr>
              <w:t>Mn</w:t>
            </w:r>
            <w:r w:rsidRPr="00FC1444">
              <w:rPr>
                <w:rFonts w:eastAsiaTheme="minorEastAsia"/>
                <w:snapToGrid w:val="0"/>
                <w:szCs w:val="21"/>
              </w:rPr>
              <w:t>法，以</w:t>
            </w:r>
            <w:r w:rsidRPr="00FC1444">
              <w:rPr>
                <w:rFonts w:eastAsiaTheme="minorEastAsia"/>
                <w:snapToGrid w:val="0"/>
                <w:szCs w:val="21"/>
              </w:rPr>
              <w:t>O</w:t>
            </w:r>
            <w:r w:rsidRPr="00FC1444">
              <w:rPr>
                <w:rFonts w:eastAsiaTheme="minorEastAsia"/>
                <w:snapToGrid w:val="0"/>
                <w:szCs w:val="21"/>
                <w:vertAlign w:val="subscript"/>
              </w:rPr>
              <w:t>2</w:t>
            </w:r>
            <w:r w:rsidRPr="00FC1444">
              <w:rPr>
                <w:rFonts w:eastAsiaTheme="minorEastAsia"/>
                <w:snapToGrid w:val="0"/>
                <w:szCs w:val="21"/>
              </w:rPr>
              <w:t>计）</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≤3.0</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铅</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≤0.01</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六价铬</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≤0.05</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镉</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≤0.005</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砷</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≤0.01</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汞</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≤0.001</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硝酸盐</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≤20</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亚硝酸盐</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≤1.0</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氨氮</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≤0.5</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氟化物</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≤1.0</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氰化物</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≤0.05</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氯化物</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≤250</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硫酸盐</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≤250</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钠</w:t>
            </w:r>
          </w:p>
        </w:tc>
        <w:tc>
          <w:tcPr>
            <w:tcW w:w="810" w:type="pct"/>
            <w:vMerge/>
            <w:shd w:val="clear" w:color="auto" w:fill="auto"/>
            <w:vAlign w:val="center"/>
          </w:tcPr>
          <w:p w:rsidR="002A5A5E" w:rsidRPr="00FC1444" w:rsidRDefault="002A5A5E">
            <w:pPr>
              <w:jc w:val="center"/>
              <w:rPr>
                <w:rFonts w:eastAsiaTheme="minorEastAsia"/>
                <w:snapToGrid w:val="0"/>
                <w:szCs w:val="21"/>
              </w:rPr>
            </w:pP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≤200</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菌落总数</w:t>
            </w:r>
          </w:p>
        </w:tc>
        <w:tc>
          <w:tcPr>
            <w:tcW w:w="810"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CFU/mL</w:t>
            </w: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≤100</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vMerge/>
            <w:shd w:val="clear" w:color="auto" w:fill="auto"/>
            <w:vAlign w:val="center"/>
          </w:tcPr>
          <w:p w:rsidR="002A5A5E" w:rsidRPr="00FC1444" w:rsidRDefault="002A5A5E">
            <w:pPr>
              <w:ind w:firstLine="420"/>
              <w:jc w:val="center"/>
              <w:rPr>
                <w:rFonts w:eastAsiaTheme="minorEastAsia"/>
                <w:snapToGrid w:val="0"/>
              </w:rPr>
            </w:pP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总大肠菌群</w:t>
            </w:r>
          </w:p>
        </w:tc>
        <w:tc>
          <w:tcPr>
            <w:tcW w:w="810"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MPN/100mL</w:t>
            </w: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≤3.0</w:t>
            </w:r>
          </w:p>
        </w:tc>
      </w:tr>
      <w:tr w:rsidR="002A5A5E" w:rsidRPr="00FC1444">
        <w:trPr>
          <w:trHeight w:val="195"/>
          <w:jc w:val="center"/>
        </w:trPr>
        <w:tc>
          <w:tcPr>
            <w:tcW w:w="414" w:type="pct"/>
            <w:vMerge/>
            <w:shd w:val="clear" w:color="auto" w:fill="auto"/>
            <w:vAlign w:val="center"/>
          </w:tcPr>
          <w:p w:rsidR="002A5A5E" w:rsidRPr="00FC1444" w:rsidRDefault="002A5A5E">
            <w:pPr>
              <w:jc w:val="center"/>
              <w:rPr>
                <w:rFonts w:eastAsiaTheme="minorEastAsia"/>
                <w:snapToGrid w:val="0"/>
              </w:rPr>
            </w:pPr>
          </w:p>
        </w:tc>
        <w:tc>
          <w:tcPr>
            <w:tcW w:w="1335" w:type="pct"/>
            <w:shd w:val="clear" w:color="auto" w:fill="auto"/>
            <w:vAlign w:val="center"/>
          </w:tcPr>
          <w:p w:rsidR="002A5A5E" w:rsidRPr="00FC1444" w:rsidRDefault="00611CBA">
            <w:pPr>
              <w:jc w:val="center"/>
              <w:rPr>
                <w:rFonts w:eastAsiaTheme="minorEastAsia"/>
                <w:snapToGrid w:val="0"/>
              </w:rPr>
            </w:pPr>
            <w:r w:rsidRPr="00FC1444">
              <w:rPr>
                <w:rFonts w:eastAsiaTheme="minorEastAsia"/>
                <w:snapToGrid w:val="0"/>
              </w:rPr>
              <w:t>参照《地表水环境质量标准》（</w:t>
            </w:r>
            <w:r w:rsidRPr="00FC1444">
              <w:rPr>
                <w:rFonts w:eastAsiaTheme="minorEastAsia"/>
                <w:snapToGrid w:val="0"/>
              </w:rPr>
              <w:t>GB3838-2002</w:t>
            </w:r>
            <w:r w:rsidRPr="00FC1444">
              <w:rPr>
                <w:rFonts w:eastAsiaTheme="minorEastAsia"/>
                <w:snapToGrid w:val="0"/>
              </w:rPr>
              <w:t>）</w:t>
            </w:r>
            <w:r w:rsidR="009840DD" w:rsidRPr="00FC1444">
              <w:rPr>
                <w:rFonts w:eastAsiaTheme="minorEastAsia"/>
                <w:bCs/>
                <w:snapToGrid w:val="0"/>
              </w:rPr>
              <w:fldChar w:fldCharType="begin"/>
            </w:r>
            <w:r w:rsidR="004B63C1" w:rsidRPr="00FC1444">
              <w:rPr>
                <w:rFonts w:eastAsiaTheme="minorEastAsia"/>
                <w:bCs/>
                <w:snapToGrid w:val="0"/>
              </w:rPr>
              <w:instrText xml:space="preserve"> = 2 \* ROMAN </w:instrText>
            </w:r>
            <w:r w:rsidR="009840DD" w:rsidRPr="00FC1444">
              <w:rPr>
                <w:rFonts w:eastAsiaTheme="minorEastAsia"/>
                <w:bCs/>
                <w:snapToGrid w:val="0"/>
              </w:rPr>
              <w:fldChar w:fldCharType="separate"/>
            </w:r>
            <w:r w:rsidR="004B63C1" w:rsidRPr="00FC1444">
              <w:rPr>
                <w:rFonts w:eastAsiaTheme="minorEastAsia"/>
                <w:bCs/>
                <w:snapToGrid w:val="0"/>
              </w:rPr>
              <w:t>II</w:t>
            </w:r>
            <w:r w:rsidR="009840DD" w:rsidRPr="00FC1444">
              <w:rPr>
                <w:rFonts w:eastAsiaTheme="minorEastAsia"/>
                <w:bCs/>
                <w:snapToGrid w:val="0"/>
              </w:rPr>
              <w:fldChar w:fldCharType="end"/>
            </w:r>
            <w:r w:rsidRPr="00FC1444">
              <w:rPr>
                <w:rFonts w:eastAsiaTheme="minorEastAsia"/>
                <w:snapToGrid w:val="0"/>
              </w:rPr>
              <w:t>类</w:t>
            </w:r>
          </w:p>
        </w:tc>
        <w:tc>
          <w:tcPr>
            <w:tcW w:w="1135"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石油类</w:t>
            </w:r>
          </w:p>
        </w:tc>
        <w:tc>
          <w:tcPr>
            <w:tcW w:w="810"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mg/L</w:t>
            </w:r>
          </w:p>
        </w:tc>
        <w:tc>
          <w:tcPr>
            <w:tcW w:w="1306" w:type="pct"/>
            <w:shd w:val="clear" w:color="auto" w:fill="auto"/>
            <w:vAlign w:val="center"/>
          </w:tcPr>
          <w:p w:rsidR="002A5A5E" w:rsidRPr="00FC1444" w:rsidRDefault="00611CBA">
            <w:pPr>
              <w:jc w:val="center"/>
              <w:rPr>
                <w:rFonts w:eastAsiaTheme="minorEastAsia"/>
                <w:snapToGrid w:val="0"/>
                <w:szCs w:val="21"/>
              </w:rPr>
            </w:pPr>
            <w:r w:rsidRPr="00FC1444">
              <w:rPr>
                <w:rFonts w:eastAsiaTheme="minorEastAsia"/>
                <w:snapToGrid w:val="0"/>
                <w:szCs w:val="21"/>
              </w:rPr>
              <w:t>≤0.05</w:t>
            </w:r>
          </w:p>
        </w:tc>
      </w:tr>
    </w:tbl>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）评价方法</w:t>
      </w:r>
    </w:p>
    <w:p w:rsidR="002A5A5E" w:rsidRPr="00FC1444" w:rsidRDefault="00611CBA">
      <w:pPr>
        <w:spacing w:line="360" w:lineRule="auto"/>
        <w:ind w:firstLineChars="200" w:firstLine="480"/>
        <w:rPr>
          <w:rFonts w:eastAsiaTheme="minorEastAsia"/>
          <w:sz w:val="24"/>
        </w:rPr>
      </w:pPr>
      <w:r w:rsidRPr="00FC1444">
        <w:rPr>
          <w:rFonts w:ascii="宋体" w:hAnsi="宋体" w:cs="宋体" w:hint="eastAsia"/>
          <w:sz w:val="24"/>
        </w:rPr>
        <w:t>①</w:t>
      </w:r>
      <w:r w:rsidRPr="00FC1444">
        <w:rPr>
          <w:rFonts w:eastAsiaTheme="minorEastAsia"/>
          <w:sz w:val="24"/>
        </w:rPr>
        <w:t>水质现状评价</w:t>
      </w:r>
    </w:p>
    <w:p w:rsidR="002A5A5E" w:rsidRPr="00FC1444" w:rsidRDefault="00611CBA">
      <w:pPr>
        <w:spacing w:line="360" w:lineRule="auto"/>
        <w:rPr>
          <w:rFonts w:eastAsiaTheme="minorEastAsia"/>
          <w:kern w:val="0"/>
          <w:sz w:val="24"/>
          <w:lang w:val="zh-CN"/>
        </w:rPr>
      </w:pPr>
      <w:r w:rsidRPr="00FC1444">
        <w:rPr>
          <w:rFonts w:eastAsiaTheme="minorEastAsia"/>
          <w:kern w:val="0"/>
          <w:sz w:val="24"/>
          <w:lang w:val="zh-CN"/>
        </w:rPr>
        <w:t>采用单项标准指数法对地下水现状监测结果进行评价，评价模式如下：</w:t>
      </w:r>
    </w:p>
    <w:p w:rsidR="002A5A5E" w:rsidRPr="00FC1444" w:rsidRDefault="00611CBA">
      <w:pPr>
        <w:spacing w:line="360" w:lineRule="auto"/>
        <w:jc w:val="center"/>
        <w:rPr>
          <w:rFonts w:eastAsiaTheme="minorEastAsia"/>
          <w:snapToGrid w:val="0"/>
          <w:kern w:val="0"/>
          <w:sz w:val="24"/>
        </w:rPr>
      </w:pPr>
      <w:r w:rsidRPr="00FC1444">
        <w:rPr>
          <w:rFonts w:eastAsiaTheme="minorEastAsia"/>
          <w:snapToGrid w:val="0"/>
          <w:kern w:val="0"/>
          <w:sz w:val="24"/>
        </w:rPr>
        <w:t>P</w:t>
      </w:r>
      <w:r w:rsidRPr="00FC1444">
        <w:rPr>
          <w:rFonts w:eastAsiaTheme="minorEastAsia"/>
          <w:snapToGrid w:val="0"/>
          <w:kern w:val="0"/>
          <w:sz w:val="24"/>
          <w:vertAlign w:val="subscript"/>
        </w:rPr>
        <w:t>i</w:t>
      </w:r>
      <w:r w:rsidRPr="00FC1444">
        <w:rPr>
          <w:rFonts w:eastAsiaTheme="minorEastAsia"/>
          <w:snapToGrid w:val="0"/>
          <w:kern w:val="0"/>
          <w:sz w:val="24"/>
        </w:rPr>
        <w:t>=C</w:t>
      </w:r>
      <w:r w:rsidRPr="00FC1444">
        <w:rPr>
          <w:rFonts w:eastAsiaTheme="minorEastAsia"/>
          <w:snapToGrid w:val="0"/>
          <w:kern w:val="0"/>
          <w:sz w:val="24"/>
          <w:vertAlign w:val="subscript"/>
        </w:rPr>
        <w:t>i</w:t>
      </w:r>
      <w:r w:rsidRPr="00FC1444">
        <w:rPr>
          <w:rFonts w:eastAsiaTheme="minorEastAsia"/>
          <w:snapToGrid w:val="0"/>
          <w:kern w:val="0"/>
          <w:sz w:val="24"/>
        </w:rPr>
        <w:t>/C</w:t>
      </w:r>
      <w:r w:rsidRPr="00FC1444">
        <w:rPr>
          <w:rFonts w:eastAsiaTheme="minorEastAsia"/>
          <w:snapToGrid w:val="0"/>
          <w:kern w:val="0"/>
          <w:sz w:val="24"/>
          <w:vertAlign w:val="subscript"/>
        </w:rPr>
        <w:t>si</w:t>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 xml:space="preserve">     </w:t>
      </w:r>
      <w:r w:rsidRPr="00FC1444">
        <w:rPr>
          <w:rFonts w:eastAsiaTheme="minorEastAsia"/>
          <w:snapToGrid w:val="0"/>
          <w:kern w:val="0"/>
          <w:sz w:val="24"/>
        </w:rPr>
        <w:t>式中：</w:t>
      </w:r>
      <w:r w:rsidRPr="00FC1444">
        <w:rPr>
          <w:rFonts w:eastAsiaTheme="minorEastAsia"/>
          <w:snapToGrid w:val="0"/>
          <w:kern w:val="0"/>
          <w:sz w:val="24"/>
        </w:rPr>
        <w:t>P</w:t>
      </w:r>
      <w:r w:rsidRPr="00FC1444">
        <w:rPr>
          <w:rFonts w:eastAsiaTheme="minorEastAsia"/>
          <w:snapToGrid w:val="0"/>
          <w:kern w:val="0"/>
          <w:sz w:val="24"/>
          <w:vertAlign w:val="subscript"/>
        </w:rPr>
        <w:t>i</w:t>
      </w:r>
      <w:r w:rsidRPr="00FC1444">
        <w:rPr>
          <w:rFonts w:eastAsiaTheme="minorEastAsia"/>
          <w:snapToGrid w:val="0"/>
          <w:kern w:val="0"/>
          <w:sz w:val="24"/>
        </w:rPr>
        <w:t>—</w:t>
      </w:r>
      <w:r w:rsidRPr="00FC1444">
        <w:rPr>
          <w:rFonts w:eastAsiaTheme="minorEastAsia"/>
          <w:snapToGrid w:val="0"/>
          <w:kern w:val="0"/>
          <w:sz w:val="24"/>
        </w:rPr>
        <w:t>第</w:t>
      </w:r>
      <w:r w:rsidRPr="00FC1444">
        <w:rPr>
          <w:rFonts w:eastAsiaTheme="minorEastAsia"/>
          <w:snapToGrid w:val="0"/>
          <w:kern w:val="0"/>
          <w:sz w:val="24"/>
        </w:rPr>
        <w:t>i</w:t>
      </w:r>
      <w:r w:rsidRPr="00FC1444">
        <w:rPr>
          <w:rFonts w:eastAsiaTheme="minorEastAsia"/>
          <w:snapToGrid w:val="0"/>
          <w:kern w:val="0"/>
          <w:sz w:val="24"/>
        </w:rPr>
        <w:t>个水质因子的标准指数，无量纲；</w:t>
      </w:r>
    </w:p>
    <w:p w:rsidR="002A5A5E" w:rsidRPr="00FC1444" w:rsidRDefault="00611CBA">
      <w:pPr>
        <w:spacing w:line="360" w:lineRule="auto"/>
        <w:ind w:firstLineChars="300" w:firstLine="720"/>
        <w:rPr>
          <w:rFonts w:eastAsiaTheme="minorEastAsia"/>
          <w:snapToGrid w:val="0"/>
          <w:kern w:val="0"/>
          <w:sz w:val="24"/>
        </w:rPr>
      </w:pPr>
      <w:r w:rsidRPr="00FC1444">
        <w:rPr>
          <w:rFonts w:eastAsiaTheme="minorEastAsia"/>
          <w:snapToGrid w:val="0"/>
          <w:kern w:val="0"/>
          <w:sz w:val="24"/>
        </w:rPr>
        <w:t xml:space="preserve">     C</w:t>
      </w:r>
      <w:r w:rsidRPr="00FC1444">
        <w:rPr>
          <w:rFonts w:eastAsiaTheme="minorEastAsia"/>
          <w:snapToGrid w:val="0"/>
          <w:kern w:val="0"/>
          <w:sz w:val="24"/>
          <w:vertAlign w:val="subscript"/>
        </w:rPr>
        <w:t>i</w:t>
      </w:r>
      <w:r w:rsidRPr="00FC1444">
        <w:rPr>
          <w:rFonts w:eastAsiaTheme="minorEastAsia"/>
          <w:snapToGrid w:val="0"/>
          <w:kern w:val="0"/>
          <w:sz w:val="24"/>
        </w:rPr>
        <w:t>—</w:t>
      </w:r>
      <w:r w:rsidRPr="00FC1444">
        <w:rPr>
          <w:rFonts w:eastAsiaTheme="minorEastAsia"/>
          <w:snapToGrid w:val="0"/>
          <w:kern w:val="0"/>
          <w:sz w:val="24"/>
        </w:rPr>
        <w:t>第</w:t>
      </w:r>
      <w:r w:rsidRPr="00FC1444">
        <w:rPr>
          <w:rFonts w:eastAsiaTheme="minorEastAsia"/>
          <w:snapToGrid w:val="0"/>
          <w:kern w:val="0"/>
          <w:sz w:val="24"/>
        </w:rPr>
        <w:t>i</w:t>
      </w:r>
      <w:r w:rsidRPr="00FC1444">
        <w:rPr>
          <w:rFonts w:eastAsiaTheme="minorEastAsia"/>
          <w:snapToGrid w:val="0"/>
          <w:kern w:val="0"/>
          <w:sz w:val="24"/>
        </w:rPr>
        <w:t>个水质因子的监测质量浓度值，</w:t>
      </w:r>
      <w:r w:rsidRPr="00FC1444">
        <w:rPr>
          <w:rFonts w:eastAsiaTheme="minorEastAsia"/>
          <w:snapToGrid w:val="0"/>
          <w:kern w:val="0"/>
          <w:sz w:val="24"/>
        </w:rPr>
        <w:t>mg/L</w:t>
      </w:r>
      <w:r w:rsidRPr="00FC1444">
        <w:rPr>
          <w:rFonts w:eastAsiaTheme="minorEastAsia"/>
          <w:snapToGrid w:val="0"/>
          <w:kern w:val="0"/>
          <w:sz w:val="24"/>
        </w:rPr>
        <w:t>；</w:t>
      </w:r>
    </w:p>
    <w:p w:rsidR="002A5A5E" w:rsidRPr="00FC1444" w:rsidRDefault="00611CBA">
      <w:pPr>
        <w:spacing w:line="360" w:lineRule="auto"/>
        <w:ind w:firstLineChars="300" w:firstLine="720"/>
        <w:rPr>
          <w:rFonts w:eastAsiaTheme="minorEastAsia"/>
          <w:snapToGrid w:val="0"/>
          <w:kern w:val="0"/>
          <w:sz w:val="24"/>
        </w:rPr>
      </w:pPr>
      <w:r w:rsidRPr="00FC1444">
        <w:rPr>
          <w:rFonts w:eastAsiaTheme="minorEastAsia"/>
          <w:snapToGrid w:val="0"/>
          <w:kern w:val="0"/>
          <w:sz w:val="24"/>
        </w:rPr>
        <w:t xml:space="preserve">     C</w:t>
      </w:r>
      <w:r w:rsidRPr="00FC1444">
        <w:rPr>
          <w:rFonts w:eastAsiaTheme="minorEastAsia"/>
          <w:snapToGrid w:val="0"/>
          <w:kern w:val="0"/>
          <w:sz w:val="24"/>
          <w:vertAlign w:val="subscript"/>
        </w:rPr>
        <w:t>si</w:t>
      </w:r>
      <w:r w:rsidRPr="00FC1444">
        <w:rPr>
          <w:rFonts w:eastAsiaTheme="minorEastAsia"/>
          <w:snapToGrid w:val="0"/>
          <w:kern w:val="0"/>
          <w:sz w:val="24"/>
        </w:rPr>
        <w:t>—</w:t>
      </w:r>
      <w:r w:rsidRPr="00FC1444">
        <w:rPr>
          <w:rFonts w:eastAsiaTheme="minorEastAsia"/>
          <w:snapToGrid w:val="0"/>
          <w:kern w:val="0"/>
          <w:sz w:val="24"/>
        </w:rPr>
        <w:t>第</w:t>
      </w:r>
      <w:r w:rsidRPr="00FC1444">
        <w:rPr>
          <w:rFonts w:eastAsiaTheme="minorEastAsia"/>
          <w:snapToGrid w:val="0"/>
          <w:kern w:val="0"/>
          <w:sz w:val="24"/>
        </w:rPr>
        <w:t>i</w:t>
      </w:r>
      <w:r w:rsidRPr="00FC1444">
        <w:rPr>
          <w:rFonts w:eastAsiaTheme="minorEastAsia"/>
          <w:snapToGrid w:val="0"/>
          <w:kern w:val="0"/>
          <w:sz w:val="24"/>
        </w:rPr>
        <w:t>个水质因子的标准质量浓度值，</w:t>
      </w:r>
      <w:r w:rsidRPr="00FC1444">
        <w:rPr>
          <w:rFonts w:eastAsiaTheme="minorEastAsia"/>
          <w:snapToGrid w:val="0"/>
          <w:kern w:val="0"/>
          <w:sz w:val="24"/>
        </w:rPr>
        <w:t>mg/L</w:t>
      </w:r>
      <w:r w:rsidRPr="00FC1444">
        <w:rPr>
          <w:rFonts w:eastAsiaTheme="minorEastAsia"/>
          <w:snapToGrid w:val="0"/>
          <w:kern w:val="0"/>
          <w:sz w:val="24"/>
        </w:rPr>
        <w:t>。</w:t>
      </w:r>
    </w:p>
    <w:p w:rsidR="002A5A5E" w:rsidRPr="00FC1444" w:rsidRDefault="002A5A5E">
      <w:pPr>
        <w:autoSpaceDE w:val="0"/>
        <w:autoSpaceDN w:val="0"/>
        <w:spacing w:line="360" w:lineRule="auto"/>
        <w:jc w:val="center"/>
        <w:rPr>
          <w:rFonts w:eastAsiaTheme="minorEastAsia"/>
          <w:sz w:val="24"/>
          <w:lang w:val="zh-CN"/>
        </w:rPr>
      </w:pPr>
      <w:r w:rsidRPr="00FC1444">
        <w:rPr>
          <w:rFonts w:eastAsiaTheme="minorEastAsia"/>
          <w:position w:val="-28"/>
          <w:sz w:val="24"/>
        </w:rPr>
        <w:object w:dxaOrig="1579"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7.5pt" o:ole="">
            <v:imagedata r:id="rId53" o:title=""/>
          </v:shape>
          <o:OLEObject Type="Embed" ProgID="Equation.DSMT4" ShapeID="_x0000_i1025" DrawAspect="Content" ObjectID="_1851488731" r:id="rId54"/>
        </w:object>
      </w:r>
      <w:r w:rsidR="00611CBA" w:rsidRPr="00FC1444">
        <w:rPr>
          <w:rFonts w:eastAsiaTheme="minorEastAsia"/>
          <w:sz w:val="24"/>
          <w:lang w:val="zh-CN"/>
        </w:rPr>
        <w:t xml:space="preserve">          pH≤7.0</w:t>
      </w:r>
      <w:r w:rsidR="00611CBA" w:rsidRPr="00FC1444">
        <w:rPr>
          <w:rFonts w:eastAsiaTheme="minorEastAsia"/>
          <w:sz w:val="24"/>
          <w:lang w:val="zh-CN"/>
        </w:rPr>
        <w:t>时</w:t>
      </w:r>
    </w:p>
    <w:p w:rsidR="002A5A5E" w:rsidRPr="00FC1444" w:rsidRDefault="002A5A5E">
      <w:pPr>
        <w:autoSpaceDE w:val="0"/>
        <w:autoSpaceDN w:val="0"/>
        <w:spacing w:line="360" w:lineRule="auto"/>
        <w:jc w:val="center"/>
        <w:rPr>
          <w:rFonts w:eastAsiaTheme="minorEastAsia"/>
          <w:sz w:val="24"/>
          <w:lang w:val="zh-CN"/>
        </w:rPr>
      </w:pPr>
      <w:r w:rsidRPr="00FC1444">
        <w:rPr>
          <w:rFonts w:eastAsiaTheme="minorEastAsia"/>
          <w:position w:val="-28"/>
          <w:sz w:val="24"/>
        </w:rPr>
        <w:object w:dxaOrig="1579" w:dyaOrig="660">
          <v:shape id="_x0000_i1026" type="#_x0000_t75" style="width:1in;height:37.5pt" o:ole="">
            <v:imagedata r:id="rId55" o:title=""/>
          </v:shape>
          <o:OLEObject Type="Embed" ProgID="Equation.DSMT4" ShapeID="_x0000_i1026" DrawAspect="Content" ObjectID="_1851488732" r:id="rId56"/>
        </w:object>
      </w:r>
      <w:r w:rsidR="00611CBA" w:rsidRPr="00FC1444">
        <w:rPr>
          <w:rFonts w:eastAsiaTheme="minorEastAsia"/>
          <w:sz w:val="24"/>
          <w:lang w:val="zh-CN"/>
        </w:rPr>
        <w:t xml:space="preserve">          pH</w:t>
      </w:r>
      <w:r w:rsidR="00611CBA" w:rsidRPr="00FC1444">
        <w:rPr>
          <w:rFonts w:eastAsiaTheme="minorEastAsia"/>
          <w:sz w:val="24"/>
          <w:lang w:val="zh-CN"/>
        </w:rPr>
        <w:t>＞</w:t>
      </w:r>
      <w:r w:rsidR="00611CBA" w:rsidRPr="00FC1444">
        <w:rPr>
          <w:rFonts w:eastAsiaTheme="minorEastAsia"/>
          <w:sz w:val="24"/>
          <w:lang w:val="zh-CN"/>
        </w:rPr>
        <w:t>7.0</w:t>
      </w:r>
      <w:r w:rsidR="00611CBA" w:rsidRPr="00FC1444">
        <w:rPr>
          <w:rFonts w:eastAsiaTheme="minorEastAsia"/>
          <w:sz w:val="24"/>
          <w:lang w:val="zh-CN"/>
        </w:rPr>
        <w:t>时</w:t>
      </w:r>
    </w:p>
    <w:p w:rsidR="002A5A5E" w:rsidRPr="00FC1444" w:rsidRDefault="00611CBA">
      <w:pPr>
        <w:autoSpaceDE w:val="0"/>
        <w:autoSpaceDN w:val="0"/>
        <w:spacing w:line="360" w:lineRule="auto"/>
        <w:rPr>
          <w:rFonts w:eastAsiaTheme="minorEastAsia"/>
          <w:sz w:val="24"/>
          <w:lang w:val="zh-CN"/>
        </w:rPr>
      </w:pPr>
      <w:r w:rsidRPr="00FC1444">
        <w:rPr>
          <w:rFonts w:eastAsiaTheme="minorEastAsia"/>
          <w:sz w:val="24"/>
          <w:lang w:val="zh-CN"/>
        </w:rPr>
        <w:t>式中：</w:t>
      </w:r>
      <w:r w:rsidRPr="00FC1444">
        <w:rPr>
          <w:rFonts w:eastAsiaTheme="minorEastAsia"/>
          <w:sz w:val="24"/>
          <w:lang w:val="zh-CN"/>
        </w:rPr>
        <w:t>P</w:t>
      </w:r>
      <w:r w:rsidRPr="00FC1444">
        <w:rPr>
          <w:rFonts w:eastAsiaTheme="minorEastAsia"/>
          <w:sz w:val="24"/>
          <w:vertAlign w:val="subscript"/>
          <w:lang w:val="zh-CN"/>
        </w:rPr>
        <w:t>pH</w:t>
      </w:r>
      <w:r w:rsidRPr="00FC1444">
        <w:rPr>
          <w:rFonts w:eastAsiaTheme="minorEastAsia"/>
          <w:sz w:val="24"/>
          <w:lang w:val="zh-CN"/>
        </w:rPr>
        <w:t>——pH</w:t>
      </w:r>
      <w:r w:rsidRPr="00FC1444">
        <w:rPr>
          <w:rFonts w:eastAsiaTheme="minorEastAsia"/>
          <w:sz w:val="24"/>
          <w:lang w:val="zh-CN"/>
        </w:rPr>
        <w:t>的标准指数，量纲为一；</w:t>
      </w:r>
    </w:p>
    <w:p w:rsidR="002A5A5E" w:rsidRPr="00FC1444" w:rsidRDefault="00611CBA">
      <w:pPr>
        <w:autoSpaceDE w:val="0"/>
        <w:autoSpaceDN w:val="0"/>
        <w:spacing w:line="360" w:lineRule="auto"/>
        <w:rPr>
          <w:rFonts w:eastAsiaTheme="minorEastAsia"/>
          <w:sz w:val="24"/>
          <w:lang w:val="zh-CN"/>
        </w:rPr>
      </w:pPr>
      <w:r w:rsidRPr="00FC1444">
        <w:rPr>
          <w:rFonts w:eastAsiaTheme="minorEastAsia"/>
          <w:sz w:val="24"/>
          <w:lang w:val="zh-CN"/>
        </w:rPr>
        <w:t xml:space="preserve">      pH——pH</w:t>
      </w:r>
      <w:r w:rsidRPr="00FC1444">
        <w:rPr>
          <w:rFonts w:eastAsiaTheme="minorEastAsia"/>
          <w:sz w:val="24"/>
          <w:lang w:val="zh-CN"/>
        </w:rPr>
        <w:t>监测值；</w:t>
      </w:r>
    </w:p>
    <w:p w:rsidR="002A5A5E" w:rsidRPr="00FC1444" w:rsidRDefault="00611CBA">
      <w:pPr>
        <w:autoSpaceDE w:val="0"/>
        <w:autoSpaceDN w:val="0"/>
        <w:spacing w:line="360" w:lineRule="auto"/>
        <w:rPr>
          <w:rFonts w:eastAsiaTheme="minorEastAsia"/>
          <w:sz w:val="24"/>
          <w:lang w:val="zh-CN"/>
        </w:rPr>
      </w:pPr>
      <w:r w:rsidRPr="00FC1444">
        <w:rPr>
          <w:rFonts w:eastAsiaTheme="minorEastAsia"/>
          <w:sz w:val="24"/>
          <w:lang w:val="zh-CN"/>
        </w:rPr>
        <w:t xml:space="preserve">      pH</w:t>
      </w:r>
      <w:r w:rsidRPr="00FC1444">
        <w:rPr>
          <w:rFonts w:eastAsiaTheme="minorEastAsia"/>
          <w:sz w:val="24"/>
          <w:vertAlign w:val="subscript"/>
          <w:lang w:val="zh-CN"/>
        </w:rPr>
        <w:t>su</w:t>
      </w:r>
      <w:r w:rsidRPr="00FC1444">
        <w:rPr>
          <w:rFonts w:eastAsiaTheme="minorEastAsia"/>
          <w:sz w:val="24"/>
          <w:lang w:val="zh-CN"/>
        </w:rPr>
        <w:t>——</w:t>
      </w:r>
      <w:r w:rsidRPr="00FC1444">
        <w:rPr>
          <w:rFonts w:eastAsiaTheme="minorEastAsia"/>
          <w:sz w:val="24"/>
          <w:lang w:val="zh-CN"/>
        </w:rPr>
        <w:t>标准中</w:t>
      </w:r>
      <w:r w:rsidRPr="00FC1444">
        <w:rPr>
          <w:rFonts w:eastAsiaTheme="minorEastAsia"/>
          <w:sz w:val="24"/>
          <w:lang w:val="zh-CN"/>
        </w:rPr>
        <w:t>pH</w:t>
      </w:r>
      <w:r w:rsidRPr="00FC1444">
        <w:rPr>
          <w:rFonts w:eastAsiaTheme="minorEastAsia"/>
          <w:sz w:val="24"/>
          <w:lang w:val="zh-CN"/>
        </w:rPr>
        <w:t>的上限值；</w:t>
      </w:r>
    </w:p>
    <w:p w:rsidR="002A5A5E" w:rsidRPr="00FC1444" w:rsidRDefault="00611CBA">
      <w:pPr>
        <w:autoSpaceDE w:val="0"/>
        <w:autoSpaceDN w:val="0"/>
        <w:spacing w:line="360" w:lineRule="auto"/>
        <w:rPr>
          <w:rFonts w:eastAsiaTheme="minorEastAsia"/>
          <w:sz w:val="24"/>
          <w:lang w:val="zh-CN"/>
        </w:rPr>
      </w:pPr>
      <w:r w:rsidRPr="00FC1444">
        <w:rPr>
          <w:rFonts w:eastAsiaTheme="minorEastAsia"/>
          <w:sz w:val="24"/>
          <w:lang w:val="zh-CN"/>
        </w:rPr>
        <w:t xml:space="preserve">      pH</w:t>
      </w:r>
      <w:r w:rsidRPr="00FC1444">
        <w:rPr>
          <w:rFonts w:eastAsiaTheme="minorEastAsia"/>
          <w:sz w:val="24"/>
          <w:vertAlign w:val="subscript"/>
          <w:lang w:val="zh-CN"/>
        </w:rPr>
        <w:t>sd</w:t>
      </w:r>
      <w:r w:rsidRPr="00FC1444">
        <w:rPr>
          <w:rFonts w:eastAsiaTheme="minorEastAsia"/>
          <w:sz w:val="24"/>
          <w:lang w:val="zh-CN"/>
        </w:rPr>
        <w:t>——</w:t>
      </w:r>
      <w:r w:rsidRPr="00FC1444">
        <w:rPr>
          <w:rFonts w:eastAsiaTheme="minorEastAsia"/>
          <w:sz w:val="24"/>
          <w:lang w:val="zh-CN"/>
        </w:rPr>
        <w:t>标准中</w:t>
      </w:r>
      <w:r w:rsidRPr="00FC1444">
        <w:rPr>
          <w:rFonts w:eastAsiaTheme="minorEastAsia"/>
          <w:sz w:val="24"/>
          <w:lang w:val="zh-CN"/>
        </w:rPr>
        <w:t>pH</w:t>
      </w:r>
      <w:r w:rsidRPr="00FC1444">
        <w:rPr>
          <w:rFonts w:eastAsiaTheme="minorEastAsia"/>
          <w:sz w:val="24"/>
          <w:lang w:val="zh-CN"/>
        </w:rPr>
        <w:t>的下限值。</w:t>
      </w:r>
    </w:p>
    <w:p w:rsidR="002A5A5E" w:rsidRPr="00FC1444" w:rsidRDefault="00611CBA">
      <w:pPr>
        <w:autoSpaceDE w:val="0"/>
        <w:autoSpaceDN w:val="0"/>
        <w:spacing w:line="360" w:lineRule="auto"/>
        <w:ind w:firstLine="480"/>
        <w:rPr>
          <w:rFonts w:eastAsiaTheme="minorEastAsia"/>
          <w:sz w:val="24"/>
          <w:lang w:val="zh-CN"/>
        </w:rPr>
      </w:pPr>
      <w:r w:rsidRPr="00FC1444">
        <w:rPr>
          <w:rFonts w:eastAsiaTheme="minorEastAsia"/>
          <w:sz w:val="24"/>
          <w:lang w:val="zh-CN"/>
        </w:rPr>
        <w:t>当标准指数＞</w:t>
      </w:r>
      <w:r w:rsidRPr="00FC1444">
        <w:rPr>
          <w:rFonts w:eastAsiaTheme="minorEastAsia"/>
          <w:sz w:val="24"/>
          <w:lang w:val="zh-CN"/>
        </w:rPr>
        <w:t>1</w:t>
      </w:r>
      <w:r w:rsidRPr="00FC1444">
        <w:rPr>
          <w:rFonts w:eastAsiaTheme="minorEastAsia"/>
          <w:sz w:val="24"/>
          <w:lang w:val="zh-CN"/>
        </w:rPr>
        <w:t>时，表示该水质参数所表征的污染物已满足不了标准要求，水体已受到污染；反之，则满足标准要求。</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4-2-</w:t>
      </w:r>
      <w:r w:rsidR="00F90B8B" w:rsidRPr="00FC1444">
        <w:rPr>
          <w:rFonts w:eastAsiaTheme="minorEastAsia" w:hint="eastAsia"/>
          <w:b/>
          <w:kern w:val="0"/>
          <w:szCs w:val="21"/>
        </w:rPr>
        <w:t>8</w:t>
      </w:r>
      <w:r w:rsidRPr="00FC1444">
        <w:rPr>
          <w:rFonts w:eastAsiaTheme="minorEastAsia"/>
          <w:b/>
          <w:kern w:val="0"/>
          <w:szCs w:val="21"/>
        </w:rPr>
        <w:t xml:space="preserve"> </w:t>
      </w:r>
      <w:r w:rsidRPr="00FC1444">
        <w:rPr>
          <w:rFonts w:eastAsiaTheme="minorEastAsia"/>
          <w:b/>
          <w:kern w:val="0"/>
          <w:szCs w:val="21"/>
        </w:rPr>
        <w:t>地下水水质现状评价因子统计结果</w:t>
      </w:r>
    </w:p>
    <w:tbl>
      <w:tblPr>
        <w:tblW w:w="8809" w:type="dxa"/>
        <w:jc w:val="center"/>
        <w:tblBorders>
          <w:top w:val="single" w:sz="12" w:space="0" w:color="auto"/>
          <w:bottom w:val="single" w:sz="12" w:space="0" w:color="auto"/>
          <w:insideH w:val="single" w:sz="4" w:space="0" w:color="auto"/>
          <w:insideV w:val="single" w:sz="4" w:space="0" w:color="auto"/>
        </w:tblBorders>
        <w:tblLook w:val="04A0"/>
      </w:tblPr>
      <w:tblGrid>
        <w:gridCol w:w="1710"/>
        <w:gridCol w:w="1289"/>
        <w:gridCol w:w="1173"/>
        <w:gridCol w:w="1081"/>
        <w:gridCol w:w="1121"/>
        <w:gridCol w:w="1028"/>
        <w:gridCol w:w="1399"/>
        <w:gridCol w:w="8"/>
      </w:tblGrid>
      <w:tr w:rsidR="002A5A5E" w:rsidRPr="00FC1444">
        <w:trPr>
          <w:gridAfter w:val="1"/>
          <w:wAfter w:w="8" w:type="dxa"/>
          <w:trHeight w:val="57"/>
          <w:jc w:val="center"/>
        </w:trPr>
        <w:tc>
          <w:tcPr>
            <w:tcW w:w="1710" w:type="dxa"/>
            <w:vAlign w:val="center"/>
          </w:tcPr>
          <w:p w:rsidR="002A5A5E" w:rsidRPr="00FC1444" w:rsidRDefault="00611CBA" w:rsidP="00431EAD">
            <w:pPr>
              <w:jc w:val="center"/>
              <w:rPr>
                <w:rFonts w:eastAsiaTheme="minorEastAsia"/>
                <w:b/>
                <w:szCs w:val="21"/>
              </w:rPr>
            </w:pPr>
            <w:r w:rsidRPr="00FC1444">
              <w:rPr>
                <w:rFonts w:eastAsiaTheme="minorEastAsia"/>
                <w:b/>
                <w:szCs w:val="21"/>
              </w:rPr>
              <w:t>检测项目</w:t>
            </w:r>
          </w:p>
        </w:tc>
        <w:tc>
          <w:tcPr>
            <w:tcW w:w="1289" w:type="dxa"/>
            <w:vAlign w:val="center"/>
          </w:tcPr>
          <w:p w:rsidR="002A5A5E" w:rsidRPr="00FC1444" w:rsidRDefault="00611CBA" w:rsidP="00431EAD">
            <w:pPr>
              <w:jc w:val="center"/>
              <w:rPr>
                <w:rFonts w:eastAsiaTheme="minorEastAsia"/>
                <w:b/>
                <w:szCs w:val="21"/>
              </w:rPr>
            </w:pPr>
            <w:r w:rsidRPr="00FC1444">
              <w:rPr>
                <w:rFonts w:eastAsiaTheme="minorEastAsia"/>
                <w:b/>
                <w:szCs w:val="21"/>
              </w:rPr>
              <w:t>最大值</w:t>
            </w:r>
          </w:p>
        </w:tc>
        <w:tc>
          <w:tcPr>
            <w:tcW w:w="1173" w:type="dxa"/>
            <w:vAlign w:val="center"/>
          </w:tcPr>
          <w:p w:rsidR="002A5A5E" w:rsidRPr="00FC1444" w:rsidRDefault="00611CBA" w:rsidP="00431EAD">
            <w:pPr>
              <w:jc w:val="center"/>
              <w:rPr>
                <w:rFonts w:eastAsiaTheme="minorEastAsia"/>
                <w:b/>
                <w:szCs w:val="21"/>
              </w:rPr>
            </w:pPr>
            <w:r w:rsidRPr="00FC1444">
              <w:rPr>
                <w:rFonts w:eastAsiaTheme="minorEastAsia"/>
                <w:b/>
                <w:szCs w:val="21"/>
              </w:rPr>
              <w:t>最小值</w:t>
            </w:r>
          </w:p>
        </w:tc>
        <w:tc>
          <w:tcPr>
            <w:tcW w:w="1081" w:type="dxa"/>
            <w:vAlign w:val="center"/>
          </w:tcPr>
          <w:p w:rsidR="002A5A5E" w:rsidRPr="00FC1444" w:rsidRDefault="00611CBA" w:rsidP="00431EAD">
            <w:pPr>
              <w:jc w:val="center"/>
              <w:rPr>
                <w:rFonts w:eastAsiaTheme="minorEastAsia"/>
                <w:b/>
                <w:szCs w:val="21"/>
              </w:rPr>
            </w:pPr>
            <w:r w:rsidRPr="00FC1444">
              <w:rPr>
                <w:rFonts w:eastAsiaTheme="minorEastAsia"/>
                <w:b/>
                <w:szCs w:val="21"/>
              </w:rPr>
              <w:t>均值</w:t>
            </w:r>
          </w:p>
        </w:tc>
        <w:tc>
          <w:tcPr>
            <w:tcW w:w="1121" w:type="dxa"/>
            <w:vAlign w:val="center"/>
          </w:tcPr>
          <w:p w:rsidR="002A5A5E" w:rsidRPr="00FC1444" w:rsidRDefault="00611CBA" w:rsidP="00431EAD">
            <w:pPr>
              <w:jc w:val="center"/>
              <w:rPr>
                <w:rFonts w:eastAsiaTheme="minorEastAsia"/>
                <w:b/>
                <w:szCs w:val="21"/>
              </w:rPr>
            </w:pPr>
            <w:r w:rsidRPr="00FC1444">
              <w:rPr>
                <w:rFonts w:eastAsiaTheme="minorEastAsia"/>
                <w:b/>
                <w:szCs w:val="21"/>
              </w:rPr>
              <w:t>标准差</w:t>
            </w:r>
          </w:p>
        </w:tc>
        <w:tc>
          <w:tcPr>
            <w:tcW w:w="1028" w:type="dxa"/>
            <w:vAlign w:val="center"/>
          </w:tcPr>
          <w:p w:rsidR="002A5A5E" w:rsidRPr="00FC1444" w:rsidRDefault="00611CBA" w:rsidP="00431EAD">
            <w:pPr>
              <w:jc w:val="center"/>
              <w:rPr>
                <w:rFonts w:eastAsiaTheme="minorEastAsia"/>
                <w:b/>
                <w:szCs w:val="21"/>
              </w:rPr>
            </w:pPr>
            <w:r w:rsidRPr="00FC1444">
              <w:rPr>
                <w:rFonts w:eastAsiaTheme="minorEastAsia"/>
                <w:b/>
                <w:szCs w:val="21"/>
              </w:rPr>
              <w:t>检出率</w:t>
            </w:r>
          </w:p>
        </w:tc>
        <w:tc>
          <w:tcPr>
            <w:tcW w:w="1399" w:type="dxa"/>
            <w:vAlign w:val="center"/>
          </w:tcPr>
          <w:p w:rsidR="002A5A5E" w:rsidRPr="00FC1444" w:rsidRDefault="00611CBA" w:rsidP="00431EAD">
            <w:pPr>
              <w:jc w:val="center"/>
              <w:rPr>
                <w:rFonts w:eastAsiaTheme="minorEastAsia"/>
                <w:b/>
                <w:szCs w:val="21"/>
              </w:rPr>
            </w:pPr>
            <w:r w:rsidRPr="00FC1444">
              <w:rPr>
                <w:rFonts w:eastAsiaTheme="minorEastAsia"/>
                <w:b/>
                <w:szCs w:val="21"/>
              </w:rPr>
              <w:t>超标率</w:t>
            </w:r>
          </w:p>
        </w:tc>
      </w:tr>
      <w:tr w:rsidR="00EF76D7" w:rsidRPr="00FC1444" w:rsidTr="004E26F5">
        <w:trPr>
          <w:gridAfter w:val="1"/>
          <w:wAfter w:w="8" w:type="dxa"/>
          <w:trHeight w:val="229"/>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K</w:t>
            </w:r>
            <w:r w:rsidRPr="00FC1444">
              <w:rPr>
                <w:rFonts w:eastAsiaTheme="minorEastAsia"/>
                <w:szCs w:val="21"/>
                <w:vertAlign w:val="superscript"/>
              </w:rPr>
              <w:t>+</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1.66</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0.92</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1.21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0.28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399" w:type="dxa"/>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4E26F5">
        <w:trPr>
          <w:trHeight w:val="21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Na</w:t>
            </w:r>
            <w:r w:rsidRPr="00FC1444">
              <w:rPr>
                <w:rFonts w:eastAsiaTheme="minorEastAsia"/>
                <w:szCs w:val="21"/>
                <w:vertAlign w:val="superscript"/>
              </w:rPr>
              <w:t>+</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13.5</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10.5</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11.80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1.19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4E26F5">
        <w:trPr>
          <w:trHeight w:val="267"/>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Ca</w:t>
            </w:r>
            <w:r w:rsidRPr="00FC1444">
              <w:rPr>
                <w:rFonts w:eastAsiaTheme="minorEastAsia"/>
                <w:szCs w:val="21"/>
                <w:vertAlign w:val="superscript"/>
              </w:rPr>
              <w:t>2+</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96.8</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58.6</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72.33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15.08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4E26F5">
        <w:trPr>
          <w:trHeight w:val="165"/>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Mg</w:t>
            </w:r>
            <w:r w:rsidRPr="00FC1444">
              <w:rPr>
                <w:rFonts w:eastAsiaTheme="minorEastAsia"/>
                <w:szCs w:val="21"/>
                <w:vertAlign w:val="superscript"/>
              </w:rPr>
              <w:t>2+</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6.13</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4.86</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5.45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0.49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2A5A5E" w:rsidRPr="00FC1444">
        <w:trPr>
          <w:trHeight w:val="72"/>
          <w:jc w:val="center"/>
        </w:trPr>
        <w:tc>
          <w:tcPr>
            <w:tcW w:w="1710" w:type="dxa"/>
            <w:vAlign w:val="center"/>
          </w:tcPr>
          <w:p w:rsidR="002A5A5E" w:rsidRPr="00FC1444" w:rsidRDefault="00611CBA" w:rsidP="00431EAD">
            <w:pPr>
              <w:jc w:val="center"/>
              <w:rPr>
                <w:rFonts w:eastAsiaTheme="minorEastAsia"/>
                <w:szCs w:val="21"/>
              </w:rPr>
            </w:pPr>
            <w:r w:rsidRPr="00FC1444">
              <w:rPr>
                <w:rFonts w:eastAsiaTheme="minorEastAsia"/>
                <w:szCs w:val="21"/>
              </w:rPr>
              <w:t>CO</w:t>
            </w:r>
            <w:r w:rsidRPr="00FC1444">
              <w:rPr>
                <w:rFonts w:eastAsiaTheme="minorEastAsia"/>
                <w:szCs w:val="21"/>
                <w:vertAlign w:val="subscript"/>
              </w:rPr>
              <w:t>3</w:t>
            </w:r>
            <w:r w:rsidRPr="00FC1444">
              <w:rPr>
                <w:rFonts w:eastAsiaTheme="minorEastAsia"/>
                <w:szCs w:val="21"/>
                <w:vertAlign w:val="superscript"/>
              </w:rPr>
              <w:t>2-</w:t>
            </w:r>
          </w:p>
        </w:tc>
        <w:tc>
          <w:tcPr>
            <w:tcW w:w="1289" w:type="dxa"/>
            <w:vAlign w:val="center"/>
          </w:tcPr>
          <w:p w:rsidR="002A5A5E" w:rsidRPr="00FC1444" w:rsidRDefault="00611CBA" w:rsidP="00431EAD">
            <w:pPr>
              <w:contextualSpacing/>
              <w:jc w:val="center"/>
              <w:rPr>
                <w:rFonts w:eastAsiaTheme="minorEastAsia"/>
                <w:bCs/>
                <w:szCs w:val="21"/>
              </w:rPr>
            </w:pPr>
            <w:r w:rsidRPr="00FC1444">
              <w:rPr>
                <w:rFonts w:eastAsiaTheme="minorEastAsia"/>
                <w:bCs/>
                <w:szCs w:val="21"/>
              </w:rPr>
              <w:t>2.5</w:t>
            </w:r>
          </w:p>
        </w:tc>
        <w:tc>
          <w:tcPr>
            <w:tcW w:w="1173" w:type="dxa"/>
            <w:vAlign w:val="center"/>
          </w:tcPr>
          <w:p w:rsidR="002A5A5E" w:rsidRPr="00FC1444" w:rsidRDefault="00611CBA" w:rsidP="00431EAD">
            <w:pPr>
              <w:contextualSpacing/>
              <w:jc w:val="center"/>
              <w:rPr>
                <w:rFonts w:eastAsiaTheme="minorEastAsia"/>
                <w:bCs/>
                <w:szCs w:val="21"/>
              </w:rPr>
            </w:pPr>
            <w:r w:rsidRPr="00FC1444">
              <w:rPr>
                <w:rFonts w:eastAsiaTheme="minorEastAsia"/>
                <w:bCs/>
                <w:szCs w:val="21"/>
              </w:rPr>
              <w:t>2.5</w:t>
            </w:r>
          </w:p>
        </w:tc>
        <w:tc>
          <w:tcPr>
            <w:tcW w:w="1081" w:type="dxa"/>
            <w:vAlign w:val="center"/>
          </w:tcPr>
          <w:p w:rsidR="002A5A5E" w:rsidRPr="00FC1444" w:rsidRDefault="00611CBA" w:rsidP="00431EAD">
            <w:pPr>
              <w:contextualSpacing/>
              <w:jc w:val="center"/>
              <w:rPr>
                <w:rFonts w:eastAsiaTheme="minorEastAsia"/>
                <w:bCs/>
                <w:szCs w:val="21"/>
              </w:rPr>
            </w:pPr>
            <w:r w:rsidRPr="00FC1444">
              <w:rPr>
                <w:rFonts w:eastAsiaTheme="minorEastAsia"/>
                <w:bCs/>
                <w:szCs w:val="21"/>
              </w:rPr>
              <w:t>2.5</w:t>
            </w:r>
          </w:p>
        </w:tc>
        <w:tc>
          <w:tcPr>
            <w:tcW w:w="1121" w:type="dxa"/>
            <w:vAlign w:val="center"/>
          </w:tcPr>
          <w:p w:rsidR="002A5A5E" w:rsidRPr="00FC1444" w:rsidRDefault="00EF76D7" w:rsidP="00431EAD">
            <w:pPr>
              <w:contextualSpacing/>
              <w:jc w:val="center"/>
              <w:rPr>
                <w:rFonts w:eastAsiaTheme="minorEastAsia"/>
                <w:bCs/>
                <w:szCs w:val="21"/>
              </w:rPr>
            </w:pPr>
            <w:r w:rsidRPr="00FC1444">
              <w:rPr>
                <w:rFonts w:eastAsiaTheme="minorEastAsia"/>
                <w:bCs/>
                <w:szCs w:val="21"/>
              </w:rPr>
              <w:t>-</w:t>
            </w:r>
          </w:p>
        </w:tc>
        <w:tc>
          <w:tcPr>
            <w:tcW w:w="1028" w:type="dxa"/>
            <w:vAlign w:val="center"/>
          </w:tcPr>
          <w:p w:rsidR="002A5A5E" w:rsidRPr="00FC1444" w:rsidRDefault="00611CBA" w:rsidP="00431EAD">
            <w:pPr>
              <w:jc w:val="center"/>
              <w:rPr>
                <w:rFonts w:eastAsiaTheme="minorEastAsia"/>
                <w:bCs/>
                <w:szCs w:val="21"/>
              </w:rPr>
            </w:pPr>
            <w:r w:rsidRPr="00FC1444">
              <w:rPr>
                <w:rFonts w:eastAsiaTheme="minorEastAsia"/>
                <w:bCs/>
                <w:szCs w:val="21"/>
              </w:rPr>
              <w:t>0%</w:t>
            </w:r>
          </w:p>
        </w:tc>
        <w:tc>
          <w:tcPr>
            <w:tcW w:w="1407" w:type="dxa"/>
            <w:gridSpan w:val="2"/>
            <w:vAlign w:val="center"/>
          </w:tcPr>
          <w:p w:rsidR="002A5A5E" w:rsidRPr="00FC1444" w:rsidRDefault="00611CBA" w:rsidP="00431EAD">
            <w:pPr>
              <w:jc w:val="center"/>
              <w:rPr>
                <w:rFonts w:eastAsiaTheme="minorEastAsia"/>
                <w:szCs w:val="21"/>
              </w:rPr>
            </w:pPr>
            <w:r w:rsidRPr="00FC1444">
              <w:rPr>
                <w:rFonts w:eastAsiaTheme="minorEastAsia"/>
                <w:szCs w:val="21"/>
              </w:rPr>
              <w:t>0%</w:t>
            </w:r>
          </w:p>
        </w:tc>
      </w:tr>
      <w:tr w:rsidR="00EF76D7" w:rsidRPr="00FC1444" w:rsidTr="004E26F5">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HCO</w:t>
            </w:r>
            <w:r w:rsidRPr="00FC1444">
              <w:rPr>
                <w:rFonts w:eastAsiaTheme="minorEastAsia"/>
                <w:szCs w:val="21"/>
                <w:vertAlign w:val="subscript"/>
              </w:rPr>
              <w:t>3</w:t>
            </w:r>
            <w:r w:rsidRPr="00FC1444">
              <w:rPr>
                <w:rFonts w:eastAsiaTheme="minorEastAsia"/>
                <w:szCs w:val="21"/>
                <w:vertAlign w:val="superscript"/>
              </w:rPr>
              <w:t>-</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216</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75</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114.50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58.71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4E26F5">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Cl</w:t>
            </w:r>
            <w:r w:rsidRPr="00FC1444">
              <w:rPr>
                <w:rFonts w:eastAsiaTheme="minorEastAsia"/>
                <w:szCs w:val="21"/>
                <w:vertAlign w:val="superscript"/>
              </w:rPr>
              <w:t>-</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80.2</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19.5</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46.55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24.90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4E26F5">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SO</w:t>
            </w:r>
            <w:r w:rsidRPr="00FC1444">
              <w:rPr>
                <w:rFonts w:eastAsiaTheme="minorEastAsia"/>
                <w:szCs w:val="21"/>
                <w:vertAlign w:val="subscript"/>
              </w:rPr>
              <w:t>4</w:t>
            </w:r>
            <w:r w:rsidRPr="00FC1444">
              <w:rPr>
                <w:rFonts w:eastAsiaTheme="minorEastAsia"/>
                <w:szCs w:val="21"/>
                <w:vertAlign w:val="superscript"/>
              </w:rPr>
              <w:t>2-</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188</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8.12</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76.26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67.29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4E26F5">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pH</w:t>
            </w:r>
            <w:r w:rsidRPr="00FC1444">
              <w:rPr>
                <w:rFonts w:eastAsiaTheme="minorEastAsia"/>
                <w:szCs w:val="21"/>
              </w:rPr>
              <w:t>（无量纲）</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7.2</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6.8</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7.00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0.16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4E26F5">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氨氮</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0.462</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0.342</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0.40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0.04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2A5A5E" w:rsidRPr="00FC1444">
        <w:trPr>
          <w:trHeight w:val="72"/>
          <w:jc w:val="center"/>
        </w:trPr>
        <w:tc>
          <w:tcPr>
            <w:tcW w:w="1710" w:type="dxa"/>
            <w:vAlign w:val="center"/>
          </w:tcPr>
          <w:p w:rsidR="002A5A5E" w:rsidRPr="00FC1444" w:rsidRDefault="00611CBA" w:rsidP="00431EAD">
            <w:pPr>
              <w:jc w:val="center"/>
              <w:rPr>
                <w:rFonts w:eastAsiaTheme="minorEastAsia"/>
                <w:szCs w:val="21"/>
              </w:rPr>
            </w:pPr>
            <w:r w:rsidRPr="00FC1444">
              <w:rPr>
                <w:rFonts w:eastAsiaTheme="minorEastAsia"/>
                <w:szCs w:val="21"/>
              </w:rPr>
              <w:t>挥发酚</w:t>
            </w:r>
          </w:p>
        </w:tc>
        <w:tc>
          <w:tcPr>
            <w:tcW w:w="1289" w:type="dxa"/>
            <w:vAlign w:val="center"/>
          </w:tcPr>
          <w:p w:rsidR="002A5A5E" w:rsidRPr="00FC1444" w:rsidRDefault="00611CBA" w:rsidP="00431EAD">
            <w:pPr>
              <w:contextualSpacing/>
              <w:jc w:val="center"/>
              <w:rPr>
                <w:rFonts w:eastAsiaTheme="minorEastAsia"/>
                <w:bCs/>
                <w:szCs w:val="21"/>
              </w:rPr>
            </w:pPr>
            <w:r w:rsidRPr="00FC1444">
              <w:rPr>
                <w:rFonts w:eastAsiaTheme="minorEastAsia"/>
                <w:bCs/>
                <w:szCs w:val="21"/>
              </w:rPr>
              <w:t>0.00015</w:t>
            </w:r>
          </w:p>
        </w:tc>
        <w:tc>
          <w:tcPr>
            <w:tcW w:w="1173" w:type="dxa"/>
            <w:vAlign w:val="center"/>
          </w:tcPr>
          <w:p w:rsidR="002A5A5E" w:rsidRPr="00FC1444" w:rsidRDefault="00611CBA" w:rsidP="00431EAD">
            <w:pPr>
              <w:contextualSpacing/>
              <w:jc w:val="center"/>
              <w:rPr>
                <w:rFonts w:eastAsiaTheme="minorEastAsia"/>
                <w:bCs/>
                <w:szCs w:val="21"/>
              </w:rPr>
            </w:pPr>
            <w:r w:rsidRPr="00FC1444">
              <w:rPr>
                <w:rFonts w:eastAsiaTheme="minorEastAsia"/>
                <w:bCs/>
                <w:szCs w:val="21"/>
              </w:rPr>
              <w:t>0.00015</w:t>
            </w:r>
          </w:p>
        </w:tc>
        <w:tc>
          <w:tcPr>
            <w:tcW w:w="1081" w:type="dxa"/>
            <w:vAlign w:val="center"/>
          </w:tcPr>
          <w:p w:rsidR="002A5A5E" w:rsidRPr="00FC1444" w:rsidRDefault="00611CBA" w:rsidP="00431EAD">
            <w:pPr>
              <w:contextualSpacing/>
              <w:jc w:val="center"/>
              <w:rPr>
                <w:rFonts w:eastAsiaTheme="minorEastAsia"/>
                <w:bCs/>
                <w:szCs w:val="21"/>
              </w:rPr>
            </w:pPr>
            <w:r w:rsidRPr="00FC1444">
              <w:rPr>
                <w:rFonts w:eastAsiaTheme="minorEastAsia"/>
                <w:bCs/>
                <w:szCs w:val="21"/>
              </w:rPr>
              <w:t>0.00015</w:t>
            </w:r>
          </w:p>
        </w:tc>
        <w:tc>
          <w:tcPr>
            <w:tcW w:w="1121" w:type="dxa"/>
            <w:vAlign w:val="center"/>
          </w:tcPr>
          <w:p w:rsidR="002A5A5E" w:rsidRPr="00FC1444" w:rsidRDefault="00EF76D7" w:rsidP="00431EAD">
            <w:pPr>
              <w:contextualSpacing/>
              <w:jc w:val="center"/>
              <w:rPr>
                <w:rFonts w:eastAsiaTheme="minorEastAsia"/>
                <w:bCs/>
                <w:szCs w:val="21"/>
              </w:rPr>
            </w:pPr>
            <w:r w:rsidRPr="00FC1444">
              <w:rPr>
                <w:rFonts w:eastAsiaTheme="minorEastAsia"/>
                <w:bCs/>
                <w:szCs w:val="21"/>
              </w:rPr>
              <w:t>-</w:t>
            </w:r>
          </w:p>
        </w:tc>
        <w:tc>
          <w:tcPr>
            <w:tcW w:w="1028" w:type="dxa"/>
            <w:vAlign w:val="center"/>
          </w:tcPr>
          <w:p w:rsidR="002A5A5E" w:rsidRPr="00FC1444" w:rsidRDefault="00611CBA" w:rsidP="00431EAD">
            <w:pPr>
              <w:jc w:val="center"/>
              <w:rPr>
                <w:rFonts w:eastAsiaTheme="minorEastAsia"/>
                <w:bCs/>
                <w:szCs w:val="21"/>
              </w:rPr>
            </w:pPr>
            <w:r w:rsidRPr="00FC1444">
              <w:rPr>
                <w:rFonts w:eastAsiaTheme="minorEastAsia"/>
                <w:bCs/>
                <w:szCs w:val="21"/>
              </w:rPr>
              <w:t>0%</w:t>
            </w:r>
          </w:p>
        </w:tc>
        <w:tc>
          <w:tcPr>
            <w:tcW w:w="1407" w:type="dxa"/>
            <w:gridSpan w:val="2"/>
            <w:vAlign w:val="center"/>
          </w:tcPr>
          <w:p w:rsidR="002A5A5E" w:rsidRPr="00FC1444" w:rsidRDefault="00611CBA" w:rsidP="00431EAD">
            <w:pPr>
              <w:jc w:val="center"/>
              <w:rPr>
                <w:rFonts w:eastAsiaTheme="minorEastAsia"/>
                <w:szCs w:val="21"/>
              </w:rPr>
            </w:pPr>
            <w:r w:rsidRPr="00FC1444">
              <w:rPr>
                <w:rFonts w:eastAsiaTheme="minorEastAsia"/>
                <w:szCs w:val="21"/>
              </w:rPr>
              <w:t>0%</w:t>
            </w:r>
          </w:p>
        </w:tc>
      </w:tr>
      <w:tr w:rsidR="00EF76D7" w:rsidRPr="00FC1444" w:rsidTr="004E26F5">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硝酸盐</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0.35</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0.19</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0.26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0.07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6F5CC4">
        <w:trPr>
          <w:trHeight w:val="107"/>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亚硝酸盐</w:t>
            </w:r>
          </w:p>
        </w:tc>
        <w:tc>
          <w:tcPr>
            <w:tcW w:w="1289"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0.0015</w:t>
            </w:r>
          </w:p>
        </w:tc>
        <w:tc>
          <w:tcPr>
            <w:tcW w:w="1173"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0.0015</w:t>
            </w:r>
          </w:p>
        </w:tc>
        <w:tc>
          <w:tcPr>
            <w:tcW w:w="1081"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0.0015</w:t>
            </w:r>
          </w:p>
        </w:tc>
        <w:tc>
          <w:tcPr>
            <w:tcW w:w="1121" w:type="dxa"/>
            <w:vAlign w:val="center"/>
          </w:tcPr>
          <w:p w:rsidR="00EF76D7" w:rsidRPr="00FC1444" w:rsidRDefault="00EF76D7" w:rsidP="006F5CC4">
            <w:pPr>
              <w:contextualSpacing/>
              <w:jc w:val="center"/>
              <w:rPr>
                <w:rFonts w:eastAsiaTheme="minorEastAsia"/>
                <w:bCs/>
                <w:szCs w:val="21"/>
              </w:rPr>
            </w:pPr>
            <w:r w:rsidRPr="00FC1444">
              <w:rPr>
                <w:rFonts w:eastAsiaTheme="minorEastAsia"/>
                <w:bCs/>
                <w:szCs w:val="21"/>
              </w:rPr>
              <w:t>-</w:t>
            </w:r>
          </w:p>
        </w:tc>
        <w:tc>
          <w:tcPr>
            <w:tcW w:w="1028" w:type="dxa"/>
            <w:vAlign w:val="center"/>
          </w:tcPr>
          <w:p w:rsidR="00EF76D7" w:rsidRPr="00FC1444" w:rsidRDefault="00EF76D7" w:rsidP="00431EAD">
            <w:pPr>
              <w:jc w:val="center"/>
              <w:rPr>
                <w:rFonts w:eastAsiaTheme="minorEastAsia"/>
                <w:bCs/>
                <w:szCs w:val="21"/>
              </w:rPr>
            </w:pPr>
            <w:r w:rsidRPr="00FC1444">
              <w:rPr>
                <w:rFonts w:eastAsiaTheme="minorEastAsia"/>
                <w:bCs/>
                <w:szCs w:val="21"/>
              </w:rPr>
              <w:t>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6F5CC4">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氰化物</w:t>
            </w:r>
          </w:p>
        </w:tc>
        <w:tc>
          <w:tcPr>
            <w:tcW w:w="1289"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0.001</w:t>
            </w:r>
          </w:p>
        </w:tc>
        <w:tc>
          <w:tcPr>
            <w:tcW w:w="1173"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0.001</w:t>
            </w:r>
          </w:p>
        </w:tc>
        <w:tc>
          <w:tcPr>
            <w:tcW w:w="1081"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0.001</w:t>
            </w:r>
          </w:p>
        </w:tc>
        <w:tc>
          <w:tcPr>
            <w:tcW w:w="1121" w:type="dxa"/>
            <w:vAlign w:val="center"/>
          </w:tcPr>
          <w:p w:rsidR="00EF76D7" w:rsidRPr="00FC1444" w:rsidRDefault="00EF76D7" w:rsidP="006F5CC4">
            <w:pPr>
              <w:contextualSpacing/>
              <w:jc w:val="center"/>
              <w:rPr>
                <w:rFonts w:eastAsiaTheme="minorEastAsia"/>
                <w:bCs/>
                <w:szCs w:val="21"/>
              </w:rPr>
            </w:pPr>
            <w:r w:rsidRPr="00FC1444">
              <w:rPr>
                <w:rFonts w:eastAsiaTheme="minorEastAsia"/>
                <w:bCs/>
                <w:szCs w:val="21"/>
              </w:rPr>
              <w:t>-</w:t>
            </w:r>
          </w:p>
        </w:tc>
        <w:tc>
          <w:tcPr>
            <w:tcW w:w="1028" w:type="dxa"/>
            <w:vAlign w:val="center"/>
          </w:tcPr>
          <w:p w:rsidR="00EF76D7" w:rsidRPr="00FC1444" w:rsidRDefault="00EF76D7" w:rsidP="00431EAD">
            <w:pPr>
              <w:jc w:val="center"/>
              <w:rPr>
                <w:rFonts w:eastAsiaTheme="minorEastAsia"/>
                <w:bCs/>
                <w:szCs w:val="21"/>
              </w:rPr>
            </w:pPr>
            <w:r w:rsidRPr="00FC1444">
              <w:rPr>
                <w:rFonts w:eastAsiaTheme="minorEastAsia"/>
                <w:bCs/>
                <w:szCs w:val="21"/>
              </w:rPr>
              <w:t>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6F5CC4">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砷</w:t>
            </w:r>
          </w:p>
        </w:tc>
        <w:tc>
          <w:tcPr>
            <w:tcW w:w="1289"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0.00015</w:t>
            </w:r>
          </w:p>
        </w:tc>
        <w:tc>
          <w:tcPr>
            <w:tcW w:w="1173"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0.00015</w:t>
            </w:r>
          </w:p>
        </w:tc>
        <w:tc>
          <w:tcPr>
            <w:tcW w:w="1081"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0.00015</w:t>
            </w:r>
          </w:p>
        </w:tc>
        <w:tc>
          <w:tcPr>
            <w:tcW w:w="1121" w:type="dxa"/>
            <w:vAlign w:val="center"/>
          </w:tcPr>
          <w:p w:rsidR="00EF76D7" w:rsidRPr="00FC1444" w:rsidRDefault="00EF76D7" w:rsidP="006F5CC4">
            <w:pPr>
              <w:jc w:val="center"/>
              <w:rPr>
                <w:rFonts w:eastAsiaTheme="minorEastAsia"/>
                <w:bCs/>
                <w:szCs w:val="21"/>
              </w:rPr>
            </w:pPr>
            <w:r w:rsidRPr="00FC1444">
              <w:rPr>
                <w:rFonts w:eastAsiaTheme="minorEastAsia"/>
                <w:bCs/>
                <w:szCs w:val="21"/>
              </w:rPr>
              <w:t>-</w:t>
            </w:r>
          </w:p>
        </w:tc>
        <w:tc>
          <w:tcPr>
            <w:tcW w:w="1028" w:type="dxa"/>
            <w:vAlign w:val="center"/>
          </w:tcPr>
          <w:p w:rsidR="00EF76D7" w:rsidRPr="00FC1444" w:rsidRDefault="00EF76D7" w:rsidP="00431EAD">
            <w:pPr>
              <w:jc w:val="center"/>
              <w:rPr>
                <w:rFonts w:eastAsiaTheme="minorEastAsia"/>
                <w:bCs/>
                <w:szCs w:val="21"/>
              </w:rPr>
            </w:pPr>
            <w:r w:rsidRPr="00FC1444">
              <w:rPr>
                <w:rFonts w:eastAsiaTheme="minorEastAsia"/>
                <w:bCs/>
                <w:szCs w:val="21"/>
              </w:rPr>
              <w:t>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6F5CC4">
        <w:trPr>
          <w:trHeight w:val="72"/>
          <w:jc w:val="center"/>
        </w:trPr>
        <w:tc>
          <w:tcPr>
            <w:tcW w:w="1710" w:type="dxa"/>
            <w:tcBorders>
              <w:bottom w:val="single" w:sz="4" w:space="0" w:color="auto"/>
            </w:tcBorders>
            <w:vAlign w:val="center"/>
          </w:tcPr>
          <w:p w:rsidR="00EF76D7" w:rsidRPr="00FC1444" w:rsidRDefault="00EF76D7" w:rsidP="00431EAD">
            <w:pPr>
              <w:jc w:val="center"/>
              <w:rPr>
                <w:rFonts w:eastAsiaTheme="minorEastAsia"/>
                <w:szCs w:val="21"/>
              </w:rPr>
            </w:pPr>
            <w:r w:rsidRPr="00FC1444">
              <w:rPr>
                <w:rFonts w:eastAsiaTheme="minorEastAsia"/>
                <w:szCs w:val="21"/>
              </w:rPr>
              <w:t>汞</w:t>
            </w:r>
          </w:p>
        </w:tc>
        <w:tc>
          <w:tcPr>
            <w:tcW w:w="1289" w:type="dxa"/>
            <w:tcBorders>
              <w:bottom w:val="single" w:sz="4" w:space="0" w:color="auto"/>
            </w:tcBorders>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0.00002</w:t>
            </w:r>
          </w:p>
        </w:tc>
        <w:tc>
          <w:tcPr>
            <w:tcW w:w="1173" w:type="dxa"/>
            <w:tcBorders>
              <w:bottom w:val="single" w:sz="4" w:space="0" w:color="auto"/>
            </w:tcBorders>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0.00002</w:t>
            </w:r>
          </w:p>
        </w:tc>
        <w:tc>
          <w:tcPr>
            <w:tcW w:w="1081" w:type="dxa"/>
            <w:tcBorders>
              <w:bottom w:val="single" w:sz="4" w:space="0" w:color="auto"/>
            </w:tcBorders>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0.00002</w:t>
            </w:r>
          </w:p>
        </w:tc>
        <w:tc>
          <w:tcPr>
            <w:tcW w:w="1121" w:type="dxa"/>
            <w:tcBorders>
              <w:bottom w:val="single" w:sz="4" w:space="0" w:color="auto"/>
            </w:tcBorders>
          </w:tcPr>
          <w:p w:rsidR="00EF76D7" w:rsidRPr="00FC1444" w:rsidRDefault="00EF76D7" w:rsidP="00EF76D7">
            <w:pPr>
              <w:jc w:val="center"/>
              <w:rPr>
                <w:rFonts w:eastAsiaTheme="minorEastAsia"/>
                <w:bCs/>
                <w:szCs w:val="21"/>
              </w:rPr>
            </w:pPr>
            <w:r w:rsidRPr="00FC1444">
              <w:rPr>
                <w:rFonts w:eastAsiaTheme="minorEastAsia"/>
                <w:bCs/>
                <w:szCs w:val="21"/>
              </w:rPr>
              <w:t>-</w:t>
            </w:r>
          </w:p>
        </w:tc>
        <w:tc>
          <w:tcPr>
            <w:tcW w:w="1028" w:type="dxa"/>
            <w:tcBorders>
              <w:bottom w:val="single" w:sz="4" w:space="0" w:color="auto"/>
            </w:tcBorders>
            <w:vAlign w:val="center"/>
          </w:tcPr>
          <w:p w:rsidR="00EF76D7" w:rsidRPr="00FC1444" w:rsidRDefault="00EF76D7" w:rsidP="00431EAD">
            <w:pPr>
              <w:jc w:val="center"/>
              <w:rPr>
                <w:rFonts w:eastAsiaTheme="minorEastAsia"/>
                <w:bCs/>
                <w:szCs w:val="21"/>
              </w:rPr>
            </w:pPr>
            <w:r w:rsidRPr="00FC1444">
              <w:rPr>
                <w:rFonts w:eastAsiaTheme="minorEastAsia"/>
                <w:bCs/>
                <w:szCs w:val="21"/>
              </w:rPr>
              <w:t>0%</w:t>
            </w:r>
          </w:p>
        </w:tc>
        <w:tc>
          <w:tcPr>
            <w:tcW w:w="1407" w:type="dxa"/>
            <w:gridSpan w:val="2"/>
            <w:tcBorders>
              <w:bottom w:val="single" w:sz="4" w:space="0" w:color="auto"/>
            </w:tcBorders>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6F5CC4">
        <w:trPr>
          <w:trHeight w:val="72"/>
          <w:jc w:val="center"/>
        </w:trPr>
        <w:tc>
          <w:tcPr>
            <w:tcW w:w="1710" w:type="dxa"/>
            <w:tcBorders>
              <w:top w:val="single" w:sz="4" w:space="0" w:color="auto"/>
              <w:bottom w:val="single" w:sz="4" w:space="0" w:color="auto"/>
            </w:tcBorders>
            <w:vAlign w:val="center"/>
          </w:tcPr>
          <w:p w:rsidR="00EF76D7" w:rsidRPr="00FC1444" w:rsidRDefault="00EF76D7" w:rsidP="00431EAD">
            <w:pPr>
              <w:jc w:val="center"/>
              <w:rPr>
                <w:rFonts w:eastAsiaTheme="minorEastAsia"/>
                <w:szCs w:val="21"/>
              </w:rPr>
            </w:pPr>
            <w:r w:rsidRPr="00FC1444">
              <w:rPr>
                <w:rFonts w:eastAsiaTheme="minorEastAsia"/>
                <w:szCs w:val="21"/>
              </w:rPr>
              <w:t>六价铬</w:t>
            </w:r>
          </w:p>
        </w:tc>
        <w:tc>
          <w:tcPr>
            <w:tcW w:w="1289" w:type="dxa"/>
            <w:tcBorders>
              <w:top w:val="single" w:sz="4" w:space="0" w:color="auto"/>
              <w:bottom w:val="single" w:sz="4" w:space="0" w:color="auto"/>
            </w:tcBorders>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0.002</w:t>
            </w:r>
          </w:p>
        </w:tc>
        <w:tc>
          <w:tcPr>
            <w:tcW w:w="1173" w:type="dxa"/>
            <w:tcBorders>
              <w:top w:val="single" w:sz="4" w:space="0" w:color="auto"/>
              <w:bottom w:val="single" w:sz="4" w:space="0" w:color="auto"/>
            </w:tcBorders>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0.002</w:t>
            </w:r>
          </w:p>
        </w:tc>
        <w:tc>
          <w:tcPr>
            <w:tcW w:w="1081" w:type="dxa"/>
            <w:tcBorders>
              <w:top w:val="single" w:sz="4" w:space="0" w:color="auto"/>
              <w:bottom w:val="single" w:sz="4" w:space="0" w:color="auto"/>
            </w:tcBorders>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0.002</w:t>
            </w:r>
          </w:p>
        </w:tc>
        <w:tc>
          <w:tcPr>
            <w:tcW w:w="1121" w:type="dxa"/>
            <w:tcBorders>
              <w:top w:val="single" w:sz="4" w:space="0" w:color="auto"/>
              <w:bottom w:val="single" w:sz="4" w:space="0" w:color="auto"/>
            </w:tcBorders>
          </w:tcPr>
          <w:p w:rsidR="00EF76D7" w:rsidRPr="00FC1444" w:rsidRDefault="00EF76D7" w:rsidP="00EF76D7">
            <w:pPr>
              <w:jc w:val="center"/>
              <w:rPr>
                <w:rFonts w:eastAsiaTheme="minorEastAsia"/>
                <w:bCs/>
                <w:szCs w:val="21"/>
              </w:rPr>
            </w:pPr>
            <w:r w:rsidRPr="00FC1444">
              <w:rPr>
                <w:rFonts w:eastAsiaTheme="minorEastAsia"/>
                <w:bCs/>
                <w:szCs w:val="21"/>
              </w:rPr>
              <w:t>-</w:t>
            </w:r>
          </w:p>
        </w:tc>
        <w:tc>
          <w:tcPr>
            <w:tcW w:w="1028" w:type="dxa"/>
            <w:tcBorders>
              <w:top w:val="single" w:sz="4" w:space="0" w:color="auto"/>
              <w:bottom w:val="single" w:sz="4" w:space="0" w:color="auto"/>
            </w:tcBorders>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w:t>
            </w:r>
          </w:p>
        </w:tc>
        <w:tc>
          <w:tcPr>
            <w:tcW w:w="1407" w:type="dxa"/>
            <w:gridSpan w:val="2"/>
            <w:tcBorders>
              <w:top w:val="single" w:sz="4" w:space="0" w:color="auto"/>
              <w:bottom w:val="single" w:sz="4" w:space="0" w:color="auto"/>
            </w:tcBorders>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4E26F5">
        <w:trPr>
          <w:trHeight w:val="72"/>
          <w:jc w:val="center"/>
        </w:trPr>
        <w:tc>
          <w:tcPr>
            <w:tcW w:w="1710" w:type="dxa"/>
            <w:tcBorders>
              <w:top w:val="single" w:sz="4" w:space="0" w:color="auto"/>
              <w:bottom w:val="single" w:sz="4" w:space="0" w:color="auto"/>
              <w:right w:val="single" w:sz="4" w:space="0" w:color="auto"/>
            </w:tcBorders>
            <w:vAlign w:val="center"/>
          </w:tcPr>
          <w:p w:rsidR="00EF76D7" w:rsidRPr="00FC1444" w:rsidRDefault="00EF76D7" w:rsidP="00431EAD">
            <w:pPr>
              <w:jc w:val="center"/>
              <w:rPr>
                <w:rFonts w:eastAsiaTheme="minorEastAsia"/>
                <w:szCs w:val="21"/>
              </w:rPr>
            </w:pPr>
            <w:r w:rsidRPr="00FC1444">
              <w:rPr>
                <w:rFonts w:eastAsiaTheme="minorEastAsia"/>
                <w:szCs w:val="21"/>
              </w:rPr>
              <w:t>总硬度</w:t>
            </w:r>
          </w:p>
        </w:tc>
        <w:tc>
          <w:tcPr>
            <w:tcW w:w="1289" w:type="dxa"/>
            <w:tcBorders>
              <w:top w:val="single" w:sz="4" w:space="0" w:color="auto"/>
              <w:left w:val="single" w:sz="4" w:space="0" w:color="auto"/>
              <w:bottom w:val="single" w:sz="4" w:space="0" w:color="auto"/>
              <w:right w:val="single" w:sz="4" w:space="0" w:color="auto"/>
            </w:tcBorders>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142</w:t>
            </w:r>
          </w:p>
        </w:tc>
        <w:tc>
          <w:tcPr>
            <w:tcW w:w="1173" w:type="dxa"/>
            <w:tcBorders>
              <w:top w:val="single" w:sz="4" w:space="0" w:color="auto"/>
              <w:left w:val="single" w:sz="4" w:space="0" w:color="auto"/>
              <w:bottom w:val="single" w:sz="4" w:space="0" w:color="auto"/>
              <w:right w:val="single" w:sz="4" w:space="0" w:color="auto"/>
            </w:tcBorders>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116</w:t>
            </w:r>
          </w:p>
        </w:tc>
        <w:tc>
          <w:tcPr>
            <w:tcW w:w="1081" w:type="dxa"/>
            <w:tcBorders>
              <w:top w:val="single" w:sz="4" w:space="0" w:color="auto"/>
              <w:left w:val="single" w:sz="4" w:space="0" w:color="auto"/>
              <w:bottom w:val="single" w:sz="4" w:space="0" w:color="auto"/>
              <w:right w:val="single" w:sz="4" w:space="0" w:color="auto"/>
            </w:tcBorders>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129.00 </w:t>
            </w:r>
          </w:p>
        </w:tc>
        <w:tc>
          <w:tcPr>
            <w:tcW w:w="1121" w:type="dxa"/>
            <w:tcBorders>
              <w:top w:val="single" w:sz="4" w:space="0" w:color="auto"/>
              <w:left w:val="single" w:sz="4" w:space="0" w:color="auto"/>
              <w:bottom w:val="single" w:sz="4" w:space="0" w:color="auto"/>
              <w:right w:val="single" w:sz="4" w:space="0" w:color="auto"/>
            </w:tcBorders>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9.85 </w:t>
            </w:r>
          </w:p>
        </w:tc>
        <w:tc>
          <w:tcPr>
            <w:tcW w:w="1028" w:type="dxa"/>
            <w:tcBorders>
              <w:top w:val="single" w:sz="4" w:space="0" w:color="auto"/>
              <w:left w:val="single" w:sz="4" w:space="0" w:color="auto"/>
              <w:bottom w:val="single" w:sz="4" w:space="0" w:color="auto"/>
              <w:right w:val="single" w:sz="4" w:space="0" w:color="auto"/>
            </w:tcBorders>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tcBorders>
              <w:top w:val="single" w:sz="4" w:space="0" w:color="auto"/>
              <w:left w:val="single" w:sz="4" w:space="0" w:color="auto"/>
              <w:bottom w:val="single" w:sz="4" w:space="0" w:color="auto"/>
            </w:tcBorders>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trPr>
          <w:trHeight w:val="72"/>
          <w:jc w:val="center"/>
        </w:trPr>
        <w:tc>
          <w:tcPr>
            <w:tcW w:w="1710" w:type="dxa"/>
            <w:tcBorders>
              <w:top w:val="single" w:sz="4" w:space="0" w:color="auto"/>
            </w:tcBorders>
            <w:vAlign w:val="center"/>
          </w:tcPr>
          <w:p w:rsidR="00EF76D7" w:rsidRPr="00FC1444" w:rsidRDefault="00EF76D7" w:rsidP="00431EAD">
            <w:pPr>
              <w:jc w:val="center"/>
              <w:rPr>
                <w:rFonts w:eastAsiaTheme="minorEastAsia"/>
                <w:szCs w:val="21"/>
              </w:rPr>
            </w:pPr>
            <w:r w:rsidRPr="00FC1444">
              <w:rPr>
                <w:rFonts w:eastAsiaTheme="minorEastAsia"/>
                <w:szCs w:val="21"/>
              </w:rPr>
              <w:t>铅</w:t>
            </w:r>
          </w:p>
        </w:tc>
        <w:tc>
          <w:tcPr>
            <w:tcW w:w="1289" w:type="dxa"/>
            <w:tcBorders>
              <w:top w:val="single" w:sz="4" w:space="0" w:color="auto"/>
            </w:tcBorders>
            <w:vAlign w:val="center"/>
          </w:tcPr>
          <w:p w:rsidR="00EF76D7" w:rsidRPr="00FC1444" w:rsidRDefault="00EF76D7" w:rsidP="008360FB">
            <w:pPr>
              <w:contextualSpacing/>
              <w:jc w:val="center"/>
              <w:rPr>
                <w:rFonts w:eastAsiaTheme="minorEastAsia"/>
                <w:bCs/>
                <w:szCs w:val="21"/>
              </w:rPr>
            </w:pPr>
            <w:r w:rsidRPr="00FC1444">
              <w:rPr>
                <w:rFonts w:eastAsiaTheme="minorEastAsia"/>
                <w:bCs/>
                <w:szCs w:val="21"/>
              </w:rPr>
              <w:t>0.00</w:t>
            </w:r>
            <w:r w:rsidRPr="00FC1444">
              <w:rPr>
                <w:rFonts w:eastAsiaTheme="minorEastAsia" w:hint="eastAsia"/>
                <w:bCs/>
                <w:szCs w:val="21"/>
              </w:rPr>
              <w:t>062</w:t>
            </w:r>
          </w:p>
        </w:tc>
        <w:tc>
          <w:tcPr>
            <w:tcW w:w="1173" w:type="dxa"/>
            <w:tcBorders>
              <w:top w:val="single" w:sz="4" w:space="0" w:color="auto"/>
            </w:tcBorders>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w:t>
            </w:r>
            <w:r w:rsidRPr="00FC1444">
              <w:rPr>
                <w:rFonts w:eastAsiaTheme="minorEastAsia" w:hint="eastAsia"/>
                <w:bCs/>
                <w:szCs w:val="21"/>
              </w:rPr>
              <w:t>062</w:t>
            </w:r>
          </w:p>
        </w:tc>
        <w:tc>
          <w:tcPr>
            <w:tcW w:w="1081" w:type="dxa"/>
            <w:tcBorders>
              <w:top w:val="single" w:sz="4" w:space="0" w:color="auto"/>
            </w:tcBorders>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w:t>
            </w:r>
            <w:r w:rsidRPr="00FC1444">
              <w:rPr>
                <w:rFonts w:eastAsiaTheme="minorEastAsia" w:hint="eastAsia"/>
                <w:bCs/>
                <w:szCs w:val="21"/>
              </w:rPr>
              <w:t>062</w:t>
            </w:r>
          </w:p>
        </w:tc>
        <w:tc>
          <w:tcPr>
            <w:tcW w:w="1121" w:type="dxa"/>
            <w:tcBorders>
              <w:top w:val="single" w:sz="4" w:space="0" w:color="auto"/>
            </w:tcBorders>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w:t>
            </w:r>
          </w:p>
        </w:tc>
        <w:tc>
          <w:tcPr>
            <w:tcW w:w="1028" w:type="dxa"/>
            <w:tcBorders>
              <w:top w:val="single" w:sz="4" w:space="0" w:color="auto"/>
            </w:tcBorders>
            <w:vAlign w:val="center"/>
          </w:tcPr>
          <w:p w:rsidR="00EF76D7" w:rsidRPr="00FC1444" w:rsidRDefault="00EF76D7" w:rsidP="00431EAD">
            <w:pPr>
              <w:jc w:val="center"/>
              <w:rPr>
                <w:rFonts w:eastAsiaTheme="minorEastAsia"/>
                <w:bCs/>
                <w:szCs w:val="21"/>
              </w:rPr>
            </w:pPr>
            <w:r w:rsidRPr="00FC1444">
              <w:rPr>
                <w:rFonts w:eastAsiaTheme="minorEastAsia"/>
                <w:bCs/>
                <w:szCs w:val="21"/>
              </w:rPr>
              <w:t>0%</w:t>
            </w:r>
          </w:p>
        </w:tc>
        <w:tc>
          <w:tcPr>
            <w:tcW w:w="1407" w:type="dxa"/>
            <w:gridSpan w:val="2"/>
            <w:tcBorders>
              <w:top w:val="single" w:sz="4" w:space="0" w:color="auto"/>
            </w:tcBorders>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氟化物</w:t>
            </w:r>
          </w:p>
        </w:tc>
        <w:tc>
          <w:tcPr>
            <w:tcW w:w="1289"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0.01</w:t>
            </w:r>
          </w:p>
        </w:tc>
        <w:tc>
          <w:tcPr>
            <w:tcW w:w="1173"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0.01</w:t>
            </w:r>
          </w:p>
        </w:tc>
        <w:tc>
          <w:tcPr>
            <w:tcW w:w="1081"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0.01</w:t>
            </w:r>
          </w:p>
        </w:tc>
        <w:tc>
          <w:tcPr>
            <w:tcW w:w="1121"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w:t>
            </w:r>
          </w:p>
        </w:tc>
        <w:tc>
          <w:tcPr>
            <w:tcW w:w="1028" w:type="dxa"/>
            <w:vAlign w:val="center"/>
          </w:tcPr>
          <w:p w:rsidR="00EF76D7" w:rsidRPr="00FC1444" w:rsidRDefault="00EF76D7" w:rsidP="00431EAD">
            <w:pPr>
              <w:jc w:val="center"/>
              <w:rPr>
                <w:rFonts w:eastAsiaTheme="minorEastAsia"/>
                <w:bCs/>
                <w:szCs w:val="21"/>
              </w:rPr>
            </w:pPr>
            <w:r w:rsidRPr="00FC1444">
              <w:rPr>
                <w:rFonts w:eastAsiaTheme="minorEastAsia"/>
                <w:bCs/>
                <w:szCs w:val="21"/>
              </w:rPr>
              <w:t>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镉</w:t>
            </w:r>
          </w:p>
        </w:tc>
        <w:tc>
          <w:tcPr>
            <w:tcW w:w="1289" w:type="dxa"/>
            <w:vAlign w:val="center"/>
          </w:tcPr>
          <w:p w:rsidR="00EF76D7" w:rsidRPr="00FC1444" w:rsidRDefault="00EF76D7" w:rsidP="008360FB">
            <w:pPr>
              <w:contextualSpacing/>
              <w:jc w:val="center"/>
              <w:rPr>
                <w:rFonts w:eastAsiaTheme="minorEastAsia"/>
                <w:bCs/>
                <w:szCs w:val="21"/>
              </w:rPr>
            </w:pPr>
            <w:r w:rsidRPr="00FC1444">
              <w:rPr>
                <w:rFonts w:eastAsiaTheme="minorEastAsia"/>
                <w:bCs/>
                <w:szCs w:val="21"/>
              </w:rPr>
              <w:t>0.000</w:t>
            </w:r>
            <w:r w:rsidRPr="00FC1444">
              <w:rPr>
                <w:rFonts w:eastAsiaTheme="minorEastAsia" w:hint="eastAsia"/>
                <w:bCs/>
                <w:szCs w:val="21"/>
              </w:rPr>
              <w:t>085</w:t>
            </w:r>
          </w:p>
        </w:tc>
        <w:tc>
          <w:tcPr>
            <w:tcW w:w="1173"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0.000</w:t>
            </w:r>
            <w:r w:rsidRPr="00FC1444">
              <w:rPr>
                <w:rFonts w:eastAsiaTheme="minorEastAsia" w:hint="eastAsia"/>
                <w:bCs/>
                <w:szCs w:val="21"/>
              </w:rPr>
              <w:t>085</w:t>
            </w:r>
          </w:p>
        </w:tc>
        <w:tc>
          <w:tcPr>
            <w:tcW w:w="1081"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0.000</w:t>
            </w:r>
            <w:r w:rsidRPr="00FC1444">
              <w:rPr>
                <w:rFonts w:eastAsiaTheme="minorEastAsia" w:hint="eastAsia"/>
                <w:bCs/>
                <w:szCs w:val="21"/>
              </w:rPr>
              <w:t>085</w:t>
            </w:r>
          </w:p>
        </w:tc>
        <w:tc>
          <w:tcPr>
            <w:tcW w:w="1121" w:type="dxa"/>
            <w:vAlign w:val="center"/>
          </w:tcPr>
          <w:p w:rsidR="00EF76D7" w:rsidRPr="00FC1444" w:rsidRDefault="00EF76D7" w:rsidP="00431EAD">
            <w:pPr>
              <w:jc w:val="center"/>
              <w:rPr>
                <w:rFonts w:eastAsiaTheme="minorEastAsia"/>
                <w:bCs/>
                <w:szCs w:val="21"/>
              </w:rPr>
            </w:pPr>
            <w:r w:rsidRPr="00FC1444">
              <w:rPr>
                <w:rFonts w:eastAsiaTheme="minorEastAsia"/>
                <w:bCs/>
                <w:szCs w:val="21"/>
              </w:rPr>
              <w:t>-</w:t>
            </w:r>
          </w:p>
        </w:tc>
        <w:tc>
          <w:tcPr>
            <w:tcW w:w="1028" w:type="dxa"/>
            <w:vAlign w:val="center"/>
          </w:tcPr>
          <w:p w:rsidR="00EF76D7" w:rsidRPr="00FC1444" w:rsidRDefault="00EF76D7" w:rsidP="00431EAD">
            <w:pPr>
              <w:jc w:val="center"/>
              <w:rPr>
                <w:rFonts w:eastAsiaTheme="minorEastAsia"/>
                <w:bCs/>
                <w:szCs w:val="21"/>
              </w:rPr>
            </w:pPr>
            <w:r w:rsidRPr="00FC1444">
              <w:rPr>
                <w:rFonts w:eastAsiaTheme="minorEastAsia"/>
                <w:bCs/>
                <w:szCs w:val="21"/>
              </w:rPr>
              <w:t>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4E26F5">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溶解性总固体</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285</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234</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258.25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18.57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4E26F5">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硫酸盐</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192</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10</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78.75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68.16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rsidTr="004E26F5">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氯化物</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78</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20</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44.50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23.85 </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100%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总大肠菌群数</w:t>
            </w:r>
          </w:p>
        </w:tc>
        <w:tc>
          <w:tcPr>
            <w:tcW w:w="1289"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w:t>
            </w:r>
            <w:r w:rsidRPr="00FC1444">
              <w:rPr>
                <w:rFonts w:eastAsiaTheme="minorEastAsia"/>
                <w:bCs/>
                <w:szCs w:val="21"/>
              </w:rPr>
              <w:t>2</w:t>
            </w:r>
          </w:p>
        </w:tc>
        <w:tc>
          <w:tcPr>
            <w:tcW w:w="1173"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w:t>
            </w:r>
            <w:r w:rsidRPr="00FC1444">
              <w:rPr>
                <w:rFonts w:eastAsiaTheme="minorEastAsia"/>
                <w:bCs/>
                <w:szCs w:val="21"/>
              </w:rPr>
              <w:t>2</w:t>
            </w:r>
          </w:p>
        </w:tc>
        <w:tc>
          <w:tcPr>
            <w:tcW w:w="1081"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w:t>
            </w:r>
            <w:r w:rsidRPr="00FC1444">
              <w:rPr>
                <w:rFonts w:eastAsiaTheme="minorEastAsia"/>
                <w:bCs/>
                <w:szCs w:val="21"/>
              </w:rPr>
              <w:t>2</w:t>
            </w:r>
          </w:p>
        </w:tc>
        <w:tc>
          <w:tcPr>
            <w:tcW w:w="1121"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w:t>
            </w:r>
          </w:p>
        </w:tc>
        <w:tc>
          <w:tcPr>
            <w:tcW w:w="1028" w:type="dxa"/>
            <w:vAlign w:val="center"/>
          </w:tcPr>
          <w:p w:rsidR="00EF76D7" w:rsidRPr="00FC1444" w:rsidRDefault="00EF76D7" w:rsidP="00431EAD">
            <w:pPr>
              <w:jc w:val="center"/>
              <w:rPr>
                <w:rFonts w:eastAsiaTheme="minorEastAsia"/>
                <w:bCs/>
                <w:szCs w:val="21"/>
              </w:rPr>
            </w:pPr>
            <w:r w:rsidRPr="00FC1444">
              <w:rPr>
                <w:rFonts w:eastAsiaTheme="minorEastAsia"/>
                <w:bCs/>
                <w:szCs w:val="21"/>
              </w:rPr>
              <w:t>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r w:rsidR="00EF76D7" w:rsidRPr="00FC1444">
        <w:trPr>
          <w:trHeight w:val="72"/>
          <w:jc w:val="center"/>
        </w:trPr>
        <w:tc>
          <w:tcPr>
            <w:tcW w:w="1710" w:type="dxa"/>
            <w:vAlign w:val="center"/>
          </w:tcPr>
          <w:p w:rsidR="00EF76D7" w:rsidRPr="00FC1444" w:rsidRDefault="00EF76D7" w:rsidP="00431EAD">
            <w:pPr>
              <w:jc w:val="center"/>
              <w:rPr>
                <w:rFonts w:eastAsiaTheme="minorEastAsia"/>
                <w:szCs w:val="21"/>
              </w:rPr>
            </w:pPr>
            <w:r w:rsidRPr="00FC1444">
              <w:rPr>
                <w:rFonts w:eastAsiaTheme="minorEastAsia"/>
                <w:szCs w:val="21"/>
              </w:rPr>
              <w:t>菌落总数</w:t>
            </w:r>
          </w:p>
        </w:tc>
        <w:tc>
          <w:tcPr>
            <w:tcW w:w="1289"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未检出</w:t>
            </w:r>
          </w:p>
        </w:tc>
        <w:tc>
          <w:tcPr>
            <w:tcW w:w="1173"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未检出</w:t>
            </w:r>
          </w:p>
        </w:tc>
        <w:tc>
          <w:tcPr>
            <w:tcW w:w="1081"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未检出</w:t>
            </w:r>
          </w:p>
        </w:tc>
        <w:tc>
          <w:tcPr>
            <w:tcW w:w="1121"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w:t>
            </w:r>
          </w:p>
        </w:tc>
        <w:tc>
          <w:tcPr>
            <w:tcW w:w="1028" w:type="dxa"/>
            <w:vAlign w:val="center"/>
          </w:tcPr>
          <w:p w:rsidR="00EF76D7" w:rsidRPr="00FC1444" w:rsidRDefault="00EF76D7" w:rsidP="00431EAD">
            <w:pPr>
              <w:contextualSpacing/>
              <w:jc w:val="center"/>
              <w:rPr>
                <w:rFonts w:eastAsiaTheme="minorEastAsia"/>
                <w:bCs/>
                <w:szCs w:val="21"/>
              </w:rPr>
            </w:pPr>
            <w:r w:rsidRPr="00FC1444">
              <w:rPr>
                <w:rFonts w:eastAsiaTheme="minorEastAsia"/>
                <w:bCs/>
                <w:szCs w:val="21"/>
              </w:rPr>
              <w:t>0%</w:t>
            </w:r>
          </w:p>
        </w:tc>
        <w:tc>
          <w:tcPr>
            <w:tcW w:w="1407" w:type="dxa"/>
            <w:gridSpan w:val="2"/>
            <w:vAlign w:val="center"/>
          </w:tcPr>
          <w:p w:rsidR="00EF76D7" w:rsidRPr="00FC1444" w:rsidRDefault="00EF76D7" w:rsidP="00431EAD">
            <w:pPr>
              <w:jc w:val="center"/>
              <w:rPr>
                <w:rFonts w:eastAsiaTheme="minorEastAsia"/>
                <w:szCs w:val="21"/>
              </w:rPr>
            </w:pPr>
            <w:r w:rsidRPr="00FC1444">
              <w:rPr>
                <w:rFonts w:eastAsiaTheme="minorEastAsia"/>
                <w:szCs w:val="21"/>
              </w:rPr>
              <w:t>0%</w:t>
            </w:r>
          </w:p>
        </w:tc>
      </w:tr>
    </w:tbl>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4-2-</w:t>
      </w:r>
      <w:r w:rsidR="00F90B8B" w:rsidRPr="00FC1444">
        <w:rPr>
          <w:rFonts w:eastAsiaTheme="minorEastAsia" w:hint="eastAsia"/>
          <w:b/>
          <w:kern w:val="0"/>
          <w:szCs w:val="21"/>
        </w:rPr>
        <w:t>8</w:t>
      </w:r>
      <w:r w:rsidRPr="00FC1444">
        <w:rPr>
          <w:rFonts w:eastAsiaTheme="minorEastAsia"/>
          <w:b/>
          <w:kern w:val="0"/>
          <w:szCs w:val="21"/>
        </w:rPr>
        <w:t xml:space="preserve"> </w:t>
      </w:r>
      <w:r w:rsidRPr="00FC1444">
        <w:rPr>
          <w:rFonts w:eastAsiaTheme="minorEastAsia"/>
          <w:b/>
          <w:kern w:val="0"/>
          <w:szCs w:val="21"/>
        </w:rPr>
        <w:t>地下水水质现状评价因子统计结果</w:t>
      </w:r>
    </w:p>
    <w:tbl>
      <w:tblPr>
        <w:tblW w:w="8809" w:type="dxa"/>
        <w:jc w:val="center"/>
        <w:tblBorders>
          <w:top w:val="single" w:sz="12" w:space="0" w:color="auto"/>
          <w:bottom w:val="single" w:sz="12" w:space="0" w:color="auto"/>
          <w:insideH w:val="single" w:sz="4" w:space="0" w:color="auto"/>
          <w:insideV w:val="single" w:sz="4" w:space="0" w:color="auto"/>
        </w:tblBorders>
        <w:tblLook w:val="04A0"/>
      </w:tblPr>
      <w:tblGrid>
        <w:gridCol w:w="1710"/>
        <w:gridCol w:w="1289"/>
        <w:gridCol w:w="1173"/>
        <w:gridCol w:w="1081"/>
        <w:gridCol w:w="1121"/>
        <w:gridCol w:w="1028"/>
        <w:gridCol w:w="1407"/>
      </w:tblGrid>
      <w:tr w:rsidR="00994519" w:rsidRPr="00FC1444" w:rsidTr="004E26F5">
        <w:trPr>
          <w:trHeight w:val="72"/>
          <w:jc w:val="center"/>
        </w:trPr>
        <w:tc>
          <w:tcPr>
            <w:tcW w:w="1710" w:type="dxa"/>
            <w:vAlign w:val="center"/>
          </w:tcPr>
          <w:p w:rsidR="00994519" w:rsidRPr="00FC1444" w:rsidRDefault="00994519" w:rsidP="00994519">
            <w:pPr>
              <w:contextualSpacing/>
              <w:jc w:val="center"/>
              <w:rPr>
                <w:rFonts w:eastAsiaTheme="minorEastAsia"/>
                <w:bCs/>
                <w:szCs w:val="21"/>
              </w:rPr>
            </w:pPr>
            <w:r w:rsidRPr="00FC1444">
              <w:rPr>
                <w:rFonts w:eastAsiaTheme="minorEastAsia"/>
                <w:bCs/>
                <w:szCs w:val="21"/>
              </w:rPr>
              <w:t>铁</w:t>
            </w:r>
          </w:p>
        </w:tc>
        <w:tc>
          <w:tcPr>
            <w:tcW w:w="1289" w:type="dxa"/>
            <w:vAlign w:val="bottom"/>
          </w:tcPr>
          <w:p w:rsidR="00994519" w:rsidRPr="00FC1444" w:rsidRDefault="00994519" w:rsidP="00994519">
            <w:pPr>
              <w:contextualSpacing/>
              <w:jc w:val="center"/>
              <w:rPr>
                <w:rFonts w:eastAsiaTheme="minorEastAsia"/>
                <w:bCs/>
                <w:szCs w:val="21"/>
              </w:rPr>
            </w:pPr>
            <w:r w:rsidRPr="00FC1444">
              <w:rPr>
                <w:rFonts w:eastAsiaTheme="minorEastAsia" w:hint="eastAsia"/>
                <w:bCs/>
                <w:szCs w:val="21"/>
              </w:rPr>
              <w:t>0.71</w:t>
            </w:r>
          </w:p>
        </w:tc>
        <w:tc>
          <w:tcPr>
            <w:tcW w:w="1173" w:type="dxa"/>
            <w:vAlign w:val="bottom"/>
          </w:tcPr>
          <w:p w:rsidR="00994519" w:rsidRPr="00FC1444" w:rsidRDefault="00994519" w:rsidP="00994519">
            <w:pPr>
              <w:contextualSpacing/>
              <w:jc w:val="center"/>
              <w:rPr>
                <w:rFonts w:eastAsiaTheme="minorEastAsia"/>
                <w:bCs/>
                <w:szCs w:val="21"/>
              </w:rPr>
            </w:pPr>
            <w:r w:rsidRPr="00FC1444">
              <w:rPr>
                <w:rFonts w:eastAsiaTheme="minorEastAsia" w:hint="eastAsia"/>
                <w:bCs/>
                <w:szCs w:val="21"/>
              </w:rPr>
              <w:t>0.47</w:t>
            </w:r>
          </w:p>
        </w:tc>
        <w:tc>
          <w:tcPr>
            <w:tcW w:w="1081" w:type="dxa"/>
            <w:vAlign w:val="bottom"/>
          </w:tcPr>
          <w:p w:rsidR="00994519" w:rsidRPr="00FC1444" w:rsidRDefault="00994519" w:rsidP="00994519">
            <w:pPr>
              <w:contextualSpacing/>
              <w:jc w:val="center"/>
              <w:rPr>
                <w:rFonts w:eastAsiaTheme="minorEastAsia"/>
                <w:bCs/>
                <w:szCs w:val="21"/>
              </w:rPr>
            </w:pPr>
            <w:r w:rsidRPr="00FC1444">
              <w:rPr>
                <w:rFonts w:eastAsiaTheme="minorEastAsia" w:hint="eastAsia"/>
                <w:bCs/>
                <w:szCs w:val="21"/>
              </w:rPr>
              <w:t>0.57</w:t>
            </w:r>
          </w:p>
        </w:tc>
        <w:tc>
          <w:tcPr>
            <w:tcW w:w="1121" w:type="dxa"/>
            <w:vAlign w:val="bottom"/>
          </w:tcPr>
          <w:p w:rsidR="00994519" w:rsidRPr="00FC1444" w:rsidRDefault="00994519" w:rsidP="00994519">
            <w:pPr>
              <w:contextualSpacing/>
              <w:jc w:val="center"/>
              <w:rPr>
                <w:rFonts w:eastAsiaTheme="minorEastAsia"/>
                <w:bCs/>
                <w:szCs w:val="21"/>
              </w:rPr>
            </w:pPr>
            <w:r w:rsidRPr="00FC1444">
              <w:rPr>
                <w:rFonts w:eastAsiaTheme="minorEastAsia" w:hint="eastAsia"/>
                <w:bCs/>
                <w:szCs w:val="21"/>
              </w:rPr>
              <w:t>0.09</w:t>
            </w:r>
          </w:p>
        </w:tc>
        <w:tc>
          <w:tcPr>
            <w:tcW w:w="1028" w:type="dxa"/>
            <w:vAlign w:val="center"/>
          </w:tcPr>
          <w:p w:rsidR="00994519" w:rsidRPr="00FC1444" w:rsidRDefault="00994519" w:rsidP="00994519">
            <w:pPr>
              <w:contextualSpacing/>
              <w:jc w:val="center"/>
              <w:rPr>
                <w:rFonts w:eastAsiaTheme="minorEastAsia"/>
                <w:bCs/>
                <w:szCs w:val="21"/>
              </w:rPr>
            </w:pPr>
            <w:r w:rsidRPr="00FC1444">
              <w:rPr>
                <w:rFonts w:eastAsiaTheme="minorEastAsia"/>
                <w:bCs/>
                <w:szCs w:val="21"/>
              </w:rPr>
              <w:t>100%</w:t>
            </w:r>
          </w:p>
        </w:tc>
        <w:tc>
          <w:tcPr>
            <w:tcW w:w="1407" w:type="dxa"/>
            <w:vAlign w:val="center"/>
          </w:tcPr>
          <w:p w:rsidR="00994519" w:rsidRPr="00FC1444" w:rsidRDefault="00994519" w:rsidP="00994519">
            <w:pPr>
              <w:contextualSpacing/>
              <w:jc w:val="center"/>
              <w:rPr>
                <w:rFonts w:eastAsiaTheme="minorEastAsia"/>
                <w:bCs/>
                <w:szCs w:val="21"/>
              </w:rPr>
            </w:pPr>
            <w:r w:rsidRPr="00FC1444">
              <w:rPr>
                <w:rFonts w:eastAsiaTheme="minorEastAsia" w:hint="eastAsia"/>
                <w:bCs/>
                <w:szCs w:val="21"/>
              </w:rPr>
              <w:t>10</w:t>
            </w:r>
            <w:r w:rsidRPr="00FC1444">
              <w:rPr>
                <w:rFonts w:eastAsiaTheme="minorEastAsia"/>
                <w:bCs/>
                <w:szCs w:val="21"/>
              </w:rPr>
              <w:t>0%</w:t>
            </w:r>
          </w:p>
        </w:tc>
      </w:tr>
      <w:tr w:rsidR="00994519" w:rsidRPr="00FC1444" w:rsidTr="004E26F5">
        <w:trPr>
          <w:trHeight w:val="72"/>
          <w:jc w:val="center"/>
        </w:trPr>
        <w:tc>
          <w:tcPr>
            <w:tcW w:w="1710" w:type="dxa"/>
            <w:vAlign w:val="center"/>
          </w:tcPr>
          <w:p w:rsidR="00994519" w:rsidRPr="00FC1444" w:rsidRDefault="00994519" w:rsidP="00994519">
            <w:pPr>
              <w:contextualSpacing/>
              <w:jc w:val="center"/>
              <w:rPr>
                <w:rFonts w:eastAsiaTheme="minorEastAsia"/>
                <w:bCs/>
                <w:szCs w:val="21"/>
              </w:rPr>
            </w:pPr>
            <w:r w:rsidRPr="00FC1444">
              <w:rPr>
                <w:rFonts w:eastAsiaTheme="minorEastAsia"/>
                <w:bCs/>
                <w:szCs w:val="21"/>
              </w:rPr>
              <w:t>锰</w:t>
            </w:r>
          </w:p>
        </w:tc>
        <w:tc>
          <w:tcPr>
            <w:tcW w:w="1289" w:type="dxa"/>
            <w:vAlign w:val="bottom"/>
          </w:tcPr>
          <w:p w:rsidR="00994519" w:rsidRPr="00FC1444" w:rsidRDefault="00994519" w:rsidP="00994519">
            <w:pPr>
              <w:contextualSpacing/>
              <w:jc w:val="center"/>
              <w:rPr>
                <w:rFonts w:eastAsiaTheme="minorEastAsia"/>
                <w:bCs/>
                <w:szCs w:val="21"/>
              </w:rPr>
            </w:pPr>
            <w:r w:rsidRPr="00FC1444">
              <w:rPr>
                <w:rFonts w:eastAsiaTheme="minorEastAsia" w:hint="eastAsia"/>
                <w:bCs/>
                <w:szCs w:val="21"/>
              </w:rPr>
              <w:t>0.88</w:t>
            </w:r>
          </w:p>
        </w:tc>
        <w:tc>
          <w:tcPr>
            <w:tcW w:w="1173" w:type="dxa"/>
            <w:vAlign w:val="bottom"/>
          </w:tcPr>
          <w:p w:rsidR="00994519" w:rsidRPr="00FC1444" w:rsidRDefault="00994519" w:rsidP="00994519">
            <w:pPr>
              <w:contextualSpacing/>
              <w:jc w:val="center"/>
              <w:rPr>
                <w:rFonts w:eastAsiaTheme="minorEastAsia"/>
                <w:bCs/>
                <w:szCs w:val="21"/>
              </w:rPr>
            </w:pPr>
            <w:r w:rsidRPr="00FC1444">
              <w:rPr>
                <w:rFonts w:eastAsiaTheme="minorEastAsia" w:hint="eastAsia"/>
                <w:bCs/>
                <w:szCs w:val="21"/>
              </w:rPr>
              <w:t>0.78</w:t>
            </w:r>
          </w:p>
        </w:tc>
        <w:tc>
          <w:tcPr>
            <w:tcW w:w="1081" w:type="dxa"/>
            <w:vAlign w:val="bottom"/>
          </w:tcPr>
          <w:p w:rsidR="00994519" w:rsidRPr="00FC1444" w:rsidRDefault="00994519" w:rsidP="00994519">
            <w:pPr>
              <w:contextualSpacing/>
              <w:jc w:val="center"/>
              <w:rPr>
                <w:rFonts w:eastAsiaTheme="minorEastAsia"/>
                <w:bCs/>
                <w:szCs w:val="21"/>
              </w:rPr>
            </w:pPr>
            <w:r w:rsidRPr="00FC1444">
              <w:rPr>
                <w:rFonts w:eastAsiaTheme="minorEastAsia" w:hint="eastAsia"/>
                <w:bCs/>
                <w:szCs w:val="21"/>
              </w:rPr>
              <w:t>0.83</w:t>
            </w:r>
          </w:p>
        </w:tc>
        <w:tc>
          <w:tcPr>
            <w:tcW w:w="1121" w:type="dxa"/>
            <w:vAlign w:val="bottom"/>
          </w:tcPr>
          <w:p w:rsidR="00994519" w:rsidRPr="00FC1444" w:rsidRDefault="00994519" w:rsidP="00994519">
            <w:pPr>
              <w:contextualSpacing/>
              <w:jc w:val="center"/>
              <w:rPr>
                <w:rFonts w:eastAsiaTheme="minorEastAsia"/>
                <w:bCs/>
                <w:szCs w:val="21"/>
              </w:rPr>
            </w:pPr>
            <w:r w:rsidRPr="00FC1444">
              <w:rPr>
                <w:rFonts w:eastAsiaTheme="minorEastAsia" w:hint="eastAsia"/>
                <w:bCs/>
                <w:szCs w:val="21"/>
              </w:rPr>
              <w:t>0.04</w:t>
            </w:r>
          </w:p>
        </w:tc>
        <w:tc>
          <w:tcPr>
            <w:tcW w:w="1028" w:type="dxa"/>
            <w:vAlign w:val="center"/>
          </w:tcPr>
          <w:p w:rsidR="00994519" w:rsidRPr="00FC1444" w:rsidRDefault="00994519" w:rsidP="00994519">
            <w:pPr>
              <w:contextualSpacing/>
              <w:jc w:val="center"/>
              <w:rPr>
                <w:rFonts w:eastAsiaTheme="minorEastAsia"/>
                <w:bCs/>
                <w:szCs w:val="21"/>
              </w:rPr>
            </w:pPr>
            <w:r w:rsidRPr="00FC1444">
              <w:rPr>
                <w:rFonts w:eastAsiaTheme="minorEastAsia"/>
                <w:bCs/>
                <w:szCs w:val="21"/>
              </w:rPr>
              <w:t>100%</w:t>
            </w:r>
          </w:p>
        </w:tc>
        <w:tc>
          <w:tcPr>
            <w:tcW w:w="1407" w:type="dxa"/>
            <w:vAlign w:val="center"/>
          </w:tcPr>
          <w:p w:rsidR="00994519" w:rsidRPr="00FC1444" w:rsidRDefault="00994519" w:rsidP="00994519">
            <w:pPr>
              <w:contextualSpacing/>
              <w:jc w:val="center"/>
              <w:rPr>
                <w:rFonts w:eastAsiaTheme="minorEastAsia"/>
                <w:bCs/>
                <w:szCs w:val="21"/>
              </w:rPr>
            </w:pPr>
            <w:r w:rsidRPr="00FC1444">
              <w:rPr>
                <w:rFonts w:eastAsiaTheme="minorEastAsia"/>
                <w:bCs/>
                <w:szCs w:val="21"/>
              </w:rPr>
              <w:t>100%</w:t>
            </w:r>
          </w:p>
        </w:tc>
      </w:tr>
      <w:tr w:rsidR="00EF76D7" w:rsidRPr="00FC1444" w:rsidTr="004E26F5">
        <w:trPr>
          <w:trHeight w:val="72"/>
          <w:jc w:val="center"/>
        </w:trPr>
        <w:tc>
          <w:tcPr>
            <w:tcW w:w="1710" w:type="dxa"/>
            <w:vAlign w:val="center"/>
          </w:tcPr>
          <w:p w:rsidR="00EF76D7" w:rsidRPr="00FC1444" w:rsidRDefault="00EF76D7" w:rsidP="00E32287">
            <w:pPr>
              <w:adjustRightInd w:val="0"/>
              <w:snapToGrid w:val="0"/>
              <w:jc w:val="center"/>
              <w:rPr>
                <w:rFonts w:eastAsiaTheme="minorEastAsia"/>
                <w:bCs/>
                <w:szCs w:val="21"/>
              </w:rPr>
            </w:pPr>
            <w:r w:rsidRPr="00FC1444">
              <w:rPr>
                <w:rFonts w:eastAsiaTheme="minorEastAsia"/>
                <w:bCs/>
                <w:szCs w:val="21"/>
              </w:rPr>
              <w:t>耗氧量</w:t>
            </w:r>
          </w:p>
        </w:tc>
        <w:tc>
          <w:tcPr>
            <w:tcW w:w="1289"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2</w:t>
            </w:r>
          </w:p>
        </w:tc>
        <w:tc>
          <w:tcPr>
            <w:tcW w:w="1173"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1.2</w:t>
            </w:r>
          </w:p>
        </w:tc>
        <w:tc>
          <w:tcPr>
            <w:tcW w:w="108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1.65 </w:t>
            </w:r>
          </w:p>
        </w:tc>
        <w:tc>
          <w:tcPr>
            <w:tcW w:w="1121" w:type="dxa"/>
            <w:vAlign w:val="bottom"/>
          </w:tcPr>
          <w:p w:rsidR="00EF76D7" w:rsidRPr="00FC1444" w:rsidRDefault="00EF76D7" w:rsidP="00EF76D7">
            <w:pPr>
              <w:contextualSpacing/>
              <w:jc w:val="center"/>
              <w:rPr>
                <w:rFonts w:eastAsiaTheme="minorEastAsia"/>
                <w:bCs/>
                <w:szCs w:val="21"/>
              </w:rPr>
            </w:pPr>
            <w:r w:rsidRPr="00FC1444">
              <w:rPr>
                <w:rFonts w:eastAsiaTheme="minorEastAsia" w:hint="eastAsia"/>
                <w:bCs/>
                <w:szCs w:val="21"/>
              </w:rPr>
              <w:t xml:space="preserve">0.30 </w:t>
            </w:r>
          </w:p>
        </w:tc>
        <w:tc>
          <w:tcPr>
            <w:tcW w:w="1028" w:type="dxa"/>
            <w:vAlign w:val="center"/>
          </w:tcPr>
          <w:p w:rsidR="00EF76D7" w:rsidRPr="00FC1444" w:rsidRDefault="00EF76D7" w:rsidP="00E32287">
            <w:pPr>
              <w:adjustRightInd w:val="0"/>
              <w:snapToGrid w:val="0"/>
              <w:contextualSpacing/>
              <w:jc w:val="center"/>
              <w:rPr>
                <w:rFonts w:eastAsiaTheme="minorEastAsia"/>
                <w:bCs/>
                <w:szCs w:val="21"/>
              </w:rPr>
            </w:pPr>
            <w:r w:rsidRPr="00FC1444">
              <w:rPr>
                <w:rFonts w:eastAsiaTheme="minorEastAsia"/>
                <w:bCs/>
                <w:szCs w:val="21"/>
              </w:rPr>
              <w:t>100%</w:t>
            </w:r>
          </w:p>
        </w:tc>
        <w:tc>
          <w:tcPr>
            <w:tcW w:w="1407" w:type="dxa"/>
            <w:vAlign w:val="center"/>
          </w:tcPr>
          <w:p w:rsidR="00EF76D7" w:rsidRPr="00FC1444" w:rsidRDefault="00EF76D7" w:rsidP="00E32287">
            <w:pPr>
              <w:adjustRightInd w:val="0"/>
              <w:snapToGrid w:val="0"/>
              <w:jc w:val="center"/>
              <w:rPr>
                <w:rFonts w:eastAsiaTheme="minorEastAsia"/>
                <w:bCs/>
                <w:szCs w:val="21"/>
              </w:rPr>
            </w:pPr>
            <w:r w:rsidRPr="00FC1444">
              <w:rPr>
                <w:rFonts w:eastAsiaTheme="minorEastAsia"/>
                <w:bCs/>
                <w:szCs w:val="21"/>
              </w:rPr>
              <w:t>0%</w:t>
            </w:r>
          </w:p>
        </w:tc>
      </w:tr>
      <w:tr w:rsidR="002A5A5E" w:rsidRPr="00FC1444">
        <w:trPr>
          <w:trHeight w:val="72"/>
          <w:jc w:val="center"/>
        </w:trPr>
        <w:tc>
          <w:tcPr>
            <w:tcW w:w="1710" w:type="dxa"/>
            <w:vAlign w:val="center"/>
          </w:tcPr>
          <w:p w:rsidR="002A5A5E" w:rsidRPr="00FC1444" w:rsidRDefault="00611CBA" w:rsidP="00E32287">
            <w:pPr>
              <w:adjustRightInd w:val="0"/>
              <w:snapToGrid w:val="0"/>
              <w:jc w:val="center"/>
              <w:rPr>
                <w:rFonts w:eastAsiaTheme="minorEastAsia"/>
                <w:bCs/>
                <w:szCs w:val="21"/>
              </w:rPr>
            </w:pPr>
            <w:r w:rsidRPr="00FC1444">
              <w:rPr>
                <w:rFonts w:eastAsiaTheme="minorEastAsia"/>
                <w:bCs/>
                <w:szCs w:val="21"/>
              </w:rPr>
              <w:t>石油类</w:t>
            </w:r>
          </w:p>
        </w:tc>
        <w:tc>
          <w:tcPr>
            <w:tcW w:w="1289" w:type="dxa"/>
            <w:vAlign w:val="center"/>
          </w:tcPr>
          <w:p w:rsidR="002A5A5E" w:rsidRPr="00FC1444" w:rsidRDefault="00611CBA" w:rsidP="00E32287">
            <w:pPr>
              <w:contextualSpacing/>
              <w:jc w:val="center"/>
              <w:rPr>
                <w:rFonts w:eastAsiaTheme="minorEastAsia"/>
                <w:bCs/>
                <w:szCs w:val="21"/>
              </w:rPr>
            </w:pPr>
            <w:r w:rsidRPr="00FC1444">
              <w:rPr>
                <w:rFonts w:eastAsiaTheme="minorEastAsia"/>
                <w:bCs/>
                <w:szCs w:val="21"/>
              </w:rPr>
              <w:t>0.005</w:t>
            </w:r>
          </w:p>
        </w:tc>
        <w:tc>
          <w:tcPr>
            <w:tcW w:w="1173" w:type="dxa"/>
            <w:vAlign w:val="center"/>
          </w:tcPr>
          <w:p w:rsidR="002A5A5E" w:rsidRPr="00FC1444" w:rsidRDefault="00611CBA" w:rsidP="00E32287">
            <w:pPr>
              <w:contextualSpacing/>
              <w:jc w:val="center"/>
              <w:rPr>
                <w:rFonts w:eastAsiaTheme="minorEastAsia"/>
                <w:bCs/>
                <w:szCs w:val="21"/>
              </w:rPr>
            </w:pPr>
            <w:r w:rsidRPr="00FC1444">
              <w:rPr>
                <w:rFonts w:eastAsiaTheme="minorEastAsia"/>
                <w:bCs/>
                <w:szCs w:val="21"/>
              </w:rPr>
              <w:t>0.005</w:t>
            </w:r>
          </w:p>
        </w:tc>
        <w:tc>
          <w:tcPr>
            <w:tcW w:w="1081" w:type="dxa"/>
            <w:vAlign w:val="center"/>
          </w:tcPr>
          <w:p w:rsidR="002A5A5E" w:rsidRPr="00FC1444" w:rsidRDefault="00611CBA" w:rsidP="00E32287">
            <w:pPr>
              <w:contextualSpacing/>
              <w:jc w:val="center"/>
              <w:rPr>
                <w:rFonts w:eastAsiaTheme="minorEastAsia"/>
                <w:bCs/>
                <w:szCs w:val="21"/>
              </w:rPr>
            </w:pPr>
            <w:r w:rsidRPr="00FC1444">
              <w:rPr>
                <w:rFonts w:eastAsiaTheme="minorEastAsia"/>
                <w:bCs/>
                <w:szCs w:val="21"/>
              </w:rPr>
              <w:t>0.005</w:t>
            </w:r>
          </w:p>
        </w:tc>
        <w:tc>
          <w:tcPr>
            <w:tcW w:w="1121" w:type="dxa"/>
            <w:vAlign w:val="center"/>
          </w:tcPr>
          <w:p w:rsidR="002A5A5E" w:rsidRPr="00FC1444" w:rsidRDefault="00EF76D7" w:rsidP="00E32287">
            <w:pPr>
              <w:contextualSpacing/>
              <w:jc w:val="center"/>
              <w:rPr>
                <w:rFonts w:eastAsiaTheme="minorEastAsia"/>
                <w:bCs/>
                <w:szCs w:val="21"/>
              </w:rPr>
            </w:pPr>
            <w:r w:rsidRPr="00FC1444">
              <w:rPr>
                <w:rFonts w:eastAsiaTheme="minorEastAsia"/>
                <w:bCs/>
                <w:szCs w:val="21"/>
              </w:rPr>
              <w:t>-</w:t>
            </w:r>
          </w:p>
        </w:tc>
        <w:tc>
          <w:tcPr>
            <w:tcW w:w="1028" w:type="dxa"/>
            <w:vAlign w:val="center"/>
          </w:tcPr>
          <w:p w:rsidR="002A5A5E" w:rsidRPr="00FC1444" w:rsidRDefault="00611CBA" w:rsidP="00E32287">
            <w:pPr>
              <w:contextualSpacing/>
              <w:jc w:val="center"/>
              <w:rPr>
                <w:rFonts w:eastAsiaTheme="minorEastAsia"/>
                <w:bCs/>
                <w:szCs w:val="21"/>
              </w:rPr>
            </w:pPr>
            <w:r w:rsidRPr="00FC1444">
              <w:rPr>
                <w:rFonts w:eastAsiaTheme="minorEastAsia"/>
                <w:bCs/>
                <w:szCs w:val="21"/>
              </w:rPr>
              <w:t>0%</w:t>
            </w:r>
          </w:p>
        </w:tc>
        <w:tc>
          <w:tcPr>
            <w:tcW w:w="1407" w:type="dxa"/>
            <w:vAlign w:val="center"/>
          </w:tcPr>
          <w:p w:rsidR="002A5A5E" w:rsidRPr="00FC1444" w:rsidRDefault="00611CBA" w:rsidP="00E32287">
            <w:pPr>
              <w:jc w:val="center"/>
              <w:rPr>
                <w:rFonts w:eastAsiaTheme="minorEastAsia"/>
                <w:szCs w:val="21"/>
              </w:rPr>
            </w:pPr>
            <w:r w:rsidRPr="00FC1444">
              <w:rPr>
                <w:rFonts w:eastAsiaTheme="minorEastAsia"/>
                <w:szCs w:val="21"/>
              </w:rPr>
              <w:t>0%</w:t>
            </w:r>
          </w:p>
        </w:tc>
      </w:tr>
    </w:tbl>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4-2-</w:t>
      </w:r>
      <w:r w:rsidR="00F90B8B" w:rsidRPr="00FC1444">
        <w:rPr>
          <w:rFonts w:eastAsiaTheme="minorEastAsia" w:hint="eastAsia"/>
          <w:b/>
          <w:kern w:val="0"/>
          <w:szCs w:val="21"/>
        </w:rPr>
        <w:t>9</w:t>
      </w:r>
      <w:r w:rsidRPr="00FC1444">
        <w:rPr>
          <w:rFonts w:eastAsiaTheme="minorEastAsia"/>
          <w:b/>
          <w:kern w:val="0"/>
          <w:szCs w:val="21"/>
        </w:rPr>
        <w:t xml:space="preserve"> </w:t>
      </w:r>
      <w:r w:rsidRPr="00FC1444">
        <w:rPr>
          <w:rFonts w:eastAsiaTheme="minorEastAsia"/>
          <w:b/>
          <w:kern w:val="0"/>
          <w:szCs w:val="21"/>
        </w:rPr>
        <w:t>地下水水质现状评价结果</w:t>
      </w:r>
    </w:p>
    <w:tbl>
      <w:tblPr>
        <w:tblW w:w="5217" w:type="pct"/>
        <w:jc w:val="center"/>
        <w:tblBorders>
          <w:top w:val="single" w:sz="12" w:space="0" w:color="auto"/>
          <w:bottom w:val="single" w:sz="12" w:space="0" w:color="auto"/>
          <w:insideH w:val="single" w:sz="6" w:space="0" w:color="auto"/>
          <w:insideV w:val="single" w:sz="6" w:space="0" w:color="auto"/>
        </w:tblBorders>
        <w:tblLook w:val="04A0"/>
      </w:tblPr>
      <w:tblGrid>
        <w:gridCol w:w="988"/>
        <w:gridCol w:w="2040"/>
        <w:gridCol w:w="1464"/>
        <w:gridCol w:w="1743"/>
        <w:gridCol w:w="1330"/>
        <w:gridCol w:w="1327"/>
      </w:tblGrid>
      <w:tr w:rsidR="002A5A5E" w:rsidRPr="00FC1444" w:rsidTr="009C6CA7">
        <w:trPr>
          <w:trHeight w:val="315"/>
          <w:jc w:val="center"/>
        </w:trPr>
        <w:tc>
          <w:tcPr>
            <w:tcW w:w="556" w:type="pct"/>
            <w:vMerge w:val="restart"/>
            <w:vAlign w:val="center"/>
          </w:tcPr>
          <w:p w:rsidR="002A5A5E" w:rsidRPr="00FC1444" w:rsidRDefault="00611CBA" w:rsidP="009C6CA7">
            <w:pPr>
              <w:widowControl/>
              <w:spacing w:line="0" w:lineRule="atLeast"/>
              <w:contextualSpacing/>
              <w:jc w:val="center"/>
              <w:rPr>
                <w:rFonts w:eastAsiaTheme="minorEastAsia"/>
                <w:szCs w:val="21"/>
              </w:rPr>
            </w:pPr>
            <w:bookmarkStart w:id="107" w:name="OLE_LINK3"/>
            <w:r w:rsidRPr="00FC1444">
              <w:rPr>
                <w:rFonts w:eastAsiaTheme="minorEastAsia"/>
                <w:szCs w:val="21"/>
              </w:rPr>
              <w:t>序号</w:t>
            </w:r>
          </w:p>
        </w:tc>
        <w:tc>
          <w:tcPr>
            <w:tcW w:w="1147" w:type="pct"/>
            <w:vMerge w:val="restar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监测项目</w:t>
            </w:r>
          </w:p>
        </w:tc>
        <w:tc>
          <w:tcPr>
            <w:tcW w:w="823"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ascii="宋体" w:hAnsi="宋体" w:cs="宋体" w:hint="eastAsia"/>
                <w:szCs w:val="21"/>
              </w:rPr>
              <w:t>☆</w:t>
            </w:r>
            <w:r w:rsidRPr="00FC1444">
              <w:rPr>
                <w:rFonts w:eastAsiaTheme="minorEastAsia"/>
                <w:szCs w:val="21"/>
              </w:rPr>
              <w:t>01</w:t>
            </w:r>
          </w:p>
        </w:tc>
        <w:tc>
          <w:tcPr>
            <w:tcW w:w="980"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ascii="宋体" w:hAnsi="宋体" w:cs="宋体" w:hint="eastAsia"/>
                <w:szCs w:val="21"/>
              </w:rPr>
              <w:t>☆</w:t>
            </w:r>
            <w:r w:rsidRPr="00FC1444">
              <w:rPr>
                <w:rFonts w:eastAsiaTheme="minorEastAsia"/>
                <w:szCs w:val="21"/>
              </w:rPr>
              <w:t>02</w:t>
            </w:r>
          </w:p>
        </w:tc>
        <w:tc>
          <w:tcPr>
            <w:tcW w:w="748"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ascii="宋体" w:hAnsi="宋体" w:cs="宋体" w:hint="eastAsia"/>
                <w:szCs w:val="21"/>
              </w:rPr>
              <w:t>☆</w:t>
            </w:r>
            <w:r w:rsidRPr="00FC1444">
              <w:rPr>
                <w:rFonts w:eastAsiaTheme="minorEastAsia"/>
                <w:szCs w:val="21"/>
              </w:rPr>
              <w:t>03</w:t>
            </w:r>
          </w:p>
        </w:tc>
        <w:tc>
          <w:tcPr>
            <w:tcW w:w="74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ascii="宋体" w:hAnsi="宋体" w:cs="宋体" w:hint="eastAsia"/>
                <w:szCs w:val="21"/>
              </w:rPr>
              <w:t>☆</w:t>
            </w:r>
            <w:r w:rsidRPr="00FC1444">
              <w:rPr>
                <w:rFonts w:eastAsiaTheme="minorEastAsia"/>
                <w:szCs w:val="21"/>
              </w:rPr>
              <w:t>04</w:t>
            </w:r>
          </w:p>
        </w:tc>
      </w:tr>
      <w:tr w:rsidR="002A5A5E" w:rsidRPr="00FC1444" w:rsidTr="009C6CA7">
        <w:trPr>
          <w:trHeight w:val="300"/>
          <w:jc w:val="center"/>
        </w:trPr>
        <w:tc>
          <w:tcPr>
            <w:tcW w:w="556" w:type="pct"/>
            <w:vMerge/>
            <w:vAlign w:val="center"/>
          </w:tcPr>
          <w:p w:rsidR="002A5A5E" w:rsidRPr="00FC1444" w:rsidRDefault="002A5A5E" w:rsidP="009C6CA7">
            <w:pPr>
              <w:widowControl/>
              <w:spacing w:line="0" w:lineRule="atLeast"/>
              <w:contextualSpacing/>
              <w:jc w:val="center"/>
              <w:rPr>
                <w:rFonts w:eastAsiaTheme="minorEastAsia"/>
                <w:szCs w:val="21"/>
              </w:rPr>
            </w:pPr>
          </w:p>
        </w:tc>
        <w:tc>
          <w:tcPr>
            <w:tcW w:w="1147" w:type="pct"/>
            <w:vMerge/>
            <w:vAlign w:val="center"/>
          </w:tcPr>
          <w:p w:rsidR="002A5A5E" w:rsidRPr="00FC1444" w:rsidRDefault="002A5A5E" w:rsidP="009C6CA7">
            <w:pPr>
              <w:widowControl/>
              <w:spacing w:line="0" w:lineRule="atLeast"/>
              <w:contextualSpacing/>
              <w:jc w:val="center"/>
              <w:rPr>
                <w:rFonts w:eastAsiaTheme="minorEastAsia"/>
                <w:szCs w:val="21"/>
              </w:rPr>
            </w:pPr>
          </w:p>
        </w:tc>
        <w:tc>
          <w:tcPr>
            <w:tcW w:w="823"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Pi</w:t>
            </w:r>
          </w:p>
        </w:tc>
        <w:tc>
          <w:tcPr>
            <w:tcW w:w="980"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Pi</w:t>
            </w:r>
          </w:p>
        </w:tc>
        <w:tc>
          <w:tcPr>
            <w:tcW w:w="748"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Pi</w:t>
            </w:r>
          </w:p>
        </w:tc>
        <w:tc>
          <w:tcPr>
            <w:tcW w:w="74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Pi</w:t>
            </w:r>
          </w:p>
        </w:tc>
      </w:tr>
      <w:tr w:rsidR="002A5A5E" w:rsidRPr="00FC1444" w:rsidTr="009C6CA7">
        <w:trPr>
          <w:trHeight w:val="300"/>
          <w:jc w:val="center"/>
        </w:trPr>
        <w:tc>
          <w:tcPr>
            <w:tcW w:w="55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1</w:t>
            </w:r>
          </w:p>
        </w:tc>
        <w:tc>
          <w:tcPr>
            <w:tcW w:w="1147" w:type="pct"/>
            <w:vAlign w:val="center"/>
          </w:tcPr>
          <w:p w:rsidR="002A5A5E" w:rsidRPr="00FC1444" w:rsidRDefault="00611CBA" w:rsidP="009C6CA7">
            <w:pPr>
              <w:widowControl/>
              <w:spacing w:line="0" w:lineRule="atLeast"/>
              <w:contextualSpacing/>
              <w:jc w:val="center"/>
              <w:rPr>
                <w:rFonts w:eastAsiaTheme="minorEastAsia"/>
                <w:kern w:val="0"/>
                <w:szCs w:val="21"/>
              </w:rPr>
            </w:pPr>
            <w:r w:rsidRPr="00FC1444">
              <w:rPr>
                <w:rFonts w:eastAsiaTheme="minorEastAsia"/>
                <w:szCs w:val="21"/>
              </w:rPr>
              <w:t>pH</w:t>
            </w:r>
            <w:r w:rsidRPr="00FC1444">
              <w:rPr>
                <w:rFonts w:eastAsiaTheme="minorEastAsia"/>
                <w:szCs w:val="21"/>
              </w:rPr>
              <w:t>值</w:t>
            </w:r>
          </w:p>
        </w:tc>
        <w:tc>
          <w:tcPr>
            <w:tcW w:w="823" w:type="pct"/>
            <w:vAlign w:val="center"/>
          </w:tcPr>
          <w:p w:rsidR="002A5A5E" w:rsidRPr="00FC1444" w:rsidRDefault="00CA5BAD" w:rsidP="009C6CA7">
            <w:pPr>
              <w:widowControl/>
              <w:spacing w:line="0" w:lineRule="atLeast"/>
              <w:contextualSpacing/>
              <w:jc w:val="center"/>
              <w:rPr>
                <w:rFonts w:eastAsiaTheme="minorEastAsia"/>
                <w:szCs w:val="21"/>
              </w:rPr>
            </w:pPr>
            <w:r w:rsidRPr="00FC1444">
              <w:rPr>
                <w:rFonts w:eastAsiaTheme="minorEastAsia" w:hint="eastAsia"/>
                <w:szCs w:val="21"/>
              </w:rPr>
              <w:t>0.13</w:t>
            </w:r>
          </w:p>
        </w:tc>
        <w:tc>
          <w:tcPr>
            <w:tcW w:w="980" w:type="pct"/>
            <w:vAlign w:val="center"/>
          </w:tcPr>
          <w:p w:rsidR="002A5A5E" w:rsidRPr="00FC1444" w:rsidRDefault="00CA5BAD" w:rsidP="009C6CA7">
            <w:pPr>
              <w:widowControl/>
              <w:spacing w:line="0" w:lineRule="atLeast"/>
              <w:contextualSpacing/>
              <w:jc w:val="center"/>
              <w:rPr>
                <w:rFonts w:eastAsiaTheme="minorEastAsia"/>
                <w:szCs w:val="21"/>
              </w:rPr>
            </w:pPr>
            <w:r w:rsidRPr="00FC1444">
              <w:rPr>
                <w:rFonts w:eastAsiaTheme="minorEastAsia" w:hint="eastAsia"/>
                <w:szCs w:val="21"/>
              </w:rPr>
              <w:t>0.4</w:t>
            </w:r>
          </w:p>
        </w:tc>
        <w:tc>
          <w:tcPr>
            <w:tcW w:w="748" w:type="pct"/>
            <w:vAlign w:val="center"/>
          </w:tcPr>
          <w:p w:rsidR="002A5A5E" w:rsidRPr="00FC1444" w:rsidRDefault="00CA5BAD" w:rsidP="009C6CA7">
            <w:pPr>
              <w:widowControl/>
              <w:spacing w:line="0" w:lineRule="atLeast"/>
              <w:contextualSpacing/>
              <w:jc w:val="center"/>
              <w:rPr>
                <w:rFonts w:eastAsiaTheme="minorEastAsia"/>
                <w:szCs w:val="21"/>
              </w:rPr>
            </w:pPr>
            <w:r w:rsidRPr="00FC1444">
              <w:rPr>
                <w:rFonts w:eastAsiaTheme="minorEastAsia" w:hint="eastAsia"/>
                <w:szCs w:val="21"/>
              </w:rPr>
              <w:t>0.2</w:t>
            </w:r>
          </w:p>
        </w:tc>
        <w:tc>
          <w:tcPr>
            <w:tcW w:w="746" w:type="pct"/>
            <w:vAlign w:val="center"/>
          </w:tcPr>
          <w:p w:rsidR="002A5A5E" w:rsidRPr="00FC1444" w:rsidRDefault="00CA5BAD" w:rsidP="009C6CA7">
            <w:pPr>
              <w:widowControl/>
              <w:spacing w:line="0" w:lineRule="atLeast"/>
              <w:contextualSpacing/>
              <w:jc w:val="center"/>
              <w:rPr>
                <w:rFonts w:eastAsiaTheme="minorEastAsia"/>
                <w:szCs w:val="21"/>
              </w:rPr>
            </w:pPr>
            <w:r w:rsidRPr="00FC1444">
              <w:rPr>
                <w:rFonts w:eastAsiaTheme="minorEastAsia" w:hint="eastAsia"/>
                <w:szCs w:val="21"/>
              </w:rPr>
              <w:t>0.1</w:t>
            </w:r>
          </w:p>
        </w:tc>
      </w:tr>
      <w:tr w:rsidR="009C6CA7" w:rsidRPr="00FC1444" w:rsidTr="009C6CA7">
        <w:trPr>
          <w:trHeight w:val="300"/>
          <w:jc w:val="center"/>
        </w:trPr>
        <w:tc>
          <w:tcPr>
            <w:tcW w:w="556"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szCs w:val="21"/>
              </w:rPr>
              <w:t>2</w:t>
            </w:r>
          </w:p>
        </w:tc>
        <w:tc>
          <w:tcPr>
            <w:tcW w:w="1147"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szCs w:val="21"/>
              </w:rPr>
              <w:t>总硬度</w:t>
            </w:r>
          </w:p>
        </w:tc>
        <w:tc>
          <w:tcPr>
            <w:tcW w:w="823"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hint="eastAsia"/>
                <w:szCs w:val="21"/>
              </w:rPr>
              <w:t>0.26</w:t>
            </w:r>
          </w:p>
        </w:tc>
        <w:tc>
          <w:tcPr>
            <w:tcW w:w="980"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hint="eastAsia"/>
                <w:szCs w:val="21"/>
              </w:rPr>
              <w:t>0.28</w:t>
            </w:r>
          </w:p>
        </w:tc>
        <w:tc>
          <w:tcPr>
            <w:tcW w:w="748" w:type="pct"/>
            <w:vAlign w:val="center"/>
          </w:tcPr>
          <w:p w:rsidR="009C6CA7" w:rsidRPr="00FC1444" w:rsidRDefault="009C6CA7" w:rsidP="009C6CA7">
            <w:pPr>
              <w:jc w:val="center"/>
              <w:rPr>
                <w:rFonts w:eastAsiaTheme="minorEastAsia"/>
                <w:szCs w:val="21"/>
              </w:rPr>
            </w:pPr>
            <w:r w:rsidRPr="00FC1444">
              <w:rPr>
                <w:rFonts w:eastAsiaTheme="minorEastAsia" w:hint="eastAsia"/>
                <w:szCs w:val="21"/>
              </w:rPr>
              <w:t>0.32</w:t>
            </w:r>
          </w:p>
        </w:tc>
        <w:tc>
          <w:tcPr>
            <w:tcW w:w="746" w:type="pct"/>
            <w:vAlign w:val="center"/>
          </w:tcPr>
          <w:p w:rsidR="009C6CA7" w:rsidRPr="00FC1444" w:rsidRDefault="009C6CA7" w:rsidP="009C6CA7">
            <w:pPr>
              <w:jc w:val="center"/>
              <w:rPr>
                <w:rFonts w:eastAsiaTheme="minorEastAsia"/>
                <w:szCs w:val="21"/>
              </w:rPr>
            </w:pPr>
            <w:r w:rsidRPr="00FC1444">
              <w:rPr>
                <w:rFonts w:eastAsiaTheme="minorEastAsia" w:hint="eastAsia"/>
                <w:szCs w:val="21"/>
              </w:rPr>
              <w:t>0.30</w:t>
            </w:r>
          </w:p>
        </w:tc>
      </w:tr>
      <w:tr w:rsidR="009C6CA7" w:rsidRPr="00FC1444" w:rsidTr="009C6CA7">
        <w:trPr>
          <w:trHeight w:val="300"/>
          <w:jc w:val="center"/>
        </w:trPr>
        <w:tc>
          <w:tcPr>
            <w:tcW w:w="556"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szCs w:val="21"/>
              </w:rPr>
              <w:t>3</w:t>
            </w:r>
          </w:p>
        </w:tc>
        <w:tc>
          <w:tcPr>
            <w:tcW w:w="1147" w:type="pct"/>
            <w:vAlign w:val="center"/>
          </w:tcPr>
          <w:p w:rsidR="009C6CA7" w:rsidRPr="00FC1444" w:rsidRDefault="009C6CA7" w:rsidP="009C6CA7">
            <w:pPr>
              <w:widowControl/>
              <w:spacing w:line="0" w:lineRule="atLeast"/>
              <w:contextualSpacing/>
              <w:jc w:val="center"/>
              <w:rPr>
                <w:rFonts w:eastAsiaTheme="minorEastAsia"/>
                <w:kern w:val="0"/>
                <w:szCs w:val="21"/>
              </w:rPr>
            </w:pPr>
            <w:r w:rsidRPr="00FC1444">
              <w:rPr>
                <w:rFonts w:eastAsiaTheme="minorEastAsia"/>
                <w:szCs w:val="21"/>
              </w:rPr>
              <w:t>溶解性总固体</w:t>
            </w:r>
          </w:p>
        </w:tc>
        <w:tc>
          <w:tcPr>
            <w:tcW w:w="823"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hint="eastAsia"/>
                <w:szCs w:val="21"/>
              </w:rPr>
              <w:t>0.23</w:t>
            </w:r>
          </w:p>
        </w:tc>
        <w:tc>
          <w:tcPr>
            <w:tcW w:w="980"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hint="eastAsia"/>
                <w:szCs w:val="21"/>
              </w:rPr>
              <w:t>0.25</w:t>
            </w:r>
          </w:p>
        </w:tc>
        <w:tc>
          <w:tcPr>
            <w:tcW w:w="748" w:type="pct"/>
            <w:vAlign w:val="center"/>
          </w:tcPr>
          <w:p w:rsidR="009C6CA7" w:rsidRPr="00FC1444" w:rsidRDefault="009C6CA7" w:rsidP="009C6CA7">
            <w:pPr>
              <w:jc w:val="center"/>
              <w:rPr>
                <w:rFonts w:eastAsiaTheme="minorEastAsia"/>
                <w:szCs w:val="21"/>
              </w:rPr>
            </w:pPr>
            <w:r w:rsidRPr="00FC1444">
              <w:rPr>
                <w:rFonts w:eastAsiaTheme="minorEastAsia" w:hint="eastAsia"/>
                <w:szCs w:val="21"/>
              </w:rPr>
              <w:t>0.29</w:t>
            </w:r>
          </w:p>
        </w:tc>
        <w:tc>
          <w:tcPr>
            <w:tcW w:w="746" w:type="pct"/>
            <w:vAlign w:val="center"/>
          </w:tcPr>
          <w:p w:rsidR="009C6CA7" w:rsidRPr="00FC1444" w:rsidRDefault="009C6CA7" w:rsidP="009C6CA7">
            <w:pPr>
              <w:jc w:val="center"/>
              <w:rPr>
                <w:rFonts w:eastAsiaTheme="minorEastAsia"/>
                <w:szCs w:val="21"/>
              </w:rPr>
            </w:pPr>
            <w:r w:rsidRPr="00FC1444">
              <w:rPr>
                <w:rFonts w:eastAsiaTheme="minorEastAsia" w:hint="eastAsia"/>
                <w:szCs w:val="21"/>
              </w:rPr>
              <w:t>0.26</w:t>
            </w:r>
          </w:p>
        </w:tc>
      </w:tr>
      <w:tr w:rsidR="009C6CA7" w:rsidRPr="00FC1444" w:rsidTr="009C6CA7">
        <w:trPr>
          <w:trHeight w:val="300"/>
          <w:jc w:val="center"/>
        </w:trPr>
        <w:tc>
          <w:tcPr>
            <w:tcW w:w="556"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szCs w:val="21"/>
              </w:rPr>
              <w:t>4</w:t>
            </w:r>
          </w:p>
        </w:tc>
        <w:tc>
          <w:tcPr>
            <w:tcW w:w="1147"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szCs w:val="21"/>
              </w:rPr>
              <w:t>硫酸盐</w:t>
            </w:r>
          </w:p>
        </w:tc>
        <w:tc>
          <w:tcPr>
            <w:tcW w:w="823"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hint="eastAsia"/>
                <w:szCs w:val="21"/>
              </w:rPr>
              <w:t>0.21</w:t>
            </w:r>
          </w:p>
        </w:tc>
        <w:tc>
          <w:tcPr>
            <w:tcW w:w="980"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hint="eastAsia"/>
                <w:szCs w:val="21"/>
              </w:rPr>
              <w:t>0.04</w:t>
            </w:r>
          </w:p>
        </w:tc>
        <w:tc>
          <w:tcPr>
            <w:tcW w:w="748" w:type="pct"/>
            <w:vAlign w:val="center"/>
          </w:tcPr>
          <w:p w:rsidR="009C6CA7" w:rsidRPr="00FC1444" w:rsidRDefault="009C6CA7" w:rsidP="009C6CA7">
            <w:pPr>
              <w:jc w:val="center"/>
              <w:rPr>
                <w:rFonts w:eastAsiaTheme="minorEastAsia"/>
                <w:szCs w:val="21"/>
              </w:rPr>
            </w:pPr>
            <w:r w:rsidRPr="00FC1444">
              <w:rPr>
                <w:rFonts w:eastAsiaTheme="minorEastAsia" w:hint="eastAsia"/>
                <w:szCs w:val="21"/>
              </w:rPr>
              <w:t>0.24</w:t>
            </w:r>
          </w:p>
        </w:tc>
        <w:tc>
          <w:tcPr>
            <w:tcW w:w="746" w:type="pct"/>
            <w:vAlign w:val="center"/>
          </w:tcPr>
          <w:p w:rsidR="009C6CA7" w:rsidRPr="00FC1444" w:rsidRDefault="009C6CA7" w:rsidP="009C6CA7">
            <w:pPr>
              <w:jc w:val="center"/>
              <w:rPr>
                <w:rFonts w:eastAsiaTheme="minorEastAsia"/>
                <w:szCs w:val="21"/>
              </w:rPr>
            </w:pPr>
            <w:r w:rsidRPr="00FC1444">
              <w:rPr>
                <w:rFonts w:eastAsiaTheme="minorEastAsia" w:hint="eastAsia"/>
                <w:szCs w:val="21"/>
              </w:rPr>
              <w:t>0.77</w:t>
            </w:r>
          </w:p>
        </w:tc>
      </w:tr>
      <w:tr w:rsidR="009C6CA7" w:rsidRPr="00FC1444" w:rsidTr="009C6CA7">
        <w:trPr>
          <w:trHeight w:val="300"/>
          <w:jc w:val="center"/>
        </w:trPr>
        <w:tc>
          <w:tcPr>
            <w:tcW w:w="556"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szCs w:val="21"/>
              </w:rPr>
              <w:t>5</w:t>
            </w:r>
          </w:p>
        </w:tc>
        <w:tc>
          <w:tcPr>
            <w:tcW w:w="1147"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szCs w:val="21"/>
              </w:rPr>
              <w:t>氯化物</w:t>
            </w:r>
          </w:p>
        </w:tc>
        <w:tc>
          <w:tcPr>
            <w:tcW w:w="823"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hint="eastAsia"/>
                <w:szCs w:val="21"/>
              </w:rPr>
              <w:t>0.22</w:t>
            </w:r>
          </w:p>
        </w:tc>
        <w:tc>
          <w:tcPr>
            <w:tcW w:w="980"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hint="eastAsia"/>
                <w:szCs w:val="21"/>
              </w:rPr>
              <w:t>0.08</w:t>
            </w:r>
          </w:p>
        </w:tc>
        <w:tc>
          <w:tcPr>
            <w:tcW w:w="748" w:type="pct"/>
            <w:vAlign w:val="center"/>
          </w:tcPr>
          <w:p w:rsidR="009C6CA7" w:rsidRPr="00FC1444" w:rsidRDefault="009C6CA7" w:rsidP="009C6CA7">
            <w:pPr>
              <w:jc w:val="center"/>
              <w:rPr>
                <w:rFonts w:eastAsiaTheme="minorEastAsia"/>
                <w:szCs w:val="21"/>
              </w:rPr>
            </w:pPr>
            <w:r w:rsidRPr="00FC1444">
              <w:rPr>
                <w:rFonts w:eastAsiaTheme="minorEastAsia" w:hint="eastAsia"/>
                <w:szCs w:val="21"/>
              </w:rPr>
              <w:t>0.31</w:t>
            </w:r>
          </w:p>
        </w:tc>
        <w:tc>
          <w:tcPr>
            <w:tcW w:w="746" w:type="pct"/>
            <w:vAlign w:val="center"/>
          </w:tcPr>
          <w:p w:rsidR="009C6CA7" w:rsidRPr="00FC1444" w:rsidRDefault="009C6CA7" w:rsidP="009C6CA7">
            <w:pPr>
              <w:jc w:val="center"/>
              <w:rPr>
                <w:rFonts w:eastAsiaTheme="minorEastAsia"/>
                <w:szCs w:val="21"/>
              </w:rPr>
            </w:pPr>
            <w:r w:rsidRPr="00FC1444">
              <w:rPr>
                <w:rFonts w:eastAsiaTheme="minorEastAsia" w:hint="eastAsia"/>
                <w:szCs w:val="21"/>
              </w:rPr>
              <w:t>0.10</w:t>
            </w:r>
          </w:p>
        </w:tc>
      </w:tr>
      <w:tr w:rsidR="002A5A5E" w:rsidRPr="00FC1444" w:rsidTr="009C6CA7">
        <w:trPr>
          <w:trHeight w:val="300"/>
          <w:jc w:val="center"/>
        </w:trPr>
        <w:tc>
          <w:tcPr>
            <w:tcW w:w="55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6</w:t>
            </w:r>
          </w:p>
        </w:tc>
        <w:tc>
          <w:tcPr>
            <w:tcW w:w="1147" w:type="pct"/>
            <w:vAlign w:val="center"/>
          </w:tcPr>
          <w:p w:rsidR="002A5A5E" w:rsidRPr="00FC1444" w:rsidRDefault="00611CBA" w:rsidP="009C6CA7">
            <w:pPr>
              <w:widowControl/>
              <w:spacing w:line="0" w:lineRule="atLeast"/>
              <w:contextualSpacing/>
              <w:jc w:val="center"/>
              <w:rPr>
                <w:rFonts w:eastAsiaTheme="minorEastAsia"/>
                <w:kern w:val="0"/>
                <w:szCs w:val="21"/>
              </w:rPr>
            </w:pPr>
            <w:r w:rsidRPr="00FC1444">
              <w:rPr>
                <w:rFonts w:eastAsiaTheme="minorEastAsia"/>
                <w:szCs w:val="21"/>
              </w:rPr>
              <w:t>挥发酚</w:t>
            </w:r>
          </w:p>
        </w:tc>
        <w:tc>
          <w:tcPr>
            <w:tcW w:w="823"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980"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8"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r>
      <w:tr w:rsidR="00DC39A8" w:rsidRPr="00FC1444" w:rsidTr="009C6CA7">
        <w:trPr>
          <w:trHeight w:val="300"/>
          <w:jc w:val="center"/>
        </w:trPr>
        <w:tc>
          <w:tcPr>
            <w:tcW w:w="556" w:type="pct"/>
            <w:vAlign w:val="center"/>
          </w:tcPr>
          <w:p w:rsidR="00DC39A8" w:rsidRPr="00FC1444" w:rsidRDefault="00DC39A8" w:rsidP="009C6CA7">
            <w:pPr>
              <w:widowControl/>
              <w:spacing w:line="0" w:lineRule="atLeast"/>
              <w:contextualSpacing/>
              <w:jc w:val="center"/>
              <w:rPr>
                <w:rFonts w:eastAsiaTheme="minorEastAsia"/>
                <w:szCs w:val="21"/>
              </w:rPr>
            </w:pPr>
            <w:r w:rsidRPr="00FC1444">
              <w:rPr>
                <w:rFonts w:eastAsiaTheme="minorEastAsia"/>
                <w:szCs w:val="21"/>
              </w:rPr>
              <w:t>7</w:t>
            </w:r>
          </w:p>
        </w:tc>
        <w:tc>
          <w:tcPr>
            <w:tcW w:w="1147" w:type="pct"/>
            <w:vAlign w:val="center"/>
          </w:tcPr>
          <w:p w:rsidR="00DC39A8" w:rsidRPr="00FC1444" w:rsidRDefault="00DC39A8" w:rsidP="009C6CA7">
            <w:pPr>
              <w:widowControl/>
              <w:spacing w:line="0" w:lineRule="atLeast"/>
              <w:contextualSpacing/>
              <w:jc w:val="center"/>
              <w:rPr>
                <w:rFonts w:eastAsiaTheme="minorEastAsia"/>
                <w:kern w:val="0"/>
                <w:szCs w:val="21"/>
              </w:rPr>
            </w:pPr>
            <w:r w:rsidRPr="00FC1444">
              <w:rPr>
                <w:rFonts w:eastAsiaTheme="minorEastAsia"/>
                <w:bCs/>
                <w:szCs w:val="21"/>
              </w:rPr>
              <w:t>耗氧量</w:t>
            </w:r>
          </w:p>
        </w:tc>
        <w:tc>
          <w:tcPr>
            <w:tcW w:w="823" w:type="pct"/>
            <w:vAlign w:val="center"/>
          </w:tcPr>
          <w:p w:rsidR="00DC39A8" w:rsidRPr="00FC1444" w:rsidRDefault="00DC39A8" w:rsidP="009C6CA7">
            <w:pPr>
              <w:widowControl/>
              <w:spacing w:line="0" w:lineRule="atLeast"/>
              <w:contextualSpacing/>
              <w:jc w:val="center"/>
              <w:rPr>
                <w:rFonts w:eastAsiaTheme="minorEastAsia"/>
                <w:szCs w:val="21"/>
              </w:rPr>
            </w:pPr>
            <w:r w:rsidRPr="00FC1444">
              <w:rPr>
                <w:rFonts w:eastAsiaTheme="minorEastAsia"/>
                <w:szCs w:val="21"/>
              </w:rPr>
              <w:t>0.67</w:t>
            </w:r>
          </w:p>
        </w:tc>
        <w:tc>
          <w:tcPr>
            <w:tcW w:w="980" w:type="pct"/>
            <w:vAlign w:val="center"/>
          </w:tcPr>
          <w:p w:rsidR="00DC39A8" w:rsidRPr="00FC1444" w:rsidRDefault="00DC39A8" w:rsidP="009C6CA7">
            <w:pPr>
              <w:widowControl/>
              <w:spacing w:line="0" w:lineRule="atLeast"/>
              <w:contextualSpacing/>
              <w:jc w:val="center"/>
              <w:rPr>
                <w:rFonts w:eastAsiaTheme="minorEastAsia"/>
                <w:szCs w:val="21"/>
              </w:rPr>
            </w:pPr>
            <w:r w:rsidRPr="00FC1444">
              <w:rPr>
                <w:rFonts w:eastAsiaTheme="minorEastAsia"/>
                <w:szCs w:val="21"/>
              </w:rPr>
              <w:t>0.57</w:t>
            </w:r>
          </w:p>
        </w:tc>
        <w:tc>
          <w:tcPr>
            <w:tcW w:w="748" w:type="pct"/>
            <w:vAlign w:val="center"/>
          </w:tcPr>
          <w:p w:rsidR="00DC39A8" w:rsidRPr="00FC1444" w:rsidRDefault="00DC39A8" w:rsidP="009C6CA7">
            <w:pPr>
              <w:widowControl/>
              <w:spacing w:line="0" w:lineRule="atLeast"/>
              <w:contextualSpacing/>
              <w:jc w:val="center"/>
              <w:rPr>
                <w:rFonts w:eastAsiaTheme="minorEastAsia"/>
                <w:szCs w:val="21"/>
              </w:rPr>
            </w:pPr>
            <w:r w:rsidRPr="00FC1444">
              <w:rPr>
                <w:rFonts w:eastAsiaTheme="minorEastAsia"/>
                <w:szCs w:val="21"/>
              </w:rPr>
              <w:t>0.53</w:t>
            </w:r>
          </w:p>
        </w:tc>
        <w:tc>
          <w:tcPr>
            <w:tcW w:w="746" w:type="pct"/>
            <w:vAlign w:val="center"/>
          </w:tcPr>
          <w:p w:rsidR="00DC39A8" w:rsidRPr="00FC1444" w:rsidRDefault="00DC39A8" w:rsidP="009C6CA7">
            <w:pPr>
              <w:widowControl/>
              <w:spacing w:line="0" w:lineRule="atLeast"/>
              <w:contextualSpacing/>
              <w:jc w:val="center"/>
              <w:rPr>
                <w:rFonts w:eastAsiaTheme="minorEastAsia"/>
                <w:szCs w:val="21"/>
              </w:rPr>
            </w:pPr>
            <w:r w:rsidRPr="00FC1444">
              <w:rPr>
                <w:rFonts w:eastAsiaTheme="minorEastAsia"/>
                <w:szCs w:val="21"/>
              </w:rPr>
              <w:t>0.50</w:t>
            </w:r>
          </w:p>
        </w:tc>
      </w:tr>
      <w:tr w:rsidR="009C6CA7" w:rsidRPr="00FC1444" w:rsidTr="009C6CA7">
        <w:trPr>
          <w:trHeight w:val="316"/>
          <w:jc w:val="center"/>
        </w:trPr>
        <w:tc>
          <w:tcPr>
            <w:tcW w:w="556"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szCs w:val="21"/>
              </w:rPr>
              <w:t>8</w:t>
            </w:r>
          </w:p>
        </w:tc>
        <w:tc>
          <w:tcPr>
            <w:tcW w:w="1147" w:type="pct"/>
            <w:vAlign w:val="center"/>
          </w:tcPr>
          <w:p w:rsidR="009C6CA7" w:rsidRPr="00FC1444" w:rsidRDefault="009C6CA7" w:rsidP="009C6CA7">
            <w:pPr>
              <w:widowControl/>
              <w:spacing w:line="0" w:lineRule="atLeast"/>
              <w:contextualSpacing/>
              <w:jc w:val="center"/>
              <w:rPr>
                <w:rFonts w:eastAsiaTheme="minorEastAsia"/>
                <w:kern w:val="0"/>
                <w:szCs w:val="21"/>
              </w:rPr>
            </w:pPr>
            <w:r w:rsidRPr="00FC1444">
              <w:rPr>
                <w:rFonts w:eastAsiaTheme="minorEastAsia"/>
                <w:szCs w:val="21"/>
              </w:rPr>
              <w:t>硝酸盐</w:t>
            </w:r>
          </w:p>
        </w:tc>
        <w:tc>
          <w:tcPr>
            <w:tcW w:w="823"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hint="eastAsia"/>
                <w:szCs w:val="21"/>
              </w:rPr>
              <w:t>0.01</w:t>
            </w:r>
          </w:p>
        </w:tc>
        <w:tc>
          <w:tcPr>
            <w:tcW w:w="980"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hint="eastAsia"/>
                <w:szCs w:val="21"/>
              </w:rPr>
              <w:t>0.02</w:t>
            </w:r>
          </w:p>
        </w:tc>
        <w:tc>
          <w:tcPr>
            <w:tcW w:w="748" w:type="pct"/>
            <w:vAlign w:val="center"/>
          </w:tcPr>
          <w:p w:rsidR="009C6CA7" w:rsidRPr="00FC1444" w:rsidRDefault="009C6CA7" w:rsidP="009C6CA7">
            <w:pPr>
              <w:jc w:val="center"/>
              <w:rPr>
                <w:rFonts w:eastAsiaTheme="minorEastAsia"/>
                <w:szCs w:val="21"/>
              </w:rPr>
            </w:pPr>
            <w:r w:rsidRPr="00FC1444">
              <w:rPr>
                <w:rFonts w:eastAsiaTheme="minorEastAsia" w:hint="eastAsia"/>
                <w:szCs w:val="21"/>
              </w:rPr>
              <w:t>0.01</w:t>
            </w:r>
          </w:p>
        </w:tc>
        <w:tc>
          <w:tcPr>
            <w:tcW w:w="746" w:type="pct"/>
            <w:vAlign w:val="center"/>
          </w:tcPr>
          <w:p w:rsidR="009C6CA7" w:rsidRPr="00FC1444" w:rsidRDefault="009C6CA7" w:rsidP="009C6CA7">
            <w:pPr>
              <w:jc w:val="center"/>
              <w:rPr>
                <w:rFonts w:eastAsiaTheme="minorEastAsia"/>
                <w:szCs w:val="21"/>
              </w:rPr>
            </w:pPr>
            <w:r w:rsidRPr="00FC1444">
              <w:rPr>
                <w:rFonts w:eastAsiaTheme="minorEastAsia" w:hint="eastAsia"/>
                <w:szCs w:val="21"/>
              </w:rPr>
              <w:t>0.02</w:t>
            </w:r>
          </w:p>
        </w:tc>
      </w:tr>
      <w:tr w:rsidR="002A5A5E" w:rsidRPr="00FC1444" w:rsidTr="009C6CA7">
        <w:trPr>
          <w:trHeight w:val="300"/>
          <w:jc w:val="center"/>
        </w:trPr>
        <w:tc>
          <w:tcPr>
            <w:tcW w:w="55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9</w:t>
            </w:r>
          </w:p>
        </w:tc>
        <w:tc>
          <w:tcPr>
            <w:tcW w:w="1147" w:type="pct"/>
            <w:vAlign w:val="center"/>
          </w:tcPr>
          <w:p w:rsidR="002A5A5E" w:rsidRPr="00FC1444" w:rsidRDefault="00611CBA" w:rsidP="009C6CA7">
            <w:pPr>
              <w:widowControl/>
              <w:spacing w:line="0" w:lineRule="atLeast"/>
              <w:contextualSpacing/>
              <w:jc w:val="center"/>
              <w:rPr>
                <w:rFonts w:eastAsiaTheme="minorEastAsia"/>
                <w:kern w:val="0"/>
                <w:szCs w:val="21"/>
              </w:rPr>
            </w:pPr>
            <w:r w:rsidRPr="00FC1444">
              <w:rPr>
                <w:rFonts w:eastAsiaTheme="minorEastAsia"/>
                <w:szCs w:val="21"/>
              </w:rPr>
              <w:t>亚硝酸盐</w:t>
            </w:r>
          </w:p>
        </w:tc>
        <w:tc>
          <w:tcPr>
            <w:tcW w:w="823"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980"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8"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r>
      <w:tr w:rsidR="009C6CA7" w:rsidRPr="00FC1444" w:rsidTr="009C6CA7">
        <w:trPr>
          <w:trHeight w:val="167"/>
          <w:jc w:val="center"/>
        </w:trPr>
        <w:tc>
          <w:tcPr>
            <w:tcW w:w="556"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szCs w:val="21"/>
              </w:rPr>
              <w:t>10</w:t>
            </w:r>
          </w:p>
        </w:tc>
        <w:tc>
          <w:tcPr>
            <w:tcW w:w="1147" w:type="pct"/>
            <w:vAlign w:val="center"/>
          </w:tcPr>
          <w:p w:rsidR="009C6CA7" w:rsidRPr="00FC1444" w:rsidRDefault="009C6CA7" w:rsidP="009C6CA7">
            <w:pPr>
              <w:widowControl/>
              <w:spacing w:line="0" w:lineRule="atLeast"/>
              <w:contextualSpacing/>
              <w:jc w:val="center"/>
              <w:rPr>
                <w:rFonts w:eastAsiaTheme="minorEastAsia"/>
                <w:kern w:val="0"/>
                <w:szCs w:val="21"/>
              </w:rPr>
            </w:pPr>
            <w:r w:rsidRPr="00FC1444">
              <w:rPr>
                <w:rFonts w:eastAsiaTheme="minorEastAsia"/>
                <w:szCs w:val="21"/>
              </w:rPr>
              <w:t>氨氮</w:t>
            </w:r>
          </w:p>
        </w:tc>
        <w:tc>
          <w:tcPr>
            <w:tcW w:w="823"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hint="eastAsia"/>
                <w:szCs w:val="21"/>
              </w:rPr>
              <w:t>0.85</w:t>
            </w:r>
          </w:p>
        </w:tc>
        <w:tc>
          <w:tcPr>
            <w:tcW w:w="980" w:type="pct"/>
            <w:vAlign w:val="center"/>
          </w:tcPr>
          <w:p w:rsidR="009C6CA7" w:rsidRPr="00FC1444" w:rsidRDefault="009C6CA7" w:rsidP="009C6CA7">
            <w:pPr>
              <w:widowControl/>
              <w:spacing w:line="0" w:lineRule="atLeast"/>
              <w:contextualSpacing/>
              <w:jc w:val="center"/>
              <w:rPr>
                <w:rFonts w:eastAsiaTheme="minorEastAsia"/>
                <w:szCs w:val="21"/>
              </w:rPr>
            </w:pPr>
            <w:r w:rsidRPr="00FC1444">
              <w:rPr>
                <w:rFonts w:eastAsiaTheme="minorEastAsia" w:hint="eastAsia"/>
                <w:szCs w:val="21"/>
              </w:rPr>
              <w:t>0.77</w:t>
            </w:r>
          </w:p>
        </w:tc>
        <w:tc>
          <w:tcPr>
            <w:tcW w:w="748" w:type="pct"/>
            <w:vAlign w:val="center"/>
          </w:tcPr>
          <w:p w:rsidR="009C6CA7" w:rsidRPr="00FC1444" w:rsidRDefault="009C6CA7" w:rsidP="009C6CA7">
            <w:pPr>
              <w:jc w:val="center"/>
              <w:rPr>
                <w:rFonts w:eastAsiaTheme="minorEastAsia"/>
                <w:szCs w:val="21"/>
              </w:rPr>
            </w:pPr>
            <w:r w:rsidRPr="00FC1444">
              <w:rPr>
                <w:rFonts w:eastAsiaTheme="minorEastAsia" w:hint="eastAsia"/>
                <w:szCs w:val="21"/>
              </w:rPr>
              <w:t>0.68</w:t>
            </w:r>
          </w:p>
        </w:tc>
        <w:tc>
          <w:tcPr>
            <w:tcW w:w="746" w:type="pct"/>
            <w:vAlign w:val="center"/>
          </w:tcPr>
          <w:p w:rsidR="009C6CA7" w:rsidRPr="00FC1444" w:rsidRDefault="009C6CA7" w:rsidP="009C6CA7">
            <w:pPr>
              <w:jc w:val="center"/>
              <w:rPr>
                <w:rFonts w:eastAsiaTheme="minorEastAsia"/>
                <w:szCs w:val="21"/>
              </w:rPr>
            </w:pPr>
            <w:r w:rsidRPr="00FC1444">
              <w:rPr>
                <w:rFonts w:eastAsiaTheme="minorEastAsia" w:hint="eastAsia"/>
                <w:szCs w:val="21"/>
              </w:rPr>
              <w:t>0.92</w:t>
            </w:r>
          </w:p>
        </w:tc>
      </w:tr>
      <w:tr w:rsidR="002A5A5E" w:rsidRPr="00FC1444" w:rsidTr="009C6CA7">
        <w:trPr>
          <w:trHeight w:val="300"/>
          <w:jc w:val="center"/>
        </w:trPr>
        <w:tc>
          <w:tcPr>
            <w:tcW w:w="55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11</w:t>
            </w:r>
          </w:p>
        </w:tc>
        <w:tc>
          <w:tcPr>
            <w:tcW w:w="1147" w:type="pct"/>
            <w:vAlign w:val="center"/>
          </w:tcPr>
          <w:p w:rsidR="002A5A5E" w:rsidRPr="00FC1444" w:rsidRDefault="00611CBA" w:rsidP="009C6CA7">
            <w:pPr>
              <w:widowControl/>
              <w:spacing w:line="0" w:lineRule="atLeast"/>
              <w:contextualSpacing/>
              <w:jc w:val="center"/>
              <w:rPr>
                <w:rFonts w:eastAsiaTheme="minorEastAsia"/>
                <w:kern w:val="0"/>
                <w:szCs w:val="21"/>
              </w:rPr>
            </w:pPr>
            <w:r w:rsidRPr="00FC1444">
              <w:rPr>
                <w:rFonts w:eastAsiaTheme="minorEastAsia"/>
                <w:szCs w:val="21"/>
              </w:rPr>
              <w:t>六价铬</w:t>
            </w:r>
          </w:p>
        </w:tc>
        <w:tc>
          <w:tcPr>
            <w:tcW w:w="823"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980"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8"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r>
      <w:tr w:rsidR="002A5A5E" w:rsidRPr="00FC1444" w:rsidTr="009C6CA7">
        <w:trPr>
          <w:trHeight w:val="300"/>
          <w:jc w:val="center"/>
        </w:trPr>
        <w:tc>
          <w:tcPr>
            <w:tcW w:w="55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12</w:t>
            </w:r>
          </w:p>
        </w:tc>
        <w:tc>
          <w:tcPr>
            <w:tcW w:w="1147" w:type="pct"/>
            <w:vAlign w:val="center"/>
          </w:tcPr>
          <w:p w:rsidR="002A5A5E" w:rsidRPr="00FC1444" w:rsidRDefault="00611CBA" w:rsidP="009C6CA7">
            <w:pPr>
              <w:widowControl/>
              <w:spacing w:line="0" w:lineRule="atLeast"/>
              <w:contextualSpacing/>
              <w:jc w:val="center"/>
              <w:rPr>
                <w:rFonts w:eastAsiaTheme="minorEastAsia"/>
                <w:kern w:val="0"/>
                <w:szCs w:val="21"/>
              </w:rPr>
            </w:pPr>
            <w:r w:rsidRPr="00FC1444">
              <w:rPr>
                <w:rFonts w:eastAsiaTheme="minorEastAsia"/>
                <w:szCs w:val="21"/>
              </w:rPr>
              <w:t>氟化物</w:t>
            </w:r>
          </w:p>
        </w:tc>
        <w:tc>
          <w:tcPr>
            <w:tcW w:w="823"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980"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8"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r>
      <w:tr w:rsidR="002A5A5E" w:rsidRPr="00FC1444" w:rsidTr="009C6CA7">
        <w:trPr>
          <w:trHeight w:val="300"/>
          <w:jc w:val="center"/>
        </w:trPr>
        <w:tc>
          <w:tcPr>
            <w:tcW w:w="556" w:type="pct"/>
            <w:vAlign w:val="center"/>
          </w:tcPr>
          <w:p w:rsidR="002A5A5E" w:rsidRPr="00FC1444" w:rsidRDefault="00611CBA" w:rsidP="009C6CA7">
            <w:pPr>
              <w:widowControl/>
              <w:spacing w:line="0" w:lineRule="atLeast"/>
              <w:contextualSpacing/>
              <w:jc w:val="center"/>
              <w:rPr>
                <w:rFonts w:eastAsiaTheme="minorEastAsia"/>
                <w:szCs w:val="21"/>
                <w:lang w:val="zh-CN"/>
              </w:rPr>
            </w:pPr>
            <w:r w:rsidRPr="00FC1444">
              <w:rPr>
                <w:rFonts w:eastAsiaTheme="minorEastAsia"/>
                <w:szCs w:val="21"/>
                <w:lang w:val="zh-CN"/>
              </w:rPr>
              <w:t>13</w:t>
            </w:r>
          </w:p>
        </w:tc>
        <w:tc>
          <w:tcPr>
            <w:tcW w:w="1147" w:type="pct"/>
            <w:vAlign w:val="center"/>
          </w:tcPr>
          <w:p w:rsidR="002A5A5E" w:rsidRPr="00FC1444" w:rsidRDefault="00611CBA" w:rsidP="009C6CA7">
            <w:pPr>
              <w:widowControl/>
              <w:spacing w:line="0" w:lineRule="atLeast"/>
              <w:contextualSpacing/>
              <w:jc w:val="center"/>
              <w:rPr>
                <w:rFonts w:eastAsiaTheme="minorEastAsia"/>
                <w:kern w:val="0"/>
                <w:szCs w:val="21"/>
              </w:rPr>
            </w:pPr>
            <w:r w:rsidRPr="00FC1444">
              <w:rPr>
                <w:rFonts w:eastAsiaTheme="minorEastAsia"/>
                <w:szCs w:val="21"/>
              </w:rPr>
              <w:t>氰化物</w:t>
            </w:r>
          </w:p>
        </w:tc>
        <w:tc>
          <w:tcPr>
            <w:tcW w:w="823"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980"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8"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r>
      <w:tr w:rsidR="002A5A5E" w:rsidRPr="00FC1444" w:rsidTr="009C6CA7">
        <w:trPr>
          <w:trHeight w:val="300"/>
          <w:jc w:val="center"/>
        </w:trPr>
        <w:tc>
          <w:tcPr>
            <w:tcW w:w="556" w:type="pct"/>
            <w:vAlign w:val="center"/>
          </w:tcPr>
          <w:p w:rsidR="002A5A5E" w:rsidRPr="00FC1444" w:rsidRDefault="00611CBA" w:rsidP="009C6CA7">
            <w:pPr>
              <w:widowControl/>
              <w:spacing w:line="0" w:lineRule="atLeast"/>
              <w:contextualSpacing/>
              <w:jc w:val="center"/>
              <w:rPr>
                <w:rFonts w:eastAsiaTheme="minorEastAsia"/>
                <w:szCs w:val="21"/>
                <w:lang w:val="zh-CN"/>
              </w:rPr>
            </w:pPr>
            <w:r w:rsidRPr="00FC1444">
              <w:rPr>
                <w:rFonts w:eastAsiaTheme="minorEastAsia"/>
                <w:szCs w:val="21"/>
                <w:lang w:val="zh-CN"/>
              </w:rPr>
              <w:t>14</w:t>
            </w:r>
          </w:p>
        </w:tc>
        <w:tc>
          <w:tcPr>
            <w:tcW w:w="1147" w:type="pct"/>
            <w:vAlign w:val="center"/>
          </w:tcPr>
          <w:p w:rsidR="002A5A5E" w:rsidRPr="00FC1444" w:rsidRDefault="00611CBA" w:rsidP="009C6CA7">
            <w:pPr>
              <w:widowControl/>
              <w:spacing w:line="0" w:lineRule="atLeast"/>
              <w:contextualSpacing/>
              <w:jc w:val="center"/>
              <w:rPr>
                <w:rFonts w:eastAsiaTheme="minorEastAsia"/>
                <w:kern w:val="0"/>
                <w:szCs w:val="21"/>
              </w:rPr>
            </w:pPr>
            <w:r w:rsidRPr="00FC1444">
              <w:rPr>
                <w:rFonts w:eastAsiaTheme="minorEastAsia"/>
                <w:szCs w:val="21"/>
              </w:rPr>
              <w:t>总大肠菌群</w:t>
            </w:r>
          </w:p>
        </w:tc>
        <w:tc>
          <w:tcPr>
            <w:tcW w:w="823"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980"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8"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6" w:type="pct"/>
            <w:vAlign w:val="center"/>
          </w:tcPr>
          <w:p w:rsidR="002A5A5E" w:rsidRPr="00FC1444" w:rsidRDefault="00611CBA" w:rsidP="009C6CA7">
            <w:pPr>
              <w:widowControl/>
              <w:spacing w:line="0" w:lineRule="atLeast"/>
              <w:contextualSpacing/>
              <w:jc w:val="center"/>
              <w:rPr>
                <w:rFonts w:eastAsiaTheme="minorEastAsia"/>
                <w:szCs w:val="21"/>
              </w:rPr>
            </w:pPr>
            <w:r w:rsidRPr="00FC1444">
              <w:rPr>
                <w:rFonts w:eastAsiaTheme="minorEastAsia"/>
                <w:szCs w:val="21"/>
              </w:rPr>
              <w:t>未检出</w:t>
            </w:r>
          </w:p>
        </w:tc>
      </w:tr>
      <w:tr w:rsidR="00D02FC8" w:rsidRPr="00FC1444" w:rsidTr="009C6CA7">
        <w:trPr>
          <w:trHeight w:val="300"/>
          <w:jc w:val="center"/>
        </w:trPr>
        <w:tc>
          <w:tcPr>
            <w:tcW w:w="556" w:type="pct"/>
            <w:vAlign w:val="center"/>
          </w:tcPr>
          <w:p w:rsidR="00D02FC8" w:rsidRPr="00FC1444" w:rsidRDefault="00D02FC8" w:rsidP="009C6CA7">
            <w:pPr>
              <w:widowControl/>
              <w:spacing w:line="0" w:lineRule="atLeast"/>
              <w:contextualSpacing/>
              <w:jc w:val="center"/>
              <w:rPr>
                <w:rFonts w:eastAsiaTheme="minorEastAsia"/>
                <w:szCs w:val="21"/>
                <w:lang w:val="zh-CN"/>
              </w:rPr>
            </w:pPr>
            <w:r w:rsidRPr="00FC1444">
              <w:rPr>
                <w:rFonts w:eastAsiaTheme="minorEastAsia"/>
                <w:szCs w:val="21"/>
                <w:lang w:val="zh-CN"/>
              </w:rPr>
              <w:t>15</w:t>
            </w:r>
          </w:p>
        </w:tc>
        <w:tc>
          <w:tcPr>
            <w:tcW w:w="1147" w:type="pct"/>
            <w:vAlign w:val="center"/>
          </w:tcPr>
          <w:p w:rsidR="00D02FC8" w:rsidRPr="00FC1444" w:rsidRDefault="00D02FC8" w:rsidP="009C6CA7">
            <w:pPr>
              <w:widowControl/>
              <w:spacing w:line="0" w:lineRule="atLeast"/>
              <w:contextualSpacing/>
              <w:jc w:val="center"/>
              <w:rPr>
                <w:rFonts w:eastAsiaTheme="minorEastAsia"/>
                <w:kern w:val="0"/>
                <w:szCs w:val="21"/>
              </w:rPr>
            </w:pPr>
            <w:r w:rsidRPr="00FC1444">
              <w:rPr>
                <w:rFonts w:eastAsiaTheme="minorEastAsia"/>
                <w:szCs w:val="21"/>
              </w:rPr>
              <w:t>菌落总数</w:t>
            </w:r>
          </w:p>
        </w:tc>
        <w:tc>
          <w:tcPr>
            <w:tcW w:w="823"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980"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8"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6"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r>
      <w:tr w:rsidR="00994519" w:rsidRPr="00FC1444" w:rsidTr="006D631B">
        <w:trPr>
          <w:trHeight w:val="300"/>
          <w:jc w:val="center"/>
        </w:trPr>
        <w:tc>
          <w:tcPr>
            <w:tcW w:w="556" w:type="pct"/>
            <w:vAlign w:val="center"/>
          </w:tcPr>
          <w:p w:rsidR="00994519" w:rsidRPr="00FC1444" w:rsidRDefault="00994519" w:rsidP="009C6CA7">
            <w:pPr>
              <w:widowControl/>
              <w:spacing w:line="0" w:lineRule="atLeast"/>
              <w:contextualSpacing/>
              <w:jc w:val="center"/>
              <w:rPr>
                <w:rFonts w:eastAsiaTheme="minorEastAsia"/>
                <w:szCs w:val="21"/>
                <w:lang w:val="zh-CN"/>
              </w:rPr>
            </w:pPr>
            <w:r w:rsidRPr="00FC1444">
              <w:rPr>
                <w:rFonts w:eastAsiaTheme="minorEastAsia"/>
                <w:szCs w:val="21"/>
                <w:lang w:val="zh-CN"/>
              </w:rPr>
              <w:t>16</w:t>
            </w:r>
          </w:p>
        </w:tc>
        <w:tc>
          <w:tcPr>
            <w:tcW w:w="1147" w:type="pct"/>
            <w:vAlign w:val="center"/>
          </w:tcPr>
          <w:p w:rsidR="00994519" w:rsidRPr="00FC1444" w:rsidRDefault="00994519" w:rsidP="009C6CA7">
            <w:pPr>
              <w:widowControl/>
              <w:spacing w:line="0" w:lineRule="atLeast"/>
              <w:contextualSpacing/>
              <w:jc w:val="center"/>
              <w:rPr>
                <w:rFonts w:eastAsiaTheme="minorEastAsia"/>
                <w:kern w:val="0"/>
                <w:szCs w:val="21"/>
              </w:rPr>
            </w:pPr>
            <w:r w:rsidRPr="00FC1444">
              <w:rPr>
                <w:rFonts w:eastAsiaTheme="minorEastAsia"/>
                <w:szCs w:val="21"/>
              </w:rPr>
              <w:t>铁</w:t>
            </w:r>
          </w:p>
        </w:tc>
        <w:tc>
          <w:tcPr>
            <w:tcW w:w="823" w:type="pct"/>
            <w:vAlign w:val="bottom"/>
          </w:tcPr>
          <w:p w:rsidR="00994519" w:rsidRPr="00FC1444" w:rsidRDefault="00994519" w:rsidP="00994519">
            <w:pPr>
              <w:widowControl/>
              <w:spacing w:line="0" w:lineRule="atLeast"/>
              <w:contextualSpacing/>
              <w:jc w:val="center"/>
              <w:rPr>
                <w:rFonts w:eastAsiaTheme="minorEastAsia"/>
                <w:szCs w:val="21"/>
              </w:rPr>
            </w:pPr>
            <w:r w:rsidRPr="00FC1444">
              <w:rPr>
                <w:rFonts w:eastAsiaTheme="minorEastAsia" w:hint="eastAsia"/>
                <w:szCs w:val="21"/>
              </w:rPr>
              <w:t xml:space="preserve">1.77 </w:t>
            </w:r>
          </w:p>
        </w:tc>
        <w:tc>
          <w:tcPr>
            <w:tcW w:w="980" w:type="pct"/>
            <w:vAlign w:val="bottom"/>
          </w:tcPr>
          <w:p w:rsidR="00994519" w:rsidRPr="00FC1444" w:rsidRDefault="00994519" w:rsidP="00994519">
            <w:pPr>
              <w:widowControl/>
              <w:spacing w:line="0" w:lineRule="atLeast"/>
              <w:contextualSpacing/>
              <w:jc w:val="center"/>
              <w:rPr>
                <w:rFonts w:eastAsiaTheme="minorEastAsia"/>
                <w:szCs w:val="21"/>
              </w:rPr>
            </w:pPr>
            <w:r w:rsidRPr="00FC1444">
              <w:rPr>
                <w:rFonts w:eastAsiaTheme="minorEastAsia" w:hint="eastAsia"/>
                <w:szCs w:val="21"/>
              </w:rPr>
              <w:t xml:space="preserve">1.57 </w:t>
            </w:r>
          </w:p>
        </w:tc>
        <w:tc>
          <w:tcPr>
            <w:tcW w:w="748" w:type="pct"/>
            <w:vAlign w:val="bottom"/>
          </w:tcPr>
          <w:p w:rsidR="00994519" w:rsidRPr="00FC1444" w:rsidRDefault="00994519" w:rsidP="00994519">
            <w:pPr>
              <w:widowControl/>
              <w:spacing w:line="0" w:lineRule="atLeast"/>
              <w:contextualSpacing/>
              <w:jc w:val="center"/>
              <w:rPr>
                <w:rFonts w:eastAsiaTheme="minorEastAsia"/>
                <w:szCs w:val="21"/>
              </w:rPr>
            </w:pPr>
            <w:r w:rsidRPr="00FC1444">
              <w:rPr>
                <w:rFonts w:eastAsiaTheme="minorEastAsia" w:hint="eastAsia"/>
                <w:szCs w:val="21"/>
              </w:rPr>
              <w:t xml:space="preserve">1.87 </w:t>
            </w:r>
          </w:p>
        </w:tc>
        <w:tc>
          <w:tcPr>
            <w:tcW w:w="746" w:type="pct"/>
            <w:vAlign w:val="bottom"/>
          </w:tcPr>
          <w:p w:rsidR="00994519" w:rsidRPr="00FC1444" w:rsidRDefault="00994519" w:rsidP="00994519">
            <w:pPr>
              <w:widowControl/>
              <w:spacing w:line="0" w:lineRule="atLeast"/>
              <w:contextualSpacing/>
              <w:jc w:val="center"/>
              <w:rPr>
                <w:rFonts w:eastAsiaTheme="minorEastAsia"/>
                <w:szCs w:val="21"/>
              </w:rPr>
            </w:pPr>
            <w:r w:rsidRPr="00FC1444">
              <w:rPr>
                <w:rFonts w:eastAsiaTheme="minorEastAsia" w:hint="eastAsia"/>
                <w:szCs w:val="21"/>
              </w:rPr>
              <w:t xml:space="preserve">2.37 </w:t>
            </w:r>
          </w:p>
        </w:tc>
      </w:tr>
      <w:tr w:rsidR="00994519" w:rsidRPr="00FC1444" w:rsidTr="00673AC0">
        <w:trPr>
          <w:trHeight w:val="66"/>
          <w:jc w:val="center"/>
        </w:trPr>
        <w:tc>
          <w:tcPr>
            <w:tcW w:w="556" w:type="pct"/>
            <w:vAlign w:val="center"/>
          </w:tcPr>
          <w:p w:rsidR="00994519" w:rsidRPr="00FC1444" w:rsidRDefault="00994519" w:rsidP="009C6CA7">
            <w:pPr>
              <w:widowControl/>
              <w:spacing w:line="0" w:lineRule="atLeast"/>
              <w:contextualSpacing/>
              <w:jc w:val="center"/>
              <w:rPr>
                <w:rFonts w:eastAsiaTheme="minorEastAsia"/>
                <w:szCs w:val="21"/>
                <w:lang w:val="zh-CN"/>
              </w:rPr>
            </w:pPr>
            <w:r w:rsidRPr="00FC1444">
              <w:rPr>
                <w:rFonts w:eastAsiaTheme="minorEastAsia"/>
                <w:szCs w:val="21"/>
                <w:lang w:val="zh-CN"/>
              </w:rPr>
              <w:t>17</w:t>
            </w:r>
          </w:p>
        </w:tc>
        <w:tc>
          <w:tcPr>
            <w:tcW w:w="1147" w:type="pct"/>
            <w:vAlign w:val="center"/>
          </w:tcPr>
          <w:p w:rsidR="00994519" w:rsidRPr="00FC1444" w:rsidRDefault="00994519" w:rsidP="009C6CA7">
            <w:pPr>
              <w:widowControl/>
              <w:spacing w:line="0" w:lineRule="atLeast"/>
              <w:contextualSpacing/>
              <w:jc w:val="center"/>
              <w:rPr>
                <w:rFonts w:eastAsiaTheme="minorEastAsia"/>
                <w:kern w:val="0"/>
                <w:szCs w:val="21"/>
              </w:rPr>
            </w:pPr>
            <w:r w:rsidRPr="00FC1444">
              <w:rPr>
                <w:rFonts w:eastAsiaTheme="minorEastAsia"/>
                <w:kern w:val="0"/>
                <w:szCs w:val="21"/>
              </w:rPr>
              <w:t>锰</w:t>
            </w:r>
          </w:p>
        </w:tc>
        <w:tc>
          <w:tcPr>
            <w:tcW w:w="823" w:type="pct"/>
            <w:vAlign w:val="bottom"/>
          </w:tcPr>
          <w:p w:rsidR="00994519" w:rsidRPr="00FC1444" w:rsidRDefault="00994519" w:rsidP="00994519">
            <w:pPr>
              <w:widowControl/>
              <w:spacing w:line="0" w:lineRule="atLeast"/>
              <w:contextualSpacing/>
              <w:jc w:val="center"/>
              <w:rPr>
                <w:rFonts w:eastAsiaTheme="minorEastAsia"/>
                <w:szCs w:val="21"/>
              </w:rPr>
            </w:pPr>
            <w:r w:rsidRPr="00FC1444">
              <w:rPr>
                <w:rFonts w:eastAsiaTheme="minorEastAsia" w:hint="eastAsia"/>
                <w:szCs w:val="21"/>
              </w:rPr>
              <w:t xml:space="preserve">8.10 </w:t>
            </w:r>
          </w:p>
        </w:tc>
        <w:tc>
          <w:tcPr>
            <w:tcW w:w="980" w:type="pct"/>
            <w:vAlign w:val="bottom"/>
          </w:tcPr>
          <w:p w:rsidR="00994519" w:rsidRPr="00FC1444" w:rsidRDefault="00994519" w:rsidP="00994519">
            <w:pPr>
              <w:widowControl/>
              <w:spacing w:line="0" w:lineRule="atLeast"/>
              <w:contextualSpacing/>
              <w:jc w:val="center"/>
              <w:rPr>
                <w:rFonts w:eastAsiaTheme="minorEastAsia"/>
                <w:szCs w:val="21"/>
              </w:rPr>
            </w:pPr>
            <w:r w:rsidRPr="00FC1444">
              <w:rPr>
                <w:rFonts w:eastAsiaTheme="minorEastAsia" w:hint="eastAsia"/>
                <w:szCs w:val="21"/>
              </w:rPr>
              <w:t xml:space="preserve">7.80 </w:t>
            </w:r>
          </w:p>
        </w:tc>
        <w:tc>
          <w:tcPr>
            <w:tcW w:w="748" w:type="pct"/>
            <w:vAlign w:val="bottom"/>
          </w:tcPr>
          <w:p w:rsidR="00994519" w:rsidRPr="00FC1444" w:rsidRDefault="00994519" w:rsidP="00994519">
            <w:pPr>
              <w:widowControl/>
              <w:spacing w:line="0" w:lineRule="atLeast"/>
              <w:contextualSpacing/>
              <w:jc w:val="center"/>
              <w:rPr>
                <w:rFonts w:eastAsiaTheme="minorEastAsia"/>
                <w:szCs w:val="21"/>
              </w:rPr>
            </w:pPr>
            <w:r w:rsidRPr="00FC1444">
              <w:rPr>
                <w:rFonts w:eastAsiaTheme="minorEastAsia" w:hint="eastAsia"/>
                <w:szCs w:val="21"/>
              </w:rPr>
              <w:t xml:space="preserve">8.30 </w:t>
            </w:r>
          </w:p>
        </w:tc>
        <w:tc>
          <w:tcPr>
            <w:tcW w:w="746" w:type="pct"/>
            <w:vAlign w:val="bottom"/>
          </w:tcPr>
          <w:p w:rsidR="00994519" w:rsidRPr="00FC1444" w:rsidRDefault="00994519" w:rsidP="00994519">
            <w:pPr>
              <w:widowControl/>
              <w:spacing w:line="0" w:lineRule="atLeast"/>
              <w:contextualSpacing/>
              <w:jc w:val="center"/>
              <w:rPr>
                <w:rFonts w:eastAsiaTheme="minorEastAsia"/>
                <w:szCs w:val="21"/>
              </w:rPr>
            </w:pPr>
            <w:r w:rsidRPr="00FC1444">
              <w:rPr>
                <w:rFonts w:eastAsiaTheme="minorEastAsia" w:hint="eastAsia"/>
                <w:szCs w:val="21"/>
              </w:rPr>
              <w:t xml:space="preserve">8.80 </w:t>
            </w:r>
          </w:p>
        </w:tc>
      </w:tr>
      <w:tr w:rsidR="00D02FC8" w:rsidRPr="00FC1444" w:rsidTr="009C6CA7">
        <w:trPr>
          <w:trHeight w:val="300"/>
          <w:jc w:val="center"/>
        </w:trPr>
        <w:tc>
          <w:tcPr>
            <w:tcW w:w="556" w:type="pct"/>
            <w:vAlign w:val="center"/>
          </w:tcPr>
          <w:p w:rsidR="00D02FC8" w:rsidRPr="00FC1444" w:rsidRDefault="00D02FC8" w:rsidP="009C6CA7">
            <w:pPr>
              <w:widowControl/>
              <w:spacing w:line="0" w:lineRule="atLeast"/>
              <w:contextualSpacing/>
              <w:jc w:val="center"/>
              <w:rPr>
                <w:rFonts w:eastAsiaTheme="minorEastAsia"/>
                <w:szCs w:val="21"/>
                <w:lang w:val="zh-CN"/>
              </w:rPr>
            </w:pPr>
            <w:r w:rsidRPr="00FC1444">
              <w:rPr>
                <w:rFonts w:eastAsiaTheme="minorEastAsia"/>
                <w:szCs w:val="21"/>
                <w:lang w:val="zh-CN"/>
              </w:rPr>
              <w:t>18</w:t>
            </w:r>
          </w:p>
        </w:tc>
        <w:tc>
          <w:tcPr>
            <w:tcW w:w="1147" w:type="pct"/>
            <w:vAlign w:val="center"/>
          </w:tcPr>
          <w:p w:rsidR="00D02FC8" w:rsidRPr="00FC1444" w:rsidRDefault="00D02FC8" w:rsidP="009C6CA7">
            <w:pPr>
              <w:widowControl/>
              <w:spacing w:line="0" w:lineRule="atLeast"/>
              <w:contextualSpacing/>
              <w:jc w:val="center"/>
              <w:rPr>
                <w:rFonts w:eastAsiaTheme="minorEastAsia"/>
                <w:kern w:val="0"/>
                <w:szCs w:val="21"/>
              </w:rPr>
            </w:pPr>
            <w:r w:rsidRPr="00FC1444">
              <w:rPr>
                <w:rFonts w:eastAsiaTheme="minorEastAsia"/>
                <w:szCs w:val="21"/>
              </w:rPr>
              <w:t>砷</w:t>
            </w:r>
          </w:p>
        </w:tc>
        <w:tc>
          <w:tcPr>
            <w:tcW w:w="823"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980"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8"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6"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r>
      <w:tr w:rsidR="00D02FC8" w:rsidRPr="00FC1444" w:rsidTr="009C6CA7">
        <w:trPr>
          <w:trHeight w:val="300"/>
          <w:jc w:val="center"/>
        </w:trPr>
        <w:tc>
          <w:tcPr>
            <w:tcW w:w="556" w:type="pct"/>
            <w:vAlign w:val="center"/>
          </w:tcPr>
          <w:p w:rsidR="00D02FC8" w:rsidRPr="00FC1444" w:rsidRDefault="00D02FC8" w:rsidP="009C6CA7">
            <w:pPr>
              <w:widowControl/>
              <w:spacing w:line="0" w:lineRule="atLeast"/>
              <w:contextualSpacing/>
              <w:jc w:val="center"/>
              <w:rPr>
                <w:rFonts w:eastAsiaTheme="minorEastAsia"/>
                <w:szCs w:val="21"/>
                <w:lang w:val="zh-CN"/>
              </w:rPr>
            </w:pPr>
            <w:r w:rsidRPr="00FC1444">
              <w:rPr>
                <w:rFonts w:eastAsiaTheme="minorEastAsia"/>
                <w:szCs w:val="21"/>
                <w:lang w:val="zh-CN"/>
              </w:rPr>
              <w:t>19</w:t>
            </w:r>
          </w:p>
        </w:tc>
        <w:tc>
          <w:tcPr>
            <w:tcW w:w="1147" w:type="pct"/>
            <w:vAlign w:val="center"/>
          </w:tcPr>
          <w:p w:rsidR="00D02FC8" w:rsidRPr="00FC1444" w:rsidRDefault="00D02FC8" w:rsidP="009C6CA7">
            <w:pPr>
              <w:widowControl/>
              <w:spacing w:line="0" w:lineRule="atLeast"/>
              <w:contextualSpacing/>
              <w:jc w:val="center"/>
              <w:rPr>
                <w:rFonts w:eastAsiaTheme="minorEastAsia"/>
                <w:kern w:val="0"/>
                <w:szCs w:val="21"/>
              </w:rPr>
            </w:pPr>
            <w:r w:rsidRPr="00FC1444">
              <w:rPr>
                <w:rFonts w:eastAsiaTheme="minorEastAsia"/>
                <w:szCs w:val="21"/>
              </w:rPr>
              <w:t>汞</w:t>
            </w:r>
          </w:p>
        </w:tc>
        <w:tc>
          <w:tcPr>
            <w:tcW w:w="823"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980"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8"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6"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r>
      <w:tr w:rsidR="00D02FC8" w:rsidRPr="00FC1444" w:rsidTr="009C6CA7">
        <w:trPr>
          <w:trHeight w:val="300"/>
          <w:jc w:val="center"/>
        </w:trPr>
        <w:tc>
          <w:tcPr>
            <w:tcW w:w="556" w:type="pct"/>
            <w:vAlign w:val="center"/>
          </w:tcPr>
          <w:p w:rsidR="00D02FC8" w:rsidRPr="00FC1444" w:rsidRDefault="00D02FC8" w:rsidP="009C6CA7">
            <w:pPr>
              <w:widowControl/>
              <w:spacing w:line="0" w:lineRule="atLeast"/>
              <w:contextualSpacing/>
              <w:jc w:val="center"/>
              <w:rPr>
                <w:rFonts w:eastAsiaTheme="minorEastAsia"/>
                <w:szCs w:val="21"/>
                <w:lang w:val="zh-CN"/>
              </w:rPr>
            </w:pPr>
            <w:r w:rsidRPr="00FC1444">
              <w:rPr>
                <w:rFonts w:eastAsiaTheme="minorEastAsia"/>
                <w:szCs w:val="21"/>
                <w:lang w:val="zh-CN"/>
              </w:rPr>
              <w:t>20</w:t>
            </w:r>
          </w:p>
        </w:tc>
        <w:tc>
          <w:tcPr>
            <w:tcW w:w="1147" w:type="pct"/>
            <w:vAlign w:val="center"/>
          </w:tcPr>
          <w:p w:rsidR="00D02FC8" w:rsidRPr="00FC1444" w:rsidRDefault="00D02FC8" w:rsidP="009C6CA7">
            <w:pPr>
              <w:widowControl/>
              <w:spacing w:line="0" w:lineRule="atLeast"/>
              <w:contextualSpacing/>
              <w:jc w:val="center"/>
              <w:rPr>
                <w:rFonts w:eastAsiaTheme="minorEastAsia"/>
                <w:kern w:val="0"/>
                <w:szCs w:val="21"/>
              </w:rPr>
            </w:pPr>
            <w:r w:rsidRPr="00FC1444">
              <w:rPr>
                <w:rFonts w:eastAsiaTheme="minorEastAsia"/>
                <w:szCs w:val="21"/>
              </w:rPr>
              <w:t>铅</w:t>
            </w:r>
          </w:p>
        </w:tc>
        <w:tc>
          <w:tcPr>
            <w:tcW w:w="823"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980"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8"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6"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r>
      <w:tr w:rsidR="00D02FC8" w:rsidRPr="00FC1444" w:rsidTr="009C6CA7">
        <w:trPr>
          <w:trHeight w:val="300"/>
          <w:jc w:val="center"/>
        </w:trPr>
        <w:tc>
          <w:tcPr>
            <w:tcW w:w="556" w:type="pct"/>
            <w:vAlign w:val="center"/>
          </w:tcPr>
          <w:p w:rsidR="00D02FC8" w:rsidRPr="00FC1444" w:rsidRDefault="00D02FC8" w:rsidP="009C6CA7">
            <w:pPr>
              <w:widowControl/>
              <w:spacing w:line="0" w:lineRule="atLeast"/>
              <w:contextualSpacing/>
              <w:jc w:val="center"/>
              <w:rPr>
                <w:rFonts w:eastAsiaTheme="minorEastAsia"/>
                <w:szCs w:val="21"/>
                <w:lang w:val="zh-CN"/>
              </w:rPr>
            </w:pPr>
            <w:r w:rsidRPr="00FC1444">
              <w:rPr>
                <w:rFonts w:eastAsiaTheme="minorEastAsia"/>
                <w:szCs w:val="21"/>
                <w:lang w:val="zh-CN"/>
              </w:rPr>
              <w:t>21</w:t>
            </w:r>
          </w:p>
        </w:tc>
        <w:tc>
          <w:tcPr>
            <w:tcW w:w="1147" w:type="pct"/>
            <w:vAlign w:val="center"/>
          </w:tcPr>
          <w:p w:rsidR="00D02FC8" w:rsidRPr="00FC1444" w:rsidRDefault="00D02FC8" w:rsidP="009C6CA7">
            <w:pPr>
              <w:widowControl/>
              <w:spacing w:line="0" w:lineRule="atLeast"/>
              <w:contextualSpacing/>
              <w:jc w:val="center"/>
              <w:rPr>
                <w:rFonts w:eastAsiaTheme="minorEastAsia"/>
                <w:kern w:val="0"/>
                <w:szCs w:val="21"/>
              </w:rPr>
            </w:pPr>
            <w:r w:rsidRPr="00FC1444">
              <w:rPr>
                <w:rFonts w:eastAsiaTheme="minorEastAsia"/>
                <w:szCs w:val="21"/>
              </w:rPr>
              <w:t>镉</w:t>
            </w:r>
          </w:p>
        </w:tc>
        <w:tc>
          <w:tcPr>
            <w:tcW w:w="823"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980"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8"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6"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r>
      <w:tr w:rsidR="003C035B" w:rsidRPr="00FC1444" w:rsidTr="001E6FB2">
        <w:trPr>
          <w:trHeight w:val="300"/>
          <w:jc w:val="center"/>
        </w:trPr>
        <w:tc>
          <w:tcPr>
            <w:tcW w:w="556" w:type="pct"/>
            <w:vAlign w:val="center"/>
          </w:tcPr>
          <w:p w:rsidR="003C035B" w:rsidRPr="00FC1444" w:rsidRDefault="003C035B" w:rsidP="009C6CA7">
            <w:pPr>
              <w:widowControl/>
              <w:spacing w:line="0" w:lineRule="atLeast"/>
              <w:contextualSpacing/>
              <w:jc w:val="center"/>
              <w:rPr>
                <w:rFonts w:eastAsiaTheme="minorEastAsia"/>
                <w:szCs w:val="21"/>
                <w:lang w:val="zh-CN"/>
              </w:rPr>
            </w:pPr>
            <w:r w:rsidRPr="00FC1444">
              <w:rPr>
                <w:rFonts w:eastAsiaTheme="minorEastAsia"/>
                <w:szCs w:val="21"/>
                <w:lang w:val="zh-CN"/>
              </w:rPr>
              <w:t>22</w:t>
            </w:r>
          </w:p>
        </w:tc>
        <w:tc>
          <w:tcPr>
            <w:tcW w:w="1147" w:type="pct"/>
            <w:vAlign w:val="center"/>
          </w:tcPr>
          <w:p w:rsidR="003C035B" w:rsidRPr="00FC1444" w:rsidRDefault="003C035B" w:rsidP="009C6CA7">
            <w:pPr>
              <w:widowControl/>
              <w:spacing w:line="0" w:lineRule="atLeast"/>
              <w:contextualSpacing/>
              <w:jc w:val="center"/>
              <w:rPr>
                <w:rFonts w:eastAsiaTheme="minorEastAsia"/>
                <w:szCs w:val="21"/>
              </w:rPr>
            </w:pPr>
            <w:r w:rsidRPr="00FC1444">
              <w:rPr>
                <w:rFonts w:eastAsiaTheme="minorEastAsia"/>
                <w:szCs w:val="21"/>
              </w:rPr>
              <w:t>钠</w:t>
            </w:r>
          </w:p>
        </w:tc>
        <w:tc>
          <w:tcPr>
            <w:tcW w:w="823" w:type="pct"/>
            <w:vAlign w:val="bottom"/>
          </w:tcPr>
          <w:p w:rsidR="003C035B" w:rsidRPr="00FC1444" w:rsidRDefault="003C035B" w:rsidP="003C035B">
            <w:pPr>
              <w:widowControl/>
              <w:spacing w:line="0" w:lineRule="atLeast"/>
              <w:contextualSpacing/>
              <w:jc w:val="center"/>
              <w:rPr>
                <w:rFonts w:eastAsiaTheme="minorEastAsia"/>
                <w:szCs w:val="21"/>
              </w:rPr>
            </w:pPr>
            <w:r w:rsidRPr="00FC1444">
              <w:rPr>
                <w:rFonts w:eastAsiaTheme="minorEastAsia" w:hint="eastAsia"/>
                <w:szCs w:val="21"/>
              </w:rPr>
              <w:t xml:space="preserve">0.06 </w:t>
            </w:r>
          </w:p>
        </w:tc>
        <w:tc>
          <w:tcPr>
            <w:tcW w:w="980" w:type="pct"/>
            <w:vAlign w:val="bottom"/>
          </w:tcPr>
          <w:p w:rsidR="003C035B" w:rsidRPr="00FC1444" w:rsidRDefault="003C035B" w:rsidP="003C035B">
            <w:pPr>
              <w:widowControl/>
              <w:spacing w:line="0" w:lineRule="atLeast"/>
              <w:contextualSpacing/>
              <w:jc w:val="center"/>
              <w:rPr>
                <w:rFonts w:eastAsiaTheme="minorEastAsia"/>
                <w:szCs w:val="21"/>
              </w:rPr>
            </w:pPr>
            <w:r w:rsidRPr="00FC1444">
              <w:rPr>
                <w:rFonts w:eastAsiaTheme="minorEastAsia" w:hint="eastAsia"/>
                <w:szCs w:val="21"/>
              </w:rPr>
              <w:t xml:space="preserve">0.07 </w:t>
            </w:r>
          </w:p>
        </w:tc>
        <w:tc>
          <w:tcPr>
            <w:tcW w:w="748" w:type="pct"/>
            <w:vAlign w:val="bottom"/>
          </w:tcPr>
          <w:p w:rsidR="003C035B" w:rsidRPr="00FC1444" w:rsidRDefault="003C035B" w:rsidP="003C035B">
            <w:pPr>
              <w:widowControl/>
              <w:spacing w:line="0" w:lineRule="atLeast"/>
              <w:contextualSpacing/>
              <w:jc w:val="center"/>
              <w:rPr>
                <w:rFonts w:eastAsiaTheme="minorEastAsia"/>
                <w:szCs w:val="21"/>
              </w:rPr>
            </w:pPr>
            <w:r w:rsidRPr="00FC1444">
              <w:rPr>
                <w:rFonts w:eastAsiaTheme="minorEastAsia" w:hint="eastAsia"/>
                <w:szCs w:val="21"/>
              </w:rPr>
              <w:t xml:space="preserve">0.05 </w:t>
            </w:r>
          </w:p>
        </w:tc>
        <w:tc>
          <w:tcPr>
            <w:tcW w:w="746" w:type="pct"/>
            <w:vAlign w:val="center"/>
          </w:tcPr>
          <w:p w:rsidR="003C035B" w:rsidRPr="00FC1444" w:rsidRDefault="003C035B" w:rsidP="003C035B">
            <w:pPr>
              <w:widowControl/>
              <w:spacing w:line="0" w:lineRule="atLeast"/>
              <w:contextualSpacing/>
              <w:jc w:val="center"/>
              <w:rPr>
                <w:rFonts w:eastAsiaTheme="minorEastAsia"/>
                <w:szCs w:val="21"/>
              </w:rPr>
            </w:pPr>
            <w:r w:rsidRPr="00FC1444">
              <w:rPr>
                <w:rFonts w:eastAsiaTheme="minorEastAsia" w:hint="eastAsia"/>
                <w:szCs w:val="21"/>
              </w:rPr>
              <w:t>0.03</w:t>
            </w:r>
          </w:p>
        </w:tc>
      </w:tr>
      <w:tr w:rsidR="00D02FC8" w:rsidRPr="00FC1444" w:rsidTr="009C6CA7">
        <w:trPr>
          <w:trHeight w:val="300"/>
          <w:jc w:val="center"/>
        </w:trPr>
        <w:tc>
          <w:tcPr>
            <w:tcW w:w="556" w:type="pct"/>
            <w:vAlign w:val="center"/>
          </w:tcPr>
          <w:p w:rsidR="00D02FC8" w:rsidRPr="00FC1444" w:rsidRDefault="00D02FC8" w:rsidP="009C6CA7">
            <w:pPr>
              <w:widowControl/>
              <w:spacing w:line="0" w:lineRule="atLeast"/>
              <w:contextualSpacing/>
              <w:jc w:val="center"/>
              <w:rPr>
                <w:rFonts w:eastAsiaTheme="minorEastAsia"/>
                <w:szCs w:val="21"/>
                <w:lang w:val="zh-CN"/>
              </w:rPr>
            </w:pPr>
            <w:r w:rsidRPr="00FC1444">
              <w:rPr>
                <w:rFonts w:eastAsiaTheme="minorEastAsia"/>
                <w:szCs w:val="21"/>
                <w:lang w:val="zh-CN"/>
              </w:rPr>
              <w:t>23</w:t>
            </w:r>
          </w:p>
        </w:tc>
        <w:tc>
          <w:tcPr>
            <w:tcW w:w="1147"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石油类</w:t>
            </w:r>
          </w:p>
        </w:tc>
        <w:tc>
          <w:tcPr>
            <w:tcW w:w="823"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980"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8"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c>
          <w:tcPr>
            <w:tcW w:w="746" w:type="pct"/>
            <w:vAlign w:val="center"/>
          </w:tcPr>
          <w:p w:rsidR="00D02FC8" w:rsidRPr="00FC1444" w:rsidRDefault="00D02FC8" w:rsidP="009C6CA7">
            <w:pPr>
              <w:widowControl/>
              <w:spacing w:line="0" w:lineRule="atLeast"/>
              <w:contextualSpacing/>
              <w:jc w:val="center"/>
              <w:rPr>
                <w:rFonts w:eastAsiaTheme="minorEastAsia"/>
                <w:szCs w:val="21"/>
              </w:rPr>
            </w:pPr>
            <w:r w:rsidRPr="00FC1444">
              <w:rPr>
                <w:rFonts w:eastAsiaTheme="minorEastAsia"/>
                <w:szCs w:val="21"/>
              </w:rPr>
              <w:t>未检出</w:t>
            </w:r>
          </w:p>
        </w:tc>
      </w:tr>
    </w:tbl>
    <w:bookmarkEnd w:id="107"/>
    <w:p w:rsidR="002A5A5E" w:rsidRPr="00FC1444" w:rsidRDefault="00611CBA">
      <w:pPr>
        <w:spacing w:line="360" w:lineRule="auto"/>
        <w:ind w:firstLineChars="200" w:firstLine="480"/>
        <w:rPr>
          <w:rFonts w:eastAsiaTheme="minorEastAsia"/>
          <w:sz w:val="24"/>
        </w:rPr>
      </w:pPr>
      <w:r w:rsidRPr="00FC1444">
        <w:rPr>
          <w:rFonts w:ascii="宋体" w:hAnsi="宋体" w:cs="宋体" w:hint="eastAsia"/>
          <w:sz w:val="24"/>
        </w:rPr>
        <w:t>②</w:t>
      </w:r>
      <w:r w:rsidRPr="00FC1444">
        <w:rPr>
          <w:rFonts w:eastAsiaTheme="minorEastAsia"/>
          <w:sz w:val="24"/>
        </w:rPr>
        <w:t>地下水化学类型</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用舒卡列夫分类法对地下水化学类型进行评价。地下水化学类型的舒卡列夫分类是根据地下水中</w:t>
      </w:r>
      <w:r w:rsidRPr="00FC1444">
        <w:rPr>
          <w:rFonts w:eastAsiaTheme="minorEastAsia"/>
          <w:sz w:val="24"/>
        </w:rPr>
        <w:t>6</w:t>
      </w:r>
      <w:r w:rsidRPr="00FC1444">
        <w:rPr>
          <w:rFonts w:eastAsiaTheme="minorEastAsia"/>
          <w:sz w:val="24"/>
        </w:rPr>
        <w:t>种主要离子（</w:t>
      </w:r>
      <w:r w:rsidRPr="00FC1444">
        <w:rPr>
          <w:rFonts w:eastAsiaTheme="minorEastAsia"/>
          <w:sz w:val="24"/>
        </w:rPr>
        <w:t>Na</w:t>
      </w:r>
      <w:r w:rsidRPr="00FC1444">
        <w:rPr>
          <w:rFonts w:eastAsiaTheme="minorEastAsia"/>
          <w:sz w:val="24"/>
          <w:vertAlign w:val="superscript"/>
        </w:rPr>
        <w:t>+</w:t>
      </w:r>
      <w:r w:rsidRPr="00FC1444">
        <w:rPr>
          <w:rFonts w:eastAsiaTheme="minorEastAsia"/>
          <w:sz w:val="24"/>
        </w:rPr>
        <w:t>、</w:t>
      </w:r>
      <w:r w:rsidRPr="00FC1444">
        <w:rPr>
          <w:rFonts w:eastAsiaTheme="minorEastAsia"/>
          <w:sz w:val="24"/>
        </w:rPr>
        <w:t>Ca</w:t>
      </w:r>
      <w:r w:rsidRPr="00FC1444">
        <w:rPr>
          <w:rFonts w:eastAsiaTheme="minorEastAsia"/>
          <w:sz w:val="24"/>
          <w:vertAlign w:val="superscript"/>
        </w:rPr>
        <w:t>2+</w:t>
      </w:r>
      <w:r w:rsidRPr="00FC1444">
        <w:rPr>
          <w:rFonts w:eastAsiaTheme="minorEastAsia"/>
          <w:sz w:val="24"/>
        </w:rPr>
        <w:t>、</w:t>
      </w:r>
      <w:r w:rsidRPr="00FC1444">
        <w:rPr>
          <w:rFonts w:eastAsiaTheme="minorEastAsia"/>
          <w:sz w:val="24"/>
        </w:rPr>
        <w:t>Mg</w:t>
      </w:r>
      <w:r w:rsidRPr="00FC1444">
        <w:rPr>
          <w:rFonts w:eastAsiaTheme="minorEastAsia"/>
          <w:sz w:val="24"/>
          <w:vertAlign w:val="superscript"/>
        </w:rPr>
        <w:t>2+</w:t>
      </w:r>
      <w:r w:rsidRPr="00FC1444">
        <w:rPr>
          <w:rFonts w:eastAsiaTheme="minorEastAsia"/>
          <w:sz w:val="24"/>
        </w:rPr>
        <w:t>、</w:t>
      </w:r>
      <w:r w:rsidRPr="00FC1444">
        <w:rPr>
          <w:rFonts w:eastAsiaTheme="minorEastAsia"/>
          <w:sz w:val="24"/>
        </w:rPr>
        <w:t>HCO</w:t>
      </w:r>
      <w:r w:rsidRPr="00FC1444">
        <w:rPr>
          <w:rFonts w:eastAsiaTheme="minorEastAsia"/>
          <w:sz w:val="24"/>
          <w:vertAlign w:val="subscript"/>
        </w:rPr>
        <w:t>3</w:t>
      </w:r>
      <w:r w:rsidRPr="00FC1444">
        <w:rPr>
          <w:rFonts w:eastAsiaTheme="minorEastAsia"/>
          <w:sz w:val="24"/>
          <w:vertAlign w:val="superscript"/>
        </w:rPr>
        <w:t>-</w:t>
      </w:r>
      <w:r w:rsidRPr="00FC1444">
        <w:rPr>
          <w:rFonts w:eastAsiaTheme="minorEastAsia"/>
          <w:sz w:val="24"/>
        </w:rPr>
        <w:t>、</w:t>
      </w:r>
      <w:r w:rsidRPr="00FC1444">
        <w:rPr>
          <w:rFonts w:eastAsiaTheme="minorEastAsia"/>
          <w:sz w:val="24"/>
        </w:rPr>
        <w:t>SO</w:t>
      </w:r>
      <w:r w:rsidRPr="00FC1444">
        <w:rPr>
          <w:rFonts w:eastAsiaTheme="minorEastAsia"/>
          <w:sz w:val="24"/>
          <w:vertAlign w:val="subscript"/>
        </w:rPr>
        <w:t>4</w:t>
      </w:r>
      <w:r w:rsidRPr="00FC1444">
        <w:rPr>
          <w:rFonts w:eastAsiaTheme="minorEastAsia"/>
          <w:sz w:val="24"/>
          <w:vertAlign w:val="superscript"/>
        </w:rPr>
        <w:t>2-</w:t>
      </w:r>
      <w:r w:rsidRPr="00FC1444">
        <w:rPr>
          <w:rFonts w:eastAsiaTheme="minorEastAsia"/>
          <w:sz w:val="24"/>
        </w:rPr>
        <w:t>、</w:t>
      </w:r>
      <w:r w:rsidRPr="00FC1444">
        <w:rPr>
          <w:rFonts w:eastAsiaTheme="minorEastAsia"/>
          <w:sz w:val="24"/>
        </w:rPr>
        <w:t>Cl</w:t>
      </w:r>
      <w:r w:rsidRPr="00FC1444">
        <w:rPr>
          <w:rFonts w:eastAsiaTheme="minorEastAsia"/>
          <w:sz w:val="24"/>
          <w:vertAlign w:val="superscript"/>
        </w:rPr>
        <w:t>-</w:t>
      </w:r>
      <w:r w:rsidRPr="00FC1444">
        <w:rPr>
          <w:rFonts w:eastAsiaTheme="minorEastAsia"/>
          <w:sz w:val="24"/>
        </w:rPr>
        <w:t>，</w:t>
      </w:r>
      <w:r w:rsidRPr="00FC1444">
        <w:rPr>
          <w:rFonts w:eastAsiaTheme="minorEastAsia"/>
          <w:sz w:val="24"/>
        </w:rPr>
        <w:t>K</w:t>
      </w:r>
      <w:r w:rsidRPr="00FC1444">
        <w:rPr>
          <w:rFonts w:eastAsiaTheme="minorEastAsia"/>
          <w:sz w:val="24"/>
          <w:vertAlign w:val="superscript"/>
        </w:rPr>
        <w:t>+</w:t>
      </w:r>
      <w:r w:rsidRPr="00FC1444">
        <w:rPr>
          <w:rFonts w:eastAsiaTheme="minorEastAsia"/>
          <w:sz w:val="24"/>
        </w:rPr>
        <w:t>合并于</w:t>
      </w:r>
      <w:r w:rsidRPr="00FC1444">
        <w:rPr>
          <w:rFonts w:eastAsiaTheme="minorEastAsia"/>
          <w:sz w:val="24"/>
        </w:rPr>
        <w:t>Na</w:t>
      </w:r>
      <w:r w:rsidRPr="00FC1444">
        <w:rPr>
          <w:rFonts w:eastAsiaTheme="minorEastAsia"/>
          <w:sz w:val="24"/>
          <w:vertAlign w:val="superscript"/>
        </w:rPr>
        <w:t>+</w:t>
      </w:r>
      <w:r w:rsidRPr="00FC1444">
        <w:rPr>
          <w:rFonts w:eastAsiaTheme="minorEastAsia"/>
          <w:sz w:val="24"/>
        </w:rPr>
        <w:t>）。具体步骤如下：</w:t>
      </w:r>
    </w:p>
    <w:p w:rsidR="002A5A5E" w:rsidRPr="00FC1444" w:rsidRDefault="00611CBA">
      <w:pPr>
        <w:spacing w:line="360" w:lineRule="auto"/>
        <w:ind w:firstLineChars="200" w:firstLine="480"/>
        <w:rPr>
          <w:rFonts w:eastAsiaTheme="minorEastAsia"/>
        </w:rPr>
      </w:pPr>
      <w:r w:rsidRPr="00FC1444">
        <w:rPr>
          <w:rFonts w:eastAsiaTheme="minorEastAsia"/>
          <w:sz w:val="24"/>
        </w:rPr>
        <w:t>将</w:t>
      </w:r>
      <w:r w:rsidRPr="00FC1444">
        <w:rPr>
          <w:rFonts w:eastAsiaTheme="minorEastAsia"/>
          <w:sz w:val="24"/>
        </w:rPr>
        <w:t>6</w:t>
      </w:r>
      <w:r w:rsidRPr="00FC1444">
        <w:rPr>
          <w:rFonts w:eastAsiaTheme="minorEastAsia"/>
          <w:sz w:val="24"/>
        </w:rPr>
        <w:t>种主要离子中含量大于</w:t>
      </w:r>
      <w:r w:rsidRPr="00FC1444">
        <w:rPr>
          <w:rFonts w:eastAsiaTheme="minorEastAsia"/>
          <w:sz w:val="24"/>
        </w:rPr>
        <w:t>25%</w:t>
      </w:r>
      <w:r w:rsidRPr="00FC1444">
        <w:rPr>
          <w:rFonts w:eastAsiaTheme="minorEastAsia"/>
          <w:sz w:val="24"/>
        </w:rPr>
        <w:t>毫克当量的阴离子和阳离子进行组合，可组合出</w:t>
      </w:r>
      <w:r w:rsidRPr="00FC1444">
        <w:rPr>
          <w:rFonts w:eastAsiaTheme="minorEastAsia"/>
          <w:sz w:val="24"/>
        </w:rPr>
        <w:t>49</w:t>
      </w:r>
      <w:r w:rsidRPr="00FC1444">
        <w:rPr>
          <w:rFonts w:eastAsiaTheme="minorEastAsia"/>
          <w:sz w:val="24"/>
        </w:rPr>
        <w:t>型水，并将每型用一个阿拉伯数字作为代号，见表</w:t>
      </w:r>
      <w:r w:rsidRPr="00FC1444">
        <w:rPr>
          <w:rFonts w:eastAsiaTheme="minorEastAsia"/>
          <w:sz w:val="24"/>
        </w:rPr>
        <w:t>4-2-1</w:t>
      </w:r>
      <w:r w:rsidR="00F90B8B" w:rsidRPr="00FC1444">
        <w:rPr>
          <w:rFonts w:eastAsiaTheme="minorEastAsia" w:hint="eastAsia"/>
          <w:sz w:val="24"/>
        </w:rPr>
        <w:t>0</w:t>
      </w:r>
      <w:r w:rsidRPr="00FC1444">
        <w:rPr>
          <w:rFonts w:eastAsiaTheme="minorEastAsia"/>
        </w:rPr>
        <w:t>。</w:t>
      </w:r>
    </w:p>
    <w:p w:rsidR="002A5A5E" w:rsidRPr="00FC1444" w:rsidRDefault="002A5A5E">
      <w:pPr>
        <w:contextualSpacing/>
        <w:jc w:val="center"/>
        <w:rPr>
          <w:rFonts w:eastAsiaTheme="minorEastAsia"/>
          <w:b/>
          <w:kern w:val="0"/>
          <w:szCs w:val="21"/>
        </w:rPr>
      </w:pPr>
    </w:p>
    <w:p w:rsidR="002A5A5E" w:rsidRPr="00FC1444" w:rsidRDefault="002A5A5E">
      <w:pPr>
        <w:contextualSpacing/>
        <w:jc w:val="center"/>
        <w:rPr>
          <w:rFonts w:eastAsiaTheme="minorEastAsia"/>
          <w:b/>
          <w:kern w:val="0"/>
          <w:szCs w:val="21"/>
        </w:rPr>
      </w:pPr>
    </w:p>
    <w:p w:rsidR="002A5A5E" w:rsidRPr="00FC1444" w:rsidRDefault="002A5A5E">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4-2-1</w:t>
      </w:r>
      <w:r w:rsidR="00F90B8B" w:rsidRPr="00FC1444">
        <w:rPr>
          <w:rFonts w:eastAsiaTheme="minorEastAsia" w:hint="eastAsia"/>
          <w:b/>
          <w:kern w:val="0"/>
          <w:szCs w:val="21"/>
        </w:rPr>
        <w:t>0</w:t>
      </w:r>
      <w:r w:rsidRPr="00FC1444">
        <w:rPr>
          <w:rFonts w:eastAsiaTheme="minorEastAsia"/>
          <w:b/>
          <w:kern w:val="0"/>
          <w:szCs w:val="21"/>
        </w:rPr>
        <w:t xml:space="preserve"> </w:t>
      </w:r>
      <w:r w:rsidRPr="00FC1444">
        <w:rPr>
          <w:rFonts w:eastAsiaTheme="minorEastAsia"/>
          <w:b/>
          <w:kern w:val="0"/>
          <w:szCs w:val="21"/>
        </w:rPr>
        <w:t>舒卡列夫分类表</w:t>
      </w:r>
    </w:p>
    <w:tbl>
      <w:tblPr>
        <w:tblW w:w="4942" w:type="pct"/>
        <w:tblBorders>
          <w:top w:val="single" w:sz="12" w:space="0" w:color="auto"/>
          <w:bottom w:val="single" w:sz="12" w:space="0" w:color="auto"/>
          <w:insideH w:val="single" w:sz="6" w:space="0" w:color="auto"/>
          <w:insideV w:val="single" w:sz="6" w:space="0" w:color="auto"/>
        </w:tblBorders>
        <w:tblLook w:val="04A0"/>
      </w:tblPr>
      <w:tblGrid>
        <w:gridCol w:w="1504"/>
        <w:gridCol w:w="777"/>
        <w:gridCol w:w="1124"/>
        <w:gridCol w:w="1004"/>
        <w:gridCol w:w="1004"/>
        <w:gridCol w:w="1004"/>
        <w:gridCol w:w="1004"/>
        <w:gridCol w:w="1002"/>
      </w:tblGrid>
      <w:tr w:rsidR="002A5A5E" w:rsidRPr="00FC1444">
        <w:trPr>
          <w:trHeight w:val="525"/>
        </w:trPr>
        <w:tc>
          <w:tcPr>
            <w:tcW w:w="842" w:type="pct"/>
            <w:tcBorders>
              <w:top w:val="single" w:sz="12" w:space="0" w:color="auto"/>
              <w:left w:val="nil"/>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超过</w:t>
            </w:r>
            <w:r w:rsidRPr="00FC1444">
              <w:rPr>
                <w:rFonts w:eastAsiaTheme="minorEastAsia"/>
                <w:szCs w:val="21"/>
              </w:rPr>
              <w:t>25%</w:t>
            </w:r>
            <w:r w:rsidRPr="00FC1444">
              <w:rPr>
                <w:rFonts w:eastAsiaTheme="minorEastAsia"/>
                <w:szCs w:val="21"/>
              </w:rPr>
              <w:t>毫克当量的离子</w:t>
            </w:r>
          </w:p>
        </w:tc>
        <w:tc>
          <w:tcPr>
            <w:tcW w:w="435" w:type="pct"/>
            <w:tcBorders>
              <w:top w:val="single" w:sz="12" w:space="0" w:color="auto"/>
              <w:left w:val="single" w:sz="6" w:space="0" w:color="auto"/>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HCO</w:t>
            </w:r>
            <w:r w:rsidRPr="00FC1444">
              <w:rPr>
                <w:rFonts w:eastAsiaTheme="minorEastAsia"/>
                <w:szCs w:val="21"/>
                <w:vertAlign w:val="subscript"/>
              </w:rPr>
              <w:t>3</w:t>
            </w:r>
            <w:r w:rsidRPr="00FC1444">
              <w:rPr>
                <w:rFonts w:eastAsiaTheme="minorEastAsia"/>
                <w:szCs w:val="21"/>
                <w:vertAlign w:val="superscript"/>
              </w:rPr>
              <w:t>-</w:t>
            </w:r>
          </w:p>
        </w:tc>
        <w:tc>
          <w:tcPr>
            <w:tcW w:w="629" w:type="pct"/>
            <w:tcBorders>
              <w:top w:val="single" w:sz="12"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HCO</w:t>
            </w:r>
            <w:r w:rsidRPr="00FC1444">
              <w:rPr>
                <w:rFonts w:eastAsiaTheme="minorEastAsia"/>
                <w:szCs w:val="21"/>
                <w:vertAlign w:val="subscript"/>
              </w:rPr>
              <w:t>3</w:t>
            </w:r>
            <w:r w:rsidRPr="00FC1444">
              <w:rPr>
                <w:rFonts w:eastAsiaTheme="minorEastAsia"/>
                <w:szCs w:val="21"/>
                <w:vertAlign w:val="superscript"/>
              </w:rPr>
              <w:t>-</w:t>
            </w:r>
            <w:r w:rsidRPr="00FC1444">
              <w:rPr>
                <w:rFonts w:eastAsiaTheme="minorEastAsia"/>
                <w:szCs w:val="21"/>
              </w:rPr>
              <w:t>- SO</w:t>
            </w:r>
            <w:r w:rsidRPr="00FC1444">
              <w:rPr>
                <w:rFonts w:eastAsiaTheme="minorEastAsia"/>
                <w:szCs w:val="21"/>
                <w:vertAlign w:val="subscript"/>
              </w:rPr>
              <w:t>4</w:t>
            </w:r>
            <w:r w:rsidRPr="00FC1444">
              <w:rPr>
                <w:rFonts w:eastAsiaTheme="minorEastAsia"/>
                <w:szCs w:val="21"/>
                <w:vertAlign w:val="superscript"/>
              </w:rPr>
              <w:t>2-</w:t>
            </w:r>
          </w:p>
        </w:tc>
        <w:tc>
          <w:tcPr>
            <w:tcW w:w="562" w:type="pct"/>
            <w:tcBorders>
              <w:top w:val="single" w:sz="12"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HCO</w:t>
            </w:r>
            <w:r w:rsidRPr="00FC1444">
              <w:rPr>
                <w:rFonts w:eastAsiaTheme="minorEastAsia"/>
                <w:szCs w:val="21"/>
                <w:vertAlign w:val="subscript"/>
              </w:rPr>
              <w:t>3</w:t>
            </w:r>
            <w:r w:rsidRPr="00FC1444">
              <w:rPr>
                <w:rFonts w:eastAsiaTheme="minorEastAsia"/>
                <w:szCs w:val="21"/>
                <w:vertAlign w:val="superscript"/>
              </w:rPr>
              <w:t>-</w:t>
            </w:r>
            <w:r w:rsidRPr="00FC1444">
              <w:rPr>
                <w:rFonts w:eastAsiaTheme="minorEastAsia"/>
                <w:szCs w:val="21"/>
              </w:rPr>
              <w:t>- SO</w:t>
            </w:r>
            <w:r w:rsidRPr="00FC1444">
              <w:rPr>
                <w:rFonts w:eastAsiaTheme="minorEastAsia"/>
                <w:szCs w:val="21"/>
                <w:vertAlign w:val="subscript"/>
              </w:rPr>
              <w:t>4</w:t>
            </w:r>
            <w:r w:rsidRPr="00FC1444">
              <w:rPr>
                <w:rFonts w:eastAsiaTheme="minorEastAsia"/>
                <w:szCs w:val="21"/>
                <w:vertAlign w:val="superscript"/>
              </w:rPr>
              <w:t>2-</w:t>
            </w:r>
            <w:r w:rsidRPr="00FC1444">
              <w:rPr>
                <w:rFonts w:eastAsiaTheme="minorEastAsia"/>
                <w:szCs w:val="21"/>
              </w:rPr>
              <w:t>- Cl</w:t>
            </w:r>
            <w:r w:rsidRPr="00FC1444">
              <w:rPr>
                <w:rFonts w:eastAsiaTheme="minorEastAsia"/>
                <w:szCs w:val="21"/>
                <w:vertAlign w:val="superscript"/>
              </w:rPr>
              <w:t>-</w:t>
            </w:r>
          </w:p>
        </w:tc>
        <w:tc>
          <w:tcPr>
            <w:tcW w:w="562" w:type="pct"/>
            <w:tcBorders>
              <w:top w:val="single" w:sz="12"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HCO</w:t>
            </w:r>
            <w:r w:rsidRPr="00FC1444">
              <w:rPr>
                <w:rFonts w:eastAsiaTheme="minorEastAsia"/>
                <w:szCs w:val="21"/>
                <w:vertAlign w:val="subscript"/>
              </w:rPr>
              <w:t>3</w:t>
            </w:r>
            <w:r w:rsidRPr="00FC1444">
              <w:rPr>
                <w:rFonts w:eastAsiaTheme="minorEastAsia"/>
                <w:szCs w:val="21"/>
                <w:vertAlign w:val="superscript"/>
              </w:rPr>
              <w:t>-</w:t>
            </w:r>
            <w:r w:rsidRPr="00FC1444">
              <w:rPr>
                <w:rFonts w:eastAsiaTheme="minorEastAsia"/>
                <w:szCs w:val="21"/>
              </w:rPr>
              <w:t>- Cl</w:t>
            </w:r>
            <w:r w:rsidRPr="00FC1444">
              <w:rPr>
                <w:rFonts w:eastAsiaTheme="minorEastAsia"/>
                <w:szCs w:val="21"/>
                <w:vertAlign w:val="superscript"/>
              </w:rPr>
              <w:t>-</w:t>
            </w:r>
          </w:p>
        </w:tc>
        <w:tc>
          <w:tcPr>
            <w:tcW w:w="562" w:type="pct"/>
            <w:tcBorders>
              <w:top w:val="single" w:sz="12"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SO</w:t>
            </w:r>
            <w:r w:rsidRPr="00FC1444">
              <w:rPr>
                <w:rFonts w:eastAsiaTheme="minorEastAsia"/>
                <w:szCs w:val="21"/>
                <w:vertAlign w:val="subscript"/>
              </w:rPr>
              <w:t>4</w:t>
            </w:r>
            <w:r w:rsidRPr="00FC1444">
              <w:rPr>
                <w:rFonts w:eastAsiaTheme="minorEastAsia"/>
                <w:szCs w:val="21"/>
                <w:vertAlign w:val="superscript"/>
              </w:rPr>
              <w:t>2-</w:t>
            </w:r>
          </w:p>
        </w:tc>
        <w:tc>
          <w:tcPr>
            <w:tcW w:w="562" w:type="pct"/>
            <w:tcBorders>
              <w:top w:val="single" w:sz="12"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SO</w:t>
            </w:r>
            <w:r w:rsidRPr="00FC1444">
              <w:rPr>
                <w:rFonts w:eastAsiaTheme="minorEastAsia"/>
                <w:szCs w:val="21"/>
                <w:vertAlign w:val="subscript"/>
              </w:rPr>
              <w:t>4</w:t>
            </w:r>
            <w:r w:rsidRPr="00FC1444">
              <w:rPr>
                <w:rFonts w:eastAsiaTheme="minorEastAsia"/>
                <w:szCs w:val="21"/>
                <w:vertAlign w:val="superscript"/>
              </w:rPr>
              <w:t>2-</w:t>
            </w:r>
            <w:r w:rsidRPr="00FC1444">
              <w:rPr>
                <w:rFonts w:eastAsiaTheme="minorEastAsia"/>
                <w:szCs w:val="21"/>
              </w:rPr>
              <w:t>- Cl</w:t>
            </w:r>
            <w:r w:rsidRPr="00FC1444">
              <w:rPr>
                <w:rFonts w:eastAsiaTheme="minorEastAsia"/>
                <w:szCs w:val="21"/>
                <w:vertAlign w:val="superscript"/>
              </w:rPr>
              <w:t>-</w:t>
            </w:r>
          </w:p>
        </w:tc>
        <w:tc>
          <w:tcPr>
            <w:tcW w:w="561" w:type="pct"/>
            <w:tcBorders>
              <w:top w:val="single" w:sz="12" w:space="0" w:color="auto"/>
              <w:left w:val="single" w:sz="6" w:space="0" w:color="auto"/>
              <w:bottom w:val="single" w:sz="6" w:space="0" w:color="auto"/>
              <w:right w:val="nil"/>
            </w:tcBorders>
            <w:vAlign w:val="center"/>
          </w:tcPr>
          <w:p w:rsidR="002A5A5E" w:rsidRPr="00FC1444" w:rsidRDefault="00611CBA">
            <w:pPr>
              <w:jc w:val="center"/>
              <w:rPr>
                <w:rFonts w:eastAsiaTheme="minorEastAsia"/>
                <w:szCs w:val="21"/>
              </w:rPr>
            </w:pPr>
            <w:r w:rsidRPr="00FC1444">
              <w:rPr>
                <w:rFonts w:eastAsiaTheme="minorEastAsia"/>
                <w:szCs w:val="21"/>
              </w:rPr>
              <w:t>Cl</w:t>
            </w:r>
            <w:r w:rsidRPr="00FC1444">
              <w:rPr>
                <w:rFonts w:eastAsiaTheme="minorEastAsia"/>
                <w:szCs w:val="21"/>
                <w:vertAlign w:val="superscript"/>
              </w:rPr>
              <w:t>-</w:t>
            </w:r>
          </w:p>
        </w:tc>
      </w:tr>
      <w:tr w:rsidR="002A5A5E" w:rsidRPr="00FC1444">
        <w:trPr>
          <w:trHeight w:val="291"/>
        </w:trPr>
        <w:tc>
          <w:tcPr>
            <w:tcW w:w="842" w:type="pct"/>
            <w:tcBorders>
              <w:top w:val="single" w:sz="6" w:space="0" w:color="auto"/>
              <w:left w:val="nil"/>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Ca</w:t>
            </w:r>
            <w:r w:rsidRPr="00FC1444">
              <w:rPr>
                <w:rFonts w:eastAsiaTheme="minorEastAsia"/>
                <w:szCs w:val="21"/>
                <w:vertAlign w:val="superscript"/>
              </w:rPr>
              <w:t>2+</w:t>
            </w:r>
          </w:p>
        </w:tc>
        <w:tc>
          <w:tcPr>
            <w:tcW w:w="435"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1</w:t>
            </w:r>
          </w:p>
        </w:tc>
        <w:tc>
          <w:tcPr>
            <w:tcW w:w="629"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8</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15</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22</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29</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36</w:t>
            </w:r>
          </w:p>
        </w:tc>
        <w:tc>
          <w:tcPr>
            <w:tcW w:w="561" w:type="pct"/>
            <w:tcBorders>
              <w:top w:val="single" w:sz="6" w:space="0" w:color="auto"/>
              <w:left w:val="single" w:sz="6" w:space="0" w:color="auto"/>
              <w:bottom w:val="single" w:sz="6" w:space="0" w:color="auto"/>
              <w:right w:val="nil"/>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43</w:t>
            </w:r>
          </w:p>
        </w:tc>
      </w:tr>
      <w:tr w:rsidR="002A5A5E" w:rsidRPr="00FC1444">
        <w:trPr>
          <w:trHeight w:val="291"/>
        </w:trPr>
        <w:tc>
          <w:tcPr>
            <w:tcW w:w="842" w:type="pct"/>
            <w:tcBorders>
              <w:top w:val="single" w:sz="6" w:space="0" w:color="auto"/>
              <w:left w:val="nil"/>
              <w:bottom w:val="single" w:sz="6" w:space="0" w:color="auto"/>
              <w:right w:val="single" w:sz="6" w:space="0" w:color="auto"/>
            </w:tcBorders>
            <w:vAlign w:val="center"/>
          </w:tcPr>
          <w:p w:rsidR="002A5A5E" w:rsidRPr="00FC1444" w:rsidRDefault="00611CBA">
            <w:pPr>
              <w:tabs>
                <w:tab w:val="left" w:pos="454"/>
                <w:tab w:val="center" w:pos="508"/>
              </w:tabs>
              <w:adjustRightInd w:val="0"/>
              <w:snapToGrid w:val="0"/>
              <w:jc w:val="center"/>
              <w:rPr>
                <w:rFonts w:eastAsiaTheme="minorEastAsia"/>
                <w:szCs w:val="21"/>
              </w:rPr>
            </w:pPr>
            <w:r w:rsidRPr="00FC1444">
              <w:rPr>
                <w:rFonts w:eastAsiaTheme="minorEastAsia"/>
                <w:szCs w:val="21"/>
              </w:rPr>
              <w:t>Ca</w:t>
            </w:r>
            <w:r w:rsidRPr="00FC1444">
              <w:rPr>
                <w:rFonts w:eastAsiaTheme="minorEastAsia"/>
                <w:szCs w:val="21"/>
                <w:vertAlign w:val="superscript"/>
              </w:rPr>
              <w:t>2+</w:t>
            </w:r>
            <w:r w:rsidRPr="00FC1444">
              <w:rPr>
                <w:rFonts w:eastAsiaTheme="minorEastAsia"/>
                <w:szCs w:val="21"/>
              </w:rPr>
              <w:t>-Mg</w:t>
            </w:r>
            <w:r w:rsidRPr="00FC1444">
              <w:rPr>
                <w:rFonts w:eastAsiaTheme="minorEastAsia"/>
                <w:szCs w:val="21"/>
                <w:vertAlign w:val="superscript"/>
              </w:rPr>
              <w:t>2+</w:t>
            </w:r>
          </w:p>
        </w:tc>
        <w:tc>
          <w:tcPr>
            <w:tcW w:w="435"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autoSpaceDE w:val="0"/>
              <w:autoSpaceDN w:val="0"/>
              <w:adjustRightInd w:val="0"/>
              <w:jc w:val="center"/>
              <w:rPr>
                <w:rFonts w:eastAsiaTheme="minorEastAsia"/>
                <w:kern w:val="0"/>
                <w:szCs w:val="21"/>
                <w:lang w:val="zh-CN"/>
              </w:rPr>
            </w:pPr>
            <w:r w:rsidRPr="00FC1444">
              <w:rPr>
                <w:rFonts w:eastAsiaTheme="minorEastAsia"/>
                <w:kern w:val="0"/>
                <w:szCs w:val="21"/>
              </w:rPr>
              <w:t>2</w:t>
            </w:r>
          </w:p>
        </w:tc>
        <w:tc>
          <w:tcPr>
            <w:tcW w:w="629"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9</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16</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23</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30</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37</w:t>
            </w:r>
          </w:p>
        </w:tc>
        <w:tc>
          <w:tcPr>
            <w:tcW w:w="561" w:type="pct"/>
            <w:tcBorders>
              <w:top w:val="single" w:sz="6" w:space="0" w:color="auto"/>
              <w:left w:val="single" w:sz="6" w:space="0" w:color="auto"/>
              <w:bottom w:val="single" w:sz="6" w:space="0" w:color="auto"/>
              <w:right w:val="nil"/>
            </w:tcBorders>
            <w:vAlign w:val="center"/>
          </w:tcPr>
          <w:p w:rsidR="002A5A5E" w:rsidRPr="00FC1444" w:rsidRDefault="00611CBA">
            <w:pPr>
              <w:jc w:val="center"/>
              <w:rPr>
                <w:rFonts w:eastAsiaTheme="minorEastAsia"/>
                <w:szCs w:val="21"/>
              </w:rPr>
            </w:pPr>
            <w:r w:rsidRPr="00FC1444">
              <w:rPr>
                <w:rFonts w:eastAsiaTheme="minorEastAsia"/>
                <w:szCs w:val="21"/>
              </w:rPr>
              <w:t>44</w:t>
            </w:r>
          </w:p>
        </w:tc>
      </w:tr>
      <w:tr w:rsidR="002A5A5E" w:rsidRPr="00FC1444">
        <w:trPr>
          <w:trHeight w:val="291"/>
        </w:trPr>
        <w:tc>
          <w:tcPr>
            <w:tcW w:w="842" w:type="pct"/>
            <w:tcBorders>
              <w:top w:val="single" w:sz="6" w:space="0" w:color="auto"/>
              <w:left w:val="nil"/>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Mg</w:t>
            </w:r>
            <w:r w:rsidRPr="00FC1444">
              <w:rPr>
                <w:rFonts w:eastAsiaTheme="minorEastAsia"/>
                <w:szCs w:val="21"/>
                <w:vertAlign w:val="superscript"/>
              </w:rPr>
              <w:t>2+</w:t>
            </w:r>
          </w:p>
        </w:tc>
        <w:tc>
          <w:tcPr>
            <w:tcW w:w="435"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autoSpaceDE w:val="0"/>
              <w:autoSpaceDN w:val="0"/>
              <w:adjustRightInd w:val="0"/>
              <w:jc w:val="center"/>
              <w:rPr>
                <w:rFonts w:eastAsiaTheme="minorEastAsia"/>
                <w:kern w:val="0"/>
                <w:szCs w:val="21"/>
                <w:lang w:val="zh-CN"/>
              </w:rPr>
            </w:pPr>
            <w:r w:rsidRPr="00FC1444">
              <w:rPr>
                <w:rFonts w:eastAsiaTheme="minorEastAsia"/>
                <w:kern w:val="0"/>
                <w:szCs w:val="21"/>
                <w:lang w:val="zh-CN"/>
              </w:rPr>
              <w:t>3</w:t>
            </w:r>
          </w:p>
        </w:tc>
        <w:tc>
          <w:tcPr>
            <w:tcW w:w="629"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10</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17</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24</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31</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38</w:t>
            </w:r>
          </w:p>
        </w:tc>
        <w:tc>
          <w:tcPr>
            <w:tcW w:w="561" w:type="pct"/>
            <w:tcBorders>
              <w:top w:val="single" w:sz="6" w:space="0" w:color="auto"/>
              <w:left w:val="single" w:sz="6" w:space="0" w:color="auto"/>
              <w:bottom w:val="single" w:sz="6" w:space="0" w:color="auto"/>
              <w:right w:val="nil"/>
            </w:tcBorders>
            <w:vAlign w:val="center"/>
          </w:tcPr>
          <w:p w:rsidR="002A5A5E" w:rsidRPr="00FC1444" w:rsidRDefault="00611CBA">
            <w:pPr>
              <w:jc w:val="center"/>
              <w:rPr>
                <w:rFonts w:eastAsiaTheme="minorEastAsia"/>
                <w:szCs w:val="21"/>
              </w:rPr>
            </w:pPr>
            <w:r w:rsidRPr="00FC1444">
              <w:rPr>
                <w:rFonts w:eastAsiaTheme="minorEastAsia"/>
                <w:szCs w:val="21"/>
              </w:rPr>
              <w:t>45</w:t>
            </w:r>
          </w:p>
        </w:tc>
      </w:tr>
      <w:tr w:rsidR="002A5A5E" w:rsidRPr="00FC1444">
        <w:trPr>
          <w:trHeight w:val="291"/>
        </w:trPr>
        <w:tc>
          <w:tcPr>
            <w:tcW w:w="842" w:type="pct"/>
            <w:tcBorders>
              <w:top w:val="single" w:sz="6" w:space="0" w:color="auto"/>
              <w:left w:val="nil"/>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Na</w:t>
            </w:r>
            <w:r w:rsidRPr="00FC1444">
              <w:rPr>
                <w:rFonts w:eastAsiaTheme="minorEastAsia"/>
                <w:szCs w:val="21"/>
                <w:vertAlign w:val="superscript"/>
              </w:rPr>
              <w:t>+</w:t>
            </w:r>
            <w:r w:rsidRPr="00FC1444">
              <w:rPr>
                <w:rFonts w:eastAsiaTheme="minorEastAsia"/>
                <w:szCs w:val="21"/>
              </w:rPr>
              <w:t>-Ca</w:t>
            </w:r>
            <w:r w:rsidRPr="00FC1444">
              <w:rPr>
                <w:rFonts w:eastAsiaTheme="minorEastAsia"/>
                <w:szCs w:val="21"/>
                <w:vertAlign w:val="superscript"/>
              </w:rPr>
              <w:t>2+</w:t>
            </w:r>
          </w:p>
        </w:tc>
        <w:tc>
          <w:tcPr>
            <w:tcW w:w="435"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4</w:t>
            </w:r>
          </w:p>
        </w:tc>
        <w:tc>
          <w:tcPr>
            <w:tcW w:w="629"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11</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18</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25</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32</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39</w:t>
            </w:r>
          </w:p>
        </w:tc>
        <w:tc>
          <w:tcPr>
            <w:tcW w:w="561" w:type="pct"/>
            <w:tcBorders>
              <w:top w:val="single" w:sz="6" w:space="0" w:color="auto"/>
              <w:left w:val="single" w:sz="6" w:space="0" w:color="auto"/>
              <w:bottom w:val="single" w:sz="6" w:space="0" w:color="auto"/>
              <w:right w:val="nil"/>
            </w:tcBorders>
            <w:vAlign w:val="center"/>
          </w:tcPr>
          <w:p w:rsidR="002A5A5E" w:rsidRPr="00FC1444" w:rsidRDefault="00611CBA">
            <w:pPr>
              <w:jc w:val="center"/>
              <w:rPr>
                <w:rFonts w:eastAsiaTheme="minorEastAsia"/>
                <w:szCs w:val="21"/>
              </w:rPr>
            </w:pPr>
            <w:r w:rsidRPr="00FC1444">
              <w:rPr>
                <w:rFonts w:eastAsiaTheme="minorEastAsia"/>
                <w:szCs w:val="21"/>
              </w:rPr>
              <w:t>46</w:t>
            </w:r>
          </w:p>
        </w:tc>
      </w:tr>
      <w:tr w:rsidR="002A5A5E" w:rsidRPr="00FC1444">
        <w:trPr>
          <w:trHeight w:val="291"/>
        </w:trPr>
        <w:tc>
          <w:tcPr>
            <w:tcW w:w="842" w:type="pct"/>
            <w:tcBorders>
              <w:top w:val="single" w:sz="6" w:space="0" w:color="auto"/>
              <w:left w:val="nil"/>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Na</w:t>
            </w:r>
            <w:r w:rsidRPr="00FC1444">
              <w:rPr>
                <w:rFonts w:eastAsiaTheme="minorEastAsia"/>
                <w:szCs w:val="21"/>
                <w:vertAlign w:val="superscript"/>
              </w:rPr>
              <w:t>+</w:t>
            </w:r>
            <w:r w:rsidRPr="00FC1444">
              <w:rPr>
                <w:rFonts w:eastAsiaTheme="minorEastAsia"/>
                <w:szCs w:val="21"/>
              </w:rPr>
              <w:t>-Ca</w:t>
            </w:r>
            <w:r w:rsidRPr="00FC1444">
              <w:rPr>
                <w:rFonts w:eastAsiaTheme="minorEastAsia"/>
                <w:szCs w:val="21"/>
                <w:vertAlign w:val="superscript"/>
              </w:rPr>
              <w:t>2+</w:t>
            </w:r>
            <w:r w:rsidRPr="00FC1444">
              <w:rPr>
                <w:rFonts w:eastAsiaTheme="minorEastAsia"/>
                <w:szCs w:val="21"/>
              </w:rPr>
              <w:t>-Mg</w:t>
            </w:r>
            <w:r w:rsidRPr="00FC1444">
              <w:rPr>
                <w:rFonts w:eastAsiaTheme="minorEastAsia"/>
                <w:szCs w:val="21"/>
                <w:vertAlign w:val="superscript"/>
              </w:rPr>
              <w:t>2+</w:t>
            </w:r>
          </w:p>
        </w:tc>
        <w:tc>
          <w:tcPr>
            <w:tcW w:w="435"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autoSpaceDE w:val="0"/>
              <w:autoSpaceDN w:val="0"/>
              <w:adjustRightInd w:val="0"/>
              <w:jc w:val="center"/>
              <w:rPr>
                <w:rFonts w:eastAsiaTheme="minorEastAsia"/>
                <w:kern w:val="0"/>
                <w:szCs w:val="21"/>
                <w:lang w:val="zh-CN"/>
              </w:rPr>
            </w:pPr>
            <w:r w:rsidRPr="00FC1444">
              <w:rPr>
                <w:rFonts w:eastAsiaTheme="minorEastAsia"/>
                <w:kern w:val="0"/>
                <w:szCs w:val="21"/>
                <w:lang w:val="zh-CN"/>
              </w:rPr>
              <w:t>5</w:t>
            </w:r>
          </w:p>
        </w:tc>
        <w:tc>
          <w:tcPr>
            <w:tcW w:w="629"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12</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19</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26</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33</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40</w:t>
            </w:r>
          </w:p>
        </w:tc>
        <w:tc>
          <w:tcPr>
            <w:tcW w:w="561" w:type="pct"/>
            <w:tcBorders>
              <w:top w:val="single" w:sz="6" w:space="0" w:color="auto"/>
              <w:left w:val="single" w:sz="6" w:space="0" w:color="auto"/>
              <w:bottom w:val="single" w:sz="6" w:space="0" w:color="auto"/>
              <w:right w:val="nil"/>
            </w:tcBorders>
            <w:vAlign w:val="center"/>
          </w:tcPr>
          <w:p w:rsidR="002A5A5E" w:rsidRPr="00FC1444" w:rsidRDefault="00611CBA">
            <w:pPr>
              <w:jc w:val="center"/>
              <w:rPr>
                <w:rFonts w:eastAsiaTheme="minorEastAsia"/>
                <w:szCs w:val="21"/>
              </w:rPr>
            </w:pPr>
            <w:r w:rsidRPr="00FC1444">
              <w:rPr>
                <w:rFonts w:eastAsiaTheme="minorEastAsia"/>
                <w:szCs w:val="21"/>
              </w:rPr>
              <w:t>47</w:t>
            </w:r>
          </w:p>
        </w:tc>
      </w:tr>
      <w:tr w:rsidR="002A5A5E" w:rsidRPr="00FC1444">
        <w:trPr>
          <w:trHeight w:val="307"/>
        </w:trPr>
        <w:tc>
          <w:tcPr>
            <w:tcW w:w="842" w:type="pct"/>
            <w:tcBorders>
              <w:top w:val="single" w:sz="6" w:space="0" w:color="auto"/>
              <w:left w:val="nil"/>
              <w:bottom w:val="single" w:sz="6"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Na</w:t>
            </w:r>
            <w:r w:rsidRPr="00FC1444">
              <w:rPr>
                <w:rFonts w:eastAsiaTheme="minorEastAsia"/>
                <w:szCs w:val="21"/>
                <w:vertAlign w:val="superscript"/>
              </w:rPr>
              <w:t>+</w:t>
            </w:r>
            <w:r w:rsidRPr="00FC1444">
              <w:rPr>
                <w:rFonts w:eastAsiaTheme="minorEastAsia"/>
                <w:szCs w:val="21"/>
              </w:rPr>
              <w:t>-Mg</w:t>
            </w:r>
            <w:r w:rsidRPr="00FC1444">
              <w:rPr>
                <w:rFonts w:eastAsiaTheme="minorEastAsia"/>
                <w:szCs w:val="21"/>
                <w:vertAlign w:val="superscript"/>
              </w:rPr>
              <w:t>2</w:t>
            </w:r>
          </w:p>
        </w:tc>
        <w:tc>
          <w:tcPr>
            <w:tcW w:w="435"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autoSpaceDE w:val="0"/>
              <w:autoSpaceDN w:val="0"/>
              <w:adjustRightInd w:val="0"/>
              <w:jc w:val="center"/>
              <w:rPr>
                <w:rFonts w:eastAsiaTheme="minorEastAsia"/>
                <w:kern w:val="0"/>
                <w:szCs w:val="21"/>
                <w:lang w:val="zh-CN"/>
              </w:rPr>
            </w:pPr>
            <w:r w:rsidRPr="00FC1444">
              <w:rPr>
                <w:rFonts w:eastAsiaTheme="minorEastAsia"/>
                <w:kern w:val="0"/>
                <w:szCs w:val="21"/>
                <w:lang w:val="zh-CN"/>
              </w:rPr>
              <w:t>6</w:t>
            </w:r>
          </w:p>
        </w:tc>
        <w:tc>
          <w:tcPr>
            <w:tcW w:w="629"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13</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20</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27</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34</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41</w:t>
            </w:r>
          </w:p>
        </w:tc>
        <w:tc>
          <w:tcPr>
            <w:tcW w:w="561" w:type="pct"/>
            <w:tcBorders>
              <w:top w:val="single" w:sz="6" w:space="0" w:color="auto"/>
              <w:left w:val="single" w:sz="6" w:space="0" w:color="auto"/>
              <w:bottom w:val="single" w:sz="6" w:space="0" w:color="auto"/>
              <w:right w:val="nil"/>
            </w:tcBorders>
            <w:vAlign w:val="center"/>
          </w:tcPr>
          <w:p w:rsidR="002A5A5E" w:rsidRPr="00FC1444" w:rsidRDefault="00611CBA">
            <w:pPr>
              <w:jc w:val="center"/>
              <w:rPr>
                <w:rFonts w:eastAsiaTheme="minorEastAsia"/>
                <w:szCs w:val="21"/>
              </w:rPr>
            </w:pPr>
            <w:r w:rsidRPr="00FC1444">
              <w:rPr>
                <w:rFonts w:eastAsiaTheme="minorEastAsia"/>
                <w:szCs w:val="21"/>
              </w:rPr>
              <w:t>48</w:t>
            </w:r>
          </w:p>
        </w:tc>
      </w:tr>
      <w:tr w:rsidR="002A5A5E" w:rsidRPr="00FC1444">
        <w:trPr>
          <w:trHeight w:val="291"/>
        </w:trPr>
        <w:tc>
          <w:tcPr>
            <w:tcW w:w="842" w:type="pct"/>
            <w:tcBorders>
              <w:top w:val="single" w:sz="6" w:space="0" w:color="auto"/>
              <w:left w:val="nil"/>
              <w:bottom w:val="single" w:sz="12" w:space="0" w:color="auto"/>
              <w:right w:val="single" w:sz="6" w:space="0" w:color="auto"/>
            </w:tcBorders>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Na</w:t>
            </w:r>
            <w:r w:rsidRPr="00FC1444">
              <w:rPr>
                <w:rFonts w:eastAsiaTheme="minorEastAsia"/>
                <w:szCs w:val="21"/>
                <w:vertAlign w:val="superscript"/>
              </w:rPr>
              <w:t>+</w:t>
            </w:r>
          </w:p>
        </w:tc>
        <w:tc>
          <w:tcPr>
            <w:tcW w:w="435" w:type="pct"/>
            <w:tcBorders>
              <w:top w:val="single" w:sz="6" w:space="0" w:color="auto"/>
              <w:left w:val="single" w:sz="6" w:space="0" w:color="auto"/>
              <w:bottom w:val="single" w:sz="12" w:space="0" w:color="auto"/>
              <w:right w:val="single" w:sz="6" w:space="0" w:color="auto"/>
            </w:tcBorders>
            <w:vAlign w:val="center"/>
          </w:tcPr>
          <w:p w:rsidR="002A5A5E" w:rsidRPr="00FC1444" w:rsidRDefault="00611CBA">
            <w:pPr>
              <w:autoSpaceDE w:val="0"/>
              <w:autoSpaceDN w:val="0"/>
              <w:adjustRightInd w:val="0"/>
              <w:jc w:val="center"/>
              <w:rPr>
                <w:rFonts w:eastAsiaTheme="minorEastAsia"/>
                <w:kern w:val="0"/>
                <w:szCs w:val="21"/>
                <w:lang w:val="zh-CN"/>
              </w:rPr>
            </w:pPr>
            <w:r w:rsidRPr="00FC1444">
              <w:rPr>
                <w:rFonts w:eastAsiaTheme="minorEastAsia"/>
                <w:kern w:val="0"/>
                <w:szCs w:val="21"/>
                <w:lang w:val="zh-CN"/>
              </w:rPr>
              <w:t>7</w:t>
            </w:r>
          </w:p>
        </w:tc>
        <w:tc>
          <w:tcPr>
            <w:tcW w:w="629" w:type="pct"/>
            <w:tcBorders>
              <w:top w:val="single" w:sz="6" w:space="0" w:color="auto"/>
              <w:left w:val="single" w:sz="6" w:space="0" w:color="auto"/>
              <w:bottom w:val="single" w:sz="12"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14</w:t>
            </w:r>
          </w:p>
        </w:tc>
        <w:tc>
          <w:tcPr>
            <w:tcW w:w="562" w:type="pct"/>
            <w:tcBorders>
              <w:top w:val="single" w:sz="6" w:space="0" w:color="auto"/>
              <w:left w:val="single" w:sz="6" w:space="0" w:color="auto"/>
              <w:bottom w:val="single" w:sz="12" w:space="0" w:color="auto"/>
              <w:right w:val="single" w:sz="6" w:space="0" w:color="auto"/>
            </w:tcBorders>
            <w:vAlign w:val="center"/>
          </w:tcPr>
          <w:p w:rsidR="002A5A5E" w:rsidRPr="00FC1444" w:rsidRDefault="00611CBA">
            <w:pPr>
              <w:widowControl/>
              <w:jc w:val="center"/>
              <w:rPr>
                <w:rFonts w:eastAsiaTheme="minorEastAsia"/>
                <w:kern w:val="0"/>
                <w:szCs w:val="21"/>
              </w:rPr>
            </w:pPr>
            <w:r w:rsidRPr="00FC1444">
              <w:rPr>
                <w:rFonts w:eastAsiaTheme="minorEastAsia"/>
                <w:kern w:val="0"/>
                <w:szCs w:val="21"/>
              </w:rPr>
              <w:t>21</w:t>
            </w:r>
          </w:p>
        </w:tc>
        <w:tc>
          <w:tcPr>
            <w:tcW w:w="562" w:type="pct"/>
            <w:tcBorders>
              <w:top w:val="single" w:sz="6" w:space="0" w:color="auto"/>
              <w:left w:val="single" w:sz="6" w:space="0" w:color="auto"/>
              <w:bottom w:val="single" w:sz="12"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28</w:t>
            </w:r>
          </w:p>
        </w:tc>
        <w:tc>
          <w:tcPr>
            <w:tcW w:w="562" w:type="pct"/>
            <w:tcBorders>
              <w:top w:val="single" w:sz="6" w:space="0" w:color="auto"/>
              <w:left w:val="single" w:sz="6" w:space="0" w:color="auto"/>
              <w:bottom w:val="single" w:sz="12"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35</w:t>
            </w:r>
          </w:p>
        </w:tc>
        <w:tc>
          <w:tcPr>
            <w:tcW w:w="562" w:type="pct"/>
            <w:tcBorders>
              <w:top w:val="single" w:sz="6" w:space="0" w:color="auto"/>
              <w:left w:val="single" w:sz="6" w:space="0" w:color="auto"/>
              <w:bottom w:val="single" w:sz="12" w:space="0" w:color="auto"/>
              <w:right w:val="single" w:sz="6" w:space="0" w:color="auto"/>
            </w:tcBorders>
            <w:vAlign w:val="center"/>
          </w:tcPr>
          <w:p w:rsidR="002A5A5E" w:rsidRPr="00FC1444" w:rsidRDefault="00611CBA">
            <w:pPr>
              <w:jc w:val="center"/>
              <w:rPr>
                <w:rFonts w:eastAsiaTheme="minorEastAsia"/>
                <w:szCs w:val="21"/>
              </w:rPr>
            </w:pPr>
            <w:r w:rsidRPr="00FC1444">
              <w:rPr>
                <w:rFonts w:eastAsiaTheme="minorEastAsia"/>
                <w:szCs w:val="21"/>
              </w:rPr>
              <w:t>42</w:t>
            </w:r>
          </w:p>
        </w:tc>
        <w:tc>
          <w:tcPr>
            <w:tcW w:w="561" w:type="pct"/>
            <w:tcBorders>
              <w:top w:val="single" w:sz="6" w:space="0" w:color="auto"/>
              <w:left w:val="single" w:sz="6" w:space="0" w:color="auto"/>
              <w:bottom w:val="single" w:sz="12" w:space="0" w:color="auto"/>
              <w:right w:val="nil"/>
            </w:tcBorders>
            <w:vAlign w:val="center"/>
          </w:tcPr>
          <w:p w:rsidR="002A5A5E" w:rsidRPr="00FC1444" w:rsidRDefault="00611CBA">
            <w:pPr>
              <w:jc w:val="center"/>
              <w:rPr>
                <w:rFonts w:eastAsiaTheme="minorEastAsia"/>
                <w:szCs w:val="21"/>
              </w:rPr>
            </w:pPr>
            <w:r w:rsidRPr="00FC1444">
              <w:rPr>
                <w:rFonts w:eastAsiaTheme="minorEastAsia"/>
                <w:szCs w:val="21"/>
              </w:rPr>
              <w:t>49</w:t>
            </w:r>
          </w:p>
        </w:tc>
      </w:tr>
    </w:tbl>
    <w:p w:rsidR="002A5A5E" w:rsidRPr="00FC1444" w:rsidRDefault="00611CBA">
      <w:pPr>
        <w:spacing w:line="360" w:lineRule="auto"/>
        <w:ind w:firstLineChars="200" w:firstLine="480"/>
        <w:rPr>
          <w:rFonts w:eastAsiaTheme="minorEastAsia"/>
          <w:sz w:val="24"/>
        </w:rPr>
      </w:pPr>
      <w:r w:rsidRPr="00FC1444">
        <w:rPr>
          <w:rFonts w:ascii="宋体" w:hAnsi="宋体" w:cs="宋体" w:hint="eastAsia"/>
          <w:sz w:val="24"/>
        </w:rPr>
        <w:t>③</w:t>
      </w:r>
      <w:r w:rsidRPr="00FC1444">
        <w:rPr>
          <w:rFonts w:eastAsiaTheme="minorEastAsia"/>
          <w:sz w:val="24"/>
        </w:rPr>
        <w:t>矿化度</w:t>
      </w:r>
    </w:p>
    <w:p w:rsidR="002A5A5E" w:rsidRPr="00FC1444" w:rsidRDefault="00611CBA">
      <w:pPr>
        <w:spacing w:line="360" w:lineRule="auto"/>
        <w:rPr>
          <w:rFonts w:eastAsiaTheme="minorEastAsia"/>
          <w:sz w:val="24"/>
        </w:rPr>
      </w:pPr>
      <w:r w:rsidRPr="00FC1444">
        <w:rPr>
          <w:rFonts w:eastAsiaTheme="minorEastAsia"/>
          <w:sz w:val="24"/>
        </w:rPr>
        <w:t xml:space="preserve">    </w:t>
      </w:r>
      <w:r w:rsidRPr="00FC1444">
        <w:rPr>
          <w:rFonts w:eastAsiaTheme="minorEastAsia"/>
          <w:sz w:val="24"/>
        </w:rPr>
        <w:t>按矿化度（</w:t>
      </w:r>
      <w:r w:rsidRPr="00FC1444">
        <w:rPr>
          <w:rFonts w:eastAsiaTheme="minorEastAsia"/>
          <w:sz w:val="24"/>
        </w:rPr>
        <w:t>M</w:t>
      </w:r>
      <w:r w:rsidRPr="00FC1444">
        <w:rPr>
          <w:rFonts w:eastAsiaTheme="minorEastAsia"/>
          <w:sz w:val="24"/>
        </w:rPr>
        <w:t>）的大小划分为</w:t>
      </w:r>
      <w:r w:rsidRPr="00FC1444">
        <w:rPr>
          <w:rFonts w:eastAsiaTheme="minorEastAsia"/>
          <w:sz w:val="24"/>
        </w:rPr>
        <w:t>4</w:t>
      </w:r>
      <w:r w:rsidRPr="00FC1444">
        <w:rPr>
          <w:rFonts w:eastAsiaTheme="minorEastAsia"/>
          <w:sz w:val="24"/>
        </w:rPr>
        <w:t>组。</w:t>
      </w:r>
    </w:p>
    <w:p w:rsidR="002A5A5E" w:rsidRPr="00FC1444" w:rsidRDefault="00611CBA">
      <w:pPr>
        <w:spacing w:line="360" w:lineRule="auto"/>
        <w:rPr>
          <w:rFonts w:eastAsiaTheme="minorEastAsia"/>
          <w:sz w:val="24"/>
        </w:rPr>
      </w:pPr>
      <w:r w:rsidRPr="00FC1444">
        <w:rPr>
          <w:rFonts w:eastAsiaTheme="minorEastAsia"/>
          <w:sz w:val="24"/>
        </w:rPr>
        <w:t xml:space="preserve">    A</w:t>
      </w:r>
      <w:r w:rsidRPr="00FC1444">
        <w:rPr>
          <w:rFonts w:eastAsiaTheme="minorEastAsia"/>
          <w:sz w:val="24"/>
        </w:rPr>
        <w:t>组</w:t>
      </w:r>
      <w:r w:rsidRPr="00FC1444">
        <w:rPr>
          <w:rFonts w:eastAsiaTheme="minorEastAsia"/>
          <w:sz w:val="24"/>
        </w:rPr>
        <w:t>——M≤1.5g/L</w:t>
      </w:r>
      <w:r w:rsidRPr="00FC1444">
        <w:rPr>
          <w:rFonts w:eastAsiaTheme="minorEastAsia"/>
          <w:sz w:val="24"/>
        </w:rPr>
        <w:t>；</w:t>
      </w:r>
      <w:r w:rsidRPr="00FC1444">
        <w:rPr>
          <w:rFonts w:eastAsiaTheme="minorEastAsia"/>
          <w:sz w:val="24"/>
        </w:rPr>
        <w:t>B</w:t>
      </w:r>
      <w:r w:rsidRPr="00FC1444">
        <w:rPr>
          <w:rFonts w:eastAsiaTheme="minorEastAsia"/>
          <w:sz w:val="24"/>
        </w:rPr>
        <w:t>组</w:t>
      </w:r>
      <w:r w:rsidRPr="00FC1444">
        <w:rPr>
          <w:rFonts w:eastAsiaTheme="minorEastAsia"/>
          <w:sz w:val="24"/>
        </w:rPr>
        <w:t>——1.5</w:t>
      </w:r>
      <w:r w:rsidRPr="00FC1444">
        <w:rPr>
          <w:rFonts w:eastAsiaTheme="minorEastAsia"/>
          <w:sz w:val="24"/>
        </w:rPr>
        <w:t>＜</w:t>
      </w:r>
      <w:r w:rsidRPr="00FC1444">
        <w:rPr>
          <w:rFonts w:eastAsiaTheme="minorEastAsia"/>
          <w:sz w:val="24"/>
        </w:rPr>
        <w:t>M≤10g/L</w:t>
      </w:r>
      <w:r w:rsidRPr="00FC1444">
        <w:rPr>
          <w:rFonts w:eastAsiaTheme="minorEastAsia"/>
          <w:sz w:val="24"/>
        </w:rPr>
        <w:t>；</w:t>
      </w:r>
    </w:p>
    <w:p w:rsidR="002A5A5E" w:rsidRPr="00FC1444" w:rsidRDefault="00611CBA">
      <w:pPr>
        <w:spacing w:line="360" w:lineRule="auto"/>
        <w:rPr>
          <w:rFonts w:eastAsiaTheme="minorEastAsia"/>
          <w:sz w:val="24"/>
        </w:rPr>
      </w:pPr>
      <w:r w:rsidRPr="00FC1444">
        <w:rPr>
          <w:rFonts w:eastAsiaTheme="minorEastAsia"/>
          <w:sz w:val="24"/>
        </w:rPr>
        <w:t xml:space="preserve">    C</w:t>
      </w:r>
      <w:r w:rsidRPr="00FC1444">
        <w:rPr>
          <w:rFonts w:eastAsiaTheme="minorEastAsia"/>
          <w:sz w:val="24"/>
        </w:rPr>
        <w:t>组</w:t>
      </w:r>
      <w:r w:rsidRPr="00FC1444">
        <w:rPr>
          <w:rFonts w:eastAsiaTheme="minorEastAsia"/>
          <w:sz w:val="24"/>
        </w:rPr>
        <w:t>——10</w:t>
      </w:r>
      <w:r w:rsidRPr="00FC1444">
        <w:rPr>
          <w:rFonts w:eastAsiaTheme="minorEastAsia"/>
          <w:sz w:val="24"/>
        </w:rPr>
        <w:t>＜</w:t>
      </w:r>
      <w:r w:rsidRPr="00FC1444">
        <w:rPr>
          <w:rFonts w:eastAsiaTheme="minorEastAsia"/>
          <w:sz w:val="24"/>
        </w:rPr>
        <w:t>M≤40g/L</w:t>
      </w:r>
      <w:r w:rsidRPr="00FC1444">
        <w:rPr>
          <w:rFonts w:eastAsiaTheme="minorEastAsia"/>
          <w:sz w:val="24"/>
        </w:rPr>
        <w:t>；</w:t>
      </w:r>
      <w:r w:rsidRPr="00FC1444">
        <w:rPr>
          <w:rFonts w:eastAsiaTheme="minorEastAsia"/>
          <w:sz w:val="24"/>
        </w:rPr>
        <w:t>D</w:t>
      </w:r>
      <w:r w:rsidRPr="00FC1444">
        <w:rPr>
          <w:rFonts w:eastAsiaTheme="minorEastAsia"/>
          <w:sz w:val="24"/>
        </w:rPr>
        <w:t>组</w:t>
      </w:r>
      <w:r w:rsidRPr="00FC1444">
        <w:rPr>
          <w:rFonts w:eastAsiaTheme="minorEastAsia"/>
          <w:sz w:val="24"/>
        </w:rPr>
        <w:t>——M</w:t>
      </w:r>
      <w:r w:rsidRPr="00FC1444">
        <w:rPr>
          <w:rFonts w:eastAsiaTheme="minorEastAsia"/>
          <w:sz w:val="24"/>
        </w:rPr>
        <w:t>＞</w:t>
      </w:r>
      <w:r w:rsidRPr="00FC1444">
        <w:rPr>
          <w:rFonts w:eastAsiaTheme="minorEastAsia"/>
          <w:sz w:val="24"/>
        </w:rPr>
        <w:t>40g/L</w:t>
      </w:r>
    </w:p>
    <w:p w:rsidR="002A5A5E" w:rsidRPr="00FC1444" w:rsidRDefault="00611CBA">
      <w:pPr>
        <w:spacing w:line="360" w:lineRule="auto"/>
        <w:rPr>
          <w:rFonts w:eastAsiaTheme="minorEastAsia"/>
          <w:sz w:val="24"/>
        </w:rPr>
      </w:pPr>
      <w:r w:rsidRPr="00FC1444">
        <w:rPr>
          <w:rFonts w:eastAsiaTheme="minorEastAsia"/>
          <w:sz w:val="24"/>
        </w:rPr>
        <w:t xml:space="preserve">    </w:t>
      </w:r>
      <w:r w:rsidRPr="00FC1444">
        <w:rPr>
          <w:rFonts w:eastAsiaTheme="minorEastAsia"/>
          <w:sz w:val="24"/>
        </w:rPr>
        <w:t>矿化度的计算采用《用主要阴离子含量计算水的矿化度》（高仁先</w:t>
      </w:r>
      <w:r w:rsidRPr="00FC1444">
        <w:rPr>
          <w:rFonts w:eastAsiaTheme="minorEastAsia"/>
          <w:sz w:val="24"/>
        </w:rPr>
        <w:t>.</w:t>
      </w:r>
      <w:r w:rsidRPr="00FC1444">
        <w:rPr>
          <w:rFonts w:eastAsiaTheme="minorEastAsia"/>
          <w:sz w:val="24"/>
        </w:rPr>
        <w:t>山东省水利科学研究院），计算方法如下：</w:t>
      </w:r>
    </w:p>
    <w:p w:rsidR="002A5A5E" w:rsidRPr="00FC1444" w:rsidRDefault="00611CBA">
      <w:pPr>
        <w:spacing w:line="360" w:lineRule="auto"/>
        <w:rPr>
          <w:rFonts w:eastAsiaTheme="minorEastAsia"/>
          <w:sz w:val="24"/>
          <w:vertAlign w:val="subscript"/>
        </w:rPr>
      </w:pPr>
      <w:r w:rsidRPr="00FC1444">
        <w:rPr>
          <w:rFonts w:eastAsiaTheme="minorEastAsia"/>
          <w:sz w:val="24"/>
        </w:rPr>
        <w:t xml:space="preserve">    </w:t>
      </w:r>
      <w:r w:rsidRPr="00FC1444">
        <w:rPr>
          <w:rFonts w:eastAsiaTheme="minorEastAsia"/>
          <w:sz w:val="24"/>
        </w:rPr>
        <w:t>矿化度（</w:t>
      </w:r>
      <w:r w:rsidRPr="00FC1444">
        <w:rPr>
          <w:rFonts w:eastAsiaTheme="minorEastAsia"/>
          <w:sz w:val="24"/>
        </w:rPr>
        <w:t>g/L</w:t>
      </w:r>
      <w:r w:rsidRPr="00FC1444">
        <w:rPr>
          <w:rFonts w:eastAsiaTheme="minorEastAsia"/>
          <w:sz w:val="24"/>
        </w:rPr>
        <w:t>）</w:t>
      </w:r>
      <w:r w:rsidRPr="00FC1444">
        <w:rPr>
          <w:rFonts w:eastAsiaTheme="minorEastAsia"/>
          <w:sz w:val="24"/>
        </w:rPr>
        <w:t>=C</w:t>
      </w:r>
      <w:r w:rsidRPr="00FC1444">
        <w:rPr>
          <w:rFonts w:eastAsiaTheme="minorEastAsia"/>
          <w:sz w:val="24"/>
        </w:rPr>
        <w:t>（</w:t>
      </w:r>
      <w:r w:rsidRPr="00FC1444">
        <w:rPr>
          <w:rFonts w:eastAsiaTheme="minorEastAsia"/>
          <w:sz w:val="24"/>
        </w:rPr>
        <w:t>∑A</w:t>
      </w:r>
      <w:r w:rsidRPr="00FC1444">
        <w:rPr>
          <w:rFonts w:eastAsiaTheme="minorEastAsia"/>
          <w:sz w:val="24"/>
        </w:rPr>
        <w:t>）</w:t>
      </w:r>
      <w:r w:rsidRPr="00FC1444">
        <w:rPr>
          <w:rFonts w:eastAsiaTheme="minorEastAsia"/>
          <w:sz w:val="24"/>
        </w:rPr>
        <w:t>×M</w:t>
      </w:r>
      <w:r w:rsidRPr="00FC1444">
        <w:rPr>
          <w:rFonts w:eastAsiaTheme="minorEastAsia"/>
          <w:sz w:val="24"/>
          <w:vertAlign w:val="subscript"/>
        </w:rPr>
        <w:t>S</w:t>
      </w:r>
    </w:p>
    <w:p w:rsidR="002A5A5E" w:rsidRPr="00FC1444" w:rsidRDefault="00611CBA">
      <w:pPr>
        <w:spacing w:line="360" w:lineRule="auto"/>
        <w:rPr>
          <w:rFonts w:eastAsiaTheme="minorEastAsia"/>
          <w:sz w:val="24"/>
        </w:rPr>
      </w:pPr>
      <w:r w:rsidRPr="00FC1444">
        <w:rPr>
          <w:rFonts w:eastAsiaTheme="minorEastAsia"/>
          <w:sz w:val="24"/>
        </w:rPr>
        <w:t xml:space="preserve">    SB=</w:t>
      </w:r>
      <m:oMath>
        <m:f>
          <m:fPr>
            <m:ctrlPr>
              <w:rPr>
                <w:rFonts w:ascii="Cambria Math" w:eastAsiaTheme="minorEastAsia" w:hAnsi="Cambria Math"/>
                <w:sz w:val="24"/>
              </w:rPr>
            </m:ctrlPr>
          </m:fPr>
          <m:num>
            <m:r>
              <m:rPr>
                <m:sty m:val="p"/>
              </m:rPr>
              <w:rPr>
                <w:rFonts w:ascii="Cambria Math" w:eastAsiaTheme="minorEastAsia"/>
                <w:sz w:val="24"/>
              </w:rPr>
              <m:t>C</m:t>
            </m:r>
            <m:r>
              <m:rPr>
                <m:sty m:val="p"/>
              </m:rPr>
              <w:rPr>
                <w:rFonts w:ascii="Cambria Math" w:eastAsiaTheme="minorEastAsia" w:hAnsi="Cambria Math"/>
                <w:sz w:val="24"/>
              </w:rPr>
              <m:t>（</m:t>
            </m:r>
            <m:f>
              <m:fPr>
                <m:type m:val="skw"/>
                <m:ctrlPr>
                  <w:rPr>
                    <w:rFonts w:ascii="Cambria Math" w:eastAsiaTheme="minorEastAsia" w:hAnsi="Cambria Math"/>
                    <w:sz w:val="24"/>
                  </w:rPr>
                </m:ctrlPr>
              </m:fPr>
              <m:num>
                <m:r>
                  <m:rPr>
                    <m:sty m:val="p"/>
                  </m:rPr>
                  <w:rPr>
                    <w:rFonts w:ascii="Cambria Math" w:eastAsiaTheme="minorEastAsia"/>
                    <w:sz w:val="24"/>
                  </w:rPr>
                  <m:t>1</m:t>
                </m:r>
              </m:num>
              <m:den>
                <m:r>
                  <m:rPr>
                    <m:sty m:val="p"/>
                  </m:rPr>
                  <w:rPr>
                    <w:rFonts w:ascii="Cambria Math" w:eastAsiaTheme="minorEastAsia"/>
                    <w:sz w:val="24"/>
                  </w:rPr>
                  <m:t>2</m:t>
                </m:r>
              </m:den>
            </m:f>
            <m:sSubSup>
              <m:sSubSupPr>
                <m:ctrlPr>
                  <w:rPr>
                    <w:rFonts w:ascii="Cambria Math" w:eastAsiaTheme="minorEastAsia" w:hAnsi="Cambria Math"/>
                    <w:sz w:val="24"/>
                  </w:rPr>
                </m:ctrlPr>
              </m:sSubSupPr>
              <m:e>
                <m:r>
                  <m:rPr>
                    <m:sty m:val="p"/>
                  </m:rPr>
                  <w:rPr>
                    <w:rFonts w:ascii="Cambria Math" w:eastAsiaTheme="minorEastAsia"/>
                    <w:sz w:val="24"/>
                  </w:rPr>
                  <m:t>SO</m:t>
                </m:r>
              </m:e>
              <m:sub>
                <m:r>
                  <m:rPr>
                    <m:sty m:val="p"/>
                  </m:rPr>
                  <w:rPr>
                    <w:rFonts w:ascii="Cambria Math" w:eastAsiaTheme="minorEastAsia"/>
                    <w:sz w:val="24"/>
                  </w:rPr>
                  <m:t>4</m:t>
                </m:r>
              </m:sub>
              <m:sup>
                <m:r>
                  <m:rPr>
                    <m:sty m:val="p"/>
                  </m:rPr>
                  <w:rPr>
                    <w:rFonts w:ascii="Cambria Math" w:eastAsiaTheme="minorEastAsia"/>
                    <w:sz w:val="24"/>
                  </w:rPr>
                  <m:t>2</m:t>
                </m:r>
                <m:r>
                  <m:rPr>
                    <m:sty m:val="p"/>
                  </m:rPr>
                  <w:rPr>
                    <w:rFonts w:ascii="Cambria Math" w:eastAsiaTheme="minorEastAsia" w:hAnsi="Cambria Math"/>
                    <w:sz w:val="24"/>
                  </w:rPr>
                  <m:t>-</m:t>
                </m:r>
              </m:sup>
            </m:sSubSup>
            <m:r>
              <m:rPr>
                <m:sty m:val="p"/>
              </m:rPr>
              <w:rPr>
                <w:rFonts w:ascii="Cambria Math" w:eastAsiaTheme="minorEastAsia" w:hAnsi="Cambria Math"/>
                <w:sz w:val="24"/>
              </w:rPr>
              <m:t>）</m:t>
            </m:r>
          </m:num>
          <m:den>
            <m:r>
              <m:rPr>
                <m:sty m:val="p"/>
              </m:rPr>
              <w:rPr>
                <w:rFonts w:ascii="Cambria Math" w:eastAsiaTheme="minorEastAsia"/>
                <w:sz w:val="24"/>
              </w:rPr>
              <m:t>C(</m:t>
            </m:r>
            <m:r>
              <m:rPr>
                <m:sty m:val="p"/>
              </m:rPr>
              <w:rPr>
                <w:rFonts w:ascii="Cambria Math" w:eastAsiaTheme="minorEastAsia"/>
                <w:sz w:val="24"/>
              </w:rPr>
              <m:t>∑</m:t>
            </m:r>
            <m:r>
              <m:rPr>
                <m:sty m:val="p"/>
              </m:rPr>
              <w:rPr>
                <w:rFonts w:ascii="Cambria Math" w:eastAsiaTheme="minorEastAsia"/>
                <w:sz w:val="24"/>
              </w:rPr>
              <m:t>A)</m:t>
            </m:r>
          </m:den>
        </m:f>
      </m:oMath>
      <w:r w:rsidRPr="00FC1444">
        <w:rPr>
          <w:rFonts w:eastAsiaTheme="minorEastAsia"/>
          <w:sz w:val="24"/>
        </w:rPr>
        <w:t>或</w:t>
      </w:r>
      <m:oMath>
        <m:f>
          <m:fPr>
            <m:ctrlPr>
              <w:rPr>
                <w:rFonts w:ascii="Cambria Math" w:eastAsiaTheme="minorEastAsia" w:hAnsi="Cambria Math"/>
                <w:sz w:val="24"/>
              </w:rPr>
            </m:ctrlPr>
          </m:fPr>
          <m:num>
            <m:r>
              <m:rPr>
                <m:sty m:val="p"/>
              </m:rPr>
              <w:rPr>
                <w:rFonts w:ascii="Cambria Math" w:eastAsiaTheme="minorEastAsia"/>
                <w:sz w:val="24"/>
              </w:rPr>
              <m:t>C</m:t>
            </m:r>
            <m:d>
              <m:dPr>
                <m:ctrlPr>
                  <w:rPr>
                    <w:rFonts w:ascii="Cambria Math" w:eastAsiaTheme="minorEastAsia" w:hAnsi="Cambria Math"/>
                    <w:sz w:val="24"/>
                  </w:rPr>
                </m:ctrlPr>
              </m:dPr>
              <m:e>
                <m:r>
                  <m:rPr>
                    <m:sty m:val="p"/>
                  </m:rPr>
                  <w:rPr>
                    <w:rFonts w:ascii="Cambria Math" w:eastAsiaTheme="minorEastAsia"/>
                    <w:sz w:val="24"/>
                  </w:rPr>
                  <m:t>∑</m:t>
                </m:r>
                <m:r>
                  <m:rPr>
                    <m:sty m:val="p"/>
                  </m:rPr>
                  <w:rPr>
                    <w:rFonts w:ascii="Cambria Math" w:eastAsiaTheme="minorEastAsia"/>
                    <w:sz w:val="24"/>
                  </w:rPr>
                  <m:t>H</m:t>
                </m:r>
              </m:e>
            </m:d>
            <m:r>
              <m:rPr>
                <m:sty m:val="p"/>
              </m:rPr>
              <w:rPr>
                <w:rFonts w:ascii="Cambria Math" w:eastAsiaTheme="minorEastAsia" w:hAnsi="Cambria Math"/>
                <w:sz w:val="24"/>
              </w:rPr>
              <m:t>-</m:t>
            </m:r>
            <m:r>
              <m:rPr>
                <m:sty m:val="p"/>
              </m:rPr>
              <w:rPr>
                <w:rFonts w:ascii="Cambria Math" w:eastAsiaTheme="minorEastAsia"/>
                <w:sz w:val="24"/>
              </w:rPr>
              <m:t>C(</m:t>
            </m:r>
            <m:sSup>
              <m:sSupPr>
                <m:ctrlPr>
                  <w:rPr>
                    <w:rFonts w:ascii="Cambria Math" w:eastAsiaTheme="minorEastAsia" w:hAnsi="Cambria Math"/>
                    <w:sz w:val="24"/>
                  </w:rPr>
                </m:ctrlPr>
              </m:sSupPr>
              <m:e>
                <m:r>
                  <m:rPr>
                    <m:sty m:val="p"/>
                  </m:rPr>
                  <w:rPr>
                    <w:rFonts w:ascii="Cambria Math" w:eastAsiaTheme="minorEastAsia"/>
                    <w:sz w:val="24"/>
                  </w:rPr>
                  <m:t>Cl</m:t>
                </m:r>
              </m:e>
              <m:sup>
                <m:r>
                  <m:rPr>
                    <m:sty m:val="p"/>
                  </m:rPr>
                  <w:rPr>
                    <w:rFonts w:ascii="Cambria Math" w:eastAsiaTheme="minorEastAsia" w:hAnsi="Cambria Math"/>
                    <w:sz w:val="24"/>
                  </w:rPr>
                  <m:t>-</m:t>
                </m:r>
              </m:sup>
            </m:sSup>
            <m:r>
              <m:rPr>
                <m:sty m:val="p"/>
              </m:rPr>
              <w:rPr>
                <w:rFonts w:ascii="Cambria Math" w:eastAsiaTheme="minorEastAsia"/>
                <w:sz w:val="24"/>
              </w:rPr>
              <m:t>)</m:t>
            </m:r>
          </m:num>
          <m:den>
            <m:r>
              <m:rPr>
                <m:sty m:val="p"/>
              </m:rPr>
              <w:rPr>
                <w:rFonts w:ascii="Cambria Math" w:eastAsiaTheme="minorEastAsia"/>
                <w:sz w:val="24"/>
              </w:rPr>
              <m:t>C(</m:t>
            </m:r>
            <m:r>
              <m:rPr>
                <m:sty m:val="p"/>
              </m:rPr>
              <w:rPr>
                <w:rFonts w:ascii="Cambria Math" w:eastAsiaTheme="minorEastAsia"/>
                <w:sz w:val="24"/>
              </w:rPr>
              <m:t>∑</m:t>
            </m:r>
            <m:r>
              <m:rPr>
                <m:sty m:val="p"/>
              </m:rPr>
              <w:rPr>
                <w:rFonts w:ascii="Cambria Math" w:eastAsiaTheme="minorEastAsia"/>
                <w:sz w:val="24"/>
              </w:rPr>
              <m:t>A)</m:t>
            </m:r>
          </m:den>
        </m:f>
      </m:oMath>
    </w:p>
    <w:p w:rsidR="002A5A5E" w:rsidRPr="00FC1444" w:rsidRDefault="00611CBA">
      <w:pPr>
        <w:spacing w:line="360" w:lineRule="auto"/>
        <w:rPr>
          <w:rFonts w:eastAsiaTheme="minorEastAsia"/>
          <w:sz w:val="24"/>
        </w:rPr>
      </w:pPr>
      <w:r w:rsidRPr="00FC1444">
        <w:rPr>
          <w:rFonts w:eastAsiaTheme="minorEastAsia"/>
          <w:sz w:val="24"/>
        </w:rPr>
        <w:t xml:space="preserve">    HCB=</w:t>
      </w:r>
      <m:oMath>
        <m:f>
          <m:fPr>
            <m:ctrlPr>
              <w:rPr>
                <w:rFonts w:ascii="Cambria Math" w:eastAsiaTheme="minorEastAsia" w:hAnsi="Cambria Math"/>
                <w:sz w:val="24"/>
              </w:rPr>
            </m:ctrlPr>
          </m:fPr>
          <m:num>
            <m:r>
              <m:rPr>
                <m:sty m:val="p"/>
              </m:rPr>
              <w:rPr>
                <w:rFonts w:ascii="Cambria Math" w:eastAsiaTheme="minorEastAsia"/>
                <w:sz w:val="24"/>
              </w:rPr>
              <m:t>C(</m:t>
            </m:r>
            <m:sSubSup>
              <m:sSubSupPr>
                <m:ctrlPr>
                  <w:rPr>
                    <w:rFonts w:ascii="Cambria Math" w:eastAsiaTheme="minorEastAsia" w:hAnsi="Cambria Math"/>
                    <w:sz w:val="24"/>
                  </w:rPr>
                </m:ctrlPr>
              </m:sSubSupPr>
              <m:e>
                <m:r>
                  <m:rPr>
                    <m:sty m:val="p"/>
                  </m:rPr>
                  <w:rPr>
                    <w:rFonts w:ascii="Cambria Math" w:eastAsiaTheme="minorEastAsia"/>
                    <w:sz w:val="24"/>
                  </w:rPr>
                  <m:t>HCO</m:t>
                </m:r>
              </m:e>
              <m:sub>
                <m:r>
                  <m:rPr>
                    <m:sty m:val="p"/>
                  </m:rPr>
                  <w:rPr>
                    <w:rFonts w:ascii="Cambria Math" w:eastAsiaTheme="minorEastAsia"/>
                    <w:sz w:val="24"/>
                  </w:rPr>
                  <m:t>3</m:t>
                </m:r>
              </m:sub>
              <m:sup>
                <m:r>
                  <m:rPr>
                    <m:sty m:val="p"/>
                  </m:rPr>
                  <w:rPr>
                    <w:rFonts w:ascii="Cambria Math" w:eastAsiaTheme="minorEastAsia" w:hAnsi="Cambria Math"/>
                    <w:sz w:val="24"/>
                  </w:rPr>
                  <m:t>-</m:t>
                </m:r>
              </m:sup>
            </m:sSubSup>
            <m:r>
              <m:rPr>
                <m:sty m:val="p"/>
              </m:rPr>
              <w:rPr>
                <w:rFonts w:ascii="Cambria Math" w:eastAsiaTheme="minorEastAsia"/>
                <w:sz w:val="24"/>
              </w:rPr>
              <m:t>)</m:t>
            </m:r>
          </m:num>
          <m:den>
            <m:r>
              <m:rPr>
                <m:sty m:val="p"/>
              </m:rPr>
              <w:rPr>
                <w:rFonts w:ascii="Cambria Math" w:eastAsiaTheme="minorEastAsia"/>
                <w:sz w:val="24"/>
              </w:rPr>
              <m:t>C</m:t>
            </m:r>
            <m:d>
              <m:dPr>
                <m:ctrlPr>
                  <w:rPr>
                    <w:rFonts w:ascii="Cambria Math" w:eastAsiaTheme="minorEastAsia" w:hAnsi="Cambria Math"/>
                    <w:sz w:val="24"/>
                  </w:rPr>
                </m:ctrlPr>
              </m:dPr>
              <m:e>
                <m:f>
                  <m:fPr>
                    <m:type m:val="skw"/>
                    <m:ctrlPr>
                      <w:rPr>
                        <w:rFonts w:ascii="Cambria Math" w:eastAsiaTheme="minorEastAsia" w:hAnsi="Cambria Math"/>
                        <w:sz w:val="24"/>
                      </w:rPr>
                    </m:ctrlPr>
                  </m:fPr>
                  <m:num>
                    <m:r>
                      <m:rPr>
                        <m:sty m:val="p"/>
                      </m:rPr>
                      <w:rPr>
                        <w:rFonts w:ascii="Cambria Math" w:eastAsiaTheme="minorEastAsia"/>
                        <w:sz w:val="24"/>
                      </w:rPr>
                      <m:t>1</m:t>
                    </m:r>
                  </m:num>
                  <m:den>
                    <m:r>
                      <m:rPr>
                        <m:sty m:val="p"/>
                      </m:rPr>
                      <w:rPr>
                        <w:rFonts w:ascii="Cambria Math" w:eastAsiaTheme="minorEastAsia"/>
                        <w:sz w:val="24"/>
                      </w:rPr>
                      <m:t>2</m:t>
                    </m:r>
                  </m:den>
                </m:f>
                <m:sSubSup>
                  <m:sSubSupPr>
                    <m:ctrlPr>
                      <w:rPr>
                        <w:rFonts w:ascii="Cambria Math" w:eastAsiaTheme="minorEastAsia" w:hAnsi="Cambria Math"/>
                        <w:sz w:val="24"/>
                      </w:rPr>
                    </m:ctrlPr>
                  </m:sSubSupPr>
                  <m:e>
                    <m:r>
                      <m:rPr>
                        <m:sty m:val="p"/>
                      </m:rPr>
                      <w:rPr>
                        <w:rFonts w:ascii="Cambria Math" w:eastAsiaTheme="minorEastAsia"/>
                        <w:sz w:val="24"/>
                      </w:rPr>
                      <m:t>CO</m:t>
                    </m:r>
                  </m:e>
                  <m:sub>
                    <m:r>
                      <m:rPr>
                        <m:sty m:val="p"/>
                      </m:rPr>
                      <w:rPr>
                        <w:rFonts w:ascii="Cambria Math" w:eastAsiaTheme="minorEastAsia"/>
                        <w:sz w:val="24"/>
                      </w:rPr>
                      <m:t>3</m:t>
                    </m:r>
                  </m:sub>
                  <m:sup>
                    <m:r>
                      <m:rPr>
                        <m:sty m:val="p"/>
                      </m:rPr>
                      <w:rPr>
                        <w:rFonts w:ascii="Cambria Math" w:eastAsiaTheme="minorEastAsia"/>
                        <w:sz w:val="24"/>
                      </w:rPr>
                      <m:t>2</m:t>
                    </m:r>
                    <m:r>
                      <m:rPr>
                        <m:sty m:val="p"/>
                      </m:rPr>
                      <w:rPr>
                        <w:rFonts w:ascii="Cambria Math" w:eastAsiaTheme="minorEastAsia" w:hAnsi="Cambria Math"/>
                        <w:sz w:val="24"/>
                      </w:rPr>
                      <m:t>-</m:t>
                    </m:r>
                  </m:sup>
                </m:sSubSup>
              </m:e>
            </m:d>
            <m:r>
              <m:rPr>
                <m:sty m:val="p"/>
              </m:rPr>
              <w:rPr>
                <w:rFonts w:ascii="Cambria Math" w:eastAsiaTheme="minorEastAsia"/>
                <w:sz w:val="24"/>
              </w:rPr>
              <m:t>+C(</m:t>
            </m:r>
            <m:sSup>
              <m:sSupPr>
                <m:ctrlPr>
                  <w:rPr>
                    <w:rFonts w:ascii="Cambria Math" w:eastAsiaTheme="minorEastAsia" w:hAnsi="Cambria Math"/>
                    <w:sz w:val="24"/>
                  </w:rPr>
                </m:ctrlPr>
              </m:sSupPr>
              <m:e>
                <m:r>
                  <m:rPr>
                    <m:sty m:val="p"/>
                  </m:rPr>
                  <w:rPr>
                    <w:rFonts w:ascii="Cambria Math" w:eastAsiaTheme="minorEastAsia"/>
                    <w:sz w:val="24"/>
                  </w:rPr>
                  <m:t>Cl</m:t>
                </m:r>
              </m:e>
              <m:sup>
                <m:r>
                  <m:rPr>
                    <m:sty m:val="p"/>
                  </m:rPr>
                  <w:rPr>
                    <w:rFonts w:ascii="Cambria Math" w:eastAsiaTheme="minorEastAsia" w:hAnsi="Cambria Math"/>
                    <w:sz w:val="24"/>
                  </w:rPr>
                  <m:t>-</m:t>
                </m:r>
              </m:sup>
            </m:sSup>
            <m:r>
              <m:rPr>
                <m:sty m:val="p"/>
              </m:rPr>
              <w:rPr>
                <w:rFonts w:ascii="Cambria Math" w:eastAsiaTheme="minorEastAsia"/>
                <w:sz w:val="24"/>
              </w:rPr>
              <m:t>)</m:t>
            </m:r>
          </m:den>
        </m:f>
      </m:oMath>
    </w:p>
    <w:p w:rsidR="002A5A5E" w:rsidRPr="00FC1444" w:rsidRDefault="00611CBA">
      <w:pPr>
        <w:spacing w:line="360" w:lineRule="auto"/>
        <w:rPr>
          <w:rFonts w:eastAsiaTheme="minorEastAsia"/>
          <w:sz w:val="24"/>
        </w:rPr>
      </w:pPr>
      <w:r w:rsidRPr="00FC1444">
        <w:rPr>
          <w:rFonts w:eastAsiaTheme="minorEastAsia"/>
          <w:sz w:val="24"/>
        </w:rPr>
        <w:t xml:space="preserve">    </w:t>
      </w:r>
      <w:r w:rsidRPr="00FC1444">
        <w:rPr>
          <w:rFonts w:eastAsiaTheme="minorEastAsia"/>
          <w:sz w:val="24"/>
        </w:rPr>
        <w:t>注：</w:t>
      </w:r>
      <w:r w:rsidRPr="00FC1444">
        <w:rPr>
          <w:rFonts w:eastAsiaTheme="minorEastAsia"/>
          <w:sz w:val="24"/>
        </w:rPr>
        <w:t>Ms</w:t>
      </w:r>
      <w:r w:rsidRPr="00FC1444">
        <w:rPr>
          <w:rFonts w:eastAsiaTheme="minorEastAsia"/>
          <w:sz w:val="24"/>
        </w:rPr>
        <w:t>是在计算出</w:t>
      </w:r>
      <w:r w:rsidRPr="00FC1444">
        <w:rPr>
          <w:rFonts w:eastAsiaTheme="minorEastAsia"/>
          <w:sz w:val="24"/>
        </w:rPr>
        <w:t>SB</w:t>
      </w:r>
      <w:r w:rsidRPr="00FC1444">
        <w:rPr>
          <w:rFonts w:eastAsiaTheme="minorEastAsia"/>
          <w:sz w:val="24"/>
        </w:rPr>
        <w:t>值和</w:t>
      </w:r>
      <w:r w:rsidRPr="00FC1444">
        <w:rPr>
          <w:rFonts w:eastAsiaTheme="minorEastAsia"/>
          <w:sz w:val="24"/>
        </w:rPr>
        <w:t>HCB</w:t>
      </w:r>
      <w:r w:rsidRPr="00FC1444">
        <w:rPr>
          <w:rFonts w:eastAsiaTheme="minorEastAsia"/>
          <w:sz w:val="24"/>
        </w:rPr>
        <w:t>值后查表</w:t>
      </w:r>
      <w:r w:rsidRPr="00FC1444">
        <w:rPr>
          <w:rFonts w:eastAsiaTheme="minorEastAsia"/>
          <w:sz w:val="24"/>
        </w:rPr>
        <w:t>4-2-1</w:t>
      </w:r>
      <w:r w:rsidR="00F90B8B" w:rsidRPr="00FC1444">
        <w:rPr>
          <w:rFonts w:eastAsiaTheme="minorEastAsia" w:hint="eastAsia"/>
          <w:sz w:val="24"/>
        </w:rPr>
        <w:t>1</w:t>
      </w:r>
      <w:r w:rsidRPr="00FC1444">
        <w:rPr>
          <w:rFonts w:eastAsiaTheme="minorEastAsia"/>
          <w:sz w:val="24"/>
        </w:rPr>
        <w:t>中查得。</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4-2-1</w:t>
      </w:r>
      <w:r w:rsidR="00F90B8B" w:rsidRPr="00FC1444">
        <w:rPr>
          <w:rFonts w:eastAsiaTheme="minorEastAsia" w:hint="eastAsia"/>
          <w:b/>
          <w:kern w:val="0"/>
          <w:szCs w:val="21"/>
        </w:rPr>
        <w:t>1</w:t>
      </w:r>
      <w:r w:rsidRPr="00FC1444">
        <w:rPr>
          <w:rFonts w:eastAsiaTheme="minorEastAsia"/>
          <w:b/>
          <w:kern w:val="0"/>
          <w:szCs w:val="21"/>
        </w:rPr>
        <w:t xml:space="preserve"> SB</w:t>
      </w:r>
      <w:r w:rsidRPr="00FC1444">
        <w:rPr>
          <w:rFonts w:eastAsiaTheme="minorEastAsia"/>
          <w:b/>
          <w:kern w:val="0"/>
          <w:szCs w:val="21"/>
        </w:rPr>
        <w:t>、</w:t>
      </w:r>
      <w:r w:rsidRPr="00FC1444">
        <w:rPr>
          <w:rFonts w:eastAsiaTheme="minorEastAsia"/>
          <w:b/>
          <w:kern w:val="0"/>
          <w:szCs w:val="21"/>
        </w:rPr>
        <w:t>HCB</w:t>
      </w:r>
      <w:r w:rsidRPr="00FC1444">
        <w:rPr>
          <w:rFonts w:eastAsiaTheme="minorEastAsia"/>
          <w:b/>
          <w:kern w:val="0"/>
          <w:szCs w:val="21"/>
        </w:rPr>
        <w:t>、</w:t>
      </w:r>
      <w:r w:rsidRPr="00FC1444">
        <w:rPr>
          <w:rFonts w:eastAsiaTheme="minorEastAsia"/>
          <w:b/>
          <w:kern w:val="0"/>
          <w:szCs w:val="21"/>
        </w:rPr>
        <w:t>Ms</w:t>
      </w:r>
      <w:r w:rsidRPr="00FC1444">
        <w:rPr>
          <w:rFonts w:eastAsiaTheme="minorEastAsia"/>
          <w:b/>
          <w:kern w:val="0"/>
          <w:szCs w:val="21"/>
        </w:rPr>
        <w:t>关系表</w:t>
      </w:r>
    </w:p>
    <w:p w:rsidR="002A5A5E" w:rsidRPr="00FC1444" w:rsidRDefault="00611CBA">
      <w:pPr>
        <w:jc w:val="center"/>
        <w:rPr>
          <w:rFonts w:eastAsiaTheme="minorEastAsia"/>
          <w:sz w:val="24"/>
        </w:rPr>
      </w:pPr>
      <w:r w:rsidRPr="00FC1444">
        <w:rPr>
          <w:rFonts w:eastAsiaTheme="minorEastAsia"/>
          <w:noProof/>
        </w:rPr>
        <w:drawing>
          <wp:inline distT="0" distB="0" distL="0" distR="0">
            <wp:extent cx="5189220" cy="2927985"/>
            <wp:effectExtent l="19050" t="0" r="0" b="0"/>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noChangeArrowheads="1"/>
                    </pic:cNvPicPr>
                  </pic:nvPicPr>
                  <pic:blipFill>
                    <a:blip r:embed="rId57" cstate="print"/>
                    <a:srcRect/>
                    <a:stretch>
                      <a:fillRect/>
                    </a:stretch>
                  </pic:blipFill>
                  <pic:spPr>
                    <a:xfrm>
                      <a:off x="0" y="0"/>
                      <a:ext cx="5194045" cy="2931117"/>
                    </a:xfrm>
                    <a:prstGeom prst="rect">
                      <a:avLst/>
                    </a:prstGeom>
                    <a:noFill/>
                    <a:ln w="9525">
                      <a:noFill/>
                      <a:miter lim="800000"/>
                      <a:headEnd/>
                      <a:tailEnd/>
                    </a:ln>
                  </pic:spPr>
                </pic:pic>
              </a:graphicData>
            </a:graphic>
          </wp:inline>
        </w:drawing>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第三步，将地下水化学类型用阿拉伯数字（</w:t>
      </w:r>
      <w:r w:rsidRPr="00FC1444">
        <w:rPr>
          <w:rFonts w:eastAsiaTheme="minorEastAsia"/>
          <w:sz w:val="24"/>
        </w:rPr>
        <w:t>1</w:t>
      </w:r>
      <w:r w:rsidRPr="00FC1444">
        <w:rPr>
          <w:rFonts w:eastAsiaTheme="minorEastAsia"/>
          <w:sz w:val="24"/>
        </w:rPr>
        <w:t>～</w:t>
      </w:r>
      <w:r w:rsidRPr="00FC1444">
        <w:rPr>
          <w:rFonts w:eastAsiaTheme="minorEastAsia"/>
          <w:sz w:val="24"/>
        </w:rPr>
        <w:t>49</w:t>
      </w:r>
      <w:r w:rsidRPr="00FC1444">
        <w:rPr>
          <w:rFonts w:eastAsiaTheme="minorEastAsia"/>
          <w:sz w:val="24"/>
        </w:rPr>
        <w:t>）与字母（</w:t>
      </w:r>
      <w:r w:rsidRPr="00FC1444">
        <w:rPr>
          <w:rFonts w:eastAsiaTheme="minorEastAsia"/>
          <w:sz w:val="24"/>
        </w:rPr>
        <w:t>A</w:t>
      </w:r>
      <w:r w:rsidRPr="00FC1444">
        <w:rPr>
          <w:rFonts w:eastAsiaTheme="minorEastAsia"/>
          <w:sz w:val="24"/>
        </w:rPr>
        <w:t>、</w:t>
      </w:r>
      <w:r w:rsidRPr="00FC1444">
        <w:rPr>
          <w:rFonts w:eastAsiaTheme="minorEastAsia"/>
          <w:sz w:val="24"/>
        </w:rPr>
        <w:t>B</w:t>
      </w:r>
      <w:r w:rsidRPr="00FC1444">
        <w:rPr>
          <w:rFonts w:eastAsiaTheme="minorEastAsia"/>
          <w:sz w:val="24"/>
        </w:rPr>
        <w:t>、</w:t>
      </w:r>
      <w:r w:rsidRPr="00FC1444">
        <w:rPr>
          <w:rFonts w:eastAsiaTheme="minorEastAsia"/>
          <w:sz w:val="24"/>
        </w:rPr>
        <w:t>C</w:t>
      </w:r>
      <w:r w:rsidRPr="00FC1444">
        <w:rPr>
          <w:rFonts w:eastAsiaTheme="minorEastAsia"/>
          <w:sz w:val="24"/>
        </w:rPr>
        <w:t>或</w:t>
      </w:r>
      <w:r w:rsidRPr="00FC1444">
        <w:rPr>
          <w:rFonts w:eastAsiaTheme="minorEastAsia"/>
          <w:sz w:val="24"/>
        </w:rPr>
        <w:t>D</w:t>
      </w:r>
      <w:r w:rsidRPr="00FC1444">
        <w:rPr>
          <w:rFonts w:eastAsiaTheme="minorEastAsia"/>
          <w:sz w:val="24"/>
        </w:rPr>
        <w:t>）</w:t>
      </w:r>
      <w:r w:rsidRPr="00FC1444">
        <w:rPr>
          <w:rFonts w:eastAsiaTheme="minorEastAsia"/>
          <w:sz w:val="24"/>
        </w:rPr>
        <w:lastRenderedPageBreak/>
        <w:t>组合在一起的表达式表示。</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）地下水化学类型评价结果</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首先对水文资料进行整理，换算毫克</w:t>
      </w:r>
      <w:r w:rsidRPr="00FC1444">
        <w:rPr>
          <w:rFonts w:eastAsiaTheme="minorEastAsia"/>
          <w:sz w:val="24"/>
        </w:rPr>
        <w:t>/</w:t>
      </w:r>
      <w:r w:rsidRPr="00FC1444">
        <w:rPr>
          <w:rFonts w:eastAsiaTheme="minorEastAsia"/>
          <w:sz w:val="24"/>
        </w:rPr>
        <w:t>升为毫克当量</w:t>
      </w:r>
      <w:r w:rsidRPr="00FC1444">
        <w:rPr>
          <w:rFonts w:eastAsiaTheme="minorEastAsia"/>
          <w:sz w:val="24"/>
        </w:rPr>
        <w:t>/</w:t>
      </w:r>
      <w:r w:rsidRPr="00FC1444">
        <w:rPr>
          <w:rFonts w:eastAsiaTheme="minorEastAsia"/>
          <w:sz w:val="24"/>
        </w:rPr>
        <w:t>升及毫克当量百分数；知道了离子在水中的毫克当量数以后，根据计算公式计算其毫克当量百分数。</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本次监测换算结果见表</w:t>
      </w:r>
      <w:r w:rsidRPr="00FC1444">
        <w:rPr>
          <w:rFonts w:eastAsiaTheme="minorEastAsia"/>
          <w:sz w:val="24"/>
        </w:rPr>
        <w:t>4-2-1</w:t>
      </w:r>
      <w:r w:rsidR="00F90B8B" w:rsidRPr="00FC1444">
        <w:rPr>
          <w:rFonts w:eastAsiaTheme="minorEastAsia" w:hint="eastAsia"/>
          <w:sz w:val="24"/>
        </w:rPr>
        <w:t>2</w:t>
      </w:r>
      <w:r w:rsidRPr="00FC1444">
        <w:rPr>
          <w:rFonts w:eastAsiaTheme="minorEastAsia"/>
          <w:sz w:val="24"/>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4-2-1</w:t>
      </w:r>
      <w:r w:rsidR="00F90B8B" w:rsidRPr="00FC1444">
        <w:rPr>
          <w:rFonts w:eastAsiaTheme="minorEastAsia" w:hint="eastAsia"/>
          <w:b/>
          <w:kern w:val="0"/>
          <w:szCs w:val="21"/>
        </w:rPr>
        <w:t>2</w:t>
      </w:r>
      <w:r w:rsidRPr="00FC1444">
        <w:rPr>
          <w:rFonts w:eastAsiaTheme="minorEastAsia"/>
          <w:b/>
          <w:kern w:val="0"/>
          <w:szCs w:val="21"/>
        </w:rPr>
        <w:t xml:space="preserve"> </w:t>
      </w:r>
      <w:r w:rsidRPr="00FC1444">
        <w:rPr>
          <w:rFonts w:eastAsiaTheme="minorEastAsia"/>
          <w:b/>
          <w:kern w:val="0"/>
          <w:szCs w:val="21"/>
        </w:rPr>
        <w:t>监测换算结果表</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tblPr>
      <w:tblGrid>
        <w:gridCol w:w="1143"/>
        <w:gridCol w:w="2023"/>
        <w:gridCol w:w="1693"/>
        <w:gridCol w:w="1804"/>
        <w:gridCol w:w="1859"/>
      </w:tblGrid>
      <w:tr w:rsidR="002A5A5E" w:rsidRPr="00FC1444" w:rsidTr="00FE1542">
        <w:tc>
          <w:tcPr>
            <w:tcW w:w="3166" w:type="dxa"/>
            <w:gridSpan w:val="2"/>
            <w:vAlign w:val="center"/>
          </w:tcPr>
          <w:p w:rsidR="002A5A5E" w:rsidRPr="00FC1444" w:rsidRDefault="00611CBA" w:rsidP="00FE1542">
            <w:pPr>
              <w:snapToGrid w:val="0"/>
              <w:spacing w:line="0" w:lineRule="atLeast"/>
              <w:contextualSpacing/>
              <w:jc w:val="center"/>
              <w:rPr>
                <w:rFonts w:eastAsiaTheme="minorEastAsia"/>
                <w:snapToGrid w:val="0"/>
                <w:szCs w:val="21"/>
              </w:rPr>
            </w:pPr>
            <w:r w:rsidRPr="00FC1444">
              <w:rPr>
                <w:rFonts w:ascii="宋体" w:hAnsi="宋体" w:cs="宋体" w:hint="eastAsia"/>
                <w:szCs w:val="21"/>
              </w:rPr>
              <w:t>☆</w:t>
            </w:r>
            <w:r w:rsidRPr="00FC1444">
              <w:rPr>
                <w:rFonts w:eastAsiaTheme="minorEastAsia"/>
                <w:szCs w:val="21"/>
              </w:rPr>
              <w:t>01</w:t>
            </w:r>
            <w:r w:rsidRPr="00FC1444">
              <w:rPr>
                <w:rFonts w:eastAsiaTheme="minorEastAsia"/>
                <w:snapToGrid w:val="0"/>
                <w:szCs w:val="21"/>
              </w:rPr>
              <w:t>监测点</w:t>
            </w:r>
          </w:p>
        </w:tc>
        <w:tc>
          <w:tcPr>
            <w:tcW w:w="1693" w:type="dxa"/>
            <w:vAlign w:val="center"/>
          </w:tcPr>
          <w:p w:rsidR="002A5A5E" w:rsidRPr="00FC1444" w:rsidRDefault="00611CB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mg/L</w:t>
            </w:r>
          </w:p>
        </w:tc>
        <w:tc>
          <w:tcPr>
            <w:tcW w:w="1804" w:type="dxa"/>
            <w:vAlign w:val="center"/>
          </w:tcPr>
          <w:p w:rsidR="002A5A5E" w:rsidRPr="00FC1444" w:rsidRDefault="00611CB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meq/L</w:t>
            </w:r>
          </w:p>
        </w:tc>
        <w:tc>
          <w:tcPr>
            <w:tcW w:w="1859" w:type="dxa"/>
            <w:vAlign w:val="center"/>
          </w:tcPr>
          <w:p w:rsidR="002A5A5E" w:rsidRPr="00FC1444" w:rsidRDefault="00611CB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meq%</w:t>
            </w:r>
          </w:p>
        </w:tc>
      </w:tr>
      <w:tr w:rsidR="004374C1" w:rsidRPr="00FC1444" w:rsidTr="00FE1542">
        <w:tc>
          <w:tcPr>
            <w:tcW w:w="1143" w:type="dxa"/>
            <w:vMerge w:val="restart"/>
            <w:vAlign w:val="center"/>
          </w:tcPr>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阳</w:t>
            </w:r>
          </w:p>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离</w:t>
            </w:r>
          </w:p>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子</w:t>
            </w:r>
          </w:p>
        </w:tc>
        <w:tc>
          <w:tcPr>
            <w:tcW w:w="2023" w:type="dxa"/>
            <w:vAlign w:val="center"/>
          </w:tcPr>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K</w:t>
            </w:r>
            <w:r w:rsidRPr="00FC1444">
              <w:rPr>
                <w:rFonts w:eastAsiaTheme="minorEastAsia"/>
                <w:snapToGrid w:val="0"/>
                <w:szCs w:val="21"/>
                <w:vertAlign w:val="superscript"/>
              </w:rPr>
              <w:t>+</w:t>
            </w:r>
            <w:r w:rsidRPr="00FC1444">
              <w:rPr>
                <w:rFonts w:eastAsiaTheme="minorEastAsia"/>
                <w:snapToGrid w:val="0"/>
                <w:szCs w:val="21"/>
              </w:rPr>
              <w:t>+Na</w:t>
            </w:r>
            <w:r w:rsidRPr="00FC1444">
              <w:rPr>
                <w:rFonts w:eastAsiaTheme="minorEastAsia"/>
                <w:snapToGrid w:val="0"/>
                <w:szCs w:val="21"/>
                <w:vertAlign w:val="superscript"/>
              </w:rPr>
              <w:t>+</w:t>
            </w:r>
          </w:p>
        </w:tc>
        <w:tc>
          <w:tcPr>
            <w:tcW w:w="1693" w:type="dxa"/>
            <w:vAlign w:val="bottom"/>
          </w:tcPr>
          <w:p w:rsidR="004374C1" w:rsidRPr="00FC1444" w:rsidRDefault="004374C1" w:rsidP="004374C1">
            <w:pPr>
              <w:spacing w:line="0" w:lineRule="atLeast"/>
              <w:jc w:val="center"/>
              <w:rPr>
                <w:rFonts w:eastAsia="等线"/>
                <w:szCs w:val="21"/>
              </w:rPr>
            </w:pPr>
            <w:r w:rsidRPr="00FC1444">
              <w:rPr>
                <w:rFonts w:eastAsia="等线"/>
                <w:szCs w:val="21"/>
              </w:rPr>
              <w:t>13.96</w:t>
            </w:r>
          </w:p>
        </w:tc>
        <w:tc>
          <w:tcPr>
            <w:tcW w:w="1804"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0.58</w:t>
            </w:r>
          </w:p>
        </w:tc>
        <w:tc>
          <w:tcPr>
            <w:tcW w:w="1859"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14.76</w:t>
            </w:r>
          </w:p>
        </w:tc>
      </w:tr>
      <w:tr w:rsidR="004374C1" w:rsidRPr="00FC1444" w:rsidTr="00FE1542">
        <w:tc>
          <w:tcPr>
            <w:tcW w:w="1143" w:type="dxa"/>
            <w:vMerge/>
            <w:vAlign w:val="center"/>
          </w:tcPr>
          <w:p w:rsidR="004374C1" w:rsidRPr="00FC1444" w:rsidRDefault="004374C1" w:rsidP="00FE1542">
            <w:pPr>
              <w:widowControl/>
              <w:spacing w:line="0" w:lineRule="atLeast"/>
              <w:contextualSpacing/>
              <w:jc w:val="center"/>
              <w:rPr>
                <w:rFonts w:eastAsiaTheme="minorEastAsia"/>
                <w:snapToGrid w:val="0"/>
                <w:szCs w:val="21"/>
              </w:rPr>
            </w:pPr>
          </w:p>
        </w:tc>
        <w:tc>
          <w:tcPr>
            <w:tcW w:w="2023" w:type="dxa"/>
            <w:vAlign w:val="center"/>
          </w:tcPr>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Ca</w:t>
            </w:r>
            <w:r w:rsidRPr="00FC1444">
              <w:rPr>
                <w:rFonts w:eastAsiaTheme="minorEastAsia"/>
                <w:snapToGrid w:val="0"/>
                <w:szCs w:val="21"/>
                <w:vertAlign w:val="superscript"/>
              </w:rPr>
              <w:t>2+</w:t>
            </w:r>
          </w:p>
        </w:tc>
        <w:tc>
          <w:tcPr>
            <w:tcW w:w="1693" w:type="dxa"/>
            <w:vAlign w:val="bottom"/>
          </w:tcPr>
          <w:p w:rsidR="004374C1" w:rsidRPr="00FC1444" w:rsidRDefault="004374C1" w:rsidP="004374C1">
            <w:pPr>
              <w:spacing w:line="0" w:lineRule="atLeast"/>
              <w:jc w:val="center"/>
              <w:rPr>
                <w:rFonts w:eastAsia="等线"/>
                <w:szCs w:val="21"/>
              </w:rPr>
            </w:pPr>
            <w:r w:rsidRPr="00FC1444">
              <w:rPr>
                <w:rFonts w:eastAsia="等线"/>
                <w:szCs w:val="21"/>
              </w:rPr>
              <w:t>58.6</w:t>
            </w:r>
          </w:p>
        </w:tc>
        <w:tc>
          <w:tcPr>
            <w:tcW w:w="1804"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2.93</w:t>
            </w:r>
          </w:p>
        </w:tc>
        <w:tc>
          <w:tcPr>
            <w:tcW w:w="1859"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74.89</w:t>
            </w:r>
          </w:p>
        </w:tc>
      </w:tr>
      <w:tr w:rsidR="004374C1" w:rsidRPr="00FC1444" w:rsidTr="00FE1542">
        <w:tc>
          <w:tcPr>
            <w:tcW w:w="1143" w:type="dxa"/>
            <w:vMerge/>
            <w:vAlign w:val="center"/>
          </w:tcPr>
          <w:p w:rsidR="004374C1" w:rsidRPr="00FC1444" w:rsidRDefault="004374C1" w:rsidP="00FE1542">
            <w:pPr>
              <w:widowControl/>
              <w:spacing w:line="0" w:lineRule="atLeast"/>
              <w:contextualSpacing/>
              <w:jc w:val="center"/>
              <w:rPr>
                <w:rFonts w:eastAsiaTheme="minorEastAsia"/>
                <w:snapToGrid w:val="0"/>
                <w:szCs w:val="21"/>
              </w:rPr>
            </w:pPr>
          </w:p>
        </w:tc>
        <w:tc>
          <w:tcPr>
            <w:tcW w:w="2023" w:type="dxa"/>
            <w:vAlign w:val="center"/>
          </w:tcPr>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Mg</w:t>
            </w:r>
            <w:r w:rsidRPr="00FC1444">
              <w:rPr>
                <w:rFonts w:eastAsiaTheme="minorEastAsia"/>
                <w:snapToGrid w:val="0"/>
                <w:szCs w:val="21"/>
                <w:vertAlign w:val="superscript"/>
              </w:rPr>
              <w:t>2+</w:t>
            </w:r>
          </w:p>
        </w:tc>
        <w:tc>
          <w:tcPr>
            <w:tcW w:w="1693" w:type="dxa"/>
            <w:vAlign w:val="bottom"/>
          </w:tcPr>
          <w:p w:rsidR="004374C1" w:rsidRPr="00FC1444" w:rsidRDefault="004374C1" w:rsidP="004374C1">
            <w:pPr>
              <w:spacing w:line="0" w:lineRule="atLeast"/>
              <w:jc w:val="center"/>
              <w:rPr>
                <w:rFonts w:eastAsia="等线"/>
                <w:szCs w:val="21"/>
              </w:rPr>
            </w:pPr>
            <w:r w:rsidRPr="00FC1444">
              <w:rPr>
                <w:rFonts w:eastAsia="等线"/>
                <w:szCs w:val="21"/>
              </w:rPr>
              <w:t>4.86</w:t>
            </w:r>
          </w:p>
        </w:tc>
        <w:tc>
          <w:tcPr>
            <w:tcW w:w="1804"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0.41</w:t>
            </w:r>
          </w:p>
        </w:tc>
        <w:tc>
          <w:tcPr>
            <w:tcW w:w="1859"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10.35</w:t>
            </w:r>
          </w:p>
        </w:tc>
      </w:tr>
      <w:tr w:rsidR="004374C1" w:rsidRPr="00FC1444" w:rsidTr="00FE1542">
        <w:tc>
          <w:tcPr>
            <w:tcW w:w="1143" w:type="dxa"/>
            <w:vMerge/>
            <w:vAlign w:val="center"/>
          </w:tcPr>
          <w:p w:rsidR="004374C1" w:rsidRPr="00FC1444" w:rsidRDefault="004374C1" w:rsidP="00FE1542">
            <w:pPr>
              <w:widowControl/>
              <w:spacing w:line="0" w:lineRule="atLeast"/>
              <w:contextualSpacing/>
              <w:jc w:val="center"/>
              <w:rPr>
                <w:rFonts w:eastAsiaTheme="minorEastAsia"/>
                <w:snapToGrid w:val="0"/>
                <w:szCs w:val="21"/>
              </w:rPr>
            </w:pPr>
          </w:p>
        </w:tc>
        <w:tc>
          <w:tcPr>
            <w:tcW w:w="2023" w:type="dxa"/>
            <w:vAlign w:val="center"/>
          </w:tcPr>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总计</w:t>
            </w:r>
          </w:p>
        </w:tc>
        <w:tc>
          <w:tcPr>
            <w:tcW w:w="1693" w:type="dxa"/>
            <w:vAlign w:val="bottom"/>
          </w:tcPr>
          <w:p w:rsidR="004374C1" w:rsidRPr="00FC1444" w:rsidRDefault="004374C1" w:rsidP="004374C1">
            <w:pPr>
              <w:spacing w:line="0" w:lineRule="atLeast"/>
              <w:jc w:val="center"/>
              <w:rPr>
                <w:rFonts w:eastAsia="等线"/>
                <w:szCs w:val="21"/>
              </w:rPr>
            </w:pPr>
            <w:r w:rsidRPr="00FC1444">
              <w:rPr>
                <w:rFonts w:eastAsia="等线"/>
                <w:szCs w:val="21"/>
              </w:rPr>
              <w:t>77.42</w:t>
            </w:r>
          </w:p>
        </w:tc>
        <w:tc>
          <w:tcPr>
            <w:tcW w:w="1804"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3.91</w:t>
            </w:r>
          </w:p>
        </w:tc>
        <w:tc>
          <w:tcPr>
            <w:tcW w:w="1859"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100.00</w:t>
            </w:r>
          </w:p>
        </w:tc>
      </w:tr>
      <w:tr w:rsidR="004374C1" w:rsidRPr="00FC1444" w:rsidTr="00FE1542">
        <w:tc>
          <w:tcPr>
            <w:tcW w:w="1143" w:type="dxa"/>
            <w:vMerge w:val="restart"/>
            <w:vAlign w:val="center"/>
          </w:tcPr>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阴</w:t>
            </w:r>
          </w:p>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离</w:t>
            </w:r>
          </w:p>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子</w:t>
            </w:r>
          </w:p>
        </w:tc>
        <w:tc>
          <w:tcPr>
            <w:tcW w:w="2023" w:type="dxa"/>
            <w:vAlign w:val="center"/>
          </w:tcPr>
          <w:p w:rsidR="004374C1" w:rsidRPr="00FC1444" w:rsidRDefault="004374C1" w:rsidP="00FE1542">
            <w:pPr>
              <w:snapToGrid w:val="0"/>
              <w:spacing w:line="0" w:lineRule="atLeast"/>
              <w:contextualSpacing/>
              <w:jc w:val="center"/>
              <w:rPr>
                <w:rFonts w:eastAsiaTheme="minorEastAsia"/>
                <w:snapToGrid w:val="0"/>
                <w:szCs w:val="21"/>
                <w:vertAlign w:val="superscript"/>
              </w:rPr>
            </w:pPr>
            <w:r w:rsidRPr="00FC1444">
              <w:rPr>
                <w:rFonts w:eastAsiaTheme="minorEastAsia"/>
                <w:snapToGrid w:val="0"/>
                <w:szCs w:val="21"/>
              </w:rPr>
              <w:t>HCO</w:t>
            </w:r>
            <w:r w:rsidRPr="00FC1444">
              <w:rPr>
                <w:rFonts w:eastAsiaTheme="minorEastAsia"/>
                <w:snapToGrid w:val="0"/>
                <w:szCs w:val="21"/>
                <w:vertAlign w:val="subscript"/>
              </w:rPr>
              <w:t>3</w:t>
            </w:r>
            <w:r w:rsidRPr="00FC1444">
              <w:rPr>
                <w:rFonts w:eastAsiaTheme="minorEastAsia"/>
                <w:snapToGrid w:val="0"/>
                <w:szCs w:val="21"/>
                <w:vertAlign w:val="superscript"/>
              </w:rPr>
              <w:t>-</w:t>
            </w:r>
          </w:p>
        </w:tc>
        <w:tc>
          <w:tcPr>
            <w:tcW w:w="1693" w:type="dxa"/>
            <w:vAlign w:val="bottom"/>
          </w:tcPr>
          <w:p w:rsidR="004374C1" w:rsidRPr="00FC1444" w:rsidRDefault="004374C1" w:rsidP="004374C1">
            <w:pPr>
              <w:spacing w:line="0" w:lineRule="atLeast"/>
              <w:jc w:val="center"/>
              <w:rPr>
                <w:rFonts w:eastAsia="等线"/>
                <w:szCs w:val="21"/>
              </w:rPr>
            </w:pPr>
            <w:r w:rsidRPr="00FC1444">
              <w:rPr>
                <w:rFonts w:eastAsia="等线"/>
                <w:szCs w:val="21"/>
              </w:rPr>
              <w:t>85</w:t>
            </w:r>
          </w:p>
        </w:tc>
        <w:tc>
          <w:tcPr>
            <w:tcW w:w="1804"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1.39</w:t>
            </w:r>
          </w:p>
        </w:tc>
        <w:tc>
          <w:tcPr>
            <w:tcW w:w="1859"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33.56</w:t>
            </w:r>
          </w:p>
        </w:tc>
      </w:tr>
      <w:tr w:rsidR="004374C1" w:rsidRPr="00FC1444" w:rsidTr="00FE1542">
        <w:tc>
          <w:tcPr>
            <w:tcW w:w="1143" w:type="dxa"/>
            <w:vMerge/>
            <w:vAlign w:val="center"/>
          </w:tcPr>
          <w:p w:rsidR="004374C1" w:rsidRPr="00FC1444" w:rsidRDefault="004374C1" w:rsidP="00FE1542">
            <w:pPr>
              <w:widowControl/>
              <w:spacing w:line="0" w:lineRule="atLeast"/>
              <w:contextualSpacing/>
              <w:jc w:val="center"/>
              <w:rPr>
                <w:rFonts w:eastAsiaTheme="minorEastAsia"/>
                <w:snapToGrid w:val="0"/>
                <w:szCs w:val="21"/>
              </w:rPr>
            </w:pPr>
          </w:p>
        </w:tc>
        <w:tc>
          <w:tcPr>
            <w:tcW w:w="2023" w:type="dxa"/>
            <w:vAlign w:val="center"/>
          </w:tcPr>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Cl</w:t>
            </w:r>
            <w:r w:rsidRPr="00FC1444">
              <w:rPr>
                <w:rFonts w:eastAsiaTheme="minorEastAsia"/>
                <w:snapToGrid w:val="0"/>
                <w:szCs w:val="21"/>
                <w:vertAlign w:val="superscript"/>
              </w:rPr>
              <w:t>-</w:t>
            </w:r>
          </w:p>
        </w:tc>
        <w:tc>
          <w:tcPr>
            <w:tcW w:w="1693" w:type="dxa"/>
            <w:vAlign w:val="bottom"/>
          </w:tcPr>
          <w:p w:rsidR="004374C1" w:rsidRPr="00FC1444" w:rsidRDefault="004374C1" w:rsidP="004374C1">
            <w:pPr>
              <w:spacing w:line="0" w:lineRule="atLeast"/>
              <w:jc w:val="center"/>
              <w:rPr>
                <w:rFonts w:eastAsia="等线"/>
                <w:szCs w:val="21"/>
              </w:rPr>
            </w:pPr>
            <w:r w:rsidRPr="00FC1444">
              <w:rPr>
                <w:rFonts w:eastAsia="等线"/>
                <w:szCs w:val="21"/>
              </w:rPr>
              <w:t>60.5</w:t>
            </w:r>
          </w:p>
        </w:tc>
        <w:tc>
          <w:tcPr>
            <w:tcW w:w="1804"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1.70</w:t>
            </w:r>
          </w:p>
        </w:tc>
        <w:tc>
          <w:tcPr>
            <w:tcW w:w="1859"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41.05</w:t>
            </w:r>
          </w:p>
        </w:tc>
      </w:tr>
      <w:tr w:rsidR="004374C1" w:rsidRPr="00FC1444" w:rsidTr="00FE1542">
        <w:tc>
          <w:tcPr>
            <w:tcW w:w="1143" w:type="dxa"/>
            <w:vMerge/>
            <w:vAlign w:val="center"/>
          </w:tcPr>
          <w:p w:rsidR="004374C1" w:rsidRPr="00FC1444" w:rsidRDefault="004374C1" w:rsidP="00FE1542">
            <w:pPr>
              <w:widowControl/>
              <w:spacing w:line="0" w:lineRule="atLeast"/>
              <w:contextualSpacing/>
              <w:jc w:val="center"/>
              <w:rPr>
                <w:rFonts w:eastAsiaTheme="minorEastAsia"/>
                <w:snapToGrid w:val="0"/>
                <w:szCs w:val="21"/>
              </w:rPr>
            </w:pPr>
          </w:p>
        </w:tc>
        <w:tc>
          <w:tcPr>
            <w:tcW w:w="2023" w:type="dxa"/>
            <w:vAlign w:val="center"/>
          </w:tcPr>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SO</w:t>
            </w:r>
            <w:r w:rsidRPr="00FC1444">
              <w:rPr>
                <w:rFonts w:eastAsiaTheme="minorEastAsia"/>
                <w:snapToGrid w:val="0"/>
                <w:szCs w:val="21"/>
                <w:vertAlign w:val="subscript"/>
              </w:rPr>
              <w:t>4</w:t>
            </w:r>
            <w:r w:rsidRPr="00FC1444">
              <w:rPr>
                <w:rFonts w:eastAsiaTheme="minorEastAsia"/>
                <w:snapToGrid w:val="0"/>
                <w:szCs w:val="21"/>
                <w:vertAlign w:val="superscript"/>
              </w:rPr>
              <w:t>2-</w:t>
            </w:r>
          </w:p>
        </w:tc>
        <w:tc>
          <w:tcPr>
            <w:tcW w:w="1693" w:type="dxa"/>
            <w:vAlign w:val="bottom"/>
          </w:tcPr>
          <w:p w:rsidR="004374C1" w:rsidRPr="00FC1444" w:rsidRDefault="004374C1" w:rsidP="004374C1">
            <w:pPr>
              <w:spacing w:line="0" w:lineRule="atLeast"/>
              <w:jc w:val="center"/>
              <w:rPr>
                <w:rFonts w:eastAsia="等线"/>
                <w:szCs w:val="21"/>
              </w:rPr>
            </w:pPr>
            <w:r w:rsidRPr="00FC1444">
              <w:rPr>
                <w:rFonts w:eastAsia="等线"/>
                <w:szCs w:val="21"/>
              </w:rPr>
              <w:t>50.6</w:t>
            </w:r>
          </w:p>
        </w:tc>
        <w:tc>
          <w:tcPr>
            <w:tcW w:w="1804"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1.05</w:t>
            </w:r>
          </w:p>
        </w:tc>
        <w:tc>
          <w:tcPr>
            <w:tcW w:w="1859"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25.39</w:t>
            </w:r>
          </w:p>
        </w:tc>
      </w:tr>
      <w:tr w:rsidR="004374C1" w:rsidRPr="00FC1444" w:rsidTr="00FE1542">
        <w:tc>
          <w:tcPr>
            <w:tcW w:w="1143" w:type="dxa"/>
            <w:vMerge/>
            <w:vAlign w:val="center"/>
          </w:tcPr>
          <w:p w:rsidR="004374C1" w:rsidRPr="00FC1444" w:rsidRDefault="004374C1" w:rsidP="00FE1542">
            <w:pPr>
              <w:widowControl/>
              <w:spacing w:line="0" w:lineRule="atLeast"/>
              <w:contextualSpacing/>
              <w:jc w:val="center"/>
              <w:rPr>
                <w:rFonts w:eastAsiaTheme="minorEastAsia"/>
                <w:snapToGrid w:val="0"/>
                <w:szCs w:val="21"/>
              </w:rPr>
            </w:pPr>
          </w:p>
        </w:tc>
        <w:tc>
          <w:tcPr>
            <w:tcW w:w="2023" w:type="dxa"/>
            <w:vAlign w:val="center"/>
          </w:tcPr>
          <w:p w:rsidR="004374C1" w:rsidRPr="00FC1444" w:rsidRDefault="004374C1"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总计</w:t>
            </w:r>
          </w:p>
        </w:tc>
        <w:tc>
          <w:tcPr>
            <w:tcW w:w="1693"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196.1</w:t>
            </w:r>
          </w:p>
        </w:tc>
        <w:tc>
          <w:tcPr>
            <w:tcW w:w="1804"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4.15</w:t>
            </w:r>
          </w:p>
        </w:tc>
        <w:tc>
          <w:tcPr>
            <w:tcW w:w="1859" w:type="dxa"/>
            <w:vAlign w:val="bottom"/>
          </w:tcPr>
          <w:p w:rsidR="004374C1" w:rsidRPr="00FC1444" w:rsidRDefault="004374C1" w:rsidP="004374C1">
            <w:pPr>
              <w:spacing w:line="0" w:lineRule="atLeast"/>
              <w:jc w:val="center"/>
              <w:rPr>
                <w:rFonts w:eastAsia="等线"/>
                <w:szCs w:val="21"/>
              </w:rPr>
            </w:pPr>
            <w:r w:rsidRPr="00FC1444">
              <w:rPr>
                <w:rFonts w:eastAsia="等线" w:hint="eastAsia"/>
                <w:szCs w:val="21"/>
              </w:rPr>
              <w:t>100.00</w:t>
            </w:r>
          </w:p>
        </w:tc>
      </w:tr>
      <w:tr w:rsidR="00FE1542" w:rsidRPr="00FC1444" w:rsidTr="00FE1542">
        <w:tc>
          <w:tcPr>
            <w:tcW w:w="3166" w:type="dxa"/>
            <w:gridSpan w:val="2"/>
            <w:vAlign w:val="center"/>
          </w:tcPr>
          <w:p w:rsidR="00FE1542" w:rsidRPr="00FC1444" w:rsidRDefault="00FE1542" w:rsidP="00FE1542">
            <w:pPr>
              <w:snapToGrid w:val="0"/>
              <w:spacing w:line="0" w:lineRule="atLeast"/>
              <w:contextualSpacing/>
              <w:jc w:val="center"/>
              <w:rPr>
                <w:rFonts w:eastAsiaTheme="minorEastAsia"/>
                <w:snapToGrid w:val="0"/>
                <w:szCs w:val="21"/>
              </w:rPr>
            </w:pPr>
            <w:r w:rsidRPr="00FC1444">
              <w:rPr>
                <w:rFonts w:ascii="宋体" w:hAnsi="宋体" w:cs="宋体" w:hint="eastAsia"/>
                <w:szCs w:val="21"/>
              </w:rPr>
              <w:t>☆</w:t>
            </w:r>
            <w:r w:rsidRPr="00FC1444">
              <w:rPr>
                <w:rFonts w:eastAsiaTheme="minorEastAsia"/>
                <w:szCs w:val="21"/>
              </w:rPr>
              <w:t>02</w:t>
            </w:r>
            <w:r w:rsidRPr="00FC1444">
              <w:rPr>
                <w:rFonts w:eastAsiaTheme="minorEastAsia"/>
                <w:szCs w:val="21"/>
              </w:rPr>
              <w:t>监测点</w:t>
            </w:r>
          </w:p>
        </w:tc>
        <w:tc>
          <w:tcPr>
            <w:tcW w:w="1693" w:type="dxa"/>
            <w:vAlign w:val="center"/>
          </w:tcPr>
          <w:p w:rsidR="00FE1542" w:rsidRPr="00FC1444" w:rsidRDefault="00FE1542"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mg/L</w:t>
            </w:r>
          </w:p>
        </w:tc>
        <w:tc>
          <w:tcPr>
            <w:tcW w:w="1804" w:type="dxa"/>
            <w:vAlign w:val="center"/>
          </w:tcPr>
          <w:p w:rsidR="00FE1542" w:rsidRPr="00FC1444" w:rsidRDefault="00FE1542"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meq/L</w:t>
            </w:r>
          </w:p>
        </w:tc>
        <w:tc>
          <w:tcPr>
            <w:tcW w:w="1859" w:type="dxa"/>
            <w:vAlign w:val="center"/>
          </w:tcPr>
          <w:p w:rsidR="00FE1542" w:rsidRPr="00FC1444" w:rsidRDefault="00FE1542"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meq%</w:t>
            </w:r>
          </w:p>
        </w:tc>
      </w:tr>
      <w:tr w:rsidR="004D63EA" w:rsidRPr="00FC1444" w:rsidTr="00FE1542">
        <w:tc>
          <w:tcPr>
            <w:tcW w:w="1143" w:type="dxa"/>
            <w:vMerge w:val="restart"/>
            <w:vAlign w:val="center"/>
          </w:tcPr>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阳</w:t>
            </w:r>
          </w:p>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离</w:t>
            </w:r>
          </w:p>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子</w:t>
            </w:r>
          </w:p>
        </w:tc>
        <w:tc>
          <w:tcPr>
            <w:tcW w:w="2023" w:type="dxa"/>
            <w:vAlign w:val="center"/>
          </w:tcPr>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K</w:t>
            </w:r>
            <w:r w:rsidRPr="00FC1444">
              <w:rPr>
                <w:rFonts w:eastAsiaTheme="minorEastAsia"/>
                <w:snapToGrid w:val="0"/>
                <w:szCs w:val="21"/>
                <w:vertAlign w:val="superscript"/>
              </w:rPr>
              <w:t>+</w:t>
            </w:r>
            <w:r w:rsidRPr="00FC1444">
              <w:rPr>
                <w:rFonts w:eastAsiaTheme="minorEastAsia"/>
                <w:snapToGrid w:val="0"/>
                <w:szCs w:val="21"/>
              </w:rPr>
              <w:t>+Na</w:t>
            </w:r>
            <w:r w:rsidRPr="00FC1444">
              <w:rPr>
                <w:rFonts w:eastAsiaTheme="minorEastAsia"/>
                <w:snapToGrid w:val="0"/>
                <w:szCs w:val="21"/>
                <w:vertAlign w:val="superscript"/>
              </w:rPr>
              <w:t>+</w:t>
            </w:r>
          </w:p>
        </w:tc>
        <w:tc>
          <w:tcPr>
            <w:tcW w:w="1693" w:type="dxa"/>
            <w:vAlign w:val="bottom"/>
          </w:tcPr>
          <w:p w:rsidR="004D63EA" w:rsidRPr="00FC1444" w:rsidRDefault="004D63EA" w:rsidP="004D63EA">
            <w:pPr>
              <w:spacing w:line="0" w:lineRule="atLeast"/>
              <w:jc w:val="center"/>
              <w:rPr>
                <w:rFonts w:eastAsia="等线"/>
                <w:szCs w:val="21"/>
              </w:rPr>
            </w:pPr>
            <w:r w:rsidRPr="00FC1444">
              <w:rPr>
                <w:rFonts w:eastAsia="等线"/>
                <w:szCs w:val="21"/>
              </w:rPr>
              <w:t>14.68</w:t>
            </w:r>
          </w:p>
        </w:tc>
        <w:tc>
          <w:tcPr>
            <w:tcW w:w="1804"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0.62</w:t>
            </w:r>
          </w:p>
        </w:tc>
        <w:tc>
          <w:tcPr>
            <w:tcW w:w="1859"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15.02</w:t>
            </w:r>
          </w:p>
        </w:tc>
      </w:tr>
      <w:tr w:rsidR="004D63EA" w:rsidRPr="00FC1444" w:rsidTr="00FE1542">
        <w:tc>
          <w:tcPr>
            <w:tcW w:w="1143" w:type="dxa"/>
            <w:vMerge/>
            <w:vAlign w:val="center"/>
          </w:tcPr>
          <w:p w:rsidR="004D63EA" w:rsidRPr="00FC1444" w:rsidRDefault="004D63EA" w:rsidP="00FE1542">
            <w:pPr>
              <w:widowControl/>
              <w:spacing w:line="0" w:lineRule="atLeast"/>
              <w:contextualSpacing/>
              <w:jc w:val="center"/>
              <w:rPr>
                <w:rFonts w:eastAsiaTheme="minorEastAsia"/>
                <w:snapToGrid w:val="0"/>
                <w:szCs w:val="21"/>
              </w:rPr>
            </w:pPr>
          </w:p>
        </w:tc>
        <w:tc>
          <w:tcPr>
            <w:tcW w:w="2023" w:type="dxa"/>
            <w:vAlign w:val="center"/>
          </w:tcPr>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Ca</w:t>
            </w:r>
            <w:r w:rsidRPr="00FC1444">
              <w:rPr>
                <w:rFonts w:eastAsiaTheme="minorEastAsia"/>
                <w:snapToGrid w:val="0"/>
                <w:szCs w:val="21"/>
                <w:vertAlign w:val="superscript"/>
              </w:rPr>
              <w:t>2+</w:t>
            </w:r>
          </w:p>
        </w:tc>
        <w:tc>
          <w:tcPr>
            <w:tcW w:w="1693" w:type="dxa"/>
            <w:vAlign w:val="bottom"/>
          </w:tcPr>
          <w:p w:rsidR="004D63EA" w:rsidRPr="00FC1444" w:rsidRDefault="004D63EA" w:rsidP="004D63EA">
            <w:pPr>
              <w:spacing w:line="0" w:lineRule="atLeast"/>
              <w:jc w:val="center"/>
              <w:rPr>
                <w:rFonts w:eastAsia="等线"/>
                <w:szCs w:val="21"/>
              </w:rPr>
            </w:pPr>
            <w:r w:rsidRPr="00FC1444">
              <w:rPr>
                <w:rFonts w:eastAsia="等线"/>
                <w:szCs w:val="21"/>
              </w:rPr>
              <w:t>61.3</w:t>
            </w:r>
          </w:p>
        </w:tc>
        <w:tc>
          <w:tcPr>
            <w:tcW w:w="1804"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3.07</w:t>
            </w:r>
          </w:p>
        </w:tc>
        <w:tc>
          <w:tcPr>
            <w:tcW w:w="1859"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74.59</w:t>
            </w:r>
          </w:p>
        </w:tc>
      </w:tr>
      <w:tr w:rsidR="004D63EA" w:rsidRPr="00FC1444" w:rsidTr="00FE1542">
        <w:tc>
          <w:tcPr>
            <w:tcW w:w="1143" w:type="dxa"/>
            <w:vMerge/>
            <w:vAlign w:val="center"/>
          </w:tcPr>
          <w:p w:rsidR="004D63EA" w:rsidRPr="00FC1444" w:rsidRDefault="004D63EA" w:rsidP="00FE1542">
            <w:pPr>
              <w:widowControl/>
              <w:spacing w:line="0" w:lineRule="atLeast"/>
              <w:contextualSpacing/>
              <w:jc w:val="center"/>
              <w:rPr>
                <w:rFonts w:eastAsiaTheme="minorEastAsia"/>
                <w:snapToGrid w:val="0"/>
                <w:szCs w:val="21"/>
              </w:rPr>
            </w:pPr>
          </w:p>
        </w:tc>
        <w:tc>
          <w:tcPr>
            <w:tcW w:w="2023" w:type="dxa"/>
            <w:vAlign w:val="center"/>
          </w:tcPr>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Mg</w:t>
            </w:r>
            <w:r w:rsidRPr="00FC1444">
              <w:rPr>
                <w:rFonts w:eastAsiaTheme="minorEastAsia"/>
                <w:snapToGrid w:val="0"/>
                <w:szCs w:val="21"/>
                <w:vertAlign w:val="superscript"/>
              </w:rPr>
              <w:t>2+</w:t>
            </w:r>
          </w:p>
        </w:tc>
        <w:tc>
          <w:tcPr>
            <w:tcW w:w="1693" w:type="dxa"/>
            <w:vAlign w:val="bottom"/>
          </w:tcPr>
          <w:p w:rsidR="004D63EA" w:rsidRPr="00FC1444" w:rsidRDefault="004D63EA" w:rsidP="004D63EA">
            <w:pPr>
              <w:spacing w:line="0" w:lineRule="atLeast"/>
              <w:jc w:val="center"/>
              <w:rPr>
                <w:rFonts w:eastAsia="等线"/>
                <w:szCs w:val="21"/>
              </w:rPr>
            </w:pPr>
            <w:r w:rsidRPr="00FC1444">
              <w:rPr>
                <w:rFonts w:eastAsia="等线"/>
                <w:szCs w:val="21"/>
              </w:rPr>
              <w:t>5.12</w:t>
            </w:r>
          </w:p>
        </w:tc>
        <w:tc>
          <w:tcPr>
            <w:tcW w:w="1804"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0.43</w:t>
            </w:r>
          </w:p>
        </w:tc>
        <w:tc>
          <w:tcPr>
            <w:tcW w:w="1859"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10.38</w:t>
            </w:r>
          </w:p>
        </w:tc>
      </w:tr>
      <w:tr w:rsidR="004D63EA" w:rsidRPr="00FC1444" w:rsidTr="00FE1542">
        <w:tc>
          <w:tcPr>
            <w:tcW w:w="1143" w:type="dxa"/>
            <w:vMerge/>
            <w:vAlign w:val="center"/>
          </w:tcPr>
          <w:p w:rsidR="004D63EA" w:rsidRPr="00FC1444" w:rsidRDefault="004D63EA" w:rsidP="00FE1542">
            <w:pPr>
              <w:widowControl/>
              <w:spacing w:line="0" w:lineRule="atLeast"/>
              <w:contextualSpacing/>
              <w:jc w:val="center"/>
              <w:rPr>
                <w:rFonts w:eastAsiaTheme="minorEastAsia"/>
                <w:snapToGrid w:val="0"/>
                <w:szCs w:val="21"/>
              </w:rPr>
            </w:pPr>
          </w:p>
        </w:tc>
        <w:tc>
          <w:tcPr>
            <w:tcW w:w="2023" w:type="dxa"/>
            <w:vAlign w:val="center"/>
          </w:tcPr>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总计</w:t>
            </w:r>
          </w:p>
        </w:tc>
        <w:tc>
          <w:tcPr>
            <w:tcW w:w="1693" w:type="dxa"/>
            <w:vAlign w:val="bottom"/>
          </w:tcPr>
          <w:p w:rsidR="004D63EA" w:rsidRPr="00FC1444" w:rsidRDefault="004D63EA" w:rsidP="004D63EA">
            <w:pPr>
              <w:spacing w:line="0" w:lineRule="atLeast"/>
              <w:jc w:val="center"/>
              <w:rPr>
                <w:rFonts w:eastAsia="等线"/>
                <w:szCs w:val="21"/>
              </w:rPr>
            </w:pPr>
            <w:r w:rsidRPr="00FC1444">
              <w:rPr>
                <w:rFonts w:eastAsia="等线"/>
                <w:szCs w:val="21"/>
              </w:rPr>
              <w:t>81.10</w:t>
            </w:r>
          </w:p>
        </w:tc>
        <w:tc>
          <w:tcPr>
            <w:tcW w:w="1804"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4.11</w:t>
            </w:r>
          </w:p>
        </w:tc>
        <w:tc>
          <w:tcPr>
            <w:tcW w:w="1859"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100.00</w:t>
            </w:r>
          </w:p>
        </w:tc>
      </w:tr>
      <w:tr w:rsidR="004D63EA" w:rsidRPr="00FC1444" w:rsidTr="00FE1542">
        <w:tc>
          <w:tcPr>
            <w:tcW w:w="1143" w:type="dxa"/>
            <w:vMerge w:val="restart"/>
            <w:vAlign w:val="center"/>
          </w:tcPr>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阴</w:t>
            </w:r>
          </w:p>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离</w:t>
            </w:r>
          </w:p>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子</w:t>
            </w:r>
          </w:p>
        </w:tc>
        <w:tc>
          <w:tcPr>
            <w:tcW w:w="2023" w:type="dxa"/>
            <w:vAlign w:val="center"/>
          </w:tcPr>
          <w:p w:rsidR="004D63EA" w:rsidRPr="00FC1444" w:rsidRDefault="004D63EA" w:rsidP="00FE1542">
            <w:pPr>
              <w:snapToGrid w:val="0"/>
              <w:spacing w:line="0" w:lineRule="atLeast"/>
              <w:contextualSpacing/>
              <w:jc w:val="center"/>
              <w:rPr>
                <w:rFonts w:eastAsiaTheme="minorEastAsia"/>
                <w:snapToGrid w:val="0"/>
                <w:szCs w:val="21"/>
                <w:vertAlign w:val="superscript"/>
              </w:rPr>
            </w:pPr>
            <w:r w:rsidRPr="00FC1444">
              <w:rPr>
                <w:rFonts w:eastAsiaTheme="minorEastAsia"/>
                <w:snapToGrid w:val="0"/>
                <w:szCs w:val="21"/>
              </w:rPr>
              <w:t>HCO</w:t>
            </w:r>
            <w:r w:rsidRPr="00FC1444">
              <w:rPr>
                <w:rFonts w:eastAsiaTheme="minorEastAsia"/>
                <w:snapToGrid w:val="0"/>
                <w:szCs w:val="21"/>
                <w:vertAlign w:val="subscript"/>
              </w:rPr>
              <w:t>3</w:t>
            </w:r>
            <w:r w:rsidRPr="00FC1444">
              <w:rPr>
                <w:rFonts w:eastAsiaTheme="minorEastAsia"/>
                <w:snapToGrid w:val="0"/>
                <w:szCs w:val="21"/>
                <w:vertAlign w:val="superscript"/>
              </w:rPr>
              <w:t>-</w:t>
            </w:r>
          </w:p>
        </w:tc>
        <w:tc>
          <w:tcPr>
            <w:tcW w:w="1693" w:type="dxa"/>
            <w:vAlign w:val="bottom"/>
          </w:tcPr>
          <w:p w:rsidR="004D63EA" w:rsidRPr="00FC1444" w:rsidRDefault="004D63EA" w:rsidP="004D63EA">
            <w:pPr>
              <w:spacing w:line="0" w:lineRule="atLeast"/>
              <w:jc w:val="center"/>
              <w:rPr>
                <w:rFonts w:eastAsia="等线"/>
                <w:szCs w:val="21"/>
              </w:rPr>
            </w:pPr>
            <w:r w:rsidRPr="00FC1444">
              <w:rPr>
                <w:rFonts w:eastAsia="等线"/>
                <w:szCs w:val="21"/>
              </w:rPr>
              <w:t>216</w:t>
            </w:r>
          </w:p>
        </w:tc>
        <w:tc>
          <w:tcPr>
            <w:tcW w:w="1804"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3.54</w:t>
            </w:r>
          </w:p>
        </w:tc>
        <w:tc>
          <w:tcPr>
            <w:tcW w:w="1859"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83.13</w:t>
            </w:r>
          </w:p>
        </w:tc>
      </w:tr>
      <w:tr w:rsidR="004D63EA" w:rsidRPr="00FC1444" w:rsidTr="00FE1542">
        <w:tc>
          <w:tcPr>
            <w:tcW w:w="1143" w:type="dxa"/>
            <w:vMerge/>
            <w:vAlign w:val="center"/>
          </w:tcPr>
          <w:p w:rsidR="004D63EA" w:rsidRPr="00FC1444" w:rsidRDefault="004D63EA" w:rsidP="00FE1542">
            <w:pPr>
              <w:widowControl/>
              <w:spacing w:line="0" w:lineRule="atLeast"/>
              <w:contextualSpacing/>
              <w:jc w:val="center"/>
              <w:rPr>
                <w:rFonts w:eastAsiaTheme="minorEastAsia"/>
                <w:snapToGrid w:val="0"/>
                <w:szCs w:val="21"/>
              </w:rPr>
            </w:pPr>
          </w:p>
        </w:tc>
        <w:tc>
          <w:tcPr>
            <w:tcW w:w="2023" w:type="dxa"/>
            <w:vAlign w:val="center"/>
          </w:tcPr>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Cl</w:t>
            </w:r>
            <w:r w:rsidRPr="00FC1444">
              <w:rPr>
                <w:rFonts w:eastAsiaTheme="minorEastAsia"/>
                <w:snapToGrid w:val="0"/>
                <w:szCs w:val="21"/>
                <w:vertAlign w:val="superscript"/>
              </w:rPr>
              <w:t>-</w:t>
            </w:r>
          </w:p>
        </w:tc>
        <w:tc>
          <w:tcPr>
            <w:tcW w:w="1693" w:type="dxa"/>
            <w:vAlign w:val="bottom"/>
          </w:tcPr>
          <w:p w:rsidR="004D63EA" w:rsidRPr="00FC1444" w:rsidRDefault="004D63EA" w:rsidP="004D63EA">
            <w:pPr>
              <w:spacing w:line="0" w:lineRule="atLeast"/>
              <w:jc w:val="center"/>
              <w:rPr>
                <w:rFonts w:eastAsia="等线"/>
                <w:szCs w:val="21"/>
              </w:rPr>
            </w:pPr>
            <w:r w:rsidRPr="00FC1444">
              <w:rPr>
                <w:rFonts w:eastAsia="等线"/>
                <w:szCs w:val="21"/>
              </w:rPr>
              <w:t>19.5</w:t>
            </w:r>
          </w:p>
        </w:tc>
        <w:tc>
          <w:tcPr>
            <w:tcW w:w="1804"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0.55</w:t>
            </w:r>
          </w:p>
        </w:tc>
        <w:tc>
          <w:tcPr>
            <w:tcW w:w="1859"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12.90</w:t>
            </w:r>
          </w:p>
        </w:tc>
      </w:tr>
      <w:tr w:rsidR="004D63EA" w:rsidRPr="00FC1444" w:rsidTr="00FE1542">
        <w:tc>
          <w:tcPr>
            <w:tcW w:w="1143" w:type="dxa"/>
            <w:vMerge/>
            <w:vAlign w:val="center"/>
          </w:tcPr>
          <w:p w:rsidR="004D63EA" w:rsidRPr="00FC1444" w:rsidRDefault="004D63EA" w:rsidP="00FE1542">
            <w:pPr>
              <w:widowControl/>
              <w:spacing w:line="0" w:lineRule="atLeast"/>
              <w:contextualSpacing/>
              <w:jc w:val="center"/>
              <w:rPr>
                <w:rFonts w:eastAsiaTheme="minorEastAsia"/>
                <w:snapToGrid w:val="0"/>
                <w:szCs w:val="21"/>
              </w:rPr>
            </w:pPr>
          </w:p>
        </w:tc>
        <w:tc>
          <w:tcPr>
            <w:tcW w:w="2023" w:type="dxa"/>
            <w:vAlign w:val="center"/>
          </w:tcPr>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SO</w:t>
            </w:r>
            <w:r w:rsidRPr="00FC1444">
              <w:rPr>
                <w:rFonts w:eastAsiaTheme="minorEastAsia"/>
                <w:snapToGrid w:val="0"/>
                <w:szCs w:val="21"/>
                <w:vertAlign w:val="subscript"/>
              </w:rPr>
              <w:t>4</w:t>
            </w:r>
            <w:r w:rsidRPr="00FC1444">
              <w:rPr>
                <w:rFonts w:eastAsiaTheme="minorEastAsia"/>
                <w:snapToGrid w:val="0"/>
                <w:szCs w:val="21"/>
                <w:vertAlign w:val="superscript"/>
              </w:rPr>
              <w:t>2-</w:t>
            </w:r>
          </w:p>
        </w:tc>
        <w:tc>
          <w:tcPr>
            <w:tcW w:w="1693" w:type="dxa"/>
            <w:vAlign w:val="bottom"/>
          </w:tcPr>
          <w:p w:rsidR="004D63EA" w:rsidRPr="00FC1444" w:rsidRDefault="004D63EA" w:rsidP="004D63EA">
            <w:pPr>
              <w:spacing w:line="0" w:lineRule="atLeast"/>
              <w:jc w:val="center"/>
              <w:rPr>
                <w:rFonts w:eastAsia="等线"/>
                <w:szCs w:val="21"/>
              </w:rPr>
            </w:pPr>
            <w:r w:rsidRPr="00FC1444">
              <w:rPr>
                <w:rFonts w:eastAsia="等线"/>
                <w:szCs w:val="21"/>
              </w:rPr>
              <w:t>8.12</w:t>
            </w:r>
          </w:p>
        </w:tc>
        <w:tc>
          <w:tcPr>
            <w:tcW w:w="1804"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0.17</w:t>
            </w:r>
          </w:p>
        </w:tc>
        <w:tc>
          <w:tcPr>
            <w:tcW w:w="1859"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3.97</w:t>
            </w:r>
          </w:p>
        </w:tc>
      </w:tr>
      <w:tr w:rsidR="004D63EA" w:rsidRPr="00FC1444" w:rsidTr="00FE1542">
        <w:tc>
          <w:tcPr>
            <w:tcW w:w="1143" w:type="dxa"/>
            <w:vMerge/>
            <w:vAlign w:val="center"/>
          </w:tcPr>
          <w:p w:rsidR="004D63EA" w:rsidRPr="00FC1444" w:rsidRDefault="004D63EA" w:rsidP="00FE1542">
            <w:pPr>
              <w:widowControl/>
              <w:spacing w:line="0" w:lineRule="atLeast"/>
              <w:contextualSpacing/>
              <w:jc w:val="center"/>
              <w:rPr>
                <w:rFonts w:eastAsiaTheme="minorEastAsia"/>
                <w:snapToGrid w:val="0"/>
                <w:szCs w:val="21"/>
              </w:rPr>
            </w:pPr>
          </w:p>
        </w:tc>
        <w:tc>
          <w:tcPr>
            <w:tcW w:w="2023" w:type="dxa"/>
            <w:vAlign w:val="center"/>
          </w:tcPr>
          <w:p w:rsidR="004D63EA" w:rsidRPr="00FC1444" w:rsidRDefault="004D63EA"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总计</w:t>
            </w:r>
          </w:p>
        </w:tc>
        <w:tc>
          <w:tcPr>
            <w:tcW w:w="1693"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243.62</w:t>
            </w:r>
          </w:p>
        </w:tc>
        <w:tc>
          <w:tcPr>
            <w:tcW w:w="1804"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4.26</w:t>
            </w:r>
          </w:p>
        </w:tc>
        <w:tc>
          <w:tcPr>
            <w:tcW w:w="1859" w:type="dxa"/>
            <w:vAlign w:val="bottom"/>
          </w:tcPr>
          <w:p w:rsidR="004D63EA" w:rsidRPr="00FC1444" w:rsidRDefault="004D63EA" w:rsidP="004D63EA">
            <w:pPr>
              <w:spacing w:line="0" w:lineRule="atLeast"/>
              <w:jc w:val="center"/>
              <w:rPr>
                <w:rFonts w:eastAsia="等线"/>
                <w:szCs w:val="21"/>
              </w:rPr>
            </w:pPr>
            <w:r w:rsidRPr="00FC1444">
              <w:rPr>
                <w:rFonts w:eastAsia="等线" w:hint="eastAsia"/>
                <w:szCs w:val="21"/>
              </w:rPr>
              <w:t>100.00</w:t>
            </w:r>
          </w:p>
        </w:tc>
      </w:tr>
      <w:tr w:rsidR="00FE1542" w:rsidRPr="00FC1444" w:rsidTr="00FE1542">
        <w:tc>
          <w:tcPr>
            <w:tcW w:w="3166" w:type="dxa"/>
            <w:gridSpan w:val="2"/>
            <w:vAlign w:val="center"/>
          </w:tcPr>
          <w:p w:rsidR="00FE1542" w:rsidRPr="00FC1444" w:rsidRDefault="00FE1542" w:rsidP="00FE1542">
            <w:pPr>
              <w:snapToGrid w:val="0"/>
              <w:spacing w:line="0" w:lineRule="atLeast"/>
              <w:contextualSpacing/>
              <w:jc w:val="center"/>
              <w:rPr>
                <w:rFonts w:eastAsiaTheme="minorEastAsia"/>
                <w:snapToGrid w:val="0"/>
                <w:szCs w:val="21"/>
              </w:rPr>
            </w:pPr>
            <w:r w:rsidRPr="00FC1444">
              <w:rPr>
                <w:rFonts w:ascii="宋体" w:hAnsi="宋体" w:cs="宋体" w:hint="eastAsia"/>
                <w:szCs w:val="21"/>
              </w:rPr>
              <w:t>☆</w:t>
            </w:r>
            <w:r w:rsidRPr="00FC1444">
              <w:rPr>
                <w:rFonts w:eastAsiaTheme="minorEastAsia"/>
                <w:szCs w:val="21"/>
              </w:rPr>
              <w:t>03</w:t>
            </w:r>
            <w:r w:rsidRPr="00FC1444">
              <w:rPr>
                <w:rFonts w:eastAsiaTheme="minorEastAsia"/>
                <w:szCs w:val="21"/>
              </w:rPr>
              <w:t>监测点</w:t>
            </w:r>
          </w:p>
        </w:tc>
        <w:tc>
          <w:tcPr>
            <w:tcW w:w="1693" w:type="dxa"/>
            <w:vAlign w:val="center"/>
          </w:tcPr>
          <w:p w:rsidR="00FE1542" w:rsidRPr="00FC1444" w:rsidRDefault="00FE1542"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mg/L</w:t>
            </w:r>
          </w:p>
        </w:tc>
        <w:tc>
          <w:tcPr>
            <w:tcW w:w="1804" w:type="dxa"/>
            <w:vAlign w:val="center"/>
          </w:tcPr>
          <w:p w:rsidR="00FE1542" w:rsidRPr="00FC1444" w:rsidRDefault="00FE1542"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meq/L</w:t>
            </w:r>
          </w:p>
        </w:tc>
        <w:tc>
          <w:tcPr>
            <w:tcW w:w="1859" w:type="dxa"/>
            <w:vAlign w:val="center"/>
          </w:tcPr>
          <w:p w:rsidR="00FE1542" w:rsidRPr="00FC1444" w:rsidRDefault="00FE1542"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meq%</w:t>
            </w:r>
          </w:p>
        </w:tc>
      </w:tr>
      <w:tr w:rsidR="000C48B7" w:rsidRPr="00FC1444" w:rsidTr="00FE1542">
        <w:trPr>
          <w:trHeight w:val="77"/>
        </w:trPr>
        <w:tc>
          <w:tcPr>
            <w:tcW w:w="1143" w:type="dxa"/>
            <w:vMerge w:val="restart"/>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阳</w:t>
            </w:r>
          </w:p>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离</w:t>
            </w:r>
          </w:p>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子</w:t>
            </w: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K</w:t>
            </w:r>
            <w:r w:rsidRPr="00FC1444">
              <w:rPr>
                <w:rFonts w:eastAsiaTheme="minorEastAsia"/>
                <w:snapToGrid w:val="0"/>
                <w:szCs w:val="21"/>
                <w:vertAlign w:val="superscript"/>
              </w:rPr>
              <w:t>+</w:t>
            </w:r>
            <w:r w:rsidRPr="00FC1444">
              <w:rPr>
                <w:rFonts w:eastAsiaTheme="minorEastAsia"/>
                <w:snapToGrid w:val="0"/>
                <w:szCs w:val="21"/>
              </w:rPr>
              <w:t>+Na</w:t>
            </w:r>
            <w:r w:rsidRPr="00FC1444">
              <w:rPr>
                <w:rFonts w:eastAsiaTheme="minorEastAsia"/>
                <w:snapToGrid w:val="0"/>
                <w:szCs w:val="21"/>
                <w:vertAlign w:val="superscript"/>
              </w:rPr>
              <w:t>+</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11.42</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0.48</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10.47</w:t>
            </w:r>
          </w:p>
        </w:tc>
      </w:tr>
      <w:tr w:rsidR="000C48B7" w:rsidRPr="00FC1444" w:rsidTr="00FE1542">
        <w:tc>
          <w:tcPr>
            <w:tcW w:w="1143" w:type="dxa"/>
            <w:vMerge/>
            <w:vAlign w:val="center"/>
          </w:tcPr>
          <w:p w:rsidR="000C48B7" w:rsidRPr="00FC1444" w:rsidRDefault="000C48B7" w:rsidP="00FE1542">
            <w:pPr>
              <w:widowControl/>
              <w:spacing w:line="0" w:lineRule="atLeast"/>
              <w:contextualSpacing/>
              <w:jc w:val="center"/>
              <w:rPr>
                <w:rFonts w:eastAsiaTheme="minorEastAsia"/>
                <w:snapToGrid w:val="0"/>
                <w:szCs w:val="21"/>
              </w:rPr>
            </w:pP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Ca</w:t>
            </w:r>
            <w:r w:rsidRPr="00FC1444">
              <w:rPr>
                <w:rFonts w:eastAsiaTheme="minorEastAsia"/>
                <w:snapToGrid w:val="0"/>
                <w:szCs w:val="21"/>
                <w:vertAlign w:val="superscript"/>
              </w:rPr>
              <w:t>2+</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72.6</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3.63</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79.18</w:t>
            </w:r>
          </w:p>
        </w:tc>
      </w:tr>
      <w:tr w:rsidR="000C48B7" w:rsidRPr="00FC1444" w:rsidTr="00FE1542">
        <w:tc>
          <w:tcPr>
            <w:tcW w:w="1143" w:type="dxa"/>
            <w:vMerge/>
            <w:vAlign w:val="center"/>
          </w:tcPr>
          <w:p w:rsidR="000C48B7" w:rsidRPr="00FC1444" w:rsidRDefault="000C48B7" w:rsidP="00FE1542">
            <w:pPr>
              <w:widowControl/>
              <w:spacing w:line="0" w:lineRule="atLeast"/>
              <w:contextualSpacing/>
              <w:jc w:val="center"/>
              <w:rPr>
                <w:rFonts w:eastAsiaTheme="minorEastAsia"/>
                <w:snapToGrid w:val="0"/>
                <w:szCs w:val="21"/>
              </w:rPr>
            </w:pP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Mg</w:t>
            </w:r>
            <w:r w:rsidRPr="00FC1444">
              <w:rPr>
                <w:rFonts w:eastAsiaTheme="minorEastAsia"/>
                <w:snapToGrid w:val="0"/>
                <w:szCs w:val="21"/>
                <w:vertAlign w:val="superscript"/>
              </w:rPr>
              <w:t>2+</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5.69</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0.47</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10.34</w:t>
            </w:r>
          </w:p>
        </w:tc>
      </w:tr>
      <w:tr w:rsidR="000C48B7" w:rsidRPr="00FC1444" w:rsidTr="00FE1542">
        <w:tc>
          <w:tcPr>
            <w:tcW w:w="1143" w:type="dxa"/>
            <w:vMerge/>
            <w:vAlign w:val="center"/>
          </w:tcPr>
          <w:p w:rsidR="000C48B7" w:rsidRPr="00FC1444" w:rsidRDefault="000C48B7" w:rsidP="00FE1542">
            <w:pPr>
              <w:widowControl/>
              <w:spacing w:line="0" w:lineRule="atLeast"/>
              <w:contextualSpacing/>
              <w:jc w:val="center"/>
              <w:rPr>
                <w:rFonts w:eastAsiaTheme="minorEastAsia"/>
                <w:snapToGrid w:val="0"/>
                <w:szCs w:val="21"/>
              </w:rPr>
            </w:pP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总计</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89.71</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4.58</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100.00</w:t>
            </w:r>
          </w:p>
        </w:tc>
      </w:tr>
      <w:tr w:rsidR="000C48B7" w:rsidRPr="00FC1444" w:rsidTr="00FE1542">
        <w:tc>
          <w:tcPr>
            <w:tcW w:w="1143" w:type="dxa"/>
            <w:vMerge w:val="restart"/>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阴</w:t>
            </w:r>
          </w:p>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离</w:t>
            </w:r>
          </w:p>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子</w:t>
            </w: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HCO</w:t>
            </w:r>
            <w:r w:rsidRPr="00FC1444">
              <w:rPr>
                <w:rFonts w:eastAsiaTheme="minorEastAsia"/>
                <w:snapToGrid w:val="0"/>
                <w:szCs w:val="21"/>
                <w:vertAlign w:val="subscript"/>
              </w:rPr>
              <w:t>3</w:t>
            </w:r>
            <w:r w:rsidRPr="00FC1444">
              <w:rPr>
                <w:rFonts w:eastAsiaTheme="minorEastAsia"/>
                <w:snapToGrid w:val="0"/>
                <w:szCs w:val="21"/>
                <w:vertAlign w:val="superscript"/>
              </w:rPr>
              <w:t>-</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82</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1.34</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27.90</w:t>
            </w:r>
          </w:p>
        </w:tc>
      </w:tr>
      <w:tr w:rsidR="000C48B7" w:rsidRPr="00FC1444" w:rsidTr="00FE1542">
        <w:tc>
          <w:tcPr>
            <w:tcW w:w="1143" w:type="dxa"/>
            <w:vMerge/>
            <w:vAlign w:val="center"/>
          </w:tcPr>
          <w:p w:rsidR="000C48B7" w:rsidRPr="00FC1444" w:rsidRDefault="000C48B7" w:rsidP="00FE1542">
            <w:pPr>
              <w:widowControl/>
              <w:spacing w:line="0" w:lineRule="atLeast"/>
              <w:contextualSpacing/>
              <w:jc w:val="center"/>
              <w:rPr>
                <w:rFonts w:eastAsiaTheme="minorEastAsia"/>
                <w:snapToGrid w:val="0"/>
                <w:szCs w:val="21"/>
              </w:rPr>
            </w:pP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Cl</w:t>
            </w:r>
            <w:r w:rsidRPr="00FC1444">
              <w:rPr>
                <w:rFonts w:eastAsiaTheme="minorEastAsia"/>
                <w:snapToGrid w:val="0"/>
                <w:szCs w:val="21"/>
                <w:vertAlign w:val="superscript"/>
              </w:rPr>
              <w:t>-</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80.2</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2.26</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46.89</w:t>
            </w:r>
          </w:p>
        </w:tc>
      </w:tr>
      <w:tr w:rsidR="000C48B7" w:rsidRPr="00FC1444" w:rsidTr="00FE1542">
        <w:tc>
          <w:tcPr>
            <w:tcW w:w="1143" w:type="dxa"/>
            <w:vMerge/>
            <w:vAlign w:val="center"/>
          </w:tcPr>
          <w:p w:rsidR="000C48B7" w:rsidRPr="00FC1444" w:rsidRDefault="000C48B7" w:rsidP="00FE1542">
            <w:pPr>
              <w:widowControl/>
              <w:spacing w:line="0" w:lineRule="atLeast"/>
              <w:contextualSpacing/>
              <w:jc w:val="center"/>
              <w:rPr>
                <w:rFonts w:eastAsiaTheme="minorEastAsia"/>
                <w:snapToGrid w:val="0"/>
                <w:szCs w:val="21"/>
              </w:rPr>
            </w:pP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SO</w:t>
            </w:r>
            <w:r w:rsidRPr="00FC1444">
              <w:rPr>
                <w:rFonts w:eastAsiaTheme="minorEastAsia"/>
                <w:snapToGrid w:val="0"/>
                <w:szCs w:val="21"/>
                <w:vertAlign w:val="subscript"/>
              </w:rPr>
              <w:t>4</w:t>
            </w:r>
            <w:r w:rsidRPr="00FC1444">
              <w:rPr>
                <w:rFonts w:eastAsiaTheme="minorEastAsia"/>
                <w:snapToGrid w:val="0"/>
                <w:szCs w:val="21"/>
                <w:vertAlign w:val="superscript"/>
              </w:rPr>
              <w:t>2-</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58.3</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1.21</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25.21</w:t>
            </w:r>
          </w:p>
        </w:tc>
      </w:tr>
      <w:tr w:rsidR="000C48B7" w:rsidRPr="00FC1444" w:rsidTr="00FE1542">
        <w:trPr>
          <w:trHeight w:val="261"/>
        </w:trPr>
        <w:tc>
          <w:tcPr>
            <w:tcW w:w="1143" w:type="dxa"/>
            <w:vMerge/>
            <w:vAlign w:val="center"/>
          </w:tcPr>
          <w:p w:rsidR="000C48B7" w:rsidRPr="00FC1444" w:rsidRDefault="000C48B7" w:rsidP="00FE1542">
            <w:pPr>
              <w:widowControl/>
              <w:spacing w:line="0" w:lineRule="atLeast"/>
              <w:contextualSpacing/>
              <w:jc w:val="center"/>
              <w:rPr>
                <w:rFonts w:eastAsiaTheme="minorEastAsia"/>
                <w:snapToGrid w:val="0"/>
                <w:szCs w:val="21"/>
              </w:rPr>
            </w:pP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总计</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220.5</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4.82</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100.00</w:t>
            </w:r>
          </w:p>
        </w:tc>
      </w:tr>
      <w:tr w:rsidR="00FE1542" w:rsidRPr="00FC1444" w:rsidTr="00FE1542">
        <w:tc>
          <w:tcPr>
            <w:tcW w:w="3166" w:type="dxa"/>
            <w:gridSpan w:val="2"/>
            <w:vAlign w:val="center"/>
          </w:tcPr>
          <w:p w:rsidR="00FE1542" w:rsidRPr="00FC1444" w:rsidRDefault="00FE1542" w:rsidP="00FE1542">
            <w:pPr>
              <w:snapToGrid w:val="0"/>
              <w:spacing w:line="0" w:lineRule="atLeast"/>
              <w:contextualSpacing/>
              <w:jc w:val="center"/>
              <w:rPr>
                <w:rFonts w:eastAsiaTheme="minorEastAsia"/>
                <w:snapToGrid w:val="0"/>
                <w:szCs w:val="21"/>
              </w:rPr>
            </w:pPr>
            <w:r w:rsidRPr="00FC1444">
              <w:rPr>
                <w:rFonts w:ascii="宋体" w:hAnsi="宋体" w:cs="宋体" w:hint="eastAsia"/>
                <w:szCs w:val="21"/>
              </w:rPr>
              <w:t>☆</w:t>
            </w:r>
            <w:r w:rsidRPr="00FC1444">
              <w:rPr>
                <w:rFonts w:eastAsiaTheme="minorEastAsia"/>
                <w:szCs w:val="21"/>
              </w:rPr>
              <w:t>04</w:t>
            </w:r>
            <w:r w:rsidRPr="00FC1444">
              <w:rPr>
                <w:rFonts w:eastAsiaTheme="minorEastAsia"/>
                <w:szCs w:val="21"/>
              </w:rPr>
              <w:t>监测点</w:t>
            </w:r>
          </w:p>
        </w:tc>
        <w:tc>
          <w:tcPr>
            <w:tcW w:w="1693" w:type="dxa"/>
            <w:vAlign w:val="center"/>
          </w:tcPr>
          <w:p w:rsidR="00FE1542" w:rsidRPr="00FC1444" w:rsidRDefault="00FE1542"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mg/L</w:t>
            </w:r>
          </w:p>
        </w:tc>
        <w:tc>
          <w:tcPr>
            <w:tcW w:w="1804" w:type="dxa"/>
            <w:vAlign w:val="center"/>
          </w:tcPr>
          <w:p w:rsidR="00FE1542" w:rsidRPr="00FC1444" w:rsidRDefault="00FE1542"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meq/L</w:t>
            </w:r>
          </w:p>
        </w:tc>
        <w:tc>
          <w:tcPr>
            <w:tcW w:w="1859" w:type="dxa"/>
            <w:vAlign w:val="center"/>
          </w:tcPr>
          <w:p w:rsidR="00FE1542" w:rsidRPr="00FC1444" w:rsidRDefault="00FE1542"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meq%</w:t>
            </w:r>
          </w:p>
        </w:tc>
      </w:tr>
      <w:tr w:rsidR="000C48B7" w:rsidRPr="00FC1444" w:rsidTr="00FE1542">
        <w:trPr>
          <w:trHeight w:val="77"/>
        </w:trPr>
        <w:tc>
          <w:tcPr>
            <w:tcW w:w="1143" w:type="dxa"/>
            <w:vMerge w:val="restart"/>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阳</w:t>
            </w:r>
          </w:p>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离</w:t>
            </w:r>
          </w:p>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子</w:t>
            </w: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K</w:t>
            </w:r>
            <w:r w:rsidRPr="00FC1444">
              <w:rPr>
                <w:rFonts w:eastAsiaTheme="minorEastAsia"/>
                <w:snapToGrid w:val="0"/>
                <w:szCs w:val="21"/>
                <w:vertAlign w:val="superscript"/>
              </w:rPr>
              <w:t>+</w:t>
            </w:r>
            <w:r w:rsidRPr="00FC1444">
              <w:rPr>
                <w:rFonts w:eastAsiaTheme="minorEastAsia"/>
                <w:snapToGrid w:val="0"/>
                <w:szCs w:val="21"/>
              </w:rPr>
              <w:t>+Na</w:t>
            </w:r>
            <w:r w:rsidRPr="00FC1444">
              <w:rPr>
                <w:rFonts w:eastAsiaTheme="minorEastAsia"/>
                <w:snapToGrid w:val="0"/>
                <w:szCs w:val="21"/>
                <w:vertAlign w:val="superscript"/>
              </w:rPr>
              <w:t>+</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11.96</w:t>
            </w:r>
          </w:p>
        </w:tc>
        <w:tc>
          <w:tcPr>
            <w:tcW w:w="1804" w:type="dxa"/>
            <w:vAlign w:val="bottom"/>
          </w:tcPr>
          <w:p w:rsidR="000C48B7" w:rsidRPr="00FC1444" w:rsidRDefault="000C48B7" w:rsidP="000C48B7">
            <w:pPr>
              <w:jc w:val="center"/>
              <w:rPr>
                <w:rFonts w:eastAsia="等线"/>
                <w:szCs w:val="21"/>
              </w:rPr>
            </w:pPr>
            <w:r w:rsidRPr="00FC1444">
              <w:rPr>
                <w:rFonts w:eastAsia="等线" w:hint="eastAsia"/>
                <w:szCs w:val="21"/>
              </w:rPr>
              <w:t>0.50</w:t>
            </w:r>
          </w:p>
        </w:tc>
        <w:tc>
          <w:tcPr>
            <w:tcW w:w="1859" w:type="dxa"/>
            <w:vAlign w:val="bottom"/>
          </w:tcPr>
          <w:p w:rsidR="000C48B7" w:rsidRPr="00FC1444" w:rsidRDefault="000C48B7" w:rsidP="000C48B7">
            <w:pPr>
              <w:jc w:val="center"/>
              <w:rPr>
                <w:rFonts w:eastAsia="等线"/>
                <w:szCs w:val="21"/>
              </w:rPr>
            </w:pPr>
            <w:r w:rsidRPr="00FC1444">
              <w:rPr>
                <w:rFonts w:eastAsia="等线" w:hint="eastAsia"/>
                <w:szCs w:val="21"/>
              </w:rPr>
              <w:t>8.56</w:t>
            </w:r>
          </w:p>
        </w:tc>
      </w:tr>
      <w:tr w:rsidR="000C48B7" w:rsidRPr="00FC1444" w:rsidTr="00FE1542">
        <w:tc>
          <w:tcPr>
            <w:tcW w:w="1143" w:type="dxa"/>
            <w:vMerge/>
            <w:vAlign w:val="center"/>
          </w:tcPr>
          <w:p w:rsidR="000C48B7" w:rsidRPr="00FC1444" w:rsidRDefault="000C48B7" w:rsidP="00FE1542">
            <w:pPr>
              <w:widowControl/>
              <w:spacing w:line="0" w:lineRule="atLeast"/>
              <w:contextualSpacing/>
              <w:jc w:val="center"/>
              <w:rPr>
                <w:rFonts w:eastAsiaTheme="minorEastAsia"/>
                <w:snapToGrid w:val="0"/>
                <w:szCs w:val="21"/>
              </w:rPr>
            </w:pP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Ca</w:t>
            </w:r>
            <w:r w:rsidRPr="00FC1444">
              <w:rPr>
                <w:rFonts w:eastAsiaTheme="minorEastAsia"/>
                <w:snapToGrid w:val="0"/>
                <w:szCs w:val="21"/>
                <w:vertAlign w:val="superscript"/>
              </w:rPr>
              <w:t>2+</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96.8</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4.84</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82.71</w:t>
            </w:r>
          </w:p>
        </w:tc>
      </w:tr>
      <w:tr w:rsidR="000C48B7" w:rsidRPr="00FC1444" w:rsidTr="00FE1542">
        <w:tc>
          <w:tcPr>
            <w:tcW w:w="1143" w:type="dxa"/>
            <w:vMerge/>
            <w:vAlign w:val="center"/>
          </w:tcPr>
          <w:p w:rsidR="000C48B7" w:rsidRPr="00FC1444" w:rsidRDefault="000C48B7" w:rsidP="00FE1542">
            <w:pPr>
              <w:widowControl/>
              <w:spacing w:line="0" w:lineRule="atLeast"/>
              <w:contextualSpacing/>
              <w:jc w:val="center"/>
              <w:rPr>
                <w:rFonts w:eastAsiaTheme="minorEastAsia"/>
                <w:snapToGrid w:val="0"/>
                <w:szCs w:val="21"/>
              </w:rPr>
            </w:pP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Mg</w:t>
            </w:r>
            <w:r w:rsidRPr="00FC1444">
              <w:rPr>
                <w:rFonts w:eastAsiaTheme="minorEastAsia"/>
                <w:snapToGrid w:val="0"/>
                <w:szCs w:val="21"/>
                <w:vertAlign w:val="superscript"/>
              </w:rPr>
              <w:t>2+</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6.13</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0.51</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8.73</w:t>
            </w:r>
          </w:p>
        </w:tc>
      </w:tr>
      <w:tr w:rsidR="000C48B7" w:rsidRPr="00FC1444" w:rsidTr="00FE1542">
        <w:tc>
          <w:tcPr>
            <w:tcW w:w="1143" w:type="dxa"/>
            <w:vMerge/>
            <w:vAlign w:val="center"/>
          </w:tcPr>
          <w:p w:rsidR="000C48B7" w:rsidRPr="00FC1444" w:rsidRDefault="000C48B7" w:rsidP="00FE1542">
            <w:pPr>
              <w:widowControl/>
              <w:spacing w:line="0" w:lineRule="atLeast"/>
              <w:contextualSpacing/>
              <w:jc w:val="center"/>
              <w:rPr>
                <w:rFonts w:eastAsiaTheme="minorEastAsia"/>
                <w:snapToGrid w:val="0"/>
                <w:szCs w:val="21"/>
              </w:rPr>
            </w:pP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总计</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114.89</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5.85</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100.00</w:t>
            </w:r>
          </w:p>
        </w:tc>
      </w:tr>
      <w:tr w:rsidR="000C48B7" w:rsidRPr="00FC1444" w:rsidTr="00FE1542">
        <w:tc>
          <w:tcPr>
            <w:tcW w:w="1143" w:type="dxa"/>
            <w:vMerge w:val="restart"/>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阴</w:t>
            </w:r>
          </w:p>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离</w:t>
            </w:r>
          </w:p>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子</w:t>
            </w: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HCO</w:t>
            </w:r>
            <w:r w:rsidRPr="00FC1444">
              <w:rPr>
                <w:rFonts w:eastAsiaTheme="minorEastAsia"/>
                <w:snapToGrid w:val="0"/>
                <w:szCs w:val="21"/>
                <w:vertAlign w:val="subscript"/>
              </w:rPr>
              <w:t>3</w:t>
            </w:r>
            <w:r w:rsidRPr="00FC1444">
              <w:rPr>
                <w:rFonts w:eastAsiaTheme="minorEastAsia"/>
                <w:snapToGrid w:val="0"/>
                <w:szCs w:val="21"/>
                <w:vertAlign w:val="superscript"/>
              </w:rPr>
              <w:t>-</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75</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1.23</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20.92</w:t>
            </w:r>
          </w:p>
        </w:tc>
      </w:tr>
      <w:tr w:rsidR="000C48B7" w:rsidRPr="00FC1444" w:rsidTr="00FE1542">
        <w:tc>
          <w:tcPr>
            <w:tcW w:w="1143" w:type="dxa"/>
            <w:vMerge/>
            <w:vAlign w:val="center"/>
          </w:tcPr>
          <w:p w:rsidR="000C48B7" w:rsidRPr="00FC1444" w:rsidRDefault="000C48B7" w:rsidP="00FE1542">
            <w:pPr>
              <w:widowControl/>
              <w:spacing w:line="0" w:lineRule="atLeast"/>
              <w:contextualSpacing/>
              <w:jc w:val="center"/>
              <w:rPr>
                <w:rFonts w:eastAsiaTheme="minorEastAsia"/>
                <w:snapToGrid w:val="0"/>
                <w:szCs w:val="21"/>
              </w:rPr>
            </w:pP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Cl</w:t>
            </w:r>
            <w:r w:rsidRPr="00FC1444">
              <w:rPr>
                <w:rFonts w:eastAsiaTheme="minorEastAsia"/>
                <w:snapToGrid w:val="0"/>
                <w:szCs w:val="21"/>
                <w:vertAlign w:val="superscript"/>
              </w:rPr>
              <w:t>-</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26</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0.73</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12.46</w:t>
            </w:r>
          </w:p>
        </w:tc>
      </w:tr>
      <w:tr w:rsidR="000C48B7" w:rsidRPr="00FC1444" w:rsidTr="00FE1542">
        <w:tc>
          <w:tcPr>
            <w:tcW w:w="1143" w:type="dxa"/>
            <w:vMerge/>
            <w:vAlign w:val="center"/>
          </w:tcPr>
          <w:p w:rsidR="000C48B7" w:rsidRPr="00FC1444" w:rsidRDefault="000C48B7" w:rsidP="00FE1542">
            <w:pPr>
              <w:widowControl/>
              <w:spacing w:line="0" w:lineRule="atLeast"/>
              <w:contextualSpacing/>
              <w:jc w:val="center"/>
              <w:rPr>
                <w:rFonts w:eastAsiaTheme="minorEastAsia"/>
                <w:snapToGrid w:val="0"/>
                <w:szCs w:val="21"/>
              </w:rPr>
            </w:pP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SO</w:t>
            </w:r>
            <w:r w:rsidRPr="00FC1444">
              <w:rPr>
                <w:rFonts w:eastAsiaTheme="minorEastAsia"/>
                <w:snapToGrid w:val="0"/>
                <w:szCs w:val="21"/>
                <w:vertAlign w:val="subscript"/>
              </w:rPr>
              <w:t>4</w:t>
            </w:r>
            <w:r w:rsidRPr="00FC1444">
              <w:rPr>
                <w:rFonts w:eastAsiaTheme="minorEastAsia"/>
                <w:snapToGrid w:val="0"/>
                <w:szCs w:val="21"/>
                <w:vertAlign w:val="superscript"/>
              </w:rPr>
              <w:t>2-</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szCs w:val="21"/>
              </w:rPr>
              <w:t>188</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3.92</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66.63</w:t>
            </w:r>
          </w:p>
        </w:tc>
      </w:tr>
      <w:tr w:rsidR="000C48B7" w:rsidRPr="00FC1444" w:rsidTr="00FE1542">
        <w:trPr>
          <w:trHeight w:val="309"/>
        </w:trPr>
        <w:tc>
          <w:tcPr>
            <w:tcW w:w="1143" w:type="dxa"/>
            <w:vMerge/>
            <w:vAlign w:val="center"/>
          </w:tcPr>
          <w:p w:rsidR="000C48B7" w:rsidRPr="00FC1444" w:rsidRDefault="000C48B7" w:rsidP="00FE1542">
            <w:pPr>
              <w:widowControl/>
              <w:spacing w:line="0" w:lineRule="atLeast"/>
              <w:contextualSpacing/>
              <w:jc w:val="center"/>
              <w:rPr>
                <w:rFonts w:eastAsiaTheme="minorEastAsia"/>
                <w:snapToGrid w:val="0"/>
                <w:szCs w:val="21"/>
              </w:rPr>
            </w:pPr>
          </w:p>
        </w:tc>
        <w:tc>
          <w:tcPr>
            <w:tcW w:w="2023" w:type="dxa"/>
            <w:vAlign w:val="center"/>
          </w:tcPr>
          <w:p w:rsidR="000C48B7" w:rsidRPr="00FC1444" w:rsidRDefault="000C48B7" w:rsidP="00FE1542">
            <w:pPr>
              <w:snapToGrid w:val="0"/>
              <w:spacing w:line="0" w:lineRule="atLeast"/>
              <w:contextualSpacing/>
              <w:jc w:val="center"/>
              <w:rPr>
                <w:rFonts w:eastAsiaTheme="minorEastAsia"/>
                <w:snapToGrid w:val="0"/>
                <w:szCs w:val="21"/>
              </w:rPr>
            </w:pPr>
            <w:r w:rsidRPr="00FC1444">
              <w:rPr>
                <w:rFonts w:eastAsiaTheme="minorEastAsia"/>
                <w:snapToGrid w:val="0"/>
                <w:szCs w:val="21"/>
              </w:rPr>
              <w:t>总计</w:t>
            </w:r>
          </w:p>
        </w:tc>
        <w:tc>
          <w:tcPr>
            <w:tcW w:w="1693"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289</w:t>
            </w:r>
          </w:p>
        </w:tc>
        <w:tc>
          <w:tcPr>
            <w:tcW w:w="1804"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5.88</w:t>
            </w:r>
          </w:p>
        </w:tc>
        <w:tc>
          <w:tcPr>
            <w:tcW w:w="1859" w:type="dxa"/>
            <w:vAlign w:val="bottom"/>
          </w:tcPr>
          <w:p w:rsidR="000C48B7" w:rsidRPr="00FC1444" w:rsidRDefault="000C48B7" w:rsidP="000C48B7">
            <w:pPr>
              <w:spacing w:line="0" w:lineRule="atLeast"/>
              <w:jc w:val="center"/>
              <w:rPr>
                <w:rFonts w:eastAsia="等线"/>
                <w:szCs w:val="21"/>
              </w:rPr>
            </w:pPr>
            <w:r w:rsidRPr="00FC1444">
              <w:rPr>
                <w:rFonts w:eastAsia="等线" w:hint="eastAsia"/>
                <w:szCs w:val="21"/>
              </w:rPr>
              <w:t>100.00</w:t>
            </w:r>
          </w:p>
        </w:tc>
      </w:tr>
    </w:tbl>
    <w:p w:rsidR="002A5A5E" w:rsidRPr="00FC1444" w:rsidRDefault="00611CBA">
      <w:pPr>
        <w:spacing w:line="360" w:lineRule="auto"/>
        <w:ind w:firstLine="372"/>
        <w:rPr>
          <w:rFonts w:eastAsiaTheme="minorEastAsia"/>
          <w:sz w:val="24"/>
        </w:rPr>
      </w:pPr>
      <w:r w:rsidRPr="00FC1444">
        <w:rPr>
          <w:rFonts w:ascii="宋体" w:hAnsi="宋体" w:cs="宋体" w:hint="eastAsia"/>
          <w:sz w:val="24"/>
        </w:rPr>
        <w:t>☆</w:t>
      </w:r>
      <w:r w:rsidRPr="00FC1444">
        <w:rPr>
          <w:rFonts w:eastAsiaTheme="minorEastAsia"/>
          <w:sz w:val="24"/>
        </w:rPr>
        <w:t>01</w:t>
      </w:r>
      <w:r w:rsidRPr="00FC1444">
        <w:rPr>
          <w:rFonts w:eastAsiaTheme="minorEastAsia"/>
          <w:sz w:val="24"/>
        </w:rPr>
        <w:t>水质矿化度计算过程：</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应先将阴离子的</w:t>
      </w:r>
      <w:r w:rsidRPr="00FC1444">
        <w:rPr>
          <w:rFonts w:eastAsiaTheme="minorEastAsia"/>
          <w:sz w:val="24"/>
        </w:rPr>
        <w:t>mg/L</w:t>
      </w:r>
      <w:r w:rsidRPr="00FC1444">
        <w:rPr>
          <w:rFonts w:eastAsiaTheme="minorEastAsia"/>
          <w:sz w:val="24"/>
        </w:rPr>
        <w:t>数换算成</w:t>
      </w:r>
      <w:r w:rsidRPr="00FC1444">
        <w:rPr>
          <w:rFonts w:eastAsiaTheme="minorEastAsia"/>
          <w:sz w:val="24"/>
        </w:rPr>
        <w:t>mmol/L</w:t>
      </w:r>
      <w:r w:rsidRPr="00FC1444">
        <w:rPr>
          <w:rFonts w:eastAsiaTheme="minorEastAsia"/>
          <w:sz w:val="24"/>
        </w:rPr>
        <w:t>数。它们的摩尔质量</w:t>
      </w:r>
      <w:r w:rsidRPr="00FC1444">
        <w:rPr>
          <w:rFonts w:eastAsiaTheme="minorEastAsia"/>
          <w:sz w:val="24"/>
        </w:rPr>
        <w:t>—mg/mmol</w:t>
      </w:r>
      <w:r w:rsidRPr="00FC1444">
        <w:rPr>
          <w:rFonts w:eastAsiaTheme="minorEastAsia"/>
          <w:sz w:val="24"/>
        </w:rPr>
        <w:t>数分别采用：</w:t>
      </w:r>
      <w:r w:rsidRPr="00FC1444">
        <w:rPr>
          <w:rFonts w:eastAsiaTheme="minorEastAsia"/>
          <w:sz w:val="24"/>
        </w:rPr>
        <w:t>M</w:t>
      </w:r>
      <w:r w:rsidRPr="00FC1444">
        <w:rPr>
          <w:rFonts w:eastAsiaTheme="minorEastAsia"/>
          <w:sz w:val="24"/>
        </w:rPr>
        <w:t>（</w:t>
      </w:r>
      <m:oMath>
        <m:f>
          <m:fPr>
            <m:type m:val="skw"/>
            <m:ctrlPr>
              <w:rPr>
                <w:rFonts w:ascii="Cambria Math" w:eastAsiaTheme="minorEastAsia" w:hAnsi="Cambria Math"/>
                <w:sz w:val="24"/>
              </w:rPr>
            </m:ctrlPr>
          </m:fPr>
          <m:num>
            <m:r>
              <m:rPr>
                <m:sty m:val="p"/>
              </m:rPr>
              <w:rPr>
                <w:rFonts w:ascii="Cambria Math" w:eastAsiaTheme="minorEastAsia"/>
              </w:rPr>
              <m:t>1</m:t>
            </m:r>
          </m:num>
          <m:den>
            <m:r>
              <m:rPr>
                <m:sty m:val="p"/>
              </m:rPr>
              <w:rPr>
                <w:rFonts w:ascii="Cambria Math" w:eastAsiaTheme="minorEastAsia"/>
              </w:rPr>
              <m:t>2</m:t>
            </m:r>
          </m:den>
        </m:f>
        <m:sSubSup>
          <m:sSubSupPr>
            <m:ctrlPr>
              <w:rPr>
                <w:rFonts w:ascii="Cambria Math" w:eastAsiaTheme="minorEastAsia" w:hAnsi="Cambria Math"/>
                <w:sz w:val="24"/>
              </w:rPr>
            </m:ctrlPr>
          </m:sSubSupPr>
          <m:e>
            <m:r>
              <m:rPr>
                <m:sty m:val="p"/>
              </m:rPr>
              <w:rPr>
                <w:rFonts w:ascii="Cambria Math" w:eastAsiaTheme="minorEastAsia"/>
              </w:rPr>
              <m:t>CO</m:t>
            </m:r>
          </m:e>
          <m:sub>
            <m:r>
              <m:rPr>
                <m:sty m:val="p"/>
              </m:rPr>
              <w:rPr>
                <w:rFonts w:ascii="Cambria Math" w:eastAsiaTheme="minorEastAsia"/>
              </w:rPr>
              <m:t>3</m:t>
            </m:r>
          </m:sub>
          <m:sup>
            <m:r>
              <m:rPr>
                <m:sty m:val="p"/>
              </m:rPr>
              <w:rPr>
                <w:rFonts w:ascii="Cambria Math" w:eastAsiaTheme="minorEastAsia"/>
              </w:rPr>
              <m:t>2</m:t>
            </m:r>
            <m:r>
              <m:rPr>
                <m:sty m:val="p"/>
              </m:rPr>
              <w:rPr>
                <w:rFonts w:ascii="Cambria Math" w:eastAsiaTheme="minorEastAsia" w:hAnsi="Cambria Math"/>
              </w:rPr>
              <m:t>-</m:t>
            </m:r>
          </m:sup>
        </m:sSubSup>
      </m:oMath>
      <w:r w:rsidRPr="00FC1444">
        <w:rPr>
          <w:rFonts w:eastAsiaTheme="minorEastAsia"/>
          <w:sz w:val="24"/>
        </w:rPr>
        <w:t>）是</w:t>
      </w:r>
      <w:r w:rsidRPr="00FC1444">
        <w:rPr>
          <w:rFonts w:eastAsiaTheme="minorEastAsia"/>
          <w:sz w:val="24"/>
        </w:rPr>
        <w:t>30</w:t>
      </w:r>
      <w:r w:rsidRPr="00FC1444">
        <w:rPr>
          <w:rFonts w:eastAsiaTheme="minorEastAsia"/>
          <w:sz w:val="24"/>
        </w:rPr>
        <w:t>，</w:t>
      </w:r>
      <w:r w:rsidRPr="00FC1444">
        <w:rPr>
          <w:rFonts w:eastAsiaTheme="minorEastAsia"/>
          <w:sz w:val="24"/>
        </w:rPr>
        <w:t>M</w:t>
      </w:r>
      <w:r w:rsidRPr="00FC1444">
        <w:rPr>
          <w:rFonts w:eastAsiaTheme="minorEastAsia"/>
          <w:sz w:val="24"/>
        </w:rPr>
        <w:t>（</w:t>
      </w:r>
      <m:oMath>
        <m:r>
          <m:rPr>
            <m:sty m:val="p"/>
          </m:rPr>
          <w:rPr>
            <w:rFonts w:ascii="Cambria Math" w:eastAsiaTheme="minorEastAsia"/>
          </w:rPr>
          <m:t>H</m:t>
        </m:r>
        <m:sSubSup>
          <m:sSubSupPr>
            <m:ctrlPr>
              <w:rPr>
                <w:rFonts w:ascii="Cambria Math" w:eastAsiaTheme="minorEastAsia" w:hAnsi="Cambria Math"/>
                <w:sz w:val="24"/>
              </w:rPr>
            </m:ctrlPr>
          </m:sSubSupPr>
          <m:e>
            <m:r>
              <m:rPr>
                <m:sty m:val="p"/>
              </m:rPr>
              <w:rPr>
                <w:rFonts w:ascii="Cambria Math" w:eastAsiaTheme="minorEastAsia"/>
              </w:rPr>
              <m:t>CO</m:t>
            </m:r>
          </m:e>
          <m:sub>
            <m:r>
              <m:rPr>
                <m:sty m:val="p"/>
              </m:rPr>
              <w:rPr>
                <w:rFonts w:ascii="Cambria Math" w:eastAsiaTheme="minorEastAsia"/>
              </w:rPr>
              <m:t>3</m:t>
            </m:r>
          </m:sub>
          <m:sup>
            <m:r>
              <m:rPr>
                <m:sty m:val="p"/>
              </m:rPr>
              <w:rPr>
                <w:rFonts w:ascii="Cambria Math" w:eastAsiaTheme="minorEastAsia" w:hAnsi="Cambria Math"/>
              </w:rPr>
              <m:t>-</m:t>
            </m:r>
          </m:sup>
        </m:sSubSup>
      </m:oMath>
      <w:r w:rsidRPr="00FC1444">
        <w:rPr>
          <w:rFonts w:eastAsiaTheme="minorEastAsia"/>
          <w:sz w:val="24"/>
        </w:rPr>
        <w:t>）是</w:t>
      </w:r>
      <w:r w:rsidRPr="00FC1444">
        <w:rPr>
          <w:rFonts w:eastAsiaTheme="minorEastAsia"/>
          <w:sz w:val="24"/>
        </w:rPr>
        <w:t>61</w:t>
      </w:r>
      <w:r w:rsidRPr="00FC1444">
        <w:rPr>
          <w:rFonts w:eastAsiaTheme="minorEastAsia"/>
          <w:sz w:val="24"/>
        </w:rPr>
        <w:t>，</w:t>
      </w:r>
      <w:r w:rsidRPr="00FC1444">
        <w:rPr>
          <w:rFonts w:eastAsiaTheme="minorEastAsia"/>
          <w:sz w:val="24"/>
        </w:rPr>
        <w:t>M</w:t>
      </w:r>
      <w:r w:rsidRPr="00FC1444">
        <w:rPr>
          <w:rFonts w:eastAsiaTheme="minorEastAsia"/>
          <w:sz w:val="24"/>
        </w:rPr>
        <w:t>（</w:t>
      </w:r>
      <w:r w:rsidRPr="00FC1444">
        <w:rPr>
          <w:rFonts w:eastAsiaTheme="minorEastAsia"/>
          <w:sz w:val="24"/>
        </w:rPr>
        <w:t>Cl</w:t>
      </w:r>
      <w:r w:rsidRPr="00FC1444">
        <w:rPr>
          <w:rFonts w:eastAsiaTheme="minorEastAsia"/>
          <w:sz w:val="24"/>
          <w:vertAlign w:val="superscript"/>
        </w:rPr>
        <w:t>-</w:t>
      </w:r>
      <w:r w:rsidRPr="00FC1444">
        <w:rPr>
          <w:rFonts w:eastAsiaTheme="minorEastAsia"/>
          <w:sz w:val="24"/>
        </w:rPr>
        <w:t>）是</w:t>
      </w:r>
      <w:r w:rsidRPr="00FC1444">
        <w:rPr>
          <w:rFonts w:eastAsiaTheme="minorEastAsia"/>
          <w:sz w:val="24"/>
        </w:rPr>
        <w:t>35.5</w:t>
      </w:r>
      <w:r w:rsidRPr="00FC1444">
        <w:rPr>
          <w:rFonts w:eastAsiaTheme="minorEastAsia"/>
          <w:sz w:val="24"/>
        </w:rPr>
        <w:t>，</w:t>
      </w:r>
      <w:r w:rsidRPr="00FC1444">
        <w:rPr>
          <w:rFonts w:eastAsiaTheme="minorEastAsia"/>
          <w:sz w:val="24"/>
        </w:rPr>
        <w:t>M</w:t>
      </w:r>
      <w:r w:rsidRPr="00FC1444">
        <w:rPr>
          <w:rFonts w:eastAsiaTheme="minorEastAsia"/>
          <w:sz w:val="24"/>
        </w:rPr>
        <w:t>（</w:t>
      </w:r>
      <m:oMath>
        <m:f>
          <m:fPr>
            <m:type m:val="skw"/>
            <m:ctrlPr>
              <w:rPr>
                <w:rFonts w:ascii="Cambria Math" w:eastAsiaTheme="minorEastAsia" w:hAnsi="Cambria Math"/>
                <w:sz w:val="24"/>
              </w:rPr>
            </m:ctrlPr>
          </m:fPr>
          <m:num>
            <m:r>
              <m:rPr>
                <m:sty m:val="p"/>
              </m:rPr>
              <w:rPr>
                <w:rFonts w:ascii="Cambria Math" w:eastAsiaTheme="minorEastAsia"/>
              </w:rPr>
              <m:t>1</m:t>
            </m:r>
          </m:num>
          <m:den>
            <m:r>
              <m:rPr>
                <m:sty m:val="p"/>
              </m:rPr>
              <w:rPr>
                <w:rFonts w:ascii="Cambria Math" w:eastAsiaTheme="minorEastAsia"/>
              </w:rPr>
              <m:t>2</m:t>
            </m:r>
          </m:den>
        </m:f>
        <m:r>
          <m:rPr>
            <m:sty m:val="p"/>
          </m:rPr>
          <w:rPr>
            <w:rFonts w:ascii="Cambria Math" w:eastAsiaTheme="minorEastAsia"/>
          </w:rPr>
          <m:t>H</m:t>
        </m:r>
        <m:sSubSup>
          <m:sSubSupPr>
            <m:ctrlPr>
              <w:rPr>
                <w:rFonts w:ascii="Cambria Math" w:eastAsiaTheme="minorEastAsia" w:hAnsi="Cambria Math"/>
                <w:sz w:val="24"/>
              </w:rPr>
            </m:ctrlPr>
          </m:sSubSupPr>
          <m:e>
            <m:r>
              <m:rPr>
                <m:sty m:val="p"/>
              </m:rPr>
              <w:rPr>
                <w:rFonts w:ascii="Cambria Math" w:eastAsiaTheme="minorEastAsia"/>
              </w:rPr>
              <m:t>SO</m:t>
            </m:r>
          </m:e>
          <m:sub>
            <m:r>
              <m:rPr>
                <m:sty m:val="p"/>
              </m:rPr>
              <w:rPr>
                <w:rFonts w:ascii="Cambria Math" w:eastAsiaTheme="minorEastAsia"/>
              </w:rPr>
              <m:t>4</m:t>
            </m:r>
          </m:sub>
          <m:sup>
            <m:r>
              <m:rPr>
                <m:sty m:val="p"/>
              </m:rPr>
              <w:rPr>
                <w:rFonts w:ascii="Cambria Math" w:eastAsiaTheme="minorEastAsia"/>
              </w:rPr>
              <m:t>2</m:t>
            </m:r>
            <m:r>
              <m:rPr>
                <m:sty m:val="p"/>
              </m:rPr>
              <w:rPr>
                <w:rFonts w:ascii="Cambria Math" w:eastAsiaTheme="minorEastAsia" w:hAnsi="Cambria Math"/>
              </w:rPr>
              <m:t>-</m:t>
            </m:r>
          </m:sup>
        </m:sSubSup>
      </m:oMath>
      <w:r w:rsidRPr="00FC1444">
        <w:rPr>
          <w:rFonts w:eastAsiaTheme="minorEastAsia"/>
          <w:sz w:val="24"/>
        </w:rPr>
        <w:t>）是</w:t>
      </w:r>
      <w:r w:rsidRPr="00FC1444">
        <w:rPr>
          <w:rFonts w:eastAsiaTheme="minorEastAsia"/>
          <w:sz w:val="24"/>
        </w:rPr>
        <w:t>48</w:t>
      </w:r>
      <w:r w:rsidRPr="00FC1444">
        <w:rPr>
          <w:rFonts w:eastAsiaTheme="minorEastAsia"/>
          <w:sz w:val="24"/>
        </w:rPr>
        <w:t>。</w:t>
      </w:r>
    </w:p>
    <w:p w:rsidR="002A5A5E" w:rsidRPr="00FC1444" w:rsidRDefault="00611CBA">
      <w:pPr>
        <w:spacing w:line="360" w:lineRule="auto"/>
        <w:rPr>
          <w:rFonts w:eastAsiaTheme="minorEastAsia"/>
          <w:sz w:val="24"/>
        </w:rPr>
      </w:pPr>
      <w:r w:rsidRPr="00FC1444">
        <w:rPr>
          <w:rFonts w:eastAsiaTheme="minorEastAsia"/>
          <w:sz w:val="24"/>
        </w:rPr>
        <w:lastRenderedPageBreak/>
        <w:t>所以，</w:t>
      </w:r>
      <w:r w:rsidRPr="00FC1444">
        <w:rPr>
          <w:rFonts w:eastAsiaTheme="minorEastAsia"/>
          <w:sz w:val="24"/>
        </w:rPr>
        <w:t>C</w:t>
      </w:r>
      <w:r w:rsidRPr="00FC1444">
        <w:rPr>
          <w:rFonts w:eastAsiaTheme="minorEastAsia"/>
          <w:sz w:val="24"/>
        </w:rPr>
        <w:t>（</w:t>
      </w:r>
      <m:oMath>
        <m:r>
          <m:rPr>
            <m:sty m:val="p"/>
          </m:rPr>
          <w:rPr>
            <w:rFonts w:ascii="Cambria Math" w:eastAsiaTheme="minorEastAsia"/>
          </w:rPr>
          <m:t>H</m:t>
        </m:r>
        <m:sSubSup>
          <m:sSubSupPr>
            <m:ctrlPr>
              <w:rPr>
                <w:rFonts w:ascii="Cambria Math" w:eastAsiaTheme="minorEastAsia" w:hAnsi="Cambria Math"/>
                <w:sz w:val="24"/>
              </w:rPr>
            </m:ctrlPr>
          </m:sSubSupPr>
          <m:e>
            <m:r>
              <m:rPr>
                <m:sty m:val="p"/>
              </m:rPr>
              <w:rPr>
                <w:rFonts w:ascii="Cambria Math" w:eastAsiaTheme="minorEastAsia"/>
              </w:rPr>
              <m:t>CO</m:t>
            </m:r>
          </m:e>
          <m:sub>
            <m:r>
              <m:rPr>
                <m:sty m:val="p"/>
              </m:rPr>
              <w:rPr>
                <w:rFonts w:ascii="Cambria Math" w:eastAsiaTheme="minorEastAsia"/>
              </w:rPr>
              <m:t>3</m:t>
            </m:r>
          </m:sub>
          <m:sup>
            <m:r>
              <m:rPr>
                <m:sty m:val="p"/>
              </m:rPr>
              <w:rPr>
                <w:rFonts w:ascii="Cambria Math" w:eastAsiaTheme="minorEastAsia" w:hAnsi="Cambria Math"/>
              </w:rPr>
              <m:t>-</m:t>
            </m:r>
          </m:sup>
        </m:sSubSup>
      </m:oMath>
      <w:r w:rsidRPr="00FC1444">
        <w:rPr>
          <w:rFonts w:eastAsiaTheme="minorEastAsia"/>
          <w:sz w:val="24"/>
        </w:rPr>
        <w:t>）</w:t>
      </w:r>
      <w:r w:rsidRPr="00FC1444">
        <w:rPr>
          <w:rFonts w:eastAsiaTheme="minorEastAsia"/>
          <w:sz w:val="24"/>
        </w:rPr>
        <w:t>=</w:t>
      </w:r>
      <w:r w:rsidRPr="00FC1444">
        <w:rPr>
          <w:rFonts w:eastAsiaTheme="minorEastAsia"/>
          <w:sz w:val="24"/>
        </w:rPr>
        <w:softHyphen/>
      </w:r>
      <m:oMath>
        <m:f>
          <m:fPr>
            <m:ctrlPr>
              <w:rPr>
                <w:rFonts w:ascii="Cambria Math" w:eastAsiaTheme="minorEastAsia" w:hAnsi="Cambria Math"/>
                <w:sz w:val="24"/>
              </w:rPr>
            </m:ctrlPr>
          </m:fPr>
          <m:num>
            <m:r>
              <m:rPr>
                <m:sty m:val="p"/>
              </m:rPr>
              <w:rPr>
                <w:rFonts w:ascii="Cambria Math" w:eastAsiaTheme="minorEastAsia"/>
                <w:sz w:val="24"/>
              </w:rPr>
              <m:t>85</m:t>
            </m:r>
          </m:num>
          <m:den>
            <m:r>
              <m:rPr>
                <m:sty m:val="p"/>
              </m:rPr>
              <w:rPr>
                <w:rFonts w:ascii="Cambria Math" w:eastAsiaTheme="minorEastAsia"/>
                <w:sz w:val="24"/>
              </w:rPr>
              <m:t>61</m:t>
            </m:r>
          </m:den>
        </m:f>
      </m:oMath>
      <w:r w:rsidR="009840DD" w:rsidRPr="00FC1444">
        <w:rPr>
          <w:rFonts w:eastAsiaTheme="minorEastAsia"/>
          <w:sz w:val="24"/>
        </w:rPr>
        <w:fldChar w:fldCharType="begin"/>
      </w:r>
      <w:r w:rsidRPr="00FC1444">
        <w:rPr>
          <w:rFonts w:eastAsiaTheme="minorEastAsia"/>
          <w:sz w:val="24"/>
        </w:rPr>
        <w:instrText xml:space="preserve"> QUOTE </w:instrText>
      </w:r>
      <m:oMath>
        <m:f>
          <m:fPr>
            <m:ctrlPr>
              <w:rPr>
                <w:rFonts w:ascii="Cambria Math" w:eastAsiaTheme="minorEastAsia" w:hAnsi="Cambria Math"/>
                <w:sz w:val="24"/>
              </w:rPr>
            </m:ctrlPr>
          </m:fPr>
          <m:num>
            <m:r>
              <m:rPr>
                <m:sty m:val="p"/>
              </m:rPr>
              <w:rPr>
                <w:rFonts w:ascii="Cambria Math" w:eastAsiaTheme="minorEastAsia"/>
              </w:rPr>
              <m:t>231</m:t>
            </m:r>
          </m:num>
          <m:den>
            <m:r>
              <m:rPr>
                <m:sty m:val="p"/>
              </m:rPr>
              <w:rPr>
                <w:rFonts w:ascii="Cambria Math" w:eastAsiaTheme="minorEastAsia"/>
              </w:rPr>
              <m:t>61</m:t>
            </m:r>
          </m:den>
        </m:f>
      </m:oMath>
      <w:r w:rsidR="009840DD" w:rsidRPr="00FC1444">
        <w:rPr>
          <w:rFonts w:eastAsiaTheme="minorEastAsia"/>
          <w:sz w:val="24"/>
        </w:rPr>
        <w:fldChar w:fldCharType="end"/>
      </w:r>
      <w:r w:rsidR="004374C1" w:rsidRPr="00FC1444">
        <w:rPr>
          <w:rFonts w:eastAsiaTheme="minorEastAsia"/>
          <w:sz w:val="24"/>
        </w:rPr>
        <w:t>=</w:t>
      </w:r>
      <w:r w:rsidR="004374C1" w:rsidRPr="00FC1444">
        <w:rPr>
          <w:rFonts w:eastAsiaTheme="minorEastAsia" w:hint="eastAsia"/>
          <w:sz w:val="24"/>
        </w:rPr>
        <w:t>1.39</w:t>
      </w:r>
    </w:p>
    <w:p w:rsidR="002A5A5E" w:rsidRPr="00FC1444" w:rsidRDefault="00611CBA">
      <w:pPr>
        <w:spacing w:line="360" w:lineRule="auto"/>
        <w:rPr>
          <w:rFonts w:eastAsiaTheme="minorEastAsia"/>
          <w:sz w:val="24"/>
        </w:rPr>
      </w:pPr>
      <w:r w:rsidRPr="00FC1444">
        <w:rPr>
          <w:rFonts w:eastAsiaTheme="minorEastAsia"/>
          <w:sz w:val="24"/>
        </w:rPr>
        <w:t xml:space="preserve">      C</w:t>
      </w:r>
      <w:r w:rsidRPr="00FC1444">
        <w:rPr>
          <w:rFonts w:eastAsiaTheme="minorEastAsia"/>
          <w:sz w:val="24"/>
        </w:rPr>
        <w:t>（</w:t>
      </w:r>
      <w:r w:rsidRPr="00FC1444">
        <w:rPr>
          <w:rFonts w:eastAsiaTheme="minorEastAsia"/>
          <w:sz w:val="24"/>
        </w:rPr>
        <w:t>Cl</w:t>
      </w:r>
      <w:r w:rsidRPr="00FC1444">
        <w:rPr>
          <w:rFonts w:eastAsiaTheme="minorEastAsia"/>
          <w:sz w:val="24"/>
          <w:vertAlign w:val="superscript"/>
        </w:rPr>
        <w:t>-</w:t>
      </w:r>
      <w:r w:rsidRPr="00FC1444">
        <w:rPr>
          <w:rFonts w:eastAsiaTheme="minorEastAsia"/>
          <w:sz w:val="24"/>
        </w:rPr>
        <w:t>）</w:t>
      </w:r>
      <w:r w:rsidRPr="00FC1444">
        <w:rPr>
          <w:rFonts w:eastAsiaTheme="minorEastAsia"/>
          <w:sz w:val="24"/>
        </w:rPr>
        <w:t>=</w:t>
      </w:r>
      <m:oMath>
        <m:f>
          <m:fPr>
            <m:ctrlPr>
              <w:rPr>
                <w:rFonts w:ascii="Cambria Math" w:eastAsiaTheme="minorEastAsia" w:hAnsi="Cambria Math"/>
                <w:sz w:val="24"/>
              </w:rPr>
            </m:ctrlPr>
          </m:fPr>
          <m:num>
            <m:r>
              <m:rPr>
                <m:sty m:val="p"/>
              </m:rPr>
              <w:rPr>
                <w:rFonts w:ascii="Cambria Math" w:eastAsiaTheme="minorEastAsia"/>
                <w:sz w:val="24"/>
              </w:rPr>
              <m:t>60.5</m:t>
            </m:r>
          </m:num>
          <m:den>
            <m:r>
              <m:rPr>
                <m:sty m:val="p"/>
              </m:rPr>
              <w:rPr>
                <w:rFonts w:ascii="Cambria Math" w:eastAsiaTheme="minorEastAsia"/>
              </w:rPr>
              <m:t>35.5</m:t>
            </m:r>
          </m:den>
        </m:f>
      </m:oMath>
      <w:r w:rsidR="004374C1" w:rsidRPr="00FC1444">
        <w:rPr>
          <w:rFonts w:eastAsiaTheme="minorEastAsia"/>
          <w:sz w:val="24"/>
        </w:rPr>
        <w:t>=1.</w:t>
      </w:r>
      <w:r w:rsidR="004374C1" w:rsidRPr="00FC1444">
        <w:rPr>
          <w:rFonts w:eastAsiaTheme="minorEastAsia" w:hint="eastAsia"/>
          <w:sz w:val="24"/>
        </w:rPr>
        <w:t>7</w:t>
      </w:r>
    </w:p>
    <w:p w:rsidR="002A5A5E" w:rsidRPr="00FC1444" w:rsidRDefault="00611CBA">
      <w:pPr>
        <w:spacing w:line="360" w:lineRule="auto"/>
        <w:rPr>
          <w:rFonts w:eastAsiaTheme="minorEastAsia"/>
          <w:sz w:val="24"/>
        </w:rPr>
      </w:pPr>
      <w:r w:rsidRPr="00FC1444">
        <w:rPr>
          <w:rFonts w:eastAsiaTheme="minorEastAsia"/>
          <w:sz w:val="24"/>
        </w:rPr>
        <w:t xml:space="preserve">      C</w:t>
      </w:r>
      <w:r w:rsidRPr="00FC1444">
        <w:rPr>
          <w:rFonts w:eastAsiaTheme="minorEastAsia"/>
          <w:sz w:val="24"/>
        </w:rPr>
        <w:t>（</w:t>
      </w:r>
      <m:oMath>
        <m:f>
          <m:fPr>
            <m:type m:val="skw"/>
            <m:ctrlPr>
              <w:rPr>
                <w:rFonts w:ascii="Cambria Math" w:eastAsiaTheme="minorEastAsia" w:hAnsi="Cambria Math"/>
                <w:sz w:val="24"/>
              </w:rPr>
            </m:ctrlPr>
          </m:fPr>
          <m:num>
            <m:r>
              <m:rPr>
                <m:sty m:val="p"/>
              </m:rPr>
              <w:rPr>
                <w:rFonts w:ascii="Cambria Math" w:eastAsiaTheme="minorEastAsia"/>
              </w:rPr>
              <m:t>1</m:t>
            </m:r>
          </m:num>
          <m:den>
            <m:r>
              <m:rPr>
                <m:sty m:val="p"/>
              </m:rPr>
              <w:rPr>
                <w:rFonts w:ascii="Cambria Math" w:eastAsiaTheme="minorEastAsia"/>
              </w:rPr>
              <m:t>2</m:t>
            </m:r>
          </m:den>
        </m:f>
        <m:sSubSup>
          <m:sSubSupPr>
            <m:ctrlPr>
              <w:rPr>
                <w:rFonts w:ascii="Cambria Math" w:eastAsiaTheme="minorEastAsia" w:hAnsi="Cambria Math"/>
                <w:sz w:val="24"/>
              </w:rPr>
            </m:ctrlPr>
          </m:sSubSupPr>
          <m:e>
            <m:r>
              <m:rPr>
                <m:sty m:val="p"/>
              </m:rPr>
              <w:rPr>
                <w:rFonts w:ascii="Cambria Math" w:eastAsiaTheme="minorEastAsia"/>
              </w:rPr>
              <m:t>SO</m:t>
            </m:r>
          </m:e>
          <m:sub>
            <m:r>
              <m:rPr>
                <m:sty m:val="p"/>
              </m:rPr>
              <w:rPr>
                <w:rFonts w:ascii="Cambria Math" w:eastAsiaTheme="minorEastAsia"/>
              </w:rPr>
              <m:t>4</m:t>
            </m:r>
          </m:sub>
          <m:sup>
            <m:r>
              <m:rPr>
                <m:sty m:val="p"/>
              </m:rPr>
              <w:rPr>
                <w:rFonts w:ascii="Cambria Math" w:eastAsiaTheme="minorEastAsia"/>
              </w:rPr>
              <m:t>2</m:t>
            </m:r>
            <m:r>
              <m:rPr>
                <m:sty m:val="p"/>
              </m:rPr>
              <w:rPr>
                <w:rFonts w:ascii="Cambria Math" w:eastAsiaTheme="minorEastAsia" w:hAnsi="Cambria Math"/>
              </w:rPr>
              <m:t>-</m:t>
            </m:r>
          </m:sup>
        </m:sSubSup>
      </m:oMath>
      <w:r w:rsidRPr="00FC1444">
        <w:rPr>
          <w:rFonts w:eastAsiaTheme="minorEastAsia"/>
          <w:sz w:val="24"/>
        </w:rPr>
        <w:t>）</w:t>
      </w:r>
      <w:r w:rsidRPr="00FC1444">
        <w:rPr>
          <w:rFonts w:eastAsiaTheme="minorEastAsia"/>
          <w:sz w:val="24"/>
        </w:rPr>
        <w:t>=</w:t>
      </w:r>
      <m:oMath>
        <m:f>
          <m:fPr>
            <m:ctrlPr>
              <w:rPr>
                <w:rFonts w:ascii="Cambria Math" w:eastAsiaTheme="minorEastAsia" w:hAnsi="Cambria Math"/>
                <w:sz w:val="24"/>
              </w:rPr>
            </m:ctrlPr>
          </m:fPr>
          <m:num>
            <m:r>
              <m:rPr>
                <m:sty m:val="p"/>
              </m:rPr>
              <w:rPr>
                <w:rFonts w:ascii="Cambria Math" w:eastAsiaTheme="minorEastAsia"/>
                <w:sz w:val="24"/>
              </w:rPr>
              <m:t>50.6</m:t>
            </m:r>
          </m:num>
          <m:den>
            <m:r>
              <m:rPr>
                <m:sty m:val="p"/>
              </m:rPr>
              <w:rPr>
                <w:rFonts w:ascii="Cambria Math" w:eastAsiaTheme="minorEastAsia"/>
              </w:rPr>
              <m:t>48</m:t>
            </m:r>
          </m:den>
        </m:f>
      </m:oMath>
      <w:r w:rsidR="004374C1" w:rsidRPr="00FC1444">
        <w:rPr>
          <w:rFonts w:eastAsiaTheme="minorEastAsia"/>
          <w:sz w:val="24"/>
        </w:rPr>
        <w:t>=1.</w:t>
      </w:r>
      <w:r w:rsidR="004374C1" w:rsidRPr="00FC1444">
        <w:rPr>
          <w:rFonts w:eastAsiaTheme="minorEastAsia" w:hint="eastAsia"/>
          <w:sz w:val="24"/>
        </w:rPr>
        <w:t>05</w:t>
      </w:r>
    </w:p>
    <w:p w:rsidR="002A5A5E" w:rsidRPr="00FC1444" w:rsidRDefault="00611CBA">
      <w:pPr>
        <w:spacing w:line="360" w:lineRule="auto"/>
        <w:rPr>
          <w:rFonts w:eastAsiaTheme="minorEastAsia"/>
          <w:sz w:val="24"/>
        </w:rPr>
      </w:pPr>
      <w:r w:rsidRPr="00FC1444">
        <w:rPr>
          <w:rFonts w:eastAsiaTheme="minorEastAsia"/>
          <w:sz w:val="24"/>
        </w:rPr>
        <w:t>则：</w:t>
      </w:r>
      <w:r w:rsidRPr="00FC1444">
        <w:rPr>
          <w:rFonts w:eastAsiaTheme="minorEastAsia"/>
          <w:sz w:val="24"/>
        </w:rPr>
        <w:t>C</w:t>
      </w:r>
      <w:r w:rsidRPr="00FC1444">
        <w:rPr>
          <w:rFonts w:eastAsiaTheme="minorEastAsia"/>
          <w:sz w:val="24"/>
        </w:rPr>
        <w:t>（</w:t>
      </w:r>
      <w:r w:rsidRPr="00FC1444">
        <w:rPr>
          <w:rFonts w:eastAsiaTheme="minorEastAsia"/>
          <w:sz w:val="24"/>
        </w:rPr>
        <w:t>∑A</w:t>
      </w:r>
      <w:r w:rsidRPr="00FC1444">
        <w:rPr>
          <w:rFonts w:eastAsiaTheme="minorEastAsia"/>
          <w:sz w:val="24"/>
        </w:rPr>
        <w:t>）</w:t>
      </w:r>
      <w:r w:rsidRPr="00FC1444">
        <w:rPr>
          <w:rFonts w:eastAsiaTheme="minorEastAsia"/>
          <w:sz w:val="24"/>
        </w:rPr>
        <w:t>=</w:t>
      </w:r>
      <w:r w:rsidR="004374C1" w:rsidRPr="00FC1444">
        <w:rPr>
          <w:rFonts w:eastAsiaTheme="minorEastAsia" w:hint="eastAsia"/>
          <w:sz w:val="24"/>
        </w:rPr>
        <w:t>1.39</w:t>
      </w:r>
      <w:r w:rsidRPr="00FC1444">
        <w:rPr>
          <w:rFonts w:eastAsiaTheme="minorEastAsia"/>
          <w:sz w:val="24"/>
        </w:rPr>
        <w:t>+</w:t>
      </w:r>
      <w:r w:rsidR="006F3D3A" w:rsidRPr="00FC1444">
        <w:rPr>
          <w:rFonts w:eastAsiaTheme="minorEastAsia"/>
          <w:sz w:val="24"/>
        </w:rPr>
        <w:t>1.</w:t>
      </w:r>
      <w:r w:rsidR="004374C1" w:rsidRPr="00FC1444">
        <w:rPr>
          <w:rFonts w:eastAsiaTheme="minorEastAsia" w:hint="eastAsia"/>
          <w:sz w:val="24"/>
        </w:rPr>
        <w:t>7</w:t>
      </w:r>
      <w:r w:rsidRPr="00FC1444">
        <w:rPr>
          <w:rFonts w:eastAsiaTheme="minorEastAsia"/>
          <w:sz w:val="24"/>
        </w:rPr>
        <w:t>+</w:t>
      </w:r>
      <w:r w:rsidR="004374C1" w:rsidRPr="00FC1444">
        <w:rPr>
          <w:rFonts w:eastAsiaTheme="minorEastAsia"/>
          <w:sz w:val="24"/>
        </w:rPr>
        <w:t>1.</w:t>
      </w:r>
      <w:r w:rsidR="004374C1" w:rsidRPr="00FC1444">
        <w:rPr>
          <w:rFonts w:eastAsiaTheme="minorEastAsia" w:hint="eastAsia"/>
          <w:sz w:val="24"/>
        </w:rPr>
        <w:t>05</w:t>
      </w:r>
      <w:r w:rsidRPr="00FC1444">
        <w:rPr>
          <w:rFonts w:eastAsiaTheme="minorEastAsia"/>
          <w:sz w:val="24"/>
        </w:rPr>
        <w:t>=</w:t>
      </w:r>
      <w:r w:rsidR="004374C1" w:rsidRPr="00FC1444">
        <w:rPr>
          <w:rFonts w:eastAsiaTheme="minorEastAsia" w:hint="eastAsia"/>
          <w:sz w:val="24"/>
        </w:rPr>
        <w:t>4.15</w:t>
      </w:r>
    </w:p>
    <w:p w:rsidR="002A5A5E" w:rsidRPr="00FC1444" w:rsidRDefault="00611CBA">
      <w:pPr>
        <w:spacing w:line="360" w:lineRule="auto"/>
        <w:jc w:val="left"/>
        <w:rPr>
          <w:rFonts w:eastAsiaTheme="minorEastAsia"/>
          <w:sz w:val="24"/>
        </w:rPr>
      </w:pPr>
      <w:r w:rsidRPr="00FC1444">
        <w:rPr>
          <w:rFonts w:eastAsiaTheme="minorEastAsia"/>
          <w:sz w:val="24"/>
        </w:rPr>
        <w:t xml:space="preserve">        SB=</w:t>
      </w:r>
      <m:oMath>
        <m:f>
          <m:fPr>
            <m:ctrlPr>
              <w:rPr>
                <w:rFonts w:ascii="Cambria Math" w:eastAsiaTheme="minorEastAsia" w:hAnsi="Cambria Math"/>
                <w:sz w:val="24"/>
              </w:rPr>
            </m:ctrlPr>
          </m:fPr>
          <m:num>
            <m:r>
              <m:rPr>
                <m:sty m:val="p"/>
              </m:rPr>
              <w:rPr>
                <w:rFonts w:ascii="Cambria Math" w:eastAsiaTheme="minorEastAsia"/>
                <w:sz w:val="24"/>
              </w:rPr>
              <m:t>1.05</m:t>
            </m:r>
          </m:num>
          <m:den>
            <m:r>
              <m:rPr>
                <m:sty m:val="p"/>
              </m:rPr>
              <w:rPr>
                <w:rFonts w:ascii="Cambria Math" w:eastAsiaTheme="minorEastAsia"/>
                <w:sz w:val="24"/>
              </w:rPr>
              <m:t>4.15</m:t>
            </m:r>
          </m:den>
        </m:f>
      </m:oMath>
      <w:r w:rsidR="004374C1" w:rsidRPr="00FC1444">
        <w:rPr>
          <w:rFonts w:eastAsiaTheme="minorEastAsia"/>
          <w:sz w:val="24"/>
        </w:rPr>
        <w:t>=0.</w:t>
      </w:r>
      <w:r w:rsidR="004374C1" w:rsidRPr="00FC1444">
        <w:rPr>
          <w:rFonts w:eastAsiaTheme="minorEastAsia" w:hint="eastAsia"/>
          <w:sz w:val="24"/>
        </w:rPr>
        <w:t>254</w:t>
      </w:r>
    </w:p>
    <w:p w:rsidR="002A5A5E" w:rsidRPr="00FC1444" w:rsidRDefault="00611CBA">
      <w:pPr>
        <w:spacing w:line="360" w:lineRule="auto"/>
        <w:ind w:firstLineChars="396" w:firstLine="950"/>
        <w:rPr>
          <w:rFonts w:eastAsiaTheme="minorEastAsia"/>
          <w:sz w:val="24"/>
        </w:rPr>
      </w:pPr>
      <w:r w:rsidRPr="00FC1444">
        <w:rPr>
          <w:rFonts w:eastAsiaTheme="minorEastAsia"/>
          <w:sz w:val="24"/>
        </w:rPr>
        <w:t>HCB=</w:t>
      </w:r>
      <m:oMath>
        <m:f>
          <m:fPr>
            <m:ctrlPr>
              <w:rPr>
                <w:rFonts w:ascii="Cambria Math" w:eastAsiaTheme="minorEastAsia" w:hAnsi="Cambria Math"/>
                <w:sz w:val="24"/>
              </w:rPr>
            </m:ctrlPr>
          </m:fPr>
          <m:num>
            <m:r>
              <m:rPr>
                <m:sty m:val="p"/>
              </m:rPr>
              <w:rPr>
                <w:rFonts w:ascii="Cambria Math" w:eastAsiaTheme="minorEastAsia"/>
                <w:sz w:val="24"/>
              </w:rPr>
              <m:t>1.39</m:t>
            </m:r>
          </m:num>
          <m:den>
            <m:r>
              <m:rPr>
                <m:sty m:val="p"/>
              </m:rPr>
              <w:rPr>
                <w:rFonts w:ascii="Cambria Math" w:eastAsiaTheme="minorEastAsia"/>
                <w:sz w:val="24"/>
              </w:rPr>
              <m:t>1.7</m:t>
            </m:r>
          </m:den>
        </m:f>
      </m:oMath>
      <w:r w:rsidR="004374C1" w:rsidRPr="00FC1444">
        <w:rPr>
          <w:rFonts w:eastAsiaTheme="minorEastAsia"/>
          <w:sz w:val="24"/>
        </w:rPr>
        <w:t>=</w:t>
      </w:r>
      <w:r w:rsidR="004374C1" w:rsidRPr="00FC1444">
        <w:rPr>
          <w:rFonts w:eastAsiaTheme="minorEastAsia" w:hint="eastAsia"/>
          <w:sz w:val="24"/>
        </w:rPr>
        <w:t>0.82</w:t>
      </w:r>
    </w:p>
    <w:p w:rsidR="002A5A5E" w:rsidRPr="00FC1444" w:rsidRDefault="00611CBA">
      <w:pPr>
        <w:spacing w:line="360" w:lineRule="auto"/>
        <w:rPr>
          <w:rFonts w:eastAsiaTheme="minorEastAsia"/>
          <w:sz w:val="24"/>
        </w:rPr>
      </w:pPr>
      <w:r w:rsidRPr="00FC1444">
        <w:rPr>
          <w:rFonts w:eastAsiaTheme="minorEastAsia"/>
          <w:sz w:val="24"/>
        </w:rPr>
        <w:t>经查表</w:t>
      </w:r>
      <w:r w:rsidRPr="00FC1444">
        <w:rPr>
          <w:rFonts w:eastAsiaTheme="minorEastAsia"/>
          <w:sz w:val="24"/>
        </w:rPr>
        <w:t>4-2-13</w:t>
      </w:r>
      <w:r w:rsidRPr="00FC1444">
        <w:rPr>
          <w:rFonts w:eastAsiaTheme="minorEastAsia"/>
          <w:sz w:val="24"/>
        </w:rPr>
        <w:t>得</w:t>
      </w:r>
      <w:r w:rsidRPr="00FC1444">
        <w:rPr>
          <w:rFonts w:eastAsiaTheme="minorEastAsia"/>
          <w:sz w:val="24"/>
        </w:rPr>
        <w:t>Ms</w:t>
      </w:r>
      <w:r w:rsidRPr="00FC1444">
        <w:rPr>
          <w:rFonts w:eastAsiaTheme="minorEastAsia"/>
          <w:sz w:val="24"/>
        </w:rPr>
        <w:t>为</w:t>
      </w:r>
      <w:r w:rsidRPr="00FC1444">
        <w:rPr>
          <w:rFonts w:eastAsiaTheme="minorEastAsia"/>
          <w:sz w:val="24"/>
        </w:rPr>
        <w:t>0.0</w:t>
      </w:r>
      <w:r w:rsidR="00181E42" w:rsidRPr="00FC1444">
        <w:rPr>
          <w:rFonts w:eastAsiaTheme="minorEastAsia" w:hint="eastAsia"/>
          <w:sz w:val="24"/>
        </w:rPr>
        <w:t>66</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矿化度（</w:t>
      </w:r>
      <w:r w:rsidRPr="00FC1444">
        <w:rPr>
          <w:rFonts w:eastAsiaTheme="minorEastAsia"/>
          <w:sz w:val="24"/>
        </w:rPr>
        <w:t>g/L</w:t>
      </w:r>
      <w:r w:rsidRPr="00FC1444">
        <w:rPr>
          <w:rFonts w:eastAsiaTheme="minorEastAsia"/>
          <w:sz w:val="24"/>
        </w:rPr>
        <w:t>）</w:t>
      </w:r>
      <w:r w:rsidRPr="00FC1444">
        <w:rPr>
          <w:rFonts w:eastAsiaTheme="minorEastAsia"/>
          <w:sz w:val="24"/>
        </w:rPr>
        <w:t>=</w:t>
      </w:r>
      <w:r w:rsidR="00181E42" w:rsidRPr="00FC1444">
        <w:rPr>
          <w:rFonts w:eastAsiaTheme="minorEastAsia" w:hint="eastAsia"/>
          <w:sz w:val="24"/>
        </w:rPr>
        <w:t>4.15</w:t>
      </w:r>
      <w:r w:rsidRPr="00FC1444">
        <w:rPr>
          <w:rFonts w:eastAsiaTheme="minorEastAsia"/>
          <w:sz w:val="24"/>
        </w:rPr>
        <w:t>×0.0</w:t>
      </w:r>
      <w:r w:rsidR="00181E42" w:rsidRPr="00FC1444">
        <w:rPr>
          <w:rFonts w:eastAsiaTheme="minorEastAsia" w:hint="eastAsia"/>
          <w:sz w:val="24"/>
        </w:rPr>
        <w:t>66</w:t>
      </w:r>
      <w:r w:rsidRPr="00FC1444">
        <w:rPr>
          <w:rFonts w:eastAsiaTheme="minorEastAsia"/>
          <w:sz w:val="24"/>
        </w:rPr>
        <w:t>=</w:t>
      </w:r>
      <w:r w:rsidR="008531DC" w:rsidRPr="00FC1444">
        <w:rPr>
          <w:rFonts w:eastAsiaTheme="minorEastAsia"/>
          <w:sz w:val="24"/>
        </w:rPr>
        <w:t>0.</w:t>
      </w:r>
      <w:r w:rsidR="00181E42" w:rsidRPr="00FC1444">
        <w:rPr>
          <w:rFonts w:eastAsiaTheme="minorEastAsia" w:hint="eastAsia"/>
          <w:sz w:val="24"/>
        </w:rPr>
        <w:t>27</w:t>
      </w:r>
      <w:r w:rsidRPr="00FC1444">
        <w:rPr>
          <w:rFonts w:eastAsiaTheme="minorEastAsia"/>
          <w:sz w:val="24"/>
        </w:rPr>
        <w:t>，所以</w:t>
      </w:r>
      <w:r w:rsidRPr="00FC1444">
        <w:rPr>
          <w:rFonts w:ascii="宋体" w:hAnsi="宋体" w:cs="宋体" w:hint="eastAsia"/>
          <w:sz w:val="24"/>
        </w:rPr>
        <w:t>☆</w:t>
      </w:r>
      <w:r w:rsidRPr="00FC1444">
        <w:rPr>
          <w:rFonts w:eastAsiaTheme="minorEastAsia"/>
          <w:sz w:val="24"/>
        </w:rPr>
        <w:t>1</w:t>
      </w:r>
      <w:r w:rsidRPr="00FC1444">
        <w:rPr>
          <w:rFonts w:eastAsiaTheme="minorEastAsia"/>
          <w:sz w:val="24"/>
        </w:rPr>
        <w:t>矿化度处于</w:t>
      </w:r>
      <w:r w:rsidRPr="00FC1444">
        <w:rPr>
          <w:rFonts w:eastAsiaTheme="minorEastAsia"/>
          <w:sz w:val="24"/>
        </w:rPr>
        <w:t>A</w:t>
      </w:r>
      <w:r w:rsidRPr="00FC1444">
        <w:rPr>
          <w:rFonts w:eastAsiaTheme="minorEastAsia"/>
          <w:sz w:val="24"/>
        </w:rPr>
        <w:t>组，其它监测点位参考以上方法计算，水质矿化度计算结果见表</w:t>
      </w:r>
      <w:r w:rsidRPr="00FC1444">
        <w:rPr>
          <w:rFonts w:eastAsiaTheme="minorEastAsia"/>
          <w:sz w:val="24"/>
        </w:rPr>
        <w:t>4-2-1</w:t>
      </w:r>
      <w:r w:rsidR="00F90B8B" w:rsidRPr="00FC1444">
        <w:rPr>
          <w:rFonts w:eastAsiaTheme="minorEastAsia" w:hint="eastAsia"/>
          <w:sz w:val="24"/>
        </w:rPr>
        <w:t>3</w:t>
      </w:r>
      <w:r w:rsidRPr="00FC1444">
        <w:rPr>
          <w:rFonts w:eastAsiaTheme="minorEastAsia"/>
          <w:sz w:val="24"/>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4-2-1</w:t>
      </w:r>
      <w:r w:rsidR="00F90B8B" w:rsidRPr="00FC1444">
        <w:rPr>
          <w:rFonts w:eastAsiaTheme="minorEastAsia" w:hint="eastAsia"/>
          <w:b/>
          <w:kern w:val="0"/>
          <w:szCs w:val="21"/>
        </w:rPr>
        <w:t>3</w:t>
      </w:r>
      <w:r w:rsidRPr="00FC1444">
        <w:rPr>
          <w:rFonts w:eastAsiaTheme="minorEastAsia"/>
          <w:b/>
          <w:kern w:val="0"/>
          <w:szCs w:val="21"/>
        </w:rPr>
        <w:t xml:space="preserve"> </w:t>
      </w:r>
      <w:r w:rsidRPr="00FC1444">
        <w:rPr>
          <w:rFonts w:eastAsiaTheme="minorEastAsia"/>
          <w:b/>
          <w:kern w:val="0"/>
          <w:szCs w:val="21"/>
        </w:rPr>
        <w:t>水质矿化度</w:t>
      </w:r>
    </w:p>
    <w:tbl>
      <w:tblPr>
        <w:tblW w:w="4937" w:type="pct"/>
        <w:jc w:val="center"/>
        <w:tblBorders>
          <w:top w:val="single" w:sz="12" w:space="0" w:color="auto"/>
          <w:bottom w:val="single" w:sz="12" w:space="0" w:color="auto"/>
          <w:insideH w:val="single" w:sz="4" w:space="0" w:color="auto"/>
          <w:insideV w:val="single" w:sz="4" w:space="0" w:color="auto"/>
        </w:tblBorders>
        <w:tblLook w:val="04A0"/>
      </w:tblPr>
      <w:tblGrid>
        <w:gridCol w:w="1680"/>
        <w:gridCol w:w="1685"/>
        <w:gridCol w:w="1685"/>
        <w:gridCol w:w="1685"/>
        <w:gridCol w:w="1680"/>
      </w:tblGrid>
      <w:tr w:rsidR="002A5A5E" w:rsidRPr="00FC1444">
        <w:trPr>
          <w:trHeight w:val="369"/>
          <w:jc w:val="center"/>
        </w:trPr>
        <w:tc>
          <w:tcPr>
            <w:tcW w:w="998" w:type="pct"/>
            <w:tcBorders>
              <w:top w:val="single" w:sz="12" w:space="0" w:color="auto"/>
              <w:left w:val="nil"/>
              <w:bottom w:val="single" w:sz="4" w:space="0" w:color="auto"/>
              <w:right w:val="single" w:sz="4" w:space="0" w:color="auto"/>
              <w:tl2br w:val="single" w:sz="12" w:space="0" w:color="000000"/>
            </w:tcBorders>
            <w:vAlign w:val="center"/>
          </w:tcPr>
          <w:p w:rsidR="002A5A5E" w:rsidRPr="00FC1444" w:rsidRDefault="00611CBA">
            <w:pPr>
              <w:jc w:val="center"/>
              <w:rPr>
                <w:rFonts w:eastAsiaTheme="minorEastAsia"/>
                <w:kern w:val="0"/>
              </w:rPr>
            </w:pPr>
            <w:r w:rsidRPr="00FC1444">
              <w:rPr>
                <w:rFonts w:eastAsiaTheme="minorEastAsia"/>
                <w:kern w:val="0"/>
              </w:rPr>
              <w:t>编号</w:t>
            </w:r>
          </w:p>
          <w:p w:rsidR="002A5A5E" w:rsidRPr="00FC1444" w:rsidRDefault="00611CBA">
            <w:pPr>
              <w:jc w:val="center"/>
              <w:rPr>
                <w:rFonts w:eastAsiaTheme="minorEastAsia"/>
                <w:kern w:val="0"/>
              </w:rPr>
            </w:pPr>
            <w:r w:rsidRPr="00FC1444">
              <w:rPr>
                <w:rFonts w:eastAsiaTheme="minorEastAsia"/>
                <w:kern w:val="0"/>
              </w:rPr>
              <w:t>项目</w:t>
            </w:r>
          </w:p>
        </w:tc>
        <w:tc>
          <w:tcPr>
            <w:tcW w:w="1001" w:type="pct"/>
            <w:tcBorders>
              <w:top w:val="single" w:sz="12" w:space="0" w:color="auto"/>
              <w:left w:val="single" w:sz="4" w:space="0" w:color="auto"/>
              <w:bottom w:val="single" w:sz="4" w:space="0" w:color="auto"/>
              <w:right w:val="single" w:sz="4" w:space="0" w:color="auto"/>
            </w:tcBorders>
            <w:vAlign w:val="center"/>
          </w:tcPr>
          <w:p w:rsidR="002A5A5E" w:rsidRPr="00FC1444" w:rsidRDefault="00611CBA">
            <w:pPr>
              <w:widowControl/>
              <w:adjustRightInd w:val="0"/>
              <w:snapToGrid w:val="0"/>
              <w:jc w:val="center"/>
              <w:rPr>
                <w:rFonts w:eastAsiaTheme="minorEastAsia"/>
                <w:kern w:val="0"/>
                <w:szCs w:val="21"/>
              </w:rPr>
            </w:pPr>
            <w:r w:rsidRPr="00FC1444">
              <w:rPr>
                <w:rFonts w:ascii="宋体" w:hAnsi="宋体" w:cs="宋体" w:hint="eastAsia"/>
                <w:szCs w:val="21"/>
              </w:rPr>
              <w:t>☆</w:t>
            </w:r>
            <w:r w:rsidRPr="00FC1444">
              <w:rPr>
                <w:rFonts w:eastAsiaTheme="minorEastAsia"/>
                <w:szCs w:val="21"/>
              </w:rPr>
              <w:t>01</w:t>
            </w:r>
          </w:p>
        </w:tc>
        <w:tc>
          <w:tcPr>
            <w:tcW w:w="1001" w:type="pct"/>
            <w:tcBorders>
              <w:top w:val="single" w:sz="12" w:space="0" w:color="auto"/>
              <w:left w:val="single" w:sz="4" w:space="0" w:color="auto"/>
              <w:bottom w:val="single" w:sz="4" w:space="0" w:color="auto"/>
              <w:right w:val="single" w:sz="4" w:space="0" w:color="auto"/>
            </w:tcBorders>
            <w:vAlign w:val="center"/>
          </w:tcPr>
          <w:p w:rsidR="002A5A5E" w:rsidRPr="00FC1444" w:rsidRDefault="00611CBA">
            <w:pPr>
              <w:widowControl/>
              <w:adjustRightInd w:val="0"/>
              <w:snapToGrid w:val="0"/>
              <w:jc w:val="center"/>
              <w:rPr>
                <w:rFonts w:eastAsiaTheme="minorEastAsia"/>
                <w:kern w:val="0"/>
                <w:szCs w:val="21"/>
              </w:rPr>
            </w:pPr>
            <w:r w:rsidRPr="00FC1444">
              <w:rPr>
                <w:rFonts w:ascii="宋体" w:hAnsi="宋体" w:cs="宋体" w:hint="eastAsia"/>
                <w:szCs w:val="21"/>
              </w:rPr>
              <w:t>☆</w:t>
            </w:r>
            <w:r w:rsidRPr="00FC1444">
              <w:rPr>
                <w:rFonts w:eastAsiaTheme="minorEastAsia"/>
                <w:szCs w:val="21"/>
              </w:rPr>
              <w:t>02</w:t>
            </w:r>
          </w:p>
        </w:tc>
        <w:tc>
          <w:tcPr>
            <w:tcW w:w="1001" w:type="pct"/>
            <w:tcBorders>
              <w:top w:val="single" w:sz="12" w:space="0" w:color="auto"/>
              <w:left w:val="single" w:sz="4" w:space="0" w:color="auto"/>
              <w:bottom w:val="single" w:sz="4" w:space="0" w:color="auto"/>
              <w:right w:val="nil"/>
            </w:tcBorders>
            <w:vAlign w:val="center"/>
          </w:tcPr>
          <w:p w:rsidR="002A5A5E" w:rsidRPr="00FC1444" w:rsidRDefault="00611CBA">
            <w:pPr>
              <w:widowControl/>
              <w:adjustRightInd w:val="0"/>
              <w:snapToGrid w:val="0"/>
              <w:jc w:val="center"/>
              <w:rPr>
                <w:rFonts w:eastAsiaTheme="minorEastAsia"/>
                <w:kern w:val="0"/>
                <w:szCs w:val="21"/>
              </w:rPr>
            </w:pPr>
            <w:r w:rsidRPr="00FC1444">
              <w:rPr>
                <w:rFonts w:ascii="宋体" w:hAnsi="宋体" w:cs="宋体" w:hint="eastAsia"/>
                <w:szCs w:val="21"/>
              </w:rPr>
              <w:t>☆</w:t>
            </w:r>
            <w:r w:rsidRPr="00FC1444">
              <w:rPr>
                <w:rFonts w:eastAsiaTheme="minorEastAsia"/>
                <w:szCs w:val="21"/>
              </w:rPr>
              <w:t>03</w:t>
            </w:r>
          </w:p>
        </w:tc>
        <w:tc>
          <w:tcPr>
            <w:tcW w:w="998" w:type="pct"/>
            <w:tcBorders>
              <w:top w:val="single" w:sz="12" w:space="0" w:color="auto"/>
              <w:left w:val="single" w:sz="4" w:space="0" w:color="auto"/>
              <w:bottom w:val="single" w:sz="4" w:space="0" w:color="auto"/>
              <w:right w:val="nil"/>
            </w:tcBorders>
            <w:vAlign w:val="center"/>
          </w:tcPr>
          <w:p w:rsidR="002A5A5E" w:rsidRPr="00FC1444" w:rsidRDefault="00611CBA">
            <w:pPr>
              <w:widowControl/>
              <w:adjustRightInd w:val="0"/>
              <w:snapToGrid w:val="0"/>
              <w:jc w:val="center"/>
              <w:rPr>
                <w:rFonts w:eastAsiaTheme="minorEastAsia"/>
                <w:szCs w:val="21"/>
              </w:rPr>
            </w:pPr>
            <w:r w:rsidRPr="00FC1444">
              <w:rPr>
                <w:rFonts w:ascii="宋体" w:hAnsi="宋体" w:cs="宋体" w:hint="eastAsia"/>
                <w:szCs w:val="21"/>
              </w:rPr>
              <w:t>☆</w:t>
            </w:r>
            <w:r w:rsidRPr="00FC1444">
              <w:rPr>
                <w:rFonts w:eastAsiaTheme="minorEastAsia"/>
                <w:szCs w:val="21"/>
              </w:rPr>
              <w:t>04</w:t>
            </w:r>
          </w:p>
        </w:tc>
      </w:tr>
      <w:tr w:rsidR="002A5A5E" w:rsidRPr="00FC1444">
        <w:trPr>
          <w:trHeight w:val="369"/>
          <w:jc w:val="center"/>
        </w:trPr>
        <w:tc>
          <w:tcPr>
            <w:tcW w:w="998" w:type="pct"/>
            <w:tcBorders>
              <w:top w:val="single" w:sz="4" w:space="0" w:color="auto"/>
              <w:left w:val="nil"/>
              <w:bottom w:val="single" w:sz="4" w:space="0" w:color="auto"/>
              <w:right w:val="single" w:sz="4" w:space="0" w:color="auto"/>
            </w:tcBorders>
            <w:vAlign w:val="center"/>
          </w:tcPr>
          <w:p w:rsidR="002A5A5E" w:rsidRPr="00FC1444" w:rsidRDefault="00611CBA">
            <w:pPr>
              <w:jc w:val="center"/>
              <w:rPr>
                <w:rFonts w:eastAsiaTheme="minorEastAsia"/>
                <w:kern w:val="0"/>
              </w:rPr>
            </w:pPr>
            <w:r w:rsidRPr="00FC1444">
              <w:rPr>
                <w:rFonts w:eastAsiaTheme="minorEastAsia"/>
                <w:kern w:val="0"/>
              </w:rPr>
              <w:t>矿化度（</w:t>
            </w:r>
            <w:r w:rsidRPr="00FC1444">
              <w:rPr>
                <w:rFonts w:eastAsiaTheme="minorEastAsia"/>
                <w:kern w:val="0"/>
              </w:rPr>
              <w:t>M</w:t>
            </w:r>
            <w:r w:rsidRPr="00FC1444">
              <w:rPr>
                <w:rFonts w:eastAsiaTheme="minorEastAsia"/>
                <w:kern w:val="0"/>
              </w:rPr>
              <w:t>）</w:t>
            </w:r>
          </w:p>
        </w:tc>
        <w:tc>
          <w:tcPr>
            <w:tcW w:w="1001" w:type="pct"/>
            <w:tcBorders>
              <w:top w:val="single" w:sz="4" w:space="0" w:color="auto"/>
              <w:left w:val="single" w:sz="4" w:space="0" w:color="auto"/>
              <w:bottom w:val="single" w:sz="4" w:space="0" w:color="auto"/>
              <w:right w:val="single" w:sz="4" w:space="0" w:color="auto"/>
            </w:tcBorders>
            <w:vAlign w:val="center"/>
          </w:tcPr>
          <w:p w:rsidR="002A5A5E" w:rsidRPr="00FC1444" w:rsidRDefault="008531DC">
            <w:pPr>
              <w:jc w:val="center"/>
              <w:rPr>
                <w:rFonts w:eastAsiaTheme="minorEastAsia"/>
                <w:kern w:val="0"/>
              </w:rPr>
            </w:pPr>
            <w:r w:rsidRPr="00FC1444">
              <w:rPr>
                <w:rFonts w:eastAsiaTheme="minorEastAsia"/>
                <w:kern w:val="0"/>
              </w:rPr>
              <w:t>0.</w:t>
            </w:r>
            <w:r w:rsidR="00181E42" w:rsidRPr="00FC1444">
              <w:rPr>
                <w:rFonts w:eastAsiaTheme="minorEastAsia" w:hint="eastAsia"/>
                <w:kern w:val="0"/>
              </w:rPr>
              <w:t>27</w:t>
            </w:r>
          </w:p>
        </w:tc>
        <w:tc>
          <w:tcPr>
            <w:tcW w:w="1001" w:type="pct"/>
            <w:tcBorders>
              <w:top w:val="single" w:sz="4" w:space="0" w:color="auto"/>
              <w:left w:val="single" w:sz="4" w:space="0" w:color="auto"/>
              <w:bottom w:val="single" w:sz="4" w:space="0" w:color="auto"/>
              <w:right w:val="single" w:sz="4" w:space="0" w:color="auto"/>
            </w:tcBorders>
            <w:vAlign w:val="center"/>
          </w:tcPr>
          <w:p w:rsidR="002A5A5E" w:rsidRPr="00FC1444" w:rsidRDefault="00FE1542">
            <w:pPr>
              <w:jc w:val="center"/>
              <w:rPr>
                <w:rFonts w:eastAsiaTheme="minorEastAsia"/>
                <w:kern w:val="0"/>
              </w:rPr>
            </w:pPr>
            <w:r w:rsidRPr="00FC1444">
              <w:rPr>
                <w:rFonts w:eastAsiaTheme="minorEastAsia"/>
                <w:kern w:val="0"/>
              </w:rPr>
              <w:t>0.</w:t>
            </w:r>
            <w:r w:rsidR="004D63EA" w:rsidRPr="00FC1444">
              <w:rPr>
                <w:rFonts w:eastAsiaTheme="minorEastAsia" w:hint="eastAsia"/>
                <w:kern w:val="0"/>
              </w:rPr>
              <w:t>32</w:t>
            </w:r>
          </w:p>
        </w:tc>
        <w:tc>
          <w:tcPr>
            <w:tcW w:w="1001" w:type="pct"/>
            <w:tcBorders>
              <w:top w:val="single" w:sz="4" w:space="0" w:color="auto"/>
              <w:left w:val="single" w:sz="4" w:space="0" w:color="auto"/>
              <w:bottom w:val="single" w:sz="4" w:space="0" w:color="auto"/>
              <w:right w:val="nil"/>
            </w:tcBorders>
            <w:vAlign w:val="center"/>
          </w:tcPr>
          <w:p w:rsidR="002A5A5E" w:rsidRPr="00FC1444" w:rsidRDefault="000C48B7">
            <w:pPr>
              <w:jc w:val="center"/>
              <w:rPr>
                <w:rFonts w:eastAsiaTheme="minorEastAsia"/>
                <w:kern w:val="0"/>
              </w:rPr>
            </w:pPr>
            <w:r w:rsidRPr="00FC1444">
              <w:rPr>
                <w:rFonts w:eastAsiaTheme="minorEastAsia" w:hint="eastAsia"/>
                <w:kern w:val="0"/>
              </w:rPr>
              <w:t>0.31</w:t>
            </w:r>
          </w:p>
        </w:tc>
        <w:tc>
          <w:tcPr>
            <w:tcW w:w="998" w:type="pct"/>
            <w:tcBorders>
              <w:top w:val="single" w:sz="4" w:space="0" w:color="auto"/>
              <w:left w:val="single" w:sz="4" w:space="0" w:color="auto"/>
              <w:bottom w:val="single" w:sz="4" w:space="0" w:color="auto"/>
              <w:right w:val="nil"/>
            </w:tcBorders>
            <w:vAlign w:val="center"/>
          </w:tcPr>
          <w:p w:rsidR="002A5A5E" w:rsidRPr="00FC1444" w:rsidRDefault="00C51BEE">
            <w:pPr>
              <w:jc w:val="center"/>
              <w:rPr>
                <w:rFonts w:eastAsiaTheme="minorEastAsia"/>
                <w:kern w:val="0"/>
              </w:rPr>
            </w:pPr>
            <w:r w:rsidRPr="00FC1444">
              <w:rPr>
                <w:rFonts w:eastAsiaTheme="minorEastAsia" w:hint="eastAsia"/>
                <w:kern w:val="0"/>
              </w:rPr>
              <w:t>0.4</w:t>
            </w:r>
          </w:p>
        </w:tc>
      </w:tr>
      <w:tr w:rsidR="002A5A5E" w:rsidRPr="00FC1444">
        <w:trPr>
          <w:trHeight w:val="378"/>
          <w:jc w:val="center"/>
        </w:trPr>
        <w:tc>
          <w:tcPr>
            <w:tcW w:w="998" w:type="pct"/>
            <w:tcBorders>
              <w:top w:val="single" w:sz="4" w:space="0" w:color="auto"/>
              <w:left w:val="nil"/>
              <w:bottom w:val="single" w:sz="12" w:space="0" w:color="auto"/>
              <w:right w:val="single" w:sz="4" w:space="0" w:color="auto"/>
            </w:tcBorders>
            <w:vAlign w:val="center"/>
          </w:tcPr>
          <w:p w:rsidR="002A5A5E" w:rsidRPr="00FC1444" w:rsidRDefault="00611CBA">
            <w:pPr>
              <w:jc w:val="center"/>
              <w:rPr>
                <w:rFonts w:eastAsiaTheme="minorEastAsia"/>
                <w:kern w:val="0"/>
              </w:rPr>
            </w:pPr>
            <w:r w:rsidRPr="00FC1444">
              <w:rPr>
                <w:rFonts w:eastAsiaTheme="minorEastAsia"/>
                <w:kern w:val="0"/>
              </w:rPr>
              <w:t>矿化度分组</w:t>
            </w:r>
          </w:p>
        </w:tc>
        <w:tc>
          <w:tcPr>
            <w:tcW w:w="1001" w:type="pct"/>
            <w:tcBorders>
              <w:top w:val="single" w:sz="4" w:space="0" w:color="auto"/>
              <w:left w:val="single" w:sz="4" w:space="0" w:color="auto"/>
              <w:bottom w:val="single" w:sz="12" w:space="0" w:color="auto"/>
              <w:right w:val="single" w:sz="4" w:space="0" w:color="auto"/>
            </w:tcBorders>
            <w:vAlign w:val="center"/>
          </w:tcPr>
          <w:p w:rsidR="002A5A5E" w:rsidRPr="00FC1444" w:rsidRDefault="00611CBA">
            <w:pPr>
              <w:jc w:val="center"/>
              <w:rPr>
                <w:rFonts w:eastAsiaTheme="minorEastAsia"/>
                <w:kern w:val="0"/>
              </w:rPr>
            </w:pPr>
            <w:r w:rsidRPr="00FC1444">
              <w:rPr>
                <w:rFonts w:eastAsiaTheme="minorEastAsia"/>
                <w:kern w:val="0"/>
              </w:rPr>
              <w:t>A</w:t>
            </w:r>
          </w:p>
        </w:tc>
        <w:tc>
          <w:tcPr>
            <w:tcW w:w="1001" w:type="pct"/>
            <w:tcBorders>
              <w:top w:val="single" w:sz="4" w:space="0" w:color="auto"/>
              <w:left w:val="single" w:sz="4" w:space="0" w:color="auto"/>
              <w:bottom w:val="single" w:sz="12" w:space="0" w:color="auto"/>
              <w:right w:val="single" w:sz="4" w:space="0" w:color="auto"/>
            </w:tcBorders>
            <w:vAlign w:val="center"/>
          </w:tcPr>
          <w:p w:rsidR="002A5A5E" w:rsidRPr="00FC1444" w:rsidRDefault="00611CBA">
            <w:pPr>
              <w:jc w:val="center"/>
              <w:rPr>
                <w:rFonts w:eastAsiaTheme="minorEastAsia"/>
                <w:kern w:val="0"/>
              </w:rPr>
            </w:pPr>
            <w:r w:rsidRPr="00FC1444">
              <w:rPr>
                <w:rFonts w:eastAsiaTheme="minorEastAsia"/>
                <w:kern w:val="0"/>
              </w:rPr>
              <w:t>A</w:t>
            </w:r>
          </w:p>
        </w:tc>
        <w:tc>
          <w:tcPr>
            <w:tcW w:w="1001" w:type="pct"/>
            <w:tcBorders>
              <w:top w:val="single" w:sz="4" w:space="0" w:color="auto"/>
              <w:left w:val="single" w:sz="4" w:space="0" w:color="auto"/>
              <w:bottom w:val="single" w:sz="12" w:space="0" w:color="auto"/>
              <w:right w:val="nil"/>
            </w:tcBorders>
            <w:vAlign w:val="center"/>
          </w:tcPr>
          <w:p w:rsidR="002A5A5E" w:rsidRPr="00FC1444" w:rsidRDefault="00611CBA">
            <w:pPr>
              <w:jc w:val="center"/>
              <w:rPr>
                <w:rFonts w:eastAsiaTheme="minorEastAsia"/>
                <w:kern w:val="0"/>
              </w:rPr>
            </w:pPr>
            <w:r w:rsidRPr="00FC1444">
              <w:rPr>
                <w:rFonts w:eastAsiaTheme="minorEastAsia"/>
                <w:kern w:val="0"/>
              </w:rPr>
              <w:t>A</w:t>
            </w:r>
          </w:p>
        </w:tc>
        <w:tc>
          <w:tcPr>
            <w:tcW w:w="998" w:type="pct"/>
            <w:tcBorders>
              <w:top w:val="single" w:sz="4" w:space="0" w:color="auto"/>
              <w:left w:val="single" w:sz="4" w:space="0" w:color="auto"/>
              <w:bottom w:val="single" w:sz="12" w:space="0" w:color="auto"/>
              <w:right w:val="nil"/>
            </w:tcBorders>
            <w:vAlign w:val="center"/>
          </w:tcPr>
          <w:p w:rsidR="002A5A5E" w:rsidRPr="00FC1444" w:rsidRDefault="00611CBA">
            <w:pPr>
              <w:jc w:val="center"/>
              <w:rPr>
                <w:rFonts w:eastAsiaTheme="minorEastAsia"/>
                <w:kern w:val="0"/>
              </w:rPr>
            </w:pPr>
            <w:r w:rsidRPr="00FC1444">
              <w:rPr>
                <w:rFonts w:eastAsiaTheme="minorEastAsia"/>
                <w:kern w:val="0"/>
              </w:rPr>
              <w:t>A</w:t>
            </w:r>
          </w:p>
        </w:tc>
      </w:tr>
    </w:tbl>
    <w:p w:rsidR="002A5A5E" w:rsidRPr="00FC1444" w:rsidRDefault="00611CBA">
      <w:pPr>
        <w:spacing w:line="360" w:lineRule="auto"/>
        <w:rPr>
          <w:rFonts w:eastAsiaTheme="minorEastAsia"/>
          <w:sz w:val="24"/>
        </w:rPr>
      </w:pPr>
      <w:r w:rsidRPr="00FC1444">
        <w:rPr>
          <w:rFonts w:eastAsiaTheme="minorEastAsia"/>
          <w:sz w:val="24"/>
        </w:rPr>
        <w:t>综上所述，项目区矿化度小于</w:t>
      </w:r>
      <w:r w:rsidRPr="00FC1444">
        <w:rPr>
          <w:rFonts w:eastAsiaTheme="minorEastAsia"/>
          <w:sz w:val="24"/>
        </w:rPr>
        <w:t>1.5g/L</w:t>
      </w:r>
      <w:r w:rsidRPr="00FC1444">
        <w:rPr>
          <w:rFonts w:eastAsiaTheme="minorEastAsia"/>
          <w:sz w:val="24"/>
        </w:rPr>
        <w:t>。</w:t>
      </w:r>
    </w:p>
    <w:p w:rsidR="002A5A5E" w:rsidRPr="00FC1444" w:rsidRDefault="00611CBA">
      <w:pPr>
        <w:spacing w:line="360" w:lineRule="auto"/>
        <w:ind w:firstLineChars="210" w:firstLine="504"/>
        <w:rPr>
          <w:rFonts w:eastAsiaTheme="minorEastAsia"/>
          <w:sz w:val="24"/>
          <w:lang w:val="zh-CN"/>
        </w:rPr>
      </w:pPr>
      <w:r w:rsidRPr="00FC1444">
        <w:rPr>
          <w:rFonts w:eastAsiaTheme="minorEastAsia"/>
          <w:sz w:val="24"/>
          <w:lang w:val="zh-CN"/>
        </w:rPr>
        <w:t>（</w:t>
      </w:r>
      <w:r w:rsidRPr="00FC1444">
        <w:rPr>
          <w:rFonts w:eastAsiaTheme="minorEastAsia"/>
          <w:sz w:val="24"/>
          <w:lang w:val="zh-CN"/>
        </w:rPr>
        <w:t>3</w:t>
      </w:r>
      <w:r w:rsidRPr="00FC1444">
        <w:rPr>
          <w:rFonts w:eastAsiaTheme="minorEastAsia"/>
          <w:sz w:val="24"/>
          <w:lang w:val="zh-CN"/>
        </w:rPr>
        <w:t>）现状评价结论</w:t>
      </w:r>
    </w:p>
    <w:p w:rsidR="002A5A5E" w:rsidRPr="00FC1444" w:rsidRDefault="00902F59" w:rsidP="00902F59">
      <w:pPr>
        <w:spacing w:line="360" w:lineRule="auto"/>
        <w:ind w:firstLineChars="200" w:firstLine="480"/>
        <w:rPr>
          <w:rFonts w:eastAsiaTheme="minorEastAsia"/>
          <w:sz w:val="24"/>
        </w:rPr>
      </w:pPr>
      <w:bookmarkStart w:id="108" w:name="_Toc477954567"/>
      <w:r w:rsidRPr="00FC1444">
        <w:rPr>
          <w:sz w:val="24"/>
        </w:rPr>
        <w:t>监测点</w:t>
      </w:r>
      <w:r w:rsidR="00C51BEE" w:rsidRPr="00FC1444">
        <w:rPr>
          <w:sz w:val="24"/>
        </w:rPr>
        <w:t>铁、</w:t>
      </w:r>
      <w:r w:rsidRPr="00FC1444">
        <w:rPr>
          <w:sz w:val="24"/>
        </w:rPr>
        <w:t>锰超标，由于原生地质条件导致，其余监测因子均符合《地下水质量标准》（</w:t>
      </w:r>
      <w:r w:rsidRPr="00FC1444">
        <w:rPr>
          <w:sz w:val="24"/>
        </w:rPr>
        <w:t>GB/T14848-2017</w:t>
      </w:r>
      <w:r w:rsidRPr="00FC1444">
        <w:rPr>
          <w:sz w:val="24"/>
        </w:rPr>
        <w:t>）中</w:t>
      </w:r>
      <w:r w:rsidRPr="00FC1444">
        <w:rPr>
          <w:sz w:val="24"/>
        </w:rPr>
        <w:t>Ⅲ</w:t>
      </w:r>
      <w:r w:rsidRPr="00FC1444">
        <w:rPr>
          <w:sz w:val="24"/>
        </w:rPr>
        <w:t>类标准</w:t>
      </w:r>
      <w:r w:rsidRPr="00FC1444">
        <w:rPr>
          <w:rFonts w:eastAsiaTheme="minorEastAsia"/>
          <w:sz w:val="24"/>
        </w:rPr>
        <w:t>。</w:t>
      </w:r>
      <w:r w:rsidR="00611CBA" w:rsidRPr="00FC1444">
        <w:rPr>
          <w:rFonts w:eastAsiaTheme="minorEastAsia"/>
          <w:sz w:val="24"/>
        </w:rPr>
        <w:t>石油类未检出，</w:t>
      </w:r>
      <w:r w:rsidR="00426ACF" w:rsidRPr="00FC1444">
        <w:rPr>
          <w:rFonts w:eastAsiaTheme="minorEastAsia"/>
          <w:sz w:val="24"/>
        </w:rPr>
        <w:t>满足《地表水环境质量标准》（</w:t>
      </w:r>
      <w:r w:rsidR="00426ACF" w:rsidRPr="00FC1444">
        <w:rPr>
          <w:rFonts w:eastAsiaTheme="minorEastAsia"/>
          <w:sz w:val="24"/>
        </w:rPr>
        <w:t>GB3838-2002</w:t>
      </w:r>
      <w:r w:rsidR="00426ACF" w:rsidRPr="00FC1444">
        <w:rPr>
          <w:rFonts w:eastAsiaTheme="minorEastAsia"/>
          <w:sz w:val="24"/>
        </w:rPr>
        <w:t>）</w:t>
      </w:r>
      <w:r w:rsidR="009840DD" w:rsidRPr="00FC1444">
        <w:rPr>
          <w:rFonts w:eastAsiaTheme="minorEastAsia"/>
          <w:bCs/>
          <w:sz w:val="24"/>
        </w:rPr>
        <w:fldChar w:fldCharType="begin"/>
      </w:r>
      <w:r w:rsidR="004B63C1" w:rsidRPr="00FC1444">
        <w:rPr>
          <w:rFonts w:eastAsiaTheme="minorEastAsia"/>
          <w:bCs/>
          <w:sz w:val="24"/>
        </w:rPr>
        <w:instrText xml:space="preserve"> = 2 \* ROMAN </w:instrText>
      </w:r>
      <w:r w:rsidR="009840DD" w:rsidRPr="00FC1444">
        <w:rPr>
          <w:rFonts w:eastAsiaTheme="minorEastAsia"/>
          <w:bCs/>
          <w:sz w:val="24"/>
        </w:rPr>
        <w:fldChar w:fldCharType="separate"/>
      </w:r>
      <w:r w:rsidR="004B63C1" w:rsidRPr="00FC1444">
        <w:rPr>
          <w:rFonts w:eastAsiaTheme="minorEastAsia"/>
          <w:bCs/>
          <w:sz w:val="24"/>
        </w:rPr>
        <w:t>II</w:t>
      </w:r>
      <w:r w:rsidR="009840DD" w:rsidRPr="00FC1444">
        <w:rPr>
          <w:rFonts w:eastAsiaTheme="minorEastAsia"/>
          <w:bCs/>
          <w:sz w:val="24"/>
        </w:rPr>
        <w:fldChar w:fldCharType="end"/>
      </w:r>
      <w:r w:rsidR="00426ACF" w:rsidRPr="00FC1444">
        <w:rPr>
          <w:rFonts w:eastAsiaTheme="minorEastAsia"/>
          <w:sz w:val="24"/>
        </w:rPr>
        <w:t>类标准。</w:t>
      </w:r>
      <w:r w:rsidR="005D4635" w:rsidRPr="00FC1444">
        <w:rPr>
          <w:rFonts w:ascii="宋体" w:hAnsi="宋体" w:cs="宋体" w:hint="eastAsia"/>
          <w:sz w:val="24"/>
        </w:rPr>
        <w:t>☆</w:t>
      </w:r>
      <w:r w:rsidR="005D4635" w:rsidRPr="00FC1444">
        <w:rPr>
          <w:rFonts w:eastAsiaTheme="minorEastAsia"/>
          <w:sz w:val="24"/>
        </w:rPr>
        <w:t>01</w:t>
      </w:r>
      <w:r w:rsidR="007356FE" w:rsidRPr="00FC1444">
        <w:rPr>
          <w:rFonts w:eastAsiaTheme="minorEastAsia"/>
          <w:sz w:val="24"/>
        </w:rPr>
        <w:t>、</w:t>
      </w:r>
      <w:r w:rsidR="007356FE" w:rsidRPr="00FC1444">
        <w:rPr>
          <w:rFonts w:ascii="宋体" w:hAnsi="宋体" w:cs="宋体" w:hint="eastAsia"/>
          <w:sz w:val="24"/>
        </w:rPr>
        <w:t>☆</w:t>
      </w:r>
      <w:r w:rsidR="007356FE" w:rsidRPr="00FC1444">
        <w:rPr>
          <w:rFonts w:eastAsiaTheme="minorEastAsia"/>
          <w:sz w:val="24"/>
        </w:rPr>
        <w:t>0</w:t>
      </w:r>
      <w:r w:rsidR="007356FE" w:rsidRPr="00FC1444">
        <w:rPr>
          <w:rFonts w:eastAsiaTheme="minorEastAsia" w:hint="eastAsia"/>
          <w:sz w:val="24"/>
        </w:rPr>
        <w:t>3</w:t>
      </w:r>
      <w:r w:rsidR="00611CBA" w:rsidRPr="00FC1444">
        <w:rPr>
          <w:rFonts w:eastAsiaTheme="minorEastAsia"/>
          <w:sz w:val="24"/>
        </w:rPr>
        <w:t>监测点的地下水</w:t>
      </w:r>
      <w:r w:rsidR="007356FE" w:rsidRPr="00FC1444">
        <w:rPr>
          <w:rFonts w:eastAsiaTheme="minorEastAsia"/>
          <w:sz w:val="24"/>
        </w:rPr>
        <w:t>均</w:t>
      </w:r>
      <w:r w:rsidR="00611CBA" w:rsidRPr="00FC1444">
        <w:rPr>
          <w:rFonts w:eastAsiaTheme="minorEastAsia"/>
          <w:sz w:val="24"/>
        </w:rPr>
        <w:t>为</w:t>
      </w:r>
      <w:r w:rsidR="007356FE" w:rsidRPr="00FC1444">
        <w:rPr>
          <w:rFonts w:eastAsiaTheme="minorEastAsia" w:hint="eastAsia"/>
          <w:sz w:val="24"/>
        </w:rPr>
        <w:t>15</w:t>
      </w:r>
      <w:r w:rsidR="00611CBA" w:rsidRPr="00FC1444">
        <w:rPr>
          <w:rFonts w:eastAsiaTheme="minorEastAsia"/>
          <w:sz w:val="24"/>
        </w:rPr>
        <w:t>-A</w:t>
      </w:r>
      <w:r w:rsidR="00611CBA" w:rsidRPr="00FC1444">
        <w:rPr>
          <w:rFonts w:eastAsiaTheme="minorEastAsia"/>
          <w:sz w:val="24"/>
        </w:rPr>
        <w:t>型，表示矿化度小于</w:t>
      </w:r>
      <w:r w:rsidR="00611CBA" w:rsidRPr="00FC1444">
        <w:rPr>
          <w:rFonts w:eastAsiaTheme="minorEastAsia"/>
          <w:sz w:val="24"/>
        </w:rPr>
        <w:t>1.5g/L</w:t>
      </w:r>
      <w:r w:rsidR="00611CBA" w:rsidRPr="00FC1444">
        <w:rPr>
          <w:rFonts w:eastAsiaTheme="minorEastAsia"/>
          <w:sz w:val="24"/>
        </w:rPr>
        <w:t>的</w:t>
      </w:r>
      <w:r w:rsidR="00611CBA" w:rsidRPr="00FC1444">
        <w:rPr>
          <w:rFonts w:eastAsiaTheme="minorEastAsia"/>
          <w:sz w:val="24"/>
        </w:rPr>
        <w:t>HCO</w:t>
      </w:r>
      <w:r w:rsidR="00611CBA" w:rsidRPr="00FC1444">
        <w:rPr>
          <w:rFonts w:eastAsiaTheme="minorEastAsia"/>
          <w:sz w:val="24"/>
          <w:vertAlign w:val="subscript"/>
        </w:rPr>
        <w:t>3</w:t>
      </w:r>
      <w:r w:rsidR="00611CBA" w:rsidRPr="00FC1444">
        <w:rPr>
          <w:rFonts w:eastAsiaTheme="minorEastAsia"/>
          <w:sz w:val="24"/>
          <w:vertAlign w:val="superscript"/>
        </w:rPr>
        <w:t>-</w:t>
      </w:r>
      <w:r w:rsidR="00941391" w:rsidRPr="00FC1444">
        <w:rPr>
          <w:rFonts w:eastAsiaTheme="minorEastAsia"/>
          <w:sz w:val="24"/>
        </w:rPr>
        <w:t>-SO</w:t>
      </w:r>
      <w:r w:rsidR="00941391" w:rsidRPr="00FC1444">
        <w:rPr>
          <w:rFonts w:eastAsiaTheme="minorEastAsia"/>
          <w:sz w:val="24"/>
          <w:vertAlign w:val="subscript"/>
        </w:rPr>
        <w:t>4</w:t>
      </w:r>
      <w:r w:rsidR="00941391" w:rsidRPr="00FC1444">
        <w:rPr>
          <w:rFonts w:eastAsiaTheme="minorEastAsia"/>
          <w:sz w:val="24"/>
          <w:vertAlign w:val="superscript"/>
        </w:rPr>
        <w:t>2-</w:t>
      </w:r>
      <w:r w:rsidR="007356FE" w:rsidRPr="00FC1444">
        <w:rPr>
          <w:rFonts w:eastAsiaTheme="minorEastAsia"/>
          <w:sz w:val="24"/>
          <w:vertAlign w:val="superscript"/>
        </w:rPr>
        <w:t>-</w:t>
      </w:r>
      <w:r w:rsidR="007356FE" w:rsidRPr="00FC1444">
        <w:rPr>
          <w:rFonts w:eastAsiaTheme="minorEastAsia"/>
          <w:sz w:val="24"/>
        </w:rPr>
        <w:t xml:space="preserve"> Cl</w:t>
      </w:r>
      <w:r w:rsidR="007356FE" w:rsidRPr="00FC1444">
        <w:rPr>
          <w:rFonts w:eastAsiaTheme="minorEastAsia"/>
          <w:sz w:val="24"/>
          <w:vertAlign w:val="superscript"/>
        </w:rPr>
        <w:t>-</w:t>
      </w:r>
      <w:r w:rsidR="00611CBA" w:rsidRPr="00FC1444">
        <w:rPr>
          <w:rFonts w:eastAsiaTheme="minorEastAsia"/>
          <w:sz w:val="24"/>
        </w:rPr>
        <w:t>-Ca</w:t>
      </w:r>
      <w:r w:rsidR="00611CBA" w:rsidRPr="00FC1444">
        <w:rPr>
          <w:rFonts w:eastAsiaTheme="minorEastAsia"/>
          <w:sz w:val="24"/>
          <w:vertAlign w:val="superscript"/>
        </w:rPr>
        <w:t>2+</w:t>
      </w:r>
      <w:r w:rsidR="00611CBA" w:rsidRPr="00FC1444">
        <w:rPr>
          <w:rFonts w:eastAsiaTheme="minorEastAsia"/>
          <w:sz w:val="24"/>
        </w:rPr>
        <w:t>型水</w:t>
      </w:r>
      <w:r w:rsidR="005D4635" w:rsidRPr="00FC1444">
        <w:rPr>
          <w:rFonts w:eastAsiaTheme="minorEastAsia"/>
          <w:sz w:val="24"/>
        </w:rPr>
        <w:t>，</w:t>
      </w:r>
      <w:r w:rsidR="00941391" w:rsidRPr="00FC1444">
        <w:rPr>
          <w:rFonts w:ascii="宋体" w:hAnsi="宋体" w:cs="宋体" w:hint="eastAsia"/>
          <w:sz w:val="24"/>
        </w:rPr>
        <w:t>☆</w:t>
      </w:r>
      <w:r w:rsidR="00941391" w:rsidRPr="00FC1444">
        <w:rPr>
          <w:rFonts w:eastAsiaTheme="minorEastAsia"/>
          <w:sz w:val="24"/>
        </w:rPr>
        <w:t>0</w:t>
      </w:r>
      <w:r w:rsidR="00941391" w:rsidRPr="00FC1444">
        <w:rPr>
          <w:rFonts w:eastAsiaTheme="minorEastAsia" w:hint="eastAsia"/>
          <w:sz w:val="24"/>
        </w:rPr>
        <w:t>2</w:t>
      </w:r>
      <w:r w:rsidR="00941391" w:rsidRPr="00FC1444">
        <w:rPr>
          <w:rFonts w:eastAsiaTheme="minorEastAsia"/>
          <w:sz w:val="24"/>
        </w:rPr>
        <w:t>监测点为</w:t>
      </w:r>
      <w:r w:rsidR="007356FE" w:rsidRPr="00FC1444">
        <w:rPr>
          <w:rFonts w:eastAsiaTheme="minorEastAsia" w:hint="eastAsia"/>
          <w:sz w:val="24"/>
        </w:rPr>
        <w:t>1</w:t>
      </w:r>
      <w:r w:rsidR="00941391" w:rsidRPr="00FC1444">
        <w:rPr>
          <w:rFonts w:eastAsiaTheme="minorEastAsia"/>
          <w:sz w:val="24"/>
        </w:rPr>
        <w:t>-A</w:t>
      </w:r>
      <w:r w:rsidR="00941391" w:rsidRPr="00FC1444">
        <w:rPr>
          <w:rFonts w:eastAsiaTheme="minorEastAsia"/>
          <w:sz w:val="24"/>
        </w:rPr>
        <w:t>型，表示矿化度小于</w:t>
      </w:r>
      <w:r w:rsidR="00941391" w:rsidRPr="00FC1444">
        <w:rPr>
          <w:rFonts w:eastAsiaTheme="minorEastAsia"/>
          <w:sz w:val="24"/>
        </w:rPr>
        <w:t>1.5g/L</w:t>
      </w:r>
      <w:r w:rsidR="00941391" w:rsidRPr="00FC1444">
        <w:rPr>
          <w:rFonts w:eastAsiaTheme="minorEastAsia"/>
          <w:sz w:val="24"/>
        </w:rPr>
        <w:t>的</w:t>
      </w:r>
      <w:r w:rsidR="00941391" w:rsidRPr="00FC1444">
        <w:rPr>
          <w:rFonts w:eastAsiaTheme="minorEastAsia"/>
          <w:sz w:val="24"/>
        </w:rPr>
        <w:t>HCO</w:t>
      </w:r>
      <w:r w:rsidR="00941391" w:rsidRPr="00FC1444">
        <w:rPr>
          <w:rFonts w:eastAsiaTheme="minorEastAsia"/>
          <w:sz w:val="24"/>
          <w:vertAlign w:val="subscript"/>
        </w:rPr>
        <w:t>3</w:t>
      </w:r>
      <w:r w:rsidR="00941391" w:rsidRPr="00FC1444">
        <w:rPr>
          <w:rFonts w:eastAsiaTheme="minorEastAsia"/>
          <w:sz w:val="24"/>
          <w:vertAlign w:val="superscript"/>
        </w:rPr>
        <w:t>-</w:t>
      </w:r>
      <w:r w:rsidR="00941391" w:rsidRPr="00FC1444">
        <w:rPr>
          <w:rFonts w:eastAsiaTheme="minorEastAsia"/>
          <w:sz w:val="24"/>
        </w:rPr>
        <w:t>-Ca</w:t>
      </w:r>
      <w:r w:rsidR="00941391" w:rsidRPr="00FC1444">
        <w:rPr>
          <w:rFonts w:eastAsiaTheme="minorEastAsia"/>
          <w:sz w:val="24"/>
          <w:vertAlign w:val="superscript"/>
        </w:rPr>
        <w:t>2+</w:t>
      </w:r>
      <w:r w:rsidR="00941391" w:rsidRPr="00FC1444">
        <w:rPr>
          <w:rFonts w:eastAsiaTheme="minorEastAsia"/>
          <w:sz w:val="24"/>
        </w:rPr>
        <w:t>型水，</w:t>
      </w:r>
      <w:r w:rsidR="005D4635" w:rsidRPr="00FC1444">
        <w:rPr>
          <w:rFonts w:ascii="宋体" w:hAnsi="宋体" w:cs="宋体" w:hint="eastAsia"/>
          <w:sz w:val="24"/>
        </w:rPr>
        <w:t>☆</w:t>
      </w:r>
      <w:r w:rsidR="005D4635" w:rsidRPr="00FC1444">
        <w:rPr>
          <w:rFonts w:eastAsiaTheme="minorEastAsia"/>
          <w:sz w:val="24"/>
        </w:rPr>
        <w:t>04</w:t>
      </w:r>
      <w:r w:rsidR="005D4635" w:rsidRPr="00FC1444">
        <w:rPr>
          <w:rFonts w:eastAsiaTheme="minorEastAsia"/>
          <w:sz w:val="24"/>
        </w:rPr>
        <w:t>监测点为</w:t>
      </w:r>
      <w:r w:rsidR="00654DDA" w:rsidRPr="00FC1444">
        <w:rPr>
          <w:rFonts w:eastAsiaTheme="minorEastAsia" w:hint="eastAsia"/>
          <w:sz w:val="24"/>
        </w:rPr>
        <w:t>29</w:t>
      </w:r>
      <w:r w:rsidR="005D4635" w:rsidRPr="00FC1444">
        <w:rPr>
          <w:rFonts w:eastAsiaTheme="minorEastAsia"/>
          <w:sz w:val="24"/>
        </w:rPr>
        <w:t>-A</w:t>
      </w:r>
      <w:r w:rsidR="005D4635" w:rsidRPr="00FC1444">
        <w:rPr>
          <w:rFonts w:eastAsiaTheme="minorEastAsia"/>
          <w:sz w:val="24"/>
        </w:rPr>
        <w:t>型，表示矿化度小于</w:t>
      </w:r>
      <w:r w:rsidR="005D4635" w:rsidRPr="00FC1444">
        <w:rPr>
          <w:rFonts w:eastAsiaTheme="minorEastAsia"/>
          <w:sz w:val="24"/>
        </w:rPr>
        <w:t>1.5g/L</w:t>
      </w:r>
      <w:r w:rsidR="005D4635" w:rsidRPr="00FC1444">
        <w:rPr>
          <w:rFonts w:eastAsiaTheme="minorEastAsia"/>
          <w:sz w:val="24"/>
        </w:rPr>
        <w:t>的</w:t>
      </w:r>
      <w:r w:rsidR="005D4635" w:rsidRPr="00FC1444">
        <w:rPr>
          <w:rFonts w:eastAsiaTheme="minorEastAsia"/>
          <w:sz w:val="24"/>
        </w:rPr>
        <w:t>SO</w:t>
      </w:r>
      <w:r w:rsidR="005D4635" w:rsidRPr="00FC1444">
        <w:rPr>
          <w:rFonts w:eastAsiaTheme="minorEastAsia"/>
          <w:sz w:val="24"/>
          <w:vertAlign w:val="subscript"/>
        </w:rPr>
        <w:t>4</w:t>
      </w:r>
      <w:r w:rsidR="005D4635" w:rsidRPr="00FC1444">
        <w:rPr>
          <w:rFonts w:eastAsiaTheme="minorEastAsia"/>
          <w:sz w:val="24"/>
          <w:vertAlign w:val="superscript"/>
        </w:rPr>
        <w:t>2-</w:t>
      </w:r>
      <w:r w:rsidR="005D4635" w:rsidRPr="00FC1444">
        <w:rPr>
          <w:rFonts w:eastAsiaTheme="minorEastAsia"/>
          <w:sz w:val="24"/>
        </w:rPr>
        <w:t>-</w:t>
      </w:r>
      <w:r w:rsidR="00654DDA" w:rsidRPr="00FC1444">
        <w:rPr>
          <w:rFonts w:eastAsiaTheme="minorEastAsia"/>
          <w:sz w:val="24"/>
        </w:rPr>
        <w:t xml:space="preserve"> </w:t>
      </w:r>
      <w:r w:rsidR="005D4635" w:rsidRPr="00FC1444">
        <w:rPr>
          <w:rFonts w:eastAsiaTheme="minorEastAsia"/>
          <w:sz w:val="24"/>
        </w:rPr>
        <w:t>Ca</w:t>
      </w:r>
      <w:r w:rsidR="005D4635" w:rsidRPr="00FC1444">
        <w:rPr>
          <w:rFonts w:eastAsiaTheme="minorEastAsia"/>
          <w:sz w:val="24"/>
          <w:vertAlign w:val="superscript"/>
        </w:rPr>
        <w:t>2+</w:t>
      </w:r>
      <w:r w:rsidR="005D4635" w:rsidRPr="00FC1444">
        <w:rPr>
          <w:rFonts w:eastAsiaTheme="minorEastAsia"/>
          <w:sz w:val="24"/>
        </w:rPr>
        <w:t>型水</w:t>
      </w:r>
      <w:r w:rsidR="00611CBA" w:rsidRPr="00FC1444">
        <w:rPr>
          <w:rFonts w:eastAsiaTheme="minorEastAsia"/>
          <w:sz w:val="24"/>
        </w:rPr>
        <w:t>。</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4.2.4</w:t>
      </w:r>
      <w:r w:rsidRPr="00FC1444">
        <w:rPr>
          <w:rFonts w:eastAsiaTheme="minorEastAsia"/>
          <w:b/>
          <w:sz w:val="28"/>
          <w:szCs w:val="28"/>
        </w:rPr>
        <w:t>声环境质量现状评价</w:t>
      </w:r>
      <w:bookmarkEnd w:id="108"/>
    </w:p>
    <w:p w:rsidR="002A5A5E" w:rsidRPr="00FC1444" w:rsidRDefault="00611CBA">
      <w:pPr>
        <w:autoSpaceDE w:val="0"/>
        <w:autoSpaceDN w:val="0"/>
        <w:spacing w:before="100" w:beforeAutospacing="1" w:after="100" w:afterAutospacing="1"/>
        <w:outlineLvl w:val="3"/>
        <w:rPr>
          <w:rFonts w:eastAsiaTheme="minorEastAsia"/>
          <w:b/>
          <w:bCs/>
          <w:sz w:val="24"/>
        </w:rPr>
      </w:pPr>
      <w:r w:rsidRPr="00FC1444">
        <w:rPr>
          <w:rFonts w:eastAsiaTheme="minorEastAsia"/>
          <w:b/>
          <w:bCs/>
          <w:sz w:val="24"/>
        </w:rPr>
        <w:t>4.2.4.1</w:t>
      </w:r>
      <w:r w:rsidRPr="00FC1444">
        <w:rPr>
          <w:rFonts w:eastAsiaTheme="minorEastAsia"/>
          <w:b/>
          <w:bCs/>
          <w:sz w:val="24"/>
        </w:rPr>
        <w:t>声环境现状监测</w:t>
      </w:r>
    </w:p>
    <w:p w:rsidR="002A5A5E" w:rsidRPr="00FC1444" w:rsidRDefault="00611CBA">
      <w:pPr>
        <w:spacing w:line="360" w:lineRule="auto"/>
        <w:ind w:firstLineChars="210" w:firstLine="504"/>
        <w:rPr>
          <w:rFonts w:eastAsiaTheme="minorEastAsia"/>
          <w:sz w:val="24"/>
          <w:lang w:val="zh-CN"/>
        </w:rPr>
      </w:pPr>
      <w:r w:rsidRPr="00FC1444">
        <w:rPr>
          <w:rFonts w:eastAsiaTheme="minorEastAsia"/>
          <w:sz w:val="24"/>
          <w:lang w:val="zh-CN"/>
        </w:rPr>
        <w:t>（</w:t>
      </w:r>
      <w:r w:rsidRPr="00FC1444">
        <w:rPr>
          <w:rFonts w:eastAsiaTheme="minorEastAsia"/>
          <w:sz w:val="24"/>
          <w:lang w:val="zh-CN"/>
        </w:rPr>
        <w:t>1</w:t>
      </w:r>
      <w:r w:rsidRPr="00FC1444">
        <w:rPr>
          <w:rFonts w:eastAsiaTheme="minorEastAsia"/>
          <w:sz w:val="24"/>
          <w:lang w:val="zh-CN"/>
        </w:rPr>
        <w:t>）数据来源</w:t>
      </w:r>
    </w:p>
    <w:p w:rsidR="002A5A5E" w:rsidRPr="00FC1444" w:rsidRDefault="00611CBA">
      <w:pPr>
        <w:autoSpaceDE w:val="0"/>
        <w:autoSpaceDN w:val="0"/>
        <w:spacing w:line="360" w:lineRule="auto"/>
        <w:ind w:firstLineChars="200" w:firstLine="480"/>
        <w:rPr>
          <w:rFonts w:eastAsiaTheme="minorEastAsia"/>
          <w:sz w:val="24"/>
        </w:rPr>
      </w:pPr>
      <w:r w:rsidRPr="00FC1444">
        <w:rPr>
          <w:rFonts w:eastAsiaTheme="minorEastAsia"/>
          <w:sz w:val="24"/>
          <w:lang w:val="zh-CN"/>
        </w:rPr>
        <w:t>本项目声环境质量现状监测数据来自</w:t>
      </w:r>
      <w:r w:rsidRPr="00FC1444">
        <w:rPr>
          <w:rFonts w:eastAsiaTheme="minorEastAsia"/>
          <w:sz w:val="24"/>
        </w:rPr>
        <w:t>哈尔滨新巨环保科技有限公司，详细情况见附件</w:t>
      </w:r>
      <w:r w:rsidRPr="00FC1444">
        <w:rPr>
          <w:rFonts w:eastAsiaTheme="minorEastAsia"/>
          <w:sz w:val="24"/>
        </w:rPr>
        <w:t>2</w:t>
      </w:r>
      <w:r w:rsidRPr="00FC1444">
        <w:rPr>
          <w:rFonts w:eastAsiaTheme="minorEastAsia"/>
          <w:sz w:val="24"/>
        </w:rPr>
        <w:t>。</w:t>
      </w:r>
    </w:p>
    <w:p w:rsidR="002A5A5E" w:rsidRPr="00FC1444" w:rsidRDefault="00611CBA">
      <w:pPr>
        <w:spacing w:line="360" w:lineRule="auto"/>
        <w:ind w:firstLineChars="210" w:firstLine="504"/>
        <w:rPr>
          <w:rFonts w:eastAsiaTheme="minorEastAsia"/>
          <w:sz w:val="24"/>
          <w:lang w:val="zh-CN"/>
        </w:rPr>
      </w:pPr>
      <w:r w:rsidRPr="00FC1444">
        <w:rPr>
          <w:rFonts w:eastAsiaTheme="minorEastAsia"/>
          <w:sz w:val="24"/>
          <w:lang w:val="zh-CN"/>
        </w:rPr>
        <w:lastRenderedPageBreak/>
        <w:t>（</w:t>
      </w:r>
      <w:r w:rsidRPr="00FC1444">
        <w:rPr>
          <w:rFonts w:eastAsiaTheme="minorEastAsia"/>
          <w:sz w:val="24"/>
          <w:lang w:val="zh-CN"/>
        </w:rPr>
        <w:t>2</w:t>
      </w:r>
      <w:r w:rsidRPr="00FC1444">
        <w:rPr>
          <w:rFonts w:eastAsiaTheme="minorEastAsia"/>
          <w:sz w:val="24"/>
          <w:lang w:val="zh-CN"/>
        </w:rPr>
        <w:t>）监测点位</w:t>
      </w:r>
    </w:p>
    <w:p w:rsidR="002A5A5E" w:rsidRPr="00FC1444" w:rsidRDefault="0016187D">
      <w:pPr>
        <w:spacing w:line="360" w:lineRule="auto"/>
        <w:ind w:firstLineChars="200" w:firstLine="480"/>
        <w:rPr>
          <w:rFonts w:eastAsiaTheme="minorEastAsia"/>
          <w:sz w:val="24"/>
        </w:rPr>
      </w:pPr>
      <w:r w:rsidRPr="00FC1444">
        <w:rPr>
          <w:rFonts w:eastAsiaTheme="minorEastAsia"/>
          <w:sz w:val="24"/>
        </w:rPr>
        <w:t>根据项目敏感点周边特点，项目敏感点均为村镇</w:t>
      </w:r>
      <w:r w:rsidR="00611CBA" w:rsidRPr="00FC1444">
        <w:rPr>
          <w:rFonts w:eastAsiaTheme="minorEastAsia"/>
          <w:sz w:val="24"/>
        </w:rPr>
        <w:t>，周围环境类似，故在项目区内分别选取附近经过国道</w:t>
      </w:r>
      <w:r w:rsidRPr="00FC1444">
        <w:rPr>
          <w:rFonts w:eastAsiaTheme="minorEastAsia"/>
          <w:sz w:val="24"/>
        </w:rPr>
        <w:t>G1111</w:t>
      </w:r>
      <w:r w:rsidR="00064FFC" w:rsidRPr="00FC1444">
        <w:rPr>
          <w:rFonts w:eastAsiaTheme="minorEastAsia"/>
          <w:sz w:val="24"/>
        </w:rPr>
        <w:t>、</w:t>
      </w:r>
      <w:r w:rsidRPr="00FC1444">
        <w:rPr>
          <w:rFonts w:eastAsiaTheme="minorEastAsia"/>
          <w:sz w:val="24"/>
        </w:rPr>
        <w:t>村屯、镇</w:t>
      </w:r>
      <w:r w:rsidR="00611CBA" w:rsidRPr="00FC1444">
        <w:rPr>
          <w:rFonts w:eastAsiaTheme="minorEastAsia"/>
          <w:sz w:val="24"/>
        </w:rPr>
        <w:t>、</w:t>
      </w:r>
      <w:r w:rsidR="008C1FD0" w:rsidRPr="00FC1444">
        <w:rPr>
          <w:rFonts w:eastAsiaTheme="minorEastAsia" w:hint="eastAsia"/>
          <w:sz w:val="24"/>
        </w:rPr>
        <w:t>周边</w:t>
      </w:r>
      <w:r w:rsidR="00611CBA" w:rsidRPr="00FC1444">
        <w:rPr>
          <w:rFonts w:eastAsiaTheme="minorEastAsia"/>
          <w:sz w:val="24"/>
        </w:rPr>
        <w:t>无特殊噪声源的村屯，共</w:t>
      </w:r>
      <w:r w:rsidRPr="00FC1444">
        <w:rPr>
          <w:rFonts w:eastAsiaTheme="minorEastAsia" w:hint="eastAsia"/>
          <w:sz w:val="24"/>
        </w:rPr>
        <w:t>4</w:t>
      </w:r>
      <w:r w:rsidR="00611CBA" w:rsidRPr="00FC1444">
        <w:rPr>
          <w:rFonts w:eastAsiaTheme="minorEastAsia"/>
          <w:sz w:val="24"/>
        </w:rPr>
        <w:t>个点位，具有代表性，本项目敏感点声环境现状监测点位布置具体见表</w:t>
      </w:r>
      <w:r w:rsidR="00BD5DBC" w:rsidRPr="00FC1444">
        <w:rPr>
          <w:rFonts w:eastAsiaTheme="minorEastAsia"/>
          <w:sz w:val="24"/>
        </w:rPr>
        <w:t>4-2-1</w:t>
      </w:r>
      <w:r w:rsidR="00F90B8B" w:rsidRPr="00FC1444">
        <w:rPr>
          <w:rFonts w:eastAsiaTheme="minorEastAsia" w:hint="eastAsia"/>
          <w:sz w:val="24"/>
        </w:rPr>
        <w:t>4</w:t>
      </w:r>
      <w:r w:rsidR="00611CBA" w:rsidRPr="00FC1444">
        <w:rPr>
          <w:rFonts w:eastAsiaTheme="minorEastAsia"/>
          <w:sz w:val="24"/>
        </w:rPr>
        <w:t>和图</w:t>
      </w:r>
      <w:r w:rsidR="00611CBA" w:rsidRPr="00FC1444">
        <w:rPr>
          <w:rFonts w:eastAsiaTheme="minorEastAsia"/>
          <w:sz w:val="24"/>
        </w:rPr>
        <w:t>4-2-</w:t>
      </w:r>
      <w:r w:rsidR="00F90B8B" w:rsidRPr="00FC1444">
        <w:rPr>
          <w:rFonts w:eastAsiaTheme="minorEastAsia" w:hint="eastAsia"/>
          <w:sz w:val="24"/>
        </w:rPr>
        <w:t>6</w:t>
      </w:r>
      <w:r w:rsidR="00611CBA" w:rsidRPr="00FC1444">
        <w:rPr>
          <w:rFonts w:eastAsiaTheme="minorEastAsia"/>
          <w:sz w:val="24"/>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00BD5DBC" w:rsidRPr="00FC1444">
        <w:rPr>
          <w:rFonts w:eastAsiaTheme="minorEastAsia"/>
          <w:b/>
          <w:kern w:val="0"/>
          <w:szCs w:val="21"/>
        </w:rPr>
        <w:t>4-2-1</w:t>
      </w:r>
      <w:r w:rsidR="00F90B8B" w:rsidRPr="00FC1444">
        <w:rPr>
          <w:rFonts w:eastAsiaTheme="minorEastAsia" w:hint="eastAsia"/>
          <w:b/>
          <w:kern w:val="0"/>
          <w:szCs w:val="21"/>
        </w:rPr>
        <w:t>4</w:t>
      </w:r>
      <w:r w:rsidRPr="00FC1444">
        <w:rPr>
          <w:rFonts w:eastAsiaTheme="minorEastAsia"/>
          <w:b/>
          <w:kern w:val="0"/>
          <w:szCs w:val="21"/>
        </w:rPr>
        <w:t xml:space="preserve"> </w:t>
      </w:r>
      <w:r w:rsidRPr="00FC1444">
        <w:rPr>
          <w:rFonts w:eastAsiaTheme="minorEastAsia"/>
          <w:b/>
          <w:kern w:val="0"/>
          <w:szCs w:val="21"/>
        </w:rPr>
        <w:t>声环境现状监测点位表</w:t>
      </w:r>
    </w:p>
    <w:tbl>
      <w:tblPr>
        <w:tblW w:w="0" w:type="auto"/>
        <w:jc w:val="center"/>
        <w:tblBorders>
          <w:top w:val="single" w:sz="12" w:space="0" w:color="auto"/>
          <w:bottom w:val="single" w:sz="12" w:space="0" w:color="auto"/>
          <w:insideH w:val="single" w:sz="6" w:space="0" w:color="auto"/>
          <w:insideV w:val="single" w:sz="6" w:space="0" w:color="auto"/>
        </w:tblBorders>
        <w:tblLook w:val="04A0"/>
      </w:tblPr>
      <w:tblGrid>
        <w:gridCol w:w="2786"/>
        <w:gridCol w:w="5391"/>
      </w:tblGrid>
      <w:tr w:rsidR="002A5A5E" w:rsidRPr="00FC1444">
        <w:trPr>
          <w:trHeight w:val="93"/>
          <w:jc w:val="center"/>
        </w:trPr>
        <w:tc>
          <w:tcPr>
            <w:tcW w:w="2786" w:type="dxa"/>
            <w:vAlign w:val="center"/>
          </w:tcPr>
          <w:p w:rsidR="002A5A5E" w:rsidRPr="00FC1444" w:rsidRDefault="00611CBA">
            <w:pPr>
              <w:jc w:val="center"/>
              <w:rPr>
                <w:rFonts w:eastAsiaTheme="minorEastAsia"/>
                <w:szCs w:val="21"/>
              </w:rPr>
            </w:pPr>
            <w:r w:rsidRPr="00FC1444">
              <w:rPr>
                <w:rFonts w:eastAsiaTheme="minorEastAsia"/>
                <w:szCs w:val="21"/>
              </w:rPr>
              <w:t>序号</w:t>
            </w:r>
          </w:p>
        </w:tc>
        <w:tc>
          <w:tcPr>
            <w:tcW w:w="5391" w:type="dxa"/>
            <w:vAlign w:val="center"/>
          </w:tcPr>
          <w:p w:rsidR="002A5A5E" w:rsidRPr="00FC1444" w:rsidRDefault="00611CBA">
            <w:pPr>
              <w:jc w:val="center"/>
              <w:rPr>
                <w:rFonts w:eastAsiaTheme="minorEastAsia"/>
                <w:szCs w:val="21"/>
              </w:rPr>
            </w:pPr>
            <w:r w:rsidRPr="00FC1444">
              <w:rPr>
                <w:rFonts w:eastAsiaTheme="minorEastAsia"/>
                <w:szCs w:val="21"/>
              </w:rPr>
              <w:t>监测点名称</w:t>
            </w:r>
          </w:p>
        </w:tc>
      </w:tr>
      <w:tr w:rsidR="002A5A5E" w:rsidRPr="00FC1444">
        <w:trPr>
          <w:trHeight w:val="93"/>
          <w:jc w:val="center"/>
        </w:trPr>
        <w:tc>
          <w:tcPr>
            <w:tcW w:w="2786" w:type="dxa"/>
            <w:vAlign w:val="center"/>
          </w:tcPr>
          <w:p w:rsidR="002A5A5E" w:rsidRPr="00FC1444" w:rsidRDefault="00611CBA">
            <w:pPr>
              <w:jc w:val="center"/>
              <w:rPr>
                <w:rFonts w:eastAsiaTheme="minorEastAsia"/>
                <w:szCs w:val="21"/>
              </w:rPr>
            </w:pPr>
            <w:r w:rsidRPr="00FC1444">
              <w:rPr>
                <w:rFonts w:ascii="Cambria Math" w:eastAsiaTheme="minorEastAsia" w:hAnsi="Cambria Math" w:cs="Cambria Math"/>
                <w:szCs w:val="21"/>
              </w:rPr>
              <w:t>△</w:t>
            </w:r>
            <w:r w:rsidRPr="00FC1444">
              <w:rPr>
                <w:rFonts w:eastAsiaTheme="minorEastAsia"/>
                <w:szCs w:val="21"/>
              </w:rPr>
              <w:t>1</w:t>
            </w:r>
          </w:p>
        </w:tc>
        <w:tc>
          <w:tcPr>
            <w:tcW w:w="5391" w:type="dxa"/>
            <w:vAlign w:val="center"/>
          </w:tcPr>
          <w:p w:rsidR="002A5A5E" w:rsidRPr="00FC1444" w:rsidRDefault="00C12A06">
            <w:pPr>
              <w:spacing w:line="240" w:lineRule="atLeast"/>
              <w:jc w:val="center"/>
              <w:rPr>
                <w:rFonts w:eastAsiaTheme="minorEastAsia"/>
                <w:szCs w:val="21"/>
              </w:rPr>
            </w:pPr>
            <w:r w:rsidRPr="00FC1444">
              <w:rPr>
                <w:rFonts w:eastAsiaTheme="minorEastAsia"/>
                <w:szCs w:val="21"/>
              </w:rPr>
              <w:t>刘家沟民房</w:t>
            </w:r>
          </w:p>
        </w:tc>
      </w:tr>
      <w:tr w:rsidR="002A5A5E" w:rsidRPr="00FC1444">
        <w:trPr>
          <w:trHeight w:val="304"/>
          <w:jc w:val="center"/>
        </w:trPr>
        <w:tc>
          <w:tcPr>
            <w:tcW w:w="2786" w:type="dxa"/>
            <w:vAlign w:val="center"/>
          </w:tcPr>
          <w:p w:rsidR="002A5A5E" w:rsidRPr="00FC1444" w:rsidRDefault="00611CBA">
            <w:pPr>
              <w:jc w:val="center"/>
              <w:rPr>
                <w:rFonts w:eastAsiaTheme="minorEastAsia"/>
                <w:szCs w:val="21"/>
              </w:rPr>
            </w:pPr>
            <w:r w:rsidRPr="00FC1444">
              <w:rPr>
                <w:rFonts w:ascii="Cambria Math" w:eastAsiaTheme="minorEastAsia" w:hAnsi="Cambria Math" w:cs="Cambria Math"/>
                <w:szCs w:val="21"/>
              </w:rPr>
              <w:t>△</w:t>
            </w:r>
            <w:r w:rsidRPr="00FC1444">
              <w:rPr>
                <w:rFonts w:eastAsiaTheme="minorEastAsia"/>
                <w:szCs w:val="21"/>
              </w:rPr>
              <w:t>2</w:t>
            </w:r>
          </w:p>
        </w:tc>
        <w:tc>
          <w:tcPr>
            <w:tcW w:w="5391" w:type="dxa"/>
            <w:vAlign w:val="center"/>
          </w:tcPr>
          <w:p w:rsidR="002A5A5E" w:rsidRPr="00FC1444" w:rsidRDefault="00C12A06">
            <w:pPr>
              <w:spacing w:line="240" w:lineRule="atLeast"/>
              <w:jc w:val="center"/>
              <w:rPr>
                <w:rFonts w:eastAsiaTheme="minorEastAsia"/>
                <w:szCs w:val="21"/>
              </w:rPr>
            </w:pPr>
            <w:r w:rsidRPr="00FC1444">
              <w:rPr>
                <w:rFonts w:eastAsiaTheme="minorEastAsia" w:hint="eastAsia"/>
                <w:szCs w:val="21"/>
              </w:rPr>
              <w:t>张家窝棚</w:t>
            </w:r>
            <w:r w:rsidRPr="00FC1444">
              <w:rPr>
                <w:rFonts w:eastAsiaTheme="minorEastAsia"/>
                <w:szCs w:val="21"/>
              </w:rPr>
              <w:t>民房</w:t>
            </w:r>
          </w:p>
        </w:tc>
      </w:tr>
      <w:tr w:rsidR="002A5A5E" w:rsidRPr="00FC1444">
        <w:trPr>
          <w:trHeight w:val="93"/>
          <w:jc w:val="center"/>
        </w:trPr>
        <w:tc>
          <w:tcPr>
            <w:tcW w:w="2786" w:type="dxa"/>
            <w:vAlign w:val="center"/>
          </w:tcPr>
          <w:p w:rsidR="002A5A5E" w:rsidRPr="00FC1444" w:rsidRDefault="00611CBA">
            <w:pPr>
              <w:jc w:val="center"/>
              <w:rPr>
                <w:rFonts w:eastAsiaTheme="minorEastAsia"/>
                <w:szCs w:val="21"/>
              </w:rPr>
            </w:pPr>
            <w:r w:rsidRPr="00FC1444">
              <w:rPr>
                <w:rFonts w:ascii="Cambria Math" w:eastAsiaTheme="minorEastAsia" w:hAnsi="Cambria Math" w:cs="Cambria Math"/>
                <w:szCs w:val="21"/>
              </w:rPr>
              <w:t>△</w:t>
            </w:r>
            <w:r w:rsidRPr="00FC1444">
              <w:rPr>
                <w:rFonts w:eastAsiaTheme="minorEastAsia"/>
                <w:szCs w:val="21"/>
              </w:rPr>
              <w:t>3</w:t>
            </w:r>
          </w:p>
        </w:tc>
        <w:tc>
          <w:tcPr>
            <w:tcW w:w="5391" w:type="dxa"/>
            <w:vAlign w:val="center"/>
          </w:tcPr>
          <w:p w:rsidR="002A5A5E" w:rsidRPr="00FC1444" w:rsidRDefault="00C12A06">
            <w:pPr>
              <w:spacing w:line="240" w:lineRule="atLeast"/>
              <w:jc w:val="center"/>
              <w:rPr>
                <w:rFonts w:eastAsiaTheme="minorEastAsia"/>
                <w:szCs w:val="21"/>
              </w:rPr>
            </w:pPr>
            <w:r w:rsidRPr="00FC1444">
              <w:rPr>
                <w:rFonts w:eastAsiaTheme="minorEastAsia"/>
                <w:szCs w:val="21"/>
              </w:rPr>
              <w:t>津河镇民房</w:t>
            </w:r>
          </w:p>
        </w:tc>
      </w:tr>
      <w:tr w:rsidR="002A5A5E" w:rsidRPr="00FC1444">
        <w:trPr>
          <w:trHeight w:val="93"/>
          <w:jc w:val="center"/>
        </w:trPr>
        <w:tc>
          <w:tcPr>
            <w:tcW w:w="2786" w:type="dxa"/>
            <w:vAlign w:val="center"/>
          </w:tcPr>
          <w:p w:rsidR="002A5A5E" w:rsidRPr="00FC1444" w:rsidRDefault="00611CBA">
            <w:pPr>
              <w:jc w:val="center"/>
              <w:rPr>
                <w:rFonts w:eastAsiaTheme="minorEastAsia"/>
                <w:szCs w:val="21"/>
              </w:rPr>
            </w:pPr>
            <w:r w:rsidRPr="00FC1444">
              <w:rPr>
                <w:rFonts w:ascii="Cambria Math" w:eastAsiaTheme="minorEastAsia" w:hAnsi="Cambria Math" w:cs="Cambria Math"/>
                <w:szCs w:val="21"/>
              </w:rPr>
              <w:t>△</w:t>
            </w:r>
            <w:r w:rsidRPr="00FC1444">
              <w:rPr>
                <w:rFonts w:eastAsiaTheme="minorEastAsia"/>
                <w:szCs w:val="21"/>
              </w:rPr>
              <w:t>4</w:t>
            </w:r>
          </w:p>
        </w:tc>
        <w:tc>
          <w:tcPr>
            <w:tcW w:w="5391" w:type="dxa"/>
            <w:vAlign w:val="center"/>
          </w:tcPr>
          <w:p w:rsidR="002A5A5E" w:rsidRPr="00FC1444" w:rsidRDefault="007B4CE4">
            <w:pPr>
              <w:spacing w:line="240" w:lineRule="atLeast"/>
              <w:jc w:val="center"/>
              <w:rPr>
                <w:rFonts w:eastAsiaTheme="minorEastAsia"/>
                <w:szCs w:val="21"/>
              </w:rPr>
            </w:pPr>
            <w:r w:rsidRPr="00FC1444">
              <w:rPr>
                <w:rFonts w:eastAsiaTheme="minorEastAsia"/>
                <w:szCs w:val="21"/>
              </w:rPr>
              <w:t>东围村</w:t>
            </w:r>
            <w:r w:rsidR="006D4646" w:rsidRPr="00FC1444">
              <w:rPr>
                <w:rFonts w:eastAsiaTheme="minorEastAsia"/>
                <w:szCs w:val="21"/>
              </w:rPr>
              <w:t>民房</w:t>
            </w:r>
          </w:p>
        </w:tc>
      </w:tr>
    </w:tbl>
    <w:p w:rsidR="002A5A5E" w:rsidRPr="00FC1444" w:rsidRDefault="00C12A06" w:rsidP="006364CE">
      <w:pPr>
        <w:spacing w:line="0" w:lineRule="atLeast"/>
        <w:jc w:val="center"/>
        <w:rPr>
          <w:rFonts w:eastAsiaTheme="minorEastAsia"/>
          <w:sz w:val="24"/>
          <w:lang w:val="zh-CN"/>
        </w:rPr>
      </w:pPr>
      <w:r w:rsidRPr="00FC1444">
        <w:rPr>
          <w:rFonts w:hint="eastAsia"/>
          <w:noProof/>
          <w:sz w:val="32"/>
          <w:szCs w:val="18"/>
        </w:rPr>
        <w:drawing>
          <wp:inline distT="0" distB="0" distL="0" distR="0">
            <wp:extent cx="5092156" cy="4063747"/>
            <wp:effectExtent l="19050" t="0" r="0" b="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srcRect/>
                    <a:stretch>
                      <a:fillRect/>
                    </a:stretch>
                  </pic:blipFill>
                  <pic:spPr bwMode="auto">
                    <a:xfrm>
                      <a:off x="0" y="0"/>
                      <a:ext cx="5091820" cy="4063479"/>
                    </a:xfrm>
                    <a:prstGeom prst="rect">
                      <a:avLst/>
                    </a:prstGeom>
                    <a:noFill/>
                    <a:ln w="9525">
                      <a:noFill/>
                      <a:miter lim="800000"/>
                      <a:headEnd/>
                      <a:tailEnd/>
                    </a:ln>
                  </pic:spPr>
                </pic:pic>
              </a:graphicData>
            </a:graphic>
          </wp:inline>
        </w:drawing>
      </w:r>
    </w:p>
    <w:p w:rsidR="002A5A5E" w:rsidRPr="00FC1444" w:rsidRDefault="00611CBA" w:rsidP="006364CE">
      <w:pPr>
        <w:spacing w:line="0" w:lineRule="atLeast"/>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4-2-</w:t>
      </w:r>
      <w:r w:rsidR="00F90B8B" w:rsidRPr="00FC1444">
        <w:rPr>
          <w:rFonts w:eastAsiaTheme="minorEastAsia" w:hint="eastAsia"/>
          <w:b/>
          <w:kern w:val="0"/>
          <w:szCs w:val="21"/>
        </w:rPr>
        <w:t>6</w:t>
      </w:r>
      <w:r w:rsidRPr="00FC1444">
        <w:rPr>
          <w:rFonts w:eastAsiaTheme="minorEastAsia"/>
          <w:b/>
          <w:kern w:val="0"/>
          <w:szCs w:val="21"/>
        </w:rPr>
        <w:t xml:space="preserve"> </w:t>
      </w:r>
      <w:r w:rsidRPr="00FC1444">
        <w:rPr>
          <w:rFonts w:eastAsiaTheme="minorEastAsia"/>
          <w:b/>
          <w:kern w:val="0"/>
          <w:szCs w:val="21"/>
        </w:rPr>
        <w:t>声环境监测点位</w:t>
      </w:r>
    </w:p>
    <w:p w:rsidR="002A5A5E" w:rsidRPr="00FC1444" w:rsidRDefault="00611CBA">
      <w:pPr>
        <w:spacing w:line="500" w:lineRule="exact"/>
        <w:ind w:firstLineChars="210" w:firstLine="504"/>
        <w:rPr>
          <w:rFonts w:eastAsiaTheme="minorEastAsia"/>
          <w:sz w:val="24"/>
          <w:lang w:val="zh-CN"/>
        </w:rPr>
      </w:pPr>
      <w:r w:rsidRPr="00FC1444">
        <w:rPr>
          <w:rFonts w:eastAsiaTheme="minorEastAsia"/>
          <w:sz w:val="24"/>
          <w:lang w:val="zh-CN"/>
        </w:rPr>
        <w:t>（</w:t>
      </w:r>
      <w:r w:rsidRPr="00FC1444">
        <w:rPr>
          <w:rFonts w:eastAsiaTheme="minorEastAsia"/>
          <w:sz w:val="24"/>
          <w:lang w:val="zh-CN"/>
        </w:rPr>
        <w:t>3</w:t>
      </w:r>
      <w:r w:rsidRPr="00FC1444">
        <w:rPr>
          <w:rFonts w:eastAsiaTheme="minorEastAsia"/>
          <w:sz w:val="24"/>
          <w:lang w:val="zh-CN"/>
        </w:rPr>
        <w:t>）监测时间</w:t>
      </w:r>
    </w:p>
    <w:p w:rsidR="002A5A5E" w:rsidRPr="00FC1444" w:rsidRDefault="0097223F">
      <w:pPr>
        <w:spacing w:line="500" w:lineRule="exact"/>
        <w:ind w:firstLineChars="210" w:firstLine="504"/>
        <w:rPr>
          <w:rFonts w:eastAsiaTheme="minorEastAsia"/>
          <w:sz w:val="24"/>
          <w:lang w:val="zh-CN"/>
        </w:rPr>
      </w:pPr>
      <w:r w:rsidRPr="00FC1444">
        <w:rPr>
          <w:rFonts w:eastAsiaTheme="minorEastAsia"/>
          <w:sz w:val="24"/>
          <w:lang w:val="zh-CN"/>
        </w:rPr>
        <w:t>2026</w:t>
      </w:r>
      <w:r w:rsidR="00611CBA" w:rsidRPr="00FC1444">
        <w:rPr>
          <w:rFonts w:eastAsiaTheme="minorEastAsia"/>
          <w:sz w:val="24"/>
          <w:lang w:val="zh-CN"/>
        </w:rPr>
        <w:t>年</w:t>
      </w:r>
      <w:r w:rsidR="00C12A06" w:rsidRPr="00FC1444">
        <w:rPr>
          <w:rFonts w:eastAsiaTheme="minorEastAsia" w:hint="eastAsia"/>
          <w:sz w:val="24"/>
          <w:lang w:val="zh-CN"/>
        </w:rPr>
        <w:t>8</w:t>
      </w:r>
      <w:r w:rsidR="00611CBA" w:rsidRPr="00FC1444">
        <w:rPr>
          <w:rFonts w:eastAsiaTheme="minorEastAsia"/>
          <w:sz w:val="24"/>
          <w:lang w:val="zh-CN"/>
        </w:rPr>
        <w:t>月</w:t>
      </w:r>
      <w:r w:rsidR="00C12A06" w:rsidRPr="00FC1444">
        <w:rPr>
          <w:rFonts w:eastAsiaTheme="minorEastAsia" w:hint="eastAsia"/>
          <w:sz w:val="24"/>
          <w:lang w:val="zh-CN"/>
        </w:rPr>
        <w:t>3</w:t>
      </w:r>
      <w:r w:rsidRPr="00FC1444">
        <w:rPr>
          <w:rFonts w:eastAsiaTheme="minorEastAsia"/>
          <w:sz w:val="24"/>
          <w:lang w:val="zh-CN"/>
        </w:rPr>
        <w:t>1</w:t>
      </w:r>
      <w:r w:rsidR="00611CBA" w:rsidRPr="00FC1444">
        <w:rPr>
          <w:rFonts w:eastAsiaTheme="minorEastAsia"/>
          <w:sz w:val="24"/>
          <w:lang w:val="zh-CN"/>
        </w:rPr>
        <w:t>日。</w:t>
      </w:r>
    </w:p>
    <w:p w:rsidR="002A5A5E" w:rsidRPr="00FC1444" w:rsidRDefault="00611CBA">
      <w:pPr>
        <w:spacing w:line="500" w:lineRule="exact"/>
        <w:ind w:firstLineChars="210" w:firstLine="504"/>
        <w:rPr>
          <w:rFonts w:eastAsiaTheme="minorEastAsia"/>
          <w:sz w:val="24"/>
          <w:lang w:val="zh-CN"/>
        </w:rPr>
      </w:pPr>
      <w:r w:rsidRPr="00FC1444">
        <w:rPr>
          <w:rFonts w:eastAsiaTheme="minorEastAsia"/>
          <w:sz w:val="24"/>
          <w:lang w:val="zh-CN"/>
        </w:rPr>
        <w:t>（</w:t>
      </w:r>
      <w:r w:rsidRPr="00FC1444">
        <w:rPr>
          <w:rFonts w:eastAsiaTheme="minorEastAsia"/>
          <w:sz w:val="24"/>
          <w:lang w:val="zh-CN"/>
        </w:rPr>
        <w:t>4</w:t>
      </w:r>
      <w:r w:rsidRPr="00FC1444">
        <w:rPr>
          <w:rFonts w:eastAsiaTheme="minorEastAsia"/>
          <w:sz w:val="24"/>
          <w:lang w:val="zh-CN"/>
        </w:rPr>
        <w:t>）监测结果</w:t>
      </w:r>
    </w:p>
    <w:p w:rsidR="002A5A5E" w:rsidRPr="00FC1444" w:rsidRDefault="00611CBA">
      <w:pPr>
        <w:spacing w:line="500" w:lineRule="exact"/>
        <w:ind w:firstLineChars="210" w:firstLine="504"/>
        <w:rPr>
          <w:rFonts w:eastAsiaTheme="minorEastAsia"/>
          <w:sz w:val="24"/>
          <w:lang w:val="zh-CN"/>
        </w:rPr>
      </w:pPr>
      <w:r w:rsidRPr="00FC1444">
        <w:rPr>
          <w:rFonts w:eastAsiaTheme="minorEastAsia"/>
          <w:sz w:val="24"/>
          <w:lang w:val="zh-CN"/>
        </w:rPr>
        <w:t>监测结果见表</w:t>
      </w:r>
      <w:r w:rsidR="00BD5DBC" w:rsidRPr="00FC1444">
        <w:rPr>
          <w:rFonts w:eastAsiaTheme="minorEastAsia"/>
          <w:sz w:val="24"/>
          <w:lang w:val="zh-CN"/>
        </w:rPr>
        <w:t>4-2-</w:t>
      </w:r>
      <w:r w:rsidR="00F75BC1" w:rsidRPr="00FC1444">
        <w:rPr>
          <w:rFonts w:eastAsiaTheme="minorEastAsia"/>
          <w:sz w:val="24"/>
          <w:lang w:val="zh-CN"/>
        </w:rPr>
        <w:t>1</w:t>
      </w:r>
      <w:r w:rsidR="00F90B8B" w:rsidRPr="00FC1444">
        <w:rPr>
          <w:rFonts w:eastAsiaTheme="minorEastAsia" w:hint="eastAsia"/>
          <w:sz w:val="24"/>
          <w:lang w:val="zh-CN"/>
        </w:rPr>
        <w:t>5</w:t>
      </w:r>
      <w:r w:rsidRPr="00FC1444">
        <w:rPr>
          <w:rFonts w:eastAsiaTheme="minorEastAsia"/>
          <w:sz w:val="24"/>
          <w:lang w:val="zh-CN"/>
        </w:rPr>
        <w:t>。</w:t>
      </w:r>
    </w:p>
    <w:p w:rsidR="006D4646" w:rsidRPr="00FC1444" w:rsidRDefault="006D4646">
      <w:pPr>
        <w:contextualSpacing/>
        <w:jc w:val="center"/>
        <w:rPr>
          <w:rFonts w:eastAsiaTheme="minorEastAsia"/>
          <w:b/>
          <w:kern w:val="0"/>
          <w:szCs w:val="21"/>
        </w:rPr>
      </w:pPr>
    </w:p>
    <w:p w:rsidR="006D4646" w:rsidRPr="00FC1444" w:rsidRDefault="006D4646">
      <w:pPr>
        <w:contextualSpacing/>
        <w:jc w:val="center"/>
        <w:rPr>
          <w:rFonts w:eastAsiaTheme="minorEastAsia"/>
          <w:b/>
          <w:kern w:val="0"/>
          <w:szCs w:val="21"/>
        </w:rPr>
      </w:pPr>
    </w:p>
    <w:p w:rsidR="006D4646" w:rsidRPr="00FC1444" w:rsidRDefault="006D4646">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4-2-</w:t>
      </w:r>
      <w:r w:rsidR="00F75BC1" w:rsidRPr="00FC1444">
        <w:rPr>
          <w:rFonts w:eastAsiaTheme="minorEastAsia"/>
          <w:b/>
          <w:kern w:val="0"/>
          <w:szCs w:val="21"/>
        </w:rPr>
        <w:t>1</w:t>
      </w:r>
      <w:r w:rsidR="00F90B8B" w:rsidRPr="00FC1444">
        <w:rPr>
          <w:rFonts w:eastAsiaTheme="minorEastAsia" w:hint="eastAsia"/>
          <w:b/>
          <w:kern w:val="0"/>
          <w:szCs w:val="21"/>
        </w:rPr>
        <w:t>5</w:t>
      </w:r>
      <w:r w:rsidRPr="00FC1444">
        <w:rPr>
          <w:rFonts w:eastAsiaTheme="minorEastAsia"/>
          <w:b/>
          <w:kern w:val="0"/>
          <w:szCs w:val="21"/>
        </w:rPr>
        <w:t>声环境现状监测结果</w:t>
      </w:r>
    </w:p>
    <w:tbl>
      <w:tblPr>
        <w:tblW w:w="5099"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266"/>
        <w:gridCol w:w="2109"/>
        <w:gridCol w:w="848"/>
        <w:gridCol w:w="900"/>
        <w:gridCol w:w="928"/>
        <w:gridCol w:w="928"/>
        <w:gridCol w:w="859"/>
        <w:gridCol w:w="853"/>
      </w:tblGrid>
      <w:tr w:rsidR="002A5A5E" w:rsidRPr="00FC1444" w:rsidTr="00EB77FA">
        <w:trPr>
          <w:trHeight w:val="289"/>
          <w:jc w:val="center"/>
        </w:trPr>
        <w:tc>
          <w:tcPr>
            <w:tcW w:w="728" w:type="pct"/>
            <w:vMerge w:val="restart"/>
            <w:vAlign w:val="center"/>
          </w:tcPr>
          <w:p w:rsidR="002A5A5E" w:rsidRPr="00FC1444" w:rsidRDefault="00611CBA" w:rsidP="00EB77FA">
            <w:pPr>
              <w:jc w:val="center"/>
              <w:rPr>
                <w:rFonts w:eastAsiaTheme="minorEastAsia"/>
                <w:b/>
                <w:szCs w:val="21"/>
              </w:rPr>
            </w:pPr>
            <w:r w:rsidRPr="00FC1444">
              <w:rPr>
                <w:rFonts w:eastAsiaTheme="minorEastAsia"/>
                <w:b/>
                <w:szCs w:val="21"/>
              </w:rPr>
              <w:t>检测日期</w:t>
            </w:r>
          </w:p>
        </w:tc>
        <w:tc>
          <w:tcPr>
            <w:tcW w:w="1213" w:type="pct"/>
            <w:vMerge w:val="restart"/>
            <w:vAlign w:val="center"/>
          </w:tcPr>
          <w:p w:rsidR="002A5A5E" w:rsidRPr="00FC1444" w:rsidRDefault="00611CBA" w:rsidP="00EB77FA">
            <w:pPr>
              <w:jc w:val="center"/>
              <w:rPr>
                <w:rFonts w:eastAsiaTheme="minorEastAsia"/>
                <w:b/>
                <w:szCs w:val="21"/>
              </w:rPr>
            </w:pPr>
            <w:r w:rsidRPr="00FC1444">
              <w:rPr>
                <w:rFonts w:eastAsiaTheme="minorEastAsia"/>
                <w:b/>
                <w:szCs w:val="21"/>
              </w:rPr>
              <w:t>检测地点</w:t>
            </w:r>
          </w:p>
        </w:tc>
        <w:tc>
          <w:tcPr>
            <w:tcW w:w="1540" w:type="pct"/>
            <w:gridSpan w:val="3"/>
            <w:vAlign w:val="center"/>
          </w:tcPr>
          <w:p w:rsidR="002A5A5E" w:rsidRPr="00FC1444" w:rsidRDefault="00611CBA" w:rsidP="00EB77FA">
            <w:pPr>
              <w:snapToGrid w:val="0"/>
              <w:jc w:val="center"/>
              <w:rPr>
                <w:rFonts w:eastAsiaTheme="minorEastAsia"/>
                <w:kern w:val="0"/>
                <w:szCs w:val="21"/>
              </w:rPr>
            </w:pPr>
            <w:r w:rsidRPr="00FC1444">
              <w:rPr>
                <w:rFonts w:eastAsiaTheme="minorEastAsia"/>
                <w:b/>
                <w:szCs w:val="21"/>
              </w:rPr>
              <w:t>昼</w:t>
            </w:r>
            <w:r w:rsidRPr="00FC1444">
              <w:rPr>
                <w:rFonts w:eastAsiaTheme="minorEastAsia"/>
                <w:b/>
                <w:szCs w:val="21"/>
              </w:rPr>
              <w:t>L</w:t>
            </w:r>
            <w:r w:rsidRPr="00FC1444">
              <w:rPr>
                <w:rFonts w:eastAsiaTheme="minorEastAsia"/>
                <w:b/>
                <w:szCs w:val="21"/>
                <w:vertAlign w:val="subscript"/>
              </w:rPr>
              <w:t>eq</w:t>
            </w:r>
          </w:p>
        </w:tc>
        <w:tc>
          <w:tcPr>
            <w:tcW w:w="1519" w:type="pct"/>
            <w:gridSpan w:val="3"/>
            <w:vAlign w:val="center"/>
          </w:tcPr>
          <w:p w:rsidR="002A5A5E" w:rsidRPr="00FC1444" w:rsidRDefault="00611CBA" w:rsidP="00EB77FA">
            <w:pPr>
              <w:snapToGrid w:val="0"/>
              <w:jc w:val="center"/>
              <w:rPr>
                <w:rFonts w:eastAsiaTheme="minorEastAsia"/>
                <w:kern w:val="0"/>
                <w:szCs w:val="21"/>
              </w:rPr>
            </w:pPr>
            <w:r w:rsidRPr="00FC1444">
              <w:rPr>
                <w:rFonts w:eastAsiaTheme="minorEastAsia"/>
                <w:b/>
                <w:szCs w:val="21"/>
              </w:rPr>
              <w:t>夜</w:t>
            </w:r>
            <w:r w:rsidRPr="00FC1444">
              <w:rPr>
                <w:rFonts w:eastAsiaTheme="minorEastAsia"/>
                <w:b/>
                <w:szCs w:val="21"/>
              </w:rPr>
              <w:t>L</w:t>
            </w:r>
            <w:r w:rsidRPr="00FC1444">
              <w:rPr>
                <w:rFonts w:eastAsiaTheme="minorEastAsia"/>
                <w:b/>
                <w:szCs w:val="21"/>
                <w:vertAlign w:val="subscript"/>
              </w:rPr>
              <w:t>eq</w:t>
            </w:r>
          </w:p>
        </w:tc>
      </w:tr>
      <w:tr w:rsidR="002A5A5E" w:rsidRPr="00FC1444" w:rsidTr="00EB77FA">
        <w:trPr>
          <w:trHeight w:val="216"/>
          <w:jc w:val="center"/>
        </w:trPr>
        <w:tc>
          <w:tcPr>
            <w:tcW w:w="728" w:type="pct"/>
            <w:vMerge/>
            <w:vAlign w:val="center"/>
          </w:tcPr>
          <w:p w:rsidR="002A5A5E" w:rsidRPr="00FC1444" w:rsidRDefault="002A5A5E" w:rsidP="00EB77FA">
            <w:pPr>
              <w:jc w:val="center"/>
              <w:rPr>
                <w:rFonts w:eastAsiaTheme="minorEastAsia"/>
                <w:b/>
                <w:szCs w:val="21"/>
              </w:rPr>
            </w:pPr>
          </w:p>
        </w:tc>
        <w:tc>
          <w:tcPr>
            <w:tcW w:w="1213" w:type="pct"/>
            <w:vMerge/>
            <w:vAlign w:val="center"/>
          </w:tcPr>
          <w:p w:rsidR="002A5A5E" w:rsidRPr="00FC1444" w:rsidRDefault="002A5A5E" w:rsidP="00EB77FA">
            <w:pPr>
              <w:jc w:val="center"/>
              <w:rPr>
                <w:rFonts w:eastAsiaTheme="minorEastAsia"/>
                <w:b/>
                <w:szCs w:val="21"/>
              </w:rPr>
            </w:pPr>
          </w:p>
        </w:tc>
        <w:tc>
          <w:tcPr>
            <w:tcW w:w="488" w:type="pct"/>
            <w:vAlign w:val="center"/>
          </w:tcPr>
          <w:p w:rsidR="002A5A5E" w:rsidRPr="00FC1444" w:rsidRDefault="00611CBA" w:rsidP="00EB77FA">
            <w:pPr>
              <w:widowControl/>
              <w:jc w:val="center"/>
              <w:rPr>
                <w:rFonts w:eastAsiaTheme="minorEastAsia"/>
                <w:b/>
                <w:szCs w:val="21"/>
              </w:rPr>
            </w:pPr>
            <w:r w:rsidRPr="00FC1444">
              <w:rPr>
                <w:rFonts w:eastAsiaTheme="minorEastAsia"/>
                <w:b/>
                <w:szCs w:val="21"/>
              </w:rPr>
              <w:t>时间</w:t>
            </w:r>
          </w:p>
        </w:tc>
        <w:tc>
          <w:tcPr>
            <w:tcW w:w="518" w:type="pct"/>
            <w:vAlign w:val="center"/>
          </w:tcPr>
          <w:p w:rsidR="002A5A5E" w:rsidRPr="00FC1444" w:rsidRDefault="00611CBA" w:rsidP="00EB77FA">
            <w:pPr>
              <w:widowControl/>
              <w:jc w:val="center"/>
              <w:rPr>
                <w:rFonts w:eastAsiaTheme="minorEastAsia"/>
                <w:b/>
                <w:szCs w:val="21"/>
              </w:rPr>
            </w:pPr>
            <w:r w:rsidRPr="00FC1444">
              <w:rPr>
                <w:rFonts w:eastAsiaTheme="minorEastAsia"/>
                <w:b/>
                <w:szCs w:val="21"/>
              </w:rPr>
              <w:t>结果</w:t>
            </w:r>
          </w:p>
        </w:tc>
        <w:tc>
          <w:tcPr>
            <w:tcW w:w="534" w:type="pct"/>
            <w:vAlign w:val="center"/>
          </w:tcPr>
          <w:p w:rsidR="002A5A5E" w:rsidRPr="00FC1444" w:rsidRDefault="00611CBA" w:rsidP="00EB77FA">
            <w:pPr>
              <w:snapToGrid w:val="0"/>
              <w:jc w:val="center"/>
              <w:rPr>
                <w:rFonts w:eastAsiaTheme="minorEastAsia"/>
                <w:b/>
                <w:kern w:val="0"/>
                <w:szCs w:val="21"/>
              </w:rPr>
            </w:pPr>
            <w:r w:rsidRPr="00FC1444">
              <w:rPr>
                <w:rFonts w:eastAsiaTheme="minorEastAsia"/>
                <w:b/>
                <w:kern w:val="0"/>
                <w:szCs w:val="21"/>
              </w:rPr>
              <w:t>标准</w:t>
            </w:r>
          </w:p>
          <w:p w:rsidR="002A5A5E" w:rsidRPr="00FC1444" w:rsidRDefault="00611CBA" w:rsidP="00EB77FA">
            <w:pPr>
              <w:snapToGrid w:val="0"/>
              <w:jc w:val="center"/>
              <w:rPr>
                <w:rFonts w:eastAsiaTheme="minorEastAsia"/>
                <w:b/>
                <w:kern w:val="0"/>
                <w:szCs w:val="21"/>
              </w:rPr>
            </w:pPr>
            <w:r w:rsidRPr="00FC1444">
              <w:rPr>
                <w:rFonts w:eastAsiaTheme="minorEastAsia"/>
                <w:b/>
                <w:kern w:val="0"/>
                <w:szCs w:val="21"/>
              </w:rPr>
              <w:t>限值</w:t>
            </w:r>
          </w:p>
        </w:tc>
        <w:tc>
          <w:tcPr>
            <w:tcW w:w="534" w:type="pct"/>
            <w:vAlign w:val="center"/>
          </w:tcPr>
          <w:p w:rsidR="002A5A5E" w:rsidRPr="00FC1444" w:rsidRDefault="00611CBA" w:rsidP="00EB77FA">
            <w:pPr>
              <w:widowControl/>
              <w:jc w:val="center"/>
              <w:rPr>
                <w:rFonts w:eastAsiaTheme="minorEastAsia"/>
                <w:b/>
                <w:szCs w:val="21"/>
              </w:rPr>
            </w:pPr>
            <w:r w:rsidRPr="00FC1444">
              <w:rPr>
                <w:rFonts w:eastAsiaTheme="minorEastAsia"/>
                <w:b/>
                <w:szCs w:val="21"/>
              </w:rPr>
              <w:t>时间</w:t>
            </w:r>
          </w:p>
        </w:tc>
        <w:tc>
          <w:tcPr>
            <w:tcW w:w="494" w:type="pct"/>
            <w:vAlign w:val="center"/>
          </w:tcPr>
          <w:p w:rsidR="002A5A5E" w:rsidRPr="00FC1444" w:rsidRDefault="00611CBA" w:rsidP="00EB77FA">
            <w:pPr>
              <w:widowControl/>
              <w:jc w:val="center"/>
              <w:rPr>
                <w:rFonts w:eastAsiaTheme="minorEastAsia"/>
                <w:b/>
                <w:szCs w:val="21"/>
              </w:rPr>
            </w:pPr>
            <w:r w:rsidRPr="00FC1444">
              <w:rPr>
                <w:rFonts w:eastAsiaTheme="minorEastAsia"/>
                <w:b/>
                <w:szCs w:val="21"/>
              </w:rPr>
              <w:t>结果</w:t>
            </w:r>
          </w:p>
        </w:tc>
        <w:tc>
          <w:tcPr>
            <w:tcW w:w="491" w:type="pct"/>
            <w:vAlign w:val="center"/>
          </w:tcPr>
          <w:p w:rsidR="002A5A5E" w:rsidRPr="00FC1444" w:rsidRDefault="00611CBA" w:rsidP="00EB77FA">
            <w:pPr>
              <w:snapToGrid w:val="0"/>
              <w:jc w:val="center"/>
              <w:rPr>
                <w:rFonts w:eastAsiaTheme="minorEastAsia"/>
                <w:b/>
                <w:kern w:val="0"/>
                <w:szCs w:val="21"/>
              </w:rPr>
            </w:pPr>
            <w:r w:rsidRPr="00FC1444">
              <w:rPr>
                <w:rFonts w:eastAsiaTheme="minorEastAsia"/>
                <w:b/>
                <w:kern w:val="0"/>
                <w:szCs w:val="21"/>
              </w:rPr>
              <w:t>标准</w:t>
            </w:r>
          </w:p>
          <w:p w:rsidR="002A5A5E" w:rsidRPr="00FC1444" w:rsidRDefault="00611CBA" w:rsidP="00EB77FA">
            <w:pPr>
              <w:snapToGrid w:val="0"/>
              <w:jc w:val="center"/>
              <w:rPr>
                <w:rFonts w:eastAsiaTheme="minorEastAsia"/>
                <w:b/>
                <w:kern w:val="0"/>
                <w:szCs w:val="21"/>
              </w:rPr>
            </w:pPr>
            <w:r w:rsidRPr="00FC1444">
              <w:rPr>
                <w:rFonts w:eastAsiaTheme="minorEastAsia"/>
                <w:b/>
                <w:kern w:val="0"/>
                <w:szCs w:val="21"/>
              </w:rPr>
              <w:t>限值</w:t>
            </w:r>
          </w:p>
        </w:tc>
      </w:tr>
      <w:tr w:rsidR="00C12A06" w:rsidRPr="00FC1444" w:rsidTr="00EB77FA">
        <w:trPr>
          <w:trHeight w:val="412"/>
          <w:jc w:val="center"/>
        </w:trPr>
        <w:tc>
          <w:tcPr>
            <w:tcW w:w="728" w:type="pct"/>
            <w:vMerge w:val="restart"/>
            <w:vAlign w:val="center"/>
          </w:tcPr>
          <w:p w:rsidR="00C12A06" w:rsidRPr="00FC1444" w:rsidRDefault="00C12A06" w:rsidP="00EB77FA">
            <w:pPr>
              <w:spacing w:line="240" w:lineRule="exact"/>
              <w:jc w:val="center"/>
              <w:rPr>
                <w:color w:val="000000"/>
              </w:rPr>
            </w:pPr>
            <w:r w:rsidRPr="00FC1444">
              <w:rPr>
                <w:rFonts w:hint="eastAsia"/>
                <w:color w:val="000000"/>
              </w:rPr>
              <w:t>2026</w:t>
            </w:r>
          </w:p>
          <w:p w:rsidR="00C12A06" w:rsidRPr="00FC1444" w:rsidRDefault="00C12A06" w:rsidP="00EB77FA">
            <w:pPr>
              <w:spacing w:line="240" w:lineRule="exact"/>
              <w:jc w:val="center"/>
              <w:rPr>
                <w:color w:val="000000"/>
              </w:rPr>
            </w:pPr>
            <w:r w:rsidRPr="00FC1444">
              <w:rPr>
                <w:rFonts w:hint="eastAsia"/>
                <w:color w:val="000000"/>
              </w:rPr>
              <w:t>08.31</w:t>
            </w:r>
          </w:p>
        </w:tc>
        <w:tc>
          <w:tcPr>
            <w:tcW w:w="1213" w:type="pct"/>
            <w:vAlign w:val="center"/>
          </w:tcPr>
          <w:p w:rsidR="00C12A06" w:rsidRPr="00FC1444" w:rsidRDefault="00C12A06" w:rsidP="00EB77FA">
            <w:pPr>
              <w:spacing w:line="240" w:lineRule="atLeast"/>
              <w:jc w:val="center"/>
              <w:rPr>
                <w:color w:val="000000"/>
              </w:rPr>
            </w:pPr>
            <w:r w:rsidRPr="00FC1444">
              <w:rPr>
                <w:rFonts w:hint="eastAsia"/>
                <w:color w:val="000000"/>
              </w:rPr>
              <w:t>△</w:t>
            </w:r>
            <w:r w:rsidRPr="00FC1444">
              <w:rPr>
                <w:rFonts w:hint="eastAsia"/>
                <w:color w:val="000000"/>
              </w:rPr>
              <w:t>1</w:t>
            </w:r>
            <w:r w:rsidRPr="00FC1444">
              <w:rPr>
                <w:color w:val="000000"/>
              </w:rPr>
              <w:t>刘家沟民房</w:t>
            </w:r>
          </w:p>
        </w:tc>
        <w:tc>
          <w:tcPr>
            <w:tcW w:w="488" w:type="pct"/>
            <w:vAlign w:val="center"/>
          </w:tcPr>
          <w:p w:rsidR="00C12A06" w:rsidRPr="00FC1444" w:rsidRDefault="00C12A06" w:rsidP="00EB77FA">
            <w:pPr>
              <w:pStyle w:val="24"/>
              <w:spacing w:after="0" w:line="240" w:lineRule="exact"/>
              <w:jc w:val="center"/>
              <w:rPr>
                <w:rFonts w:ascii="Times New Roman" w:hAnsi="Times New Roman"/>
                <w:color w:val="000000"/>
                <w:sz w:val="21"/>
              </w:rPr>
            </w:pPr>
            <w:r w:rsidRPr="00FC1444">
              <w:rPr>
                <w:rFonts w:ascii="Times New Roman" w:hAnsi="Times New Roman" w:hint="eastAsia"/>
                <w:color w:val="000000"/>
                <w:sz w:val="21"/>
              </w:rPr>
              <w:t>08</w:t>
            </w:r>
            <w:r w:rsidRPr="00FC1444">
              <w:rPr>
                <w:rFonts w:ascii="Times New Roman" w:hAnsi="Times New Roman"/>
                <w:color w:val="000000"/>
                <w:sz w:val="21"/>
              </w:rPr>
              <w:t>:</w:t>
            </w:r>
            <w:r w:rsidRPr="00FC1444">
              <w:rPr>
                <w:rFonts w:ascii="Times New Roman" w:hAnsi="Times New Roman" w:hint="eastAsia"/>
                <w:color w:val="000000"/>
                <w:sz w:val="21"/>
              </w:rPr>
              <w:t>00</w:t>
            </w:r>
          </w:p>
        </w:tc>
        <w:tc>
          <w:tcPr>
            <w:tcW w:w="518" w:type="pct"/>
            <w:vAlign w:val="center"/>
          </w:tcPr>
          <w:p w:rsidR="00C12A06" w:rsidRPr="00FC1444" w:rsidRDefault="00C12A06" w:rsidP="00EB77FA">
            <w:pPr>
              <w:snapToGrid w:val="0"/>
              <w:jc w:val="center"/>
              <w:rPr>
                <w:kern w:val="0"/>
              </w:rPr>
            </w:pPr>
            <w:r w:rsidRPr="00FC1444">
              <w:rPr>
                <w:rFonts w:hint="eastAsia"/>
                <w:kern w:val="0"/>
              </w:rPr>
              <w:t>50</w:t>
            </w:r>
          </w:p>
        </w:tc>
        <w:tc>
          <w:tcPr>
            <w:tcW w:w="534" w:type="pct"/>
            <w:vAlign w:val="center"/>
          </w:tcPr>
          <w:p w:rsidR="00C12A06" w:rsidRPr="00FC1444" w:rsidRDefault="00C12A06" w:rsidP="00EB77FA">
            <w:pPr>
              <w:snapToGrid w:val="0"/>
              <w:jc w:val="center"/>
              <w:rPr>
                <w:kern w:val="0"/>
              </w:rPr>
            </w:pPr>
            <w:r w:rsidRPr="00FC1444">
              <w:rPr>
                <w:rFonts w:hint="eastAsia"/>
                <w:kern w:val="0"/>
              </w:rPr>
              <w:t>60</w:t>
            </w:r>
          </w:p>
        </w:tc>
        <w:tc>
          <w:tcPr>
            <w:tcW w:w="534" w:type="pct"/>
            <w:vAlign w:val="center"/>
          </w:tcPr>
          <w:p w:rsidR="00C12A06" w:rsidRPr="00FC1444" w:rsidRDefault="00C12A06" w:rsidP="00EB77FA">
            <w:pPr>
              <w:pStyle w:val="24"/>
              <w:spacing w:after="0" w:line="240" w:lineRule="exact"/>
              <w:jc w:val="center"/>
              <w:rPr>
                <w:rFonts w:ascii="Times New Roman" w:hAnsi="Times New Roman"/>
                <w:color w:val="000000"/>
                <w:sz w:val="21"/>
              </w:rPr>
            </w:pPr>
            <w:r w:rsidRPr="00FC1444">
              <w:rPr>
                <w:rFonts w:ascii="Times New Roman" w:hAnsi="Times New Roman" w:hint="eastAsia"/>
                <w:color w:val="000000"/>
                <w:sz w:val="21"/>
              </w:rPr>
              <w:t>22</w:t>
            </w:r>
            <w:r w:rsidRPr="00FC1444">
              <w:rPr>
                <w:rFonts w:ascii="Times New Roman" w:hAnsi="Times New Roman"/>
                <w:color w:val="000000"/>
                <w:sz w:val="21"/>
              </w:rPr>
              <w:t>:</w:t>
            </w:r>
            <w:r w:rsidRPr="00FC1444">
              <w:rPr>
                <w:rFonts w:ascii="Times New Roman" w:hAnsi="Times New Roman" w:hint="eastAsia"/>
                <w:color w:val="000000"/>
                <w:sz w:val="21"/>
              </w:rPr>
              <w:t>00</w:t>
            </w:r>
          </w:p>
        </w:tc>
        <w:tc>
          <w:tcPr>
            <w:tcW w:w="494" w:type="pct"/>
            <w:vAlign w:val="center"/>
          </w:tcPr>
          <w:p w:rsidR="00C12A06" w:rsidRPr="00FC1444" w:rsidRDefault="00C12A06" w:rsidP="00EB77FA">
            <w:pPr>
              <w:snapToGrid w:val="0"/>
              <w:jc w:val="center"/>
              <w:rPr>
                <w:kern w:val="0"/>
              </w:rPr>
            </w:pPr>
            <w:r w:rsidRPr="00FC1444">
              <w:rPr>
                <w:rFonts w:hint="eastAsia"/>
                <w:kern w:val="0"/>
              </w:rPr>
              <w:t>40</w:t>
            </w:r>
          </w:p>
        </w:tc>
        <w:tc>
          <w:tcPr>
            <w:tcW w:w="491" w:type="pct"/>
            <w:vAlign w:val="center"/>
          </w:tcPr>
          <w:p w:rsidR="00C12A06" w:rsidRPr="00FC1444" w:rsidRDefault="00C12A06" w:rsidP="00EB77FA">
            <w:pPr>
              <w:snapToGrid w:val="0"/>
              <w:jc w:val="center"/>
              <w:rPr>
                <w:kern w:val="0"/>
              </w:rPr>
            </w:pPr>
            <w:r w:rsidRPr="00FC1444">
              <w:rPr>
                <w:rFonts w:hint="eastAsia"/>
                <w:kern w:val="0"/>
              </w:rPr>
              <w:t>50</w:t>
            </w:r>
          </w:p>
        </w:tc>
      </w:tr>
      <w:tr w:rsidR="00C12A06" w:rsidRPr="00FC1444" w:rsidTr="00EB77FA">
        <w:trPr>
          <w:trHeight w:val="412"/>
          <w:jc w:val="center"/>
        </w:trPr>
        <w:tc>
          <w:tcPr>
            <w:tcW w:w="728" w:type="pct"/>
            <w:vMerge/>
            <w:vAlign w:val="center"/>
          </w:tcPr>
          <w:p w:rsidR="00C12A06" w:rsidRPr="00FC1444" w:rsidRDefault="00C12A06" w:rsidP="00EB77FA">
            <w:pPr>
              <w:jc w:val="center"/>
              <w:rPr>
                <w:rFonts w:eastAsiaTheme="minorEastAsia"/>
                <w:szCs w:val="21"/>
              </w:rPr>
            </w:pPr>
          </w:p>
        </w:tc>
        <w:tc>
          <w:tcPr>
            <w:tcW w:w="1213" w:type="pct"/>
            <w:vAlign w:val="center"/>
          </w:tcPr>
          <w:p w:rsidR="00C12A06" w:rsidRPr="00FC1444" w:rsidRDefault="00C12A06" w:rsidP="00EB77FA">
            <w:pPr>
              <w:jc w:val="center"/>
              <w:rPr>
                <w:szCs w:val="21"/>
              </w:rPr>
            </w:pPr>
            <w:r w:rsidRPr="00FC1444">
              <w:rPr>
                <w:rFonts w:hint="eastAsia"/>
                <w:color w:val="000000"/>
              </w:rPr>
              <w:t>△</w:t>
            </w:r>
            <w:r w:rsidRPr="00FC1444">
              <w:rPr>
                <w:rFonts w:hint="eastAsia"/>
                <w:color w:val="000000"/>
              </w:rPr>
              <w:t>2</w:t>
            </w:r>
            <w:r w:rsidRPr="00FC1444">
              <w:rPr>
                <w:rFonts w:hint="eastAsia"/>
                <w:color w:val="000000"/>
              </w:rPr>
              <w:t>张家窝棚</w:t>
            </w:r>
            <w:r w:rsidRPr="00FC1444">
              <w:rPr>
                <w:color w:val="000000"/>
              </w:rPr>
              <w:t>民房</w:t>
            </w:r>
          </w:p>
        </w:tc>
        <w:tc>
          <w:tcPr>
            <w:tcW w:w="488" w:type="pct"/>
            <w:shd w:val="clear" w:color="auto" w:fill="FFFFFF"/>
            <w:vAlign w:val="center"/>
          </w:tcPr>
          <w:p w:rsidR="00C12A06" w:rsidRPr="00FC1444" w:rsidRDefault="00C12A06" w:rsidP="00EB77FA">
            <w:pPr>
              <w:pStyle w:val="24"/>
              <w:spacing w:after="0" w:line="240" w:lineRule="auto"/>
              <w:jc w:val="center"/>
              <w:rPr>
                <w:rFonts w:ascii="Times New Roman" w:hAnsi="Times New Roman" w:cs="Times New Roman"/>
                <w:kern w:val="0"/>
                <w:sz w:val="21"/>
                <w:szCs w:val="21"/>
              </w:rPr>
            </w:pPr>
            <w:r w:rsidRPr="00FC1444">
              <w:rPr>
                <w:rFonts w:ascii="Times New Roman" w:hAnsi="Times New Roman" w:hint="eastAsia"/>
                <w:color w:val="000000"/>
                <w:sz w:val="21"/>
              </w:rPr>
              <w:t>08</w:t>
            </w:r>
            <w:r w:rsidRPr="00FC1444">
              <w:rPr>
                <w:rFonts w:ascii="Times New Roman" w:hAnsi="Times New Roman"/>
                <w:color w:val="000000"/>
                <w:sz w:val="21"/>
              </w:rPr>
              <w:t>:</w:t>
            </w:r>
            <w:r w:rsidRPr="00FC1444">
              <w:rPr>
                <w:rFonts w:ascii="Times New Roman" w:hAnsi="Times New Roman" w:hint="eastAsia"/>
                <w:color w:val="000000"/>
                <w:sz w:val="21"/>
              </w:rPr>
              <w:t>40</w:t>
            </w:r>
          </w:p>
        </w:tc>
        <w:tc>
          <w:tcPr>
            <w:tcW w:w="518" w:type="pct"/>
            <w:shd w:val="clear" w:color="auto" w:fill="FFFFFF"/>
            <w:vAlign w:val="center"/>
          </w:tcPr>
          <w:p w:rsidR="00C12A06" w:rsidRPr="00FC1444" w:rsidRDefault="00C12A06" w:rsidP="00EB77FA">
            <w:pPr>
              <w:snapToGrid w:val="0"/>
              <w:jc w:val="center"/>
              <w:rPr>
                <w:kern w:val="0"/>
                <w:szCs w:val="21"/>
              </w:rPr>
            </w:pPr>
            <w:r w:rsidRPr="00FC1444">
              <w:rPr>
                <w:rFonts w:hint="eastAsia"/>
                <w:kern w:val="0"/>
              </w:rPr>
              <w:t>51</w:t>
            </w:r>
          </w:p>
        </w:tc>
        <w:tc>
          <w:tcPr>
            <w:tcW w:w="534" w:type="pct"/>
            <w:vAlign w:val="center"/>
          </w:tcPr>
          <w:p w:rsidR="00C12A06" w:rsidRPr="00FC1444" w:rsidRDefault="00C12A06" w:rsidP="00EB77FA">
            <w:pPr>
              <w:snapToGrid w:val="0"/>
              <w:jc w:val="center"/>
              <w:rPr>
                <w:kern w:val="0"/>
                <w:szCs w:val="21"/>
              </w:rPr>
            </w:pPr>
            <w:r w:rsidRPr="00FC1444">
              <w:rPr>
                <w:rFonts w:hint="eastAsia"/>
                <w:kern w:val="0"/>
              </w:rPr>
              <w:t>55</w:t>
            </w:r>
          </w:p>
        </w:tc>
        <w:tc>
          <w:tcPr>
            <w:tcW w:w="534" w:type="pct"/>
            <w:vAlign w:val="center"/>
          </w:tcPr>
          <w:p w:rsidR="00C12A06" w:rsidRPr="00FC1444" w:rsidRDefault="00C12A06" w:rsidP="00EB77FA">
            <w:pPr>
              <w:pStyle w:val="24"/>
              <w:spacing w:after="0" w:line="240" w:lineRule="auto"/>
              <w:jc w:val="center"/>
              <w:rPr>
                <w:rFonts w:ascii="Times New Roman" w:hAnsi="Times New Roman" w:cs="Times New Roman"/>
                <w:kern w:val="0"/>
                <w:sz w:val="21"/>
                <w:szCs w:val="21"/>
              </w:rPr>
            </w:pPr>
            <w:r w:rsidRPr="00FC1444">
              <w:rPr>
                <w:rFonts w:ascii="Times New Roman" w:hAnsi="Times New Roman" w:hint="eastAsia"/>
                <w:color w:val="000000"/>
                <w:sz w:val="21"/>
              </w:rPr>
              <w:t>22</w:t>
            </w:r>
            <w:r w:rsidRPr="00FC1444">
              <w:rPr>
                <w:rFonts w:ascii="Times New Roman" w:hAnsi="Times New Roman"/>
                <w:color w:val="000000"/>
                <w:sz w:val="21"/>
              </w:rPr>
              <w:t>:</w:t>
            </w:r>
            <w:r w:rsidRPr="00FC1444">
              <w:rPr>
                <w:rFonts w:ascii="Times New Roman" w:hAnsi="Times New Roman" w:hint="eastAsia"/>
                <w:color w:val="000000"/>
                <w:sz w:val="21"/>
              </w:rPr>
              <w:t>40</w:t>
            </w:r>
          </w:p>
        </w:tc>
        <w:tc>
          <w:tcPr>
            <w:tcW w:w="494" w:type="pct"/>
            <w:vAlign w:val="center"/>
          </w:tcPr>
          <w:p w:rsidR="00C12A06" w:rsidRPr="00FC1444" w:rsidRDefault="00C12A06" w:rsidP="00EB77FA">
            <w:pPr>
              <w:snapToGrid w:val="0"/>
              <w:jc w:val="center"/>
              <w:rPr>
                <w:kern w:val="0"/>
                <w:szCs w:val="21"/>
              </w:rPr>
            </w:pPr>
            <w:r w:rsidRPr="00FC1444">
              <w:rPr>
                <w:rFonts w:hint="eastAsia"/>
                <w:kern w:val="0"/>
              </w:rPr>
              <w:t>41</w:t>
            </w:r>
          </w:p>
        </w:tc>
        <w:tc>
          <w:tcPr>
            <w:tcW w:w="491" w:type="pct"/>
            <w:vAlign w:val="center"/>
          </w:tcPr>
          <w:p w:rsidR="00C12A06" w:rsidRPr="00FC1444" w:rsidRDefault="00C12A06" w:rsidP="00EB77FA">
            <w:pPr>
              <w:snapToGrid w:val="0"/>
              <w:jc w:val="center"/>
              <w:rPr>
                <w:kern w:val="0"/>
                <w:szCs w:val="21"/>
              </w:rPr>
            </w:pPr>
            <w:r w:rsidRPr="00FC1444">
              <w:rPr>
                <w:rFonts w:hint="eastAsia"/>
                <w:kern w:val="0"/>
              </w:rPr>
              <w:t>45</w:t>
            </w:r>
          </w:p>
        </w:tc>
      </w:tr>
      <w:tr w:rsidR="00C12A06" w:rsidRPr="00FC1444" w:rsidTr="00EB77FA">
        <w:trPr>
          <w:trHeight w:val="412"/>
          <w:jc w:val="center"/>
        </w:trPr>
        <w:tc>
          <w:tcPr>
            <w:tcW w:w="728" w:type="pct"/>
            <w:vMerge/>
            <w:vAlign w:val="center"/>
          </w:tcPr>
          <w:p w:rsidR="00C12A06" w:rsidRPr="00FC1444" w:rsidRDefault="00C12A06" w:rsidP="00EB77FA">
            <w:pPr>
              <w:jc w:val="center"/>
              <w:rPr>
                <w:rFonts w:eastAsiaTheme="minorEastAsia"/>
                <w:szCs w:val="21"/>
              </w:rPr>
            </w:pPr>
          </w:p>
        </w:tc>
        <w:tc>
          <w:tcPr>
            <w:tcW w:w="1213" w:type="pct"/>
            <w:vAlign w:val="center"/>
          </w:tcPr>
          <w:p w:rsidR="00C12A06" w:rsidRPr="00FC1444" w:rsidRDefault="00C12A06" w:rsidP="00EB77FA">
            <w:pPr>
              <w:jc w:val="center"/>
              <w:rPr>
                <w:szCs w:val="21"/>
              </w:rPr>
            </w:pPr>
            <w:r w:rsidRPr="00FC1444">
              <w:rPr>
                <w:rFonts w:hint="eastAsia"/>
                <w:color w:val="000000"/>
              </w:rPr>
              <w:t>△</w:t>
            </w:r>
            <w:r w:rsidRPr="00FC1444">
              <w:rPr>
                <w:rFonts w:hint="eastAsia"/>
                <w:color w:val="000000"/>
              </w:rPr>
              <w:t>3</w:t>
            </w:r>
            <w:r w:rsidRPr="00FC1444">
              <w:rPr>
                <w:color w:val="000000"/>
              </w:rPr>
              <w:t>津河</w:t>
            </w:r>
            <w:r w:rsidRPr="00FC1444">
              <w:rPr>
                <w:rFonts w:hint="eastAsia"/>
                <w:color w:val="000000"/>
              </w:rPr>
              <w:t>镇</w:t>
            </w:r>
            <w:r w:rsidRPr="00FC1444">
              <w:rPr>
                <w:color w:val="000000"/>
              </w:rPr>
              <w:t>民房</w:t>
            </w:r>
          </w:p>
        </w:tc>
        <w:tc>
          <w:tcPr>
            <w:tcW w:w="488" w:type="pct"/>
            <w:shd w:val="clear" w:color="auto" w:fill="FFFFFF"/>
            <w:vAlign w:val="center"/>
          </w:tcPr>
          <w:p w:rsidR="00C12A06" w:rsidRPr="00FC1444" w:rsidRDefault="00C12A06" w:rsidP="00EB77FA">
            <w:pPr>
              <w:pStyle w:val="24"/>
              <w:spacing w:after="0" w:line="240" w:lineRule="auto"/>
              <w:jc w:val="center"/>
              <w:rPr>
                <w:rFonts w:ascii="Times New Roman" w:hAnsi="Times New Roman" w:cs="Times New Roman"/>
                <w:kern w:val="0"/>
                <w:sz w:val="21"/>
                <w:szCs w:val="21"/>
              </w:rPr>
            </w:pPr>
            <w:r w:rsidRPr="00FC1444">
              <w:rPr>
                <w:rFonts w:ascii="Times New Roman" w:hAnsi="Times New Roman" w:hint="eastAsia"/>
                <w:color w:val="000000"/>
                <w:sz w:val="21"/>
              </w:rPr>
              <w:t>09</w:t>
            </w:r>
            <w:r w:rsidRPr="00FC1444">
              <w:rPr>
                <w:rFonts w:ascii="Times New Roman" w:hAnsi="Times New Roman"/>
                <w:color w:val="000000"/>
                <w:sz w:val="21"/>
              </w:rPr>
              <w:t>:</w:t>
            </w:r>
            <w:r w:rsidRPr="00FC1444">
              <w:rPr>
                <w:rFonts w:ascii="Times New Roman" w:hAnsi="Times New Roman" w:hint="eastAsia"/>
                <w:color w:val="000000"/>
                <w:sz w:val="21"/>
              </w:rPr>
              <w:t>15</w:t>
            </w:r>
          </w:p>
        </w:tc>
        <w:tc>
          <w:tcPr>
            <w:tcW w:w="518" w:type="pct"/>
            <w:shd w:val="clear" w:color="auto" w:fill="FFFFFF"/>
            <w:vAlign w:val="center"/>
          </w:tcPr>
          <w:p w:rsidR="00C12A06" w:rsidRPr="00FC1444" w:rsidRDefault="00C12A06" w:rsidP="00EB77FA">
            <w:pPr>
              <w:snapToGrid w:val="0"/>
              <w:jc w:val="center"/>
              <w:rPr>
                <w:kern w:val="0"/>
                <w:szCs w:val="21"/>
              </w:rPr>
            </w:pPr>
            <w:r w:rsidRPr="00FC1444">
              <w:rPr>
                <w:rFonts w:hint="eastAsia"/>
                <w:kern w:val="0"/>
              </w:rPr>
              <w:t>53</w:t>
            </w:r>
          </w:p>
        </w:tc>
        <w:tc>
          <w:tcPr>
            <w:tcW w:w="534" w:type="pct"/>
            <w:vAlign w:val="center"/>
          </w:tcPr>
          <w:p w:rsidR="00C12A06" w:rsidRPr="00FC1444" w:rsidRDefault="00C12A06" w:rsidP="00EB77FA">
            <w:pPr>
              <w:snapToGrid w:val="0"/>
              <w:jc w:val="center"/>
              <w:rPr>
                <w:kern w:val="0"/>
                <w:szCs w:val="21"/>
              </w:rPr>
            </w:pPr>
            <w:r w:rsidRPr="00FC1444">
              <w:rPr>
                <w:rFonts w:hint="eastAsia"/>
                <w:kern w:val="0"/>
              </w:rPr>
              <w:t>55</w:t>
            </w:r>
          </w:p>
        </w:tc>
        <w:tc>
          <w:tcPr>
            <w:tcW w:w="534" w:type="pct"/>
            <w:vAlign w:val="center"/>
          </w:tcPr>
          <w:p w:rsidR="00C12A06" w:rsidRPr="00FC1444" w:rsidRDefault="00C12A06" w:rsidP="00EB77FA">
            <w:pPr>
              <w:pStyle w:val="24"/>
              <w:spacing w:after="0" w:line="240" w:lineRule="auto"/>
              <w:jc w:val="center"/>
              <w:rPr>
                <w:rFonts w:ascii="Times New Roman" w:hAnsi="Times New Roman" w:cs="Times New Roman"/>
                <w:kern w:val="0"/>
                <w:sz w:val="21"/>
                <w:szCs w:val="21"/>
              </w:rPr>
            </w:pPr>
            <w:r w:rsidRPr="00FC1444">
              <w:rPr>
                <w:rFonts w:ascii="Times New Roman" w:hAnsi="Times New Roman" w:hint="eastAsia"/>
                <w:color w:val="000000"/>
                <w:sz w:val="21"/>
              </w:rPr>
              <w:t>23</w:t>
            </w:r>
            <w:r w:rsidRPr="00FC1444">
              <w:rPr>
                <w:rFonts w:ascii="Times New Roman" w:hAnsi="Times New Roman"/>
                <w:color w:val="000000"/>
                <w:sz w:val="21"/>
              </w:rPr>
              <w:t>:</w:t>
            </w:r>
            <w:r w:rsidRPr="00FC1444">
              <w:rPr>
                <w:rFonts w:ascii="Times New Roman" w:hAnsi="Times New Roman" w:hint="eastAsia"/>
                <w:color w:val="000000"/>
                <w:sz w:val="21"/>
              </w:rPr>
              <w:t>15</w:t>
            </w:r>
          </w:p>
        </w:tc>
        <w:tc>
          <w:tcPr>
            <w:tcW w:w="494" w:type="pct"/>
            <w:vAlign w:val="center"/>
          </w:tcPr>
          <w:p w:rsidR="00C12A06" w:rsidRPr="00FC1444" w:rsidRDefault="00C12A06" w:rsidP="00EB77FA">
            <w:pPr>
              <w:snapToGrid w:val="0"/>
              <w:jc w:val="center"/>
              <w:rPr>
                <w:kern w:val="0"/>
                <w:szCs w:val="21"/>
              </w:rPr>
            </w:pPr>
            <w:r w:rsidRPr="00FC1444">
              <w:rPr>
                <w:rFonts w:hint="eastAsia"/>
                <w:kern w:val="0"/>
              </w:rPr>
              <w:t>41</w:t>
            </w:r>
          </w:p>
        </w:tc>
        <w:tc>
          <w:tcPr>
            <w:tcW w:w="491" w:type="pct"/>
            <w:vAlign w:val="center"/>
          </w:tcPr>
          <w:p w:rsidR="00C12A06" w:rsidRPr="00FC1444" w:rsidRDefault="00C12A06" w:rsidP="00EB77FA">
            <w:pPr>
              <w:snapToGrid w:val="0"/>
              <w:jc w:val="center"/>
              <w:rPr>
                <w:kern w:val="0"/>
                <w:szCs w:val="21"/>
              </w:rPr>
            </w:pPr>
            <w:r w:rsidRPr="00FC1444">
              <w:rPr>
                <w:rFonts w:hint="eastAsia"/>
                <w:kern w:val="0"/>
              </w:rPr>
              <w:t>45</w:t>
            </w:r>
          </w:p>
        </w:tc>
      </w:tr>
      <w:tr w:rsidR="00C12A06" w:rsidRPr="00FC1444" w:rsidTr="00EB77FA">
        <w:trPr>
          <w:trHeight w:val="412"/>
          <w:jc w:val="center"/>
        </w:trPr>
        <w:tc>
          <w:tcPr>
            <w:tcW w:w="728" w:type="pct"/>
            <w:vMerge/>
            <w:vAlign w:val="center"/>
          </w:tcPr>
          <w:p w:rsidR="00C12A06" w:rsidRPr="00FC1444" w:rsidRDefault="00C12A06" w:rsidP="00EB77FA">
            <w:pPr>
              <w:jc w:val="center"/>
              <w:rPr>
                <w:rFonts w:eastAsiaTheme="minorEastAsia"/>
                <w:szCs w:val="21"/>
              </w:rPr>
            </w:pPr>
          </w:p>
        </w:tc>
        <w:tc>
          <w:tcPr>
            <w:tcW w:w="1213" w:type="pct"/>
            <w:vAlign w:val="center"/>
          </w:tcPr>
          <w:p w:rsidR="00C12A06" w:rsidRPr="00FC1444" w:rsidRDefault="00C12A06" w:rsidP="00EB77FA">
            <w:pPr>
              <w:jc w:val="center"/>
              <w:rPr>
                <w:szCs w:val="21"/>
              </w:rPr>
            </w:pPr>
            <w:r w:rsidRPr="00FC1444">
              <w:rPr>
                <w:rFonts w:hint="eastAsia"/>
                <w:color w:val="000000"/>
              </w:rPr>
              <w:t>△</w:t>
            </w:r>
            <w:r w:rsidRPr="00FC1444">
              <w:rPr>
                <w:rFonts w:hint="eastAsia"/>
                <w:color w:val="000000"/>
              </w:rPr>
              <w:t>4</w:t>
            </w:r>
            <w:r w:rsidRPr="00FC1444">
              <w:rPr>
                <w:color w:val="000000"/>
              </w:rPr>
              <w:t>东围村民房</w:t>
            </w:r>
          </w:p>
        </w:tc>
        <w:tc>
          <w:tcPr>
            <w:tcW w:w="488" w:type="pct"/>
            <w:shd w:val="clear" w:color="auto" w:fill="FFFFFF"/>
            <w:vAlign w:val="center"/>
          </w:tcPr>
          <w:p w:rsidR="00C12A06" w:rsidRPr="00FC1444" w:rsidRDefault="00C12A06" w:rsidP="00EB77FA">
            <w:pPr>
              <w:pStyle w:val="24"/>
              <w:spacing w:after="0" w:line="240" w:lineRule="auto"/>
              <w:jc w:val="center"/>
              <w:rPr>
                <w:rFonts w:ascii="Times New Roman" w:hAnsi="Times New Roman" w:cs="Times New Roman"/>
                <w:kern w:val="0"/>
                <w:sz w:val="21"/>
                <w:szCs w:val="21"/>
              </w:rPr>
            </w:pPr>
            <w:r w:rsidRPr="00FC1444">
              <w:rPr>
                <w:rFonts w:ascii="Times New Roman" w:hAnsi="Times New Roman" w:hint="eastAsia"/>
                <w:color w:val="000000"/>
                <w:sz w:val="21"/>
              </w:rPr>
              <w:t>10</w:t>
            </w:r>
            <w:r w:rsidRPr="00FC1444">
              <w:rPr>
                <w:rFonts w:ascii="Times New Roman" w:hAnsi="Times New Roman"/>
                <w:color w:val="000000"/>
                <w:sz w:val="21"/>
              </w:rPr>
              <w:t>:</w:t>
            </w:r>
            <w:r w:rsidRPr="00FC1444">
              <w:rPr>
                <w:rFonts w:ascii="Times New Roman" w:hAnsi="Times New Roman" w:hint="eastAsia"/>
                <w:color w:val="000000"/>
                <w:sz w:val="21"/>
              </w:rPr>
              <w:t>00</w:t>
            </w:r>
          </w:p>
        </w:tc>
        <w:tc>
          <w:tcPr>
            <w:tcW w:w="518" w:type="pct"/>
            <w:shd w:val="clear" w:color="auto" w:fill="FFFFFF"/>
            <w:vAlign w:val="center"/>
          </w:tcPr>
          <w:p w:rsidR="00C12A06" w:rsidRPr="00FC1444" w:rsidRDefault="00C12A06" w:rsidP="00EB77FA">
            <w:pPr>
              <w:snapToGrid w:val="0"/>
              <w:jc w:val="center"/>
              <w:rPr>
                <w:kern w:val="0"/>
                <w:szCs w:val="21"/>
              </w:rPr>
            </w:pPr>
            <w:r w:rsidRPr="00FC1444">
              <w:rPr>
                <w:rFonts w:hint="eastAsia"/>
                <w:kern w:val="0"/>
              </w:rPr>
              <w:t>51</w:t>
            </w:r>
          </w:p>
        </w:tc>
        <w:tc>
          <w:tcPr>
            <w:tcW w:w="534" w:type="pct"/>
            <w:vAlign w:val="center"/>
          </w:tcPr>
          <w:p w:rsidR="00C12A06" w:rsidRPr="00FC1444" w:rsidRDefault="00C12A06" w:rsidP="00EB77FA">
            <w:pPr>
              <w:snapToGrid w:val="0"/>
              <w:jc w:val="center"/>
              <w:rPr>
                <w:kern w:val="0"/>
                <w:szCs w:val="21"/>
              </w:rPr>
            </w:pPr>
            <w:r w:rsidRPr="00FC1444">
              <w:rPr>
                <w:rFonts w:hint="eastAsia"/>
                <w:kern w:val="0"/>
              </w:rPr>
              <w:t>55</w:t>
            </w:r>
          </w:p>
        </w:tc>
        <w:tc>
          <w:tcPr>
            <w:tcW w:w="534" w:type="pct"/>
            <w:vAlign w:val="center"/>
          </w:tcPr>
          <w:p w:rsidR="00C12A06" w:rsidRPr="00FC1444" w:rsidRDefault="00C12A06" w:rsidP="00EB77FA">
            <w:pPr>
              <w:pStyle w:val="24"/>
              <w:spacing w:after="0" w:line="240" w:lineRule="auto"/>
              <w:jc w:val="center"/>
              <w:rPr>
                <w:rFonts w:ascii="Times New Roman" w:hAnsi="Times New Roman" w:cs="Times New Roman"/>
                <w:kern w:val="0"/>
                <w:sz w:val="21"/>
                <w:szCs w:val="21"/>
              </w:rPr>
            </w:pPr>
            <w:r w:rsidRPr="00FC1444">
              <w:rPr>
                <w:rFonts w:ascii="Times New Roman" w:hAnsi="Times New Roman" w:hint="eastAsia"/>
                <w:color w:val="000000"/>
                <w:sz w:val="21"/>
              </w:rPr>
              <w:t>23</w:t>
            </w:r>
            <w:r w:rsidRPr="00FC1444">
              <w:rPr>
                <w:rFonts w:ascii="Times New Roman" w:hAnsi="Times New Roman"/>
                <w:color w:val="000000"/>
                <w:sz w:val="21"/>
              </w:rPr>
              <w:t>:</w:t>
            </w:r>
            <w:r w:rsidRPr="00FC1444">
              <w:rPr>
                <w:rFonts w:ascii="Times New Roman" w:hAnsi="Times New Roman" w:hint="eastAsia"/>
                <w:color w:val="000000"/>
                <w:sz w:val="21"/>
              </w:rPr>
              <w:t>50</w:t>
            </w:r>
          </w:p>
        </w:tc>
        <w:tc>
          <w:tcPr>
            <w:tcW w:w="494" w:type="pct"/>
            <w:vAlign w:val="center"/>
          </w:tcPr>
          <w:p w:rsidR="00C12A06" w:rsidRPr="00FC1444" w:rsidRDefault="00C12A06" w:rsidP="00EB77FA">
            <w:pPr>
              <w:snapToGrid w:val="0"/>
              <w:jc w:val="center"/>
              <w:rPr>
                <w:kern w:val="0"/>
                <w:szCs w:val="21"/>
              </w:rPr>
            </w:pPr>
            <w:r w:rsidRPr="00FC1444">
              <w:rPr>
                <w:rFonts w:hint="eastAsia"/>
                <w:kern w:val="0"/>
              </w:rPr>
              <w:t>40</w:t>
            </w:r>
          </w:p>
        </w:tc>
        <w:tc>
          <w:tcPr>
            <w:tcW w:w="491" w:type="pct"/>
            <w:vAlign w:val="center"/>
          </w:tcPr>
          <w:p w:rsidR="00C12A06" w:rsidRPr="00FC1444" w:rsidRDefault="00C12A06" w:rsidP="00EB77FA">
            <w:pPr>
              <w:snapToGrid w:val="0"/>
              <w:jc w:val="center"/>
              <w:rPr>
                <w:kern w:val="0"/>
                <w:szCs w:val="21"/>
              </w:rPr>
            </w:pPr>
            <w:r w:rsidRPr="00FC1444">
              <w:rPr>
                <w:rFonts w:hint="eastAsia"/>
                <w:kern w:val="0"/>
              </w:rPr>
              <w:t>45</w:t>
            </w:r>
          </w:p>
        </w:tc>
      </w:tr>
    </w:tbl>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4.2.4.2</w:t>
      </w:r>
      <w:r w:rsidRPr="00FC1444">
        <w:rPr>
          <w:rFonts w:eastAsiaTheme="minorEastAsia"/>
          <w:b/>
          <w:sz w:val="24"/>
        </w:rPr>
        <w:t>声环境质量现状评价</w:t>
      </w:r>
    </w:p>
    <w:p w:rsidR="002A5A5E" w:rsidRPr="00FC1444" w:rsidRDefault="00611CBA">
      <w:pPr>
        <w:spacing w:line="360" w:lineRule="auto"/>
        <w:ind w:firstLineChars="210" w:firstLine="504"/>
        <w:rPr>
          <w:rFonts w:eastAsiaTheme="minorEastAsia"/>
          <w:sz w:val="24"/>
          <w:lang w:val="zh-CN"/>
        </w:rPr>
      </w:pPr>
      <w:r w:rsidRPr="00FC1444">
        <w:rPr>
          <w:rFonts w:eastAsiaTheme="minorEastAsia"/>
          <w:sz w:val="24"/>
          <w:lang w:val="zh-CN"/>
        </w:rPr>
        <w:t>（</w:t>
      </w:r>
      <w:r w:rsidRPr="00FC1444">
        <w:rPr>
          <w:rFonts w:eastAsiaTheme="minorEastAsia"/>
          <w:sz w:val="24"/>
          <w:lang w:val="zh-CN"/>
        </w:rPr>
        <w:t>1</w:t>
      </w:r>
      <w:r w:rsidRPr="00FC1444">
        <w:rPr>
          <w:rFonts w:eastAsiaTheme="minorEastAsia"/>
          <w:sz w:val="24"/>
          <w:lang w:val="zh-CN"/>
        </w:rPr>
        <w:t>）评价因子</w:t>
      </w:r>
    </w:p>
    <w:p w:rsidR="002A5A5E" w:rsidRPr="00FC1444" w:rsidRDefault="00611CBA">
      <w:pPr>
        <w:spacing w:line="360" w:lineRule="auto"/>
        <w:ind w:firstLineChars="210" w:firstLine="504"/>
        <w:rPr>
          <w:rFonts w:eastAsiaTheme="minorEastAsia"/>
          <w:sz w:val="24"/>
          <w:lang w:val="zh-CN"/>
        </w:rPr>
      </w:pPr>
      <w:r w:rsidRPr="00FC1444">
        <w:rPr>
          <w:rFonts w:eastAsiaTheme="minorEastAsia"/>
          <w:sz w:val="24"/>
          <w:lang w:val="zh-CN"/>
        </w:rPr>
        <w:t>选择等效连续</w:t>
      </w:r>
      <w:r w:rsidRPr="00FC1444">
        <w:rPr>
          <w:rFonts w:eastAsiaTheme="minorEastAsia"/>
          <w:sz w:val="24"/>
          <w:lang w:val="zh-CN"/>
        </w:rPr>
        <w:t>A</w:t>
      </w:r>
      <w:r w:rsidRPr="00FC1444">
        <w:rPr>
          <w:rFonts w:eastAsiaTheme="minorEastAsia"/>
          <w:sz w:val="24"/>
          <w:lang w:val="zh-CN"/>
        </w:rPr>
        <w:t>声级</w:t>
      </w:r>
      <w:r w:rsidRPr="00FC1444">
        <w:rPr>
          <w:rFonts w:eastAsiaTheme="minorEastAsia"/>
          <w:sz w:val="24"/>
          <w:lang w:val="zh-CN"/>
        </w:rPr>
        <w:t>Leq</w:t>
      </w:r>
      <w:r w:rsidRPr="00FC1444">
        <w:rPr>
          <w:rFonts w:eastAsiaTheme="minorEastAsia"/>
          <w:sz w:val="24"/>
          <w:lang w:val="zh-CN"/>
        </w:rPr>
        <w:t>（</w:t>
      </w:r>
      <w:r w:rsidRPr="00FC1444">
        <w:rPr>
          <w:rFonts w:eastAsiaTheme="minorEastAsia"/>
          <w:sz w:val="24"/>
          <w:lang w:val="zh-CN"/>
        </w:rPr>
        <w:t>A</w:t>
      </w:r>
      <w:r w:rsidRPr="00FC1444">
        <w:rPr>
          <w:rFonts w:eastAsiaTheme="minorEastAsia"/>
          <w:sz w:val="24"/>
          <w:lang w:val="zh-CN"/>
        </w:rPr>
        <w:t>）为本项目环境噪声的评价因子。</w:t>
      </w:r>
    </w:p>
    <w:p w:rsidR="002A5A5E" w:rsidRPr="00FC1444" w:rsidRDefault="00611CBA">
      <w:pPr>
        <w:spacing w:line="360" w:lineRule="auto"/>
        <w:ind w:firstLineChars="210" w:firstLine="504"/>
        <w:rPr>
          <w:rFonts w:eastAsiaTheme="minorEastAsia"/>
          <w:sz w:val="24"/>
          <w:lang w:val="zh-CN"/>
        </w:rPr>
      </w:pPr>
      <w:r w:rsidRPr="00FC1444">
        <w:rPr>
          <w:rFonts w:eastAsiaTheme="minorEastAsia"/>
          <w:sz w:val="24"/>
          <w:lang w:val="zh-CN"/>
        </w:rPr>
        <w:t>（</w:t>
      </w:r>
      <w:r w:rsidRPr="00FC1444">
        <w:rPr>
          <w:rFonts w:eastAsiaTheme="minorEastAsia"/>
          <w:sz w:val="24"/>
          <w:lang w:val="zh-CN"/>
        </w:rPr>
        <w:t>2</w:t>
      </w:r>
      <w:r w:rsidRPr="00FC1444">
        <w:rPr>
          <w:rFonts w:eastAsiaTheme="minorEastAsia"/>
          <w:sz w:val="24"/>
          <w:lang w:val="zh-CN"/>
        </w:rPr>
        <w:t>）评价方法</w:t>
      </w:r>
    </w:p>
    <w:p w:rsidR="002A5A5E" w:rsidRPr="00FC1444" w:rsidRDefault="00611CBA">
      <w:pPr>
        <w:spacing w:line="360" w:lineRule="auto"/>
        <w:ind w:firstLineChars="210" w:firstLine="504"/>
        <w:rPr>
          <w:rFonts w:eastAsiaTheme="minorEastAsia"/>
          <w:sz w:val="24"/>
          <w:lang w:val="zh-CN"/>
        </w:rPr>
      </w:pPr>
      <w:r w:rsidRPr="00FC1444">
        <w:rPr>
          <w:rFonts w:eastAsiaTheme="minorEastAsia"/>
          <w:sz w:val="24"/>
          <w:lang w:val="zh-CN"/>
        </w:rPr>
        <w:t>直接比较法。</w:t>
      </w:r>
    </w:p>
    <w:p w:rsidR="002A5A5E" w:rsidRPr="00FC1444" w:rsidRDefault="00611CBA">
      <w:pPr>
        <w:spacing w:line="360" w:lineRule="auto"/>
        <w:ind w:firstLineChars="210" w:firstLine="504"/>
        <w:rPr>
          <w:rFonts w:eastAsiaTheme="minorEastAsia"/>
          <w:sz w:val="24"/>
          <w:lang w:val="zh-CN"/>
        </w:rPr>
      </w:pPr>
      <w:r w:rsidRPr="00FC1444">
        <w:rPr>
          <w:rFonts w:eastAsiaTheme="minorEastAsia"/>
          <w:sz w:val="24"/>
          <w:lang w:val="zh-CN"/>
        </w:rPr>
        <w:t>（</w:t>
      </w:r>
      <w:r w:rsidRPr="00FC1444">
        <w:rPr>
          <w:rFonts w:eastAsiaTheme="minorEastAsia"/>
          <w:sz w:val="24"/>
          <w:lang w:val="zh-CN"/>
        </w:rPr>
        <w:t>3</w:t>
      </w:r>
      <w:r w:rsidRPr="00FC1444">
        <w:rPr>
          <w:rFonts w:eastAsiaTheme="minorEastAsia"/>
          <w:sz w:val="24"/>
          <w:lang w:val="zh-CN"/>
        </w:rPr>
        <w:t>）评价标准</w:t>
      </w:r>
    </w:p>
    <w:p w:rsidR="002A5A5E" w:rsidRPr="00FC1444" w:rsidRDefault="00611CBA">
      <w:pPr>
        <w:spacing w:line="360" w:lineRule="auto"/>
        <w:ind w:firstLineChars="210" w:firstLine="504"/>
        <w:rPr>
          <w:rFonts w:eastAsiaTheme="minorEastAsia"/>
          <w:sz w:val="24"/>
          <w:lang w:val="zh-CN"/>
        </w:rPr>
      </w:pPr>
      <w:r w:rsidRPr="00FC1444">
        <w:rPr>
          <w:rFonts w:eastAsiaTheme="minorEastAsia"/>
          <w:sz w:val="24"/>
          <w:lang w:val="zh-CN"/>
        </w:rPr>
        <w:t>评价标准采用《声环境质量标准》（</w:t>
      </w:r>
      <w:r w:rsidRPr="00FC1444">
        <w:rPr>
          <w:rFonts w:eastAsiaTheme="minorEastAsia"/>
          <w:sz w:val="24"/>
          <w:lang w:val="zh-CN"/>
        </w:rPr>
        <w:t>GB3096-2008</w:t>
      </w:r>
      <w:r w:rsidRPr="00FC1444">
        <w:rPr>
          <w:rFonts w:eastAsiaTheme="minorEastAsia"/>
          <w:sz w:val="24"/>
          <w:lang w:val="zh-CN"/>
        </w:rPr>
        <w:t>）中的</w:t>
      </w:r>
      <w:r w:rsidRPr="00FC1444">
        <w:rPr>
          <w:rFonts w:eastAsiaTheme="minorEastAsia"/>
          <w:sz w:val="24"/>
          <w:lang w:val="zh-CN"/>
        </w:rPr>
        <w:t>1</w:t>
      </w:r>
      <w:r w:rsidRPr="00FC1444">
        <w:rPr>
          <w:rFonts w:eastAsiaTheme="minorEastAsia"/>
          <w:sz w:val="24"/>
          <w:lang w:val="zh-CN"/>
        </w:rPr>
        <w:t>类标准及</w:t>
      </w:r>
      <w:r w:rsidRPr="00FC1444">
        <w:rPr>
          <w:rFonts w:eastAsiaTheme="minorEastAsia"/>
          <w:sz w:val="24"/>
          <w:lang w:val="zh-CN"/>
        </w:rPr>
        <w:t>2</w:t>
      </w:r>
      <w:r w:rsidRPr="00FC1444">
        <w:rPr>
          <w:rFonts w:eastAsiaTheme="minorEastAsia"/>
          <w:sz w:val="24"/>
          <w:lang w:val="zh-CN"/>
        </w:rPr>
        <w:t>类标准，</w:t>
      </w:r>
      <w:r w:rsidRPr="00FC1444">
        <w:rPr>
          <w:rFonts w:eastAsiaTheme="minorEastAsia"/>
          <w:sz w:val="24"/>
          <w:lang w:val="zh-CN"/>
        </w:rPr>
        <w:t>1</w:t>
      </w:r>
      <w:r w:rsidRPr="00FC1444">
        <w:rPr>
          <w:rFonts w:eastAsiaTheme="minorEastAsia"/>
          <w:sz w:val="24"/>
          <w:lang w:val="zh-CN"/>
        </w:rPr>
        <w:t>类：昼间</w:t>
      </w:r>
      <w:r w:rsidRPr="00FC1444">
        <w:rPr>
          <w:rFonts w:eastAsiaTheme="minorEastAsia"/>
          <w:sz w:val="24"/>
          <w:lang w:val="zh-CN"/>
        </w:rPr>
        <w:t>55dB(A)</w:t>
      </w:r>
      <w:r w:rsidRPr="00FC1444">
        <w:rPr>
          <w:rFonts w:eastAsiaTheme="minorEastAsia"/>
          <w:sz w:val="24"/>
          <w:lang w:val="zh-CN"/>
        </w:rPr>
        <w:t>，夜间</w:t>
      </w:r>
      <w:r w:rsidRPr="00FC1444">
        <w:rPr>
          <w:rFonts w:eastAsiaTheme="minorEastAsia"/>
          <w:sz w:val="24"/>
          <w:lang w:val="zh-CN"/>
        </w:rPr>
        <w:t>45dB(A)</w:t>
      </w:r>
      <w:r w:rsidRPr="00FC1444">
        <w:rPr>
          <w:rFonts w:eastAsiaTheme="minorEastAsia"/>
          <w:sz w:val="24"/>
          <w:lang w:val="zh-CN"/>
        </w:rPr>
        <w:t>，</w:t>
      </w:r>
      <w:r w:rsidRPr="00FC1444">
        <w:rPr>
          <w:rFonts w:eastAsiaTheme="minorEastAsia"/>
          <w:sz w:val="24"/>
          <w:lang w:val="zh-CN"/>
        </w:rPr>
        <w:t>2</w:t>
      </w:r>
      <w:r w:rsidRPr="00FC1444">
        <w:rPr>
          <w:rFonts w:eastAsiaTheme="minorEastAsia"/>
          <w:sz w:val="24"/>
          <w:lang w:val="zh-CN"/>
        </w:rPr>
        <w:t>类：昼间</w:t>
      </w:r>
      <w:r w:rsidRPr="00FC1444">
        <w:rPr>
          <w:rFonts w:eastAsiaTheme="minorEastAsia"/>
          <w:sz w:val="24"/>
          <w:lang w:val="zh-CN"/>
        </w:rPr>
        <w:t>60dB(A)</w:t>
      </w:r>
      <w:r w:rsidRPr="00FC1444">
        <w:rPr>
          <w:rFonts w:eastAsiaTheme="minorEastAsia"/>
          <w:sz w:val="24"/>
          <w:lang w:val="zh-CN"/>
        </w:rPr>
        <w:t>，夜间</w:t>
      </w:r>
      <w:r w:rsidRPr="00FC1444">
        <w:rPr>
          <w:rFonts w:eastAsiaTheme="minorEastAsia"/>
          <w:sz w:val="24"/>
          <w:lang w:val="zh-CN"/>
        </w:rPr>
        <w:t>50dB(A)</w:t>
      </w:r>
      <w:r w:rsidRPr="00FC1444">
        <w:rPr>
          <w:rFonts w:eastAsiaTheme="minorEastAsia"/>
          <w:sz w:val="24"/>
          <w:lang w:val="zh-CN"/>
        </w:rPr>
        <w:t>。</w:t>
      </w:r>
    </w:p>
    <w:p w:rsidR="002A5A5E" w:rsidRPr="00FC1444" w:rsidRDefault="00611CBA">
      <w:pPr>
        <w:spacing w:line="360" w:lineRule="auto"/>
        <w:ind w:firstLineChars="210" w:firstLine="504"/>
        <w:rPr>
          <w:rFonts w:eastAsiaTheme="minorEastAsia"/>
          <w:sz w:val="24"/>
          <w:lang w:val="zh-CN"/>
        </w:rPr>
      </w:pPr>
      <w:r w:rsidRPr="00FC1444">
        <w:rPr>
          <w:rFonts w:eastAsiaTheme="minorEastAsia"/>
          <w:sz w:val="24"/>
          <w:lang w:val="zh-CN"/>
        </w:rPr>
        <w:t>（</w:t>
      </w:r>
      <w:r w:rsidRPr="00FC1444">
        <w:rPr>
          <w:rFonts w:eastAsiaTheme="minorEastAsia"/>
          <w:sz w:val="24"/>
          <w:lang w:val="zh-CN"/>
        </w:rPr>
        <w:t>4</w:t>
      </w:r>
      <w:r w:rsidRPr="00FC1444">
        <w:rPr>
          <w:rFonts w:eastAsiaTheme="minorEastAsia"/>
          <w:sz w:val="24"/>
          <w:lang w:val="zh-CN"/>
        </w:rPr>
        <w:t>）评价结论</w:t>
      </w:r>
    </w:p>
    <w:p w:rsidR="002A5A5E" w:rsidRPr="00FC1444" w:rsidRDefault="00611CBA">
      <w:pPr>
        <w:spacing w:line="360" w:lineRule="auto"/>
        <w:ind w:firstLineChars="210" w:firstLine="504"/>
        <w:rPr>
          <w:rFonts w:eastAsiaTheme="minorEastAsia"/>
          <w:sz w:val="24"/>
          <w:lang w:val="zh-CN"/>
        </w:rPr>
      </w:pPr>
      <w:r w:rsidRPr="00FC1444">
        <w:rPr>
          <w:rFonts w:eastAsiaTheme="minorEastAsia"/>
          <w:sz w:val="24"/>
          <w:lang w:val="zh-CN"/>
        </w:rPr>
        <w:t>通过将环境噪声现状监测结果与标准比较，</w:t>
      </w:r>
      <w:r w:rsidR="00B5448F" w:rsidRPr="00FC1444">
        <w:rPr>
          <w:rFonts w:eastAsiaTheme="minorEastAsia"/>
          <w:sz w:val="24"/>
        </w:rPr>
        <w:t>评价区津河镇现状值满足《声环境质量标准》（</w:t>
      </w:r>
      <w:r w:rsidR="00B5448F" w:rsidRPr="00FC1444">
        <w:rPr>
          <w:rFonts w:eastAsiaTheme="minorEastAsia"/>
          <w:sz w:val="24"/>
        </w:rPr>
        <w:t>GB3096-2008</w:t>
      </w:r>
      <w:r w:rsidR="00B5448F" w:rsidRPr="00FC1444">
        <w:rPr>
          <w:rFonts w:eastAsiaTheme="minorEastAsia"/>
          <w:sz w:val="24"/>
        </w:rPr>
        <w:t>）</w:t>
      </w:r>
      <w:r w:rsidR="00B5448F" w:rsidRPr="00FC1444">
        <w:rPr>
          <w:rFonts w:eastAsiaTheme="minorEastAsia"/>
          <w:sz w:val="24"/>
        </w:rPr>
        <w:t>2</w:t>
      </w:r>
      <w:r w:rsidR="00B5448F" w:rsidRPr="00FC1444">
        <w:rPr>
          <w:rFonts w:eastAsiaTheme="minorEastAsia"/>
          <w:sz w:val="24"/>
        </w:rPr>
        <w:t>类标准，其余噪声敏感点满足</w:t>
      </w:r>
      <w:r w:rsidR="00B5448F" w:rsidRPr="00FC1444">
        <w:rPr>
          <w:rFonts w:eastAsiaTheme="minorEastAsia"/>
          <w:sz w:val="24"/>
        </w:rPr>
        <w:t>1</w:t>
      </w:r>
      <w:r w:rsidR="00B5448F" w:rsidRPr="00FC1444">
        <w:rPr>
          <w:rFonts w:eastAsiaTheme="minorEastAsia"/>
          <w:sz w:val="24"/>
        </w:rPr>
        <w:t>类标准</w:t>
      </w:r>
      <w:r w:rsidRPr="00FC1444">
        <w:rPr>
          <w:rFonts w:eastAsiaTheme="minorEastAsia"/>
          <w:sz w:val="24"/>
          <w:lang w:val="zh-CN"/>
        </w:rPr>
        <w:t>。</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4.2.5</w:t>
      </w:r>
      <w:r w:rsidRPr="00FC1444">
        <w:rPr>
          <w:rFonts w:eastAsiaTheme="minorEastAsia"/>
          <w:b/>
          <w:sz w:val="28"/>
          <w:szCs w:val="28"/>
        </w:rPr>
        <w:t>土壤质量评价</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4.2.5.1</w:t>
      </w:r>
      <w:r w:rsidRPr="00FC1444">
        <w:rPr>
          <w:rFonts w:eastAsiaTheme="minorEastAsia"/>
          <w:b/>
          <w:sz w:val="24"/>
        </w:rPr>
        <w:t>土壤现状监测</w:t>
      </w:r>
    </w:p>
    <w:p w:rsidR="002A5A5E" w:rsidRPr="00FC1444" w:rsidRDefault="00611CBA">
      <w:pPr>
        <w:pStyle w:val="aff4"/>
        <w:adjustRightInd/>
        <w:snapToGrid/>
        <w:rPr>
          <w:rFonts w:ascii="Times New Roman" w:hAnsi="Times New Roman" w:cs="Times New Roman"/>
        </w:rPr>
      </w:pPr>
      <w:r w:rsidRPr="00FC1444">
        <w:rPr>
          <w:rFonts w:ascii="Times New Roman" w:hAnsi="Times New Roman" w:cs="Times New Roman"/>
        </w:rPr>
        <w:t>根据《中国土壤分类与代码》</w:t>
      </w:r>
      <w:r w:rsidRPr="00FC1444">
        <w:rPr>
          <w:rFonts w:ascii="Times New Roman" w:hAnsi="Times New Roman" w:cs="Times New Roman"/>
        </w:rPr>
        <w:t>(GB/T17296-2009)</w:t>
      </w:r>
      <w:r w:rsidRPr="00FC1444">
        <w:rPr>
          <w:rFonts w:ascii="Times New Roman" w:hAnsi="Times New Roman" w:cs="Times New Roman"/>
        </w:rPr>
        <w:t>和国家土壤信息服务平台提供的数据，本项目调查和评价范围土壤类型为</w:t>
      </w:r>
      <w:r w:rsidR="00542666" w:rsidRPr="00FC1444">
        <w:rPr>
          <w:rFonts w:ascii="Times New Roman" w:hAnsi="Times New Roman" w:cs="Times New Roman"/>
        </w:rPr>
        <w:t>普通</w:t>
      </w:r>
      <w:r w:rsidR="001E165D" w:rsidRPr="00FC1444">
        <w:rPr>
          <w:rFonts w:ascii="Times New Roman" w:hAnsi="Times New Roman" w:cs="Times New Roman"/>
        </w:rPr>
        <w:t>黑土</w:t>
      </w:r>
      <w:r w:rsidR="00542666" w:rsidRPr="00FC1444">
        <w:rPr>
          <w:rFonts w:ascii="Times New Roman" w:hAnsi="Times New Roman" w:cs="Times New Roman"/>
        </w:rPr>
        <w:t>、普通潜育土、潜育水稻土</w:t>
      </w:r>
      <w:r w:rsidRPr="00FC1444">
        <w:rPr>
          <w:rFonts w:ascii="Times New Roman" w:hAnsi="Times New Roman" w:cs="Times New Roman"/>
        </w:rPr>
        <w:t>。</w:t>
      </w:r>
    </w:p>
    <w:p w:rsidR="001E165D" w:rsidRPr="00FC1444" w:rsidRDefault="00542666" w:rsidP="001E165D">
      <w:pPr>
        <w:pStyle w:val="aff4"/>
        <w:adjustRightInd/>
        <w:snapToGrid/>
        <w:ind w:firstLineChars="0" w:firstLine="0"/>
        <w:rPr>
          <w:rFonts w:ascii="Times New Roman" w:hAnsi="Times New Roman" w:cs="Times New Roman"/>
          <w:kern w:val="0"/>
        </w:rPr>
      </w:pPr>
      <w:r w:rsidRPr="00FC1444">
        <w:rPr>
          <w:rFonts w:ascii="Times New Roman" w:hAnsi="Times New Roman" w:cs="Times New Roman"/>
          <w:noProof/>
          <w:kern w:val="0"/>
        </w:rPr>
        <w:lastRenderedPageBreak/>
        <w:drawing>
          <wp:anchor distT="0" distB="0" distL="114300" distR="114300" simplePos="0" relativeHeight="251847680" behindDoc="0" locked="0" layoutInCell="1" allowOverlap="1">
            <wp:simplePos x="0" y="0"/>
            <wp:positionH relativeFrom="column">
              <wp:posOffset>4112895</wp:posOffset>
            </wp:positionH>
            <wp:positionV relativeFrom="paragraph">
              <wp:posOffset>1999615</wp:posOffset>
            </wp:positionV>
            <wp:extent cx="1126490" cy="448310"/>
            <wp:effectExtent l="19050" t="0" r="0" b="0"/>
            <wp:wrapNone/>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srcRect/>
                    <a:stretch>
                      <a:fillRect/>
                    </a:stretch>
                  </pic:blipFill>
                  <pic:spPr bwMode="auto">
                    <a:xfrm>
                      <a:off x="0" y="0"/>
                      <a:ext cx="1126490" cy="448310"/>
                    </a:xfrm>
                    <a:prstGeom prst="rect">
                      <a:avLst/>
                    </a:prstGeom>
                    <a:noFill/>
                    <a:ln w="9525">
                      <a:noFill/>
                      <a:miter lim="800000"/>
                      <a:headEnd/>
                      <a:tailEnd/>
                    </a:ln>
                  </pic:spPr>
                </pic:pic>
              </a:graphicData>
            </a:graphic>
          </wp:anchor>
        </w:drawing>
      </w:r>
      <w:r w:rsidRPr="00FC1444">
        <w:rPr>
          <w:rFonts w:ascii="Times New Roman" w:hAnsi="Times New Roman" w:cs="Times New Roman"/>
          <w:noProof/>
          <w:kern w:val="0"/>
        </w:rPr>
        <w:drawing>
          <wp:anchor distT="0" distB="0" distL="114300" distR="114300" simplePos="0" relativeHeight="251848704" behindDoc="0" locked="0" layoutInCell="1" allowOverlap="1">
            <wp:simplePos x="0" y="0"/>
            <wp:positionH relativeFrom="column">
              <wp:posOffset>4107180</wp:posOffset>
            </wp:positionH>
            <wp:positionV relativeFrom="paragraph">
              <wp:posOffset>979170</wp:posOffset>
            </wp:positionV>
            <wp:extent cx="1062990" cy="435610"/>
            <wp:effectExtent l="19050" t="0" r="3810" b="0"/>
            <wp:wrapNone/>
            <wp:docPr id="224" name="图片 9" descr="E:\xwechat_files\wxid_mq55o8x17m3l21_57cf\temp\RWTemp\2026-08\9e20f478899dc29eb19741386f9343c8\7fa4b852755aefc62948abba7d8f1c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xwechat_files\wxid_mq55o8x17m3l21_57cf\temp\RWTemp\2026-08\9e20f478899dc29eb19741386f9343c8\7fa4b852755aefc62948abba7d8f1cc7.png"/>
                    <pic:cNvPicPr>
                      <a:picLocks noChangeAspect="1" noChangeArrowheads="1"/>
                    </pic:cNvPicPr>
                  </pic:nvPicPr>
                  <pic:blipFill>
                    <a:blip r:embed="rId60"/>
                    <a:srcRect/>
                    <a:stretch>
                      <a:fillRect/>
                    </a:stretch>
                  </pic:blipFill>
                  <pic:spPr bwMode="auto">
                    <a:xfrm>
                      <a:off x="0" y="0"/>
                      <a:ext cx="1062990" cy="435610"/>
                    </a:xfrm>
                    <a:prstGeom prst="rect">
                      <a:avLst/>
                    </a:prstGeom>
                    <a:noFill/>
                    <a:ln w="9525">
                      <a:noFill/>
                      <a:miter lim="800000"/>
                      <a:headEnd/>
                      <a:tailEnd/>
                    </a:ln>
                  </pic:spPr>
                </pic:pic>
              </a:graphicData>
            </a:graphic>
          </wp:anchor>
        </w:drawing>
      </w:r>
      <w:r w:rsidR="00626E00" w:rsidRPr="00FC1444">
        <w:rPr>
          <w:rFonts w:ascii="Times New Roman" w:hAnsi="Times New Roman" w:cs="Times New Roman"/>
          <w:noProof/>
          <w:kern w:val="0"/>
        </w:rPr>
        <w:drawing>
          <wp:inline distT="0" distB="0" distL="0" distR="0">
            <wp:extent cx="5274310" cy="3623157"/>
            <wp:effectExtent l="19050" t="19050" r="21590" b="15393"/>
            <wp:docPr id="22" name="图片 5" descr="E:\xwechat_files\wxid_mq55o8x17m3l21_57cf\temp\RWTemp\2026-08\55cb7bbb8cb4e257e518e2755d16f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wechat_files\wxid_mq55o8x17m3l21_57cf\temp\RWTemp\2026-08\55cb7bbb8cb4e257e518e2755d16f612.png"/>
                    <pic:cNvPicPr>
                      <a:picLocks noChangeAspect="1" noChangeArrowheads="1"/>
                    </pic:cNvPicPr>
                  </pic:nvPicPr>
                  <pic:blipFill>
                    <a:blip r:embed="rId61"/>
                    <a:srcRect/>
                    <a:stretch>
                      <a:fillRect/>
                    </a:stretch>
                  </pic:blipFill>
                  <pic:spPr bwMode="auto">
                    <a:xfrm>
                      <a:off x="0" y="0"/>
                      <a:ext cx="5274310" cy="3623157"/>
                    </a:xfrm>
                    <a:prstGeom prst="rect">
                      <a:avLst/>
                    </a:prstGeom>
                    <a:noFill/>
                    <a:ln w="9525">
                      <a:solidFill>
                        <a:schemeClr val="tx1"/>
                      </a:solidFill>
                      <a:miter lim="800000"/>
                      <a:headEnd/>
                      <a:tailEnd/>
                    </a:ln>
                  </pic:spPr>
                </pic:pic>
              </a:graphicData>
            </a:graphic>
          </wp:inline>
        </w:drawing>
      </w:r>
    </w:p>
    <w:p w:rsidR="001E165D" w:rsidRPr="00FC1444" w:rsidRDefault="001E165D" w:rsidP="001E165D">
      <w:pPr>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4-2-</w:t>
      </w:r>
      <w:r w:rsidR="00F90B8B" w:rsidRPr="00FC1444">
        <w:rPr>
          <w:rFonts w:eastAsiaTheme="minorEastAsia" w:hint="eastAsia"/>
          <w:b/>
          <w:kern w:val="0"/>
          <w:szCs w:val="21"/>
        </w:rPr>
        <w:t>7</w:t>
      </w:r>
      <w:r w:rsidRPr="00FC1444">
        <w:rPr>
          <w:rFonts w:eastAsiaTheme="minorEastAsia"/>
          <w:b/>
          <w:kern w:val="0"/>
          <w:szCs w:val="21"/>
        </w:rPr>
        <w:t xml:space="preserve"> </w:t>
      </w:r>
      <w:r w:rsidRPr="00FC1444">
        <w:rPr>
          <w:rFonts w:eastAsiaTheme="minorEastAsia"/>
          <w:b/>
          <w:kern w:val="0"/>
          <w:szCs w:val="21"/>
        </w:rPr>
        <w:t>区域土壤类型图</w:t>
      </w:r>
    </w:p>
    <w:p w:rsidR="002A5A5E" w:rsidRPr="00FC1444" w:rsidRDefault="00611CBA">
      <w:pPr>
        <w:spacing w:line="360" w:lineRule="auto"/>
        <w:ind w:firstLineChars="200" w:firstLine="480"/>
        <w:rPr>
          <w:rFonts w:eastAsiaTheme="minorEastAsia"/>
          <w:sz w:val="24"/>
          <w:szCs w:val="22"/>
        </w:rPr>
      </w:pPr>
      <w:r w:rsidRPr="00FC1444">
        <w:rPr>
          <w:rFonts w:eastAsiaTheme="minorEastAsia"/>
          <w:bCs/>
          <w:sz w:val="24"/>
        </w:rPr>
        <w:t>（</w:t>
      </w:r>
      <w:r w:rsidRPr="00FC1444">
        <w:rPr>
          <w:rFonts w:eastAsiaTheme="minorEastAsia"/>
          <w:bCs/>
          <w:sz w:val="24"/>
        </w:rPr>
        <w:t>1</w:t>
      </w:r>
      <w:r w:rsidRPr="00FC1444">
        <w:rPr>
          <w:rFonts w:eastAsiaTheme="minorEastAsia"/>
          <w:bCs/>
          <w:sz w:val="24"/>
        </w:rPr>
        <w:t>）监测布点</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根据项目平面布置以及区域土壤类型、分布规律，对项目评价范围</w:t>
      </w:r>
      <w:r w:rsidR="00542666" w:rsidRPr="00FC1444">
        <w:rPr>
          <w:rFonts w:eastAsiaTheme="minorEastAsia"/>
          <w:sz w:val="24"/>
        </w:rPr>
        <w:t>普通黑土、普通潜育土、潜育水稻土</w:t>
      </w:r>
      <w:r w:rsidRPr="00FC1444">
        <w:rPr>
          <w:rFonts w:eastAsiaTheme="minorEastAsia"/>
          <w:sz w:val="24"/>
        </w:rPr>
        <w:t>土壤类型各布设了</w:t>
      </w:r>
      <w:r w:rsidRPr="00FC1444">
        <w:rPr>
          <w:rFonts w:eastAsiaTheme="minorEastAsia"/>
          <w:sz w:val="24"/>
        </w:rPr>
        <w:t>1</w:t>
      </w:r>
      <w:r w:rsidRPr="00FC1444">
        <w:rPr>
          <w:rFonts w:eastAsiaTheme="minorEastAsia"/>
          <w:sz w:val="24"/>
        </w:rPr>
        <w:t>个调查点位，占地范围内一个，占地范围外</w:t>
      </w:r>
      <w:r w:rsidRPr="00FC1444">
        <w:rPr>
          <w:rFonts w:eastAsiaTheme="minorEastAsia"/>
          <w:sz w:val="24"/>
        </w:rPr>
        <w:t>2</w:t>
      </w:r>
      <w:r w:rsidRPr="00FC1444">
        <w:rPr>
          <w:rFonts w:eastAsiaTheme="minorEastAsia"/>
          <w:sz w:val="24"/>
        </w:rPr>
        <w:t>个。</w:t>
      </w:r>
      <w:r w:rsidR="001E165D" w:rsidRPr="00FC1444">
        <w:rPr>
          <w:rFonts w:eastAsiaTheme="minorEastAsia"/>
          <w:sz w:val="24"/>
        </w:rPr>
        <w:t>包含旱地及水田。</w:t>
      </w:r>
      <w:r w:rsidRPr="00FC1444">
        <w:rPr>
          <w:rFonts w:eastAsiaTheme="minorEastAsia"/>
          <w:sz w:val="24"/>
        </w:rPr>
        <w:t>监测项目为</w:t>
      </w:r>
      <w:r w:rsidRPr="00FC1444">
        <w:rPr>
          <w:rFonts w:eastAsiaTheme="minorEastAsia"/>
          <w:sz w:val="24"/>
        </w:rPr>
        <w:t>pH</w:t>
      </w:r>
      <w:r w:rsidRPr="00FC1444">
        <w:rPr>
          <w:rFonts w:eastAsiaTheme="minorEastAsia"/>
          <w:sz w:val="24"/>
        </w:rPr>
        <w:t>、含盐量，用于鉴别项目区土壤是否发生盐渍化、酸化、碱化，</w:t>
      </w:r>
      <w:r w:rsidR="006958DD" w:rsidRPr="00FC1444">
        <w:rPr>
          <w:rFonts w:eastAsiaTheme="minorEastAsia"/>
          <w:sz w:val="24"/>
        </w:rPr>
        <w:t>兼顾了种植作物类型、影响方式及土壤类型，</w:t>
      </w:r>
      <w:r w:rsidRPr="00FC1444">
        <w:rPr>
          <w:rFonts w:eastAsiaTheme="minorEastAsia"/>
          <w:sz w:val="24"/>
        </w:rPr>
        <w:t>具有代表性和典型性。</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4-2-</w:t>
      </w:r>
      <w:r w:rsidR="00F90B8B" w:rsidRPr="00FC1444">
        <w:rPr>
          <w:rFonts w:eastAsiaTheme="minorEastAsia" w:hint="eastAsia"/>
          <w:b/>
          <w:kern w:val="0"/>
          <w:szCs w:val="21"/>
        </w:rPr>
        <w:t>16</w:t>
      </w:r>
      <w:r w:rsidRPr="00FC1444">
        <w:rPr>
          <w:rFonts w:eastAsiaTheme="minorEastAsia"/>
          <w:b/>
          <w:kern w:val="0"/>
          <w:szCs w:val="21"/>
        </w:rPr>
        <w:t xml:space="preserve"> </w:t>
      </w:r>
      <w:r w:rsidRPr="00FC1444">
        <w:rPr>
          <w:rFonts w:eastAsiaTheme="minorEastAsia"/>
          <w:b/>
          <w:kern w:val="0"/>
          <w:szCs w:val="21"/>
        </w:rPr>
        <w:t>土壤污染物监测内容</w:t>
      </w:r>
    </w:p>
    <w:tbl>
      <w:tblPr>
        <w:tblW w:w="7979"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508"/>
        <w:gridCol w:w="2357"/>
        <w:gridCol w:w="1729"/>
        <w:gridCol w:w="1172"/>
        <w:gridCol w:w="1213"/>
      </w:tblGrid>
      <w:tr w:rsidR="002A5A5E" w:rsidRPr="00FC1444">
        <w:trPr>
          <w:trHeight w:val="244"/>
          <w:jc w:val="center"/>
        </w:trPr>
        <w:tc>
          <w:tcPr>
            <w:tcW w:w="1508" w:type="dxa"/>
            <w:vAlign w:val="center"/>
          </w:tcPr>
          <w:p w:rsidR="002A5A5E" w:rsidRPr="00FC1444" w:rsidRDefault="00611CBA">
            <w:pPr>
              <w:overflowPunct w:val="0"/>
              <w:spacing w:line="0" w:lineRule="atLeast"/>
              <w:contextualSpacing/>
              <w:jc w:val="center"/>
              <w:rPr>
                <w:rFonts w:eastAsiaTheme="minorEastAsia"/>
                <w:kern w:val="0"/>
              </w:rPr>
            </w:pPr>
            <w:r w:rsidRPr="00FC1444">
              <w:rPr>
                <w:rFonts w:eastAsiaTheme="minorEastAsia"/>
              </w:rPr>
              <w:t>监测点位</w:t>
            </w:r>
          </w:p>
        </w:tc>
        <w:tc>
          <w:tcPr>
            <w:tcW w:w="2357" w:type="dxa"/>
            <w:vAlign w:val="center"/>
          </w:tcPr>
          <w:p w:rsidR="002A5A5E" w:rsidRPr="00FC1444" w:rsidRDefault="00611CBA">
            <w:pPr>
              <w:overflowPunct w:val="0"/>
              <w:spacing w:line="0" w:lineRule="atLeast"/>
              <w:contextualSpacing/>
              <w:jc w:val="center"/>
              <w:rPr>
                <w:rFonts w:eastAsiaTheme="minorEastAsia"/>
                <w:kern w:val="0"/>
              </w:rPr>
            </w:pPr>
            <w:r w:rsidRPr="00FC1444">
              <w:rPr>
                <w:rFonts w:eastAsiaTheme="minorEastAsia"/>
              </w:rPr>
              <w:t>监测项目</w:t>
            </w:r>
          </w:p>
        </w:tc>
        <w:tc>
          <w:tcPr>
            <w:tcW w:w="1729" w:type="dxa"/>
            <w:vAlign w:val="center"/>
          </w:tcPr>
          <w:p w:rsidR="002A5A5E" w:rsidRPr="00FC1444" w:rsidRDefault="00611CBA">
            <w:pPr>
              <w:overflowPunct w:val="0"/>
              <w:spacing w:line="0" w:lineRule="atLeast"/>
              <w:contextualSpacing/>
              <w:jc w:val="center"/>
              <w:rPr>
                <w:rFonts w:eastAsiaTheme="minorEastAsia"/>
                <w:kern w:val="0"/>
              </w:rPr>
            </w:pPr>
            <w:r w:rsidRPr="00FC1444">
              <w:rPr>
                <w:rFonts w:eastAsiaTheme="minorEastAsia"/>
                <w:kern w:val="0"/>
              </w:rPr>
              <w:t>土壤类型分布</w:t>
            </w:r>
          </w:p>
        </w:tc>
        <w:tc>
          <w:tcPr>
            <w:tcW w:w="1172" w:type="dxa"/>
            <w:vAlign w:val="center"/>
          </w:tcPr>
          <w:p w:rsidR="002A5A5E" w:rsidRPr="00FC1444" w:rsidRDefault="00611CBA">
            <w:pPr>
              <w:overflowPunct w:val="0"/>
              <w:spacing w:line="0" w:lineRule="atLeast"/>
              <w:contextualSpacing/>
              <w:jc w:val="center"/>
              <w:rPr>
                <w:rFonts w:eastAsiaTheme="minorEastAsia"/>
                <w:kern w:val="0"/>
              </w:rPr>
            </w:pPr>
            <w:r w:rsidRPr="00FC1444">
              <w:rPr>
                <w:rFonts w:eastAsiaTheme="minorEastAsia"/>
              </w:rPr>
              <w:t>采样深度</w:t>
            </w:r>
          </w:p>
        </w:tc>
        <w:tc>
          <w:tcPr>
            <w:tcW w:w="1213" w:type="dxa"/>
            <w:vAlign w:val="center"/>
          </w:tcPr>
          <w:p w:rsidR="002A5A5E" w:rsidRPr="00FC1444" w:rsidRDefault="00611CBA">
            <w:pPr>
              <w:overflowPunct w:val="0"/>
              <w:spacing w:line="0" w:lineRule="atLeast"/>
              <w:contextualSpacing/>
              <w:jc w:val="center"/>
              <w:rPr>
                <w:rFonts w:eastAsiaTheme="minorEastAsia"/>
                <w:kern w:val="0"/>
              </w:rPr>
            </w:pPr>
            <w:r w:rsidRPr="00FC1444">
              <w:rPr>
                <w:rFonts w:eastAsiaTheme="minorEastAsia"/>
              </w:rPr>
              <w:t>监测频次</w:t>
            </w:r>
          </w:p>
        </w:tc>
      </w:tr>
      <w:tr w:rsidR="002A5A5E" w:rsidRPr="00FC1444">
        <w:trPr>
          <w:trHeight w:val="47"/>
          <w:jc w:val="center"/>
        </w:trPr>
        <w:tc>
          <w:tcPr>
            <w:tcW w:w="1508" w:type="dxa"/>
            <w:vAlign w:val="center"/>
          </w:tcPr>
          <w:p w:rsidR="002A5A5E" w:rsidRPr="00FC1444" w:rsidRDefault="00611CBA">
            <w:pPr>
              <w:overflowPunct w:val="0"/>
              <w:spacing w:line="0" w:lineRule="atLeast"/>
              <w:contextualSpacing/>
              <w:jc w:val="center"/>
              <w:rPr>
                <w:rFonts w:eastAsiaTheme="minorEastAsia"/>
                <w:kern w:val="0"/>
              </w:rPr>
            </w:pPr>
            <w:r w:rsidRPr="00FC1444">
              <w:rPr>
                <w:rFonts w:eastAsiaTheme="minorEastAsia"/>
              </w:rPr>
              <w:t>1#</w:t>
            </w:r>
            <w:r w:rsidRPr="00FC1444">
              <w:rPr>
                <w:rFonts w:eastAsiaTheme="minorEastAsia"/>
              </w:rPr>
              <w:t>占地范围内</w:t>
            </w:r>
          </w:p>
        </w:tc>
        <w:tc>
          <w:tcPr>
            <w:tcW w:w="2357" w:type="dxa"/>
            <w:vAlign w:val="center"/>
          </w:tcPr>
          <w:p w:rsidR="002A5A5E" w:rsidRPr="00FC1444" w:rsidRDefault="00611CBA">
            <w:pPr>
              <w:overflowPunct w:val="0"/>
              <w:spacing w:line="0" w:lineRule="atLeast"/>
              <w:contextualSpacing/>
              <w:jc w:val="center"/>
              <w:rPr>
                <w:rFonts w:eastAsiaTheme="minorEastAsia"/>
                <w:kern w:val="0"/>
              </w:rPr>
            </w:pPr>
            <w:r w:rsidRPr="00FC1444">
              <w:rPr>
                <w:rFonts w:eastAsiaTheme="minorEastAsia"/>
              </w:rPr>
              <w:t>pH</w:t>
            </w:r>
            <w:r w:rsidRPr="00FC1444">
              <w:rPr>
                <w:rFonts w:eastAsiaTheme="minorEastAsia"/>
              </w:rPr>
              <w:t>、含盐量</w:t>
            </w:r>
          </w:p>
        </w:tc>
        <w:tc>
          <w:tcPr>
            <w:tcW w:w="1729" w:type="dxa"/>
            <w:vAlign w:val="center"/>
          </w:tcPr>
          <w:p w:rsidR="002A5A5E" w:rsidRPr="00FC1444" w:rsidRDefault="00542666">
            <w:pPr>
              <w:overflowPunct w:val="0"/>
              <w:spacing w:line="0" w:lineRule="atLeast"/>
              <w:contextualSpacing/>
              <w:jc w:val="center"/>
              <w:rPr>
                <w:rFonts w:eastAsiaTheme="minorEastAsia"/>
                <w:b/>
                <w:kern w:val="0"/>
              </w:rPr>
            </w:pPr>
            <w:r w:rsidRPr="00FC1444">
              <w:rPr>
                <w:rFonts w:eastAsiaTheme="minorEastAsia"/>
              </w:rPr>
              <w:t>普通黑土</w:t>
            </w:r>
          </w:p>
        </w:tc>
        <w:tc>
          <w:tcPr>
            <w:tcW w:w="1172" w:type="dxa"/>
            <w:vMerge w:val="restart"/>
            <w:vAlign w:val="center"/>
          </w:tcPr>
          <w:p w:rsidR="002A5A5E" w:rsidRPr="00FC1444" w:rsidRDefault="00611CBA">
            <w:pPr>
              <w:overflowPunct w:val="0"/>
              <w:spacing w:line="0" w:lineRule="atLeast"/>
              <w:contextualSpacing/>
              <w:jc w:val="center"/>
              <w:rPr>
                <w:rFonts w:eastAsiaTheme="minorEastAsia"/>
                <w:kern w:val="0"/>
              </w:rPr>
            </w:pPr>
            <w:r w:rsidRPr="00FC1444">
              <w:rPr>
                <w:rFonts w:eastAsiaTheme="minorEastAsia"/>
              </w:rPr>
              <w:t>表层</w:t>
            </w:r>
            <w:r w:rsidRPr="00FC1444">
              <w:rPr>
                <w:rFonts w:eastAsiaTheme="minorEastAsia"/>
              </w:rPr>
              <w:t>0~0.2m</w:t>
            </w:r>
          </w:p>
        </w:tc>
        <w:tc>
          <w:tcPr>
            <w:tcW w:w="1213" w:type="dxa"/>
            <w:vMerge w:val="restart"/>
            <w:vAlign w:val="center"/>
          </w:tcPr>
          <w:p w:rsidR="002A5A5E" w:rsidRPr="00FC1444" w:rsidRDefault="00611CBA">
            <w:pPr>
              <w:overflowPunct w:val="0"/>
              <w:spacing w:line="0" w:lineRule="atLeast"/>
              <w:contextualSpacing/>
              <w:jc w:val="center"/>
              <w:rPr>
                <w:rFonts w:eastAsiaTheme="minorEastAsia"/>
                <w:kern w:val="0"/>
              </w:rPr>
            </w:pPr>
            <w:r w:rsidRPr="00FC1444">
              <w:rPr>
                <w:rFonts w:eastAsiaTheme="minorEastAsia"/>
              </w:rPr>
              <w:t>1</w:t>
            </w:r>
            <w:r w:rsidRPr="00FC1444">
              <w:rPr>
                <w:rFonts w:eastAsiaTheme="minorEastAsia"/>
              </w:rPr>
              <w:t>次</w:t>
            </w:r>
          </w:p>
        </w:tc>
      </w:tr>
      <w:tr w:rsidR="002A5A5E" w:rsidRPr="00FC1444">
        <w:trPr>
          <w:trHeight w:val="47"/>
          <w:jc w:val="center"/>
        </w:trPr>
        <w:tc>
          <w:tcPr>
            <w:tcW w:w="1508" w:type="dxa"/>
            <w:vAlign w:val="center"/>
          </w:tcPr>
          <w:p w:rsidR="002A5A5E" w:rsidRPr="00FC1444" w:rsidRDefault="00611CBA">
            <w:pPr>
              <w:overflowPunct w:val="0"/>
              <w:spacing w:line="0" w:lineRule="atLeast"/>
              <w:contextualSpacing/>
              <w:jc w:val="center"/>
              <w:rPr>
                <w:rFonts w:eastAsiaTheme="minorEastAsia"/>
                <w:kern w:val="0"/>
              </w:rPr>
            </w:pPr>
            <w:r w:rsidRPr="00FC1444">
              <w:rPr>
                <w:rFonts w:eastAsiaTheme="minorEastAsia"/>
              </w:rPr>
              <w:t>2#</w:t>
            </w:r>
            <w:r w:rsidRPr="00FC1444">
              <w:rPr>
                <w:rFonts w:eastAsiaTheme="minorEastAsia"/>
              </w:rPr>
              <w:t>占地范围外</w:t>
            </w:r>
          </w:p>
        </w:tc>
        <w:tc>
          <w:tcPr>
            <w:tcW w:w="2357" w:type="dxa"/>
            <w:vAlign w:val="center"/>
          </w:tcPr>
          <w:p w:rsidR="002A5A5E" w:rsidRPr="00FC1444" w:rsidRDefault="00611CBA">
            <w:pPr>
              <w:overflowPunct w:val="0"/>
              <w:spacing w:line="0" w:lineRule="atLeast"/>
              <w:contextualSpacing/>
              <w:jc w:val="center"/>
              <w:rPr>
                <w:rFonts w:eastAsiaTheme="minorEastAsia"/>
                <w:kern w:val="0"/>
              </w:rPr>
            </w:pPr>
            <w:r w:rsidRPr="00FC1444">
              <w:rPr>
                <w:rFonts w:eastAsiaTheme="minorEastAsia"/>
              </w:rPr>
              <w:t>pH</w:t>
            </w:r>
            <w:r w:rsidRPr="00FC1444">
              <w:rPr>
                <w:rFonts w:eastAsiaTheme="minorEastAsia"/>
              </w:rPr>
              <w:t>、含盐量</w:t>
            </w:r>
          </w:p>
        </w:tc>
        <w:tc>
          <w:tcPr>
            <w:tcW w:w="1729" w:type="dxa"/>
            <w:vAlign w:val="center"/>
          </w:tcPr>
          <w:p w:rsidR="002A5A5E" w:rsidRPr="00FC1444" w:rsidRDefault="00542666">
            <w:pPr>
              <w:overflowPunct w:val="0"/>
              <w:spacing w:line="0" w:lineRule="atLeast"/>
              <w:contextualSpacing/>
              <w:jc w:val="center"/>
              <w:rPr>
                <w:rFonts w:eastAsiaTheme="minorEastAsia"/>
                <w:kern w:val="0"/>
              </w:rPr>
            </w:pPr>
            <w:r w:rsidRPr="00FC1444">
              <w:rPr>
                <w:rFonts w:eastAsiaTheme="minorEastAsia"/>
                <w:kern w:val="0"/>
              </w:rPr>
              <w:t>普通潜育土</w:t>
            </w:r>
          </w:p>
        </w:tc>
        <w:tc>
          <w:tcPr>
            <w:tcW w:w="1172" w:type="dxa"/>
            <w:vMerge/>
            <w:vAlign w:val="center"/>
          </w:tcPr>
          <w:p w:rsidR="002A5A5E" w:rsidRPr="00FC1444" w:rsidRDefault="002A5A5E">
            <w:pPr>
              <w:overflowPunct w:val="0"/>
              <w:spacing w:line="0" w:lineRule="atLeast"/>
              <w:contextualSpacing/>
              <w:jc w:val="center"/>
              <w:rPr>
                <w:rFonts w:eastAsiaTheme="minorEastAsia"/>
                <w:kern w:val="0"/>
              </w:rPr>
            </w:pPr>
          </w:p>
        </w:tc>
        <w:tc>
          <w:tcPr>
            <w:tcW w:w="1213" w:type="dxa"/>
            <w:vMerge/>
            <w:vAlign w:val="center"/>
          </w:tcPr>
          <w:p w:rsidR="002A5A5E" w:rsidRPr="00FC1444" w:rsidRDefault="002A5A5E">
            <w:pPr>
              <w:overflowPunct w:val="0"/>
              <w:spacing w:line="0" w:lineRule="atLeast"/>
              <w:contextualSpacing/>
              <w:jc w:val="center"/>
              <w:rPr>
                <w:rFonts w:eastAsiaTheme="minorEastAsia"/>
                <w:kern w:val="0"/>
              </w:rPr>
            </w:pPr>
          </w:p>
        </w:tc>
      </w:tr>
      <w:tr w:rsidR="002A5A5E" w:rsidRPr="00FC1444">
        <w:trPr>
          <w:trHeight w:val="261"/>
          <w:jc w:val="center"/>
        </w:trPr>
        <w:tc>
          <w:tcPr>
            <w:tcW w:w="1508" w:type="dxa"/>
            <w:vAlign w:val="center"/>
          </w:tcPr>
          <w:p w:rsidR="002A5A5E" w:rsidRPr="00FC1444" w:rsidRDefault="00611CBA">
            <w:pPr>
              <w:overflowPunct w:val="0"/>
              <w:spacing w:line="0" w:lineRule="atLeast"/>
              <w:contextualSpacing/>
              <w:jc w:val="center"/>
              <w:rPr>
                <w:rFonts w:eastAsiaTheme="minorEastAsia"/>
                <w:kern w:val="0"/>
              </w:rPr>
            </w:pPr>
            <w:r w:rsidRPr="00FC1444">
              <w:rPr>
                <w:rFonts w:eastAsiaTheme="minorEastAsia"/>
              </w:rPr>
              <w:t>3#</w:t>
            </w:r>
            <w:r w:rsidRPr="00FC1444">
              <w:rPr>
                <w:rFonts w:eastAsiaTheme="minorEastAsia"/>
              </w:rPr>
              <w:t>占地范围外</w:t>
            </w:r>
          </w:p>
        </w:tc>
        <w:tc>
          <w:tcPr>
            <w:tcW w:w="2357" w:type="dxa"/>
            <w:vAlign w:val="center"/>
          </w:tcPr>
          <w:p w:rsidR="002A5A5E" w:rsidRPr="00FC1444" w:rsidRDefault="00611CBA">
            <w:pPr>
              <w:widowControl/>
              <w:spacing w:line="0" w:lineRule="atLeast"/>
              <w:contextualSpacing/>
              <w:jc w:val="center"/>
              <w:rPr>
                <w:rFonts w:eastAsiaTheme="minorEastAsia"/>
                <w:kern w:val="0"/>
              </w:rPr>
            </w:pPr>
            <w:r w:rsidRPr="00FC1444">
              <w:rPr>
                <w:rFonts w:eastAsiaTheme="minorEastAsia"/>
              </w:rPr>
              <w:t>pH</w:t>
            </w:r>
            <w:r w:rsidRPr="00FC1444">
              <w:rPr>
                <w:rFonts w:eastAsiaTheme="minorEastAsia"/>
              </w:rPr>
              <w:t>、含盐量</w:t>
            </w:r>
          </w:p>
        </w:tc>
        <w:tc>
          <w:tcPr>
            <w:tcW w:w="1729" w:type="dxa"/>
            <w:vAlign w:val="center"/>
          </w:tcPr>
          <w:p w:rsidR="002A5A5E" w:rsidRPr="00FC1444" w:rsidRDefault="00542666">
            <w:pPr>
              <w:widowControl/>
              <w:spacing w:line="0" w:lineRule="atLeast"/>
              <w:contextualSpacing/>
              <w:jc w:val="center"/>
              <w:rPr>
                <w:rFonts w:eastAsiaTheme="minorEastAsia"/>
                <w:kern w:val="0"/>
              </w:rPr>
            </w:pPr>
            <w:r w:rsidRPr="00FC1444">
              <w:rPr>
                <w:rFonts w:eastAsiaTheme="minorEastAsia"/>
              </w:rPr>
              <w:t>潜育水稻土</w:t>
            </w:r>
          </w:p>
        </w:tc>
        <w:tc>
          <w:tcPr>
            <w:tcW w:w="1172" w:type="dxa"/>
            <w:vMerge/>
            <w:vAlign w:val="center"/>
          </w:tcPr>
          <w:p w:rsidR="002A5A5E" w:rsidRPr="00FC1444" w:rsidRDefault="002A5A5E">
            <w:pPr>
              <w:widowControl/>
              <w:spacing w:line="0" w:lineRule="atLeast"/>
              <w:contextualSpacing/>
              <w:jc w:val="left"/>
              <w:rPr>
                <w:rFonts w:eastAsiaTheme="minorEastAsia"/>
                <w:kern w:val="0"/>
              </w:rPr>
            </w:pPr>
          </w:p>
        </w:tc>
        <w:tc>
          <w:tcPr>
            <w:tcW w:w="1213" w:type="dxa"/>
            <w:vMerge/>
            <w:vAlign w:val="center"/>
          </w:tcPr>
          <w:p w:rsidR="002A5A5E" w:rsidRPr="00FC1444" w:rsidRDefault="002A5A5E">
            <w:pPr>
              <w:widowControl/>
              <w:spacing w:line="0" w:lineRule="atLeast"/>
              <w:contextualSpacing/>
              <w:jc w:val="left"/>
              <w:rPr>
                <w:rFonts w:eastAsiaTheme="minorEastAsia"/>
                <w:kern w:val="0"/>
              </w:rPr>
            </w:pPr>
          </w:p>
        </w:tc>
      </w:tr>
    </w:tbl>
    <w:p w:rsidR="002A5A5E" w:rsidRPr="00FC1444" w:rsidRDefault="00611CBA">
      <w:pPr>
        <w:spacing w:line="440" w:lineRule="exact"/>
        <w:ind w:firstLineChars="200" w:firstLine="480"/>
        <w:rPr>
          <w:rFonts w:eastAsiaTheme="minorEastAsia"/>
          <w:sz w:val="24"/>
        </w:rPr>
      </w:pPr>
      <w:r w:rsidRPr="00FC1444">
        <w:rPr>
          <w:rFonts w:eastAsiaTheme="minorEastAsia"/>
          <w:sz w:val="24"/>
        </w:rPr>
        <w:t>监测点位设置情况见图</w:t>
      </w:r>
      <w:r w:rsidRPr="00FC1444">
        <w:rPr>
          <w:rFonts w:eastAsiaTheme="minorEastAsia"/>
          <w:sz w:val="24"/>
        </w:rPr>
        <w:t>4-2-</w:t>
      </w:r>
      <w:r w:rsidR="00F90B8B" w:rsidRPr="00FC1444">
        <w:rPr>
          <w:rFonts w:eastAsiaTheme="minorEastAsia" w:hint="eastAsia"/>
          <w:sz w:val="24"/>
        </w:rPr>
        <w:t>8</w:t>
      </w:r>
      <w:r w:rsidRPr="00FC1444">
        <w:rPr>
          <w:rFonts w:eastAsiaTheme="minorEastAsia"/>
          <w:sz w:val="24"/>
        </w:rPr>
        <w:t>。</w:t>
      </w:r>
    </w:p>
    <w:p w:rsidR="002A5A5E" w:rsidRPr="00FC1444" w:rsidRDefault="006D4646" w:rsidP="00561522">
      <w:pPr>
        <w:spacing w:line="0" w:lineRule="atLeast"/>
        <w:contextualSpacing/>
        <w:jc w:val="center"/>
        <w:rPr>
          <w:rFonts w:eastAsiaTheme="minorEastAsia"/>
          <w:sz w:val="24"/>
          <w:szCs w:val="22"/>
        </w:rPr>
      </w:pPr>
      <w:r w:rsidRPr="00FC1444">
        <w:rPr>
          <w:rFonts w:eastAsiaTheme="minorEastAsia"/>
          <w:noProof/>
          <w:sz w:val="24"/>
          <w:szCs w:val="22"/>
        </w:rPr>
        <w:lastRenderedPageBreak/>
        <w:drawing>
          <wp:inline distT="0" distB="0" distL="0" distR="0">
            <wp:extent cx="4969175" cy="5384223"/>
            <wp:effectExtent l="38100" t="19050" r="21925" b="25977"/>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2"/>
                    <a:srcRect/>
                    <a:stretch>
                      <a:fillRect/>
                    </a:stretch>
                  </pic:blipFill>
                  <pic:spPr bwMode="auto">
                    <a:xfrm>
                      <a:off x="0" y="0"/>
                      <a:ext cx="4972212" cy="5387514"/>
                    </a:xfrm>
                    <a:prstGeom prst="rect">
                      <a:avLst/>
                    </a:prstGeom>
                    <a:noFill/>
                    <a:ln w="9525">
                      <a:solidFill>
                        <a:schemeClr val="tx1"/>
                      </a:solidFill>
                      <a:miter lim="800000"/>
                      <a:headEnd/>
                      <a:tailEnd/>
                    </a:ln>
                  </pic:spPr>
                </pic:pic>
              </a:graphicData>
            </a:graphic>
          </wp:inline>
        </w:drawing>
      </w:r>
    </w:p>
    <w:p w:rsidR="002A5A5E" w:rsidRPr="00FC1444" w:rsidRDefault="00611CBA" w:rsidP="00561522">
      <w:pPr>
        <w:contextualSpacing/>
        <w:jc w:val="center"/>
        <w:rPr>
          <w:rFonts w:eastAsiaTheme="minorEastAsia"/>
          <w:b/>
          <w:kern w:val="0"/>
          <w:szCs w:val="21"/>
        </w:rPr>
      </w:pPr>
      <w:r w:rsidRPr="00FC1444">
        <w:rPr>
          <w:rFonts w:eastAsiaTheme="minorEastAsia"/>
          <w:b/>
          <w:kern w:val="0"/>
          <w:szCs w:val="21"/>
        </w:rPr>
        <w:t>图</w:t>
      </w:r>
      <w:r w:rsidR="00565A50" w:rsidRPr="00FC1444">
        <w:rPr>
          <w:rFonts w:eastAsiaTheme="minorEastAsia"/>
          <w:b/>
          <w:kern w:val="0"/>
          <w:szCs w:val="21"/>
        </w:rPr>
        <w:t>4-2-</w:t>
      </w:r>
      <w:r w:rsidR="00F90B8B" w:rsidRPr="00FC1444">
        <w:rPr>
          <w:rFonts w:eastAsiaTheme="minorEastAsia" w:hint="eastAsia"/>
          <w:b/>
          <w:kern w:val="0"/>
          <w:szCs w:val="21"/>
        </w:rPr>
        <w:t>8</w:t>
      </w:r>
      <w:r w:rsidRPr="00FC1444">
        <w:rPr>
          <w:rFonts w:eastAsiaTheme="minorEastAsia"/>
          <w:b/>
          <w:kern w:val="0"/>
          <w:szCs w:val="21"/>
        </w:rPr>
        <w:t xml:space="preserve"> </w:t>
      </w:r>
      <w:r w:rsidRPr="00FC1444">
        <w:rPr>
          <w:rFonts w:eastAsiaTheme="minorEastAsia"/>
          <w:b/>
          <w:kern w:val="0"/>
          <w:szCs w:val="21"/>
        </w:rPr>
        <w:t>土壤监测点图</w:t>
      </w:r>
    </w:p>
    <w:p w:rsidR="002A5A5E" w:rsidRPr="00FC1444" w:rsidRDefault="00611CBA">
      <w:pPr>
        <w:spacing w:line="360" w:lineRule="auto"/>
        <w:ind w:firstLineChars="200" w:firstLine="480"/>
        <w:rPr>
          <w:rFonts w:eastAsiaTheme="minorEastAsia"/>
          <w:sz w:val="24"/>
          <w:szCs w:val="22"/>
        </w:rPr>
      </w:pPr>
      <w:r w:rsidRPr="00FC1444">
        <w:rPr>
          <w:rFonts w:eastAsiaTheme="minorEastAsia"/>
          <w:sz w:val="24"/>
          <w:szCs w:val="22"/>
        </w:rPr>
        <w:t>（</w:t>
      </w:r>
      <w:r w:rsidRPr="00FC1444">
        <w:rPr>
          <w:rFonts w:eastAsiaTheme="minorEastAsia"/>
          <w:sz w:val="24"/>
          <w:szCs w:val="22"/>
        </w:rPr>
        <w:t>2</w:t>
      </w:r>
      <w:r w:rsidRPr="00FC1444">
        <w:rPr>
          <w:rFonts w:eastAsiaTheme="minorEastAsia"/>
          <w:sz w:val="24"/>
          <w:szCs w:val="22"/>
        </w:rPr>
        <w:t>）监测项目</w:t>
      </w:r>
    </w:p>
    <w:p w:rsidR="002A5A5E" w:rsidRPr="00FC1444" w:rsidRDefault="00611CBA">
      <w:pPr>
        <w:spacing w:line="360" w:lineRule="auto"/>
        <w:ind w:firstLineChars="250" w:firstLine="600"/>
        <w:rPr>
          <w:rFonts w:eastAsiaTheme="minorEastAsia"/>
          <w:sz w:val="24"/>
          <w:szCs w:val="22"/>
        </w:rPr>
      </w:pPr>
      <w:r w:rsidRPr="00FC1444">
        <w:rPr>
          <w:rFonts w:eastAsiaTheme="minorEastAsia"/>
          <w:sz w:val="24"/>
          <w:szCs w:val="22"/>
        </w:rPr>
        <w:t>pH</w:t>
      </w:r>
      <w:r w:rsidRPr="00FC1444">
        <w:rPr>
          <w:rFonts w:eastAsiaTheme="minorEastAsia"/>
          <w:sz w:val="24"/>
          <w:szCs w:val="22"/>
        </w:rPr>
        <w:t>、含盐量</w:t>
      </w:r>
    </w:p>
    <w:p w:rsidR="002A5A5E" w:rsidRPr="00FC1444" w:rsidRDefault="00611CBA">
      <w:pPr>
        <w:spacing w:line="360" w:lineRule="auto"/>
        <w:ind w:firstLineChars="200" w:firstLine="480"/>
        <w:rPr>
          <w:rFonts w:eastAsiaTheme="minorEastAsia"/>
          <w:sz w:val="24"/>
          <w:szCs w:val="22"/>
          <w:lang w:val="zh-CN"/>
        </w:rPr>
      </w:pPr>
      <w:r w:rsidRPr="00FC1444">
        <w:rPr>
          <w:rFonts w:eastAsiaTheme="minorEastAsia"/>
          <w:sz w:val="24"/>
          <w:szCs w:val="22"/>
          <w:lang w:val="zh-CN"/>
        </w:rPr>
        <w:t>（</w:t>
      </w:r>
      <w:r w:rsidRPr="00FC1444">
        <w:rPr>
          <w:rFonts w:eastAsiaTheme="minorEastAsia"/>
          <w:sz w:val="24"/>
          <w:szCs w:val="22"/>
          <w:lang w:val="zh-CN"/>
        </w:rPr>
        <w:t>3</w:t>
      </w:r>
      <w:r w:rsidRPr="00FC1444">
        <w:rPr>
          <w:rFonts w:eastAsiaTheme="minorEastAsia"/>
          <w:sz w:val="24"/>
          <w:szCs w:val="22"/>
          <w:lang w:val="zh-CN"/>
        </w:rPr>
        <w:t>）监测时间与频次</w:t>
      </w:r>
    </w:p>
    <w:p w:rsidR="002A5A5E" w:rsidRPr="00FC1444" w:rsidRDefault="00611CBA">
      <w:pPr>
        <w:spacing w:line="360" w:lineRule="auto"/>
        <w:ind w:firstLineChars="200" w:firstLine="480"/>
        <w:rPr>
          <w:rFonts w:eastAsiaTheme="minorEastAsia"/>
          <w:sz w:val="24"/>
          <w:szCs w:val="22"/>
          <w:lang w:val="zh-CN"/>
        </w:rPr>
      </w:pPr>
      <w:r w:rsidRPr="00FC1444">
        <w:rPr>
          <w:rFonts w:eastAsiaTheme="minorEastAsia"/>
          <w:sz w:val="24"/>
          <w:szCs w:val="22"/>
          <w:lang w:val="zh-CN"/>
        </w:rPr>
        <w:t>监测</w:t>
      </w:r>
      <w:r w:rsidRPr="00FC1444">
        <w:rPr>
          <w:rFonts w:eastAsiaTheme="minorEastAsia"/>
          <w:sz w:val="24"/>
          <w:szCs w:val="22"/>
          <w:lang w:val="zh-CN"/>
        </w:rPr>
        <w:t>1</w:t>
      </w:r>
      <w:r w:rsidRPr="00FC1444">
        <w:rPr>
          <w:rFonts w:eastAsiaTheme="minorEastAsia"/>
          <w:sz w:val="24"/>
          <w:szCs w:val="22"/>
          <w:lang w:val="zh-CN"/>
        </w:rPr>
        <w:t>天，采样</w:t>
      </w:r>
      <w:r w:rsidRPr="00FC1444">
        <w:rPr>
          <w:rFonts w:eastAsiaTheme="minorEastAsia"/>
          <w:sz w:val="24"/>
          <w:szCs w:val="22"/>
          <w:lang w:val="zh-CN"/>
        </w:rPr>
        <w:t>1</w:t>
      </w:r>
      <w:r w:rsidRPr="00FC1444">
        <w:rPr>
          <w:rFonts w:eastAsiaTheme="minorEastAsia"/>
          <w:sz w:val="24"/>
          <w:szCs w:val="22"/>
          <w:lang w:val="zh-CN"/>
        </w:rPr>
        <w:t>次，采样时间为</w:t>
      </w:r>
      <w:r w:rsidRPr="00FC1444">
        <w:rPr>
          <w:rFonts w:eastAsiaTheme="minorEastAsia"/>
          <w:sz w:val="24"/>
          <w:szCs w:val="22"/>
          <w:lang w:val="zh-CN"/>
        </w:rPr>
        <w:t>20</w:t>
      </w:r>
      <w:r w:rsidRPr="00FC1444">
        <w:rPr>
          <w:rFonts w:eastAsiaTheme="minorEastAsia"/>
          <w:sz w:val="24"/>
          <w:szCs w:val="22"/>
        </w:rPr>
        <w:t>2</w:t>
      </w:r>
      <w:r w:rsidR="0097223F" w:rsidRPr="00FC1444">
        <w:rPr>
          <w:rFonts w:eastAsiaTheme="minorEastAsia"/>
          <w:sz w:val="24"/>
          <w:szCs w:val="22"/>
        </w:rPr>
        <w:t>6</w:t>
      </w:r>
      <w:r w:rsidRPr="00FC1444">
        <w:rPr>
          <w:rFonts w:eastAsiaTheme="minorEastAsia"/>
          <w:sz w:val="24"/>
          <w:szCs w:val="22"/>
          <w:lang w:val="zh-CN"/>
        </w:rPr>
        <w:t>年</w:t>
      </w:r>
      <w:r w:rsidR="008D6454" w:rsidRPr="00FC1444">
        <w:rPr>
          <w:rFonts w:eastAsiaTheme="minorEastAsia" w:hint="eastAsia"/>
          <w:sz w:val="24"/>
          <w:szCs w:val="22"/>
          <w:lang w:val="zh-CN"/>
        </w:rPr>
        <w:t>8</w:t>
      </w:r>
      <w:r w:rsidRPr="00FC1444">
        <w:rPr>
          <w:rFonts w:eastAsiaTheme="minorEastAsia"/>
          <w:sz w:val="24"/>
          <w:szCs w:val="22"/>
          <w:lang w:val="zh-CN"/>
        </w:rPr>
        <w:t>月</w:t>
      </w:r>
      <w:r w:rsidR="008D6454" w:rsidRPr="00FC1444">
        <w:rPr>
          <w:rFonts w:eastAsiaTheme="minorEastAsia" w:hint="eastAsia"/>
          <w:sz w:val="24"/>
          <w:szCs w:val="22"/>
          <w:lang w:val="zh-CN"/>
        </w:rPr>
        <w:t>3</w:t>
      </w:r>
      <w:r w:rsidR="0097223F" w:rsidRPr="00FC1444">
        <w:rPr>
          <w:rFonts w:eastAsiaTheme="minorEastAsia"/>
          <w:sz w:val="24"/>
          <w:szCs w:val="22"/>
          <w:lang w:val="zh-CN"/>
        </w:rPr>
        <w:t>1</w:t>
      </w:r>
      <w:r w:rsidRPr="00FC1444">
        <w:rPr>
          <w:rFonts w:eastAsiaTheme="minorEastAsia"/>
          <w:sz w:val="24"/>
          <w:szCs w:val="22"/>
          <w:lang w:val="zh-CN"/>
        </w:rPr>
        <w:t>日。表层样点</w:t>
      </w:r>
      <w:r w:rsidRPr="00FC1444">
        <w:rPr>
          <w:rFonts w:eastAsiaTheme="minorEastAsia"/>
          <w:sz w:val="24"/>
          <w:szCs w:val="22"/>
          <w:lang w:val="zh-CN"/>
        </w:rPr>
        <w:t>0</w:t>
      </w:r>
      <w:r w:rsidRPr="00FC1444">
        <w:rPr>
          <w:rFonts w:eastAsiaTheme="minorEastAsia"/>
          <w:sz w:val="24"/>
          <w:szCs w:val="22"/>
          <w:lang w:val="zh-CN"/>
        </w:rPr>
        <w:t>～</w:t>
      </w:r>
      <w:r w:rsidRPr="00FC1444">
        <w:rPr>
          <w:rFonts w:eastAsiaTheme="minorEastAsia"/>
          <w:sz w:val="24"/>
          <w:szCs w:val="22"/>
          <w:lang w:val="zh-CN"/>
        </w:rPr>
        <w:t>0.2m</w:t>
      </w:r>
      <w:r w:rsidRPr="00FC1444">
        <w:rPr>
          <w:rFonts w:eastAsiaTheme="minorEastAsia"/>
          <w:sz w:val="24"/>
          <w:szCs w:val="22"/>
          <w:lang w:val="zh-CN"/>
        </w:rPr>
        <w:t>取样。</w:t>
      </w:r>
    </w:p>
    <w:p w:rsidR="002A5A5E" w:rsidRPr="00FC1444" w:rsidRDefault="00611CBA">
      <w:pPr>
        <w:spacing w:line="360" w:lineRule="auto"/>
        <w:ind w:firstLineChars="200" w:firstLine="480"/>
        <w:rPr>
          <w:rFonts w:eastAsiaTheme="minorEastAsia"/>
          <w:sz w:val="24"/>
          <w:szCs w:val="22"/>
          <w:lang w:val="zh-CN"/>
        </w:rPr>
      </w:pPr>
      <w:r w:rsidRPr="00FC1444">
        <w:rPr>
          <w:rFonts w:eastAsiaTheme="minorEastAsia"/>
          <w:sz w:val="24"/>
          <w:szCs w:val="22"/>
          <w:lang w:val="zh-CN"/>
        </w:rPr>
        <w:t>（</w:t>
      </w:r>
      <w:r w:rsidRPr="00FC1444">
        <w:rPr>
          <w:rFonts w:eastAsiaTheme="minorEastAsia"/>
          <w:sz w:val="24"/>
          <w:szCs w:val="22"/>
        </w:rPr>
        <w:t>4</w:t>
      </w:r>
      <w:r w:rsidRPr="00FC1444">
        <w:rPr>
          <w:rFonts w:eastAsiaTheme="minorEastAsia"/>
          <w:sz w:val="24"/>
          <w:szCs w:val="22"/>
          <w:lang w:val="zh-CN"/>
        </w:rPr>
        <w:t>）监测结果及评价</w:t>
      </w:r>
    </w:p>
    <w:p w:rsidR="002A5A5E" w:rsidRPr="00FC1444" w:rsidRDefault="00611CBA">
      <w:pPr>
        <w:spacing w:line="360" w:lineRule="auto"/>
        <w:ind w:firstLineChars="200" w:firstLine="480"/>
        <w:rPr>
          <w:rFonts w:eastAsiaTheme="minorEastAsia"/>
          <w:sz w:val="24"/>
          <w:szCs w:val="22"/>
          <w:lang w:val="zh-CN"/>
        </w:rPr>
      </w:pPr>
      <w:r w:rsidRPr="00FC1444">
        <w:rPr>
          <w:rFonts w:eastAsiaTheme="minorEastAsia"/>
          <w:sz w:val="24"/>
          <w:szCs w:val="22"/>
          <w:lang w:val="zh-CN"/>
        </w:rPr>
        <w:t>各点位土壤环境质量现状监测结果见表</w:t>
      </w:r>
      <w:r w:rsidRPr="00FC1444">
        <w:rPr>
          <w:rFonts w:eastAsiaTheme="minorEastAsia"/>
          <w:sz w:val="24"/>
          <w:szCs w:val="22"/>
          <w:lang w:val="zh-CN"/>
        </w:rPr>
        <w:t>4-2-</w:t>
      </w:r>
      <w:r w:rsidR="00F90B8B" w:rsidRPr="00FC1444">
        <w:rPr>
          <w:rFonts w:eastAsiaTheme="minorEastAsia" w:hint="eastAsia"/>
          <w:sz w:val="24"/>
          <w:szCs w:val="22"/>
          <w:lang w:val="zh-CN"/>
        </w:rPr>
        <w:t>17</w:t>
      </w:r>
      <w:r w:rsidRPr="00FC1444">
        <w:rPr>
          <w:rFonts w:eastAsiaTheme="minorEastAsia"/>
          <w:sz w:val="24"/>
          <w:szCs w:val="22"/>
          <w:lang w:val="zh-CN"/>
        </w:rPr>
        <w:t>。</w:t>
      </w:r>
    </w:p>
    <w:p w:rsidR="002A5A5E" w:rsidRPr="00FC1444" w:rsidRDefault="00611CBA">
      <w:pPr>
        <w:contextualSpacing/>
        <w:jc w:val="center"/>
        <w:rPr>
          <w:rFonts w:eastAsiaTheme="minorEastAsia"/>
          <w:b/>
          <w:kern w:val="0"/>
          <w:szCs w:val="21"/>
        </w:rPr>
      </w:pPr>
      <w:bookmarkStart w:id="109" w:name="_Toc490807013"/>
      <w:bookmarkStart w:id="110" w:name="_Toc514938163"/>
      <w:r w:rsidRPr="00FC1444">
        <w:rPr>
          <w:rFonts w:eastAsiaTheme="minorEastAsia"/>
          <w:b/>
          <w:kern w:val="0"/>
          <w:szCs w:val="21"/>
        </w:rPr>
        <w:t>表</w:t>
      </w:r>
      <w:r w:rsidRPr="00FC1444">
        <w:rPr>
          <w:rFonts w:eastAsiaTheme="minorEastAsia"/>
          <w:b/>
          <w:kern w:val="0"/>
          <w:szCs w:val="21"/>
        </w:rPr>
        <w:t>4-2-</w:t>
      </w:r>
      <w:r w:rsidR="00F90B8B" w:rsidRPr="00FC1444">
        <w:rPr>
          <w:rFonts w:eastAsiaTheme="minorEastAsia" w:hint="eastAsia"/>
          <w:b/>
          <w:kern w:val="0"/>
          <w:szCs w:val="21"/>
        </w:rPr>
        <w:t>17</w:t>
      </w:r>
      <w:r w:rsidRPr="00FC1444">
        <w:rPr>
          <w:rFonts w:eastAsiaTheme="minorEastAsia"/>
          <w:b/>
          <w:kern w:val="0"/>
          <w:szCs w:val="21"/>
        </w:rPr>
        <w:t xml:space="preserve"> </w:t>
      </w:r>
      <w:r w:rsidRPr="00FC1444">
        <w:rPr>
          <w:rFonts w:eastAsiaTheme="minorEastAsia"/>
          <w:b/>
          <w:kern w:val="0"/>
          <w:szCs w:val="21"/>
        </w:rPr>
        <w:t>土壤监测结果</w:t>
      </w:r>
      <w:r w:rsidRPr="00FC1444">
        <w:rPr>
          <w:rFonts w:eastAsiaTheme="minorEastAsia"/>
          <w:b/>
          <w:kern w:val="0"/>
          <w:szCs w:val="21"/>
        </w:rPr>
        <w:t xml:space="preserve">         </w:t>
      </w:r>
      <w:r w:rsidRPr="00FC1444">
        <w:rPr>
          <w:rFonts w:eastAsiaTheme="minorEastAsia"/>
          <w:b/>
          <w:kern w:val="0"/>
          <w:szCs w:val="21"/>
        </w:rPr>
        <w:t>单位：</w:t>
      </w:r>
      <w:r w:rsidRPr="00FC1444">
        <w:rPr>
          <w:rFonts w:eastAsiaTheme="minorEastAsia"/>
          <w:b/>
          <w:kern w:val="0"/>
          <w:szCs w:val="21"/>
        </w:rPr>
        <w:t>mg/kg</w:t>
      </w:r>
    </w:p>
    <w:tbl>
      <w:tblPr>
        <w:tblStyle w:val="afc"/>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tblPr>
      <w:tblGrid>
        <w:gridCol w:w="887"/>
        <w:gridCol w:w="1692"/>
        <w:gridCol w:w="1370"/>
        <w:gridCol w:w="1369"/>
        <w:gridCol w:w="1641"/>
        <w:gridCol w:w="1563"/>
      </w:tblGrid>
      <w:tr w:rsidR="002A5A5E" w:rsidRPr="00FC1444">
        <w:trPr>
          <w:trHeight w:val="40"/>
          <w:tblHeader/>
          <w:jc w:val="center"/>
        </w:trPr>
        <w:tc>
          <w:tcPr>
            <w:tcW w:w="520" w:type="pct"/>
            <w:vAlign w:val="center"/>
          </w:tcPr>
          <w:p w:rsidR="002A5A5E" w:rsidRPr="00FC1444" w:rsidRDefault="00611CBA">
            <w:pPr>
              <w:overflowPunct w:val="0"/>
              <w:adjustRightInd w:val="0"/>
              <w:spacing w:before="40" w:after="60"/>
              <w:jc w:val="center"/>
              <w:rPr>
                <w:rFonts w:eastAsiaTheme="minorEastAsia"/>
                <w:kern w:val="0"/>
                <w:szCs w:val="21"/>
              </w:rPr>
            </w:pPr>
            <w:r w:rsidRPr="00FC1444">
              <w:rPr>
                <w:rFonts w:eastAsiaTheme="minorEastAsia"/>
                <w:kern w:val="0"/>
                <w:szCs w:val="21"/>
              </w:rPr>
              <w:t>序号</w:t>
            </w:r>
          </w:p>
        </w:tc>
        <w:tc>
          <w:tcPr>
            <w:tcW w:w="993" w:type="pct"/>
            <w:vAlign w:val="center"/>
          </w:tcPr>
          <w:p w:rsidR="002A5A5E" w:rsidRPr="00FC1444" w:rsidRDefault="00611CBA">
            <w:pPr>
              <w:overflowPunct w:val="0"/>
              <w:adjustRightInd w:val="0"/>
              <w:spacing w:before="40" w:after="60"/>
              <w:jc w:val="center"/>
              <w:rPr>
                <w:rFonts w:eastAsiaTheme="minorEastAsia"/>
                <w:kern w:val="0"/>
                <w:szCs w:val="21"/>
              </w:rPr>
            </w:pPr>
            <w:r w:rsidRPr="00FC1444">
              <w:rPr>
                <w:rFonts w:eastAsiaTheme="minorEastAsia"/>
                <w:kern w:val="0"/>
                <w:szCs w:val="21"/>
              </w:rPr>
              <w:t>项目名称</w:t>
            </w:r>
          </w:p>
        </w:tc>
        <w:tc>
          <w:tcPr>
            <w:tcW w:w="804" w:type="pct"/>
          </w:tcPr>
          <w:p w:rsidR="002A5A5E" w:rsidRPr="00FC1444" w:rsidRDefault="00611CBA">
            <w:pPr>
              <w:overflowPunct w:val="0"/>
              <w:adjustRightInd w:val="0"/>
              <w:spacing w:before="40" w:after="60"/>
              <w:jc w:val="center"/>
              <w:rPr>
                <w:rFonts w:eastAsiaTheme="minorEastAsia"/>
                <w:kern w:val="0"/>
                <w:szCs w:val="21"/>
              </w:rPr>
            </w:pPr>
            <w:r w:rsidRPr="00FC1444">
              <w:rPr>
                <w:rFonts w:eastAsiaTheme="minorEastAsia"/>
                <w:kern w:val="0"/>
                <w:szCs w:val="21"/>
              </w:rPr>
              <w:t>单位</w:t>
            </w:r>
          </w:p>
        </w:tc>
        <w:tc>
          <w:tcPr>
            <w:tcW w:w="803" w:type="pct"/>
            <w:tcBorders>
              <w:right w:val="single" w:sz="4" w:space="0" w:color="auto"/>
            </w:tcBorders>
          </w:tcPr>
          <w:p w:rsidR="002A5A5E" w:rsidRPr="00FC1444" w:rsidRDefault="00611CBA">
            <w:pPr>
              <w:overflowPunct w:val="0"/>
              <w:adjustRightInd w:val="0"/>
              <w:spacing w:before="40" w:after="60"/>
              <w:jc w:val="center"/>
              <w:rPr>
                <w:rFonts w:eastAsiaTheme="minorEastAsia"/>
                <w:kern w:val="0"/>
                <w:szCs w:val="21"/>
              </w:rPr>
            </w:pPr>
            <w:r w:rsidRPr="00FC1444">
              <w:rPr>
                <w:rFonts w:eastAsiaTheme="minorEastAsia"/>
                <w:kern w:val="0"/>
                <w:szCs w:val="21"/>
              </w:rPr>
              <w:t>1#</w:t>
            </w:r>
            <w:r w:rsidRPr="00FC1444">
              <w:rPr>
                <w:rFonts w:eastAsiaTheme="minorEastAsia"/>
                <w:kern w:val="0"/>
                <w:szCs w:val="21"/>
              </w:rPr>
              <w:t>监测结果</w:t>
            </w:r>
          </w:p>
        </w:tc>
        <w:tc>
          <w:tcPr>
            <w:tcW w:w="963" w:type="pct"/>
            <w:tcBorders>
              <w:left w:val="single" w:sz="4" w:space="0" w:color="auto"/>
            </w:tcBorders>
          </w:tcPr>
          <w:p w:rsidR="002A5A5E" w:rsidRPr="00FC1444" w:rsidRDefault="00611CBA">
            <w:pPr>
              <w:overflowPunct w:val="0"/>
              <w:adjustRightInd w:val="0"/>
              <w:spacing w:before="40" w:after="60"/>
              <w:jc w:val="center"/>
              <w:rPr>
                <w:rFonts w:eastAsiaTheme="minorEastAsia"/>
                <w:kern w:val="0"/>
                <w:szCs w:val="21"/>
              </w:rPr>
            </w:pPr>
            <w:r w:rsidRPr="00FC1444">
              <w:rPr>
                <w:rFonts w:eastAsiaTheme="minorEastAsia"/>
                <w:kern w:val="0"/>
                <w:szCs w:val="21"/>
              </w:rPr>
              <w:t>2#</w:t>
            </w:r>
            <w:r w:rsidRPr="00FC1444">
              <w:rPr>
                <w:rFonts w:eastAsiaTheme="minorEastAsia"/>
                <w:kern w:val="0"/>
                <w:szCs w:val="21"/>
              </w:rPr>
              <w:t>监测结果</w:t>
            </w:r>
          </w:p>
        </w:tc>
        <w:tc>
          <w:tcPr>
            <w:tcW w:w="917" w:type="pct"/>
            <w:vAlign w:val="center"/>
          </w:tcPr>
          <w:p w:rsidR="002A5A5E" w:rsidRPr="00FC1444" w:rsidRDefault="00611CBA">
            <w:pPr>
              <w:overflowPunct w:val="0"/>
              <w:adjustRightInd w:val="0"/>
              <w:spacing w:before="40" w:after="60"/>
              <w:jc w:val="center"/>
              <w:rPr>
                <w:rFonts w:eastAsiaTheme="minorEastAsia"/>
                <w:kern w:val="0"/>
                <w:szCs w:val="21"/>
              </w:rPr>
            </w:pPr>
            <w:r w:rsidRPr="00FC1444">
              <w:rPr>
                <w:rFonts w:eastAsiaTheme="minorEastAsia"/>
                <w:kern w:val="0"/>
                <w:szCs w:val="21"/>
              </w:rPr>
              <w:t>3#</w:t>
            </w:r>
            <w:r w:rsidRPr="00FC1444">
              <w:rPr>
                <w:rFonts w:eastAsiaTheme="minorEastAsia"/>
                <w:kern w:val="0"/>
                <w:szCs w:val="21"/>
              </w:rPr>
              <w:t>监测结果</w:t>
            </w:r>
          </w:p>
        </w:tc>
      </w:tr>
      <w:tr w:rsidR="0097223F" w:rsidRPr="00FC1444">
        <w:trPr>
          <w:trHeight w:val="137"/>
          <w:jc w:val="center"/>
        </w:trPr>
        <w:tc>
          <w:tcPr>
            <w:tcW w:w="520" w:type="pct"/>
            <w:vAlign w:val="center"/>
          </w:tcPr>
          <w:p w:rsidR="0097223F" w:rsidRPr="00FC1444" w:rsidRDefault="0097223F">
            <w:pPr>
              <w:overflowPunct w:val="0"/>
              <w:adjustRightInd w:val="0"/>
              <w:jc w:val="center"/>
              <w:rPr>
                <w:rFonts w:eastAsiaTheme="minorEastAsia"/>
                <w:kern w:val="0"/>
                <w:szCs w:val="21"/>
              </w:rPr>
            </w:pPr>
            <w:r w:rsidRPr="00FC1444">
              <w:rPr>
                <w:rFonts w:eastAsiaTheme="minorEastAsia"/>
                <w:kern w:val="0"/>
                <w:szCs w:val="21"/>
              </w:rPr>
              <w:t>1</w:t>
            </w:r>
          </w:p>
        </w:tc>
        <w:tc>
          <w:tcPr>
            <w:tcW w:w="993" w:type="pct"/>
            <w:vAlign w:val="center"/>
          </w:tcPr>
          <w:p w:rsidR="0097223F" w:rsidRPr="00FC1444" w:rsidRDefault="0097223F">
            <w:pPr>
              <w:overflowPunct w:val="0"/>
              <w:adjustRightInd w:val="0"/>
              <w:jc w:val="center"/>
              <w:rPr>
                <w:rFonts w:eastAsiaTheme="minorEastAsia"/>
                <w:kern w:val="0"/>
                <w:szCs w:val="21"/>
              </w:rPr>
            </w:pPr>
            <w:r w:rsidRPr="00FC1444">
              <w:rPr>
                <w:rFonts w:eastAsiaTheme="minorEastAsia"/>
                <w:kern w:val="0"/>
                <w:szCs w:val="21"/>
              </w:rPr>
              <w:t>pH</w:t>
            </w:r>
          </w:p>
        </w:tc>
        <w:tc>
          <w:tcPr>
            <w:tcW w:w="804" w:type="pct"/>
            <w:vAlign w:val="center"/>
          </w:tcPr>
          <w:p w:rsidR="0097223F" w:rsidRPr="00FC1444" w:rsidRDefault="0097223F">
            <w:pPr>
              <w:adjustRightInd w:val="0"/>
              <w:snapToGrid w:val="0"/>
              <w:jc w:val="center"/>
              <w:rPr>
                <w:rFonts w:eastAsiaTheme="minorEastAsia"/>
                <w:kern w:val="0"/>
                <w:szCs w:val="21"/>
              </w:rPr>
            </w:pPr>
            <w:r w:rsidRPr="00FC1444">
              <w:rPr>
                <w:rFonts w:eastAsiaTheme="minorEastAsia"/>
                <w:spacing w:val="-4"/>
                <w:kern w:val="0"/>
                <w:szCs w:val="21"/>
              </w:rPr>
              <w:t>无量纲</w:t>
            </w:r>
          </w:p>
        </w:tc>
        <w:tc>
          <w:tcPr>
            <w:tcW w:w="803" w:type="pct"/>
            <w:tcBorders>
              <w:right w:val="single" w:sz="4" w:space="0" w:color="auto"/>
            </w:tcBorders>
            <w:vAlign w:val="center"/>
          </w:tcPr>
          <w:p w:rsidR="0097223F" w:rsidRPr="00FC1444" w:rsidRDefault="008D6454">
            <w:pPr>
              <w:adjustRightInd w:val="0"/>
              <w:snapToGrid w:val="0"/>
              <w:jc w:val="center"/>
              <w:rPr>
                <w:bCs/>
                <w:szCs w:val="21"/>
              </w:rPr>
            </w:pPr>
            <w:r w:rsidRPr="00FC1444">
              <w:rPr>
                <w:rFonts w:hint="eastAsia"/>
                <w:bCs/>
                <w:szCs w:val="21"/>
              </w:rPr>
              <w:t>7.2</w:t>
            </w:r>
          </w:p>
        </w:tc>
        <w:tc>
          <w:tcPr>
            <w:tcW w:w="963" w:type="pct"/>
            <w:tcBorders>
              <w:left w:val="single" w:sz="4" w:space="0" w:color="auto"/>
            </w:tcBorders>
            <w:vAlign w:val="center"/>
          </w:tcPr>
          <w:p w:rsidR="0097223F" w:rsidRPr="00FC1444" w:rsidRDefault="008D6454">
            <w:pPr>
              <w:adjustRightInd w:val="0"/>
              <w:snapToGrid w:val="0"/>
              <w:jc w:val="center"/>
              <w:rPr>
                <w:bCs/>
                <w:szCs w:val="21"/>
              </w:rPr>
            </w:pPr>
            <w:r w:rsidRPr="00FC1444">
              <w:rPr>
                <w:rFonts w:hint="eastAsia"/>
                <w:bCs/>
                <w:szCs w:val="21"/>
              </w:rPr>
              <w:t>7.6</w:t>
            </w:r>
          </w:p>
        </w:tc>
        <w:tc>
          <w:tcPr>
            <w:tcW w:w="917" w:type="pct"/>
            <w:vAlign w:val="center"/>
          </w:tcPr>
          <w:p w:rsidR="0097223F" w:rsidRPr="00FC1444" w:rsidRDefault="008D6454">
            <w:pPr>
              <w:adjustRightInd w:val="0"/>
              <w:snapToGrid w:val="0"/>
              <w:jc w:val="center"/>
              <w:rPr>
                <w:bCs/>
                <w:szCs w:val="21"/>
              </w:rPr>
            </w:pPr>
            <w:r w:rsidRPr="00FC1444">
              <w:rPr>
                <w:rFonts w:hint="eastAsia"/>
                <w:bCs/>
                <w:szCs w:val="21"/>
              </w:rPr>
              <w:t>7.1</w:t>
            </w:r>
          </w:p>
        </w:tc>
      </w:tr>
      <w:tr w:rsidR="0097223F" w:rsidRPr="00FC1444">
        <w:trPr>
          <w:trHeight w:val="137"/>
          <w:jc w:val="center"/>
        </w:trPr>
        <w:tc>
          <w:tcPr>
            <w:tcW w:w="520" w:type="pct"/>
            <w:vAlign w:val="center"/>
          </w:tcPr>
          <w:p w:rsidR="0097223F" w:rsidRPr="00FC1444" w:rsidRDefault="0097223F">
            <w:pPr>
              <w:overflowPunct w:val="0"/>
              <w:adjustRightInd w:val="0"/>
              <w:jc w:val="center"/>
              <w:rPr>
                <w:rFonts w:eastAsiaTheme="minorEastAsia"/>
                <w:kern w:val="0"/>
                <w:szCs w:val="21"/>
              </w:rPr>
            </w:pPr>
            <w:r w:rsidRPr="00FC1444">
              <w:rPr>
                <w:rFonts w:eastAsiaTheme="minorEastAsia"/>
                <w:kern w:val="0"/>
                <w:szCs w:val="21"/>
              </w:rPr>
              <w:t>2</w:t>
            </w:r>
          </w:p>
        </w:tc>
        <w:tc>
          <w:tcPr>
            <w:tcW w:w="993" w:type="pct"/>
            <w:vAlign w:val="center"/>
          </w:tcPr>
          <w:p w:rsidR="0097223F" w:rsidRPr="00FC1444" w:rsidRDefault="0097223F">
            <w:pPr>
              <w:overflowPunct w:val="0"/>
              <w:adjustRightInd w:val="0"/>
              <w:jc w:val="center"/>
              <w:rPr>
                <w:rFonts w:eastAsiaTheme="minorEastAsia"/>
                <w:kern w:val="0"/>
                <w:szCs w:val="21"/>
              </w:rPr>
            </w:pPr>
            <w:r w:rsidRPr="00FC1444">
              <w:rPr>
                <w:rFonts w:eastAsiaTheme="minorEastAsia"/>
                <w:kern w:val="0"/>
                <w:szCs w:val="21"/>
              </w:rPr>
              <w:t>含盐量</w:t>
            </w:r>
          </w:p>
        </w:tc>
        <w:tc>
          <w:tcPr>
            <w:tcW w:w="804" w:type="pct"/>
            <w:vAlign w:val="center"/>
          </w:tcPr>
          <w:p w:rsidR="0097223F" w:rsidRPr="00FC1444" w:rsidRDefault="0097223F">
            <w:pPr>
              <w:adjustRightInd w:val="0"/>
              <w:snapToGrid w:val="0"/>
              <w:jc w:val="center"/>
              <w:rPr>
                <w:rFonts w:eastAsiaTheme="minorEastAsia"/>
                <w:kern w:val="0"/>
                <w:szCs w:val="21"/>
              </w:rPr>
            </w:pPr>
            <w:r w:rsidRPr="00FC1444">
              <w:rPr>
                <w:rFonts w:eastAsiaTheme="minorEastAsia"/>
                <w:spacing w:val="-4"/>
                <w:kern w:val="0"/>
                <w:szCs w:val="21"/>
              </w:rPr>
              <w:t>mg/kg</w:t>
            </w:r>
          </w:p>
        </w:tc>
        <w:tc>
          <w:tcPr>
            <w:tcW w:w="803" w:type="pct"/>
            <w:tcBorders>
              <w:right w:val="single" w:sz="4" w:space="0" w:color="auto"/>
            </w:tcBorders>
            <w:vAlign w:val="center"/>
          </w:tcPr>
          <w:p w:rsidR="0097223F" w:rsidRPr="00FC1444" w:rsidRDefault="008D6454">
            <w:pPr>
              <w:adjustRightInd w:val="0"/>
              <w:snapToGrid w:val="0"/>
              <w:jc w:val="center"/>
              <w:rPr>
                <w:bCs/>
                <w:szCs w:val="21"/>
              </w:rPr>
            </w:pPr>
            <w:r w:rsidRPr="00FC1444">
              <w:rPr>
                <w:rFonts w:hint="eastAsia"/>
                <w:bCs/>
                <w:szCs w:val="21"/>
              </w:rPr>
              <w:t>0.5</w:t>
            </w:r>
          </w:p>
        </w:tc>
        <w:tc>
          <w:tcPr>
            <w:tcW w:w="963" w:type="pct"/>
            <w:tcBorders>
              <w:left w:val="single" w:sz="4" w:space="0" w:color="auto"/>
            </w:tcBorders>
            <w:vAlign w:val="center"/>
          </w:tcPr>
          <w:p w:rsidR="0097223F" w:rsidRPr="00FC1444" w:rsidRDefault="008D6454">
            <w:pPr>
              <w:adjustRightInd w:val="0"/>
              <w:snapToGrid w:val="0"/>
              <w:jc w:val="center"/>
              <w:rPr>
                <w:bCs/>
                <w:szCs w:val="21"/>
              </w:rPr>
            </w:pPr>
            <w:r w:rsidRPr="00FC1444">
              <w:rPr>
                <w:rFonts w:hint="eastAsia"/>
                <w:bCs/>
                <w:szCs w:val="21"/>
              </w:rPr>
              <w:t>0.8</w:t>
            </w:r>
          </w:p>
        </w:tc>
        <w:tc>
          <w:tcPr>
            <w:tcW w:w="917" w:type="pct"/>
            <w:vAlign w:val="center"/>
          </w:tcPr>
          <w:p w:rsidR="0097223F" w:rsidRPr="00FC1444" w:rsidRDefault="008D6454">
            <w:pPr>
              <w:adjustRightInd w:val="0"/>
              <w:snapToGrid w:val="0"/>
              <w:jc w:val="center"/>
              <w:rPr>
                <w:bCs/>
                <w:szCs w:val="21"/>
              </w:rPr>
            </w:pPr>
            <w:r w:rsidRPr="00FC1444">
              <w:rPr>
                <w:rFonts w:hint="eastAsia"/>
                <w:bCs/>
                <w:szCs w:val="21"/>
              </w:rPr>
              <w:t>0.6</w:t>
            </w:r>
          </w:p>
        </w:tc>
      </w:tr>
    </w:tbl>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lastRenderedPageBreak/>
        <w:t>4.2.5.2</w:t>
      </w:r>
      <w:r w:rsidRPr="00FC1444">
        <w:rPr>
          <w:rFonts w:eastAsiaTheme="minorEastAsia"/>
          <w:b/>
          <w:sz w:val="24"/>
        </w:rPr>
        <w:t>土壤质量现状评价</w:t>
      </w:r>
    </w:p>
    <w:p w:rsidR="002A5A5E" w:rsidRPr="00FC1444" w:rsidRDefault="00611CBA">
      <w:pPr>
        <w:spacing w:line="360" w:lineRule="auto"/>
        <w:ind w:firstLine="482"/>
        <w:rPr>
          <w:rFonts w:eastAsiaTheme="minorEastAsia"/>
          <w:sz w:val="24"/>
        </w:rPr>
      </w:pPr>
      <w:r w:rsidRPr="00FC1444">
        <w:rPr>
          <w:rFonts w:eastAsiaTheme="minorEastAsia"/>
          <w:sz w:val="24"/>
          <w:szCs w:val="21"/>
        </w:rPr>
        <w:t>根据土壤现状监测结果，</w:t>
      </w:r>
      <w:r w:rsidRPr="00FC1444">
        <w:rPr>
          <w:rFonts w:eastAsiaTheme="minorEastAsia"/>
          <w:sz w:val="24"/>
          <w:szCs w:val="21"/>
        </w:rPr>
        <w:t>3</w:t>
      </w:r>
      <w:r w:rsidRPr="00FC1444">
        <w:rPr>
          <w:rFonts w:eastAsiaTheme="minorEastAsia"/>
          <w:sz w:val="24"/>
          <w:szCs w:val="21"/>
        </w:rPr>
        <w:t>个监测点</w:t>
      </w:r>
      <w:r w:rsidRPr="00FC1444">
        <w:rPr>
          <w:rFonts w:eastAsiaTheme="minorEastAsia"/>
          <w:sz w:val="24"/>
          <w:szCs w:val="21"/>
        </w:rPr>
        <w:t>pH</w:t>
      </w:r>
      <w:r w:rsidRPr="00FC1444">
        <w:rPr>
          <w:rFonts w:eastAsiaTheme="minorEastAsia"/>
          <w:sz w:val="24"/>
          <w:szCs w:val="21"/>
        </w:rPr>
        <w:t>值在</w:t>
      </w:r>
      <w:r w:rsidR="006F5CC4" w:rsidRPr="00FC1444">
        <w:rPr>
          <w:rFonts w:eastAsiaTheme="minorEastAsia" w:hint="eastAsia"/>
          <w:sz w:val="24"/>
          <w:szCs w:val="21"/>
        </w:rPr>
        <w:t>7.1</w:t>
      </w:r>
      <w:r w:rsidR="006F5CC4" w:rsidRPr="00FC1444">
        <w:rPr>
          <w:rFonts w:eastAsiaTheme="minorEastAsia"/>
          <w:sz w:val="24"/>
          <w:szCs w:val="21"/>
        </w:rPr>
        <w:t>-7.</w:t>
      </w:r>
      <w:r w:rsidR="006F5CC4" w:rsidRPr="00FC1444">
        <w:rPr>
          <w:rFonts w:eastAsiaTheme="minorEastAsia" w:hint="eastAsia"/>
          <w:sz w:val="24"/>
          <w:szCs w:val="21"/>
        </w:rPr>
        <w:t>6</w:t>
      </w:r>
      <w:r w:rsidRPr="00FC1444">
        <w:rPr>
          <w:rFonts w:eastAsiaTheme="minorEastAsia"/>
          <w:sz w:val="24"/>
          <w:szCs w:val="21"/>
        </w:rPr>
        <w:t>之间，含盐量为</w:t>
      </w:r>
      <w:r w:rsidRPr="00FC1444">
        <w:rPr>
          <w:rFonts w:eastAsiaTheme="minorEastAsia"/>
          <w:sz w:val="24"/>
          <w:szCs w:val="21"/>
        </w:rPr>
        <w:t>0.</w:t>
      </w:r>
      <w:r w:rsidR="006F5CC4" w:rsidRPr="00FC1444">
        <w:rPr>
          <w:rFonts w:eastAsiaTheme="minorEastAsia" w:hint="eastAsia"/>
          <w:sz w:val="24"/>
          <w:szCs w:val="21"/>
        </w:rPr>
        <w:t>5</w:t>
      </w:r>
      <w:r w:rsidR="006F5CC4" w:rsidRPr="00FC1444">
        <w:rPr>
          <w:rFonts w:eastAsiaTheme="minorEastAsia"/>
          <w:sz w:val="24"/>
          <w:szCs w:val="21"/>
        </w:rPr>
        <w:t>-0.</w:t>
      </w:r>
      <w:r w:rsidR="006F5CC4" w:rsidRPr="00FC1444">
        <w:rPr>
          <w:rFonts w:eastAsiaTheme="minorEastAsia" w:hint="eastAsia"/>
          <w:sz w:val="24"/>
          <w:szCs w:val="21"/>
        </w:rPr>
        <w:t>8</w:t>
      </w:r>
      <w:r w:rsidRPr="00FC1444">
        <w:rPr>
          <w:rFonts w:eastAsiaTheme="minorEastAsia"/>
          <w:sz w:val="24"/>
          <w:szCs w:val="21"/>
        </w:rPr>
        <w:t>g/kg</w:t>
      </w:r>
      <w:r w:rsidRPr="00FC1444">
        <w:rPr>
          <w:rFonts w:eastAsiaTheme="minorEastAsia"/>
          <w:sz w:val="24"/>
        </w:rPr>
        <w:t>。均</w:t>
      </w:r>
      <w:r w:rsidRPr="00FC1444">
        <w:rPr>
          <w:rFonts w:eastAsiaTheme="minorEastAsia"/>
          <w:sz w:val="24"/>
          <w:szCs w:val="21"/>
        </w:rPr>
        <w:t>满足《土壤环境质量</w:t>
      </w:r>
      <w:r w:rsidRPr="00FC1444">
        <w:rPr>
          <w:rFonts w:eastAsiaTheme="minorEastAsia"/>
          <w:sz w:val="24"/>
          <w:szCs w:val="21"/>
        </w:rPr>
        <w:t xml:space="preserve"> </w:t>
      </w:r>
      <w:r w:rsidRPr="00FC1444">
        <w:rPr>
          <w:rFonts w:eastAsiaTheme="minorEastAsia"/>
          <w:sz w:val="24"/>
          <w:szCs w:val="21"/>
        </w:rPr>
        <w:t>农用地土壤污染风险管控标准（试行）》（</w:t>
      </w:r>
      <w:r w:rsidRPr="00FC1444">
        <w:rPr>
          <w:rFonts w:eastAsiaTheme="minorEastAsia"/>
          <w:sz w:val="24"/>
          <w:szCs w:val="21"/>
        </w:rPr>
        <w:t>GB15618-2018</w:t>
      </w:r>
      <w:r w:rsidRPr="00FC1444">
        <w:rPr>
          <w:rFonts w:eastAsiaTheme="minorEastAsia"/>
          <w:sz w:val="24"/>
          <w:szCs w:val="21"/>
        </w:rPr>
        <w:t>）表</w:t>
      </w:r>
      <w:r w:rsidRPr="00FC1444">
        <w:rPr>
          <w:rFonts w:eastAsiaTheme="minorEastAsia"/>
          <w:sz w:val="24"/>
          <w:szCs w:val="21"/>
        </w:rPr>
        <w:t>1</w:t>
      </w:r>
      <w:r w:rsidRPr="00FC1444">
        <w:rPr>
          <w:rFonts w:eastAsiaTheme="minorEastAsia"/>
          <w:sz w:val="24"/>
          <w:szCs w:val="21"/>
        </w:rPr>
        <w:t>中标准限值。</w:t>
      </w:r>
    </w:p>
    <w:p w:rsidR="002A5A5E" w:rsidRPr="00FC1444" w:rsidRDefault="00611CBA">
      <w:pPr>
        <w:keepNext/>
        <w:keepLines/>
        <w:spacing w:before="100" w:beforeAutospacing="1" w:after="100" w:afterAutospacing="1"/>
        <w:outlineLvl w:val="2"/>
        <w:rPr>
          <w:rFonts w:eastAsiaTheme="minorEastAsia"/>
          <w:b/>
          <w:sz w:val="28"/>
          <w:szCs w:val="28"/>
        </w:rPr>
      </w:pPr>
      <w:bookmarkStart w:id="111" w:name="_Toc11758519"/>
      <w:r w:rsidRPr="00FC1444">
        <w:rPr>
          <w:rFonts w:eastAsiaTheme="minorEastAsia"/>
          <w:b/>
          <w:sz w:val="28"/>
          <w:szCs w:val="28"/>
        </w:rPr>
        <w:t>4.2.6</w:t>
      </w:r>
      <w:r w:rsidRPr="00FC1444">
        <w:rPr>
          <w:rFonts w:eastAsiaTheme="minorEastAsia"/>
          <w:b/>
          <w:bCs/>
          <w:sz w:val="28"/>
          <w:szCs w:val="28"/>
        </w:rPr>
        <w:t>陆生生态调查</w:t>
      </w:r>
      <w:bookmarkEnd w:id="111"/>
    </w:p>
    <w:p w:rsidR="002A5A5E" w:rsidRPr="00FC1444" w:rsidRDefault="00250C31">
      <w:pPr>
        <w:spacing w:line="360" w:lineRule="auto"/>
        <w:ind w:firstLineChars="200" w:firstLine="480"/>
        <w:rPr>
          <w:rFonts w:eastAsiaTheme="minorEastAsia"/>
          <w:sz w:val="24"/>
          <w:lang w:bidi="en-US"/>
        </w:rPr>
      </w:pPr>
      <w:r w:rsidRPr="00FC1444">
        <w:rPr>
          <w:rFonts w:eastAsiaTheme="minorEastAsia"/>
          <w:sz w:val="24"/>
          <w:lang w:bidi="en-US"/>
        </w:rPr>
        <w:t>（</w:t>
      </w:r>
      <w:r w:rsidRPr="00FC1444">
        <w:rPr>
          <w:rFonts w:eastAsiaTheme="minorEastAsia"/>
          <w:sz w:val="24"/>
          <w:lang w:bidi="en-US"/>
        </w:rPr>
        <w:t>1</w:t>
      </w:r>
      <w:r w:rsidRPr="00FC1444">
        <w:rPr>
          <w:rFonts w:eastAsiaTheme="minorEastAsia"/>
          <w:sz w:val="24"/>
          <w:lang w:bidi="en-US"/>
        </w:rPr>
        <w:t>）</w:t>
      </w:r>
      <w:r w:rsidR="00611CBA" w:rsidRPr="00FC1444">
        <w:rPr>
          <w:rFonts w:eastAsiaTheme="minorEastAsia"/>
          <w:sz w:val="24"/>
          <w:lang w:bidi="en-US"/>
        </w:rPr>
        <w:t>调查范围</w:t>
      </w:r>
    </w:p>
    <w:p w:rsidR="002A5A5E" w:rsidRPr="00FC1444" w:rsidRDefault="00611CBA">
      <w:pPr>
        <w:spacing w:line="360" w:lineRule="auto"/>
        <w:ind w:firstLineChars="200" w:firstLine="480"/>
        <w:contextualSpacing/>
        <w:rPr>
          <w:rFonts w:eastAsiaTheme="minorEastAsia"/>
          <w:snapToGrid w:val="0"/>
          <w:sz w:val="24"/>
          <w:szCs w:val="20"/>
        </w:rPr>
      </w:pPr>
      <w:r w:rsidRPr="00FC1444">
        <w:rPr>
          <w:rFonts w:eastAsiaTheme="minorEastAsia"/>
          <w:sz w:val="24"/>
          <w:lang w:bidi="en-US"/>
        </w:rPr>
        <w:t>本项目陆生生态影响评价范围为项目区外延</w:t>
      </w:r>
      <w:r w:rsidRPr="00FC1444">
        <w:rPr>
          <w:rFonts w:eastAsiaTheme="minorEastAsia"/>
          <w:sz w:val="24"/>
          <w:lang w:bidi="en-US"/>
        </w:rPr>
        <w:t>300m</w:t>
      </w:r>
      <w:r w:rsidRPr="00FC1444">
        <w:rPr>
          <w:rFonts w:eastAsiaTheme="minorEastAsia"/>
          <w:sz w:val="24"/>
          <w:lang w:bidi="en-US"/>
        </w:rPr>
        <w:t>。</w:t>
      </w:r>
    </w:p>
    <w:p w:rsidR="003C598F" w:rsidRPr="00FC1444" w:rsidRDefault="003C598F" w:rsidP="003C598F">
      <w:pPr>
        <w:spacing w:line="360" w:lineRule="auto"/>
        <w:ind w:firstLineChars="200" w:firstLine="480"/>
        <w:contextualSpacing/>
        <w:rPr>
          <w:rFonts w:eastAsiaTheme="minorEastAsia"/>
          <w:snapToGrid w:val="0"/>
          <w:sz w:val="24"/>
          <w:szCs w:val="20"/>
        </w:rPr>
      </w:pPr>
      <w:r w:rsidRPr="00FC1444">
        <w:rPr>
          <w:rFonts w:eastAsiaTheme="minorEastAsia" w:hint="eastAsia"/>
          <w:kern w:val="0"/>
          <w:sz w:val="24"/>
        </w:rPr>
        <w:t>呼兰河</w:t>
      </w:r>
      <w:r w:rsidRPr="00FC1444">
        <w:rPr>
          <w:rFonts w:eastAsiaTheme="minorEastAsia"/>
          <w:kern w:val="0"/>
          <w:sz w:val="24"/>
        </w:rPr>
        <w:t>：</w:t>
      </w:r>
      <w:r w:rsidRPr="00FC1444">
        <w:rPr>
          <w:rFonts w:eastAsiaTheme="minorEastAsia" w:hint="eastAsia"/>
          <w:kern w:val="0"/>
          <w:sz w:val="24"/>
        </w:rPr>
        <w:t>呼兰河</w:t>
      </w:r>
      <w:r w:rsidRPr="00FC1444">
        <w:rPr>
          <w:rFonts w:eastAsiaTheme="minorEastAsia"/>
          <w:kern w:val="0"/>
          <w:sz w:val="24"/>
        </w:rPr>
        <w:t>退水口</w:t>
      </w:r>
      <w:r w:rsidRPr="00FC1444">
        <w:rPr>
          <w:rFonts w:eastAsiaTheme="minorEastAsia"/>
          <w:snapToGrid w:val="0"/>
          <w:kern w:val="0"/>
          <w:sz w:val="24"/>
        </w:rPr>
        <w:t>上游</w:t>
      </w:r>
      <w:r w:rsidRPr="00FC1444">
        <w:rPr>
          <w:rFonts w:eastAsiaTheme="minorEastAsia"/>
          <w:kern w:val="0"/>
          <w:sz w:val="24"/>
        </w:rPr>
        <w:t>500m</w:t>
      </w:r>
      <w:r w:rsidRPr="00FC1444">
        <w:rPr>
          <w:rFonts w:eastAsiaTheme="minorEastAsia"/>
          <w:kern w:val="0"/>
          <w:sz w:val="24"/>
        </w:rPr>
        <w:t>至退水口下游</w:t>
      </w:r>
      <w:r w:rsidRPr="00FC1444">
        <w:rPr>
          <w:rFonts w:eastAsiaTheme="minorEastAsia"/>
          <w:kern w:val="0"/>
          <w:sz w:val="24"/>
        </w:rPr>
        <w:t>1000m</w:t>
      </w:r>
      <w:r w:rsidRPr="00FC1444">
        <w:rPr>
          <w:rFonts w:eastAsiaTheme="minorEastAsia"/>
          <w:kern w:val="0"/>
          <w:sz w:val="24"/>
        </w:rPr>
        <w:t>；绥胜干沟汇入呼兰河口</w:t>
      </w:r>
      <w:r w:rsidRPr="00FC1444">
        <w:rPr>
          <w:rFonts w:eastAsiaTheme="minorEastAsia"/>
          <w:snapToGrid w:val="0"/>
          <w:kern w:val="0"/>
          <w:sz w:val="24"/>
        </w:rPr>
        <w:t>上游</w:t>
      </w:r>
      <w:r w:rsidRPr="00FC1444">
        <w:rPr>
          <w:rFonts w:eastAsiaTheme="minorEastAsia"/>
          <w:kern w:val="0"/>
          <w:sz w:val="24"/>
        </w:rPr>
        <w:t>500m</w:t>
      </w:r>
      <w:r w:rsidRPr="00FC1444">
        <w:rPr>
          <w:rFonts w:eastAsiaTheme="minorEastAsia"/>
          <w:kern w:val="0"/>
          <w:sz w:val="24"/>
        </w:rPr>
        <w:t>至下游</w:t>
      </w:r>
      <w:r w:rsidRPr="00FC1444">
        <w:rPr>
          <w:rFonts w:eastAsiaTheme="minorEastAsia"/>
          <w:kern w:val="0"/>
          <w:sz w:val="24"/>
        </w:rPr>
        <w:t>1000m</w:t>
      </w:r>
      <w:r w:rsidR="00341992" w:rsidRPr="00FC1444">
        <w:rPr>
          <w:rFonts w:eastAsiaTheme="minorEastAsia"/>
          <w:kern w:val="0"/>
          <w:sz w:val="24"/>
        </w:rPr>
        <w:t>。评价河段长度共</w:t>
      </w:r>
      <w:r w:rsidRPr="00FC1444">
        <w:rPr>
          <w:rFonts w:eastAsiaTheme="minorEastAsia" w:hint="eastAsia"/>
          <w:kern w:val="0"/>
          <w:sz w:val="24"/>
        </w:rPr>
        <w:t>4.5</w:t>
      </w:r>
      <w:r w:rsidRPr="00FC1444">
        <w:rPr>
          <w:rFonts w:eastAsiaTheme="minorEastAsia"/>
          <w:kern w:val="0"/>
          <w:sz w:val="24"/>
        </w:rPr>
        <w:t>km</w:t>
      </w:r>
      <w:r w:rsidRPr="00FC1444">
        <w:rPr>
          <w:rFonts w:eastAsiaTheme="minorEastAsia"/>
          <w:snapToGrid w:val="0"/>
          <w:sz w:val="24"/>
          <w:szCs w:val="20"/>
        </w:rPr>
        <w:t>；</w:t>
      </w:r>
    </w:p>
    <w:p w:rsidR="003C598F" w:rsidRPr="00FC1444" w:rsidRDefault="003C598F" w:rsidP="003C598F">
      <w:pPr>
        <w:spacing w:line="360" w:lineRule="auto"/>
        <w:ind w:firstLineChars="200" w:firstLine="480"/>
        <w:contextualSpacing/>
        <w:rPr>
          <w:rFonts w:eastAsiaTheme="minorEastAsia"/>
          <w:snapToGrid w:val="0"/>
          <w:sz w:val="24"/>
          <w:szCs w:val="20"/>
        </w:rPr>
      </w:pPr>
      <w:r w:rsidRPr="00FC1444">
        <w:rPr>
          <w:rFonts w:eastAsiaTheme="minorEastAsia" w:hint="eastAsia"/>
          <w:kern w:val="0"/>
          <w:sz w:val="24"/>
        </w:rPr>
        <w:t>努敏</w:t>
      </w:r>
      <w:r w:rsidRPr="00FC1444">
        <w:rPr>
          <w:rFonts w:eastAsiaTheme="minorEastAsia"/>
          <w:kern w:val="0"/>
          <w:sz w:val="24"/>
        </w:rPr>
        <w:t>河：</w:t>
      </w:r>
      <w:r w:rsidRPr="00FC1444">
        <w:rPr>
          <w:rFonts w:eastAsiaTheme="minorEastAsia" w:hint="eastAsia"/>
          <w:kern w:val="0"/>
          <w:sz w:val="24"/>
        </w:rPr>
        <w:t>努敏</w:t>
      </w:r>
      <w:r w:rsidRPr="00FC1444">
        <w:rPr>
          <w:rFonts w:eastAsiaTheme="minorEastAsia"/>
          <w:kern w:val="0"/>
          <w:sz w:val="24"/>
        </w:rPr>
        <w:t>河退水口上游</w:t>
      </w:r>
      <w:r w:rsidRPr="00FC1444">
        <w:rPr>
          <w:rFonts w:eastAsiaTheme="minorEastAsia"/>
          <w:kern w:val="0"/>
          <w:sz w:val="24"/>
        </w:rPr>
        <w:t>500m</w:t>
      </w:r>
      <w:r w:rsidRPr="00FC1444">
        <w:rPr>
          <w:rFonts w:eastAsiaTheme="minorEastAsia"/>
          <w:kern w:val="0"/>
          <w:sz w:val="24"/>
        </w:rPr>
        <w:t>至退水口下游</w:t>
      </w:r>
      <w:r w:rsidRPr="00FC1444">
        <w:rPr>
          <w:rFonts w:eastAsiaTheme="minorEastAsia"/>
          <w:kern w:val="0"/>
          <w:sz w:val="24"/>
        </w:rPr>
        <w:t>1000m</w:t>
      </w:r>
      <w:r w:rsidRPr="00FC1444">
        <w:rPr>
          <w:rFonts w:eastAsiaTheme="minorEastAsia"/>
          <w:kern w:val="0"/>
          <w:sz w:val="24"/>
        </w:rPr>
        <w:t>。评价河段长度为</w:t>
      </w:r>
      <w:r w:rsidRPr="00FC1444">
        <w:rPr>
          <w:rFonts w:eastAsiaTheme="minorEastAsia" w:hint="eastAsia"/>
          <w:kern w:val="0"/>
          <w:sz w:val="24"/>
        </w:rPr>
        <w:t>7</w:t>
      </w:r>
      <w:r w:rsidRPr="00FC1444">
        <w:rPr>
          <w:rFonts w:eastAsiaTheme="minorEastAsia"/>
          <w:kern w:val="0"/>
          <w:sz w:val="24"/>
        </w:rPr>
        <w:t>km</w:t>
      </w:r>
      <w:r w:rsidRPr="00FC1444">
        <w:rPr>
          <w:rFonts w:eastAsiaTheme="minorEastAsia"/>
          <w:kern w:val="0"/>
          <w:sz w:val="24"/>
        </w:rPr>
        <w:t>；</w:t>
      </w:r>
    </w:p>
    <w:p w:rsidR="003C598F" w:rsidRPr="00FC1444" w:rsidRDefault="003C598F" w:rsidP="003C598F">
      <w:pPr>
        <w:spacing w:line="360" w:lineRule="auto"/>
        <w:ind w:firstLineChars="200" w:firstLine="480"/>
        <w:contextualSpacing/>
        <w:rPr>
          <w:rFonts w:eastAsiaTheme="minorEastAsia"/>
          <w:kern w:val="0"/>
          <w:sz w:val="24"/>
        </w:rPr>
      </w:pPr>
      <w:r w:rsidRPr="00FC1444">
        <w:rPr>
          <w:rFonts w:eastAsiaTheme="minorEastAsia" w:hint="eastAsia"/>
          <w:kern w:val="0"/>
          <w:sz w:val="24"/>
        </w:rPr>
        <w:t>津</w:t>
      </w:r>
      <w:r w:rsidRPr="00FC1444">
        <w:rPr>
          <w:rFonts w:eastAsiaTheme="minorEastAsia"/>
          <w:kern w:val="0"/>
          <w:sz w:val="24"/>
        </w:rPr>
        <w:t>河：</w:t>
      </w:r>
      <w:r w:rsidRPr="00FC1444">
        <w:rPr>
          <w:rFonts w:eastAsiaTheme="minorEastAsia" w:hint="eastAsia"/>
          <w:kern w:val="0"/>
          <w:sz w:val="24"/>
        </w:rPr>
        <w:t>津</w:t>
      </w:r>
      <w:r w:rsidRPr="00FC1444">
        <w:rPr>
          <w:rFonts w:eastAsiaTheme="minorEastAsia"/>
          <w:kern w:val="0"/>
          <w:sz w:val="24"/>
        </w:rPr>
        <w:t>河退水口上游</w:t>
      </w:r>
      <w:r w:rsidRPr="00FC1444">
        <w:rPr>
          <w:rFonts w:eastAsiaTheme="minorEastAsia"/>
          <w:kern w:val="0"/>
          <w:sz w:val="24"/>
        </w:rPr>
        <w:t>500m</w:t>
      </w:r>
      <w:r w:rsidRPr="00FC1444">
        <w:rPr>
          <w:rFonts w:eastAsiaTheme="minorEastAsia"/>
          <w:kern w:val="0"/>
          <w:sz w:val="24"/>
        </w:rPr>
        <w:t>至退水口下游</w:t>
      </w:r>
      <w:r w:rsidRPr="00FC1444">
        <w:rPr>
          <w:rFonts w:eastAsiaTheme="minorEastAsia"/>
          <w:kern w:val="0"/>
          <w:sz w:val="24"/>
        </w:rPr>
        <w:t>1000m</w:t>
      </w:r>
      <w:r w:rsidRPr="00FC1444">
        <w:rPr>
          <w:rFonts w:eastAsiaTheme="minorEastAsia"/>
          <w:kern w:val="0"/>
          <w:sz w:val="24"/>
        </w:rPr>
        <w:t>。评价河段长度为</w:t>
      </w:r>
      <w:r w:rsidRPr="00FC1444">
        <w:rPr>
          <w:rFonts w:eastAsiaTheme="minorEastAsia" w:hint="eastAsia"/>
          <w:kern w:val="0"/>
          <w:sz w:val="24"/>
        </w:rPr>
        <w:t>2.5</w:t>
      </w:r>
      <w:r w:rsidRPr="00FC1444">
        <w:rPr>
          <w:rFonts w:eastAsiaTheme="minorEastAsia"/>
          <w:kern w:val="0"/>
          <w:sz w:val="24"/>
        </w:rPr>
        <w:t>km</w:t>
      </w:r>
      <w:r w:rsidRPr="00FC1444">
        <w:rPr>
          <w:rFonts w:eastAsiaTheme="minorEastAsia"/>
          <w:kern w:val="0"/>
          <w:sz w:val="24"/>
        </w:rPr>
        <w:t>。</w:t>
      </w:r>
    </w:p>
    <w:p w:rsidR="002A5A5E" w:rsidRPr="00FC1444" w:rsidRDefault="00250C31">
      <w:pPr>
        <w:spacing w:line="360" w:lineRule="auto"/>
        <w:ind w:firstLineChars="200" w:firstLine="480"/>
        <w:rPr>
          <w:rFonts w:eastAsiaTheme="minorEastAsia"/>
          <w:sz w:val="24"/>
          <w:lang w:bidi="en-US"/>
        </w:rPr>
      </w:pPr>
      <w:r w:rsidRPr="00FC1444">
        <w:rPr>
          <w:rFonts w:eastAsiaTheme="minorEastAsia"/>
          <w:sz w:val="24"/>
          <w:lang w:bidi="en-US"/>
        </w:rPr>
        <w:t>（</w:t>
      </w:r>
      <w:r w:rsidRPr="00FC1444">
        <w:rPr>
          <w:rFonts w:eastAsiaTheme="minorEastAsia"/>
          <w:sz w:val="24"/>
          <w:lang w:bidi="en-US"/>
        </w:rPr>
        <w:t>2</w:t>
      </w:r>
      <w:r w:rsidRPr="00FC1444">
        <w:rPr>
          <w:rFonts w:eastAsiaTheme="minorEastAsia"/>
          <w:sz w:val="24"/>
          <w:lang w:bidi="en-US"/>
        </w:rPr>
        <w:t>）</w:t>
      </w:r>
      <w:r w:rsidR="00611CBA" w:rsidRPr="00FC1444">
        <w:rPr>
          <w:rFonts w:eastAsiaTheme="minorEastAsia"/>
          <w:sz w:val="24"/>
          <w:lang w:bidi="en-US"/>
        </w:rPr>
        <w:t>现状调查方法</w:t>
      </w:r>
    </w:p>
    <w:p w:rsidR="002A5A5E" w:rsidRPr="00FC1444" w:rsidRDefault="00611CBA">
      <w:pPr>
        <w:spacing w:line="360" w:lineRule="auto"/>
        <w:ind w:firstLineChars="200" w:firstLine="480"/>
        <w:rPr>
          <w:rFonts w:eastAsiaTheme="minorEastAsia"/>
          <w:sz w:val="24"/>
          <w:lang w:bidi="en-US"/>
        </w:rPr>
      </w:pPr>
      <w:r w:rsidRPr="00FC1444">
        <w:rPr>
          <w:rFonts w:eastAsiaTheme="minorEastAsia"/>
          <w:sz w:val="24"/>
          <w:lang w:bidi="en-US"/>
        </w:rPr>
        <w:t>本次调查方法采用收集资料法及现场调查法。</w:t>
      </w:r>
    </w:p>
    <w:p w:rsidR="002A5A5E" w:rsidRPr="00FC1444" w:rsidRDefault="00250C31">
      <w:pPr>
        <w:spacing w:line="360" w:lineRule="auto"/>
        <w:ind w:firstLineChars="200" w:firstLine="480"/>
        <w:rPr>
          <w:rFonts w:eastAsiaTheme="minorEastAsia"/>
          <w:sz w:val="24"/>
          <w:lang w:bidi="en-US"/>
        </w:rPr>
      </w:pPr>
      <w:r w:rsidRPr="00FC1444">
        <w:rPr>
          <w:rFonts w:eastAsiaTheme="minorEastAsia"/>
          <w:sz w:val="24"/>
          <w:lang w:bidi="en-US"/>
        </w:rPr>
        <w:t>（</w:t>
      </w:r>
      <w:r w:rsidRPr="00FC1444">
        <w:rPr>
          <w:rFonts w:eastAsiaTheme="minorEastAsia"/>
          <w:sz w:val="24"/>
          <w:lang w:bidi="en-US"/>
        </w:rPr>
        <w:t>3</w:t>
      </w:r>
      <w:r w:rsidRPr="00FC1444">
        <w:rPr>
          <w:rFonts w:eastAsiaTheme="minorEastAsia"/>
          <w:sz w:val="24"/>
          <w:lang w:bidi="en-US"/>
        </w:rPr>
        <w:t>）</w:t>
      </w:r>
      <w:r w:rsidR="00611CBA" w:rsidRPr="00FC1444">
        <w:rPr>
          <w:rFonts w:eastAsiaTheme="minorEastAsia"/>
          <w:sz w:val="24"/>
          <w:lang w:bidi="en-US"/>
        </w:rPr>
        <w:t>现状调查内容</w:t>
      </w:r>
    </w:p>
    <w:p w:rsidR="002A5A5E" w:rsidRPr="00FC1444" w:rsidRDefault="009840DD">
      <w:pPr>
        <w:pStyle w:val="2fa"/>
        <w:ind w:firstLine="480"/>
        <w:contextualSpacing/>
        <w:rPr>
          <w:rFonts w:ascii="Times New Roman" w:hAnsi="Times New Roman" w:cs="Times New Roman"/>
          <w:szCs w:val="24"/>
          <w:lang w:bidi="en-US"/>
        </w:rPr>
      </w:pPr>
      <w:r w:rsidRPr="00FC1444">
        <w:rPr>
          <w:rFonts w:ascii="Times New Roman" w:hAnsi="Times New Roman" w:cs="Times New Roman"/>
          <w:szCs w:val="24"/>
          <w:lang w:bidi="en-US"/>
        </w:rPr>
        <w:fldChar w:fldCharType="begin"/>
      </w:r>
      <w:r w:rsidR="00250C31" w:rsidRPr="00FC1444">
        <w:rPr>
          <w:rFonts w:ascii="Times New Roman" w:hAnsi="Times New Roman" w:cs="Times New Roman"/>
          <w:szCs w:val="24"/>
          <w:lang w:bidi="en-US"/>
        </w:rPr>
        <w:instrText xml:space="preserve"> = 1 \* GB3 </w:instrText>
      </w:r>
      <w:r w:rsidRPr="00FC1444">
        <w:rPr>
          <w:rFonts w:ascii="Times New Roman" w:hAnsi="Times New Roman" w:cs="Times New Roman"/>
          <w:szCs w:val="24"/>
          <w:lang w:bidi="en-US"/>
        </w:rPr>
        <w:fldChar w:fldCharType="separate"/>
      </w:r>
      <w:r w:rsidR="00250C31" w:rsidRPr="00FC1444">
        <w:rPr>
          <w:rFonts w:eastAsia="宋体" w:cs="宋体" w:hint="eastAsia"/>
          <w:noProof/>
          <w:szCs w:val="24"/>
          <w:lang w:bidi="en-US"/>
        </w:rPr>
        <w:t>①</w:t>
      </w:r>
      <w:r w:rsidRPr="00FC1444">
        <w:rPr>
          <w:rFonts w:ascii="Times New Roman" w:hAnsi="Times New Roman" w:cs="Times New Roman"/>
          <w:szCs w:val="24"/>
          <w:lang w:bidi="en-US"/>
        </w:rPr>
        <w:fldChar w:fldCharType="end"/>
      </w:r>
      <w:r w:rsidR="00611CBA" w:rsidRPr="00FC1444">
        <w:rPr>
          <w:rFonts w:ascii="Times New Roman" w:hAnsi="Times New Roman" w:cs="Times New Roman"/>
          <w:szCs w:val="24"/>
          <w:lang w:bidi="en-US"/>
        </w:rPr>
        <w:t>土地利用现状</w:t>
      </w:r>
    </w:p>
    <w:p w:rsidR="002A5A5E" w:rsidRPr="00FC1444" w:rsidRDefault="00611CBA">
      <w:pPr>
        <w:pStyle w:val="2fa"/>
        <w:ind w:firstLine="480"/>
        <w:contextualSpacing/>
        <w:rPr>
          <w:rFonts w:ascii="Times New Roman" w:hAnsi="Times New Roman" w:cs="Times New Roman"/>
          <w:bCs/>
          <w:snapToGrid w:val="0"/>
          <w:kern w:val="0"/>
        </w:rPr>
      </w:pPr>
      <w:r w:rsidRPr="00FC1444">
        <w:rPr>
          <w:rFonts w:ascii="Times New Roman" w:hAnsi="Times New Roman" w:cs="Times New Roman"/>
          <w:bCs/>
          <w:snapToGrid w:val="0"/>
          <w:kern w:val="0"/>
        </w:rPr>
        <w:t>土地利用类型利用野外定点调查与第三次全国国土调查数据，参照《土地利用现状分类》（</w:t>
      </w:r>
      <w:r w:rsidRPr="00FC1444">
        <w:rPr>
          <w:rFonts w:ascii="Times New Roman" w:hAnsi="Times New Roman" w:cs="Times New Roman"/>
          <w:bCs/>
          <w:snapToGrid w:val="0"/>
          <w:kern w:val="0"/>
        </w:rPr>
        <w:t>GB/T 21010-2017</w:t>
      </w:r>
      <w:r w:rsidRPr="00FC1444">
        <w:rPr>
          <w:rFonts w:ascii="Times New Roman" w:hAnsi="Times New Roman" w:cs="Times New Roman"/>
          <w:bCs/>
          <w:snapToGrid w:val="0"/>
          <w:kern w:val="0"/>
        </w:rPr>
        <w:t>）二级分类，运用</w:t>
      </w:r>
      <w:r w:rsidRPr="00FC1444">
        <w:rPr>
          <w:rFonts w:ascii="Times New Roman" w:hAnsi="Times New Roman" w:cs="Times New Roman"/>
          <w:bCs/>
          <w:snapToGrid w:val="0"/>
          <w:kern w:val="0"/>
        </w:rPr>
        <w:t>ArcGIS</w:t>
      </w:r>
      <w:r w:rsidRPr="00FC1444">
        <w:rPr>
          <w:rFonts w:ascii="Times New Roman" w:hAnsi="Times New Roman" w:cs="Times New Roman"/>
          <w:bCs/>
          <w:snapToGrid w:val="0"/>
          <w:kern w:val="0"/>
        </w:rPr>
        <w:t>软件对项目调查范围土地利用进行分类。</w:t>
      </w:r>
    </w:p>
    <w:p w:rsidR="002A5A5E" w:rsidRPr="00FC1444" w:rsidRDefault="00611CBA">
      <w:pPr>
        <w:pStyle w:val="2fa"/>
        <w:ind w:firstLine="480"/>
        <w:contextualSpacing/>
        <w:rPr>
          <w:rFonts w:ascii="Times New Roman" w:hAnsi="Times New Roman" w:cs="Times New Roman"/>
          <w:bCs/>
          <w:snapToGrid w:val="0"/>
          <w:kern w:val="0"/>
        </w:rPr>
      </w:pPr>
      <w:r w:rsidRPr="00FC1444">
        <w:rPr>
          <w:rFonts w:ascii="Times New Roman" w:hAnsi="Times New Roman" w:cs="Times New Roman"/>
          <w:bCs/>
          <w:snapToGrid w:val="0"/>
          <w:kern w:val="0"/>
        </w:rPr>
        <w:t>本项目</w:t>
      </w:r>
      <w:r w:rsidR="00D26B05" w:rsidRPr="00FC1444">
        <w:rPr>
          <w:rFonts w:ascii="Times New Roman" w:hAnsi="Times New Roman" w:cs="Times New Roman"/>
          <w:bCs/>
          <w:snapToGrid w:val="0"/>
          <w:kern w:val="0"/>
        </w:rPr>
        <w:t>评价范围内含有耕地</w:t>
      </w:r>
      <w:r w:rsidR="002B6AFA" w:rsidRPr="00FC1444">
        <w:rPr>
          <w:rFonts w:ascii="Times New Roman" w:hAnsi="Times New Roman" w:cs="Times New Roman"/>
          <w:bCs/>
          <w:snapToGrid w:val="0"/>
          <w:kern w:val="0"/>
        </w:rPr>
        <w:t>、林地、草地、商业服务业用地、工业</w:t>
      </w:r>
      <w:r w:rsidRPr="00FC1444">
        <w:rPr>
          <w:rFonts w:ascii="Times New Roman" w:hAnsi="Times New Roman" w:cs="Times New Roman"/>
          <w:bCs/>
          <w:snapToGrid w:val="0"/>
          <w:kern w:val="0"/>
        </w:rPr>
        <w:t>用地、住宅用地、公共管理与公共服务用地、特殊用地、交通运输用地、水域及水利设施用地、其他土地。工程实施后区域土地类型及面积变化情况统计见</w:t>
      </w:r>
      <w:r w:rsidR="00C92D94" w:rsidRPr="00FC1444">
        <w:rPr>
          <w:rFonts w:ascii="Times New Roman" w:hAnsi="Times New Roman" w:cs="Times New Roman"/>
          <w:bCs/>
          <w:snapToGrid w:val="0"/>
          <w:kern w:val="0"/>
        </w:rPr>
        <w:t>下</w:t>
      </w:r>
      <w:r w:rsidRPr="00FC1444">
        <w:rPr>
          <w:rFonts w:ascii="Times New Roman" w:hAnsi="Times New Roman" w:cs="Times New Roman"/>
          <w:bCs/>
          <w:snapToGrid w:val="0"/>
          <w:kern w:val="0"/>
        </w:rPr>
        <w:t>表，土地利用现状图见附图</w:t>
      </w:r>
      <w:r w:rsidRPr="00FC1444">
        <w:rPr>
          <w:rFonts w:ascii="Times New Roman" w:hAnsi="Times New Roman" w:cs="Times New Roman"/>
          <w:bCs/>
          <w:snapToGrid w:val="0"/>
          <w:kern w:val="0"/>
        </w:rPr>
        <w:t>8</w:t>
      </w:r>
      <w:r w:rsidRPr="00FC1444">
        <w:rPr>
          <w:rFonts w:ascii="Times New Roman" w:hAnsi="Times New Roman" w:cs="Times New Roman"/>
          <w:bCs/>
          <w:snapToGrid w:val="0"/>
          <w:kern w:val="0"/>
        </w:rPr>
        <w:t>。</w:t>
      </w:r>
    </w:p>
    <w:p w:rsidR="002A5A5E" w:rsidRPr="00FC1444" w:rsidRDefault="00611CBA">
      <w:pPr>
        <w:contextualSpacing/>
        <w:jc w:val="center"/>
        <w:rPr>
          <w:rFonts w:eastAsiaTheme="minorEastAsia"/>
          <w:kern w:val="0"/>
          <w:szCs w:val="21"/>
        </w:rPr>
      </w:pPr>
      <w:r w:rsidRPr="00FC1444">
        <w:rPr>
          <w:rFonts w:eastAsiaTheme="minorEastAsia"/>
          <w:b/>
          <w:kern w:val="0"/>
          <w:szCs w:val="21"/>
        </w:rPr>
        <w:t>表</w:t>
      </w:r>
      <w:r w:rsidRPr="00FC1444">
        <w:rPr>
          <w:rFonts w:eastAsiaTheme="minorEastAsia"/>
          <w:b/>
          <w:kern w:val="0"/>
          <w:szCs w:val="21"/>
        </w:rPr>
        <w:t>4-2-</w:t>
      </w:r>
      <w:r w:rsidR="00F90B8B" w:rsidRPr="00FC1444">
        <w:rPr>
          <w:rFonts w:eastAsiaTheme="minorEastAsia" w:hint="eastAsia"/>
          <w:b/>
          <w:kern w:val="0"/>
          <w:szCs w:val="21"/>
        </w:rPr>
        <w:t>18</w:t>
      </w:r>
      <w:r w:rsidRPr="00FC1444">
        <w:rPr>
          <w:rFonts w:eastAsiaTheme="minorEastAsia"/>
          <w:b/>
          <w:kern w:val="0"/>
          <w:szCs w:val="21"/>
        </w:rPr>
        <w:t>建设项目实施前后新增永久占地土地利用及变化量</w:t>
      </w:r>
    </w:p>
    <w:tbl>
      <w:tblPr>
        <w:tblW w:w="8575"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999"/>
        <w:gridCol w:w="2008"/>
        <w:gridCol w:w="2167"/>
        <w:gridCol w:w="2401"/>
      </w:tblGrid>
      <w:tr w:rsidR="002A5A5E" w:rsidRPr="00FC1444">
        <w:trPr>
          <w:trHeight w:val="509"/>
          <w:tblHeader/>
          <w:jc w:val="center"/>
        </w:trPr>
        <w:tc>
          <w:tcPr>
            <w:tcW w:w="1999"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工程内容</w:t>
            </w:r>
          </w:p>
        </w:tc>
        <w:tc>
          <w:tcPr>
            <w:tcW w:w="2008"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建设前占地现状</w:t>
            </w:r>
          </w:p>
        </w:tc>
        <w:tc>
          <w:tcPr>
            <w:tcW w:w="2167"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新增永久占地面积</w:t>
            </w:r>
          </w:p>
        </w:tc>
        <w:tc>
          <w:tcPr>
            <w:tcW w:w="2401" w:type="dxa"/>
            <w:vAlign w:val="center"/>
          </w:tcPr>
          <w:p w:rsidR="002A5A5E" w:rsidRPr="00FC1444" w:rsidRDefault="00611CBA">
            <w:pPr>
              <w:jc w:val="center"/>
              <w:textAlignment w:val="center"/>
              <w:rPr>
                <w:rFonts w:eastAsiaTheme="minorEastAsia"/>
                <w:kern w:val="0"/>
                <w:szCs w:val="21"/>
              </w:rPr>
            </w:pPr>
            <w:r w:rsidRPr="00FC1444">
              <w:rPr>
                <w:rFonts w:eastAsiaTheme="minorEastAsia"/>
                <w:kern w:val="0"/>
                <w:szCs w:val="21"/>
              </w:rPr>
              <w:t>项目建设后土地类型</w:t>
            </w:r>
          </w:p>
        </w:tc>
      </w:tr>
      <w:tr w:rsidR="002A5A5E" w:rsidRPr="00FC1444">
        <w:trPr>
          <w:trHeight w:val="216"/>
          <w:jc w:val="center"/>
        </w:trPr>
        <w:tc>
          <w:tcPr>
            <w:tcW w:w="1999"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kern w:val="0"/>
                <w:szCs w:val="21"/>
              </w:rPr>
              <w:t>灌溉井工程</w:t>
            </w:r>
          </w:p>
        </w:tc>
        <w:tc>
          <w:tcPr>
            <w:tcW w:w="2008" w:type="dxa"/>
            <w:vAlign w:val="center"/>
          </w:tcPr>
          <w:p w:rsidR="002A5A5E" w:rsidRPr="00FC1444" w:rsidRDefault="003C682E">
            <w:pPr>
              <w:widowControl/>
              <w:jc w:val="center"/>
              <w:textAlignment w:val="center"/>
              <w:rPr>
                <w:rFonts w:eastAsiaTheme="minorEastAsia"/>
                <w:kern w:val="0"/>
                <w:szCs w:val="21"/>
              </w:rPr>
            </w:pPr>
            <w:r w:rsidRPr="00FC1444">
              <w:rPr>
                <w:rFonts w:eastAsiaTheme="minorEastAsia"/>
                <w:kern w:val="0"/>
                <w:szCs w:val="21"/>
              </w:rPr>
              <w:t>草地</w:t>
            </w:r>
          </w:p>
        </w:tc>
        <w:tc>
          <w:tcPr>
            <w:tcW w:w="2167" w:type="dxa"/>
            <w:vAlign w:val="center"/>
          </w:tcPr>
          <w:p w:rsidR="002A5A5E" w:rsidRPr="00FC1444" w:rsidRDefault="0060529F" w:rsidP="0060529F">
            <w:pPr>
              <w:widowControl/>
              <w:jc w:val="center"/>
              <w:textAlignment w:val="center"/>
              <w:rPr>
                <w:rFonts w:eastAsiaTheme="minorEastAsia"/>
                <w:kern w:val="0"/>
                <w:szCs w:val="21"/>
              </w:rPr>
            </w:pPr>
            <w:r w:rsidRPr="00FC1444">
              <w:rPr>
                <w:rFonts w:eastAsiaTheme="minorEastAsia" w:hint="eastAsia"/>
                <w:kern w:val="0"/>
                <w:szCs w:val="21"/>
              </w:rPr>
              <w:t>393</w:t>
            </w:r>
            <w:r w:rsidR="00611CBA" w:rsidRPr="00FC1444">
              <w:rPr>
                <w:rFonts w:eastAsiaTheme="minorEastAsia"/>
                <w:kern w:val="0"/>
                <w:szCs w:val="21"/>
              </w:rPr>
              <w:t>m</w:t>
            </w:r>
            <w:r w:rsidR="00611CBA" w:rsidRPr="00FC1444">
              <w:rPr>
                <w:rFonts w:eastAsiaTheme="minorEastAsia"/>
                <w:kern w:val="0"/>
                <w:szCs w:val="21"/>
                <w:vertAlign w:val="superscript"/>
              </w:rPr>
              <w:t>2</w:t>
            </w:r>
            <w:r w:rsidR="00611CBA" w:rsidRPr="00FC1444">
              <w:rPr>
                <w:rFonts w:eastAsiaTheme="minorEastAsia"/>
                <w:kern w:val="0"/>
                <w:szCs w:val="21"/>
              </w:rPr>
              <w:t>（</w:t>
            </w:r>
            <w:r w:rsidRPr="00FC1444">
              <w:rPr>
                <w:rFonts w:eastAsiaTheme="minorEastAsia" w:hint="eastAsia"/>
                <w:kern w:val="0"/>
                <w:szCs w:val="21"/>
              </w:rPr>
              <w:t>0.59</w:t>
            </w:r>
            <w:r w:rsidR="00611CBA" w:rsidRPr="00FC1444">
              <w:rPr>
                <w:rFonts w:eastAsiaTheme="minorEastAsia"/>
                <w:kern w:val="0"/>
                <w:szCs w:val="21"/>
              </w:rPr>
              <w:t>亩）</w:t>
            </w:r>
          </w:p>
        </w:tc>
        <w:tc>
          <w:tcPr>
            <w:tcW w:w="2401" w:type="dxa"/>
            <w:vMerge w:val="restart"/>
            <w:vAlign w:val="center"/>
          </w:tcPr>
          <w:p w:rsidR="002A5A5E" w:rsidRPr="00FC1444" w:rsidRDefault="00D26B05" w:rsidP="00D26B05">
            <w:pPr>
              <w:jc w:val="center"/>
              <w:textAlignment w:val="center"/>
              <w:rPr>
                <w:rFonts w:eastAsiaTheme="minorEastAsia"/>
                <w:kern w:val="0"/>
                <w:szCs w:val="21"/>
              </w:rPr>
            </w:pPr>
            <w:r w:rsidRPr="00FC1444">
              <w:rPr>
                <w:rFonts w:eastAsiaTheme="minorEastAsia"/>
                <w:bCs/>
                <w:kern w:val="0"/>
                <w:szCs w:val="21"/>
              </w:rPr>
              <w:t>水利设施用地</w:t>
            </w:r>
            <w:r w:rsidR="00611CBA" w:rsidRPr="00FC1444">
              <w:rPr>
                <w:rFonts w:eastAsiaTheme="minorEastAsia"/>
                <w:kern w:val="0"/>
                <w:szCs w:val="21"/>
              </w:rPr>
              <w:t>（</w:t>
            </w:r>
            <w:r w:rsidR="0060529F" w:rsidRPr="00FC1444">
              <w:rPr>
                <w:rFonts w:eastAsiaTheme="minorEastAsia" w:hint="eastAsia"/>
                <w:kern w:val="0"/>
                <w:szCs w:val="21"/>
              </w:rPr>
              <w:t>33.25</w:t>
            </w:r>
            <w:r w:rsidR="00611CBA" w:rsidRPr="00FC1444">
              <w:rPr>
                <w:rFonts w:eastAsiaTheme="minorEastAsia"/>
                <w:kern w:val="0"/>
                <w:szCs w:val="21"/>
              </w:rPr>
              <w:t>亩）</w:t>
            </w:r>
          </w:p>
        </w:tc>
      </w:tr>
      <w:tr w:rsidR="002A5A5E" w:rsidRPr="00FC1444">
        <w:trPr>
          <w:trHeight w:val="191"/>
          <w:jc w:val="center"/>
        </w:trPr>
        <w:tc>
          <w:tcPr>
            <w:tcW w:w="1999" w:type="dxa"/>
            <w:vMerge w:val="restart"/>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bCs/>
                <w:kern w:val="0"/>
                <w:szCs w:val="21"/>
              </w:rPr>
              <w:t>灌溉渠道工程、</w:t>
            </w:r>
            <w:r w:rsidRPr="00FC1444">
              <w:rPr>
                <w:rFonts w:eastAsiaTheme="minorEastAsia"/>
                <w:kern w:val="0"/>
                <w:szCs w:val="21"/>
              </w:rPr>
              <w:t>排水工程、建筑物工程</w:t>
            </w:r>
          </w:p>
        </w:tc>
        <w:tc>
          <w:tcPr>
            <w:tcW w:w="2008" w:type="dxa"/>
            <w:vAlign w:val="center"/>
          </w:tcPr>
          <w:p w:rsidR="002A5A5E" w:rsidRPr="00FC1444" w:rsidRDefault="00611CBA">
            <w:pPr>
              <w:jc w:val="center"/>
              <w:textAlignment w:val="center"/>
              <w:rPr>
                <w:rFonts w:eastAsiaTheme="minorEastAsia"/>
                <w:kern w:val="0"/>
                <w:szCs w:val="21"/>
              </w:rPr>
            </w:pPr>
            <w:r w:rsidRPr="00FC1444">
              <w:rPr>
                <w:rFonts w:eastAsiaTheme="minorEastAsia"/>
                <w:bCs/>
                <w:kern w:val="0"/>
                <w:szCs w:val="21"/>
              </w:rPr>
              <w:t>坑塘水面</w:t>
            </w:r>
          </w:p>
        </w:tc>
        <w:tc>
          <w:tcPr>
            <w:tcW w:w="2167" w:type="dxa"/>
            <w:vAlign w:val="center"/>
          </w:tcPr>
          <w:p w:rsidR="002A5A5E" w:rsidRPr="00FC1444" w:rsidRDefault="0060529F" w:rsidP="0060529F">
            <w:pPr>
              <w:jc w:val="center"/>
              <w:textAlignment w:val="center"/>
              <w:rPr>
                <w:rFonts w:eastAsiaTheme="minorEastAsia"/>
                <w:kern w:val="0"/>
                <w:szCs w:val="21"/>
              </w:rPr>
            </w:pPr>
            <w:r w:rsidRPr="00FC1444">
              <w:rPr>
                <w:rFonts w:eastAsiaTheme="minorEastAsia" w:hint="eastAsia"/>
                <w:kern w:val="0"/>
                <w:szCs w:val="21"/>
              </w:rPr>
              <w:t>18250</w:t>
            </w:r>
            <w:r w:rsidR="00611CBA" w:rsidRPr="00FC1444">
              <w:rPr>
                <w:rFonts w:eastAsiaTheme="minorEastAsia"/>
                <w:kern w:val="0"/>
                <w:szCs w:val="21"/>
              </w:rPr>
              <w:t>m</w:t>
            </w:r>
            <w:r w:rsidR="00611CBA" w:rsidRPr="00FC1444">
              <w:rPr>
                <w:rFonts w:eastAsiaTheme="minorEastAsia"/>
                <w:kern w:val="0"/>
                <w:szCs w:val="21"/>
                <w:vertAlign w:val="superscript"/>
              </w:rPr>
              <w:t>2</w:t>
            </w:r>
            <w:r w:rsidR="00611CBA" w:rsidRPr="00FC1444">
              <w:rPr>
                <w:rFonts w:eastAsiaTheme="minorEastAsia"/>
                <w:kern w:val="0"/>
                <w:szCs w:val="21"/>
              </w:rPr>
              <w:t>（</w:t>
            </w:r>
            <w:r w:rsidRPr="00FC1444">
              <w:rPr>
                <w:rFonts w:eastAsiaTheme="minorEastAsia" w:hint="eastAsia"/>
                <w:kern w:val="0"/>
                <w:szCs w:val="21"/>
              </w:rPr>
              <w:t>27.4</w:t>
            </w:r>
            <w:r w:rsidR="00611CBA" w:rsidRPr="00FC1444">
              <w:rPr>
                <w:rFonts w:eastAsiaTheme="minorEastAsia"/>
                <w:kern w:val="0"/>
                <w:szCs w:val="21"/>
              </w:rPr>
              <w:t>亩）</w:t>
            </w:r>
          </w:p>
        </w:tc>
        <w:tc>
          <w:tcPr>
            <w:tcW w:w="2401" w:type="dxa"/>
            <w:vMerge/>
            <w:vAlign w:val="center"/>
          </w:tcPr>
          <w:p w:rsidR="002A5A5E" w:rsidRPr="00FC1444" w:rsidRDefault="002A5A5E">
            <w:pPr>
              <w:widowControl/>
              <w:jc w:val="center"/>
              <w:textAlignment w:val="center"/>
              <w:rPr>
                <w:rFonts w:eastAsiaTheme="minorEastAsia"/>
                <w:kern w:val="0"/>
                <w:szCs w:val="21"/>
              </w:rPr>
            </w:pPr>
          </w:p>
        </w:tc>
      </w:tr>
      <w:tr w:rsidR="003C682E" w:rsidRPr="00FC1444" w:rsidTr="003C682E">
        <w:trPr>
          <w:trHeight w:val="498"/>
          <w:jc w:val="center"/>
        </w:trPr>
        <w:tc>
          <w:tcPr>
            <w:tcW w:w="1999" w:type="dxa"/>
            <w:vMerge/>
            <w:vAlign w:val="center"/>
          </w:tcPr>
          <w:p w:rsidR="003C682E" w:rsidRPr="00FC1444" w:rsidRDefault="003C682E">
            <w:pPr>
              <w:widowControl/>
              <w:jc w:val="center"/>
              <w:textAlignment w:val="center"/>
              <w:rPr>
                <w:rFonts w:eastAsiaTheme="minorEastAsia"/>
                <w:kern w:val="0"/>
                <w:szCs w:val="21"/>
              </w:rPr>
            </w:pPr>
          </w:p>
        </w:tc>
        <w:tc>
          <w:tcPr>
            <w:tcW w:w="2008" w:type="dxa"/>
            <w:vAlign w:val="center"/>
          </w:tcPr>
          <w:p w:rsidR="003C682E" w:rsidRPr="00FC1444" w:rsidRDefault="003C682E">
            <w:pPr>
              <w:widowControl/>
              <w:jc w:val="center"/>
              <w:textAlignment w:val="center"/>
              <w:rPr>
                <w:rFonts w:eastAsiaTheme="minorEastAsia"/>
                <w:bCs/>
                <w:kern w:val="0"/>
                <w:szCs w:val="21"/>
              </w:rPr>
            </w:pPr>
            <w:r w:rsidRPr="00FC1444">
              <w:rPr>
                <w:rFonts w:eastAsiaTheme="minorEastAsia"/>
                <w:bCs/>
                <w:kern w:val="0"/>
                <w:szCs w:val="21"/>
              </w:rPr>
              <w:t>草地</w:t>
            </w:r>
          </w:p>
        </w:tc>
        <w:tc>
          <w:tcPr>
            <w:tcW w:w="2167" w:type="dxa"/>
            <w:vAlign w:val="center"/>
          </w:tcPr>
          <w:p w:rsidR="003C682E" w:rsidRPr="00FC1444" w:rsidRDefault="0060529F" w:rsidP="0060529F">
            <w:pPr>
              <w:widowControl/>
              <w:jc w:val="center"/>
              <w:textAlignment w:val="center"/>
              <w:rPr>
                <w:rFonts w:eastAsiaTheme="minorEastAsia"/>
                <w:kern w:val="0"/>
                <w:szCs w:val="21"/>
              </w:rPr>
            </w:pPr>
            <w:r w:rsidRPr="00FC1444">
              <w:rPr>
                <w:rFonts w:eastAsiaTheme="minorEastAsia" w:hint="eastAsia"/>
                <w:kern w:val="0"/>
                <w:szCs w:val="21"/>
              </w:rPr>
              <w:t>3</w:t>
            </w:r>
            <w:r w:rsidR="003C682E" w:rsidRPr="00FC1444">
              <w:rPr>
                <w:rFonts w:eastAsiaTheme="minorEastAsia"/>
                <w:kern w:val="0"/>
                <w:szCs w:val="21"/>
              </w:rPr>
              <w:t>500m</w:t>
            </w:r>
            <w:r w:rsidR="003C682E" w:rsidRPr="00FC1444">
              <w:rPr>
                <w:rFonts w:eastAsiaTheme="minorEastAsia"/>
                <w:kern w:val="0"/>
                <w:szCs w:val="21"/>
                <w:vertAlign w:val="superscript"/>
              </w:rPr>
              <w:t>2</w:t>
            </w:r>
            <w:r w:rsidR="003C682E" w:rsidRPr="00FC1444">
              <w:rPr>
                <w:rFonts w:eastAsiaTheme="minorEastAsia"/>
                <w:kern w:val="0"/>
                <w:szCs w:val="21"/>
              </w:rPr>
              <w:t>（</w:t>
            </w:r>
            <w:r w:rsidRPr="00FC1444">
              <w:rPr>
                <w:rFonts w:eastAsiaTheme="minorEastAsia" w:hint="eastAsia"/>
                <w:kern w:val="0"/>
                <w:szCs w:val="21"/>
              </w:rPr>
              <w:t>5.26</w:t>
            </w:r>
            <w:r w:rsidR="003C682E" w:rsidRPr="00FC1444">
              <w:rPr>
                <w:rFonts w:eastAsiaTheme="minorEastAsia"/>
                <w:kern w:val="0"/>
                <w:szCs w:val="21"/>
              </w:rPr>
              <w:t>亩）</w:t>
            </w:r>
          </w:p>
        </w:tc>
        <w:tc>
          <w:tcPr>
            <w:tcW w:w="2401" w:type="dxa"/>
            <w:vMerge/>
            <w:vAlign w:val="center"/>
          </w:tcPr>
          <w:p w:rsidR="003C682E" w:rsidRPr="00FC1444" w:rsidRDefault="003C682E">
            <w:pPr>
              <w:widowControl/>
              <w:jc w:val="center"/>
              <w:textAlignment w:val="center"/>
              <w:rPr>
                <w:rFonts w:eastAsiaTheme="minorEastAsia"/>
                <w:bCs/>
                <w:kern w:val="0"/>
                <w:szCs w:val="21"/>
              </w:rPr>
            </w:pPr>
          </w:p>
        </w:tc>
      </w:tr>
      <w:tr w:rsidR="002A5A5E" w:rsidRPr="00FC1444">
        <w:trPr>
          <w:trHeight w:val="88"/>
          <w:jc w:val="center"/>
        </w:trPr>
        <w:tc>
          <w:tcPr>
            <w:tcW w:w="1999"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bCs/>
                <w:kern w:val="0"/>
                <w:szCs w:val="21"/>
              </w:rPr>
              <w:t>农田输配电</w:t>
            </w:r>
            <w:r w:rsidRPr="00FC1444">
              <w:rPr>
                <w:rFonts w:eastAsiaTheme="minorEastAsia"/>
                <w:kern w:val="0"/>
                <w:szCs w:val="21"/>
              </w:rPr>
              <w:t>工程</w:t>
            </w:r>
          </w:p>
        </w:tc>
        <w:tc>
          <w:tcPr>
            <w:tcW w:w="2008" w:type="dxa"/>
            <w:vAlign w:val="center"/>
          </w:tcPr>
          <w:p w:rsidR="002A5A5E" w:rsidRPr="00FC1444" w:rsidRDefault="00611CBA">
            <w:pPr>
              <w:widowControl/>
              <w:jc w:val="center"/>
              <w:textAlignment w:val="center"/>
              <w:rPr>
                <w:rFonts w:eastAsiaTheme="minorEastAsia"/>
                <w:kern w:val="0"/>
                <w:szCs w:val="21"/>
              </w:rPr>
            </w:pPr>
            <w:r w:rsidRPr="00FC1444">
              <w:rPr>
                <w:rFonts w:eastAsiaTheme="minorEastAsia"/>
                <w:bCs/>
                <w:kern w:val="0"/>
                <w:szCs w:val="21"/>
              </w:rPr>
              <w:t>草地</w:t>
            </w:r>
          </w:p>
        </w:tc>
        <w:tc>
          <w:tcPr>
            <w:tcW w:w="2167" w:type="dxa"/>
            <w:vAlign w:val="center"/>
          </w:tcPr>
          <w:p w:rsidR="002A5A5E" w:rsidRPr="00FC1444" w:rsidRDefault="0060529F" w:rsidP="0060529F">
            <w:pPr>
              <w:widowControl/>
              <w:jc w:val="center"/>
              <w:textAlignment w:val="center"/>
              <w:rPr>
                <w:rFonts w:eastAsiaTheme="minorEastAsia"/>
                <w:kern w:val="0"/>
                <w:szCs w:val="21"/>
              </w:rPr>
            </w:pPr>
            <w:r w:rsidRPr="00FC1444">
              <w:rPr>
                <w:rFonts w:eastAsiaTheme="minorEastAsia" w:hint="eastAsia"/>
                <w:kern w:val="0"/>
                <w:szCs w:val="21"/>
              </w:rPr>
              <w:t>97</w:t>
            </w:r>
            <w:r w:rsidR="00611CBA" w:rsidRPr="00FC1444">
              <w:rPr>
                <w:rFonts w:eastAsiaTheme="minorEastAsia"/>
                <w:kern w:val="0"/>
                <w:szCs w:val="21"/>
              </w:rPr>
              <w:t>m</w:t>
            </w:r>
            <w:r w:rsidR="00611CBA" w:rsidRPr="00FC1444">
              <w:rPr>
                <w:rFonts w:eastAsiaTheme="minorEastAsia"/>
                <w:kern w:val="0"/>
                <w:szCs w:val="21"/>
                <w:vertAlign w:val="superscript"/>
              </w:rPr>
              <w:t>2</w:t>
            </w:r>
            <w:r w:rsidR="00611CBA" w:rsidRPr="00FC1444">
              <w:rPr>
                <w:rFonts w:eastAsiaTheme="minorEastAsia"/>
                <w:kern w:val="0"/>
                <w:szCs w:val="21"/>
              </w:rPr>
              <w:t>（</w:t>
            </w:r>
            <w:r w:rsidRPr="00FC1444">
              <w:rPr>
                <w:rFonts w:eastAsiaTheme="minorEastAsia" w:hint="eastAsia"/>
                <w:kern w:val="0"/>
                <w:szCs w:val="21"/>
              </w:rPr>
              <w:t>0.15</w:t>
            </w:r>
            <w:r w:rsidR="00611CBA" w:rsidRPr="00FC1444">
              <w:rPr>
                <w:rFonts w:eastAsiaTheme="minorEastAsia"/>
                <w:kern w:val="0"/>
                <w:szCs w:val="21"/>
              </w:rPr>
              <w:t>亩）</w:t>
            </w:r>
          </w:p>
        </w:tc>
        <w:tc>
          <w:tcPr>
            <w:tcW w:w="2401" w:type="dxa"/>
            <w:vAlign w:val="center"/>
          </w:tcPr>
          <w:p w:rsidR="002A5A5E" w:rsidRPr="00FC1444" w:rsidRDefault="00611CBA" w:rsidP="0060529F">
            <w:pPr>
              <w:jc w:val="center"/>
              <w:rPr>
                <w:rFonts w:eastAsiaTheme="minorEastAsia"/>
                <w:szCs w:val="21"/>
              </w:rPr>
            </w:pPr>
            <w:r w:rsidRPr="00FC1444">
              <w:rPr>
                <w:rFonts w:eastAsiaTheme="minorEastAsia"/>
                <w:kern w:val="0"/>
                <w:szCs w:val="21"/>
              </w:rPr>
              <w:t>公用设施用地（</w:t>
            </w:r>
            <w:r w:rsidR="0060529F" w:rsidRPr="00FC1444">
              <w:rPr>
                <w:rFonts w:eastAsiaTheme="minorEastAsia" w:hint="eastAsia"/>
                <w:kern w:val="0"/>
                <w:szCs w:val="21"/>
              </w:rPr>
              <w:t>0.15</w:t>
            </w:r>
            <w:r w:rsidRPr="00FC1444">
              <w:rPr>
                <w:rFonts w:eastAsiaTheme="minorEastAsia"/>
                <w:kern w:val="0"/>
                <w:szCs w:val="21"/>
              </w:rPr>
              <w:t>亩）</w:t>
            </w:r>
          </w:p>
        </w:tc>
      </w:tr>
    </w:tbl>
    <w:p w:rsidR="001E165D" w:rsidRPr="00FC1444" w:rsidRDefault="001E165D">
      <w:pPr>
        <w:widowControl/>
        <w:ind w:firstLineChars="200" w:firstLine="422"/>
        <w:jc w:val="center"/>
        <w:rPr>
          <w:rFonts w:eastAsiaTheme="minorEastAsia"/>
          <w:b/>
          <w:kern w:val="0"/>
          <w:szCs w:val="21"/>
        </w:rPr>
      </w:pPr>
    </w:p>
    <w:p w:rsidR="002A5A5E" w:rsidRPr="00FC1444" w:rsidRDefault="00611CBA">
      <w:pPr>
        <w:widowControl/>
        <w:ind w:firstLineChars="200" w:firstLine="422"/>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4-2-</w:t>
      </w:r>
      <w:r w:rsidR="00F90B8B" w:rsidRPr="00FC1444">
        <w:rPr>
          <w:rFonts w:eastAsiaTheme="minorEastAsia" w:hint="eastAsia"/>
          <w:b/>
          <w:kern w:val="0"/>
          <w:szCs w:val="21"/>
        </w:rPr>
        <w:t>19</w:t>
      </w:r>
      <w:r w:rsidRPr="00FC1444">
        <w:rPr>
          <w:rFonts w:eastAsiaTheme="minorEastAsia"/>
          <w:b/>
          <w:kern w:val="0"/>
          <w:szCs w:val="21"/>
        </w:rPr>
        <w:t>建设项目实施前后整体土地利用结构对比表</w:t>
      </w:r>
    </w:p>
    <w:tbl>
      <w:tblPr>
        <w:tblW w:w="8785" w:type="dxa"/>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807"/>
        <w:gridCol w:w="1461"/>
        <w:gridCol w:w="949"/>
        <w:gridCol w:w="1985"/>
        <w:gridCol w:w="1688"/>
        <w:gridCol w:w="1895"/>
      </w:tblGrid>
      <w:tr w:rsidR="008F5BFF" w:rsidRPr="00FC1444" w:rsidTr="00CA6CBF">
        <w:trPr>
          <w:trHeight w:val="208"/>
          <w:tblHeader/>
          <w:jc w:val="center"/>
        </w:trPr>
        <w:tc>
          <w:tcPr>
            <w:tcW w:w="2268" w:type="dxa"/>
            <w:gridSpan w:val="2"/>
            <w:noWrap/>
            <w:vAlign w:val="center"/>
          </w:tcPr>
          <w:p w:rsidR="008F5BFF" w:rsidRPr="00FC1444" w:rsidRDefault="008F5BFF" w:rsidP="00CA6CBF">
            <w:pPr>
              <w:widowControl/>
              <w:jc w:val="center"/>
              <w:textAlignment w:val="center"/>
              <w:rPr>
                <w:rFonts w:eastAsiaTheme="minorEastAsia"/>
                <w:szCs w:val="21"/>
              </w:rPr>
            </w:pPr>
            <w:r w:rsidRPr="00FC1444">
              <w:rPr>
                <w:rFonts w:eastAsiaTheme="minorEastAsia"/>
                <w:kern w:val="0"/>
                <w:szCs w:val="21"/>
              </w:rPr>
              <w:t>一级地类</w:t>
            </w:r>
          </w:p>
        </w:tc>
        <w:tc>
          <w:tcPr>
            <w:tcW w:w="2934" w:type="dxa"/>
            <w:gridSpan w:val="2"/>
            <w:noWrap/>
            <w:vAlign w:val="center"/>
          </w:tcPr>
          <w:p w:rsidR="008F5BFF" w:rsidRPr="00FC1444" w:rsidRDefault="008F5BFF" w:rsidP="00CA6CBF">
            <w:pPr>
              <w:widowControl/>
              <w:jc w:val="center"/>
              <w:textAlignment w:val="center"/>
              <w:rPr>
                <w:rFonts w:eastAsiaTheme="minorEastAsia"/>
                <w:szCs w:val="21"/>
              </w:rPr>
            </w:pPr>
            <w:r w:rsidRPr="00FC1444">
              <w:rPr>
                <w:rFonts w:eastAsiaTheme="minorEastAsia"/>
                <w:kern w:val="0"/>
                <w:szCs w:val="21"/>
              </w:rPr>
              <w:t>二级地类</w:t>
            </w:r>
          </w:p>
        </w:tc>
        <w:tc>
          <w:tcPr>
            <w:tcW w:w="1688" w:type="dxa"/>
            <w:vMerge w:val="restart"/>
            <w:noWrap/>
            <w:vAlign w:val="center"/>
          </w:tcPr>
          <w:p w:rsidR="008F5BFF" w:rsidRPr="00FC1444" w:rsidRDefault="008F5BFF" w:rsidP="00CA6CBF">
            <w:pPr>
              <w:widowControl/>
              <w:jc w:val="center"/>
              <w:textAlignment w:val="center"/>
              <w:rPr>
                <w:rFonts w:eastAsiaTheme="minorEastAsia"/>
                <w:szCs w:val="21"/>
              </w:rPr>
            </w:pPr>
            <w:r w:rsidRPr="00FC1444">
              <w:rPr>
                <w:rFonts w:eastAsiaTheme="minorEastAsia"/>
                <w:kern w:val="0"/>
                <w:szCs w:val="21"/>
              </w:rPr>
              <w:t>实施前面积（万亩）</w:t>
            </w:r>
          </w:p>
        </w:tc>
        <w:tc>
          <w:tcPr>
            <w:tcW w:w="1895" w:type="dxa"/>
            <w:vMerge w:val="restart"/>
            <w:vAlign w:val="center"/>
          </w:tcPr>
          <w:p w:rsidR="008F5BFF" w:rsidRPr="00FC1444" w:rsidRDefault="008F5BFF" w:rsidP="00CA6CBF">
            <w:pPr>
              <w:widowControl/>
              <w:jc w:val="center"/>
              <w:textAlignment w:val="center"/>
              <w:rPr>
                <w:rFonts w:eastAsiaTheme="minorEastAsia"/>
                <w:kern w:val="0"/>
                <w:szCs w:val="21"/>
              </w:rPr>
            </w:pPr>
            <w:r w:rsidRPr="00FC1444">
              <w:rPr>
                <w:rFonts w:eastAsiaTheme="minorEastAsia"/>
                <w:kern w:val="0"/>
                <w:szCs w:val="21"/>
              </w:rPr>
              <w:t>实施后面积（万亩）</w:t>
            </w:r>
          </w:p>
        </w:tc>
      </w:tr>
      <w:tr w:rsidR="008F5BFF" w:rsidRPr="00FC1444" w:rsidTr="008F5BFF">
        <w:trPr>
          <w:trHeight w:val="208"/>
          <w:tblHeader/>
          <w:jc w:val="center"/>
        </w:trPr>
        <w:tc>
          <w:tcPr>
            <w:tcW w:w="807" w:type="dxa"/>
            <w:noWrap/>
            <w:vAlign w:val="center"/>
          </w:tcPr>
          <w:p w:rsidR="008F5BFF" w:rsidRPr="00FC1444" w:rsidRDefault="008F5BFF" w:rsidP="00CA6CBF">
            <w:pPr>
              <w:widowControl/>
              <w:jc w:val="center"/>
              <w:textAlignment w:val="center"/>
              <w:rPr>
                <w:rFonts w:eastAsiaTheme="minorEastAsia"/>
                <w:szCs w:val="21"/>
              </w:rPr>
            </w:pPr>
            <w:r w:rsidRPr="00FC1444">
              <w:rPr>
                <w:rFonts w:eastAsiaTheme="minorEastAsia"/>
                <w:kern w:val="0"/>
                <w:szCs w:val="21"/>
              </w:rPr>
              <w:t>编码</w:t>
            </w:r>
          </w:p>
        </w:tc>
        <w:tc>
          <w:tcPr>
            <w:tcW w:w="1461" w:type="dxa"/>
            <w:noWrap/>
            <w:vAlign w:val="center"/>
          </w:tcPr>
          <w:p w:rsidR="008F5BFF" w:rsidRPr="00FC1444" w:rsidRDefault="008F5BFF" w:rsidP="00CA6CBF">
            <w:pPr>
              <w:widowControl/>
              <w:jc w:val="center"/>
              <w:textAlignment w:val="center"/>
              <w:rPr>
                <w:rFonts w:eastAsiaTheme="minorEastAsia"/>
                <w:szCs w:val="21"/>
              </w:rPr>
            </w:pPr>
            <w:r w:rsidRPr="00FC1444">
              <w:rPr>
                <w:rFonts w:eastAsiaTheme="minorEastAsia"/>
                <w:kern w:val="0"/>
                <w:szCs w:val="21"/>
              </w:rPr>
              <w:t>名称</w:t>
            </w:r>
          </w:p>
        </w:tc>
        <w:tc>
          <w:tcPr>
            <w:tcW w:w="949" w:type="dxa"/>
            <w:noWrap/>
            <w:vAlign w:val="center"/>
          </w:tcPr>
          <w:p w:rsidR="008F5BFF" w:rsidRPr="00FC1444" w:rsidRDefault="008F5BFF" w:rsidP="00CA6CBF">
            <w:pPr>
              <w:widowControl/>
              <w:jc w:val="center"/>
              <w:textAlignment w:val="center"/>
              <w:rPr>
                <w:rFonts w:eastAsiaTheme="minorEastAsia"/>
                <w:szCs w:val="21"/>
              </w:rPr>
            </w:pPr>
            <w:r w:rsidRPr="00FC1444">
              <w:rPr>
                <w:rFonts w:eastAsiaTheme="minorEastAsia"/>
                <w:kern w:val="0"/>
                <w:szCs w:val="21"/>
              </w:rPr>
              <w:t>编号</w:t>
            </w:r>
          </w:p>
        </w:tc>
        <w:tc>
          <w:tcPr>
            <w:tcW w:w="1985" w:type="dxa"/>
            <w:noWrap/>
            <w:vAlign w:val="center"/>
          </w:tcPr>
          <w:p w:rsidR="008F5BFF" w:rsidRPr="00FC1444" w:rsidRDefault="008F5BFF" w:rsidP="00CA6CBF">
            <w:pPr>
              <w:widowControl/>
              <w:jc w:val="center"/>
              <w:textAlignment w:val="center"/>
              <w:rPr>
                <w:rFonts w:eastAsiaTheme="minorEastAsia"/>
                <w:szCs w:val="21"/>
              </w:rPr>
            </w:pPr>
            <w:r w:rsidRPr="00FC1444">
              <w:rPr>
                <w:rFonts w:eastAsiaTheme="minorEastAsia"/>
                <w:kern w:val="0"/>
                <w:szCs w:val="21"/>
              </w:rPr>
              <w:t>名称</w:t>
            </w:r>
          </w:p>
        </w:tc>
        <w:tc>
          <w:tcPr>
            <w:tcW w:w="1688" w:type="dxa"/>
            <w:vMerge/>
            <w:noWrap/>
            <w:vAlign w:val="center"/>
          </w:tcPr>
          <w:p w:rsidR="008F5BFF" w:rsidRPr="00FC1444" w:rsidRDefault="008F5BFF" w:rsidP="008F5BFF">
            <w:pPr>
              <w:widowControl/>
              <w:jc w:val="center"/>
              <w:textAlignment w:val="center"/>
              <w:rPr>
                <w:rFonts w:eastAsiaTheme="minorEastAsia"/>
                <w:szCs w:val="21"/>
              </w:rPr>
            </w:pPr>
          </w:p>
        </w:tc>
        <w:tc>
          <w:tcPr>
            <w:tcW w:w="1895" w:type="dxa"/>
            <w:vMerge/>
            <w:vAlign w:val="center"/>
          </w:tcPr>
          <w:p w:rsidR="008F5BFF" w:rsidRPr="00FC1444" w:rsidRDefault="008F5BFF" w:rsidP="00CA6CBF">
            <w:pPr>
              <w:widowControl/>
              <w:jc w:val="center"/>
              <w:textAlignment w:val="center"/>
              <w:rPr>
                <w:rFonts w:eastAsiaTheme="minorEastAsia"/>
                <w:kern w:val="0"/>
                <w:szCs w:val="21"/>
              </w:rPr>
            </w:pPr>
          </w:p>
        </w:tc>
      </w:tr>
      <w:tr w:rsidR="007F7703" w:rsidRPr="00FC1444" w:rsidTr="008F5BFF">
        <w:trPr>
          <w:trHeight w:val="208"/>
          <w:jc w:val="center"/>
        </w:trPr>
        <w:tc>
          <w:tcPr>
            <w:tcW w:w="807" w:type="dxa"/>
            <w:vMerge w:val="restart"/>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01</w:t>
            </w:r>
          </w:p>
        </w:tc>
        <w:tc>
          <w:tcPr>
            <w:tcW w:w="1461" w:type="dxa"/>
            <w:vMerge w:val="restart"/>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耕地</w:t>
            </w: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0101</w:t>
            </w:r>
          </w:p>
        </w:tc>
        <w:tc>
          <w:tcPr>
            <w:tcW w:w="1985"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水田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9.16</w:t>
            </w:r>
          </w:p>
        </w:tc>
        <w:tc>
          <w:tcPr>
            <w:tcW w:w="1895" w:type="dxa"/>
            <w:vAlign w:val="center"/>
          </w:tcPr>
          <w:p w:rsidR="007F7703" w:rsidRPr="00FC1444" w:rsidRDefault="007F7703">
            <w:pPr>
              <w:jc w:val="center"/>
              <w:rPr>
                <w:color w:val="000000"/>
                <w:szCs w:val="21"/>
              </w:rPr>
            </w:pPr>
            <w:r w:rsidRPr="00FC1444">
              <w:rPr>
                <w:color w:val="000000"/>
                <w:szCs w:val="21"/>
              </w:rPr>
              <w:t>9.16</w:t>
            </w:r>
          </w:p>
        </w:tc>
      </w:tr>
      <w:tr w:rsidR="007F7703" w:rsidRPr="00FC1444" w:rsidTr="008F5BFF">
        <w:trPr>
          <w:trHeight w:val="208"/>
          <w:jc w:val="center"/>
        </w:trPr>
        <w:tc>
          <w:tcPr>
            <w:tcW w:w="807" w:type="dxa"/>
            <w:vMerge/>
            <w:noWrap/>
            <w:vAlign w:val="center"/>
          </w:tcPr>
          <w:p w:rsidR="007F7703" w:rsidRPr="00FC1444" w:rsidRDefault="007F7703" w:rsidP="00CA6CBF">
            <w:pPr>
              <w:widowControl/>
              <w:jc w:val="center"/>
              <w:textAlignment w:val="center"/>
              <w:rPr>
                <w:rFonts w:eastAsiaTheme="minorEastAsia"/>
                <w:kern w:val="0"/>
                <w:szCs w:val="21"/>
              </w:rPr>
            </w:pPr>
          </w:p>
        </w:tc>
        <w:tc>
          <w:tcPr>
            <w:tcW w:w="1461" w:type="dxa"/>
            <w:vMerge/>
            <w:noWrap/>
            <w:vAlign w:val="center"/>
          </w:tcPr>
          <w:p w:rsidR="007F7703" w:rsidRPr="00FC1444" w:rsidRDefault="007F7703" w:rsidP="00CA6CBF">
            <w:pPr>
              <w:widowControl/>
              <w:jc w:val="center"/>
              <w:textAlignment w:val="center"/>
              <w:rPr>
                <w:rFonts w:eastAsiaTheme="minorEastAsia"/>
                <w:kern w:val="0"/>
                <w:szCs w:val="21"/>
              </w:rPr>
            </w:pP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0102</w:t>
            </w:r>
          </w:p>
        </w:tc>
        <w:tc>
          <w:tcPr>
            <w:tcW w:w="1985"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水浇地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0.01</w:t>
            </w:r>
          </w:p>
        </w:tc>
        <w:tc>
          <w:tcPr>
            <w:tcW w:w="1895" w:type="dxa"/>
            <w:vAlign w:val="center"/>
          </w:tcPr>
          <w:p w:rsidR="007F7703" w:rsidRPr="00FC1444" w:rsidRDefault="007F7703">
            <w:pPr>
              <w:jc w:val="center"/>
              <w:rPr>
                <w:color w:val="000000"/>
                <w:szCs w:val="21"/>
              </w:rPr>
            </w:pPr>
            <w:r w:rsidRPr="00FC1444">
              <w:rPr>
                <w:color w:val="000000"/>
                <w:szCs w:val="21"/>
              </w:rPr>
              <w:t>0.01</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0103</w:t>
            </w:r>
          </w:p>
        </w:tc>
        <w:tc>
          <w:tcPr>
            <w:tcW w:w="1985"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旱地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11.84</w:t>
            </w:r>
          </w:p>
        </w:tc>
        <w:tc>
          <w:tcPr>
            <w:tcW w:w="1895" w:type="dxa"/>
            <w:vAlign w:val="center"/>
          </w:tcPr>
          <w:p w:rsidR="007F7703" w:rsidRPr="00FC1444" w:rsidRDefault="007F7703">
            <w:pPr>
              <w:jc w:val="center"/>
              <w:rPr>
                <w:color w:val="000000"/>
                <w:szCs w:val="21"/>
              </w:rPr>
            </w:pPr>
            <w:r w:rsidRPr="00FC1444">
              <w:rPr>
                <w:color w:val="000000"/>
                <w:szCs w:val="21"/>
              </w:rPr>
              <w:t>11.84</w:t>
            </w:r>
          </w:p>
        </w:tc>
      </w:tr>
      <w:tr w:rsidR="007F7703" w:rsidRPr="00FC1444" w:rsidTr="008F5BFF">
        <w:trPr>
          <w:trHeight w:val="208"/>
          <w:jc w:val="center"/>
        </w:trPr>
        <w:tc>
          <w:tcPr>
            <w:tcW w:w="807" w:type="dxa"/>
            <w:vMerge w:val="restart"/>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03</w:t>
            </w:r>
          </w:p>
        </w:tc>
        <w:tc>
          <w:tcPr>
            <w:tcW w:w="1461" w:type="dxa"/>
            <w:vMerge w:val="restart"/>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林地</w:t>
            </w: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0301</w:t>
            </w:r>
          </w:p>
        </w:tc>
        <w:tc>
          <w:tcPr>
            <w:tcW w:w="1985"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乔木林地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0.6 </w:t>
            </w:r>
          </w:p>
        </w:tc>
        <w:tc>
          <w:tcPr>
            <w:tcW w:w="1895" w:type="dxa"/>
            <w:vAlign w:val="center"/>
          </w:tcPr>
          <w:p w:rsidR="007F7703" w:rsidRPr="00FC1444" w:rsidRDefault="007F7703">
            <w:pPr>
              <w:jc w:val="center"/>
              <w:rPr>
                <w:color w:val="000000"/>
                <w:szCs w:val="21"/>
              </w:rPr>
            </w:pPr>
            <w:r w:rsidRPr="00FC1444">
              <w:rPr>
                <w:color w:val="000000"/>
                <w:szCs w:val="21"/>
              </w:rPr>
              <w:t>0.6</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0305</w:t>
            </w:r>
          </w:p>
        </w:tc>
        <w:tc>
          <w:tcPr>
            <w:tcW w:w="1985"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灌木林地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0.001 </w:t>
            </w:r>
          </w:p>
        </w:tc>
        <w:tc>
          <w:tcPr>
            <w:tcW w:w="1895" w:type="dxa"/>
            <w:vAlign w:val="center"/>
          </w:tcPr>
          <w:p w:rsidR="007F7703" w:rsidRPr="00FC1444" w:rsidRDefault="007F7703">
            <w:pPr>
              <w:jc w:val="center"/>
              <w:rPr>
                <w:color w:val="000000"/>
                <w:szCs w:val="21"/>
              </w:rPr>
            </w:pPr>
            <w:r w:rsidRPr="00FC1444">
              <w:rPr>
                <w:color w:val="000000"/>
                <w:szCs w:val="21"/>
              </w:rPr>
              <w:t>0.001</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0307</w:t>
            </w:r>
          </w:p>
        </w:tc>
        <w:tc>
          <w:tcPr>
            <w:tcW w:w="1985"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其他林地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0.05 </w:t>
            </w:r>
          </w:p>
        </w:tc>
        <w:tc>
          <w:tcPr>
            <w:tcW w:w="1895" w:type="dxa"/>
            <w:vAlign w:val="center"/>
          </w:tcPr>
          <w:p w:rsidR="007F7703" w:rsidRPr="00FC1444" w:rsidRDefault="007F7703">
            <w:pPr>
              <w:jc w:val="center"/>
              <w:rPr>
                <w:color w:val="000000"/>
                <w:szCs w:val="21"/>
              </w:rPr>
            </w:pPr>
            <w:r w:rsidRPr="00FC1444">
              <w:rPr>
                <w:color w:val="000000"/>
                <w:szCs w:val="21"/>
              </w:rPr>
              <w:t>0.05</w:t>
            </w:r>
          </w:p>
        </w:tc>
      </w:tr>
      <w:tr w:rsidR="007F7703" w:rsidRPr="00FC1444" w:rsidTr="008F5BFF">
        <w:trPr>
          <w:trHeight w:val="208"/>
          <w:jc w:val="center"/>
        </w:trPr>
        <w:tc>
          <w:tcPr>
            <w:tcW w:w="807"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04</w:t>
            </w:r>
          </w:p>
        </w:tc>
        <w:tc>
          <w:tcPr>
            <w:tcW w:w="1461"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草地</w:t>
            </w:r>
          </w:p>
        </w:tc>
        <w:tc>
          <w:tcPr>
            <w:tcW w:w="949" w:type="dxa"/>
            <w:noWrap/>
            <w:vAlign w:val="center"/>
          </w:tcPr>
          <w:p w:rsidR="007F7703" w:rsidRPr="00FC1444" w:rsidRDefault="007F7703" w:rsidP="00C12A06">
            <w:pPr>
              <w:widowControl/>
              <w:jc w:val="center"/>
              <w:textAlignment w:val="center"/>
              <w:rPr>
                <w:rFonts w:eastAsiaTheme="minorEastAsia"/>
                <w:szCs w:val="21"/>
              </w:rPr>
            </w:pPr>
            <w:r w:rsidRPr="00FC1444">
              <w:rPr>
                <w:rFonts w:eastAsiaTheme="minorEastAsia"/>
                <w:kern w:val="0"/>
                <w:szCs w:val="21"/>
              </w:rPr>
              <w:t>0404</w:t>
            </w:r>
          </w:p>
        </w:tc>
        <w:tc>
          <w:tcPr>
            <w:tcW w:w="1985" w:type="dxa"/>
            <w:noWrap/>
            <w:vAlign w:val="center"/>
          </w:tcPr>
          <w:p w:rsidR="007F7703" w:rsidRPr="00FC1444" w:rsidRDefault="007F7703" w:rsidP="00C12A06">
            <w:pPr>
              <w:widowControl/>
              <w:jc w:val="center"/>
              <w:textAlignment w:val="center"/>
              <w:rPr>
                <w:rFonts w:eastAsiaTheme="minorEastAsia"/>
                <w:szCs w:val="21"/>
              </w:rPr>
            </w:pPr>
            <w:r w:rsidRPr="00FC1444">
              <w:rPr>
                <w:rFonts w:eastAsiaTheme="minorEastAsia"/>
                <w:kern w:val="0"/>
                <w:szCs w:val="21"/>
              </w:rPr>
              <w:t>其他草地</w:t>
            </w:r>
          </w:p>
        </w:tc>
        <w:tc>
          <w:tcPr>
            <w:tcW w:w="1688" w:type="dxa"/>
            <w:noWrap/>
            <w:vAlign w:val="center"/>
          </w:tcPr>
          <w:p w:rsidR="007F7703" w:rsidRPr="00FC1444" w:rsidRDefault="007F7703" w:rsidP="00CA6CBF">
            <w:pPr>
              <w:widowControl/>
              <w:jc w:val="center"/>
              <w:textAlignment w:val="center"/>
              <w:rPr>
                <w:rFonts w:eastAsia="仿宋"/>
                <w:szCs w:val="21"/>
              </w:rPr>
            </w:pPr>
            <w:r w:rsidRPr="00FC1444">
              <w:rPr>
                <w:rFonts w:eastAsia="仿宋" w:hint="eastAsia"/>
                <w:szCs w:val="21"/>
              </w:rPr>
              <w:t>0.04</w:t>
            </w:r>
          </w:p>
        </w:tc>
        <w:tc>
          <w:tcPr>
            <w:tcW w:w="1895" w:type="dxa"/>
            <w:vAlign w:val="center"/>
          </w:tcPr>
          <w:p w:rsidR="007F7703" w:rsidRPr="00FC1444" w:rsidRDefault="007F7703">
            <w:pPr>
              <w:jc w:val="center"/>
              <w:rPr>
                <w:color w:val="000000"/>
                <w:szCs w:val="21"/>
              </w:rPr>
            </w:pPr>
            <w:r w:rsidRPr="00FC1444">
              <w:rPr>
                <w:color w:val="000000"/>
                <w:szCs w:val="21"/>
              </w:rPr>
              <w:t>0.0394</w:t>
            </w:r>
          </w:p>
        </w:tc>
      </w:tr>
      <w:tr w:rsidR="007F7703" w:rsidRPr="00FC1444" w:rsidTr="008F5BFF">
        <w:trPr>
          <w:trHeight w:val="208"/>
          <w:jc w:val="center"/>
        </w:trPr>
        <w:tc>
          <w:tcPr>
            <w:tcW w:w="807" w:type="dxa"/>
            <w:vMerge w:val="restart"/>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05</w:t>
            </w:r>
          </w:p>
        </w:tc>
        <w:tc>
          <w:tcPr>
            <w:tcW w:w="1461" w:type="dxa"/>
            <w:vMerge w:val="restart"/>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商业服务业用地</w:t>
            </w: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0508</w:t>
            </w:r>
          </w:p>
        </w:tc>
        <w:tc>
          <w:tcPr>
            <w:tcW w:w="1985"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仓储物流用地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0.002 </w:t>
            </w:r>
          </w:p>
        </w:tc>
        <w:tc>
          <w:tcPr>
            <w:tcW w:w="1895" w:type="dxa"/>
            <w:vAlign w:val="center"/>
          </w:tcPr>
          <w:p w:rsidR="007F7703" w:rsidRPr="00FC1444" w:rsidRDefault="007F7703">
            <w:pPr>
              <w:jc w:val="center"/>
              <w:rPr>
                <w:color w:val="000000"/>
                <w:szCs w:val="21"/>
              </w:rPr>
            </w:pPr>
            <w:r w:rsidRPr="00FC1444">
              <w:rPr>
                <w:color w:val="000000"/>
                <w:szCs w:val="21"/>
              </w:rPr>
              <w:t>0.002</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hint="eastAsia"/>
                <w:kern w:val="0"/>
                <w:szCs w:val="21"/>
              </w:rPr>
              <w:t>0507</w:t>
            </w:r>
          </w:p>
        </w:tc>
        <w:tc>
          <w:tcPr>
            <w:tcW w:w="1985" w:type="dxa"/>
            <w:noWrap/>
            <w:vAlign w:val="center"/>
          </w:tcPr>
          <w:p w:rsidR="007F7703" w:rsidRPr="00FC1444" w:rsidRDefault="007F7703" w:rsidP="00DA7B90">
            <w:pPr>
              <w:widowControl/>
              <w:jc w:val="center"/>
              <w:textAlignment w:val="center"/>
              <w:rPr>
                <w:rFonts w:eastAsiaTheme="minorEastAsia"/>
                <w:szCs w:val="21"/>
              </w:rPr>
            </w:pPr>
            <w:r w:rsidRPr="00FC1444">
              <w:rPr>
                <w:rFonts w:eastAsiaTheme="minorEastAsia" w:hint="eastAsia"/>
                <w:kern w:val="0"/>
                <w:szCs w:val="21"/>
              </w:rPr>
              <w:t>其他商服用地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0.01 </w:t>
            </w:r>
          </w:p>
        </w:tc>
        <w:tc>
          <w:tcPr>
            <w:tcW w:w="1895" w:type="dxa"/>
            <w:vAlign w:val="center"/>
          </w:tcPr>
          <w:p w:rsidR="007F7703" w:rsidRPr="00FC1444" w:rsidRDefault="007F7703">
            <w:pPr>
              <w:jc w:val="center"/>
              <w:rPr>
                <w:color w:val="000000"/>
                <w:szCs w:val="21"/>
              </w:rPr>
            </w:pPr>
            <w:r w:rsidRPr="00FC1444">
              <w:rPr>
                <w:color w:val="000000"/>
                <w:szCs w:val="21"/>
              </w:rPr>
              <w:t>0.01</w:t>
            </w:r>
          </w:p>
        </w:tc>
      </w:tr>
      <w:tr w:rsidR="007F7703" w:rsidRPr="00FC1444" w:rsidTr="008F5BFF">
        <w:trPr>
          <w:trHeight w:val="208"/>
          <w:jc w:val="center"/>
        </w:trPr>
        <w:tc>
          <w:tcPr>
            <w:tcW w:w="807" w:type="dxa"/>
            <w:vMerge w:val="restart"/>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06</w:t>
            </w:r>
          </w:p>
        </w:tc>
        <w:tc>
          <w:tcPr>
            <w:tcW w:w="1461" w:type="dxa"/>
            <w:vMerge w:val="restart"/>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工业用地</w:t>
            </w: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0601</w:t>
            </w:r>
          </w:p>
        </w:tc>
        <w:tc>
          <w:tcPr>
            <w:tcW w:w="1985"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工业用地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0.001 </w:t>
            </w:r>
          </w:p>
        </w:tc>
        <w:tc>
          <w:tcPr>
            <w:tcW w:w="1895" w:type="dxa"/>
            <w:vAlign w:val="center"/>
          </w:tcPr>
          <w:p w:rsidR="007F7703" w:rsidRPr="00FC1444" w:rsidRDefault="007F7703">
            <w:pPr>
              <w:jc w:val="center"/>
              <w:rPr>
                <w:color w:val="000000"/>
                <w:szCs w:val="21"/>
              </w:rPr>
            </w:pPr>
            <w:r w:rsidRPr="00FC1444">
              <w:rPr>
                <w:color w:val="000000"/>
                <w:szCs w:val="21"/>
              </w:rPr>
              <w:t>0.001</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0602</w:t>
            </w:r>
          </w:p>
        </w:tc>
        <w:tc>
          <w:tcPr>
            <w:tcW w:w="1985"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采矿用地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0.05 </w:t>
            </w:r>
          </w:p>
        </w:tc>
        <w:tc>
          <w:tcPr>
            <w:tcW w:w="1895" w:type="dxa"/>
            <w:vAlign w:val="center"/>
          </w:tcPr>
          <w:p w:rsidR="007F7703" w:rsidRPr="00FC1444" w:rsidRDefault="007F7703">
            <w:pPr>
              <w:jc w:val="center"/>
              <w:rPr>
                <w:color w:val="000000"/>
                <w:szCs w:val="21"/>
              </w:rPr>
            </w:pPr>
            <w:r w:rsidRPr="00FC1444">
              <w:rPr>
                <w:color w:val="000000"/>
                <w:szCs w:val="21"/>
              </w:rPr>
              <w:t>0.05</w:t>
            </w:r>
          </w:p>
        </w:tc>
      </w:tr>
      <w:tr w:rsidR="007F7703" w:rsidRPr="00FC1444" w:rsidTr="008F5BFF">
        <w:trPr>
          <w:trHeight w:val="208"/>
          <w:jc w:val="center"/>
        </w:trPr>
        <w:tc>
          <w:tcPr>
            <w:tcW w:w="807" w:type="dxa"/>
            <w:vMerge w:val="restart"/>
            <w:noWrap/>
            <w:vAlign w:val="center"/>
          </w:tcPr>
          <w:p w:rsidR="007F7703" w:rsidRPr="00FC1444" w:rsidRDefault="007F7703" w:rsidP="00CA6CBF">
            <w:pPr>
              <w:jc w:val="center"/>
              <w:rPr>
                <w:rFonts w:eastAsiaTheme="minorEastAsia"/>
                <w:szCs w:val="21"/>
              </w:rPr>
            </w:pPr>
            <w:r w:rsidRPr="00FC1444">
              <w:rPr>
                <w:rFonts w:eastAsiaTheme="minorEastAsia" w:hint="eastAsia"/>
                <w:szCs w:val="21"/>
              </w:rPr>
              <w:t>07</w:t>
            </w:r>
          </w:p>
        </w:tc>
        <w:tc>
          <w:tcPr>
            <w:tcW w:w="1461" w:type="dxa"/>
            <w:vMerge w:val="restart"/>
            <w:noWrap/>
            <w:vAlign w:val="center"/>
          </w:tcPr>
          <w:p w:rsidR="007F7703" w:rsidRPr="00FC1444" w:rsidRDefault="007F7703" w:rsidP="00CA6CBF">
            <w:pPr>
              <w:jc w:val="center"/>
              <w:rPr>
                <w:rFonts w:eastAsiaTheme="minorEastAsia"/>
                <w:szCs w:val="21"/>
              </w:rPr>
            </w:pPr>
            <w:r w:rsidRPr="00FC1444">
              <w:rPr>
                <w:rFonts w:eastAsiaTheme="minorEastAsia" w:hint="eastAsia"/>
                <w:szCs w:val="21"/>
              </w:rPr>
              <w:t>住宅用地</w:t>
            </w: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hint="eastAsia"/>
                <w:kern w:val="0"/>
                <w:szCs w:val="21"/>
              </w:rPr>
              <w:t>0701</w:t>
            </w:r>
          </w:p>
        </w:tc>
        <w:tc>
          <w:tcPr>
            <w:tcW w:w="1985" w:type="dxa"/>
            <w:noWrap/>
            <w:vAlign w:val="center"/>
          </w:tcPr>
          <w:p w:rsidR="007F7703" w:rsidRPr="00FC1444" w:rsidRDefault="007F7703" w:rsidP="003870EF">
            <w:pPr>
              <w:widowControl/>
              <w:jc w:val="center"/>
              <w:textAlignment w:val="center"/>
              <w:rPr>
                <w:rFonts w:eastAsiaTheme="minorEastAsia"/>
                <w:kern w:val="0"/>
                <w:szCs w:val="21"/>
              </w:rPr>
            </w:pPr>
            <w:r w:rsidRPr="00FC1444">
              <w:rPr>
                <w:rFonts w:eastAsiaTheme="minorEastAsia" w:hint="eastAsia"/>
                <w:kern w:val="0"/>
                <w:szCs w:val="21"/>
              </w:rPr>
              <w:t>城镇住宅用地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0.3 </w:t>
            </w:r>
          </w:p>
        </w:tc>
        <w:tc>
          <w:tcPr>
            <w:tcW w:w="1895" w:type="dxa"/>
            <w:vAlign w:val="center"/>
          </w:tcPr>
          <w:p w:rsidR="007F7703" w:rsidRPr="00FC1444" w:rsidRDefault="007F7703">
            <w:pPr>
              <w:jc w:val="center"/>
              <w:rPr>
                <w:color w:val="000000"/>
                <w:szCs w:val="21"/>
              </w:rPr>
            </w:pPr>
            <w:r w:rsidRPr="00FC1444">
              <w:rPr>
                <w:color w:val="000000"/>
                <w:szCs w:val="21"/>
              </w:rPr>
              <w:t>0.3</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hint="eastAsia"/>
                <w:kern w:val="0"/>
                <w:szCs w:val="21"/>
              </w:rPr>
              <w:t>0702</w:t>
            </w:r>
          </w:p>
        </w:tc>
        <w:tc>
          <w:tcPr>
            <w:tcW w:w="1985" w:type="dxa"/>
            <w:noWrap/>
            <w:vAlign w:val="center"/>
          </w:tcPr>
          <w:p w:rsidR="007F7703" w:rsidRPr="00FC1444" w:rsidRDefault="007F7703" w:rsidP="003870EF">
            <w:pPr>
              <w:widowControl/>
              <w:jc w:val="center"/>
              <w:textAlignment w:val="center"/>
              <w:rPr>
                <w:rFonts w:eastAsiaTheme="minorEastAsia"/>
                <w:kern w:val="0"/>
                <w:szCs w:val="21"/>
              </w:rPr>
            </w:pPr>
            <w:r w:rsidRPr="00FC1444">
              <w:rPr>
                <w:rFonts w:eastAsiaTheme="minorEastAsia" w:hint="eastAsia"/>
                <w:kern w:val="0"/>
                <w:szCs w:val="21"/>
              </w:rPr>
              <w:t>农村宅基地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0.36 </w:t>
            </w:r>
          </w:p>
        </w:tc>
        <w:tc>
          <w:tcPr>
            <w:tcW w:w="1895" w:type="dxa"/>
            <w:vAlign w:val="center"/>
          </w:tcPr>
          <w:p w:rsidR="007F7703" w:rsidRPr="00FC1444" w:rsidRDefault="007F7703">
            <w:pPr>
              <w:jc w:val="center"/>
              <w:rPr>
                <w:color w:val="000000"/>
                <w:szCs w:val="21"/>
              </w:rPr>
            </w:pPr>
            <w:r w:rsidRPr="00FC1444">
              <w:rPr>
                <w:color w:val="000000"/>
                <w:szCs w:val="21"/>
              </w:rPr>
              <w:t>0.36</w:t>
            </w:r>
          </w:p>
        </w:tc>
      </w:tr>
      <w:tr w:rsidR="007F7703" w:rsidRPr="00FC1444" w:rsidTr="008F5BFF">
        <w:trPr>
          <w:trHeight w:val="208"/>
          <w:jc w:val="center"/>
        </w:trPr>
        <w:tc>
          <w:tcPr>
            <w:tcW w:w="807" w:type="dxa"/>
            <w:vMerge w:val="restart"/>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08</w:t>
            </w:r>
          </w:p>
        </w:tc>
        <w:tc>
          <w:tcPr>
            <w:tcW w:w="1461" w:type="dxa"/>
            <w:vMerge w:val="restart"/>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公共管理与公共服务用地</w:t>
            </w: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08H2</w:t>
            </w:r>
          </w:p>
        </w:tc>
        <w:tc>
          <w:tcPr>
            <w:tcW w:w="1985" w:type="dxa"/>
            <w:noWrap/>
            <w:vAlign w:val="center"/>
          </w:tcPr>
          <w:p w:rsidR="007F7703" w:rsidRPr="00FC1444" w:rsidRDefault="007F7703" w:rsidP="003870EF">
            <w:pPr>
              <w:widowControl/>
              <w:jc w:val="center"/>
              <w:textAlignment w:val="center"/>
              <w:rPr>
                <w:rFonts w:eastAsiaTheme="minorEastAsia"/>
                <w:kern w:val="0"/>
                <w:szCs w:val="21"/>
              </w:rPr>
            </w:pPr>
            <w:r w:rsidRPr="00FC1444">
              <w:rPr>
                <w:rFonts w:eastAsiaTheme="minorEastAsia" w:hint="eastAsia"/>
                <w:kern w:val="0"/>
                <w:szCs w:val="21"/>
              </w:rPr>
              <w:t>科教文卫用地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0.001 </w:t>
            </w:r>
          </w:p>
        </w:tc>
        <w:tc>
          <w:tcPr>
            <w:tcW w:w="1895" w:type="dxa"/>
            <w:vAlign w:val="center"/>
          </w:tcPr>
          <w:p w:rsidR="007F7703" w:rsidRPr="00FC1444" w:rsidRDefault="007F7703">
            <w:pPr>
              <w:jc w:val="center"/>
              <w:rPr>
                <w:color w:val="000000"/>
                <w:szCs w:val="21"/>
              </w:rPr>
            </w:pPr>
            <w:r w:rsidRPr="00FC1444">
              <w:rPr>
                <w:color w:val="000000"/>
                <w:szCs w:val="21"/>
              </w:rPr>
              <w:t>0.001</w:t>
            </w:r>
          </w:p>
        </w:tc>
      </w:tr>
      <w:tr w:rsidR="007F7703" w:rsidRPr="00FC1444" w:rsidTr="008F5BFF">
        <w:trPr>
          <w:trHeight w:val="208"/>
          <w:jc w:val="center"/>
        </w:trPr>
        <w:tc>
          <w:tcPr>
            <w:tcW w:w="807" w:type="dxa"/>
            <w:vMerge/>
            <w:noWrap/>
            <w:vAlign w:val="center"/>
          </w:tcPr>
          <w:p w:rsidR="007F7703" w:rsidRPr="00FC1444" w:rsidRDefault="007F7703" w:rsidP="00CA6CBF">
            <w:pPr>
              <w:widowControl/>
              <w:jc w:val="center"/>
              <w:textAlignment w:val="center"/>
              <w:rPr>
                <w:rFonts w:eastAsiaTheme="minorEastAsia"/>
                <w:kern w:val="0"/>
                <w:szCs w:val="21"/>
              </w:rPr>
            </w:pPr>
          </w:p>
        </w:tc>
        <w:tc>
          <w:tcPr>
            <w:tcW w:w="1461" w:type="dxa"/>
            <w:vMerge/>
            <w:noWrap/>
            <w:vAlign w:val="center"/>
          </w:tcPr>
          <w:p w:rsidR="007F7703" w:rsidRPr="00FC1444" w:rsidRDefault="007F7703" w:rsidP="00CA6CBF">
            <w:pPr>
              <w:widowControl/>
              <w:jc w:val="center"/>
              <w:textAlignment w:val="center"/>
              <w:rPr>
                <w:rFonts w:eastAsiaTheme="minorEastAsia"/>
                <w:kern w:val="0"/>
                <w:szCs w:val="21"/>
              </w:rPr>
            </w:pP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801</w:t>
            </w:r>
          </w:p>
        </w:tc>
        <w:tc>
          <w:tcPr>
            <w:tcW w:w="1985" w:type="dxa"/>
            <w:noWrap/>
            <w:vAlign w:val="center"/>
          </w:tcPr>
          <w:p w:rsidR="007F7703" w:rsidRPr="00FC1444" w:rsidRDefault="007F7703" w:rsidP="003870EF">
            <w:pPr>
              <w:widowControl/>
              <w:jc w:val="center"/>
              <w:textAlignment w:val="center"/>
              <w:rPr>
                <w:rFonts w:eastAsiaTheme="minorEastAsia"/>
                <w:kern w:val="0"/>
                <w:szCs w:val="21"/>
              </w:rPr>
            </w:pPr>
            <w:r w:rsidRPr="00FC1444">
              <w:rPr>
                <w:rFonts w:eastAsiaTheme="minorEastAsia" w:hint="eastAsia"/>
                <w:kern w:val="0"/>
                <w:szCs w:val="21"/>
              </w:rPr>
              <w:t>机关团体用地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0.01 </w:t>
            </w:r>
          </w:p>
        </w:tc>
        <w:tc>
          <w:tcPr>
            <w:tcW w:w="1895" w:type="dxa"/>
            <w:vAlign w:val="center"/>
          </w:tcPr>
          <w:p w:rsidR="007F7703" w:rsidRPr="00FC1444" w:rsidRDefault="007F7703">
            <w:pPr>
              <w:jc w:val="center"/>
              <w:rPr>
                <w:color w:val="000000"/>
                <w:szCs w:val="21"/>
              </w:rPr>
            </w:pPr>
            <w:r w:rsidRPr="00FC1444">
              <w:rPr>
                <w:color w:val="000000"/>
                <w:szCs w:val="21"/>
              </w:rPr>
              <w:t>0.01</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hint="eastAsia"/>
                <w:kern w:val="0"/>
                <w:szCs w:val="21"/>
              </w:rPr>
              <w:t>803</w:t>
            </w:r>
          </w:p>
        </w:tc>
        <w:tc>
          <w:tcPr>
            <w:tcW w:w="1985" w:type="dxa"/>
            <w:noWrap/>
            <w:vAlign w:val="center"/>
          </w:tcPr>
          <w:p w:rsidR="007F7703" w:rsidRPr="00FC1444" w:rsidRDefault="007F7703" w:rsidP="003870EF">
            <w:pPr>
              <w:widowControl/>
              <w:jc w:val="center"/>
              <w:textAlignment w:val="center"/>
              <w:rPr>
                <w:rFonts w:eastAsiaTheme="minorEastAsia"/>
                <w:kern w:val="0"/>
                <w:szCs w:val="21"/>
              </w:rPr>
            </w:pPr>
            <w:r w:rsidRPr="00FC1444">
              <w:rPr>
                <w:rFonts w:eastAsiaTheme="minorEastAsia" w:hint="eastAsia"/>
                <w:kern w:val="0"/>
                <w:szCs w:val="21"/>
              </w:rPr>
              <w:t>教育用地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0.01 </w:t>
            </w:r>
          </w:p>
        </w:tc>
        <w:tc>
          <w:tcPr>
            <w:tcW w:w="1895" w:type="dxa"/>
            <w:vAlign w:val="center"/>
          </w:tcPr>
          <w:p w:rsidR="007F7703" w:rsidRPr="00FC1444" w:rsidRDefault="007F7703">
            <w:pPr>
              <w:jc w:val="center"/>
              <w:rPr>
                <w:color w:val="000000"/>
                <w:szCs w:val="21"/>
              </w:rPr>
            </w:pPr>
            <w:r w:rsidRPr="00FC1444">
              <w:rPr>
                <w:color w:val="000000"/>
                <w:szCs w:val="21"/>
              </w:rPr>
              <w:t>0.01</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08H1</w:t>
            </w:r>
          </w:p>
        </w:tc>
        <w:tc>
          <w:tcPr>
            <w:tcW w:w="1985" w:type="dxa"/>
            <w:noWrap/>
            <w:vAlign w:val="center"/>
          </w:tcPr>
          <w:p w:rsidR="007F7703" w:rsidRPr="00FC1444" w:rsidRDefault="007F7703" w:rsidP="003870EF">
            <w:pPr>
              <w:widowControl/>
              <w:jc w:val="center"/>
              <w:textAlignment w:val="center"/>
              <w:rPr>
                <w:rFonts w:eastAsiaTheme="minorEastAsia"/>
                <w:kern w:val="0"/>
                <w:szCs w:val="21"/>
              </w:rPr>
            </w:pPr>
            <w:r w:rsidRPr="00FC1444">
              <w:rPr>
                <w:rFonts w:eastAsiaTheme="minorEastAsia" w:hint="eastAsia"/>
                <w:kern w:val="0"/>
                <w:szCs w:val="21"/>
              </w:rPr>
              <w:t>机关团体新闻出版用地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0.003 </w:t>
            </w:r>
          </w:p>
        </w:tc>
        <w:tc>
          <w:tcPr>
            <w:tcW w:w="1895" w:type="dxa"/>
            <w:vAlign w:val="center"/>
          </w:tcPr>
          <w:p w:rsidR="007F7703" w:rsidRPr="00FC1444" w:rsidRDefault="007F7703">
            <w:pPr>
              <w:jc w:val="center"/>
              <w:rPr>
                <w:color w:val="000000"/>
                <w:szCs w:val="21"/>
              </w:rPr>
            </w:pPr>
            <w:r w:rsidRPr="00FC1444">
              <w:rPr>
                <w:color w:val="000000"/>
                <w:szCs w:val="21"/>
              </w:rPr>
              <w:t>0.003</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0809</w:t>
            </w:r>
          </w:p>
        </w:tc>
        <w:tc>
          <w:tcPr>
            <w:tcW w:w="1985" w:type="dxa"/>
            <w:noWrap/>
            <w:vAlign w:val="center"/>
          </w:tcPr>
          <w:p w:rsidR="007F7703" w:rsidRPr="00FC1444" w:rsidRDefault="007F7703" w:rsidP="003870EF">
            <w:pPr>
              <w:widowControl/>
              <w:jc w:val="center"/>
              <w:textAlignment w:val="center"/>
              <w:rPr>
                <w:rFonts w:eastAsiaTheme="minorEastAsia"/>
                <w:kern w:val="0"/>
                <w:szCs w:val="21"/>
              </w:rPr>
            </w:pPr>
            <w:r w:rsidRPr="00FC1444">
              <w:rPr>
                <w:rFonts w:eastAsiaTheme="minorEastAsia" w:hint="eastAsia"/>
                <w:kern w:val="0"/>
                <w:szCs w:val="21"/>
              </w:rPr>
              <w:t>公用设施用地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0.004 </w:t>
            </w:r>
          </w:p>
        </w:tc>
        <w:tc>
          <w:tcPr>
            <w:tcW w:w="1895" w:type="dxa"/>
            <w:vAlign w:val="center"/>
          </w:tcPr>
          <w:p w:rsidR="007F7703" w:rsidRPr="00FC1444" w:rsidRDefault="007F7703">
            <w:pPr>
              <w:jc w:val="center"/>
              <w:rPr>
                <w:color w:val="000000"/>
                <w:szCs w:val="21"/>
              </w:rPr>
            </w:pPr>
            <w:r w:rsidRPr="00FC1444">
              <w:rPr>
                <w:color w:val="000000"/>
                <w:szCs w:val="21"/>
              </w:rPr>
              <w:t>0.0041</w:t>
            </w:r>
          </w:p>
        </w:tc>
      </w:tr>
      <w:tr w:rsidR="007F7703" w:rsidRPr="00FC1444" w:rsidTr="008F5BFF">
        <w:trPr>
          <w:trHeight w:val="208"/>
          <w:jc w:val="center"/>
        </w:trPr>
        <w:tc>
          <w:tcPr>
            <w:tcW w:w="807" w:type="dxa"/>
            <w:vMerge w:val="restart"/>
            <w:noWrap/>
            <w:vAlign w:val="center"/>
          </w:tcPr>
          <w:p w:rsidR="007F7703" w:rsidRPr="00FC1444" w:rsidRDefault="007F7703" w:rsidP="00CA6CBF">
            <w:pPr>
              <w:jc w:val="center"/>
              <w:rPr>
                <w:rFonts w:eastAsiaTheme="minorEastAsia"/>
                <w:szCs w:val="21"/>
              </w:rPr>
            </w:pPr>
            <w:r w:rsidRPr="00FC1444">
              <w:rPr>
                <w:rFonts w:eastAsiaTheme="minorEastAsia"/>
                <w:szCs w:val="21"/>
              </w:rPr>
              <w:t>09</w:t>
            </w:r>
          </w:p>
        </w:tc>
        <w:tc>
          <w:tcPr>
            <w:tcW w:w="1461" w:type="dxa"/>
            <w:vMerge w:val="restart"/>
            <w:noWrap/>
            <w:vAlign w:val="center"/>
          </w:tcPr>
          <w:p w:rsidR="007F7703" w:rsidRPr="00FC1444" w:rsidRDefault="007F7703" w:rsidP="00CA6CBF">
            <w:pPr>
              <w:jc w:val="center"/>
              <w:rPr>
                <w:rFonts w:eastAsiaTheme="minorEastAsia"/>
                <w:szCs w:val="21"/>
              </w:rPr>
            </w:pPr>
            <w:r w:rsidRPr="00FC1444">
              <w:rPr>
                <w:rFonts w:eastAsiaTheme="minorEastAsia"/>
                <w:szCs w:val="21"/>
              </w:rPr>
              <w:t>特殊用地</w:t>
            </w: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9</w:t>
            </w:r>
          </w:p>
        </w:tc>
        <w:tc>
          <w:tcPr>
            <w:tcW w:w="1985"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szCs w:val="21"/>
              </w:rPr>
              <w:t>特殊用地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0.001 </w:t>
            </w:r>
          </w:p>
        </w:tc>
        <w:tc>
          <w:tcPr>
            <w:tcW w:w="1895" w:type="dxa"/>
            <w:vAlign w:val="center"/>
          </w:tcPr>
          <w:p w:rsidR="007F7703" w:rsidRPr="00FC1444" w:rsidRDefault="007F7703">
            <w:pPr>
              <w:jc w:val="center"/>
              <w:rPr>
                <w:color w:val="000000"/>
                <w:szCs w:val="21"/>
              </w:rPr>
            </w:pPr>
            <w:r w:rsidRPr="00FC1444">
              <w:rPr>
                <w:color w:val="000000"/>
                <w:szCs w:val="21"/>
              </w:rPr>
              <w:t>0.001</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hint="eastAsia"/>
                <w:kern w:val="0"/>
                <w:szCs w:val="21"/>
              </w:rPr>
              <w:t>906</w:t>
            </w:r>
          </w:p>
        </w:tc>
        <w:tc>
          <w:tcPr>
            <w:tcW w:w="1985"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hint="eastAsia"/>
                <w:szCs w:val="21"/>
              </w:rPr>
              <w:t>风景名胜设施用地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0.003 </w:t>
            </w:r>
          </w:p>
        </w:tc>
        <w:tc>
          <w:tcPr>
            <w:tcW w:w="1895" w:type="dxa"/>
            <w:vAlign w:val="center"/>
          </w:tcPr>
          <w:p w:rsidR="007F7703" w:rsidRPr="00FC1444" w:rsidRDefault="007F7703">
            <w:pPr>
              <w:jc w:val="center"/>
              <w:rPr>
                <w:color w:val="000000"/>
                <w:szCs w:val="21"/>
              </w:rPr>
            </w:pPr>
            <w:r w:rsidRPr="00FC1444">
              <w:rPr>
                <w:color w:val="000000"/>
                <w:szCs w:val="21"/>
              </w:rPr>
              <w:t>0.003</w:t>
            </w:r>
          </w:p>
        </w:tc>
      </w:tr>
      <w:tr w:rsidR="007F7703" w:rsidRPr="00FC1444" w:rsidTr="008F5BFF">
        <w:trPr>
          <w:trHeight w:val="208"/>
          <w:jc w:val="center"/>
        </w:trPr>
        <w:tc>
          <w:tcPr>
            <w:tcW w:w="807" w:type="dxa"/>
            <w:vMerge w:val="restart"/>
            <w:noWrap/>
            <w:vAlign w:val="center"/>
          </w:tcPr>
          <w:p w:rsidR="007F7703" w:rsidRPr="00FC1444" w:rsidRDefault="007F7703" w:rsidP="00CA6CBF">
            <w:pPr>
              <w:jc w:val="center"/>
              <w:textAlignment w:val="center"/>
              <w:rPr>
                <w:rFonts w:eastAsiaTheme="minorEastAsia"/>
                <w:kern w:val="0"/>
                <w:szCs w:val="21"/>
              </w:rPr>
            </w:pPr>
            <w:r w:rsidRPr="00FC1444">
              <w:rPr>
                <w:rFonts w:eastAsiaTheme="minorEastAsia"/>
                <w:kern w:val="0"/>
                <w:szCs w:val="21"/>
              </w:rPr>
              <w:t>10</w:t>
            </w:r>
          </w:p>
        </w:tc>
        <w:tc>
          <w:tcPr>
            <w:tcW w:w="1461" w:type="dxa"/>
            <w:vMerge w:val="restart"/>
            <w:noWrap/>
            <w:vAlign w:val="center"/>
          </w:tcPr>
          <w:p w:rsidR="007F7703" w:rsidRPr="00FC1444" w:rsidRDefault="007F7703" w:rsidP="00CA6CBF">
            <w:pPr>
              <w:jc w:val="center"/>
              <w:textAlignment w:val="center"/>
              <w:rPr>
                <w:rFonts w:eastAsiaTheme="minorEastAsia"/>
                <w:kern w:val="0"/>
                <w:szCs w:val="21"/>
              </w:rPr>
            </w:pPr>
            <w:r w:rsidRPr="00FC1444">
              <w:rPr>
                <w:rFonts w:eastAsiaTheme="minorEastAsia"/>
                <w:kern w:val="0"/>
                <w:szCs w:val="21"/>
              </w:rPr>
              <w:t>交通运输用地</w:t>
            </w: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hint="eastAsia"/>
                <w:kern w:val="0"/>
                <w:szCs w:val="21"/>
              </w:rPr>
              <w:t>1004</w:t>
            </w:r>
          </w:p>
        </w:tc>
        <w:tc>
          <w:tcPr>
            <w:tcW w:w="1985" w:type="dxa"/>
            <w:noWrap/>
            <w:vAlign w:val="center"/>
          </w:tcPr>
          <w:p w:rsidR="007F7703" w:rsidRPr="00FC1444" w:rsidRDefault="007F7703" w:rsidP="003870EF">
            <w:pPr>
              <w:widowControl/>
              <w:jc w:val="center"/>
              <w:textAlignment w:val="center"/>
              <w:rPr>
                <w:rFonts w:eastAsiaTheme="minorEastAsia"/>
                <w:szCs w:val="21"/>
              </w:rPr>
            </w:pPr>
            <w:r w:rsidRPr="00FC1444">
              <w:rPr>
                <w:rFonts w:eastAsiaTheme="minorEastAsia" w:hint="eastAsia"/>
                <w:szCs w:val="21"/>
              </w:rPr>
              <w:t>城镇村道路用地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0.11 </w:t>
            </w:r>
          </w:p>
        </w:tc>
        <w:tc>
          <w:tcPr>
            <w:tcW w:w="1895" w:type="dxa"/>
            <w:vAlign w:val="center"/>
          </w:tcPr>
          <w:p w:rsidR="007F7703" w:rsidRPr="00FC1444" w:rsidRDefault="007F7703">
            <w:pPr>
              <w:jc w:val="center"/>
              <w:rPr>
                <w:color w:val="000000"/>
                <w:szCs w:val="21"/>
              </w:rPr>
            </w:pPr>
            <w:r w:rsidRPr="00FC1444">
              <w:rPr>
                <w:color w:val="000000"/>
                <w:szCs w:val="21"/>
              </w:rPr>
              <w:t>0.11</w:t>
            </w:r>
          </w:p>
        </w:tc>
      </w:tr>
      <w:tr w:rsidR="007F7703" w:rsidRPr="00FC1444" w:rsidTr="008F5BFF">
        <w:trPr>
          <w:trHeight w:val="208"/>
          <w:jc w:val="center"/>
        </w:trPr>
        <w:tc>
          <w:tcPr>
            <w:tcW w:w="807" w:type="dxa"/>
            <w:vMerge/>
            <w:noWrap/>
            <w:vAlign w:val="center"/>
          </w:tcPr>
          <w:p w:rsidR="007F7703" w:rsidRPr="00FC1444" w:rsidRDefault="007F7703" w:rsidP="00CA6CBF">
            <w:pPr>
              <w:widowControl/>
              <w:jc w:val="center"/>
              <w:textAlignment w:val="center"/>
              <w:rPr>
                <w:rFonts w:eastAsiaTheme="minorEastAsia"/>
                <w:szCs w:val="21"/>
              </w:rPr>
            </w:pPr>
          </w:p>
        </w:tc>
        <w:tc>
          <w:tcPr>
            <w:tcW w:w="1461" w:type="dxa"/>
            <w:vMerge/>
            <w:noWrap/>
            <w:vAlign w:val="center"/>
          </w:tcPr>
          <w:p w:rsidR="007F7703" w:rsidRPr="00FC1444" w:rsidRDefault="007F7703" w:rsidP="00CA6CBF">
            <w:pPr>
              <w:widowControl/>
              <w:jc w:val="center"/>
              <w:textAlignment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1003</w:t>
            </w:r>
          </w:p>
        </w:tc>
        <w:tc>
          <w:tcPr>
            <w:tcW w:w="1985" w:type="dxa"/>
            <w:noWrap/>
            <w:vAlign w:val="center"/>
          </w:tcPr>
          <w:p w:rsidR="007F7703" w:rsidRPr="00FC1444" w:rsidRDefault="007F7703" w:rsidP="003870EF">
            <w:pPr>
              <w:widowControl/>
              <w:jc w:val="center"/>
              <w:textAlignment w:val="center"/>
              <w:rPr>
                <w:rFonts w:eastAsiaTheme="minorEastAsia"/>
                <w:szCs w:val="21"/>
              </w:rPr>
            </w:pPr>
            <w:r w:rsidRPr="00FC1444">
              <w:rPr>
                <w:rFonts w:eastAsiaTheme="minorEastAsia" w:hint="eastAsia"/>
                <w:szCs w:val="21"/>
              </w:rPr>
              <w:t>公路用地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0.15 </w:t>
            </w:r>
          </w:p>
        </w:tc>
        <w:tc>
          <w:tcPr>
            <w:tcW w:w="1895" w:type="dxa"/>
            <w:vAlign w:val="center"/>
          </w:tcPr>
          <w:p w:rsidR="007F7703" w:rsidRPr="00FC1444" w:rsidRDefault="007F7703">
            <w:pPr>
              <w:jc w:val="center"/>
              <w:rPr>
                <w:color w:val="000000"/>
                <w:szCs w:val="21"/>
              </w:rPr>
            </w:pPr>
            <w:r w:rsidRPr="00FC1444">
              <w:rPr>
                <w:color w:val="000000"/>
                <w:szCs w:val="21"/>
              </w:rPr>
              <w:t>0.15</w:t>
            </w:r>
          </w:p>
        </w:tc>
      </w:tr>
      <w:tr w:rsidR="007F7703" w:rsidRPr="00FC1444" w:rsidTr="008F5BFF">
        <w:trPr>
          <w:trHeight w:val="208"/>
          <w:jc w:val="center"/>
        </w:trPr>
        <w:tc>
          <w:tcPr>
            <w:tcW w:w="807" w:type="dxa"/>
            <w:vMerge/>
            <w:noWrap/>
            <w:vAlign w:val="center"/>
          </w:tcPr>
          <w:p w:rsidR="007F7703" w:rsidRPr="00FC1444" w:rsidRDefault="007F7703" w:rsidP="00CA6CBF">
            <w:pPr>
              <w:widowControl/>
              <w:jc w:val="center"/>
              <w:textAlignment w:val="center"/>
              <w:rPr>
                <w:rFonts w:eastAsiaTheme="minorEastAsia"/>
                <w:kern w:val="0"/>
                <w:szCs w:val="21"/>
              </w:rPr>
            </w:pPr>
          </w:p>
        </w:tc>
        <w:tc>
          <w:tcPr>
            <w:tcW w:w="1461" w:type="dxa"/>
            <w:vMerge/>
            <w:noWrap/>
            <w:vAlign w:val="center"/>
          </w:tcPr>
          <w:p w:rsidR="007F7703" w:rsidRPr="00FC1444" w:rsidRDefault="007F7703" w:rsidP="00CA6CBF">
            <w:pPr>
              <w:widowControl/>
              <w:jc w:val="center"/>
              <w:textAlignment w:val="center"/>
              <w:rPr>
                <w:rFonts w:eastAsiaTheme="minorEastAsia"/>
                <w:kern w:val="0"/>
                <w:szCs w:val="21"/>
              </w:rPr>
            </w:pP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100</w:t>
            </w:r>
            <w:r w:rsidRPr="00FC1444">
              <w:rPr>
                <w:rFonts w:eastAsiaTheme="minorEastAsia" w:hint="eastAsia"/>
                <w:kern w:val="0"/>
                <w:szCs w:val="21"/>
              </w:rPr>
              <w:t>6</w:t>
            </w:r>
          </w:p>
        </w:tc>
        <w:tc>
          <w:tcPr>
            <w:tcW w:w="1985" w:type="dxa"/>
            <w:noWrap/>
            <w:vAlign w:val="center"/>
          </w:tcPr>
          <w:p w:rsidR="007F7703" w:rsidRPr="00FC1444" w:rsidRDefault="007F7703" w:rsidP="003870EF">
            <w:pPr>
              <w:widowControl/>
              <w:jc w:val="center"/>
              <w:textAlignment w:val="center"/>
              <w:rPr>
                <w:rFonts w:eastAsiaTheme="minorEastAsia"/>
                <w:szCs w:val="21"/>
              </w:rPr>
            </w:pPr>
            <w:r w:rsidRPr="00FC1444">
              <w:rPr>
                <w:rFonts w:eastAsiaTheme="minorEastAsia" w:hint="eastAsia"/>
                <w:szCs w:val="21"/>
              </w:rPr>
              <w:t>农村道路</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0.35 </w:t>
            </w:r>
          </w:p>
        </w:tc>
        <w:tc>
          <w:tcPr>
            <w:tcW w:w="1895" w:type="dxa"/>
            <w:vAlign w:val="center"/>
          </w:tcPr>
          <w:p w:rsidR="007F7703" w:rsidRPr="00FC1444" w:rsidRDefault="007F7703">
            <w:pPr>
              <w:jc w:val="center"/>
              <w:rPr>
                <w:color w:val="000000"/>
                <w:szCs w:val="21"/>
              </w:rPr>
            </w:pPr>
            <w:r w:rsidRPr="00FC1444">
              <w:rPr>
                <w:color w:val="000000"/>
                <w:szCs w:val="21"/>
              </w:rPr>
              <w:t>0.35</w:t>
            </w:r>
          </w:p>
        </w:tc>
      </w:tr>
      <w:tr w:rsidR="007F7703" w:rsidRPr="00FC1444" w:rsidTr="008F5BFF">
        <w:trPr>
          <w:trHeight w:val="208"/>
          <w:jc w:val="center"/>
        </w:trPr>
        <w:tc>
          <w:tcPr>
            <w:tcW w:w="807" w:type="dxa"/>
            <w:vMerge/>
            <w:noWrap/>
            <w:vAlign w:val="center"/>
          </w:tcPr>
          <w:p w:rsidR="007F7703" w:rsidRPr="00FC1444" w:rsidRDefault="007F7703" w:rsidP="00CA6CBF">
            <w:pPr>
              <w:widowControl/>
              <w:jc w:val="center"/>
              <w:textAlignment w:val="center"/>
              <w:rPr>
                <w:rFonts w:eastAsiaTheme="minorEastAsia"/>
                <w:kern w:val="0"/>
                <w:szCs w:val="21"/>
              </w:rPr>
            </w:pPr>
          </w:p>
        </w:tc>
        <w:tc>
          <w:tcPr>
            <w:tcW w:w="1461" w:type="dxa"/>
            <w:vMerge/>
            <w:noWrap/>
            <w:vAlign w:val="center"/>
          </w:tcPr>
          <w:p w:rsidR="007F7703" w:rsidRPr="00FC1444" w:rsidRDefault="007F7703" w:rsidP="00CA6CBF">
            <w:pPr>
              <w:widowControl/>
              <w:jc w:val="center"/>
              <w:textAlignment w:val="center"/>
              <w:rPr>
                <w:rFonts w:eastAsiaTheme="minorEastAsia"/>
                <w:kern w:val="0"/>
                <w:szCs w:val="21"/>
              </w:rPr>
            </w:pP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100</w:t>
            </w:r>
            <w:r w:rsidRPr="00FC1444">
              <w:rPr>
                <w:rFonts w:eastAsiaTheme="minorEastAsia" w:hint="eastAsia"/>
                <w:kern w:val="0"/>
                <w:szCs w:val="21"/>
              </w:rPr>
              <w:t>1</w:t>
            </w:r>
          </w:p>
        </w:tc>
        <w:tc>
          <w:tcPr>
            <w:tcW w:w="1985" w:type="dxa"/>
            <w:noWrap/>
            <w:vAlign w:val="center"/>
          </w:tcPr>
          <w:p w:rsidR="007F7703" w:rsidRPr="00FC1444" w:rsidRDefault="007F7703" w:rsidP="003870EF">
            <w:pPr>
              <w:widowControl/>
              <w:jc w:val="center"/>
              <w:textAlignment w:val="center"/>
              <w:rPr>
                <w:rFonts w:eastAsiaTheme="minorEastAsia"/>
                <w:szCs w:val="21"/>
              </w:rPr>
            </w:pPr>
            <w:r w:rsidRPr="00FC1444">
              <w:rPr>
                <w:rFonts w:eastAsiaTheme="minorEastAsia" w:hint="eastAsia"/>
                <w:szCs w:val="21"/>
              </w:rPr>
              <w:t>铁路用地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0.03 </w:t>
            </w:r>
          </w:p>
        </w:tc>
        <w:tc>
          <w:tcPr>
            <w:tcW w:w="1895" w:type="dxa"/>
            <w:vAlign w:val="center"/>
          </w:tcPr>
          <w:p w:rsidR="007F7703" w:rsidRPr="00FC1444" w:rsidRDefault="007F7703">
            <w:pPr>
              <w:jc w:val="center"/>
              <w:rPr>
                <w:color w:val="000000"/>
                <w:szCs w:val="21"/>
              </w:rPr>
            </w:pPr>
            <w:r w:rsidRPr="00FC1444">
              <w:rPr>
                <w:color w:val="000000"/>
                <w:szCs w:val="21"/>
              </w:rPr>
              <w:t>0.03</w:t>
            </w:r>
          </w:p>
        </w:tc>
      </w:tr>
      <w:tr w:rsidR="007F7703" w:rsidRPr="00FC1444" w:rsidTr="008F5BFF">
        <w:trPr>
          <w:trHeight w:val="208"/>
          <w:jc w:val="center"/>
        </w:trPr>
        <w:tc>
          <w:tcPr>
            <w:tcW w:w="807" w:type="dxa"/>
            <w:vMerge w:val="restart"/>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11</w:t>
            </w:r>
          </w:p>
        </w:tc>
        <w:tc>
          <w:tcPr>
            <w:tcW w:w="1461" w:type="dxa"/>
            <w:vMerge w:val="restart"/>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水域及水利设施用地</w:t>
            </w: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1104A</w:t>
            </w:r>
          </w:p>
        </w:tc>
        <w:tc>
          <w:tcPr>
            <w:tcW w:w="1985" w:type="dxa"/>
            <w:noWrap/>
            <w:vAlign w:val="center"/>
          </w:tcPr>
          <w:p w:rsidR="007F7703" w:rsidRPr="00FC1444" w:rsidRDefault="007F7703" w:rsidP="003870EF">
            <w:pPr>
              <w:widowControl/>
              <w:jc w:val="center"/>
              <w:textAlignment w:val="center"/>
              <w:rPr>
                <w:rFonts w:eastAsiaTheme="minorEastAsia"/>
                <w:szCs w:val="21"/>
              </w:rPr>
            </w:pPr>
            <w:r w:rsidRPr="00FC1444">
              <w:rPr>
                <w:rFonts w:eastAsiaTheme="minorEastAsia" w:hint="eastAsia"/>
                <w:szCs w:val="21"/>
              </w:rPr>
              <w:t>养殖坑塘</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0.002 </w:t>
            </w:r>
          </w:p>
        </w:tc>
        <w:tc>
          <w:tcPr>
            <w:tcW w:w="1895" w:type="dxa"/>
            <w:vAlign w:val="center"/>
          </w:tcPr>
          <w:p w:rsidR="007F7703" w:rsidRPr="00FC1444" w:rsidRDefault="007F7703">
            <w:pPr>
              <w:jc w:val="center"/>
              <w:rPr>
                <w:color w:val="000000"/>
                <w:szCs w:val="21"/>
              </w:rPr>
            </w:pPr>
            <w:r w:rsidRPr="00FC1444">
              <w:rPr>
                <w:color w:val="000000"/>
                <w:szCs w:val="21"/>
              </w:rPr>
              <w:t>0.002</w:t>
            </w:r>
          </w:p>
        </w:tc>
      </w:tr>
      <w:tr w:rsidR="007F7703" w:rsidRPr="00FC1444" w:rsidTr="008F5BFF">
        <w:trPr>
          <w:trHeight w:val="208"/>
          <w:jc w:val="center"/>
        </w:trPr>
        <w:tc>
          <w:tcPr>
            <w:tcW w:w="807" w:type="dxa"/>
            <w:vMerge/>
            <w:noWrap/>
            <w:vAlign w:val="center"/>
          </w:tcPr>
          <w:p w:rsidR="007F7703" w:rsidRPr="00FC1444" w:rsidRDefault="007F7703" w:rsidP="00CA6CBF">
            <w:pPr>
              <w:widowControl/>
              <w:jc w:val="center"/>
              <w:textAlignment w:val="center"/>
              <w:rPr>
                <w:rFonts w:eastAsiaTheme="minorEastAsia"/>
                <w:kern w:val="0"/>
                <w:szCs w:val="21"/>
              </w:rPr>
            </w:pPr>
          </w:p>
        </w:tc>
        <w:tc>
          <w:tcPr>
            <w:tcW w:w="1461" w:type="dxa"/>
            <w:vMerge/>
            <w:noWrap/>
            <w:vAlign w:val="center"/>
          </w:tcPr>
          <w:p w:rsidR="007F7703" w:rsidRPr="00FC1444" w:rsidRDefault="007F7703" w:rsidP="00CA6CBF">
            <w:pPr>
              <w:widowControl/>
              <w:jc w:val="center"/>
              <w:textAlignment w:val="center"/>
              <w:rPr>
                <w:rFonts w:eastAsiaTheme="minorEastAsia"/>
                <w:kern w:val="0"/>
                <w:szCs w:val="21"/>
              </w:rPr>
            </w:pP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1104</w:t>
            </w:r>
          </w:p>
        </w:tc>
        <w:tc>
          <w:tcPr>
            <w:tcW w:w="1985" w:type="dxa"/>
            <w:noWrap/>
            <w:vAlign w:val="center"/>
          </w:tcPr>
          <w:p w:rsidR="007F7703" w:rsidRPr="00FC1444" w:rsidRDefault="007F7703" w:rsidP="003870EF">
            <w:pPr>
              <w:widowControl/>
              <w:jc w:val="center"/>
              <w:textAlignment w:val="center"/>
              <w:rPr>
                <w:rFonts w:eastAsiaTheme="minorEastAsia"/>
                <w:szCs w:val="21"/>
              </w:rPr>
            </w:pPr>
            <w:r w:rsidRPr="00FC1444">
              <w:rPr>
                <w:rFonts w:eastAsiaTheme="minorEastAsia" w:hint="eastAsia"/>
                <w:szCs w:val="21"/>
              </w:rPr>
              <w:t>坑塘水面</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0.07 </w:t>
            </w:r>
          </w:p>
        </w:tc>
        <w:tc>
          <w:tcPr>
            <w:tcW w:w="1895" w:type="dxa"/>
            <w:vAlign w:val="center"/>
          </w:tcPr>
          <w:p w:rsidR="007F7703" w:rsidRPr="00FC1444" w:rsidRDefault="007F7703">
            <w:pPr>
              <w:jc w:val="center"/>
              <w:rPr>
                <w:color w:val="000000"/>
                <w:szCs w:val="21"/>
              </w:rPr>
            </w:pPr>
            <w:r w:rsidRPr="00FC1444">
              <w:rPr>
                <w:color w:val="000000"/>
                <w:szCs w:val="21"/>
              </w:rPr>
              <w:t>0.067</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hint="eastAsia"/>
                <w:szCs w:val="21"/>
              </w:rPr>
              <w:t>1107</w:t>
            </w:r>
          </w:p>
        </w:tc>
        <w:tc>
          <w:tcPr>
            <w:tcW w:w="1985" w:type="dxa"/>
            <w:noWrap/>
            <w:vAlign w:val="center"/>
          </w:tcPr>
          <w:p w:rsidR="007F7703" w:rsidRPr="00FC1444" w:rsidRDefault="007F7703" w:rsidP="003870EF">
            <w:pPr>
              <w:widowControl/>
              <w:jc w:val="center"/>
              <w:textAlignment w:val="center"/>
              <w:rPr>
                <w:rFonts w:eastAsiaTheme="minorEastAsia"/>
                <w:szCs w:val="21"/>
              </w:rPr>
            </w:pPr>
            <w:r w:rsidRPr="00FC1444">
              <w:rPr>
                <w:rFonts w:eastAsiaTheme="minorEastAsia" w:hint="eastAsia"/>
                <w:szCs w:val="21"/>
              </w:rPr>
              <w:t>沟渠</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0.18 </w:t>
            </w:r>
          </w:p>
        </w:tc>
        <w:tc>
          <w:tcPr>
            <w:tcW w:w="1895" w:type="dxa"/>
            <w:vAlign w:val="center"/>
          </w:tcPr>
          <w:p w:rsidR="007F7703" w:rsidRPr="00FC1444" w:rsidRDefault="007F7703">
            <w:pPr>
              <w:jc w:val="center"/>
              <w:rPr>
                <w:color w:val="000000"/>
                <w:szCs w:val="21"/>
              </w:rPr>
            </w:pPr>
            <w:r w:rsidRPr="00FC1444">
              <w:rPr>
                <w:color w:val="000000"/>
                <w:szCs w:val="21"/>
              </w:rPr>
              <w:t>0.18</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szCs w:val="21"/>
              </w:rPr>
            </w:pPr>
            <w:r w:rsidRPr="00FC1444">
              <w:rPr>
                <w:rFonts w:eastAsiaTheme="minorEastAsia"/>
                <w:kern w:val="0"/>
                <w:szCs w:val="21"/>
              </w:rPr>
              <w:t>110</w:t>
            </w:r>
            <w:r w:rsidRPr="00FC1444">
              <w:rPr>
                <w:rFonts w:eastAsiaTheme="minorEastAsia" w:hint="eastAsia"/>
                <w:kern w:val="0"/>
                <w:szCs w:val="21"/>
              </w:rPr>
              <w:t>9</w:t>
            </w:r>
          </w:p>
        </w:tc>
        <w:tc>
          <w:tcPr>
            <w:tcW w:w="1985" w:type="dxa"/>
            <w:noWrap/>
            <w:vAlign w:val="center"/>
          </w:tcPr>
          <w:p w:rsidR="007F7703" w:rsidRPr="00FC1444" w:rsidRDefault="007F7703" w:rsidP="003870EF">
            <w:pPr>
              <w:widowControl/>
              <w:jc w:val="center"/>
              <w:textAlignment w:val="center"/>
              <w:rPr>
                <w:rFonts w:eastAsiaTheme="minorEastAsia"/>
                <w:szCs w:val="21"/>
              </w:rPr>
            </w:pPr>
            <w:r w:rsidRPr="00FC1444">
              <w:rPr>
                <w:rFonts w:eastAsiaTheme="minorEastAsia" w:hint="eastAsia"/>
                <w:szCs w:val="21"/>
              </w:rPr>
              <w:t>水工建筑用地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0.02 </w:t>
            </w:r>
          </w:p>
        </w:tc>
        <w:tc>
          <w:tcPr>
            <w:tcW w:w="1895" w:type="dxa"/>
            <w:vAlign w:val="center"/>
          </w:tcPr>
          <w:p w:rsidR="007F7703" w:rsidRPr="00FC1444" w:rsidRDefault="007F7703">
            <w:pPr>
              <w:jc w:val="center"/>
              <w:rPr>
                <w:color w:val="000000"/>
                <w:szCs w:val="21"/>
              </w:rPr>
            </w:pPr>
            <w:r w:rsidRPr="00FC1444">
              <w:rPr>
                <w:color w:val="000000"/>
                <w:szCs w:val="21"/>
              </w:rPr>
              <w:t>0.0205</w:t>
            </w:r>
          </w:p>
        </w:tc>
      </w:tr>
      <w:tr w:rsidR="007F7703" w:rsidRPr="00FC1444" w:rsidTr="008F5BFF">
        <w:trPr>
          <w:trHeight w:val="208"/>
          <w:jc w:val="center"/>
        </w:trPr>
        <w:tc>
          <w:tcPr>
            <w:tcW w:w="807" w:type="dxa"/>
            <w:vMerge w:val="restart"/>
            <w:noWrap/>
            <w:vAlign w:val="center"/>
          </w:tcPr>
          <w:p w:rsidR="007F7703" w:rsidRPr="00FC1444" w:rsidRDefault="007F7703" w:rsidP="00CA6CBF">
            <w:pPr>
              <w:jc w:val="center"/>
              <w:textAlignment w:val="center"/>
              <w:rPr>
                <w:rFonts w:eastAsiaTheme="minorEastAsia"/>
                <w:kern w:val="0"/>
                <w:szCs w:val="21"/>
              </w:rPr>
            </w:pPr>
            <w:r w:rsidRPr="00FC1444">
              <w:rPr>
                <w:rFonts w:eastAsiaTheme="minorEastAsia"/>
                <w:kern w:val="0"/>
                <w:szCs w:val="21"/>
              </w:rPr>
              <w:t>12</w:t>
            </w:r>
          </w:p>
        </w:tc>
        <w:tc>
          <w:tcPr>
            <w:tcW w:w="1461" w:type="dxa"/>
            <w:vMerge w:val="restart"/>
            <w:noWrap/>
            <w:vAlign w:val="center"/>
          </w:tcPr>
          <w:p w:rsidR="007F7703" w:rsidRPr="00FC1444" w:rsidRDefault="007F7703" w:rsidP="00CA6CBF">
            <w:pPr>
              <w:jc w:val="center"/>
              <w:textAlignment w:val="center"/>
              <w:rPr>
                <w:rFonts w:eastAsiaTheme="minorEastAsia"/>
                <w:kern w:val="0"/>
                <w:szCs w:val="21"/>
              </w:rPr>
            </w:pPr>
            <w:r w:rsidRPr="00FC1444">
              <w:rPr>
                <w:rFonts w:eastAsiaTheme="minorEastAsia"/>
                <w:kern w:val="0"/>
                <w:szCs w:val="21"/>
              </w:rPr>
              <w:t>其他土地</w:t>
            </w: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1201</w:t>
            </w:r>
          </w:p>
        </w:tc>
        <w:tc>
          <w:tcPr>
            <w:tcW w:w="1985"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空闲地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0.001 </w:t>
            </w:r>
          </w:p>
        </w:tc>
        <w:tc>
          <w:tcPr>
            <w:tcW w:w="1895" w:type="dxa"/>
            <w:vAlign w:val="center"/>
          </w:tcPr>
          <w:p w:rsidR="007F7703" w:rsidRPr="00FC1444" w:rsidRDefault="007F7703">
            <w:pPr>
              <w:jc w:val="center"/>
              <w:rPr>
                <w:color w:val="000000"/>
                <w:szCs w:val="21"/>
              </w:rPr>
            </w:pPr>
            <w:r w:rsidRPr="00FC1444">
              <w:rPr>
                <w:color w:val="000000"/>
                <w:szCs w:val="21"/>
              </w:rPr>
              <w:t>0.001</w:t>
            </w:r>
          </w:p>
        </w:tc>
      </w:tr>
      <w:tr w:rsidR="007F7703" w:rsidRPr="00FC1444" w:rsidTr="008F5BFF">
        <w:trPr>
          <w:trHeight w:val="208"/>
          <w:jc w:val="center"/>
        </w:trPr>
        <w:tc>
          <w:tcPr>
            <w:tcW w:w="807" w:type="dxa"/>
            <w:vMerge/>
            <w:noWrap/>
            <w:vAlign w:val="center"/>
          </w:tcPr>
          <w:p w:rsidR="007F7703" w:rsidRPr="00FC1444" w:rsidRDefault="007F7703" w:rsidP="00CA6CBF">
            <w:pPr>
              <w:widowControl/>
              <w:jc w:val="center"/>
              <w:textAlignment w:val="center"/>
              <w:rPr>
                <w:rFonts w:eastAsiaTheme="minorEastAsia"/>
                <w:szCs w:val="21"/>
              </w:rPr>
            </w:pPr>
          </w:p>
        </w:tc>
        <w:tc>
          <w:tcPr>
            <w:tcW w:w="1461" w:type="dxa"/>
            <w:vMerge/>
            <w:noWrap/>
            <w:vAlign w:val="center"/>
          </w:tcPr>
          <w:p w:rsidR="007F7703" w:rsidRPr="00FC1444" w:rsidRDefault="007F7703" w:rsidP="00CA6CBF">
            <w:pPr>
              <w:widowControl/>
              <w:jc w:val="center"/>
              <w:textAlignment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1202</w:t>
            </w:r>
          </w:p>
        </w:tc>
        <w:tc>
          <w:tcPr>
            <w:tcW w:w="1985"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设施农用地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0.02 </w:t>
            </w:r>
          </w:p>
        </w:tc>
        <w:tc>
          <w:tcPr>
            <w:tcW w:w="1895" w:type="dxa"/>
            <w:vAlign w:val="center"/>
          </w:tcPr>
          <w:p w:rsidR="007F7703" w:rsidRPr="00FC1444" w:rsidRDefault="007F7703">
            <w:pPr>
              <w:jc w:val="center"/>
              <w:rPr>
                <w:color w:val="000000"/>
                <w:szCs w:val="21"/>
              </w:rPr>
            </w:pPr>
            <w:r w:rsidRPr="00FC1444">
              <w:rPr>
                <w:color w:val="000000"/>
                <w:szCs w:val="21"/>
              </w:rPr>
              <w:t>0.02</w:t>
            </w:r>
          </w:p>
        </w:tc>
      </w:tr>
      <w:tr w:rsidR="007F7703" w:rsidRPr="00FC1444" w:rsidTr="008F5BFF">
        <w:trPr>
          <w:trHeight w:val="208"/>
          <w:jc w:val="center"/>
        </w:trPr>
        <w:tc>
          <w:tcPr>
            <w:tcW w:w="807" w:type="dxa"/>
            <w:vMerge/>
            <w:noWrap/>
            <w:vAlign w:val="center"/>
          </w:tcPr>
          <w:p w:rsidR="007F7703" w:rsidRPr="00FC1444" w:rsidRDefault="007F7703" w:rsidP="00CA6CBF">
            <w:pPr>
              <w:jc w:val="center"/>
              <w:rPr>
                <w:rFonts w:eastAsiaTheme="minorEastAsia"/>
                <w:szCs w:val="21"/>
              </w:rPr>
            </w:pPr>
          </w:p>
        </w:tc>
        <w:tc>
          <w:tcPr>
            <w:tcW w:w="1461" w:type="dxa"/>
            <w:vMerge/>
            <w:noWrap/>
            <w:vAlign w:val="center"/>
          </w:tcPr>
          <w:p w:rsidR="007F7703" w:rsidRPr="00FC1444" w:rsidRDefault="007F7703" w:rsidP="00CA6CBF">
            <w:pPr>
              <w:jc w:val="center"/>
              <w:rPr>
                <w:rFonts w:eastAsiaTheme="minorEastAsia"/>
                <w:szCs w:val="21"/>
              </w:rPr>
            </w:pPr>
          </w:p>
        </w:tc>
        <w:tc>
          <w:tcPr>
            <w:tcW w:w="949"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1206</w:t>
            </w:r>
          </w:p>
        </w:tc>
        <w:tc>
          <w:tcPr>
            <w:tcW w:w="1985" w:type="dxa"/>
            <w:noWrap/>
            <w:vAlign w:val="center"/>
          </w:tcPr>
          <w:p w:rsidR="007F7703" w:rsidRPr="00FC1444" w:rsidRDefault="007F7703" w:rsidP="00CA6CBF">
            <w:pPr>
              <w:widowControl/>
              <w:jc w:val="center"/>
              <w:textAlignment w:val="center"/>
              <w:rPr>
                <w:rFonts w:eastAsiaTheme="minorEastAsia"/>
                <w:kern w:val="0"/>
                <w:szCs w:val="21"/>
              </w:rPr>
            </w:pPr>
            <w:r w:rsidRPr="00FC1444">
              <w:rPr>
                <w:rFonts w:eastAsiaTheme="minorEastAsia"/>
                <w:kern w:val="0"/>
                <w:szCs w:val="21"/>
              </w:rPr>
              <w:t>裸土地</w:t>
            </w:r>
          </w:p>
        </w:tc>
        <w:tc>
          <w:tcPr>
            <w:tcW w:w="1688" w:type="dxa"/>
            <w:noWrap/>
            <w:vAlign w:val="center"/>
          </w:tcPr>
          <w:p w:rsidR="007F7703" w:rsidRPr="00FC1444" w:rsidRDefault="007F7703" w:rsidP="00A32327">
            <w:pPr>
              <w:widowControl/>
              <w:jc w:val="center"/>
              <w:textAlignment w:val="center"/>
              <w:rPr>
                <w:rFonts w:eastAsia="仿宋"/>
                <w:szCs w:val="21"/>
              </w:rPr>
            </w:pPr>
            <w:r w:rsidRPr="00FC1444">
              <w:rPr>
                <w:rFonts w:eastAsia="仿宋" w:hint="eastAsia"/>
                <w:szCs w:val="21"/>
              </w:rPr>
              <w:t xml:space="preserve">0.001 </w:t>
            </w:r>
          </w:p>
        </w:tc>
        <w:tc>
          <w:tcPr>
            <w:tcW w:w="1895" w:type="dxa"/>
            <w:vAlign w:val="center"/>
          </w:tcPr>
          <w:p w:rsidR="007F7703" w:rsidRPr="00FC1444" w:rsidRDefault="007F7703">
            <w:pPr>
              <w:jc w:val="center"/>
              <w:rPr>
                <w:color w:val="000000"/>
                <w:szCs w:val="21"/>
              </w:rPr>
            </w:pPr>
            <w:r w:rsidRPr="00FC1444">
              <w:rPr>
                <w:color w:val="000000"/>
                <w:szCs w:val="21"/>
              </w:rPr>
              <w:t>0.001</w:t>
            </w:r>
          </w:p>
        </w:tc>
      </w:tr>
      <w:tr w:rsidR="00DA7B90" w:rsidRPr="00FC1444" w:rsidTr="00CA6CBF">
        <w:trPr>
          <w:trHeight w:val="208"/>
          <w:jc w:val="center"/>
        </w:trPr>
        <w:tc>
          <w:tcPr>
            <w:tcW w:w="2268" w:type="dxa"/>
            <w:gridSpan w:val="2"/>
            <w:noWrap/>
            <w:vAlign w:val="center"/>
          </w:tcPr>
          <w:p w:rsidR="00DA7B90" w:rsidRPr="00FC1444" w:rsidRDefault="00DA7B90" w:rsidP="00CA6CBF">
            <w:pPr>
              <w:jc w:val="center"/>
              <w:rPr>
                <w:rFonts w:eastAsiaTheme="minorEastAsia"/>
                <w:kern w:val="0"/>
                <w:szCs w:val="21"/>
              </w:rPr>
            </w:pPr>
            <w:r w:rsidRPr="00FC1444">
              <w:rPr>
                <w:rFonts w:eastAsiaTheme="minorEastAsia"/>
                <w:kern w:val="0"/>
                <w:szCs w:val="21"/>
              </w:rPr>
              <w:t>合计</w:t>
            </w:r>
          </w:p>
        </w:tc>
        <w:tc>
          <w:tcPr>
            <w:tcW w:w="949" w:type="dxa"/>
            <w:noWrap/>
            <w:vAlign w:val="center"/>
          </w:tcPr>
          <w:p w:rsidR="00DA7B90" w:rsidRPr="00FC1444" w:rsidRDefault="00DA7B90" w:rsidP="00CA6CBF">
            <w:pPr>
              <w:jc w:val="center"/>
              <w:rPr>
                <w:rFonts w:eastAsiaTheme="minorEastAsia"/>
                <w:kern w:val="0"/>
                <w:szCs w:val="21"/>
              </w:rPr>
            </w:pPr>
            <w:r w:rsidRPr="00FC1444">
              <w:rPr>
                <w:rFonts w:eastAsiaTheme="minorEastAsia"/>
                <w:kern w:val="0"/>
                <w:szCs w:val="21"/>
              </w:rPr>
              <w:t>/</w:t>
            </w:r>
          </w:p>
        </w:tc>
        <w:tc>
          <w:tcPr>
            <w:tcW w:w="1985" w:type="dxa"/>
            <w:noWrap/>
            <w:vAlign w:val="center"/>
          </w:tcPr>
          <w:p w:rsidR="00DA7B90" w:rsidRPr="00FC1444" w:rsidRDefault="00DA7B90" w:rsidP="00CA6CBF">
            <w:pPr>
              <w:jc w:val="center"/>
              <w:rPr>
                <w:rFonts w:eastAsiaTheme="minorEastAsia"/>
                <w:szCs w:val="21"/>
              </w:rPr>
            </w:pPr>
            <w:r w:rsidRPr="00FC1444">
              <w:rPr>
                <w:rFonts w:eastAsiaTheme="minorEastAsia"/>
                <w:kern w:val="0"/>
                <w:szCs w:val="21"/>
              </w:rPr>
              <w:t>/</w:t>
            </w:r>
          </w:p>
        </w:tc>
        <w:tc>
          <w:tcPr>
            <w:tcW w:w="1688" w:type="dxa"/>
            <w:noWrap/>
            <w:vAlign w:val="center"/>
          </w:tcPr>
          <w:p w:rsidR="00DA7B90" w:rsidRPr="00FC1444" w:rsidRDefault="0030734A" w:rsidP="004031CB">
            <w:pPr>
              <w:jc w:val="center"/>
              <w:rPr>
                <w:rFonts w:eastAsiaTheme="minorEastAsia"/>
                <w:szCs w:val="21"/>
              </w:rPr>
            </w:pPr>
            <w:r w:rsidRPr="00FC1444">
              <w:rPr>
                <w:rFonts w:eastAsiaTheme="minorEastAsia" w:hint="eastAsia"/>
                <w:szCs w:val="21"/>
              </w:rPr>
              <w:t>23.39</w:t>
            </w:r>
          </w:p>
        </w:tc>
        <w:tc>
          <w:tcPr>
            <w:tcW w:w="1895" w:type="dxa"/>
            <w:vAlign w:val="center"/>
          </w:tcPr>
          <w:p w:rsidR="00DA7B90" w:rsidRPr="00FC1444" w:rsidRDefault="0030734A" w:rsidP="004031CB">
            <w:pPr>
              <w:jc w:val="center"/>
              <w:rPr>
                <w:rFonts w:eastAsiaTheme="minorEastAsia"/>
                <w:szCs w:val="21"/>
              </w:rPr>
            </w:pPr>
            <w:r w:rsidRPr="00FC1444">
              <w:rPr>
                <w:rFonts w:eastAsiaTheme="minorEastAsia" w:hint="eastAsia"/>
                <w:szCs w:val="21"/>
              </w:rPr>
              <w:t>23.39</w:t>
            </w:r>
          </w:p>
        </w:tc>
      </w:tr>
    </w:tbl>
    <w:p w:rsidR="002A5A5E" w:rsidRPr="00FC1444" w:rsidRDefault="009840DD">
      <w:pPr>
        <w:pStyle w:val="2fa"/>
        <w:ind w:firstLine="480"/>
        <w:contextualSpacing/>
        <w:rPr>
          <w:rFonts w:ascii="Times New Roman" w:hAnsi="Times New Roman" w:cs="Times New Roman"/>
          <w:szCs w:val="24"/>
          <w:lang w:bidi="en-US"/>
        </w:rPr>
      </w:pPr>
      <w:r w:rsidRPr="00FC1444">
        <w:rPr>
          <w:rFonts w:ascii="Times New Roman" w:hAnsi="Times New Roman" w:cs="Times New Roman"/>
          <w:szCs w:val="24"/>
          <w:lang w:bidi="en-US"/>
        </w:rPr>
        <w:fldChar w:fldCharType="begin"/>
      </w:r>
      <w:r w:rsidR="00250C31" w:rsidRPr="00FC1444">
        <w:rPr>
          <w:rFonts w:ascii="Times New Roman" w:hAnsi="Times New Roman" w:cs="Times New Roman"/>
          <w:szCs w:val="24"/>
          <w:lang w:bidi="en-US"/>
        </w:rPr>
        <w:instrText xml:space="preserve"> = 2 \* GB3 </w:instrText>
      </w:r>
      <w:r w:rsidRPr="00FC1444">
        <w:rPr>
          <w:rFonts w:ascii="Times New Roman" w:hAnsi="Times New Roman" w:cs="Times New Roman"/>
          <w:szCs w:val="24"/>
          <w:lang w:bidi="en-US"/>
        </w:rPr>
        <w:fldChar w:fldCharType="separate"/>
      </w:r>
      <w:r w:rsidR="00250C31" w:rsidRPr="00FC1444">
        <w:rPr>
          <w:rFonts w:eastAsia="宋体" w:cs="宋体" w:hint="eastAsia"/>
          <w:noProof/>
          <w:szCs w:val="24"/>
          <w:lang w:bidi="en-US"/>
        </w:rPr>
        <w:t>②</w:t>
      </w:r>
      <w:r w:rsidRPr="00FC1444">
        <w:rPr>
          <w:rFonts w:ascii="Times New Roman" w:hAnsi="Times New Roman" w:cs="Times New Roman"/>
          <w:szCs w:val="24"/>
          <w:lang w:bidi="en-US"/>
        </w:rPr>
        <w:fldChar w:fldCharType="end"/>
      </w:r>
      <w:r w:rsidR="00611CBA" w:rsidRPr="00FC1444">
        <w:rPr>
          <w:rFonts w:ascii="Times New Roman" w:hAnsi="Times New Roman" w:cs="Times New Roman"/>
          <w:szCs w:val="24"/>
          <w:lang w:bidi="en-US"/>
        </w:rPr>
        <w:t>农田</w:t>
      </w:r>
    </w:p>
    <w:p w:rsidR="002A5A5E" w:rsidRPr="00FC1444" w:rsidRDefault="00611CBA">
      <w:pPr>
        <w:pStyle w:val="2fa"/>
        <w:ind w:firstLine="480"/>
        <w:contextualSpacing/>
        <w:rPr>
          <w:rFonts w:ascii="Times New Roman" w:hAnsi="Times New Roman" w:cs="Times New Roman"/>
          <w:szCs w:val="24"/>
          <w:lang w:bidi="en-US"/>
        </w:rPr>
      </w:pPr>
      <w:r w:rsidRPr="00FC1444">
        <w:rPr>
          <w:rFonts w:ascii="Times New Roman" w:hAnsi="Times New Roman" w:cs="Times New Roman"/>
          <w:szCs w:val="24"/>
          <w:lang w:bidi="en-US"/>
        </w:rPr>
        <w:t>本项目涉及的耕地区块均属于典型农业生产区，各区块开发范围内分布有大面积的耕地，旱地农作物主要为玉米、大豆等，水田农作物主要为水稻。</w:t>
      </w:r>
      <w:r w:rsidRPr="00FC1444">
        <w:rPr>
          <w:rFonts w:ascii="Times New Roman" w:hAnsi="Times New Roman" w:cs="Times New Roman"/>
        </w:rPr>
        <w:t>兽类动物分布有褐家鼠</w:t>
      </w:r>
      <w:r w:rsidRPr="00FC1444">
        <w:rPr>
          <w:rFonts w:ascii="Times New Roman" w:hAnsi="Times New Roman" w:cs="Times New Roman"/>
          <w:smallCaps/>
          <w:szCs w:val="22"/>
        </w:rPr>
        <w:t>（</w:t>
      </w:r>
      <w:r w:rsidRPr="00FC1444">
        <w:rPr>
          <w:rFonts w:ascii="Times New Roman" w:hAnsi="Times New Roman" w:cs="Times New Roman"/>
          <w:i/>
          <w:smallCaps/>
          <w:szCs w:val="22"/>
        </w:rPr>
        <w:t>Rattus norvegicus</w:t>
      </w:r>
      <w:r w:rsidRPr="00FC1444">
        <w:rPr>
          <w:rFonts w:ascii="Times New Roman" w:hAnsi="Times New Roman" w:cs="Times New Roman"/>
          <w:smallCaps/>
          <w:szCs w:val="22"/>
        </w:rPr>
        <w:t>）、</w:t>
      </w:r>
      <w:r w:rsidRPr="00FC1444">
        <w:rPr>
          <w:rFonts w:ascii="Times New Roman" w:hAnsi="Times New Roman" w:cs="Times New Roman"/>
        </w:rPr>
        <w:t>黑线姬鼠（</w:t>
      </w:r>
      <w:r w:rsidRPr="00FC1444">
        <w:rPr>
          <w:rFonts w:ascii="Times New Roman" w:hAnsi="Times New Roman" w:cs="Times New Roman"/>
          <w:i/>
        </w:rPr>
        <w:t>Apodemus agrarius</w:t>
      </w:r>
      <w:r w:rsidRPr="00FC1444">
        <w:rPr>
          <w:rFonts w:ascii="Times New Roman" w:hAnsi="Times New Roman" w:cs="Times New Roman"/>
        </w:rPr>
        <w:t>）等，鸟类有麻雀（</w:t>
      </w:r>
      <w:r w:rsidRPr="00FC1444">
        <w:rPr>
          <w:rFonts w:ascii="Times New Roman" w:hAnsi="Times New Roman" w:cs="Times New Roman"/>
          <w:i/>
        </w:rPr>
        <w:t>Passer montanus</w:t>
      </w:r>
      <w:r w:rsidRPr="00FC1444">
        <w:rPr>
          <w:rFonts w:ascii="Times New Roman" w:hAnsi="Times New Roman" w:cs="Times New Roman"/>
        </w:rPr>
        <w:t>）和喜鹊</w:t>
      </w:r>
      <w:r w:rsidRPr="00FC1444">
        <w:rPr>
          <w:rFonts w:ascii="Times New Roman" w:hAnsi="Times New Roman" w:cs="Times New Roman"/>
          <w:szCs w:val="24"/>
          <w:lang w:bidi="en-US"/>
        </w:rPr>
        <w:t>（</w:t>
      </w:r>
      <w:r w:rsidRPr="00FC1444">
        <w:rPr>
          <w:rFonts w:ascii="Times New Roman" w:hAnsi="Times New Roman" w:cs="Times New Roman"/>
          <w:bCs/>
          <w:i/>
        </w:rPr>
        <w:t>Pica pica</w:t>
      </w:r>
      <w:r w:rsidRPr="00FC1444">
        <w:rPr>
          <w:rFonts w:ascii="Times New Roman" w:hAnsi="Times New Roman" w:cs="Times New Roman"/>
          <w:szCs w:val="24"/>
          <w:lang w:bidi="en-US"/>
        </w:rPr>
        <w:t>）</w:t>
      </w:r>
      <w:r w:rsidRPr="00FC1444">
        <w:rPr>
          <w:rFonts w:ascii="Times New Roman" w:hAnsi="Times New Roman" w:cs="Times New Roman"/>
        </w:rPr>
        <w:t>等伴人鸟类。</w:t>
      </w:r>
    </w:p>
    <w:p w:rsidR="002A5A5E" w:rsidRPr="00FC1444" w:rsidRDefault="00611CBA">
      <w:pPr>
        <w:pStyle w:val="2fa"/>
        <w:ind w:firstLine="480"/>
        <w:contextualSpacing/>
        <w:rPr>
          <w:rFonts w:ascii="Times New Roman" w:hAnsi="Times New Roman" w:cs="Times New Roman"/>
          <w:szCs w:val="24"/>
          <w:lang w:bidi="en-US"/>
        </w:rPr>
      </w:pPr>
      <w:r w:rsidRPr="00FC1444">
        <w:rPr>
          <w:rFonts w:ascii="Times New Roman" w:hAnsi="Times New Roman" w:cs="Times New Roman"/>
          <w:szCs w:val="24"/>
          <w:lang w:bidi="en-US"/>
        </w:rPr>
        <w:lastRenderedPageBreak/>
        <w:t>农田平均生物量估算为</w:t>
      </w:r>
      <w:r w:rsidRPr="00FC1444">
        <w:rPr>
          <w:rFonts w:ascii="Times New Roman" w:hAnsi="Times New Roman" w:cs="Times New Roman"/>
          <w:szCs w:val="24"/>
          <w:lang w:bidi="en-US"/>
        </w:rPr>
        <w:t>10.3t/hm</w:t>
      </w:r>
      <w:r w:rsidRPr="00FC1444">
        <w:rPr>
          <w:rFonts w:ascii="Times New Roman" w:hAnsi="Times New Roman" w:cs="Times New Roman"/>
          <w:szCs w:val="24"/>
          <w:vertAlign w:val="superscript"/>
          <w:lang w:bidi="en-US"/>
        </w:rPr>
        <w:t>2</w:t>
      </w:r>
      <w:r w:rsidRPr="00FC1444">
        <w:rPr>
          <w:rFonts w:ascii="Times New Roman" w:hAnsi="Times New Roman" w:cs="Times New Roman"/>
          <w:szCs w:val="24"/>
          <w:lang w:bidi="en-US"/>
        </w:rPr>
        <w:t>，评价范围内农田面积约为</w:t>
      </w:r>
      <w:r w:rsidR="00EF0505" w:rsidRPr="00FC1444">
        <w:rPr>
          <w:rFonts w:ascii="Times New Roman" w:hAnsi="Times New Roman" w:cs="Times New Roman"/>
          <w:bCs/>
          <w:szCs w:val="24"/>
          <w:lang w:bidi="en-US"/>
        </w:rPr>
        <w:t>33148</w:t>
      </w:r>
      <w:r w:rsidR="00EF0505" w:rsidRPr="00FC1444">
        <w:rPr>
          <w:rFonts w:ascii="Times New Roman" w:hAnsi="Times New Roman" w:cs="Times New Roman"/>
          <w:szCs w:val="24"/>
          <w:lang w:bidi="en-US"/>
        </w:rPr>
        <w:t>hm</w:t>
      </w:r>
      <w:r w:rsidR="00EF0505" w:rsidRPr="00FC1444">
        <w:rPr>
          <w:rFonts w:ascii="Times New Roman" w:hAnsi="Times New Roman" w:cs="Times New Roman"/>
          <w:szCs w:val="24"/>
          <w:vertAlign w:val="superscript"/>
          <w:lang w:bidi="en-US"/>
        </w:rPr>
        <w:t>2</w:t>
      </w:r>
      <w:r w:rsidRPr="00FC1444">
        <w:rPr>
          <w:rFonts w:ascii="Times New Roman" w:hAnsi="Times New Roman" w:cs="Times New Roman"/>
          <w:szCs w:val="24"/>
          <w:lang w:bidi="en-US"/>
        </w:rPr>
        <w:t>，故</w:t>
      </w:r>
      <w:r w:rsidRPr="00FC1444">
        <w:rPr>
          <w:rFonts w:ascii="Times New Roman" w:hAnsi="Times New Roman" w:cs="Times New Roman"/>
          <w:bCs/>
          <w:snapToGrid w:val="0"/>
          <w:kern w:val="0"/>
        </w:rPr>
        <w:t>调查范围内</w:t>
      </w:r>
      <w:r w:rsidRPr="00FC1444">
        <w:rPr>
          <w:rFonts w:ascii="Times New Roman" w:hAnsi="Times New Roman" w:cs="Times New Roman"/>
          <w:szCs w:val="24"/>
          <w:lang w:bidi="en-US"/>
        </w:rPr>
        <w:t>农田生物量约为</w:t>
      </w:r>
      <w:r w:rsidR="00EF0505" w:rsidRPr="00FC1444">
        <w:rPr>
          <w:rFonts w:ascii="Times New Roman" w:hAnsi="Times New Roman" w:cs="Times New Roman"/>
          <w:szCs w:val="24"/>
          <w:lang w:bidi="en-US"/>
        </w:rPr>
        <w:t>34.142</w:t>
      </w:r>
      <w:r w:rsidRPr="00FC1444">
        <w:rPr>
          <w:rFonts w:ascii="Times New Roman" w:hAnsi="Times New Roman" w:cs="Times New Roman"/>
          <w:szCs w:val="24"/>
          <w:lang w:bidi="en-US"/>
        </w:rPr>
        <w:t>万</w:t>
      </w:r>
      <w:r w:rsidRPr="00FC1444">
        <w:rPr>
          <w:rFonts w:ascii="Times New Roman" w:hAnsi="Times New Roman" w:cs="Times New Roman"/>
          <w:szCs w:val="24"/>
          <w:lang w:bidi="en-US"/>
        </w:rPr>
        <w:t>t/a</w:t>
      </w:r>
      <w:r w:rsidRPr="00FC1444">
        <w:rPr>
          <w:rFonts w:ascii="Times New Roman" w:hAnsi="Times New Roman" w:cs="Times New Roman"/>
          <w:szCs w:val="24"/>
          <w:lang w:bidi="en-US"/>
        </w:rPr>
        <w:t>。</w:t>
      </w:r>
    </w:p>
    <w:p w:rsidR="002A5A5E" w:rsidRPr="00FC1444" w:rsidRDefault="009840DD">
      <w:pPr>
        <w:pStyle w:val="2fa"/>
        <w:ind w:firstLine="480"/>
        <w:contextualSpacing/>
        <w:rPr>
          <w:rFonts w:ascii="Times New Roman" w:hAnsi="Times New Roman" w:cs="Times New Roman"/>
          <w:szCs w:val="24"/>
          <w:lang w:bidi="en-US"/>
        </w:rPr>
      </w:pPr>
      <w:r w:rsidRPr="00FC1444">
        <w:rPr>
          <w:rFonts w:ascii="Times New Roman" w:hAnsi="Times New Roman" w:cs="Times New Roman"/>
          <w:szCs w:val="24"/>
          <w:lang w:bidi="en-US"/>
        </w:rPr>
        <w:fldChar w:fldCharType="begin"/>
      </w:r>
      <w:r w:rsidR="00250C31" w:rsidRPr="00FC1444">
        <w:rPr>
          <w:rFonts w:ascii="Times New Roman" w:hAnsi="Times New Roman" w:cs="Times New Roman"/>
          <w:szCs w:val="24"/>
          <w:lang w:bidi="en-US"/>
        </w:rPr>
        <w:instrText xml:space="preserve"> = 3 \* GB3 </w:instrText>
      </w:r>
      <w:r w:rsidRPr="00FC1444">
        <w:rPr>
          <w:rFonts w:ascii="Times New Roman" w:hAnsi="Times New Roman" w:cs="Times New Roman"/>
          <w:szCs w:val="24"/>
          <w:lang w:bidi="en-US"/>
        </w:rPr>
        <w:fldChar w:fldCharType="separate"/>
      </w:r>
      <w:r w:rsidR="00250C31" w:rsidRPr="00FC1444">
        <w:rPr>
          <w:rFonts w:eastAsia="宋体" w:cs="宋体" w:hint="eastAsia"/>
          <w:noProof/>
          <w:szCs w:val="24"/>
          <w:lang w:bidi="en-US"/>
        </w:rPr>
        <w:t>③</w:t>
      </w:r>
      <w:r w:rsidRPr="00FC1444">
        <w:rPr>
          <w:rFonts w:ascii="Times New Roman" w:hAnsi="Times New Roman" w:cs="Times New Roman"/>
          <w:szCs w:val="24"/>
          <w:lang w:bidi="en-US"/>
        </w:rPr>
        <w:fldChar w:fldCharType="end"/>
      </w:r>
      <w:r w:rsidR="00611CBA" w:rsidRPr="00FC1444">
        <w:rPr>
          <w:rFonts w:ascii="Times New Roman" w:hAnsi="Times New Roman" w:cs="Times New Roman"/>
          <w:szCs w:val="24"/>
          <w:lang w:bidi="en-US"/>
        </w:rPr>
        <w:t>植被</w:t>
      </w:r>
    </w:p>
    <w:p w:rsidR="002A5A5E" w:rsidRPr="00FC1444" w:rsidRDefault="00611CBA">
      <w:pPr>
        <w:pStyle w:val="2fa"/>
        <w:ind w:firstLine="480"/>
        <w:contextualSpacing/>
        <w:rPr>
          <w:rFonts w:ascii="Times New Roman" w:hAnsi="Times New Roman" w:cs="Times New Roman"/>
          <w:lang w:bidi="en-US"/>
        </w:rPr>
      </w:pPr>
      <w:r w:rsidRPr="00FC1444">
        <w:rPr>
          <w:rFonts w:ascii="Times New Roman" w:hAnsi="Times New Roman" w:cs="Times New Roman"/>
          <w:szCs w:val="24"/>
          <w:lang w:bidi="en-US"/>
        </w:rPr>
        <w:t>根据植被类型图及实地调查，周围植被主要为农田植被及草甸植被。主要有玉米、水稻、大豆</w:t>
      </w:r>
      <w:r w:rsidR="008C3325" w:rsidRPr="00FC1444">
        <w:rPr>
          <w:rFonts w:ascii="Times New Roman" w:hAnsi="Times New Roman" w:cs="Times New Roman"/>
          <w:szCs w:val="24"/>
          <w:lang w:bidi="en-US"/>
        </w:rPr>
        <w:t>，</w:t>
      </w:r>
      <w:r w:rsidRPr="00FC1444">
        <w:rPr>
          <w:rFonts w:ascii="Times New Roman" w:hAnsi="Times New Roman" w:cs="Times New Roman"/>
          <w:smallCaps/>
          <w:szCs w:val="22"/>
        </w:rPr>
        <w:t>阔叶林有山杨林（</w:t>
      </w:r>
      <w:r w:rsidRPr="00FC1444">
        <w:rPr>
          <w:rFonts w:ascii="Times New Roman" w:hAnsi="Times New Roman" w:cs="Times New Roman"/>
          <w:i/>
          <w:iCs/>
          <w:smallCaps/>
          <w:szCs w:val="22"/>
        </w:rPr>
        <w:t>Populus davidiana</w:t>
      </w:r>
      <w:r w:rsidRPr="00FC1444">
        <w:rPr>
          <w:rFonts w:ascii="Times New Roman" w:hAnsi="Times New Roman" w:cs="Times New Roman"/>
          <w:smallCaps/>
          <w:szCs w:val="22"/>
        </w:rPr>
        <w:t>）、蒙古栎林（</w:t>
      </w:r>
      <w:r w:rsidRPr="00FC1444">
        <w:rPr>
          <w:rFonts w:ascii="Times New Roman" w:hAnsi="Times New Roman" w:cs="Times New Roman"/>
          <w:i/>
          <w:iCs/>
          <w:smallCaps/>
          <w:szCs w:val="22"/>
        </w:rPr>
        <w:t>Quercus mongolica</w:t>
      </w:r>
      <w:r w:rsidRPr="00FC1444">
        <w:rPr>
          <w:rFonts w:ascii="Times New Roman" w:hAnsi="Times New Roman" w:cs="Times New Roman"/>
          <w:smallCaps/>
          <w:szCs w:val="22"/>
        </w:rPr>
        <w:t>）；针叶林有人工落叶松等，</w:t>
      </w:r>
      <w:r w:rsidR="008C3325" w:rsidRPr="00FC1444">
        <w:rPr>
          <w:rFonts w:ascii="Times New Roman" w:hAnsi="Times New Roman" w:cs="Times New Roman"/>
        </w:rPr>
        <w:t>灌丛</w:t>
      </w:r>
      <w:r w:rsidR="008C3325" w:rsidRPr="00FC1444">
        <w:rPr>
          <w:rFonts w:ascii="Times New Roman" w:hAnsi="Times New Roman" w:cs="Times New Roman"/>
          <w:smallCaps/>
          <w:szCs w:val="22"/>
        </w:rPr>
        <w:t>蒿柳（</w:t>
      </w:r>
      <w:r w:rsidR="008C3325" w:rsidRPr="00FC1444">
        <w:rPr>
          <w:rFonts w:ascii="Times New Roman" w:hAnsi="Times New Roman" w:cs="Times New Roman"/>
          <w:i/>
          <w:smallCaps/>
          <w:szCs w:val="22"/>
        </w:rPr>
        <w:t>Salisviminalis</w:t>
      </w:r>
      <w:r w:rsidR="008C3325" w:rsidRPr="00FC1444">
        <w:rPr>
          <w:rFonts w:ascii="Times New Roman" w:hAnsi="Times New Roman" w:cs="Times New Roman"/>
          <w:smallCaps/>
          <w:szCs w:val="22"/>
        </w:rPr>
        <w:t>）</w:t>
      </w:r>
      <w:r w:rsidR="008C3325" w:rsidRPr="00FC1444">
        <w:rPr>
          <w:rFonts w:ascii="Times New Roman" w:hAnsi="Times New Roman" w:cs="Times New Roman"/>
        </w:rPr>
        <w:t>为优势种，常伴生的有三蕊柳（</w:t>
      </w:r>
      <w:r w:rsidR="008C3325" w:rsidRPr="00FC1444">
        <w:rPr>
          <w:rFonts w:ascii="Times New Roman" w:hAnsi="Times New Roman" w:cs="Times New Roman"/>
          <w:i/>
        </w:rPr>
        <w:t>Salixtrianda</w:t>
      </w:r>
      <w:r w:rsidR="008C3325" w:rsidRPr="00FC1444">
        <w:rPr>
          <w:rFonts w:ascii="Times New Roman" w:hAnsi="Times New Roman" w:cs="Times New Roman"/>
        </w:rPr>
        <w:t>）、松江柳（</w:t>
      </w:r>
      <w:r w:rsidR="008C3325" w:rsidRPr="00FC1444">
        <w:rPr>
          <w:rFonts w:ascii="Times New Roman" w:hAnsi="Times New Roman" w:cs="Times New Roman"/>
          <w:i/>
        </w:rPr>
        <w:t>Salixsungkianica</w:t>
      </w:r>
      <w:r w:rsidR="008C3325" w:rsidRPr="00FC1444">
        <w:rPr>
          <w:rFonts w:ascii="Times New Roman" w:hAnsi="Times New Roman" w:cs="Times New Roman"/>
        </w:rPr>
        <w:t>）</w:t>
      </w:r>
      <w:r w:rsidR="008C3325" w:rsidRPr="00FC1444">
        <w:rPr>
          <w:rFonts w:ascii="Times New Roman" w:hAnsi="Times New Roman" w:cs="Times New Roman"/>
          <w:smallCaps/>
          <w:szCs w:val="22"/>
        </w:rPr>
        <w:t>，</w:t>
      </w:r>
      <w:r w:rsidRPr="00FC1444">
        <w:rPr>
          <w:rFonts w:ascii="Times New Roman" w:hAnsi="Times New Roman" w:cs="Times New Roman"/>
          <w:smallCaps/>
          <w:szCs w:val="22"/>
        </w:rPr>
        <w:t>草甸分布</w:t>
      </w:r>
      <w:r w:rsidRPr="00FC1444">
        <w:rPr>
          <w:rFonts w:ascii="Times New Roman" w:hAnsi="Times New Roman" w:cs="Times New Roman"/>
        </w:rPr>
        <w:t>狗尾草</w:t>
      </w:r>
      <w:r w:rsidRPr="00FC1444">
        <w:rPr>
          <w:rFonts w:ascii="Times New Roman" w:eastAsia="宋体" w:hAnsi="Times New Roman" w:cs="Times New Roman"/>
          <w:szCs w:val="20"/>
        </w:rPr>
        <w:t>（</w:t>
      </w:r>
      <w:r w:rsidRPr="00FC1444">
        <w:rPr>
          <w:rFonts w:ascii="Times New Roman" w:eastAsia="宋体" w:hAnsi="Times New Roman" w:cs="Times New Roman"/>
          <w:i/>
          <w:iCs/>
          <w:szCs w:val="20"/>
        </w:rPr>
        <w:t>Setaria viridis</w:t>
      </w:r>
      <w:r w:rsidRPr="00FC1444">
        <w:rPr>
          <w:rFonts w:ascii="Times New Roman" w:eastAsia="宋体" w:hAnsi="Times New Roman" w:cs="Times New Roman"/>
          <w:szCs w:val="20"/>
        </w:rPr>
        <w:t>）</w:t>
      </w:r>
      <w:r w:rsidRPr="00FC1444">
        <w:rPr>
          <w:rFonts w:ascii="Times New Roman" w:hAnsi="Times New Roman" w:cs="Times New Roman"/>
        </w:rPr>
        <w:t>、</w:t>
      </w:r>
      <w:r w:rsidR="008C3325" w:rsidRPr="00FC1444">
        <w:rPr>
          <w:rFonts w:ascii="Times New Roman" w:hAnsi="Times New Roman" w:cs="Times New Roman"/>
        </w:rPr>
        <w:t>蚊子草（</w:t>
      </w:r>
      <w:r w:rsidR="008C3325" w:rsidRPr="00FC1444">
        <w:rPr>
          <w:rFonts w:ascii="Times New Roman" w:hAnsi="Times New Roman" w:cs="Times New Roman"/>
          <w:i/>
        </w:rPr>
        <w:t>Filipendulapalmata</w:t>
      </w:r>
      <w:r w:rsidR="008C3325" w:rsidRPr="00FC1444">
        <w:rPr>
          <w:rFonts w:ascii="Times New Roman" w:hAnsi="Times New Roman" w:cs="Times New Roman"/>
        </w:rPr>
        <w:t>）、</w:t>
      </w:r>
      <w:r w:rsidRPr="00FC1444">
        <w:rPr>
          <w:rFonts w:ascii="Times New Roman" w:eastAsia="宋体" w:hAnsi="Times New Roman" w:cs="Times New Roman"/>
          <w:szCs w:val="20"/>
        </w:rPr>
        <w:t>青蒿（</w:t>
      </w:r>
      <w:r w:rsidRPr="00FC1444">
        <w:rPr>
          <w:rFonts w:ascii="Times New Roman" w:eastAsia="宋体" w:hAnsi="Times New Roman" w:cs="Times New Roman"/>
          <w:i/>
          <w:iCs/>
          <w:szCs w:val="20"/>
        </w:rPr>
        <w:t>Artemisia carvifolia var. schochii</w:t>
      </w:r>
      <w:r w:rsidRPr="00FC1444">
        <w:rPr>
          <w:rFonts w:ascii="Times New Roman" w:eastAsia="宋体" w:hAnsi="Times New Roman" w:cs="Times New Roman"/>
          <w:szCs w:val="20"/>
        </w:rPr>
        <w:t>）、蒲公英等（</w:t>
      </w:r>
      <w:r w:rsidRPr="00FC1444">
        <w:rPr>
          <w:rFonts w:ascii="Times New Roman" w:eastAsia="宋体" w:hAnsi="Times New Roman" w:cs="Times New Roman"/>
          <w:i/>
          <w:iCs/>
          <w:szCs w:val="20"/>
        </w:rPr>
        <w:t xml:space="preserve">Taraxacum ohwianum </w:t>
      </w:r>
      <w:r w:rsidRPr="00FC1444">
        <w:rPr>
          <w:rFonts w:ascii="Times New Roman" w:eastAsia="宋体" w:hAnsi="Times New Roman" w:cs="Times New Roman"/>
          <w:i/>
          <w:szCs w:val="20"/>
        </w:rPr>
        <w:t>Kitam</w:t>
      </w:r>
      <w:r w:rsidRPr="00FC1444">
        <w:rPr>
          <w:rFonts w:ascii="Times New Roman" w:eastAsia="宋体" w:hAnsi="Times New Roman" w:cs="Times New Roman"/>
          <w:szCs w:val="20"/>
        </w:rPr>
        <w:t>）</w:t>
      </w:r>
      <w:r w:rsidRPr="00FC1444">
        <w:rPr>
          <w:rFonts w:ascii="Times New Roman" w:hAnsi="Times New Roman" w:cs="Times New Roman"/>
        </w:rPr>
        <w:t>、杂草</w:t>
      </w:r>
      <w:r w:rsidRPr="00FC1444">
        <w:rPr>
          <w:rFonts w:ascii="Times New Roman" w:hAnsi="Times New Roman" w:cs="Times New Roman"/>
          <w:smallCaps/>
          <w:szCs w:val="22"/>
        </w:rPr>
        <w:t>。</w:t>
      </w:r>
      <w:r w:rsidRPr="00FC1444">
        <w:rPr>
          <w:rFonts w:ascii="Times New Roman" w:hAnsi="Times New Roman" w:cs="Times New Roman"/>
          <w:szCs w:val="24"/>
          <w:lang w:bidi="en-US"/>
        </w:rPr>
        <w:t>涉及水域为沟渠及承泄区</w:t>
      </w:r>
      <w:r w:rsidR="00B526E5" w:rsidRPr="00FC1444">
        <w:rPr>
          <w:rFonts w:ascii="Times New Roman" w:hAnsi="Times New Roman" w:cs="Times New Roman" w:hint="eastAsia"/>
          <w:szCs w:val="24"/>
          <w:lang w:bidi="en-US"/>
        </w:rPr>
        <w:t>呼兰河</w:t>
      </w:r>
      <w:r w:rsidR="00B526E5" w:rsidRPr="00FC1444">
        <w:rPr>
          <w:rFonts w:ascii="Times New Roman" w:hAnsi="Times New Roman" w:cs="Times New Roman"/>
          <w:szCs w:val="24"/>
          <w:lang w:bidi="en-US"/>
        </w:rPr>
        <w:t>、津河、努敏河</w:t>
      </w:r>
      <w:r w:rsidRPr="00FC1444">
        <w:rPr>
          <w:rFonts w:ascii="Times New Roman" w:hAnsi="Times New Roman" w:cs="Times New Roman"/>
          <w:szCs w:val="24"/>
          <w:lang w:bidi="en-US"/>
        </w:rPr>
        <w:t>，主要分布藻类</w:t>
      </w:r>
      <w:r w:rsidRPr="00FC1444">
        <w:rPr>
          <w:rFonts w:ascii="Times New Roman" w:hAnsi="Times New Roman" w:cs="Times New Roman"/>
        </w:rPr>
        <w:t>、小叶章（</w:t>
      </w:r>
      <w:r w:rsidRPr="00FC1444">
        <w:rPr>
          <w:rFonts w:ascii="Times New Roman" w:hAnsi="Times New Roman" w:cs="Times New Roman"/>
          <w:i/>
          <w:iCs/>
        </w:rPr>
        <w:t>Calamagrastis angustifolia</w:t>
      </w:r>
      <w:r w:rsidRPr="00FC1444">
        <w:rPr>
          <w:rFonts w:ascii="Times New Roman" w:hAnsi="Times New Roman" w:cs="Times New Roman"/>
        </w:rPr>
        <w:t>）</w:t>
      </w:r>
      <w:r w:rsidRPr="00FC1444">
        <w:rPr>
          <w:rFonts w:ascii="Times New Roman" w:hAnsi="Times New Roman" w:cs="Times New Roman"/>
          <w:lang w:bidi="en-US"/>
        </w:rPr>
        <w:t>、芦苇</w:t>
      </w:r>
      <w:r w:rsidRPr="00FC1444">
        <w:rPr>
          <w:rFonts w:ascii="Times New Roman" w:hAnsi="Times New Roman" w:cs="Times New Roman"/>
        </w:rPr>
        <w:t>（</w:t>
      </w:r>
      <w:r w:rsidRPr="00FC1444">
        <w:rPr>
          <w:rFonts w:ascii="Times New Roman" w:hAnsi="Times New Roman" w:cs="Times New Roman"/>
          <w:i/>
        </w:rPr>
        <w:t>Phragmites australis</w:t>
      </w:r>
      <w:r w:rsidRPr="00FC1444">
        <w:rPr>
          <w:rFonts w:ascii="Times New Roman" w:hAnsi="Times New Roman" w:cs="Times New Roman"/>
        </w:rPr>
        <w:t>）</w:t>
      </w:r>
      <w:r w:rsidR="008C3325" w:rsidRPr="00FC1444">
        <w:rPr>
          <w:rFonts w:ascii="Times New Roman" w:hAnsi="Times New Roman" w:cs="Times New Roman"/>
        </w:rPr>
        <w:t>、灰脉苔草（</w:t>
      </w:r>
      <w:r w:rsidR="008C3325" w:rsidRPr="00FC1444">
        <w:rPr>
          <w:rFonts w:ascii="Times New Roman" w:hAnsi="Times New Roman" w:cs="Times New Roman"/>
          <w:i/>
        </w:rPr>
        <w:t>Carexappendiculata</w:t>
      </w:r>
      <w:r w:rsidR="008C3325" w:rsidRPr="00FC1444">
        <w:rPr>
          <w:rFonts w:ascii="Times New Roman" w:hAnsi="Times New Roman" w:cs="Times New Roman"/>
        </w:rPr>
        <w:t>）</w:t>
      </w:r>
      <w:r w:rsidRPr="00FC1444">
        <w:rPr>
          <w:rFonts w:ascii="Times New Roman" w:hAnsi="Times New Roman" w:cs="Times New Roman"/>
        </w:rPr>
        <w:t>等湿生、水生植物</w:t>
      </w:r>
      <w:r w:rsidRPr="00FC1444">
        <w:rPr>
          <w:rFonts w:ascii="Times New Roman" w:hAnsi="Times New Roman" w:cs="Times New Roman"/>
          <w:szCs w:val="24"/>
          <w:lang w:bidi="en-US"/>
        </w:rPr>
        <w:t>及水生维管植物。植被类型图见附图</w:t>
      </w:r>
      <w:r w:rsidRPr="00FC1444">
        <w:rPr>
          <w:rFonts w:ascii="Times New Roman" w:hAnsi="Times New Roman" w:cs="Times New Roman"/>
          <w:szCs w:val="24"/>
          <w:lang w:bidi="en-US"/>
        </w:rPr>
        <w:t>6</w:t>
      </w:r>
      <w:r w:rsidRPr="00FC1444">
        <w:rPr>
          <w:rFonts w:ascii="Times New Roman" w:hAnsi="Times New Roman" w:cs="Times New Roman"/>
          <w:szCs w:val="24"/>
          <w:lang w:bidi="en-US"/>
        </w:rPr>
        <w:t>。</w:t>
      </w:r>
    </w:p>
    <w:p w:rsidR="002A5A5E" w:rsidRPr="00FC1444" w:rsidRDefault="009840DD">
      <w:pPr>
        <w:pStyle w:val="2fa"/>
        <w:ind w:firstLine="480"/>
        <w:contextualSpacing/>
        <w:rPr>
          <w:rFonts w:ascii="Times New Roman" w:hAnsi="Times New Roman" w:cs="Times New Roman"/>
          <w:szCs w:val="24"/>
          <w:lang w:val="en-GB" w:bidi="en-US"/>
        </w:rPr>
      </w:pPr>
      <w:r w:rsidRPr="00FC1444">
        <w:rPr>
          <w:rFonts w:ascii="Times New Roman" w:hAnsi="Times New Roman" w:cs="Times New Roman"/>
          <w:szCs w:val="24"/>
          <w:lang w:val="en-GB" w:bidi="en-US"/>
        </w:rPr>
        <w:fldChar w:fldCharType="begin"/>
      </w:r>
      <w:r w:rsidR="00250C31" w:rsidRPr="00FC1444">
        <w:rPr>
          <w:rFonts w:ascii="Times New Roman" w:hAnsi="Times New Roman" w:cs="Times New Roman"/>
          <w:szCs w:val="24"/>
          <w:lang w:val="en-GB" w:bidi="en-US"/>
        </w:rPr>
        <w:instrText xml:space="preserve"> = 4 \* GB3 </w:instrText>
      </w:r>
      <w:r w:rsidRPr="00FC1444">
        <w:rPr>
          <w:rFonts w:ascii="Times New Roman" w:hAnsi="Times New Roman" w:cs="Times New Roman"/>
          <w:szCs w:val="24"/>
          <w:lang w:val="en-GB" w:bidi="en-US"/>
        </w:rPr>
        <w:fldChar w:fldCharType="separate"/>
      </w:r>
      <w:r w:rsidR="00250C31" w:rsidRPr="00FC1444">
        <w:rPr>
          <w:rFonts w:eastAsia="宋体" w:cs="宋体" w:hint="eastAsia"/>
          <w:noProof/>
          <w:szCs w:val="24"/>
          <w:lang w:val="en-GB" w:bidi="en-US"/>
        </w:rPr>
        <w:t>④</w:t>
      </w:r>
      <w:r w:rsidRPr="00FC1444">
        <w:rPr>
          <w:rFonts w:ascii="Times New Roman" w:hAnsi="Times New Roman" w:cs="Times New Roman"/>
          <w:szCs w:val="24"/>
          <w:lang w:val="en-GB" w:bidi="en-US"/>
        </w:rPr>
        <w:fldChar w:fldCharType="end"/>
      </w:r>
      <w:r w:rsidR="00611CBA" w:rsidRPr="00FC1444">
        <w:rPr>
          <w:rFonts w:ascii="Times New Roman" w:hAnsi="Times New Roman" w:cs="Times New Roman"/>
          <w:szCs w:val="24"/>
          <w:lang w:val="en-GB" w:bidi="en-US"/>
        </w:rPr>
        <w:t>动物</w:t>
      </w:r>
    </w:p>
    <w:p w:rsidR="002A5A5E" w:rsidRPr="00FC1444" w:rsidRDefault="00611CBA">
      <w:pPr>
        <w:pStyle w:val="2fa"/>
        <w:ind w:firstLine="480"/>
        <w:contextualSpacing/>
        <w:rPr>
          <w:rFonts w:ascii="Times New Roman" w:hAnsi="Times New Roman" w:cs="Times New Roman"/>
          <w:szCs w:val="24"/>
          <w:lang w:bidi="en-US"/>
        </w:rPr>
      </w:pPr>
      <w:r w:rsidRPr="00FC1444">
        <w:rPr>
          <w:rFonts w:ascii="Times New Roman" w:hAnsi="Times New Roman" w:cs="Times New Roman"/>
          <w:szCs w:val="24"/>
          <w:lang w:bidi="en-US"/>
        </w:rPr>
        <w:t>评价区属于比较发达的农业区，村屯较密集，人口集中，农田面积大，农业生产活动频度和强度都比较高，地域原有的野生动物基本消失，伴之而来的地域物种主要与农业生产活动有关，较大型哺乳类动物基本绝迹，但小型哺乳类特别是鼠类仍为常见种。</w:t>
      </w:r>
      <w:r w:rsidRPr="00FC1444">
        <w:rPr>
          <w:rFonts w:ascii="Times New Roman" w:hAnsi="Times New Roman" w:cs="Times New Roman"/>
          <w:smallCaps/>
          <w:szCs w:val="22"/>
        </w:rPr>
        <w:t>常见野生动物中，两爬类有中华大蟾蜍（</w:t>
      </w:r>
      <w:r w:rsidRPr="00FC1444">
        <w:rPr>
          <w:rFonts w:ascii="Times New Roman" w:hAnsi="Times New Roman" w:cs="Times New Roman"/>
          <w:i/>
          <w:smallCaps/>
          <w:szCs w:val="22"/>
        </w:rPr>
        <w:t>Bufo gargarizans</w:t>
      </w:r>
      <w:r w:rsidRPr="00FC1444">
        <w:rPr>
          <w:rFonts w:ascii="Times New Roman" w:hAnsi="Times New Roman" w:cs="Times New Roman"/>
          <w:smallCaps/>
          <w:szCs w:val="22"/>
        </w:rPr>
        <w:t>）等，鸟类有大杜鹃（</w:t>
      </w:r>
      <w:r w:rsidRPr="00FC1444">
        <w:rPr>
          <w:rFonts w:ascii="Times New Roman" w:hAnsi="Times New Roman" w:cs="Times New Roman"/>
          <w:i/>
          <w:smallCaps/>
          <w:szCs w:val="22"/>
        </w:rPr>
        <w:t>Cuculus canorus</w:t>
      </w:r>
      <w:r w:rsidRPr="00FC1444">
        <w:rPr>
          <w:rFonts w:ascii="Times New Roman" w:hAnsi="Times New Roman" w:cs="Times New Roman"/>
          <w:smallCaps/>
          <w:szCs w:val="22"/>
        </w:rPr>
        <w:t>）、麻雀（</w:t>
      </w:r>
      <w:r w:rsidRPr="00FC1444">
        <w:rPr>
          <w:rFonts w:ascii="Times New Roman" w:hAnsi="Times New Roman" w:cs="Times New Roman"/>
          <w:i/>
          <w:smallCaps/>
          <w:szCs w:val="22"/>
        </w:rPr>
        <w:t>Passer montanus</w:t>
      </w:r>
      <w:r w:rsidRPr="00FC1444">
        <w:rPr>
          <w:rFonts w:ascii="Times New Roman" w:hAnsi="Times New Roman" w:cs="Times New Roman"/>
          <w:smallCaps/>
          <w:szCs w:val="22"/>
        </w:rPr>
        <w:t>）等，兽类有褐家鼠（</w:t>
      </w:r>
      <w:r w:rsidRPr="00FC1444">
        <w:rPr>
          <w:rFonts w:ascii="Times New Roman" w:hAnsi="Times New Roman" w:cs="Times New Roman"/>
          <w:i/>
          <w:smallCaps/>
          <w:szCs w:val="22"/>
        </w:rPr>
        <w:t>Rattus norvegicus</w:t>
      </w:r>
      <w:r w:rsidRPr="00FC1444">
        <w:rPr>
          <w:rFonts w:ascii="Times New Roman" w:hAnsi="Times New Roman" w:cs="Times New Roman"/>
          <w:smallCaps/>
          <w:szCs w:val="22"/>
        </w:rPr>
        <w:t>）、</w:t>
      </w:r>
      <w:r w:rsidRPr="00FC1444">
        <w:rPr>
          <w:rFonts w:ascii="Times New Roman" w:hAnsi="Times New Roman" w:cs="Times New Roman"/>
        </w:rPr>
        <w:t>小家鼠（</w:t>
      </w:r>
      <w:r w:rsidRPr="00FC1444">
        <w:rPr>
          <w:rFonts w:ascii="Times New Roman" w:hAnsi="Times New Roman" w:cs="Times New Roman"/>
          <w:i/>
        </w:rPr>
        <w:t>Mus musculus</w:t>
      </w:r>
      <w:r w:rsidRPr="00FC1444">
        <w:rPr>
          <w:rFonts w:ascii="Times New Roman" w:hAnsi="Times New Roman" w:cs="Times New Roman"/>
        </w:rPr>
        <w:t>）、黑线姬鼠（</w:t>
      </w:r>
      <w:r w:rsidRPr="00FC1444">
        <w:rPr>
          <w:rFonts w:ascii="Times New Roman" w:hAnsi="Times New Roman" w:cs="Times New Roman"/>
          <w:i/>
        </w:rPr>
        <w:t>Apodemus agrarius</w:t>
      </w:r>
      <w:r w:rsidRPr="00FC1444">
        <w:rPr>
          <w:rFonts w:ascii="Times New Roman" w:hAnsi="Times New Roman" w:cs="Times New Roman"/>
        </w:rPr>
        <w:t>）、</w:t>
      </w:r>
      <w:r w:rsidRPr="00FC1444">
        <w:rPr>
          <w:rFonts w:ascii="Times New Roman" w:hAnsi="Times New Roman" w:cs="Times New Roman"/>
          <w:szCs w:val="24"/>
          <w:lang w:bidi="en-US"/>
        </w:rPr>
        <w:t>东方田鼠</w:t>
      </w:r>
      <w:r w:rsidRPr="00FC1444">
        <w:rPr>
          <w:rFonts w:ascii="Times New Roman" w:hAnsi="Times New Roman" w:cs="Times New Roman"/>
        </w:rPr>
        <w:t>（</w:t>
      </w:r>
      <w:r w:rsidRPr="00FC1444">
        <w:rPr>
          <w:rFonts w:ascii="Times New Roman" w:hAnsi="Times New Roman" w:cs="Times New Roman"/>
          <w:i/>
          <w:iCs/>
        </w:rPr>
        <w:t>Microtusfortis</w:t>
      </w:r>
      <w:r w:rsidRPr="00FC1444">
        <w:rPr>
          <w:rFonts w:ascii="Times New Roman" w:hAnsi="Times New Roman" w:cs="Times New Roman"/>
        </w:rPr>
        <w:t>）</w:t>
      </w:r>
      <w:r w:rsidRPr="00FC1444">
        <w:rPr>
          <w:rFonts w:ascii="Times New Roman" w:hAnsi="Times New Roman" w:cs="Times New Roman"/>
          <w:szCs w:val="24"/>
          <w:lang w:bidi="en-US"/>
        </w:rPr>
        <w:t>、东北兔</w:t>
      </w:r>
      <w:r w:rsidRPr="00FC1444">
        <w:rPr>
          <w:rFonts w:ascii="Times New Roman" w:hAnsi="Times New Roman" w:cs="Times New Roman"/>
        </w:rPr>
        <w:t>（</w:t>
      </w:r>
      <w:r w:rsidRPr="00FC1444">
        <w:rPr>
          <w:rFonts w:ascii="Times New Roman" w:hAnsi="Times New Roman" w:cs="Times New Roman"/>
          <w:i/>
          <w:iCs/>
        </w:rPr>
        <w:t>Lepus mandschuricus</w:t>
      </w:r>
      <w:r w:rsidRPr="00FC1444">
        <w:rPr>
          <w:rFonts w:ascii="Times New Roman" w:hAnsi="Times New Roman" w:cs="Times New Roman"/>
        </w:rPr>
        <w:t>）</w:t>
      </w:r>
      <w:r w:rsidRPr="00FC1444">
        <w:rPr>
          <w:rFonts w:ascii="Times New Roman" w:hAnsi="Times New Roman" w:cs="Times New Roman"/>
          <w:szCs w:val="24"/>
          <w:lang w:bidi="en-US"/>
        </w:rPr>
        <w:t>、黄鼬</w:t>
      </w:r>
      <w:r w:rsidRPr="00FC1444">
        <w:rPr>
          <w:rFonts w:ascii="Times New Roman" w:hAnsi="Times New Roman" w:cs="Times New Roman"/>
        </w:rPr>
        <w:t>（</w:t>
      </w:r>
      <w:r w:rsidRPr="00FC1444">
        <w:rPr>
          <w:rFonts w:ascii="Times New Roman" w:hAnsi="Times New Roman" w:cs="Times New Roman"/>
          <w:i/>
          <w:lang w:bidi="en-US"/>
        </w:rPr>
        <w:t>Mustelasibirica</w:t>
      </w:r>
      <w:r w:rsidRPr="00FC1444">
        <w:rPr>
          <w:rFonts w:ascii="Times New Roman" w:hAnsi="Times New Roman" w:cs="Times New Roman"/>
        </w:rPr>
        <w:t>）</w:t>
      </w:r>
      <w:r w:rsidRPr="00FC1444">
        <w:rPr>
          <w:rFonts w:ascii="Times New Roman" w:hAnsi="Times New Roman" w:cs="Times New Roman"/>
          <w:szCs w:val="24"/>
          <w:lang w:bidi="en-US"/>
        </w:rPr>
        <w:t>等</w:t>
      </w:r>
      <w:r w:rsidRPr="00FC1444">
        <w:rPr>
          <w:rFonts w:ascii="Times New Roman" w:hAnsi="Times New Roman" w:cs="Times New Roman"/>
          <w:szCs w:val="24"/>
          <w:lang w:bidi="en-US"/>
        </w:rPr>
        <w:t>10</w:t>
      </w:r>
      <w:r w:rsidRPr="00FC1444">
        <w:rPr>
          <w:rFonts w:ascii="Times New Roman" w:hAnsi="Times New Roman" w:cs="Times New Roman"/>
          <w:szCs w:val="24"/>
          <w:lang w:bidi="en-US"/>
        </w:rPr>
        <w:t>余种啮齿目、兔形目和食肉目动物。</w:t>
      </w:r>
      <w:r w:rsidRPr="00FC1444">
        <w:rPr>
          <w:rFonts w:ascii="Times New Roman" w:hAnsi="Times New Roman" w:cs="Times New Roman"/>
        </w:rPr>
        <w:t>两栖类动物分布包括花背蟾蜍（</w:t>
      </w:r>
      <w:r w:rsidRPr="00FC1444">
        <w:rPr>
          <w:rFonts w:ascii="Times New Roman" w:hAnsi="Times New Roman" w:cs="Times New Roman"/>
          <w:i/>
        </w:rPr>
        <w:t>Bufo raddei</w:t>
      </w:r>
      <w:r w:rsidRPr="00FC1444">
        <w:rPr>
          <w:rFonts w:ascii="Times New Roman" w:hAnsi="Times New Roman" w:cs="Times New Roman"/>
        </w:rPr>
        <w:t>）、东北林蛙（</w:t>
      </w:r>
      <w:r w:rsidRPr="00FC1444">
        <w:rPr>
          <w:rFonts w:ascii="Times New Roman" w:hAnsi="Times New Roman" w:cs="Times New Roman"/>
          <w:i/>
        </w:rPr>
        <w:t>Rana dybowskii</w:t>
      </w:r>
      <w:r w:rsidRPr="00FC1444">
        <w:rPr>
          <w:rFonts w:ascii="Times New Roman" w:hAnsi="Times New Roman" w:cs="Times New Roman"/>
        </w:rPr>
        <w:t>）等。</w:t>
      </w:r>
    </w:p>
    <w:p w:rsidR="002A5A5E" w:rsidRPr="00FC1444" w:rsidRDefault="00611CBA">
      <w:pPr>
        <w:pStyle w:val="2fa"/>
        <w:ind w:firstLine="480"/>
        <w:contextualSpacing/>
        <w:rPr>
          <w:rFonts w:ascii="Times New Roman" w:hAnsi="Times New Roman" w:cs="Times New Roman"/>
          <w:szCs w:val="24"/>
          <w:lang w:bidi="en-US"/>
        </w:rPr>
      </w:pPr>
      <w:r w:rsidRPr="00FC1444">
        <w:rPr>
          <w:rFonts w:ascii="Times New Roman" w:hAnsi="Times New Roman" w:cs="Times New Roman"/>
          <w:szCs w:val="24"/>
          <w:lang w:bidi="en-US"/>
        </w:rPr>
        <w:t>评价区农业生产活动频繁，不具备大型水禽类的栖息和繁殖环境，因此没有大型水禽栖息和繁殖。由于评价区较为开阔，人类活动干扰较大，躲避天敌的条件较差，因此鸟类一般不会在此繁殖。农区鸟类种类较少，多为村栖型鸟类，留鸟居多，基本没有迁徙鸟类。主要常见种为喜鹊（</w:t>
      </w:r>
      <w:r w:rsidRPr="00FC1444">
        <w:rPr>
          <w:rFonts w:ascii="Times New Roman" w:hAnsi="Times New Roman" w:cs="Times New Roman"/>
          <w:bCs/>
          <w:i/>
        </w:rPr>
        <w:t>Pica pica</w:t>
      </w:r>
      <w:r w:rsidRPr="00FC1444">
        <w:rPr>
          <w:rFonts w:ascii="Times New Roman" w:hAnsi="Times New Roman" w:cs="Times New Roman"/>
          <w:szCs w:val="24"/>
          <w:lang w:bidi="en-US"/>
        </w:rPr>
        <w:t>）、大嘴乌鸦</w:t>
      </w:r>
      <w:r w:rsidRPr="00FC1444">
        <w:rPr>
          <w:rFonts w:ascii="Times New Roman" w:hAnsi="Times New Roman" w:cs="Times New Roman"/>
        </w:rPr>
        <w:t>（</w:t>
      </w:r>
      <w:r w:rsidRPr="00FC1444">
        <w:rPr>
          <w:rFonts w:ascii="Times New Roman" w:hAnsi="Times New Roman" w:cs="Times New Roman"/>
          <w:bCs/>
          <w:i/>
        </w:rPr>
        <w:t>Corvus macrorhynchos</w:t>
      </w:r>
      <w:r w:rsidRPr="00FC1444">
        <w:rPr>
          <w:rFonts w:ascii="Times New Roman" w:hAnsi="Times New Roman" w:cs="Times New Roman"/>
        </w:rPr>
        <w:t>）</w:t>
      </w:r>
      <w:r w:rsidRPr="00FC1444">
        <w:rPr>
          <w:rFonts w:ascii="Times New Roman" w:hAnsi="Times New Roman" w:cs="Times New Roman"/>
          <w:szCs w:val="24"/>
          <w:lang w:bidi="en-US"/>
        </w:rPr>
        <w:t>、麻雀</w:t>
      </w:r>
      <w:r w:rsidRPr="00FC1444">
        <w:rPr>
          <w:rFonts w:ascii="Times New Roman" w:hAnsi="Times New Roman" w:cs="Times New Roman"/>
        </w:rPr>
        <w:t>（</w:t>
      </w:r>
      <w:r w:rsidRPr="00FC1444">
        <w:rPr>
          <w:rFonts w:ascii="Times New Roman" w:hAnsi="Times New Roman" w:cs="Times New Roman"/>
          <w:i/>
        </w:rPr>
        <w:t>Passer montanus</w:t>
      </w:r>
      <w:r w:rsidRPr="00FC1444">
        <w:rPr>
          <w:rFonts w:ascii="Times New Roman" w:hAnsi="Times New Roman" w:cs="Times New Roman"/>
        </w:rPr>
        <w:t>）</w:t>
      </w:r>
      <w:r w:rsidRPr="00FC1444">
        <w:rPr>
          <w:rFonts w:ascii="Times New Roman" w:hAnsi="Times New Roman" w:cs="Times New Roman"/>
          <w:szCs w:val="24"/>
          <w:lang w:bidi="en-US"/>
        </w:rPr>
        <w:t>、家燕（</w:t>
      </w:r>
      <w:r w:rsidRPr="00FC1444">
        <w:rPr>
          <w:rFonts w:ascii="Times New Roman" w:hAnsi="Times New Roman" w:cs="Times New Roman"/>
          <w:i/>
        </w:rPr>
        <w:t>Hirundo rustica</w:t>
      </w:r>
      <w:r w:rsidRPr="00FC1444">
        <w:rPr>
          <w:rFonts w:ascii="Times New Roman" w:hAnsi="Times New Roman" w:cs="Times New Roman"/>
          <w:szCs w:val="24"/>
          <w:lang w:bidi="en-US"/>
        </w:rPr>
        <w:t>）等。评价区农田内无国家和省级重点保护的动物。</w:t>
      </w:r>
    </w:p>
    <w:p w:rsidR="002A5A5E" w:rsidRPr="00FC1444" w:rsidRDefault="009840DD">
      <w:pPr>
        <w:pStyle w:val="2fa"/>
        <w:ind w:firstLine="480"/>
        <w:contextualSpacing/>
        <w:rPr>
          <w:rFonts w:ascii="Times New Roman" w:hAnsi="Times New Roman" w:cs="Times New Roman"/>
          <w:szCs w:val="24"/>
          <w:lang w:bidi="en-US"/>
        </w:rPr>
      </w:pPr>
      <w:r w:rsidRPr="00FC1444">
        <w:rPr>
          <w:rFonts w:ascii="Times New Roman" w:hAnsi="Times New Roman" w:cs="Times New Roman"/>
          <w:szCs w:val="24"/>
          <w:lang w:bidi="en-US"/>
        </w:rPr>
        <w:fldChar w:fldCharType="begin"/>
      </w:r>
      <w:r w:rsidR="00250C31" w:rsidRPr="00FC1444">
        <w:rPr>
          <w:rFonts w:ascii="Times New Roman" w:hAnsi="Times New Roman" w:cs="Times New Roman"/>
          <w:szCs w:val="24"/>
          <w:lang w:bidi="en-US"/>
        </w:rPr>
        <w:instrText xml:space="preserve"> = 5 \* GB3 </w:instrText>
      </w:r>
      <w:r w:rsidRPr="00FC1444">
        <w:rPr>
          <w:rFonts w:ascii="Times New Roman" w:hAnsi="Times New Roman" w:cs="Times New Roman"/>
          <w:szCs w:val="24"/>
          <w:lang w:bidi="en-US"/>
        </w:rPr>
        <w:fldChar w:fldCharType="separate"/>
      </w:r>
      <w:r w:rsidR="00250C31" w:rsidRPr="00FC1444">
        <w:rPr>
          <w:rFonts w:eastAsia="宋体" w:cs="宋体" w:hint="eastAsia"/>
          <w:noProof/>
          <w:szCs w:val="24"/>
          <w:lang w:bidi="en-US"/>
        </w:rPr>
        <w:t>⑤</w:t>
      </w:r>
      <w:r w:rsidRPr="00FC1444">
        <w:rPr>
          <w:rFonts w:ascii="Times New Roman" w:hAnsi="Times New Roman" w:cs="Times New Roman"/>
          <w:szCs w:val="24"/>
          <w:lang w:bidi="en-US"/>
        </w:rPr>
        <w:fldChar w:fldCharType="end"/>
      </w:r>
      <w:r w:rsidR="00611CBA" w:rsidRPr="00FC1444">
        <w:rPr>
          <w:rFonts w:ascii="Times New Roman" w:hAnsi="Times New Roman" w:cs="Times New Roman"/>
        </w:rPr>
        <w:t>生态系统组成</w:t>
      </w:r>
    </w:p>
    <w:p w:rsidR="002A5A5E" w:rsidRPr="00FC1444" w:rsidRDefault="00611CBA">
      <w:pPr>
        <w:pStyle w:val="2fa"/>
        <w:ind w:firstLine="480"/>
        <w:contextualSpacing/>
        <w:rPr>
          <w:rFonts w:ascii="Times New Roman" w:hAnsi="Times New Roman" w:cs="Times New Roman"/>
        </w:rPr>
      </w:pPr>
      <w:r w:rsidRPr="00FC1444">
        <w:rPr>
          <w:rFonts w:ascii="Times New Roman" w:hAnsi="Times New Roman" w:cs="Times New Roman"/>
        </w:rPr>
        <w:lastRenderedPageBreak/>
        <w:t>1)</w:t>
      </w:r>
      <w:r w:rsidRPr="00FC1444">
        <w:rPr>
          <w:rFonts w:ascii="Times New Roman" w:hAnsi="Times New Roman" w:cs="Times New Roman"/>
        </w:rPr>
        <w:t>农田生态系统：本区域典型的生态系统为农田生态系统，在评价区内广泛分布。农田生态系统主要受人为的支配和干预，占据主要地位的是农作物，如水稻、玉米等，其次是一些栖息农田的兽类动物如褐家鼠、黑线姬鼠等，鸟类有麻雀和喜鹊等伴人鸟类，以及与这些农业生物关系密切的生物种群。由于附近村民有目的地选择与控制，其他的生物种类和数目一般较少，生物多样性显著低于同一地区的森林生态系统。</w:t>
      </w:r>
      <w:r w:rsidRPr="00FC1444">
        <w:rPr>
          <w:rFonts w:ascii="Times New Roman" w:hAnsi="Times New Roman" w:cs="Times New Roman"/>
        </w:rPr>
        <w:t xml:space="preserve"> </w:t>
      </w:r>
    </w:p>
    <w:p w:rsidR="002A5A5E" w:rsidRPr="00FC1444" w:rsidRDefault="00611CBA">
      <w:pPr>
        <w:pStyle w:val="2fa"/>
        <w:ind w:firstLine="480"/>
        <w:contextualSpacing/>
        <w:rPr>
          <w:rFonts w:ascii="Times New Roman" w:hAnsi="Times New Roman" w:cs="Times New Roman"/>
        </w:rPr>
      </w:pPr>
      <w:r w:rsidRPr="00FC1444">
        <w:rPr>
          <w:rFonts w:ascii="Times New Roman" w:hAnsi="Times New Roman" w:cs="Times New Roman"/>
        </w:rPr>
        <w:t>评价区农田生态系统</w:t>
      </w:r>
      <w:r w:rsidR="00D966E2" w:rsidRPr="00FC1444">
        <w:rPr>
          <w:rFonts w:ascii="Times New Roman" w:hAnsi="Times New Roman" w:cs="Times New Roman"/>
        </w:rPr>
        <w:t>以</w:t>
      </w:r>
      <w:r w:rsidRPr="00FC1444">
        <w:rPr>
          <w:rFonts w:ascii="Times New Roman" w:hAnsi="Times New Roman" w:cs="Times New Roman"/>
        </w:rPr>
        <w:t>人工栽培植物为主，主要植物有水稻、玉米、高粱、蔬菜等。农田生态系统相对简单，物种类型简单，人为干扰严重，由于评价区耕地生态系统水份条件较差，两栖类的分布受限，鲜有分布。爬行类偶见蛇类。鸟类较少，多为伴人鸟类，如：树麻雀。兽类</w:t>
      </w:r>
      <w:r w:rsidR="00D966E2" w:rsidRPr="00FC1444">
        <w:rPr>
          <w:rFonts w:ascii="Times New Roman" w:hAnsi="Times New Roman" w:cs="Times New Roman"/>
        </w:rPr>
        <w:t>以</w:t>
      </w:r>
      <w:r w:rsidRPr="00FC1444">
        <w:rPr>
          <w:rFonts w:ascii="Times New Roman" w:hAnsi="Times New Roman" w:cs="Times New Roman"/>
        </w:rPr>
        <w:t>小型的啮齿类为主，取食人类的粮食作物，如各种老鼠。项目所在范围的耕地在评价区内分布较为广泛，主要以种植大豆、玉米、水稻为主。</w:t>
      </w:r>
    </w:p>
    <w:p w:rsidR="002A5A5E" w:rsidRPr="00FC1444" w:rsidRDefault="00611CBA">
      <w:pPr>
        <w:pStyle w:val="2fa"/>
        <w:ind w:firstLine="480"/>
        <w:contextualSpacing/>
        <w:rPr>
          <w:rFonts w:ascii="Times New Roman" w:hAnsi="Times New Roman" w:cs="Times New Roman"/>
        </w:rPr>
      </w:pPr>
      <w:r w:rsidRPr="00FC1444">
        <w:rPr>
          <w:rFonts w:ascii="Times New Roman" w:hAnsi="Times New Roman" w:cs="Times New Roman"/>
        </w:rPr>
        <w:t>2)</w:t>
      </w:r>
      <w:r w:rsidRPr="00FC1444">
        <w:rPr>
          <w:rFonts w:ascii="Times New Roman" w:hAnsi="Times New Roman" w:cs="Times New Roman"/>
        </w:rPr>
        <w:t>水域、湿地生态系统：主要为</w:t>
      </w:r>
      <w:r w:rsidR="00C02588" w:rsidRPr="00FC1444">
        <w:rPr>
          <w:rFonts w:ascii="Times New Roman" w:hAnsi="Times New Roman" w:cs="Times New Roman"/>
          <w:lang w:bidi="en-US"/>
        </w:rPr>
        <w:t>呼兰河、津河及努敏河</w:t>
      </w:r>
      <w:r w:rsidRPr="00FC1444">
        <w:rPr>
          <w:rFonts w:ascii="Times New Roman" w:hAnsi="Times New Roman" w:cs="Times New Roman"/>
        </w:rPr>
        <w:t>。分布有小叶章（</w:t>
      </w:r>
      <w:r w:rsidRPr="00FC1444">
        <w:rPr>
          <w:rFonts w:ascii="Times New Roman" w:hAnsi="Times New Roman" w:cs="Times New Roman"/>
          <w:i/>
          <w:iCs/>
        </w:rPr>
        <w:t>Calamagrastis angustifolia</w:t>
      </w:r>
      <w:r w:rsidRPr="00FC1444">
        <w:rPr>
          <w:rFonts w:ascii="Times New Roman" w:hAnsi="Times New Roman" w:cs="Times New Roman"/>
        </w:rPr>
        <w:t>）</w:t>
      </w:r>
      <w:r w:rsidRPr="00FC1444">
        <w:rPr>
          <w:rFonts w:ascii="Times New Roman" w:hAnsi="Times New Roman" w:cs="Times New Roman"/>
          <w:lang w:bidi="en-US"/>
        </w:rPr>
        <w:t>、芦苇</w:t>
      </w:r>
      <w:r w:rsidRPr="00FC1444">
        <w:rPr>
          <w:rFonts w:ascii="Times New Roman" w:hAnsi="Times New Roman" w:cs="Times New Roman"/>
        </w:rPr>
        <w:t>（</w:t>
      </w:r>
      <w:r w:rsidRPr="00FC1444">
        <w:rPr>
          <w:rFonts w:ascii="Times New Roman" w:hAnsi="Times New Roman" w:cs="Times New Roman"/>
          <w:i/>
        </w:rPr>
        <w:t>Phragmites australis</w:t>
      </w:r>
      <w:r w:rsidRPr="00FC1444">
        <w:rPr>
          <w:rFonts w:ascii="Times New Roman" w:hAnsi="Times New Roman" w:cs="Times New Roman"/>
        </w:rPr>
        <w:t>）等湿生、水生植物。</w:t>
      </w:r>
    </w:p>
    <w:p w:rsidR="002A5A5E" w:rsidRPr="00FC1444" w:rsidRDefault="00611CBA">
      <w:pPr>
        <w:pStyle w:val="2fa"/>
        <w:ind w:firstLine="480"/>
        <w:contextualSpacing/>
        <w:rPr>
          <w:rFonts w:ascii="Times New Roman" w:hAnsi="Times New Roman" w:cs="Times New Roman"/>
        </w:rPr>
      </w:pPr>
      <w:r w:rsidRPr="00FC1444">
        <w:rPr>
          <w:rFonts w:ascii="Times New Roman" w:hAnsi="Times New Roman" w:cs="Times New Roman"/>
        </w:rPr>
        <w:t>3)</w:t>
      </w:r>
      <w:r w:rsidRPr="00FC1444">
        <w:rPr>
          <w:rFonts w:ascii="Times New Roman" w:hAnsi="Times New Roman" w:cs="Times New Roman"/>
        </w:rPr>
        <w:t>森林生态系统：主要分布在渠道及河流沿岸，零散分布于居民区周围，多数为人工林地，以护坡林、田间林为主，少数渠道周边有苗木基地，偶见果园，阔叶林有山杨林（</w:t>
      </w:r>
      <w:r w:rsidRPr="00FC1444">
        <w:rPr>
          <w:rFonts w:ascii="Times New Roman" w:hAnsi="Times New Roman" w:cs="Times New Roman"/>
          <w:i/>
          <w:iCs/>
        </w:rPr>
        <w:t>Populus davidiana</w:t>
      </w:r>
      <w:r w:rsidRPr="00FC1444">
        <w:rPr>
          <w:rFonts w:ascii="Times New Roman" w:hAnsi="Times New Roman" w:cs="Times New Roman"/>
        </w:rPr>
        <w:t>）、蒙古栎林（</w:t>
      </w:r>
      <w:r w:rsidRPr="00FC1444">
        <w:rPr>
          <w:rFonts w:ascii="Times New Roman" w:hAnsi="Times New Roman" w:cs="Times New Roman"/>
          <w:i/>
          <w:iCs/>
        </w:rPr>
        <w:t>Quercus mongolica</w:t>
      </w:r>
      <w:r w:rsidRPr="00FC1444">
        <w:rPr>
          <w:rFonts w:ascii="Times New Roman" w:hAnsi="Times New Roman" w:cs="Times New Roman"/>
        </w:rPr>
        <w:t>）；针叶林有人工落叶松等。项目所在范围森林生态系统中分布的常见野生动物中，两爬类有中华大蟾蜍（</w:t>
      </w:r>
      <w:r w:rsidRPr="00FC1444">
        <w:rPr>
          <w:rFonts w:ascii="Times New Roman" w:hAnsi="Times New Roman" w:cs="Times New Roman"/>
          <w:i/>
        </w:rPr>
        <w:t>Bufo gargarizans</w:t>
      </w:r>
      <w:r w:rsidRPr="00FC1444">
        <w:rPr>
          <w:rFonts w:ascii="Times New Roman" w:hAnsi="Times New Roman" w:cs="Times New Roman"/>
        </w:rPr>
        <w:t>）等，鸟类有大杜鹃（</w:t>
      </w:r>
      <w:r w:rsidRPr="00FC1444">
        <w:rPr>
          <w:rFonts w:ascii="Times New Roman" w:hAnsi="Times New Roman" w:cs="Times New Roman"/>
          <w:i/>
        </w:rPr>
        <w:t>Cuculus canorus</w:t>
      </w:r>
      <w:r w:rsidRPr="00FC1444">
        <w:rPr>
          <w:rFonts w:ascii="Times New Roman" w:hAnsi="Times New Roman" w:cs="Times New Roman"/>
        </w:rPr>
        <w:t>）、麻雀（</w:t>
      </w:r>
      <w:r w:rsidRPr="00FC1444">
        <w:rPr>
          <w:rFonts w:ascii="Times New Roman" w:hAnsi="Times New Roman" w:cs="Times New Roman"/>
          <w:i/>
        </w:rPr>
        <w:t>Passer montanus</w:t>
      </w:r>
      <w:r w:rsidRPr="00FC1444">
        <w:rPr>
          <w:rFonts w:ascii="Times New Roman" w:hAnsi="Times New Roman" w:cs="Times New Roman"/>
        </w:rPr>
        <w:t>）等，兽类有褐家鼠（</w:t>
      </w:r>
      <w:r w:rsidRPr="00FC1444">
        <w:rPr>
          <w:rFonts w:ascii="Times New Roman" w:hAnsi="Times New Roman" w:cs="Times New Roman"/>
          <w:i/>
        </w:rPr>
        <w:t>Rattus norvegicus</w:t>
      </w:r>
      <w:r w:rsidRPr="00FC1444">
        <w:rPr>
          <w:rFonts w:ascii="Times New Roman" w:hAnsi="Times New Roman" w:cs="Times New Roman"/>
        </w:rPr>
        <w:t>）等。两栖类动物分布包括花背蟾蜍（</w:t>
      </w:r>
      <w:r w:rsidRPr="00FC1444">
        <w:rPr>
          <w:rFonts w:ascii="Times New Roman" w:hAnsi="Times New Roman" w:cs="Times New Roman"/>
          <w:i/>
        </w:rPr>
        <w:t>Bufo raddei</w:t>
      </w:r>
      <w:r w:rsidRPr="00FC1444">
        <w:rPr>
          <w:rFonts w:ascii="Times New Roman" w:hAnsi="Times New Roman" w:cs="Times New Roman"/>
        </w:rPr>
        <w:t>）、东北雨蛙（</w:t>
      </w:r>
      <w:r w:rsidRPr="00FC1444">
        <w:rPr>
          <w:rFonts w:ascii="Times New Roman" w:hAnsi="Times New Roman" w:cs="Times New Roman"/>
          <w:i/>
        </w:rPr>
        <w:t>Hyli ussuriensis</w:t>
      </w:r>
      <w:r w:rsidRPr="00FC1444">
        <w:rPr>
          <w:rFonts w:ascii="Times New Roman" w:hAnsi="Times New Roman" w:cs="Times New Roman"/>
        </w:rPr>
        <w:t>）、东北林蛙（</w:t>
      </w:r>
      <w:r w:rsidRPr="00FC1444">
        <w:rPr>
          <w:rFonts w:ascii="Times New Roman" w:hAnsi="Times New Roman" w:cs="Times New Roman"/>
          <w:i/>
        </w:rPr>
        <w:t>Rana dybowskii</w:t>
      </w:r>
      <w:r w:rsidRPr="00FC1444">
        <w:rPr>
          <w:rFonts w:ascii="Times New Roman" w:hAnsi="Times New Roman" w:cs="Times New Roman"/>
        </w:rPr>
        <w:t>）等。</w:t>
      </w:r>
    </w:p>
    <w:p w:rsidR="002A5A5E" w:rsidRPr="00FC1444" w:rsidRDefault="00611CBA">
      <w:pPr>
        <w:pStyle w:val="2fa"/>
        <w:ind w:firstLine="480"/>
        <w:contextualSpacing/>
        <w:rPr>
          <w:rFonts w:ascii="Times New Roman" w:hAnsi="Times New Roman" w:cs="Times New Roman"/>
        </w:rPr>
      </w:pPr>
      <w:r w:rsidRPr="00FC1444">
        <w:rPr>
          <w:rFonts w:ascii="Times New Roman" w:hAnsi="Times New Roman" w:cs="Times New Roman"/>
        </w:rPr>
        <w:t>4)</w:t>
      </w:r>
      <w:r w:rsidRPr="00FC1444">
        <w:rPr>
          <w:rFonts w:ascii="Times New Roman" w:hAnsi="Times New Roman" w:cs="Times New Roman"/>
        </w:rPr>
        <w:t>草地生态系统：在评价区内广泛分布，对本区环境质量有重要的动态控制功能。以狗尾草</w:t>
      </w:r>
      <w:r w:rsidRPr="00FC1444">
        <w:rPr>
          <w:rFonts w:ascii="Times New Roman" w:eastAsia="宋体" w:hAnsi="Times New Roman" w:cs="Times New Roman"/>
          <w:szCs w:val="20"/>
        </w:rPr>
        <w:t>（</w:t>
      </w:r>
      <w:r w:rsidRPr="00FC1444">
        <w:rPr>
          <w:rFonts w:ascii="Times New Roman" w:eastAsia="宋体" w:hAnsi="Times New Roman" w:cs="Times New Roman"/>
          <w:i/>
          <w:iCs/>
          <w:szCs w:val="20"/>
        </w:rPr>
        <w:t>Setaria viridis</w:t>
      </w:r>
      <w:r w:rsidRPr="00FC1444">
        <w:rPr>
          <w:rFonts w:ascii="Times New Roman" w:eastAsia="宋体" w:hAnsi="Times New Roman" w:cs="Times New Roman"/>
          <w:szCs w:val="20"/>
        </w:rPr>
        <w:t>）</w:t>
      </w:r>
      <w:r w:rsidRPr="00FC1444">
        <w:rPr>
          <w:rFonts w:ascii="Times New Roman" w:hAnsi="Times New Roman" w:cs="Times New Roman"/>
        </w:rPr>
        <w:t>、</w:t>
      </w:r>
      <w:r w:rsidRPr="00FC1444">
        <w:rPr>
          <w:rFonts w:ascii="Times New Roman" w:eastAsia="宋体" w:hAnsi="Times New Roman" w:cs="Times New Roman"/>
          <w:szCs w:val="20"/>
        </w:rPr>
        <w:t>青蒿（</w:t>
      </w:r>
      <w:r w:rsidRPr="00FC1444">
        <w:rPr>
          <w:rFonts w:ascii="Times New Roman" w:eastAsia="宋体" w:hAnsi="Times New Roman" w:cs="Times New Roman"/>
          <w:i/>
          <w:iCs/>
          <w:szCs w:val="20"/>
        </w:rPr>
        <w:t>Artemisia carvifolia var. schochii</w:t>
      </w:r>
      <w:r w:rsidRPr="00FC1444">
        <w:rPr>
          <w:rFonts w:ascii="Times New Roman" w:eastAsia="宋体" w:hAnsi="Times New Roman" w:cs="Times New Roman"/>
          <w:szCs w:val="20"/>
        </w:rPr>
        <w:t>）、蒲公英等（</w:t>
      </w:r>
      <w:r w:rsidRPr="00FC1444">
        <w:rPr>
          <w:rFonts w:ascii="Times New Roman" w:eastAsia="宋体" w:hAnsi="Times New Roman" w:cs="Times New Roman"/>
          <w:i/>
          <w:iCs/>
          <w:szCs w:val="20"/>
        </w:rPr>
        <w:t xml:space="preserve">Taraxacum ohwianum </w:t>
      </w:r>
      <w:r w:rsidRPr="00FC1444">
        <w:rPr>
          <w:rFonts w:ascii="Times New Roman" w:eastAsia="宋体" w:hAnsi="Times New Roman" w:cs="Times New Roman"/>
          <w:szCs w:val="20"/>
        </w:rPr>
        <w:t>Kitam.</w:t>
      </w:r>
      <w:r w:rsidRPr="00FC1444">
        <w:rPr>
          <w:rFonts w:ascii="Times New Roman" w:eastAsia="宋体" w:hAnsi="Times New Roman" w:cs="Times New Roman"/>
          <w:szCs w:val="20"/>
        </w:rPr>
        <w:t>）</w:t>
      </w:r>
      <w:r w:rsidRPr="00FC1444">
        <w:rPr>
          <w:rFonts w:ascii="Times New Roman" w:hAnsi="Times New Roman" w:cs="Times New Roman"/>
        </w:rPr>
        <w:t>、杂草为主。项目所在范围草地生态系统中分布的两爬类有黑龙江草蜥（</w:t>
      </w:r>
      <w:r w:rsidRPr="00FC1444">
        <w:rPr>
          <w:rFonts w:ascii="Times New Roman" w:hAnsi="Times New Roman" w:cs="Times New Roman"/>
          <w:i/>
          <w:iCs/>
        </w:rPr>
        <w:t>Takydromus amurensis</w:t>
      </w:r>
      <w:r w:rsidRPr="00FC1444">
        <w:rPr>
          <w:rFonts w:ascii="Times New Roman" w:hAnsi="Times New Roman" w:cs="Times New Roman"/>
        </w:rPr>
        <w:t>）等，兽类有黑线仓鼠（</w:t>
      </w:r>
      <w:r w:rsidRPr="00FC1444">
        <w:rPr>
          <w:rFonts w:ascii="Times New Roman" w:hAnsi="Times New Roman" w:cs="Times New Roman"/>
          <w:i/>
          <w:iCs/>
        </w:rPr>
        <w:t>Cricetulus barabensis</w:t>
      </w:r>
      <w:r w:rsidRPr="00FC1444">
        <w:rPr>
          <w:rFonts w:ascii="Times New Roman" w:hAnsi="Times New Roman" w:cs="Times New Roman"/>
        </w:rPr>
        <w:t>）等，动物种类相对较少。</w:t>
      </w:r>
    </w:p>
    <w:p w:rsidR="002A5A5E" w:rsidRPr="00FC1444" w:rsidRDefault="00611CBA">
      <w:pPr>
        <w:pStyle w:val="2fa"/>
        <w:ind w:firstLine="480"/>
        <w:contextualSpacing/>
        <w:rPr>
          <w:rFonts w:ascii="Times New Roman" w:hAnsi="Times New Roman" w:cs="Times New Roman"/>
        </w:rPr>
      </w:pPr>
      <w:r w:rsidRPr="00FC1444">
        <w:rPr>
          <w:rFonts w:ascii="Times New Roman" w:hAnsi="Times New Roman" w:cs="Times New Roman"/>
        </w:rPr>
        <w:t>5)</w:t>
      </w:r>
      <w:r w:rsidRPr="00FC1444">
        <w:rPr>
          <w:rFonts w:ascii="Times New Roman" w:hAnsi="Times New Roman" w:cs="Times New Roman"/>
        </w:rPr>
        <w:t>城镇生态系统：评价区域内分布较广。在城镇生态系统中，人起着重要的支配作用，这一点与自然生态系统明显不同。评价区内居住地和工矿交通用地都</w:t>
      </w:r>
      <w:r w:rsidRPr="00FC1444">
        <w:rPr>
          <w:rFonts w:ascii="Times New Roman" w:hAnsi="Times New Roman" w:cs="Times New Roman"/>
        </w:rPr>
        <w:lastRenderedPageBreak/>
        <w:t>具有能量流动、物质循环、信息传播等方面的作用，区域内分布着城市中常见的鸟类如家燕（</w:t>
      </w:r>
      <w:r w:rsidRPr="00FC1444">
        <w:rPr>
          <w:rFonts w:ascii="Times New Roman" w:hAnsi="Times New Roman" w:cs="Times New Roman"/>
          <w:i/>
        </w:rPr>
        <w:t>Hirundo rustica</w:t>
      </w:r>
      <w:r w:rsidRPr="00FC1444">
        <w:rPr>
          <w:rFonts w:ascii="Times New Roman" w:hAnsi="Times New Roman" w:cs="Times New Roman"/>
        </w:rPr>
        <w:t>）等；兽类：小家鼠（</w:t>
      </w:r>
      <w:r w:rsidRPr="00FC1444">
        <w:rPr>
          <w:rFonts w:ascii="Times New Roman" w:hAnsi="Times New Roman" w:cs="Times New Roman"/>
          <w:i/>
        </w:rPr>
        <w:t>Mus musculus</w:t>
      </w:r>
      <w:r w:rsidRPr="00FC1444">
        <w:rPr>
          <w:rFonts w:ascii="Times New Roman" w:hAnsi="Times New Roman" w:cs="Times New Roman"/>
        </w:rPr>
        <w:t>）、黑线姬鼠（</w:t>
      </w:r>
      <w:r w:rsidRPr="00FC1444">
        <w:rPr>
          <w:rFonts w:ascii="Times New Roman" w:hAnsi="Times New Roman" w:cs="Times New Roman"/>
          <w:i/>
        </w:rPr>
        <w:t>Apodemus agrarius</w:t>
      </w:r>
      <w:r w:rsidRPr="00FC1444">
        <w:rPr>
          <w:rFonts w:ascii="Times New Roman" w:hAnsi="Times New Roman" w:cs="Times New Roman"/>
        </w:rPr>
        <w:t>）等。</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4.2.7</w:t>
      </w:r>
      <w:r w:rsidRPr="00FC1444">
        <w:rPr>
          <w:rFonts w:eastAsiaTheme="minorEastAsia"/>
          <w:b/>
          <w:bCs/>
          <w:sz w:val="28"/>
          <w:szCs w:val="28"/>
        </w:rPr>
        <w:t>水生生态调查</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bCs/>
          <w:sz w:val="24"/>
        </w:rPr>
        <w:t>4.2.7.1</w:t>
      </w:r>
      <w:r w:rsidR="00DF4950" w:rsidRPr="00FC1444">
        <w:rPr>
          <w:rFonts w:eastAsiaTheme="minorEastAsia"/>
          <w:b/>
          <w:bCs/>
          <w:sz w:val="24"/>
        </w:rPr>
        <w:t>津</w:t>
      </w:r>
      <w:r w:rsidRPr="00FC1444">
        <w:rPr>
          <w:rFonts w:eastAsiaTheme="minorEastAsia"/>
          <w:b/>
          <w:bCs/>
          <w:sz w:val="24"/>
        </w:rPr>
        <w:t>河水生生态调查</w:t>
      </w:r>
    </w:p>
    <w:p w:rsidR="002A5A5E" w:rsidRPr="00FC1444" w:rsidRDefault="00250C31">
      <w:pPr>
        <w:spacing w:line="360" w:lineRule="auto"/>
        <w:ind w:firstLineChars="200" w:firstLine="482"/>
        <w:rPr>
          <w:rFonts w:eastAsiaTheme="minorEastAsia"/>
          <w:b/>
          <w:sz w:val="24"/>
          <w:lang w:bidi="en-US"/>
        </w:rPr>
      </w:pPr>
      <w:r w:rsidRPr="00FC1444">
        <w:rPr>
          <w:rFonts w:eastAsiaTheme="minorEastAsia"/>
          <w:b/>
          <w:sz w:val="24"/>
          <w:lang w:bidi="en-US"/>
        </w:rPr>
        <w:t>（</w:t>
      </w:r>
      <w:r w:rsidRPr="00FC1444">
        <w:rPr>
          <w:rFonts w:eastAsiaTheme="minorEastAsia"/>
          <w:b/>
          <w:sz w:val="24"/>
          <w:lang w:bidi="en-US"/>
        </w:rPr>
        <w:t>1</w:t>
      </w:r>
      <w:r w:rsidRPr="00FC1444">
        <w:rPr>
          <w:rFonts w:eastAsiaTheme="minorEastAsia"/>
          <w:b/>
          <w:sz w:val="24"/>
          <w:lang w:bidi="en-US"/>
        </w:rPr>
        <w:t>）</w:t>
      </w:r>
      <w:r w:rsidR="00611CBA" w:rsidRPr="00FC1444">
        <w:rPr>
          <w:rFonts w:eastAsiaTheme="minorEastAsia"/>
          <w:b/>
          <w:sz w:val="24"/>
          <w:lang w:bidi="en-US"/>
        </w:rPr>
        <w:t>调查范围</w:t>
      </w:r>
    </w:p>
    <w:p w:rsidR="002A5A5E" w:rsidRPr="00FC1444" w:rsidRDefault="00611CBA">
      <w:pPr>
        <w:spacing w:line="360" w:lineRule="auto"/>
        <w:ind w:firstLineChars="200" w:firstLine="480"/>
        <w:contextualSpacing/>
        <w:rPr>
          <w:rFonts w:eastAsiaTheme="minorEastAsia"/>
          <w:snapToGrid w:val="0"/>
          <w:sz w:val="24"/>
          <w:szCs w:val="20"/>
        </w:rPr>
      </w:pPr>
      <w:r w:rsidRPr="00FC1444">
        <w:rPr>
          <w:rFonts w:eastAsiaTheme="minorEastAsia"/>
          <w:sz w:val="24"/>
          <w:lang w:bidi="en-US"/>
        </w:rPr>
        <w:t>本项目</w:t>
      </w:r>
      <w:r w:rsidRPr="00FC1444">
        <w:rPr>
          <w:rFonts w:eastAsiaTheme="minorEastAsia"/>
          <w:snapToGrid w:val="0"/>
          <w:sz w:val="24"/>
          <w:szCs w:val="20"/>
        </w:rPr>
        <w:t>水生生态评价范围与地表水评价范围一致：</w:t>
      </w:r>
    </w:p>
    <w:p w:rsidR="002A5A5E" w:rsidRPr="00FC1444" w:rsidRDefault="002B50A9" w:rsidP="003C598F">
      <w:pPr>
        <w:spacing w:line="360" w:lineRule="auto"/>
        <w:ind w:firstLineChars="200" w:firstLine="480"/>
        <w:contextualSpacing/>
        <w:rPr>
          <w:rFonts w:eastAsiaTheme="minorEastAsia"/>
          <w:snapToGrid w:val="0"/>
          <w:kern w:val="0"/>
          <w:sz w:val="24"/>
        </w:rPr>
      </w:pPr>
      <w:r w:rsidRPr="00FC1444">
        <w:rPr>
          <w:rFonts w:eastAsiaTheme="minorEastAsia"/>
          <w:kern w:val="0"/>
          <w:sz w:val="24"/>
        </w:rPr>
        <w:t>入</w:t>
      </w:r>
      <w:r w:rsidR="003C598F" w:rsidRPr="00FC1444">
        <w:rPr>
          <w:rFonts w:eastAsiaTheme="minorEastAsia" w:hint="eastAsia"/>
          <w:kern w:val="0"/>
          <w:sz w:val="24"/>
        </w:rPr>
        <w:t>津</w:t>
      </w:r>
      <w:r w:rsidR="003C598F" w:rsidRPr="00FC1444">
        <w:rPr>
          <w:rFonts w:eastAsiaTheme="minorEastAsia"/>
          <w:kern w:val="0"/>
          <w:sz w:val="24"/>
        </w:rPr>
        <w:t>河退水口上游</w:t>
      </w:r>
      <w:r w:rsidR="003C598F" w:rsidRPr="00FC1444">
        <w:rPr>
          <w:rFonts w:eastAsiaTheme="minorEastAsia"/>
          <w:kern w:val="0"/>
          <w:sz w:val="24"/>
        </w:rPr>
        <w:t>500m</w:t>
      </w:r>
      <w:r w:rsidR="003C598F" w:rsidRPr="00FC1444">
        <w:rPr>
          <w:rFonts w:eastAsiaTheme="minorEastAsia"/>
          <w:kern w:val="0"/>
          <w:sz w:val="24"/>
        </w:rPr>
        <w:t>至退水口下游</w:t>
      </w:r>
      <w:r w:rsidR="003C598F" w:rsidRPr="00FC1444">
        <w:rPr>
          <w:rFonts w:eastAsiaTheme="minorEastAsia"/>
          <w:kern w:val="0"/>
          <w:sz w:val="24"/>
        </w:rPr>
        <w:t>1000m</w:t>
      </w:r>
      <w:r w:rsidR="003C598F" w:rsidRPr="00FC1444">
        <w:rPr>
          <w:rFonts w:eastAsiaTheme="minorEastAsia"/>
          <w:kern w:val="0"/>
          <w:sz w:val="24"/>
        </w:rPr>
        <w:t>。评价河段长度为</w:t>
      </w:r>
      <w:r w:rsidR="003C598F" w:rsidRPr="00FC1444">
        <w:rPr>
          <w:rFonts w:eastAsiaTheme="minorEastAsia" w:hint="eastAsia"/>
          <w:kern w:val="0"/>
          <w:sz w:val="24"/>
        </w:rPr>
        <w:t>2.5</w:t>
      </w:r>
      <w:r w:rsidR="003C598F" w:rsidRPr="00FC1444">
        <w:rPr>
          <w:rFonts w:eastAsiaTheme="minorEastAsia"/>
          <w:kern w:val="0"/>
          <w:sz w:val="24"/>
        </w:rPr>
        <w:t>km</w:t>
      </w:r>
      <w:r w:rsidR="00611CBA" w:rsidRPr="00FC1444">
        <w:rPr>
          <w:rFonts w:eastAsiaTheme="minorEastAsia"/>
          <w:kern w:val="0"/>
          <w:sz w:val="24"/>
        </w:rPr>
        <w:t>。</w:t>
      </w:r>
    </w:p>
    <w:p w:rsidR="002A5A5E" w:rsidRPr="00FC1444" w:rsidRDefault="00250C31">
      <w:pPr>
        <w:spacing w:line="360" w:lineRule="auto"/>
        <w:ind w:firstLineChars="200" w:firstLine="482"/>
        <w:rPr>
          <w:rFonts w:eastAsiaTheme="minorEastAsia"/>
          <w:b/>
          <w:sz w:val="24"/>
          <w:lang w:bidi="en-US"/>
        </w:rPr>
      </w:pPr>
      <w:r w:rsidRPr="00FC1444">
        <w:rPr>
          <w:rFonts w:eastAsiaTheme="minorEastAsia"/>
          <w:b/>
          <w:sz w:val="24"/>
          <w:lang w:bidi="en-US"/>
        </w:rPr>
        <w:t>（</w:t>
      </w:r>
      <w:r w:rsidRPr="00FC1444">
        <w:rPr>
          <w:rFonts w:eastAsiaTheme="minorEastAsia"/>
          <w:b/>
          <w:sz w:val="24"/>
          <w:lang w:bidi="en-US"/>
        </w:rPr>
        <w:t>2</w:t>
      </w:r>
      <w:r w:rsidRPr="00FC1444">
        <w:rPr>
          <w:rFonts w:eastAsiaTheme="minorEastAsia"/>
          <w:b/>
          <w:sz w:val="24"/>
          <w:lang w:bidi="en-US"/>
        </w:rPr>
        <w:t>）</w:t>
      </w:r>
      <w:r w:rsidR="00611CBA" w:rsidRPr="00FC1444">
        <w:rPr>
          <w:rFonts w:eastAsiaTheme="minorEastAsia"/>
          <w:b/>
          <w:sz w:val="24"/>
          <w:lang w:bidi="en-US"/>
        </w:rPr>
        <w:t>现状调查方法</w:t>
      </w:r>
    </w:p>
    <w:p w:rsidR="002A5A5E" w:rsidRPr="00FC1444" w:rsidRDefault="00611CBA">
      <w:pPr>
        <w:spacing w:line="360" w:lineRule="auto"/>
        <w:ind w:firstLineChars="200" w:firstLine="480"/>
        <w:rPr>
          <w:rFonts w:eastAsiaTheme="minorEastAsia"/>
          <w:sz w:val="24"/>
          <w:lang w:bidi="en-US"/>
        </w:rPr>
      </w:pPr>
      <w:r w:rsidRPr="00FC1444">
        <w:rPr>
          <w:rFonts w:eastAsiaTheme="minorEastAsia"/>
          <w:sz w:val="24"/>
          <w:lang w:bidi="en-US"/>
        </w:rPr>
        <w:t>本次调查方法采用收集资料法及现场调查法。</w:t>
      </w:r>
      <w:r w:rsidRPr="00FC1444">
        <w:rPr>
          <w:rFonts w:eastAsiaTheme="minorEastAsia"/>
          <w:sz w:val="24"/>
          <w:lang w:bidi="en-US"/>
        </w:rPr>
        <w:t xml:space="preserve"> </w:t>
      </w:r>
    </w:p>
    <w:p w:rsidR="002A5A5E" w:rsidRPr="00FC1444" w:rsidRDefault="00250C31">
      <w:pPr>
        <w:pStyle w:val="2fa"/>
        <w:ind w:firstLine="482"/>
        <w:contextualSpacing/>
        <w:rPr>
          <w:rFonts w:ascii="Times New Roman" w:hAnsi="Times New Roman" w:cs="Times New Roman"/>
          <w:b/>
          <w:szCs w:val="24"/>
          <w:lang w:bidi="en-US"/>
        </w:rPr>
      </w:pPr>
      <w:r w:rsidRPr="00FC1444">
        <w:rPr>
          <w:rFonts w:ascii="Times New Roman" w:hAnsi="Times New Roman" w:cs="Times New Roman"/>
          <w:b/>
          <w:lang w:bidi="en-US"/>
        </w:rPr>
        <w:t>（</w:t>
      </w:r>
      <w:r w:rsidRPr="00FC1444">
        <w:rPr>
          <w:rFonts w:ascii="Times New Roman" w:hAnsi="Times New Roman" w:cs="Times New Roman"/>
          <w:b/>
          <w:lang w:bidi="en-US"/>
        </w:rPr>
        <w:t>3</w:t>
      </w:r>
      <w:r w:rsidRPr="00FC1444">
        <w:rPr>
          <w:rFonts w:ascii="Times New Roman" w:hAnsi="Times New Roman" w:cs="Times New Roman"/>
          <w:b/>
          <w:lang w:bidi="en-US"/>
        </w:rPr>
        <w:t>）</w:t>
      </w:r>
      <w:r w:rsidR="00611CBA" w:rsidRPr="00FC1444">
        <w:rPr>
          <w:rFonts w:ascii="Times New Roman" w:hAnsi="Times New Roman" w:cs="Times New Roman"/>
          <w:b/>
          <w:lang w:bidi="en-US"/>
        </w:rPr>
        <w:t>现状调查内容</w:t>
      </w:r>
    </w:p>
    <w:p w:rsidR="002A5A5E" w:rsidRPr="00FC1444" w:rsidRDefault="008B4E2D" w:rsidP="008B4E2D">
      <w:pPr>
        <w:pStyle w:val="2fa"/>
        <w:ind w:firstLine="480"/>
        <w:contextualSpacing/>
        <w:rPr>
          <w:rFonts w:ascii="Times New Roman" w:hAnsi="Times New Roman" w:cs="Times New Roman"/>
          <w:smallCaps/>
          <w:szCs w:val="22"/>
        </w:rPr>
      </w:pPr>
      <w:r w:rsidRPr="00FC1444">
        <w:rPr>
          <w:rFonts w:ascii="Times New Roman" w:hAnsi="Times New Roman" w:cs="Times New Roman"/>
          <w:smallCaps/>
          <w:szCs w:val="24"/>
        </w:rPr>
        <w:t>通过查阅相关历史资料，</w:t>
      </w:r>
      <w:r w:rsidR="00DF4950" w:rsidRPr="00FC1444">
        <w:rPr>
          <w:rFonts w:ascii="Times New Roman" w:cs="Times New Roman"/>
          <w:bCs/>
        </w:rPr>
        <w:t>津</w:t>
      </w:r>
      <w:r w:rsidR="00611CBA" w:rsidRPr="00FC1444">
        <w:rPr>
          <w:rFonts w:ascii="Times New Roman" w:hAnsi="Times New Roman" w:cs="Times New Roman"/>
          <w:szCs w:val="24"/>
          <w:lang w:bidi="en-US"/>
        </w:rPr>
        <w:t>河</w:t>
      </w:r>
      <w:r w:rsidRPr="00FC1444">
        <w:rPr>
          <w:rFonts w:ascii="Times New Roman" w:cs="Times New Roman"/>
        </w:rPr>
        <w:t>浮游植物共</w:t>
      </w:r>
      <w:r w:rsidRPr="00FC1444">
        <w:rPr>
          <w:rFonts w:ascii="Times New Roman" w:hAnsi="Times New Roman" w:cs="Times New Roman"/>
        </w:rPr>
        <w:t>7</w:t>
      </w:r>
      <w:r w:rsidRPr="00FC1444">
        <w:rPr>
          <w:rFonts w:ascii="Times New Roman" w:cs="Times New Roman"/>
        </w:rPr>
        <w:t>门，以硅藻门、绿藻门、蓝藻门占优势，裸藻门、隐藻门、金藻门、甲藻门种类较少</w:t>
      </w:r>
      <w:r w:rsidR="00611CBA" w:rsidRPr="00FC1444">
        <w:rPr>
          <w:rFonts w:ascii="Times New Roman" w:hAnsi="Times New Roman" w:cs="Times New Roman"/>
          <w:smallCaps/>
          <w:szCs w:val="22"/>
        </w:rPr>
        <w:t>。</w:t>
      </w:r>
      <w:r w:rsidRPr="00FC1444">
        <w:rPr>
          <w:rFonts w:ascii="Times New Roman" w:cs="Times New Roman"/>
        </w:rPr>
        <w:t>浮游动物由原生动物、轮虫类、枝角类、桡足类</w:t>
      </w:r>
      <w:r w:rsidRPr="00FC1444">
        <w:rPr>
          <w:rFonts w:ascii="Times New Roman" w:hAnsi="Times New Roman" w:cs="Times New Roman"/>
        </w:rPr>
        <w:t>4</w:t>
      </w:r>
      <w:r w:rsidRPr="00FC1444">
        <w:rPr>
          <w:rFonts w:ascii="Times New Roman" w:cs="Times New Roman"/>
        </w:rPr>
        <w:t>大类构成，轮虫类物种数最多，是津河优势类群。津河底质多淤泥、泥沙，底栖动物以耐污类群占主导，水生昆虫、环节动物占优势，软体动物局部分布，敏感型种类稀少。鱼类以鲤科广布小型、耐污种类为主，受河道季节性断流、水量波动、闸坝阻隔影响，鱼类资源有限，无大型洄游鱼类，主要有鲫鱼、鲤鱼、麦穗鱼、泥鳅、黄颡鱼、葛氏鲈塘鳢等。</w:t>
      </w:r>
    </w:p>
    <w:p w:rsidR="002A5A5E" w:rsidRPr="00FC1444" w:rsidRDefault="00611CBA">
      <w:pPr>
        <w:autoSpaceDE w:val="0"/>
        <w:autoSpaceDN w:val="0"/>
        <w:spacing w:before="100" w:beforeAutospacing="1" w:after="100" w:afterAutospacing="1"/>
        <w:outlineLvl w:val="3"/>
        <w:rPr>
          <w:rFonts w:eastAsiaTheme="minorEastAsia"/>
          <w:b/>
          <w:sz w:val="24"/>
        </w:rPr>
      </w:pPr>
      <w:bookmarkStart w:id="112" w:name="_Hlk86915827"/>
      <w:r w:rsidRPr="00FC1444">
        <w:rPr>
          <w:rFonts w:eastAsiaTheme="minorEastAsia"/>
          <w:b/>
          <w:bCs/>
          <w:sz w:val="24"/>
        </w:rPr>
        <w:t>4.2.7.2</w:t>
      </w:r>
      <w:r w:rsidR="00C02588" w:rsidRPr="00FC1444">
        <w:rPr>
          <w:rFonts w:eastAsiaTheme="minorEastAsia" w:hint="eastAsia"/>
          <w:b/>
          <w:bCs/>
          <w:sz w:val="24"/>
        </w:rPr>
        <w:t>呼兰河</w:t>
      </w:r>
      <w:r w:rsidRPr="00FC1444">
        <w:rPr>
          <w:rFonts w:eastAsiaTheme="minorEastAsia"/>
          <w:b/>
          <w:bCs/>
          <w:sz w:val="24"/>
        </w:rPr>
        <w:t>水生生态调查</w:t>
      </w:r>
    </w:p>
    <w:p w:rsidR="002A5A5E" w:rsidRPr="00FC1444" w:rsidRDefault="00250C31">
      <w:pPr>
        <w:spacing w:line="360" w:lineRule="auto"/>
        <w:ind w:firstLineChars="200" w:firstLine="482"/>
        <w:rPr>
          <w:rFonts w:eastAsiaTheme="minorEastAsia"/>
          <w:b/>
          <w:sz w:val="24"/>
          <w:lang w:bidi="en-US"/>
        </w:rPr>
      </w:pPr>
      <w:r w:rsidRPr="00FC1444">
        <w:rPr>
          <w:rFonts w:eastAsiaTheme="minorEastAsia"/>
          <w:b/>
          <w:sz w:val="24"/>
          <w:lang w:bidi="en-US"/>
        </w:rPr>
        <w:t>（</w:t>
      </w:r>
      <w:r w:rsidRPr="00FC1444">
        <w:rPr>
          <w:rFonts w:eastAsiaTheme="minorEastAsia"/>
          <w:b/>
          <w:sz w:val="24"/>
          <w:lang w:bidi="en-US"/>
        </w:rPr>
        <w:t>1</w:t>
      </w:r>
      <w:r w:rsidRPr="00FC1444">
        <w:rPr>
          <w:rFonts w:eastAsiaTheme="minorEastAsia"/>
          <w:b/>
          <w:sz w:val="24"/>
          <w:lang w:bidi="en-US"/>
        </w:rPr>
        <w:t>）</w:t>
      </w:r>
      <w:r w:rsidR="00611CBA" w:rsidRPr="00FC1444">
        <w:rPr>
          <w:rFonts w:eastAsiaTheme="minorEastAsia"/>
          <w:b/>
          <w:sz w:val="24"/>
          <w:lang w:bidi="en-US"/>
        </w:rPr>
        <w:t>调查范围</w:t>
      </w:r>
    </w:p>
    <w:p w:rsidR="002A5A5E" w:rsidRPr="00FC1444" w:rsidRDefault="00611CBA">
      <w:pPr>
        <w:spacing w:line="360" w:lineRule="auto"/>
        <w:ind w:firstLineChars="200" w:firstLine="480"/>
        <w:contextualSpacing/>
        <w:rPr>
          <w:rFonts w:eastAsiaTheme="minorEastAsia"/>
          <w:snapToGrid w:val="0"/>
          <w:sz w:val="24"/>
          <w:szCs w:val="20"/>
        </w:rPr>
      </w:pPr>
      <w:r w:rsidRPr="00FC1444">
        <w:rPr>
          <w:rFonts w:eastAsiaTheme="minorEastAsia"/>
          <w:sz w:val="24"/>
          <w:lang w:bidi="en-US"/>
        </w:rPr>
        <w:t>本项目</w:t>
      </w:r>
      <w:r w:rsidRPr="00FC1444">
        <w:rPr>
          <w:rFonts w:eastAsiaTheme="minorEastAsia"/>
          <w:snapToGrid w:val="0"/>
          <w:sz w:val="24"/>
          <w:szCs w:val="20"/>
        </w:rPr>
        <w:t>水生生态评价范围与地表水评价范围一致：</w:t>
      </w:r>
    </w:p>
    <w:p w:rsidR="002A5A5E" w:rsidRPr="00FC1444" w:rsidRDefault="002B50A9" w:rsidP="00785D0F">
      <w:pPr>
        <w:spacing w:line="360" w:lineRule="auto"/>
        <w:ind w:firstLineChars="200" w:firstLine="480"/>
        <w:contextualSpacing/>
        <w:rPr>
          <w:rFonts w:eastAsiaTheme="minorEastAsia"/>
          <w:snapToGrid w:val="0"/>
          <w:sz w:val="24"/>
          <w:szCs w:val="20"/>
        </w:rPr>
      </w:pPr>
      <w:r w:rsidRPr="00FC1444">
        <w:rPr>
          <w:rFonts w:eastAsiaTheme="minorEastAsia"/>
          <w:kern w:val="0"/>
          <w:sz w:val="24"/>
        </w:rPr>
        <w:t>入</w:t>
      </w:r>
      <w:r w:rsidR="003C598F" w:rsidRPr="00FC1444">
        <w:rPr>
          <w:rFonts w:eastAsiaTheme="minorEastAsia" w:hint="eastAsia"/>
          <w:kern w:val="0"/>
          <w:sz w:val="24"/>
        </w:rPr>
        <w:t>呼兰河</w:t>
      </w:r>
      <w:r w:rsidR="003C598F" w:rsidRPr="00FC1444">
        <w:rPr>
          <w:rFonts w:eastAsiaTheme="minorEastAsia"/>
          <w:kern w:val="0"/>
          <w:sz w:val="24"/>
        </w:rPr>
        <w:t>退水口</w:t>
      </w:r>
      <w:r w:rsidR="003C598F" w:rsidRPr="00FC1444">
        <w:rPr>
          <w:rFonts w:eastAsiaTheme="minorEastAsia"/>
          <w:snapToGrid w:val="0"/>
          <w:kern w:val="0"/>
          <w:sz w:val="24"/>
        </w:rPr>
        <w:t>上游</w:t>
      </w:r>
      <w:r w:rsidR="003C598F" w:rsidRPr="00FC1444">
        <w:rPr>
          <w:rFonts w:eastAsiaTheme="minorEastAsia"/>
          <w:kern w:val="0"/>
          <w:sz w:val="24"/>
        </w:rPr>
        <w:t>500m</w:t>
      </w:r>
      <w:r w:rsidR="003C598F" w:rsidRPr="00FC1444">
        <w:rPr>
          <w:rFonts w:eastAsiaTheme="minorEastAsia"/>
          <w:kern w:val="0"/>
          <w:sz w:val="24"/>
        </w:rPr>
        <w:t>至退水口下游</w:t>
      </w:r>
      <w:r w:rsidR="003C598F" w:rsidRPr="00FC1444">
        <w:rPr>
          <w:rFonts w:eastAsiaTheme="minorEastAsia"/>
          <w:kern w:val="0"/>
          <w:sz w:val="24"/>
        </w:rPr>
        <w:t>1000m</w:t>
      </w:r>
      <w:r w:rsidR="003C598F" w:rsidRPr="00FC1444">
        <w:rPr>
          <w:rFonts w:eastAsiaTheme="minorEastAsia"/>
          <w:kern w:val="0"/>
          <w:sz w:val="24"/>
        </w:rPr>
        <w:t>；绥胜干沟汇入呼兰河口</w:t>
      </w:r>
      <w:r w:rsidR="003C598F" w:rsidRPr="00FC1444">
        <w:rPr>
          <w:rFonts w:eastAsiaTheme="minorEastAsia"/>
          <w:snapToGrid w:val="0"/>
          <w:kern w:val="0"/>
          <w:sz w:val="24"/>
        </w:rPr>
        <w:t>上游</w:t>
      </w:r>
      <w:r w:rsidR="003C598F" w:rsidRPr="00FC1444">
        <w:rPr>
          <w:rFonts w:eastAsiaTheme="minorEastAsia"/>
          <w:kern w:val="0"/>
          <w:sz w:val="24"/>
        </w:rPr>
        <w:t>500m</w:t>
      </w:r>
      <w:r w:rsidR="003C598F" w:rsidRPr="00FC1444">
        <w:rPr>
          <w:rFonts w:eastAsiaTheme="minorEastAsia"/>
          <w:kern w:val="0"/>
          <w:sz w:val="24"/>
        </w:rPr>
        <w:t>至下游</w:t>
      </w:r>
      <w:r w:rsidR="003C598F" w:rsidRPr="00FC1444">
        <w:rPr>
          <w:rFonts w:eastAsiaTheme="minorEastAsia"/>
          <w:kern w:val="0"/>
          <w:sz w:val="24"/>
        </w:rPr>
        <w:t>1000m</w:t>
      </w:r>
      <w:r w:rsidR="00341992" w:rsidRPr="00FC1444">
        <w:rPr>
          <w:rFonts w:eastAsiaTheme="minorEastAsia"/>
          <w:kern w:val="0"/>
          <w:sz w:val="24"/>
        </w:rPr>
        <w:t>。评价河段长度共</w:t>
      </w:r>
      <w:r w:rsidR="003C598F" w:rsidRPr="00FC1444">
        <w:rPr>
          <w:rFonts w:eastAsiaTheme="minorEastAsia" w:hint="eastAsia"/>
          <w:kern w:val="0"/>
          <w:sz w:val="24"/>
        </w:rPr>
        <w:t>4.5</w:t>
      </w:r>
      <w:r w:rsidR="003C598F" w:rsidRPr="00FC1444">
        <w:rPr>
          <w:rFonts w:eastAsiaTheme="minorEastAsia"/>
          <w:kern w:val="0"/>
          <w:sz w:val="24"/>
        </w:rPr>
        <w:t>km</w:t>
      </w:r>
      <w:r w:rsidR="00611CBA" w:rsidRPr="00FC1444">
        <w:rPr>
          <w:rFonts w:eastAsiaTheme="minorEastAsia"/>
          <w:kern w:val="0"/>
          <w:sz w:val="24"/>
        </w:rPr>
        <w:t>。</w:t>
      </w:r>
    </w:p>
    <w:p w:rsidR="002A5A5E" w:rsidRPr="00FC1444" w:rsidRDefault="00250C31">
      <w:pPr>
        <w:spacing w:line="360" w:lineRule="auto"/>
        <w:ind w:firstLineChars="200" w:firstLine="482"/>
        <w:rPr>
          <w:rFonts w:eastAsiaTheme="minorEastAsia"/>
          <w:b/>
          <w:sz w:val="24"/>
          <w:lang w:bidi="en-US"/>
        </w:rPr>
      </w:pPr>
      <w:r w:rsidRPr="00FC1444">
        <w:rPr>
          <w:rFonts w:eastAsiaTheme="minorEastAsia"/>
          <w:b/>
          <w:sz w:val="24"/>
          <w:lang w:bidi="en-US"/>
        </w:rPr>
        <w:t>（</w:t>
      </w:r>
      <w:r w:rsidRPr="00FC1444">
        <w:rPr>
          <w:rFonts w:eastAsiaTheme="minorEastAsia"/>
          <w:b/>
          <w:sz w:val="24"/>
          <w:lang w:bidi="en-US"/>
        </w:rPr>
        <w:t>2</w:t>
      </w:r>
      <w:r w:rsidRPr="00FC1444">
        <w:rPr>
          <w:rFonts w:eastAsiaTheme="minorEastAsia"/>
          <w:b/>
          <w:sz w:val="24"/>
          <w:lang w:bidi="en-US"/>
        </w:rPr>
        <w:t>）</w:t>
      </w:r>
      <w:r w:rsidR="00611CBA" w:rsidRPr="00FC1444">
        <w:rPr>
          <w:rFonts w:eastAsiaTheme="minorEastAsia"/>
          <w:b/>
          <w:sz w:val="24"/>
          <w:lang w:bidi="en-US"/>
        </w:rPr>
        <w:t>现状调查方法</w:t>
      </w:r>
    </w:p>
    <w:p w:rsidR="002A5A5E" w:rsidRPr="00FC1444" w:rsidRDefault="00DF4950">
      <w:pPr>
        <w:spacing w:line="360" w:lineRule="auto"/>
        <w:ind w:firstLineChars="200" w:firstLine="480"/>
        <w:rPr>
          <w:rFonts w:eastAsiaTheme="minorEastAsia"/>
          <w:sz w:val="24"/>
          <w:lang w:bidi="en-US"/>
        </w:rPr>
      </w:pPr>
      <w:r w:rsidRPr="00FC1444">
        <w:rPr>
          <w:rFonts w:eastAsiaTheme="minorEastAsia"/>
          <w:sz w:val="24"/>
          <w:lang w:bidi="en-US"/>
        </w:rPr>
        <w:t>本次调查方法采用收集资料法及现场调查法，生态环境与水生生物资源监测依据《内陆水域渔业自然资源调查手册》，并参照《渔业生态环境监测规范第</w:t>
      </w:r>
      <w:r w:rsidRPr="00FC1444">
        <w:rPr>
          <w:rFonts w:eastAsiaTheme="minorEastAsia"/>
          <w:sz w:val="24"/>
          <w:lang w:bidi="en-US"/>
        </w:rPr>
        <w:t>3</w:t>
      </w:r>
      <w:r w:rsidRPr="00FC1444">
        <w:rPr>
          <w:rFonts w:eastAsiaTheme="minorEastAsia"/>
          <w:sz w:val="24"/>
          <w:lang w:bidi="en-US"/>
        </w:rPr>
        <w:t>部分：淡水》（</w:t>
      </w:r>
      <w:r w:rsidRPr="00FC1444">
        <w:rPr>
          <w:rFonts w:eastAsiaTheme="minorEastAsia"/>
          <w:sz w:val="24"/>
          <w:lang w:bidi="en-US"/>
        </w:rPr>
        <w:t>SC/T9102.3-2007</w:t>
      </w:r>
      <w:r w:rsidRPr="00FC1444">
        <w:rPr>
          <w:rFonts w:eastAsiaTheme="minorEastAsia"/>
          <w:sz w:val="24"/>
          <w:lang w:bidi="en-US"/>
        </w:rPr>
        <w:t>）进行</w:t>
      </w:r>
      <w:r w:rsidR="00611CBA" w:rsidRPr="00FC1444">
        <w:rPr>
          <w:rFonts w:eastAsiaTheme="minorEastAsia"/>
          <w:sz w:val="24"/>
          <w:lang w:bidi="en-US"/>
        </w:rPr>
        <w:t>。</w:t>
      </w:r>
    </w:p>
    <w:p w:rsidR="002A5A5E" w:rsidRPr="00FC1444" w:rsidRDefault="00250C31">
      <w:pPr>
        <w:pStyle w:val="2fa"/>
        <w:ind w:firstLineChars="0" w:firstLine="480"/>
        <w:contextualSpacing/>
        <w:rPr>
          <w:rFonts w:ascii="Times New Roman" w:hAnsi="Times New Roman" w:cs="Times New Roman"/>
          <w:b/>
          <w:smallCaps/>
          <w:szCs w:val="24"/>
        </w:rPr>
      </w:pPr>
      <w:r w:rsidRPr="00FC1444">
        <w:rPr>
          <w:rFonts w:ascii="Times New Roman" w:hAnsi="Times New Roman" w:cs="Times New Roman"/>
          <w:b/>
          <w:lang w:bidi="en-US"/>
        </w:rPr>
        <w:lastRenderedPageBreak/>
        <w:t>（</w:t>
      </w:r>
      <w:r w:rsidRPr="00FC1444">
        <w:rPr>
          <w:rFonts w:ascii="Times New Roman" w:hAnsi="Times New Roman" w:cs="Times New Roman"/>
          <w:b/>
          <w:lang w:bidi="en-US"/>
        </w:rPr>
        <w:t>3</w:t>
      </w:r>
      <w:r w:rsidRPr="00FC1444">
        <w:rPr>
          <w:rFonts w:ascii="Times New Roman" w:hAnsi="Times New Roman" w:cs="Times New Roman"/>
          <w:b/>
          <w:lang w:bidi="en-US"/>
        </w:rPr>
        <w:t>）</w:t>
      </w:r>
      <w:r w:rsidR="00611CBA" w:rsidRPr="00FC1444">
        <w:rPr>
          <w:rFonts w:ascii="Times New Roman" w:hAnsi="Times New Roman" w:cs="Times New Roman"/>
          <w:b/>
          <w:lang w:bidi="en-US"/>
        </w:rPr>
        <w:t>现状调查内容</w:t>
      </w:r>
    </w:p>
    <w:p w:rsidR="002A5A5E" w:rsidRPr="00FC1444" w:rsidRDefault="00DF4950" w:rsidP="006906AD">
      <w:pPr>
        <w:pStyle w:val="2fa"/>
        <w:ind w:firstLine="480"/>
        <w:contextualSpacing/>
        <w:rPr>
          <w:rFonts w:ascii="Times New Roman" w:hAnsi="Times New Roman" w:cs="Times New Roman"/>
        </w:rPr>
      </w:pPr>
      <w:r w:rsidRPr="00FC1444">
        <w:rPr>
          <w:rFonts w:ascii="Times New Roman" w:hAnsi="Times New Roman" w:cs="Times New Roman"/>
          <w:smallCaps/>
          <w:szCs w:val="24"/>
        </w:rPr>
        <w:t>通过查阅相关历史资料，呼兰河</w:t>
      </w:r>
      <w:r w:rsidRPr="00FC1444">
        <w:rPr>
          <w:rFonts w:ascii="Times New Roman" w:hAnsi="Times New Roman" w:cs="Times New Roman"/>
          <w:smallCaps/>
        </w:rPr>
        <w:t>水域浮游植物经鉴定共计</w:t>
      </w:r>
      <w:r w:rsidRPr="00FC1444">
        <w:rPr>
          <w:rFonts w:ascii="Times New Roman" w:hAnsi="Times New Roman" w:cs="Times New Roman"/>
          <w:smallCaps/>
        </w:rPr>
        <w:t xml:space="preserve">7 </w:t>
      </w:r>
      <w:r w:rsidRPr="00FC1444">
        <w:rPr>
          <w:rFonts w:ascii="Times New Roman" w:hAnsi="Times New Roman" w:cs="Times New Roman"/>
          <w:smallCaps/>
        </w:rPr>
        <w:t>门</w:t>
      </w:r>
      <w:r w:rsidRPr="00FC1444">
        <w:rPr>
          <w:rFonts w:ascii="Times New Roman" w:hAnsi="Times New Roman" w:cs="Times New Roman"/>
          <w:smallCaps/>
        </w:rPr>
        <w:t>40</w:t>
      </w:r>
      <w:r w:rsidRPr="00FC1444">
        <w:rPr>
          <w:rFonts w:ascii="Times New Roman" w:hAnsi="Times New Roman" w:cs="Times New Roman"/>
          <w:smallCaps/>
        </w:rPr>
        <w:t>种属。其中，绿藻门最多为</w:t>
      </w:r>
      <w:r w:rsidRPr="00FC1444">
        <w:rPr>
          <w:rFonts w:ascii="Times New Roman" w:hAnsi="Times New Roman" w:cs="Times New Roman"/>
          <w:smallCaps/>
        </w:rPr>
        <w:t>14</w:t>
      </w:r>
      <w:r w:rsidRPr="00FC1444">
        <w:rPr>
          <w:rFonts w:ascii="Times New Roman" w:hAnsi="Times New Roman" w:cs="Times New Roman"/>
          <w:smallCaps/>
        </w:rPr>
        <w:t>种属，硅藻门次之为</w:t>
      </w:r>
      <w:r w:rsidRPr="00FC1444">
        <w:rPr>
          <w:rFonts w:ascii="Times New Roman" w:hAnsi="Times New Roman" w:cs="Times New Roman"/>
          <w:smallCaps/>
        </w:rPr>
        <w:t>14</w:t>
      </w:r>
      <w:r w:rsidRPr="00FC1444">
        <w:rPr>
          <w:rFonts w:ascii="Times New Roman" w:hAnsi="Times New Roman" w:cs="Times New Roman"/>
          <w:smallCaps/>
        </w:rPr>
        <w:t>种属，蓝藻门为</w:t>
      </w:r>
      <w:r w:rsidRPr="00FC1444">
        <w:rPr>
          <w:rFonts w:ascii="Times New Roman" w:hAnsi="Times New Roman" w:cs="Times New Roman"/>
          <w:smallCaps/>
        </w:rPr>
        <w:t>9</w:t>
      </w:r>
      <w:r w:rsidRPr="00FC1444">
        <w:rPr>
          <w:rFonts w:ascii="Times New Roman" w:hAnsi="Times New Roman" w:cs="Times New Roman"/>
          <w:smallCaps/>
        </w:rPr>
        <w:t>种属，金藻门和隐藻门</w:t>
      </w:r>
      <w:r w:rsidRPr="00FC1444">
        <w:rPr>
          <w:rFonts w:ascii="Times New Roman" w:hAnsi="Times New Roman" w:cs="Times New Roman"/>
          <w:smallCaps/>
        </w:rPr>
        <w:t>1</w:t>
      </w:r>
      <w:r w:rsidRPr="00FC1444">
        <w:rPr>
          <w:rFonts w:ascii="Times New Roman" w:hAnsi="Times New Roman" w:cs="Times New Roman"/>
          <w:smallCaps/>
        </w:rPr>
        <w:t>种属，裸藻门和甲藻门为</w:t>
      </w:r>
      <w:r w:rsidRPr="00FC1444">
        <w:rPr>
          <w:rFonts w:ascii="Times New Roman" w:hAnsi="Times New Roman" w:cs="Times New Roman"/>
          <w:smallCaps/>
        </w:rPr>
        <w:t>1</w:t>
      </w:r>
      <w:r w:rsidRPr="00FC1444">
        <w:rPr>
          <w:rFonts w:ascii="Times New Roman" w:hAnsi="Times New Roman" w:cs="Times New Roman"/>
          <w:smallCaps/>
        </w:rPr>
        <w:t>种属。</w:t>
      </w:r>
      <w:r w:rsidRPr="00FC1444">
        <w:rPr>
          <w:rFonts w:ascii="Times New Roman" w:cs="Times New Roman"/>
          <w:spacing w:val="-2"/>
        </w:rPr>
        <w:t>浮游动物共计</w:t>
      </w:r>
      <w:r w:rsidRPr="00FC1444">
        <w:rPr>
          <w:rFonts w:ascii="Times New Roman" w:hAnsi="Times New Roman" w:cs="Times New Roman"/>
          <w:spacing w:val="-2"/>
        </w:rPr>
        <w:t>4</w:t>
      </w:r>
      <w:r w:rsidRPr="00FC1444">
        <w:rPr>
          <w:rFonts w:ascii="Times New Roman" w:cs="Times New Roman"/>
          <w:spacing w:val="-2"/>
        </w:rPr>
        <w:t>类</w:t>
      </w:r>
      <w:r w:rsidRPr="00FC1444">
        <w:rPr>
          <w:rFonts w:ascii="Times New Roman" w:hAnsi="Times New Roman" w:cs="Times New Roman"/>
          <w:spacing w:val="-2"/>
        </w:rPr>
        <w:t>25</w:t>
      </w:r>
      <w:r w:rsidRPr="00FC1444">
        <w:rPr>
          <w:rFonts w:ascii="Times New Roman" w:cs="Times New Roman"/>
          <w:spacing w:val="-2"/>
        </w:rPr>
        <w:t>种属。其中，轮虫种数最多为</w:t>
      </w:r>
      <w:r w:rsidRPr="00FC1444">
        <w:rPr>
          <w:rFonts w:ascii="Times New Roman" w:hAnsi="Times New Roman" w:cs="Times New Roman"/>
          <w:spacing w:val="-2"/>
        </w:rPr>
        <w:t>11</w:t>
      </w:r>
      <w:r w:rsidRPr="00FC1444">
        <w:rPr>
          <w:rFonts w:ascii="Times New Roman" w:cs="Times New Roman"/>
          <w:spacing w:val="-2"/>
        </w:rPr>
        <w:t>种属，枝角类、桡足类和原生动物为</w:t>
      </w:r>
      <w:r w:rsidRPr="00FC1444">
        <w:rPr>
          <w:rFonts w:ascii="Times New Roman" w:hAnsi="Times New Roman" w:cs="Times New Roman"/>
          <w:spacing w:val="-2"/>
        </w:rPr>
        <w:t>4</w:t>
      </w:r>
      <w:r w:rsidRPr="00FC1444">
        <w:rPr>
          <w:rFonts w:ascii="Times New Roman" w:cs="Times New Roman"/>
          <w:spacing w:val="-2"/>
        </w:rPr>
        <w:t>种属。底栖动物共计</w:t>
      </w:r>
      <w:r w:rsidRPr="00FC1444">
        <w:rPr>
          <w:rFonts w:ascii="Times New Roman" w:hAnsi="Times New Roman" w:cs="Times New Roman"/>
          <w:spacing w:val="-2"/>
        </w:rPr>
        <w:t>12</w:t>
      </w:r>
      <w:r w:rsidRPr="00FC1444">
        <w:rPr>
          <w:rFonts w:ascii="Times New Roman" w:cs="Times New Roman"/>
          <w:spacing w:val="-2"/>
        </w:rPr>
        <w:t>目</w:t>
      </w:r>
      <w:r w:rsidRPr="00FC1444">
        <w:rPr>
          <w:rFonts w:ascii="Times New Roman" w:hAnsi="Times New Roman" w:cs="Times New Roman"/>
          <w:spacing w:val="-2"/>
        </w:rPr>
        <w:t>19</w:t>
      </w:r>
      <w:r w:rsidRPr="00FC1444">
        <w:rPr>
          <w:rFonts w:ascii="Times New Roman" w:cs="Times New Roman"/>
          <w:spacing w:val="-2"/>
        </w:rPr>
        <w:t>科</w:t>
      </w:r>
      <w:r w:rsidRPr="00FC1444">
        <w:rPr>
          <w:rFonts w:ascii="Times New Roman" w:hAnsi="Times New Roman" w:cs="Times New Roman"/>
          <w:spacing w:val="-2"/>
        </w:rPr>
        <w:t>26</w:t>
      </w:r>
      <w:r w:rsidRPr="00FC1444">
        <w:rPr>
          <w:rFonts w:ascii="Times New Roman" w:cs="Times New Roman"/>
          <w:spacing w:val="-2"/>
        </w:rPr>
        <w:t>种，其中水生昆虫</w:t>
      </w:r>
      <w:r w:rsidRPr="00FC1444">
        <w:rPr>
          <w:rFonts w:ascii="Times New Roman" w:hAnsi="Times New Roman" w:cs="Times New Roman"/>
          <w:spacing w:val="-2"/>
        </w:rPr>
        <w:t>11</w:t>
      </w:r>
      <w:r w:rsidRPr="00FC1444">
        <w:rPr>
          <w:rFonts w:ascii="Times New Roman" w:cs="Times New Roman"/>
          <w:spacing w:val="-2"/>
        </w:rPr>
        <w:t>种，隶属于</w:t>
      </w:r>
      <w:r w:rsidRPr="00FC1444">
        <w:rPr>
          <w:rFonts w:ascii="Times New Roman" w:hAnsi="Times New Roman" w:cs="Times New Roman"/>
          <w:spacing w:val="-2"/>
        </w:rPr>
        <w:t>5</w:t>
      </w:r>
      <w:r w:rsidRPr="00FC1444">
        <w:rPr>
          <w:rFonts w:ascii="Times New Roman" w:cs="Times New Roman"/>
          <w:spacing w:val="-2"/>
        </w:rPr>
        <w:t>目</w:t>
      </w:r>
      <w:r w:rsidRPr="00FC1444">
        <w:rPr>
          <w:rFonts w:ascii="Times New Roman" w:hAnsi="Times New Roman" w:cs="Times New Roman"/>
          <w:spacing w:val="-2"/>
        </w:rPr>
        <w:t>8</w:t>
      </w:r>
      <w:r w:rsidRPr="00FC1444">
        <w:rPr>
          <w:rFonts w:ascii="Times New Roman" w:cs="Times New Roman"/>
          <w:spacing w:val="-2"/>
        </w:rPr>
        <w:t>科；软体</w:t>
      </w:r>
      <w:r w:rsidRPr="00FC1444">
        <w:rPr>
          <w:rFonts w:ascii="Times New Roman" w:hAnsi="Times New Roman" w:cs="Times New Roman"/>
          <w:spacing w:val="-2"/>
        </w:rPr>
        <w:t xml:space="preserve"> </w:t>
      </w:r>
      <w:r w:rsidRPr="00FC1444">
        <w:rPr>
          <w:rFonts w:ascii="Times New Roman" w:cs="Times New Roman"/>
          <w:spacing w:val="-2"/>
        </w:rPr>
        <w:t>动物</w:t>
      </w:r>
      <w:r w:rsidRPr="00FC1444">
        <w:rPr>
          <w:rFonts w:ascii="Times New Roman" w:hAnsi="Times New Roman" w:cs="Times New Roman"/>
          <w:spacing w:val="-2"/>
        </w:rPr>
        <w:t>8</w:t>
      </w:r>
      <w:r w:rsidRPr="00FC1444">
        <w:rPr>
          <w:rFonts w:ascii="Times New Roman" w:cs="Times New Roman"/>
          <w:spacing w:val="-2"/>
        </w:rPr>
        <w:t>种，隶属于</w:t>
      </w:r>
      <w:r w:rsidRPr="00FC1444">
        <w:rPr>
          <w:rFonts w:ascii="Times New Roman" w:hAnsi="Times New Roman" w:cs="Times New Roman"/>
          <w:spacing w:val="-2"/>
        </w:rPr>
        <w:t>3</w:t>
      </w:r>
      <w:r w:rsidRPr="00FC1444">
        <w:rPr>
          <w:rFonts w:ascii="Times New Roman" w:cs="Times New Roman"/>
          <w:spacing w:val="-2"/>
        </w:rPr>
        <w:t>目</w:t>
      </w:r>
      <w:r w:rsidRPr="00FC1444">
        <w:rPr>
          <w:rFonts w:ascii="Times New Roman" w:hAnsi="Times New Roman" w:cs="Times New Roman"/>
          <w:spacing w:val="-2"/>
        </w:rPr>
        <w:t>7</w:t>
      </w:r>
      <w:r w:rsidRPr="00FC1444">
        <w:rPr>
          <w:rFonts w:ascii="Times New Roman" w:cs="Times New Roman"/>
          <w:spacing w:val="-2"/>
        </w:rPr>
        <w:t>科；环节动物</w:t>
      </w:r>
      <w:r w:rsidRPr="00FC1444">
        <w:rPr>
          <w:rFonts w:ascii="Times New Roman" w:hAnsi="Times New Roman" w:cs="Times New Roman"/>
          <w:spacing w:val="-2"/>
        </w:rPr>
        <w:t>3</w:t>
      </w:r>
      <w:r w:rsidRPr="00FC1444">
        <w:rPr>
          <w:rFonts w:ascii="Times New Roman" w:cs="Times New Roman"/>
          <w:spacing w:val="-2"/>
        </w:rPr>
        <w:t>种，隶属于</w:t>
      </w:r>
      <w:r w:rsidRPr="00FC1444">
        <w:rPr>
          <w:rFonts w:ascii="Times New Roman" w:hAnsi="Times New Roman" w:cs="Times New Roman"/>
          <w:spacing w:val="-2"/>
        </w:rPr>
        <w:t>2</w:t>
      </w:r>
      <w:r w:rsidRPr="00FC1444">
        <w:rPr>
          <w:rFonts w:ascii="Times New Roman" w:cs="Times New Roman"/>
          <w:spacing w:val="-2"/>
        </w:rPr>
        <w:t>目</w:t>
      </w:r>
      <w:r w:rsidRPr="00FC1444">
        <w:rPr>
          <w:rFonts w:ascii="Times New Roman" w:hAnsi="Times New Roman" w:cs="Times New Roman"/>
          <w:spacing w:val="-2"/>
        </w:rPr>
        <w:t>2</w:t>
      </w:r>
      <w:r w:rsidRPr="00FC1444">
        <w:rPr>
          <w:rFonts w:ascii="Times New Roman" w:cs="Times New Roman"/>
          <w:spacing w:val="-2"/>
        </w:rPr>
        <w:t>科；甲壳动物</w:t>
      </w:r>
      <w:r w:rsidRPr="00FC1444">
        <w:rPr>
          <w:rFonts w:ascii="Times New Roman" w:hAnsi="Times New Roman" w:cs="Times New Roman"/>
          <w:spacing w:val="-2"/>
        </w:rPr>
        <w:t>4</w:t>
      </w:r>
      <w:r w:rsidRPr="00FC1444">
        <w:rPr>
          <w:rFonts w:ascii="Times New Roman" w:cs="Times New Roman"/>
          <w:spacing w:val="-2"/>
        </w:rPr>
        <w:t>种，隶属于</w:t>
      </w:r>
      <w:r w:rsidRPr="00FC1444">
        <w:rPr>
          <w:rFonts w:ascii="Times New Roman" w:hAnsi="Times New Roman" w:cs="Times New Roman"/>
          <w:spacing w:val="-2"/>
        </w:rPr>
        <w:t>2</w:t>
      </w:r>
      <w:r w:rsidRPr="00FC1444">
        <w:rPr>
          <w:rFonts w:ascii="Times New Roman" w:cs="Times New Roman"/>
          <w:spacing w:val="-2"/>
        </w:rPr>
        <w:t>目</w:t>
      </w:r>
      <w:r w:rsidRPr="00FC1444">
        <w:rPr>
          <w:rFonts w:ascii="Times New Roman" w:hAnsi="Times New Roman" w:cs="Times New Roman"/>
          <w:spacing w:val="-2"/>
        </w:rPr>
        <w:t>2</w:t>
      </w:r>
      <w:r w:rsidRPr="00FC1444">
        <w:rPr>
          <w:rFonts w:ascii="Times New Roman" w:cs="Times New Roman"/>
          <w:spacing w:val="-2"/>
        </w:rPr>
        <w:t>科。水生维管植物</w:t>
      </w:r>
      <w:r w:rsidRPr="00FC1444">
        <w:rPr>
          <w:rFonts w:ascii="Times New Roman" w:hAnsi="Times New Roman" w:cs="Times New Roman"/>
          <w:spacing w:val="-2"/>
        </w:rPr>
        <w:t>2</w:t>
      </w:r>
      <w:r w:rsidRPr="00FC1444">
        <w:rPr>
          <w:rFonts w:ascii="Times New Roman" w:cs="Times New Roman"/>
          <w:spacing w:val="-2"/>
        </w:rPr>
        <w:t>大类别（被子植物、单子叶植物）</w:t>
      </w:r>
      <w:r w:rsidRPr="00FC1444">
        <w:rPr>
          <w:rFonts w:ascii="Times New Roman" w:hAnsi="Times New Roman" w:cs="Times New Roman"/>
          <w:spacing w:val="-2"/>
        </w:rPr>
        <w:t xml:space="preserve"> </w:t>
      </w:r>
      <w:r w:rsidRPr="00FC1444">
        <w:rPr>
          <w:rFonts w:ascii="Times New Roman" w:cs="Times New Roman"/>
          <w:spacing w:val="-2"/>
        </w:rPr>
        <w:t>共计</w:t>
      </w:r>
      <w:r w:rsidRPr="00FC1444">
        <w:rPr>
          <w:rFonts w:ascii="Times New Roman" w:hAnsi="Times New Roman" w:cs="Times New Roman"/>
          <w:spacing w:val="-2"/>
        </w:rPr>
        <w:t>10</w:t>
      </w:r>
      <w:r w:rsidRPr="00FC1444">
        <w:rPr>
          <w:rFonts w:ascii="Times New Roman" w:cs="Times New Roman"/>
          <w:spacing w:val="-2"/>
        </w:rPr>
        <w:t>科</w:t>
      </w:r>
      <w:r w:rsidRPr="00FC1444">
        <w:rPr>
          <w:rFonts w:ascii="Times New Roman" w:hAnsi="Times New Roman" w:cs="Times New Roman"/>
          <w:spacing w:val="-2"/>
        </w:rPr>
        <w:t>16</w:t>
      </w:r>
      <w:r w:rsidRPr="00FC1444">
        <w:rPr>
          <w:rFonts w:ascii="Times New Roman" w:cs="Times New Roman"/>
          <w:spacing w:val="-2"/>
        </w:rPr>
        <w:t>种，共有浮叶植物、挺水植物、滨水植物和沉水植物</w:t>
      </w:r>
      <w:r w:rsidRPr="00FC1444">
        <w:rPr>
          <w:rFonts w:ascii="Times New Roman" w:hAnsi="Times New Roman" w:cs="Times New Roman"/>
          <w:spacing w:val="-2"/>
        </w:rPr>
        <w:t>4</w:t>
      </w:r>
      <w:r w:rsidRPr="00FC1444">
        <w:rPr>
          <w:rFonts w:ascii="Times New Roman" w:cs="Times New Roman"/>
          <w:spacing w:val="-2"/>
        </w:rPr>
        <w:t>种生态类群。其中睡莲科为</w:t>
      </w:r>
      <w:r w:rsidRPr="00FC1444">
        <w:rPr>
          <w:rFonts w:ascii="Times New Roman" w:hAnsi="Times New Roman" w:cs="Times New Roman"/>
          <w:spacing w:val="-2"/>
        </w:rPr>
        <w:t>3</w:t>
      </w:r>
      <w:r w:rsidRPr="00FC1444">
        <w:rPr>
          <w:rFonts w:ascii="Times New Roman" w:cs="Times New Roman"/>
          <w:spacing w:val="-2"/>
        </w:rPr>
        <w:t>种，莎草科、香蒲科和毛茛科泽</w:t>
      </w:r>
      <w:r w:rsidRPr="00FC1444">
        <w:rPr>
          <w:rFonts w:ascii="Times New Roman" w:hAnsi="Times New Roman" w:cs="Times New Roman"/>
          <w:spacing w:val="-2"/>
        </w:rPr>
        <w:t>2</w:t>
      </w:r>
      <w:r w:rsidRPr="00FC1444">
        <w:rPr>
          <w:rFonts w:ascii="Times New Roman" w:cs="Times New Roman"/>
          <w:spacing w:val="-2"/>
        </w:rPr>
        <w:t>种，其他各科分别只有</w:t>
      </w:r>
      <w:r w:rsidRPr="00FC1444">
        <w:rPr>
          <w:rFonts w:ascii="Times New Roman" w:hAnsi="Times New Roman" w:cs="Times New Roman"/>
          <w:spacing w:val="-2"/>
        </w:rPr>
        <w:t>1</w:t>
      </w:r>
      <w:r w:rsidRPr="00FC1444">
        <w:rPr>
          <w:rFonts w:ascii="Times New Roman" w:cs="Times New Roman"/>
          <w:spacing w:val="-2"/>
        </w:rPr>
        <w:t>种</w:t>
      </w:r>
      <w:r w:rsidR="00611CBA" w:rsidRPr="00FC1444">
        <w:rPr>
          <w:rFonts w:ascii="Times New Roman" w:hAnsi="Times New Roman" w:cs="Times New Roman"/>
          <w:smallCaps/>
          <w:szCs w:val="24"/>
        </w:rPr>
        <w:t>。</w:t>
      </w:r>
      <w:r w:rsidRPr="00FC1444">
        <w:rPr>
          <w:rFonts w:ascii="Times New Roman" w:hAnsi="Times New Roman" w:cs="Times New Roman"/>
        </w:rPr>
        <w:t>鱼类</w:t>
      </w:r>
      <w:r w:rsidRPr="00FC1444">
        <w:rPr>
          <w:rFonts w:ascii="Times New Roman" w:hAnsi="Times New Roman" w:cs="Times New Roman"/>
        </w:rPr>
        <w:t>6</w:t>
      </w:r>
      <w:r w:rsidRPr="00FC1444">
        <w:rPr>
          <w:rFonts w:ascii="Times New Roman" w:hAnsi="Times New Roman" w:cs="Times New Roman"/>
        </w:rPr>
        <w:t>目</w:t>
      </w:r>
      <w:r w:rsidRPr="00FC1444">
        <w:rPr>
          <w:rFonts w:ascii="Times New Roman" w:hAnsi="Times New Roman" w:cs="Times New Roman"/>
        </w:rPr>
        <w:t>12</w:t>
      </w:r>
      <w:r w:rsidRPr="00FC1444">
        <w:rPr>
          <w:rFonts w:ascii="Times New Roman" w:hAnsi="Times New Roman" w:cs="Times New Roman"/>
        </w:rPr>
        <w:t>科</w:t>
      </w:r>
      <w:r w:rsidRPr="00FC1444">
        <w:rPr>
          <w:rFonts w:ascii="Times New Roman" w:hAnsi="Times New Roman" w:cs="Times New Roman"/>
        </w:rPr>
        <w:t>62</w:t>
      </w:r>
      <w:r w:rsidRPr="00FC1444">
        <w:rPr>
          <w:rFonts w:ascii="Times New Roman" w:hAnsi="Times New Roman" w:cs="Times New Roman"/>
        </w:rPr>
        <w:t>种，其</w:t>
      </w:r>
      <w:r w:rsidRPr="00FC1444">
        <w:rPr>
          <w:rFonts w:ascii="Times New Roman" w:hAnsi="Times New Roman" w:cs="Times New Roman"/>
        </w:rPr>
        <w:t xml:space="preserve"> </w:t>
      </w:r>
      <w:r w:rsidRPr="00FC1444">
        <w:rPr>
          <w:rFonts w:ascii="Times New Roman" w:hAnsi="Times New Roman" w:cs="Times New Roman"/>
        </w:rPr>
        <w:t>中鲤科鱼类最多为</w:t>
      </w:r>
      <w:r w:rsidRPr="00FC1444">
        <w:rPr>
          <w:rFonts w:ascii="Times New Roman" w:hAnsi="Times New Roman" w:cs="Times New Roman"/>
        </w:rPr>
        <w:t>39</w:t>
      </w:r>
      <w:r w:rsidRPr="00FC1444">
        <w:rPr>
          <w:rFonts w:ascii="Times New Roman" w:hAnsi="Times New Roman" w:cs="Times New Roman"/>
        </w:rPr>
        <w:t>种，鳅科和鲿科</w:t>
      </w:r>
      <w:r w:rsidRPr="00FC1444">
        <w:rPr>
          <w:rFonts w:ascii="Times New Roman" w:hAnsi="Times New Roman" w:cs="Times New Roman"/>
        </w:rPr>
        <w:t>4</w:t>
      </w:r>
      <w:r w:rsidRPr="00FC1444">
        <w:rPr>
          <w:rFonts w:ascii="Times New Roman" w:hAnsi="Times New Roman" w:cs="Times New Roman"/>
        </w:rPr>
        <w:t>种，塘鳢科、鰕虎鱼科、七鳃鳗科、鲇科和胡瓜鱼科</w:t>
      </w:r>
      <w:r w:rsidRPr="00FC1444">
        <w:rPr>
          <w:rFonts w:ascii="Times New Roman" w:hAnsi="Times New Roman" w:cs="Times New Roman"/>
        </w:rPr>
        <w:t>2</w:t>
      </w:r>
      <w:r w:rsidRPr="00FC1444">
        <w:rPr>
          <w:rFonts w:ascii="Times New Roman" w:hAnsi="Times New Roman" w:cs="Times New Roman"/>
        </w:rPr>
        <w:t>种，其他各科均为</w:t>
      </w:r>
      <w:r w:rsidRPr="00FC1444">
        <w:rPr>
          <w:rFonts w:ascii="Times New Roman" w:hAnsi="Times New Roman" w:cs="Times New Roman"/>
        </w:rPr>
        <w:t>1</w:t>
      </w:r>
      <w:r w:rsidRPr="00FC1444">
        <w:rPr>
          <w:rFonts w:ascii="Times New Roman" w:hAnsi="Times New Roman" w:cs="Times New Roman"/>
        </w:rPr>
        <w:t>种。</w:t>
      </w:r>
      <w:r w:rsidRPr="00FC1444">
        <w:rPr>
          <w:rFonts w:ascii="Times New Roman" w:hAnsi="Times New Roman" w:cs="Times New Roman" w:hint="eastAsia"/>
        </w:rPr>
        <w:t>主要鱼类有麦穗鱼、棒花鱼、雷氏七鳃鳗、鲤鱼、鲫鱼、鲢鱼、草鱼、黑龙江泥鳅等。</w:t>
      </w:r>
    </w:p>
    <w:p w:rsidR="00DF4950" w:rsidRPr="00FC1444" w:rsidRDefault="00DF4950" w:rsidP="00DF4950">
      <w:pPr>
        <w:autoSpaceDE w:val="0"/>
        <w:autoSpaceDN w:val="0"/>
        <w:spacing w:before="100" w:beforeAutospacing="1" w:after="100" w:afterAutospacing="1"/>
        <w:outlineLvl w:val="3"/>
        <w:rPr>
          <w:rFonts w:eastAsiaTheme="minorEastAsia"/>
          <w:b/>
          <w:sz w:val="24"/>
        </w:rPr>
      </w:pPr>
      <w:r w:rsidRPr="00FC1444">
        <w:rPr>
          <w:rFonts w:eastAsiaTheme="minorEastAsia"/>
          <w:b/>
          <w:bCs/>
          <w:sz w:val="24"/>
        </w:rPr>
        <w:t>4.2.7.</w:t>
      </w:r>
      <w:r w:rsidRPr="00FC1444">
        <w:rPr>
          <w:rFonts w:eastAsiaTheme="minorEastAsia" w:hint="eastAsia"/>
          <w:b/>
          <w:bCs/>
          <w:sz w:val="24"/>
        </w:rPr>
        <w:t>3</w:t>
      </w:r>
      <w:r w:rsidRPr="00FC1444">
        <w:rPr>
          <w:rFonts w:eastAsiaTheme="minorEastAsia" w:hint="eastAsia"/>
          <w:b/>
          <w:bCs/>
          <w:sz w:val="24"/>
        </w:rPr>
        <w:t>努敏河</w:t>
      </w:r>
      <w:r w:rsidRPr="00FC1444">
        <w:rPr>
          <w:rFonts w:eastAsiaTheme="minorEastAsia"/>
          <w:b/>
          <w:bCs/>
          <w:sz w:val="24"/>
        </w:rPr>
        <w:t>水生生态调查</w:t>
      </w:r>
    </w:p>
    <w:p w:rsidR="00DF4950" w:rsidRPr="00FC1444" w:rsidRDefault="00DF4950" w:rsidP="00DF4950">
      <w:pPr>
        <w:spacing w:line="360" w:lineRule="auto"/>
        <w:ind w:firstLineChars="200" w:firstLine="482"/>
        <w:rPr>
          <w:rFonts w:eastAsiaTheme="minorEastAsia"/>
          <w:b/>
          <w:sz w:val="24"/>
          <w:lang w:bidi="en-US"/>
        </w:rPr>
      </w:pPr>
      <w:r w:rsidRPr="00FC1444">
        <w:rPr>
          <w:rFonts w:eastAsiaTheme="minorEastAsia"/>
          <w:b/>
          <w:sz w:val="24"/>
          <w:lang w:bidi="en-US"/>
        </w:rPr>
        <w:t>（</w:t>
      </w:r>
      <w:r w:rsidRPr="00FC1444">
        <w:rPr>
          <w:rFonts w:eastAsiaTheme="minorEastAsia"/>
          <w:b/>
          <w:sz w:val="24"/>
          <w:lang w:bidi="en-US"/>
        </w:rPr>
        <w:t>1</w:t>
      </w:r>
      <w:r w:rsidRPr="00FC1444">
        <w:rPr>
          <w:rFonts w:eastAsiaTheme="minorEastAsia"/>
          <w:b/>
          <w:sz w:val="24"/>
          <w:lang w:bidi="en-US"/>
        </w:rPr>
        <w:t>）调查范围</w:t>
      </w:r>
    </w:p>
    <w:p w:rsidR="00DF4950" w:rsidRPr="00FC1444" w:rsidRDefault="00DF4950" w:rsidP="00DF4950">
      <w:pPr>
        <w:spacing w:line="360" w:lineRule="auto"/>
        <w:ind w:firstLineChars="200" w:firstLine="480"/>
        <w:contextualSpacing/>
        <w:rPr>
          <w:rFonts w:eastAsiaTheme="minorEastAsia"/>
          <w:snapToGrid w:val="0"/>
          <w:sz w:val="24"/>
          <w:szCs w:val="20"/>
        </w:rPr>
      </w:pPr>
      <w:r w:rsidRPr="00FC1444">
        <w:rPr>
          <w:rFonts w:eastAsiaTheme="minorEastAsia"/>
          <w:sz w:val="24"/>
          <w:lang w:bidi="en-US"/>
        </w:rPr>
        <w:t>本项目</w:t>
      </w:r>
      <w:r w:rsidRPr="00FC1444">
        <w:rPr>
          <w:rFonts w:eastAsiaTheme="minorEastAsia"/>
          <w:snapToGrid w:val="0"/>
          <w:sz w:val="24"/>
          <w:szCs w:val="20"/>
        </w:rPr>
        <w:t>水生生态评价范围与地表水评价范围一致：</w:t>
      </w:r>
    </w:p>
    <w:p w:rsidR="00DF4950" w:rsidRPr="00FC1444" w:rsidRDefault="002B50A9" w:rsidP="00DF4950">
      <w:pPr>
        <w:spacing w:line="360" w:lineRule="auto"/>
        <w:ind w:firstLineChars="200" w:firstLine="480"/>
        <w:contextualSpacing/>
        <w:rPr>
          <w:rFonts w:eastAsiaTheme="minorEastAsia"/>
          <w:snapToGrid w:val="0"/>
          <w:sz w:val="24"/>
          <w:szCs w:val="20"/>
        </w:rPr>
      </w:pPr>
      <w:r w:rsidRPr="00FC1444">
        <w:rPr>
          <w:rFonts w:eastAsiaTheme="minorEastAsia"/>
          <w:kern w:val="0"/>
          <w:sz w:val="24"/>
        </w:rPr>
        <w:t>入</w:t>
      </w:r>
      <w:r w:rsidR="003C598F" w:rsidRPr="00FC1444">
        <w:rPr>
          <w:rFonts w:eastAsiaTheme="minorEastAsia" w:hint="eastAsia"/>
          <w:kern w:val="0"/>
          <w:sz w:val="24"/>
        </w:rPr>
        <w:t>努敏</w:t>
      </w:r>
      <w:r w:rsidR="003C598F" w:rsidRPr="00FC1444">
        <w:rPr>
          <w:rFonts w:eastAsiaTheme="minorEastAsia"/>
          <w:kern w:val="0"/>
          <w:sz w:val="24"/>
        </w:rPr>
        <w:t>河退水口上游</w:t>
      </w:r>
      <w:r w:rsidR="003C598F" w:rsidRPr="00FC1444">
        <w:rPr>
          <w:rFonts w:eastAsiaTheme="minorEastAsia"/>
          <w:kern w:val="0"/>
          <w:sz w:val="24"/>
        </w:rPr>
        <w:t>500m</w:t>
      </w:r>
      <w:r w:rsidR="003C598F" w:rsidRPr="00FC1444">
        <w:rPr>
          <w:rFonts w:eastAsiaTheme="minorEastAsia"/>
          <w:kern w:val="0"/>
          <w:sz w:val="24"/>
        </w:rPr>
        <w:t>至退水口下游</w:t>
      </w:r>
      <w:r w:rsidR="003C598F" w:rsidRPr="00FC1444">
        <w:rPr>
          <w:rFonts w:eastAsiaTheme="minorEastAsia"/>
          <w:kern w:val="0"/>
          <w:sz w:val="24"/>
        </w:rPr>
        <w:t>1000m</w:t>
      </w:r>
      <w:r w:rsidR="003C598F" w:rsidRPr="00FC1444">
        <w:rPr>
          <w:rFonts w:eastAsiaTheme="minorEastAsia"/>
          <w:kern w:val="0"/>
          <w:sz w:val="24"/>
        </w:rPr>
        <w:t>。评价河段长度为</w:t>
      </w:r>
      <w:r w:rsidR="003C598F" w:rsidRPr="00FC1444">
        <w:rPr>
          <w:rFonts w:eastAsiaTheme="minorEastAsia" w:hint="eastAsia"/>
          <w:kern w:val="0"/>
          <w:sz w:val="24"/>
        </w:rPr>
        <w:t>7</w:t>
      </w:r>
      <w:r w:rsidR="003C598F" w:rsidRPr="00FC1444">
        <w:rPr>
          <w:rFonts w:eastAsiaTheme="minorEastAsia"/>
          <w:kern w:val="0"/>
          <w:sz w:val="24"/>
        </w:rPr>
        <w:t>km</w:t>
      </w:r>
      <w:r w:rsidR="00DF4950" w:rsidRPr="00FC1444">
        <w:rPr>
          <w:rFonts w:eastAsiaTheme="minorEastAsia"/>
          <w:kern w:val="0"/>
          <w:sz w:val="24"/>
        </w:rPr>
        <w:t>。</w:t>
      </w:r>
    </w:p>
    <w:p w:rsidR="00DF4950" w:rsidRPr="00FC1444" w:rsidRDefault="00DF4950" w:rsidP="00DF4950">
      <w:pPr>
        <w:spacing w:line="360" w:lineRule="auto"/>
        <w:ind w:firstLineChars="200" w:firstLine="482"/>
        <w:rPr>
          <w:rFonts w:eastAsiaTheme="minorEastAsia"/>
          <w:b/>
          <w:sz w:val="24"/>
          <w:lang w:bidi="en-US"/>
        </w:rPr>
      </w:pPr>
      <w:r w:rsidRPr="00FC1444">
        <w:rPr>
          <w:rFonts w:eastAsiaTheme="minorEastAsia"/>
          <w:b/>
          <w:sz w:val="24"/>
          <w:lang w:bidi="en-US"/>
        </w:rPr>
        <w:t>（</w:t>
      </w:r>
      <w:r w:rsidRPr="00FC1444">
        <w:rPr>
          <w:rFonts w:eastAsiaTheme="minorEastAsia"/>
          <w:b/>
          <w:sz w:val="24"/>
          <w:lang w:bidi="en-US"/>
        </w:rPr>
        <w:t>2</w:t>
      </w:r>
      <w:r w:rsidRPr="00FC1444">
        <w:rPr>
          <w:rFonts w:eastAsiaTheme="minorEastAsia"/>
          <w:b/>
          <w:sz w:val="24"/>
          <w:lang w:bidi="en-US"/>
        </w:rPr>
        <w:t>）现状调查方法</w:t>
      </w:r>
    </w:p>
    <w:p w:rsidR="00DF4950" w:rsidRPr="00FC1444" w:rsidRDefault="00DF4950" w:rsidP="00DF4950">
      <w:pPr>
        <w:spacing w:line="360" w:lineRule="auto"/>
        <w:ind w:firstLineChars="200" w:firstLine="480"/>
        <w:rPr>
          <w:rFonts w:eastAsiaTheme="minorEastAsia"/>
          <w:sz w:val="24"/>
          <w:lang w:bidi="en-US"/>
        </w:rPr>
      </w:pPr>
      <w:r w:rsidRPr="00FC1444">
        <w:rPr>
          <w:rFonts w:eastAsiaTheme="minorEastAsia"/>
          <w:sz w:val="24"/>
          <w:lang w:bidi="en-US"/>
        </w:rPr>
        <w:t>本次调查方法采用收集资料法及现场调查法。</w:t>
      </w:r>
    </w:p>
    <w:p w:rsidR="00DF4950" w:rsidRPr="00FC1444" w:rsidRDefault="00DF4950" w:rsidP="00DF4950">
      <w:pPr>
        <w:pStyle w:val="2fa"/>
        <w:ind w:firstLineChars="0" w:firstLine="480"/>
        <w:contextualSpacing/>
        <w:rPr>
          <w:rFonts w:ascii="Times New Roman" w:hAnsi="Times New Roman" w:cs="Times New Roman"/>
          <w:b/>
          <w:smallCaps/>
          <w:szCs w:val="24"/>
        </w:rPr>
      </w:pPr>
      <w:r w:rsidRPr="00FC1444">
        <w:rPr>
          <w:rFonts w:ascii="Times New Roman" w:hAnsi="Times New Roman" w:cs="Times New Roman"/>
          <w:b/>
          <w:lang w:bidi="en-US"/>
        </w:rPr>
        <w:t>（</w:t>
      </w:r>
      <w:r w:rsidRPr="00FC1444">
        <w:rPr>
          <w:rFonts w:ascii="Times New Roman" w:hAnsi="Times New Roman" w:cs="Times New Roman"/>
          <w:b/>
          <w:lang w:bidi="en-US"/>
        </w:rPr>
        <w:t>3</w:t>
      </w:r>
      <w:r w:rsidRPr="00FC1444">
        <w:rPr>
          <w:rFonts w:ascii="Times New Roman" w:hAnsi="Times New Roman" w:cs="Times New Roman"/>
          <w:b/>
          <w:lang w:bidi="en-US"/>
        </w:rPr>
        <w:t>）现状调查内容</w:t>
      </w:r>
    </w:p>
    <w:p w:rsidR="00DF4950" w:rsidRPr="00FC1444" w:rsidRDefault="008B4E2D" w:rsidP="00EA41B8">
      <w:pPr>
        <w:pStyle w:val="2fa"/>
        <w:ind w:firstLine="480"/>
        <w:contextualSpacing/>
        <w:rPr>
          <w:rFonts w:ascii="Times New Roman" w:hAnsi="Times New Roman" w:cs="Times New Roman"/>
        </w:rPr>
      </w:pPr>
      <w:r w:rsidRPr="00FC1444">
        <w:rPr>
          <w:rFonts w:ascii="Times New Roman" w:hAnsiTheme="minorEastAsia" w:cs="Times New Roman"/>
        </w:rPr>
        <w:t>通过查阅相关历史资料，努敏河</w:t>
      </w:r>
      <w:r w:rsidR="00D609D2" w:rsidRPr="00FC1444">
        <w:rPr>
          <w:rFonts w:ascii="Times New Roman" w:hAnsiTheme="minorEastAsia" w:cs="Times New Roman"/>
        </w:rPr>
        <w:t>浮游植物以</w:t>
      </w:r>
      <w:r w:rsidR="00D609D2" w:rsidRPr="00FC1444">
        <w:rPr>
          <w:rFonts w:ascii="Times New Roman" w:hAnsiTheme="minorEastAsia" w:cs="Times New Roman"/>
          <w:bCs/>
        </w:rPr>
        <w:t>硅藻门占绝对优势</w:t>
      </w:r>
      <w:r w:rsidR="00D609D2" w:rsidRPr="00FC1444">
        <w:rPr>
          <w:rFonts w:ascii="Times New Roman" w:hAnsiTheme="minorEastAsia" w:cs="Times New Roman"/>
        </w:rPr>
        <w:t>，其次为绿藻门、蓝藻门，少量裸藻、隐藻、金藻、甲藻，合计</w:t>
      </w:r>
      <w:r w:rsidR="00D609D2" w:rsidRPr="00FC1444">
        <w:rPr>
          <w:rFonts w:ascii="Times New Roman" w:hAnsi="Times New Roman" w:cs="Times New Roman"/>
        </w:rPr>
        <w:t>6</w:t>
      </w:r>
      <w:r w:rsidR="00D609D2" w:rsidRPr="00FC1444">
        <w:rPr>
          <w:rFonts w:ascii="Times New Roman" w:hAnsi="Times New Roman" w:cs="Times New Roman"/>
        </w:rPr>
        <w:noBreakHyphen/>
        <w:t>7</w:t>
      </w:r>
      <w:r w:rsidR="00D609D2" w:rsidRPr="00FC1444">
        <w:rPr>
          <w:rFonts w:ascii="Times New Roman" w:hAnsiTheme="minorEastAsia" w:cs="Times New Roman"/>
        </w:rPr>
        <w:t>门</w:t>
      </w:r>
      <w:r w:rsidR="00D609D2" w:rsidRPr="00FC1444">
        <w:rPr>
          <w:rFonts w:ascii="Times New Roman" w:hAnsi="Times New Roman" w:cs="Times New Roman"/>
        </w:rPr>
        <w:t>50</w:t>
      </w:r>
      <w:r w:rsidR="00D609D2" w:rsidRPr="00FC1444">
        <w:rPr>
          <w:rFonts w:ascii="Times New Roman" w:hAnsi="Times New Roman" w:cs="Times New Roman"/>
        </w:rPr>
        <w:noBreakHyphen/>
        <w:t>70</w:t>
      </w:r>
      <w:r w:rsidR="00D609D2" w:rsidRPr="00FC1444">
        <w:rPr>
          <w:rFonts w:ascii="Times New Roman" w:hAnsiTheme="minorEastAsia" w:cs="Times New Roman"/>
        </w:rPr>
        <w:t>种属</w:t>
      </w:r>
      <w:r w:rsidR="00DF4950" w:rsidRPr="00FC1444">
        <w:rPr>
          <w:rFonts w:ascii="Times New Roman" w:hAnsiTheme="minorEastAsia" w:cs="Times New Roman"/>
        </w:rPr>
        <w:t>。</w:t>
      </w:r>
      <w:r w:rsidR="00D609D2" w:rsidRPr="00FC1444">
        <w:rPr>
          <w:rFonts w:ascii="Times New Roman" w:hAnsiTheme="minorEastAsia" w:cs="Times New Roman"/>
        </w:rPr>
        <w:t>浮游动物原生动物、轮虫、枝角类、桡足类，合计</w:t>
      </w:r>
      <w:r w:rsidR="00D609D2" w:rsidRPr="00FC1444">
        <w:rPr>
          <w:rFonts w:ascii="Times New Roman" w:hAnsi="Times New Roman" w:cs="Times New Roman"/>
        </w:rPr>
        <w:t>20</w:t>
      </w:r>
      <w:r w:rsidR="00D609D2" w:rsidRPr="00FC1444">
        <w:rPr>
          <w:rFonts w:ascii="Times New Roman" w:hAnsi="Times New Roman" w:cs="Times New Roman"/>
        </w:rPr>
        <w:noBreakHyphen/>
        <w:t>30</w:t>
      </w:r>
      <w:r w:rsidR="00D609D2" w:rsidRPr="00FC1444">
        <w:rPr>
          <w:rFonts w:ascii="Times New Roman" w:hAnsiTheme="minorEastAsia" w:cs="Times New Roman"/>
        </w:rPr>
        <w:t>种属，</w:t>
      </w:r>
      <w:r w:rsidR="00D609D2" w:rsidRPr="00FC1444">
        <w:rPr>
          <w:rFonts w:ascii="Times New Roman" w:hAnsiTheme="minorEastAsia" w:cs="Times New Roman"/>
          <w:bCs/>
        </w:rPr>
        <w:t>轮虫类种类最多</w:t>
      </w:r>
      <w:r w:rsidR="00D609D2" w:rsidRPr="00FC1444">
        <w:rPr>
          <w:rFonts w:ascii="Times New Roman" w:hAnsiTheme="minorEastAsia" w:cs="Times New Roman"/>
        </w:rPr>
        <w:t>。水生维管植物主要为芦苇、香蒲、菰（茭草）、大马蓼、水蓼、菱、荇菜、黑藻、狐尾藻等。鱼类以</w:t>
      </w:r>
      <w:r w:rsidR="00D609D2" w:rsidRPr="00FC1444">
        <w:rPr>
          <w:rFonts w:ascii="Times New Roman" w:hAnsiTheme="minorEastAsia" w:cs="Times New Roman"/>
          <w:bCs/>
        </w:rPr>
        <w:t>鲤科鱼类为主体</w:t>
      </w:r>
      <w:r w:rsidR="00D609D2" w:rsidRPr="00FC1444">
        <w:rPr>
          <w:rFonts w:ascii="Times New Roman" w:hAnsiTheme="minorEastAsia" w:cs="Times New Roman"/>
        </w:rPr>
        <w:t>，其次鳅科、鲿科、狗鱼科等，共</w:t>
      </w:r>
      <w:r w:rsidR="00D609D2" w:rsidRPr="00FC1444">
        <w:rPr>
          <w:rFonts w:ascii="Times New Roman" w:hAnsi="Times New Roman" w:cs="Times New Roman"/>
        </w:rPr>
        <w:t>30</w:t>
      </w:r>
      <w:r w:rsidR="00D609D2" w:rsidRPr="00FC1444">
        <w:rPr>
          <w:rFonts w:ascii="Times New Roman" w:hAnsiTheme="minorEastAsia" w:cs="Times New Roman"/>
        </w:rPr>
        <w:t>余种。常见经济鱼类：</w:t>
      </w:r>
      <w:r w:rsidR="00D609D2" w:rsidRPr="00FC1444">
        <w:rPr>
          <w:rFonts w:ascii="Times New Roman" w:hAnsiTheme="minorEastAsia" w:cs="Times New Roman"/>
          <w:bCs/>
        </w:rPr>
        <w:t>鲫鱼、鲤鱼、鲶鱼、黄颡鱼、黑斑狗鱼、泥鳅、麦穗鱼、洛氏鱥（柳根鱼）、东北雅罗鱼、乌鳢</w:t>
      </w:r>
      <w:r w:rsidR="00D609D2" w:rsidRPr="00FC1444">
        <w:rPr>
          <w:rFonts w:ascii="Times New Roman" w:hAnsiTheme="minorEastAsia" w:cs="Times New Roman"/>
        </w:rPr>
        <w:t>等。</w:t>
      </w:r>
    </w:p>
    <w:p w:rsidR="002A5A5E" w:rsidRPr="00FC1444" w:rsidRDefault="00DF4950" w:rsidP="00122281">
      <w:pPr>
        <w:pStyle w:val="2fa"/>
        <w:ind w:firstLine="480"/>
        <w:contextualSpacing/>
        <w:rPr>
          <w:rFonts w:ascii="Times New Roman" w:hAnsi="Times New Roman" w:cs="Times New Roman"/>
          <w:lang w:bidi="en-US"/>
        </w:rPr>
      </w:pPr>
      <w:r w:rsidRPr="00FC1444">
        <w:rPr>
          <w:rFonts w:ascii="Times New Roman" w:hAnsi="Times New Roman" w:cs="Times New Roman" w:hint="eastAsia"/>
        </w:rPr>
        <w:t>经调查，工程退水口处河段内无珍稀濒危鱼类及“鱼类三场”分布</w:t>
      </w:r>
      <w:r w:rsidR="00611CBA" w:rsidRPr="00FC1444">
        <w:rPr>
          <w:rFonts w:ascii="Times New Roman" w:hAnsi="Times New Roman" w:cs="Times New Roman"/>
          <w:lang w:bidi="en-US"/>
        </w:rPr>
        <w:t>。</w:t>
      </w:r>
      <w:bookmarkEnd w:id="112"/>
    </w:p>
    <w:p w:rsidR="002A5A5E" w:rsidRPr="00FC1444" w:rsidRDefault="00611CBA">
      <w:pPr>
        <w:autoSpaceDE w:val="0"/>
        <w:autoSpaceDN w:val="0"/>
        <w:spacing w:before="100" w:beforeAutospacing="1" w:after="100" w:afterAutospacing="1"/>
        <w:outlineLvl w:val="3"/>
        <w:rPr>
          <w:rFonts w:eastAsiaTheme="minorEastAsia"/>
          <w:b/>
          <w:bCs/>
          <w:sz w:val="24"/>
        </w:rPr>
      </w:pPr>
      <w:r w:rsidRPr="00FC1444">
        <w:rPr>
          <w:rFonts w:eastAsiaTheme="minorEastAsia"/>
          <w:b/>
          <w:bCs/>
          <w:noProof/>
          <w:sz w:val="24"/>
        </w:rPr>
        <w:lastRenderedPageBreak/>
        <w:drawing>
          <wp:anchor distT="0" distB="0" distL="114300" distR="114300" simplePos="0" relativeHeight="251693056" behindDoc="0" locked="0" layoutInCell="1" allowOverlap="1">
            <wp:simplePos x="0" y="0"/>
            <wp:positionH relativeFrom="column">
              <wp:posOffset>8356600</wp:posOffset>
            </wp:positionH>
            <wp:positionV relativeFrom="paragraph">
              <wp:posOffset>20320</wp:posOffset>
            </wp:positionV>
            <wp:extent cx="791210" cy="675640"/>
            <wp:effectExtent l="19050" t="0" r="8890" b="0"/>
            <wp:wrapNone/>
            <wp:docPr id="24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 name="图片 13"/>
                    <pic:cNvPicPr>
                      <a:picLocks noChangeAspect="1" noChangeArrowheads="1"/>
                    </pic:cNvPicPr>
                  </pic:nvPicPr>
                  <pic:blipFill>
                    <a:blip r:embed="rId63"/>
                    <a:srcRect/>
                    <a:stretch>
                      <a:fillRect/>
                    </a:stretch>
                  </pic:blipFill>
                  <pic:spPr>
                    <a:xfrm>
                      <a:off x="0" y="0"/>
                      <a:ext cx="791210" cy="675640"/>
                    </a:xfrm>
                    <a:prstGeom prst="rect">
                      <a:avLst/>
                    </a:prstGeom>
                    <a:noFill/>
                    <a:ln w="9525">
                      <a:noFill/>
                      <a:miter lim="800000"/>
                      <a:headEnd/>
                      <a:tailEnd/>
                    </a:ln>
                  </pic:spPr>
                </pic:pic>
              </a:graphicData>
            </a:graphic>
          </wp:anchor>
        </w:drawing>
      </w:r>
      <w:r w:rsidRPr="00FC1444">
        <w:rPr>
          <w:rFonts w:eastAsiaTheme="minorEastAsia"/>
          <w:b/>
          <w:bCs/>
          <w:noProof/>
          <w:sz w:val="24"/>
        </w:rPr>
        <w:drawing>
          <wp:anchor distT="0" distB="0" distL="114300" distR="114300" simplePos="0" relativeHeight="251694080" behindDoc="0" locked="0" layoutInCell="1" allowOverlap="1">
            <wp:simplePos x="0" y="0"/>
            <wp:positionH relativeFrom="column">
              <wp:posOffset>8356600</wp:posOffset>
            </wp:positionH>
            <wp:positionV relativeFrom="paragraph">
              <wp:posOffset>20320</wp:posOffset>
            </wp:positionV>
            <wp:extent cx="791210" cy="675640"/>
            <wp:effectExtent l="19050" t="0" r="8890" b="0"/>
            <wp:wrapNone/>
            <wp:docPr id="24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3" name="图片 13"/>
                    <pic:cNvPicPr>
                      <a:picLocks noChangeAspect="1" noChangeArrowheads="1"/>
                    </pic:cNvPicPr>
                  </pic:nvPicPr>
                  <pic:blipFill>
                    <a:blip r:embed="rId63"/>
                    <a:srcRect/>
                    <a:stretch>
                      <a:fillRect/>
                    </a:stretch>
                  </pic:blipFill>
                  <pic:spPr>
                    <a:xfrm>
                      <a:off x="0" y="0"/>
                      <a:ext cx="791210" cy="675640"/>
                    </a:xfrm>
                    <a:prstGeom prst="rect">
                      <a:avLst/>
                    </a:prstGeom>
                    <a:noFill/>
                    <a:ln w="9525">
                      <a:noFill/>
                      <a:miter lim="800000"/>
                      <a:headEnd/>
                      <a:tailEnd/>
                    </a:ln>
                  </pic:spPr>
                </pic:pic>
              </a:graphicData>
            </a:graphic>
          </wp:anchor>
        </w:drawing>
      </w:r>
      <w:r w:rsidR="0060529F" w:rsidRPr="00FC1444">
        <w:rPr>
          <w:rFonts w:eastAsiaTheme="minorEastAsia"/>
          <w:b/>
          <w:bCs/>
          <w:sz w:val="24"/>
        </w:rPr>
        <w:t>4.2.7.</w:t>
      </w:r>
      <w:r w:rsidR="0060529F" w:rsidRPr="00FC1444">
        <w:rPr>
          <w:rFonts w:eastAsiaTheme="minorEastAsia" w:hint="eastAsia"/>
          <w:b/>
          <w:bCs/>
          <w:sz w:val="24"/>
        </w:rPr>
        <w:t>4</w:t>
      </w:r>
      <w:r w:rsidRPr="00FC1444">
        <w:rPr>
          <w:rFonts w:eastAsiaTheme="minorEastAsia"/>
          <w:b/>
          <w:bCs/>
          <w:sz w:val="24"/>
        </w:rPr>
        <w:t>区域存在主要的生态问题</w:t>
      </w:r>
    </w:p>
    <w:p w:rsidR="002A5A5E" w:rsidRPr="00FC1444" w:rsidRDefault="000E00D5">
      <w:pPr>
        <w:pStyle w:val="2fa"/>
        <w:ind w:firstLine="480"/>
        <w:contextualSpacing/>
        <w:rPr>
          <w:rFonts w:ascii="Times New Roman" w:hAnsi="Times New Roman" w:cs="Times New Roman"/>
        </w:rPr>
      </w:pPr>
      <w:r w:rsidRPr="00FC1444">
        <w:rPr>
          <w:rFonts w:ascii="Times New Roman" w:hAnsi="Times New Roman" w:cs="Times New Roman"/>
          <w:bCs/>
          <w:kern w:val="0"/>
        </w:rPr>
        <w:t>根据黑龙江省水利厅编制的《黑龙江省水土保持规划（</w:t>
      </w:r>
      <w:r w:rsidRPr="00FC1444">
        <w:rPr>
          <w:rFonts w:ascii="Times New Roman" w:hAnsi="Times New Roman" w:cs="Times New Roman"/>
          <w:bCs/>
          <w:kern w:val="0"/>
        </w:rPr>
        <w:t>2015-2030</w:t>
      </w:r>
      <w:r w:rsidRPr="00FC1444">
        <w:rPr>
          <w:rFonts w:ascii="Times New Roman" w:hAnsi="Times New Roman" w:cs="Times New Roman"/>
          <w:bCs/>
          <w:kern w:val="0"/>
        </w:rPr>
        <w:t>年）》，绥化市属于</w:t>
      </w:r>
      <w:r w:rsidRPr="00FC1444">
        <w:rPr>
          <w:rFonts w:ascii="Times New Roman" w:hAnsi="Times New Roman" w:cs="Times New Roman"/>
          <w:bCs/>
          <w:kern w:val="0"/>
        </w:rPr>
        <w:t xml:space="preserve"> I-3-1t</w:t>
      </w:r>
      <w:r w:rsidRPr="00FC1444">
        <w:rPr>
          <w:rFonts w:ascii="Times New Roman" w:hAnsi="Times New Roman" w:cs="Times New Roman"/>
          <w:bCs/>
          <w:kern w:val="0"/>
        </w:rPr>
        <w:t>中部漫川漫岗土壤保持区，属于国家级水土流失重点治理区</w:t>
      </w:r>
      <w:r w:rsidR="00611CBA" w:rsidRPr="00FC1444">
        <w:rPr>
          <w:rFonts w:ascii="Times New Roman" w:hAnsi="Times New Roman" w:cs="Times New Roman"/>
        </w:rPr>
        <w:t>，该生态功能区以坡耕地土壤较多，易发生水土流失。</w:t>
      </w:r>
    </w:p>
    <w:p w:rsidR="002A5A5E" w:rsidRPr="00FC1444" w:rsidRDefault="00611CBA">
      <w:pPr>
        <w:pStyle w:val="2fa"/>
        <w:ind w:firstLine="480"/>
        <w:contextualSpacing/>
        <w:rPr>
          <w:rFonts w:ascii="Times New Roman" w:hAnsi="Times New Roman" w:cs="Times New Roman"/>
        </w:rPr>
      </w:pPr>
      <w:r w:rsidRPr="00FC1444">
        <w:rPr>
          <w:rFonts w:ascii="Times New Roman" w:hAnsi="Times New Roman" w:cs="Times New Roman"/>
        </w:rPr>
        <w:t>灌区的运行未对所在区域生态环境造成较大影响，灌区渠首的修建和阻隔影响及现有水田退水的影响经过多年的演替，已形成稳定的适合现有鱼类及水生生物生长繁殖的生境和生态系统。无较明显生态环境问题。</w:t>
      </w: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13" w:name="_Toc208906239"/>
      <w:r w:rsidRPr="00FC1444">
        <w:rPr>
          <w:rFonts w:eastAsiaTheme="minorEastAsia"/>
          <w:b/>
          <w:bCs/>
          <w:kern w:val="44"/>
          <w:sz w:val="30"/>
          <w:szCs w:val="30"/>
        </w:rPr>
        <w:t>4.3</w:t>
      </w:r>
      <w:r w:rsidRPr="00FC1444">
        <w:rPr>
          <w:rFonts w:eastAsiaTheme="minorEastAsia"/>
          <w:b/>
          <w:bCs/>
          <w:kern w:val="44"/>
          <w:sz w:val="30"/>
          <w:szCs w:val="30"/>
        </w:rPr>
        <w:t>区域污染源调查</w:t>
      </w:r>
      <w:bookmarkEnd w:id="109"/>
      <w:bookmarkEnd w:id="110"/>
      <w:bookmarkEnd w:id="113"/>
    </w:p>
    <w:p w:rsidR="002A5A5E" w:rsidRPr="00FC1444" w:rsidRDefault="00611CBA">
      <w:pPr>
        <w:spacing w:line="360" w:lineRule="auto"/>
        <w:outlineLvl w:val="2"/>
        <w:rPr>
          <w:rFonts w:eastAsiaTheme="minorEastAsia"/>
          <w:b/>
          <w:sz w:val="28"/>
          <w:szCs w:val="28"/>
        </w:rPr>
      </w:pPr>
      <w:r w:rsidRPr="00FC1444">
        <w:rPr>
          <w:rFonts w:eastAsiaTheme="minorEastAsia"/>
          <w:b/>
          <w:sz w:val="28"/>
          <w:szCs w:val="28"/>
        </w:rPr>
        <w:t>4.3.1</w:t>
      </w:r>
      <w:r w:rsidRPr="00FC1444">
        <w:rPr>
          <w:rFonts w:eastAsiaTheme="minorEastAsia"/>
          <w:b/>
          <w:sz w:val="28"/>
          <w:szCs w:val="28"/>
        </w:rPr>
        <w:t>入河排污口调查</w:t>
      </w:r>
    </w:p>
    <w:p w:rsidR="00E456D6" w:rsidRPr="00FC1444" w:rsidRDefault="00E456D6">
      <w:pPr>
        <w:pStyle w:val="aff4"/>
        <w:adjustRightInd/>
        <w:snapToGrid/>
        <w:contextualSpacing/>
        <w:rPr>
          <w:rFonts w:ascii="Times New Roman" w:hAnsi="Times New Roman" w:cs="Times New Roman"/>
          <w:smallCaps/>
        </w:rPr>
      </w:pPr>
      <w:bookmarkStart w:id="114" w:name="_Ref157691378"/>
      <w:r w:rsidRPr="00FC1444">
        <w:rPr>
          <w:rFonts w:ascii="Times New Roman" w:hAnsi="Times New Roman" w:cs="Times New Roman" w:hint="eastAsia"/>
          <w:smallCaps/>
        </w:rPr>
        <w:t>项目区排水工程已基本形成规模，绥胜片区排水通过绥胜干沟汇入永安大排水，</w:t>
      </w:r>
      <w:r w:rsidRPr="00FC1444">
        <w:rPr>
          <w:rFonts w:ascii="Times New Roman" w:hAnsi="Times New Roman" w:cs="Times New Roman"/>
        </w:rPr>
        <w:t>设有</w:t>
      </w:r>
      <w:r w:rsidRPr="00FC1444">
        <w:rPr>
          <w:rFonts w:ascii="Times New Roman" w:hAnsi="Times New Roman" w:cs="Times New Roman"/>
        </w:rPr>
        <w:t>3</w:t>
      </w:r>
      <w:r w:rsidRPr="00FC1444">
        <w:rPr>
          <w:rFonts w:ascii="Times New Roman" w:hAnsi="Times New Roman" w:cs="Times New Roman"/>
        </w:rPr>
        <w:t>个农田退水口，</w:t>
      </w:r>
      <w:r w:rsidRPr="00FC1444">
        <w:rPr>
          <w:rFonts w:ascii="Times New Roman" w:hAnsi="Times New Roman" w:cs="Times New Roman" w:hint="eastAsia"/>
          <w:smallCaps/>
        </w:rPr>
        <w:t>最终汇入呼兰河，承泄区为呼兰河。津河片区排水通过原有沟汇入津河，</w:t>
      </w:r>
      <w:r w:rsidRPr="00FC1444">
        <w:rPr>
          <w:rFonts w:ascii="Times New Roman" w:hAnsi="Times New Roman" w:cs="Times New Roman"/>
        </w:rPr>
        <w:t>设有</w:t>
      </w:r>
      <w:r w:rsidR="006D2471" w:rsidRPr="00FC1444">
        <w:rPr>
          <w:rFonts w:ascii="Times New Roman" w:hAnsi="Times New Roman" w:cs="Times New Roman" w:hint="eastAsia"/>
        </w:rPr>
        <w:t>2</w:t>
      </w:r>
      <w:r w:rsidRPr="00FC1444">
        <w:rPr>
          <w:rFonts w:ascii="Times New Roman" w:hAnsi="Times New Roman" w:cs="Times New Roman"/>
        </w:rPr>
        <w:t>个农田退水口，</w:t>
      </w:r>
      <w:r w:rsidRPr="00FC1444">
        <w:rPr>
          <w:rFonts w:ascii="Times New Roman" w:hAnsi="Times New Roman" w:cs="Times New Roman" w:hint="eastAsia"/>
          <w:smallCaps/>
        </w:rPr>
        <w:t>最终承泄区为津河。五营片区排水通过原有沟汇入呼兰河，</w:t>
      </w:r>
      <w:r w:rsidRPr="00FC1444">
        <w:rPr>
          <w:rFonts w:ascii="Times New Roman" w:hAnsi="Times New Roman" w:cs="Times New Roman"/>
        </w:rPr>
        <w:t>设有</w:t>
      </w:r>
      <w:r w:rsidR="006D2471" w:rsidRPr="00FC1444">
        <w:rPr>
          <w:rFonts w:ascii="Times New Roman" w:hAnsi="Times New Roman" w:cs="Times New Roman" w:hint="eastAsia"/>
        </w:rPr>
        <w:t>2</w:t>
      </w:r>
      <w:r w:rsidRPr="00FC1444">
        <w:rPr>
          <w:rFonts w:ascii="Times New Roman" w:hAnsi="Times New Roman" w:cs="Times New Roman"/>
        </w:rPr>
        <w:t>个农田退水口，</w:t>
      </w:r>
      <w:r w:rsidRPr="00FC1444">
        <w:rPr>
          <w:rFonts w:ascii="Times New Roman" w:hAnsi="Times New Roman" w:cs="Times New Roman" w:hint="eastAsia"/>
          <w:smallCaps/>
        </w:rPr>
        <w:t>最终承泄区为呼兰河。三河片区排水通过原有沟汇入努敏河，</w:t>
      </w:r>
      <w:r w:rsidRPr="00FC1444">
        <w:rPr>
          <w:rFonts w:ascii="Times New Roman" w:hAnsi="Times New Roman" w:cs="Times New Roman"/>
        </w:rPr>
        <w:t>设有</w:t>
      </w:r>
      <w:r w:rsidR="006D2471" w:rsidRPr="00FC1444">
        <w:rPr>
          <w:rFonts w:ascii="Times New Roman" w:hAnsi="Times New Roman" w:cs="Times New Roman" w:hint="eastAsia"/>
        </w:rPr>
        <w:t>2</w:t>
      </w:r>
      <w:r w:rsidRPr="00FC1444">
        <w:rPr>
          <w:rFonts w:ascii="Times New Roman" w:hAnsi="Times New Roman" w:cs="Times New Roman"/>
        </w:rPr>
        <w:t>个农田退水口，</w:t>
      </w:r>
      <w:r w:rsidRPr="00FC1444">
        <w:rPr>
          <w:rFonts w:ascii="Times New Roman" w:hAnsi="Times New Roman" w:cs="Times New Roman" w:hint="eastAsia"/>
          <w:smallCaps/>
        </w:rPr>
        <w:t>最终承泄区为努敏河。</w:t>
      </w:r>
      <w:r w:rsidR="006D2471" w:rsidRPr="00FC1444">
        <w:rPr>
          <w:rFonts w:ascii="Times New Roman" w:hAnsi="Times New Roman" w:cs="Times New Roman" w:hint="eastAsia"/>
          <w:smallCaps/>
        </w:rPr>
        <w:t>排污口位于</w:t>
      </w:r>
      <w:r w:rsidR="006D2471" w:rsidRPr="00FC1444">
        <w:rPr>
          <w:rFonts w:ascii="Times New Roman" w:hAnsi="Times New Roman" w:cs="Times New Roman"/>
        </w:rPr>
        <w:t>绥胜干沟、原有沟。</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4</w:t>
      </w:r>
      <w:r w:rsidR="009840DD" w:rsidRPr="00FC1444">
        <w:rPr>
          <w:rFonts w:eastAsiaTheme="minorEastAsia"/>
          <w:b/>
          <w:kern w:val="0"/>
          <w:szCs w:val="21"/>
        </w:rPr>
        <w:fldChar w:fldCharType="begin"/>
      </w:r>
      <w:r w:rsidRPr="00FC1444">
        <w:rPr>
          <w:rFonts w:eastAsiaTheme="minorEastAsia"/>
          <w:b/>
          <w:kern w:val="0"/>
          <w:szCs w:val="21"/>
        </w:rPr>
        <w:instrText xml:space="preserve"> STYLEREF 2 \s </w:instrText>
      </w:r>
      <w:r w:rsidR="009840DD" w:rsidRPr="00FC1444">
        <w:rPr>
          <w:rFonts w:eastAsiaTheme="minorEastAsia"/>
          <w:b/>
          <w:kern w:val="0"/>
          <w:szCs w:val="21"/>
        </w:rPr>
        <w:fldChar w:fldCharType="separate"/>
      </w:r>
      <w:r w:rsidRPr="00FC1444">
        <w:rPr>
          <w:rFonts w:eastAsiaTheme="minorEastAsia"/>
          <w:b/>
          <w:kern w:val="0"/>
          <w:szCs w:val="21"/>
        </w:rPr>
        <w:t>-3</w:t>
      </w:r>
      <w:r w:rsidR="009840DD" w:rsidRPr="00FC1444">
        <w:rPr>
          <w:rFonts w:eastAsiaTheme="minorEastAsia"/>
          <w:b/>
          <w:kern w:val="0"/>
          <w:szCs w:val="21"/>
        </w:rPr>
        <w:fldChar w:fldCharType="end"/>
      </w:r>
      <w:r w:rsidRPr="00FC1444">
        <w:rPr>
          <w:rFonts w:eastAsiaTheme="minorEastAsia"/>
          <w:b/>
          <w:kern w:val="0"/>
          <w:szCs w:val="21"/>
        </w:rPr>
        <w:t>-</w:t>
      </w:r>
      <w:r w:rsidR="009840DD" w:rsidRPr="00FC1444">
        <w:rPr>
          <w:rFonts w:eastAsiaTheme="minorEastAsia"/>
          <w:b/>
          <w:kern w:val="0"/>
          <w:szCs w:val="21"/>
        </w:rPr>
        <w:fldChar w:fldCharType="begin"/>
      </w:r>
      <w:r w:rsidRPr="00FC1444">
        <w:rPr>
          <w:rFonts w:eastAsiaTheme="minorEastAsia"/>
          <w:b/>
          <w:kern w:val="0"/>
          <w:szCs w:val="21"/>
        </w:rPr>
        <w:instrText xml:space="preserve"> SEQ </w:instrText>
      </w:r>
      <w:r w:rsidRPr="00FC1444">
        <w:rPr>
          <w:rFonts w:eastAsiaTheme="minorEastAsia"/>
          <w:b/>
          <w:kern w:val="0"/>
          <w:szCs w:val="21"/>
        </w:rPr>
        <w:instrText>表</w:instrText>
      </w:r>
      <w:r w:rsidRPr="00FC1444">
        <w:rPr>
          <w:rFonts w:eastAsiaTheme="minorEastAsia"/>
          <w:b/>
          <w:kern w:val="0"/>
          <w:szCs w:val="21"/>
        </w:rPr>
        <w:instrText xml:space="preserve"> \* ARABIC \s 2 </w:instrText>
      </w:r>
      <w:r w:rsidR="009840DD" w:rsidRPr="00FC1444">
        <w:rPr>
          <w:rFonts w:eastAsiaTheme="minorEastAsia"/>
          <w:b/>
          <w:kern w:val="0"/>
          <w:szCs w:val="21"/>
        </w:rPr>
        <w:fldChar w:fldCharType="separate"/>
      </w:r>
      <w:r w:rsidRPr="00FC1444">
        <w:rPr>
          <w:rFonts w:eastAsiaTheme="minorEastAsia"/>
          <w:b/>
          <w:kern w:val="0"/>
          <w:szCs w:val="21"/>
        </w:rPr>
        <w:t>1</w:t>
      </w:r>
      <w:r w:rsidR="009840DD" w:rsidRPr="00FC1444">
        <w:rPr>
          <w:rFonts w:eastAsiaTheme="minorEastAsia"/>
          <w:b/>
          <w:kern w:val="0"/>
          <w:szCs w:val="21"/>
        </w:rPr>
        <w:fldChar w:fldCharType="end"/>
      </w:r>
      <w:bookmarkEnd w:id="114"/>
      <w:r w:rsidRPr="00FC1444">
        <w:rPr>
          <w:rFonts w:eastAsiaTheme="minorEastAsia"/>
          <w:b/>
          <w:kern w:val="0"/>
          <w:szCs w:val="21"/>
        </w:rPr>
        <w:t xml:space="preserve"> </w:t>
      </w:r>
      <w:r w:rsidRPr="00FC1444">
        <w:rPr>
          <w:rFonts w:eastAsiaTheme="minorEastAsia"/>
          <w:b/>
          <w:kern w:val="0"/>
          <w:szCs w:val="21"/>
        </w:rPr>
        <w:t>区域入河排污口基本情况</w:t>
      </w:r>
    </w:p>
    <w:tbl>
      <w:tblPr>
        <w:tblW w:w="4983" w:type="pct"/>
        <w:tblBorders>
          <w:top w:val="single" w:sz="12" w:space="0" w:color="auto"/>
          <w:bottom w:val="single" w:sz="12" w:space="0" w:color="auto"/>
          <w:insideH w:val="single" w:sz="4" w:space="0" w:color="auto"/>
          <w:insideV w:val="single" w:sz="4" w:space="0" w:color="auto"/>
        </w:tblBorders>
        <w:tblLayout w:type="fixed"/>
        <w:tblLook w:val="04A0"/>
      </w:tblPr>
      <w:tblGrid>
        <w:gridCol w:w="669"/>
        <w:gridCol w:w="1541"/>
        <w:gridCol w:w="2466"/>
        <w:gridCol w:w="1327"/>
        <w:gridCol w:w="1192"/>
        <w:gridCol w:w="1298"/>
      </w:tblGrid>
      <w:tr w:rsidR="002A5A5E" w:rsidRPr="00FC1444" w:rsidTr="006D2471">
        <w:trPr>
          <w:trHeight w:val="229"/>
          <w:tblHeader/>
        </w:trPr>
        <w:tc>
          <w:tcPr>
            <w:tcW w:w="394" w:type="pct"/>
            <w:noWrap/>
            <w:vAlign w:val="center"/>
          </w:tcPr>
          <w:p w:rsidR="002A5A5E" w:rsidRPr="00FC1444" w:rsidRDefault="00611CBA" w:rsidP="00931885">
            <w:pPr>
              <w:widowControl/>
              <w:jc w:val="center"/>
              <w:rPr>
                <w:rFonts w:eastAsiaTheme="minorEastAsia"/>
                <w:kern w:val="0"/>
                <w:szCs w:val="21"/>
              </w:rPr>
            </w:pPr>
            <w:bookmarkStart w:id="115" w:name="_Toc15991671"/>
            <w:r w:rsidRPr="00FC1444">
              <w:rPr>
                <w:rFonts w:eastAsiaTheme="minorEastAsia"/>
                <w:kern w:val="0"/>
                <w:szCs w:val="21"/>
              </w:rPr>
              <w:t>序号</w:t>
            </w:r>
          </w:p>
        </w:tc>
        <w:tc>
          <w:tcPr>
            <w:tcW w:w="907" w:type="pct"/>
            <w:noWrap/>
            <w:vAlign w:val="center"/>
          </w:tcPr>
          <w:p w:rsidR="002A5A5E" w:rsidRPr="00FC1444" w:rsidRDefault="00611CBA" w:rsidP="00931885">
            <w:pPr>
              <w:widowControl/>
              <w:jc w:val="center"/>
              <w:rPr>
                <w:rFonts w:eastAsiaTheme="minorEastAsia"/>
                <w:kern w:val="0"/>
                <w:szCs w:val="21"/>
              </w:rPr>
            </w:pPr>
            <w:r w:rsidRPr="00FC1444">
              <w:rPr>
                <w:rFonts w:eastAsiaTheme="minorEastAsia"/>
                <w:kern w:val="0"/>
                <w:szCs w:val="21"/>
              </w:rPr>
              <w:t>入河排污口编码</w:t>
            </w:r>
          </w:p>
        </w:tc>
        <w:tc>
          <w:tcPr>
            <w:tcW w:w="1452" w:type="pct"/>
            <w:noWrap/>
            <w:vAlign w:val="center"/>
          </w:tcPr>
          <w:p w:rsidR="002A5A5E" w:rsidRPr="00FC1444" w:rsidRDefault="00611CBA" w:rsidP="00931885">
            <w:pPr>
              <w:widowControl/>
              <w:jc w:val="center"/>
              <w:rPr>
                <w:rFonts w:eastAsiaTheme="minorEastAsia"/>
                <w:kern w:val="0"/>
                <w:szCs w:val="21"/>
              </w:rPr>
            </w:pPr>
            <w:r w:rsidRPr="00FC1444">
              <w:rPr>
                <w:rFonts w:eastAsiaTheme="minorEastAsia"/>
                <w:kern w:val="0"/>
                <w:szCs w:val="21"/>
              </w:rPr>
              <w:t>入河排污口名称</w:t>
            </w:r>
          </w:p>
        </w:tc>
        <w:tc>
          <w:tcPr>
            <w:tcW w:w="781" w:type="pct"/>
            <w:noWrap/>
            <w:vAlign w:val="center"/>
          </w:tcPr>
          <w:p w:rsidR="002A5A5E" w:rsidRPr="00FC1444" w:rsidRDefault="00611CBA" w:rsidP="00931885">
            <w:pPr>
              <w:widowControl/>
              <w:jc w:val="center"/>
              <w:rPr>
                <w:rFonts w:eastAsiaTheme="minorEastAsia"/>
                <w:kern w:val="0"/>
                <w:szCs w:val="21"/>
              </w:rPr>
            </w:pPr>
            <w:r w:rsidRPr="00FC1444">
              <w:rPr>
                <w:rFonts w:eastAsiaTheme="minorEastAsia"/>
                <w:kern w:val="0"/>
                <w:szCs w:val="21"/>
              </w:rPr>
              <w:t>入河排污口类型</w:t>
            </w:r>
          </w:p>
        </w:tc>
        <w:tc>
          <w:tcPr>
            <w:tcW w:w="702" w:type="pct"/>
            <w:noWrap/>
            <w:vAlign w:val="center"/>
          </w:tcPr>
          <w:p w:rsidR="002A5A5E" w:rsidRPr="00FC1444" w:rsidRDefault="00611CBA" w:rsidP="00931885">
            <w:pPr>
              <w:widowControl/>
              <w:jc w:val="center"/>
              <w:rPr>
                <w:rFonts w:eastAsiaTheme="minorEastAsia"/>
                <w:kern w:val="0"/>
                <w:szCs w:val="21"/>
              </w:rPr>
            </w:pPr>
            <w:r w:rsidRPr="00FC1444">
              <w:rPr>
                <w:rFonts w:eastAsiaTheme="minorEastAsia"/>
                <w:kern w:val="0"/>
                <w:szCs w:val="21"/>
              </w:rPr>
              <w:t>入河方式名称</w:t>
            </w:r>
          </w:p>
        </w:tc>
        <w:tc>
          <w:tcPr>
            <w:tcW w:w="764" w:type="pct"/>
            <w:noWrap/>
            <w:vAlign w:val="center"/>
          </w:tcPr>
          <w:p w:rsidR="002A5A5E" w:rsidRPr="00FC1444" w:rsidRDefault="00611CBA" w:rsidP="00931885">
            <w:pPr>
              <w:widowControl/>
              <w:jc w:val="center"/>
              <w:rPr>
                <w:rFonts w:eastAsiaTheme="minorEastAsia"/>
                <w:kern w:val="0"/>
                <w:szCs w:val="21"/>
              </w:rPr>
            </w:pPr>
            <w:r w:rsidRPr="00FC1444">
              <w:rPr>
                <w:rFonts w:eastAsiaTheme="minorEastAsia"/>
                <w:kern w:val="0"/>
                <w:szCs w:val="21"/>
              </w:rPr>
              <w:t>受纳水体</w:t>
            </w:r>
          </w:p>
        </w:tc>
      </w:tr>
      <w:tr w:rsidR="006D2471" w:rsidRPr="00FC1444" w:rsidTr="006D2471">
        <w:trPr>
          <w:trHeight w:val="229"/>
        </w:trPr>
        <w:tc>
          <w:tcPr>
            <w:tcW w:w="394"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1</w:t>
            </w:r>
          </w:p>
        </w:tc>
        <w:tc>
          <w:tcPr>
            <w:tcW w:w="907"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hint="eastAsia"/>
                <w:kern w:val="0"/>
                <w:szCs w:val="21"/>
              </w:rPr>
              <w:t>/</w:t>
            </w:r>
          </w:p>
        </w:tc>
        <w:tc>
          <w:tcPr>
            <w:tcW w:w="1452" w:type="pct"/>
            <w:noWrap/>
            <w:vAlign w:val="center"/>
          </w:tcPr>
          <w:p w:rsidR="006D2471" w:rsidRPr="00FC1444" w:rsidRDefault="006D2471" w:rsidP="00931885">
            <w:pPr>
              <w:widowControl/>
              <w:jc w:val="center"/>
              <w:rPr>
                <w:rFonts w:eastAsiaTheme="minorEastAsia"/>
                <w:kern w:val="0"/>
                <w:szCs w:val="21"/>
              </w:rPr>
            </w:pPr>
            <w:r w:rsidRPr="00FC1444">
              <w:rPr>
                <w:rFonts w:hint="eastAsia"/>
                <w:smallCaps/>
              </w:rPr>
              <w:t>绥胜镇</w:t>
            </w:r>
            <w:r w:rsidRPr="00FC1444">
              <w:rPr>
                <w:rFonts w:eastAsiaTheme="minorEastAsia"/>
                <w:kern w:val="0"/>
                <w:szCs w:val="21"/>
              </w:rPr>
              <w:t>退水口</w:t>
            </w:r>
          </w:p>
        </w:tc>
        <w:tc>
          <w:tcPr>
            <w:tcW w:w="781" w:type="pct"/>
            <w:noWrap/>
            <w:vAlign w:val="center"/>
          </w:tcPr>
          <w:p w:rsidR="006D2471" w:rsidRPr="00FC1444" w:rsidRDefault="006D2471" w:rsidP="006C3D69">
            <w:pPr>
              <w:widowControl/>
              <w:jc w:val="center"/>
              <w:rPr>
                <w:rFonts w:eastAsiaTheme="minorEastAsia"/>
                <w:kern w:val="0"/>
                <w:szCs w:val="21"/>
              </w:rPr>
            </w:pPr>
            <w:r w:rsidRPr="00FC1444">
              <w:rPr>
                <w:rFonts w:eastAsiaTheme="minorEastAsia"/>
                <w:kern w:val="0"/>
                <w:szCs w:val="21"/>
              </w:rPr>
              <w:t>/</w:t>
            </w:r>
          </w:p>
        </w:tc>
        <w:tc>
          <w:tcPr>
            <w:tcW w:w="702" w:type="pct"/>
            <w:noWrap/>
            <w:vAlign w:val="center"/>
          </w:tcPr>
          <w:p w:rsidR="006D2471" w:rsidRPr="00FC1444" w:rsidRDefault="006D2471" w:rsidP="006C3D69">
            <w:pPr>
              <w:widowControl/>
              <w:jc w:val="center"/>
              <w:rPr>
                <w:rFonts w:eastAsiaTheme="minorEastAsia"/>
                <w:kern w:val="0"/>
                <w:szCs w:val="21"/>
              </w:rPr>
            </w:pPr>
            <w:r w:rsidRPr="00FC1444">
              <w:rPr>
                <w:rFonts w:eastAsiaTheme="minorEastAsia"/>
                <w:kern w:val="0"/>
                <w:szCs w:val="21"/>
              </w:rPr>
              <w:t>直接排放</w:t>
            </w:r>
          </w:p>
        </w:tc>
        <w:tc>
          <w:tcPr>
            <w:tcW w:w="764" w:type="pct"/>
            <w:noWrap/>
            <w:vAlign w:val="center"/>
          </w:tcPr>
          <w:p w:rsidR="006D2471" w:rsidRPr="00FC1444" w:rsidRDefault="006D2471" w:rsidP="00931885">
            <w:pPr>
              <w:widowControl/>
              <w:jc w:val="center"/>
              <w:rPr>
                <w:rFonts w:eastAsiaTheme="minorEastAsia"/>
                <w:kern w:val="0"/>
                <w:szCs w:val="21"/>
              </w:rPr>
            </w:pPr>
            <w:r w:rsidRPr="00FC1444">
              <w:rPr>
                <w:rFonts w:hint="eastAsia"/>
                <w:smallCaps/>
              </w:rPr>
              <w:t>绥胜干沟</w:t>
            </w:r>
          </w:p>
        </w:tc>
      </w:tr>
      <w:tr w:rsidR="006D2471" w:rsidRPr="00FC1444" w:rsidTr="006D2471">
        <w:trPr>
          <w:trHeight w:val="229"/>
        </w:trPr>
        <w:tc>
          <w:tcPr>
            <w:tcW w:w="394"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2</w:t>
            </w:r>
          </w:p>
        </w:tc>
        <w:tc>
          <w:tcPr>
            <w:tcW w:w="907"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hint="eastAsia"/>
                <w:kern w:val="0"/>
                <w:szCs w:val="21"/>
              </w:rPr>
              <w:t>/</w:t>
            </w:r>
          </w:p>
        </w:tc>
        <w:tc>
          <w:tcPr>
            <w:tcW w:w="1452" w:type="pct"/>
            <w:noWrap/>
            <w:vAlign w:val="center"/>
          </w:tcPr>
          <w:p w:rsidR="006D2471" w:rsidRPr="00FC1444" w:rsidRDefault="006D2471" w:rsidP="00931885">
            <w:pPr>
              <w:widowControl/>
              <w:jc w:val="center"/>
              <w:rPr>
                <w:rFonts w:eastAsiaTheme="minorEastAsia"/>
                <w:kern w:val="0"/>
                <w:szCs w:val="21"/>
              </w:rPr>
            </w:pPr>
            <w:r w:rsidRPr="00FC1444">
              <w:rPr>
                <w:rFonts w:hint="eastAsia"/>
                <w:smallCaps/>
              </w:rPr>
              <w:t>绥胜镇</w:t>
            </w:r>
            <w:r w:rsidRPr="00FC1444">
              <w:rPr>
                <w:rFonts w:eastAsiaTheme="minorEastAsia"/>
                <w:kern w:val="0"/>
                <w:szCs w:val="21"/>
              </w:rPr>
              <w:t>退水口</w:t>
            </w:r>
          </w:p>
        </w:tc>
        <w:tc>
          <w:tcPr>
            <w:tcW w:w="781" w:type="pct"/>
            <w:noWrap/>
            <w:vAlign w:val="center"/>
          </w:tcPr>
          <w:p w:rsidR="006D2471" w:rsidRPr="00FC1444" w:rsidRDefault="006D2471" w:rsidP="006C3D69">
            <w:pPr>
              <w:jc w:val="center"/>
            </w:pPr>
            <w:r w:rsidRPr="00FC1444">
              <w:t>/</w:t>
            </w:r>
          </w:p>
        </w:tc>
        <w:tc>
          <w:tcPr>
            <w:tcW w:w="702" w:type="pct"/>
            <w:noWrap/>
            <w:vAlign w:val="center"/>
          </w:tcPr>
          <w:p w:rsidR="006D2471" w:rsidRPr="00FC1444" w:rsidRDefault="006D2471" w:rsidP="006C3D69">
            <w:pPr>
              <w:widowControl/>
              <w:jc w:val="center"/>
              <w:rPr>
                <w:rFonts w:eastAsiaTheme="minorEastAsia"/>
                <w:kern w:val="0"/>
                <w:szCs w:val="21"/>
              </w:rPr>
            </w:pPr>
            <w:r w:rsidRPr="00FC1444">
              <w:rPr>
                <w:rFonts w:eastAsiaTheme="minorEastAsia"/>
                <w:kern w:val="0"/>
                <w:szCs w:val="21"/>
              </w:rPr>
              <w:t>直接排放</w:t>
            </w:r>
          </w:p>
        </w:tc>
        <w:tc>
          <w:tcPr>
            <w:tcW w:w="764" w:type="pct"/>
            <w:noWrap/>
            <w:vAlign w:val="center"/>
          </w:tcPr>
          <w:p w:rsidR="006D2471" w:rsidRPr="00FC1444" w:rsidRDefault="006D2471" w:rsidP="00931885">
            <w:pPr>
              <w:jc w:val="center"/>
              <w:rPr>
                <w:rFonts w:eastAsiaTheme="minorEastAsia"/>
              </w:rPr>
            </w:pPr>
            <w:r w:rsidRPr="00FC1444">
              <w:rPr>
                <w:rFonts w:hint="eastAsia"/>
                <w:smallCaps/>
              </w:rPr>
              <w:t>绥胜干沟</w:t>
            </w:r>
          </w:p>
        </w:tc>
      </w:tr>
      <w:tr w:rsidR="006D2471" w:rsidRPr="00FC1444" w:rsidTr="006D2471">
        <w:trPr>
          <w:trHeight w:val="229"/>
        </w:trPr>
        <w:tc>
          <w:tcPr>
            <w:tcW w:w="394"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3</w:t>
            </w:r>
          </w:p>
        </w:tc>
        <w:tc>
          <w:tcPr>
            <w:tcW w:w="907"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hint="eastAsia"/>
                <w:kern w:val="0"/>
                <w:szCs w:val="21"/>
              </w:rPr>
              <w:t>/</w:t>
            </w:r>
          </w:p>
        </w:tc>
        <w:tc>
          <w:tcPr>
            <w:tcW w:w="1452" w:type="pct"/>
            <w:noWrap/>
            <w:vAlign w:val="center"/>
          </w:tcPr>
          <w:p w:rsidR="006D2471" w:rsidRPr="00FC1444" w:rsidRDefault="006D2471" w:rsidP="00931885">
            <w:pPr>
              <w:widowControl/>
              <w:jc w:val="center"/>
              <w:rPr>
                <w:rFonts w:eastAsiaTheme="minorEastAsia"/>
                <w:kern w:val="0"/>
                <w:szCs w:val="21"/>
              </w:rPr>
            </w:pPr>
            <w:r w:rsidRPr="00FC1444">
              <w:rPr>
                <w:rFonts w:hint="eastAsia"/>
                <w:smallCaps/>
              </w:rPr>
              <w:t>绥胜镇</w:t>
            </w:r>
            <w:r w:rsidRPr="00FC1444">
              <w:rPr>
                <w:rFonts w:eastAsiaTheme="minorEastAsia"/>
                <w:kern w:val="0"/>
                <w:szCs w:val="21"/>
              </w:rPr>
              <w:t>退水口</w:t>
            </w:r>
          </w:p>
        </w:tc>
        <w:tc>
          <w:tcPr>
            <w:tcW w:w="781" w:type="pct"/>
            <w:noWrap/>
            <w:vAlign w:val="center"/>
          </w:tcPr>
          <w:p w:rsidR="006D2471" w:rsidRPr="00FC1444" w:rsidRDefault="006D2471" w:rsidP="006C3D69">
            <w:pPr>
              <w:jc w:val="center"/>
            </w:pPr>
            <w:r w:rsidRPr="00FC1444">
              <w:t>/</w:t>
            </w:r>
          </w:p>
        </w:tc>
        <w:tc>
          <w:tcPr>
            <w:tcW w:w="702" w:type="pct"/>
            <w:noWrap/>
            <w:vAlign w:val="center"/>
          </w:tcPr>
          <w:p w:rsidR="006D2471" w:rsidRPr="00FC1444" w:rsidRDefault="006D2471" w:rsidP="006C3D69">
            <w:pPr>
              <w:widowControl/>
              <w:jc w:val="center"/>
              <w:rPr>
                <w:rFonts w:eastAsiaTheme="minorEastAsia"/>
                <w:kern w:val="0"/>
                <w:szCs w:val="21"/>
              </w:rPr>
            </w:pPr>
            <w:r w:rsidRPr="00FC1444">
              <w:rPr>
                <w:rFonts w:eastAsiaTheme="minorEastAsia"/>
                <w:kern w:val="0"/>
                <w:szCs w:val="21"/>
              </w:rPr>
              <w:t>直接排放</w:t>
            </w:r>
          </w:p>
        </w:tc>
        <w:tc>
          <w:tcPr>
            <w:tcW w:w="764" w:type="pct"/>
            <w:noWrap/>
            <w:vAlign w:val="center"/>
          </w:tcPr>
          <w:p w:rsidR="006D2471" w:rsidRPr="00FC1444" w:rsidRDefault="006D2471" w:rsidP="00931885">
            <w:pPr>
              <w:jc w:val="center"/>
              <w:rPr>
                <w:rFonts w:eastAsiaTheme="minorEastAsia"/>
              </w:rPr>
            </w:pPr>
            <w:r w:rsidRPr="00FC1444">
              <w:rPr>
                <w:rFonts w:hint="eastAsia"/>
                <w:smallCaps/>
              </w:rPr>
              <w:t>绥胜干沟</w:t>
            </w:r>
          </w:p>
        </w:tc>
      </w:tr>
      <w:tr w:rsidR="006D2471" w:rsidRPr="00FC1444" w:rsidTr="006D2471">
        <w:trPr>
          <w:trHeight w:val="229"/>
        </w:trPr>
        <w:tc>
          <w:tcPr>
            <w:tcW w:w="394"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4</w:t>
            </w:r>
          </w:p>
        </w:tc>
        <w:tc>
          <w:tcPr>
            <w:tcW w:w="907"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w:t>
            </w:r>
          </w:p>
        </w:tc>
        <w:tc>
          <w:tcPr>
            <w:tcW w:w="1452" w:type="pct"/>
            <w:noWrap/>
            <w:vAlign w:val="center"/>
          </w:tcPr>
          <w:p w:rsidR="006D2471" w:rsidRPr="00FC1444" w:rsidRDefault="006D2471" w:rsidP="00931885">
            <w:pPr>
              <w:widowControl/>
              <w:jc w:val="center"/>
              <w:rPr>
                <w:rFonts w:eastAsiaTheme="minorEastAsia"/>
                <w:kern w:val="0"/>
                <w:szCs w:val="21"/>
              </w:rPr>
            </w:pPr>
            <w:r w:rsidRPr="00FC1444">
              <w:rPr>
                <w:rFonts w:hint="eastAsia"/>
                <w:smallCaps/>
              </w:rPr>
              <w:t>津河镇</w:t>
            </w:r>
            <w:r w:rsidRPr="00FC1444">
              <w:rPr>
                <w:rFonts w:eastAsiaTheme="minorEastAsia"/>
                <w:kern w:val="0"/>
                <w:szCs w:val="21"/>
              </w:rPr>
              <w:t>退水口</w:t>
            </w:r>
          </w:p>
        </w:tc>
        <w:tc>
          <w:tcPr>
            <w:tcW w:w="781"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w:t>
            </w:r>
          </w:p>
        </w:tc>
        <w:tc>
          <w:tcPr>
            <w:tcW w:w="702"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直接排放</w:t>
            </w:r>
          </w:p>
        </w:tc>
        <w:tc>
          <w:tcPr>
            <w:tcW w:w="764" w:type="pct"/>
            <w:noWrap/>
            <w:vAlign w:val="center"/>
          </w:tcPr>
          <w:p w:rsidR="006D2471" w:rsidRPr="00FC1444" w:rsidRDefault="006D2471" w:rsidP="00931885">
            <w:pPr>
              <w:widowControl/>
              <w:jc w:val="center"/>
              <w:rPr>
                <w:rFonts w:eastAsiaTheme="minorEastAsia"/>
                <w:kern w:val="0"/>
                <w:szCs w:val="21"/>
              </w:rPr>
            </w:pPr>
            <w:r w:rsidRPr="00FC1444">
              <w:rPr>
                <w:rFonts w:hint="eastAsia"/>
                <w:smallCaps/>
              </w:rPr>
              <w:t>津河</w:t>
            </w:r>
          </w:p>
        </w:tc>
      </w:tr>
      <w:tr w:rsidR="006D2471" w:rsidRPr="00FC1444" w:rsidTr="006D2471">
        <w:trPr>
          <w:trHeight w:val="229"/>
        </w:trPr>
        <w:tc>
          <w:tcPr>
            <w:tcW w:w="394"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5</w:t>
            </w:r>
          </w:p>
        </w:tc>
        <w:tc>
          <w:tcPr>
            <w:tcW w:w="907"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w:t>
            </w:r>
          </w:p>
        </w:tc>
        <w:tc>
          <w:tcPr>
            <w:tcW w:w="1452" w:type="pct"/>
            <w:noWrap/>
            <w:vAlign w:val="center"/>
          </w:tcPr>
          <w:p w:rsidR="006D2471" w:rsidRPr="00FC1444" w:rsidRDefault="006D2471" w:rsidP="00931885">
            <w:pPr>
              <w:widowControl/>
              <w:jc w:val="center"/>
              <w:rPr>
                <w:rFonts w:eastAsiaTheme="minorEastAsia"/>
                <w:kern w:val="0"/>
                <w:szCs w:val="21"/>
              </w:rPr>
            </w:pPr>
            <w:r w:rsidRPr="00FC1444">
              <w:rPr>
                <w:rFonts w:hint="eastAsia"/>
                <w:smallCaps/>
              </w:rPr>
              <w:t>津河镇</w:t>
            </w:r>
            <w:r w:rsidRPr="00FC1444">
              <w:rPr>
                <w:rFonts w:eastAsiaTheme="minorEastAsia"/>
                <w:kern w:val="0"/>
                <w:szCs w:val="21"/>
              </w:rPr>
              <w:t>退水口</w:t>
            </w:r>
          </w:p>
        </w:tc>
        <w:tc>
          <w:tcPr>
            <w:tcW w:w="781" w:type="pct"/>
            <w:noWrap/>
            <w:vAlign w:val="center"/>
          </w:tcPr>
          <w:p w:rsidR="006D2471" w:rsidRPr="00FC1444" w:rsidRDefault="006D2471" w:rsidP="00931885">
            <w:pPr>
              <w:jc w:val="center"/>
            </w:pPr>
            <w:r w:rsidRPr="00FC1444">
              <w:t>/</w:t>
            </w:r>
          </w:p>
        </w:tc>
        <w:tc>
          <w:tcPr>
            <w:tcW w:w="702"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直接排放</w:t>
            </w:r>
          </w:p>
        </w:tc>
        <w:tc>
          <w:tcPr>
            <w:tcW w:w="764" w:type="pct"/>
            <w:noWrap/>
            <w:vAlign w:val="center"/>
          </w:tcPr>
          <w:p w:rsidR="006D2471" w:rsidRPr="00FC1444" w:rsidRDefault="006D2471" w:rsidP="00931885">
            <w:pPr>
              <w:jc w:val="center"/>
              <w:rPr>
                <w:rFonts w:eastAsiaTheme="minorEastAsia"/>
              </w:rPr>
            </w:pPr>
            <w:r w:rsidRPr="00FC1444">
              <w:rPr>
                <w:rFonts w:hint="eastAsia"/>
                <w:smallCaps/>
              </w:rPr>
              <w:t>津河</w:t>
            </w:r>
          </w:p>
        </w:tc>
      </w:tr>
      <w:tr w:rsidR="006D2471" w:rsidRPr="00FC1444" w:rsidTr="006D2471">
        <w:trPr>
          <w:trHeight w:val="229"/>
        </w:trPr>
        <w:tc>
          <w:tcPr>
            <w:tcW w:w="394"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6</w:t>
            </w:r>
          </w:p>
        </w:tc>
        <w:tc>
          <w:tcPr>
            <w:tcW w:w="907" w:type="pct"/>
            <w:noWrap/>
            <w:vAlign w:val="center"/>
          </w:tcPr>
          <w:p w:rsidR="006D2471" w:rsidRPr="00FC1444" w:rsidRDefault="006D2471" w:rsidP="006C5A39">
            <w:pPr>
              <w:widowControl/>
              <w:jc w:val="center"/>
              <w:rPr>
                <w:rFonts w:eastAsiaTheme="minorEastAsia"/>
                <w:kern w:val="0"/>
                <w:szCs w:val="21"/>
              </w:rPr>
            </w:pPr>
            <w:r w:rsidRPr="00FC1444">
              <w:rPr>
                <w:rFonts w:eastAsiaTheme="minorEastAsia"/>
                <w:kern w:val="0"/>
                <w:szCs w:val="21"/>
              </w:rPr>
              <w:t>/</w:t>
            </w:r>
          </w:p>
        </w:tc>
        <w:tc>
          <w:tcPr>
            <w:tcW w:w="1452" w:type="pct"/>
            <w:noWrap/>
            <w:vAlign w:val="center"/>
          </w:tcPr>
          <w:p w:rsidR="006D2471" w:rsidRPr="00FC1444" w:rsidRDefault="006D2471" w:rsidP="00931885">
            <w:pPr>
              <w:widowControl/>
              <w:jc w:val="center"/>
              <w:rPr>
                <w:rFonts w:eastAsiaTheme="minorEastAsia"/>
                <w:kern w:val="0"/>
                <w:szCs w:val="21"/>
              </w:rPr>
            </w:pPr>
            <w:r w:rsidRPr="00FC1444">
              <w:rPr>
                <w:rFonts w:hint="eastAsia"/>
                <w:smallCaps/>
              </w:rPr>
              <w:t>五营乡</w:t>
            </w:r>
            <w:r w:rsidRPr="00FC1444">
              <w:rPr>
                <w:rFonts w:eastAsiaTheme="minorEastAsia"/>
                <w:kern w:val="0"/>
                <w:szCs w:val="21"/>
              </w:rPr>
              <w:t>退水口</w:t>
            </w:r>
          </w:p>
        </w:tc>
        <w:tc>
          <w:tcPr>
            <w:tcW w:w="781" w:type="pct"/>
            <w:noWrap/>
            <w:vAlign w:val="center"/>
          </w:tcPr>
          <w:p w:rsidR="006D2471" w:rsidRPr="00FC1444" w:rsidRDefault="006D2471" w:rsidP="00931885">
            <w:pPr>
              <w:jc w:val="center"/>
            </w:pPr>
            <w:r w:rsidRPr="00FC1444">
              <w:t>/</w:t>
            </w:r>
          </w:p>
        </w:tc>
        <w:tc>
          <w:tcPr>
            <w:tcW w:w="702"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直接排放</w:t>
            </w:r>
          </w:p>
        </w:tc>
        <w:tc>
          <w:tcPr>
            <w:tcW w:w="764" w:type="pct"/>
            <w:noWrap/>
            <w:vAlign w:val="center"/>
          </w:tcPr>
          <w:p w:rsidR="006D2471" w:rsidRPr="00FC1444" w:rsidRDefault="006D2471" w:rsidP="00931885">
            <w:pPr>
              <w:jc w:val="center"/>
              <w:rPr>
                <w:rFonts w:eastAsiaTheme="minorEastAsia"/>
              </w:rPr>
            </w:pPr>
            <w:r w:rsidRPr="00FC1444">
              <w:rPr>
                <w:rFonts w:eastAsiaTheme="minorEastAsia"/>
              </w:rPr>
              <w:t>呼兰河</w:t>
            </w:r>
          </w:p>
        </w:tc>
      </w:tr>
      <w:tr w:rsidR="006D2471" w:rsidRPr="00FC1444" w:rsidTr="006D2471">
        <w:trPr>
          <w:trHeight w:val="229"/>
        </w:trPr>
        <w:tc>
          <w:tcPr>
            <w:tcW w:w="394"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7</w:t>
            </w:r>
          </w:p>
        </w:tc>
        <w:tc>
          <w:tcPr>
            <w:tcW w:w="907"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w:t>
            </w:r>
          </w:p>
        </w:tc>
        <w:tc>
          <w:tcPr>
            <w:tcW w:w="1452" w:type="pct"/>
            <w:noWrap/>
            <w:vAlign w:val="center"/>
          </w:tcPr>
          <w:p w:rsidR="006D2471" w:rsidRPr="00FC1444" w:rsidRDefault="006D2471" w:rsidP="00931885">
            <w:pPr>
              <w:widowControl/>
              <w:jc w:val="center"/>
              <w:rPr>
                <w:rFonts w:eastAsiaTheme="minorEastAsia"/>
                <w:kern w:val="0"/>
                <w:szCs w:val="21"/>
              </w:rPr>
            </w:pPr>
            <w:r w:rsidRPr="00FC1444">
              <w:rPr>
                <w:rFonts w:hint="eastAsia"/>
                <w:smallCaps/>
              </w:rPr>
              <w:t>五营乡</w:t>
            </w:r>
            <w:r w:rsidRPr="00FC1444">
              <w:rPr>
                <w:rFonts w:eastAsiaTheme="minorEastAsia"/>
                <w:kern w:val="0"/>
                <w:szCs w:val="21"/>
              </w:rPr>
              <w:t>退水口</w:t>
            </w:r>
          </w:p>
        </w:tc>
        <w:tc>
          <w:tcPr>
            <w:tcW w:w="781" w:type="pct"/>
            <w:noWrap/>
            <w:vAlign w:val="center"/>
          </w:tcPr>
          <w:p w:rsidR="006D2471" w:rsidRPr="00FC1444" w:rsidRDefault="006D2471" w:rsidP="00931885">
            <w:pPr>
              <w:jc w:val="center"/>
            </w:pPr>
            <w:r w:rsidRPr="00FC1444">
              <w:t>/</w:t>
            </w:r>
          </w:p>
        </w:tc>
        <w:tc>
          <w:tcPr>
            <w:tcW w:w="702"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直接排放</w:t>
            </w:r>
          </w:p>
        </w:tc>
        <w:tc>
          <w:tcPr>
            <w:tcW w:w="764" w:type="pct"/>
            <w:noWrap/>
            <w:vAlign w:val="center"/>
          </w:tcPr>
          <w:p w:rsidR="006D2471" w:rsidRPr="00FC1444" w:rsidRDefault="006D2471" w:rsidP="00931885">
            <w:pPr>
              <w:jc w:val="center"/>
              <w:rPr>
                <w:rFonts w:eastAsiaTheme="minorEastAsia"/>
                <w:kern w:val="0"/>
                <w:szCs w:val="21"/>
              </w:rPr>
            </w:pPr>
            <w:r w:rsidRPr="00FC1444">
              <w:rPr>
                <w:rFonts w:eastAsiaTheme="minorEastAsia"/>
              </w:rPr>
              <w:t>呼兰河</w:t>
            </w:r>
          </w:p>
        </w:tc>
      </w:tr>
      <w:tr w:rsidR="006D2471" w:rsidRPr="00FC1444" w:rsidTr="006D2471">
        <w:trPr>
          <w:trHeight w:val="229"/>
        </w:trPr>
        <w:tc>
          <w:tcPr>
            <w:tcW w:w="394"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8</w:t>
            </w:r>
          </w:p>
        </w:tc>
        <w:tc>
          <w:tcPr>
            <w:tcW w:w="907" w:type="pct"/>
            <w:noWrap/>
            <w:vAlign w:val="center"/>
          </w:tcPr>
          <w:p w:rsidR="006D2471" w:rsidRPr="00FC1444" w:rsidRDefault="006D2471" w:rsidP="006C5A39">
            <w:pPr>
              <w:widowControl/>
              <w:jc w:val="center"/>
              <w:rPr>
                <w:rFonts w:eastAsiaTheme="minorEastAsia"/>
                <w:kern w:val="0"/>
                <w:szCs w:val="21"/>
              </w:rPr>
            </w:pPr>
            <w:r w:rsidRPr="00FC1444">
              <w:rPr>
                <w:rFonts w:eastAsiaTheme="minorEastAsia"/>
                <w:kern w:val="0"/>
                <w:szCs w:val="21"/>
              </w:rPr>
              <w:t>/</w:t>
            </w:r>
          </w:p>
        </w:tc>
        <w:tc>
          <w:tcPr>
            <w:tcW w:w="1452" w:type="pct"/>
            <w:noWrap/>
            <w:vAlign w:val="center"/>
          </w:tcPr>
          <w:p w:rsidR="006D2471" w:rsidRPr="00FC1444" w:rsidRDefault="006D2471" w:rsidP="00931885">
            <w:pPr>
              <w:widowControl/>
              <w:jc w:val="center"/>
              <w:rPr>
                <w:rFonts w:eastAsiaTheme="minorEastAsia"/>
                <w:kern w:val="0"/>
                <w:szCs w:val="21"/>
              </w:rPr>
            </w:pPr>
            <w:r w:rsidRPr="00FC1444">
              <w:rPr>
                <w:rFonts w:hint="eastAsia"/>
                <w:smallCaps/>
              </w:rPr>
              <w:t>三河镇</w:t>
            </w:r>
            <w:r w:rsidRPr="00FC1444">
              <w:rPr>
                <w:rFonts w:eastAsiaTheme="minorEastAsia"/>
                <w:kern w:val="0"/>
                <w:szCs w:val="21"/>
              </w:rPr>
              <w:t>退水口</w:t>
            </w:r>
          </w:p>
        </w:tc>
        <w:tc>
          <w:tcPr>
            <w:tcW w:w="781" w:type="pct"/>
            <w:noWrap/>
            <w:vAlign w:val="center"/>
          </w:tcPr>
          <w:p w:rsidR="006D2471" w:rsidRPr="00FC1444" w:rsidRDefault="006D2471" w:rsidP="00931885">
            <w:pPr>
              <w:jc w:val="center"/>
            </w:pPr>
            <w:r w:rsidRPr="00FC1444">
              <w:t>/</w:t>
            </w:r>
          </w:p>
        </w:tc>
        <w:tc>
          <w:tcPr>
            <w:tcW w:w="702"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直接排放</w:t>
            </w:r>
          </w:p>
        </w:tc>
        <w:tc>
          <w:tcPr>
            <w:tcW w:w="764" w:type="pct"/>
            <w:noWrap/>
            <w:vAlign w:val="center"/>
          </w:tcPr>
          <w:p w:rsidR="006D2471" w:rsidRPr="00FC1444" w:rsidRDefault="006D2471" w:rsidP="00931885">
            <w:pPr>
              <w:jc w:val="center"/>
              <w:rPr>
                <w:rFonts w:eastAsiaTheme="minorEastAsia"/>
                <w:kern w:val="0"/>
                <w:szCs w:val="21"/>
              </w:rPr>
            </w:pPr>
            <w:r w:rsidRPr="00FC1444">
              <w:rPr>
                <w:rFonts w:hint="eastAsia"/>
                <w:smallCaps/>
              </w:rPr>
              <w:t>努敏河</w:t>
            </w:r>
          </w:p>
        </w:tc>
      </w:tr>
      <w:tr w:rsidR="006D2471" w:rsidRPr="00FC1444" w:rsidTr="006D2471">
        <w:trPr>
          <w:trHeight w:val="229"/>
        </w:trPr>
        <w:tc>
          <w:tcPr>
            <w:tcW w:w="394"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9</w:t>
            </w:r>
          </w:p>
        </w:tc>
        <w:tc>
          <w:tcPr>
            <w:tcW w:w="907" w:type="pct"/>
            <w:noWrap/>
            <w:vAlign w:val="center"/>
          </w:tcPr>
          <w:p w:rsidR="006D2471" w:rsidRPr="00FC1444" w:rsidRDefault="006D2471" w:rsidP="006C5A39">
            <w:pPr>
              <w:widowControl/>
              <w:jc w:val="center"/>
              <w:rPr>
                <w:rFonts w:eastAsiaTheme="minorEastAsia"/>
                <w:kern w:val="0"/>
                <w:szCs w:val="21"/>
              </w:rPr>
            </w:pPr>
            <w:r w:rsidRPr="00FC1444">
              <w:rPr>
                <w:rFonts w:eastAsiaTheme="minorEastAsia"/>
                <w:kern w:val="0"/>
                <w:szCs w:val="21"/>
              </w:rPr>
              <w:t>/</w:t>
            </w:r>
          </w:p>
        </w:tc>
        <w:tc>
          <w:tcPr>
            <w:tcW w:w="1452" w:type="pct"/>
            <w:noWrap/>
            <w:vAlign w:val="center"/>
          </w:tcPr>
          <w:p w:rsidR="006D2471" w:rsidRPr="00FC1444" w:rsidRDefault="006D2471" w:rsidP="00931885">
            <w:pPr>
              <w:widowControl/>
              <w:jc w:val="center"/>
              <w:rPr>
                <w:rFonts w:eastAsiaTheme="minorEastAsia"/>
                <w:kern w:val="0"/>
                <w:szCs w:val="21"/>
              </w:rPr>
            </w:pPr>
            <w:r w:rsidRPr="00FC1444">
              <w:rPr>
                <w:rFonts w:hint="eastAsia"/>
                <w:smallCaps/>
              </w:rPr>
              <w:t>三河镇</w:t>
            </w:r>
            <w:r w:rsidRPr="00FC1444">
              <w:rPr>
                <w:rFonts w:eastAsiaTheme="minorEastAsia"/>
                <w:kern w:val="0"/>
                <w:szCs w:val="21"/>
              </w:rPr>
              <w:t>退水口</w:t>
            </w:r>
          </w:p>
        </w:tc>
        <w:tc>
          <w:tcPr>
            <w:tcW w:w="781" w:type="pct"/>
            <w:noWrap/>
            <w:vAlign w:val="center"/>
          </w:tcPr>
          <w:p w:rsidR="006D2471" w:rsidRPr="00FC1444" w:rsidRDefault="006D2471" w:rsidP="00931885">
            <w:pPr>
              <w:jc w:val="center"/>
            </w:pPr>
            <w:r w:rsidRPr="00FC1444">
              <w:t>/</w:t>
            </w:r>
          </w:p>
        </w:tc>
        <w:tc>
          <w:tcPr>
            <w:tcW w:w="702" w:type="pct"/>
            <w:noWrap/>
            <w:vAlign w:val="center"/>
          </w:tcPr>
          <w:p w:rsidR="006D2471" w:rsidRPr="00FC1444" w:rsidRDefault="006D2471" w:rsidP="00931885">
            <w:pPr>
              <w:widowControl/>
              <w:jc w:val="center"/>
              <w:rPr>
                <w:rFonts w:eastAsiaTheme="minorEastAsia"/>
                <w:kern w:val="0"/>
                <w:szCs w:val="21"/>
              </w:rPr>
            </w:pPr>
            <w:r w:rsidRPr="00FC1444">
              <w:rPr>
                <w:rFonts w:eastAsiaTheme="minorEastAsia"/>
                <w:kern w:val="0"/>
                <w:szCs w:val="21"/>
              </w:rPr>
              <w:t>直接排放</w:t>
            </w:r>
          </w:p>
        </w:tc>
        <w:tc>
          <w:tcPr>
            <w:tcW w:w="764" w:type="pct"/>
            <w:noWrap/>
            <w:vAlign w:val="center"/>
          </w:tcPr>
          <w:p w:rsidR="006D2471" w:rsidRPr="00FC1444" w:rsidRDefault="006D2471" w:rsidP="00931885">
            <w:pPr>
              <w:jc w:val="center"/>
              <w:rPr>
                <w:rFonts w:eastAsiaTheme="minorEastAsia"/>
                <w:kern w:val="0"/>
                <w:szCs w:val="21"/>
              </w:rPr>
            </w:pPr>
            <w:r w:rsidRPr="00FC1444">
              <w:rPr>
                <w:rFonts w:hint="eastAsia"/>
                <w:smallCaps/>
              </w:rPr>
              <w:t>努敏河</w:t>
            </w:r>
          </w:p>
        </w:tc>
      </w:tr>
    </w:tbl>
    <w:p w:rsidR="002A5A5E" w:rsidRPr="00FC1444" w:rsidRDefault="002A5A5E">
      <w:pPr>
        <w:pStyle w:val="aff4"/>
        <w:adjustRightInd/>
        <w:snapToGrid/>
        <w:contextualSpacing/>
        <w:rPr>
          <w:rFonts w:ascii="Times New Roman" w:hAnsi="Times New Roman" w:cs="Times New Roman"/>
          <w:smallCaps/>
          <w:szCs w:val="22"/>
        </w:rPr>
        <w:sectPr w:rsidR="002A5A5E" w:rsidRPr="00FC1444">
          <w:pgSz w:w="11906" w:h="16838"/>
          <w:pgMar w:top="1440" w:right="1800" w:bottom="1440" w:left="1800" w:header="851" w:footer="992" w:gutter="0"/>
          <w:cols w:space="425"/>
          <w:docGrid w:type="lines" w:linePitch="312"/>
        </w:sectPr>
      </w:pPr>
    </w:p>
    <w:p w:rsidR="002A5A5E" w:rsidRPr="00FC1444" w:rsidRDefault="00611CBA">
      <w:pPr>
        <w:spacing w:line="360" w:lineRule="auto"/>
        <w:outlineLvl w:val="2"/>
        <w:rPr>
          <w:rFonts w:eastAsiaTheme="minorEastAsia"/>
          <w:b/>
          <w:sz w:val="28"/>
          <w:szCs w:val="28"/>
        </w:rPr>
      </w:pPr>
      <w:r w:rsidRPr="00FC1444">
        <w:rPr>
          <w:rFonts w:eastAsiaTheme="minorEastAsia"/>
          <w:b/>
          <w:sz w:val="28"/>
          <w:szCs w:val="28"/>
        </w:rPr>
        <w:lastRenderedPageBreak/>
        <w:t>4.3.</w:t>
      </w:r>
      <w:bookmarkEnd w:id="115"/>
      <w:r w:rsidRPr="00FC1444">
        <w:rPr>
          <w:rFonts w:eastAsiaTheme="minorEastAsia"/>
          <w:b/>
          <w:sz w:val="28"/>
          <w:szCs w:val="28"/>
        </w:rPr>
        <w:t>2</w:t>
      </w:r>
      <w:r w:rsidRPr="00FC1444">
        <w:rPr>
          <w:rFonts w:eastAsiaTheme="minorEastAsia"/>
          <w:b/>
          <w:sz w:val="28"/>
          <w:szCs w:val="28"/>
        </w:rPr>
        <w:t>面源污染物调查</w:t>
      </w:r>
    </w:p>
    <w:p w:rsidR="002A5A5E" w:rsidRPr="00FC1444" w:rsidRDefault="00611CBA">
      <w:pPr>
        <w:pStyle w:val="aff4"/>
        <w:adjustRightInd/>
        <w:snapToGrid/>
        <w:contextualSpacing/>
        <w:rPr>
          <w:rFonts w:ascii="Times New Roman" w:hAnsi="Times New Roman" w:cs="Times New Roman"/>
          <w:smallCaps/>
          <w:szCs w:val="22"/>
        </w:rPr>
      </w:pPr>
      <w:r w:rsidRPr="00FC1444">
        <w:rPr>
          <w:rFonts w:ascii="Times New Roman" w:hAnsi="Times New Roman" w:cs="Times New Roman"/>
          <w:smallCaps/>
          <w:szCs w:val="22"/>
        </w:rPr>
        <w:t>（</w:t>
      </w:r>
      <w:r w:rsidRPr="00FC1444">
        <w:rPr>
          <w:rFonts w:ascii="Times New Roman" w:hAnsi="Times New Roman" w:cs="Times New Roman"/>
          <w:smallCaps/>
          <w:szCs w:val="22"/>
        </w:rPr>
        <w:t>1</w:t>
      </w:r>
      <w:r w:rsidRPr="00FC1444">
        <w:rPr>
          <w:rFonts w:ascii="Times New Roman" w:hAnsi="Times New Roman" w:cs="Times New Roman"/>
          <w:smallCaps/>
          <w:szCs w:val="22"/>
        </w:rPr>
        <w:t>）农村生活污染</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smallCaps/>
          <w:szCs w:val="22"/>
        </w:rPr>
        <w:t>工程所在区域农村生活缺乏有效的排水措施，生活污水散排，污水下渗而污染物在沟渠中大量累积，在较大的降雨径流冲刷作用下，这些污染物大多向河道运移。农村生活污水污染主要来自两方面，一是粪便，通常置于旱厕中，用于农田堆肥；二是其他生活污水，一般就地排放，渗入土壤，形成面源污染。</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2</w:t>
      </w:r>
      <w:r w:rsidRPr="00FC1444">
        <w:rPr>
          <w:rFonts w:ascii="Times New Roman" w:hAnsi="Times New Roman" w:cs="Times New Roman"/>
        </w:rPr>
        <w:t>）农业面源</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smallCaps/>
          <w:szCs w:val="22"/>
        </w:rPr>
        <w:t>工程所在区域分布有大量的农田，造成农业面源污染。农田径流污染主要来源如下：</w:t>
      </w:r>
      <w:r w:rsidRPr="00FC1444">
        <w:rPr>
          <w:rFonts w:ascii="Times New Roman" w:hAnsi="Times New Roman" w:cs="Times New Roman"/>
          <w:smallCaps/>
          <w:szCs w:val="22"/>
        </w:rPr>
        <w:t>1</w:t>
      </w:r>
      <w:r w:rsidRPr="00FC1444">
        <w:rPr>
          <w:rFonts w:ascii="Times New Roman" w:hAnsi="Times New Roman" w:cs="Times New Roman"/>
          <w:smallCaps/>
          <w:szCs w:val="22"/>
        </w:rPr>
        <w:t>）农田化肥、农药施用不当，加上不合理的农田灌溉，导致氮、磷污染物通过农田的地表径流和农田渗漏流入河道；</w:t>
      </w:r>
      <w:r w:rsidRPr="00FC1444">
        <w:rPr>
          <w:rFonts w:ascii="Times New Roman" w:hAnsi="Times New Roman" w:cs="Times New Roman"/>
          <w:smallCaps/>
          <w:szCs w:val="22"/>
        </w:rPr>
        <w:t>2</w:t>
      </w:r>
      <w:r w:rsidRPr="00FC1444">
        <w:rPr>
          <w:rFonts w:ascii="Times New Roman" w:hAnsi="Times New Roman" w:cs="Times New Roman"/>
          <w:smallCaps/>
          <w:szCs w:val="22"/>
        </w:rPr>
        <w:t>）农作物秸秆除部分用作牲畜饲草、饲料外，其余存放于房前屋后进行露天沤肥，或在田间地头焚烧，导致土壤中总氮、总磷和易腐有机质含量增加。</w:t>
      </w:r>
      <w:r w:rsidRPr="00FC1444">
        <w:rPr>
          <w:rFonts w:ascii="Times New Roman" w:hAnsi="Times New Roman" w:cs="Times New Roman"/>
          <w:smallCaps/>
          <w:szCs w:val="22"/>
        </w:rPr>
        <w:t>3</w:t>
      </w:r>
      <w:r w:rsidRPr="00FC1444">
        <w:rPr>
          <w:rFonts w:ascii="Times New Roman" w:hAnsi="Times New Roman" w:cs="Times New Roman"/>
          <w:smallCaps/>
          <w:szCs w:val="22"/>
        </w:rPr>
        <w:t>）</w:t>
      </w:r>
      <w:r w:rsidRPr="00FC1444">
        <w:rPr>
          <w:rFonts w:ascii="Times New Roman" w:hAnsi="Times New Roman" w:cs="Times New Roman"/>
        </w:rPr>
        <w:t>农膜、</w:t>
      </w:r>
      <w:r w:rsidRPr="00FC1444">
        <w:rPr>
          <w:rFonts w:ascii="Times New Roman" w:hAnsi="Times New Roman" w:cs="Times New Roman"/>
          <w:bCs/>
        </w:rPr>
        <w:t>农药包装物及废肥料包装袋由当地农民外售综合利用</w:t>
      </w:r>
      <w:r w:rsidRPr="00FC1444">
        <w:rPr>
          <w:rFonts w:ascii="Times New Roman" w:hAnsi="Times New Roman" w:cs="Times New Roman"/>
        </w:rPr>
        <w:t>。</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3</w:t>
      </w:r>
      <w:r w:rsidRPr="00FC1444">
        <w:rPr>
          <w:rFonts w:ascii="Times New Roman" w:hAnsi="Times New Roman" w:cs="Times New Roman"/>
        </w:rPr>
        <w:t>）</w:t>
      </w:r>
      <w:r w:rsidRPr="00FC1444">
        <w:rPr>
          <w:rFonts w:ascii="Times New Roman" w:hAnsi="Times New Roman" w:cs="Times New Roman"/>
          <w:smallCaps/>
          <w:szCs w:val="22"/>
        </w:rPr>
        <w:t>畜禽养殖</w:t>
      </w:r>
    </w:p>
    <w:p w:rsidR="002A5A5E" w:rsidRPr="00FC1444" w:rsidRDefault="00611CBA">
      <w:pPr>
        <w:pStyle w:val="aff4"/>
        <w:adjustRightInd/>
        <w:snapToGrid/>
        <w:contextualSpacing/>
        <w:rPr>
          <w:rFonts w:ascii="Times New Roman" w:hAnsi="Times New Roman" w:cs="Times New Roman"/>
          <w:smallCaps/>
          <w:szCs w:val="22"/>
        </w:rPr>
      </w:pPr>
      <w:r w:rsidRPr="00FC1444">
        <w:rPr>
          <w:rFonts w:ascii="Times New Roman" w:hAnsi="Times New Roman" w:cs="Times New Roman"/>
          <w:smallCaps/>
          <w:szCs w:val="22"/>
        </w:rPr>
        <w:t>畜禽养殖方式有两种，为集中式养殖和分散户养殖。集中式养殖的畜禽粪污处理方式主要为有机肥加工，散养户畜禽粪污处理方式为散排还田、沤肥。各规模化养殖场（小区）、养殖户大部分均设置了粪便无害化处理设施，少部分养殖场粪污的收集、贮存、处理等方式并不科学、环保，多数为随意堆放，堆积还田，污水无处理排放。</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smallCaps/>
          <w:szCs w:val="22"/>
        </w:rPr>
        <w:t>（</w:t>
      </w:r>
      <w:r w:rsidRPr="00FC1444">
        <w:rPr>
          <w:rFonts w:ascii="Times New Roman" w:hAnsi="Times New Roman" w:cs="Times New Roman"/>
          <w:smallCaps/>
          <w:szCs w:val="22"/>
        </w:rPr>
        <w:t>4</w:t>
      </w:r>
      <w:r w:rsidRPr="00FC1444">
        <w:rPr>
          <w:rFonts w:ascii="Times New Roman" w:hAnsi="Times New Roman" w:cs="Times New Roman"/>
          <w:smallCaps/>
          <w:szCs w:val="22"/>
        </w:rPr>
        <w:t>）</w:t>
      </w:r>
      <w:r w:rsidRPr="00FC1444">
        <w:rPr>
          <w:rFonts w:ascii="Times New Roman" w:hAnsi="Times New Roman" w:cs="Times New Roman"/>
        </w:rPr>
        <w:t>农田排水</w:t>
      </w:r>
    </w:p>
    <w:p w:rsidR="002A5A5E" w:rsidRPr="00FC1444" w:rsidRDefault="00E456D6">
      <w:pPr>
        <w:pStyle w:val="aff4"/>
        <w:adjustRightInd/>
        <w:snapToGrid/>
        <w:contextualSpacing/>
        <w:rPr>
          <w:rFonts w:ascii="Times New Roman" w:hAnsi="Times New Roman" w:cs="Times New Roman"/>
        </w:rPr>
      </w:pPr>
      <w:r w:rsidRPr="00FC1444">
        <w:rPr>
          <w:rFonts w:ascii="Times New Roman" w:hAnsi="Times New Roman" w:cs="Times New Roman" w:hint="eastAsia"/>
        </w:rPr>
        <w:t>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00283C49" w:rsidRPr="00FC1444">
        <w:rPr>
          <w:rFonts w:ascii="Times New Roman" w:hAnsi="Times New Roman" w:cs="Times New Roman"/>
        </w:rPr>
        <w:t>片区内</w:t>
      </w:r>
      <w:r w:rsidR="00AC69F4" w:rsidRPr="00FC1444">
        <w:rPr>
          <w:rFonts w:ascii="Times New Roman" w:hAnsi="Times New Roman" w:cs="Times New Roman"/>
        </w:rPr>
        <w:t>排水承泄区为津河、呼兰河、努敏河</w:t>
      </w:r>
      <w:r w:rsidR="00611CBA" w:rsidRPr="00FC1444">
        <w:rPr>
          <w:rFonts w:ascii="Times New Roman" w:hAnsi="Times New Roman" w:cs="Times New Roman"/>
        </w:rPr>
        <w:t>。</w:t>
      </w:r>
    </w:p>
    <w:p w:rsidR="002A5A5E" w:rsidRPr="00FC1444" w:rsidRDefault="00611CBA">
      <w:pPr>
        <w:spacing w:line="360" w:lineRule="auto"/>
        <w:outlineLvl w:val="2"/>
        <w:rPr>
          <w:rFonts w:eastAsiaTheme="minorEastAsia"/>
          <w:b/>
          <w:sz w:val="28"/>
          <w:szCs w:val="28"/>
        </w:rPr>
      </w:pPr>
      <w:bookmarkStart w:id="116" w:name="_Toc15991672"/>
      <w:r w:rsidRPr="00FC1444">
        <w:rPr>
          <w:rFonts w:eastAsiaTheme="minorEastAsia"/>
          <w:b/>
          <w:sz w:val="28"/>
          <w:szCs w:val="28"/>
        </w:rPr>
        <w:t>4.3.3</w:t>
      </w:r>
      <w:r w:rsidRPr="00FC1444">
        <w:rPr>
          <w:rFonts w:eastAsiaTheme="minorEastAsia"/>
          <w:b/>
          <w:sz w:val="28"/>
          <w:szCs w:val="28"/>
        </w:rPr>
        <w:t>噪声污染源</w:t>
      </w:r>
      <w:bookmarkEnd w:id="116"/>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rPr>
        <w:t>本项目周边区域噪声主要污染源为生活生产噪声和交通噪声。</w:t>
      </w: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17" w:name="_Toc514938164"/>
      <w:bookmarkStart w:id="118" w:name="_Toc208906240"/>
      <w:r w:rsidRPr="00FC1444">
        <w:rPr>
          <w:rFonts w:eastAsiaTheme="minorEastAsia"/>
          <w:b/>
          <w:bCs/>
          <w:kern w:val="44"/>
          <w:sz w:val="30"/>
          <w:szCs w:val="30"/>
        </w:rPr>
        <w:t>4.4</w:t>
      </w:r>
      <w:r w:rsidRPr="00FC1444">
        <w:rPr>
          <w:rFonts w:eastAsiaTheme="minorEastAsia"/>
          <w:b/>
          <w:bCs/>
          <w:kern w:val="44"/>
          <w:sz w:val="30"/>
          <w:szCs w:val="30"/>
        </w:rPr>
        <w:t>环境保护目标调查</w:t>
      </w:r>
      <w:bookmarkEnd w:id="117"/>
      <w:bookmarkEnd w:id="118"/>
    </w:p>
    <w:p w:rsidR="002A5A5E" w:rsidRPr="00FC1444" w:rsidRDefault="00611CBA">
      <w:pPr>
        <w:spacing w:line="360" w:lineRule="auto"/>
        <w:ind w:firstLineChars="200" w:firstLine="480"/>
        <w:contextualSpacing/>
        <w:rPr>
          <w:rFonts w:eastAsiaTheme="minorEastAsia"/>
          <w:bCs/>
          <w:kern w:val="44"/>
          <w:sz w:val="24"/>
        </w:rPr>
      </w:pPr>
      <w:r w:rsidRPr="00FC1444">
        <w:rPr>
          <w:rFonts w:eastAsiaTheme="minorEastAsia"/>
          <w:snapToGrid w:val="0"/>
          <w:sz w:val="24"/>
        </w:rPr>
        <w:t>调查过程：调查过程：根据《建设项目环境影响评价技术导则总纲》</w:t>
      </w:r>
      <w:r w:rsidRPr="00FC1444">
        <w:rPr>
          <w:rFonts w:eastAsiaTheme="minorEastAsia"/>
          <w:snapToGrid w:val="0"/>
          <w:sz w:val="24"/>
        </w:rPr>
        <w:lastRenderedPageBreak/>
        <w:t>（</w:t>
      </w:r>
      <w:r w:rsidRPr="00FC1444">
        <w:rPr>
          <w:rFonts w:eastAsiaTheme="minorEastAsia"/>
          <w:snapToGrid w:val="0"/>
          <w:sz w:val="24"/>
        </w:rPr>
        <w:t>HJ2.1-2016</w:t>
      </w:r>
      <w:r w:rsidRPr="00FC1444">
        <w:rPr>
          <w:rFonts w:eastAsiaTheme="minorEastAsia"/>
          <w:snapToGrid w:val="0"/>
          <w:sz w:val="24"/>
        </w:rPr>
        <w:t>），环境保护目标调查应调查评价范围内的环境功能区划和主要的环境敏感区，详细了解环境保护目标的地理位置、服务功能、四至范围、保护对象和保护要求等。</w:t>
      </w:r>
      <w:r w:rsidRPr="00FC1444">
        <w:rPr>
          <w:rFonts w:eastAsiaTheme="minorEastAsia"/>
          <w:bCs/>
          <w:kern w:val="44"/>
          <w:sz w:val="24"/>
        </w:rPr>
        <w:t>调查过程见下表：</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4-4-1</w:t>
      </w:r>
      <w:r w:rsidRPr="00FC1444">
        <w:rPr>
          <w:rFonts w:eastAsiaTheme="minorEastAsia"/>
          <w:b/>
          <w:kern w:val="0"/>
          <w:szCs w:val="21"/>
        </w:rPr>
        <w:t>环境保护目标调查表</w:t>
      </w:r>
    </w:p>
    <w:tbl>
      <w:tblPr>
        <w:tblStyle w:val="afc"/>
        <w:tblW w:w="8589" w:type="dxa"/>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Look w:val="04A0"/>
      </w:tblPr>
      <w:tblGrid>
        <w:gridCol w:w="1246"/>
        <w:gridCol w:w="891"/>
        <w:gridCol w:w="893"/>
        <w:gridCol w:w="769"/>
        <w:gridCol w:w="2832"/>
        <w:gridCol w:w="599"/>
        <w:gridCol w:w="1359"/>
      </w:tblGrid>
      <w:tr w:rsidR="002A5A5E" w:rsidRPr="00FC1444">
        <w:trPr>
          <w:trHeight w:val="309"/>
          <w:jc w:val="center"/>
        </w:trPr>
        <w:tc>
          <w:tcPr>
            <w:tcW w:w="1246" w:type="dxa"/>
            <w:vMerge w:val="restart"/>
            <w:vAlign w:val="center"/>
          </w:tcPr>
          <w:p w:rsidR="002A5A5E" w:rsidRPr="00FC1444" w:rsidRDefault="00611CBA">
            <w:pPr>
              <w:spacing w:line="0" w:lineRule="atLeast"/>
              <w:contextualSpacing/>
              <w:jc w:val="center"/>
              <w:rPr>
                <w:rFonts w:eastAsiaTheme="minorEastAsia"/>
                <w:snapToGrid w:val="0"/>
                <w:kern w:val="0"/>
                <w:szCs w:val="21"/>
              </w:rPr>
            </w:pPr>
            <w:r w:rsidRPr="00FC1444">
              <w:rPr>
                <w:rFonts w:eastAsiaTheme="minorEastAsia"/>
                <w:snapToGrid w:val="0"/>
                <w:kern w:val="0"/>
                <w:szCs w:val="21"/>
              </w:rPr>
              <w:t>名称</w:t>
            </w:r>
          </w:p>
        </w:tc>
        <w:tc>
          <w:tcPr>
            <w:tcW w:w="1784" w:type="dxa"/>
            <w:gridSpan w:val="2"/>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snapToGrid w:val="0"/>
                <w:kern w:val="0"/>
                <w:szCs w:val="21"/>
              </w:rPr>
              <w:t>地理位置</w:t>
            </w:r>
          </w:p>
        </w:tc>
        <w:tc>
          <w:tcPr>
            <w:tcW w:w="769" w:type="dxa"/>
            <w:vMerge w:val="restart"/>
            <w:tcBorders>
              <w:right w:val="single" w:sz="2" w:space="0" w:color="auto"/>
            </w:tcBorders>
            <w:vAlign w:val="center"/>
          </w:tcPr>
          <w:p w:rsidR="002A5A5E" w:rsidRPr="00FC1444" w:rsidRDefault="00611CBA">
            <w:pPr>
              <w:spacing w:line="0" w:lineRule="atLeast"/>
              <w:contextualSpacing/>
              <w:jc w:val="center"/>
              <w:rPr>
                <w:rFonts w:eastAsiaTheme="minorEastAsia"/>
                <w:snapToGrid w:val="0"/>
                <w:kern w:val="0"/>
                <w:szCs w:val="21"/>
              </w:rPr>
            </w:pPr>
            <w:r w:rsidRPr="00FC1444">
              <w:rPr>
                <w:rFonts w:eastAsiaTheme="minorEastAsia"/>
                <w:kern w:val="0"/>
                <w:szCs w:val="21"/>
              </w:rPr>
              <w:t>服务功能</w:t>
            </w:r>
          </w:p>
        </w:tc>
        <w:tc>
          <w:tcPr>
            <w:tcW w:w="2832" w:type="dxa"/>
            <w:vMerge w:val="restart"/>
            <w:tcBorders>
              <w:left w:val="single" w:sz="2" w:space="0" w:color="auto"/>
            </w:tcBorders>
            <w:vAlign w:val="center"/>
          </w:tcPr>
          <w:p w:rsidR="002A5A5E" w:rsidRPr="00FC1444" w:rsidRDefault="00611CBA">
            <w:pPr>
              <w:spacing w:line="0" w:lineRule="atLeast"/>
              <w:contextualSpacing/>
              <w:jc w:val="center"/>
              <w:rPr>
                <w:rFonts w:eastAsiaTheme="minorEastAsia"/>
                <w:snapToGrid w:val="0"/>
                <w:kern w:val="0"/>
                <w:szCs w:val="21"/>
              </w:rPr>
            </w:pPr>
            <w:r w:rsidRPr="00FC1444">
              <w:rPr>
                <w:rFonts w:eastAsiaTheme="minorEastAsia"/>
                <w:kern w:val="0"/>
                <w:szCs w:val="21"/>
              </w:rPr>
              <w:t>四至范围</w:t>
            </w:r>
          </w:p>
        </w:tc>
        <w:tc>
          <w:tcPr>
            <w:tcW w:w="599" w:type="dxa"/>
            <w:vMerge w:val="restart"/>
            <w:tcBorders>
              <w:left w:val="single" w:sz="2" w:space="0" w:color="auto"/>
            </w:tcBorders>
            <w:vAlign w:val="center"/>
          </w:tcPr>
          <w:p w:rsidR="002A5A5E" w:rsidRPr="00FC1444" w:rsidRDefault="00611CBA">
            <w:pPr>
              <w:spacing w:line="0" w:lineRule="atLeast"/>
              <w:contextualSpacing/>
              <w:jc w:val="center"/>
              <w:rPr>
                <w:rFonts w:eastAsiaTheme="minorEastAsia"/>
                <w:snapToGrid w:val="0"/>
                <w:kern w:val="0"/>
                <w:szCs w:val="21"/>
              </w:rPr>
            </w:pPr>
            <w:r w:rsidRPr="00FC1444">
              <w:rPr>
                <w:rFonts w:eastAsiaTheme="minorEastAsia"/>
                <w:snapToGrid w:val="0"/>
                <w:kern w:val="0"/>
                <w:szCs w:val="21"/>
              </w:rPr>
              <w:t>保护对象</w:t>
            </w:r>
          </w:p>
        </w:tc>
        <w:tc>
          <w:tcPr>
            <w:tcW w:w="1359" w:type="dxa"/>
            <w:vMerge w:val="restart"/>
            <w:tcBorders>
              <w:left w:val="single" w:sz="2" w:space="0" w:color="auto"/>
            </w:tcBorders>
            <w:vAlign w:val="center"/>
          </w:tcPr>
          <w:p w:rsidR="002A5A5E" w:rsidRPr="00FC1444" w:rsidRDefault="00611CBA">
            <w:pPr>
              <w:spacing w:line="0" w:lineRule="atLeast"/>
              <w:contextualSpacing/>
              <w:jc w:val="center"/>
              <w:rPr>
                <w:rFonts w:eastAsiaTheme="minorEastAsia"/>
                <w:snapToGrid w:val="0"/>
                <w:kern w:val="0"/>
                <w:szCs w:val="21"/>
              </w:rPr>
            </w:pPr>
            <w:r w:rsidRPr="00FC1444">
              <w:rPr>
                <w:rFonts w:eastAsiaTheme="minorEastAsia"/>
                <w:snapToGrid w:val="0"/>
                <w:kern w:val="0"/>
                <w:szCs w:val="21"/>
              </w:rPr>
              <w:t>保护要求</w:t>
            </w:r>
          </w:p>
        </w:tc>
      </w:tr>
      <w:tr w:rsidR="002A5A5E" w:rsidRPr="00FC1444">
        <w:trPr>
          <w:trHeight w:val="308"/>
          <w:jc w:val="center"/>
        </w:trPr>
        <w:tc>
          <w:tcPr>
            <w:tcW w:w="1246" w:type="dxa"/>
            <w:vMerge/>
            <w:vAlign w:val="center"/>
          </w:tcPr>
          <w:p w:rsidR="002A5A5E" w:rsidRPr="00FC1444" w:rsidRDefault="002A5A5E">
            <w:pPr>
              <w:spacing w:line="0" w:lineRule="atLeast"/>
              <w:contextualSpacing/>
              <w:jc w:val="center"/>
              <w:rPr>
                <w:rFonts w:eastAsiaTheme="minorEastAsia"/>
                <w:snapToGrid w:val="0"/>
                <w:kern w:val="0"/>
                <w:szCs w:val="21"/>
              </w:rPr>
            </w:pPr>
          </w:p>
        </w:tc>
        <w:tc>
          <w:tcPr>
            <w:tcW w:w="891" w:type="dxa"/>
            <w:vAlign w:val="center"/>
          </w:tcPr>
          <w:p w:rsidR="002A5A5E" w:rsidRPr="00FC1444" w:rsidRDefault="00611CBA">
            <w:pPr>
              <w:pStyle w:val="aff7"/>
              <w:adjustRightInd w:val="0"/>
              <w:snapToGrid w:val="0"/>
              <w:spacing w:line="0" w:lineRule="atLeast"/>
              <w:rPr>
                <w:rFonts w:eastAsiaTheme="minorEastAsia" w:hAnsi="Times New Roman"/>
                <w:snapToGrid w:val="0"/>
                <w:kern w:val="0"/>
              </w:rPr>
            </w:pPr>
            <w:r w:rsidRPr="00FC1444">
              <w:rPr>
                <w:rFonts w:eastAsiaTheme="minorEastAsia" w:hAnsi="Times New Roman"/>
                <w:snapToGrid w:val="0"/>
                <w:kern w:val="0"/>
              </w:rPr>
              <w:t>东经</w:t>
            </w:r>
          </w:p>
        </w:tc>
        <w:tc>
          <w:tcPr>
            <w:tcW w:w="893" w:type="dxa"/>
            <w:vAlign w:val="center"/>
          </w:tcPr>
          <w:p w:rsidR="002A5A5E" w:rsidRPr="00FC1444" w:rsidRDefault="00611CBA">
            <w:pPr>
              <w:spacing w:line="0" w:lineRule="atLeast"/>
              <w:contextualSpacing/>
              <w:jc w:val="center"/>
              <w:rPr>
                <w:rFonts w:eastAsiaTheme="minorEastAsia"/>
                <w:kern w:val="0"/>
                <w:szCs w:val="21"/>
              </w:rPr>
            </w:pPr>
            <w:r w:rsidRPr="00FC1444">
              <w:rPr>
                <w:rFonts w:eastAsiaTheme="minorEastAsia"/>
                <w:snapToGrid w:val="0"/>
                <w:kern w:val="0"/>
                <w:szCs w:val="21"/>
              </w:rPr>
              <w:t>北纬</w:t>
            </w:r>
          </w:p>
        </w:tc>
        <w:tc>
          <w:tcPr>
            <w:tcW w:w="769" w:type="dxa"/>
            <w:vMerge/>
            <w:tcBorders>
              <w:right w:val="single" w:sz="2" w:space="0" w:color="auto"/>
            </w:tcBorders>
            <w:vAlign w:val="center"/>
          </w:tcPr>
          <w:p w:rsidR="002A5A5E" w:rsidRPr="00FC1444" w:rsidRDefault="002A5A5E">
            <w:pPr>
              <w:spacing w:line="0" w:lineRule="atLeast"/>
              <w:contextualSpacing/>
              <w:jc w:val="center"/>
              <w:rPr>
                <w:rFonts w:eastAsiaTheme="minorEastAsia"/>
                <w:kern w:val="0"/>
                <w:szCs w:val="21"/>
              </w:rPr>
            </w:pPr>
          </w:p>
        </w:tc>
        <w:tc>
          <w:tcPr>
            <w:tcW w:w="2832" w:type="dxa"/>
            <w:vMerge/>
            <w:tcBorders>
              <w:left w:val="single" w:sz="2" w:space="0" w:color="auto"/>
            </w:tcBorders>
            <w:vAlign w:val="center"/>
          </w:tcPr>
          <w:p w:rsidR="002A5A5E" w:rsidRPr="00FC1444" w:rsidRDefault="002A5A5E">
            <w:pPr>
              <w:spacing w:line="0" w:lineRule="atLeast"/>
              <w:contextualSpacing/>
              <w:jc w:val="center"/>
              <w:rPr>
                <w:rFonts w:eastAsiaTheme="minorEastAsia"/>
                <w:kern w:val="0"/>
                <w:szCs w:val="21"/>
              </w:rPr>
            </w:pPr>
          </w:p>
        </w:tc>
        <w:tc>
          <w:tcPr>
            <w:tcW w:w="599" w:type="dxa"/>
            <w:vMerge/>
            <w:tcBorders>
              <w:left w:val="single" w:sz="2" w:space="0" w:color="auto"/>
            </w:tcBorders>
            <w:vAlign w:val="center"/>
          </w:tcPr>
          <w:p w:rsidR="002A5A5E" w:rsidRPr="00FC1444" w:rsidRDefault="002A5A5E">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2A5A5E" w:rsidRPr="00FC1444" w:rsidRDefault="002A5A5E">
            <w:pPr>
              <w:spacing w:line="0" w:lineRule="atLeast"/>
              <w:contextualSpacing/>
              <w:jc w:val="center"/>
              <w:rPr>
                <w:rFonts w:eastAsiaTheme="minorEastAsia"/>
                <w:snapToGrid w:val="0"/>
                <w:kern w:val="0"/>
                <w:szCs w:val="21"/>
              </w:rPr>
            </w:pPr>
          </w:p>
        </w:tc>
      </w:tr>
      <w:tr w:rsidR="00EC4709" w:rsidRPr="00FC1444">
        <w:trPr>
          <w:trHeight w:val="148"/>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hint="eastAsia"/>
                <w:szCs w:val="21"/>
              </w:rPr>
              <w:t>胜利二村</w:t>
            </w:r>
          </w:p>
        </w:tc>
        <w:tc>
          <w:tcPr>
            <w:tcW w:w="891" w:type="dxa"/>
            <w:tcBorders>
              <w:bottom w:val="single" w:sz="4" w:space="0" w:color="auto"/>
            </w:tcBorders>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126.4703350</w:t>
            </w:r>
          </w:p>
        </w:tc>
        <w:tc>
          <w:tcPr>
            <w:tcW w:w="893" w:type="dxa"/>
            <w:tcBorders>
              <w:bottom w:val="single" w:sz="4" w:space="0" w:color="auto"/>
            </w:tcBorders>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46.304486</w:t>
            </w:r>
          </w:p>
        </w:tc>
        <w:tc>
          <w:tcPr>
            <w:tcW w:w="769" w:type="dxa"/>
            <w:vMerge w:val="restart"/>
            <w:tcBorders>
              <w:right w:val="single" w:sz="2" w:space="0" w:color="auto"/>
            </w:tcBorders>
            <w:vAlign w:val="center"/>
          </w:tcPr>
          <w:p w:rsidR="00EC4709" w:rsidRPr="00FC1444" w:rsidRDefault="00EC4709">
            <w:pPr>
              <w:pStyle w:val="aff7"/>
              <w:spacing w:line="0" w:lineRule="atLeast"/>
              <w:contextualSpacing/>
              <w:rPr>
                <w:rFonts w:eastAsiaTheme="minorEastAsia" w:hAnsi="Times New Roman"/>
                <w:snapToGrid w:val="0"/>
                <w:kern w:val="0"/>
              </w:rPr>
            </w:pPr>
            <w:r w:rsidRPr="00FC1444">
              <w:rPr>
                <w:rFonts w:eastAsiaTheme="minorEastAsia" w:hAnsi="Times New Roman"/>
                <w:snapToGrid w:val="0"/>
                <w:kern w:val="0"/>
              </w:rPr>
              <w:t>农村</w:t>
            </w:r>
          </w:p>
        </w:tc>
        <w:tc>
          <w:tcPr>
            <w:tcW w:w="2832" w:type="dxa"/>
            <w:tcBorders>
              <w:left w:val="single" w:sz="2" w:space="0" w:color="auto"/>
            </w:tcBorders>
            <w:vAlign w:val="center"/>
          </w:tcPr>
          <w:p w:rsidR="00EC4709" w:rsidRPr="00FC1444" w:rsidRDefault="00EC4709" w:rsidP="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w:t>
            </w:r>
            <w:r w:rsidR="003C5F8B" w:rsidRPr="00FC1444">
              <w:rPr>
                <w:rFonts w:eastAsiaTheme="minorEastAsia"/>
                <w:snapToGrid w:val="0"/>
                <w:kern w:val="0"/>
                <w:szCs w:val="21"/>
              </w:rPr>
              <w:t>及村路</w:t>
            </w:r>
            <w:r w:rsidRPr="00FC1444">
              <w:rPr>
                <w:rFonts w:eastAsiaTheme="minorEastAsia"/>
                <w:snapToGrid w:val="0"/>
                <w:kern w:val="0"/>
                <w:szCs w:val="21"/>
              </w:rPr>
              <w:t>，南至农田</w:t>
            </w:r>
            <w:r w:rsidR="003C5F8B" w:rsidRPr="00FC1444">
              <w:rPr>
                <w:rFonts w:eastAsiaTheme="minorEastAsia"/>
                <w:snapToGrid w:val="0"/>
                <w:kern w:val="0"/>
                <w:szCs w:val="21"/>
              </w:rPr>
              <w:t>及村路</w:t>
            </w:r>
            <w:r w:rsidRPr="00FC1444">
              <w:rPr>
                <w:rFonts w:eastAsiaTheme="minorEastAsia"/>
                <w:snapToGrid w:val="0"/>
                <w:kern w:val="0"/>
                <w:szCs w:val="21"/>
              </w:rPr>
              <w:t>，西至农田，北至农田</w:t>
            </w:r>
            <w:r w:rsidR="003C5F8B" w:rsidRPr="00FC1444">
              <w:rPr>
                <w:rFonts w:eastAsiaTheme="minorEastAsia"/>
                <w:snapToGrid w:val="0"/>
                <w:kern w:val="0"/>
                <w:szCs w:val="21"/>
              </w:rPr>
              <w:t>及村路</w:t>
            </w:r>
          </w:p>
        </w:tc>
        <w:tc>
          <w:tcPr>
            <w:tcW w:w="599" w:type="dxa"/>
            <w:vMerge w:val="restart"/>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r w:rsidRPr="00FC1444">
              <w:rPr>
                <w:rFonts w:eastAsiaTheme="minorEastAsia"/>
                <w:snapToGrid w:val="0"/>
                <w:kern w:val="0"/>
                <w:szCs w:val="21"/>
              </w:rPr>
              <w:t>居民</w:t>
            </w:r>
          </w:p>
        </w:tc>
        <w:tc>
          <w:tcPr>
            <w:tcW w:w="1359" w:type="dxa"/>
            <w:vMerge w:val="restart"/>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r w:rsidRPr="00FC1444">
              <w:rPr>
                <w:rFonts w:eastAsiaTheme="minorEastAsia"/>
                <w:snapToGrid w:val="0"/>
                <w:kern w:val="0"/>
                <w:szCs w:val="21"/>
              </w:rPr>
              <w:t>《环境空气质量标准》（</w:t>
            </w:r>
            <w:r w:rsidRPr="00FC1444">
              <w:rPr>
                <w:rFonts w:eastAsiaTheme="minorEastAsia"/>
                <w:snapToGrid w:val="0"/>
                <w:kern w:val="0"/>
                <w:szCs w:val="21"/>
              </w:rPr>
              <w:t>GB3095-2026</w:t>
            </w:r>
            <w:r w:rsidRPr="00FC1444">
              <w:rPr>
                <w:rFonts w:eastAsiaTheme="minorEastAsia"/>
                <w:snapToGrid w:val="0"/>
                <w:kern w:val="0"/>
                <w:szCs w:val="21"/>
              </w:rPr>
              <w:t>）二级标准；</w:t>
            </w:r>
            <w:r w:rsidRPr="00FC1444">
              <w:rPr>
                <w:rFonts w:eastAsiaTheme="minorEastAsia"/>
                <w:kern w:val="0"/>
                <w:szCs w:val="21"/>
              </w:rPr>
              <w:t>《声环境质量标准》（</w:t>
            </w:r>
            <w:r w:rsidRPr="00FC1444">
              <w:rPr>
                <w:rFonts w:eastAsiaTheme="minorEastAsia"/>
                <w:kern w:val="0"/>
                <w:szCs w:val="21"/>
              </w:rPr>
              <w:t>GB3096-2008</w:t>
            </w:r>
            <w:r w:rsidRPr="00FC1444">
              <w:rPr>
                <w:rFonts w:eastAsiaTheme="minorEastAsia"/>
                <w:kern w:val="0"/>
                <w:szCs w:val="21"/>
              </w:rPr>
              <w:t>）</w:t>
            </w:r>
            <w:r w:rsidRPr="00FC1444">
              <w:rPr>
                <w:rFonts w:eastAsiaTheme="minorEastAsia"/>
                <w:kern w:val="0"/>
                <w:szCs w:val="21"/>
              </w:rPr>
              <w:t>1</w:t>
            </w:r>
            <w:r w:rsidRPr="00FC1444">
              <w:rPr>
                <w:rFonts w:eastAsiaTheme="minorEastAsia"/>
                <w:kern w:val="0"/>
                <w:szCs w:val="21"/>
              </w:rPr>
              <w:t>类</w:t>
            </w:r>
          </w:p>
        </w:tc>
      </w:tr>
      <w:tr w:rsidR="00EC4709" w:rsidRPr="00FC1444">
        <w:trPr>
          <w:trHeight w:val="148"/>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东沟子</w:t>
            </w:r>
          </w:p>
        </w:tc>
        <w:tc>
          <w:tcPr>
            <w:tcW w:w="891" w:type="dxa"/>
            <w:tcBorders>
              <w:top w:val="single" w:sz="4" w:space="0" w:color="auto"/>
            </w:tcBorders>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126.4802638</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46.320581</w:t>
            </w:r>
          </w:p>
        </w:tc>
        <w:tc>
          <w:tcPr>
            <w:tcW w:w="769" w:type="dxa"/>
            <w:vMerge/>
            <w:tcBorders>
              <w:right w:val="single" w:sz="2" w:space="0" w:color="auto"/>
            </w:tcBorders>
            <w:vAlign w:val="center"/>
          </w:tcPr>
          <w:p w:rsidR="00EC4709" w:rsidRPr="00FC1444"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东至农田，南至农田，西至农田，北至农田</w:t>
            </w:r>
          </w:p>
        </w:tc>
        <w:tc>
          <w:tcPr>
            <w:tcW w:w="59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r w:rsidR="00EC4709" w:rsidRPr="00FC1444">
        <w:trPr>
          <w:trHeight w:val="148"/>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刘海楼屯</w:t>
            </w:r>
          </w:p>
        </w:tc>
        <w:tc>
          <w:tcPr>
            <w:tcW w:w="891"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126.4919036</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46.312760</w:t>
            </w:r>
          </w:p>
        </w:tc>
        <w:tc>
          <w:tcPr>
            <w:tcW w:w="769" w:type="dxa"/>
            <w:vMerge/>
            <w:tcBorders>
              <w:right w:val="single" w:sz="2" w:space="0" w:color="auto"/>
            </w:tcBorders>
            <w:vAlign w:val="center"/>
          </w:tcPr>
          <w:p w:rsidR="00EC4709" w:rsidRPr="00FC1444"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EC4709" w:rsidP="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w:t>
            </w:r>
            <w:r w:rsidR="003C5F8B" w:rsidRPr="00FC1444">
              <w:rPr>
                <w:rFonts w:eastAsiaTheme="minorEastAsia"/>
                <w:snapToGrid w:val="0"/>
                <w:kern w:val="0"/>
                <w:szCs w:val="21"/>
              </w:rPr>
              <w:t>及村路</w:t>
            </w:r>
            <w:r w:rsidRPr="00FC1444">
              <w:rPr>
                <w:rFonts w:eastAsiaTheme="minorEastAsia"/>
                <w:snapToGrid w:val="0"/>
                <w:kern w:val="0"/>
                <w:szCs w:val="21"/>
              </w:rPr>
              <w:t>，北至农田</w:t>
            </w:r>
          </w:p>
        </w:tc>
        <w:tc>
          <w:tcPr>
            <w:tcW w:w="59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r w:rsidR="00EC4709" w:rsidRPr="00FC1444">
        <w:trPr>
          <w:trHeight w:val="148"/>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旭升村</w:t>
            </w:r>
          </w:p>
        </w:tc>
        <w:tc>
          <w:tcPr>
            <w:tcW w:w="891"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126.5037249</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46.312739</w:t>
            </w:r>
          </w:p>
        </w:tc>
        <w:tc>
          <w:tcPr>
            <w:tcW w:w="769" w:type="dxa"/>
            <w:vMerge/>
            <w:tcBorders>
              <w:right w:val="single" w:sz="2" w:space="0" w:color="auto"/>
            </w:tcBorders>
            <w:vAlign w:val="center"/>
          </w:tcPr>
          <w:p w:rsidR="00EC4709" w:rsidRPr="00FC1444"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东至农田，南至农田，西至农田及村路，北至农田</w:t>
            </w:r>
          </w:p>
        </w:tc>
        <w:tc>
          <w:tcPr>
            <w:tcW w:w="59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r w:rsidR="00EC4709" w:rsidRPr="00FC1444">
        <w:trPr>
          <w:trHeight w:val="148"/>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曹家炉</w:t>
            </w:r>
          </w:p>
        </w:tc>
        <w:tc>
          <w:tcPr>
            <w:tcW w:w="891"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126.4531850</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46.304008</w:t>
            </w:r>
          </w:p>
        </w:tc>
        <w:tc>
          <w:tcPr>
            <w:tcW w:w="769" w:type="dxa"/>
            <w:vMerge/>
            <w:tcBorders>
              <w:right w:val="single" w:sz="2" w:space="0" w:color="auto"/>
            </w:tcBorders>
            <w:vAlign w:val="center"/>
          </w:tcPr>
          <w:p w:rsidR="00EC4709" w:rsidRPr="00FC1444"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EC4709" w:rsidP="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w:t>
            </w:r>
            <w:r w:rsidR="003C5F8B" w:rsidRPr="00FC1444">
              <w:rPr>
                <w:rFonts w:eastAsiaTheme="minorEastAsia"/>
                <w:snapToGrid w:val="0"/>
                <w:kern w:val="0"/>
                <w:szCs w:val="21"/>
              </w:rPr>
              <w:t>及村路</w:t>
            </w:r>
            <w:r w:rsidRPr="00FC1444">
              <w:rPr>
                <w:rFonts w:eastAsiaTheme="minorEastAsia"/>
                <w:snapToGrid w:val="0"/>
                <w:kern w:val="0"/>
                <w:szCs w:val="21"/>
              </w:rPr>
              <w:t>，南至农田，西至农田，北至农田</w:t>
            </w:r>
          </w:p>
        </w:tc>
        <w:tc>
          <w:tcPr>
            <w:tcW w:w="59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r w:rsidR="00EC4709" w:rsidRPr="00FC1444">
        <w:trPr>
          <w:trHeight w:val="148"/>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刘家沟</w:t>
            </w:r>
          </w:p>
        </w:tc>
        <w:tc>
          <w:tcPr>
            <w:tcW w:w="891"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126.5004419</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46.325193</w:t>
            </w:r>
          </w:p>
        </w:tc>
        <w:tc>
          <w:tcPr>
            <w:tcW w:w="769" w:type="dxa"/>
            <w:vMerge/>
            <w:tcBorders>
              <w:right w:val="single" w:sz="2" w:space="0" w:color="auto"/>
            </w:tcBorders>
            <w:vAlign w:val="center"/>
          </w:tcPr>
          <w:p w:rsidR="00EC4709" w:rsidRPr="00FC1444"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EC4709" w:rsidP="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东至农田，南至农田，西至农田，北至农田</w:t>
            </w:r>
            <w:r w:rsidR="003C5F8B" w:rsidRPr="00FC1444">
              <w:rPr>
                <w:rFonts w:eastAsiaTheme="minorEastAsia"/>
                <w:snapToGrid w:val="0"/>
                <w:kern w:val="0"/>
                <w:szCs w:val="21"/>
              </w:rPr>
              <w:t>及村路</w:t>
            </w:r>
          </w:p>
        </w:tc>
        <w:tc>
          <w:tcPr>
            <w:tcW w:w="59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r w:rsidR="00EC4709" w:rsidRPr="00FC1444">
        <w:trPr>
          <w:trHeight w:val="148"/>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崔家窝棚</w:t>
            </w:r>
          </w:p>
        </w:tc>
        <w:tc>
          <w:tcPr>
            <w:tcW w:w="891"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126.5117669</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46.330040</w:t>
            </w:r>
          </w:p>
        </w:tc>
        <w:tc>
          <w:tcPr>
            <w:tcW w:w="769" w:type="dxa"/>
            <w:vMerge/>
            <w:tcBorders>
              <w:right w:val="single" w:sz="2" w:space="0" w:color="auto"/>
            </w:tcBorders>
            <w:vAlign w:val="center"/>
          </w:tcPr>
          <w:p w:rsidR="00EC4709" w:rsidRPr="00FC1444"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东至农田，南至农田，西至农田，北至农田及村路</w:t>
            </w:r>
          </w:p>
        </w:tc>
        <w:tc>
          <w:tcPr>
            <w:tcW w:w="59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r w:rsidR="00EC4709" w:rsidRPr="00FC1444">
        <w:trPr>
          <w:trHeight w:val="148"/>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hint="eastAsia"/>
                <w:szCs w:val="21"/>
              </w:rPr>
              <w:t>黄家屯</w:t>
            </w:r>
          </w:p>
        </w:tc>
        <w:tc>
          <w:tcPr>
            <w:tcW w:w="891"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126.5153154</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46.332064</w:t>
            </w:r>
          </w:p>
        </w:tc>
        <w:tc>
          <w:tcPr>
            <w:tcW w:w="769" w:type="dxa"/>
            <w:vMerge/>
            <w:tcBorders>
              <w:right w:val="single" w:sz="2" w:space="0" w:color="auto"/>
            </w:tcBorders>
            <w:vAlign w:val="center"/>
          </w:tcPr>
          <w:p w:rsidR="00EC4709" w:rsidRPr="00FC1444"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东至农田，南至农田，西至农田及村路，北至农田</w:t>
            </w:r>
          </w:p>
        </w:tc>
        <w:tc>
          <w:tcPr>
            <w:tcW w:w="59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r w:rsidR="00EC4709" w:rsidRPr="00FC1444">
        <w:trPr>
          <w:trHeight w:val="148"/>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hint="eastAsia"/>
                <w:szCs w:val="21"/>
              </w:rPr>
              <w:t>荆家屯</w:t>
            </w:r>
          </w:p>
        </w:tc>
        <w:tc>
          <w:tcPr>
            <w:tcW w:w="891" w:type="dxa"/>
            <w:vAlign w:val="center"/>
          </w:tcPr>
          <w:p w:rsidR="00EC4709" w:rsidRPr="00FC1444" w:rsidRDefault="00EC4709" w:rsidP="009F0A2E">
            <w:pPr>
              <w:rPr>
                <w:rFonts w:eastAsiaTheme="minorEastAsia"/>
                <w:szCs w:val="21"/>
              </w:rPr>
            </w:pPr>
            <w:r w:rsidRPr="00FC1444">
              <w:rPr>
                <w:rFonts w:eastAsiaTheme="minorEastAsia"/>
                <w:szCs w:val="21"/>
              </w:rPr>
              <w:t>126.5205726</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46.330169</w:t>
            </w:r>
          </w:p>
        </w:tc>
        <w:tc>
          <w:tcPr>
            <w:tcW w:w="769" w:type="dxa"/>
            <w:vMerge/>
            <w:tcBorders>
              <w:right w:val="single" w:sz="2" w:space="0" w:color="auto"/>
            </w:tcBorders>
            <w:vAlign w:val="center"/>
          </w:tcPr>
          <w:p w:rsidR="00EC4709" w:rsidRPr="00FC1444"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东至农田，南至农田，西至农田，北至农田及村路</w:t>
            </w:r>
          </w:p>
        </w:tc>
        <w:tc>
          <w:tcPr>
            <w:tcW w:w="59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r w:rsidR="00EC4709" w:rsidRPr="00FC1444">
        <w:trPr>
          <w:trHeight w:val="148"/>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hint="eastAsia"/>
                <w:szCs w:val="21"/>
              </w:rPr>
              <w:t>联胜村</w:t>
            </w:r>
          </w:p>
        </w:tc>
        <w:tc>
          <w:tcPr>
            <w:tcW w:w="891" w:type="dxa"/>
            <w:vAlign w:val="center"/>
          </w:tcPr>
          <w:p w:rsidR="00EC4709" w:rsidRPr="00FC1444" w:rsidRDefault="00EC4709" w:rsidP="009F0A2E">
            <w:pPr>
              <w:rPr>
                <w:rFonts w:eastAsiaTheme="minorEastAsia"/>
                <w:szCs w:val="21"/>
              </w:rPr>
            </w:pPr>
            <w:r w:rsidRPr="00FC1444">
              <w:rPr>
                <w:rFonts w:eastAsiaTheme="minorEastAsia"/>
                <w:szCs w:val="21"/>
              </w:rPr>
              <w:t>126.4913850</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46.332273</w:t>
            </w:r>
          </w:p>
        </w:tc>
        <w:tc>
          <w:tcPr>
            <w:tcW w:w="769" w:type="dxa"/>
            <w:vMerge/>
            <w:tcBorders>
              <w:right w:val="single" w:sz="2" w:space="0" w:color="auto"/>
            </w:tcBorders>
            <w:vAlign w:val="center"/>
          </w:tcPr>
          <w:p w:rsidR="00EC4709" w:rsidRPr="00FC1444"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东至农田及村路，南至农田，西至农田及村路，北至农田</w:t>
            </w:r>
          </w:p>
        </w:tc>
        <w:tc>
          <w:tcPr>
            <w:tcW w:w="59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bl>
    <w:p w:rsidR="00565A50" w:rsidRPr="00FC1444" w:rsidRDefault="00565A50"/>
    <w:p w:rsidR="00A062ED" w:rsidRPr="00FC1444" w:rsidRDefault="00A062ED"/>
    <w:p w:rsidR="00A062ED" w:rsidRPr="00FC1444" w:rsidRDefault="00A062ED"/>
    <w:p w:rsidR="00A062ED" w:rsidRPr="00FC1444" w:rsidRDefault="00A062ED"/>
    <w:p w:rsidR="00A062ED" w:rsidRPr="00FC1444" w:rsidRDefault="00A062ED"/>
    <w:p w:rsidR="00A062ED" w:rsidRPr="00FC1444" w:rsidRDefault="00A062ED"/>
    <w:p w:rsidR="00A062ED" w:rsidRPr="00FC1444" w:rsidRDefault="00A062ED"/>
    <w:p w:rsidR="00A062ED" w:rsidRPr="00FC1444" w:rsidRDefault="00A062ED"/>
    <w:p w:rsidR="00A062ED" w:rsidRPr="00FC1444" w:rsidRDefault="00A062ED"/>
    <w:p w:rsidR="00A062ED" w:rsidRPr="00FC1444" w:rsidRDefault="00A062ED"/>
    <w:p w:rsidR="00A062ED" w:rsidRPr="00FC1444" w:rsidRDefault="00A062ED"/>
    <w:p w:rsidR="00A062ED" w:rsidRPr="00FC1444" w:rsidRDefault="00A062ED"/>
    <w:p w:rsidR="00A062ED" w:rsidRPr="00FC1444" w:rsidRDefault="00A062ED"/>
    <w:p w:rsidR="00A062ED" w:rsidRPr="00FC1444" w:rsidRDefault="00A062ED"/>
    <w:p w:rsidR="00A062ED" w:rsidRPr="00FC1444" w:rsidRDefault="00A062ED"/>
    <w:p w:rsidR="00A062ED" w:rsidRPr="00FC1444" w:rsidRDefault="00A062ED"/>
    <w:p w:rsidR="00565A50" w:rsidRPr="00FC1444" w:rsidRDefault="00565A50" w:rsidP="00565A50">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4-4-1</w:t>
      </w:r>
      <w:r w:rsidRPr="00FC1444">
        <w:rPr>
          <w:rFonts w:eastAsiaTheme="minorEastAsia"/>
          <w:b/>
          <w:kern w:val="0"/>
          <w:szCs w:val="21"/>
        </w:rPr>
        <w:t>环境保护目标调查表</w:t>
      </w:r>
    </w:p>
    <w:tbl>
      <w:tblPr>
        <w:tblStyle w:val="afc"/>
        <w:tblW w:w="8571" w:type="dxa"/>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Look w:val="04A0"/>
      </w:tblPr>
      <w:tblGrid>
        <w:gridCol w:w="1246"/>
        <w:gridCol w:w="891"/>
        <w:gridCol w:w="893"/>
        <w:gridCol w:w="769"/>
        <w:gridCol w:w="2832"/>
        <w:gridCol w:w="599"/>
        <w:gridCol w:w="1341"/>
      </w:tblGrid>
      <w:tr w:rsidR="00EC4709" w:rsidRPr="00FC1444" w:rsidTr="00565A50">
        <w:trPr>
          <w:trHeight w:val="549"/>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王家屯</w:t>
            </w:r>
          </w:p>
        </w:tc>
        <w:tc>
          <w:tcPr>
            <w:tcW w:w="891"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126.4949075</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46.333680</w:t>
            </w:r>
          </w:p>
        </w:tc>
        <w:tc>
          <w:tcPr>
            <w:tcW w:w="769" w:type="dxa"/>
            <w:vMerge w:val="restart"/>
            <w:tcBorders>
              <w:right w:val="single" w:sz="2" w:space="0" w:color="auto"/>
            </w:tcBorders>
            <w:vAlign w:val="center"/>
          </w:tcPr>
          <w:p w:rsidR="00EC4709" w:rsidRPr="00FC1444" w:rsidRDefault="00EC4709" w:rsidP="004031CB">
            <w:pPr>
              <w:pStyle w:val="aff7"/>
              <w:spacing w:line="0" w:lineRule="atLeast"/>
              <w:contextualSpacing/>
              <w:rPr>
                <w:rFonts w:eastAsiaTheme="minorEastAsia" w:hAnsi="Times New Roman"/>
                <w:snapToGrid w:val="0"/>
                <w:kern w:val="0"/>
              </w:rPr>
            </w:pPr>
            <w:r w:rsidRPr="00FC1444">
              <w:rPr>
                <w:rFonts w:eastAsiaTheme="minorEastAsia" w:hAnsi="Times New Roman"/>
                <w:snapToGrid w:val="0"/>
                <w:kern w:val="0"/>
              </w:rPr>
              <w:t>农村</w:t>
            </w:r>
          </w:p>
        </w:tc>
        <w:tc>
          <w:tcPr>
            <w:tcW w:w="2832" w:type="dxa"/>
            <w:tcBorders>
              <w:left w:val="single" w:sz="2" w:space="0" w:color="auto"/>
            </w:tcBorders>
            <w:vAlign w:val="center"/>
          </w:tcPr>
          <w:p w:rsidR="00EC4709"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东至农田及村路，南至农田，西至农田及村路，北至农田</w:t>
            </w:r>
          </w:p>
        </w:tc>
        <w:tc>
          <w:tcPr>
            <w:tcW w:w="599" w:type="dxa"/>
            <w:vMerge w:val="restart"/>
            <w:tcBorders>
              <w:left w:val="single" w:sz="2" w:space="0" w:color="auto"/>
            </w:tcBorders>
            <w:vAlign w:val="center"/>
          </w:tcPr>
          <w:p w:rsidR="00EC4709" w:rsidRPr="00FC1444" w:rsidRDefault="00EC4709" w:rsidP="004031CB">
            <w:pPr>
              <w:spacing w:line="0" w:lineRule="atLeast"/>
              <w:contextualSpacing/>
              <w:jc w:val="center"/>
              <w:rPr>
                <w:rFonts w:eastAsiaTheme="minorEastAsia"/>
                <w:snapToGrid w:val="0"/>
                <w:kern w:val="0"/>
                <w:szCs w:val="21"/>
              </w:rPr>
            </w:pPr>
            <w:r w:rsidRPr="00FC1444">
              <w:rPr>
                <w:rFonts w:eastAsiaTheme="minorEastAsia"/>
                <w:snapToGrid w:val="0"/>
                <w:kern w:val="0"/>
                <w:szCs w:val="21"/>
              </w:rPr>
              <w:t>居民</w:t>
            </w:r>
          </w:p>
        </w:tc>
        <w:tc>
          <w:tcPr>
            <w:tcW w:w="1341" w:type="dxa"/>
            <w:vMerge w:val="restart"/>
            <w:tcBorders>
              <w:left w:val="single" w:sz="2" w:space="0" w:color="auto"/>
            </w:tcBorders>
            <w:vAlign w:val="center"/>
          </w:tcPr>
          <w:p w:rsidR="00EC4709" w:rsidRPr="00FC1444" w:rsidRDefault="00EC4709" w:rsidP="00C07A9E">
            <w:pPr>
              <w:spacing w:line="0" w:lineRule="atLeast"/>
              <w:contextualSpacing/>
              <w:jc w:val="center"/>
              <w:rPr>
                <w:rFonts w:eastAsiaTheme="minorEastAsia"/>
                <w:snapToGrid w:val="0"/>
                <w:kern w:val="0"/>
                <w:szCs w:val="21"/>
              </w:rPr>
            </w:pPr>
            <w:r w:rsidRPr="00FC1444">
              <w:rPr>
                <w:rFonts w:eastAsiaTheme="minorEastAsia"/>
                <w:snapToGrid w:val="0"/>
                <w:kern w:val="0"/>
                <w:szCs w:val="21"/>
              </w:rPr>
              <w:t>《环境空气质量标准》（</w:t>
            </w:r>
            <w:r w:rsidRPr="00FC1444">
              <w:rPr>
                <w:rFonts w:eastAsiaTheme="minorEastAsia"/>
                <w:snapToGrid w:val="0"/>
                <w:kern w:val="0"/>
                <w:szCs w:val="21"/>
              </w:rPr>
              <w:t>GB3095-2026</w:t>
            </w:r>
            <w:r w:rsidRPr="00FC1444">
              <w:rPr>
                <w:rFonts w:eastAsiaTheme="minorEastAsia"/>
                <w:snapToGrid w:val="0"/>
                <w:kern w:val="0"/>
                <w:szCs w:val="21"/>
              </w:rPr>
              <w:t>）二级标准；</w:t>
            </w:r>
            <w:r w:rsidRPr="00FC1444">
              <w:rPr>
                <w:rFonts w:eastAsiaTheme="minorEastAsia"/>
                <w:kern w:val="0"/>
                <w:szCs w:val="21"/>
              </w:rPr>
              <w:t>《声环境质量标准》（</w:t>
            </w:r>
            <w:r w:rsidRPr="00FC1444">
              <w:rPr>
                <w:rFonts w:eastAsiaTheme="minorEastAsia"/>
                <w:kern w:val="0"/>
                <w:szCs w:val="21"/>
              </w:rPr>
              <w:t>GB3096-2008</w:t>
            </w:r>
            <w:r w:rsidRPr="00FC1444">
              <w:rPr>
                <w:rFonts w:eastAsiaTheme="minorEastAsia"/>
                <w:kern w:val="0"/>
                <w:szCs w:val="21"/>
              </w:rPr>
              <w:t>）</w:t>
            </w:r>
            <w:r w:rsidRPr="00FC1444">
              <w:rPr>
                <w:rFonts w:eastAsiaTheme="minorEastAsia"/>
                <w:kern w:val="0"/>
                <w:szCs w:val="21"/>
              </w:rPr>
              <w:t>1</w:t>
            </w:r>
            <w:r w:rsidRPr="00FC1444">
              <w:rPr>
                <w:rFonts w:eastAsiaTheme="minorEastAsia"/>
                <w:kern w:val="0"/>
                <w:szCs w:val="21"/>
              </w:rPr>
              <w:t>类</w:t>
            </w:r>
          </w:p>
        </w:tc>
      </w:tr>
      <w:tr w:rsidR="00EC4709" w:rsidRPr="00FC1444" w:rsidTr="00565A50">
        <w:trPr>
          <w:trHeight w:val="549"/>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赵家屯</w:t>
            </w:r>
          </w:p>
        </w:tc>
        <w:tc>
          <w:tcPr>
            <w:tcW w:w="891"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126.4916631</w:t>
            </w:r>
          </w:p>
        </w:tc>
        <w:tc>
          <w:tcPr>
            <w:tcW w:w="893"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46.340402</w:t>
            </w:r>
          </w:p>
        </w:tc>
        <w:tc>
          <w:tcPr>
            <w:tcW w:w="769" w:type="dxa"/>
            <w:vMerge/>
            <w:tcBorders>
              <w:right w:val="single" w:sz="2" w:space="0" w:color="auto"/>
            </w:tcBorders>
            <w:vAlign w:val="center"/>
          </w:tcPr>
          <w:p w:rsidR="00EC4709" w:rsidRPr="00FC1444" w:rsidRDefault="00EC470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3C5F8B" w:rsidP="0059036D">
            <w:pPr>
              <w:spacing w:line="0" w:lineRule="atLeast"/>
              <w:contextualSpacing/>
              <w:jc w:val="center"/>
              <w:rPr>
                <w:rFonts w:eastAsiaTheme="minorEastAsia"/>
                <w:snapToGrid w:val="0"/>
                <w:kern w:val="0"/>
                <w:szCs w:val="21"/>
              </w:rPr>
            </w:pPr>
            <w:r w:rsidRPr="00FC1444">
              <w:rPr>
                <w:rFonts w:eastAsiaTheme="minorEastAsia"/>
                <w:snapToGrid w:val="0"/>
                <w:kern w:val="0"/>
                <w:szCs w:val="21"/>
              </w:rPr>
              <w:t>四周均为农田及村道</w:t>
            </w:r>
          </w:p>
        </w:tc>
        <w:tc>
          <w:tcPr>
            <w:tcW w:w="599" w:type="dxa"/>
            <w:vMerge/>
            <w:tcBorders>
              <w:left w:val="single" w:sz="2" w:space="0" w:color="auto"/>
            </w:tcBorders>
            <w:vAlign w:val="center"/>
          </w:tcPr>
          <w:p w:rsidR="00EC4709" w:rsidRPr="00FC1444" w:rsidRDefault="00EC4709"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r w:rsidR="00EC4709" w:rsidRPr="00FC1444" w:rsidTr="00565A50">
        <w:trPr>
          <w:trHeight w:val="549"/>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陈凤梧屯</w:t>
            </w:r>
          </w:p>
        </w:tc>
        <w:tc>
          <w:tcPr>
            <w:tcW w:w="891"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126.5039864</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46.335903</w:t>
            </w:r>
          </w:p>
        </w:tc>
        <w:tc>
          <w:tcPr>
            <w:tcW w:w="769" w:type="dxa"/>
            <w:vMerge/>
            <w:tcBorders>
              <w:right w:val="single" w:sz="2" w:space="0" w:color="auto"/>
            </w:tcBorders>
            <w:vAlign w:val="center"/>
          </w:tcPr>
          <w:p w:rsidR="00EC4709" w:rsidRPr="00FC1444" w:rsidRDefault="00EC470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东至农田及村道，南至农田，西至农田，北至农田</w:t>
            </w:r>
          </w:p>
        </w:tc>
        <w:tc>
          <w:tcPr>
            <w:tcW w:w="599" w:type="dxa"/>
            <w:vMerge/>
            <w:tcBorders>
              <w:left w:val="single" w:sz="2" w:space="0" w:color="auto"/>
            </w:tcBorders>
            <w:vAlign w:val="center"/>
          </w:tcPr>
          <w:p w:rsidR="00EC4709" w:rsidRPr="00FC1444" w:rsidRDefault="00EC4709"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r w:rsidR="00EC4709" w:rsidRPr="00FC1444" w:rsidTr="00565A50">
        <w:trPr>
          <w:trHeight w:val="549"/>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hint="eastAsia"/>
                <w:szCs w:val="21"/>
              </w:rPr>
              <w:t>曹</w:t>
            </w:r>
            <w:r w:rsidRPr="00FC1444">
              <w:rPr>
                <w:rFonts w:eastAsiaTheme="minorEastAsia"/>
                <w:szCs w:val="21"/>
              </w:rPr>
              <w:t>家屯</w:t>
            </w:r>
          </w:p>
        </w:tc>
        <w:tc>
          <w:tcPr>
            <w:tcW w:w="891"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126.5051499</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46.343307</w:t>
            </w:r>
          </w:p>
        </w:tc>
        <w:tc>
          <w:tcPr>
            <w:tcW w:w="769" w:type="dxa"/>
            <w:vMerge/>
            <w:tcBorders>
              <w:right w:val="single" w:sz="2" w:space="0" w:color="auto"/>
            </w:tcBorders>
            <w:vAlign w:val="center"/>
          </w:tcPr>
          <w:p w:rsidR="00EC4709" w:rsidRPr="00FC1444" w:rsidRDefault="00EC470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东至农田及村道，南至农田，西至农田，北至农田</w:t>
            </w:r>
          </w:p>
        </w:tc>
        <w:tc>
          <w:tcPr>
            <w:tcW w:w="599" w:type="dxa"/>
            <w:vMerge/>
            <w:tcBorders>
              <w:left w:val="single" w:sz="2" w:space="0" w:color="auto"/>
            </w:tcBorders>
            <w:vAlign w:val="center"/>
          </w:tcPr>
          <w:p w:rsidR="00EC4709" w:rsidRPr="00FC1444" w:rsidRDefault="00EC4709"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r w:rsidR="00EC4709" w:rsidRPr="00FC1444" w:rsidTr="00565A50">
        <w:trPr>
          <w:trHeight w:val="549"/>
          <w:jc w:val="center"/>
        </w:trPr>
        <w:tc>
          <w:tcPr>
            <w:tcW w:w="1246" w:type="dxa"/>
            <w:vAlign w:val="center"/>
          </w:tcPr>
          <w:p w:rsidR="00EC4709" w:rsidRPr="00FC1444" w:rsidRDefault="00EC4709" w:rsidP="009F0A2E">
            <w:pPr>
              <w:spacing w:line="0" w:lineRule="atLeast"/>
              <w:jc w:val="center"/>
              <w:rPr>
                <w:rFonts w:eastAsiaTheme="minorEastAsia"/>
                <w:szCs w:val="21"/>
              </w:rPr>
            </w:pPr>
            <w:r w:rsidRPr="00FC1444">
              <w:rPr>
                <w:rFonts w:eastAsiaTheme="minorEastAsia"/>
                <w:szCs w:val="21"/>
              </w:rPr>
              <w:t>李荒子屯</w:t>
            </w:r>
          </w:p>
        </w:tc>
        <w:tc>
          <w:tcPr>
            <w:tcW w:w="891"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126.4759662</w:t>
            </w:r>
          </w:p>
        </w:tc>
        <w:tc>
          <w:tcPr>
            <w:tcW w:w="893" w:type="dxa"/>
            <w:vAlign w:val="center"/>
          </w:tcPr>
          <w:p w:rsidR="00EC4709" w:rsidRPr="00FC1444" w:rsidRDefault="00EC470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46.332934</w:t>
            </w:r>
          </w:p>
        </w:tc>
        <w:tc>
          <w:tcPr>
            <w:tcW w:w="769" w:type="dxa"/>
            <w:vMerge/>
            <w:tcBorders>
              <w:right w:val="single" w:sz="2" w:space="0" w:color="auto"/>
            </w:tcBorders>
            <w:vAlign w:val="center"/>
          </w:tcPr>
          <w:p w:rsidR="00EC4709" w:rsidRPr="00FC1444" w:rsidRDefault="00EC470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东至农田及村道，南至农田，西至农田，北至农田</w:t>
            </w:r>
          </w:p>
        </w:tc>
        <w:tc>
          <w:tcPr>
            <w:tcW w:w="599" w:type="dxa"/>
            <w:vMerge/>
            <w:tcBorders>
              <w:left w:val="single" w:sz="2" w:space="0" w:color="auto"/>
            </w:tcBorders>
            <w:vAlign w:val="center"/>
          </w:tcPr>
          <w:p w:rsidR="00EC4709" w:rsidRPr="00FC1444" w:rsidRDefault="00EC4709"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EC4709" w:rsidRPr="00FC1444" w:rsidRDefault="00EC4709">
            <w:pPr>
              <w:spacing w:line="0" w:lineRule="atLeast"/>
              <w:contextualSpacing/>
              <w:jc w:val="center"/>
              <w:rPr>
                <w:rFonts w:eastAsiaTheme="minorEastAsia"/>
                <w:snapToGrid w:val="0"/>
                <w:kern w:val="0"/>
                <w:szCs w:val="21"/>
              </w:rPr>
            </w:pPr>
          </w:p>
        </w:tc>
      </w:tr>
      <w:tr w:rsidR="003C5F8B" w:rsidRPr="00FC1444" w:rsidTr="00565A50">
        <w:trPr>
          <w:trHeight w:val="54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张家窝棚</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127.0602403</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46.430452</w:t>
            </w:r>
          </w:p>
        </w:tc>
        <w:tc>
          <w:tcPr>
            <w:tcW w:w="769" w:type="dxa"/>
            <w:vMerge/>
            <w:tcBorders>
              <w:right w:val="single" w:sz="2" w:space="0" w:color="auto"/>
            </w:tcBorders>
            <w:vAlign w:val="center"/>
          </w:tcPr>
          <w:p w:rsidR="003C5F8B" w:rsidRPr="00FC1444"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rsidP="009F0A2E">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东至农田及村路，南至农田，西至农田及村路，北至农田</w:t>
            </w:r>
          </w:p>
        </w:tc>
        <w:tc>
          <w:tcPr>
            <w:tcW w:w="599" w:type="dxa"/>
            <w:vMerge/>
            <w:tcBorders>
              <w:left w:val="single" w:sz="2" w:space="0" w:color="auto"/>
            </w:tcBorders>
            <w:vAlign w:val="center"/>
          </w:tcPr>
          <w:p w:rsidR="003C5F8B" w:rsidRPr="00FC1444"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rsidTr="00565A50">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小张家窝棚</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127.0701826</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46.431391</w:t>
            </w:r>
          </w:p>
        </w:tc>
        <w:tc>
          <w:tcPr>
            <w:tcW w:w="769" w:type="dxa"/>
            <w:vMerge/>
            <w:tcBorders>
              <w:right w:val="single" w:sz="2" w:space="0" w:color="auto"/>
            </w:tcBorders>
            <w:vAlign w:val="center"/>
          </w:tcPr>
          <w:p w:rsidR="003C5F8B" w:rsidRPr="00FC1444"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四周均为农田及村道</w:t>
            </w:r>
          </w:p>
        </w:tc>
        <w:tc>
          <w:tcPr>
            <w:tcW w:w="599" w:type="dxa"/>
            <w:vMerge/>
            <w:tcBorders>
              <w:left w:val="single" w:sz="2" w:space="0" w:color="auto"/>
            </w:tcBorders>
            <w:vAlign w:val="center"/>
          </w:tcPr>
          <w:p w:rsidR="003C5F8B" w:rsidRPr="00FC1444"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rsidTr="00565A50">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于</w:t>
            </w:r>
            <w:r w:rsidRPr="00FC1444">
              <w:rPr>
                <w:rFonts w:eastAsiaTheme="minorEastAsia" w:hint="eastAsia"/>
                <w:szCs w:val="21"/>
              </w:rPr>
              <w:t>磕巴屯</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127.0839303</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46.423539</w:t>
            </w:r>
          </w:p>
        </w:tc>
        <w:tc>
          <w:tcPr>
            <w:tcW w:w="769" w:type="dxa"/>
            <w:vMerge/>
            <w:tcBorders>
              <w:right w:val="single" w:sz="2" w:space="0" w:color="auto"/>
            </w:tcBorders>
            <w:vAlign w:val="center"/>
          </w:tcPr>
          <w:p w:rsidR="003C5F8B" w:rsidRPr="00FC1444"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rsidP="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东至农田，南至农田，西至农田，北至农田及村道</w:t>
            </w:r>
          </w:p>
        </w:tc>
        <w:tc>
          <w:tcPr>
            <w:tcW w:w="599" w:type="dxa"/>
            <w:vMerge/>
            <w:tcBorders>
              <w:left w:val="single" w:sz="2" w:space="0" w:color="auto"/>
            </w:tcBorders>
            <w:vAlign w:val="center"/>
          </w:tcPr>
          <w:p w:rsidR="003C5F8B" w:rsidRPr="00FC1444"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rsidTr="00565A50">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陈家店屯</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127.0912133</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46.430346</w:t>
            </w:r>
          </w:p>
        </w:tc>
        <w:tc>
          <w:tcPr>
            <w:tcW w:w="769" w:type="dxa"/>
            <w:vMerge/>
            <w:tcBorders>
              <w:right w:val="single" w:sz="2" w:space="0" w:color="auto"/>
            </w:tcBorders>
            <w:vAlign w:val="center"/>
          </w:tcPr>
          <w:p w:rsidR="003C5F8B" w:rsidRPr="00FC1444"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东至农田，南至农田，西至农田，北至农田及村道</w:t>
            </w:r>
          </w:p>
        </w:tc>
        <w:tc>
          <w:tcPr>
            <w:tcW w:w="599" w:type="dxa"/>
            <w:vMerge/>
            <w:tcBorders>
              <w:left w:val="single" w:sz="2" w:space="0" w:color="auto"/>
            </w:tcBorders>
            <w:vAlign w:val="center"/>
          </w:tcPr>
          <w:p w:rsidR="003C5F8B" w:rsidRPr="00FC1444"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rsidTr="00565A50">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冷家屯</w:t>
            </w:r>
          </w:p>
        </w:tc>
        <w:tc>
          <w:tcPr>
            <w:tcW w:w="891" w:type="dxa"/>
            <w:vAlign w:val="center"/>
          </w:tcPr>
          <w:p w:rsidR="003C5F8B" w:rsidRPr="00FC1444" w:rsidRDefault="003C5F8B" w:rsidP="009F0A2E">
            <w:pPr>
              <w:rPr>
                <w:rFonts w:eastAsiaTheme="minorEastAsia"/>
                <w:szCs w:val="21"/>
              </w:rPr>
            </w:pPr>
            <w:r w:rsidRPr="00FC1444">
              <w:rPr>
                <w:rFonts w:eastAsiaTheme="minorEastAsia"/>
                <w:szCs w:val="21"/>
              </w:rPr>
              <w:t>127.0932140</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46.433418</w:t>
            </w:r>
          </w:p>
        </w:tc>
        <w:tc>
          <w:tcPr>
            <w:tcW w:w="769" w:type="dxa"/>
            <w:vMerge/>
            <w:tcBorders>
              <w:right w:val="single" w:sz="2" w:space="0" w:color="auto"/>
            </w:tcBorders>
            <w:vAlign w:val="center"/>
          </w:tcPr>
          <w:p w:rsidR="003C5F8B" w:rsidRPr="00FC1444"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rsidP="005F16C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东至农田，南至农田，西至农田，北至农田及村道</w:t>
            </w:r>
          </w:p>
        </w:tc>
        <w:tc>
          <w:tcPr>
            <w:tcW w:w="599" w:type="dxa"/>
            <w:vMerge/>
            <w:tcBorders>
              <w:left w:val="single" w:sz="2" w:space="0" w:color="auto"/>
            </w:tcBorders>
            <w:vAlign w:val="center"/>
          </w:tcPr>
          <w:p w:rsidR="003C5F8B" w:rsidRPr="00FC1444"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rsidTr="00565A50">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侯家屯</w:t>
            </w:r>
          </w:p>
        </w:tc>
        <w:tc>
          <w:tcPr>
            <w:tcW w:w="891" w:type="dxa"/>
            <w:vAlign w:val="center"/>
          </w:tcPr>
          <w:p w:rsidR="003C5F8B" w:rsidRPr="00FC1444" w:rsidRDefault="003C5F8B" w:rsidP="009F0A2E">
            <w:pPr>
              <w:rPr>
                <w:rFonts w:eastAsiaTheme="minorEastAsia"/>
                <w:szCs w:val="21"/>
              </w:rPr>
            </w:pPr>
            <w:r w:rsidRPr="00FC1444">
              <w:rPr>
                <w:rFonts w:eastAsiaTheme="minorEastAsia"/>
                <w:szCs w:val="21"/>
              </w:rPr>
              <w:t>127.0803364</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46.435144</w:t>
            </w:r>
          </w:p>
        </w:tc>
        <w:tc>
          <w:tcPr>
            <w:tcW w:w="769" w:type="dxa"/>
            <w:vMerge/>
            <w:tcBorders>
              <w:right w:val="single" w:sz="2" w:space="0" w:color="auto"/>
            </w:tcBorders>
            <w:vAlign w:val="center"/>
          </w:tcPr>
          <w:p w:rsidR="003C5F8B" w:rsidRPr="00FC1444"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东至农田，南至农田，西至农田及村道，北至农田</w:t>
            </w:r>
          </w:p>
        </w:tc>
        <w:tc>
          <w:tcPr>
            <w:tcW w:w="599" w:type="dxa"/>
            <w:vMerge/>
            <w:tcBorders>
              <w:left w:val="single" w:sz="2" w:space="0" w:color="auto"/>
            </w:tcBorders>
            <w:vAlign w:val="center"/>
          </w:tcPr>
          <w:p w:rsidR="003C5F8B" w:rsidRPr="00FC1444"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rsidTr="00565A50">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hint="eastAsia"/>
                <w:szCs w:val="21"/>
              </w:rPr>
              <w:t>孔</w:t>
            </w:r>
            <w:r w:rsidRPr="00FC1444">
              <w:rPr>
                <w:rFonts w:eastAsiaTheme="minorEastAsia"/>
                <w:szCs w:val="21"/>
              </w:rPr>
              <w:t>家屯</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127.0657162</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46.441643</w:t>
            </w:r>
          </w:p>
        </w:tc>
        <w:tc>
          <w:tcPr>
            <w:tcW w:w="769" w:type="dxa"/>
            <w:vMerge/>
            <w:tcBorders>
              <w:right w:val="single" w:sz="2" w:space="0" w:color="auto"/>
            </w:tcBorders>
            <w:vAlign w:val="center"/>
          </w:tcPr>
          <w:p w:rsidR="003C5F8B" w:rsidRPr="00FC1444"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东至农田，南至农田，西至农田及村道，北至农田</w:t>
            </w:r>
          </w:p>
        </w:tc>
        <w:tc>
          <w:tcPr>
            <w:tcW w:w="599" w:type="dxa"/>
            <w:vMerge/>
            <w:tcBorders>
              <w:left w:val="single" w:sz="2" w:space="0" w:color="auto"/>
            </w:tcBorders>
            <w:vAlign w:val="center"/>
          </w:tcPr>
          <w:p w:rsidR="003C5F8B" w:rsidRPr="00FC1444"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rsidTr="00565A50">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民胜村</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127.0624294</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46.442611</w:t>
            </w:r>
          </w:p>
        </w:tc>
        <w:tc>
          <w:tcPr>
            <w:tcW w:w="769" w:type="dxa"/>
            <w:vMerge/>
            <w:tcBorders>
              <w:right w:val="single" w:sz="2" w:space="0" w:color="auto"/>
            </w:tcBorders>
            <w:vAlign w:val="center"/>
          </w:tcPr>
          <w:p w:rsidR="003C5F8B" w:rsidRPr="00FC1444"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东至农田及村路，南至农田，西至农田，北至农田</w:t>
            </w:r>
          </w:p>
        </w:tc>
        <w:tc>
          <w:tcPr>
            <w:tcW w:w="599" w:type="dxa"/>
            <w:vMerge/>
            <w:tcBorders>
              <w:left w:val="single" w:sz="2" w:space="0" w:color="auto"/>
            </w:tcBorders>
            <w:vAlign w:val="center"/>
          </w:tcPr>
          <w:p w:rsidR="003C5F8B" w:rsidRPr="00FC1444"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王家屯</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127.0541305</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46.444972</w:t>
            </w:r>
          </w:p>
        </w:tc>
        <w:tc>
          <w:tcPr>
            <w:tcW w:w="769" w:type="dxa"/>
            <w:vMerge/>
            <w:tcBorders>
              <w:right w:val="single" w:sz="2" w:space="0" w:color="auto"/>
            </w:tcBorders>
            <w:vAlign w:val="center"/>
          </w:tcPr>
          <w:p w:rsidR="003C5F8B" w:rsidRPr="00FC1444"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东至农田及村路，南至农田，西至农田，北至农田</w:t>
            </w:r>
          </w:p>
        </w:tc>
        <w:tc>
          <w:tcPr>
            <w:tcW w:w="599"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hint="eastAsia"/>
                <w:szCs w:val="21"/>
              </w:rPr>
              <w:t>津北村</w:t>
            </w:r>
          </w:p>
        </w:tc>
        <w:tc>
          <w:tcPr>
            <w:tcW w:w="891"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127.0832336</w:t>
            </w:r>
          </w:p>
        </w:tc>
        <w:tc>
          <w:tcPr>
            <w:tcW w:w="893"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46.443578</w:t>
            </w:r>
          </w:p>
        </w:tc>
        <w:tc>
          <w:tcPr>
            <w:tcW w:w="769" w:type="dxa"/>
            <w:vMerge/>
            <w:tcBorders>
              <w:right w:val="single" w:sz="2" w:space="0" w:color="auto"/>
            </w:tcBorders>
            <w:vAlign w:val="center"/>
          </w:tcPr>
          <w:p w:rsidR="003C5F8B" w:rsidRPr="00FC1444"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rsidP="002D1792">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东至农田及村路，南至农田，西至农田，北至农田</w:t>
            </w:r>
          </w:p>
        </w:tc>
        <w:tc>
          <w:tcPr>
            <w:tcW w:w="599"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乔家洼子</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127.0747609</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46.451802</w:t>
            </w:r>
          </w:p>
        </w:tc>
        <w:tc>
          <w:tcPr>
            <w:tcW w:w="769" w:type="dxa"/>
            <w:vMerge/>
            <w:tcBorders>
              <w:right w:val="single" w:sz="2" w:space="0" w:color="auto"/>
            </w:tcBorders>
            <w:vAlign w:val="center"/>
          </w:tcPr>
          <w:p w:rsidR="003C5F8B" w:rsidRPr="00FC1444"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E55CF0">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东至农田及村路，南至农田，西至农田，北至农田</w:t>
            </w:r>
          </w:p>
        </w:tc>
        <w:tc>
          <w:tcPr>
            <w:tcW w:w="599"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孙土包</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127.0850025</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46.451426</w:t>
            </w:r>
          </w:p>
        </w:tc>
        <w:tc>
          <w:tcPr>
            <w:tcW w:w="769" w:type="dxa"/>
            <w:vMerge/>
            <w:tcBorders>
              <w:right w:val="single" w:sz="2" w:space="0" w:color="auto"/>
            </w:tcBorders>
            <w:vAlign w:val="center"/>
          </w:tcPr>
          <w:p w:rsidR="003C5F8B" w:rsidRPr="00FC1444"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四周均为农田及村道</w:t>
            </w:r>
          </w:p>
        </w:tc>
        <w:tc>
          <w:tcPr>
            <w:tcW w:w="599"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黑瞎沟</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127.0913818</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46.444140</w:t>
            </w:r>
          </w:p>
        </w:tc>
        <w:tc>
          <w:tcPr>
            <w:tcW w:w="769" w:type="dxa"/>
            <w:vMerge/>
            <w:tcBorders>
              <w:right w:val="single" w:sz="2" w:space="0" w:color="auto"/>
            </w:tcBorders>
            <w:vAlign w:val="center"/>
          </w:tcPr>
          <w:p w:rsidR="003C5F8B" w:rsidRPr="00FC1444"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东至农田及村道，南至农田，西至农田及</w:t>
            </w:r>
            <w:r w:rsidR="00E55CF0" w:rsidRPr="00FC1444">
              <w:rPr>
                <w:rFonts w:eastAsiaTheme="minorEastAsia"/>
                <w:snapToGrid w:val="0"/>
                <w:kern w:val="0"/>
                <w:szCs w:val="21"/>
              </w:rPr>
              <w:t>津河</w:t>
            </w:r>
            <w:r w:rsidRPr="00FC1444">
              <w:rPr>
                <w:rFonts w:eastAsiaTheme="minorEastAsia"/>
                <w:snapToGrid w:val="0"/>
                <w:kern w:val="0"/>
                <w:szCs w:val="21"/>
              </w:rPr>
              <w:t>，北至农田</w:t>
            </w:r>
          </w:p>
        </w:tc>
        <w:tc>
          <w:tcPr>
            <w:tcW w:w="599"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王家屯</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127.0821562</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46.453379</w:t>
            </w:r>
          </w:p>
        </w:tc>
        <w:tc>
          <w:tcPr>
            <w:tcW w:w="769" w:type="dxa"/>
            <w:vMerge/>
            <w:tcBorders>
              <w:right w:val="single" w:sz="2" w:space="0" w:color="auto"/>
            </w:tcBorders>
            <w:vAlign w:val="center"/>
          </w:tcPr>
          <w:p w:rsidR="003C5F8B" w:rsidRPr="00FC1444"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E55CF0">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东至农田及村路，南至农田，西至农田，北至农田</w:t>
            </w:r>
          </w:p>
        </w:tc>
        <w:tc>
          <w:tcPr>
            <w:tcW w:w="599"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肖家屯</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127.0753212</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46.461530</w:t>
            </w:r>
          </w:p>
        </w:tc>
        <w:tc>
          <w:tcPr>
            <w:tcW w:w="769" w:type="dxa"/>
            <w:vMerge/>
            <w:tcBorders>
              <w:right w:val="single" w:sz="2" w:space="0" w:color="auto"/>
            </w:tcBorders>
            <w:vAlign w:val="center"/>
          </w:tcPr>
          <w:p w:rsidR="003C5F8B" w:rsidRPr="00FC1444"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四周均为农田及村道</w:t>
            </w:r>
          </w:p>
        </w:tc>
        <w:tc>
          <w:tcPr>
            <w:tcW w:w="599"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沈家屯</w:t>
            </w:r>
          </w:p>
        </w:tc>
        <w:tc>
          <w:tcPr>
            <w:tcW w:w="891" w:type="dxa"/>
            <w:vAlign w:val="center"/>
          </w:tcPr>
          <w:p w:rsidR="003C5F8B" w:rsidRPr="00FC1444" w:rsidRDefault="003C5F8B" w:rsidP="009F0A2E">
            <w:pPr>
              <w:rPr>
                <w:rFonts w:eastAsiaTheme="minorEastAsia"/>
                <w:szCs w:val="21"/>
              </w:rPr>
            </w:pPr>
            <w:r w:rsidRPr="00FC1444">
              <w:rPr>
                <w:rFonts w:eastAsiaTheme="minorEastAsia"/>
                <w:szCs w:val="21"/>
              </w:rPr>
              <w:t>127.0820558</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46.463020</w:t>
            </w:r>
          </w:p>
        </w:tc>
        <w:tc>
          <w:tcPr>
            <w:tcW w:w="769" w:type="dxa"/>
            <w:vMerge/>
            <w:tcBorders>
              <w:right w:val="single" w:sz="2" w:space="0" w:color="auto"/>
            </w:tcBorders>
            <w:vAlign w:val="center"/>
          </w:tcPr>
          <w:p w:rsidR="003C5F8B" w:rsidRPr="00FC1444"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四周均为农田及村道</w:t>
            </w:r>
          </w:p>
        </w:tc>
        <w:tc>
          <w:tcPr>
            <w:tcW w:w="599"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平安屯</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127.0853079</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46.464593</w:t>
            </w:r>
          </w:p>
        </w:tc>
        <w:tc>
          <w:tcPr>
            <w:tcW w:w="769" w:type="dxa"/>
            <w:vMerge/>
            <w:tcBorders>
              <w:right w:val="single" w:sz="2" w:space="0" w:color="auto"/>
            </w:tcBorders>
            <w:vAlign w:val="center"/>
          </w:tcPr>
          <w:p w:rsidR="003C5F8B" w:rsidRPr="00FC1444"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E55CF0">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东至农田及村路，南至农田，西至农田，北至农田</w:t>
            </w:r>
          </w:p>
        </w:tc>
        <w:tc>
          <w:tcPr>
            <w:tcW w:w="599"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r w:rsidR="003C5F8B" w:rsidRPr="00FC1444">
        <w:trPr>
          <w:trHeight w:val="479"/>
          <w:jc w:val="center"/>
        </w:trPr>
        <w:tc>
          <w:tcPr>
            <w:tcW w:w="1246" w:type="dxa"/>
            <w:vAlign w:val="center"/>
          </w:tcPr>
          <w:p w:rsidR="003C5F8B" w:rsidRPr="00FC1444" w:rsidRDefault="003C5F8B" w:rsidP="009F0A2E">
            <w:pPr>
              <w:spacing w:line="0" w:lineRule="atLeast"/>
              <w:jc w:val="center"/>
              <w:rPr>
                <w:rFonts w:eastAsiaTheme="minorEastAsia"/>
                <w:szCs w:val="21"/>
              </w:rPr>
            </w:pPr>
            <w:r w:rsidRPr="00FC1444">
              <w:rPr>
                <w:rFonts w:eastAsiaTheme="minorEastAsia"/>
                <w:szCs w:val="21"/>
              </w:rPr>
              <w:t>冯家屯</w:t>
            </w:r>
          </w:p>
        </w:tc>
        <w:tc>
          <w:tcPr>
            <w:tcW w:w="891"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127.0925755</w:t>
            </w:r>
          </w:p>
        </w:tc>
        <w:tc>
          <w:tcPr>
            <w:tcW w:w="893" w:type="dxa"/>
            <w:vAlign w:val="center"/>
          </w:tcPr>
          <w:p w:rsidR="003C5F8B" w:rsidRPr="00FC1444" w:rsidRDefault="003C5F8B"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46.460493</w:t>
            </w:r>
          </w:p>
        </w:tc>
        <w:tc>
          <w:tcPr>
            <w:tcW w:w="769" w:type="dxa"/>
            <w:vMerge/>
            <w:tcBorders>
              <w:right w:val="single" w:sz="2" w:space="0" w:color="auto"/>
            </w:tcBorders>
            <w:vAlign w:val="center"/>
          </w:tcPr>
          <w:p w:rsidR="003C5F8B" w:rsidRPr="00FC1444"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FC1444" w:rsidRDefault="003C5F8B" w:rsidP="00E55CF0">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w:t>
            </w:r>
            <w:r w:rsidR="00E55CF0" w:rsidRPr="00FC1444">
              <w:rPr>
                <w:rFonts w:eastAsiaTheme="minorEastAsia"/>
                <w:snapToGrid w:val="0"/>
                <w:kern w:val="0"/>
                <w:szCs w:val="21"/>
              </w:rPr>
              <w:t>及村道</w:t>
            </w:r>
            <w:r w:rsidRPr="00FC1444">
              <w:rPr>
                <w:rFonts w:eastAsiaTheme="minorEastAsia"/>
                <w:snapToGrid w:val="0"/>
                <w:kern w:val="0"/>
                <w:szCs w:val="21"/>
              </w:rPr>
              <w:t>，西至农田，北至农田</w:t>
            </w:r>
            <w:r w:rsidR="00E55CF0" w:rsidRPr="00FC1444">
              <w:rPr>
                <w:rFonts w:eastAsiaTheme="minorEastAsia"/>
                <w:snapToGrid w:val="0"/>
                <w:kern w:val="0"/>
                <w:szCs w:val="21"/>
              </w:rPr>
              <w:t>及村道</w:t>
            </w:r>
          </w:p>
        </w:tc>
        <w:tc>
          <w:tcPr>
            <w:tcW w:w="599"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FC1444" w:rsidRDefault="003C5F8B">
            <w:pPr>
              <w:spacing w:line="0" w:lineRule="atLeast"/>
              <w:contextualSpacing/>
              <w:jc w:val="center"/>
              <w:rPr>
                <w:rFonts w:eastAsiaTheme="minorEastAsia"/>
                <w:snapToGrid w:val="0"/>
                <w:kern w:val="0"/>
                <w:szCs w:val="21"/>
              </w:rPr>
            </w:pPr>
          </w:p>
        </w:tc>
      </w:tr>
    </w:tbl>
    <w:p w:rsidR="00565A50" w:rsidRPr="00FC1444" w:rsidRDefault="00565A50"/>
    <w:p w:rsidR="00E55CF0" w:rsidRPr="00FC1444" w:rsidRDefault="00E55CF0"/>
    <w:p w:rsidR="00565A50" w:rsidRPr="00FC1444" w:rsidRDefault="00565A50" w:rsidP="00565A50">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4-4-1</w:t>
      </w:r>
      <w:r w:rsidRPr="00FC1444">
        <w:rPr>
          <w:rFonts w:eastAsiaTheme="minorEastAsia"/>
          <w:b/>
          <w:kern w:val="0"/>
          <w:szCs w:val="21"/>
        </w:rPr>
        <w:t>环境保护目标调查表</w:t>
      </w:r>
    </w:p>
    <w:tbl>
      <w:tblPr>
        <w:tblStyle w:val="afc"/>
        <w:tblW w:w="8571" w:type="dxa"/>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Look w:val="04A0"/>
      </w:tblPr>
      <w:tblGrid>
        <w:gridCol w:w="1246"/>
        <w:gridCol w:w="891"/>
        <w:gridCol w:w="893"/>
        <w:gridCol w:w="769"/>
        <w:gridCol w:w="2832"/>
        <w:gridCol w:w="590"/>
        <w:gridCol w:w="1350"/>
      </w:tblGrid>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四不漏</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127.1017974</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46.453967</w:t>
            </w:r>
          </w:p>
        </w:tc>
        <w:tc>
          <w:tcPr>
            <w:tcW w:w="769" w:type="dxa"/>
            <w:vMerge w:val="restart"/>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r w:rsidRPr="00FC1444">
              <w:rPr>
                <w:rFonts w:eastAsiaTheme="minorEastAsia" w:hAnsi="Times New Roman"/>
                <w:snapToGrid w:val="0"/>
                <w:kern w:val="0"/>
              </w:rPr>
              <w:t>农村</w:t>
            </w:r>
          </w:p>
        </w:tc>
        <w:tc>
          <w:tcPr>
            <w:tcW w:w="2832" w:type="dxa"/>
            <w:tcBorders>
              <w:left w:val="single" w:sz="2" w:space="0" w:color="auto"/>
            </w:tcBorders>
            <w:vAlign w:val="center"/>
          </w:tcPr>
          <w:p w:rsidR="002B50A9" w:rsidRPr="00FC1444" w:rsidRDefault="002B50A9" w:rsidP="00E55CF0">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东至农田，南至农田及村道，西至农田，北至农田</w:t>
            </w:r>
          </w:p>
        </w:tc>
        <w:tc>
          <w:tcPr>
            <w:tcW w:w="590" w:type="dxa"/>
            <w:vMerge w:val="restart"/>
            <w:tcBorders>
              <w:left w:val="single" w:sz="2" w:space="0" w:color="auto"/>
            </w:tcBorders>
            <w:vAlign w:val="center"/>
          </w:tcPr>
          <w:p w:rsidR="002B50A9" w:rsidRPr="00FC1444" w:rsidRDefault="002B50A9" w:rsidP="004031CB">
            <w:pPr>
              <w:spacing w:line="0" w:lineRule="atLeast"/>
              <w:contextualSpacing/>
              <w:jc w:val="center"/>
              <w:rPr>
                <w:rFonts w:eastAsiaTheme="minorEastAsia"/>
                <w:snapToGrid w:val="0"/>
                <w:kern w:val="0"/>
                <w:szCs w:val="21"/>
              </w:rPr>
            </w:pPr>
            <w:r w:rsidRPr="00FC1444">
              <w:rPr>
                <w:rFonts w:eastAsiaTheme="minorEastAsia"/>
                <w:snapToGrid w:val="0"/>
                <w:kern w:val="0"/>
                <w:szCs w:val="21"/>
              </w:rPr>
              <w:t>居民</w:t>
            </w:r>
          </w:p>
        </w:tc>
        <w:tc>
          <w:tcPr>
            <w:tcW w:w="1350" w:type="dxa"/>
            <w:vMerge w:val="restart"/>
            <w:tcBorders>
              <w:left w:val="single" w:sz="2" w:space="0" w:color="auto"/>
            </w:tcBorders>
            <w:vAlign w:val="center"/>
          </w:tcPr>
          <w:p w:rsidR="002B50A9" w:rsidRPr="00FC1444" w:rsidRDefault="002B50A9" w:rsidP="004031CB">
            <w:pPr>
              <w:spacing w:line="0" w:lineRule="atLeast"/>
              <w:contextualSpacing/>
              <w:jc w:val="center"/>
              <w:rPr>
                <w:rFonts w:eastAsiaTheme="minorEastAsia"/>
                <w:snapToGrid w:val="0"/>
                <w:kern w:val="0"/>
                <w:szCs w:val="21"/>
              </w:rPr>
            </w:pPr>
            <w:r w:rsidRPr="00FC1444">
              <w:rPr>
                <w:rFonts w:eastAsiaTheme="minorEastAsia"/>
                <w:snapToGrid w:val="0"/>
                <w:kern w:val="0"/>
                <w:szCs w:val="21"/>
              </w:rPr>
              <w:t>《环境空气质量标准》（</w:t>
            </w:r>
            <w:r w:rsidRPr="00FC1444">
              <w:rPr>
                <w:rFonts w:eastAsiaTheme="minorEastAsia"/>
                <w:snapToGrid w:val="0"/>
                <w:kern w:val="0"/>
                <w:szCs w:val="21"/>
              </w:rPr>
              <w:t>GB3095-2026</w:t>
            </w:r>
            <w:r w:rsidRPr="00FC1444">
              <w:rPr>
                <w:rFonts w:eastAsiaTheme="minorEastAsia"/>
                <w:snapToGrid w:val="0"/>
                <w:kern w:val="0"/>
                <w:szCs w:val="21"/>
              </w:rPr>
              <w:t>）二级标准；</w:t>
            </w:r>
            <w:r w:rsidRPr="00FC1444">
              <w:rPr>
                <w:rFonts w:eastAsiaTheme="minorEastAsia"/>
                <w:kern w:val="0"/>
                <w:szCs w:val="21"/>
              </w:rPr>
              <w:t>《声环境质量标准》（</w:t>
            </w:r>
            <w:r w:rsidRPr="00FC1444">
              <w:rPr>
                <w:rFonts w:eastAsiaTheme="minorEastAsia"/>
                <w:kern w:val="0"/>
                <w:szCs w:val="21"/>
              </w:rPr>
              <w:t>GB3096-2008</w:t>
            </w:r>
            <w:r w:rsidRPr="00FC1444">
              <w:rPr>
                <w:rFonts w:eastAsiaTheme="minorEastAsia"/>
                <w:kern w:val="0"/>
                <w:szCs w:val="21"/>
              </w:rPr>
              <w:t>）</w:t>
            </w:r>
            <w:r w:rsidRPr="00FC1444">
              <w:rPr>
                <w:rFonts w:eastAsiaTheme="minorEastAsia"/>
                <w:kern w:val="0"/>
                <w:szCs w:val="21"/>
              </w:rPr>
              <w:t>1</w:t>
            </w:r>
            <w:r w:rsidRPr="00FC1444">
              <w:rPr>
                <w:rFonts w:eastAsiaTheme="minorEastAsia"/>
                <w:kern w:val="0"/>
                <w:szCs w:val="21"/>
              </w:rPr>
              <w:t>类</w:t>
            </w: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郭芳店</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127.1044006</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46.452937</w:t>
            </w:r>
          </w:p>
        </w:tc>
        <w:tc>
          <w:tcPr>
            <w:tcW w:w="769" w:type="dxa"/>
            <w:vMerge/>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东至农田，南至农田及村道，西至农田，北至农田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hint="eastAsia"/>
                <w:szCs w:val="21"/>
              </w:rPr>
              <w:t>前孔屯</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127.1130239</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46.462514</w:t>
            </w:r>
          </w:p>
        </w:tc>
        <w:tc>
          <w:tcPr>
            <w:tcW w:w="769" w:type="dxa"/>
            <w:vMerge/>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rsidP="006D4984">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东至农田，南至农田及村道，西至农田及村道，北至农田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靠河村</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127.1021564</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46.464107</w:t>
            </w:r>
          </w:p>
        </w:tc>
        <w:tc>
          <w:tcPr>
            <w:tcW w:w="769" w:type="dxa"/>
            <w:vMerge/>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rsidP="006D4984">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东至农田及村道，南至农田及村道，西至农田，北至农田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义合村</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127.1227092</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46.524123</w:t>
            </w:r>
          </w:p>
        </w:tc>
        <w:tc>
          <w:tcPr>
            <w:tcW w:w="769" w:type="dxa"/>
            <w:vMerge/>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rsidP="006D4984">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东至农田，南至农田，西至农田，北至农田及村道</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张连生屯</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127.1356120</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46.523370</w:t>
            </w:r>
          </w:p>
        </w:tc>
        <w:tc>
          <w:tcPr>
            <w:tcW w:w="769" w:type="dxa"/>
            <w:vMerge/>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rsidP="007A0530">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东至农田，南至农田，西至农田，北至农田及村道</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于路屯</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127.1310157</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46.530670</w:t>
            </w:r>
          </w:p>
        </w:tc>
        <w:tc>
          <w:tcPr>
            <w:tcW w:w="769" w:type="dxa"/>
            <w:vMerge/>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东至农田，南至农田，西至农田及村道，北至农田及村道</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朱广仁</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127.1342292</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46.535978</w:t>
            </w:r>
          </w:p>
        </w:tc>
        <w:tc>
          <w:tcPr>
            <w:tcW w:w="769" w:type="dxa"/>
            <w:vMerge/>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rsidP="002442B2">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东至农田，南至农田，西至农田，北至农田及村道</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张银匠</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127.1439919</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46.535925</w:t>
            </w:r>
          </w:p>
        </w:tc>
        <w:tc>
          <w:tcPr>
            <w:tcW w:w="769" w:type="dxa"/>
            <w:vMerge/>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东至农田，南至农田及村道，西至农田，北至农田及村道</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东围屯</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127.1523834</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46.542071</w:t>
            </w:r>
          </w:p>
        </w:tc>
        <w:tc>
          <w:tcPr>
            <w:tcW w:w="769" w:type="dxa"/>
            <w:vMerge/>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东至农田及村道，南至农田，西至农田及村道，北至农田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傅家屯</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127.1215273</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46.541480</w:t>
            </w:r>
          </w:p>
        </w:tc>
        <w:tc>
          <w:tcPr>
            <w:tcW w:w="769" w:type="dxa"/>
            <w:vMerge/>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rsidP="00C45307">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东至农田，南至农田，西至农田，北至农田及村道</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侯家屯</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127.1249069</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46.544815</w:t>
            </w:r>
          </w:p>
        </w:tc>
        <w:tc>
          <w:tcPr>
            <w:tcW w:w="769" w:type="dxa"/>
            <w:vMerge/>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rsidP="00C45307">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东至农田，南至农田及村道，西至农田，北至农田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陶家屯</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127.1317998</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46.550105</w:t>
            </w:r>
          </w:p>
        </w:tc>
        <w:tc>
          <w:tcPr>
            <w:tcW w:w="769" w:type="dxa"/>
            <w:vMerge/>
            <w:tcBorders>
              <w:right w:val="single" w:sz="2" w:space="0" w:color="auto"/>
            </w:tcBorders>
            <w:vAlign w:val="center"/>
          </w:tcPr>
          <w:p w:rsidR="002B50A9" w:rsidRPr="00FC1444" w:rsidRDefault="002B50A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rsidP="00C45307">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三合屯</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127.1406587</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46.552379</w:t>
            </w:r>
          </w:p>
        </w:tc>
        <w:tc>
          <w:tcPr>
            <w:tcW w:w="769" w:type="dxa"/>
            <w:vMerge/>
            <w:tcBorders>
              <w:right w:val="single" w:sz="2" w:space="0" w:color="auto"/>
            </w:tcBorders>
            <w:vAlign w:val="center"/>
          </w:tcPr>
          <w:p w:rsidR="002B50A9" w:rsidRPr="00FC1444" w:rsidRDefault="002B50A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rsidP="00C45307">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rsidP="00E93DD8">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徐申屯</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127.1448687</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46.553993</w:t>
            </w:r>
          </w:p>
        </w:tc>
        <w:tc>
          <w:tcPr>
            <w:tcW w:w="769" w:type="dxa"/>
            <w:vMerge/>
            <w:tcBorders>
              <w:right w:val="single" w:sz="2" w:space="0" w:color="auto"/>
            </w:tcBorders>
            <w:vAlign w:val="center"/>
          </w:tcPr>
          <w:p w:rsidR="002B50A9" w:rsidRPr="00FC1444" w:rsidRDefault="002B50A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rsidP="00C45307">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东至农田，南至农田及村道，西至农田，北至农田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rsidP="00E93DD8">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孙刚烧锅</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127.1556719</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46.545804</w:t>
            </w:r>
          </w:p>
        </w:tc>
        <w:tc>
          <w:tcPr>
            <w:tcW w:w="769" w:type="dxa"/>
            <w:vMerge/>
            <w:tcBorders>
              <w:right w:val="single" w:sz="2" w:space="0" w:color="auto"/>
            </w:tcBorders>
            <w:vAlign w:val="center"/>
          </w:tcPr>
          <w:p w:rsidR="002B50A9" w:rsidRPr="00FC1444" w:rsidRDefault="002B50A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rsidP="00C45307">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东至农田及村道，南至农田，西至农田，北至农田及村道</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rsidP="00E93DD8">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蒋家岗</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127.1624297</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46.550583</w:t>
            </w:r>
          </w:p>
        </w:tc>
        <w:tc>
          <w:tcPr>
            <w:tcW w:w="769" w:type="dxa"/>
            <w:vMerge/>
            <w:tcBorders>
              <w:right w:val="single" w:sz="2" w:space="0" w:color="auto"/>
            </w:tcBorders>
            <w:vAlign w:val="center"/>
          </w:tcPr>
          <w:p w:rsidR="002B50A9" w:rsidRPr="00FC1444" w:rsidRDefault="002B50A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东至农田及村道，南至农田，西至农田及村道，北至农田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rsidP="00E93DD8">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三间房</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127.1737527</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46.545554</w:t>
            </w:r>
          </w:p>
        </w:tc>
        <w:tc>
          <w:tcPr>
            <w:tcW w:w="769" w:type="dxa"/>
            <w:vMerge/>
            <w:tcBorders>
              <w:right w:val="single" w:sz="2" w:space="0" w:color="auto"/>
            </w:tcBorders>
            <w:vAlign w:val="center"/>
          </w:tcPr>
          <w:p w:rsidR="002B50A9" w:rsidRPr="00FC1444" w:rsidRDefault="002B50A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rsidP="008B6E3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rsidP="00E93DD8">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向阳堡</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127.1715801</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46.551470</w:t>
            </w:r>
          </w:p>
        </w:tc>
        <w:tc>
          <w:tcPr>
            <w:tcW w:w="769" w:type="dxa"/>
            <w:vMerge/>
            <w:tcBorders>
              <w:right w:val="single" w:sz="2" w:space="0" w:color="auto"/>
            </w:tcBorders>
            <w:vAlign w:val="center"/>
          </w:tcPr>
          <w:p w:rsidR="002B50A9" w:rsidRPr="00FC1444" w:rsidRDefault="002B50A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r w:rsidRPr="00FC1444">
              <w:rPr>
                <w:rFonts w:eastAsiaTheme="minorEastAsia"/>
                <w:snapToGrid w:val="0"/>
                <w:kern w:val="0"/>
                <w:szCs w:val="21"/>
              </w:rPr>
              <w:t>四周均为农田及村道</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rsidP="00E93DD8">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hint="eastAsia"/>
                <w:szCs w:val="21"/>
              </w:rPr>
              <w:t>刘家崴子</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127.1738223</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46.554516</w:t>
            </w:r>
          </w:p>
        </w:tc>
        <w:tc>
          <w:tcPr>
            <w:tcW w:w="769" w:type="dxa"/>
            <w:vMerge/>
            <w:tcBorders>
              <w:right w:val="single" w:sz="2" w:space="0" w:color="auto"/>
            </w:tcBorders>
            <w:vAlign w:val="center"/>
          </w:tcPr>
          <w:p w:rsidR="002B50A9" w:rsidRPr="00FC1444" w:rsidRDefault="002B50A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东至农田及村道，南至农田，西至农田及村道，北至农田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rsidP="00E93DD8">
            <w:pPr>
              <w:spacing w:line="0" w:lineRule="atLeast"/>
              <w:contextualSpacing/>
              <w:jc w:val="center"/>
              <w:rPr>
                <w:rFonts w:eastAsiaTheme="minorEastAsia"/>
                <w:snapToGrid w:val="0"/>
                <w:kern w:val="0"/>
                <w:szCs w:val="21"/>
              </w:rPr>
            </w:pPr>
          </w:p>
        </w:tc>
      </w:tr>
      <w:tr w:rsidR="002B50A9" w:rsidRPr="00FC1444" w:rsidTr="002B50A9">
        <w:trPr>
          <w:trHeight w:val="479"/>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金伏村</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127.1542969</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46.561499</w:t>
            </w:r>
          </w:p>
        </w:tc>
        <w:tc>
          <w:tcPr>
            <w:tcW w:w="769" w:type="dxa"/>
            <w:vMerge/>
            <w:tcBorders>
              <w:right w:val="single" w:sz="2" w:space="0" w:color="auto"/>
            </w:tcBorders>
            <w:vAlign w:val="center"/>
          </w:tcPr>
          <w:p w:rsidR="002B50A9" w:rsidRPr="00FC1444" w:rsidRDefault="002B50A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东至农田及村道，南至农田，西至农田及村道，北至农田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rsidP="00E93DD8">
            <w:pPr>
              <w:spacing w:line="0" w:lineRule="atLeast"/>
              <w:contextualSpacing/>
              <w:jc w:val="center"/>
              <w:rPr>
                <w:rFonts w:eastAsiaTheme="minorEastAsia"/>
                <w:snapToGrid w:val="0"/>
                <w:kern w:val="0"/>
                <w:szCs w:val="21"/>
              </w:rPr>
            </w:pPr>
          </w:p>
        </w:tc>
      </w:tr>
      <w:tr w:rsidR="002B50A9" w:rsidRPr="00FC1444" w:rsidTr="002B50A9">
        <w:trPr>
          <w:trHeight w:val="288"/>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szCs w:val="21"/>
              </w:rPr>
              <w:t>前杨屯</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127.1711765</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46.563685</w:t>
            </w:r>
          </w:p>
        </w:tc>
        <w:tc>
          <w:tcPr>
            <w:tcW w:w="769" w:type="dxa"/>
            <w:vMerge/>
            <w:tcBorders>
              <w:right w:val="single" w:sz="2" w:space="0" w:color="auto"/>
            </w:tcBorders>
            <w:vAlign w:val="center"/>
          </w:tcPr>
          <w:p w:rsidR="002B50A9" w:rsidRPr="00FC1444" w:rsidRDefault="002B50A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东至农田及村道，南至农田，西至农田，北至农田</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rsidP="00E93DD8">
            <w:pPr>
              <w:spacing w:line="0" w:lineRule="atLeast"/>
              <w:contextualSpacing/>
              <w:jc w:val="center"/>
              <w:rPr>
                <w:rFonts w:eastAsiaTheme="minorEastAsia"/>
                <w:snapToGrid w:val="0"/>
                <w:kern w:val="0"/>
                <w:szCs w:val="21"/>
              </w:rPr>
            </w:pPr>
          </w:p>
        </w:tc>
      </w:tr>
      <w:tr w:rsidR="002B50A9" w:rsidRPr="00FC1444" w:rsidTr="002B50A9">
        <w:trPr>
          <w:trHeight w:val="427"/>
          <w:jc w:val="center"/>
        </w:trPr>
        <w:tc>
          <w:tcPr>
            <w:tcW w:w="1246" w:type="dxa"/>
            <w:vAlign w:val="center"/>
          </w:tcPr>
          <w:p w:rsidR="002B50A9" w:rsidRPr="00FC1444" w:rsidRDefault="002B50A9" w:rsidP="009F0A2E">
            <w:pPr>
              <w:spacing w:line="0" w:lineRule="atLeast"/>
              <w:jc w:val="center"/>
              <w:rPr>
                <w:rFonts w:eastAsiaTheme="minorEastAsia"/>
                <w:szCs w:val="21"/>
              </w:rPr>
            </w:pPr>
            <w:r w:rsidRPr="00FC1444">
              <w:rPr>
                <w:rFonts w:eastAsiaTheme="minorEastAsia" w:hint="eastAsia"/>
                <w:szCs w:val="21"/>
              </w:rPr>
              <w:t>民喜村</w:t>
            </w:r>
          </w:p>
        </w:tc>
        <w:tc>
          <w:tcPr>
            <w:tcW w:w="891"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127.1640557</w:t>
            </w:r>
          </w:p>
        </w:tc>
        <w:tc>
          <w:tcPr>
            <w:tcW w:w="893" w:type="dxa"/>
            <w:vAlign w:val="center"/>
          </w:tcPr>
          <w:p w:rsidR="002B50A9" w:rsidRPr="00FC1444" w:rsidRDefault="002B50A9"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46.570095</w:t>
            </w:r>
          </w:p>
        </w:tc>
        <w:tc>
          <w:tcPr>
            <w:tcW w:w="769" w:type="dxa"/>
            <w:vMerge/>
            <w:tcBorders>
              <w:right w:val="single" w:sz="2" w:space="0" w:color="auto"/>
            </w:tcBorders>
            <w:vAlign w:val="center"/>
          </w:tcPr>
          <w:p w:rsidR="002B50A9" w:rsidRPr="00FC1444" w:rsidRDefault="002B50A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r w:rsidRPr="00FC1444">
              <w:rPr>
                <w:rFonts w:eastAsiaTheme="minorEastAsia"/>
                <w:snapToGrid w:val="0"/>
                <w:kern w:val="0"/>
                <w:szCs w:val="21"/>
              </w:rPr>
              <w:t>四周均为农田及村道</w:t>
            </w:r>
          </w:p>
        </w:tc>
        <w:tc>
          <w:tcPr>
            <w:tcW w:w="590" w:type="dxa"/>
            <w:vMerge/>
            <w:tcBorders>
              <w:left w:val="single" w:sz="2" w:space="0" w:color="auto"/>
            </w:tcBorders>
            <w:vAlign w:val="center"/>
          </w:tcPr>
          <w:p w:rsidR="002B50A9" w:rsidRPr="00FC1444" w:rsidRDefault="002B50A9">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2B50A9" w:rsidRPr="00FC1444" w:rsidRDefault="002B50A9" w:rsidP="00E93DD8">
            <w:pPr>
              <w:spacing w:line="0" w:lineRule="atLeast"/>
              <w:contextualSpacing/>
              <w:jc w:val="center"/>
              <w:rPr>
                <w:rFonts w:eastAsiaTheme="minorEastAsia"/>
                <w:snapToGrid w:val="0"/>
                <w:kern w:val="0"/>
                <w:szCs w:val="21"/>
              </w:rPr>
            </w:pPr>
          </w:p>
        </w:tc>
      </w:tr>
    </w:tbl>
    <w:p w:rsidR="0090482F" w:rsidRPr="00FC1444" w:rsidRDefault="0090482F" w:rsidP="00565A50">
      <w:pPr>
        <w:contextualSpacing/>
        <w:jc w:val="center"/>
        <w:rPr>
          <w:rFonts w:eastAsiaTheme="minorEastAsia"/>
          <w:b/>
          <w:kern w:val="0"/>
          <w:szCs w:val="21"/>
        </w:rPr>
      </w:pPr>
    </w:p>
    <w:p w:rsidR="00565A50" w:rsidRPr="00FC1444" w:rsidRDefault="00565A50" w:rsidP="00565A50">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4-4-1</w:t>
      </w:r>
      <w:r w:rsidRPr="00FC1444">
        <w:rPr>
          <w:rFonts w:eastAsiaTheme="minorEastAsia"/>
          <w:b/>
          <w:kern w:val="0"/>
          <w:szCs w:val="21"/>
        </w:rPr>
        <w:t>环境保护目标调查表</w:t>
      </w:r>
    </w:p>
    <w:tbl>
      <w:tblPr>
        <w:tblStyle w:val="afc"/>
        <w:tblW w:w="8571" w:type="dxa"/>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Look w:val="04A0"/>
      </w:tblPr>
      <w:tblGrid>
        <w:gridCol w:w="1246"/>
        <w:gridCol w:w="891"/>
        <w:gridCol w:w="893"/>
        <w:gridCol w:w="769"/>
        <w:gridCol w:w="2832"/>
        <w:gridCol w:w="590"/>
        <w:gridCol w:w="1350"/>
      </w:tblGrid>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后金伏</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127.1501217</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46.572220</w:t>
            </w:r>
          </w:p>
        </w:tc>
        <w:tc>
          <w:tcPr>
            <w:tcW w:w="769" w:type="dxa"/>
            <w:vMerge w:val="restart"/>
            <w:tcBorders>
              <w:right w:val="single" w:sz="2" w:space="0" w:color="auto"/>
            </w:tcBorders>
            <w:vAlign w:val="center"/>
          </w:tcPr>
          <w:p w:rsidR="0090482F" w:rsidRPr="00FC1444" w:rsidRDefault="0090482F" w:rsidP="009F0A2E">
            <w:pPr>
              <w:pStyle w:val="aff7"/>
              <w:spacing w:line="0" w:lineRule="atLeast"/>
              <w:contextualSpacing/>
              <w:rPr>
                <w:rFonts w:eastAsiaTheme="minorEastAsia" w:hAnsi="Times New Roman"/>
                <w:snapToGrid w:val="0"/>
                <w:kern w:val="0"/>
              </w:rPr>
            </w:pPr>
            <w:r w:rsidRPr="00FC1444">
              <w:rPr>
                <w:rFonts w:eastAsiaTheme="minorEastAsia" w:hAnsi="Times New Roman"/>
                <w:snapToGrid w:val="0"/>
                <w:kern w:val="0"/>
              </w:rPr>
              <w:t>农村</w:t>
            </w:r>
          </w:p>
        </w:tc>
        <w:tc>
          <w:tcPr>
            <w:tcW w:w="2832" w:type="dxa"/>
            <w:tcBorders>
              <w:left w:val="single" w:sz="2" w:space="0" w:color="auto"/>
            </w:tcBorders>
            <w:vAlign w:val="center"/>
          </w:tcPr>
          <w:p w:rsidR="0090482F" w:rsidRPr="00FC1444" w:rsidRDefault="0090482F" w:rsidP="009F0A2E">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东至农田，南至农田及村道，西至农田，北至空地</w:t>
            </w:r>
          </w:p>
        </w:tc>
        <w:tc>
          <w:tcPr>
            <w:tcW w:w="590" w:type="dxa"/>
            <w:vMerge w:val="restart"/>
            <w:tcBorders>
              <w:left w:val="single" w:sz="2" w:space="0" w:color="auto"/>
            </w:tcBorders>
            <w:vAlign w:val="center"/>
          </w:tcPr>
          <w:p w:rsidR="0090482F" w:rsidRPr="00FC1444" w:rsidRDefault="0090482F" w:rsidP="009F0A2E">
            <w:pPr>
              <w:spacing w:line="0" w:lineRule="atLeast"/>
              <w:contextualSpacing/>
              <w:jc w:val="center"/>
              <w:rPr>
                <w:rFonts w:eastAsiaTheme="minorEastAsia"/>
                <w:snapToGrid w:val="0"/>
                <w:kern w:val="0"/>
                <w:szCs w:val="21"/>
              </w:rPr>
            </w:pPr>
            <w:r w:rsidRPr="00FC1444">
              <w:rPr>
                <w:rFonts w:eastAsiaTheme="minorEastAsia"/>
                <w:snapToGrid w:val="0"/>
                <w:kern w:val="0"/>
                <w:szCs w:val="21"/>
              </w:rPr>
              <w:t>居民</w:t>
            </w:r>
          </w:p>
        </w:tc>
        <w:tc>
          <w:tcPr>
            <w:tcW w:w="1350" w:type="dxa"/>
            <w:vMerge w:val="restart"/>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r w:rsidRPr="00FC1444">
              <w:rPr>
                <w:rFonts w:eastAsiaTheme="minorEastAsia"/>
                <w:snapToGrid w:val="0"/>
                <w:kern w:val="0"/>
                <w:szCs w:val="21"/>
              </w:rPr>
              <w:t>《环境空气质量标准》（</w:t>
            </w:r>
            <w:r w:rsidRPr="00FC1444">
              <w:rPr>
                <w:rFonts w:eastAsiaTheme="minorEastAsia"/>
                <w:snapToGrid w:val="0"/>
                <w:kern w:val="0"/>
                <w:szCs w:val="21"/>
              </w:rPr>
              <w:t>GB3095-2026</w:t>
            </w:r>
            <w:r w:rsidRPr="00FC1444">
              <w:rPr>
                <w:rFonts w:eastAsiaTheme="minorEastAsia"/>
                <w:snapToGrid w:val="0"/>
                <w:kern w:val="0"/>
                <w:szCs w:val="21"/>
              </w:rPr>
              <w:t>）二级标准；</w:t>
            </w:r>
            <w:r w:rsidRPr="00FC1444">
              <w:rPr>
                <w:rFonts w:eastAsiaTheme="minorEastAsia"/>
                <w:kern w:val="0"/>
                <w:szCs w:val="21"/>
              </w:rPr>
              <w:t>《声环境质量标准》（</w:t>
            </w:r>
            <w:r w:rsidRPr="00FC1444">
              <w:rPr>
                <w:rFonts w:eastAsiaTheme="minorEastAsia"/>
                <w:kern w:val="0"/>
                <w:szCs w:val="21"/>
              </w:rPr>
              <w:t>GB3096-2008</w:t>
            </w:r>
            <w:r w:rsidRPr="00FC1444">
              <w:rPr>
                <w:rFonts w:eastAsiaTheme="minorEastAsia"/>
                <w:kern w:val="0"/>
                <w:szCs w:val="21"/>
              </w:rPr>
              <w:t>）</w:t>
            </w:r>
            <w:r w:rsidRPr="00FC1444">
              <w:rPr>
                <w:rFonts w:eastAsiaTheme="minorEastAsia"/>
                <w:kern w:val="0"/>
                <w:szCs w:val="21"/>
              </w:rPr>
              <w:t>1</w:t>
            </w:r>
            <w:r w:rsidRPr="00FC1444">
              <w:rPr>
                <w:rFonts w:eastAsiaTheme="minorEastAsia"/>
                <w:kern w:val="0"/>
                <w:szCs w:val="21"/>
              </w:rPr>
              <w:t>类</w:t>
            </w: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宁家店</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127.1223516</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46.583741</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东至农田及村道，南至农田，西至农田及村道，北至农田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温家屯</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127.1301686</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46.590409</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r w:rsidRPr="00FC1444">
              <w:rPr>
                <w:rFonts w:eastAsiaTheme="minorEastAsia"/>
                <w:snapToGrid w:val="0"/>
                <w:kern w:val="0"/>
                <w:szCs w:val="21"/>
              </w:rPr>
              <w:t>四周均为农田及村道</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rsidTr="00EC561F">
        <w:trPr>
          <w:trHeight w:val="382"/>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hint="eastAsia"/>
                <w:szCs w:val="21"/>
              </w:rPr>
              <w:t>宋占武</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127.1326251</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46.591651</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r w:rsidRPr="00FC1444">
              <w:rPr>
                <w:rFonts w:eastAsiaTheme="minorEastAsia"/>
                <w:snapToGrid w:val="0"/>
                <w:kern w:val="0"/>
                <w:szCs w:val="21"/>
              </w:rPr>
              <w:t>四周均为农田及村道</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郭家油坊</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127.1218118</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46.590795</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90482F" w:rsidP="00507CD2">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w:t>
            </w:r>
            <w:r w:rsidR="00507CD2" w:rsidRPr="00FC1444">
              <w:rPr>
                <w:rFonts w:eastAsiaTheme="minorEastAsia"/>
                <w:snapToGrid w:val="0"/>
                <w:kern w:val="0"/>
                <w:szCs w:val="21"/>
              </w:rPr>
              <w:t>，南至农田，西至农田</w:t>
            </w:r>
            <w:r w:rsidRPr="00FC1444">
              <w:rPr>
                <w:rFonts w:eastAsiaTheme="minorEastAsia"/>
                <w:snapToGrid w:val="0"/>
                <w:kern w:val="0"/>
                <w:szCs w:val="21"/>
              </w:rPr>
              <w:t>，北至农田</w:t>
            </w:r>
            <w:r w:rsidR="00507CD2" w:rsidRPr="00FC1444">
              <w:rPr>
                <w:rFonts w:eastAsiaTheme="minorEastAsia"/>
                <w:snapToGrid w:val="0"/>
                <w:kern w:val="0"/>
                <w:szCs w:val="21"/>
              </w:rPr>
              <w:t>及村道</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徐磨坊</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127.1226075</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46.594175</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90482F" w:rsidP="00507CD2">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hint="eastAsia"/>
                <w:szCs w:val="21"/>
              </w:rPr>
              <w:t>万兴店</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127.1328336</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46.593817</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东至农田及村道，南至农田，西至农田及村道，北至农田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王子阳</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127.1458065</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46.593913</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90482F" w:rsidP="00507CD2">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w:t>
            </w:r>
            <w:r w:rsidR="00507CD2" w:rsidRPr="00FC1444">
              <w:rPr>
                <w:rFonts w:eastAsiaTheme="minorEastAsia"/>
                <w:snapToGrid w:val="0"/>
                <w:kern w:val="0"/>
                <w:szCs w:val="21"/>
              </w:rPr>
              <w:t>及村道</w:t>
            </w:r>
            <w:r w:rsidRPr="00FC1444">
              <w:rPr>
                <w:rFonts w:eastAsiaTheme="minorEastAsia"/>
                <w:snapToGrid w:val="0"/>
                <w:kern w:val="0"/>
                <w:szCs w:val="21"/>
              </w:rPr>
              <w:t>，北至农田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于江水</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127.1433462</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47.000602</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90482F" w:rsidP="00507CD2">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民发村</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127.1255319</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47.002289</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507CD2" w:rsidP="00507CD2">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w:t>
            </w:r>
            <w:r w:rsidR="0090482F" w:rsidRPr="00FC1444">
              <w:rPr>
                <w:rFonts w:eastAsiaTheme="minorEastAsia"/>
                <w:snapToGrid w:val="0"/>
                <w:kern w:val="0"/>
                <w:szCs w:val="21"/>
              </w:rPr>
              <w:t>，南至农田，西至农田，北至农田及村道</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朱旺屯</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127.1236934</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47.015079</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90482F" w:rsidP="00507CD2">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太安村</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127.1324518</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47.020938</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90482F" w:rsidP="00507CD2">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w:t>
            </w:r>
            <w:r w:rsidR="00507CD2" w:rsidRPr="00FC1444">
              <w:rPr>
                <w:rFonts w:eastAsiaTheme="minorEastAsia"/>
                <w:snapToGrid w:val="0"/>
                <w:kern w:val="0"/>
                <w:szCs w:val="21"/>
              </w:rPr>
              <w:t>及村道</w:t>
            </w:r>
            <w:r w:rsidRPr="00FC1444">
              <w:rPr>
                <w:rFonts w:eastAsiaTheme="minorEastAsia"/>
                <w:snapToGrid w:val="0"/>
                <w:kern w:val="0"/>
                <w:szCs w:val="21"/>
              </w:rPr>
              <w:t>，北至农田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毕甲奎</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127.1225501</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47.024207</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507CD2">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张景春屯</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127.1340179</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47.025254</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767C9F" w:rsidP="00767C9F">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东至农田，南至农田及村道，西至农田，北至农田及村道</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华家屯</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127.1439467</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47.022743</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767C9F">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苑家屯</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127.1519172</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47.021617</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767C9F">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民富村</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127.1500787</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47.025670</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767C9F">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魏家屯</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127.1534467</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47.031196</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767C9F">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廖家屯</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127.1456152</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47.031838</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767C9F">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西窝棚</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127.1333343</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47.031291</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767C9F" w:rsidP="00767C9F">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胡四麻子</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127.1331393</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47.012020</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767C9F">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东至农田及村道，南至农田，西至农田，北至农田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r w:rsidR="0090482F" w:rsidRPr="00FC1444">
        <w:trPr>
          <w:trHeight w:val="479"/>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szCs w:val="21"/>
              </w:rPr>
              <w:t>张华国屯</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127.1415888</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47.013405</w:t>
            </w:r>
          </w:p>
        </w:tc>
        <w:tc>
          <w:tcPr>
            <w:tcW w:w="769" w:type="dxa"/>
            <w:vMerge/>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FC1444" w:rsidRDefault="00767C9F">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FC1444" w:rsidRDefault="0090482F" w:rsidP="004031CB">
            <w:pPr>
              <w:spacing w:line="0" w:lineRule="atLeast"/>
              <w:contextualSpacing/>
              <w:jc w:val="center"/>
              <w:rPr>
                <w:rFonts w:eastAsiaTheme="minorEastAsia"/>
                <w:snapToGrid w:val="0"/>
                <w:kern w:val="0"/>
                <w:szCs w:val="21"/>
              </w:rPr>
            </w:pPr>
          </w:p>
        </w:tc>
      </w:tr>
    </w:tbl>
    <w:p w:rsidR="00767C9F" w:rsidRPr="00FC1444" w:rsidRDefault="00767C9F"/>
    <w:p w:rsidR="00767C9F" w:rsidRPr="00FC1444" w:rsidRDefault="00767C9F"/>
    <w:p w:rsidR="00767C9F" w:rsidRPr="00FC1444" w:rsidRDefault="00767C9F"/>
    <w:p w:rsidR="00767C9F" w:rsidRPr="00FC1444" w:rsidRDefault="00767C9F"/>
    <w:p w:rsidR="00767C9F" w:rsidRPr="00FC1444" w:rsidRDefault="00767C9F"/>
    <w:p w:rsidR="00767C9F" w:rsidRPr="00FC1444" w:rsidRDefault="00767C9F" w:rsidP="00767C9F">
      <w:pPr>
        <w:contextualSpacing/>
        <w:jc w:val="center"/>
        <w:rPr>
          <w:rFonts w:eastAsiaTheme="minorEastAsia"/>
          <w:b/>
          <w:kern w:val="0"/>
          <w:szCs w:val="21"/>
        </w:rPr>
      </w:pPr>
      <w:r w:rsidRPr="00FC1444">
        <w:rPr>
          <w:rFonts w:eastAsiaTheme="minorEastAsia"/>
          <w:b/>
          <w:kern w:val="0"/>
          <w:szCs w:val="21"/>
        </w:rPr>
        <w:lastRenderedPageBreak/>
        <w:t>续表</w:t>
      </w:r>
      <w:r w:rsidRPr="00FC1444">
        <w:rPr>
          <w:rFonts w:eastAsiaTheme="minorEastAsia"/>
          <w:b/>
          <w:kern w:val="0"/>
          <w:szCs w:val="21"/>
        </w:rPr>
        <w:t>4-4-1</w:t>
      </w:r>
      <w:r w:rsidRPr="00FC1444">
        <w:rPr>
          <w:rFonts w:eastAsiaTheme="minorEastAsia"/>
          <w:b/>
          <w:kern w:val="0"/>
          <w:szCs w:val="21"/>
        </w:rPr>
        <w:t>环境保护目标调查表</w:t>
      </w:r>
    </w:p>
    <w:tbl>
      <w:tblPr>
        <w:tblStyle w:val="afc"/>
        <w:tblW w:w="8571" w:type="dxa"/>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Look w:val="04A0"/>
      </w:tblPr>
      <w:tblGrid>
        <w:gridCol w:w="1246"/>
        <w:gridCol w:w="891"/>
        <w:gridCol w:w="893"/>
        <w:gridCol w:w="769"/>
        <w:gridCol w:w="2832"/>
        <w:gridCol w:w="590"/>
        <w:gridCol w:w="1350"/>
      </w:tblGrid>
      <w:tr w:rsidR="0090482F" w:rsidRPr="00FC1444" w:rsidTr="000C3AB5">
        <w:trPr>
          <w:trHeight w:val="704"/>
          <w:jc w:val="center"/>
        </w:trPr>
        <w:tc>
          <w:tcPr>
            <w:tcW w:w="1246" w:type="dxa"/>
            <w:vAlign w:val="center"/>
          </w:tcPr>
          <w:p w:rsidR="0090482F" w:rsidRPr="00FC1444" w:rsidRDefault="0090482F" w:rsidP="009F0A2E">
            <w:pPr>
              <w:spacing w:line="0" w:lineRule="atLeast"/>
              <w:jc w:val="center"/>
              <w:rPr>
                <w:rFonts w:eastAsiaTheme="minorEastAsia"/>
                <w:szCs w:val="21"/>
              </w:rPr>
            </w:pPr>
            <w:r w:rsidRPr="00FC1444">
              <w:rPr>
                <w:rFonts w:eastAsiaTheme="minorEastAsia" w:hint="eastAsia"/>
                <w:szCs w:val="21"/>
              </w:rPr>
              <w:t>津河镇</w:t>
            </w:r>
          </w:p>
        </w:tc>
        <w:tc>
          <w:tcPr>
            <w:tcW w:w="891"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127.0909492</w:t>
            </w:r>
          </w:p>
        </w:tc>
        <w:tc>
          <w:tcPr>
            <w:tcW w:w="893" w:type="dxa"/>
            <w:vAlign w:val="center"/>
          </w:tcPr>
          <w:p w:rsidR="0090482F" w:rsidRPr="00FC1444" w:rsidRDefault="0090482F" w:rsidP="009F0A2E">
            <w:pPr>
              <w:adjustRightInd w:val="0"/>
              <w:snapToGrid w:val="0"/>
              <w:spacing w:line="0" w:lineRule="atLeast"/>
              <w:jc w:val="center"/>
              <w:rPr>
                <w:rFonts w:eastAsiaTheme="minorEastAsia"/>
                <w:snapToGrid w:val="0"/>
                <w:szCs w:val="21"/>
              </w:rPr>
            </w:pPr>
            <w:r w:rsidRPr="00FC1444">
              <w:rPr>
                <w:rFonts w:eastAsiaTheme="minorEastAsia"/>
                <w:snapToGrid w:val="0"/>
                <w:szCs w:val="21"/>
              </w:rPr>
              <w:t>46.435899</w:t>
            </w:r>
          </w:p>
        </w:tc>
        <w:tc>
          <w:tcPr>
            <w:tcW w:w="769" w:type="dxa"/>
            <w:tcBorders>
              <w:right w:val="single" w:sz="2" w:space="0" w:color="auto"/>
            </w:tcBorders>
            <w:vAlign w:val="center"/>
          </w:tcPr>
          <w:p w:rsidR="0090482F" w:rsidRPr="00FC1444" w:rsidRDefault="0090482F">
            <w:pPr>
              <w:pStyle w:val="aff7"/>
              <w:spacing w:line="0" w:lineRule="atLeast"/>
              <w:contextualSpacing/>
              <w:rPr>
                <w:rFonts w:eastAsiaTheme="minorEastAsia" w:hAnsi="Times New Roman"/>
                <w:snapToGrid w:val="0"/>
                <w:kern w:val="0"/>
              </w:rPr>
            </w:pPr>
            <w:r w:rsidRPr="00FC1444">
              <w:rPr>
                <w:rFonts w:eastAsiaTheme="minorEastAsia" w:hAnsi="Times New Roman"/>
                <w:snapToGrid w:val="0"/>
                <w:kern w:val="0"/>
              </w:rPr>
              <w:t>农村</w:t>
            </w:r>
          </w:p>
        </w:tc>
        <w:tc>
          <w:tcPr>
            <w:tcW w:w="2832" w:type="dxa"/>
            <w:tcBorders>
              <w:left w:val="single" w:sz="2" w:space="0" w:color="auto"/>
            </w:tcBorders>
            <w:vAlign w:val="center"/>
          </w:tcPr>
          <w:p w:rsidR="0090482F" w:rsidRPr="00FC1444" w:rsidRDefault="0090482F" w:rsidP="003C5F8B">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东至农田，南至农田及国道，西至农田，北至农田及村道</w:t>
            </w:r>
          </w:p>
        </w:tc>
        <w:tc>
          <w:tcPr>
            <w:tcW w:w="590" w:type="dxa"/>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r w:rsidRPr="00FC1444">
              <w:rPr>
                <w:rFonts w:eastAsiaTheme="minorEastAsia"/>
                <w:snapToGrid w:val="0"/>
                <w:kern w:val="0"/>
                <w:szCs w:val="21"/>
              </w:rPr>
              <w:t>居民</w:t>
            </w:r>
          </w:p>
        </w:tc>
        <w:tc>
          <w:tcPr>
            <w:tcW w:w="1350" w:type="dxa"/>
            <w:tcBorders>
              <w:left w:val="single" w:sz="2" w:space="0" w:color="auto"/>
            </w:tcBorders>
            <w:vAlign w:val="center"/>
          </w:tcPr>
          <w:p w:rsidR="0090482F" w:rsidRPr="00FC1444" w:rsidRDefault="0090482F">
            <w:pPr>
              <w:spacing w:line="0" w:lineRule="atLeast"/>
              <w:contextualSpacing/>
              <w:jc w:val="center"/>
              <w:rPr>
                <w:rFonts w:eastAsiaTheme="minorEastAsia"/>
                <w:snapToGrid w:val="0"/>
                <w:kern w:val="0"/>
                <w:szCs w:val="21"/>
              </w:rPr>
            </w:pPr>
            <w:r w:rsidRPr="00FC1444">
              <w:rPr>
                <w:rFonts w:eastAsiaTheme="minorEastAsia"/>
                <w:snapToGrid w:val="0"/>
                <w:kern w:val="0"/>
                <w:szCs w:val="21"/>
              </w:rPr>
              <w:t>《环境空气质量标准》（</w:t>
            </w:r>
            <w:r w:rsidRPr="00FC1444">
              <w:rPr>
                <w:rFonts w:eastAsiaTheme="minorEastAsia"/>
                <w:snapToGrid w:val="0"/>
                <w:kern w:val="0"/>
                <w:szCs w:val="21"/>
              </w:rPr>
              <w:t>GB3095-2026</w:t>
            </w:r>
            <w:r w:rsidRPr="00FC1444">
              <w:rPr>
                <w:rFonts w:eastAsiaTheme="minorEastAsia"/>
                <w:snapToGrid w:val="0"/>
                <w:kern w:val="0"/>
                <w:szCs w:val="21"/>
              </w:rPr>
              <w:t>）二级标准；</w:t>
            </w:r>
            <w:r w:rsidRPr="00FC1444">
              <w:rPr>
                <w:rFonts w:eastAsiaTheme="minorEastAsia"/>
                <w:kern w:val="0"/>
                <w:szCs w:val="21"/>
              </w:rPr>
              <w:t>《声环境质量标准》（</w:t>
            </w:r>
            <w:r w:rsidRPr="00FC1444">
              <w:rPr>
                <w:rFonts w:eastAsiaTheme="minorEastAsia"/>
                <w:kern w:val="0"/>
                <w:szCs w:val="21"/>
              </w:rPr>
              <w:t>GB3096-2008</w:t>
            </w:r>
            <w:r w:rsidRPr="00FC1444">
              <w:rPr>
                <w:rFonts w:eastAsiaTheme="minorEastAsia"/>
                <w:kern w:val="0"/>
                <w:szCs w:val="21"/>
              </w:rPr>
              <w:t>）</w:t>
            </w:r>
            <w:r w:rsidRPr="00FC1444">
              <w:rPr>
                <w:rFonts w:eastAsiaTheme="minorEastAsia"/>
                <w:kern w:val="0"/>
                <w:szCs w:val="21"/>
              </w:rPr>
              <w:t>2</w:t>
            </w:r>
            <w:r w:rsidRPr="00FC1444">
              <w:rPr>
                <w:rFonts w:eastAsiaTheme="minorEastAsia"/>
                <w:kern w:val="0"/>
                <w:szCs w:val="21"/>
              </w:rPr>
              <w:t>类</w:t>
            </w:r>
          </w:p>
        </w:tc>
      </w:tr>
    </w:tbl>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本项目地下水评价区域涉及</w:t>
      </w:r>
      <w:r w:rsidR="00995179" w:rsidRPr="00FC1444">
        <w:rPr>
          <w:rFonts w:eastAsiaTheme="minorEastAsia" w:hint="eastAsia"/>
          <w:sz w:val="24"/>
        </w:rPr>
        <w:t>胜利二村（刘海楼）</w:t>
      </w:r>
      <w:r w:rsidRPr="00FC1444">
        <w:rPr>
          <w:rFonts w:eastAsiaTheme="minorEastAsia"/>
          <w:sz w:val="24"/>
        </w:rPr>
        <w:t>饮用水水源地、</w:t>
      </w:r>
      <w:r w:rsidR="00995179" w:rsidRPr="00FC1444">
        <w:rPr>
          <w:rFonts w:eastAsiaTheme="minorEastAsia" w:hint="eastAsia"/>
          <w:sz w:val="24"/>
        </w:rPr>
        <w:t>胜利三</w:t>
      </w:r>
      <w:r w:rsidR="00995179" w:rsidRPr="00FC1444">
        <w:rPr>
          <w:rFonts w:eastAsiaTheme="minorEastAsia"/>
          <w:sz w:val="24"/>
        </w:rPr>
        <w:t>饮用水水源地</w:t>
      </w:r>
      <w:r w:rsidRPr="00FC1444">
        <w:rPr>
          <w:rFonts w:eastAsiaTheme="minorEastAsia"/>
          <w:sz w:val="24"/>
        </w:rPr>
        <w:t>、</w:t>
      </w:r>
      <w:r w:rsidR="00995179" w:rsidRPr="00FC1444">
        <w:rPr>
          <w:rFonts w:eastAsiaTheme="minorEastAsia" w:hint="eastAsia"/>
          <w:sz w:val="24"/>
        </w:rPr>
        <w:t>胜利四村正白四屯</w:t>
      </w:r>
      <w:r w:rsidR="00995179" w:rsidRPr="00FC1444">
        <w:rPr>
          <w:rFonts w:eastAsiaTheme="minorEastAsia"/>
          <w:sz w:val="24"/>
        </w:rPr>
        <w:t>饮用水水源地</w:t>
      </w:r>
      <w:r w:rsidRPr="00FC1444">
        <w:rPr>
          <w:rFonts w:eastAsiaTheme="minorEastAsia"/>
          <w:sz w:val="24"/>
        </w:rPr>
        <w:t>、</w:t>
      </w:r>
      <w:r w:rsidR="00995179" w:rsidRPr="00FC1444">
        <w:rPr>
          <w:rFonts w:eastAsiaTheme="minorEastAsia" w:hint="eastAsia"/>
          <w:sz w:val="24"/>
        </w:rPr>
        <w:t>胜利二村正白二屯</w:t>
      </w:r>
      <w:r w:rsidR="00995179" w:rsidRPr="00FC1444">
        <w:rPr>
          <w:rFonts w:eastAsiaTheme="minorEastAsia"/>
          <w:sz w:val="24"/>
        </w:rPr>
        <w:t>饮用水水源地、</w:t>
      </w:r>
      <w:r w:rsidR="00995179" w:rsidRPr="00FC1444">
        <w:rPr>
          <w:rFonts w:eastAsiaTheme="minorEastAsia" w:hint="eastAsia"/>
          <w:sz w:val="24"/>
        </w:rPr>
        <w:t>津河镇</w:t>
      </w:r>
      <w:r w:rsidR="00995179" w:rsidRPr="00FC1444">
        <w:rPr>
          <w:rFonts w:eastAsiaTheme="minorEastAsia"/>
          <w:sz w:val="24"/>
        </w:rPr>
        <w:t>饮用水水源地、</w:t>
      </w:r>
      <w:r w:rsidR="00995179" w:rsidRPr="00FC1444">
        <w:rPr>
          <w:rFonts w:eastAsiaTheme="minorEastAsia" w:hint="eastAsia"/>
          <w:sz w:val="24"/>
        </w:rPr>
        <w:t>津河镇（民胜村）</w:t>
      </w:r>
      <w:r w:rsidR="00995179" w:rsidRPr="00FC1444">
        <w:rPr>
          <w:rFonts w:eastAsiaTheme="minorEastAsia"/>
          <w:sz w:val="24"/>
        </w:rPr>
        <w:t>饮用水水源地、</w:t>
      </w:r>
      <w:r w:rsidR="00995179" w:rsidRPr="00FC1444">
        <w:rPr>
          <w:rFonts w:eastAsiaTheme="minorEastAsia" w:hint="eastAsia"/>
          <w:sz w:val="24"/>
        </w:rPr>
        <w:t>津河镇（果园村）</w:t>
      </w:r>
      <w:r w:rsidR="00995179" w:rsidRPr="00FC1444">
        <w:rPr>
          <w:rFonts w:eastAsiaTheme="minorEastAsia"/>
          <w:sz w:val="24"/>
        </w:rPr>
        <w:t>饮用水水源地、</w:t>
      </w:r>
      <w:r w:rsidR="00995179" w:rsidRPr="00FC1444">
        <w:rPr>
          <w:rFonts w:eastAsiaTheme="minorEastAsia" w:hint="eastAsia"/>
          <w:sz w:val="24"/>
        </w:rPr>
        <w:t>津河镇（靠河村）</w:t>
      </w:r>
      <w:r w:rsidR="00995179" w:rsidRPr="00FC1444">
        <w:rPr>
          <w:rFonts w:eastAsiaTheme="minorEastAsia"/>
          <w:sz w:val="24"/>
        </w:rPr>
        <w:t>饮用水水源地、</w:t>
      </w:r>
      <w:r w:rsidR="00995179" w:rsidRPr="00FC1444">
        <w:rPr>
          <w:rFonts w:eastAsiaTheme="minorEastAsia" w:hint="eastAsia"/>
          <w:sz w:val="24"/>
        </w:rPr>
        <w:t>津河镇（松林村）</w:t>
      </w:r>
      <w:r w:rsidR="00995179" w:rsidRPr="00FC1444">
        <w:rPr>
          <w:rFonts w:eastAsiaTheme="minorEastAsia"/>
          <w:sz w:val="24"/>
        </w:rPr>
        <w:t>饮用水水源地</w:t>
      </w:r>
      <w:r w:rsidRPr="00FC1444">
        <w:rPr>
          <w:rFonts w:eastAsiaTheme="minorEastAsia"/>
          <w:sz w:val="24"/>
        </w:rPr>
        <w:t>。水源地保护区范围为以水源井为圆心，</w:t>
      </w:r>
      <w:r w:rsidRPr="00FC1444">
        <w:rPr>
          <w:rFonts w:eastAsiaTheme="minorEastAsia"/>
          <w:sz w:val="24"/>
        </w:rPr>
        <w:t>30</w:t>
      </w:r>
      <w:r w:rsidRPr="00FC1444">
        <w:rPr>
          <w:rFonts w:eastAsiaTheme="minorEastAsia"/>
          <w:sz w:val="24"/>
        </w:rPr>
        <w:t>米为半径所围成的圆形区域，一级保护区面积</w:t>
      </w:r>
      <w:r w:rsidRPr="00FC1444">
        <w:rPr>
          <w:rFonts w:eastAsiaTheme="minorEastAsia"/>
          <w:sz w:val="24"/>
        </w:rPr>
        <w:t>2826</w:t>
      </w:r>
      <w:r w:rsidRPr="00FC1444">
        <w:rPr>
          <w:rFonts w:eastAsiaTheme="minorEastAsia"/>
          <w:sz w:val="24"/>
        </w:rPr>
        <w:t>平方米。不设二级保护区。</w:t>
      </w: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995179" w:rsidRPr="00FC1444" w:rsidRDefault="00995179">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4-4-2</w:t>
      </w:r>
      <w:r w:rsidRPr="00FC1444">
        <w:rPr>
          <w:rFonts w:eastAsiaTheme="minorEastAsia"/>
          <w:b/>
          <w:kern w:val="0"/>
          <w:szCs w:val="21"/>
        </w:rPr>
        <w:t>地下水环境保护目标调查表</w:t>
      </w:r>
    </w:p>
    <w:tbl>
      <w:tblPr>
        <w:tblStyle w:val="afc"/>
        <w:tblW w:w="8941" w:type="dxa"/>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Look w:val="04A0"/>
      </w:tblPr>
      <w:tblGrid>
        <w:gridCol w:w="1477"/>
        <w:gridCol w:w="657"/>
        <w:gridCol w:w="657"/>
        <w:gridCol w:w="787"/>
        <w:gridCol w:w="993"/>
        <w:gridCol w:w="567"/>
        <w:gridCol w:w="1592"/>
        <w:gridCol w:w="525"/>
        <w:gridCol w:w="920"/>
        <w:gridCol w:w="751"/>
        <w:gridCol w:w="15"/>
      </w:tblGrid>
      <w:tr w:rsidR="00A062ED" w:rsidRPr="00FC1444">
        <w:trPr>
          <w:trHeight w:val="643"/>
          <w:jc w:val="center"/>
        </w:trPr>
        <w:tc>
          <w:tcPr>
            <w:tcW w:w="1477" w:type="dxa"/>
            <w:vMerge w:val="restart"/>
            <w:vAlign w:val="center"/>
          </w:tcPr>
          <w:p w:rsidR="00A062ED" w:rsidRPr="00FC1444" w:rsidRDefault="00A062ED">
            <w:pPr>
              <w:spacing w:line="0" w:lineRule="atLeast"/>
              <w:contextualSpacing/>
              <w:jc w:val="center"/>
              <w:rPr>
                <w:rFonts w:eastAsiaTheme="minorEastAsia"/>
                <w:snapToGrid w:val="0"/>
                <w:kern w:val="0"/>
                <w:szCs w:val="21"/>
              </w:rPr>
            </w:pPr>
            <w:r w:rsidRPr="00FC1444">
              <w:rPr>
                <w:rFonts w:eastAsiaTheme="minorEastAsia"/>
                <w:snapToGrid w:val="0"/>
                <w:kern w:val="0"/>
                <w:szCs w:val="21"/>
              </w:rPr>
              <w:t>名称</w:t>
            </w:r>
          </w:p>
        </w:tc>
        <w:tc>
          <w:tcPr>
            <w:tcW w:w="1314" w:type="dxa"/>
            <w:gridSpan w:val="2"/>
            <w:vAlign w:val="center"/>
          </w:tcPr>
          <w:p w:rsidR="00A062ED" w:rsidRPr="00FC1444" w:rsidRDefault="00A062ED">
            <w:pPr>
              <w:spacing w:line="0" w:lineRule="atLeast"/>
              <w:contextualSpacing/>
              <w:jc w:val="center"/>
              <w:rPr>
                <w:rFonts w:eastAsiaTheme="minorEastAsia"/>
                <w:kern w:val="0"/>
                <w:szCs w:val="21"/>
              </w:rPr>
            </w:pPr>
            <w:r w:rsidRPr="00FC1444">
              <w:rPr>
                <w:rFonts w:eastAsiaTheme="minorEastAsia"/>
                <w:snapToGrid w:val="0"/>
                <w:kern w:val="0"/>
                <w:szCs w:val="21"/>
              </w:rPr>
              <w:t>地理位置</w:t>
            </w:r>
          </w:p>
        </w:tc>
        <w:tc>
          <w:tcPr>
            <w:tcW w:w="787" w:type="dxa"/>
            <w:vMerge w:val="restart"/>
            <w:vAlign w:val="center"/>
          </w:tcPr>
          <w:p w:rsidR="00A062ED" w:rsidRPr="00FC1444" w:rsidRDefault="00A062ED">
            <w:pPr>
              <w:spacing w:line="0" w:lineRule="atLeast"/>
              <w:contextualSpacing/>
              <w:jc w:val="center"/>
              <w:rPr>
                <w:rFonts w:eastAsiaTheme="minorEastAsia"/>
                <w:kern w:val="0"/>
                <w:szCs w:val="21"/>
              </w:rPr>
            </w:pPr>
            <w:r w:rsidRPr="00FC1444">
              <w:rPr>
                <w:rFonts w:eastAsiaTheme="minorEastAsia"/>
                <w:kern w:val="0"/>
                <w:szCs w:val="21"/>
              </w:rPr>
              <w:t>供水人数（人）</w:t>
            </w:r>
          </w:p>
        </w:tc>
        <w:tc>
          <w:tcPr>
            <w:tcW w:w="993" w:type="dxa"/>
            <w:vMerge w:val="restart"/>
            <w:vAlign w:val="center"/>
          </w:tcPr>
          <w:p w:rsidR="00A062ED" w:rsidRPr="00FC1444" w:rsidRDefault="00A062ED">
            <w:pPr>
              <w:spacing w:line="0" w:lineRule="atLeast"/>
              <w:contextualSpacing/>
              <w:jc w:val="center"/>
              <w:rPr>
                <w:rFonts w:eastAsiaTheme="minorEastAsia"/>
                <w:kern w:val="0"/>
                <w:szCs w:val="21"/>
              </w:rPr>
            </w:pPr>
            <w:r w:rsidRPr="00FC1444">
              <w:rPr>
                <w:rFonts w:eastAsiaTheme="minorEastAsia"/>
                <w:kern w:val="0"/>
                <w:szCs w:val="21"/>
              </w:rPr>
              <w:t>供水规模（</w:t>
            </w:r>
            <w:r w:rsidRPr="00FC1444">
              <w:rPr>
                <w:rFonts w:eastAsiaTheme="minorEastAsia"/>
                <w:kern w:val="0"/>
                <w:szCs w:val="21"/>
              </w:rPr>
              <w:t>m</w:t>
            </w:r>
            <w:r w:rsidRPr="00FC1444">
              <w:rPr>
                <w:rFonts w:eastAsiaTheme="minorEastAsia"/>
                <w:kern w:val="0"/>
                <w:szCs w:val="21"/>
                <w:vertAlign w:val="superscript"/>
              </w:rPr>
              <w:t>3</w:t>
            </w:r>
            <w:r w:rsidRPr="00FC1444">
              <w:rPr>
                <w:rFonts w:eastAsiaTheme="minorEastAsia"/>
                <w:kern w:val="0"/>
                <w:szCs w:val="21"/>
              </w:rPr>
              <w:t>/d</w:t>
            </w:r>
            <w:r w:rsidRPr="00FC1444">
              <w:rPr>
                <w:rFonts w:eastAsiaTheme="minorEastAsia"/>
                <w:kern w:val="0"/>
                <w:szCs w:val="21"/>
              </w:rPr>
              <w:t>）</w:t>
            </w:r>
          </w:p>
        </w:tc>
        <w:tc>
          <w:tcPr>
            <w:tcW w:w="567" w:type="dxa"/>
            <w:vMerge w:val="restart"/>
            <w:tcBorders>
              <w:right w:val="single" w:sz="2" w:space="0" w:color="auto"/>
            </w:tcBorders>
            <w:vAlign w:val="center"/>
          </w:tcPr>
          <w:p w:rsidR="00A062ED" w:rsidRPr="00FC1444" w:rsidRDefault="00A062ED">
            <w:pPr>
              <w:spacing w:line="0" w:lineRule="atLeast"/>
              <w:contextualSpacing/>
              <w:jc w:val="center"/>
              <w:rPr>
                <w:rFonts w:eastAsiaTheme="minorEastAsia"/>
                <w:snapToGrid w:val="0"/>
                <w:kern w:val="0"/>
                <w:szCs w:val="21"/>
              </w:rPr>
            </w:pPr>
            <w:r w:rsidRPr="00FC1444">
              <w:rPr>
                <w:rFonts w:eastAsiaTheme="minorEastAsia"/>
                <w:kern w:val="0"/>
                <w:szCs w:val="21"/>
              </w:rPr>
              <w:t>服务功能</w:t>
            </w:r>
          </w:p>
        </w:tc>
        <w:tc>
          <w:tcPr>
            <w:tcW w:w="1592" w:type="dxa"/>
            <w:vMerge w:val="restart"/>
            <w:tcBorders>
              <w:left w:val="single" w:sz="2" w:space="0" w:color="auto"/>
            </w:tcBorders>
            <w:vAlign w:val="center"/>
          </w:tcPr>
          <w:p w:rsidR="00A062ED" w:rsidRPr="00FC1444" w:rsidRDefault="00A062ED">
            <w:pPr>
              <w:spacing w:line="0" w:lineRule="atLeast"/>
              <w:contextualSpacing/>
              <w:jc w:val="center"/>
              <w:rPr>
                <w:rFonts w:eastAsiaTheme="minorEastAsia"/>
                <w:snapToGrid w:val="0"/>
                <w:kern w:val="0"/>
                <w:szCs w:val="21"/>
              </w:rPr>
            </w:pPr>
            <w:r w:rsidRPr="00FC1444">
              <w:rPr>
                <w:rFonts w:eastAsiaTheme="minorEastAsia"/>
                <w:kern w:val="0"/>
                <w:szCs w:val="21"/>
              </w:rPr>
              <w:t>四至范围</w:t>
            </w:r>
          </w:p>
        </w:tc>
        <w:tc>
          <w:tcPr>
            <w:tcW w:w="1445" w:type="dxa"/>
            <w:gridSpan w:val="2"/>
            <w:vMerge w:val="restart"/>
            <w:tcBorders>
              <w:left w:val="single" w:sz="2" w:space="0" w:color="auto"/>
              <w:right w:val="single" w:sz="2" w:space="0" w:color="auto"/>
            </w:tcBorders>
            <w:vAlign w:val="center"/>
          </w:tcPr>
          <w:p w:rsidR="00A062ED" w:rsidRPr="00FC1444" w:rsidRDefault="00A062ED">
            <w:pPr>
              <w:spacing w:line="0" w:lineRule="atLeast"/>
              <w:contextualSpacing/>
              <w:jc w:val="center"/>
              <w:rPr>
                <w:rFonts w:eastAsiaTheme="minorEastAsia"/>
                <w:snapToGrid w:val="0"/>
                <w:kern w:val="0"/>
                <w:szCs w:val="21"/>
              </w:rPr>
            </w:pPr>
            <w:r w:rsidRPr="00FC1444">
              <w:rPr>
                <w:rFonts w:eastAsiaTheme="minorEastAsia"/>
                <w:snapToGrid w:val="0"/>
                <w:kern w:val="0"/>
                <w:szCs w:val="21"/>
              </w:rPr>
              <w:t>保护对象</w:t>
            </w:r>
          </w:p>
        </w:tc>
        <w:tc>
          <w:tcPr>
            <w:tcW w:w="766" w:type="dxa"/>
            <w:gridSpan w:val="2"/>
            <w:vMerge w:val="restart"/>
            <w:tcBorders>
              <w:left w:val="single" w:sz="2" w:space="0" w:color="auto"/>
            </w:tcBorders>
            <w:vAlign w:val="center"/>
          </w:tcPr>
          <w:p w:rsidR="00A062ED" w:rsidRPr="00FC1444" w:rsidRDefault="00A062ED">
            <w:pPr>
              <w:spacing w:line="0" w:lineRule="atLeast"/>
              <w:contextualSpacing/>
              <w:jc w:val="center"/>
              <w:rPr>
                <w:rFonts w:eastAsiaTheme="minorEastAsia"/>
                <w:snapToGrid w:val="0"/>
                <w:kern w:val="0"/>
                <w:szCs w:val="21"/>
              </w:rPr>
            </w:pPr>
            <w:r w:rsidRPr="00FC1444">
              <w:rPr>
                <w:rFonts w:eastAsiaTheme="minorEastAsia"/>
                <w:snapToGrid w:val="0"/>
                <w:kern w:val="0"/>
                <w:szCs w:val="21"/>
              </w:rPr>
              <w:t>保护要求</w:t>
            </w:r>
          </w:p>
        </w:tc>
      </w:tr>
      <w:tr w:rsidR="00A062ED" w:rsidRPr="00FC1444">
        <w:trPr>
          <w:trHeight w:val="163"/>
          <w:jc w:val="center"/>
        </w:trPr>
        <w:tc>
          <w:tcPr>
            <w:tcW w:w="1477" w:type="dxa"/>
            <w:vMerge/>
            <w:vAlign w:val="center"/>
          </w:tcPr>
          <w:p w:rsidR="00A062ED" w:rsidRPr="00FC1444" w:rsidRDefault="00A062ED">
            <w:pPr>
              <w:spacing w:line="0" w:lineRule="atLeast"/>
              <w:contextualSpacing/>
              <w:jc w:val="center"/>
              <w:rPr>
                <w:rFonts w:eastAsiaTheme="minorEastAsia"/>
                <w:snapToGrid w:val="0"/>
                <w:kern w:val="0"/>
                <w:szCs w:val="21"/>
              </w:rPr>
            </w:pPr>
          </w:p>
        </w:tc>
        <w:tc>
          <w:tcPr>
            <w:tcW w:w="657" w:type="dxa"/>
            <w:vAlign w:val="center"/>
          </w:tcPr>
          <w:p w:rsidR="00A062ED" w:rsidRPr="00FC1444" w:rsidRDefault="00A062ED">
            <w:pPr>
              <w:pStyle w:val="aff7"/>
              <w:adjustRightInd w:val="0"/>
              <w:snapToGrid w:val="0"/>
              <w:spacing w:line="0" w:lineRule="atLeast"/>
              <w:rPr>
                <w:rFonts w:eastAsiaTheme="minorEastAsia" w:hAnsi="Times New Roman"/>
                <w:snapToGrid w:val="0"/>
                <w:kern w:val="0"/>
              </w:rPr>
            </w:pPr>
            <w:r w:rsidRPr="00FC1444">
              <w:rPr>
                <w:rFonts w:eastAsiaTheme="minorEastAsia" w:hAnsi="Times New Roman"/>
                <w:snapToGrid w:val="0"/>
                <w:kern w:val="0"/>
              </w:rPr>
              <w:t>东经</w:t>
            </w:r>
          </w:p>
        </w:tc>
        <w:tc>
          <w:tcPr>
            <w:tcW w:w="657" w:type="dxa"/>
            <w:vAlign w:val="center"/>
          </w:tcPr>
          <w:p w:rsidR="00A062ED" w:rsidRPr="00FC1444" w:rsidRDefault="00A062ED">
            <w:pPr>
              <w:spacing w:line="0" w:lineRule="atLeast"/>
              <w:contextualSpacing/>
              <w:jc w:val="center"/>
              <w:rPr>
                <w:rFonts w:eastAsiaTheme="minorEastAsia"/>
                <w:kern w:val="0"/>
                <w:szCs w:val="21"/>
              </w:rPr>
            </w:pPr>
            <w:r w:rsidRPr="00FC1444">
              <w:rPr>
                <w:rFonts w:eastAsiaTheme="minorEastAsia"/>
                <w:snapToGrid w:val="0"/>
                <w:kern w:val="0"/>
                <w:szCs w:val="21"/>
              </w:rPr>
              <w:t>北纬</w:t>
            </w:r>
          </w:p>
        </w:tc>
        <w:tc>
          <w:tcPr>
            <w:tcW w:w="787" w:type="dxa"/>
            <w:vMerge/>
            <w:vAlign w:val="center"/>
          </w:tcPr>
          <w:p w:rsidR="00A062ED" w:rsidRPr="00FC1444" w:rsidRDefault="00A062ED">
            <w:pPr>
              <w:spacing w:line="0" w:lineRule="atLeast"/>
              <w:contextualSpacing/>
              <w:jc w:val="center"/>
              <w:rPr>
                <w:rFonts w:eastAsiaTheme="minorEastAsia"/>
                <w:kern w:val="0"/>
                <w:szCs w:val="21"/>
              </w:rPr>
            </w:pPr>
          </w:p>
        </w:tc>
        <w:tc>
          <w:tcPr>
            <w:tcW w:w="993" w:type="dxa"/>
            <w:vMerge/>
            <w:vAlign w:val="center"/>
          </w:tcPr>
          <w:p w:rsidR="00A062ED" w:rsidRPr="00FC1444" w:rsidRDefault="00A062ED">
            <w:pPr>
              <w:spacing w:line="0" w:lineRule="atLeast"/>
              <w:contextualSpacing/>
              <w:jc w:val="center"/>
              <w:rPr>
                <w:rFonts w:eastAsiaTheme="minorEastAsia"/>
                <w:kern w:val="0"/>
                <w:szCs w:val="21"/>
              </w:rPr>
            </w:pPr>
          </w:p>
        </w:tc>
        <w:tc>
          <w:tcPr>
            <w:tcW w:w="567" w:type="dxa"/>
            <w:vMerge/>
            <w:tcBorders>
              <w:right w:val="single" w:sz="2" w:space="0" w:color="auto"/>
            </w:tcBorders>
            <w:vAlign w:val="center"/>
          </w:tcPr>
          <w:p w:rsidR="00A062ED" w:rsidRPr="00FC1444" w:rsidRDefault="00A062ED">
            <w:pPr>
              <w:spacing w:line="0" w:lineRule="atLeast"/>
              <w:contextualSpacing/>
              <w:jc w:val="center"/>
              <w:rPr>
                <w:rFonts w:eastAsiaTheme="minorEastAsia"/>
                <w:kern w:val="0"/>
                <w:szCs w:val="21"/>
              </w:rPr>
            </w:pPr>
          </w:p>
        </w:tc>
        <w:tc>
          <w:tcPr>
            <w:tcW w:w="1592" w:type="dxa"/>
            <w:vMerge/>
            <w:tcBorders>
              <w:left w:val="single" w:sz="2" w:space="0" w:color="auto"/>
            </w:tcBorders>
            <w:vAlign w:val="center"/>
          </w:tcPr>
          <w:p w:rsidR="00A062ED" w:rsidRPr="00FC1444" w:rsidRDefault="00A062ED">
            <w:pPr>
              <w:spacing w:line="0" w:lineRule="atLeast"/>
              <w:contextualSpacing/>
              <w:jc w:val="center"/>
              <w:rPr>
                <w:rFonts w:eastAsiaTheme="minorEastAsia"/>
                <w:kern w:val="0"/>
                <w:szCs w:val="21"/>
              </w:rPr>
            </w:pPr>
          </w:p>
        </w:tc>
        <w:tc>
          <w:tcPr>
            <w:tcW w:w="1445" w:type="dxa"/>
            <w:gridSpan w:val="2"/>
            <w:vMerge/>
            <w:tcBorders>
              <w:left w:val="single" w:sz="2" w:space="0" w:color="auto"/>
              <w:right w:val="single" w:sz="2" w:space="0" w:color="auto"/>
            </w:tcBorders>
            <w:vAlign w:val="center"/>
          </w:tcPr>
          <w:p w:rsidR="00A062ED" w:rsidRPr="00FC1444" w:rsidRDefault="00A062ED">
            <w:pPr>
              <w:spacing w:line="0" w:lineRule="atLeast"/>
              <w:contextualSpacing/>
              <w:jc w:val="center"/>
              <w:rPr>
                <w:rFonts w:eastAsiaTheme="minorEastAsia"/>
                <w:snapToGrid w:val="0"/>
                <w:kern w:val="0"/>
                <w:szCs w:val="21"/>
              </w:rPr>
            </w:pPr>
          </w:p>
        </w:tc>
        <w:tc>
          <w:tcPr>
            <w:tcW w:w="766" w:type="dxa"/>
            <w:gridSpan w:val="2"/>
            <w:vMerge/>
            <w:tcBorders>
              <w:left w:val="single" w:sz="2" w:space="0" w:color="auto"/>
            </w:tcBorders>
            <w:vAlign w:val="center"/>
          </w:tcPr>
          <w:p w:rsidR="00A062ED" w:rsidRPr="00FC1444" w:rsidRDefault="00A062ED">
            <w:pPr>
              <w:spacing w:line="0" w:lineRule="atLeast"/>
              <w:contextualSpacing/>
              <w:jc w:val="center"/>
              <w:rPr>
                <w:rFonts w:eastAsiaTheme="minorEastAsia"/>
                <w:snapToGrid w:val="0"/>
                <w:kern w:val="0"/>
                <w:szCs w:val="21"/>
              </w:rPr>
            </w:pPr>
          </w:p>
        </w:tc>
      </w:tr>
      <w:tr w:rsidR="00995179" w:rsidRPr="00FC1444">
        <w:trPr>
          <w:gridAfter w:val="1"/>
          <w:wAfter w:w="15" w:type="dxa"/>
          <w:trHeight w:val="635"/>
          <w:jc w:val="center"/>
        </w:trPr>
        <w:tc>
          <w:tcPr>
            <w:tcW w:w="1477" w:type="dxa"/>
            <w:vAlign w:val="center"/>
          </w:tcPr>
          <w:p w:rsidR="00995179" w:rsidRPr="00FC1444" w:rsidRDefault="00995179" w:rsidP="006C3D69">
            <w:pPr>
              <w:jc w:val="center"/>
              <w:rPr>
                <w:rFonts w:eastAsiaTheme="minorEastAsia"/>
                <w:szCs w:val="21"/>
              </w:rPr>
            </w:pPr>
            <w:r w:rsidRPr="00FC1444">
              <w:rPr>
                <w:rFonts w:eastAsiaTheme="minorEastAsia" w:hint="eastAsia"/>
                <w:szCs w:val="21"/>
              </w:rPr>
              <w:t>胜利二村（刘海楼）饮水水源井</w:t>
            </w:r>
            <w:r w:rsidRPr="00FC1444">
              <w:rPr>
                <w:rFonts w:eastAsiaTheme="minorEastAsia"/>
              </w:rPr>
              <w:t>（井深</w:t>
            </w:r>
            <w:r w:rsidRPr="00FC1444">
              <w:rPr>
                <w:rFonts w:eastAsiaTheme="minorEastAsia" w:hint="eastAsia"/>
              </w:rPr>
              <w:t>128</w:t>
            </w:r>
            <w:r w:rsidRPr="00FC1444">
              <w:rPr>
                <w:rFonts w:eastAsiaTheme="minorEastAsia"/>
              </w:rPr>
              <w:t>m</w:t>
            </w:r>
            <w:r w:rsidRPr="00FC1444">
              <w:rPr>
                <w:rFonts w:eastAsiaTheme="minorEastAsia"/>
              </w:rPr>
              <w:t>）</w:t>
            </w:r>
          </w:p>
        </w:tc>
        <w:tc>
          <w:tcPr>
            <w:tcW w:w="657" w:type="dxa"/>
            <w:vAlign w:val="center"/>
          </w:tcPr>
          <w:p w:rsidR="00995179" w:rsidRPr="00FC1444" w:rsidRDefault="00995179" w:rsidP="00995179">
            <w:pPr>
              <w:jc w:val="center"/>
              <w:rPr>
                <w:rFonts w:eastAsiaTheme="minorEastAsia"/>
                <w:szCs w:val="21"/>
              </w:rPr>
            </w:pPr>
            <w:r w:rsidRPr="00FC1444">
              <w:rPr>
                <w:rFonts w:eastAsiaTheme="minorEastAsia"/>
                <w:szCs w:val="21"/>
              </w:rPr>
              <w:t>126.5015907</w:t>
            </w:r>
          </w:p>
        </w:tc>
        <w:tc>
          <w:tcPr>
            <w:tcW w:w="657" w:type="dxa"/>
            <w:vAlign w:val="center"/>
          </w:tcPr>
          <w:p w:rsidR="00995179" w:rsidRPr="00FC1444" w:rsidRDefault="00995179">
            <w:pPr>
              <w:spacing w:line="0" w:lineRule="atLeast"/>
              <w:jc w:val="center"/>
              <w:rPr>
                <w:rFonts w:eastAsiaTheme="minorEastAsia"/>
                <w:kern w:val="0"/>
                <w:szCs w:val="21"/>
              </w:rPr>
            </w:pPr>
            <w:r w:rsidRPr="00FC1444">
              <w:rPr>
                <w:rFonts w:eastAsiaTheme="minorEastAsia"/>
                <w:szCs w:val="21"/>
              </w:rPr>
              <w:t>46.312732</w:t>
            </w:r>
          </w:p>
        </w:tc>
        <w:tc>
          <w:tcPr>
            <w:tcW w:w="787" w:type="dxa"/>
            <w:vAlign w:val="center"/>
          </w:tcPr>
          <w:p w:rsidR="00995179" w:rsidRPr="00FC1444" w:rsidRDefault="00995179" w:rsidP="006C3D69">
            <w:pPr>
              <w:jc w:val="center"/>
              <w:rPr>
                <w:rFonts w:eastAsiaTheme="minorEastAsia"/>
              </w:rPr>
            </w:pPr>
            <w:r w:rsidRPr="00FC1444">
              <w:rPr>
                <w:rFonts w:eastAsiaTheme="minorEastAsia"/>
                <w:szCs w:val="21"/>
              </w:rPr>
              <w:t>供水人数</w:t>
            </w:r>
            <w:r w:rsidRPr="00FC1444">
              <w:rPr>
                <w:rFonts w:eastAsiaTheme="minorEastAsia" w:hint="eastAsia"/>
                <w:szCs w:val="21"/>
              </w:rPr>
              <w:t>5200</w:t>
            </w:r>
            <w:r w:rsidRPr="00FC1444">
              <w:rPr>
                <w:rFonts w:eastAsiaTheme="minorEastAsia"/>
                <w:szCs w:val="21"/>
              </w:rPr>
              <w:t>人</w:t>
            </w:r>
          </w:p>
        </w:tc>
        <w:tc>
          <w:tcPr>
            <w:tcW w:w="993" w:type="dxa"/>
            <w:vAlign w:val="center"/>
          </w:tcPr>
          <w:p w:rsidR="00995179" w:rsidRPr="00FC1444" w:rsidRDefault="00995179" w:rsidP="006C3D69">
            <w:pPr>
              <w:jc w:val="center"/>
              <w:rPr>
                <w:rFonts w:eastAsiaTheme="minorEastAsia"/>
                <w:szCs w:val="21"/>
              </w:rPr>
            </w:pPr>
            <w:r w:rsidRPr="00FC1444">
              <w:rPr>
                <w:rFonts w:eastAsiaTheme="minorEastAsia"/>
                <w:szCs w:val="21"/>
              </w:rPr>
              <w:t>供水规模</w:t>
            </w:r>
            <w:r w:rsidRPr="00FC1444">
              <w:rPr>
                <w:rFonts w:eastAsiaTheme="minorEastAsia" w:hint="eastAsia"/>
                <w:szCs w:val="21"/>
              </w:rPr>
              <w:t>9</w:t>
            </w:r>
            <w:r w:rsidRPr="00FC1444">
              <w:rPr>
                <w:rFonts w:eastAsiaTheme="minorEastAsia"/>
                <w:szCs w:val="21"/>
              </w:rPr>
              <w:t>0m³/d</w:t>
            </w:r>
          </w:p>
        </w:tc>
        <w:tc>
          <w:tcPr>
            <w:tcW w:w="567" w:type="dxa"/>
            <w:vMerge w:val="restart"/>
            <w:tcBorders>
              <w:right w:val="single" w:sz="2" w:space="0" w:color="auto"/>
            </w:tcBorders>
            <w:vAlign w:val="center"/>
          </w:tcPr>
          <w:p w:rsidR="00995179" w:rsidRPr="00FC1444" w:rsidRDefault="00995179">
            <w:pPr>
              <w:pStyle w:val="aff7"/>
              <w:spacing w:line="0" w:lineRule="atLeast"/>
              <w:contextualSpacing/>
              <w:rPr>
                <w:rFonts w:eastAsiaTheme="minorEastAsia" w:hAnsi="Times New Roman"/>
                <w:snapToGrid w:val="0"/>
                <w:kern w:val="0"/>
              </w:rPr>
            </w:pPr>
            <w:r w:rsidRPr="00FC1444">
              <w:rPr>
                <w:rFonts w:eastAsiaTheme="minorEastAsia" w:hAnsi="Times New Roman"/>
                <w:snapToGrid w:val="0"/>
                <w:kern w:val="0"/>
              </w:rPr>
              <w:t>供水</w:t>
            </w:r>
          </w:p>
        </w:tc>
        <w:tc>
          <w:tcPr>
            <w:tcW w:w="1592" w:type="dxa"/>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东至农田，南至树林，西至农田，北至农田</w:t>
            </w:r>
          </w:p>
        </w:tc>
        <w:tc>
          <w:tcPr>
            <w:tcW w:w="525" w:type="dxa"/>
            <w:vMerge w:val="restart"/>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r w:rsidRPr="00FC1444">
              <w:rPr>
                <w:rFonts w:eastAsiaTheme="minorEastAsia"/>
                <w:snapToGrid w:val="0"/>
                <w:kern w:val="0"/>
                <w:szCs w:val="21"/>
              </w:rPr>
              <w:t>地下水</w:t>
            </w:r>
          </w:p>
        </w:tc>
        <w:tc>
          <w:tcPr>
            <w:tcW w:w="920" w:type="dxa"/>
            <w:tcBorders>
              <w:left w:val="single" w:sz="2" w:space="0" w:color="auto"/>
              <w:righ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r w:rsidRPr="00FC1444">
              <w:rPr>
                <w:rFonts w:eastAsiaTheme="minorEastAsia"/>
                <w:kern w:val="0"/>
                <w:szCs w:val="21"/>
              </w:rPr>
              <w:t>一级保护区（</w:t>
            </w:r>
            <w:r w:rsidRPr="00FC1444">
              <w:rPr>
                <w:rFonts w:eastAsiaTheme="minorEastAsia"/>
                <w:kern w:val="0"/>
                <w:szCs w:val="21"/>
              </w:rPr>
              <w:t>30m</w:t>
            </w:r>
            <w:r w:rsidRPr="00FC1444">
              <w:rPr>
                <w:rFonts w:eastAsiaTheme="minorEastAsia"/>
                <w:kern w:val="0"/>
                <w:szCs w:val="21"/>
              </w:rPr>
              <w:t>）</w:t>
            </w:r>
          </w:p>
        </w:tc>
        <w:tc>
          <w:tcPr>
            <w:tcW w:w="751" w:type="dxa"/>
            <w:vMerge w:val="restart"/>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r w:rsidRPr="00FC1444">
              <w:rPr>
                <w:rFonts w:eastAsiaTheme="minorEastAsia"/>
                <w:snapToGrid w:val="0"/>
                <w:kern w:val="0"/>
                <w:szCs w:val="21"/>
              </w:rPr>
              <w:t>《地下水质量标准》（</w:t>
            </w:r>
            <w:r w:rsidRPr="00FC1444">
              <w:rPr>
                <w:rFonts w:eastAsiaTheme="minorEastAsia"/>
                <w:snapToGrid w:val="0"/>
                <w:kern w:val="0"/>
                <w:szCs w:val="21"/>
              </w:rPr>
              <w:t>GB/T14848-2017</w:t>
            </w:r>
            <w:r w:rsidRPr="00FC1444">
              <w:rPr>
                <w:rFonts w:eastAsiaTheme="minorEastAsia"/>
                <w:snapToGrid w:val="0"/>
                <w:kern w:val="0"/>
                <w:szCs w:val="21"/>
              </w:rPr>
              <w:t>）</w:t>
            </w:r>
            <w:r w:rsidRPr="00FC1444">
              <w:rPr>
                <w:rFonts w:eastAsiaTheme="minorEastAsia"/>
                <w:snapToGrid w:val="0"/>
                <w:kern w:val="0"/>
                <w:szCs w:val="21"/>
              </w:rPr>
              <w:t xml:space="preserve">III </w:t>
            </w:r>
            <w:r w:rsidRPr="00FC1444">
              <w:rPr>
                <w:rFonts w:eastAsiaTheme="minorEastAsia"/>
                <w:snapToGrid w:val="0"/>
                <w:kern w:val="0"/>
                <w:szCs w:val="21"/>
              </w:rPr>
              <w:t>类标准</w:t>
            </w:r>
          </w:p>
        </w:tc>
      </w:tr>
      <w:tr w:rsidR="00995179" w:rsidRPr="00FC1444">
        <w:trPr>
          <w:gridAfter w:val="1"/>
          <w:wAfter w:w="15" w:type="dxa"/>
          <w:trHeight w:val="635"/>
          <w:jc w:val="center"/>
        </w:trPr>
        <w:tc>
          <w:tcPr>
            <w:tcW w:w="1477" w:type="dxa"/>
            <w:vAlign w:val="center"/>
          </w:tcPr>
          <w:p w:rsidR="00995179" w:rsidRPr="00FC1444" w:rsidRDefault="00995179" w:rsidP="006C3D69">
            <w:pPr>
              <w:jc w:val="center"/>
              <w:rPr>
                <w:rFonts w:eastAsiaTheme="minorEastAsia"/>
                <w:szCs w:val="21"/>
              </w:rPr>
            </w:pPr>
            <w:r w:rsidRPr="00FC1444">
              <w:rPr>
                <w:rFonts w:eastAsiaTheme="minorEastAsia" w:hint="eastAsia"/>
                <w:szCs w:val="21"/>
              </w:rPr>
              <w:t>胜利三饮用水源井</w:t>
            </w:r>
            <w:r w:rsidRPr="00FC1444">
              <w:rPr>
                <w:rFonts w:eastAsiaTheme="minorEastAsia"/>
              </w:rPr>
              <w:t>（井深</w:t>
            </w:r>
            <w:r w:rsidRPr="00FC1444">
              <w:rPr>
                <w:rFonts w:eastAsiaTheme="minorEastAsia" w:hint="eastAsia"/>
              </w:rPr>
              <w:t>12</w:t>
            </w:r>
            <w:r w:rsidRPr="00FC1444">
              <w:rPr>
                <w:rFonts w:eastAsiaTheme="minorEastAsia"/>
              </w:rPr>
              <w:t>0m</w:t>
            </w:r>
            <w:r w:rsidRPr="00FC1444">
              <w:rPr>
                <w:rFonts w:eastAsiaTheme="minorEastAsia"/>
              </w:rPr>
              <w:t>）</w:t>
            </w:r>
          </w:p>
        </w:tc>
        <w:tc>
          <w:tcPr>
            <w:tcW w:w="657" w:type="dxa"/>
            <w:vAlign w:val="center"/>
          </w:tcPr>
          <w:p w:rsidR="00995179" w:rsidRPr="00FC1444" w:rsidRDefault="00995179" w:rsidP="00995179">
            <w:pPr>
              <w:jc w:val="center"/>
              <w:rPr>
                <w:rFonts w:eastAsiaTheme="minorEastAsia"/>
                <w:szCs w:val="21"/>
              </w:rPr>
            </w:pPr>
            <w:r w:rsidRPr="00FC1444">
              <w:rPr>
                <w:rFonts w:eastAsiaTheme="minorEastAsia"/>
                <w:szCs w:val="21"/>
              </w:rPr>
              <w:t>126.4616351</w:t>
            </w:r>
          </w:p>
        </w:tc>
        <w:tc>
          <w:tcPr>
            <w:tcW w:w="657" w:type="dxa"/>
            <w:vAlign w:val="center"/>
          </w:tcPr>
          <w:p w:rsidR="00995179" w:rsidRPr="00FC1444" w:rsidRDefault="00995179">
            <w:pPr>
              <w:spacing w:line="0" w:lineRule="atLeast"/>
              <w:jc w:val="center"/>
              <w:rPr>
                <w:rFonts w:eastAsiaTheme="minorEastAsia"/>
                <w:kern w:val="0"/>
                <w:szCs w:val="21"/>
              </w:rPr>
            </w:pPr>
            <w:r w:rsidRPr="00FC1444">
              <w:rPr>
                <w:rFonts w:eastAsiaTheme="minorEastAsia"/>
                <w:szCs w:val="21"/>
              </w:rPr>
              <w:t>46.321523</w:t>
            </w:r>
          </w:p>
        </w:tc>
        <w:tc>
          <w:tcPr>
            <w:tcW w:w="787" w:type="dxa"/>
            <w:vAlign w:val="center"/>
          </w:tcPr>
          <w:p w:rsidR="00995179" w:rsidRPr="00FC1444" w:rsidRDefault="00995179" w:rsidP="006C3D69">
            <w:pPr>
              <w:jc w:val="center"/>
              <w:rPr>
                <w:rFonts w:eastAsiaTheme="minorEastAsia"/>
              </w:rPr>
            </w:pPr>
            <w:r w:rsidRPr="00FC1444">
              <w:rPr>
                <w:rFonts w:eastAsiaTheme="minorEastAsia"/>
                <w:szCs w:val="21"/>
              </w:rPr>
              <w:t>供水人数</w:t>
            </w:r>
            <w:r w:rsidRPr="00FC1444">
              <w:rPr>
                <w:rFonts w:eastAsiaTheme="minorEastAsia" w:hint="eastAsia"/>
                <w:szCs w:val="21"/>
              </w:rPr>
              <w:t>5500</w:t>
            </w:r>
            <w:r w:rsidRPr="00FC1444">
              <w:rPr>
                <w:rFonts w:eastAsiaTheme="minorEastAsia"/>
                <w:szCs w:val="21"/>
              </w:rPr>
              <w:t>人</w:t>
            </w:r>
          </w:p>
        </w:tc>
        <w:tc>
          <w:tcPr>
            <w:tcW w:w="993" w:type="dxa"/>
            <w:vAlign w:val="center"/>
          </w:tcPr>
          <w:p w:rsidR="00995179" w:rsidRPr="00FC1444" w:rsidRDefault="00995179" w:rsidP="006C3D69">
            <w:pPr>
              <w:jc w:val="center"/>
              <w:rPr>
                <w:rFonts w:eastAsiaTheme="minorEastAsia"/>
                <w:szCs w:val="21"/>
              </w:rPr>
            </w:pPr>
            <w:r w:rsidRPr="00FC1444">
              <w:rPr>
                <w:rFonts w:eastAsiaTheme="minorEastAsia"/>
                <w:szCs w:val="21"/>
              </w:rPr>
              <w:t>供水规模</w:t>
            </w:r>
            <w:r w:rsidRPr="00FC1444">
              <w:rPr>
                <w:rFonts w:eastAsiaTheme="minorEastAsia" w:hint="eastAsia"/>
                <w:szCs w:val="21"/>
              </w:rPr>
              <w:t>9</w:t>
            </w:r>
            <w:r w:rsidRPr="00FC1444">
              <w:rPr>
                <w:rFonts w:eastAsiaTheme="minorEastAsia"/>
                <w:szCs w:val="21"/>
              </w:rPr>
              <w:t>0m³/d</w:t>
            </w:r>
          </w:p>
        </w:tc>
        <w:tc>
          <w:tcPr>
            <w:tcW w:w="567" w:type="dxa"/>
            <w:vMerge/>
            <w:tcBorders>
              <w:right w:val="single" w:sz="2" w:space="0" w:color="auto"/>
            </w:tcBorders>
            <w:vAlign w:val="center"/>
          </w:tcPr>
          <w:p w:rsidR="00995179" w:rsidRPr="00FC1444"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东至空地，南至空地，西至空地，北至空地</w:t>
            </w:r>
          </w:p>
        </w:tc>
        <w:tc>
          <w:tcPr>
            <w:tcW w:w="525"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r w:rsidRPr="00FC1444">
              <w:rPr>
                <w:rFonts w:eastAsiaTheme="minorEastAsia"/>
                <w:kern w:val="0"/>
                <w:szCs w:val="21"/>
              </w:rPr>
              <w:t>一级保护区（</w:t>
            </w:r>
            <w:r w:rsidRPr="00FC1444">
              <w:rPr>
                <w:rFonts w:eastAsiaTheme="minorEastAsia"/>
                <w:kern w:val="0"/>
                <w:szCs w:val="21"/>
              </w:rPr>
              <w:t>30m</w:t>
            </w:r>
            <w:r w:rsidRPr="00FC1444">
              <w:rPr>
                <w:rFonts w:eastAsiaTheme="minorEastAsia"/>
                <w:kern w:val="0"/>
                <w:szCs w:val="21"/>
              </w:rPr>
              <w:t>）</w:t>
            </w:r>
          </w:p>
        </w:tc>
        <w:tc>
          <w:tcPr>
            <w:tcW w:w="751"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r>
      <w:tr w:rsidR="00995179" w:rsidRPr="00FC1444">
        <w:trPr>
          <w:gridAfter w:val="1"/>
          <w:wAfter w:w="15" w:type="dxa"/>
          <w:trHeight w:val="635"/>
          <w:jc w:val="center"/>
        </w:trPr>
        <w:tc>
          <w:tcPr>
            <w:tcW w:w="1477" w:type="dxa"/>
            <w:vAlign w:val="center"/>
          </w:tcPr>
          <w:p w:rsidR="00995179" w:rsidRPr="00FC1444" w:rsidRDefault="00995179" w:rsidP="006C3D69">
            <w:pPr>
              <w:jc w:val="center"/>
              <w:rPr>
                <w:rFonts w:eastAsiaTheme="minorEastAsia"/>
                <w:szCs w:val="21"/>
              </w:rPr>
            </w:pPr>
            <w:r w:rsidRPr="00FC1444">
              <w:rPr>
                <w:rFonts w:eastAsiaTheme="minorEastAsia" w:hint="eastAsia"/>
                <w:szCs w:val="21"/>
              </w:rPr>
              <w:t>胜利四村正白四屯饮用水源井</w:t>
            </w:r>
            <w:r w:rsidRPr="00FC1444">
              <w:rPr>
                <w:rFonts w:eastAsiaTheme="minorEastAsia"/>
                <w:szCs w:val="21"/>
              </w:rPr>
              <w:t>（</w:t>
            </w:r>
            <w:r w:rsidRPr="00FC1444">
              <w:rPr>
                <w:rFonts w:eastAsiaTheme="minorEastAsia"/>
              </w:rPr>
              <w:t>井深</w:t>
            </w:r>
            <w:r w:rsidRPr="00FC1444">
              <w:rPr>
                <w:rFonts w:eastAsiaTheme="minorEastAsia" w:hint="eastAsia"/>
              </w:rPr>
              <w:t>120</w:t>
            </w:r>
            <w:r w:rsidRPr="00FC1444">
              <w:rPr>
                <w:rFonts w:eastAsiaTheme="minorEastAsia"/>
              </w:rPr>
              <w:t>m</w:t>
            </w:r>
            <w:r w:rsidRPr="00FC1444">
              <w:rPr>
                <w:rFonts w:eastAsiaTheme="minorEastAsia"/>
                <w:szCs w:val="21"/>
              </w:rPr>
              <w:t>）</w:t>
            </w:r>
          </w:p>
        </w:tc>
        <w:tc>
          <w:tcPr>
            <w:tcW w:w="657" w:type="dxa"/>
            <w:vAlign w:val="center"/>
          </w:tcPr>
          <w:p w:rsidR="00995179" w:rsidRPr="00FC1444" w:rsidRDefault="00995179" w:rsidP="00995179">
            <w:pPr>
              <w:jc w:val="center"/>
              <w:rPr>
                <w:rFonts w:eastAsiaTheme="minorEastAsia"/>
                <w:szCs w:val="21"/>
              </w:rPr>
            </w:pPr>
            <w:r w:rsidRPr="00FC1444">
              <w:rPr>
                <w:rFonts w:eastAsiaTheme="minorEastAsia"/>
                <w:szCs w:val="21"/>
              </w:rPr>
              <w:t>126.4532193</w:t>
            </w:r>
          </w:p>
        </w:tc>
        <w:tc>
          <w:tcPr>
            <w:tcW w:w="657" w:type="dxa"/>
            <w:vAlign w:val="center"/>
          </w:tcPr>
          <w:p w:rsidR="00995179" w:rsidRPr="00FC1444" w:rsidRDefault="00995179">
            <w:pPr>
              <w:spacing w:line="0" w:lineRule="atLeast"/>
              <w:jc w:val="center"/>
              <w:rPr>
                <w:rFonts w:eastAsiaTheme="minorEastAsia"/>
                <w:kern w:val="0"/>
                <w:szCs w:val="21"/>
              </w:rPr>
            </w:pPr>
            <w:r w:rsidRPr="00FC1444">
              <w:rPr>
                <w:rFonts w:eastAsiaTheme="minorEastAsia"/>
                <w:szCs w:val="21"/>
              </w:rPr>
              <w:t>46.334224</w:t>
            </w:r>
          </w:p>
        </w:tc>
        <w:tc>
          <w:tcPr>
            <w:tcW w:w="787" w:type="dxa"/>
            <w:vAlign w:val="center"/>
          </w:tcPr>
          <w:p w:rsidR="00995179" w:rsidRPr="00FC1444" w:rsidRDefault="00995179" w:rsidP="006C3D69">
            <w:pPr>
              <w:jc w:val="center"/>
              <w:rPr>
                <w:rFonts w:eastAsiaTheme="minorEastAsia"/>
                <w:szCs w:val="21"/>
              </w:rPr>
            </w:pPr>
            <w:r w:rsidRPr="00FC1444">
              <w:rPr>
                <w:rFonts w:eastAsiaTheme="minorEastAsia"/>
                <w:szCs w:val="21"/>
              </w:rPr>
              <w:t>供水人数</w:t>
            </w:r>
            <w:r w:rsidRPr="00FC1444">
              <w:rPr>
                <w:rFonts w:eastAsiaTheme="minorEastAsia"/>
                <w:szCs w:val="21"/>
              </w:rPr>
              <w:t>3725</w:t>
            </w:r>
            <w:r w:rsidRPr="00FC1444">
              <w:rPr>
                <w:rFonts w:eastAsiaTheme="minorEastAsia"/>
                <w:szCs w:val="21"/>
              </w:rPr>
              <w:t>人</w:t>
            </w:r>
          </w:p>
        </w:tc>
        <w:tc>
          <w:tcPr>
            <w:tcW w:w="993" w:type="dxa"/>
            <w:vAlign w:val="center"/>
          </w:tcPr>
          <w:p w:rsidR="00995179" w:rsidRPr="00FC1444" w:rsidRDefault="00995179" w:rsidP="006C3D69">
            <w:pPr>
              <w:jc w:val="center"/>
              <w:rPr>
                <w:rFonts w:eastAsiaTheme="minorEastAsia"/>
                <w:szCs w:val="21"/>
              </w:rPr>
            </w:pPr>
            <w:r w:rsidRPr="00FC1444">
              <w:rPr>
                <w:rFonts w:eastAsiaTheme="minorEastAsia"/>
                <w:szCs w:val="21"/>
              </w:rPr>
              <w:t>供水规模</w:t>
            </w:r>
            <w:r w:rsidRPr="00FC1444">
              <w:rPr>
                <w:rFonts w:eastAsiaTheme="minorEastAsia" w:hint="eastAsia"/>
                <w:szCs w:val="21"/>
              </w:rPr>
              <w:t>240</w:t>
            </w:r>
            <w:r w:rsidRPr="00FC1444">
              <w:rPr>
                <w:rFonts w:eastAsiaTheme="minorEastAsia"/>
                <w:szCs w:val="21"/>
              </w:rPr>
              <w:t>m³/d</w:t>
            </w:r>
          </w:p>
        </w:tc>
        <w:tc>
          <w:tcPr>
            <w:tcW w:w="567" w:type="dxa"/>
            <w:vMerge/>
            <w:tcBorders>
              <w:right w:val="single" w:sz="2" w:space="0" w:color="auto"/>
            </w:tcBorders>
            <w:vAlign w:val="center"/>
          </w:tcPr>
          <w:p w:rsidR="00995179" w:rsidRPr="00FC1444"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东至空地，南至民房，西至空地，北至空地</w:t>
            </w:r>
          </w:p>
        </w:tc>
        <w:tc>
          <w:tcPr>
            <w:tcW w:w="525"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r w:rsidRPr="00FC1444">
              <w:rPr>
                <w:rFonts w:eastAsiaTheme="minorEastAsia"/>
                <w:kern w:val="0"/>
                <w:szCs w:val="21"/>
              </w:rPr>
              <w:t>一级保护区（</w:t>
            </w:r>
            <w:r w:rsidRPr="00FC1444">
              <w:rPr>
                <w:rFonts w:eastAsiaTheme="minorEastAsia"/>
                <w:kern w:val="0"/>
                <w:szCs w:val="21"/>
              </w:rPr>
              <w:t>30m</w:t>
            </w:r>
            <w:r w:rsidRPr="00FC1444">
              <w:rPr>
                <w:rFonts w:eastAsiaTheme="minorEastAsia"/>
                <w:kern w:val="0"/>
                <w:szCs w:val="21"/>
              </w:rPr>
              <w:t>）</w:t>
            </w:r>
          </w:p>
        </w:tc>
        <w:tc>
          <w:tcPr>
            <w:tcW w:w="751"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r>
      <w:tr w:rsidR="00995179" w:rsidRPr="00FC1444">
        <w:trPr>
          <w:gridAfter w:val="1"/>
          <w:wAfter w:w="15" w:type="dxa"/>
          <w:trHeight w:val="635"/>
          <w:jc w:val="center"/>
        </w:trPr>
        <w:tc>
          <w:tcPr>
            <w:tcW w:w="1477" w:type="dxa"/>
            <w:vAlign w:val="center"/>
          </w:tcPr>
          <w:p w:rsidR="00995179" w:rsidRPr="00FC1444" w:rsidRDefault="00995179" w:rsidP="006C3D69">
            <w:pPr>
              <w:jc w:val="center"/>
              <w:rPr>
                <w:rFonts w:eastAsiaTheme="minorEastAsia"/>
                <w:szCs w:val="21"/>
              </w:rPr>
            </w:pPr>
            <w:r w:rsidRPr="00FC1444">
              <w:rPr>
                <w:rFonts w:eastAsiaTheme="minorEastAsia" w:hint="eastAsia"/>
                <w:szCs w:val="21"/>
              </w:rPr>
              <w:t>胜利二村正白二屯饮用水源井</w:t>
            </w:r>
            <w:r w:rsidRPr="00FC1444">
              <w:rPr>
                <w:rFonts w:eastAsiaTheme="minorEastAsia"/>
              </w:rPr>
              <w:t>（井深</w:t>
            </w:r>
            <w:r w:rsidRPr="00FC1444">
              <w:rPr>
                <w:rFonts w:eastAsiaTheme="minorEastAsia" w:hint="eastAsia"/>
              </w:rPr>
              <w:t>120</w:t>
            </w:r>
            <w:r w:rsidRPr="00FC1444">
              <w:rPr>
                <w:rFonts w:eastAsiaTheme="minorEastAsia"/>
              </w:rPr>
              <w:t>m</w:t>
            </w:r>
            <w:r w:rsidRPr="00FC1444">
              <w:rPr>
                <w:rFonts w:eastAsiaTheme="minorEastAsia"/>
              </w:rPr>
              <w:t>）</w:t>
            </w:r>
          </w:p>
        </w:tc>
        <w:tc>
          <w:tcPr>
            <w:tcW w:w="657" w:type="dxa"/>
            <w:vAlign w:val="center"/>
          </w:tcPr>
          <w:p w:rsidR="00995179" w:rsidRPr="00FC1444" w:rsidRDefault="00995179" w:rsidP="00995179">
            <w:pPr>
              <w:jc w:val="center"/>
              <w:rPr>
                <w:rFonts w:eastAsiaTheme="minorEastAsia"/>
                <w:szCs w:val="21"/>
              </w:rPr>
            </w:pPr>
            <w:r w:rsidRPr="00FC1444">
              <w:rPr>
                <w:rFonts w:eastAsiaTheme="minorEastAsia"/>
                <w:szCs w:val="21"/>
              </w:rPr>
              <w:t>126.4701497</w:t>
            </w:r>
          </w:p>
        </w:tc>
        <w:tc>
          <w:tcPr>
            <w:tcW w:w="657" w:type="dxa"/>
            <w:vAlign w:val="center"/>
          </w:tcPr>
          <w:p w:rsidR="00995179" w:rsidRPr="00FC1444" w:rsidRDefault="00995179">
            <w:pPr>
              <w:spacing w:line="0" w:lineRule="atLeast"/>
              <w:jc w:val="center"/>
              <w:rPr>
                <w:rFonts w:eastAsiaTheme="minorEastAsia"/>
                <w:kern w:val="0"/>
                <w:szCs w:val="21"/>
              </w:rPr>
            </w:pPr>
            <w:r w:rsidRPr="00FC1444">
              <w:rPr>
                <w:rFonts w:eastAsiaTheme="minorEastAsia"/>
                <w:szCs w:val="21"/>
              </w:rPr>
              <w:t>46.305108</w:t>
            </w:r>
          </w:p>
        </w:tc>
        <w:tc>
          <w:tcPr>
            <w:tcW w:w="787" w:type="dxa"/>
            <w:vAlign w:val="center"/>
          </w:tcPr>
          <w:p w:rsidR="00995179" w:rsidRPr="00FC1444" w:rsidRDefault="00995179" w:rsidP="006C3D69">
            <w:pPr>
              <w:jc w:val="center"/>
              <w:rPr>
                <w:rFonts w:eastAsiaTheme="minorEastAsia"/>
                <w:szCs w:val="21"/>
              </w:rPr>
            </w:pPr>
            <w:r w:rsidRPr="00FC1444">
              <w:rPr>
                <w:rFonts w:eastAsiaTheme="minorEastAsia"/>
                <w:szCs w:val="21"/>
              </w:rPr>
              <w:t>供水人数</w:t>
            </w:r>
            <w:r w:rsidRPr="00FC1444">
              <w:rPr>
                <w:rFonts w:eastAsiaTheme="minorEastAsia"/>
                <w:szCs w:val="21"/>
              </w:rPr>
              <w:t>26</w:t>
            </w:r>
            <w:r w:rsidRPr="00FC1444">
              <w:rPr>
                <w:rFonts w:eastAsiaTheme="minorEastAsia" w:hint="eastAsia"/>
                <w:szCs w:val="21"/>
              </w:rPr>
              <w:t>00</w:t>
            </w:r>
            <w:r w:rsidRPr="00FC1444">
              <w:rPr>
                <w:rFonts w:eastAsiaTheme="minorEastAsia"/>
                <w:szCs w:val="21"/>
              </w:rPr>
              <w:t>人</w:t>
            </w:r>
          </w:p>
        </w:tc>
        <w:tc>
          <w:tcPr>
            <w:tcW w:w="993" w:type="dxa"/>
            <w:vAlign w:val="center"/>
          </w:tcPr>
          <w:p w:rsidR="00995179" w:rsidRPr="00FC1444" w:rsidRDefault="00995179" w:rsidP="006C3D69">
            <w:pPr>
              <w:jc w:val="center"/>
              <w:rPr>
                <w:rFonts w:eastAsiaTheme="minorEastAsia"/>
                <w:szCs w:val="21"/>
              </w:rPr>
            </w:pPr>
            <w:r w:rsidRPr="00FC1444">
              <w:rPr>
                <w:rFonts w:eastAsiaTheme="minorEastAsia"/>
                <w:szCs w:val="21"/>
              </w:rPr>
              <w:t>供水规模</w:t>
            </w:r>
            <w:r w:rsidRPr="00FC1444">
              <w:rPr>
                <w:rFonts w:eastAsiaTheme="minorEastAsia" w:hint="eastAsia"/>
                <w:szCs w:val="21"/>
              </w:rPr>
              <w:t>90</w:t>
            </w:r>
            <w:r w:rsidRPr="00FC1444">
              <w:rPr>
                <w:rFonts w:eastAsiaTheme="minorEastAsia"/>
                <w:szCs w:val="21"/>
              </w:rPr>
              <w:t>m³/d</w:t>
            </w:r>
          </w:p>
        </w:tc>
        <w:tc>
          <w:tcPr>
            <w:tcW w:w="567" w:type="dxa"/>
            <w:vMerge/>
            <w:tcBorders>
              <w:right w:val="single" w:sz="2" w:space="0" w:color="auto"/>
            </w:tcBorders>
            <w:vAlign w:val="center"/>
          </w:tcPr>
          <w:p w:rsidR="00995179" w:rsidRPr="00FC1444"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东至空地，南至空地，西至空地，北至空地</w:t>
            </w:r>
          </w:p>
        </w:tc>
        <w:tc>
          <w:tcPr>
            <w:tcW w:w="525"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r w:rsidRPr="00FC1444">
              <w:rPr>
                <w:rFonts w:eastAsiaTheme="minorEastAsia"/>
                <w:kern w:val="0"/>
                <w:szCs w:val="21"/>
              </w:rPr>
              <w:t>一级保护区（</w:t>
            </w:r>
            <w:r w:rsidRPr="00FC1444">
              <w:rPr>
                <w:rFonts w:eastAsiaTheme="minorEastAsia"/>
                <w:kern w:val="0"/>
                <w:szCs w:val="21"/>
              </w:rPr>
              <w:t>30m</w:t>
            </w:r>
            <w:r w:rsidRPr="00FC1444">
              <w:rPr>
                <w:rFonts w:eastAsiaTheme="minorEastAsia"/>
                <w:kern w:val="0"/>
                <w:szCs w:val="21"/>
              </w:rPr>
              <w:t>）</w:t>
            </w:r>
          </w:p>
        </w:tc>
        <w:tc>
          <w:tcPr>
            <w:tcW w:w="751"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r>
      <w:tr w:rsidR="00995179" w:rsidRPr="00FC1444">
        <w:trPr>
          <w:gridAfter w:val="1"/>
          <w:wAfter w:w="15" w:type="dxa"/>
          <w:trHeight w:val="635"/>
          <w:jc w:val="center"/>
        </w:trPr>
        <w:tc>
          <w:tcPr>
            <w:tcW w:w="1477" w:type="dxa"/>
            <w:vAlign w:val="center"/>
          </w:tcPr>
          <w:p w:rsidR="00995179" w:rsidRPr="00FC1444" w:rsidRDefault="00995179" w:rsidP="006C3D69">
            <w:pPr>
              <w:jc w:val="center"/>
              <w:rPr>
                <w:rFonts w:eastAsiaTheme="minorEastAsia"/>
                <w:szCs w:val="21"/>
              </w:rPr>
            </w:pPr>
            <w:r w:rsidRPr="00FC1444">
              <w:rPr>
                <w:rFonts w:eastAsiaTheme="minorEastAsia" w:hint="eastAsia"/>
                <w:szCs w:val="21"/>
              </w:rPr>
              <w:t>津河镇饮用水源井</w:t>
            </w:r>
            <w:r w:rsidRPr="00FC1444">
              <w:rPr>
                <w:rFonts w:eastAsiaTheme="minorEastAsia"/>
              </w:rPr>
              <w:t>（井深</w:t>
            </w:r>
            <w:r w:rsidRPr="00FC1444">
              <w:rPr>
                <w:rFonts w:eastAsiaTheme="minorEastAsia" w:hint="eastAsia"/>
              </w:rPr>
              <w:t>130</w:t>
            </w:r>
            <w:r w:rsidRPr="00FC1444">
              <w:rPr>
                <w:rFonts w:eastAsiaTheme="minorEastAsia"/>
              </w:rPr>
              <w:t>m</w:t>
            </w:r>
            <w:r w:rsidRPr="00FC1444">
              <w:rPr>
                <w:rFonts w:eastAsiaTheme="minorEastAsia"/>
              </w:rPr>
              <w:t>）</w:t>
            </w:r>
          </w:p>
        </w:tc>
        <w:tc>
          <w:tcPr>
            <w:tcW w:w="657" w:type="dxa"/>
            <w:vAlign w:val="center"/>
          </w:tcPr>
          <w:p w:rsidR="00995179" w:rsidRPr="00FC1444" w:rsidRDefault="00995179" w:rsidP="00995179">
            <w:pPr>
              <w:jc w:val="center"/>
              <w:rPr>
                <w:rFonts w:eastAsiaTheme="minorEastAsia"/>
                <w:szCs w:val="21"/>
              </w:rPr>
            </w:pPr>
            <w:r w:rsidRPr="00FC1444">
              <w:rPr>
                <w:rFonts w:eastAsiaTheme="minorEastAsia"/>
                <w:szCs w:val="21"/>
              </w:rPr>
              <w:t>127.0907428</w:t>
            </w:r>
          </w:p>
        </w:tc>
        <w:tc>
          <w:tcPr>
            <w:tcW w:w="657" w:type="dxa"/>
            <w:vAlign w:val="center"/>
          </w:tcPr>
          <w:p w:rsidR="00995179" w:rsidRPr="00FC1444" w:rsidRDefault="00995179">
            <w:pPr>
              <w:spacing w:line="0" w:lineRule="atLeast"/>
              <w:jc w:val="center"/>
              <w:rPr>
                <w:rFonts w:eastAsiaTheme="minorEastAsia"/>
                <w:kern w:val="0"/>
                <w:szCs w:val="21"/>
              </w:rPr>
            </w:pPr>
            <w:r w:rsidRPr="00FC1444">
              <w:rPr>
                <w:rFonts w:eastAsiaTheme="minorEastAsia"/>
                <w:szCs w:val="21"/>
              </w:rPr>
              <w:t>46.435405</w:t>
            </w:r>
          </w:p>
        </w:tc>
        <w:tc>
          <w:tcPr>
            <w:tcW w:w="787" w:type="dxa"/>
            <w:vAlign w:val="center"/>
          </w:tcPr>
          <w:p w:rsidR="00995179" w:rsidRPr="00FC1444" w:rsidRDefault="00995179" w:rsidP="006C3D69">
            <w:pPr>
              <w:jc w:val="center"/>
              <w:rPr>
                <w:rFonts w:eastAsiaTheme="minorEastAsia"/>
              </w:rPr>
            </w:pPr>
            <w:r w:rsidRPr="00FC1444">
              <w:rPr>
                <w:rFonts w:eastAsiaTheme="minorEastAsia"/>
                <w:szCs w:val="21"/>
              </w:rPr>
              <w:t>供水人数</w:t>
            </w:r>
            <w:r w:rsidRPr="00FC1444">
              <w:rPr>
                <w:rFonts w:eastAsiaTheme="minorEastAsia"/>
                <w:szCs w:val="21"/>
              </w:rPr>
              <w:t>28</w:t>
            </w:r>
            <w:r w:rsidRPr="00FC1444">
              <w:rPr>
                <w:rFonts w:eastAsiaTheme="minorEastAsia" w:hint="eastAsia"/>
                <w:szCs w:val="21"/>
              </w:rPr>
              <w:t>50</w:t>
            </w:r>
            <w:r w:rsidRPr="00FC1444">
              <w:rPr>
                <w:rFonts w:eastAsiaTheme="minorEastAsia"/>
                <w:szCs w:val="21"/>
              </w:rPr>
              <w:t>人</w:t>
            </w:r>
          </w:p>
        </w:tc>
        <w:tc>
          <w:tcPr>
            <w:tcW w:w="993" w:type="dxa"/>
            <w:vAlign w:val="center"/>
          </w:tcPr>
          <w:p w:rsidR="00995179" w:rsidRPr="00FC1444" w:rsidRDefault="00995179" w:rsidP="006C3D69">
            <w:pPr>
              <w:jc w:val="center"/>
              <w:rPr>
                <w:rFonts w:eastAsiaTheme="minorEastAsia"/>
                <w:szCs w:val="21"/>
              </w:rPr>
            </w:pPr>
            <w:r w:rsidRPr="00FC1444">
              <w:rPr>
                <w:rFonts w:eastAsiaTheme="minorEastAsia"/>
                <w:szCs w:val="21"/>
              </w:rPr>
              <w:t>供水规模</w:t>
            </w:r>
            <w:r w:rsidRPr="00FC1444">
              <w:rPr>
                <w:rFonts w:eastAsiaTheme="minorEastAsia" w:hint="eastAsia"/>
                <w:szCs w:val="21"/>
              </w:rPr>
              <w:t>120</w:t>
            </w:r>
            <w:r w:rsidRPr="00FC1444">
              <w:rPr>
                <w:rFonts w:eastAsiaTheme="minorEastAsia"/>
                <w:szCs w:val="21"/>
              </w:rPr>
              <w:t>m³/d</w:t>
            </w:r>
          </w:p>
        </w:tc>
        <w:tc>
          <w:tcPr>
            <w:tcW w:w="567" w:type="dxa"/>
            <w:vMerge/>
            <w:tcBorders>
              <w:right w:val="single" w:sz="2" w:space="0" w:color="auto"/>
            </w:tcBorders>
            <w:vAlign w:val="center"/>
          </w:tcPr>
          <w:p w:rsidR="00995179" w:rsidRPr="00FC1444"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东至农田，南至林地，西至林地，北至农田</w:t>
            </w:r>
          </w:p>
        </w:tc>
        <w:tc>
          <w:tcPr>
            <w:tcW w:w="525"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r w:rsidRPr="00FC1444">
              <w:rPr>
                <w:rFonts w:eastAsiaTheme="minorEastAsia"/>
                <w:kern w:val="0"/>
                <w:szCs w:val="21"/>
              </w:rPr>
              <w:t>一级保护区（</w:t>
            </w:r>
            <w:r w:rsidRPr="00FC1444">
              <w:rPr>
                <w:rFonts w:eastAsiaTheme="minorEastAsia"/>
                <w:kern w:val="0"/>
                <w:szCs w:val="21"/>
              </w:rPr>
              <w:t>30m</w:t>
            </w:r>
            <w:r w:rsidRPr="00FC1444">
              <w:rPr>
                <w:rFonts w:eastAsiaTheme="minorEastAsia"/>
                <w:kern w:val="0"/>
                <w:szCs w:val="21"/>
              </w:rPr>
              <w:t>）</w:t>
            </w:r>
          </w:p>
        </w:tc>
        <w:tc>
          <w:tcPr>
            <w:tcW w:w="751"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r>
      <w:tr w:rsidR="00995179" w:rsidRPr="00FC1444">
        <w:trPr>
          <w:gridAfter w:val="1"/>
          <w:wAfter w:w="15" w:type="dxa"/>
          <w:trHeight w:val="635"/>
          <w:jc w:val="center"/>
        </w:trPr>
        <w:tc>
          <w:tcPr>
            <w:tcW w:w="1477" w:type="dxa"/>
            <w:vAlign w:val="center"/>
          </w:tcPr>
          <w:p w:rsidR="00995179" w:rsidRPr="00FC1444" w:rsidRDefault="00995179" w:rsidP="006C3D69">
            <w:pPr>
              <w:jc w:val="center"/>
              <w:rPr>
                <w:rFonts w:eastAsiaTheme="minorEastAsia"/>
                <w:szCs w:val="21"/>
              </w:rPr>
            </w:pPr>
            <w:r w:rsidRPr="00FC1444">
              <w:rPr>
                <w:rFonts w:eastAsiaTheme="minorEastAsia" w:hint="eastAsia"/>
                <w:szCs w:val="21"/>
              </w:rPr>
              <w:t>津河镇（民胜村）饮用水源井</w:t>
            </w:r>
            <w:r w:rsidRPr="00FC1444">
              <w:rPr>
                <w:rFonts w:eastAsiaTheme="minorEastAsia"/>
              </w:rPr>
              <w:t>（井深</w:t>
            </w:r>
            <w:r w:rsidRPr="00FC1444">
              <w:rPr>
                <w:rFonts w:eastAsiaTheme="minorEastAsia" w:hint="eastAsia"/>
              </w:rPr>
              <w:t>130</w:t>
            </w:r>
            <w:r w:rsidRPr="00FC1444">
              <w:rPr>
                <w:rFonts w:eastAsiaTheme="minorEastAsia"/>
              </w:rPr>
              <w:t>m</w:t>
            </w:r>
            <w:r w:rsidRPr="00FC1444">
              <w:rPr>
                <w:rFonts w:eastAsiaTheme="minorEastAsia"/>
              </w:rPr>
              <w:t>）</w:t>
            </w:r>
          </w:p>
        </w:tc>
        <w:tc>
          <w:tcPr>
            <w:tcW w:w="657" w:type="dxa"/>
            <w:vAlign w:val="center"/>
          </w:tcPr>
          <w:p w:rsidR="00995179" w:rsidRPr="00FC1444" w:rsidRDefault="00995179" w:rsidP="00995179">
            <w:pPr>
              <w:jc w:val="center"/>
              <w:rPr>
                <w:rFonts w:eastAsiaTheme="minorEastAsia"/>
                <w:szCs w:val="21"/>
              </w:rPr>
            </w:pPr>
            <w:r w:rsidRPr="00FC1444">
              <w:rPr>
                <w:rFonts w:eastAsiaTheme="minorEastAsia"/>
                <w:szCs w:val="21"/>
              </w:rPr>
              <w:t>127.0627989</w:t>
            </w:r>
          </w:p>
        </w:tc>
        <w:tc>
          <w:tcPr>
            <w:tcW w:w="657" w:type="dxa"/>
            <w:vAlign w:val="center"/>
          </w:tcPr>
          <w:p w:rsidR="00995179" w:rsidRPr="00FC1444" w:rsidRDefault="00995179">
            <w:pPr>
              <w:spacing w:line="0" w:lineRule="atLeast"/>
              <w:jc w:val="center"/>
              <w:rPr>
                <w:rFonts w:eastAsiaTheme="minorEastAsia"/>
                <w:kern w:val="0"/>
                <w:szCs w:val="21"/>
              </w:rPr>
            </w:pPr>
            <w:r w:rsidRPr="00FC1444">
              <w:rPr>
                <w:rFonts w:eastAsiaTheme="minorEastAsia"/>
                <w:szCs w:val="21"/>
              </w:rPr>
              <w:t>46.441557</w:t>
            </w:r>
          </w:p>
        </w:tc>
        <w:tc>
          <w:tcPr>
            <w:tcW w:w="787" w:type="dxa"/>
            <w:vAlign w:val="center"/>
          </w:tcPr>
          <w:p w:rsidR="00995179" w:rsidRPr="00FC1444" w:rsidRDefault="00995179" w:rsidP="006C3D69">
            <w:pPr>
              <w:jc w:val="center"/>
              <w:rPr>
                <w:rFonts w:eastAsiaTheme="minorEastAsia"/>
              </w:rPr>
            </w:pPr>
            <w:r w:rsidRPr="00FC1444">
              <w:rPr>
                <w:rFonts w:eastAsiaTheme="minorEastAsia"/>
                <w:szCs w:val="21"/>
              </w:rPr>
              <w:t>供水人数</w:t>
            </w:r>
            <w:r w:rsidRPr="00FC1444">
              <w:rPr>
                <w:rFonts w:eastAsiaTheme="minorEastAsia"/>
                <w:szCs w:val="21"/>
              </w:rPr>
              <w:t>2854</w:t>
            </w:r>
            <w:r w:rsidRPr="00FC1444">
              <w:rPr>
                <w:rFonts w:eastAsiaTheme="minorEastAsia"/>
                <w:szCs w:val="21"/>
              </w:rPr>
              <w:t>人</w:t>
            </w:r>
          </w:p>
        </w:tc>
        <w:tc>
          <w:tcPr>
            <w:tcW w:w="993" w:type="dxa"/>
            <w:vAlign w:val="center"/>
          </w:tcPr>
          <w:p w:rsidR="00995179" w:rsidRPr="00FC1444" w:rsidRDefault="00995179" w:rsidP="006C3D69">
            <w:pPr>
              <w:jc w:val="center"/>
              <w:rPr>
                <w:rFonts w:eastAsiaTheme="minorEastAsia"/>
                <w:szCs w:val="21"/>
              </w:rPr>
            </w:pPr>
            <w:r w:rsidRPr="00FC1444">
              <w:rPr>
                <w:rFonts w:eastAsiaTheme="minorEastAsia"/>
                <w:szCs w:val="21"/>
              </w:rPr>
              <w:t>供水规模</w:t>
            </w:r>
            <w:r w:rsidRPr="00FC1444">
              <w:rPr>
                <w:rFonts w:eastAsiaTheme="minorEastAsia" w:hint="eastAsia"/>
                <w:szCs w:val="21"/>
              </w:rPr>
              <w:t>120</w:t>
            </w:r>
            <w:r w:rsidRPr="00FC1444">
              <w:rPr>
                <w:rFonts w:eastAsiaTheme="minorEastAsia"/>
                <w:szCs w:val="21"/>
              </w:rPr>
              <w:t>m³/d</w:t>
            </w:r>
          </w:p>
        </w:tc>
        <w:tc>
          <w:tcPr>
            <w:tcW w:w="567" w:type="dxa"/>
            <w:vMerge/>
            <w:tcBorders>
              <w:right w:val="single" w:sz="2" w:space="0" w:color="auto"/>
            </w:tcBorders>
            <w:vAlign w:val="center"/>
          </w:tcPr>
          <w:p w:rsidR="00995179" w:rsidRPr="00FC1444"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FC1444" w:rsidRDefault="00995179" w:rsidP="006C3D6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东至农田，南至林地，西至林地，北至农田</w:t>
            </w:r>
          </w:p>
        </w:tc>
        <w:tc>
          <w:tcPr>
            <w:tcW w:w="525"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FC1444" w:rsidRDefault="00995179" w:rsidP="006C3D69">
            <w:pPr>
              <w:spacing w:line="0" w:lineRule="atLeast"/>
              <w:contextualSpacing/>
              <w:jc w:val="center"/>
              <w:rPr>
                <w:rFonts w:eastAsiaTheme="minorEastAsia"/>
                <w:snapToGrid w:val="0"/>
                <w:kern w:val="0"/>
                <w:szCs w:val="21"/>
              </w:rPr>
            </w:pPr>
            <w:r w:rsidRPr="00FC1444">
              <w:rPr>
                <w:rFonts w:eastAsiaTheme="minorEastAsia"/>
                <w:kern w:val="0"/>
                <w:szCs w:val="21"/>
              </w:rPr>
              <w:t>一级保护区（</w:t>
            </w:r>
            <w:r w:rsidRPr="00FC1444">
              <w:rPr>
                <w:rFonts w:eastAsiaTheme="minorEastAsia"/>
                <w:kern w:val="0"/>
                <w:szCs w:val="21"/>
              </w:rPr>
              <w:t>30m</w:t>
            </w:r>
            <w:r w:rsidRPr="00FC1444">
              <w:rPr>
                <w:rFonts w:eastAsiaTheme="minorEastAsia"/>
                <w:kern w:val="0"/>
                <w:szCs w:val="21"/>
              </w:rPr>
              <w:t>）</w:t>
            </w:r>
          </w:p>
        </w:tc>
        <w:tc>
          <w:tcPr>
            <w:tcW w:w="751"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r>
      <w:tr w:rsidR="00995179" w:rsidRPr="00FC1444">
        <w:trPr>
          <w:gridAfter w:val="1"/>
          <w:wAfter w:w="15" w:type="dxa"/>
          <w:trHeight w:val="635"/>
          <w:jc w:val="center"/>
        </w:trPr>
        <w:tc>
          <w:tcPr>
            <w:tcW w:w="1477" w:type="dxa"/>
            <w:vAlign w:val="center"/>
          </w:tcPr>
          <w:p w:rsidR="00995179" w:rsidRPr="00FC1444" w:rsidRDefault="00995179" w:rsidP="006C3D69">
            <w:pPr>
              <w:jc w:val="center"/>
              <w:rPr>
                <w:rFonts w:eastAsiaTheme="minorEastAsia"/>
                <w:szCs w:val="21"/>
              </w:rPr>
            </w:pPr>
            <w:r w:rsidRPr="00FC1444">
              <w:rPr>
                <w:rFonts w:eastAsiaTheme="minorEastAsia" w:hint="eastAsia"/>
                <w:szCs w:val="21"/>
              </w:rPr>
              <w:t>津河镇（果园村）饮用水源井</w:t>
            </w:r>
            <w:r w:rsidRPr="00FC1444">
              <w:rPr>
                <w:rFonts w:eastAsiaTheme="minorEastAsia"/>
              </w:rPr>
              <w:t>（井深</w:t>
            </w:r>
            <w:r w:rsidRPr="00FC1444">
              <w:rPr>
                <w:rFonts w:eastAsiaTheme="minorEastAsia" w:hint="eastAsia"/>
              </w:rPr>
              <w:t>130</w:t>
            </w:r>
            <w:r w:rsidRPr="00FC1444">
              <w:rPr>
                <w:rFonts w:eastAsiaTheme="minorEastAsia"/>
              </w:rPr>
              <w:t>m</w:t>
            </w:r>
            <w:r w:rsidRPr="00FC1444">
              <w:rPr>
                <w:rFonts w:eastAsiaTheme="minorEastAsia"/>
              </w:rPr>
              <w:t>）</w:t>
            </w:r>
          </w:p>
        </w:tc>
        <w:tc>
          <w:tcPr>
            <w:tcW w:w="657" w:type="dxa"/>
            <w:vAlign w:val="center"/>
          </w:tcPr>
          <w:p w:rsidR="00995179" w:rsidRPr="00FC1444" w:rsidRDefault="00995179" w:rsidP="00995179">
            <w:pPr>
              <w:jc w:val="center"/>
              <w:rPr>
                <w:rFonts w:eastAsiaTheme="minorEastAsia"/>
                <w:szCs w:val="21"/>
              </w:rPr>
            </w:pPr>
            <w:r w:rsidRPr="00FC1444">
              <w:rPr>
                <w:rFonts w:eastAsiaTheme="minorEastAsia"/>
                <w:szCs w:val="21"/>
              </w:rPr>
              <w:t>127.0616653</w:t>
            </w:r>
          </w:p>
        </w:tc>
        <w:tc>
          <w:tcPr>
            <w:tcW w:w="657" w:type="dxa"/>
            <w:vAlign w:val="center"/>
          </w:tcPr>
          <w:p w:rsidR="00995179" w:rsidRPr="00FC1444" w:rsidRDefault="00995179">
            <w:pPr>
              <w:spacing w:line="0" w:lineRule="atLeast"/>
              <w:jc w:val="center"/>
              <w:rPr>
                <w:rFonts w:eastAsiaTheme="minorEastAsia"/>
                <w:kern w:val="0"/>
                <w:szCs w:val="21"/>
              </w:rPr>
            </w:pPr>
            <w:r w:rsidRPr="00FC1444">
              <w:rPr>
                <w:rFonts w:eastAsiaTheme="minorEastAsia"/>
                <w:szCs w:val="21"/>
              </w:rPr>
              <w:t>46.454545</w:t>
            </w:r>
          </w:p>
        </w:tc>
        <w:tc>
          <w:tcPr>
            <w:tcW w:w="787" w:type="dxa"/>
            <w:vAlign w:val="center"/>
          </w:tcPr>
          <w:p w:rsidR="00995179" w:rsidRPr="00FC1444" w:rsidRDefault="00995179" w:rsidP="006C3D69">
            <w:pPr>
              <w:jc w:val="center"/>
              <w:rPr>
                <w:rFonts w:eastAsiaTheme="minorEastAsia"/>
              </w:rPr>
            </w:pPr>
            <w:r w:rsidRPr="00FC1444">
              <w:rPr>
                <w:rFonts w:eastAsiaTheme="minorEastAsia"/>
                <w:szCs w:val="21"/>
              </w:rPr>
              <w:t>供水人数</w:t>
            </w:r>
            <w:r w:rsidRPr="00FC1444">
              <w:rPr>
                <w:rFonts w:eastAsiaTheme="minorEastAsia"/>
                <w:szCs w:val="21"/>
              </w:rPr>
              <w:t>2</w:t>
            </w:r>
            <w:r w:rsidRPr="00FC1444">
              <w:rPr>
                <w:rFonts w:eastAsiaTheme="minorEastAsia" w:hint="eastAsia"/>
                <w:szCs w:val="21"/>
              </w:rPr>
              <w:t>580</w:t>
            </w:r>
            <w:r w:rsidRPr="00FC1444">
              <w:rPr>
                <w:rFonts w:eastAsiaTheme="minorEastAsia"/>
                <w:szCs w:val="21"/>
              </w:rPr>
              <w:t>人</w:t>
            </w:r>
          </w:p>
        </w:tc>
        <w:tc>
          <w:tcPr>
            <w:tcW w:w="993" w:type="dxa"/>
            <w:vAlign w:val="center"/>
          </w:tcPr>
          <w:p w:rsidR="00995179" w:rsidRPr="00FC1444" w:rsidRDefault="00995179" w:rsidP="006C3D69">
            <w:pPr>
              <w:jc w:val="center"/>
              <w:rPr>
                <w:rFonts w:eastAsiaTheme="minorEastAsia"/>
                <w:szCs w:val="21"/>
              </w:rPr>
            </w:pPr>
            <w:r w:rsidRPr="00FC1444">
              <w:rPr>
                <w:rFonts w:eastAsiaTheme="minorEastAsia"/>
                <w:szCs w:val="21"/>
              </w:rPr>
              <w:t>供水规模</w:t>
            </w:r>
            <w:r w:rsidRPr="00FC1444">
              <w:rPr>
                <w:rFonts w:eastAsiaTheme="minorEastAsia" w:hint="eastAsia"/>
                <w:szCs w:val="21"/>
              </w:rPr>
              <w:t>120</w:t>
            </w:r>
            <w:r w:rsidRPr="00FC1444">
              <w:rPr>
                <w:rFonts w:eastAsiaTheme="minorEastAsia"/>
                <w:szCs w:val="21"/>
              </w:rPr>
              <w:t>m³/d</w:t>
            </w:r>
          </w:p>
        </w:tc>
        <w:tc>
          <w:tcPr>
            <w:tcW w:w="567" w:type="dxa"/>
            <w:vMerge/>
            <w:tcBorders>
              <w:right w:val="single" w:sz="2" w:space="0" w:color="auto"/>
            </w:tcBorders>
            <w:vAlign w:val="center"/>
          </w:tcPr>
          <w:p w:rsidR="00995179" w:rsidRPr="00FC1444"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FC1444" w:rsidRDefault="00995179" w:rsidP="006C3D6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东至农田，南至林地，西至林地，北至农田</w:t>
            </w:r>
          </w:p>
        </w:tc>
        <w:tc>
          <w:tcPr>
            <w:tcW w:w="525"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FC1444" w:rsidRDefault="00995179" w:rsidP="006C3D69">
            <w:pPr>
              <w:spacing w:line="0" w:lineRule="atLeast"/>
              <w:contextualSpacing/>
              <w:jc w:val="center"/>
              <w:rPr>
                <w:rFonts w:eastAsiaTheme="minorEastAsia"/>
                <w:snapToGrid w:val="0"/>
                <w:kern w:val="0"/>
                <w:szCs w:val="21"/>
              </w:rPr>
            </w:pPr>
            <w:r w:rsidRPr="00FC1444">
              <w:rPr>
                <w:rFonts w:eastAsiaTheme="minorEastAsia"/>
                <w:kern w:val="0"/>
                <w:szCs w:val="21"/>
              </w:rPr>
              <w:t>一级保护区（</w:t>
            </w:r>
            <w:r w:rsidRPr="00FC1444">
              <w:rPr>
                <w:rFonts w:eastAsiaTheme="minorEastAsia"/>
                <w:kern w:val="0"/>
                <w:szCs w:val="21"/>
              </w:rPr>
              <w:t>30m</w:t>
            </w:r>
            <w:r w:rsidRPr="00FC1444">
              <w:rPr>
                <w:rFonts w:eastAsiaTheme="minorEastAsia"/>
                <w:kern w:val="0"/>
                <w:szCs w:val="21"/>
              </w:rPr>
              <w:t>）</w:t>
            </w:r>
          </w:p>
        </w:tc>
        <w:tc>
          <w:tcPr>
            <w:tcW w:w="751"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r>
      <w:tr w:rsidR="00995179" w:rsidRPr="00FC1444">
        <w:trPr>
          <w:gridAfter w:val="1"/>
          <w:wAfter w:w="15" w:type="dxa"/>
          <w:trHeight w:val="635"/>
          <w:jc w:val="center"/>
        </w:trPr>
        <w:tc>
          <w:tcPr>
            <w:tcW w:w="1477" w:type="dxa"/>
            <w:vAlign w:val="center"/>
          </w:tcPr>
          <w:p w:rsidR="00995179" w:rsidRPr="00FC1444" w:rsidRDefault="00995179" w:rsidP="006C3D69">
            <w:pPr>
              <w:jc w:val="center"/>
              <w:rPr>
                <w:rFonts w:eastAsiaTheme="minorEastAsia"/>
                <w:szCs w:val="21"/>
              </w:rPr>
            </w:pPr>
            <w:r w:rsidRPr="00FC1444">
              <w:rPr>
                <w:rFonts w:eastAsiaTheme="minorEastAsia" w:hint="eastAsia"/>
                <w:szCs w:val="21"/>
              </w:rPr>
              <w:t>津河镇（靠河村）饮用水源井</w:t>
            </w:r>
            <w:r w:rsidRPr="00FC1444">
              <w:rPr>
                <w:rFonts w:eastAsiaTheme="minorEastAsia"/>
              </w:rPr>
              <w:t>（井深</w:t>
            </w:r>
            <w:r w:rsidRPr="00FC1444">
              <w:rPr>
                <w:rFonts w:eastAsiaTheme="minorEastAsia" w:hint="eastAsia"/>
              </w:rPr>
              <w:t>130</w:t>
            </w:r>
            <w:r w:rsidRPr="00FC1444">
              <w:rPr>
                <w:rFonts w:eastAsiaTheme="minorEastAsia"/>
              </w:rPr>
              <w:t>m</w:t>
            </w:r>
            <w:r w:rsidRPr="00FC1444">
              <w:rPr>
                <w:rFonts w:eastAsiaTheme="minorEastAsia"/>
              </w:rPr>
              <w:t>）</w:t>
            </w:r>
          </w:p>
        </w:tc>
        <w:tc>
          <w:tcPr>
            <w:tcW w:w="657" w:type="dxa"/>
            <w:vAlign w:val="center"/>
          </w:tcPr>
          <w:p w:rsidR="00995179" w:rsidRPr="00FC1444" w:rsidRDefault="00995179" w:rsidP="00995179">
            <w:pPr>
              <w:jc w:val="center"/>
              <w:rPr>
                <w:rFonts w:eastAsiaTheme="minorEastAsia"/>
                <w:szCs w:val="21"/>
              </w:rPr>
            </w:pPr>
            <w:r w:rsidRPr="00FC1444">
              <w:rPr>
                <w:rFonts w:eastAsiaTheme="minorEastAsia"/>
                <w:szCs w:val="21"/>
              </w:rPr>
              <w:t>127.0922550</w:t>
            </w:r>
          </w:p>
        </w:tc>
        <w:tc>
          <w:tcPr>
            <w:tcW w:w="657" w:type="dxa"/>
            <w:vAlign w:val="center"/>
          </w:tcPr>
          <w:p w:rsidR="00995179" w:rsidRPr="00FC1444" w:rsidRDefault="00995179">
            <w:pPr>
              <w:spacing w:line="0" w:lineRule="atLeast"/>
              <w:jc w:val="center"/>
              <w:rPr>
                <w:rFonts w:eastAsiaTheme="minorEastAsia"/>
                <w:kern w:val="0"/>
                <w:szCs w:val="21"/>
              </w:rPr>
            </w:pPr>
            <w:r w:rsidRPr="00FC1444">
              <w:rPr>
                <w:rFonts w:eastAsiaTheme="minorEastAsia"/>
                <w:szCs w:val="21"/>
              </w:rPr>
              <w:t>46.455336</w:t>
            </w:r>
          </w:p>
        </w:tc>
        <w:tc>
          <w:tcPr>
            <w:tcW w:w="787" w:type="dxa"/>
            <w:vAlign w:val="center"/>
          </w:tcPr>
          <w:p w:rsidR="00995179" w:rsidRPr="00FC1444" w:rsidRDefault="00995179" w:rsidP="006C3D69">
            <w:pPr>
              <w:jc w:val="center"/>
              <w:rPr>
                <w:rFonts w:eastAsiaTheme="minorEastAsia"/>
              </w:rPr>
            </w:pPr>
            <w:r w:rsidRPr="00FC1444">
              <w:rPr>
                <w:rFonts w:eastAsiaTheme="minorEastAsia"/>
                <w:szCs w:val="21"/>
              </w:rPr>
              <w:t>供水人数</w:t>
            </w:r>
            <w:r w:rsidRPr="00FC1444">
              <w:rPr>
                <w:rFonts w:eastAsiaTheme="minorEastAsia"/>
                <w:szCs w:val="21"/>
              </w:rPr>
              <w:t>2</w:t>
            </w:r>
            <w:r w:rsidRPr="00FC1444">
              <w:rPr>
                <w:rFonts w:eastAsiaTheme="minorEastAsia" w:hint="eastAsia"/>
                <w:szCs w:val="21"/>
              </w:rPr>
              <w:t>450</w:t>
            </w:r>
            <w:r w:rsidRPr="00FC1444">
              <w:rPr>
                <w:rFonts w:eastAsiaTheme="minorEastAsia"/>
                <w:szCs w:val="21"/>
              </w:rPr>
              <w:t>人</w:t>
            </w:r>
          </w:p>
        </w:tc>
        <w:tc>
          <w:tcPr>
            <w:tcW w:w="993" w:type="dxa"/>
            <w:vAlign w:val="center"/>
          </w:tcPr>
          <w:p w:rsidR="00995179" w:rsidRPr="00FC1444" w:rsidRDefault="00995179" w:rsidP="006C3D69">
            <w:pPr>
              <w:jc w:val="center"/>
              <w:rPr>
                <w:rFonts w:eastAsiaTheme="minorEastAsia"/>
                <w:szCs w:val="21"/>
              </w:rPr>
            </w:pPr>
            <w:r w:rsidRPr="00FC1444">
              <w:rPr>
                <w:rFonts w:eastAsiaTheme="minorEastAsia"/>
                <w:szCs w:val="21"/>
              </w:rPr>
              <w:t>供水规模</w:t>
            </w:r>
            <w:r w:rsidRPr="00FC1444">
              <w:rPr>
                <w:rFonts w:eastAsiaTheme="minorEastAsia" w:hint="eastAsia"/>
                <w:szCs w:val="21"/>
              </w:rPr>
              <w:t>120</w:t>
            </w:r>
            <w:r w:rsidRPr="00FC1444">
              <w:rPr>
                <w:rFonts w:eastAsiaTheme="minorEastAsia"/>
                <w:szCs w:val="21"/>
              </w:rPr>
              <w:t>m³/d</w:t>
            </w:r>
          </w:p>
        </w:tc>
        <w:tc>
          <w:tcPr>
            <w:tcW w:w="567" w:type="dxa"/>
            <w:vMerge/>
            <w:tcBorders>
              <w:right w:val="single" w:sz="2" w:space="0" w:color="auto"/>
            </w:tcBorders>
            <w:vAlign w:val="center"/>
          </w:tcPr>
          <w:p w:rsidR="00995179" w:rsidRPr="00FC1444"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FC1444" w:rsidRDefault="00995179" w:rsidP="006C3D6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东至农田，南至林地，西至林地，北至农田</w:t>
            </w:r>
          </w:p>
        </w:tc>
        <w:tc>
          <w:tcPr>
            <w:tcW w:w="525"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FC1444" w:rsidRDefault="00995179" w:rsidP="006C3D69">
            <w:pPr>
              <w:spacing w:line="0" w:lineRule="atLeast"/>
              <w:contextualSpacing/>
              <w:jc w:val="center"/>
              <w:rPr>
                <w:rFonts w:eastAsiaTheme="minorEastAsia"/>
                <w:snapToGrid w:val="0"/>
                <w:kern w:val="0"/>
                <w:szCs w:val="21"/>
              </w:rPr>
            </w:pPr>
            <w:r w:rsidRPr="00FC1444">
              <w:rPr>
                <w:rFonts w:eastAsiaTheme="minorEastAsia"/>
                <w:kern w:val="0"/>
                <w:szCs w:val="21"/>
              </w:rPr>
              <w:t>一级保护区（</w:t>
            </w:r>
            <w:r w:rsidRPr="00FC1444">
              <w:rPr>
                <w:rFonts w:eastAsiaTheme="minorEastAsia"/>
                <w:kern w:val="0"/>
                <w:szCs w:val="21"/>
              </w:rPr>
              <w:t>30m</w:t>
            </w:r>
            <w:r w:rsidRPr="00FC1444">
              <w:rPr>
                <w:rFonts w:eastAsiaTheme="minorEastAsia"/>
                <w:kern w:val="0"/>
                <w:szCs w:val="21"/>
              </w:rPr>
              <w:t>）</w:t>
            </w:r>
          </w:p>
        </w:tc>
        <w:tc>
          <w:tcPr>
            <w:tcW w:w="751"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r>
      <w:tr w:rsidR="00995179" w:rsidRPr="00FC1444">
        <w:trPr>
          <w:gridAfter w:val="1"/>
          <w:wAfter w:w="15" w:type="dxa"/>
          <w:trHeight w:val="635"/>
          <w:jc w:val="center"/>
        </w:trPr>
        <w:tc>
          <w:tcPr>
            <w:tcW w:w="1477" w:type="dxa"/>
            <w:vAlign w:val="center"/>
          </w:tcPr>
          <w:p w:rsidR="00995179" w:rsidRPr="00FC1444" w:rsidRDefault="00995179">
            <w:pPr>
              <w:spacing w:line="0" w:lineRule="atLeast"/>
              <w:jc w:val="center"/>
              <w:rPr>
                <w:rFonts w:eastAsiaTheme="minorEastAsia"/>
                <w:kern w:val="0"/>
                <w:szCs w:val="21"/>
              </w:rPr>
            </w:pPr>
            <w:r w:rsidRPr="00FC1444">
              <w:rPr>
                <w:rFonts w:eastAsiaTheme="minorEastAsia" w:hint="eastAsia"/>
                <w:szCs w:val="21"/>
              </w:rPr>
              <w:t>津河镇（松林村）饮用水源井</w:t>
            </w:r>
            <w:r w:rsidRPr="00FC1444">
              <w:rPr>
                <w:rFonts w:eastAsiaTheme="minorEastAsia"/>
              </w:rPr>
              <w:t>（井深</w:t>
            </w:r>
            <w:r w:rsidRPr="00FC1444">
              <w:rPr>
                <w:rFonts w:eastAsiaTheme="minorEastAsia" w:hint="eastAsia"/>
              </w:rPr>
              <w:t>130</w:t>
            </w:r>
            <w:r w:rsidRPr="00FC1444">
              <w:rPr>
                <w:rFonts w:eastAsiaTheme="minorEastAsia"/>
              </w:rPr>
              <w:t>m</w:t>
            </w:r>
            <w:r w:rsidRPr="00FC1444">
              <w:rPr>
                <w:rFonts w:eastAsiaTheme="minorEastAsia"/>
              </w:rPr>
              <w:t>）</w:t>
            </w:r>
          </w:p>
        </w:tc>
        <w:tc>
          <w:tcPr>
            <w:tcW w:w="657" w:type="dxa"/>
            <w:vAlign w:val="center"/>
          </w:tcPr>
          <w:p w:rsidR="00995179" w:rsidRPr="00FC1444" w:rsidRDefault="00995179" w:rsidP="00995179">
            <w:pPr>
              <w:jc w:val="center"/>
              <w:rPr>
                <w:rFonts w:eastAsiaTheme="minorEastAsia"/>
              </w:rPr>
            </w:pPr>
            <w:r w:rsidRPr="00FC1444">
              <w:rPr>
                <w:rFonts w:eastAsiaTheme="minorEastAsia"/>
                <w:szCs w:val="21"/>
              </w:rPr>
              <w:t>127.0704373</w:t>
            </w:r>
          </w:p>
        </w:tc>
        <w:tc>
          <w:tcPr>
            <w:tcW w:w="657" w:type="dxa"/>
            <w:vAlign w:val="center"/>
          </w:tcPr>
          <w:p w:rsidR="00995179" w:rsidRPr="00FC1444" w:rsidRDefault="00995179" w:rsidP="006C3D69">
            <w:pPr>
              <w:jc w:val="center"/>
              <w:rPr>
                <w:rFonts w:eastAsiaTheme="minorEastAsia"/>
                <w:szCs w:val="21"/>
              </w:rPr>
            </w:pPr>
            <w:r w:rsidRPr="00FC1444">
              <w:rPr>
                <w:rFonts w:eastAsiaTheme="minorEastAsia"/>
                <w:szCs w:val="21"/>
              </w:rPr>
              <w:t>46.472226</w:t>
            </w:r>
          </w:p>
        </w:tc>
        <w:tc>
          <w:tcPr>
            <w:tcW w:w="787" w:type="dxa"/>
            <w:vAlign w:val="center"/>
          </w:tcPr>
          <w:p w:rsidR="00995179" w:rsidRPr="00FC1444" w:rsidRDefault="00995179" w:rsidP="006C3D69">
            <w:pPr>
              <w:jc w:val="center"/>
              <w:rPr>
                <w:rFonts w:eastAsiaTheme="minorEastAsia"/>
              </w:rPr>
            </w:pPr>
            <w:r w:rsidRPr="00FC1444">
              <w:rPr>
                <w:rFonts w:eastAsiaTheme="minorEastAsia"/>
                <w:szCs w:val="21"/>
              </w:rPr>
              <w:t>供水人数</w:t>
            </w:r>
            <w:r w:rsidRPr="00FC1444">
              <w:rPr>
                <w:rFonts w:eastAsiaTheme="minorEastAsia"/>
                <w:szCs w:val="21"/>
              </w:rPr>
              <w:t>285</w:t>
            </w:r>
            <w:r w:rsidRPr="00FC1444">
              <w:rPr>
                <w:rFonts w:eastAsiaTheme="minorEastAsia" w:hint="eastAsia"/>
                <w:szCs w:val="21"/>
              </w:rPr>
              <w:t>0</w:t>
            </w:r>
            <w:r w:rsidRPr="00FC1444">
              <w:rPr>
                <w:rFonts w:eastAsiaTheme="minorEastAsia"/>
                <w:szCs w:val="21"/>
              </w:rPr>
              <w:t>人</w:t>
            </w:r>
          </w:p>
        </w:tc>
        <w:tc>
          <w:tcPr>
            <w:tcW w:w="993" w:type="dxa"/>
            <w:vAlign w:val="center"/>
          </w:tcPr>
          <w:p w:rsidR="00995179" w:rsidRPr="00FC1444" w:rsidRDefault="00995179" w:rsidP="006C3D69">
            <w:pPr>
              <w:jc w:val="center"/>
              <w:rPr>
                <w:rFonts w:eastAsiaTheme="minorEastAsia"/>
                <w:szCs w:val="21"/>
              </w:rPr>
            </w:pPr>
            <w:r w:rsidRPr="00FC1444">
              <w:rPr>
                <w:rFonts w:eastAsiaTheme="minorEastAsia"/>
                <w:szCs w:val="21"/>
              </w:rPr>
              <w:t>供水规模</w:t>
            </w:r>
            <w:r w:rsidRPr="00FC1444">
              <w:rPr>
                <w:rFonts w:eastAsiaTheme="minorEastAsia" w:hint="eastAsia"/>
                <w:szCs w:val="21"/>
              </w:rPr>
              <w:t>120</w:t>
            </w:r>
            <w:r w:rsidRPr="00FC1444">
              <w:rPr>
                <w:rFonts w:eastAsiaTheme="minorEastAsia"/>
                <w:szCs w:val="21"/>
              </w:rPr>
              <w:t>m³/d</w:t>
            </w:r>
          </w:p>
        </w:tc>
        <w:tc>
          <w:tcPr>
            <w:tcW w:w="567" w:type="dxa"/>
            <w:vMerge/>
            <w:tcBorders>
              <w:right w:val="single" w:sz="2" w:space="0" w:color="auto"/>
            </w:tcBorders>
            <w:vAlign w:val="center"/>
          </w:tcPr>
          <w:p w:rsidR="00995179" w:rsidRPr="00FC1444"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FC1444" w:rsidRDefault="00995179" w:rsidP="006C3D69">
            <w:pPr>
              <w:spacing w:line="0" w:lineRule="atLeast"/>
              <w:contextualSpacing/>
              <w:jc w:val="center"/>
              <w:rPr>
                <w:rFonts w:eastAsiaTheme="minorEastAsia"/>
                <w:snapToGrid w:val="0"/>
                <w:kern w:val="0"/>
                <w:szCs w:val="21"/>
              </w:rPr>
            </w:pPr>
            <w:r w:rsidRPr="00FC1444">
              <w:rPr>
                <w:rFonts w:eastAsiaTheme="minorEastAsia"/>
                <w:snapToGrid w:val="0"/>
                <w:kern w:val="0"/>
                <w:szCs w:val="21"/>
              </w:rPr>
              <w:t>东至农田，南至林地，西至林地，北至农田</w:t>
            </w:r>
          </w:p>
        </w:tc>
        <w:tc>
          <w:tcPr>
            <w:tcW w:w="525"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FC1444" w:rsidRDefault="00995179" w:rsidP="006C3D69">
            <w:pPr>
              <w:spacing w:line="0" w:lineRule="atLeast"/>
              <w:contextualSpacing/>
              <w:jc w:val="center"/>
              <w:rPr>
                <w:rFonts w:eastAsiaTheme="minorEastAsia"/>
                <w:snapToGrid w:val="0"/>
                <w:kern w:val="0"/>
                <w:szCs w:val="21"/>
              </w:rPr>
            </w:pPr>
            <w:r w:rsidRPr="00FC1444">
              <w:rPr>
                <w:rFonts w:eastAsiaTheme="minorEastAsia"/>
                <w:kern w:val="0"/>
                <w:szCs w:val="21"/>
              </w:rPr>
              <w:t>一级保护区（</w:t>
            </w:r>
            <w:r w:rsidRPr="00FC1444">
              <w:rPr>
                <w:rFonts w:eastAsiaTheme="minorEastAsia"/>
                <w:kern w:val="0"/>
                <w:szCs w:val="21"/>
              </w:rPr>
              <w:t>30m</w:t>
            </w:r>
            <w:r w:rsidRPr="00FC1444">
              <w:rPr>
                <w:rFonts w:eastAsiaTheme="minorEastAsia"/>
                <w:kern w:val="0"/>
                <w:szCs w:val="21"/>
              </w:rPr>
              <w:t>）</w:t>
            </w:r>
          </w:p>
        </w:tc>
        <w:tc>
          <w:tcPr>
            <w:tcW w:w="751" w:type="dxa"/>
            <w:vMerge/>
            <w:tcBorders>
              <w:left w:val="single" w:sz="2" w:space="0" w:color="auto"/>
            </w:tcBorders>
            <w:vAlign w:val="center"/>
          </w:tcPr>
          <w:p w:rsidR="00995179" w:rsidRPr="00FC1444" w:rsidRDefault="00995179">
            <w:pPr>
              <w:spacing w:line="0" w:lineRule="atLeast"/>
              <w:contextualSpacing/>
              <w:jc w:val="center"/>
              <w:rPr>
                <w:rFonts w:eastAsiaTheme="minorEastAsia"/>
                <w:snapToGrid w:val="0"/>
                <w:kern w:val="0"/>
                <w:szCs w:val="21"/>
              </w:rPr>
            </w:pPr>
          </w:p>
        </w:tc>
      </w:tr>
    </w:tbl>
    <w:p w:rsidR="00D121B7" w:rsidRPr="00FC1444" w:rsidRDefault="00D121B7">
      <w:pPr>
        <w:spacing w:line="360" w:lineRule="auto"/>
        <w:ind w:firstLineChars="200" w:firstLine="480"/>
        <w:contextualSpacing/>
        <w:rPr>
          <w:rFonts w:eastAsiaTheme="minorEastAsia"/>
          <w:sz w:val="24"/>
        </w:rPr>
      </w:pPr>
    </w:p>
    <w:p w:rsidR="00D121B7" w:rsidRPr="00FC1444" w:rsidRDefault="00D121B7">
      <w:pPr>
        <w:spacing w:line="360" w:lineRule="auto"/>
        <w:ind w:firstLineChars="200" w:firstLine="480"/>
        <w:contextualSpacing/>
        <w:rPr>
          <w:rFonts w:eastAsiaTheme="minorEastAsia"/>
          <w:sz w:val="24"/>
        </w:rPr>
      </w:pPr>
    </w:p>
    <w:p w:rsidR="002A5A5E" w:rsidRPr="00FC1444" w:rsidRDefault="00611CBA">
      <w:pPr>
        <w:spacing w:line="360" w:lineRule="auto"/>
        <w:ind w:firstLineChars="200" w:firstLine="480"/>
        <w:contextualSpacing/>
        <w:rPr>
          <w:rFonts w:eastAsiaTheme="minorEastAsia"/>
          <w:snapToGrid w:val="0"/>
          <w:sz w:val="24"/>
        </w:rPr>
      </w:pPr>
      <w:r w:rsidRPr="00FC1444">
        <w:rPr>
          <w:rFonts w:eastAsiaTheme="minorEastAsia"/>
          <w:sz w:val="24"/>
        </w:rPr>
        <w:lastRenderedPageBreak/>
        <w:t>根据黑龙江省生态环境分区管控数据应用平台出具的《</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生态环境分区管控分析报告》可见，本项目工程占地及生态评价范围不涉及生态保护红线、</w:t>
      </w:r>
      <w:r w:rsidRPr="00FC1444">
        <w:rPr>
          <w:rFonts w:eastAsiaTheme="minorEastAsia"/>
          <w:snapToGrid w:val="0"/>
          <w:sz w:val="24"/>
        </w:rPr>
        <w:t>国家、省、市重点保护文物、濒危珍稀动植物、森林公园、地质公园、天然林、公益林等生态保护目标。</w:t>
      </w:r>
    </w:p>
    <w:p w:rsidR="00B21224" w:rsidRPr="00FC1444" w:rsidRDefault="00B21224" w:rsidP="00B21224">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 xml:space="preserve">4-4-3 </w:t>
      </w:r>
      <w:r w:rsidRPr="00FC1444">
        <w:rPr>
          <w:rFonts w:eastAsiaTheme="minorEastAsia"/>
          <w:b/>
          <w:kern w:val="0"/>
          <w:szCs w:val="21"/>
        </w:rPr>
        <w:t>生态环境保护目标一览表</w:t>
      </w:r>
    </w:p>
    <w:tbl>
      <w:tblPr>
        <w:tblW w:w="5000" w:type="pct"/>
        <w:jc w:val="center"/>
        <w:tblBorders>
          <w:top w:val="single" w:sz="12" w:space="0" w:color="auto"/>
          <w:bottom w:val="single" w:sz="12" w:space="0" w:color="auto"/>
          <w:insideH w:val="single" w:sz="2" w:space="0" w:color="auto"/>
          <w:insideV w:val="single" w:sz="2" w:space="0" w:color="auto"/>
        </w:tblBorders>
        <w:tblCellMar>
          <w:left w:w="0" w:type="dxa"/>
          <w:right w:w="0" w:type="dxa"/>
        </w:tblCellMar>
        <w:tblLook w:val="04A0"/>
      </w:tblPr>
      <w:tblGrid>
        <w:gridCol w:w="678"/>
        <w:gridCol w:w="1581"/>
        <w:gridCol w:w="1693"/>
        <w:gridCol w:w="1693"/>
        <w:gridCol w:w="701"/>
        <w:gridCol w:w="1960"/>
      </w:tblGrid>
      <w:tr w:rsidR="001D127C" w:rsidRPr="00FC1444" w:rsidTr="00DF4950">
        <w:trPr>
          <w:trHeight w:val="602"/>
          <w:jc w:val="center"/>
        </w:trPr>
        <w:tc>
          <w:tcPr>
            <w:tcW w:w="408" w:type="pct"/>
            <w:vAlign w:val="center"/>
          </w:tcPr>
          <w:p w:rsidR="001D127C" w:rsidRPr="00FC1444" w:rsidRDefault="001D127C" w:rsidP="00DF4950">
            <w:pPr>
              <w:jc w:val="center"/>
              <w:rPr>
                <w:rFonts w:eastAsiaTheme="minorEastAsia"/>
                <w:kern w:val="0"/>
                <w:szCs w:val="21"/>
              </w:rPr>
            </w:pPr>
            <w:r w:rsidRPr="00FC1444">
              <w:rPr>
                <w:rFonts w:eastAsiaTheme="minorEastAsia"/>
                <w:kern w:val="0"/>
                <w:szCs w:val="21"/>
              </w:rPr>
              <w:t>类别</w:t>
            </w:r>
          </w:p>
        </w:tc>
        <w:tc>
          <w:tcPr>
            <w:tcW w:w="952" w:type="pct"/>
            <w:vAlign w:val="center"/>
          </w:tcPr>
          <w:p w:rsidR="001D127C" w:rsidRPr="00FC1444" w:rsidRDefault="001D127C" w:rsidP="00DF4950">
            <w:pPr>
              <w:jc w:val="center"/>
              <w:rPr>
                <w:rFonts w:eastAsiaTheme="minorEastAsia"/>
                <w:kern w:val="0"/>
                <w:szCs w:val="21"/>
              </w:rPr>
            </w:pPr>
            <w:r w:rsidRPr="00FC1444">
              <w:rPr>
                <w:rFonts w:eastAsiaTheme="minorEastAsia"/>
                <w:kern w:val="0"/>
                <w:szCs w:val="21"/>
              </w:rPr>
              <w:t>名称</w:t>
            </w:r>
          </w:p>
        </w:tc>
        <w:tc>
          <w:tcPr>
            <w:tcW w:w="1019" w:type="pct"/>
            <w:vAlign w:val="center"/>
          </w:tcPr>
          <w:p w:rsidR="001D127C" w:rsidRPr="00FC1444" w:rsidRDefault="001D127C" w:rsidP="00DF4950">
            <w:pPr>
              <w:jc w:val="center"/>
              <w:rPr>
                <w:rFonts w:eastAsiaTheme="minorEastAsia"/>
                <w:kern w:val="0"/>
                <w:szCs w:val="21"/>
              </w:rPr>
            </w:pPr>
            <w:r w:rsidRPr="00FC1444">
              <w:t>环境功能</w:t>
            </w:r>
          </w:p>
        </w:tc>
        <w:tc>
          <w:tcPr>
            <w:tcW w:w="1019" w:type="pct"/>
            <w:vAlign w:val="center"/>
          </w:tcPr>
          <w:p w:rsidR="001D127C" w:rsidRPr="00FC1444" w:rsidRDefault="001D127C" w:rsidP="00DF4950">
            <w:pPr>
              <w:jc w:val="center"/>
              <w:rPr>
                <w:rFonts w:eastAsiaTheme="minorEastAsia"/>
              </w:rPr>
            </w:pPr>
            <w:r w:rsidRPr="00FC1444">
              <w:rPr>
                <w:rFonts w:eastAsiaTheme="minorEastAsia"/>
                <w:kern w:val="0"/>
                <w:szCs w:val="21"/>
              </w:rPr>
              <w:t>对应区位关系</w:t>
            </w:r>
          </w:p>
        </w:tc>
        <w:tc>
          <w:tcPr>
            <w:tcW w:w="422" w:type="pct"/>
            <w:vAlign w:val="center"/>
          </w:tcPr>
          <w:p w:rsidR="001D127C" w:rsidRPr="00FC1444" w:rsidRDefault="001D127C" w:rsidP="00DF4950">
            <w:pPr>
              <w:jc w:val="center"/>
              <w:rPr>
                <w:rFonts w:eastAsiaTheme="minorEastAsia"/>
              </w:rPr>
            </w:pPr>
            <w:r w:rsidRPr="00FC1444">
              <w:rPr>
                <w:rFonts w:eastAsiaTheme="minorEastAsia"/>
                <w:kern w:val="0"/>
                <w:szCs w:val="21"/>
              </w:rPr>
              <w:t>占用情况</w:t>
            </w:r>
          </w:p>
        </w:tc>
        <w:tc>
          <w:tcPr>
            <w:tcW w:w="1180" w:type="pct"/>
            <w:vAlign w:val="center"/>
          </w:tcPr>
          <w:p w:rsidR="001D127C" w:rsidRPr="00FC1444" w:rsidRDefault="001D127C" w:rsidP="00DF4950">
            <w:pPr>
              <w:spacing w:line="0" w:lineRule="atLeast"/>
              <w:jc w:val="center"/>
              <w:rPr>
                <w:rFonts w:eastAsiaTheme="minorEastAsia"/>
                <w:szCs w:val="21"/>
              </w:rPr>
            </w:pPr>
            <w:r w:rsidRPr="00FC1444">
              <w:rPr>
                <w:rFonts w:eastAsiaTheme="minorEastAsia"/>
                <w:szCs w:val="21"/>
              </w:rPr>
              <w:t>保护要求</w:t>
            </w:r>
          </w:p>
        </w:tc>
      </w:tr>
      <w:tr w:rsidR="001D127C" w:rsidRPr="00FC1444" w:rsidTr="00DF4950">
        <w:trPr>
          <w:trHeight w:val="268"/>
          <w:jc w:val="center"/>
        </w:trPr>
        <w:tc>
          <w:tcPr>
            <w:tcW w:w="408" w:type="pct"/>
            <w:vMerge w:val="restart"/>
            <w:vAlign w:val="center"/>
          </w:tcPr>
          <w:p w:rsidR="001D127C" w:rsidRPr="00FC1444" w:rsidRDefault="001D127C" w:rsidP="00DF4950">
            <w:pPr>
              <w:jc w:val="center"/>
              <w:rPr>
                <w:rFonts w:eastAsiaTheme="minorEastAsia"/>
                <w:snapToGrid w:val="0"/>
                <w:szCs w:val="21"/>
              </w:rPr>
            </w:pPr>
            <w:r w:rsidRPr="00FC1444">
              <w:rPr>
                <w:rFonts w:eastAsiaTheme="minorEastAsia"/>
              </w:rPr>
              <w:t>陆生生态</w:t>
            </w:r>
          </w:p>
        </w:tc>
        <w:tc>
          <w:tcPr>
            <w:tcW w:w="952" w:type="pct"/>
            <w:vAlign w:val="center"/>
          </w:tcPr>
          <w:p w:rsidR="001D127C" w:rsidRPr="00FC1444" w:rsidRDefault="001D127C" w:rsidP="00DF4950">
            <w:pPr>
              <w:jc w:val="center"/>
              <w:rPr>
                <w:rFonts w:eastAsiaTheme="minorEastAsia"/>
                <w:snapToGrid w:val="0"/>
                <w:szCs w:val="21"/>
              </w:rPr>
            </w:pPr>
            <w:r w:rsidRPr="00FC1444">
              <w:rPr>
                <w:rFonts w:eastAsiaTheme="minorEastAsia"/>
              </w:rPr>
              <w:t>黑土地</w:t>
            </w:r>
          </w:p>
        </w:tc>
        <w:tc>
          <w:tcPr>
            <w:tcW w:w="1019" w:type="pct"/>
            <w:vAlign w:val="center"/>
          </w:tcPr>
          <w:p w:rsidR="001D127C" w:rsidRPr="00FC1444" w:rsidRDefault="001D127C" w:rsidP="00DF4950">
            <w:pPr>
              <w:jc w:val="center"/>
              <w:rPr>
                <w:rFonts w:eastAsiaTheme="minorEastAsia"/>
                <w:snapToGrid w:val="0"/>
                <w:szCs w:val="21"/>
              </w:rPr>
            </w:pPr>
            <w:r w:rsidRPr="00FC1444">
              <w:t>粮食生产、固碳</w:t>
            </w:r>
          </w:p>
        </w:tc>
        <w:tc>
          <w:tcPr>
            <w:tcW w:w="1441" w:type="pct"/>
            <w:gridSpan w:val="2"/>
            <w:vAlign w:val="center"/>
          </w:tcPr>
          <w:p w:rsidR="001D127C" w:rsidRPr="00FC1444" w:rsidRDefault="001D127C" w:rsidP="00DF4950">
            <w:pPr>
              <w:jc w:val="center"/>
              <w:rPr>
                <w:rFonts w:eastAsiaTheme="minorEastAsia"/>
                <w:smallCaps/>
              </w:rPr>
            </w:pPr>
            <w:r w:rsidRPr="00FC1444">
              <w:rPr>
                <w:rFonts w:eastAsiaTheme="minorEastAsia"/>
                <w:snapToGrid w:val="0"/>
                <w:szCs w:val="21"/>
              </w:rPr>
              <w:t>工程建设占地（田块整治工程）及评价范围</w:t>
            </w:r>
          </w:p>
        </w:tc>
        <w:tc>
          <w:tcPr>
            <w:tcW w:w="1180" w:type="pct"/>
            <w:vAlign w:val="center"/>
          </w:tcPr>
          <w:p w:rsidR="001D127C" w:rsidRPr="00FC1444" w:rsidRDefault="001D127C" w:rsidP="00DF4950">
            <w:pPr>
              <w:spacing w:line="0" w:lineRule="atLeast"/>
              <w:jc w:val="center"/>
              <w:rPr>
                <w:rFonts w:eastAsiaTheme="minorEastAsia"/>
                <w:szCs w:val="22"/>
              </w:rPr>
            </w:pPr>
            <w:r w:rsidRPr="00FC1444">
              <w:rPr>
                <w:bCs/>
              </w:rPr>
              <w:t>耕作层表土剥离，严格保护，合理利用</w:t>
            </w:r>
          </w:p>
        </w:tc>
      </w:tr>
      <w:tr w:rsidR="001D127C" w:rsidRPr="00FC1444" w:rsidTr="00DF4950">
        <w:trPr>
          <w:trHeight w:val="456"/>
          <w:jc w:val="center"/>
        </w:trPr>
        <w:tc>
          <w:tcPr>
            <w:tcW w:w="408" w:type="pct"/>
            <w:vMerge/>
            <w:vAlign w:val="center"/>
          </w:tcPr>
          <w:p w:rsidR="001D127C" w:rsidRPr="00FC1444" w:rsidRDefault="001D127C" w:rsidP="00DF4950">
            <w:pPr>
              <w:jc w:val="center"/>
              <w:rPr>
                <w:rFonts w:eastAsiaTheme="minorEastAsia"/>
                <w:snapToGrid w:val="0"/>
                <w:szCs w:val="21"/>
              </w:rPr>
            </w:pPr>
          </w:p>
        </w:tc>
        <w:tc>
          <w:tcPr>
            <w:tcW w:w="952" w:type="pct"/>
            <w:vAlign w:val="center"/>
          </w:tcPr>
          <w:p w:rsidR="001D127C" w:rsidRPr="00FC1444" w:rsidRDefault="001D127C" w:rsidP="00DF4950">
            <w:pPr>
              <w:jc w:val="center"/>
              <w:rPr>
                <w:rFonts w:eastAsiaTheme="minorEastAsia"/>
                <w:snapToGrid w:val="0"/>
                <w:szCs w:val="21"/>
              </w:rPr>
            </w:pPr>
            <w:r w:rsidRPr="00FC1444">
              <w:rPr>
                <w:rFonts w:eastAsiaTheme="minorEastAsia"/>
              </w:rPr>
              <w:t>永久基本农田</w:t>
            </w:r>
          </w:p>
        </w:tc>
        <w:tc>
          <w:tcPr>
            <w:tcW w:w="1019" w:type="pct"/>
            <w:vAlign w:val="center"/>
          </w:tcPr>
          <w:p w:rsidR="001D127C" w:rsidRPr="00FC1444" w:rsidRDefault="001D127C" w:rsidP="00DF4950">
            <w:pPr>
              <w:jc w:val="center"/>
              <w:rPr>
                <w:rFonts w:eastAsiaTheme="minorEastAsia"/>
                <w:snapToGrid w:val="0"/>
                <w:szCs w:val="21"/>
              </w:rPr>
            </w:pPr>
            <w:r w:rsidRPr="00FC1444">
              <w:t>具有重要的农业生产功能和农村生态功能</w:t>
            </w:r>
          </w:p>
        </w:tc>
        <w:tc>
          <w:tcPr>
            <w:tcW w:w="1441" w:type="pct"/>
            <w:gridSpan w:val="2"/>
            <w:vAlign w:val="center"/>
          </w:tcPr>
          <w:p w:rsidR="001D127C" w:rsidRPr="00FC1444" w:rsidRDefault="001D127C" w:rsidP="00DF4950">
            <w:pPr>
              <w:jc w:val="center"/>
              <w:rPr>
                <w:rFonts w:eastAsiaTheme="minorEastAsia"/>
                <w:snapToGrid w:val="0"/>
                <w:szCs w:val="21"/>
              </w:rPr>
            </w:pPr>
            <w:r w:rsidRPr="00FC1444">
              <w:rPr>
                <w:rFonts w:eastAsiaTheme="minorEastAsia"/>
                <w:snapToGrid w:val="0"/>
                <w:szCs w:val="21"/>
              </w:rPr>
              <w:t>工程建设占地（田块整治工程）及评价范围</w:t>
            </w:r>
          </w:p>
        </w:tc>
        <w:tc>
          <w:tcPr>
            <w:tcW w:w="1180" w:type="pct"/>
            <w:vAlign w:val="center"/>
          </w:tcPr>
          <w:p w:rsidR="001D127C" w:rsidRPr="00FC1444" w:rsidRDefault="001D127C" w:rsidP="00DF4950">
            <w:pPr>
              <w:spacing w:line="0" w:lineRule="atLeast"/>
              <w:jc w:val="center"/>
              <w:rPr>
                <w:rFonts w:eastAsiaTheme="minorEastAsia"/>
                <w:smallCaps/>
              </w:rPr>
            </w:pPr>
            <w:r w:rsidRPr="00FC1444">
              <w:rPr>
                <w:rFonts w:eastAsiaTheme="minorEastAsia"/>
                <w:bCs/>
                <w:smallCaps/>
              </w:rPr>
              <w:t>严格保护</w:t>
            </w:r>
            <w:r w:rsidRPr="00FC1444">
              <w:rPr>
                <w:rFonts w:eastAsiaTheme="minorEastAsia"/>
                <w:smallCaps/>
              </w:rPr>
              <w:t>永久基本农田</w:t>
            </w:r>
          </w:p>
        </w:tc>
      </w:tr>
      <w:tr w:rsidR="001D127C" w:rsidRPr="00FC1444" w:rsidTr="00DF4950">
        <w:trPr>
          <w:trHeight w:val="386"/>
          <w:jc w:val="center"/>
        </w:trPr>
        <w:tc>
          <w:tcPr>
            <w:tcW w:w="408" w:type="pct"/>
            <w:vAlign w:val="center"/>
          </w:tcPr>
          <w:p w:rsidR="001D127C" w:rsidRPr="00FC1444" w:rsidRDefault="001D127C" w:rsidP="00DF4950">
            <w:pPr>
              <w:jc w:val="center"/>
              <w:rPr>
                <w:rFonts w:eastAsiaTheme="minorEastAsia"/>
                <w:snapToGrid w:val="0"/>
                <w:szCs w:val="21"/>
              </w:rPr>
            </w:pPr>
            <w:r w:rsidRPr="00FC1444">
              <w:rPr>
                <w:rFonts w:eastAsiaTheme="minorEastAsia"/>
              </w:rPr>
              <w:t>水生生态</w:t>
            </w:r>
          </w:p>
        </w:tc>
        <w:tc>
          <w:tcPr>
            <w:tcW w:w="952" w:type="pct"/>
            <w:vAlign w:val="center"/>
          </w:tcPr>
          <w:p w:rsidR="001D127C" w:rsidRPr="00FC1444" w:rsidRDefault="001D127C" w:rsidP="00DF4950">
            <w:pPr>
              <w:jc w:val="center"/>
              <w:rPr>
                <w:rFonts w:eastAsiaTheme="minorEastAsia"/>
                <w:snapToGrid w:val="0"/>
                <w:szCs w:val="21"/>
              </w:rPr>
            </w:pPr>
            <w:r w:rsidRPr="00FC1444">
              <w:rPr>
                <w:rFonts w:eastAsiaTheme="minorEastAsia" w:hint="eastAsia"/>
                <w:snapToGrid w:val="0"/>
              </w:rPr>
              <w:t>呼兰河、</w:t>
            </w:r>
            <w:r w:rsidRPr="00FC1444">
              <w:rPr>
                <w:rFonts w:eastAsiaTheme="minorEastAsia"/>
                <w:snapToGrid w:val="0"/>
              </w:rPr>
              <w:t>津河、</w:t>
            </w:r>
            <w:r w:rsidRPr="00FC1444">
              <w:rPr>
                <w:rFonts w:eastAsiaTheme="minorEastAsia" w:hint="eastAsia"/>
                <w:snapToGrid w:val="0"/>
              </w:rPr>
              <w:t>努敏河</w:t>
            </w:r>
          </w:p>
        </w:tc>
        <w:tc>
          <w:tcPr>
            <w:tcW w:w="1019" w:type="pct"/>
            <w:vAlign w:val="center"/>
          </w:tcPr>
          <w:p w:rsidR="001D127C" w:rsidRPr="00FC1444" w:rsidRDefault="001D127C" w:rsidP="00DF4950">
            <w:pPr>
              <w:jc w:val="center"/>
              <w:rPr>
                <w:rFonts w:eastAsiaTheme="minorEastAsia"/>
                <w:snapToGrid w:val="0"/>
                <w:szCs w:val="21"/>
              </w:rPr>
            </w:pPr>
            <w:r w:rsidRPr="00FC1444">
              <w:t>渔业、生态保护、农业灌溉等</w:t>
            </w:r>
          </w:p>
        </w:tc>
        <w:tc>
          <w:tcPr>
            <w:tcW w:w="1019" w:type="pct"/>
            <w:vAlign w:val="center"/>
          </w:tcPr>
          <w:p w:rsidR="001D127C" w:rsidRPr="00FC1444" w:rsidRDefault="00B526E5" w:rsidP="00DF4950">
            <w:pPr>
              <w:jc w:val="center"/>
              <w:rPr>
                <w:rFonts w:eastAsiaTheme="minorEastAsia"/>
                <w:snapToGrid w:val="0"/>
                <w:szCs w:val="21"/>
              </w:rPr>
            </w:pPr>
            <w:r w:rsidRPr="00FC1444">
              <w:rPr>
                <w:rFonts w:eastAsiaTheme="minorEastAsia"/>
                <w:smallCaps/>
              </w:rPr>
              <w:t>水田退水承泄区，</w:t>
            </w:r>
            <w:r w:rsidRPr="00FC1444">
              <w:rPr>
                <w:rFonts w:eastAsiaTheme="minorEastAsia"/>
                <w:kern w:val="0"/>
              </w:rPr>
              <w:t>退水口位于绥胜干沟、原有沟</w:t>
            </w:r>
          </w:p>
        </w:tc>
        <w:tc>
          <w:tcPr>
            <w:tcW w:w="422" w:type="pct"/>
            <w:vAlign w:val="center"/>
          </w:tcPr>
          <w:p w:rsidR="001D127C" w:rsidRPr="00FC1444" w:rsidRDefault="001D127C" w:rsidP="00DF4950">
            <w:pPr>
              <w:jc w:val="center"/>
              <w:rPr>
                <w:rFonts w:eastAsiaTheme="minorEastAsia"/>
                <w:snapToGrid w:val="0"/>
                <w:szCs w:val="21"/>
              </w:rPr>
            </w:pPr>
            <w:r w:rsidRPr="00FC1444">
              <w:rPr>
                <w:rFonts w:eastAsiaTheme="minorEastAsia"/>
                <w:snapToGrid w:val="0"/>
                <w:szCs w:val="21"/>
              </w:rPr>
              <w:t>不占用</w:t>
            </w:r>
          </w:p>
        </w:tc>
        <w:tc>
          <w:tcPr>
            <w:tcW w:w="1180" w:type="pct"/>
            <w:vAlign w:val="center"/>
          </w:tcPr>
          <w:p w:rsidR="001D127C" w:rsidRPr="00FC1444" w:rsidRDefault="001D127C" w:rsidP="00DF4950">
            <w:pPr>
              <w:spacing w:line="0" w:lineRule="atLeast"/>
              <w:jc w:val="center"/>
              <w:rPr>
                <w:rFonts w:eastAsiaTheme="minorEastAsia"/>
                <w:smallCaps/>
              </w:rPr>
            </w:pPr>
            <w:r w:rsidRPr="00FC1444">
              <w:t>工程排水不得对</w:t>
            </w:r>
            <w:r w:rsidRPr="00FC1444">
              <w:rPr>
                <w:rStyle w:val="CharChar"/>
                <w:rFonts w:eastAsiaTheme="minorEastAsia" w:hAnsi="Times New Roman"/>
              </w:rPr>
              <w:t>鱼类资源、浮游、底栖生物、水生生物的多样性</w:t>
            </w:r>
            <w:r w:rsidRPr="00FC1444">
              <w:t>及生境等造成不利影响</w:t>
            </w:r>
          </w:p>
        </w:tc>
      </w:tr>
    </w:tbl>
    <w:p w:rsidR="001D127C" w:rsidRPr="00FC1444" w:rsidRDefault="001D127C" w:rsidP="001D127C">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 xml:space="preserve">4-4-4 </w:t>
      </w:r>
      <w:r w:rsidRPr="00FC1444">
        <w:rPr>
          <w:rFonts w:eastAsiaTheme="minorEastAsia"/>
          <w:b/>
          <w:kern w:val="0"/>
          <w:szCs w:val="21"/>
        </w:rPr>
        <w:t>地表水环境保护目标一览表</w:t>
      </w:r>
    </w:p>
    <w:tbl>
      <w:tblPr>
        <w:tblW w:w="8333"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710"/>
        <w:gridCol w:w="1289"/>
        <w:gridCol w:w="992"/>
        <w:gridCol w:w="2835"/>
        <w:gridCol w:w="2507"/>
      </w:tblGrid>
      <w:tr w:rsidR="001D127C" w:rsidRPr="00FC1444" w:rsidTr="00E33931">
        <w:trPr>
          <w:trHeight w:val="266"/>
          <w:jc w:val="center"/>
        </w:trPr>
        <w:tc>
          <w:tcPr>
            <w:tcW w:w="710" w:type="dxa"/>
            <w:vAlign w:val="center"/>
          </w:tcPr>
          <w:p w:rsidR="001D127C" w:rsidRPr="00FC1444" w:rsidRDefault="001D127C" w:rsidP="00DF4950">
            <w:pPr>
              <w:pStyle w:val="aff7"/>
              <w:spacing w:line="0" w:lineRule="atLeast"/>
              <w:contextualSpacing/>
              <w:rPr>
                <w:rFonts w:eastAsiaTheme="minorEastAsia" w:hAnsi="Times New Roman"/>
                <w:snapToGrid w:val="0"/>
              </w:rPr>
            </w:pPr>
            <w:r w:rsidRPr="00FC1444">
              <w:rPr>
                <w:rFonts w:eastAsiaTheme="minorEastAsia" w:hAnsi="Times New Roman"/>
                <w:snapToGrid w:val="0"/>
              </w:rPr>
              <w:t>环境要素</w:t>
            </w:r>
          </w:p>
        </w:tc>
        <w:tc>
          <w:tcPr>
            <w:tcW w:w="1289" w:type="dxa"/>
            <w:vAlign w:val="center"/>
          </w:tcPr>
          <w:p w:rsidR="001D127C" w:rsidRPr="00FC1444" w:rsidRDefault="001D127C" w:rsidP="00DF4950">
            <w:pPr>
              <w:pStyle w:val="aff7"/>
              <w:spacing w:line="0" w:lineRule="atLeast"/>
              <w:contextualSpacing/>
              <w:rPr>
                <w:rFonts w:eastAsiaTheme="minorEastAsia" w:hAnsi="Times New Roman"/>
                <w:snapToGrid w:val="0"/>
              </w:rPr>
            </w:pPr>
            <w:r w:rsidRPr="00FC1444">
              <w:rPr>
                <w:rFonts w:eastAsiaTheme="minorEastAsia" w:hAnsi="Times New Roman"/>
                <w:snapToGrid w:val="0"/>
              </w:rPr>
              <w:t>敏感点名称</w:t>
            </w:r>
          </w:p>
        </w:tc>
        <w:tc>
          <w:tcPr>
            <w:tcW w:w="992" w:type="dxa"/>
            <w:vAlign w:val="center"/>
          </w:tcPr>
          <w:p w:rsidR="001D127C" w:rsidRPr="00FC1444" w:rsidRDefault="001D127C" w:rsidP="00DF4950">
            <w:pPr>
              <w:pStyle w:val="aff7"/>
              <w:spacing w:line="0" w:lineRule="atLeast"/>
              <w:contextualSpacing/>
              <w:rPr>
                <w:rFonts w:eastAsiaTheme="minorEastAsia" w:hAnsi="Times New Roman"/>
                <w:snapToGrid w:val="0"/>
              </w:rPr>
            </w:pPr>
            <w:r w:rsidRPr="00FC1444">
              <w:rPr>
                <w:rFonts w:eastAsiaTheme="minorEastAsia" w:hAnsi="Times New Roman"/>
                <w:snapToGrid w:val="0"/>
              </w:rPr>
              <w:t>保护对象</w:t>
            </w:r>
          </w:p>
        </w:tc>
        <w:tc>
          <w:tcPr>
            <w:tcW w:w="2835" w:type="dxa"/>
            <w:vAlign w:val="center"/>
          </w:tcPr>
          <w:p w:rsidR="001D127C" w:rsidRPr="00FC1444" w:rsidRDefault="001D127C" w:rsidP="00DF4950">
            <w:pPr>
              <w:pStyle w:val="aff7"/>
              <w:adjustRightInd w:val="0"/>
              <w:snapToGrid w:val="0"/>
              <w:rPr>
                <w:rFonts w:eastAsiaTheme="minorEastAsia" w:hAnsi="Times New Roman"/>
                <w:snapToGrid w:val="0"/>
              </w:rPr>
            </w:pPr>
            <w:r w:rsidRPr="00FC1444">
              <w:rPr>
                <w:rFonts w:eastAsiaTheme="minorEastAsia" w:hAnsi="Times New Roman"/>
                <w:smallCaps/>
              </w:rPr>
              <w:t>与工程关系</w:t>
            </w:r>
          </w:p>
        </w:tc>
        <w:tc>
          <w:tcPr>
            <w:tcW w:w="2507" w:type="dxa"/>
            <w:shd w:val="clear" w:color="auto" w:fill="auto"/>
            <w:vAlign w:val="center"/>
          </w:tcPr>
          <w:p w:rsidR="001D127C" w:rsidRPr="00FC1444" w:rsidRDefault="001D127C" w:rsidP="00DF4950">
            <w:pPr>
              <w:pStyle w:val="aff7"/>
              <w:spacing w:line="0" w:lineRule="atLeast"/>
              <w:contextualSpacing/>
              <w:rPr>
                <w:rFonts w:eastAsiaTheme="minorEastAsia" w:hAnsi="Times New Roman"/>
                <w:snapToGrid w:val="0"/>
              </w:rPr>
            </w:pPr>
            <w:r w:rsidRPr="00FC1444">
              <w:rPr>
                <w:rFonts w:eastAsiaTheme="minorEastAsia" w:hAnsi="Times New Roman"/>
                <w:snapToGrid w:val="0"/>
              </w:rPr>
              <w:t>保护要求</w:t>
            </w:r>
          </w:p>
        </w:tc>
      </w:tr>
      <w:tr w:rsidR="00E33931" w:rsidRPr="00FC1444" w:rsidTr="00E33931">
        <w:trPr>
          <w:trHeight w:val="516"/>
          <w:jc w:val="center"/>
        </w:trPr>
        <w:tc>
          <w:tcPr>
            <w:tcW w:w="710" w:type="dxa"/>
            <w:vMerge w:val="restart"/>
            <w:vAlign w:val="center"/>
          </w:tcPr>
          <w:p w:rsidR="00E33931" w:rsidRPr="00FC1444" w:rsidRDefault="00E33931" w:rsidP="00DF4950">
            <w:pPr>
              <w:pStyle w:val="aff7"/>
              <w:spacing w:line="0" w:lineRule="atLeast"/>
              <w:contextualSpacing/>
              <w:rPr>
                <w:rFonts w:eastAsiaTheme="minorEastAsia" w:hAnsi="Times New Roman"/>
                <w:snapToGrid w:val="0"/>
              </w:rPr>
            </w:pPr>
            <w:r w:rsidRPr="00FC1444">
              <w:rPr>
                <w:rFonts w:eastAsiaTheme="minorEastAsia" w:hAnsi="Times New Roman"/>
                <w:snapToGrid w:val="0"/>
              </w:rPr>
              <w:t>地表水</w:t>
            </w:r>
          </w:p>
        </w:tc>
        <w:tc>
          <w:tcPr>
            <w:tcW w:w="1289" w:type="dxa"/>
            <w:vAlign w:val="center"/>
          </w:tcPr>
          <w:p w:rsidR="00E33931" w:rsidRPr="00FC1444" w:rsidRDefault="00E33931" w:rsidP="00DF4950">
            <w:pPr>
              <w:pStyle w:val="aff7"/>
              <w:spacing w:line="0" w:lineRule="atLeast"/>
              <w:contextualSpacing/>
              <w:rPr>
                <w:rFonts w:eastAsiaTheme="minorEastAsia" w:hAnsi="Times New Roman"/>
                <w:snapToGrid w:val="0"/>
              </w:rPr>
            </w:pPr>
            <w:r w:rsidRPr="00FC1444">
              <w:rPr>
                <w:rFonts w:eastAsiaTheme="minorEastAsia" w:hAnsi="Times New Roman" w:hint="eastAsia"/>
                <w:snapToGrid w:val="0"/>
              </w:rPr>
              <w:t>呼兰河</w:t>
            </w:r>
          </w:p>
        </w:tc>
        <w:tc>
          <w:tcPr>
            <w:tcW w:w="992" w:type="dxa"/>
            <w:vMerge w:val="restart"/>
            <w:vAlign w:val="center"/>
          </w:tcPr>
          <w:p w:rsidR="00E33931" w:rsidRPr="00FC1444" w:rsidRDefault="00E33931" w:rsidP="00DF4950">
            <w:pPr>
              <w:jc w:val="center"/>
              <w:rPr>
                <w:rFonts w:eastAsiaTheme="minorEastAsia"/>
                <w:smallCaps/>
                <w:szCs w:val="21"/>
              </w:rPr>
            </w:pPr>
            <w:r w:rsidRPr="00FC1444">
              <w:rPr>
                <w:rFonts w:eastAsiaTheme="minorEastAsia"/>
                <w:smallCaps/>
                <w:szCs w:val="21"/>
              </w:rPr>
              <w:t>水质及水生生态环境</w:t>
            </w:r>
          </w:p>
        </w:tc>
        <w:tc>
          <w:tcPr>
            <w:tcW w:w="2835" w:type="dxa"/>
            <w:vAlign w:val="center"/>
          </w:tcPr>
          <w:p w:rsidR="00E33931" w:rsidRPr="00FC1444" w:rsidRDefault="00E33931" w:rsidP="00DF4950">
            <w:pPr>
              <w:pStyle w:val="aff7"/>
              <w:spacing w:line="0" w:lineRule="atLeast"/>
              <w:contextualSpacing/>
              <w:rPr>
                <w:rFonts w:eastAsiaTheme="minorEastAsia" w:hAnsi="Times New Roman"/>
                <w:snapToGrid w:val="0"/>
              </w:rPr>
            </w:pPr>
            <w:r w:rsidRPr="00FC1444">
              <w:rPr>
                <w:rFonts w:eastAsiaTheme="minorEastAsia" w:hAnsi="Times New Roman"/>
                <w:smallCaps/>
              </w:rPr>
              <w:t>水田退水承泄区，</w:t>
            </w:r>
            <w:r w:rsidRPr="00FC1444">
              <w:rPr>
                <w:rFonts w:eastAsiaTheme="minorEastAsia" w:hAnsi="Times New Roman"/>
                <w:kern w:val="0"/>
              </w:rPr>
              <w:t>退水口位于</w:t>
            </w:r>
            <w:r w:rsidRPr="00FC1444">
              <w:rPr>
                <w:rFonts w:eastAsiaTheme="minorEastAsia" w:hAnsi="Times New Roman" w:hint="eastAsia"/>
                <w:kern w:val="0"/>
              </w:rPr>
              <w:t>绥胜干沟、原有</w:t>
            </w:r>
            <w:r w:rsidRPr="00FC1444">
              <w:rPr>
                <w:rFonts w:eastAsiaTheme="minorEastAsia" w:hAnsi="Times New Roman"/>
                <w:kern w:val="0"/>
              </w:rPr>
              <w:t>沟，汇入</w:t>
            </w:r>
            <w:r w:rsidRPr="00FC1444">
              <w:rPr>
                <w:rFonts w:eastAsiaTheme="minorEastAsia" w:hAnsi="Times New Roman" w:hint="eastAsia"/>
                <w:snapToGrid w:val="0"/>
              </w:rPr>
              <w:t>呼兰河</w:t>
            </w:r>
          </w:p>
        </w:tc>
        <w:tc>
          <w:tcPr>
            <w:tcW w:w="2507" w:type="dxa"/>
            <w:vMerge w:val="restart"/>
            <w:shd w:val="clear" w:color="auto" w:fill="auto"/>
            <w:vAlign w:val="center"/>
          </w:tcPr>
          <w:p w:rsidR="00E33931" w:rsidRPr="00FC1444" w:rsidRDefault="00E33931" w:rsidP="00DF4950">
            <w:pPr>
              <w:pStyle w:val="aff7"/>
              <w:spacing w:line="0" w:lineRule="atLeast"/>
              <w:contextualSpacing/>
              <w:rPr>
                <w:rFonts w:eastAsiaTheme="minorEastAsia" w:hAnsi="Times New Roman"/>
              </w:rPr>
            </w:pPr>
            <w:r w:rsidRPr="00FC1444">
              <w:rPr>
                <w:rFonts w:hAnsi="Times New Roman"/>
                <w:spacing w:val="3"/>
              </w:rPr>
              <w:t>维持现状水质类别，水质</w:t>
            </w:r>
            <w:r w:rsidRPr="00FC1444">
              <w:rPr>
                <w:rFonts w:hAnsi="Times New Roman"/>
                <w:spacing w:val="5"/>
              </w:rPr>
              <w:t>不恶化；</w:t>
            </w:r>
            <w:r w:rsidRPr="00FC1444">
              <w:rPr>
                <w:rFonts w:eastAsiaTheme="minorEastAsia" w:hAnsi="Times New Roman"/>
              </w:rPr>
              <w:t>《地表水环境质量标准》（</w:t>
            </w:r>
            <w:r w:rsidRPr="00FC1444">
              <w:rPr>
                <w:rFonts w:eastAsiaTheme="minorEastAsia" w:hAnsi="Times New Roman"/>
              </w:rPr>
              <w:t>GB3838-2002</w:t>
            </w:r>
            <w:r w:rsidRPr="00FC1444">
              <w:rPr>
                <w:rFonts w:eastAsiaTheme="minorEastAsia" w:hAnsi="Times New Roman"/>
              </w:rPr>
              <w:t>）</w:t>
            </w:r>
            <w:r w:rsidR="009840DD" w:rsidRPr="00FC1444">
              <w:rPr>
                <w:rFonts w:eastAsiaTheme="minorEastAsia" w:hAnsi="Times New Roman"/>
                <w:bCs/>
              </w:rPr>
              <w:fldChar w:fldCharType="begin"/>
            </w:r>
            <w:r w:rsidRPr="00FC1444">
              <w:rPr>
                <w:rFonts w:eastAsiaTheme="minorEastAsia" w:hAnsi="Times New Roman"/>
                <w:bCs/>
              </w:rPr>
              <w:instrText xml:space="preserve"> = 3 \* ROMAN </w:instrText>
            </w:r>
            <w:r w:rsidR="009840DD" w:rsidRPr="00FC1444">
              <w:rPr>
                <w:rFonts w:eastAsiaTheme="minorEastAsia" w:hAnsi="Times New Roman"/>
                <w:bCs/>
              </w:rPr>
              <w:fldChar w:fldCharType="separate"/>
            </w:r>
            <w:r w:rsidRPr="00FC1444">
              <w:rPr>
                <w:rFonts w:eastAsiaTheme="minorEastAsia" w:hAnsi="Times New Roman"/>
                <w:bCs/>
                <w:noProof/>
              </w:rPr>
              <w:t>III</w:t>
            </w:r>
            <w:r w:rsidR="009840DD" w:rsidRPr="00FC1444">
              <w:rPr>
                <w:rFonts w:eastAsiaTheme="minorEastAsia" w:hAnsi="Times New Roman"/>
                <w:bCs/>
              </w:rPr>
              <w:fldChar w:fldCharType="end"/>
            </w:r>
            <w:r w:rsidRPr="00FC1444">
              <w:rPr>
                <w:rFonts w:eastAsiaTheme="minorEastAsia" w:hAnsi="Times New Roman"/>
              </w:rPr>
              <w:t>类</w:t>
            </w:r>
          </w:p>
        </w:tc>
      </w:tr>
      <w:tr w:rsidR="00E33931" w:rsidRPr="00FC1444" w:rsidTr="00E33931">
        <w:trPr>
          <w:trHeight w:val="516"/>
          <w:jc w:val="center"/>
        </w:trPr>
        <w:tc>
          <w:tcPr>
            <w:tcW w:w="710" w:type="dxa"/>
            <w:vMerge/>
            <w:vAlign w:val="center"/>
          </w:tcPr>
          <w:p w:rsidR="00E33931" w:rsidRPr="00FC1444" w:rsidRDefault="00E33931" w:rsidP="00DF4950">
            <w:pPr>
              <w:pStyle w:val="aff7"/>
              <w:spacing w:line="0" w:lineRule="atLeast"/>
              <w:contextualSpacing/>
              <w:rPr>
                <w:rFonts w:eastAsiaTheme="minorEastAsia" w:hAnsi="Times New Roman"/>
                <w:snapToGrid w:val="0"/>
              </w:rPr>
            </w:pPr>
          </w:p>
        </w:tc>
        <w:tc>
          <w:tcPr>
            <w:tcW w:w="1289" w:type="dxa"/>
            <w:vAlign w:val="center"/>
          </w:tcPr>
          <w:p w:rsidR="00E33931" w:rsidRPr="00FC1444" w:rsidRDefault="00E33931" w:rsidP="00DF4950">
            <w:pPr>
              <w:pStyle w:val="aff7"/>
              <w:spacing w:line="0" w:lineRule="atLeast"/>
              <w:contextualSpacing/>
              <w:rPr>
                <w:rFonts w:eastAsiaTheme="minorEastAsia" w:hAnsi="Times New Roman"/>
                <w:snapToGrid w:val="0"/>
              </w:rPr>
            </w:pPr>
            <w:r w:rsidRPr="00FC1444">
              <w:rPr>
                <w:rFonts w:eastAsiaTheme="minorEastAsia" w:hAnsi="Times New Roman"/>
                <w:snapToGrid w:val="0"/>
              </w:rPr>
              <w:t>津河</w:t>
            </w:r>
          </w:p>
        </w:tc>
        <w:tc>
          <w:tcPr>
            <w:tcW w:w="992" w:type="dxa"/>
            <w:vMerge/>
            <w:vAlign w:val="center"/>
          </w:tcPr>
          <w:p w:rsidR="00E33931" w:rsidRPr="00FC1444" w:rsidRDefault="00E33931" w:rsidP="00DF4950">
            <w:pPr>
              <w:jc w:val="center"/>
              <w:rPr>
                <w:rFonts w:eastAsiaTheme="minorEastAsia"/>
                <w:smallCaps/>
                <w:szCs w:val="21"/>
              </w:rPr>
            </w:pPr>
          </w:p>
        </w:tc>
        <w:tc>
          <w:tcPr>
            <w:tcW w:w="2835" w:type="dxa"/>
            <w:vAlign w:val="center"/>
          </w:tcPr>
          <w:p w:rsidR="00E33931" w:rsidRPr="00FC1444" w:rsidRDefault="00E33931" w:rsidP="00DF4950">
            <w:pPr>
              <w:pStyle w:val="aff7"/>
              <w:spacing w:line="0" w:lineRule="atLeast"/>
              <w:contextualSpacing/>
              <w:rPr>
                <w:rFonts w:eastAsiaTheme="minorEastAsia" w:hAnsi="Times New Roman"/>
                <w:snapToGrid w:val="0"/>
              </w:rPr>
            </w:pPr>
            <w:r w:rsidRPr="00FC1444">
              <w:rPr>
                <w:rFonts w:eastAsiaTheme="minorEastAsia" w:hAnsi="Times New Roman"/>
                <w:smallCaps/>
              </w:rPr>
              <w:t>水田退水承泄区，</w:t>
            </w:r>
            <w:r w:rsidRPr="00FC1444">
              <w:rPr>
                <w:rFonts w:eastAsiaTheme="minorEastAsia" w:hAnsi="Times New Roman"/>
                <w:kern w:val="0"/>
              </w:rPr>
              <w:t>退水口位于</w:t>
            </w:r>
            <w:r w:rsidRPr="00FC1444">
              <w:rPr>
                <w:rFonts w:eastAsiaTheme="minorEastAsia" w:hAnsi="Times New Roman" w:hint="eastAsia"/>
                <w:kern w:val="0"/>
              </w:rPr>
              <w:t>原有</w:t>
            </w:r>
            <w:r w:rsidRPr="00FC1444">
              <w:rPr>
                <w:rFonts w:eastAsiaTheme="minorEastAsia" w:hAnsi="Times New Roman"/>
                <w:kern w:val="0"/>
              </w:rPr>
              <w:t>沟，汇入</w:t>
            </w:r>
            <w:r w:rsidRPr="00FC1444">
              <w:rPr>
                <w:rFonts w:eastAsiaTheme="minorEastAsia" w:hAnsi="Times New Roman"/>
                <w:snapToGrid w:val="0"/>
              </w:rPr>
              <w:t>津河</w:t>
            </w:r>
          </w:p>
        </w:tc>
        <w:tc>
          <w:tcPr>
            <w:tcW w:w="2507" w:type="dxa"/>
            <w:vMerge/>
            <w:shd w:val="clear" w:color="auto" w:fill="auto"/>
            <w:vAlign w:val="center"/>
          </w:tcPr>
          <w:p w:rsidR="00E33931" w:rsidRPr="00FC1444" w:rsidRDefault="00E33931" w:rsidP="00DF4950">
            <w:pPr>
              <w:pStyle w:val="aff7"/>
              <w:spacing w:line="0" w:lineRule="atLeast"/>
              <w:contextualSpacing/>
              <w:rPr>
                <w:rFonts w:eastAsiaTheme="minorEastAsia" w:hAnsi="Times New Roman"/>
              </w:rPr>
            </w:pPr>
          </w:p>
        </w:tc>
      </w:tr>
      <w:tr w:rsidR="00E33931" w:rsidRPr="00FC1444" w:rsidTr="00E33931">
        <w:trPr>
          <w:trHeight w:val="516"/>
          <w:jc w:val="center"/>
        </w:trPr>
        <w:tc>
          <w:tcPr>
            <w:tcW w:w="710" w:type="dxa"/>
            <w:vMerge/>
            <w:vAlign w:val="center"/>
          </w:tcPr>
          <w:p w:rsidR="00E33931" w:rsidRPr="00FC1444" w:rsidRDefault="00E33931" w:rsidP="00DF4950">
            <w:pPr>
              <w:pStyle w:val="aff7"/>
              <w:spacing w:line="0" w:lineRule="atLeast"/>
              <w:contextualSpacing/>
              <w:rPr>
                <w:rFonts w:eastAsiaTheme="minorEastAsia" w:hAnsi="Times New Roman"/>
                <w:snapToGrid w:val="0"/>
              </w:rPr>
            </w:pPr>
          </w:p>
        </w:tc>
        <w:tc>
          <w:tcPr>
            <w:tcW w:w="1289" w:type="dxa"/>
            <w:vAlign w:val="center"/>
          </w:tcPr>
          <w:p w:rsidR="00E33931" w:rsidRPr="00FC1444" w:rsidRDefault="00E33931" w:rsidP="00DF4950">
            <w:pPr>
              <w:pStyle w:val="aff7"/>
              <w:spacing w:line="0" w:lineRule="atLeast"/>
              <w:contextualSpacing/>
              <w:rPr>
                <w:rFonts w:eastAsiaTheme="minorEastAsia" w:hAnsi="Times New Roman"/>
                <w:snapToGrid w:val="0"/>
              </w:rPr>
            </w:pPr>
            <w:r w:rsidRPr="00FC1444">
              <w:rPr>
                <w:rFonts w:eastAsiaTheme="minorEastAsia" w:hAnsi="Times New Roman" w:hint="eastAsia"/>
                <w:snapToGrid w:val="0"/>
              </w:rPr>
              <w:t>努敏河</w:t>
            </w:r>
          </w:p>
        </w:tc>
        <w:tc>
          <w:tcPr>
            <w:tcW w:w="992" w:type="dxa"/>
            <w:vMerge/>
            <w:vAlign w:val="center"/>
          </w:tcPr>
          <w:p w:rsidR="00E33931" w:rsidRPr="00FC1444" w:rsidRDefault="00E33931" w:rsidP="00DF4950">
            <w:pPr>
              <w:jc w:val="center"/>
              <w:rPr>
                <w:rFonts w:eastAsiaTheme="minorEastAsia"/>
                <w:smallCaps/>
                <w:szCs w:val="21"/>
              </w:rPr>
            </w:pPr>
          </w:p>
        </w:tc>
        <w:tc>
          <w:tcPr>
            <w:tcW w:w="2835" w:type="dxa"/>
            <w:vAlign w:val="center"/>
          </w:tcPr>
          <w:p w:rsidR="00E33931" w:rsidRPr="00FC1444" w:rsidRDefault="00E33931" w:rsidP="00DF4950">
            <w:pPr>
              <w:pStyle w:val="aff7"/>
              <w:spacing w:line="0" w:lineRule="atLeast"/>
              <w:contextualSpacing/>
              <w:rPr>
                <w:rFonts w:eastAsiaTheme="minorEastAsia" w:hAnsi="Times New Roman"/>
                <w:snapToGrid w:val="0"/>
              </w:rPr>
            </w:pPr>
            <w:r w:rsidRPr="00FC1444">
              <w:rPr>
                <w:rFonts w:eastAsiaTheme="minorEastAsia" w:hAnsi="Times New Roman"/>
                <w:smallCaps/>
              </w:rPr>
              <w:t>水田退水承泄区，</w:t>
            </w:r>
            <w:r w:rsidRPr="00FC1444">
              <w:rPr>
                <w:rFonts w:eastAsiaTheme="minorEastAsia" w:hAnsi="Times New Roman"/>
                <w:kern w:val="0"/>
              </w:rPr>
              <w:t>退水口位于</w:t>
            </w:r>
            <w:r w:rsidRPr="00FC1444">
              <w:rPr>
                <w:rFonts w:eastAsiaTheme="minorEastAsia" w:hAnsi="Times New Roman" w:hint="eastAsia"/>
                <w:kern w:val="0"/>
              </w:rPr>
              <w:t>原有</w:t>
            </w:r>
            <w:r w:rsidRPr="00FC1444">
              <w:rPr>
                <w:rFonts w:eastAsiaTheme="minorEastAsia" w:hAnsi="Times New Roman"/>
                <w:kern w:val="0"/>
              </w:rPr>
              <w:t>沟，汇入</w:t>
            </w:r>
            <w:r w:rsidRPr="00FC1444">
              <w:rPr>
                <w:rFonts w:eastAsiaTheme="minorEastAsia" w:hAnsi="Times New Roman" w:hint="eastAsia"/>
                <w:snapToGrid w:val="0"/>
              </w:rPr>
              <w:t>努敏河</w:t>
            </w:r>
          </w:p>
        </w:tc>
        <w:tc>
          <w:tcPr>
            <w:tcW w:w="2507" w:type="dxa"/>
            <w:vMerge/>
            <w:shd w:val="clear" w:color="auto" w:fill="auto"/>
            <w:vAlign w:val="center"/>
          </w:tcPr>
          <w:p w:rsidR="00E33931" w:rsidRPr="00FC1444" w:rsidRDefault="00E33931" w:rsidP="00DF4950">
            <w:pPr>
              <w:pStyle w:val="aff7"/>
              <w:spacing w:line="0" w:lineRule="atLeast"/>
              <w:contextualSpacing/>
              <w:rPr>
                <w:rFonts w:eastAsiaTheme="minorEastAsia" w:hAnsi="Times New Roman"/>
                <w:snapToGrid w:val="0"/>
              </w:rPr>
            </w:pPr>
          </w:p>
        </w:tc>
      </w:tr>
    </w:tbl>
    <w:p w:rsidR="00767C9F" w:rsidRPr="00FC1444" w:rsidRDefault="00767C9F" w:rsidP="00B21224">
      <w:pPr>
        <w:contextualSpacing/>
        <w:jc w:val="center"/>
        <w:rPr>
          <w:rFonts w:eastAsiaTheme="minorEastAsia"/>
          <w:b/>
          <w:kern w:val="0"/>
          <w:szCs w:val="21"/>
        </w:rPr>
      </w:pPr>
    </w:p>
    <w:p w:rsidR="00767C9F" w:rsidRPr="00FC1444" w:rsidRDefault="00767C9F" w:rsidP="00B21224">
      <w:pPr>
        <w:contextualSpacing/>
        <w:jc w:val="center"/>
        <w:rPr>
          <w:rFonts w:eastAsiaTheme="minorEastAsia"/>
          <w:b/>
          <w:kern w:val="0"/>
          <w:szCs w:val="21"/>
        </w:rPr>
      </w:pPr>
    </w:p>
    <w:p w:rsidR="00767C9F" w:rsidRPr="00FC1444" w:rsidRDefault="00767C9F" w:rsidP="00B21224">
      <w:pPr>
        <w:contextualSpacing/>
        <w:jc w:val="center"/>
        <w:rPr>
          <w:rFonts w:eastAsiaTheme="minorEastAsia"/>
          <w:b/>
          <w:kern w:val="0"/>
          <w:szCs w:val="21"/>
        </w:rPr>
      </w:pPr>
    </w:p>
    <w:p w:rsidR="00767C9F" w:rsidRPr="00FC1444" w:rsidRDefault="00767C9F" w:rsidP="00B21224">
      <w:pPr>
        <w:contextualSpacing/>
        <w:jc w:val="center"/>
        <w:rPr>
          <w:rFonts w:eastAsiaTheme="minorEastAsia"/>
          <w:b/>
          <w:kern w:val="0"/>
          <w:szCs w:val="21"/>
        </w:rPr>
      </w:pPr>
    </w:p>
    <w:p w:rsidR="00767C9F" w:rsidRPr="00FC1444" w:rsidRDefault="00767C9F" w:rsidP="00B21224">
      <w:pPr>
        <w:contextualSpacing/>
        <w:jc w:val="center"/>
        <w:rPr>
          <w:rFonts w:eastAsiaTheme="minorEastAsia"/>
          <w:b/>
          <w:kern w:val="0"/>
          <w:szCs w:val="21"/>
        </w:rPr>
      </w:pPr>
    </w:p>
    <w:p w:rsidR="00767C9F" w:rsidRPr="00FC1444" w:rsidRDefault="00767C9F" w:rsidP="00B21224">
      <w:pPr>
        <w:contextualSpacing/>
        <w:jc w:val="center"/>
        <w:rPr>
          <w:rFonts w:eastAsiaTheme="minorEastAsia"/>
          <w:b/>
          <w:kern w:val="0"/>
          <w:szCs w:val="21"/>
        </w:rPr>
      </w:pPr>
    </w:p>
    <w:p w:rsidR="00767C9F" w:rsidRPr="00FC1444" w:rsidRDefault="00767C9F" w:rsidP="00B21224">
      <w:pPr>
        <w:contextualSpacing/>
        <w:jc w:val="center"/>
        <w:rPr>
          <w:rFonts w:eastAsiaTheme="minorEastAsia"/>
          <w:b/>
          <w:kern w:val="0"/>
          <w:szCs w:val="21"/>
        </w:rPr>
      </w:pPr>
    </w:p>
    <w:p w:rsidR="00B21224" w:rsidRPr="00FC1444" w:rsidRDefault="00B21224" w:rsidP="00B21224">
      <w:pPr>
        <w:contextualSpacing/>
        <w:jc w:val="center"/>
        <w:rPr>
          <w:rFonts w:eastAsiaTheme="minorEastAsia"/>
          <w:b/>
          <w:kern w:val="0"/>
          <w:szCs w:val="21"/>
        </w:rPr>
      </w:pPr>
    </w:p>
    <w:p w:rsidR="002A5A5E" w:rsidRPr="00FC1444" w:rsidRDefault="002A5A5E" w:rsidP="00B21224">
      <w:pPr>
        <w:ind w:firstLineChars="200" w:firstLine="422"/>
        <w:contextualSpacing/>
        <w:jc w:val="center"/>
        <w:rPr>
          <w:rFonts w:eastAsiaTheme="minorEastAsia"/>
          <w:b/>
          <w:kern w:val="0"/>
          <w:szCs w:val="21"/>
        </w:rPr>
      </w:pPr>
    </w:p>
    <w:p w:rsidR="00B47652" w:rsidRPr="00FC1444" w:rsidRDefault="00B47652" w:rsidP="00B21224">
      <w:pPr>
        <w:ind w:firstLineChars="200" w:firstLine="422"/>
        <w:contextualSpacing/>
        <w:jc w:val="center"/>
        <w:rPr>
          <w:rFonts w:eastAsiaTheme="minorEastAsia"/>
          <w:b/>
          <w:kern w:val="0"/>
          <w:szCs w:val="21"/>
        </w:rPr>
      </w:pPr>
    </w:p>
    <w:p w:rsidR="00B47652" w:rsidRPr="00FC1444" w:rsidRDefault="00B47652" w:rsidP="00B21224">
      <w:pPr>
        <w:ind w:firstLineChars="200" w:firstLine="422"/>
        <w:contextualSpacing/>
        <w:jc w:val="center"/>
        <w:rPr>
          <w:rFonts w:eastAsiaTheme="minorEastAsia"/>
          <w:b/>
          <w:kern w:val="0"/>
          <w:szCs w:val="21"/>
        </w:rPr>
      </w:pPr>
    </w:p>
    <w:p w:rsidR="00B47652" w:rsidRPr="00FC1444" w:rsidRDefault="00B47652" w:rsidP="00B21224">
      <w:pPr>
        <w:ind w:firstLineChars="200" w:firstLine="422"/>
        <w:contextualSpacing/>
        <w:jc w:val="center"/>
        <w:rPr>
          <w:rFonts w:eastAsiaTheme="minorEastAsia"/>
          <w:b/>
          <w:snapToGrid w:val="0"/>
          <w:szCs w:val="21"/>
        </w:rPr>
        <w:sectPr w:rsidR="00B47652" w:rsidRPr="00FC1444">
          <w:pgSz w:w="11906" w:h="16838"/>
          <w:pgMar w:top="1440" w:right="1800" w:bottom="1440" w:left="1800" w:header="851" w:footer="992" w:gutter="0"/>
          <w:cols w:space="425"/>
          <w:docGrid w:type="lines" w:linePitch="312"/>
        </w:sectPr>
      </w:pPr>
    </w:p>
    <w:p w:rsidR="002A5A5E" w:rsidRPr="00FC1444"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19" w:name="_Toc488925382"/>
      <w:bookmarkStart w:id="120" w:name="_Toc208906241"/>
      <w:bookmarkStart w:id="121" w:name="_Toc477954569"/>
      <w:bookmarkStart w:id="122" w:name="_Toc494017090"/>
      <w:r w:rsidRPr="00FC1444">
        <w:rPr>
          <w:rFonts w:eastAsiaTheme="minorEastAsia"/>
          <w:b/>
          <w:kern w:val="0"/>
          <w:sz w:val="32"/>
          <w:szCs w:val="32"/>
        </w:rPr>
        <w:lastRenderedPageBreak/>
        <w:t>5</w:t>
      </w:r>
      <w:r w:rsidR="00FC1444" w:rsidRPr="00FC1444">
        <w:rPr>
          <w:rFonts w:eastAsiaTheme="minorEastAsia"/>
          <w:b/>
          <w:kern w:val="0"/>
          <w:sz w:val="32"/>
          <w:szCs w:val="32"/>
        </w:rPr>
        <w:t>生态</w:t>
      </w:r>
      <w:r w:rsidRPr="00FC1444">
        <w:rPr>
          <w:rFonts w:eastAsiaTheme="minorEastAsia"/>
          <w:b/>
          <w:kern w:val="0"/>
          <w:sz w:val="32"/>
          <w:szCs w:val="32"/>
        </w:rPr>
        <w:t>环境影响预测与评价</w:t>
      </w:r>
      <w:bookmarkEnd w:id="119"/>
      <w:bookmarkEnd w:id="120"/>
      <w:bookmarkEnd w:id="121"/>
      <w:bookmarkEnd w:id="122"/>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23" w:name="_Toc494017091"/>
      <w:bookmarkStart w:id="124" w:name="_Toc208906242"/>
      <w:r w:rsidRPr="00FC1444">
        <w:rPr>
          <w:rFonts w:eastAsiaTheme="minorEastAsia"/>
          <w:b/>
          <w:bCs/>
          <w:kern w:val="44"/>
          <w:sz w:val="30"/>
          <w:szCs w:val="30"/>
        </w:rPr>
        <w:t>5.1</w:t>
      </w:r>
      <w:r w:rsidRPr="00FC1444">
        <w:rPr>
          <w:rFonts w:eastAsiaTheme="minorEastAsia"/>
          <w:b/>
          <w:bCs/>
          <w:kern w:val="44"/>
          <w:sz w:val="30"/>
          <w:szCs w:val="30"/>
        </w:rPr>
        <w:t>施工期</w:t>
      </w:r>
      <w:r w:rsidR="00FC1444" w:rsidRPr="00FC1444">
        <w:rPr>
          <w:rFonts w:eastAsiaTheme="minorEastAsia"/>
          <w:b/>
          <w:bCs/>
          <w:kern w:val="44"/>
          <w:sz w:val="30"/>
          <w:szCs w:val="30"/>
        </w:rPr>
        <w:t>生态</w:t>
      </w:r>
      <w:r w:rsidRPr="00FC1444">
        <w:rPr>
          <w:rFonts w:eastAsiaTheme="minorEastAsia"/>
          <w:b/>
          <w:bCs/>
          <w:kern w:val="44"/>
          <w:sz w:val="30"/>
          <w:szCs w:val="30"/>
        </w:rPr>
        <w:t>环境影响分析</w:t>
      </w:r>
      <w:bookmarkEnd w:id="123"/>
      <w:bookmarkEnd w:id="124"/>
    </w:p>
    <w:p w:rsidR="002A5A5E" w:rsidRPr="00FC1444" w:rsidRDefault="00611CBA">
      <w:pPr>
        <w:autoSpaceDE w:val="0"/>
        <w:autoSpaceDN w:val="0"/>
        <w:spacing w:before="100" w:beforeAutospacing="1" w:after="100" w:afterAutospacing="1"/>
        <w:jc w:val="left"/>
        <w:outlineLvl w:val="2"/>
        <w:rPr>
          <w:rFonts w:eastAsiaTheme="minorEastAsia"/>
          <w:b/>
          <w:sz w:val="28"/>
          <w:szCs w:val="28"/>
        </w:rPr>
      </w:pPr>
      <w:r w:rsidRPr="00FC1444">
        <w:rPr>
          <w:rFonts w:eastAsiaTheme="minorEastAsia"/>
          <w:b/>
          <w:sz w:val="28"/>
          <w:szCs w:val="28"/>
        </w:rPr>
        <w:t>5.1.1</w:t>
      </w:r>
      <w:r w:rsidRPr="00FC1444">
        <w:rPr>
          <w:rFonts w:eastAsiaTheme="minorEastAsia"/>
          <w:b/>
          <w:sz w:val="28"/>
          <w:szCs w:val="28"/>
        </w:rPr>
        <w:t>大气</w:t>
      </w:r>
      <w:r w:rsidR="00FC1444" w:rsidRPr="00FC1444">
        <w:rPr>
          <w:rFonts w:eastAsiaTheme="minorEastAsia"/>
          <w:b/>
          <w:sz w:val="28"/>
          <w:szCs w:val="28"/>
        </w:rPr>
        <w:t>生态</w:t>
      </w:r>
      <w:r w:rsidRPr="00FC1444">
        <w:rPr>
          <w:rFonts w:eastAsiaTheme="minorEastAsia"/>
          <w:b/>
          <w:sz w:val="28"/>
          <w:szCs w:val="28"/>
        </w:rPr>
        <w:t>环境影响评价</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施工期大气污染物主要为取料场及堆料场物料存取及运输扬尘、施工机械、泥浆配置、运输车辆尾气，施工环节产生的扬尘。</w:t>
      </w:r>
    </w:p>
    <w:p w:rsidR="002A5A5E" w:rsidRPr="00FC1444" w:rsidRDefault="00611CBA">
      <w:pPr>
        <w:spacing w:line="360" w:lineRule="auto"/>
        <w:ind w:firstLineChars="200" w:firstLine="480"/>
        <w:rPr>
          <w:rFonts w:eastAsiaTheme="minorEastAsia"/>
          <w:bCs/>
          <w:kern w:val="0"/>
          <w:sz w:val="24"/>
        </w:rPr>
      </w:pPr>
      <w:r w:rsidRPr="00FC1444">
        <w:rPr>
          <w:rFonts w:ascii="宋体" w:hAnsi="宋体" w:cs="宋体" w:hint="eastAsia"/>
          <w:bCs/>
          <w:kern w:val="0"/>
          <w:sz w:val="24"/>
        </w:rPr>
        <w:t>①</w:t>
      </w:r>
      <w:r w:rsidRPr="00FC1444">
        <w:rPr>
          <w:rFonts w:eastAsiaTheme="minorEastAsia"/>
          <w:bCs/>
          <w:kern w:val="0"/>
          <w:sz w:val="24"/>
        </w:rPr>
        <w:t>扬尘</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对整个施工期而言，施工产生的扬尘主要集中在土建施工阶段。按起尘的原因可分为风力起尘和动力起尘，其中风力起尘主要是由于露天堆放的建材（如沙土、水泥等）及裸露的施工区表层浮尘因天气干燥及大风，产生风尘扬尘；而动力起尘，主要是在建材的装卸过程中，由于外力而产生的尘粒再悬浮而造成，其中施工及装卸车辆造成的扬尘最为严重。据有关文献资料介绍，车辆行驶产生的扬尘占总扬尘的</w:t>
      </w:r>
      <w:r w:rsidRPr="00FC1444">
        <w:rPr>
          <w:rFonts w:eastAsiaTheme="minorEastAsia"/>
          <w:sz w:val="24"/>
        </w:rPr>
        <w:t>60%</w:t>
      </w:r>
      <w:r w:rsidRPr="00FC1444">
        <w:rPr>
          <w:rFonts w:eastAsiaTheme="minorEastAsia"/>
          <w:sz w:val="24"/>
        </w:rPr>
        <w:t>以上。不同车速和地面清洁程度的汽车扬尘产生情况见表</w:t>
      </w:r>
      <w:r w:rsidRPr="00FC1444">
        <w:rPr>
          <w:rFonts w:eastAsiaTheme="minorEastAsia"/>
          <w:sz w:val="24"/>
        </w:rPr>
        <w:t>5-1-1</w:t>
      </w:r>
      <w:r w:rsidRPr="00FC1444">
        <w:rPr>
          <w:rFonts w:eastAsiaTheme="minorEastAsia"/>
          <w:sz w:val="24"/>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5-1-1</w:t>
      </w:r>
      <w:r w:rsidRPr="00FC1444">
        <w:rPr>
          <w:rFonts w:eastAsiaTheme="minorEastAsia"/>
          <w:b/>
          <w:kern w:val="0"/>
          <w:szCs w:val="21"/>
        </w:rPr>
        <w:t>不同车速和地面清洁程度的汽车扬尘</w:t>
      </w:r>
      <w:r w:rsidRPr="00FC1444">
        <w:rPr>
          <w:rFonts w:eastAsiaTheme="minorEastAsia"/>
          <w:b/>
          <w:kern w:val="0"/>
          <w:szCs w:val="21"/>
        </w:rPr>
        <w:t xml:space="preserve">      </w:t>
      </w:r>
      <w:r w:rsidRPr="00FC1444">
        <w:rPr>
          <w:rFonts w:eastAsiaTheme="minorEastAsia"/>
          <w:b/>
          <w:kern w:val="0"/>
          <w:szCs w:val="21"/>
        </w:rPr>
        <w:t>单位：</w:t>
      </w:r>
      <w:r w:rsidRPr="00FC1444">
        <w:rPr>
          <w:rFonts w:eastAsiaTheme="minorEastAsia"/>
          <w:b/>
          <w:kern w:val="0"/>
          <w:szCs w:val="21"/>
        </w:rPr>
        <w:t>kg/</w:t>
      </w:r>
      <w:r w:rsidRPr="00FC1444">
        <w:rPr>
          <w:rFonts w:eastAsiaTheme="minorEastAsia"/>
          <w:b/>
          <w:kern w:val="0"/>
          <w:szCs w:val="21"/>
        </w:rPr>
        <w:t>辆</w:t>
      </w:r>
      <w:r w:rsidRPr="00FC1444">
        <w:rPr>
          <w:rFonts w:eastAsiaTheme="minorEastAsia"/>
          <w:b/>
          <w:kern w:val="0"/>
          <w:szCs w:val="21"/>
        </w:rPr>
        <w:t>·km</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tblPr>
      <w:tblGrid>
        <w:gridCol w:w="1525"/>
        <w:gridCol w:w="1133"/>
        <w:gridCol w:w="1018"/>
        <w:gridCol w:w="1212"/>
        <w:gridCol w:w="1212"/>
        <w:gridCol w:w="1212"/>
        <w:gridCol w:w="1210"/>
      </w:tblGrid>
      <w:tr w:rsidR="002A5A5E" w:rsidRPr="00FC1444">
        <w:tc>
          <w:tcPr>
            <w:tcW w:w="895"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 xml:space="preserve"> P(kg/m</w:t>
            </w:r>
            <w:r w:rsidRPr="00FC1444">
              <w:rPr>
                <w:rFonts w:eastAsiaTheme="minorEastAsia" w:hAnsi="Times New Roman"/>
                <w:snapToGrid w:val="0"/>
                <w:szCs w:val="22"/>
                <w:vertAlign w:val="superscript"/>
              </w:rPr>
              <w:t>2</w:t>
            </w:r>
            <w:r w:rsidRPr="00FC1444">
              <w:rPr>
                <w:rFonts w:eastAsiaTheme="minorEastAsia" w:hAnsi="Times New Roman"/>
                <w:snapToGrid w:val="0"/>
                <w:szCs w:val="22"/>
              </w:rPr>
              <w:t>)</w:t>
            </w:r>
            <w:r w:rsidRPr="00FC1444">
              <w:rPr>
                <w:rFonts w:eastAsiaTheme="minorEastAsia" w:hAnsi="Times New Roman"/>
                <w:snapToGrid w:val="0"/>
                <w:szCs w:val="22"/>
              </w:rPr>
              <w:t>车速</w:t>
            </w:r>
          </w:p>
        </w:tc>
        <w:tc>
          <w:tcPr>
            <w:tcW w:w="665"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0.1</w:t>
            </w:r>
          </w:p>
        </w:tc>
        <w:tc>
          <w:tcPr>
            <w:tcW w:w="597"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0.2</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0.3</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0.4</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0.5</w:t>
            </w:r>
          </w:p>
        </w:tc>
        <w:tc>
          <w:tcPr>
            <w:tcW w:w="710"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1.0</w:t>
            </w:r>
          </w:p>
        </w:tc>
      </w:tr>
      <w:tr w:rsidR="002A5A5E" w:rsidRPr="00FC1444">
        <w:tc>
          <w:tcPr>
            <w:tcW w:w="895"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5(km/hr)</w:t>
            </w:r>
          </w:p>
        </w:tc>
        <w:tc>
          <w:tcPr>
            <w:tcW w:w="665"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0.051056</w:t>
            </w:r>
          </w:p>
        </w:tc>
        <w:tc>
          <w:tcPr>
            <w:tcW w:w="597"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0.085865</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0.116382</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0.144408</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0.170715</w:t>
            </w:r>
          </w:p>
        </w:tc>
        <w:tc>
          <w:tcPr>
            <w:tcW w:w="710"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0.287108</w:t>
            </w:r>
          </w:p>
        </w:tc>
      </w:tr>
      <w:tr w:rsidR="002A5A5E" w:rsidRPr="00FC1444">
        <w:tc>
          <w:tcPr>
            <w:tcW w:w="895"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10(km/hr)</w:t>
            </w:r>
          </w:p>
        </w:tc>
        <w:tc>
          <w:tcPr>
            <w:tcW w:w="665"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0.102112</w:t>
            </w:r>
          </w:p>
        </w:tc>
        <w:tc>
          <w:tcPr>
            <w:tcW w:w="597"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0.171731</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0.232764</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0.288815</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0.341431</w:t>
            </w:r>
          </w:p>
        </w:tc>
        <w:tc>
          <w:tcPr>
            <w:tcW w:w="710"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0.574216</w:t>
            </w:r>
          </w:p>
        </w:tc>
      </w:tr>
      <w:tr w:rsidR="002A5A5E" w:rsidRPr="00FC1444">
        <w:tc>
          <w:tcPr>
            <w:tcW w:w="895"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15(km/hr)</w:t>
            </w:r>
          </w:p>
        </w:tc>
        <w:tc>
          <w:tcPr>
            <w:tcW w:w="665"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0.153167</w:t>
            </w:r>
          </w:p>
        </w:tc>
        <w:tc>
          <w:tcPr>
            <w:tcW w:w="597"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0.257596</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0.349146</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0.433223</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0.512146</w:t>
            </w:r>
          </w:p>
        </w:tc>
        <w:tc>
          <w:tcPr>
            <w:tcW w:w="710"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0.861323</w:t>
            </w:r>
          </w:p>
        </w:tc>
      </w:tr>
      <w:tr w:rsidR="002A5A5E" w:rsidRPr="00FC1444">
        <w:tc>
          <w:tcPr>
            <w:tcW w:w="895"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25(km/hr)</w:t>
            </w:r>
          </w:p>
        </w:tc>
        <w:tc>
          <w:tcPr>
            <w:tcW w:w="665"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0.255279</w:t>
            </w:r>
          </w:p>
        </w:tc>
        <w:tc>
          <w:tcPr>
            <w:tcW w:w="597"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0.429326</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0.58191</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0.722038</w:t>
            </w:r>
          </w:p>
        </w:tc>
        <w:tc>
          <w:tcPr>
            <w:tcW w:w="711"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0.853577</w:t>
            </w:r>
          </w:p>
        </w:tc>
        <w:tc>
          <w:tcPr>
            <w:tcW w:w="710" w:type="pct"/>
            <w:shd w:val="clear" w:color="auto" w:fill="auto"/>
            <w:vAlign w:val="center"/>
          </w:tcPr>
          <w:p w:rsidR="002A5A5E" w:rsidRPr="00FC1444" w:rsidRDefault="00611CBA">
            <w:pPr>
              <w:pStyle w:val="aff7"/>
              <w:rPr>
                <w:rFonts w:eastAsiaTheme="minorEastAsia" w:hAnsi="Times New Roman"/>
                <w:snapToGrid w:val="0"/>
                <w:szCs w:val="22"/>
              </w:rPr>
            </w:pPr>
            <w:r w:rsidRPr="00FC1444">
              <w:rPr>
                <w:rFonts w:eastAsiaTheme="minorEastAsia" w:hAnsi="Times New Roman"/>
                <w:snapToGrid w:val="0"/>
                <w:szCs w:val="22"/>
              </w:rPr>
              <w:t>1.435539</w:t>
            </w:r>
          </w:p>
        </w:tc>
      </w:tr>
    </w:tbl>
    <w:p w:rsidR="002A5A5E" w:rsidRPr="00FC1444" w:rsidRDefault="00611CBA">
      <w:pPr>
        <w:pStyle w:val="aff4"/>
        <w:jc w:val="both"/>
        <w:rPr>
          <w:rFonts w:ascii="Times New Roman" w:hAnsi="Times New Roman" w:cs="Times New Roman"/>
          <w:snapToGrid w:val="0"/>
        </w:rPr>
      </w:pPr>
      <w:r w:rsidRPr="00FC1444">
        <w:rPr>
          <w:rFonts w:ascii="Times New Roman" w:hAnsi="Times New Roman" w:cs="Times New Roman"/>
          <w:snapToGrid w:val="0"/>
        </w:rPr>
        <w:t>施工期扬尘的另一个主要原因是露天堆场和裸露场地的风力扬尘。由于施工的需要，一些建材需露天堆放；一些施工点表层土壤需人工开挖、堆放，在气候干燥又有风的情况下，会产生扬尘。不同粒径尘粒的沉降速度见表</w:t>
      </w:r>
      <w:r w:rsidRPr="00FC1444">
        <w:rPr>
          <w:rFonts w:ascii="Times New Roman" w:hAnsi="Times New Roman" w:cs="Times New Roman"/>
          <w:snapToGrid w:val="0"/>
        </w:rPr>
        <w:t>5-1-2</w:t>
      </w:r>
      <w:r w:rsidRPr="00FC1444">
        <w:rPr>
          <w:rFonts w:ascii="Times New Roman" w:hAnsi="Times New Roman" w:cs="Times New Roman"/>
          <w:snapToGrid w:val="0"/>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5-1-2</w:t>
      </w:r>
      <w:r w:rsidRPr="00FC1444">
        <w:rPr>
          <w:rFonts w:eastAsiaTheme="minorEastAsia"/>
          <w:b/>
          <w:kern w:val="0"/>
          <w:szCs w:val="21"/>
        </w:rPr>
        <w:t>不同粒径尘粒的沉降速度</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1876"/>
        <w:gridCol w:w="950"/>
        <w:gridCol w:w="949"/>
        <w:gridCol w:w="949"/>
        <w:gridCol w:w="949"/>
        <w:gridCol w:w="949"/>
        <w:gridCol w:w="949"/>
        <w:gridCol w:w="951"/>
      </w:tblGrid>
      <w:tr w:rsidR="002A5A5E" w:rsidRPr="00FC1444">
        <w:tc>
          <w:tcPr>
            <w:tcW w:w="1100"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粒径（</w:t>
            </w:r>
            <w:r w:rsidRPr="00FC1444">
              <w:rPr>
                <w:rFonts w:eastAsiaTheme="minorEastAsia" w:hAnsi="Times New Roman"/>
                <w:snapToGrid w:val="0"/>
                <w:szCs w:val="22"/>
              </w:rPr>
              <w:t>μm</w:t>
            </w:r>
            <w:r w:rsidRPr="00FC1444">
              <w:rPr>
                <w:rFonts w:eastAsiaTheme="minorEastAsia" w:hAnsi="Times New Roman"/>
                <w:snapToGrid w:val="0"/>
                <w:szCs w:val="22"/>
              </w:rPr>
              <w:t>）</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10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20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30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40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50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60</w:t>
            </w:r>
          </w:p>
        </w:tc>
        <w:tc>
          <w:tcPr>
            <w:tcW w:w="558"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70</w:t>
            </w:r>
          </w:p>
        </w:tc>
      </w:tr>
      <w:tr w:rsidR="002A5A5E" w:rsidRPr="00FC1444">
        <w:tc>
          <w:tcPr>
            <w:tcW w:w="1100"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沉降速度（</w:t>
            </w:r>
            <w:r w:rsidRPr="00FC1444">
              <w:rPr>
                <w:rFonts w:eastAsiaTheme="minorEastAsia" w:hAnsi="Times New Roman"/>
                <w:snapToGrid w:val="0"/>
                <w:szCs w:val="22"/>
              </w:rPr>
              <w:t>m/s</w:t>
            </w:r>
            <w:r w:rsidRPr="00FC1444">
              <w:rPr>
                <w:rFonts w:eastAsiaTheme="minorEastAsia" w:hAnsi="Times New Roman"/>
                <w:snapToGrid w:val="0"/>
                <w:szCs w:val="22"/>
              </w:rPr>
              <w:t>）</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0.003</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0.012</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0.027</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0.048</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0.075</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0.108</w:t>
            </w:r>
          </w:p>
        </w:tc>
        <w:tc>
          <w:tcPr>
            <w:tcW w:w="558"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0.147</w:t>
            </w:r>
          </w:p>
        </w:tc>
      </w:tr>
      <w:tr w:rsidR="002A5A5E" w:rsidRPr="00FC1444">
        <w:tc>
          <w:tcPr>
            <w:tcW w:w="1100"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粒径（</w:t>
            </w:r>
            <w:r w:rsidRPr="00FC1444">
              <w:rPr>
                <w:rFonts w:eastAsiaTheme="minorEastAsia" w:hAnsi="Times New Roman"/>
                <w:snapToGrid w:val="0"/>
                <w:szCs w:val="22"/>
              </w:rPr>
              <w:t>μm</w:t>
            </w:r>
            <w:r w:rsidRPr="00FC1444">
              <w:rPr>
                <w:rFonts w:eastAsiaTheme="minorEastAsia" w:hAnsi="Times New Roman"/>
                <w:snapToGrid w:val="0"/>
                <w:szCs w:val="22"/>
              </w:rPr>
              <w:t>）</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80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90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100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150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200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250</w:t>
            </w:r>
          </w:p>
        </w:tc>
        <w:tc>
          <w:tcPr>
            <w:tcW w:w="558"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350</w:t>
            </w:r>
          </w:p>
        </w:tc>
      </w:tr>
      <w:tr w:rsidR="002A5A5E" w:rsidRPr="00FC1444">
        <w:tc>
          <w:tcPr>
            <w:tcW w:w="1100"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沉降速度（</w:t>
            </w:r>
            <w:r w:rsidRPr="00FC1444">
              <w:rPr>
                <w:rFonts w:eastAsiaTheme="minorEastAsia" w:hAnsi="Times New Roman"/>
                <w:snapToGrid w:val="0"/>
                <w:szCs w:val="22"/>
              </w:rPr>
              <w:t>m/s</w:t>
            </w:r>
            <w:r w:rsidRPr="00FC1444">
              <w:rPr>
                <w:rFonts w:eastAsiaTheme="minorEastAsia" w:hAnsi="Times New Roman"/>
                <w:snapToGrid w:val="0"/>
                <w:szCs w:val="22"/>
              </w:rPr>
              <w:t>）</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0.158</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0.170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0.182</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0.239</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0.804</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1.005</w:t>
            </w:r>
          </w:p>
        </w:tc>
        <w:tc>
          <w:tcPr>
            <w:tcW w:w="558"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1.829</w:t>
            </w:r>
          </w:p>
        </w:tc>
      </w:tr>
      <w:tr w:rsidR="002A5A5E" w:rsidRPr="00FC1444">
        <w:tc>
          <w:tcPr>
            <w:tcW w:w="1100"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粒径（</w:t>
            </w:r>
            <w:r w:rsidRPr="00FC1444">
              <w:rPr>
                <w:rFonts w:eastAsiaTheme="minorEastAsia" w:hAnsi="Times New Roman"/>
                <w:snapToGrid w:val="0"/>
                <w:szCs w:val="22"/>
              </w:rPr>
              <w:t>μm</w:t>
            </w:r>
            <w:r w:rsidRPr="00FC1444">
              <w:rPr>
                <w:rFonts w:eastAsiaTheme="minorEastAsia" w:hAnsi="Times New Roman"/>
                <w:snapToGrid w:val="0"/>
                <w:szCs w:val="22"/>
              </w:rPr>
              <w:t>）</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450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550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650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750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850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950</w:t>
            </w:r>
          </w:p>
        </w:tc>
        <w:tc>
          <w:tcPr>
            <w:tcW w:w="558"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1050</w:t>
            </w:r>
          </w:p>
        </w:tc>
      </w:tr>
      <w:tr w:rsidR="002A5A5E" w:rsidRPr="00FC1444">
        <w:tc>
          <w:tcPr>
            <w:tcW w:w="1100"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沉降速度（</w:t>
            </w:r>
            <w:r w:rsidRPr="00FC1444">
              <w:rPr>
                <w:rFonts w:eastAsiaTheme="minorEastAsia" w:hAnsi="Times New Roman"/>
                <w:snapToGrid w:val="0"/>
                <w:szCs w:val="22"/>
              </w:rPr>
              <w:t>m/s</w:t>
            </w:r>
            <w:r w:rsidRPr="00FC1444">
              <w:rPr>
                <w:rFonts w:eastAsiaTheme="minorEastAsia" w:hAnsi="Times New Roman"/>
                <w:snapToGrid w:val="0"/>
                <w:szCs w:val="22"/>
              </w:rPr>
              <w:t>）</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2.211</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2.614</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3.016</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3.418</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3.820</w:t>
            </w:r>
          </w:p>
        </w:tc>
        <w:tc>
          <w:tcPr>
            <w:tcW w:w="557"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4.222</w:t>
            </w:r>
          </w:p>
        </w:tc>
        <w:tc>
          <w:tcPr>
            <w:tcW w:w="558" w:type="pct"/>
            <w:shd w:val="clear" w:color="auto" w:fill="auto"/>
            <w:vAlign w:val="center"/>
          </w:tcPr>
          <w:p w:rsidR="002A5A5E" w:rsidRPr="00FC1444" w:rsidRDefault="00611CBA">
            <w:pPr>
              <w:pStyle w:val="aff7"/>
              <w:spacing w:line="0" w:lineRule="atLeast"/>
              <w:rPr>
                <w:rFonts w:eastAsiaTheme="minorEastAsia" w:hAnsi="Times New Roman"/>
                <w:snapToGrid w:val="0"/>
                <w:szCs w:val="22"/>
              </w:rPr>
            </w:pPr>
            <w:r w:rsidRPr="00FC1444">
              <w:rPr>
                <w:rFonts w:eastAsiaTheme="minorEastAsia" w:hAnsi="Times New Roman"/>
                <w:snapToGrid w:val="0"/>
                <w:szCs w:val="22"/>
              </w:rPr>
              <w:t>4.624</w:t>
            </w:r>
          </w:p>
        </w:tc>
      </w:tr>
    </w:tbl>
    <w:p w:rsidR="002A5A5E" w:rsidRPr="00FC1444" w:rsidRDefault="00611CBA">
      <w:pPr>
        <w:spacing w:line="360" w:lineRule="auto"/>
        <w:ind w:firstLineChars="200" w:firstLine="480"/>
        <w:rPr>
          <w:rFonts w:eastAsiaTheme="minorEastAsia"/>
          <w:snapToGrid w:val="0"/>
          <w:sz w:val="24"/>
        </w:rPr>
      </w:pPr>
      <w:r w:rsidRPr="00FC1444">
        <w:rPr>
          <w:rFonts w:eastAsiaTheme="minorEastAsia"/>
          <w:snapToGrid w:val="0"/>
          <w:sz w:val="24"/>
        </w:rPr>
        <w:t>从表</w:t>
      </w:r>
      <w:r w:rsidRPr="00FC1444">
        <w:rPr>
          <w:rFonts w:eastAsiaTheme="minorEastAsia"/>
          <w:snapToGrid w:val="0"/>
          <w:sz w:val="24"/>
        </w:rPr>
        <w:t>5-1-2</w:t>
      </w:r>
      <w:r w:rsidRPr="00FC1444">
        <w:rPr>
          <w:rFonts w:eastAsiaTheme="minorEastAsia"/>
          <w:snapToGrid w:val="0"/>
          <w:sz w:val="24"/>
        </w:rPr>
        <w:t>可以看出，尘粒的沉降速度随粒径的增大而迅速增大。当粒径为</w:t>
      </w:r>
      <w:r w:rsidRPr="00FC1444">
        <w:rPr>
          <w:rFonts w:eastAsiaTheme="minorEastAsia"/>
          <w:snapToGrid w:val="0"/>
          <w:sz w:val="24"/>
        </w:rPr>
        <w:t>250μm</w:t>
      </w:r>
      <w:r w:rsidRPr="00FC1444">
        <w:rPr>
          <w:rFonts w:eastAsiaTheme="minorEastAsia"/>
          <w:snapToGrid w:val="0"/>
          <w:sz w:val="24"/>
        </w:rPr>
        <w:t>时，沉降速度为</w:t>
      </w:r>
      <w:r w:rsidRPr="00FC1444">
        <w:rPr>
          <w:rFonts w:eastAsiaTheme="minorEastAsia"/>
          <w:snapToGrid w:val="0"/>
          <w:sz w:val="24"/>
        </w:rPr>
        <w:t>1.005m/s</w:t>
      </w:r>
      <w:r w:rsidRPr="00FC1444">
        <w:rPr>
          <w:rFonts w:eastAsiaTheme="minorEastAsia"/>
          <w:snapToGrid w:val="0"/>
          <w:sz w:val="24"/>
        </w:rPr>
        <w:t>，因此可以认为当尘粒大于</w:t>
      </w:r>
      <w:r w:rsidRPr="00FC1444">
        <w:rPr>
          <w:rFonts w:eastAsiaTheme="minorEastAsia"/>
          <w:snapToGrid w:val="0"/>
          <w:sz w:val="24"/>
        </w:rPr>
        <w:t>250μm</w:t>
      </w:r>
      <w:r w:rsidRPr="00FC1444">
        <w:rPr>
          <w:rFonts w:eastAsiaTheme="minorEastAsia"/>
          <w:snapToGrid w:val="0"/>
          <w:sz w:val="24"/>
        </w:rPr>
        <w:t>时，主要影响范围在扬尘点下风向近距离范围内，而真正对外环境产生影响的是一些微小尘</w:t>
      </w:r>
      <w:r w:rsidRPr="00FC1444">
        <w:rPr>
          <w:rFonts w:eastAsiaTheme="minorEastAsia"/>
          <w:snapToGrid w:val="0"/>
          <w:sz w:val="24"/>
        </w:rPr>
        <w:lastRenderedPageBreak/>
        <w:t>粒。在有风的情况下，施工扬尘会对该区域造成一定的影响。由起尘计算公式可知，</w:t>
      </w:r>
      <w:r w:rsidRPr="00FC1444">
        <w:rPr>
          <w:rFonts w:eastAsiaTheme="minorEastAsia"/>
          <w:snapToGrid w:val="0"/>
          <w:sz w:val="24"/>
        </w:rPr>
        <w:t>V</w:t>
      </w:r>
      <w:r w:rsidRPr="00FC1444">
        <w:rPr>
          <w:rFonts w:eastAsiaTheme="minorEastAsia"/>
          <w:snapToGrid w:val="0"/>
          <w:sz w:val="24"/>
          <w:vertAlign w:val="subscript"/>
        </w:rPr>
        <w:t>0</w:t>
      </w:r>
      <w:r w:rsidRPr="00FC1444">
        <w:rPr>
          <w:rFonts w:eastAsiaTheme="minorEastAsia"/>
          <w:snapToGrid w:val="0"/>
          <w:sz w:val="24"/>
        </w:rPr>
        <w:t>与粒径和含水率有关。</w:t>
      </w:r>
    </w:p>
    <w:p w:rsidR="002A5A5E" w:rsidRPr="00FC1444" w:rsidRDefault="00611CBA">
      <w:pPr>
        <w:spacing w:line="360" w:lineRule="auto"/>
        <w:ind w:firstLineChars="200" w:firstLine="480"/>
        <w:rPr>
          <w:rFonts w:eastAsiaTheme="minorEastAsia"/>
          <w:snapToGrid w:val="0"/>
          <w:sz w:val="24"/>
        </w:rPr>
      </w:pPr>
      <w:r w:rsidRPr="00FC1444">
        <w:rPr>
          <w:rFonts w:eastAsiaTheme="minorEastAsia"/>
          <w:snapToGrid w:val="0"/>
          <w:sz w:val="24"/>
        </w:rPr>
        <w:t>施工现场使用商品混凝土、预拌砂浆，严禁现场搅拌。拆除作业实行湿法作业，缩短起尘操作时间，气象预报风速达到</w:t>
      </w:r>
      <w:r w:rsidRPr="00FC1444">
        <w:rPr>
          <w:rFonts w:eastAsiaTheme="minorEastAsia"/>
          <w:snapToGrid w:val="0"/>
          <w:sz w:val="24"/>
        </w:rPr>
        <w:t>5</w:t>
      </w:r>
      <w:r w:rsidRPr="00FC1444">
        <w:rPr>
          <w:rFonts w:eastAsiaTheme="minorEastAsia"/>
          <w:snapToGrid w:val="0"/>
          <w:sz w:val="24"/>
        </w:rPr>
        <w:t>级以上时，应当停止拆除作业。拆除后建筑垃圾应当及时清运，不能及时清运的，应当采取有效覆盖措施。拆除工程完成后，不能立即施工的，对拆除后的裸露地面应采取覆盖、洒水等措施防止扬尘。施工现场细颗粒建筑材料密闭存放或严密覆盖，严禁露天放置；余料及时回收。</w:t>
      </w:r>
      <w:r w:rsidRPr="00FC1444">
        <w:rPr>
          <w:rFonts w:eastAsiaTheme="minorEastAsia"/>
          <w:sz w:val="24"/>
        </w:rPr>
        <w:t>非冬季时期</w:t>
      </w:r>
      <w:r w:rsidRPr="00FC1444">
        <w:rPr>
          <w:rFonts w:eastAsiaTheme="minorEastAsia"/>
          <w:snapToGrid w:val="0"/>
          <w:sz w:val="24"/>
        </w:rPr>
        <w:t>施工现场建立洒水清扫抑尘制度，配备洒水设备。施工现场集中堆放的土方和裸露场地采取覆盖、固化或绿化等降尘措施，严禁裸露。施工现场运送土方、渣土的车辆封闭或遮盖严密，严禁使用未办理相关手续的渣土等运输车辆，严禁沿路遗撒和随意倾倒。途经施工区村屯干道的运输车辆，实行限速管理，时速应小于</w:t>
      </w:r>
      <w:r w:rsidRPr="00FC1444">
        <w:rPr>
          <w:rFonts w:eastAsiaTheme="minorEastAsia"/>
          <w:snapToGrid w:val="0"/>
          <w:sz w:val="24"/>
        </w:rPr>
        <w:t>20km/h</w:t>
      </w:r>
      <w:r w:rsidRPr="00FC1444">
        <w:rPr>
          <w:rFonts w:eastAsiaTheme="minorEastAsia"/>
          <w:snapToGrid w:val="0"/>
          <w:sz w:val="24"/>
        </w:rPr>
        <w:t>，</w:t>
      </w:r>
      <w:r w:rsidRPr="00FC1444">
        <w:rPr>
          <w:rFonts w:eastAsiaTheme="minorEastAsia"/>
          <w:sz w:val="24"/>
        </w:rPr>
        <w:t>非冬季</w:t>
      </w:r>
      <w:r w:rsidRPr="00FC1444">
        <w:rPr>
          <w:rFonts w:eastAsiaTheme="minorEastAsia"/>
          <w:snapToGrid w:val="0"/>
          <w:sz w:val="24"/>
        </w:rPr>
        <w:t>干旱、多风天气，路段每天洒水不少于两次，减少扬尘对附近居民和作物的影响。</w:t>
      </w:r>
    </w:p>
    <w:p w:rsidR="002A5A5E" w:rsidRPr="00FC1444" w:rsidRDefault="00611CBA">
      <w:pPr>
        <w:spacing w:line="360" w:lineRule="auto"/>
        <w:ind w:firstLineChars="200" w:firstLine="480"/>
        <w:rPr>
          <w:rFonts w:eastAsiaTheme="minorEastAsia"/>
          <w:kern w:val="0"/>
          <w:sz w:val="24"/>
        </w:rPr>
      </w:pPr>
      <w:r w:rsidRPr="00FC1444">
        <w:rPr>
          <w:rFonts w:eastAsiaTheme="minorEastAsia"/>
          <w:snapToGrid w:val="0"/>
          <w:sz w:val="24"/>
        </w:rPr>
        <w:t>本环评要求灌溉井、田间道路、涵洞、变压器、排水沟清淤等工程在距离环境保护目标较近位置施工时（</w:t>
      </w:r>
      <w:r w:rsidR="00D41946" w:rsidRPr="00FC1444">
        <w:rPr>
          <w:rFonts w:eastAsiaTheme="minorEastAsia"/>
          <w:snapToGrid w:val="0"/>
          <w:sz w:val="24"/>
        </w:rPr>
        <w:t>如胜利二村、东沟子等村屯</w:t>
      </w:r>
      <w:r w:rsidR="00943455" w:rsidRPr="00FC1444">
        <w:rPr>
          <w:rFonts w:eastAsiaTheme="minorEastAsia"/>
          <w:snapToGrid w:val="0"/>
          <w:sz w:val="24"/>
        </w:rPr>
        <w:t>，具体村屯名称见表</w:t>
      </w:r>
      <w:r w:rsidR="00943455" w:rsidRPr="00FC1444">
        <w:rPr>
          <w:rFonts w:eastAsiaTheme="minorEastAsia"/>
          <w:snapToGrid w:val="0"/>
          <w:sz w:val="24"/>
        </w:rPr>
        <w:t>2-8-1</w:t>
      </w:r>
      <w:r w:rsidRPr="00FC1444">
        <w:rPr>
          <w:rFonts w:eastAsiaTheme="minorEastAsia"/>
          <w:snapToGrid w:val="0"/>
          <w:sz w:val="24"/>
        </w:rPr>
        <w:t>），应设置施工围挡，将施工场地及施工人员与居民分离开，保证施工安全、减少扬尘逸散，</w:t>
      </w:r>
      <w:r w:rsidRPr="00FC1444">
        <w:rPr>
          <w:rFonts w:eastAsiaTheme="minorEastAsia"/>
          <w:sz w:val="24"/>
        </w:rPr>
        <w:t>非冬季季节</w:t>
      </w:r>
      <w:r w:rsidRPr="00FC1444">
        <w:rPr>
          <w:rFonts w:eastAsiaTheme="minorEastAsia"/>
          <w:snapToGrid w:val="0"/>
          <w:sz w:val="24"/>
        </w:rPr>
        <w:t>同时还应采取洒水、喷淋等抑尘措施。加强运</w:t>
      </w:r>
      <w:r w:rsidRPr="00FC1444">
        <w:rPr>
          <w:rFonts w:eastAsiaTheme="minorEastAsia"/>
          <w:kern w:val="0"/>
          <w:sz w:val="24"/>
        </w:rPr>
        <w:t>输车辆的维护、保养，避免尾气超标排放。</w:t>
      </w:r>
    </w:p>
    <w:p w:rsidR="002A5A5E" w:rsidRPr="00FC1444" w:rsidRDefault="00611CBA">
      <w:pPr>
        <w:spacing w:line="360" w:lineRule="auto"/>
        <w:ind w:firstLineChars="200" w:firstLine="480"/>
        <w:rPr>
          <w:rFonts w:eastAsiaTheme="minorEastAsia"/>
          <w:snapToGrid w:val="0"/>
          <w:sz w:val="24"/>
        </w:rPr>
      </w:pPr>
      <w:r w:rsidRPr="00FC1444">
        <w:rPr>
          <w:rFonts w:eastAsiaTheme="minorEastAsia"/>
          <w:kern w:val="0"/>
          <w:sz w:val="24"/>
        </w:rPr>
        <w:t>厂界颗粒物浓度满足《大气污染物综合排放标准》（</w:t>
      </w:r>
      <w:r w:rsidRPr="00FC1444">
        <w:rPr>
          <w:rFonts w:eastAsiaTheme="minorEastAsia"/>
          <w:kern w:val="0"/>
          <w:sz w:val="24"/>
        </w:rPr>
        <w:t>GB16297-1996</w:t>
      </w:r>
      <w:r w:rsidRPr="00FC1444">
        <w:rPr>
          <w:rFonts w:eastAsiaTheme="minorEastAsia"/>
          <w:kern w:val="0"/>
          <w:sz w:val="24"/>
        </w:rPr>
        <w:t>）表</w:t>
      </w:r>
      <w:r w:rsidRPr="00FC1444">
        <w:rPr>
          <w:rFonts w:eastAsiaTheme="minorEastAsia"/>
          <w:kern w:val="0"/>
          <w:sz w:val="24"/>
        </w:rPr>
        <w:t>2</w:t>
      </w:r>
      <w:r w:rsidRPr="00FC1444">
        <w:rPr>
          <w:rFonts w:eastAsiaTheme="minorEastAsia"/>
          <w:kern w:val="0"/>
          <w:sz w:val="24"/>
        </w:rPr>
        <w:t>无组织排放监控浓度限值要求，</w:t>
      </w:r>
      <w:r w:rsidRPr="00FC1444">
        <w:rPr>
          <w:rFonts w:eastAsiaTheme="minorEastAsia"/>
          <w:sz w:val="24"/>
        </w:rPr>
        <w:t>厂界臭气浓度满足《恶臭污染物排放标准》（</w:t>
      </w:r>
      <w:r w:rsidRPr="00FC1444">
        <w:rPr>
          <w:rFonts w:eastAsiaTheme="minorEastAsia"/>
          <w:sz w:val="24"/>
        </w:rPr>
        <w:t>GB14554-93</w:t>
      </w:r>
      <w:r w:rsidRPr="00FC1444">
        <w:rPr>
          <w:rFonts w:eastAsiaTheme="minorEastAsia"/>
          <w:sz w:val="24"/>
        </w:rPr>
        <w:t>）表</w:t>
      </w:r>
      <w:r w:rsidRPr="00FC1444">
        <w:rPr>
          <w:rFonts w:eastAsiaTheme="minorEastAsia"/>
          <w:sz w:val="24"/>
        </w:rPr>
        <w:t>1</w:t>
      </w:r>
      <w:r w:rsidRPr="00FC1444">
        <w:rPr>
          <w:rFonts w:eastAsiaTheme="minorEastAsia"/>
          <w:sz w:val="24"/>
        </w:rPr>
        <w:t>二级标准，移动式发电机废气排放满足《非道路移动机械用柴油机移动泵车污染物排放限值及测量方法（中国三、四阶段）》（</w:t>
      </w:r>
      <w:r w:rsidRPr="00FC1444">
        <w:rPr>
          <w:rFonts w:eastAsiaTheme="minorEastAsia"/>
          <w:sz w:val="24"/>
        </w:rPr>
        <w:t>GB20891-2014</w:t>
      </w:r>
      <w:r w:rsidRPr="00FC1444">
        <w:rPr>
          <w:rFonts w:eastAsiaTheme="minorEastAsia"/>
          <w:sz w:val="24"/>
        </w:rPr>
        <w:t>）中表</w:t>
      </w:r>
      <w:r w:rsidRPr="00FC1444">
        <w:rPr>
          <w:rFonts w:eastAsiaTheme="minorEastAsia"/>
          <w:sz w:val="24"/>
        </w:rPr>
        <w:t>2</w:t>
      </w:r>
      <w:r w:rsidRPr="00FC1444">
        <w:rPr>
          <w:rFonts w:eastAsiaTheme="minorEastAsia"/>
          <w:sz w:val="24"/>
        </w:rPr>
        <w:t>非道路移动机械用柴油机排气污染物排放限值要求</w:t>
      </w:r>
      <w:r w:rsidRPr="00FC1444">
        <w:rPr>
          <w:rFonts w:eastAsiaTheme="minorEastAsia"/>
          <w:kern w:val="0"/>
          <w:sz w:val="24"/>
        </w:rPr>
        <w:t>。</w:t>
      </w:r>
    </w:p>
    <w:p w:rsidR="002A5A5E" w:rsidRPr="00FC1444" w:rsidRDefault="00611CBA">
      <w:pPr>
        <w:adjustRightInd w:val="0"/>
        <w:spacing w:line="360" w:lineRule="auto"/>
        <w:ind w:firstLineChars="200" w:firstLine="480"/>
        <w:rPr>
          <w:rFonts w:eastAsiaTheme="minorEastAsia"/>
          <w:sz w:val="24"/>
        </w:rPr>
      </w:pPr>
      <w:r w:rsidRPr="00FC1444">
        <w:rPr>
          <w:rFonts w:ascii="宋体" w:hAnsi="宋体" w:cs="宋体" w:hint="eastAsia"/>
          <w:sz w:val="24"/>
        </w:rPr>
        <w:t>②</w:t>
      </w:r>
      <w:r w:rsidRPr="00FC1444">
        <w:rPr>
          <w:rFonts w:eastAsiaTheme="minorEastAsia"/>
          <w:sz w:val="24"/>
        </w:rPr>
        <w:t>汽车尾气</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szCs w:val="20"/>
        </w:rPr>
        <w:t>施工过程中将会有各种工程及运输车辆来往于施工现场，主要有运输卡车、推土机、平地机等，会产生汽车尾气，由于尾气产生量较少，产生浓度较低，且施工地点附近均为农田，周围环境较空旷，扩散条件较好，不会对周围空气环境产生较大不利影响</w:t>
      </w:r>
      <w:r w:rsidRPr="00FC1444">
        <w:rPr>
          <w:rFonts w:ascii="Times New Roman" w:hAnsi="Times New Roman" w:cs="Times New Roman"/>
          <w:snapToGrid w:val="0"/>
        </w:rPr>
        <w:t>。</w:t>
      </w:r>
    </w:p>
    <w:p w:rsidR="002A5A5E" w:rsidRPr="00FC1444" w:rsidRDefault="009840DD">
      <w:pPr>
        <w:pStyle w:val="aff4"/>
        <w:adjustRightInd/>
        <w:snapToGrid/>
        <w:jc w:val="both"/>
        <w:rPr>
          <w:rFonts w:ascii="Times New Roman" w:hAnsi="Times New Roman" w:cs="Times New Roman"/>
        </w:rPr>
      </w:pPr>
      <w:r w:rsidRPr="00FC1444">
        <w:rPr>
          <w:rFonts w:ascii="Times New Roman" w:hAnsi="Times New Roman" w:cs="Times New Roman"/>
          <w:snapToGrid w:val="0"/>
        </w:rPr>
        <w:fldChar w:fldCharType="begin"/>
      </w:r>
      <w:r w:rsidR="00611CBA" w:rsidRPr="00FC1444">
        <w:rPr>
          <w:rFonts w:ascii="Times New Roman" w:hAnsi="Times New Roman" w:cs="Times New Roman"/>
          <w:snapToGrid w:val="0"/>
        </w:rPr>
        <w:instrText xml:space="preserve"> = 3 \* GB3 </w:instrText>
      </w:r>
      <w:r w:rsidRPr="00FC1444">
        <w:rPr>
          <w:rFonts w:ascii="Times New Roman" w:hAnsi="Times New Roman" w:cs="Times New Roman"/>
          <w:snapToGrid w:val="0"/>
        </w:rPr>
        <w:fldChar w:fldCharType="separate"/>
      </w:r>
      <w:r w:rsidR="00611CBA" w:rsidRPr="00FC1444">
        <w:rPr>
          <w:rFonts w:ascii="宋体" w:eastAsia="宋体" w:hAnsi="宋体" w:cs="宋体" w:hint="eastAsia"/>
          <w:snapToGrid w:val="0"/>
        </w:rPr>
        <w:t>③</w:t>
      </w:r>
      <w:r w:rsidRPr="00FC1444">
        <w:rPr>
          <w:rFonts w:ascii="Times New Roman" w:hAnsi="Times New Roman" w:cs="Times New Roman"/>
          <w:snapToGrid w:val="0"/>
        </w:rPr>
        <w:fldChar w:fldCharType="end"/>
      </w:r>
      <w:r w:rsidR="00611CBA" w:rsidRPr="00FC1444">
        <w:rPr>
          <w:rFonts w:ascii="Times New Roman" w:hAnsi="Times New Roman" w:cs="Times New Roman"/>
        </w:rPr>
        <w:t>发电机废气</w:t>
      </w:r>
    </w:p>
    <w:p w:rsidR="002A5A5E" w:rsidRPr="00FC1444" w:rsidRDefault="00611CBA" w:rsidP="00611CBA">
      <w:pPr>
        <w:spacing w:line="360" w:lineRule="auto"/>
        <w:ind w:firstLineChars="177" w:firstLine="425"/>
        <w:rPr>
          <w:rFonts w:eastAsiaTheme="minorEastAsia"/>
          <w:bCs/>
          <w:sz w:val="24"/>
        </w:rPr>
      </w:pPr>
      <w:r w:rsidRPr="00FC1444">
        <w:rPr>
          <w:rFonts w:eastAsiaTheme="minorEastAsia"/>
          <w:bCs/>
          <w:sz w:val="24"/>
        </w:rPr>
        <w:lastRenderedPageBreak/>
        <w:t>本工程工区布置分散，发电机废气为间歇性排放，污染强度不大，因此废气排放强度十分有限。此外，考虑工程施工场地位于农村旷野，地势平坦开阔，天气以晴朗多风为主，大气扩散条件好，大气污染物背景值低，因此发电机废气不会对周围环境产生明显影响。</w:t>
      </w:r>
    </w:p>
    <w:p w:rsidR="002A5A5E" w:rsidRPr="00FC1444" w:rsidRDefault="009840DD">
      <w:pPr>
        <w:pStyle w:val="aff4"/>
        <w:adjustRightInd/>
        <w:snapToGrid/>
        <w:jc w:val="both"/>
        <w:rPr>
          <w:rFonts w:ascii="Times New Roman" w:hAnsi="Times New Roman" w:cs="Times New Roman"/>
        </w:rPr>
      </w:pPr>
      <w:r w:rsidRPr="00FC1444">
        <w:rPr>
          <w:rFonts w:ascii="Times New Roman" w:hAnsi="Times New Roman" w:cs="Times New Roman"/>
        </w:rPr>
        <w:fldChar w:fldCharType="begin"/>
      </w:r>
      <w:r w:rsidR="00611CBA" w:rsidRPr="00FC1444">
        <w:rPr>
          <w:rFonts w:ascii="Times New Roman" w:hAnsi="Times New Roman" w:cs="Times New Roman"/>
        </w:rPr>
        <w:instrText xml:space="preserve"> = 4 \* GB3 </w:instrText>
      </w:r>
      <w:r w:rsidRPr="00FC1444">
        <w:rPr>
          <w:rFonts w:ascii="Times New Roman" w:hAnsi="Times New Roman" w:cs="Times New Roman"/>
        </w:rPr>
        <w:fldChar w:fldCharType="separate"/>
      </w:r>
      <w:r w:rsidR="00611CBA" w:rsidRPr="00FC1444">
        <w:rPr>
          <w:rFonts w:ascii="宋体" w:eastAsia="宋体" w:hAnsi="宋体" w:cs="宋体" w:hint="eastAsia"/>
        </w:rPr>
        <w:t>④</w:t>
      </w:r>
      <w:r w:rsidRPr="00FC1444">
        <w:rPr>
          <w:rFonts w:ascii="Times New Roman" w:hAnsi="Times New Roman" w:cs="Times New Roman"/>
        </w:rPr>
        <w:fldChar w:fldCharType="end"/>
      </w:r>
      <w:r w:rsidR="00611CBA" w:rsidRPr="00FC1444">
        <w:rPr>
          <w:rFonts w:ascii="Times New Roman" w:hAnsi="Times New Roman" w:cs="Times New Roman"/>
        </w:rPr>
        <w:t>淤泥恶臭异味</w:t>
      </w:r>
    </w:p>
    <w:p w:rsidR="002A5A5E" w:rsidRPr="00FC1444" w:rsidRDefault="00611CBA">
      <w:pPr>
        <w:pStyle w:val="aff4"/>
        <w:adjustRightInd/>
        <w:snapToGrid/>
        <w:ind w:firstLine="460"/>
        <w:jc w:val="both"/>
        <w:rPr>
          <w:rFonts w:ascii="Times New Roman" w:hAnsi="Times New Roman" w:cs="Times New Roman"/>
          <w:spacing w:val="-5"/>
        </w:rPr>
      </w:pPr>
      <w:r w:rsidRPr="00FC1444">
        <w:rPr>
          <w:rFonts w:ascii="Times New Roman" w:hAnsi="Times New Roman" w:cs="Times New Roman"/>
          <w:spacing w:val="-5"/>
        </w:rPr>
        <w:t>清淤底泥在排水沟两侧晾晒脱水过程中会产生恶臭。</w:t>
      </w:r>
    </w:p>
    <w:p w:rsidR="002A5A5E" w:rsidRPr="00FC1444" w:rsidRDefault="00611CBA">
      <w:pPr>
        <w:pStyle w:val="aff4"/>
        <w:adjustRightInd/>
        <w:snapToGrid/>
        <w:ind w:firstLine="460"/>
        <w:jc w:val="both"/>
        <w:rPr>
          <w:rFonts w:ascii="Times New Roman" w:hAnsi="Times New Roman" w:cs="Times New Roman"/>
          <w:spacing w:val="-5"/>
        </w:rPr>
      </w:pPr>
      <w:r w:rsidRPr="00FC1444">
        <w:rPr>
          <w:rFonts w:ascii="Times New Roman" w:hAnsi="Times New Roman" w:cs="Times New Roman"/>
          <w:spacing w:val="-5"/>
        </w:rPr>
        <w:t>六级臭气强度评价法：用嗅觉感觉出来的臭气强度，用</w:t>
      </w:r>
      <w:r w:rsidRPr="00FC1444">
        <w:rPr>
          <w:rFonts w:ascii="Times New Roman" w:hAnsi="Times New Roman" w:cs="Times New Roman"/>
          <w:spacing w:val="-5"/>
        </w:rPr>
        <w:t xml:space="preserve">“ </w:t>
      </w:r>
      <w:r w:rsidRPr="00FC1444">
        <w:rPr>
          <w:rFonts w:ascii="Times New Roman" w:hAnsi="Times New Roman" w:cs="Times New Roman"/>
          <w:spacing w:val="-5"/>
        </w:rPr>
        <w:t>嗅觉阈值</w:t>
      </w:r>
      <w:r w:rsidRPr="00FC1444">
        <w:rPr>
          <w:rFonts w:ascii="Times New Roman" w:hAnsi="Times New Roman" w:cs="Times New Roman"/>
          <w:spacing w:val="-5"/>
        </w:rPr>
        <w:t>”</w:t>
      </w:r>
      <w:r w:rsidRPr="00FC1444">
        <w:rPr>
          <w:rFonts w:ascii="Times New Roman" w:hAnsi="Times New Roman" w:cs="Times New Roman"/>
          <w:spacing w:val="-5"/>
        </w:rPr>
        <w:t>来表示，所谓嗅觉阈值就是人所能嗅觉到某种物质的最小刺激量。臭气强度是以臭味的嗅觉阈值为基准划分等级的，共分为</w:t>
      </w:r>
      <w:r w:rsidRPr="00FC1444">
        <w:rPr>
          <w:rFonts w:ascii="Times New Roman" w:hAnsi="Times New Roman" w:cs="Times New Roman"/>
          <w:spacing w:val="-5"/>
        </w:rPr>
        <w:t>6</w:t>
      </w:r>
      <w:r w:rsidRPr="00FC1444">
        <w:rPr>
          <w:rFonts w:ascii="Times New Roman" w:hAnsi="Times New Roman" w:cs="Times New Roman"/>
          <w:spacing w:val="-5"/>
        </w:rPr>
        <w:t>级，见下表。为防止臭气扩散影响周围环境，对臭气的限值要求一般相当于臭气强度</w:t>
      </w:r>
      <w:r w:rsidRPr="00FC1444">
        <w:rPr>
          <w:rFonts w:ascii="Times New Roman" w:hAnsi="Times New Roman" w:cs="Times New Roman"/>
          <w:spacing w:val="-5"/>
        </w:rPr>
        <w:t>2.5~3.5</w:t>
      </w:r>
      <w:r w:rsidRPr="00FC1444">
        <w:rPr>
          <w:rFonts w:ascii="Times New Roman" w:hAnsi="Times New Roman" w:cs="Times New Roman"/>
          <w:spacing w:val="-5"/>
        </w:rPr>
        <w:t>级，超出该强度范围，即认为发生恶臭污染，需采取措施。</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 xml:space="preserve">5-1-3 </w:t>
      </w:r>
      <w:r w:rsidRPr="00FC1444">
        <w:rPr>
          <w:rFonts w:eastAsiaTheme="minorEastAsia"/>
          <w:b/>
          <w:kern w:val="0"/>
          <w:szCs w:val="21"/>
        </w:rPr>
        <w:t>臭气强度分级表</w:t>
      </w:r>
    </w:p>
    <w:tbl>
      <w:tblPr>
        <w:tblStyle w:val="TableNormal"/>
        <w:tblW w:w="4999" w:type="pct"/>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tblPr>
      <w:tblGrid>
        <w:gridCol w:w="2769"/>
        <w:gridCol w:w="5535"/>
      </w:tblGrid>
      <w:tr w:rsidR="002A5A5E" w:rsidRPr="00FC1444">
        <w:trPr>
          <w:trHeight w:val="340"/>
          <w:jc w:val="center"/>
        </w:trPr>
        <w:tc>
          <w:tcPr>
            <w:tcW w:w="1667" w:type="pct"/>
            <w:tcBorders>
              <w:top w:val="single" w:sz="12" w:space="0" w:color="000000"/>
              <w:left w:val="nil"/>
            </w:tcBorders>
            <w:vAlign w:val="center"/>
          </w:tcPr>
          <w:p w:rsidR="002A5A5E" w:rsidRPr="00FC1444" w:rsidRDefault="00611CBA">
            <w:pPr>
              <w:jc w:val="center"/>
              <w:rPr>
                <w:rFonts w:eastAsiaTheme="minorEastAsia"/>
              </w:rPr>
            </w:pPr>
            <w:r w:rsidRPr="00FC1444">
              <w:rPr>
                <w:rFonts w:eastAsiaTheme="minorEastAsia"/>
                <w:spacing w:val="6"/>
              </w:rPr>
              <w:t>强度等级</w:t>
            </w:r>
          </w:p>
        </w:tc>
        <w:tc>
          <w:tcPr>
            <w:tcW w:w="3332" w:type="pct"/>
            <w:tcBorders>
              <w:top w:val="single" w:sz="12" w:space="0" w:color="000000"/>
              <w:right w:val="nil"/>
            </w:tcBorders>
            <w:vAlign w:val="center"/>
          </w:tcPr>
          <w:p w:rsidR="002A5A5E" w:rsidRPr="00FC1444" w:rsidRDefault="00611CBA">
            <w:pPr>
              <w:jc w:val="center"/>
              <w:rPr>
                <w:rFonts w:eastAsiaTheme="minorEastAsia"/>
              </w:rPr>
            </w:pPr>
            <w:r w:rsidRPr="00FC1444">
              <w:rPr>
                <w:rFonts w:eastAsiaTheme="minorEastAsia"/>
                <w:spacing w:val="4"/>
              </w:rPr>
              <w:t>嗅觉判别</w:t>
            </w:r>
          </w:p>
        </w:tc>
      </w:tr>
      <w:tr w:rsidR="002A5A5E" w:rsidRPr="00FC1444">
        <w:trPr>
          <w:trHeight w:val="340"/>
          <w:jc w:val="center"/>
        </w:trPr>
        <w:tc>
          <w:tcPr>
            <w:tcW w:w="1667" w:type="pct"/>
            <w:tcBorders>
              <w:left w:val="nil"/>
            </w:tcBorders>
            <w:vAlign w:val="center"/>
          </w:tcPr>
          <w:p w:rsidR="002A5A5E" w:rsidRPr="00FC1444" w:rsidRDefault="00611CBA">
            <w:pPr>
              <w:pStyle w:val="TableText"/>
              <w:jc w:val="center"/>
              <w:rPr>
                <w:rFonts w:eastAsiaTheme="minorEastAsia"/>
                <w:color w:val="auto"/>
                <w:sz w:val="21"/>
                <w:szCs w:val="21"/>
              </w:rPr>
            </w:pPr>
            <w:r w:rsidRPr="00FC1444">
              <w:rPr>
                <w:rFonts w:eastAsiaTheme="minorEastAsia"/>
                <w:color w:val="auto"/>
                <w:sz w:val="21"/>
                <w:szCs w:val="21"/>
              </w:rPr>
              <w:t>0</w:t>
            </w:r>
          </w:p>
        </w:tc>
        <w:tc>
          <w:tcPr>
            <w:tcW w:w="3332" w:type="pct"/>
            <w:tcBorders>
              <w:right w:val="nil"/>
            </w:tcBorders>
            <w:vAlign w:val="center"/>
          </w:tcPr>
          <w:p w:rsidR="002A5A5E" w:rsidRPr="00FC1444" w:rsidRDefault="00611CBA">
            <w:pPr>
              <w:jc w:val="center"/>
              <w:rPr>
                <w:rFonts w:eastAsiaTheme="minorEastAsia"/>
              </w:rPr>
            </w:pPr>
            <w:r w:rsidRPr="00FC1444">
              <w:rPr>
                <w:rFonts w:eastAsiaTheme="minorEastAsia"/>
                <w:spacing w:val="3"/>
              </w:rPr>
              <w:t>无臭</w:t>
            </w:r>
          </w:p>
        </w:tc>
      </w:tr>
      <w:tr w:rsidR="002A5A5E" w:rsidRPr="00FC1444">
        <w:trPr>
          <w:trHeight w:val="340"/>
          <w:jc w:val="center"/>
        </w:trPr>
        <w:tc>
          <w:tcPr>
            <w:tcW w:w="1667" w:type="pct"/>
            <w:tcBorders>
              <w:left w:val="nil"/>
            </w:tcBorders>
            <w:vAlign w:val="center"/>
          </w:tcPr>
          <w:p w:rsidR="002A5A5E" w:rsidRPr="00FC1444" w:rsidRDefault="00611CBA">
            <w:pPr>
              <w:pStyle w:val="TableText"/>
              <w:jc w:val="center"/>
              <w:rPr>
                <w:rFonts w:eastAsiaTheme="minorEastAsia"/>
                <w:color w:val="auto"/>
                <w:sz w:val="21"/>
                <w:szCs w:val="21"/>
              </w:rPr>
            </w:pPr>
            <w:r w:rsidRPr="00FC1444">
              <w:rPr>
                <w:rFonts w:eastAsiaTheme="minorEastAsia"/>
                <w:color w:val="auto"/>
                <w:sz w:val="21"/>
                <w:szCs w:val="21"/>
              </w:rPr>
              <w:t>1</w:t>
            </w:r>
          </w:p>
        </w:tc>
        <w:tc>
          <w:tcPr>
            <w:tcW w:w="3332" w:type="pct"/>
            <w:tcBorders>
              <w:right w:val="nil"/>
            </w:tcBorders>
            <w:vAlign w:val="center"/>
          </w:tcPr>
          <w:p w:rsidR="002A5A5E" w:rsidRPr="00FC1444" w:rsidRDefault="00611CBA">
            <w:pPr>
              <w:jc w:val="center"/>
              <w:rPr>
                <w:rFonts w:eastAsiaTheme="minorEastAsia"/>
              </w:rPr>
            </w:pPr>
            <w:r w:rsidRPr="00FC1444">
              <w:rPr>
                <w:rFonts w:eastAsiaTheme="minorEastAsia"/>
                <w:spacing w:val="8"/>
              </w:rPr>
              <w:t>勉强可以感到轻微臭味（检知阈值浓度）</w:t>
            </w:r>
          </w:p>
        </w:tc>
      </w:tr>
      <w:tr w:rsidR="002A5A5E" w:rsidRPr="00FC1444">
        <w:trPr>
          <w:trHeight w:val="340"/>
          <w:jc w:val="center"/>
        </w:trPr>
        <w:tc>
          <w:tcPr>
            <w:tcW w:w="1667" w:type="pct"/>
            <w:tcBorders>
              <w:left w:val="nil"/>
            </w:tcBorders>
            <w:vAlign w:val="center"/>
          </w:tcPr>
          <w:p w:rsidR="002A5A5E" w:rsidRPr="00FC1444" w:rsidRDefault="00611CBA">
            <w:pPr>
              <w:pStyle w:val="TableText"/>
              <w:jc w:val="center"/>
              <w:rPr>
                <w:rFonts w:eastAsiaTheme="minorEastAsia"/>
                <w:color w:val="auto"/>
                <w:sz w:val="21"/>
                <w:szCs w:val="21"/>
              </w:rPr>
            </w:pPr>
            <w:r w:rsidRPr="00FC1444">
              <w:rPr>
                <w:rFonts w:eastAsiaTheme="minorEastAsia"/>
                <w:color w:val="auto"/>
                <w:sz w:val="21"/>
                <w:szCs w:val="21"/>
              </w:rPr>
              <w:t>2</w:t>
            </w:r>
          </w:p>
        </w:tc>
        <w:tc>
          <w:tcPr>
            <w:tcW w:w="3332" w:type="pct"/>
            <w:tcBorders>
              <w:right w:val="nil"/>
            </w:tcBorders>
            <w:vAlign w:val="center"/>
          </w:tcPr>
          <w:p w:rsidR="002A5A5E" w:rsidRPr="00FC1444" w:rsidRDefault="00611CBA">
            <w:pPr>
              <w:jc w:val="center"/>
              <w:rPr>
                <w:rFonts w:eastAsiaTheme="minorEastAsia"/>
              </w:rPr>
            </w:pPr>
            <w:r w:rsidRPr="00FC1444">
              <w:rPr>
                <w:rFonts w:eastAsiaTheme="minorEastAsia"/>
                <w:spacing w:val="8"/>
              </w:rPr>
              <w:t>容易感到轻微臭味（认知阈值浓度）</w:t>
            </w:r>
          </w:p>
        </w:tc>
      </w:tr>
      <w:tr w:rsidR="002A5A5E" w:rsidRPr="00FC1444">
        <w:trPr>
          <w:trHeight w:val="340"/>
          <w:jc w:val="center"/>
        </w:trPr>
        <w:tc>
          <w:tcPr>
            <w:tcW w:w="1667" w:type="pct"/>
            <w:tcBorders>
              <w:left w:val="nil"/>
            </w:tcBorders>
            <w:vAlign w:val="center"/>
          </w:tcPr>
          <w:p w:rsidR="002A5A5E" w:rsidRPr="00FC1444" w:rsidRDefault="00611CBA">
            <w:pPr>
              <w:pStyle w:val="TableText"/>
              <w:jc w:val="center"/>
              <w:rPr>
                <w:rFonts w:eastAsiaTheme="minorEastAsia"/>
                <w:color w:val="auto"/>
                <w:sz w:val="21"/>
                <w:szCs w:val="21"/>
              </w:rPr>
            </w:pPr>
            <w:r w:rsidRPr="00FC1444">
              <w:rPr>
                <w:rFonts w:eastAsiaTheme="minorEastAsia"/>
                <w:color w:val="auto"/>
                <w:sz w:val="21"/>
                <w:szCs w:val="21"/>
              </w:rPr>
              <w:t>3</w:t>
            </w:r>
          </w:p>
        </w:tc>
        <w:tc>
          <w:tcPr>
            <w:tcW w:w="3332" w:type="pct"/>
            <w:tcBorders>
              <w:right w:val="nil"/>
            </w:tcBorders>
            <w:vAlign w:val="center"/>
          </w:tcPr>
          <w:p w:rsidR="002A5A5E" w:rsidRPr="00FC1444" w:rsidRDefault="00611CBA">
            <w:pPr>
              <w:jc w:val="center"/>
              <w:rPr>
                <w:rFonts w:eastAsiaTheme="minorEastAsia"/>
              </w:rPr>
            </w:pPr>
            <w:r w:rsidRPr="00FC1444">
              <w:rPr>
                <w:rFonts w:eastAsiaTheme="minorEastAsia"/>
                <w:spacing w:val="4"/>
              </w:rPr>
              <w:t>明显感到臭味</w:t>
            </w:r>
          </w:p>
        </w:tc>
      </w:tr>
      <w:tr w:rsidR="002A5A5E" w:rsidRPr="00FC1444">
        <w:trPr>
          <w:trHeight w:val="340"/>
          <w:jc w:val="center"/>
        </w:trPr>
        <w:tc>
          <w:tcPr>
            <w:tcW w:w="1667" w:type="pct"/>
            <w:tcBorders>
              <w:left w:val="nil"/>
            </w:tcBorders>
            <w:vAlign w:val="center"/>
          </w:tcPr>
          <w:p w:rsidR="002A5A5E" w:rsidRPr="00FC1444" w:rsidRDefault="00611CBA">
            <w:pPr>
              <w:pStyle w:val="TableText"/>
              <w:jc w:val="center"/>
              <w:rPr>
                <w:rFonts w:eastAsiaTheme="minorEastAsia"/>
                <w:color w:val="auto"/>
                <w:sz w:val="21"/>
                <w:szCs w:val="21"/>
              </w:rPr>
            </w:pPr>
            <w:r w:rsidRPr="00FC1444">
              <w:rPr>
                <w:rFonts w:eastAsiaTheme="minorEastAsia"/>
                <w:color w:val="auto"/>
                <w:spacing w:val="1"/>
                <w:sz w:val="21"/>
                <w:szCs w:val="21"/>
              </w:rPr>
              <w:t>4</w:t>
            </w:r>
          </w:p>
        </w:tc>
        <w:tc>
          <w:tcPr>
            <w:tcW w:w="3332" w:type="pct"/>
            <w:tcBorders>
              <w:right w:val="nil"/>
            </w:tcBorders>
            <w:vAlign w:val="center"/>
          </w:tcPr>
          <w:p w:rsidR="002A5A5E" w:rsidRPr="00FC1444" w:rsidRDefault="00611CBA">
            <w:pPr>
              <w:jc w:val="center"/>
              <w:rPr>
                <w:rFonts w:eastAsiaTheme="minorEastAsia"/>
              </w:rPr>
            </w:pPr>
            <w:r w:rsidRPr="00FC1444">
              <w:rPr>
                <w:rFonts w:eastAsiaTheme="minorEastAsia"/>
                <w:spacing w:val="6"/>
              </w:rPr>
              <w:t>强烈臭味</w:t>
            </w:r>
          </w:p>
        </w:tc>
      </w:tr>
      <w:tr w:rsidR="002A5A5E" w:rsidRPr="00FC1444">
        <w:trPr>
          <w:trHeight w:val="340"/>
          <w:jc w:val="center"/>
        </w:trPr>
        <w:tc>
          <w:tcPr>
            <w:tcW w:w="1667" w:type="pct"/>
            <w:tcBorders>
              <w:left w:val="nil"/>
              <w:bottom w:val="single" w:sz="12" w:space="0" w:color="000000"/>
            </w:tcBorders>
            <w:vAlign w:val="center"/>
          </w:tcPr>
          <w:p w:rsidR="002A5A5E" w:rsidRPr="00FC1444" w:rsidRDefault="00611CBA">
            <w:pPr>
              <w:pStyle w:val="TableText"/>
              <w:jc w:val="center"/>
              <w:rPr>
                <w:rFonts w:eastAsiaTheme="minorEastAsia"/>
                <w:color w:val="auto"/>
                <w:sz w:val="21"/>
                <w:szCs w:val="21"/>
              </w:rPr>
            </w:pPr>
            <w:r w:rsidRPr="00FC1444">
              <w:rPr>
                <w:rFonts w:eastAsiaTheme="minorEastAsia"/>
                <w:color w:val="auto"/>
                <w:sz w:val="21"/>
                <w:szCs w:val="21"/>
              </w:rPr>
              <w:t>5</w:t>
            </w:r>
          </w:p>
        </w:tc>
        <w:tc>
          <w:tcPr>
            <w:tcW w:w="3332" w:type="pct"/>
            <w:tcBorders>
              <w:bottom w:val="single" w:sz="12" w:space="0" w:color="000000"/>
              <w:right w:val="nil"/>
            </w:tcBorders>
            <w:vAlign w:val="center"/>
          </w:tcPr>
          <w:p w:rsidR="002A5A5E" w:rsidRPr="00FC1444" w:rsidRDefault="00611CBA">
            <w:pPr>
              <w:jc w:val="center"/>
              <w:rPr>
                <w:rFonts w:eastAsiaTheme="minorEastAsia"/>
              </w:rPr>
            </w:pPr>
            <w:r w:rsidRPr="00FC1444">
              <w:rPr>
                <w:rFonts w:eastAsiaTheme="minorEastAsia"/>
                <w:spacing w:val="8"/>
              </w:rPr>
              <w:t>无法忍受的强烈臭味</w:t>
            </w:r>
          </w:p>
        </w:tc>
      </w:tr>
    </w:tbl>
    <w:p w:rsidR="002A5A5E" w:rsidRPr="00FC1444" w:rsidRDefault="00611CBA" w:rsidP="00244FAE">
      <w:pPr>
        <w:spacing w:line="360" w:lineRule="auto"/>
        <w:ind w:firstLineChars="177" w:firstLine="407"/>
        <w:rPr>
          <w:rFonts w:eastAsiaTheme="minorEastAsia"/>
          <w:sz w:val="24"/>
        </w:rPr>
      </w:pPr>
      <w:r w:rsidRPr="00FC1444">
        <w:rPr>
          <w:rFonts w:eastAsiaTheme="minorEastAsia"/>
          <w:spacing w:val="-5"/>
          <w:sz w:val="24"/>
        </w:rPr>
        <w:t>根据《河道治理工程的环境特点及其保护措施》《污泥干化过程恶臭气体释放的研究进展》《</w:t>
      </w:r>
      <w:r w:rsidRPr="00FC1444">
        <w:rPr>
          <w:rFonts w:eastAsiaTheme="minorEastAsia"/>
          <w:spacing w:val="-5"/>
          <w:sz w:val="24"/>
        </w:rPr>
        <w:t> </w:t>
      </w:r>
      <w:r w:rsidRPr="00FC1444">
        <w:rPr>
          <w:rFonts w:eastAsiaTheme="minorEastAsia"/>
          <w:spacing w:val="-5"/>
          <w:sz w:val="24"/>
        </w:rPr>
        <w:t>沈阳市污泥堆放场恶臭监测与评估技术》等文献资料及有关调查分析，清淤过程及堆放中在排水沟岸边将会有明显的臭味，恶臭强度约为</w:t>
      </w:r>
      <w:r w:rsidRPr="00FC1444">
        <w:rPr>
          <w:rFonts w:eastAsiaTheme="minorEastAsia"/>
          <w:spacing w:val="-5"/>
          <w:sz w:val="24"/>
        </w:rPr>
        <w:t>2-3</w:t>
      </w:r>
      <w:r w:rsidRPr="00FC1444">
        <w:rPr>
          <w:rFonts w:eastAsiaTheme="minorEastAsia"/>
          <w:spacing w:val="-5"/>
          <w:sz w:val="24"/>
        </w:rPr>
        <w:t>级左右，影响范围在</w:t>
      </w:r>
      <w:r w:rsidRPr="00FC1444">
        <w:rPr>
          <w:rFonts w:eastAsiaTheme="minorEastAsia"/>
          <w:spacing w:val="-5"/>
          <w:sz w:val="24"/>
        </w:rPr>
        <w:t>30m</w:t>
      </w:r>
      <w:r w:rsidRPr="00FC1444">
        <w:rPr>
          <w:rFonts w:eastAsiaTheme="minorEastAsia"/>
          <w:spacing w:val="-5"/>
          <w:sz w:val="24"/>
        </w:rPr>
        <w:t>左右，</w:t>
      </w:r>
      <w:r w:rsidRPr="00FC1444">
        <w:rPr>
          <w:rFonts w:eastAsiaTheme="minorEastAsia"/>
          <w:spacing w:val="-5"/>
          <w:sz w:val="24"/>
        </w:rPr>
        <w:t>30m</w:t>
      </w:r>
      <w:r w:rsidRPr="00FC1444">
        <w:rPr>
          <w:rFonts w:eastAsiaTheme="minorEastAsia"/>
          <w:spacing w:val="-5"/>
          <w:sz w:val="24"/>
        </w:rPr>
        <w:t>之外达</w:t>
      </w:r>
      <w:r w:rsidRPr="00FC1444">
        <w:rPr>
          <w:rFonts w:eastAsiaTheme="minorEastAsia"/>
          <w:spacing w:val="-5"/>
          <w:sz w:val="24"/>
        </w:rPr>
        <w:t>2</w:t>
      </w:r>
      <w:r w:rsidRPr="00FC1444">
        <w:rPr>
          <w:rFonts w:eastAsiaTheme="minorEastAsia"/>
          <w:spacing w:val="-5"/>
          <w:sz w:val="24"/>
        </w:rPr>
        <w:t>级强度，有轻微的臭味，</w:t>
      </w:r>
      <w:r w:rsidRPr="00FC1444">
        <w:rPr>
          <w:rFonts w:eastAsiaTheme="minorEastAsia"/>
          <w:spacing w:val="-5"/>
          <w:sz w:val="24"/>
        </w:rPr>
        <w:t>80m</w:t>
      </w:r>
      <w:r w:rsidRPr="00FC1444">
        <w:rPr>
          <w:rFonts w:eastAsiaTheme="minorEastAsia"/>
          <w:spacing w:val="-5"/>
          <w:sz w:val="24"/>
        </w:rPr>
        <w:t>之外基本无气味。本项目不设淤泥排泥场，其影响主要为排水沟两侧的农户。清淤过程中可喷洒微生物除臭剂，有效抑制腐败细菌的生长，改善有机物的分解途径，减少恶臭气体的产生，起到源头控制臭气产生作用。</w:t>
      </w:r>
    </w:p>
    <w:p w:rsidR="004C69F2" w:rsidRPr="00FC1444" w:rsidRDefault="004C69F2" w:rsidP="004C69F2">
      <w:pPr>
        <w:widowControl/>
        <w:spacing w:line="360" w:lineRule="auto"/>
        <w:ind w:firstLineChars="200" w:firstLine="480"/>
        <w:rPr>
          <w:rFonts w:eastAsiaTheme="minorEastAsia"/>
          <w:sz w:val="24"/>
        </w:rPr>
      </w:pPr>
      <w:r w:rsidRPr="00FC1444">
        <w:rPr>
          <w:rFonts w:eastAsiaTheme="minorEastAsia"/>
          <w:sz w:val="24"/>
        </w:rPr>
        <w:t>本项目排水沟清淤方式为机械及人工相结合，排水沟淤泥</w:t>
      </w:r>
      <w:r w:rsidRPr="00FC1444">
        <w:rPr>
          <w:rFonts w:eastAsiaTheme="minorEastAsia"/>
          <w:bCs/>
          <w:sz w:val="24"/>
        </w:rPr>
        <w:t>培至工程附近</w:t>
      </w:r>
      <w:r w:rsidRPr="00FC1444">
        <w:rPr>
          <w:rFonts w:eastAsiaTheme="minorEastAsia"/>
          <w:bCs/>
          <w:sz w:val="24"/>
        </w:rPr>
        <w:t>200</w:t>
      </w:r>
      <w:r w:rsidRPr="00FC1444">
        <w:rPr>
          <w:rFonts w:eastAsiaTheme="minorEastAsia"/>
          <w:bCs/>
          <w:sz w:val="24"/>
        </w:rPr>
        <w:t>米范围内无环境保护目标的排水沟两侧（</w:t>
      </w:r>
      <w:r w:rsidR="00386D57" w:rsidRPr="00FC1444">
        <w:rPr>
          <w:rFonts w:eastAsiaTheme="minorEastAsia"/>
          <w:bCs/>
          <w:sz w:val="24"/>
        </w:rPr>
        <w:t>避开黄家屯、李荒子屯等</w:t>
      </w:r>
      <w:r w:rsidR="00386D57" w:rsidRPr="00FC1444">
        <w:rPr>
          <w:rFonts w:eastAsiaTheme="minorEastAsia"/>
          <w:bCs/>
          <w:sz w:val="24"/>
        </w:rPr>
        <w:t>22</w:t>
      </w:r>
      <w:r w:rsidR="00386D57" w:rsidRPr="00FC1444">
        <w:rPr>
          <w:rFonts w:eastAsiaTheme="minorEastAsia"/>
          <w:bCs/>
          <w:sz w:val="24"/>
        </w:rPr>
        <w:t>个村屯</w:t>
      </w:r>
      <w:r w:rsidRPr="00FC1444">
        <w:rPr>
          <w:rFonts w:eastAsiaTheme="minorEastAsia"/>
          <w:bCs/>
          <w:sz w:val="24"/>
        </w:rPr>
        <w:t>，具体见表</w:t>
      </w:r>
      <w:r w:rsidRPr="00FC1444">
        <w:rPr>
          <w:rFonts w:eastAsiaTheme="minorEastAsia"/>
          <w:bCs/>
          <w:sz w:val="24"/>
        </w:rPr>
        <w:t>2-8-2</w:t>
      </w:r>
      <w:r w:rsidRPr="00FC1444">
        <w:rPr>
          <w:rFonts w:eastAsiaTheme="minorEastAsia"/>
          <w:bCs/>
          <w:sz w:val="24"/>
        </w:rPr>
        <w:t>），</w:t>
      </w:r>
      <w:r w:rsidRPr="00FC1444">
        <w:rPr>
          <w:rFonts w:eastAsiaTheme="minorEastAsia"/>
          <w:sz w:val="24"/>
        </w:rPr>
        <w:t>自然晾晒干化，晾晒</w:t>
      </w:r>
      <w:r w:rsidRPr="00FC1444">
        <w:rPr>
          <w:rFonts w:eastAsiaTheme="minorEastAsia"/>
          <w:sz w:val="24"/>
        </w:rPr>
        <w:t>7</w:t>
      </w:r>
      <w:r w:rsidRPr="00FC1444">
        <w:rPr>
          <w:rFonts w:eastAsiaTheme="minorEastAsia"/>
          <w:sz w:val="24"/>
        </w:rPr>
        <w:t>～</w:t>
      </w:r>
      <w:r w:rsidRPr="00FC1444">
        <w:rPr>
          <w:rFonts w:eastAsiaTheme="minorEastAsia"/>
          <w:sz w:val="24"/>
        </w:rPr>
        <w:t>10d</w:t>
      </w:r>
      <w:r w:rsidRPr="00FC1444">
        <w:rPr>
          <w:rFonts w:eastAsiaTheme="minorEastAsia"/>
          <w:sz w:val="24"/>
        </w:rPr>
        <w:t>后含水率大幅下降，厌氧环境破坏，臭气浓度释放量显著降低，后期臭气影响大幅减弱。减少对附近环境保护目标的影响。</w:t>
      </w:r>
    </w:p>
    <w:p w:rsidR="004C69F2" w:rsidRPr="00FC1444" w:rsidRDefault="004C69F2" w:rsidP="004C69F2">
      <w:pPr>
        <w:spacing w:line="360" w:lineRule="auto"/>
        <w:ind w:firstLineChars="200" w:firstLine="480"/>
        <w:rPr>
          <w:rFonts w:eastAsiaTheme="minorEastAsia"/>
          <w:kern w:val="0"/>
          <w:sz w:val="24"/>
        </w:rPr>
      </w:pPr>
      <w:r w:rsidRPr="00FC1444">
        <w:rPr>
          <w:sz w:val="24"/>
        </w:rPr>
        <w:t>本工程清淤施工期选定</w:t>
      </w:r>
      <w:r w:rsidRPr="00FC1444">
        <w:rPr>
          <w:sz w:val="24"/>
        </w:rPr>
        <w:t>2027</w:t>
      </w:r>
      <w:r w:rsidRPr="00FC1444">
        <w:rPr>
          <w:sz w:val="24"/>
        </w:rPr>
        <w:t>年</w:t>
      </w:r>
      <w:r w:rsidRPr="00FC1444">
        <w:rPr>
          <w:sz w:val="24"/>
        </w:rPr>
        <w:t>3</w:t>
      </w:r>
      <w:r w:rsidRPr="00FC1444">
        <w:rPr>
          <w:rFonts w:eastAsiaTheme="minorEastAsia"/>
          <w:kern w:val="0"/>
          <w:sz w:val="24"/>
        </w:rPr>
        <w:t>～</w:t>
      </w:r>
      <w:r w:rsidRPr="00FC1444">
        <w:rPr>
          <w:sz w:val="24"/>
        </w:rPr>
        <w:t>4</w:t>
      </w:r>
      <w:r w:rsidRPr="00FC1444">
        <w:rPr>
          <w:sz w:val="24"/>
        </w:rPr>
        <w:t>月河道枯水期开展，该阶段河流水位低，</w:t>
      </w:r>
      <w:r w:rsidRPr="00FC1444">
        <w:rPr>
          <w:sz w:val="24"/>
        </w:rPr>
        <w:lastRenderedPageBreak/>
        <w:t>河床淤泥自然疏干、含水率较低，叠加初春低温气象条件，淤泥内厌氧微生物产臭活性受到双重抑制，恶臭污染物生成及挥发速率整体偏低；同时采用干化开挖施工，避免汛期水下扰动淤泥造成恶臭气体集中瞬时释放，整体臭气平均排放浓度优于丰水期清淤工况。</w:t>
      </w:r>
    </w:p>
    <w:p w:rsidR="002A5A5E" w:rsidRPr="00FC1444" w:rsidRDefault="00611CBA">
      <w:pPr>
        <w:spacing w:line="360" w:lineRule="auto"/>
        <w:ind w:firstLineChars="200" w:firstLine="480"/>
        <w:rPr>
          <w:rFonts w:eastAsiaTheme="minorEastAsia"/>
          <w:kern w:val="0"/>
          <w:sz w:val="24"/>
        </w:rPr>
      </w:pPr>
      <w:r w:rsidRPr="00FC1444">
        <w:rPr>
          <w:rFonts w:eastAsiaTheme="minorEastAsia"/>
          <w:kern w:val="0"/>
          <w:sz w:val="24"/>
        </w:rPr>
        <w:t>总之，只要加强管理、切实落实好这些措施，施工场地扬尘对环境的影响将会大大降低，同时其对环境的影响也将随施工的结束而消失。</w:t>
      </w:r>
    </w:p>
    <w:p w:rsidR="002A5A5E" w:rsidRPr="00FC1444" w:rsidRDefault="00611CBA">
      <w:pPr>
        <w:autoSpaceDE w:val="0"/>
        <w:autoSpaceDN w:val="0"/>
        <w:spacing w:before="100" w:beforeAutospacing="1" w:after="100" w:afterAutospacing="1"/>
        <w:jc w:val="left"/>
        <w:outlineLvl w:val="2"/>
        <w:rPr>
          <w:rFonts w:eastAsiaTheme="minorEastAsia"/>
          <w:b/>
          <w:sz w:val="28"/>
          <w:szCs w:val="28"/>
        </w:rPr>
      </w:pPr>
      <w:r w:rsidRPr="00FC1444">
        <w:rPr>
          <w:rFonts w:eastAsiaTheme="minorEastAsia"/>
          <w:b/>
          <w:sz w:val="28"/>
          <w:szCs w:val="28"/>
        </w:rPr>
        <w:t>5.1.2</w:t>
      </w:r>
      <w:r w:rsidRPr="00FC1444">
        <w:rPr>
          <w:rFonts w:eastAsiaTheme="minorEastAsia"/>
          <w:b/>
          <w:sz w:val="28"/>
          <w:szCs w:val="28"/>
        </w:rPr>
        <w:t>水</w:t>
      </w:r>
      <w:r w:rsidR="00FC1444" w:rsidRPr="00FC1444">
        <w:rPr>
          <w:rFonts w:eastAsiaTheme="minorEastAsia"/>
          <w:b/>
          <w:sz w:val="28"/>
          <w:szCs w:val="28"/>
        </w:rPr>
        <w:t>生态</w:t>
      </w:r>
      <w:r w:rsidRPr="00FC1444">
        <w:rPr>
          <w:rFonts w:eastAsiaTheme="minorEastAsia"/>
          <w:b/>
          <w:sz w:val="28"/>
          <w:szCs w:val="28"/>
        </w:rPr>
        <w:t>环境影响评价</w:t>
      </w:r>
    </w:p>
    <w:p w:rsidR="002A5A5E" w:rsidRPr="00FC1444" w:rsidRDefault="00611CBA">
      <w:pPr>
        <w:spacing w:line="360" w:lineRule="auto"/>
        <w:ind w:firstLineChars="200" w:firstLine="480"/>
        <w:rPr>
          <w:rFonts w:eastAsiaTheme="minorEastAsia"/>
          <w:kern w:val="0"/>
          <w:sz w:val="24"/>
        </w:rPr>
      </w:pPr>
      <w:r w:rsidRPr="00FC1444">
        <w:rPr>
          <w:rFonts w:eastAsiaTheme="minorEastAsia"/>
          <w:kern w:val="0"/>
          <w:sz w:val="24"/>
        </w:rPr>
        <w:t>项目施工期对水环境造成的影响主要有施工废水和生活污水。</w:t>
      </w:r>
    </w:p>
    <w:p w:rsidR="002A5A5E" w:rsidRPr="00FC1444" w:rsidRDefault="00611CBA">
      <w:pPr>
        <w:spacing w:line="360" w:lineRule="auto"/>
        <w:ind w:firstLineChars="200" w:firstLine="480"/>
        <w:rPr>
          <w:rFonts w:eastAsiaTheme="minorEastAsia"/>
          <w:sz w:val="24"/>
        </w:rPr>
      </w:pPr>
      <w:r w:rsidRPr="00FC1444">
        <w:rPr>
          <w:rFonts w:eastAsiaTheme="minorEastAsia"/>
          <w:kern w:val="0"/>
          <w:sz w:val="24"/>
        </w:rPr>
        <w:t>本项目施工期使用商品混凝土，不现场搅拌，无混凝土搅拌废水。混凝土预制件均外购，故不产生养护废水，施工机械、车辆不在现场维修和冲洗。</w:t>
      </w:r>
      <w:r w:rsidRPr="00FC1444">
        <w:rPr>
          <w:rFonts w:eastAsiaTheme="minorEastAsia"/>
          <w:sz w:val="24"/>
          <w:szCs w:val="21"/>
        </w:rPr>
        <w:t>田间道路工程</w:t>
      </w:r>
      <w:r w:rsidRPr="00FC1444">
        <w:rPr>
          <w:rFonts w:eastAsiaTheme="minorEastAsia"/>
          <w:sz w:val="24"/>
        </w:rPr>
        <w:t>在混凝土路面建设完成后，应在其终凝前进行养护，通常在混凝土浇筑完毕后</w:t>
      </w:r>
      <w:r w:rsidRPr="00FC1444">
        <w:rPr>
          <w:rFonts w:eastAsiaTheme="minorEastAsia"/>
          <w:sz w:val="24"/>
        </w:rPr>
        <w:t>8</w:t>
      </w:r>
      <w:r w:rsidRPr="00FC1444">
        <w:rPr>
          <w:rFonts w:eastAsiaTheme="minorEastAsia"/>
          <w:sz w:val="24"/>
        </w:rPr>
        <w:t>～</w:t>
      </w:r>
      <w:r w:rsidRPr="00FC1444">
        <w:rPr>
          <w:rFonts w:eastAsiaTheme="minorEastAsia"/>
          <w:sz w:val="24"/>
        </w:rPr>
        <w:t>12</w:t>
      </w:r>
      <w:r w:rsidRPr="00FC1444">
        <w:rPr>
          <w:rFonts w:eastAsiaTheme="minorEastAsia"/>
          <w:sz w:val="24"/>
        </w:rPr>
        <w:t>小时内自然养护，同时喷洒少量水，</w:t>
      </w:r>
      <w:r w:rsidRPr="00FC1444">
        <w:rPr>
          <w:rFonts w:eastAsiaTheme="minorEastAsia"/>
          <w:bCs/>
          <w:sz w:val="24"/>
        </w:rPr>
        <w:t>养护过程的水分完全蒸发，不形成径流进入土壤和附近水体</w:t>
      </w:r>
      <w:r w:rsidRPr="00FC1444">
        <w:rPr>
          <w:rFonts w:eastAsiaTheme="minorEastAsia"/>
          <w:sz w:val="24"/>
        </w:rPr>
        <w:t>。</w:t>
      </w:r>
    </w:p>
    <w:p w:rsidR="002A5A5E" w:rsidRPr="00FC1444" w:rsidRDefault="00611CBA">
      <w:pPr>
        <w:widowControl/>
        <w:spacing w:line="360" w:lineRule="auto"/>
        <w:ind w:firstLineChars="200" w:firstLine="480"/>
        <w:rPr>
          <w:rFonts w:eastAsiaTheme="minorEastAsia"/>
          <w:sz w:val="24"/>
        </w:rPr>
      </w:pPr>
      <w:r w:rsidRPr="00FC1444">
        <w:rPr>
          <w:rFonts w:eastAsiaTheme="minorEastAsia"/>
          <w:sz w:val="24"/>
          <w:szCs w:val="21"/>
        </w:rPr>
        <w:t>施工期施工人员的生活污水排入依托附近民房防渗旱厕，定期清掏，外运堆肥，不外排。</w:t>
      </w:r>
      <w:r w:rsidRPr="00FC1444">
        <w:rPr>
          <w:rFonts w:eastAsiaTheme="minorEastAsia"/>
          <w:sz w:val="24"/>
        </w:rPr>
        <w:t>洗井废水用于洒水降尘</w:t>
      </w:r>
      <w:r w:rsidRPr="00FC1444">
        <w:rPr>
          <w:rFonts w:eastAsiaTheme="minorEastAsia"/>
          <w:sz w:val="24"/>
          <w:szCs w:val="21"/>
        </w:rPr>
        <w:t>。</w:t>
      </w:r>
      <w:r w:rsidRPr="00FC1444">
        <w:rPr>
          <w:rFonts w:eastAsiaTheme="minorEastAsia"/>
          <w:sz w:val="24"/>
          <w:szCs w:val="22"/>
        </w:rPr>
        <w:t>钻井泥浆可循环利用，废泥浆</w:t>
      </w:r>
      <w:r w:rsidRPr="00FC1444">
        <w:rPr>
          <w:rFonts w:eastAsiaTheme="minorEastAsia"/>
          <w:sz w:val="24"/>
        </w:rPr>
        <w:t>暂存于施工场地</w:t>
      </w:r>
      <w:r w:rsidR="006974EB" w:rsidRPr="00FC1444">
        <w:rPr>
          <w:rFonts w:eastAsiaTheme="minorEastAsia"/>
          <w:sz w:val="24"/>
        </w:rPr>
        <w:t>1</w:t>
      </w:r>
      <w:r w:rsidR="0009673A" w:rsidRPr="00FC1444">
        <w:rPr>
          <w:rFonts w:eastAsiaTheme="minorEastAsia"/>
          <w:sz w:val="24"/>
        </w:rPr>
        <w:t>个</w:t>
      </w:r>
      <w:r w:rsidR="006974EB" w:rsidRPr="00FC1444">
        <w:rPr>
          <w:rFonts w:eastAsiaTheme="minorEastAsia"/>
          <w:sz w:val="24"/>
        </w:rPr>
        <w:t>1</w:t>
      </w:r>
      <w:r w:rsidRPr="00FC1444">
        <w:rPr>
          <w:rFonts w:eastAsiaTheme="minorEastAsia"/>
          <w:sz w:val="24"/>
        </w:rPr>
        <w:t>0</w:t>
      </w:r>
      <w:r w:rsidRPr="00FC1444">
        <w:rPr>
          <w:rFonts w:eastAsiaTheme="minorEastAsia"/>
          <w:sz w:val="24"/>
          <w:szCs w:val="22"/>
        </w:rPr>
        <w:t>m</w:t>
      </w:r>
      <w:r w:rsidRPr="00FC1444">
        <w:rPr>
          <w:rFonts w:eastAsiaTheme="minorEastAsia"/>
          <w:sz w:val="24"/>
          <w:szCs w:val="22"/>
          <w:vertAlign w:val="superscript"/>
        </w:rPr>
        <w:t>3</w:t>
      </w:r>
      <w:r w:rsidRPr="00FC1444">
        <w:rPr>
          <w:rFonts w:eastAsiaTheme="minorEastAsia"/>
          <w:sz w:val="24"/>
        </w:rPr>
        <w:t>移动式不锈钢沉淀池内，沉淀后上层清水用于洒水降尘，下层钻井</w:t>
      </w:r>
      <w:r w:rsidRPr="00FC1444">
        <w:rPr>
          <w:rFonts w:eastAsiaTheme="minorEastAsia"/>
          <w:bCs/>
          <w:sz w:val="24"/>
          <w:szCs w:val="22"/>
        </w:rPr>
        <w:t>泥浆自然干化后用于周围道路平整。</w:t>
      </w:r>
    </w:p>
    <w:p w:rsidR="002A5A5E" w:rsidRPr="00FC1444" w:rsidRDefault="00611CBA">
      <w:pPr>
        <w:spacing w:line="360" w:lineRule="auto"/>
        <w:ind w:firstLineChars="200" w:firstLine="480"/>
        <w:rPr>
          <w:rFonts w:eastAsiaTheme="minorEastAsia"/>
          <w:sz w:val="24"/>
          <w:szCs w:val="21"/>
        </w:rPr>
      </w:pPr>
      <w:r w:rsidRPr="00FC1444">
        <w:rPr>
          <w:rFonts w:eastAsiaTheme="minorEastAsia"/>
          <w:sz w:val="24"/>
          <w:szCs w:val="21"/>
        </w:rPr>
        <w:t>合理安排施工时序，选择</w:t>
      </w:r>
      <w:r w:rsidRPr="00FC1444">
        <w:rPr>
          <w:rFonts w:eastAsiaTheme="minorEastAsia"/>
          <w:sz w:val="24"/>
          <w:szCs w:val="21"/>
        </w:rPr>
        <w:t>3</w:t>
      </w:r>
      <w:r w:rsidRPr="00FC1444">
        <w:rPr>
          <w:rFonts w:eastAsiaTheme="minorEastAsia"/>
          <w:sz w:val="24"/>
          <w:szCs w:val="21"/>
        </w:rPr>
        <w:t>月至</w:t>
      </w:r>
      <w:r w:rsidRPr="00FC1444">
        <w:rPr>
          <w:rFonts w:eastAsiaTheme="minorEastAsia"/>
          <w:sz w:val="24"/>
          <w:szCs w:val="21"/>
        </w:rPr>
        <w:t>4</w:t>
      </w:r>
      <w:r w:rsidRPr="00FC1444">
        <w:rPr>
          <w:rFonts w:eastAsiaTheme="minorEastAsia"/>
          <w:sz w:val="24"/>
          <w:szCs w:val="21"/>
        </w:rPr>
        <w:t>月进行排水沟清淤及涵洞等建筑物、护砌工程施工，沟渠干涸，不涉水，避免对地表水体的影响。</w:t>
      </w:r>
    </w:p>
    <w:p w:rsidR="002A5A5E" w:rsidRPr="00FC1444" w:rsidRDefault="00611CBA">
      <w:pPr>
        <w:widowControl/>
        <w:spacing w:line="360" w:lineRule="auto"/>
        <w:ind w:firstLineChars="200" w:firstLine="480"/>
        <w:rPr>
          <w:rFonts w:eastAsiaTheme="minorEastAsia"/>
          <w:bCs/>
          <w:kern w:val="0"/>
          <w:sz w:val="24"/>
          <w:szCs w:val="20"/>
        </w:rPr>
      </w:pPr>
      <w:r w:rsidRPr="00FC1444">
        <w:rPr>
          <w:rFonts w:eastAsiaTheme="minorEastAsia"/>
          <w:bCs/>
          <w:kern w:val="0"/>
          <w:sz w:val="24"/>
          <w:szCs w:val="20"/>
        </w:rPr>
        <w:t>清淤工程在枯水期施工，</w:t>
      </w:r>
      <w:r w:rsidR="00730492" w:rsidRPr="00FC1444">
        <w:rPr>
          <w:rFonts w:eastAsiaTheme="minorEastAsia"/>
          <w:bCs/>
          <w:sz w:val="24"/>
        </w:rPr>
        <w:t>排水沟淤泥培至工程附近</w:t>
      </w:r>
      <w:r w:rsidR="00730492" w:rsidRPr="00FC1444">
        <w:rPr>
          <w:rFonts w:eastAsiaTheme="minorEastAsia"/>
          <w:bCs/>
          <w:sz w:val="24"/>
        </w:rPr>
        <w:t>200</w:t>
      </w:r>
      <w:r w:rsidR="00730492" w:rsidRPr="00FC1444">
        <w:rPr>
          <w:rFonts w:eastAsiaTheme="minorEastAsia"/>
          <w:bCs/>
          <w:sz w:val="24"/>
        </w:rPr>
        <w:t>米范围内无环境保护目标的排水沟两侧（</w:t>
      </w:r>
      <w:r w:rsidR="00386D57" w:rsidRPr="00FC1444">
        <w:rPr>
          <w:rFonts w:eastAsiaTheme="minorEastAsia"/>
          <w:bCs/>
          <w:sz w:val="24"/>
        </w:rPr>
        <w:t>避开黄家屯、李荒子屯等</w:t>
      </w:r>
      <w:r w:rsidR="00386D57" w:rsidRPr="00FC1444">
        <w:rPr>
          <w:rFonts w:eastAsiaTheme="minorEastAsia"/>
          <w:bCs/>
          <w:sz w:val="24"/>
        </w:rPr>
        <w:t>22</w:t>
      </w:r>
      <w:r w:rsidR="00386D57" w:rsidRPr="00FC1444">
        <w:rPr>
          <w:rFonts w:eastAsiaTheme="minorEastAsia"/>
          <w:bCs/>
          <w:sz w:val="24"/>
        </w:rPr>
        <w:t>个村屯</w:t>
      </w:r>
      <w:r w:rsidR="00730492" w:rsidRPr="00FC1444">
        <w:rPr>
          <w:rFonts w:eastAsiaTheme="minorEastAsia"/>
          <w:bCs/>
          <w:sz w:val="24"/>
        </w:rPr>
        <w:t>，具体见表</w:t>
      </w:r>
      <w:r w:rsidR="00730492" w:rsidRPr="00FC1444">
        <w:rPr>
          <w:rFonts w:eastAsiaTheme="minorEastAsia"/>
          <w:bCs/>
          <w:sz w:val="24"/>
        </w:rPr>
        <w:t>2-8-2</w:t>
      </w:r>
      <w:r w:rsidR="00730492" w:rsidRPr="00FC1444">
        <w:rPr>
          <w:rFonts w:eastAsiaTheme="minorEastAsia"/>
          <w:bCs/>
          <w:sz w:val="24"/>
        </w:rPr>
        <w:t>）</w:t>
      </w:r>
      <w:r w:rsidRPr="00FC1444">
        <w:rPr>
          <w:rFonts w:eastAsiaTheme="minorEastAsia"/>
          <w:sz w:val="24"/>
        </w:rPr>
        <w:t>，</w:t>
      </w:r>
      <w:r w:rsidRPr="00FC1444">
        <w:rPr>
          <w:rFonts w:eastAsiaTheme="minorEastAsia"/>
          <w:bCs/>
          <w:kern w:val="0"/>
          <w:sz w:val="24"/>
          <w:szCs w:val="20"/>
        </w:rPr>
        <w:t>污泥铺摊晾晒过程中可能会产生沥水，但由于在干槽时段进行清淤，污泥含水率较低</w:t>
      </w:r>
      <w:r w:rsidR="00B13779" w:rsidRPr="00FC1444">
        <w:rPr>
          <w:rFonts w:eastAsiaTheme="minorEastAsia"/>
          <w:bCs/>
          <w:kern w:val="0"/>
          <w:sz w:val="24"/>
          <w:szCs w:val="20"/>
        </w:rPr>
        <w:t>，约为</w:t>
      </w:r>
      <w:r w:rsidR="00B13779" w:rsidRPr="00FC1444">
        <w:rPr>
          <w:rFonts w:eastAsiaTheme="minorEastAsia"/>
          <w:bCs/>
          <w:kern w:val="0"/>
          <w:sz w:val="24"/>
          <w:szCs w:val="20"/>
        </w:rPr>
        <w:t>60%</w:t>
      </w:r>
      <w:r w:rsidR="004C69F2" w:rsidRPr="00FC1444">
        <w:rPr>
          <w:rFonts w:eastAsiaTheme="minorEastAsia"/>
          <w:bCs/>
          <w:kern w:val="0"/>
          <w:sz w:val="24"/>
          <w:szCs w:val="20"/>
        </w:rPr>
        <w:t>。</w:t>
      </w:r>
      <w:r w:rsidR="004C69F2" w:rsidRPr="00FC1444">
        <w:rPr>
          <w:rFonts w:eastAsiaTheme="minorEastAsia"/>
          <w:kern w:val="10"/>
          <w:sz w:val="24"/>
          <w:szCs w:val="22"/>
        </w:rPr>
        <w:t>本项目排水沟底泥检测样品无重金属污染，底泥污染物均满足《土壤环境质量农用地土壤污染风险管控标准（试行）》（</w:t>
      </w:r>
      <w:r w:rsidR="004C69F2" w:rsidRPr="00FC1444">
        <w:rPr>
          <w:rFonts w:eastAsiaTheme="minorEastAsia"/>
          <w:kern w:val="10"/>
          <w:sz w:val="24"/>
          <w:szCs w:val="22"/>
        </w:rPr>
        <w:t>GB15618-2018</w:t>
      </w:r>
      <w:r w:rsidR="004C69F2" w:rsidRPr="00FC1444">
        <w:rPr>
          <w:rFonts w:eastAsiaTheme="minorEastAsia"/>
          <w:kern w:val="10"/>
          <w:sz w:val="24"/>
          <w:szCs w:val="22"/>
        </w:rPr>
        <w:t>）表</w:t>
      </w:r>
      <w:r w:rsidR="004C69F2" w:rsidRPr="00FC1444">
        <w:rPr>
          <w:rFonts w:eastAsiaTheme="minorEastAsia"/>
          <w:kern w:val="10"/>
          <w:sz w:val="24"/>
          <w:szCs w:val="22"/>
        </w:rPr>
        <w:t>1</w:t>
      </w:r>
      <w:r w:rsidR="004C69F2" w:rsidRPr="00FC1444">
        <w:rPr>
          <w:rFonts w:eastAsiaTheme="minorEastAsia"/>
          <w:kern w:val="10"/>
          <w:sz w:val="24"/>
          <w:szCs w:val="22"/>
        </w:rPr>
        <w:t>、表</w:t>
      </w:r>
      <w:r w:rsidR="004C69F2" w:rsidRPr="00FC1444">
        <w:rPr>
          <w:rFonts w:eastAsiaTheme="minorEastAsia"/>
          <w:kern w:val="10"/>
          <w:sz w:val="24"/>
          <w:szCs w:val="22"/>
        </w:rPr>
        <w:t>2</w:t>
      </w:r>
      <w:r w:rsidR="004C69F2" w:rsidRPr="00FC1444">
        <w:rPr>
          <w:rFonts w:eastAsiaTheme="minorEastAsia"/>
          <w:kern w:val="10"/>
          <w:sz w:val="24"/>
          <w:szCs w:val="22"/>
        </w:rPr>
        <w:t>中筛选值。</w:t>
      </w:r>
      <w:r w:rsidR="00B13779" w:rsidRPr="00FC1444">
        <w:rPr>
          <w:rFonts w:eastAsiaTheme="minorEastAsia"/>
          <w:bCs/>
          <w:kern w:val="10"/>
          <w:sz w:val="24"/>
          <w:szCs w:val="22"/>
        </w:rPr>
        <w:t>污泥</w:t>
      </w:r>
      <w:r w:rsidR="00B13779" w:rsidRPr="00FC1444">
        <w:rPr>
          <w:rFonts w:eastAsiaTheme="minorEastAsia"/>
          <w:bCs/>
          <w:kern w:val="0"/>
          <w:sz w:val="24"/>
          <w:szCs w:val="20"/>
        </w:rPr>
        <w:t>铺摊</w:t>
      </w:r>
      <w:r w:rsidR="00B13779" w:rsidRPr="00FC1444">
        <w:rPr>
          <w:spacing w:val="-1"/>
          <w:sz w:val="24"/>
        </w:rPr>
        <w:t>前先根据地势铺设</w:t>
      </w:r>
      <w:r w:rsidR="00B13779" w:rsidRPr="00FC1444">
        <w:rPr>
          <w:spacing w:val="-1"/>
          <w:sz w:val="24"/>
        </w:rPr>
        <w:t>5cm</w:t>
      </w:r>
      <w:r w:rsidR="00B13779" w:rsidRPr="00FC1444">
        <w:rPr>
          <w:spacing w:val="-1"/>
          <w:sz w:val="24"/>
        </w:rPr>
        <w:t>卵石层、</w:t>
      </w:r>
      <w:r w:rsidR="00B13779" w:rsidRPr="00FC1444">
        <w:rPr>
          <w:spacing w:val="-1"/>
          <w:sz w:val="24"/>
        </w:rPr>
        <w:t>20cm</w:t>
      </w:r>
      <w:r w:rsidR="00B13779" w:rsidRPr="00FC1444">
        <w:rPr>
          <w:spacing w:val="-1"/>
          <w:sz w:val="24"/>
        </w:rPr>
        <w:t>砂子层，形成一侧临沟渠偏低、另一侧靠农田偏高的坡度，防止淤泥沥水渗入周边农田。</w:t>
      </w:r>
      <w:r w:rsidR="00B13779" w:rsidRPr="00FC1444">
        <w:rPr>
          <w:spacing w:val="-5"/>
          <w:sz w:val="24"/>
        </w:rPr>
        <w:t>污泥沥水</w:t>
      </w:r>
      <w:r w:rsidR="00B13779" w:rsidRPr="00FC1444">
        <w:rPr>
          <w:rFonts w:eastAsiaTheme="minorEastAsia"/>
          <w:bCs/>
          <w:kern w:val="0"/>
          <w:sz w:val="24"/>
          <w:szCs w:val="20"/>
        </w:rPr>
        <w:t>与渠道内水质基本一致，</w:t>
      </w:r>
      <w:r w:rsidR="00B13779" w:rsidRPr="00FC1444">
        <w:rPr>
          <w:spacing w:val="-5"/>
          <w:sz w:val="24"/>
        </w:rPr>
        <w:t>经过滤处理后</w:t>
      </w:r>
      <w:r w:rsidR="00B13779" w:rsidRPr="00FC1444">
        <w:rPr>
          <w:rFonts w:eastAsiaTheme="minorEastAsia"/>
          <w:bCs/>
          <w:kern w:val="0"/>
          <w:sz w:val="24"/>
          <w:szCs w:val="20"/>
        </w:rPr>
        <w:t>排至原有渠道内。</w:t>
      </w:r>
      <w:r w:rsidRPr="00FC1444">
        <w:rPr>
          <w:rFonts w:eastAsiaTheme="minorEastAsia"/>
          <w:bCs/>
          <w:kern w:val="0"/>
          <w:sz w:val="24"/>
          <w:szCs w:val="20"/>
        </w:rPr>
        <w:t>不会对灌区水质产生不良影响。</w:t>
      </w:r>
    </w:p>
    <w:p w:rsidR="002A5A5E" w:rsidRPr="00FC1444" w:rsidRDefault="00611CBA">
      <w:pPr>
        <w:spacing w:line="360" w:lineRule="auto"/>
        <w:ind w:firstLineChars="200" w:firstLine="480"/>
        <w:rPr>
          <w:rFonts w:eastAsiaTheme="minorEastAsia"/>
          <w:sz w:val="24"/>
          <w:szCs w:val="21"/>
        </w:rPr>
      </w:pPr>
      <w:r w:rsidRPr="00FC1444">
        <w:rPr>
          <w:rFonts w:eastAsiaTheme="minorEastAsia"/>
          <w:sz w:val="24"/>
          <w:szCs w:val="21"/>
        </w:rPr>
        <w:lastRenderedPageBreak/>
        <w:t>因此施工期对地表水径流环境基本无影响。</w:t>
      </w:r>
    </w:p>
    <w:p w:rsidR="002A5A5E" w:rsidRPr="00FC1444" w:rsidRDefault="00611CBA">
      <w:pPr>
        <w:autoSpaceDE w:val="0"/>
        <w:autoSpaceDN w:val="0"/>
        <w:spacing w:before="100" w:beforeAutospacing="1" w:after="100" w:afterAutospacing="1"/>
        <w:jc w:val="left"/>
        <w:outlineLvl w:val="2"/>
        <w:rPr>
          <w:rFonts w:eastAsiaTheme="minorEastAsia"/>
          <w:b/>
          <w:sz w:val="28"/>
          <w:szCs w:val="28"/>
        </w:rPr>
      </w:pPr>
      <w:r w:rsidRPr="00FC1444">
        <w:rPr>
          <w:rFonts w:eastAsiaTheme="minorEastAsia"/>
          <w:b/>
          <w:sz w:val="28"/>
          <w:szCs w:val="28"/>
        </w:rPr>
        <w:t>5.1.3</w:t>
      </w:r>
      <w:r w:rsidRPr="00FC1444">
        <w:rPr>
          <w:rFonts w:eastAsiaTheme="minorEastAsia"/>
          <w:b/>
          <w:sz w:val="28"/>
          <w:szCs w:val="28"/>
        </w:rPr>
        <w:t>噪声</w:t>
      </w:r>
      <w:r w:rsidR="00FC1444" w:rsidRPr="00FC1444">
        <w:rPr>
          <w:rFonts w:eastAsiaTheme="minorEastAsia"/>
          <w:b/>
          <w:sz w:val="28"/>
          <w:szCs w:val="28"/>
        </w:rPr>
        <w:t>生态</w:t>
      </w:r>
      <w:r w:rsidRPr="00FC1444">
        <w:rPr>
          <w:rFonts w:eastAsiaTheme="minorEastAsia"/>
          <w:b/>
          <w:sz w:val="28"/>
          <w:szCs w:val="28"/>
        </w:rPr>
        <w:t>环境影响评价</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snapToGrid w:val="0"/>
        </w:rPr>
        <w:t>项目施工期噪声主要来源于施工机械噪声和运输车辆噪声。在施工过程中，由于各种施工机械设备的运转和各类车辆的运行，不可避免地将产生噪声污染。根据调查本项目的主要噪声源如下表</w:t>
      </w:r>
      <w:r w:rsidRPr="00FC1444">
        <w:rPr>
          <w:rFonts w:ascii="Times New Roman" w:hAnsi="Times New Roman" w:cs="Times New Roman"/>
          <w:snapToGrid w:val="0"/>
        </w:rPr>
        <w:t>5-1-4</w:t>
      </w:r>
      <w:r w:rsidRPr="00FC1444">
        <w:rPr>
          <w:rFonts w:ascii="Times New Roman" w:hAnsi="Times New Roman" w:cs="Times New Roman"/>
          <w:snapToGrid w:val="0"/>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5-1-4</w:t>
      </w:r>
      <w:r w:rsidRPr="00FC1444">
        <w:rPr>
          <w:rFonts w:eastAsiaTheme="minorEastAsia"/>
          <w:b/>
          <w:kern w:val="0"/>
          <w:szCs w:val="21"/>
        </w:rPr>
        <w:t>施工机械噪声源一览表</w:t>
      </w:r>
    </w:p>
    <w:tbl>
      <w:tblPr>
        <w:tblW w:w="8147"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2290"/>
        <w:gridCol w:w="3482"/>
        <w:gridCol w:w="2375"/>
      </w:tblGrid>
      <w:tr w:rsidR="002A5A5E" w:rsidRPr="00FC1444">
        <w:trPr>
          <w:trHeight w:val="4"/>
          <w:tblHeader/>
          <w:jc w:val="center"/>
        </w:trPr>
        <w:tc>
          <w:tcPr>
            <w:tcW w:w="2290"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声源</w:t>
            </w:r>
          </w:p>
        </w:tc>
        <w:tc>
          <w:tcPr>
            <w:tcW w:w="348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噪声源强</w:t>
            </w:r>
            <w:r w:rsidRPr="00FC1444">
              <w:rPr>
                <w:rFonts w:eastAsiaTheme="minorEastAsia"/>
                <w:kern w:val="0"/>
                <w:szCs w:val="21"/>
              </w:rPr>
              <w:t>dB(A)</w:t>
            </w:r>
          </w:p>
        </w:tc>
        <w:tc>
          <w:tcPr>
            <w:tcW w:w="2375"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备注</w:t>
            </w:r>
          </w:p>
        </w:tc>
      </w:tr>
      <w:tr w:rsidR="002A5A5E" w:rsidRPr="00FC1444">
        <w:trPr>
          <w:trHeight w:val="12"/>
          <w:tblHeader/>
          <w:jc w:val="center"/>
        </w:trPr>
        <w:tc>
          <w:tcPr>
            <w:tcW w:w="2290"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轮式装载机</w:t>
            </w:r>
          </w:p>
        </w:tc>
        <w:tc>
          <w:tcPr>
            <w:tcW w:w="348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88</w:t>
            </w:r>
          </w:p>
        </w:tc>
        <w:tc>
          <w:tcPr>
            <w:tcW w:w="2375" w:type="dxa"/>
            <w:vMerge w:val="restart"/>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距离声源</w:t>
            </w:r>
            <w:r w:rsidRPr="00FC1444">
              <w:rPr>
                <w:rFonts w:eastAsiaTheme="minorEastAsia"/>
                <w:kern w:val="0"/>
                <w:szCs w:val="21"/>
              </w:rPr>
              <w:t>1m</w:t>
            </w:r>
            <w:r w:rsidRPr="00FC1444">
              <w:rPr>
                <w:rFonts w:eastAsiaTheme="minorEastAsia"/>
                <w:kern w:val="0"/>
                <w:szCs w:val="21"/>
              </w:rPr>
              <w:t>处</w:t>
            </w:r>
          </w:p>
        </w:tc>
      </w:tr>
      <w:tr w:rsidR="002A5A5E" w:rsidRPr="00FC1444">
        <w:trPr>
          <w:trHeight w:val="12"/>
          <w:tblHeader/>
          <w:jc w:val="center"/>
        </w:trPr>
        <w:tc>
          <w:tcPr>
            <w:tcW w:w="2290"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平地机</w:t>
            </w:r>
          </w:p>
        </w:tc>
        <w:tc>
          <w:tcPr>
            <w:tcW w:w="348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86</w:t>
            </w:r>
          </w:p>
        </w:tc>
        <w:tc>
          <w:tcPr>
            <w:tcW w:w="2375"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2"/>
          <w:tblHeader/>
          <w:jc w:val="center"/>
        </w:trPr>
        <w:tc>
          <w:tcPr>
            <w:tcW w:w="2290"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压路机</w:t>
            </w:r>
          </w:p>
        </w:tc>
        <w:tc>
          <w:tcPr>
            <w:tcW w:w="348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86</w:t>
            </w:r>
          </w:p>
        </w:tc>
        <w:tc>
          <w:tcPr>
            <w:tcW w:w="2375"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2"/>
          <w:tblHeader/>
          <w:jc w:val="center"/>
        </w:trPr>
        <w:tc>
          <w:tcPr>
            <w:tcW w:w="2290"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推土机</w:t>
            </w:r>
          </w:p>
        </w:tc>
        <w:tc>
          <w:tcPr>
            <w:tcW w:w="348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spacing w:val="20"/>
                <w:szCs w:val="21"/>
              </w:rPr>
              <w:t>86</w:t>
            </w:r>
          </w:p>
        </w:tc>
        <w:tc>
          <w:tcPr>
            <w:tcW w:w="2375"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2"/>
          <w:tblHeader/>
          <w:jc w:val="center"/>
        </w:trPr>
        <w:tc>
          <w:tcPr>
            <w:tcW w:w="2290"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挖掘机</w:t>
            </w:r>
          </w:p>
        </w:tc>
        <w:tc>
          <w:tcPr>
            <w:tcW w:w="348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spacing w:val="20"/>
                <w:szCs w:val="21"/>
              </w:rPr>
              <w:t>88</w:t>
            </w:r>
          </w:p>
        </w:tc>
        <w:tc>
          <w:tcPr>
            <w:tcW w:w="2375"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2"/>
          <w:tblHeader/>
          <w:jc w:val="center"/>
        </w:trPr>
        <w:tc>
          <w:tcPr>
            <w:tcW w:w="2290"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摊铺机</w:t>
            </w:r>
          </w:p>
        </w:tc>
        <w:tc>
          <w:tcPr>
            <w:tcW w:w="348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86</w:t>
            </w:r>
          </w:p>
        </w:tc>
        <w:tc>
          <w:tcPr>
            <w:tcW w:w="2375"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2"/>
          <w:tblHeader/>
          <w:jc w:val="center"/>
        </w:trPr>
        <w:tc>
          <w:tcPr>
            <w:tcW w:w="2290"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冲击式钻井机</w:t>
            </w:r>
          </w:p>
        </w:tc>
        <w:tc>
          <w:tcPr>
            <w:tcW w:w="348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87</w:t>
            </w:r>
          </w:p>
        </w:tc>
        <w:tc>
          <w:tcPr>
            <w:tcW w:w="2375"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2"/>
          <w:tblHeader/>
          <w:jc w:val="center"/>
        </w:trPr>
        <w:tc>
          <w:tcPr>
            <w:tcW w:w="2290"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spacing w:val="2"/>
                <w:szCs w:val="21"/>
              </w:rPr>
              <w:t>自卸汽车</w:t>
            </w:r>
          </w:p>
        </w:tc>
        <w:tc>
          <w:tcPr>
            <w:tcW w:w="348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spacing w:val="20"/>
                <w:szCs w:val="21"/>
              </w:rPr>
              <w:t>80</w:t>
            </w:r>
          </w:p>
        </w:tc>
        <w:tc>
          <w:tcPr>
            <w:tcW w:w="2375"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2"/>
          <w:tblHeader/>
          <w:jc w:val="center"/>
        </w:trPr>
        <w:tc>
          <w:tcPr>
            <w:tcW w:w="2290"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移动式吊车</w:t>
            </w:r>
          </w:p>
        </w:tc>
        <w:tc>
          <w:tcPr>
            <w:tcW w:w="348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spacing w:val="20"/>
                <w:szCs w:val="21"/>
              </w:rPr>
              <w:t>80</w:t>
            </w:r>
          </w:p>
        </w:tc>
        <w:tc>
          <w:tcPr>
            <w:tcW w:w="2375" w:type="dxa"/>
            <w:vMerge/>
            <w:vAlign w:val="center"/>
          </w:tcPr>
          <w:p w:rsidR="002A5A5E" w:rsidRPr="00FC1444" w:rsidRDefault="002A5A5E">
            <w:pPr>
              <w:widowControl/>
              <w:spacing w:line="240" w:lineRule="atLeast"/>
              <w:jc w:val="center"/>
              <w:rPr>
                <w:rFonts w:eastAsiaTheme="minorEastAsia"/>
                <w:kern w:val="0"/>
                <w:szCs w:val="21"/>
              </w:rPr>
            </w:pPr>
          </w:p>
        </w:tc>
      </w:tr>
      <w:tr w:rsidR="002A5A5E" w:rsidRPr="00FC1444">
        <w:trPr>
          <w:trHeight w:val="12"/>
          <w:tblHeader/>
          <w:jc w:val="center"/>
        </w:trPr>
        <w:tc>
          <w:tcPr>
            <w:tcW w:w="2290" w:type="dxa"/>
            <w:vAlign w:val="center"/>
          </w:tcPr>
          <w:p w:rsidR="002A5A5E" w:rsidRPr="00FC1444" w:rsidRDefault="00611CBA">
            <w:pPr>
              <w:adjustRightInd w:val="0"/>
              <w:snapToGrid w:val="0"/>
              <w:spacing w:before="40" w:after="40" w:line="240" w:lineRule="exact"/>
              <w:jc w:val="center"/>
              <w:rPr>
                <w:rFonts w:eastAsiaTheme="minorEastAsia"/>
                <w:kern w:val="0"/>
                <w:szCs w:val="21"/>
              </w:rPr>
            </w:pPr>
            <w:r w:rsidRPr="00FC1444">
              <w:rPr>
                <w:rFonts w:eastAsiaTheme="minorEastAsia"/>
                <w:kern w:val="0"/>
                <w:szCs w:val="21"/>
              </w:rPr>
              <w:t>发电机组</w:t>
            </w:r>
          </w:p>
        </w:tc>
        <w:tc>
          <w:tcPr>
            <w:tcW w:w="3482" w:type="dxa"/>
            <w:vAlign w:val="center"/>
          </w:tcPr>
          <w:p w:rsidR="002A5A5E" w:rsidRPr="00FC1444" w:rsidRDefault="00611CBA">
            <w:pPr>
              <w:widowControl/>
              <w:spacing w:line="240" w:lineRule="atLeast"/>
              <w:jc w:val="center"/>
              <w:rPr>
                <w:rFonts w:eastAsiaTheme="minorEastAsia"/>
                <w:kern w:val="0"/>
                <w:szCs w:val="21"/>
              </w:rPr>
            </w:pPr>
            <w:r w:rsidRPr="00FC1444">
              <w:rPr>
                <w:rFonts w:eastAsiaTheme="minorEastAsia"/>
                <w:kern w:val="0"/>
                <w:szCs w:val="21"/>
              </w:rPr>
              <w:t>80</w:t>
            </w:r>
          </w:p>
        </w:tc>
        <w:tc>
          <w:tcPr>
            <w:tcW w:w="2375" w:type="dxa"/>
            <w:vMerge/>
            <w:vAlign w:val="center"/>
          </w:tcPr>
          <w:p w:rsidR="002A5A5E" w:rsidRPr="00FC1444" w:rsidRDefault="002A5A5E">
            <w:pPr>
              <w:widowControl/>
              <w:spacing w:line="240" w:lineRule="atLeast"/>
              <w:jc w:val="center"/>
              <w:rPr>
                <w:rFonts w:eastAsiaTheme="minorEastAsia"/>
                <w:kern w:val="0"/>
                <w:szCs w:val="21"/>
              </w:rPr>
            </w:pPr>
          </w:p>
        </w:tc>
      </w:tr>
    </w:tbl>
    <w:p w:rsidR="002A5A5E" w:rsidRPr="00FC1444" w:rsidRDefault="00611CBA">
      <w:pPr>
        <w:spacing w:line="360" w:lineRule="auto"/>
        <w:ind w:firstLineChars="200" w:firstLine="480"/>
        <w:jc w:val="left"/>
        <w:rPr>
          <w:rFonts w:eastAsiaTheme="minorEastAsia"/>
          <w:sz w:val="24"/>
          <w:szCs w:val="21"/>
        </w:rPr>
      </w:pPr>
      <w:r w:rsidRPr="00FC1444">
        <w:rPr>
          <w:rFonts w:eastAsiaTheme="minorEastAsia"/>
          <w:sz w:val="24"/>
          <w:szCs w:val="21"/>
        </w:rPr>
        <w:t>施工中使用的各种施工机械、运输车辆等都是噪声的产生源。假设所有设备均为稳态连续发声状态，在不考虑任何声屏障情况下，各设备采用最大噪声值进行预测，根据声环境导则无指向性点源几何发散衰减模式：</w:t>
      </w:r>
    </w:p>
    <w:p w:rsidR="002A5A5E" w:rsidRPr="00FC1444" w:rsidRDefault="00611CBA">
      <w:pPr>
        <w:spacing w:line="360" w:lineRule="auto"/>
        <w:jc w:val="center"/>
        <w:rPr>
          <w:rFonts w:eastAsiaTheme="minorEastAsia"/>
          <w:szCs w:val="21"/>
          <w:lang w:val="fr-FR"/>
        </w:rPr>
      </w:pPr>
      <w:r w:rsidRPr="00FC1444">
        <w:rPr>
          <w:rFonts w:eastAsiaTheme="minorEastAsia"/>
          <w:noProof/>
          <w:szCs w:val="21"/>
        </w:rPr>
        <w:drawing>
          <wp:inline distT="0" distB="0" distL="0" distR="0">
            <wp:extent cx="1989455" cy="351155"/>
            <wp:effectExtent l="19050" t="0" r="0" b="0"/>
            <wp:docPr id="5"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0"/>
                    <pic:cNvPicPr>
                      <a:picLocks noChangeAspect="1" noChangeArrowheads="1"/>
                    </pic:cNvPicPr>
                  </pic:nvPicPr>
                  <pic:blipFill>
                    <a:blip r:embed="rId64" cstate="print"/>
                    <a:srcRect/>
                    <a:stretch>
                      <a:fillRect/>
                    </a:stretch>
                  </pic:blipFill>
                  <pic:spPr>
                    <a:xfrm>
                      <a:off x="0" y="0"/>
                      <a:ext cx="1989455" cy="351155"/>
                    </a:xfrm>
                    <a:prstGeom prst="rect">
                      <a:avLst/>
                    </a:prstGeom>
                    <a:noFill/>
                    <a:ln w="9525">
                      <a:noFill/>
                      <a:miter lim="800000"/>
                      <a:headEnd/>
                      <a:tailEnd/>
                    </a:ln>
                  </pic:spPr>
                </pic:pic>
              </a:graphicData>
            </a:graphic>
          </wp:inline>
        </w:drawing>
      </w:r>
    </w:p>
    <w:p w:rsidR="002A5A5E" w:rsidRPr="00FC1444" w:rsidRDefault="00611CBA">
      <w:pPr>
        <w:spacing w:line="360" w:lineRule="auto"/>
        <w:ind w:firstLineChars="200" w:firstLine="480"/>
        <w:jc w:val="left"/>
        <w:rPr>
          <w:rFonts w:eastAsiaTheme="minorEastAsia"/>
          <w:sz w:val="24"/>
        </w:rPr>
      </w:pPr>
      <w:r w:rsidRPr="00FC1444">
        <w:rPr>
          <w:rFonts w:eastAsiaTheme="minorEastAsia"/>
          <w:sz w:val="24"/>
        </w:rPr>
        <w:t>式中：</w:t>
      </w:r>
      <w:r w:rsidRPr="00FC1444">
        <w:rPr>
          <w:rFonts w:eastAsiaTheme="minorEastAsia"/>
          <w:sz w:val="24"/>
        </w:rPr>
        <w:t>L</w:t>
      </w:r>
      <w:r w:rsidRPr="00FC1444">
        <w:rPr>
          <w:rFonts w:eastAsiaTheme="minorEastAsia"/>
          <w:sz w:val="24"/>
          <w:vertAlign w:val="subscript"/>
        </w:rPr>
        <w:t>p</w:t>
      </w:r>
      <w:r w:rsidRPr="00FC1444">
        <w:rPr>
          <w:rFonts w:eastAsiaTheme="minorEastAsia"/>
          <w:sz w:val="24"/>
        </w:rPr>
        <w:t>(r)——</w:t>
      </w:r>
      <w:r w:rsidRPr="00FC1444">
        <w:rPr>
          <w:rFonts w:eastAsiaTheme="minorEastAsia"/>
          <w:sz w:val="24"/>
        </w:rPr>
        <w:t>预测点处声压级，</w:t>
      </w:r>
      <w:r w:rsidRPr="00FC1444">
        <w:rPr>
          <w:rFonts w:eastAsiaTheme="minorEastAsia"/>
          <w:sz w:val="24"/>
        </w:rPr>
        <w:t>dB</w:t>
      </w:r>
    </w:p>
    <w:p w:rsidR="002A5A5E" w:rsidRPr="00FC1444" w:rsidRDefault="00611CBA">
      <w:pPr>
        <w:spacing w:line="360" w:lineRule="auto"/>
        <w:ind w:firstLineChars="500" w:firstLine="1200"/>
        <w:jc w:val="left"/>
        <w:rPr>
          <w:rFonts w:eastAsiaTheme="minorEastAsia"/>
          <w:sz w:val="24"/>
        </w:rPr>
      </w:pPr>
      <w:r w:rsidRPr="00FC1444">
        <w:rPr>
          <w:rFonts w:eastAsiaTheme="minorEastAsia"/>
          <w:sz w:val="24"/>
        </w:rPr>
        <w:t>L</w:t>
      </w:r>
      <w:r w:rsidRPr="00FC1444">
        <w:rPr>
          <w:rFonts w:eastAsiaTheme="minorEastAsia"/>
          <w:sz w:val="24"/>
          <w:vertAlign w:val="subscript"/>
        </w:rPr>
        <w:t>p</w:t>
      </w:r>
      <w:r w:rsidRPr="00FC1444">
        <w:rPr>
          <w:rFonts w:eastAsiaTheme="minorEastAsia"/>
          <w:sz w:val="24"/>
        </w:rPr>
        <w:t>（</w:t>
      </w:r>
      <w:r w:rsidRPr="00FC1444">
        <w:rPr>
          <w:rFonts w:eastAsiaTheme="minorEastAsia"/>
          <w:sz w:val="24"/>
        </w:rPr>
        <w:t>r</w:t>
      </w:r>
      <w:r w:rsidRPr="00FC1444">
        <w:rPr>
          <w:rFonts w:eastAsiaTheme="minorEastAsia"/>
          <w:sz w:val="24"/>
          <w:vertAlign w:val="subscript"/>
        </w:rPr>
        <w:t>0</w:t>
      </w:r>
      <w:r w:rsidRPr="00FC1444">
        <w:rPr>
          <w:rFonts w:eastAsiaTheme="minorEastAsia"/>
          <w:sz w:val="24"/>
        </w:rPr>
        <w:t>）</w:t>
      </w:r>
      <w:r w:rsidRPr="00FC1444">
        <w:rPr>
          <w:rFonts w:eastAsiaTheme="minorEastAsia"/>
          <w:sz w:val="24"/>
        </w:rPr>
        <w:t>——</w:t>
      </w:r>
      <w:r w:rsidRPr="00FC1444">
        <w:rPr>
          <w:rFonts w:eastAsiaTheme="minorEastAsia"/>
          <w:sz w:val="24"/>
        </w:rPr>
        <w:t>参考位置</w:t>
      </w:r>
      <w:r w:rsidRPr="00FC1444">
        <w:rPr>
          <w:rFonts w:eastAsiaTheme="minorEastAsia"/>
          <w:sz w:val="24"/>
        </w:rPr>
        <w:t>r</w:t>
      </w:r>
      <w:r w:rsidRPr="00FC1444">
        <w:rPr>
          <w:rFonts w:eastAsiaTheme="minorEastAsia"/>
          <w:sz w:val="24"/>
          <w:vertAlign w:val="subscript"/>
        </w:rPr>
        <w:t>0</w:t>
      </w:r>
      <w:r w:rsidRPr="00FC1444">
        <w:rPr>
          <w:rFonts w:eastAsiaTheme="minorEastAsia"/>
          <w:sz w:val="24"/>
        </w:rPr>
        <w:t>处的声压级，</w:t>
      </w:r>
      <w:r w:rsidRPr="00FC1444">
        <w:rPr>
          <w:rFonts w:eastAsiaTheme="minorEastAsia"/>
          <w:sz w:val="24"/>
        </w:rPr>
        <w:t>dB</w:t>
      </w:r>
    </w:p>
    <w:p w:rsidR="002A5A5E" w:rsidRPr="00FC1444" w:rsidRDefault="00611CBA">
      <w:pPr>
        <w:spacing w:line="360" w:lineRule="auto"/>
        <w:ind w:firstLineChars="500" w:firstLine="1200"/>
        <w:jc w:val="left"/>
        <w:rPr>
          <w:rFonts w:eastAsiaTheme="minorEastAsia"/>
          <w:sz w:val="24"/>
        </w:rPr>
      </w:pPr>
      <w:r w:rsidRPr="00FC1444">
        <w:rPr>
          <w:rFonts w:eastAsiaTheme="minorEastAsia"/>
          <w:sz w:val="24"/>
        </w:rPr>
        <w:t>r——</w:t>
      </w:r>
      <w:r w:rsidRPr="00FC1444">
        <w:rPr>
          <w:rFonts w:eastAsiaTheme="minorEastAsia"/>
          <w:sz w:val="24"/>
        </w:rPr>
        <w:t>预测点距声源的距离，</w:t>
      </w:r>
      <w:r w:rsidRPr="00FC1444">
        <w:rPr>
          <w:rFonts w:eastAsiaTheme="minorEastAsia"/>
          <w:sz w:val="24"/>
        </w:rPr>
        <w:t>m</w:t>
      </w:r>
    </w:p>
    <w:p w:rsidR="002A5A5E" w:rsidRPr="00FC1444" w:rsidRDefault="00611CBA">
      <w:pPr>
        <w:spacing w:line="360" w:lineRule="auto"/>
        <w:ind w:firstLineChars="500" w:firstLine="1200"/>
        <w:jc w:val="left"/>
        <w:rPr>
          <w:rFonts w:eastAsiaTheme="minorEastAsia"/>
          <w:sz w:val="24"/>
        </w:rPr>
      </w:pPr>
      <w:r w:rsidRPr="00FC1444">
        <w:rPr>
          <w:rFonts w:eastAsiaTheme="minorEastAsia"/>
          <w:sz w:val="24"/>
        </w:rPr>
        <w:t>r</w:t>
      </w:r>
      <w:r w:rsidRPr="00FC1444">
        <w:rPr>
          <w:rFonts w:eastAsiaTheme="minorEastAsia"/>
          <w:sz w:val="24"/>
          <w:vertAlign w:val="subscript"/>
        </w:rPr>
        <w:t>0</w:t>
      </w:r>
      <w:r w:rsidRPr="00FC1444">
        <w:rPr>
          <w:rFonts w:eastAsiaTheme="minorEastAsia"/>
          <w:sz w:val="24"/>
        </w:rPr>
        <w:t>——</w:t>
      </w:r>
      <w:r w:rsidRPr="00FC1444">
        <w:rPr>
          <w:rFonts w:eastAsiaTheme="minorEastAsia"/>
          <w:sz w:val="24"/>
        </w:rPr>
        <w:t>参考位置距声源的距离，</w:t>
      </w:r>
      <w:r w:rsidRPr="00FC1444">
        <w:rPr>
          <w:rFonts w:eastAsiaTheme="minorEastAsia"/>
          <w:sz w:val="24"/>
        </w:rPr>
        <w:t>m</w:t>
      </w:r>
    </w:p>
    <w:p w:rsidR="002A5A5E" w:rsidRPr="00FC1444" w:rsidRDefault="00611CBA">
      <w:pPr>
        <w:spacing w:line="360" w:lineRule="auto"/>
        <w:ind w:firstLineChars="200" w:firstLine="460"/>
        <w:jc w:val="left"/>
        <w:rPr>
          <w:rFonts w:eastAsiaTheme="minorEastAsia"/>
          <w:sz w:val="24"/>
        </w:rPr>
      </w:pPr>
      <w:r w:rsidRPr="00FC1444">
        <w:rPr>
          <w:spacing w:val="-5"/>
          <w:sz w:val="24"/>
        </w:rPr>
        <w:t>本项目不同施工工序，错峰施工，因此仅考虑不同施工工序单独作用下的噪声影响。</w:t>
      </w:r>
      <w:r w:rsidRPr="00FC1444">
        <w:rPr>
          <w:rFonts w:eastAsiaTheme="minorEastAsia"/>
          <w:sz w:val="24"/>
        </w:rPr>
        <w:t>点声源距离衰减情况如下表所示：</w:t>
      </w:r>
    </w:p>
    <w:p w:rsidR="004C69F2" w:rsidRPr="00FC1444" w:rsidRDefault="004C69F2">
      <w:pPr>
        <w:contextualSpacing/>
        <w:jc w:val="center"/>
        <w:rPr>
          <w:rFonts w:eastAsiaTheme="minorEastAsia"/>
          <w:b/>
          <w:bCs/>
          <w:kern w:val="0"/>
          <w:szCs w:val="21"/>
        </w:rPr>
      </w:pPr>
    </w:p>
    <w:p w:rsidR="004C69F2" w:rsidRPr="00FC1444" w:rsidRDefault="004C69F2">
      <w:pPr>
        <w:contextualSpacing/>
        <w:jc w:val="center"/>
        <w:rPr>
          <w:rFonts w:eastAsiaTheme="minorEastAsia"/>
          <w:b/>
          <w:bCs/>
          <w:kern w:val="0"/>
          <w:szCs w:val="21"/>
        </w:rPr>
      </w:pPr>
    </w:p>
    <w:p w:rsidR="004C69F2" w:rsidRPr="00FC1444" w:rsidRDefault="004C69F2">
      <w:pPr>
        <w:contextualSpacing/>
        <w:jc w:val="center"/>
        <w:rPr>
          <w:rFonts w:eastAsiaTheme="minorEastAsia"/>
          <w:b/>
          <w:bCs/>
          <w:kern w:val="0"/>
          <w:szCs w:val="21"/>
        </w:rPr>
      </w:pPr>
    </w:p>
    <w:p w:rsidR="004C69F2" w:rsidRPr="00FC1444" w:rsidRDefault="004C69F2">
      <w:pPr>
        <w:contextualSpacing/>
        <w:jc w:val="center"/>
        <w:rPr>
          <w:rFonts w:eastAsiaTheme="minorEastAsia"/>
          <w:b/>
          <w:bCs/>
          <w:kern w:val="0"/>
          <w:szCs w:val="21"/>
        </w:rPr>
      </w:pPr>
    </w:p>
    <w:p w:rsidR="004C69F2" w:rsidRPr="00FC1444" w:rsidRDefault="004C69F2">
      <w:pPr>
        <w:contextualSpacing/>
        <w:jc w:val="center"/>
        <w:rPr>
          <w:rFonts w:eastAsiaTheme="minorEastAsia"/>
          <w:b/>
          <w:bCs/>
          <w:kern w:val="0"/>
          <w:szCs w:val="21"/>
        </w:rPr>
      </w:pPr>
    </w:p>
    <w:p w:rsidR="004C69F2" w:rsidRPr="00FC1444" w:rsidRDefault="004C69F2">
      <w:pPr>
        <w:contextualSpacing/>
        <w:jc w:val="center"/>
        <w:rPr>
          <w:rFonts w:eastAsiaTheme="minorEastAsia"/>
          <w:b/>
          <w:bCs/>
          <w:kern w:val="0"/>
          <w:szCs w:val="21"/>
        </w:rPr>
      </w:pPr>
    </w:p>
    <w:p w:rsidR="002A5A5E" w:rsidRPr="00FC1444" w:rsidRDefault="00611CBA">
      <w:pPr>
        <w:contextualSpacing/>
        <w:jc w:val="center"/>
        <w:rPr>
          <w:rFonts w:eastAsiaTheme="minorEastAsia"/>
          <w:b/>
          <w:bCs/>
          <w:kern w:val="0"/>
          <w:szCs w:val="21"/>
        </w:rPr>
      </w:pPr>
      <w:r w:rsidRPr="00FC1444">
        <w:rPr>
          <w:rFonts w:eastAsiaTheme="minorEastAsia"/>
          <w:b/>
          <w:bCs/>
          <w:kern w:val="0"/>
          <w:szCs w:val="21"/>
        </w:rPr>
        <w:lastRenderedPageBreak/>
        <w:t>表</w:t>
      </w:r>
      <w:r w:rsidRPr="00FC1444">
        <w:rPr>
          <w:rFonts w:eastAsiaTheme="minorEastAsia"/>
          <w:b/>
          <w:bCs/>
          <w:kern w:val="0"/>
          <w:szCs w:val="21"/>
        </w:rPr>
        <w:t>5-1-5</w:t>
      </w:r>
      <w:r w:rsidRPr="00FC1444">
        <w:rPr>
          <w:rFonts w:eastAsiaTheme="minorEastAsia"/>
          <w:b/>
          <w:bCs/>
          <w:kern w:val="0"/>
          <w:szCs w:val="21"/>
        </w:rPr>
        <w:t>不同施工工序机械同时作业噪声影响预测值</w:t>
      </w:r>
    </w:p>
    <w:tbl>
      <w:tblPr>
        <w:tblStyle w:val="TableNormal"/>
        <w:tblW w:w="5000"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774"/>
        <w:gridCol w:w="1482"/>
        <w:gridCol w:w="1027"/>
        <w:gridCol w:w="744"/>
        <w:gridCol w:w="744"/>
        <w:gridCol w:w="711"/>
        <w:gridCol w:w="749"/>
        <w:gridCol w:w="711"/>
        <w:gridCol w:w="701"/>
        <w:gridCol w:w="663"/>
      </w:tblGrid>
      <w:tr w:rsidR="002A5A5E" w:rsidRPr="00FC1444">
        <w:trPr>
          <w:trHeight w:val="340"/>
        </w:trPr>
        <w:tc>
          <w:tcPr>
            <w:tcW w:w="466" w:type="pct"/>
            <w:vMerge w:val="restart"/>
            <w:tcBorders>
              <w:tl2br w:val="nil"/>
              <w:tr2bl w:val="nil"/>
            </w:tcBorders>
            <w:vAlign w:val="center"/>
          </w:tcPr>
          <w:p w:rsidR="002A5A5E" w:rsidRPr="00FC1444" w:rsidRDefault="00611CBA">
            <w:pPr>
              <w:jc w:val="center"/>
              <w:rPr>
                <w:szCs w:val="21"/>
              </w:rPr>
            </w:pPr>
            <w:r w:rsidRPr="00FC1444">
              <w:rPr>
                <w:spacing w:val="7"/>
                <w:szCs w:val="21"/>
              </w:rPr>
              <w:t>施工工序</w:t>
            </w:r>
          </w:p>
        </w:tc>
        <w:tc>
          <w:tcPr>
            <w:tcW w:w="1510" w:type="pct"/>
            <w:gridSpan w:val="2"/>
            <w:tcBorders>
              <w:tl2br w:val="nil"/>
              <w:tr2bl w:val="nil"/>
            </w:tcBorders>
            <w:vAlign w:val="center"/>
          </w:tcPr>
          <w:p w:rsidR="002A5A5E" w:rsidRPr="00FC1444" w:rsidRDefault="00611CBA">
            <w:pPr>
              <w:jc w:val="center"/>
              <w:rPr>
                <w:szCs w:val="21"/>
              </w:rPr>
            </w:pPr>
            <w:r w:rsidRPr="00FC1444">
              <w:rPr>
                <w:spacing w:val="7"/>
                <w:szCs w:val="21"/>
              </w:rPr>
              <w:t>同时作业的施工机械组合</w:t>
            </w:r>
          </w:p>
        </w:tc>
        <w:tc>
          <w:tcPr>
            <w:tcW w:w="3024" w:type="pct"/>
            <w:gridSpan w:val="7"/>
            <w:tcBorders>
              <w:tl2br w:val="nil"/>
              <w:tr2bl w:val="nil"/>
            </w:tcBorders>
            <w:vAlign w:val="center"/>
          </w:tcPr>
          <w:p w:rsidR="002A5A5E" w:rsidRPr="00FC1444" w:rsidRDefault="00611CBA">
            <w:pPr>
              <w:pStyle w:val="TableText"/>
              <w:kinsoku/>
              <w:jc w:val="center"/>
              <w:rPr>
                <w:rFonts w:eastAsia="宋体"/>
                <w:color w:val="auto"/>
                <w:sz w:val="21"/>
                <w:szCs w:val="21"/>
                <w:lang w:eastAsia="zh-CN"/>
              </w:rPr>
            </w:pPr>
            <w:r w:rsidRPr="00FC1444">
              <w:rPr>
                <w:rFonts w:eastAsia="宋体"/>
                <w:color w:val="auto"/>
                <w:spacing w:val="9"/>
                <w:sz w:val="21"/>
                <w:szCs w:val="21"/>
                <w:lang w:eastAsia="zh-CN"/>
              </w:rPr>
              <w:t>距离声源不同距离的噪声贡献值（</w:t>
            </w:r>
            <w:r w:rsidRPr="00FC1444">
              <w:rPr>
                <w:color w:val="auto"/>
                <w:sz w:val="21"/>
                <w:szCs w:val="21"/>
                <w:lang w:eastAsia="zh-CN"/>
              </w:rPr>
              <w:t>dB</w:t>
            </w:r>
            <w:r w:rsidRPr="00FC1444">
              <w:rPr>
                <w:rFonts w:eastAsia="宋体"/>
                <w:color w:val="auto"/>
                <w:spacing w:val="9"/>
                <w:sz w:val="21"/>
                <w:szCs w:val="21"/>
                <w:lang w:eastAsia="zh-CN"/>
              </w:rPr>
              <w:t>）</w:t>
            </w:r>
          </w:p>
        </w:tc>
      </w:tr>
      <w:tr w:rsidR="002A5A5E" w:rsidRPr="00FC1444">
        <w:trPr>
          <w:trHeight w:val="340"/>
        </w:trPr>
        <w:tc>
          <w:tcPr>
            <w:tcW w:w="466" w:type="pct"/>
            <w:vMerge/>
            <w:tcBorders>
              <w:tl2br w:val="nil"/>
              <w:tr2bl w:val="nil"/>
            </w:tcBorders>
            <w:vAlign w:val="center"/>
          </w:tcPr>
          <w:p w:rsidR="002A5A5E" w:rsidRPr="00FC1444" w:rsidRDefault="002A5A5E">
            <w:pPr>
              <w:jc w:val="center"/>
              <w:rPr>
                <w:szCs w:val="21"/>
              </w:rPr>
            </w:pPr>
          </w:p>
        </w:tc>
        <w:tc>
          <w:tcPr>
            <w:tcW w:w="892" w:type="pct"/>
            <w:tcBorders>
              <w:tl2br w:val="nil"/>
              <w:tr2bl w:val="nil"/>
            </w:tcBorders>
            <w:vAlign w:val="center"/>
          </w:tcPr>
          <w:p w:rsidR="002A5A5E" w:rsidRPr="00FC1444" w:rsidRDefault="00611CBA">
            <w:pPr>
              <w:jc w:val="center"/>
              <w:rPr>
                <w:szCs w:val="21"/>
              </w:rPr>
            </w:pPr>
            <w:r w:rsidRPr="00FC1444">
              <w:rPr>
                <w:spacing w:val="3"/>
                <w:szCs w:val="21"/>
              </w:rPr>
              <w:t>设备</w:t>
            </w:r>
          </w:p>
        </w:tc>
        <w:tc>
          <w:tcPr>
            <w:tcW w:w="618" w:type="pct"/>
            <w:tcBorders>
              <w:tl2br w:val="nil"/>
              <w:tr2bl w:val="nil"/>
            </w:tcBorders>
            <w:vAlign w:val="center"/>
          </w:tcPr>
          <w:p w:rsidR="002A5A5E" w:rsidRPr="00FC1444" w:rsidRDefault="00611CBA">
            <w:pPr>
              <w:pStyle w:val="TableText"/>
              <w:kinsoku/>
              <w:jc w:val="center"/>
              <w:rPr>
                <w:rFonts w:eastAsia="宋体"/>
                <w:color w:val="auto"/>
                <w:spacing w:val="1"/>
                <w:sz w:val="21"/>
                <w:szCs w:val="21"/>
              </w:rPr>
            </w:pPr>
            <w:r w:rsidRPr="00FC1444">
              <w:rPr>
                <w:rFonts w:eastAsia="宋体"/>
                <w:color w:val="auto"/>
                <w:spacing w:val="6"/>
                <w:sz w:val="21"/>
                <w:szCs w:val="21"/>
              </w:rPr>
              <w:t>设备源强</w:t>
            </w:r>
          </w:p>
          <w:p w:rsidR="002A5A5E" w:rsidRPr="00FC1444" w:rsidRDefault="00611CBA">
            <w:pPr>
              <w:pStyle w:val="TableText"/>
              <w:kinsoku/>
              <w:jc w:val="center"/>
              <w:rPr>
                <w:rFonts w:eastAsia="宋体"/>
                <w:color w:val="auto"/>
                <w:sz w:val="21"/>
                <w:szCs w:val="21"/>
              </w:rPr>
            </w:pPr>
            <w:r w:rsidRPr="00FC1444">
              <w:rPr>
                <w:rFonts w:eastAsia="宋体"/>
                <w:color w:val="auto"/>
                <w:spacing w:val="2"/>
                <w:sz w:val="21"/>
                <w:szCs w:val="21"/>
              </w:rPr>
              <w:t>（</w:t>
            </w:r>
            <w:r w:rsidRPr="00FC1444">
              <w:rPr>
                <w:color w:val="auto"/>
                <w:sz w:val="21"/>
                <w:szCs w:val="21"/>
              </w:rPr>
              <w:t>dB</w:t>
            </w:r>
            <w:r w:rsidRPr="00FC1444">
              <w:rPr>
                <w:rFonts w:eastAsia="宋体"/>
                <w:color w:val="auto"/>
                <w:spacing w:val="2"/>
                <w:sz w:val="21"/>
                <w:szCs w:val="21"/>
              </w:rPr>
              <w:t>）</w:t>
            </w:r>
          </w:p>
        </w:tc>
        <w:tc>
          <w:tcPr>
            <w:tcW w:w="448" w:type="pct"/>
            <w:tcBorders>
              <w:tl2br w:val="nil"/>
              <w:tr2bl w:val="nil"/>
            </w:tcBorders>
            <w:vAlign w:val="center"/>
          </w:tcPr>
          <w:p w:rsidR="002A5A5E" w:rsidRPr="00FC1444" w:rsidRDefault="00611CBA">
            <w:pPr>
              <w:pStyle w:val="TableText"/>
              <w:kinsoku/>
              <w:jc w:val="center"/>
              <w:rPr>
                <w:rFonts w:eastAsiaTheme="minorEastAsia"/>
                <w:color w:val="auto"/>
                <w:spacing w:val="-3"/>
                <w:sz w:val="21"/>
                <w:szCs w:val="21"/>
                <w:lang w:eastAsia="zh-CN"/>
              </w:rPr>
            </w:pPr>
            <w:r w:rsidRPr="00FC1444">
              <w:rPr>
                <w:rFonts w:eastAsiaTheme="minorEastAsia"/>
                <w:color w:val="auto"/>
                <w:spacing w:val="-3"/>
                <w:sz w:val="21"/>
                <w:szCs w:val="21"/>
                <w:lang w:eastAsia="zh-CN"/>
              </w:rPr>
              <w:t>5m</w:t>
            </w:r>
          </w:p>
        </w:tc>
        <w:tc>
          <w:tcPr>
            <w:tcW w:w="448" w:type="pct"/>
            <w:tcBorders>
              <w:tl2br w:val="nil"/>
              <w:tr2bl w:val="nil"/>
            </w:tcBorders>
            <w:vAlign w:val="center"/>
          </w:tcPr>
          <w:p w:rsidR="002A5A5E" w:rsidRPr="00FC1444" w:rsidRDefault="00611CBA">
            <w:pPr>
              <w:pStyle w:val="TableText"/>
              <w:kinsoku/>
              <w:jc w:val="center"/>
              <w:rPr>
                <w:color w:val="auto"/>
                <w:sz w:val="21"/>
                <w:szCs w:val="21"/>
              </w:rPr>
            </w:pPr>
            <w:r w:rsidRPr="00FC1444">
              <w:rPr>
                <w:color w:val="auto"/>
                <w:spacing w:val="-3"/>
                <w:sz w:val="21"/>
                <w:szCs w:val="21"/>
              </w:rPr>
              <w:t>10m</w:t>
            </w:r>
          </w:p>
        </w:tc>
        <w:tc>
          <w:tcPr>
            <w:tcW w:w="428" w:type="pct"/>
            <w:tcBorders>
              <w:tl2br w:val="nil"/>
              <w:tr2bl w:val="nil"/>
            </w:tcBorders>
            <w:vAlign w:val="center"/>
          </w:tcPr>
          <w:p w:rsidR="002A5A5E" w:rsidRPr="00FC1444" w:rsidRDefault="00611CBA">
            <w:pPr>
              <w:pStyle w:val="TableText"/>
              <w:kinsoku/>
              <w:jc w:val="center"/>
              <w:rPr>
                <w:color w:val="auto"/>
                <w:sz w:val="21"/>
                <w:szCs w:val="21"/>
              </w:rPr>
            </w:pPr>
            <w:r w:rsidRPr="00FC1444">
              <w:rPr>
                <w:color w:val="auto"/>
                <w:spacing w:val="4"/>
                <w:sz w:val="21"/>
                <w:szCs w:val="21"/>
              </w:rPr>
              <w:t>20m</w:t>
            </w:r>
          </w:p>
        </w:tc>
        <w:tc>
          <w:tcPr>
            <w:tcW w:w="451" w:type="pct"/>
            <w:tcBorders>
              <w:tl2br w:val="nil"/>
              <w:tr2bl w:val="nil"/>
            </w:tcBorders>
            <w:vAlign w:val="center"/>
          </w:tcPr>
          <w:p w:rsidR="002A5A5E" w:rsidRPr="00FC1444" w:rsidRDefault="00611CBA">
            <w:pPr>
              <w:pStyle w:val="TableText"/>
              <w:kinsoku/>
              <w:jc w:val="center"/>
              <w:rPr>
                <w:color w:val="auto"/>
                <w:sz w:val="21"/>
                <w:szCs w:val="21"/>
              </w:rPr>
            </w:pPr>
            <w:r w:rsidRPr="00FC1444">
              <w:rPr>
                <w:color w:val="auto"/>
                <w:spacing w:val="4"/>
                <w:sz w:val="21"/>
                <w:szCs w:val="21"/>
              </w:rPr>
              <w:t>40m</w:t>
            </w:r>
          </w:p>
        </w:tc>
        <w:tc>
          <w:tcPr>
            <w:tcW w:w="428" w:type="pct"/>
            <w:tcBorders>
              <w:tl2br w:val="nil"/>
              <w:tr2bl w:val="nil"/>
            </w:tcBorders>
            <w:vAlign w:val="center"/>
          </w:tcPr>
          <w:p w:rsidR="002A5A5E" w:rsidRPr="00FC1444" w:rsidRDefault="00611CBA">
            <w:pPr>
              <w:pStyle w:val="TableText"/>
              <w:kinsoku/>
              <w:jc w:val="center"/>
              <w:rPr>
                <w:color w:val="auto"/>
                <w:sz w:val="21"/>
                <w:szCs w:val="21"/>
              </w:rPr>
            </w:pPr>
            <w:r w:rsidRPr="00FC1444">
              <w:rPr>
                <w:color w:val="auto"/>
                <w:spacing w:val="1"/>
                <w:sz w:val="21"/>
                <w:szCs w:val="21"/>
              </w:rPr>
              <w:t>80m</w:t>
            </w:r>
          </w:p>
        </w:tc>
        <w:tc>
          <w:tcPr>
            <w:tcW w:w="422" w:type="pct"/>
            <w:tcBorders>
              <w:tl2br w:val="nil"/>
              <w:tr2bl w:val="nil"/>
            </w:tcBorders>
            <w:vAlign w:val="center"/>
          </w:tcPr>
          <w:p w:rsidR="002A5A5E" w:rsidRPr="00FC1444" w:rsidRDefault="00611CBA">
            <w:pPr>
              <w:pStyle w:val="TableText"/>
              <w:kinsoku/>
              <w:jc w:val="center"/>
              <w:rPr>
                <w:color w:val="auto"/>
                <w:sz w:val="21"/>
                <w:szCs w:val="21"/>
              </w:rPr>
            </w:pPr>
            <w:r w:rsidRPr="00FC1444">
              <w:rPr>
                <w:color w:val="auto"/>
                <w:spacing w:val="-1"/>
                <w:sz w:val="21"/>
                <w:szCs w:val="21"/>
              </w:rPr>
              <w:t>1</w:t>
            </w:r>
            <w:r w:rsidRPr="00FC1444">
              <w:rPr>
                <w:rFonts w:eastAsia="宋体"/>
                <w:color w:val="auto"/>
                <w:spacing w:val="-1"/>
                <w:sz w:val="21"/>
                <w:szCs w:val="21"/>
                <w:lang w:eastAsia="zh-CN"/>
              </w:rPr>
              <w:t>2</w:t>
            </w:r>
            <w:r w:rsidRPr="00FC1444">
              <w:rPr>
                <w:color w:val="auto"/>
                <w:spacing w:val="-1"/>
                <w:sz w:val="21"/>
                <w:szCs w:val="21"/>
              </w:rPr>
              <w:t>0m</w:t>
            </w:r>
          </w:p>
        </w:tc>
        <w:tc>
          <w:tcPr>
            <w:tcW w:w="399" w:type="pct"/>
            <w:tcBorders>
              <w:tl2br w:val="nil"/>
              <w:tr2bl w:val="nil"/>
            </w:tcBorders>
            <w:vAlign w:val="center"/>
          </w:tcPr>
          <w:p w:rsidR="002A5A5E" w:rsidRPr="00FC1444" w:rsidRDefault="00611CBA">
            <w:pPr>
              <w:pStyle w:val="TableText"/>
              <w:kinsoku/>
              <w:jc w:val="center"/>
              <w:rPr>
                <w:color w:val="auto"/>
                <w:sz w:val="21"/>
                <w:szCs w:val="21"/>
              </w:rPr>
            </w:pPr>
            <w:r w:rsidRPr="00FC1444">
              <w:rPr>
                <w:color w:val="auto"/>
                <w:spacing w:val="4"/>
                <w:sz w:val="21"/>
                <w:szCs w:val="21"/>
              </w:rPr>
              <w:t>200m</w:t>
            </w:r>
          </w:p>
        </w:tc>
      </w:tr>
      <w:tr w:rsidR="002A5A5E" w:rsidRPr="00FC1444">
        <w:trPr>
          <w:trHeight w:val="340"/>
        </w:trPr>
        <w:tc>
          <w:tcPr>
            <w:tcW w:w="466" w:type="pct"/>
            <w:tcBorders>
              <w:tl2br w:val="nil"/>
              <w:tr2bl w:val="nil"/>
            </w:tcBorders>
            <w:vAlign w:val="center"/>
          </w:tcPr>
          <w:p w:rsidR="002A5A5E" w:rsidRPr="00FC1444" w:rsidRDefault="00611CBA">
            <w:pPr>
              <w:jc w:val="center"/>
              <w:rPr>
                <w:szCs w:val="21"/>
              </w:rPr>
            </w:pPr>
            <w:r w:rsidRPr="00FC1444">
              <w:rPr>
                <w:spacing w:val="4"/>
                <w:szCs w:val="21"/>
              </w:rPr>
              <w:t>护砌工程</w:t>
            </w:r>
          </w:p>
        </w:tc>
        <w:tc>
          <w:tcPr>
            <w:tcW w:w="892" w:type="pct"/>
            <w:tcBorders>
              <w:tl2br w:val="nil"/>
              <w:tr2bl w:val="nil"/>
            </w:tcBorders>
            <w:vAlign w:val="center"/>
          </w:tcPr>
          <w:p w:rsidR="002A5A5E" w:rsidRPr="00FC1444" w:rsidRDefault="00611CBA">
            <w:pPr>
              <w:pStyle w:val="TableText"/>
              <w:kinsoku/>
              <w:jc w:val="center"/>
              <w:rPr>
                <w:color w:val="auto"/>
                <w:sz w:val="21"/>
                <w:szCs w:val="21"/>
                <w:lang w:eastAsia="zh-CN"/>
              </w:rPr>
            </w:pPr>
            <w:r w:rsidRPr="00FC1444">
              <w:rPr>
                <w:rFonts w:eastAsia="宋体"/>
                <w:color w:val="auto"/>
                <w:spacing w:val="7"/>
                <w:sz w:val="21"/>
                <w:szCs w:val="21"/>
                <w:lang w:eastAsia="zh-CN"/>
              </w:rPr>
              <w:t>挖掘机</w:t>
            </w:r>
          </w:p>
          <w:p w:rsidR="002A5A5E" w:rsidRPr="00FC1444" w:rsidRDefault="00611CBA">
            <w:pPr>
              <w:pStyle w:val="TableText"/>
              <w:kinsoku/>
              <w:jc w:val="center"/>
              <w:rPr>
                <w:rFonts w:eastAsiaTheme="minorEastAsia"/>
                <w:color w:val="auto"/>
                <w:sz w:val="21"/>
                <w:szCs w:val="21"/>
                <w:lang w:eastAsia="zh-CN"/>
              </w:rPr>
            </w:pPr>
            <w:r w:rsidRPr="00FC1444">
              <w:rPr>
                <w:rFonts w:eastAsia="宋体"/>
                <w:color w:val="auto"/>
                <w:spacing w:val="7"/>
                <w:sz w:val="21"/>
                <w:szCs w:val="21"/>
                <w:lang w:eastAsia="zh-CN"/>
              </w:rPr>
              <w:t>推土机</w:t>
            </w:r>
          </w:p>
          <w:p w:rsidR="002A5A5E" w:rsidRPr="00FC1444" w:rsidRDefault="00611CBA">
            <w:pPr>
              <w:pStyle w:val="TableText"/>
              <w:kinsoku/>
              <w:jc w:val="center"/>
              <w:rPr>
                <w:rFonts w:eastAsiaTheme="minorEastAsia"/>
                <w:color w:val="auto"/>
                <w:sz w:val="21"/>
                <w:szCs w:val="21"/>
                <w:lang w:eastAsia="zh-CN"/>
              </w:rPr>
            </w:pPr>
            <w:r w:rsidRPr="00FC1444">
              <w:rPr>
                <w:rFonts w:eastAsia="宋体"/>
                <w:color w:val="auto"/>
                <w:spacing w:val="2"/>
                <w:sz w:val="21"/>
                <w:szCs w:val="21"/>
                <w:lang w:eastAsia="zh-CN"/>
              </w:rPr>
              <w:t>自卸汽车</w:t>
            </w:r>
          </w:p>
        </w:tc>
        <w:tc>
          <w:tcPr>
            <w:tcW w:w="618" w:type="pct"/>
            <w:tcBorders>
              <w:tl2br w:val="nil"/>
              <w:tr2bl w:val="nil"/>
            </w:tcBorders>
            <w:vAlign w:val="center"/>
          </w:tcPr>
          <w:p w:rsidR="002A5A5E" w:rsidRPr="00FC1444" w:rsidRDefault="00611CBA">
            <w:pPr>
              <w:pStyle w:val="TableText"/>
              <w:kinsoku/>
              <w:jc w:val="center"/>
              <w:rPr>
                <w:rFonts w:eastAsia="宋体"/>
                <w:color w:val="auto"/>
                <w:sz w:val="21"/>
                <w:szCs w:val="21"/>
                <w:lang w:eastAsia="zh-CN"/>
              </w:rPr>
            </w:pPr>
            <w:r w:rsidRPr="00FC1444">
              <w:rPr>
                <w:rFonts w:eastAsia="宋体"/>
                <w:color w:val="auto"/>
                <w:sz w:val="21"/>
                <w:szCs w:val="21"/>
                <w:lang w:eastAsia="zh-CN"/>
              </w:rPr>
              <w:t>90.5</w:t>
            </w:r>
          </w:p>
        </w:tc>
        <w:tc>
          <w:tcPr>
            <w:tcW w:w="448" w:type="pct"/>
            <w:tcBorders>
              <w:tl2br w:val="nil"/>
              <w:tr2bl w:val="nil"/>
            </w:tcBorders>
            <w:vAlign w:val="center"/>
          </w:tcPr>
          <w:p w:rsidR="002A5A5E" w:rsidRPr="00FC1444" w:rsidRDefault="00611CBA">
            <w:pPr>
              <w:jc w:val="center"/>
              <w:textAlignment w:val="center"/>
              <w:rPr>
                <w:szCs w:val="21"/>
              </w:rPr>
            </w:pPr>
            <w:r w:rsidRPr="00FC1444">
              <w:rPr>
                <w:szCs w:val="21"/>
              </w:rPr>
              <w:t>76.6</w:t>
            </w:r>
          </w:p>
        </w:tc>
        <w:tc>
          <w:tcPr>
            <w:tcW w:w="448" w:type="pct"/>
            <w:tcBorders>
              <w:tl2br w:val="nil"/>
              <w:tr2bl w:val="nil"/>
            </w:tcBorders>
            <w:vAlign w:val="center"/>
          </w:tcPr>
          <w:p w:rsidR="002A5A5E" w:rsidRPr="00FC1444" w:rsidRDefault="00611CBA">
            <w:pPr>
              <w:jc w:val="center"/>
              <w:textAlignment w:val="center"/>
              <w:rPr>
                <w:szCs w:val="21"/>
              </w:rPr>
            </w:pPr>
            <w:r w:rsidRPr="00FC1444">
              <w:rPr>
                <w:szCs w:val="21"/>
              </w:rPr>
              <w:t>70.5</w:t>
            </w:r>
          </w:p>
        </w:tc>
        <w:tc>
          <w:tcPr>
            <w:tcW w:w="428" w:type="pct"/>
            <w:tcBorders>
              <w:tl2br w:val="nil"/>
              <w:tr2bl w:val="nil"/>
            </w:tcBorders>
            <w:vAlign w:val="center"/>
          </w:tcPr>
          <w:p w:rsidR="002A5A5E" w:rsidRPr="00FC1444" w:rsidRDefault="00611CBA">
            <w:pPr>
              <w:jc w:val="center"/>
              <w:textAlignment w:val="center"/>
              <w:rPr>
                <w:szCs w:val="21"/>
              </w:rPr>
            </w:pPr>
            <w:r w:rsidRPr="00FC1444">
              <w:rPr>
                <w:szCs w:val="21"/>
              </w:rPr>
              <w:t>64.5</w:t>
            </w:r>
          </w:p>
        </w:tc>
        <w:tc>
          <w:tcPr>
            <w:tcW w:w="451" w:type="pct"/>
            <w:tcBorders>
              <w:tl2br w:val="nil"/>
              <w:tr2bl w:val="nil"/>
            </w:tcBorders>
            <w:vAlign w:val="center"/>
          </w:tcPr>
          <w:p w:rsidR="002A5A5E" w:rsidRPr="00FC1444" w:rsidRDefault="00611CBA">
            <w:pPr>
              <w:jc w:val="center"/>
              <w:textAlignment w:val="center"/>
              <w:rPr>
                <w:szCs w:val="21"/>
              </w:rPr>
            </w:pPr>
            <w:r w:rsidRPr="00FC1444">
              <w:rPr>
                <w:szCs w:val="21"/>
              </w:rPr>
              <w:t>58.5</w:t>
            </w:r>
          </w:p>
        </w:tc>
        <w:tc>
          <w:tcPr>
            <w:tcW w:w="428" w:type="pct"/>
            <w:tcBorders>
              <w:tl2br w:val="nil"/>
              <w:tr2bl w:val="nil"/>
            </w:tcBorders>
            <w:vAlign w:val="center"/>
          </w:tcPr>
          <w:p w:rsidR="002A5A5E" w:rsidRPr="00FC1444" w:rsidRDefault="00611CBA">
            <w:pPr>
              <w:jc w:val="center"/>
              <w:textAlignment w:val="center"/>
              <w:rPr>
                <w:szCs w:val="21"/>
              </w:rPr>
            </w:pPr>
            <w:r w:rsidRPr="00FC1444">
              <w:rPr>
                <w:szCs w:val="21"/>
              </w:rPr>
              <w:t>52.5</w:t>
            </w:r>
          </w:p>
        </w:tc>
        <w:tc>
          <w:tcPr>
            <w:tcW w:w="422" w:type="pct"/>
            <w:tcBorders>
              <w:tl2br w:val="nil"/>
              <w:tr2bl w:val="nil"/>
            </w:tcBorders>
            <w:vAlign w:val="center"/>
          </w:tcPr>
          <w:p w:rsidR="002A5A5E" w:rsidRPr="00FC1444" w:rsidRDefault="00611CBA">
            <w:pPr>
              <w:jc w:val="center"/>
              <w:textAlignment w:val="center"/>
              <w:rPr>
                <w:szCs w:val="21"/>
              </w:rPr>
            </w:pPr>
            <w:r w:rsidRPr="00FC1444">
              <w:rPr>
                <w:szCs w:val="21"/>
              </w:rPr>
              <w:t>48.9</w:t>
            </w:r>
          </w:p>
        </w:tc>
        <w:tc>
          <w:tcPr>
            <w:tcW w:w="399" w:type="pct"/>
            <w:tcBorders>
              <w:tl2br w:val="nil"/>
              <w:tr2bl w:val="nil"/>
            </w:tcBorders>
            <w:vAlign w:val="center"/>
          </w:tcPr>
          <w:p w:rsidR="002A5A5E" w:rsidRPr="00FC1444" w:rsidRDefault="00611CBA">
            <w:pPr>
              <w:jc w:val="center"/>
              <w:textAlignment w:val="center"/>
              <w:rPr>
                <w:szCs w:val="21"/>
              </w:rPr>
            </w:pPr>
            <w:r w:rsidRPr="00FC1444">
              <w:rPr>
                <w:szCs w:val="21"/>
              </w:rPr>
              <w:t>44.5</w:t>
            </w:r>
          </w:p>
        </w:tc>
      </w:tr>
      <w:tr w:rsidR="002A5A5E" w:rsidRPr="00FC1444">
        <w:trPr>
          <w:trHeight w:val="340"/>
        </w:trPr>
        <w:tc>
          <w:tcPr>
            <w:tcW w:w="466" w:type="pct"/>
            <w:tcBorders>
              <w:tl2br w:val="nil"/>
              <w:tr2bl w:val="nil"/>
            </w:tcBorders>
            <w:vAlign w:val="center"/>
          </w:tcPr>
          <w:p w:rsidR="002A5A5E" w:rsidRPr="00FC1444" w:rsidRDefault="00D6722A">
            <w:pPr>
              <w:jc w:val="center"/>
              <w:rPr>
                <w:szCs w:val="21"/>
              </w:rPr>
            </w:pPr>
            <w:r w:rsidRPr="00FC1444">
              <w:rPr>
                <w:spacing w:val="7"/>
                <w:szCs w:val="21"/>
              </w:rPr>
              <w:t>建筑物</w:t>
            </w:r>
            <w:r w:rsidR="00611CBA" w:rsidRPr="00FC1444">
              <w:rPr>
                <w:spacing w:val="7"/>
                <w:szCs w:val="21"/>
              </w:rPr>
              <w:t>等主体</w:t>
            </w:r>
            <w:r w:rsidR="00611CBA" w:rsidRPr="00FC1444">
              <w:rPr>
                <w:spacing w:val="3"/>
                <w:szCs w:val="21"/>
              </w:rPr>
              <w:t>工程</w:t>
            </w:r>
          </w:p>
        </w:tc>
        <w:tc>
          <w:tcPr>
            <w:tcW w:w="892" w:type="pct"/>
            <w:tcBorders>
              <w:tl2br w:val="nil"/>
              <w:tr2bl w:val="nil"/>
            </w:tcBorders>
            <w:vAlign w:val="center"/>
          </w:tcPr>
          <w:p w:rsidR="002A5A5E" w:rsidRPr="00FC1444" w:rsidRDefault="00611CBA">
            <w:pPr>
              <w:pStyle w:val="TableText"/>
              <w:kinsoku/>
              <w:jc w:val="center"/>
              <w:rPr>
                <w:rFonts w:eastAsiaTheme="minorEastAsia"/>
                <w:color w:val="auto"/>
                <w:sz w:val="21"/>
                <w:szCs w:val="21"/>
                <w:lang w:eastAsia="zh-CN"/>
              </w:rPr>
            </w:pPr>
            <w:r w:rsidRPr="00FC1444">
              <w:rPr>
                <w:rFonts w:eastAsia="宋体"/>
                <w:color w:val="auto"/>
                <w:spacing w:val="7"/>
                <w:sz w:val="21"/>
                <w:szCs w:val="21"/>
                <w:lang w:eastAsia="zh-CN"/>
              </w:rPr>
              <w:t>推土机</w:t>
            </w:r>
          </w:p>
          <w:p w:rsidR="002A5A5E" w:rsidRPr="00FC1444" w:rsidRDefault="00611CBA">
            <w:pPr>
              <w:pStyle w:val="TableText"/>
              <w:kinsoku/>
              <w:jc w:val="center"/>
              <w:rPr>
                <w:rFonts w:eastAsiaTheme="minorEastAsia"/>
                <w:color w:val="auto"/>
                <w:spacing w:val="27"/>
                <w:sz w:val="21"/>
                <w:szCs w:val="21"/>
                <w:lang w:eastAsia="zh-CN"/>
              </w:rPr>
            </w:pPr>
            <w:r w:rsidRPr="00FC1444">
              <w:rPr>
                <w:rFonts w:eastAsia="宋体"/>
                <w:color w:val="auto"/>
                <w:spacing w:val="7"/>
                <w:sz w:val="21"/>
                <w:szCs w:val="21"/>
                <w:lang w:eastAsia="zh-CN"/>
              </w:rPr>
              <w:t>挖掘机</w:t>
            </w:r>
          </w:p>
          <w:p w:rsidR="002A5A5E" w:rsidRPr="00FC1444" w:rsidRDefault="00611CBA">
            <w:pPr>
              <w:pStyle w:val="TableText"/>
              <w:kinsoku/>
              <w:jc w:val="center"/>
              <w:rPr>
                <w:rFonts w:eastAsiaTheme="minorEastAsia"/>
                <w:color w:val="auto"/>
                <w:spacing w:val="1"/>
                <w:sz w:val="21"/>
                <w:szCs w:val="21"/>
                <w:lang w:eastAsia="zh-CN"/>
              </w:rPr>
            </w:pPr>
            <w:r w:rsidRPr="00FC1444">
              <w:rPr>
                <w:rFonts w:eastAsiaTheme="minorEastAsia"/>
                <w:color w:val="auto"/>
                <w:szCs w:val="21"/>
                <w:lang w:eastAsia="zh-CN"/>
              </w:rPr>
              <w:t>移动式吊车</w:t>
            </w:r>
          </w:p>
        </w:tc>
        <w:tc>
          <w:tcPr>
            <w:tcW w:w="618" w:type="pct"/>
            <w:tcBorders>
              <w:tl2br w:val="nil"/>
              <w:tr2bl w:val="nil"/>
            </w:tcBorders>
            <w:vAlign w:val="center"/>
          </w:tcPr>
          <w:p w:rsidR="002A5A5E" w:rsidRPr="00FC1444" w:rsidRDefault="00611CBA">
            <w:pPr>
              <w:pStyle w:val="TableText"/>
              <w:kinsoku/>
              <w:jc w:val="center"/>
              <w:rPr>
                <w:rFonts w:eastAsia="宋体"/>
                <w:color w:val="auto"/>
                <w:sz w:val="21"/>
                <w:szCs w:val="21"/>
                <w:lang w:eastAsia="zh-CN"/>
              </w:rPr>
            </w:pPr>
            <w:r w:rsidRPr="00FC1444">
              <w:rPr>
                <w:rFonts w:eastAsia="宋体"/>
                <w:color w:val="auto"/>
                <w:sz w:val="21"/>
                <w:szCs w:val="21"/>
                <w:lang w:eastAsia="zh-CN"/>
              </w:rPr>
              <w:t>90.5</w:t>
            </w:r>
          </w:p>
        </w:tc>
        <w:tc>
          <w:tcPr>
            <w:tcW w:w="448" w:type="pct"/>
            <w:tcBorders>
              <w:tl2br w:val="nil"/>
              <w:tr2bl w:val="nil"/>
            </w:tcBorders>
            <w:vAlign w:val="center"/>
          </w:tcPr>
          <w:p w:rsidR="002A5A5E" w:rsidRPr="00FC1444" w:rsidRDefault="00611CBA">
            <w:pPr>
              <w:jc w:val="center"/>
              <w:textAlignment w:val="center"/>
              <w:rPr>
                <w:szCs w:val="21"/>
              </w:rPr>
            </w:pPr>
            <w:r w:rsidRPr="00FC1444">
              <w:rPr>
                <w:szCs w:val="21"/>
              </w:rPr>
              <w:t>76.6</w:t>
            </w:r>
          </w:p>
        </w:tc>
        <w:tc>
          <w:tcPr>
            <w:tcW w:w="448" w:type="pct"/>
            <w:tcBorders>
              <w:tl2br w:val="nil"/>
              <w:tr2bl w:val="nil"/>
            </w:tcBorders>
            <w:vAlign w:val="center"/>
          </w:tcPr>
          <w:p w:rsidR="002A5A5E" w:rsidRPr="00FC1444" w:rsidRDefault="00611CBA">
            <w:pPr>
              <w:jc w:val="center"/>
              <w:textAlignment w:val="center"/>
              <w:rPr>
                <w:szCs w:val="21"/>
              </w:rPr>
            </w:pPr>
            <w:r w:rsidRPr="00FC1444">
              <w:rPr>
                <w:szCs w:val="21"/>
              </w:rPr>
              <w:t>70.5</w:t>
            </w:r>
          </w:p>
        </w:tc>
        <w:tc>
          <w:tcPr>
            <w:tcW w:w="428" w:type="pct"/>
            <w:tcBorders>
              <w:tl2br w:val="nil"/>
              <w:tr2bl w:val="nil"/>
            </w:tcBorders>
            <w:vAlign w:val="center"/>
          </w:tcPr>
          <w:p w:rsidR="002A5A5E" w:rsidRPr="00FC1444" w:rsidRDefault="00611CBA">
            <w:pPr>
              <w:jc w:val="center"/>
              <w:textAlignment w:val="center"/>
              <w:rPr>
                <w:szCs w:val="21"/>
              </w:rPr>
            </w:pPr>
            <w:r w:rsidRPr="00FC1444">
              <w:rPr>
                <w:szCs w:val="21"/>
              </w:rPr>
              <w:t>64.5</w:t>
            </w:r>
          </w:p>
        </w:tc>
        <w:tc>
          <w:tcPr>
            <w:tcW w:w="451" w:type="pct"/>
            <w:tcBorders>
              <w:tl2br w:val="nil"/>
              <w:tr2bl w:val="nil"/>
            </w:tcBorders>
            <w:vAlign w:val="center"/>
          </w:tcPr>
          <w:p w:rsidR="002A5A5E" w:rsidRPr="00FC1444" w:rsidRDefault="00611CBA">
            <w:pPr>
              <w:jc w:val="center"/>
              <w:textAlignment w:val="center"/>
              <w:rPr>
                <w:szCs w:val="21"/>
              </w:rPr>
            </w:pPr>
            <w:r w:rsidRPr="00FC1444">
              <w:rPr>
                <w:szCs w:val="21"/>
              </w:rPr>
              <w:t>58.5</w:t>
            </w:r>
          </w:p>
        </w:tc>
        <w:tc>
          <w:tcPr>
            <w:tcW w:w="428" w:type="pct"/>
            <w:tcBorders>
              <w:tl2br w:val="nil"/>
              <w:tr2bl w:val="nil"/>
            </w:tcBorders>
            <w:vAlign w:val="center"/>
          </w:tcPr>
          <w:p w:rsidR="002A5A5E" w:rsidRPr="00FC1444" w:rsidRDefault="00611CBA">
            <w:pPr>
              <w:jc w:val="center"/>
              <w:textAlignment w:val="center"/>
              <w:rPr>
                <w:szCs w:val="21"/>
              </w:rPr>
            </w:pPr>
            <w:r w:rsidRPr="00FC1444">
              <w:rPr>
                <w:szCs w:val="21"/>
              </w:rPr>
              <w:t>52.5</w:t>
            </w:r>
          </w:p>
        </w:tc>
        <w:tc>
          <w:tcPr>
            <w:tcW w:w="422" w:type="pct"/>
            <w:tcBorders>
              <w:tl2br w:val="nil"/>
              <w:tr2bl w:val="nil"/>
            </w:tcBorders>
            <w:vAlign w:val="center"/>
          </w:tcPr>
          <w:p w:rsidR="002A5A5E" w:rsidRPr="00FC1444" w:rsidRDefault="00611CBA">
            <w:pPr>
              <w:jc w:val="center"/>
              <w:textAlignment w:val="center"/>
              <w:rPr>
                <w:szCs w:val="21"/>
              </w:rPr>
            </w:pPr>
            <w:r w:rsidRPr="00FC1444">
              <w:rPr>
                <w:szCs w:val="21"/>
              </w:rPr>
              <w:t>48.9</w:t>
            </w:r>
          </w:p>
        </w:tc>
        <w:tc>
          <w:tcPr>
            <w:tcW w:w="399" w:type="pct"/>
            <w:tcBorders>
              <w:tl2br w:val="nil"/>
              <w:tr2bl w:val="nil"/>
            </w:tcBorders>
            <w:vAlign w:val="center"/>
          </w:tcPr>
          <w:p w:rsidR="002A5A5E" w:rsidRPr="00FC1444" w:rsidRDefault="00611CBA">
            <w:pPr>
              <w:jc w:val="center"/>
              <w:textAlignment w:val="center"/>
              <w:rPr>
                <w:szCs w:val="21"/>
              </w:rPr>
            </w:pPr>
            <w:r w:rsidRPr="00FC1444">
              <w:rPr>
                <w:szCs w:val="21"/>
              </w:rPr>
              <w:t>44.5</w:t>
            </w:r>
          </w:p>
        </w:tc>
      </w:tr>
      <w:tr w:rsidR="002A5A5E" w:rsidRPr="00FC1444">
        <w:trPr>
          <w:trHeight w:val="340"/>
        </w:trPr>
        <w:tc>
          <w:tcPr>
            <w:tcW w:w="466" w:type="pct"/>
            <w:tcBorders>
              <w:tl2br w:val="nil"/>
              <w:tr2bl w:val="nil"/>
            </w:tcBorders>
            <w:vAlign w:val="center"/>
          </w:tcPr>
          <w:p w:rsidR="002A5A5E" w:rsidRPr="00FC1444" w:rsidRDefault="00611CBA">
            <w:pPr>
              <w:jc w:val="center"/>
              <w:rPr>
                <w:szCs w:val="21"/>
              </w:rPr>
            </w:pPr>
            <w:r w:rsidRPr="00FC1444">
              <w:rPr>
                <w:szCs w:val="21"/>
              </w:rPr>
              <w:t>道路工程</w:t>
            </w:r>
          </w:p>
        </w:tc>
        <w:tc>
          <w:tcPr>
            <w:tcW w:w="892" w:type="pct"/>
            <w:tcBorders>
              <w:tl2br w:val="nil"/>
              <w:tr2bl w:val="nil"/>
            </w:tcBorders>
            <w:vAlign w:val="center"/>
          </w:tcPr>
          <w:p w:rsidR="002A5A5E" w:rsidRPr="00FC1444" w:rsidRDefault="00611CBA">
            <w:pPr>
              <w:pStyle w:val="TableText"/>
              <w:kinsoku/>
              <w:jc w:val="center"/>
              <w:rPr>
                <w:rFonts w:eastAsiaTheme="minorEastAsia"/>
                <w:color w:val="auto"/>
                <w:sz w:val="21"/>
                <w:szCs w:val="21"/>
                <w:lang w:eastAsia="zh-CN"/>
              </w:rPr>
            </w:pPr>
            <w:r w:rsidRPr="00FC1444">
              <w:rPr>
                <w:rFonts w:eastAsia="宋体"/>
                <w:color w:val="auto"/>
                <w:spacing w:val="7"/>
                <w:position w:val="7"/>
                <w:sz w:val="21"/>
                <w:szCs w:val="21"/>
                <w:lang w:eastAsia="zh-CN"/>
              </w:rPr>
              <w:t>挖掘机</w:t>
            </w:r>
          </w:p>
          <w:p w:rsidR="002A5A5E" w:rsidRPr="00FC1444" w:rsidRDefault="00611CBA">
            <w:pPr>
              <w:pStyle w:val="TableText"/>
              <w:kinsoku/>
              <w:jc w:val="center"/>
              <w:rPr>
                <w:rFonts w:eastAsiaTheme="minorEastAsia"/>
                <w:color w:val="auto"/>
                <w:sz w:val="21"/>
                <w:szCs w:val="21"/>
                <w:lang w:eastAsia="zh-CN"/>
              </w:rPr>
            </w:pPr>
            <w:r w:rsidRPr="00FC1444">
              <w:rPr>
                <w:rFonts w:eastAsia="宋体"/>
                <w:color w:val="auto"/>
                <w:spacing w:val="7"/>
                <w:sz w:val="21"/>
                <w:szCs w:val="21"/>
                <w:lang w:eastAsia="zh-CN"/>
              </w:rPr>
              <w:t>推土机</w:t>
            </w:r>
          </w:p>
          <w:p w:rsidR="002A5A5E" w:rsidRPr="00FC1444" w:rsidRDefault="00611CBA">
            <w:pPr>
              <w:pStyle w:val="TableText"/>
              <w:kinsoku/>
              <w:jc w:val="center"/>
              <w:rPr>
                <w:rFonts w:eastAsia="宋体"/>
                <w:color w:val="auto"/>
                <w:spacing w:val="7"/>
                <w:sz w:val="21"/>
                <w:szCs w:val="21"/>
                <w:lang w:eastAsia="zh-CN"/>
              </w:rPr>
            </w:pPr>
            <w:r w:rsidRPr="00FC1444">
              <w:rPr>
                <w:rFonts w:eastAsia="宋体"/>
                <w:color w:val="auto"/>
                <w:spacing w:val="7"/>
                <w:sz w:val="21"/>
                <w:szCs w:val="21"/>
                <w:lang w:eastAsia="zh-CN"/>
              </w:rPr>
              <w:t>压路机</w:t>
            </w:r>
          </w:p>
          <w:p w:rsidR="002A5A5E" w:rsidRPr="00FC1444" w:rsidRDefault="00611CBA">
            <w:pPr>
              <w:pStyle w:val="TableText"/>
              <w:kinsoku/>
              <w:jc w:val="center"/>
              <w:rPr>
                <w:rFonts w:eastAsiaTheme="minorEastAsia"/>
                <w:color w:val="auto"/>
                <w:sz w:val="21"/>
                <w:szCs w:val="21"/>
                <w:lang w:eastAsia="zh-CN"/>
              </w:rPr>
            </w:pPr>
            <w:r w:rsidRPr="00FC1444">
              <w:rPr>
                <w:rFonts w:eastAsiaTheme="minorEastAsia"/>
                <w:color w:val="auto"/>
                <w:szCs w:val="21"/>
                <w:lang w:eastAsia="zh-CN"/>
              </w:rPr>
              <w:t>平地机</w:t>
            </w:r>
          </w:p>
        </w:tc>
        <w:tc>
          <w:tcPr>
            <w:tcW w:w="618" w:type="pct"/>
            <w:tcBorders>
              <w:tl2br w:val="nil"/>
              <w:tr2bl w:val="nil"/>
            </w:tcBorders>
            <w:vAlign w:val="center"/>
          </w:tcPr>
          <w:p w:rsidR="002A5A5E" w:rsidRPr="00FC1444" w:rsidRDefault="00611CBA">
            <w:pPr>
              <w:pStyle w:val="TableText"/>
              <w:kinsoku/>
              <w:jc w:val="center"/>
              <w:rPr>
                <w:rFonts w:eastAsia="宋体"/>
                <w:color w:val="auto"/>
                <w:sz w:val="21"/>
                <w:szCs w:val="21"/>
                <w:lang w:eastAsia="zh-CN"/>
              </w:rPr>
            </w:pPr>
            <w:r w:rsidRPr="00FC1444">
              <w:rPr>
                <w:rFonts w:eastAsia="宋体"/>
                <w:color w:val="auto"/>
                <w:sz w:val="21"/>
                <w:szCs w:val="21"/>
                <w:lang w:eastAsia="zh-CN"/>
              </w:rPr>
              <w:t>92.6</w:t>
            </w:r>
          </w:p>
        </w:tc>
        <w:tc>
          <w:tcPr>
            <w:tcW w:w="448" w:type="pct"/>
            <w:tcBorders>
              <w:tl2br w:val="nil"/>
              <w:tr2bl w:val="nil"/>
            </w:tcBorders>
            <w:vAlign w:val="center"/>
          </w:tcPr>
          <w:p w:rsidR="002A5A5E" w:rsidRPr="00FC1444" w:rsidRDefault="00611CBA">
            <w:pPr>
              <w:jc w:val="center"/>
              <w:textAlignment w:val="center"/>
              <w:rPr>
                <w:szCs w:val="21"/>
              </w:rPr>
            </w:pPr>
            <w:r w:rsidRPr="00FC1444">
              <w:rPr>
                <w:szCs w:val="21"/>
              </w:rPr>
              <w:t>78.6</w:t>
            </w:r>
          </w:p>
        </w:tc>
        <w:tc>
          <w:tcPr>
            <w:tcW w:w="448" w:type="pct"/>
            <w:tcBorders>
              <w:tl2br w:val="nil"/>
              <w:tr2bl w:val="nil"/>
            </w:tcBorders>
            <w:vAlign w:val="center"/>
          </w:tcPr>
          <w:p w:rsidR="002A5A5E" w:rsidRPr="00FC1444" w:rsidRDefault="00611CBA">
            <w:pPr>
              <w:jc w:val="center"/>
              <w:textAlignment w:val="center"/>
              <w:rPr>
                <w:szCs w:val="21"/>
              </w:rPr>
            </w:pPr>
            <w:r w:rsidRPr="00FC1444">
              <w:rPr>
                <w:szCs w:val="21"/>
              </w:rPr>
              <w:t>72.6</w:t>
            </w:r>
          </w:p>
        </w:tc>
        <w:tc>
          <w:tcPr>
            <w:tcW w:w="428" w:type="pct"/>
            <w:tcBorders>
              <w:tl2br w:val="nil"/>
              <w:tr2bl w:val="nil"/>
            </w:tcBorders>
            <w:vAlign w:val="center"/>
          </w:tcPr>
          <w:p w:rsidR="002A5A5E" w:rsidRPr="00FC1444" w:rsidRDefault="00611CBA">
            <w:pPr>
              <w:jc w:val="center"/>
              <w:textAlignment w:val="center"/>
              <w:rPr>
                <w:szCs w:val="21"/>
              </w:rPr>
            </w:pPr>
            <w:r w:rsidRPr="00FC1444">
              <w:rPr>
                <w:szCs w:val="21"/>
              </w:rPr>
              <w:t>66.6</w:t>
            </w:r>
          </w:p>
        </w:tc>
        <w:tc>
          <w:tcPr>
            <w:tcW w:w="451" w:type="pct"/>
            <w:tcBorders>
              <w:tl2br w:val="nil"/>
              <w:tr2bl w:val="nil"/>
            </w:tcBorders>
            <w:vAlign w:val="center"/>
          </w:tcPr>
          <w:p w:rsidR="002A5A5E" w:rsidRPr="00FC1444" w:rsidRDefault="00611CBA">
            <w:pPr>
              <w:jc w:val="center"/>
              <w:textAlignment w:val="center"/>
              <w:rPr>
                <w:szCs w:val="21"/>
              </w:rPr>
            </w:pPr>
            <w:r w:rsidRPr="00FC1444">
              <w:rPr>
                <w:szCs w:val="21"/>
              </w:rPr>
              <w:t>60.6</w:t>
            </w:r>
          </w:p>
        </w:tc>
        <w:tc>
          <w:tcPr>
            <w:tcW w:w="428" w:type="pct"/>
            <w:tcBorders>
              <w:tl2br w:val="nil"/>
              <w:tr2bl w:val="nil"/>
            </w:tcBorders>
            <w:vAlign w:val="center"/>
          </w:tcPr>
          <w:p w:rsidR="002A5A5E" w:rsidRPr="00FC1444" w:rsidRDefault="00611CBA">
            <w:pPr>
              <w:jc w:val="center"/>
              <w:textAlignment w:val="center"/>
              <w:rPr>
                <w:szCs w:val="21"/>
              </w:rPr>
            </w:pPr>
            <w:r w:rsidRPr="00FC1444">
              <w:rPr>
                <w:szCs w:val="21"/>
              </w:rPr>
              <w:t>54.5</w:t>
            </w:r>
          </w:p>
        </w:tc>
        <w:tc>
          <w:tcPr>
            <w:tcW w:w="422" w:type="pct"/>
            <w:tcBorders>
              <w:tl2br w:val="nil"/>
              <w:tr2bl w:val="nil"/>
            </w:tcBorders>
            <w:vAlign w:val="center"/>
          </w:tcPr>
          <w:p w:rsidR="002A5A5E" w:rsidRPr="00FC1444" w:rsidRDefault="00611CBA">
            <w:pPr>
              <w:jc w:val="center"/>
              <w:textAlignment w:val="center"/>
              <w:rPr>
                <w:szCs w:val="21"/>
              </w:rPr>
            </w:pPr>
            <w:r w:rsidRPr="00FC1444">
              <w:rPr>
                <w:szCs w:val="21"/>
              </w:rPr>
              <w:t>51.0</w:t>
            </w:r>
          </w:p>
        </w:tc>
        <w:tc>
          <w:tcPr>
            <w:tcW w:w="399" w:type="pct"/>
            <w:tcBorders>
              <w:tl2br w:val="nil"/>
              <w:tr2bl w:val="nil"/>
            </w:tcBorders>
            <w:vAlign w:val="center"/>
          </w:tcPr>
          <w:p w:rsidR="002A5A5E" w:rsidRPr="00FC1444" w:rsidRDefault="00611CBA">
            <w:pPr>
              <w:jc w:val="center"/>
              <w:textAlignment w:val="center"/>
              <w:rPr>
                <w:szCs w:val="21"/>
              </w:rPr>
            </w:pPr>
            <w:r w:rsidRPr="00FC1444">
              <w:rPr>
                <w:szCs w:val="21"/>
              </w:rPr>
              <w:t>46.6</w:t>
            </w:r>
          </w:p>
        </w:tc>
      </w:tr>
      <w:tr w:rsidR="002A5A5E" w:rsidRPr="00FC1444">
        <w:trPr>
          <w:trHeight w:val="340"/>
        </w:trPr>
        <w:tc>
          <w:tcPr>
            <w:tcW w:w="466" w:type="pct"/>
            <w:tcBorders>
              <w:tl2br w:val="nil"/>
              <w:tr2bl w:val="nil"/>
            </w:tcBorders>
            <w:vAlign w:val="center"/>
          </w:tcPr>
          <w:p w:rsidR="002A5A5E" w:rsidRPr="00FC1444" w:rsidRDefault="00611CBA">
            <w:pPr>
              <w:jc w:val="center"/>
              <w:rPr>
                <w:szCs w:val="21"/>
              </w:rPr>
            </w:pPr>
            <w:r w:rsidRPr="00FC1444">
              <w:rPr>
                <w:spacing w:val="4"/>
                <w:szCs w:val="21"/>
              </w:rPr>
              <w:t>清淤</w:t>
            </w:r>
          </w:p>
        </w:tc>
        <w:tc>
          <w:tcPr>
            <w:tcW w:w="892" w:type="pct"/>
            <w:tcBorders>
              <w:tl2br w:val="nil"/>
              <w:tr2bl w:val="nil"/>
            </w:tcBorders>
            <w:vAlign w:val="center"/>
          </w:tcPr>
          <w:p w:rsidR="002A5A5E" w:rsidRPr="00FC1444" w:rsidRDefault="00611CBA">
            <w:pPr>
              <w:pStyle w:val="TableText"/>
              <w:kinsoku/>
              <w:jc w:val="center"/>
              <w:rPr>
                <w:rFonts w:eastAsiaTheme="minorEastAsia"/>
                <w:color w:val="auto"/>
                <w:sz w:val="21"/>
                <w:szCs w:val="21"/>
                <w:lang w:eastAsia="zh-CN"/>
              </w:rPr>
            </w:pPr>
            <w:r w:rsidRPr="00FC1444">
              <w:rPr>
                <w:rFonts w:eastAsia="宋体"/>
                <w:color w:val="auto"/>
                <w:spacing w:val="7"/>
                <w:sz w:val="21"/>
                <w:szCs w:val="21"/>
                <w:lang w:eastAsia="zh-CN"/>
              </w:rPr>
              <w:t>挖掘机</w:t>
            </w:r>
          </w:p>
          <w:p w:rsidR="002A5A5E" w:rsidRPr="00FC1444" w:rsidRDefault="00611CBA">
            <w:pPr>
              <w:pStyle w:val="TableText"/>
              <w:kinsoku/>
              <w:jc w:val="center"/>
              <w:rPr>
                <w:rFonts w:eastAsia="宋体"/>
                <w:color w:val="auto"/>
                <w:spacing w:val="2"/>
                <w:sz w:val="21"/>
                <w:szCs w:val="21"/>
                <w:lang w:eastAsia="zh-CN"/>
              </w:rPr>
            </w:pPr>
            <w:r w:rsidRPr="00FC1444">
              <w:rPr>
                <w:rFonts w:eastAsia="宋体"/>
                <w:color w:val="auto"/>
                <w:spacing w:val="2"/>
                <w:sz w:val="21"/>
                <w:szCs w:val="21"/>
                <w:lang w:eastAsia="zh-CN"/>
              </w:rPr>
              <w:t>自卸汽车</w:t>
            </w:r>
          </w:p>
          <w:p w:rsidR="002A5A5E" w:rsidRPr="00FC1444" w:rsidRDefault="00611CBA">
            <w:pPr>
              <w:pStyle w:val="TableText"/>
              <w:kinsoku/>
              <w:jc w:val="center"/>
              <w:rPr>
                <w:rFonts w:eastAsiaTheme="minorEastAsia"/>
                <w:color w:val="auto"/>
                <w:sz w:val="21"/>
                <w:szCs w:val="21"/>
                <w:lang w:eastAsia="zh-CN"/>
              </w:rPr>
            </w:pPr>
            <w:r w:rsidRPr="00FC1444">
              <w:rPr>
                <w:rFonts w:eastAsia="宋体"/>
                <w:color w:val="auto"/>
                <w:spacing w:val="7"/>
                <w:sz w:val="21"/>
                <w:szCs w:val="21"/>
                <w:lang w:eastAsia="zh-CN"/>
              </w:rPr>
              <w:t>推土机</w:t>
            </w:r>
          </w:p>
        </w:tc>
        <w:tc>
          <w:tcPr>
            <w:tcW w:w="618" w:type="pct"/>
            <w:tcBorders>
              <w:tl2br w:val="nil"/>
              <w:tr2bl w:val="nil"/>
            </w:tcBorders>
            <w:vAlign w:val="center"/>
          </w:tcPr>
          <w:p w:rsidR="002A5A5E" w:rsidRPr="00FC1444" w:rsidRDefault="00611CBA">
            <w:pPr>
              <w:pStyle w:val="TableText"/>
              <w:kinsoku/>
              <w:jc w:val="center"/>
              <w:rPr>
                <w:rFonts w:eastAsia="宋体"/>
                <w:color w:val="auto"/>
                <w:sz w:val="21"/>
                <w:szCs w:val="21"/>
                <w:lang w:eastAsia="zh-CN"/>
              </w:rPr>
            </w:pPr>
            <w:r w:rsidRPr="00FC1444">
              <w:rPr>
                <w:rFonts w:eastAsia="宋体"/>
                <w:color w:val="auto"/>
                <w:sz w:val="21"/>
                <w:szCs w:val="21"/>
                <w:lang w:eastAsia="zh-CN"/>
              </w:rPr>
              <w:t>90.5</w:t>
            </w:r>
          </w:p>
        </w:tc>
        <w:tc>
          <w:tcPr>
            <w:tcW w:w="448" w:type="pct"/>
            <w:tcBorders>
              <w:tl2br w:val="nil"/>
              <w:tr2bl w:val="nil"/>
            </w:tcBorders>
            <w:vAlign w:val="center"/>
          </w:tcPr>
          <w:p w:rsidR="002A5A5E" w:rsidRPr="00FC1444" w:rsidRDefault="00611CBA">
            <w:pPr>
              <w:jc w:val="center"/>
              <w:textAlignment w:val="center"/>
              <w:rPr>
                <w:szCs w:val="21"/>
              </w:rPr>
            </w:pPr>
            <w:r w:rsidRPr="00FC1444">
              <w:rPr>
                <w:szCs w:val="21"/>
              </w:rPr>
              <w:t>76.6</w:t>
            </w:r>
          </w:p>
        </w:tc>
        <w:tc>
          <w:tcPr>
            <w:tcW w:w="448" w:type="pct"/>
            <w:tcBorders>
              <w:tl2br w:val="nil"/>
              <w:tr2bl w:val="nil"/>
            </w:tcBorders>
            <w:vAlign w:val="center"/>
          </w:tcPr>
          <w:p w:rsidR="002A5A5E" w:rsidRPr="00FC1444" w:rsidRDefault="00611CBA">
            <w:pPr>
              <w:jc w:val="center"/>
              <w:textAlignment w:val="center"/>
              <w:rPr>
                <w:szCs w:val="21"/>
              </w:rPr>
            </w:pPr>
            <w:r w:rsidRPr="00FC1444">
              <w:rPr>
                <w:szCs w:val="21"/>
              </w:rPr>
              <w:t>70.5</w:t>
            </w:r>
          </w:p>
        </w:tc>
        <w:tc>
          <w:tcPr>
            <w:tcW w:w="428" w:type="pct"/>
            <w:tcBorders>
              <w:tl2br w:val="nil"/>
              <w:tr2bl w:val="nil"/>
            </w:tcBorders>
            <w:vAlign w:val="center"/>
          </w:tcPr>
          <w:p w:rsidR="002A5A5E" w:rsidRPr="00FC1444" w:rsidRDefault="00611CBA">
            <w:pPr>
              <w:jc w:val="center"/>
              <w:textAlignment w:val="center"/>
              <w:rPr>
                <w:szCs w:val="21"/>
              </w:rPr>
            </w:pPr>
            <w:r w:rsidRPr="00FC1444">
              <w:rPr>
                <w:szCs w:val="21"/>
              </w:rPr>
              <w:t>64.5</w:t>
            </w:r>
          </w:p>
        </w:tc>
        <w:tc>
          <w:tcPr>
            <w:tcW w:w="451" w:type="pct"/>
            <w:tcBorders>
              <w:tl2br w:val="nil"/>
              <w:tr2bl w:val="nil"/>
            </w:tcBorders>
            <w:vAlign w:val="center"/>
          </w:tcPr>
          <w:p w:rsidR="002A5A5E" w:rsidRPr="00FC1444" w:rsidRDefault="00611CBA">
            <w:pPr>
              <w:jc w:val="center"/>
              <w:textAlignment w:val="center"/>
              <w:rPr>
                <w:szCs w:val="21"/>
              </w:rPr>
            </w:pPr>
            <w:r w:rsidRPr="00FC1444">
              <w:rPr>
                <w:szCs w:val="21"/>
              </w:rPr>
              <w:t>58.5</w:t>
            </w:r>
          </w:p>
        </w:tc>
        <w:tc>
          <w:tcPr>
            <w:tcW w:w="428" w:type="pct"/>
            <w:tcBorders>
              <w:tl2br w:val="nil"/>
              <w:tr2bl w:val="nil"/>
            </w:tcBorders>
            <w:vAlign w:val="center"/>
          </w:tcPr>
          <w:p w:rsidR="002A5A5E" w:rsidRPr="00FC1444" w:rsidRDefault="00611CBA">
            <w:pPr>
              <w:jc w:val="center"/>
              <w:textAlignment w:val="center"/>
              <w:rPr>
                <w:szCs w:val="21"/>
              </w:rPr>
            </w:pPr>
            <w:r w:rsidRPr="00FC1444">
              <w:rPr>
                <w:szCs w:val="21"/>
              </w:rPr>
              <w:t>52.5</w:t>
            </w:r>
          </w:p>
        </w:tc>
        <w:tc>
          <w:tcPr>
            <w:tcW w:w="422" w:type="pct"/>
            <w:tcBorders>
              <w:tl2br w:val="nil"/>
              <w:tr2bl w:val="nil"/>
            </w:tcBorders>
            <w:vAlign w:val="center"/>
          </w:tcPr>
          <w:p w:rsidR="002A5A5E" w:rsidRPr="00FC1444" w:rsidRDefault="00611CBA">
            <w:pPr>
              <w:jc w:val="center"/>
              <w:textAlignment w:val="center"/>
              <w:rPr>
                <w:szCs w:val="21"/>
              </w:rPr>
            </w:pPr>
            <w:r w:rsidRPr="00FC1444">
              <w:rPr>
                <w:szCs w:val="21"/>
              </w:rPr>
              <w:t>48.9</w:t>
            </w:r>
          </w:p>
        </w:tc>
        <w:tc>
          <w:tcPr>
            <w:tcW w:w="399" w:type="pct"/>
            <w:tcBorders>
              <w:tl2br w:val="nil"/>
              <w:tr2bl w:val="nil"/>
            </w:tcBorders>
            <w:vAlign w:val="center"/>
          </w:tcPr>
          <w:p w:rsidR="002A5A5E" w:rsidRPr="00FC1444" w:rsidRDefault="00611CBA">
            <w:pPr>
              <w:jc w:val="center"/>
              <w:textAlignment w:val="center"/>
              <w:rPr>
                <w:szCs w:val="21"/>
              </w:rPr>
            </w:pPr>
            <w:r w:rsidRPr="00FC1444">
              <w:rPr>
                <w:szCs w:val="21"/>
              </w:rPr>
              <w:t>44.5</w:t>
            </w:r>
          </w:p>
        </w:tc>
      </w:tr>
      <w:tr w:rsidR="002A5A5E" w:rsidRPr="00FC1444">
        <w:trPr>
          <w:trHeight w:val="340"/>
        </w:trPr>
        <w:tc>
          <w:tcPr>
            <w:tcW w:w="466" w:type="pct"/>
            <w:tcBorders>
              <w:tl2br w:val="nil"/>
              <w:tr2bl w:val="nil"/>
            </w:tcBorders>
            <w:vAlign w:val="center"/>
          </w:tcPr>
          <w:p w:rsidR="002A5A5E" w:rsidRPr="00FC1444" w:rsidRDefault="00611CBA">
            <w:pPr>
              <w:jc w:val="center"/>
              <w:rPr>
                <w:szCs w:val="21"/>
              </w:rPr>
            </w:pPr>
            <w:r w:rsidRPr="00FC1444">
              <w:rPr>
                <w:spacing w:val="-14"/>
                <w:szCs w:val="21"/>
              </w:rPr>
              <w:t>灌溉井</w:t>
            </w:r>
          </w:p>
        </w:tc>
        <w:tc>
          <w:tcPr>
            <w:tcW w:w="892" w:type="pct"/>
            <w:tcBorders>
              <w:tl2br w:val="nil"/>
              <w:tr2bl w:val="nil"/>
            </w:tcBorders>
            <w:vAlign w:val="center"/>
          </w:tcPr>
          <w:p w:rsidR="002A5A5E" w:rsidRPr="00FC1444" w:rsidRDefault="00611CBA">
            <w:pPr>
              <w:pStyle w:val="TableText"/>
              <w:kinsoku/>
              <w:jc w:val="center"/>
              <w:rPr>
                <w:color w:val="auto"/>
                <w:sz w:val="21"/>
                <w:szCs w:val="21"/>
                <w:lang w:eastAsia="zh-CN"/>
              </w:rPr>
            </w:pPr>
            <w:r w:rsidRPr="00FC1444">
              <w:rPr>
                <w:rFonts w:eastAsia="宋体"/>
                <w:color w:val="auto"/>
                <w:spacing w:val="7"/>
                <w:position w:val="7"/>
                <w:sz w:val="21"/>
                <w:szCs w:val="21"/>
                <w:lang w:eastAsia="zh-CN"/>
              </w:rPr>
              <w:t>冲击式钻井机</w:t>
            </w:r>
          </w:p>
          <w:p w:rsidR="002A5A5E" w:rsidRPr="00FC1444" w:rsidRDefault="00611CBA">
            <w:pPr>
              <w:pStyle w:val="TableText"/>
              <w:kinsoku/>
              <w:jc w:val="center"/>
              <w:rPr>
                <w:rFonts w:eastAsiaTheme="minorEastAsia"/>
                <w:color w:val="auto"/>
                <w:sz w:val="21"/>
                <w:szCs w:val="21"/>
                <w:lang w:eastAsia="zh-CN"/>
              </w:rPr>
            </w:pPr>
            <w:r w:rsidRPr="00FC1444">
              <w:rPr>
                <w:rFonts w:eastAsiaTheme="minorEastAsia"/>
                <w:color w:val="auto"/>
                <w:szCs w:val="21"/>
                <w:lang w:eastAsia="zh-CN"/>
              </w:rPr>
              <w:t>移动式吊车</w:t>
            </w:r>
          </w:p>
        </w:tc>
        <w:tc>
          <w:tcPr>
            <w:tcW w:w="618" w:type="pct"/>
            <w:tcBorders>
              <w:tl2br w:val="nil"/>
              <w:tr2bl w:val="nil"/>
            </w:tcBorders>
            <w:vAlign w:val="center"/>
          </w:tcPr>
          <w:p w:rsidR="002A5A5E" w:rsidRPr="00FC1444" w:rsidRDefault="00611CBA">
            <w:pPr>
              <w:pStyle w:val="TableText"/>
              <w:kinsoku/>
              <w:jc w:val="center"/>
              <w:rPr>
                <w:rFonts w:eastAsia="宋体"/>
                <w:color w:val="auto"/>
                <w:sz w:val="21"/>
                <w:szCs w:val="21"/>
                <w:lang w:eastAsia="zh-CN"/>
              </w:rPr>
            </w:pPr>
            <w:r w:rsidRPr="00FC1444">
              <w:rPr>
                <w:rFonts w:eastAsia="宋体"/>
                <w:color w:val="auto"/>
                <w:sz w:val="21"/>
                <w:szCs w:val="21"/>
                <w:lang w:eastAsia="zh-CN"/>
              </w:rPr>
              <w:t>87.8</w:t>
            </w:r>
          </w:p>
        </w:tc>
        <w:tc>
          <w:tcPr>
            <w:tcW w:w="448" w:type="pct"/>
            <w:tcBorders>
              <w:tl2br w:val="nil"/>
              <w:tr2bl w:val="nil"/>
            </w:tcBorders>
            <w:vAlign w:val="center"/>
          </w:tcPr>
          <w:p w:rsidR="002A5A5E" w:rsidRPr="00FC1444" w:rsidRDefault="00611CBA">
            <w:pPr>
              <w:jc w:val="center"/>
              <w:textAlignment w:val="center"/>
              <w:rPr>
                <w:szCs w:val="21"/>
              </w:rPr>
            </w:pPr>
            <w:r w:rsidRPr="00FC1444">
              <w:rPr>
                <w:szCs w:val="21"/>
              </w:rPr>
              <w:t>73.8</w:t>
            </w:r>
          </w:p>
        </w:tc>
        <w:tc>
          <w:tcPr>
            <w:tcW w:w="448" w:type="pct"/>
            <w:tcBorders>
              <w:tl2br w:val="nil"/>
              <w:tr2bl w:val="nil"/>
            </w:tcBorders>
            <w:vAlign w:val="center"/>
          </w:tcPr>
          <w:p w:rsidR="002A5A5E" w:rsidRPr="00FC1444" w:rsidRDefault="00611CBA">
            <w:pPr>
              <w:jc w:val="center"/>
              <w:textAlignment w:val="center"/>
              <w:rPr>
                <w:szCs w:val="21"/>
              </w:rPr>
            </w:pPr>
            <w:r w:rsidRPr="00FC1444">
              <w:rPr>
                <w:szCs w:val="21"/>
              </w:rPr>
              <w:t>67.8</w:t>
            </w:r>
          </w:p>
        </w:tc>
        <w:tc>
          <w:tcPr>
            <w:tcW w:w="428" w:type="pct"/>
            <w:tcBorders>
              <w:tl2br w:val="nil"/>
              <w:tr2bl w:val="nil"/>
            </w:tcBorders>
            <w:vAlign w:val="center"/>
          </w:tcPr>
          <w:p w:rsidR="002A5A5E" w:rsidRPr="00FC1444" w:rsidRDefault="00611CBA">
            <w:pPr>
              <w:jc w:val="center"/>
              <w:textAlignment w:val="center"/>
              <w:rPr>
                <w:szCs w:val="21"/>
              </w:rPr>
            </w:pPr>
            <w:r w:rsidRPr="00FC1444">
              <w:rPr>
                <w:szCs w:val="21"/>
              </w:rPr>
              <w:t>61.8</w:t>
            </w:r>
          </w:p>
        </w:tc>
        <w:tc>
          <w:tcPr>
            <w:tcW w:w="451" w:type="pct"/>
            <w:tcBorders>
              <w:tl2br w:val="nil"/>
              <w:tr2bl w:val="nil"/>
            </w:tcBorders>
            <w:vAlign w:val="center"/>
          </w:tcPr>
          <w:p w:rsidR="002A5A5E" w:rsidRPr="00FC1444" w:rsidRDefault="00611CBA">
            <w:pPr>
              <w:jc w:val="center"/>
              <w:textAlignment w:val="center"/>
              <w:rPr>
                <w:szCs w:val="21"/>
              </w:rPr>
            </w:pPr>
            <w:r w:rsidRPr="00FC1444">
              <w:rPr>
                <w:szCs w:val="21"/>
              </w:rPr>
              <w:t>55.8</w:t>
            </w:r>
          </w:p>
        </w:tc>
        <w:tc>
          <w:tcPr>
            <w:tcW w:w="428" w:type="pct"/>
            <w:tcBorders>
              <w:tl2br w:val="nil"/>
              <w:tr2bl w:val="nil"/>
            </w:tcBorders>
            <w:vAlign w:val="center"/>
          </w:tcPr>
          <w:p w:rsidR="002A5A5E" w:rsidRPr="00FC1444" w:rsidRDefault="00611CBA">
            <w:pPr>
              <w:jc w:val="center"/>
              <w:textAlignment w:val="center"/>
              <w:rPr>
                <w:szCs w:val="21"/>
              </w:rPr>
            </w:pPr>
            <w:r w:rsidRPr="00FC1444">
              <w:rPr>
                <w:szCs w:val="21"/>
              </w:rPr>
              <w:t>49.7</w:t>
            </w:r>
          </w:p>
        </w:tc>
        <w:tc>
          <w:tcPr>
            <w:tcW w:w="422" w:type="pct"/>
            <w:tcBorders>
              <w:tl2br w:val="nil"/>
              <w:tr2bl w:val="nil"/>
            </w:tcBorders>
            <w:vAlign w:val="center"/>
          </w:tcPr>
          <w:p w:rsidR="002A5A5E" w:rsidRPr="00FC1444" w:rsidRDefault="00611CBA">
            <w:pPr>
              <w:jc w:val="center"/>
              <w:textAlignment w:val="center"/>
              <w:rPr>
                <w:szCs w:val="21"/>
              </w:rPr>
            </w:pPr>
            <w:r w:rsidRPr="00FC1444">
              <w:rPr>
                <w:szCs w:val="21"/>
              </w:rPr>
              <w:t>46.2</w:t>
            </w:r>
          </w:p>
        </w:tc>
        <w:tc>
          <w:tcPr>
            <w:tcW w:w="399" w:type="pct"/>
            <w:tcBorders>
              <w:tl2br w:val="nil"/>
              <w:tr2bl w:val="nil"/>
            </w:tcBorders>
            <w:vAlign w:val="center"/>
          </w:tcPr>
          <w:p w:rsidR="002A5A5E" w:rsidRPr="00FC1444" w:rsidRDefault="00611CBA">
            <w:pPr>
              <w:jc w:val="center"/>
              <w:textAlignment w:val="center"/>
              <w:rPr>
                <w:szCs w:val="21"/>
              </w:rPr>
            </w:pPr>
            <w:r w:rsidRPr="00FC1444">
              <w:rPr>
                <w:szCs w:val="21"/>
              </w:rPr>
              <w:t>41.8</w:t>
            </w:r>
          </w:p>
        </w:tc>
      </w:tr>
      <w:tr w:rsidR="002A5A5E" w:rsidRPr="00FC1444">
        <w:trPr>
          <w:trHeight w:val="340"/>
        </w:trPr>
        <w:tc>
          <w:tcPr>
            <w:tcW w:w="466" w:type="pct"/>
            <w:tcBorders>
              <w:tl2br w:val="nil"/>
              <w:tr2bl w:val="nil"/>
            </w:tcBorders>
            <w:vAlign w:val="center"/>
          </w:tcPr>
          <w:p w:rsidR="002A5A5E" w:rsidRPr="00FC1444" w:rsidRDefault="00611CBA">
            <w:pPr>
              <w:jc w:val="center"/>
              <w:rPr>
                <w:szCs w:val="21"/>
              </w:rPr>
            </w:pPr>
            <w:r w:rsidRPr="00FC1444">
              <w:rPr>
                <w:spacing w:val="7"/>
                <w:szCs w:val="21"/>
              </w:rPr>
              <w:t>输电线路</w:t>
            </w:r>
          </w:p>
        </w:tc>
        <w:tc>
          <w:tcPr>
            <w:tcW w:w="892" w:type="pct"/>
            <w:tcBorders>
              <w:tl2br w:val="nil"/>
              <w:tr2bl w:val="nil"/>
            </w:tcBorders>
            <w:vAlign w:val="center"/>
          </w:tcPr>
          <w:p w:rsidR="002A5A5E" w:rsidRPr="00FC1444" w:rsidRDefault="00611CBA">
            <w:pPr>
              <w:pStyle w:val="TableText"/>
              <w:kinsoku/>
              <w:jc w:val="center"/>
              <w:rPr>
                <w:rFonts w:eastAsiaTheme="minorEastAsia"/>
                <w:color w:val="auto"/>
                <w:spacing w:val="2"/>
                <w:sz w:val="21"/>
                <w:szCs w:val="21"/>
                <w:lang w:eastAsia="zh-CN"/>
              </w:rPr>
            </w:pPr>
            <w:r w:rsidRPr="00FC1444">
              <w:rPr>
                <w:rFonts w:eastAsia="宋体"/>
                <w:color w:val="auto"/>
                <w:spacing w:val="2"/>
                <w:sz w:val="21"/>
                <w:szCs w:val="21"/>
                <w:lang w:eastAsia="zh-CN"/>
              </w:rPr>
              <w:t>自卸汽车</w:t>
            </w:r>
          </w:p>
          <w:p w:rsidR="002A5A5E" w:rsidRPr="00FC1444" w:rsidRDefault="00611CBA">
            <w:pPr>
              <w:pStyle w:val="TableText"/>
              <w:kinsoku/>
              <w:jc w:val="center"/>
              <w:rPr>
                <w:rFonts w:eastAsiaTheme="minorEastAsia"/>
                <w:color w:val="auto"/>
                <w:spacing w:val="2"/>
                <w:sz w:val="21"/>
                <w:szCs w:val="21"/>
                <w:lang w:eastAsia="zh-CN"/>
              </w:rPr>
            </w:pPr>
            <w:r w:rsidRPr="00FC1444">
              <w:rPr>
                <w:rStyle w:val="CharChar"/>
                <w:rFonts w:eastAsiaTheme="minorEastAsia" w:hAnsi="Times New Roman"/>
                <w:color w:val="auto"/>
              </w:rPr>
              <w:t>装载机</w:t>
            </w:r>
          </w:p>
        </w:tc>
        <w:tc>
          <w:tcPr>
            <w:tcW w:w="618" w:type="pct"/>
            <w:tcBorders>
              <w:tl2br w:val="nil"/>
              <w:tr2bl w:val="nil"/>
            </w:tcBorders>
            <w:vAlign w:val="center"/>
          </w:tcPr>
          <w:p w:rsidR="002A5A5E" w:rsidRPr="00FC1444" w:rsidRDefault="00611CBA">
            <w:pPr>
              <w:pStyle w:val="TableText"/>
              <w:kinsoku/>
              <w:jc w:val="center"/>
              <w:rPr>
                <w:rFonts w:eastAsia="宋体"/>
                <w:color w:val="auto"/>
                <w:sz w:val="21"/>
                <w:szCs w:val="21"/>
                <w:lang w:eastAsia="zh-CN"/>
              </w:rPr>
            </w:pPr>
            <w:r w:rsidRPr="00FC1444">
              <w:rPr>
                <w:rFonts w:eastAsia="宋体"/>
                <w:color w:val="auto"/>
                <w:sz w:val="21"/>
                <w:szCs w:val="21"/>
                <w:lang w:eastAsia="zh-CN"/>
              </w:rPr>
              <w:t>88.6</w:t>
            </w:r>
          </w:p>
        </w:tc>
        <w:tc>
          <w:tcPr>
            <w:tcW w:w="448" w:type="pct"/>
            <w:tcBorders>
              <w:tl2br w:val="nil"/>
              <w:tr2bl w:val="nil"/>
            </w:tcBorders>
            <w:vAlign w:val="center"/>
          </w:tcPr>
          <w:p w:rsidR="002A5A5E" w:rsidRPr="00FC1444" w:rsidRDefault="00611CBA">
            <w:pPr>
              <w:jc w:val="center"/>
              <w:textAlignment w:val="center"/>
              <w:rPr>
                <w:szCs w:val="21"/>
              </w:rPr>
            </w:pPr>
            <w:r w:rsidRPr="00FC1444">
              <w:rPr>
                <w:szCs w:val="21"/>
              </w:rPr>
              <w:t>74.6</w:t>
            </w:r>
          </w:p>
        </w:tc>
        <w:tc>
          <w:tcPr>
            <w:tcW w:w="448" w:type="pct"/>
            <w:tcBorders>
              <w:tl2br w:val="nil"/>
              <w:tr2bl w:val="nil"/>
            </w:tcBorders>
            <w:vAlign w:val="center"/>
          </w:tcPr>
          <w:p w:rsidR="002A5A5E" w:rsidRPr="00FC1444" w:rsidRDefault="00611CBA">
            <w:pPr>
              <w:jc w:val="center"/>
              <w:textAlignment w:val="center"/>
              <w:rPr>
                <w:szCs w:val="21"/>
              </w:rPr>
            </w:pPr>
            <w:r w:rsidRPr="00FC1444">
              <w:rPr>
                <w:szCs w:val="21"/>
              </w:rPr>
              <w:t>68.6</w:t>
            </w:r>
          </w:p>
        </w:tc>
        <w:tc>
          <w:tcPr>
            <w:tcW w:w="428" w:type="pct"/>
            <w:tcBorders>
              <w:tl2br w:val="nil"/>
              <w:tr2bl w:val="nil"/>
            </w:tcBorders>
            <w:vAlign w:val="center"/>
          </w:tcPr>
          <w:p w:rsidR="002A5A5E" w:rsidRPr="00FC1444" w:rsidRDefault="00611CBA">
            <w:pPr>
              <w:jc w:val="center"/>
              <w:textAlignment w:val="center"/>
              <w:rPr>
                <w:szCs w:val="21"/>
              </w:rPr>
            </w:pPr>
            <w:r w:rsidRPr="00FC1444">
              <w:rPr>
                <w:szCs w:val="21"/>
              </w:rPr>
              <w:t>62.6</w:t>
            </w:r>
          </w:p>
        </w:tc>
        <w:tc>
          <w:tcPr>
            <w:tcW w:w="451" w:type="pct"/>
            <w:tcBorders>
              <w:tl2br w:val="nil"/>
              <w:tr2bl w:val="nil"/>
            </w:tcBorders>
            <w:vAlign w:val="center"/>
          </w:tcPr>
          <w:p w:rsidR="002A5A5E" w:rsidRPr="00FC1444" w:rsidRDefault="00611CBA">
            <w:pPr>
              <w:jc w:val="center"/>
              <w:textAlignment w:val="center"/>
              <w:rPr>
                <w:szCs w:val="21"/>
              </w:rPr>
            </w:pPr>
            <w:r w:rsidRPr="00FC1444">
              <w:rPr>
                <w:szCs w:val="21"/>
              </w:rPr>
              <w:t>56.6</w:t>
            </w:r>
          </w:p>
        </w:tc>
        <w:tc>
          <w:tcPr>
            <w:tcW w:w="428" w:type="pct"/>
            <w:tcBorders>
              <w:tl2br w:val="nil"/>
              <w:tr2bl w:val="nil"/>
            </w:tcBorders>
            <w:vAlign w:val="center"/>
          </w:tcPr>
          <w:p w:rsidR="002A5A5E" w:rsidRPr="00FC1444" w:rsidRDefault="00611CBA">
            <w:pPr>
              <w:jc w:val="center"/>
              <w:textAlignment w:val="center"/>
              <w:rPr>
                <w:szCs w:val="21"/>
              </w:rPr>
            </w:pPr>
            <w:r w:rsidRPr="00FC1444">
              <w:rPr>
                <w:szCs w:val="21"/>
              </w:rPr>
              <w:t>50.5</w:t>
            </w:r>
          </w:p>
        </w:tc>
        <w:tc>
          <w:tcPr>
            <w:tcW w:w="422" w:type="pct"/>
            <w:tcBorders>
              <w:tl2br w:val="nil"/>
              <w:tr2bl w:val="nil"/>
            </w:tcBorders>
            <w:vAlign w:val="center"/>
          </w:tcPr>
          <w:p w:rsidR="002A5A5E" w:rsidRPr="00FC1444" w:rsidRDefault="00611CBA">
            <w:pPr>
              <w:jc w:val="center"/>
              <w:textAlignment w:val="center"/>
              <w:rPr>
                <w:szCs w:val="21"/>
              </w:rPr>
            </w:pPr>
            <w:r w:rsidRPr="00FC1444">
              <w:rPr>
                <w:szCs w:val="21"/>
              </w:rPr>
              <w:t>47.0</w:t>
            </w:r>
          </w:p>
        </w:tc>
        <w:tc>
          <w:tcPr>
            <w:tcW w:w="399" w:type="pct"/>
            <w:tcBorders>
              <w:tl2br w:val="nil"/>
              <w:tr2bl w:val="nil"/>
            </w:tcBorders>
            <w:vAlign w:val="center"/>
          </w:tcPr>
          <w:p w:rsidR="002A5A5E" w:rsidRPr="00FC1444" w:rsidRDefault="00611CBA">
            <w:pPr>
              <w:jc w:val="center"/>
              <w:textAlignment w:val="center"/>
              <w:rPr>
                <w:szCs w:val="21"/>
              </w:rPr>
            </w:pPr>
            <w:r w:rsidRPr="00FC1444">
              <w:rPr>
                <w:szCs w:val="21"/>
              </w:rPr>
              <w:t>42.6</w:t>
            </w:r>
          </w:p>
        </w:tc>
      </w:tr>
    </w:tbl>
    <w:p w:rsidR="002A5A5E" w:rsidRPr="00FC1444" w:rsidRDefault="003E5585">
      <w:pPr>
        <w:spacing w:line="360" w:lineRule="auto"/>
        <w:ind w:firstLineChars="200" w:firstLine="480"/>
        <w:rPr>
          <w:rFonts w:eastAsiaTheme="minorEastAsia"/>
          <w:sz w:val="24"/>
          <w:szCs w:val="21"/>
        </w:rPr>
      </w:pPr>
      <w:r w:rsidRPr="00FC1444">
        <w:rPr>
          <w:rFonts w:eastAsiaTheme="minorEastAsia"/>
          <w:sz w:val="24"/>
          <w:szCs w:val="21"/>
        </w:rPr>
        <w:t>根据《建筑施工</w:t>
      </w:r>
      <w:r w:rsidR="00611CBA" w:rsidRPr="00FC1444">
        <w:rPr>
          <w:rFonts w:eastAsiaTheme="minorEastAsia"/>
          <w:sz w:val="24"/>
          <w:szCs w:val="21"/>
        </w:rPr>
        <w:t>噪声排放标准》（</w:t>
      </w:r>
      <w:r w:rsidR="00611CBA" w:rsidRPr="00FC1444">
        <w:rPr>
          <w:rFonts w:eastAsiaTheme="minorEastAsia"/>
          <w:sz w:val="24"/>
          <w:szCs w:val="21"/>
        </w:rPr>
        <w:t>GB12523-2025</w:t>
      </w:r>
      <w:r w:rsidR="00611CBA" w:rsidRPr="00FC1444">
        <w:rPr>
          <w:rFonts w:eastAsiaTheme="minorEastAsia"/>
          <w:sz w:val="24"/>
          <w:szCs w:val="21"/>
        </w:rPr>
        <w:t>）的规定，施工噪声控制在昼间</w:t>
      </w:r>
      <w:r w:rsidR="00611CBA" w:rsidRPr="00FC1444">
        <w:rPr>
          <w:rFonts w:eastAsiaTheme="minorEastAsia"/>
          <w:sz w:val="24"/>
          <w:szCs w:val="21"/>
        </w:rPr>
        <w:t>70dB</w:t>
      </w:r>
      <w:r w:rsidR="00611CBA" w:rsidRPr="00FC1444">
        <w:rPr>
          <w:rFonts w:eastAsiaTheme="minorEastAsia"/>
          <w:sz w:val="24"/>
          <w:szCs w:val="21"/>
        </w:rPr>
        <w:t>（</w:t>
      </w:r>
      <w:r w:rsidR="00611CBA" w:rsidRPr="00FC1444">
        <w:rPr>
          <w:rFonts w:eastAsiaTheme="minorEastAsia"/>
          <w:sz w:val="24"/>
          <w:szCs w:val="21"/>
        </w:rPr>
        <w:t>A</w:t>
      </w:r>
      <w:r w:rsidR="00611CBA" w:rsidRPr="00FC1444">
        <w:rPr>
          <w:rFonts w:eastAsiaTheme="minorEastAsia"/>
          <w:sz w:val="24"/>
          <w:szCs w:val="21"/>
        </w:rPr>
        <w:t>），夜间控制在</w:t>
      </w:r>
      <w:r w:rsidR="00611CBA" w:rsidRPr="00FC1444">
        <w:rPr>
          <w:rFonts w:eastAsiaTheme="minorEastAsia"/>
          <w:sz w:val="24"/>
          <w:szCs w:val="21"/>
        </w:rPr>
        <w:t>55dB</w:t>
      </w:r>
      <w:r w:rsidR="00611CBA" w:rsidRPr="00FC1444">
        <w:rPr>
          <w:rFonts w:eastAsiaTheme="minorEastAsia"/>
          <w:sz w:val="24"/>
          <w:szCs w:val="21"/>
        </w:rPr>
        <w:t>（</w:t>
      </w:r>
      <w:r w:rsidR="00611CBA" w:rsidRPr="00FC1444">
        <w:rPr>
          <w:rFonts w:eastAsiaTheme="minorEastAsia"/>
          <w:sz w:val="24"/>
          <w:szCs w:val="21"/>
        </w:rPr>
        <w:t>A</w:t>
      </w:r>
      <w:r w:rsidR="00611CBA" w:rsidRPr="00FC1444">
        <w:rPr>
          <w:rFonts w:eastAsiaTheme="minorEastAsia"/>
          <w:sz w:val="24"/>
          <w:szCs w:val="21"/>
        </w:rPr>
        <w:t>）。</w:t>
      </w:r>
    </w:p>
    <w:p w:rsidR="002A5A5E" w:rsidRPr="00FC1444" w:rsidRDefault="00611CBA">
      <w:pPr>
        <w:spacing w:line="360" w:lineRule="auto"/>
        <w:ind w:firstLineChars="200" w:firstLine="480"/>
        <w:rPr>
          <w:rFonts w:eastAsiaTheme="minorEastAsia"/>
          <w:sz w:val="24"/>
          <w:szCs w:val="21"/>
        </w:rPr>
      </w:pPr>
      <w:r w:rsidRPr="00FC1444">
        <w:rPr>
          <w:rFonts w:eastAsiaTheme="minorEastAsia"/>
          <w:bCs/>
          <w:sz w:val="24"/>
        </w:rPr>
        <w:t>根据《建筑施工噪声排放标准》</w:t>
      </w:r>
      <w:r w:rsidRPr="00FC1444">
        <w:rPr>
          <w:rFonts w:eastAsiaTheme="minorEastAsia"/>
          <w:bCs/>
          <w:sz w:val="24"/>
        </w:rPr>
        <w:t>(GB12523-2025)</w:t>
      </w:r>
      <w:r w:rsidRPr="00FC1444">
        <w:rPr>
          <w:rFonts w:eastAsiaTheme="minorEastAsia"/>
          <w:bCs/>
          <w:sz w:val="24"/>
        </w:rPr>
        <w:t>，施工机械噪声达标距离为：昼间</w:t>
      </w:r>
      <w:r w:rsidRPr="00FC1444">
        <w:rPr>
          <w:rFonts w:eastAsiaTheme="minorEastAsia"/>
          <w:bCs/>
          <w:sz w:val="24"/>
        </w:rPr>
        <w:t>20m</w:t>
      </w:r>
      <w:r w:rsidRPr="00FC1444">
        <w:rPr>
          <w:rFonts w:eastAsiaTheme="minorEastAsia"/>
          <w:bCs/>
          <w:sz w:val="24"/>
        </w:rPr>
        <w:t>外可达标。施工机械在无围挡的情况下，施工设备设置，施工场界按</w:t>
      </w:r>
      <w:r w:rsidRPr="00FC1444">
        <w:rPr>
          <w:rFonts w:eastAsiaTheme="minorEastAsia"/>
          <w:bCs/>
          <w:sz w:val="24"/>
        </w:rPr>
        <w:t>10m</w:t>
      </w:r>
      <w:r w:rsidRPr="00FC1444">
        <w:rPr>
          <w:rFonts w:eastAsiaTheme="minorEastAsia"/>
          <w:bCs/>
          <w:sz w:val="24"/>
        </w:rPr>
        <w:t>计算，则场界处超出《建筑施工噪声排放标准》（</w:t>
      </w:r>
      <w:r w:rsidR="00660C23" w:rsidRPr="00FC1444">
        <w:rPr>
          <w:rFonts w:eastAsiaTheme="minorEastAsia"/>
          <w:bCs/>
          <w:sz w:val="24"/>
        </w:rPr>
        <w:t>GB12523-2025</w:t>
      </w:r>
      <w:r w:rsidRPr="00FC1444">
        <w:rPr>
          <w:rFonts w:eastAsiaTheme="minorEastAsia"/>
          <w:bCs/>
          <w:sz w:val="24"/>
        </w:rPr>
        <w:t>），昼间最大超标</w:t>
      </w:r>
      <w:r w:rsidRPr="00FC1444">
        <w:rPr>
          <w:rFonts w:eastAsiaTheme="minorEastAsia"/>
          <w:bCs/>
          <w:sz w:val="24"/>
        </w:rPr>
        <w:t>2.6dB(A)</w:t>
      </w:r>
      <w:r w:rsidRPr="00FC1444">
        <w:rPr>
          <w:rFonts w:eastAsiaTheme="minorEastAsia"/>
          <w:bCs/>
          <w:sz w:val="24"/>
        </w:rPr>
        <w:t>。</w:t>
      </w:r>
    </w:p>
    <w:p w:rsidR="002A5A5E" w:rsidRPr="00FC1444" w:rsidRDefault="00611CBA">
      <w:pPr>
        <w:spacing w:line="360" w:lineRule="auto"/>
        <w:ind w:firstLineChars="200" w:firstLine="480"/>
        <w:rPr>
          <w:rFonts w:eastAsiaTheme="minorEastAsia"/>
          <w:sz w:val="24"/>
          <w:szCs w:val="21"/>
        </w:rPr>
      </w:pPr>
      <w:r w:rsidRPr="00FC1444">
        <w:rPr>
          <w:rFonts w:eastAsiaTheme="minorEastAsia"/>
          <w:sz w:val="24"/>
          <w:szCs w:val="21"/>
        </w:rPr>
        <w:t>移动式声屏障可拆卸重复使用，高度为</w:t>
      </w:r>
      <w:r w:rsidRPr="00FC1444">
        <w:rPr>
          <w:rFonts w:eastAsiaTheme="minorEastAsia"/>
          <w:sz w:val="24"/>
          <w:szCs w:val="21"/>
        </w:rPr>
        <w:t>2m</w:t>
      </w:r>
      <w:r w:rsidRPr="00FC1444">
        <w:rPr>
          <w:rFonts w:eastAsiaTheme="minorEastAsia"/>
          <w:sz w:val="24"/>
          <w:szCs w:val="21"/>
        </w:rPr>
        <w:t>。本次评价考虑距离工程</w:t>
      </w:r>
      <w:r w:rsidRPr="00FC1444">
        <w:rPr>
          <w:rFonts w:eastAsiaTheme="minorEastAsia"/>
          <w:sz w:val="24"/>
          <w:szCs w:val="21"/>
        </w:rPr>
        <w:t>10m</w:t>
      </w:r>
      <w:r w:rsidRPr="00FC1444">
        <w:rPr>
          <w:rFonts w:eastAsiaTheme="minorEastAsia"/>
          <w:sz w:val="24"/>
          <w:szCs w:val="21"/>
        </w:rPr>
        <w:t>以内的敏感保护目标设置芯材为玻璃棉等吸声材料的双层移动式隔声屏障，双层声屏障降噪效果良好，可降噪</w:t>
      </w:r>
      <w:r w:rsidRPr="00FC1444">
        <w:rPr>
          <w:rFonts w:eastAsiaTheme="minorEastAsia"/>
          <w:sz w:val="24"/>
          <w:szCs w:val="21"/>
        </w:rPr>
        <w:t>25dB</w:t>
      </w:r>
      <w:r w:rsidRPr="00FC1444">
        <w:rPr>
          <w:rFonts w:eastAsiaTheme="minorEastAsia"/>
          <w:sz w:val="24"/>
          <w:szCs w:val="21"/>
        </w:rPr>
        <w:t>（</w:t>
      </w:r>
      <w:r w:rsidRPr="00FC1444">
        <w:rPr>
          <w:rFonts w:eastAsiaTheme="minorEastAsia"/>
          <w:sz w:val="24"/>
          <w:szCs w:val="21"/>
        </w:rPr>
        <w:t>A</w:t>
      </w:r>
      <w:r w:rsidRPr="00FC1444">
        <w:rPr>
          <w:rFonts w:eastAsiaTheme="minorEastAsia"/>
          <w:sz w:val="24"/>
          <w:szCs w:val="21"/>
        </w:rPr>
        <w:t>）。本项目</w:t>
      </w:r>
      <w:r w:rsidRPr="00FC1444">
        <w:rPr>
          <w:rFonts w:eastAsiaTheme="minorEastAsia"/>
          <w:bCs/>
          <w:sz w:val="24"/>
        </w:rPr>
        <w:t>夜间不施工，</w:t>
      </w:r>
      <w:r w:rsidRPr="00FC1444">
        <w:rPr>
          <w:rFonts w:eastAsiaTheme="minorEastAsia"/>
          <w:sz w:val="24"/>
          <w:szCs w:val="21"/>
        </w:rPr>
        <w:t>采取</w:t>
      </w:r>
      <w:r w:rsidRPr="00FC1444">
        <w:rPr>
          <w:rFonts w:eastAsiaTheme="minorEastAsia"/>
          <w:spacing w:val="-5"/>
          <w:sz w:val="24"/>
        </w:rPr>
        <w:t>双层</w:t>
      </w:r>
      <w:r w:rsidRPr="00FC1444">
        <w:rPr>
          <w:rFonts w:eastAsiaTheme="minorEastAsia"/>
          <w:sz w:val="24"/>
          <w:szCs w:val="21"/>
        </w:rPr>
        <w:t>声屏障措施后，施工厂界昼间噪声值可满足</w:t>
      </w:r>
      <w:r w:rsidRPr="00FC1444">
        <w:rPr>
          <w:rFonts w:eastAsiaTheme="minorEastAsia"/>
          <w:bCs/>
          <w:sz w:val="24"/>
        </w:rPr>
        <w:t>《建筑施工噪声排放标准》</w:t>
      </w:r>
      <w:r w:rsidRPr="00FC1444">
        <w:rPr>
          <w:rFonts w:eastAsiaTheme="minorEastAsia"/>
          <w:bCs/>
          <w:sz w:val="24"/>
        </w:rPr>
        <w:t>(GB12523-2025)</w:t>
      </w:r>
      <w:r w:rsidRPr="00FC1444">
        <w:rPr>
          <w:rFonts w:eastAsiaTheme="minorEastAsia"/>
          <w:bCs/>
          <w:sz w:val="24"/>
        </w:rPr>
        <w:t>要求。</w:t>
      </w:r>
    </w:p>
    <w:p w:rsidR="002A5A5E" w:rsidRPr="00FC1444" w:rsidRDefault="00611CBA">
      <w:pPr>
        <w:spacing w:line="360" w:lineRule="auto"/>
        <w:ind w:firstLineChars="200" w:firstLine="480"/>
        <w:rPr>
          <w:rFonts w:eastAsiaTheme="minorEastAsia"/>
          <w:sz w:val="24"/>
        </w:rPr>
      </w:pPr>
      <w:r w:rsidRPr="00FC1444">
        <w:rPr>
          <w:rFonts w:eastAsiaTheme="minorEastAsia"/>
          <w:sz w:val="24"/>
          <w:szCs w:val="21"/>
        </w:rPr>
        <w:t>合理布置施工现场，尽量让高噪声设备远离敏感点一侧布置；做好安全文明施工（严禁中午</w:t>
      </w:r>
      <w:r w:rsidRPr="00FC1444">
        <w:rPr>
          <w:rFonts w:eastAsiaTheme="minorEastAsia"/>
          <w:sz w:val="24"/>
          <w:szCs w:val="21"/>
        </w:rPr>
        <w:t>12:00</w:t>
      </w:r>
      <w:r w:rsidRPr="00FC1444">
        <w:rPr>
          <w:rFonts w:eastAsia="MS Mincho"/>
          <w:sz w:val="24"/>
          <w:szCs w:val="21"/>
        </w:rPr>
        <w:t>〜</w:t>
      </w:r>
      <w:r w:rsidRPr="00FC1444">
        <w:rPr>
          <w:rFonts w:eastAsiaTheme="minorEastAsia"/>
          <w:sz w:val="24"/>
          <w:szCs w:val="21"/>
        </w:rPr>
        <w:t xml:space="preserve">14:00 </w:t>
      </w:r>
      <w:r w:rsidRPr="00FC1444">
        <w:rPr>
          <w:rFonts w:eastAsiaTheme="minorEastAsia"/>
          <w:sz w:val="24"/>
          <w:szCs w:val="21"/>
        </w:rPr>
        <w:t>进行高噪声施工活动），在</w:t>
      </w:r>
      <w:r w:rsidRPr="00FC1444">
        <w:rPr>
          <w:rFonts w:eastAsiaTheme="minorEastAsia"/>
          <w:sz w:val="24"/>
          <w:szCs w:val="21"/>
        </w:rPr>
        <w:t>10m</w:t>
      </w:r>
      <w:r w:rsidRPr="00FC1444">
        <w:rPr>
          <w:rFonts w:eastAsiaTheme="minorEastAsia"/>
          <w:sz w:val="24"/>
          <w:szCs w:val="21"/>
        </w:rPr>
        <w:t>以内分布有居民（</w:t>
      </w:r>
      <w:r w:rsidR="00D41946" w:rsidRPr="00FC1444">
        <w:rPr>
          <w:rFonts w:eastAsiaTheme="minorEastAsia"/>
          <w:sz w:val="24"/>
          <w:szCs w:val="21"/>
        </w:rPr>
        <w:t>曹家炉、刘家沟、崔家窝棚等村屯，共</w:t>
      </w:r>
      <w:r w:rsidR="00D41946" w:rsidRPr="00FC1444">
        <w:rPr>
          <w:rFonts w:eastAsiaTheme="minorEastAsia"/>
          <w:sz w:val="24"/>
          <w:szCs w:val="21"/>
        </w:rPr>
        <w:t>19</w:t>
      </w:r>
      <w:r w:rsidR="00D41946" w:rsidRPr="00FC1444">
        <w:rPr>
          <w:rFonts w:eastAsiaTheme="minorEastAsia"/>
          <w:sz w:val="24"/>
          <w:szCs w:val="21"/>
        </w:rPr>
        <w:t>处，</w:t>
      </w:r>
      <w:r w:rsidRPr="00FC1444">
        <w:rPr>
          <w:rFonts w:eastAsiaTheme="minorEastAsia"/>
          <w:sz w:val="24"/>
          <w:szCs w:val="21"/>
        </w:rPr>
        <w:t>具体村屯名称</w:t>
      </w:r>
      <w:r w:rsidR="00660C23" w:rsidRPr="00FC1444">
        <w:rPr>
          <w:rFonts w:eastAsiaTheme="minorEastAsia"/>
          <w:sz w:val="24"/>
          <w:szCs w:val="21"/>
        </w:rPr>
        <w:t>见表</w:t>
      </w:r>
      <w:r w:rsidR="00660C23" w:rsidRPr="00FC1444">
        <w:rPr>
          <w:rFonts w:eastAsiaTheme="minorEastAsia"/>
          <w:sz w:val="24"/>
          <w:szCs w:val="21"/>
        </w:rPr>
        <w:t>2-8-1</w:t>
      </w:r>
      <w:r w:rsidRPr="00FC1444">
        <w:rPr>
          <w:rFonts w:eastAsiaTheme="minorEastAsia"/>
          <w:sz w:val="24"/>
          <w:szCs w:val="21"/>
        </w:rPr>
        <w:t>）的灌溉与排水、田间道路、涵洞等建筑物、</w:t>
      </w:r>
      <w:r w:rsidRPr="00FC1444">
        <w:rPr>
          <w:rFonts w:eastAsiaTheme="minorEastAsia"/>
          <w:bCs/>
          <w:sz w:val="24"/>
          <w:szCs w:val="21"/>
        </w:rPr>
        <w:t>输配电</w:t>
      </w:r>
      <w:r w:rsidRPr="00FC1444">
        <w:rPr>
          <w:rFonts w:eastAsiaTheme="minorEastAsia"/>
          <w:sz w:val="24"/>
          <w:szCs w:val="21"/>
        </w:rPr>
        <w:t>工程处设置双层移动隔声屏障，高度为</w:t>
      </w:r>
      <w:r w:rsidRPr="00FC1444">
        <w:rPr>
          <w:rFonts w:eastAsiaTheme="minorEastAsia"/>
          <w:sz w:val="24"/>
          <w:szCs w:val="21"/>
        </w:rPr>
        <w:t>2m</w:t>
      </w:r>
      <w:r w:rsidRPr="00FC1444">
        <w:rPr>
          <w:rFonts w:eastAsiaTheme="minorEastAsia"/>
          <w:sz w:val="24"/>
          <w:szCs w:val="21"/>
        </w:rPr>
        <w:t>，长度能够覆盖敏感目标（长度超出敏感目标两侧各</w:t>
      </w:r>
      <w:r w:rsidRPr="00FC1444">
        <w:rPr>
          <w:rFonts w:eastAsiaTheme="minorEastAsia"/>
          <w:sz w:val="24"/>
          <w:szCs w:val="21"/>
        </w:rPr>
        <w:t>10m</w:t>
      </w:r>
      <w:r w:rsidRPr="00FC1444">
        <w:rPr>
          <w:rFonts w:eastAsiaTheme="minorEastAsia"/>
          <w:sz w:val="24"/>
          <w:szCs w:val="21"/>
        </w:rPr>
        <w:t>）。本环评要求将高</w:t>
      </w:r>
      <w:r w:rsidRPr="00FC1444">
        <w:rPr>
          <w:rFonts w:eastAsiaTheme="minorEastAsia"/>
          <w:sz w:val="24"/>
          <w:szCs w:val="21"/>
        </w:rPr>
        <w:lastRenderedPageBreak/>
        <w:t>噪设备设置在远离敏感点处并设施工维护，并对施工机械和车辆进行维护保养，运输车辆在经过沿线村屯时采取减速慢行、禁止鸣笛等管理措施，加强施工期环境管理，尽量避免高噪声机械设备集中使用或几台声功率相同的设备同时、同点作业，以减少作业时的噪声声级。合理安排施工作业时间，禁止夜间（</w:t>
      </w:r>
      <w:r w:rsidRPr="00FC1444">
        <w:rPr>
          <w:rFonts w:eastAsiaTheme="minorEastAsia"/>
          <w:sz w:val="24"/>
          <w:szCs w:val="21"/>
        </w:rPr>
        <w:t>22:00-6:00</w:t>
      </w:r>
      <w:r w:rsidRPr="00FC1444">
        <w:rPr>
          <w:rFonts w:eastAsiaTheme="minorEastAsia"/>
          <w:sz w:val="24"/>
          <w:szCs w:val="21"/>
        </w:rPr>
        <w:t>）施工，</w:t>
      </w:r>
      <w:r w:rsidRPr="00FC1444">
        <w:rPr>
          <w:rFonts w:eastAsiaTheme="minorEastAsia"/>
          <w:sz w:val="24"/>
        </w:rPr>
        <w:t>建设管理部门应加强对施工工地的噪声管理，施工企业也应对施工进行自律，文明施工，避免因施工噪声产生纠纷。</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5-1-6</w:t>
      </w:r>
      <w:r w:rsidRPr="00FC1444">
        <w:rPr>
          <w:rFonts w:eastAsiaTheme="minorEastAsia"/>
          <w:b/>
          <w:bCs/>
          <w:kern w:val="0"/>
          <w:szCs w:val="21"/>
        </w:rPr>
        <w:t>施工噪声对典型敏感点影响预测结果一览表</w:t>
      </w:r>
      <w:r w:rsidRPr="00FC1444">
        <w:rPr>
          <w:rFonts w:eastAsiaTheme="minorEastAsia"/>
          <w:b/>
          <w:bCs/>
          <w:kern w:val="0"/>
          <w:szCs w:val="21"/>
        </w:rPr>
        <w:t xml:space="preserve">    </w:t>
      </w:r>
      <w:r w:rsidRPr="00FC1444">
        <w:rPr>
          <w:rFonts w:eastAsiaTheme="minorEastAsia"/>
          <w:b/>
          <w:bCs/>
          <w:kern w:val="0"/>
          <w:szCs w:val="21"/>
        </w:rPr>
        <w:t>单位：</w:t>
      </w:r>
      <w:r w:rsidRPr="00FC1444">
        <w:rPr>
          <w:rFonts w:eastAsiaTheme="minorEastAsia"/>
          <w:b/>
          <w:bCs/>
          <w:kern w:val="0"/>
          <w:szCs w:val="21"/>
        </w:rPr>
        <w:t>dB</w:t>
      </w:r>
      <w:r w:rsidRPr="00FC1444">
        <w:rPr>
          <w:rFonts w:eastAsiaTheme="minorEastAsia"/>
          <w:b/>
          <w:bCs/>
          <w:kern w:val="0"/>
          <w:szCs w:val="21"/>
        </w:rPr>
        <w:t>（</w:t>
      </w:r>
      <w:r w:rsidRPr="00FC1444">
        <w:rPr>
          <w:rFonts w:eastAsiaTheme="minorEastAsia"/>
          <w:b/>
          <w:bCs/>
          <w:kern w:val="0"/>
          <w:szCs w:val="21"/>
        </w:rPr>
        <w:t>A</w:t>
      </w:r>
      <w:r w:rsidRPr="00FC1444">
        <w:rPr>
          <w:rFonts w:eastAsiaTheme="minorEastAsia"/>
          <w:b/>
          <w:bCs/>
          <w:kern w:val="0"/>
          <w:szCs w:val="21"/>
        </w:rPr>
        <w:t>）</w:t>
      </w:r>
    </w:p>
    <w:tbl>
      <w:tblPr>
        <w:tblStyle w:val="TableNormal"/>
        <w:tblW w:w="4998"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1092"/>
        <w:gridCol w:w="1011"/>
        <w:gridCol w:w="995"/>
        <w:gridCol w:w="683"/>
        <w:gridCol w:w="2654"/>
        <w:gridCol w:w="800"/>
        <w:gridCol w:w="570"/>
        <w:gridCol w:w="498"/>
      </w:tblGrid>
      <w:tr w:rsidR="002A5A5E" w:rsidRPr="00FC1444">
        <w:trPr>
          <w:trHeight w:val="297"/>
        </w:trPr>
        <w:tc>
          <w:tcPr>
            <w:tcW w:w="1266" w:type="pct"/>
            <w:gridSpan w:val="2"/>
            <w:vMerge w:val="restar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FC1444">
              <w:rPr>
                <w:rFonts w:eastAsiaTheme="minorEastAsia"/>
                <w:snapToGrid w:val="0"/>
                <w:spacing w:val="6"/>
                <w:kern w:val="0"/>
                <w:szCs w:val="21"/>
                <w:lang w:eastAsia="en-US"/>
              </w:rPr>
              <w:t>工程内容</w:t>
            </w:r>
          </w:p>
        </w:tc>
        <w:tc>
          <w:tcPr>
            <w:tcW w:w="599" w:type="pct"/>
            <w:vMerge w:val="restar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FC1444">
              <w:rPr>
                <w:rFonts w:eastAsiaTheme="minorEastAsia"/>
                <w:snapToGrid w:val="0"/>
                <w:spacing w:val="6"/>
                <w:kern w:val="0"/>
                <w:szCs w:val="21"/>
                <w:lang w:eastAsia="en-US"/>
              </w:rPr>
              <w:t>声环境敏感目标</w:t>
            </w:r>
          </w:p>
        </w:tc>
        <w:tc>
          <w:tcPr>
            <w:tcW w:w="411" w:type="pct"/>
            <w:vMerge w:val="restar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FC1444">
              <w:rPr>
                <w:rFonts w:eastAsiaTheme="minorEastAsia"/>
                <w:snapToGrid w:val="0"/>
                <w:spacing w:val="6"/>
                <w:kern w:val="0"/>
                <w:szCs w:val="21"/>
                <w:lang w:eastAsia="en-US"/>
              </w:rPr>
              <w:t>相对距</w:t>
            </w:r>
            <w:r w:rsidRPr="00FC1444">
              <w:rPr>
                <w:rFonts w:eastAsiaTheme="minorEastAsia"/>
                <w:snapToGrid w:val="0"/>
                <w:spacing w:val="2"/>
                <w:kern w:val="0"/>
                <w:szCs w:val="21"/>
                <w:lang w:eastAsia="en-US"/>
              </w:rPr>
              <w:t>离</w:t>
            </w:r>
            <w:r w:rsidRPr="00FC1444">
              <w:rPr>
                <w:rFonts w:eastAsiaTheme="minorEastAsia"/>
                <w:snapToGrid w:val="0"/>
                <w:spacing w:val="2"/>
                <w:kern w:val="0"/>
                <w:szCs w:val="21"/>
                <w:lang w:eastAsia="en-US"/>
              </w:rPr>
              <w:t>/m</w:t>
            </w:r>
          </w:p>
        </w:tc>
        <w:tc>
          <w:tcPr>
            <w:tcW w:w="1598" w:type="pct"/>
            <w:vMerge w:val="restar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FC1444">
              <w:rPr>
                <w:rFonts w:eastAsiaTheme="minorEastAsia"/>
                <w:snapToGrid w:val="0"/>
                <w:spacing w:val="8"/>
                <w:kern w:val="0"/>
                <w:szCs w:val="21"/>
                <w:lang w:eastAsia="en-US"/>
              </w:rPr>
              <w:t>采取的措施</w:t>
            </w:r>
          </w:p>
        </w:tc>
        <w:tc>
          <w:tcPr>
            <w:tcW w:w="482" w:type="pct"/>
            <w:vMerge w:val="restar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FC1444">
              <w:rPr>
                <w:rFonts w:eastAsiaTheme="minorEastAsia"/>
                <w:snapToGrid w:val="0"/>
                <w:spacing w:val="7"/>
                <w:kern w:val="0"/>
                <w:szCs w:val="21"/>
                <w:lang w:eastAsia="en-US"/>
              </w:rPr>
              <w:t>措施后噪</w:t>
            </w:r>
            <w:r w:rsidRPr="00FC1444">
              <w:rPr>
                <w:rFonts w:eastAsiaTheme="minorEastAsia"/>
                <w:snapToGrid w:val="0"/>
                <w:spacing w:val="6"/>
                <w:kern w:val="0"/>
                <w:szCs w:val="21"/>
                <w:lang w:eastAsia="en-US"/>
              </w:rPr>
              <w:t>声预测值</w:t>
            </w:r>
          </w:p>
        </w:tc>
        <w:tc>
          <w:tcPr>
            <w:tcW w:w="343" w:type="pct"/>
            <w:vMerge w:val="restar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FC1444">
              <w:rPr>
                <w:rFonts w:eastAsiaTheme="minorEastAsia"/>
                <w:snapToGrid w:val="0"/>
                <w:spacing w:val="5"/>
                <w:kern w:val="0"/>
                <w:szCs w:val="21"/>
                <w:lang w:eastAsia="en-US"/>
              </w:rPr>
              <w:t>声环境</w:t>
            </w:r>
            <w:r w:rsidRPr="00FC1444">
              <w:rPr>
                <w:rFonts w:eastAsiaTheme="minorEastAsia"/>
                <w:snapToGrid w:val="0"/>
                <w:spacing w:val="6"/>
                <w:kern w:val="0"/>
                <w:szCs w:val="21"/>
                <w:lang w:eastAsia="en-US"/>
              </w:rPr>
              <w:t>质量标</w:t>
            </w:r>
            <w:r w:rsidRPr="00FC1444">
              <w:rPr>
                <w:rFonts w:eastAsiaTheme="minorEastAsia"/>
                <w:snapToGrid w:val="0"/>
                <w:kern w:val="0"/>
                <w:szCs w:val="21"/>
                <w:lang w:eastAsia="en-US"/>
              </w:rPr>
              <w:t>准</w:t>
            </w:r>
          </w:p>
        </w:tc>
        <w:tc>
          <w:tcPr>
            <w:tcW w:w="300" w:type="pct"/>
            <w:vMerge w:val="restar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FC1444">
              <w:rPr>
                <w:rFonts w:eastAsiaTheme="minorEastAsia"/>
                <w:snapToGrid w:val="0"/>
                <w:spacing w:val="5"/>
                <w:kern w:val="0"/>
                <w:szCs w:val="21"/>
                <w:lang w:eastAsia="en-US"/>
              </w:rPr>
              <w:t>达标</w:t>
            </w:r>
            <w:r w:rsidRPr="00FC1444">
              <w:rPr>
                <w:rFonts w:eastAsiaTheme="minorEastAsia"/>
                <w:snapToGrid w:val="0"/>
                <w:spacing w:val="4"/>
                <w:kern w:val="0"/>
                <w:szCs w:val="21"/>
                <w:lang w:eastAsia="en-US"/>
              </w:rPr>
              <w:t>判定</w:t>
            </w:r>
          </w:p>
        </w:tc>
      </w:tr>
      <w:tr w:rsidR="002A5A5E" w:rsidRPr="00FC1444">
        <w:trPr>
          <w:trHeight w:val="297"/>
        </w:trPr>
        <w:tc>
          <w:tcPr>
            <w:tcW w:w="1266" w:type="pct"/>
            <w:gridSpan w:val="2"/>
            <w:vMerge/>
            <w:tcBorders>
              <w:tl2br w:val="nil"/>
              <w:tr2bl w:val="nil"/>
            </w:tcBorders>
            <w:vAlign w:val="center"/>
          </w:tcPr>
          <w:p w:rsidR="002A5A5E" w:rsidRPr="00FC1444"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599" w:type="pct"/>
            <w:vMerge/>
            <w:tcBorders>
              <w:tl2br w:val="nil"/>
              <w:tr2bl w:val="nil"/>
            </w:tcBorders>
            <w:vAlign w:val="center"/>
          </w:tcPr>
          <w:p w:rsidR="002A5A5E" w:rsidRPr="00FC1444"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411" w:type="pct"/>
            <w:vMerge/>
            <w:tcBorders>
              <w:tl2br w:val="nil"/>
              <w:tr2bl w:val="nil"/>
            </w:tcBorders>
            <w:vAlign w:val="center"/>
          </w:tcPr>
          <w:p w:rsidR="002A5A5E" w:rsidRPr="00FC1444"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1598" w:type="pct"/>
            <w:vMerge/>
            <w:tcBorders>
              <w:tl2br w:val="nil"/>
              <w:tr2bl w:val="nil"/>
            </w:tcBorders>
            <w:vAlign w:val="center"/>
          </w:tcPr>
          <w:p w:rsidR="002A5A5E" w:rsidRPr="00FC1444"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482" w:type="pct"/>
            <w:vMerge/>
            <w:tcBorders>
              <w:tl2br w:val="nil"/>
              <w:tr2bl w:val="nil"/>
            </w:tcBorders>
            <w:vAlign w:val="center"/>
          </w:tcPr>
          <w:p w:rsidR="002A5A5E" w:rsidRPr="00FC1444"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343" w:type="pct"/>
            <w:vMerge/>
            <w:tcBorders>
              <w:tl2br w:val="nil"/>
              <w:tr2bl w:val="nil"/>
            </w:tcBorders>
            <w:vAlign w:val="center"/>
          </w:tcPr>
          <w:p w:rsidR="002A5A5E" w:rsidRPr="00FC1444"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300" w:type="pct"/>
            <w:vMerge/>
            <w:tcBorders>
              <w:tl2br w:val="nil"/>
              <w:tr2bl w:val="nil"/>
            </w:tcBorders>
            <w:vAlign w:val="center"/>
          </w:tcPr>
          <w:p w:rsidR="002A5A5E" w:rsidRPr="00FC1444"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r>
      <w:tr w:rsidR="002A5A5E" w:rsidRPr="00FC1444" w:rsidTr="00B21BDA">
        <w:trPr>
          <w:trHeight w:val="579"/>
        </w:trPr>
        <w:tc>
          <w:tcPr>
            <w:tcW w:w="658" w:type="pct"/>
            <w:vMerge w:val="restart"/>
            <w:tcBorders>
              <w:tl2br w:val="nil"/>
              <w:tr2bl w:val="nil"/>
            </w:tcBorders>
            <w:vAlign w:val="center"/>
          </w:tcPr>
          <w:p w:rsidR="002A5A5E" w:rsidRPr="00FC1444" w:rsidRDefault="00611CBA">
            <w:pPr>
              <w:kinsoku w:val="0"/>
              <w:autoSpaceDE w:val="0"/>
              <w:autoSpaceDN w:val="0"/>
              <w:adjustRightInd w:val="0"/>
              <w:snapToGrid w:val="0"/>
              <w:jc w:val="center"/>
              <w:textAlignment w:val="baseline"/>
              <w:rPr>
                <w:rFonts w:eastAsiaTheme="minorEastAsia"/>
                <w:snapToGrid w:val="0"/>
                <w:kern w:val="0"/>
                <w:szCs w:val="21"/>
              </w:rPr>
            </w:pPr>
            <w:r w:rsidRPr="00FC1444">
              <w:rPr>
                <w:rFonts w:eastAsiaTheme="minorEastAsia"/>
                <w:snapToGrid w:val="0"/>
                <w:kern w:val="0"/>
                <w:szCs w:val="21"/>
                <w:lang w:eastAsia="en-US"/>
              </w:rPr>
              <w:t>道路工程</w:t>
            </w:r>
          </w:p>
        </w:tc>
        <w:tc>
          <w:tcPr>
            <w:tcW w:w="609" w:type="pct"/>
            <w:tcBorders>
              <w:tl2br w:val="nil"/>
              <w:tr2bl w:val="nil"/>
            </w:tcBorders>
            <w:vAlign w:val="center"/>
          </w:tcPr>
          <w:p w:rsidR="002A5A5E" w:rsidRPr="00FC1444" w:rsidRDefault="006430E4">
            <w:pPr>
              <w:widowControl/>
              <w:kinsoku w:val="0"/>
              <w:autoSpaceDE w:val="0"/>
              <w:autoSpaceDN w:val="0"/>
              <w:adjustRightInd w:val="0"/>
              <w:snapToGrid w:val="0"/>
              <w:jc w:val="center"/>
              <w:textAlignment w:val="baseline"/>
              <w:rPr>
                <w:rFonts w:eastAsiaTheme="minorEastAsia"/>
                <w:snapToGrid w:val="0"/>
                <w:kern w:val="0"/>
                <w:szCs w:val="21"/>
              </w:rPr>
            </w:pPr>
            <w:r w:rsidRPr="00FC1444">
              <w:rPr>
                <w:rFonts w:eastAsiaTheme="minorEastAsia" w:hint="eastAsia"/>
                <w:snapToGrid w:val="0"/>
                <w:kern w:val="0"/>
                <w:szCs w:val="21"/>
                <w:lang w:eastAsia="en-US"/>
              </w:rPr>
              <w:t>机耕路</w:t>
            </w:r>
            <w:r w:rsidRPr="00FC1444">
              <w:rPr>
                <w:rFonts w:eastAsiaTheme="minorEastAsia" w:hint="eastAsia"/>
                <w:snapToGrid w:val="0"/>
                <w:kern w:val="0"/>
                <w:szCs w:val="21"/>
                <w:lang w:eastAsia="en-US"/>
              </w:rPr>
              <w:t>2</w:t>
            </w:r>
          </w:p>
        </w:tc>
        <w:tc>
          <w:tcPr>
            <w:tcW w:w="599" w:type="pct"/>
            <w:tcBorders>
              <w:tl2br w:val="nil"/>
              <w:tr2bl w:val="nil"/>
            </w:tcBorders>
            <w:vAlign w:val="center"/>
          </w:tcPr>
          <w:p w:rsidR="002A5A5E" w:rsidRPr="00FC1444" w:rsidRDefault="006430E4">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FC1444">
              <w:rPr>
                <w:rFonts w:eastAsiaTheme="minorEastAsia" w:hint="eastAsia"/>
                <w:szCs w:val="21"/>
              </w:rPr>
              <w:t>曹家炉</w:t>
            </w:r>
          </w:p>
        </w:tc>
        <w:tc>
          <w:tcPr>
            <w:tcW w:w="411" w:type="pc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FC1444">
              <w:rPr>
                <w:rFonts w:eastAsiaTheme="minorEastAsia"/>
                <w:snapToGrid w:val="0"/>
                <w:kern w:val="0"/>
                <w:szCs w:val="21"/>
              </w:rPr>
              <w:t>5</w:t>
            </w:r>
          </w:p>
        </w:tc>
        <w:tc>
          <w:tcPr>
            <w:tcW w:w="1598" w:type="pct"/>
            <w:vMerge w:val="restart"/>
            <w:tcBorders>
              <w:tl2br w:val="nil"/>
              <w:tr2bl w:val="nil"/>
            </w:tcBorders>
            <w:vAlign w:val="center"/>
          </w:tcPr>
          <w:p w:rsidR="002A5A5E" w:rsidRPr="00FC1444" w:rsidRDefault="00611CBA">
            <w:pPr>
              <w:kinsoku w:val="0"/>
              <w:autoSpaceDE w:val="0"/>
              <w:autoSpaceDN w:val="0"/>
              <w:adjustRightInd w:val="0"/>
              <w:snapToGrid w:val="0"/>
              <w:jc w:val="center"/>
              <w:textAlignment w:val="baseline"/>
              <w:rPr>
                <w:rFonts w:eastAsiaTheme="minorEastAsia"/>
                <w:snapToGrid w:val="0"/>
                <w:kern w:val="0"/>
                <w:szCs w:val="21"/>
              </w:rPr>
            </w:pPr>
            <w:r w:rsidRPr="00FC1444">
              <w:rPr>
                <w:rFonts w:eastAsiaTheme="minorEastAsia"/>
                <w:snapToGrid w:val="0"/>
                <w:spacing w:val="7"/>
                <w:kern w:val="0"/>
                <w:szCs w:val="21"/>
              </w:rPr>
              <w:t>采用低噪声设备，合理安排施工时序，高噪声设备不同时使用，设置双层移动声屏障</w:t>
            </w:r>
          </w:p>
        </w:tc>
        <w:tc>
          <w:tcPr>
            <w:tcW w:w="482" w:type="pc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FC1444">
              <w:rPr>
                <w:rFonts w:eastAsiaTheme="minorEastAsia"/>
                <w:snapToGrid w:val="0"/>
                <w:kern w:val="0"/>
                <w:szCs w:val="21"/>
              </w:rPr>
              <w:t>53.6</w:t>
            </w:r>
          </w:p>
        </w:tc>
        <w:tc>
          <w:tcPr>
            <w:tcW w:w="343" w:type="pc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FC1444">
              <w:rPr>
                <w:rFonts w:eastAsiaTheme="minorEastAsia"/>
                <w:snapToGrid w:val="0"/>
                <w:kern w:val="0"/>
                <w:szCs w:val="21"/>
              </w:rPr>
              <w:t>55</w:t>
            </w:r>
          </w:p>
        </w:tc>
        <w:tc>
          <w:tcPr>
            <w:tcW w:w="300" w:type="pc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FC1444">
              <w:rPr>
                <w:rFonts w:eastAsiaTheme="minorEastAsia"/>
                <w:snapToGrid w:val="0"/>
                <w:spacing w:val="5"/>
                <w:kern w:val="0"/>
                <w:szCs w:val="21"/>
                <w:lang w:eastAsia="en-US"/>
              </w:rPr>
              <w:t>达标</w:t>
            </w:r>
          </w:p>
        </w:tc>
      </w:tr>
      <w:tr w:rsidR="002A5A5E" w:rsidRPr="00FC1444">
        <w:trPr>
          <w:trHeight w:val="297"/>
        </w:trPr>
        <w:tc>
          <w:tcPr>
            <w:tcW w:w="658" w:type="pct"/>
            <w:vMerge/>
            <w:tcBorders>
              <w:tl2br w:val="nil"/>
              <w:tr2bl w:val="nil"/>
            </w:tcBorders>
            <w:vAlign w:val="center"/>
          </w:tcPr>
          <w:p w:rsidR="002A5A5E" w:rsidRPr="00FC1444"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609" w:type="pct"/>
            <w:tcBorders>
              <w:tl2br w:val="nil"/>
              <w:tr2bl w:val="nil"/>
            </w:tcBorders>
            <w:vAlign w:val="center"/>
          </w:tcPr>
          <w:p w:rsidR="002A5A5E" w:rsidRPr="00FC1444" w:rsidRDefault="006430E4">
            <w:pPr>
              <w:widowControl/>
              <w:kinsoku w:val="0"/>
              <w:autoSpaceDE w:val="0"/>
              <w:autoSpaceDN w:val="0"/>
              <w:adjustRightInd w:val="0"/>
              <w:snapToGrid w:val="0"/>
              <w:jc w:val="center"/>
              <w:textAlignment w:val="baseline"/>
              <w:rPr>
                <w:rFonts w:eastAsiaTheme="minorEastAsia"/>
                <w:snapToGrid w:val="0"/>
                <w:kern w:val="0"/>
                <w:szCs w:val="21"/>
              </w:rPr>
            </w:pPr>
            <w:r w:rsidRPr="00FC1444">
              <w:rPr>
                <w:rFonts w:eastAsiaTheme="minorEastAsia" w:hint="eastAsia"/>
                <w:snapToGrid w:val="0"/>
                <w:kern w:val="0"/>
                <w:szCs w:val="21"/>
                <w:lang w:eastAsia="en-US"/>
              </w:rPr>
              <w:t>生产路</w:t>
            </w:r>
            <w:r w:rsidRPr="00FC1444">
              <w:rPr>
                <w:rFonts w:eastAsiaTheme="minorEastAsia" w:hint="eastAsia"/>
                <w:snapToGrid w:val="0"/>
                <w:kern w:val="0"/>
                <w:szCs w:val="21"/>
                <w:lang w:eastAsia="en-US"/>
              </w:rPr>
              <w:t>19</w:t>
            </w:r>
          </w:p>
        </w:tc>
        <w:tc>
          <w:tcPr>
            <w:tcW w:w="599" w:type="pct"/>
            <w:tcBorders>
              <w:tl2br w:val="nil"/>
              <w:tr2bl w:val="nil"/>
            </w:tcBorders>
            <w:vAlign w:val="center"/>
          </w:tcPr>
          <w:p w:rsidR="002A5A5E" w:rsidRPr="00FC1444" w:rsidRDefault="006430E4">
            <w:pPr>
              <w:widowControl/>
              <w:kinsoku w:val="0"/>
              <w:autoSpaceDE w:val="0"/>
              <w:autoSpaceDN w:val="0"/>
              <w:adjustRightInd w:val="0"/>
              <w:snapToGrid w:val="0"/>
              <w:jc w:val="center"/>
              <w:textAlignment w:val="baseline"/>
              <w:rPr>
                <w:rFonts w:eastAsiaTheme="minorEastAsia"/>
                <w:snapToGrid w:val="0"/>
                <w:kern w:val="0"/>
                <w:szCs w:val="21"/>
              </w:rPr>
            </w:pPr>
            <w:r w:rsidRPr="00FC1444">
              <w:rPr>
                <w:rFonts w:eastAsiaTheme="minorEastAsia" w:hint="eastAsia"/>
                <w:szCs w:val="21"/>
              </w:rPr>
              <w:t>刘家崴子</w:t>
            </w:r>
          </w:p>
        </w:tc>
        <w:tc>
          <w:tcPr>
            <w:tcW w:w="411" w:type="pc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FC1444">
              <w:rPr>
                <w:rFonts w:eastAsiaTheme="minorEastAsia"/>
                <w:snapToGrid w:val="0"/>
                <w:kern w:val="0"/>
                <w:szCs w:val="21"/>
              </w:rPr>
              <w:t>5</w:t>
            </w:r>
          </w:p>
        </w:tc>
        <w:tc>
          <w:tcPr>
            <w:tcW w:w="1598" w:type="pct"/>
            <w:vMerge/>
            <w:tcBorders>
              <w:tl2br w:val="nil"/>
              <w:tr2bl w:val="nil"/>
            </w:tcBorders>
            <w:vAlign w:val="center"/>
          </w:tcPr>
          <w:p w:rsidR="002A5A5E" w:rsidRPr="00FC1444" w:rsidRDefault="002A5A5E">
            <w:pPr>
              <w:widowControl/>
              <w:kinsoku w:val="0"/>
              <w:autoSpaceDE w:val="0"/>
              <w:autoSpaceDN w:val="0"/>
              <w:adjustRightInd w:val="0"/>
              <w:snapToGrid w:val="0"/>
              <w:jc w:val="center"/>
              <w:textAlignment w:val="baseline"/>
              <w:rPr>
                <w:rFonts w:eastAsiaTheme="minorEastAsia"/>
                <w:snapToGrid w:val="0"/>
                <w:kern w:val="0"/>
                <w:szCs w:val="21"/>
              </w:rPr>
            </w:pPr>
          </w:p>
        </w:tc>
        <w:tc>
          <w:tcPr>
            <w:tcW w:w="482" w:type="pc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FC1444">
              <w:rPr>
                <w:rFonts w:eastAsiaTheme="minorEastAsia"/>
                <w:snapToGrid w:val="0"/>
                <w:kern w:val="0"/>
                <w:szCs w:val="21"/>
              </w:rPr>
              <w:t>53.6</w:t>
            </w:r>
          </w:p>
        </w:tc>
        <w:tc>
          <w:tcPr>
            <w:tcW w:w="343" w:type="pc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FC1444">
              <w:rPr>
                <w:rFonts w:eastAsiaTheme="minorEastAsia"/>
                <w:snapToGrid w:val="0"/>
                <w:kern w:val="0"/>
                <w:szCs w:val="21"/>
              </w:rPr>
              <w:t>55</w:t>
            </w:r>
          </w:p>
        </w:tc>
        <w:tc>
          <w:tcPr>
            <w:tcW w:w="300" w:type="pct"/>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FC1444">
              <w:rPr>
                <w:rFonts w:eastAsiaTheme="minorEastAsia"/>
                <w:snapToGrid w:val="0"/>
                <w:spacing w:val="5"/>
                <w:kern w:val="0"/>
                <w:szCs w:val="21"/>
                <w:lang w:eastAsia="en-US"/>
              </w:rPr>
              <w:t>达标</w:t>
            </w:r>
          </w:p>
        </w:tc>
      </w:tr>
    </w:tbl>
    <w:p w:rsidR="00B21BDA" w:rsidRPr="00FC1444" w:rsidRDefault="00611CBA">
      <w:pPr>
        <w:spacing w:line="360" w:lineRule="auto"/>
        <w:ind w:firstLineChars="200" w:firstLine="460"/>
        <w:rPr>
          <w:rFonts w:eastAsiaTheme="minorEastAsia"/>
          <w:sz w:val="24"/>
          <w:szCs w:val="21"/>
        </w:rPr>
      </w:pPr>
      <w:r w:rsidRPr="00FC1444">
        <w:rPr>
          <w:rFonts w:eastAsiaTheme="minorEastAsia"/>
          <w:spacing w:val="-5"/>
          <w:sz w:val="24"/>
        </w:rPr>
        <w:t>预测结果表明，</w:t>
      </w:r>
      <w:r w:rsidRPr="00FC1444">
        <w:rPr>
          <w:rFonts w:eastAsiaTheme="minorEastAsia"/>
          <w:sz w:val="24"/>
          <w:szCs w:val="21"/>
        </w:rPr>
        <w:t>采取以上措施后本项目施工期间产生的噪声不会对周围环境造成明显影响，场界声环境可满足《建筑施工噪声排放标准》（</w:t>
      </w:r>
      <w:r w:rsidRPr="00FC1444">
        <w:rPr>
          <w:rFonts w:eastAsiaTheme="minorEastAsia"/>
          <w:sz w:val="24"/>
          <w:szCs w:val="21"/>
        </w:rPr>
        <w:t>GB12523-2025</w:t>
      </w:r>
      <w:r w:rsidRPr="00FC1444">
        <w:rPr>
          <w:rFonts w:eastAsiaTheme="minorEastAsia"/>
          <w:sz w:val="24"/>
          <w:szCs w:val="21"/>
        </w:rPr>
        <w:t>）要求。</w:t>
      </w:r>
    </w:p>
    <w:p w:rsidR="002A5A5E" w:rsidRPr="00FC1444" w:rsidRDefault="00611CBA">
      <w:pPr>
        <w:spacing w:line="360" w:lineRule="auto"/>
        <w:ind w:firstLineChars="200" w:firstLine="480"/>
        <w:rPr>
          <w:rFonts w:eastAsiaTheme="minorEastAsia"/>
          <w:sz w:val="24"/>
          <w:szCs w:val="21"/>
        </w:rPr>
      </w:pPr>
      <w:r w:rsidRPr="00FC1444">
        <w:rPr>
          <w:rFonts w:eastAsiaTheme="minorEastAsia"/>
          <w:sz w:val="24"/>
          <w:szCs w:val="21"/>
        </w:rPr>
        <w:t>施工期沿线敏感目标声环境能够满足《声环境质量标准》（</w:t>
      </w:r>
      <w:r w:rsidRPr="00FC1444">
        <w:rPr>
          <w:rFonts w:eastAsiaTheme="minorEastAsia"/>
          <w:sz w:val="24"/>
          <w:szCs w:val="21"/>
        </w:rPr>
        <w:t>GB3096-2008</w:t>
      </w:r>
      <w:r w:rsidRPr="00FC1444">
        <w:rPr>
          <w:rFonts w:eastAsiaTheme="minorEastAsia"/>
          <w:sz w:val="24"/>
          <w:szCs w:val="21"/>
        </w:rPr>
        <w:t>）中</w:t>
      </w:r>
      <w:r w:rsidRPr="00FC1444">
        <w:rPr>
          <w:rFonts w:eastAsiaTheme="minorEastAsia"/>
          <w:sz w:val="24"/>
          <w:szCs w:val="21"/>
        </w:rPr>
        <w:t>1</w:t>
      </w:r>
      <w:r w:rsidRPr="00FC1444">
        <w:rPr>
          <w:rFonts w:eastAsiaTheme="minorEastAsia"/>
          <w:sz w:val="24"/>
          <w:szCs w:val="21"/>
        </w:rPr>
        <w:t>类标准。对区域声环境不会产生显著性不良影响。在实际施工过程中施工机械一般为间歇性使用，例如挖掘机仅在前期土石方开挖时使用，因此不会出现以上所有施工机械持续性的运行而造成强烈的噪声影响的情况。为减免噪声对声环境保护目标的影响，建议工程穿过居民区及距离居民区较近的作业段应合理安排作业时间，加强施工交通运输管理，因地制宜，采取不同的降噪措施，减缓噪声对敏感目标的影响。随着工程竣工，施工噪声的影响将不再存在，施工噪声对环境的不利影响是暂时的、短期的行为。加强施工期环境噪声监测。</w:t>
      </w:r>
    </w:p>
    <w:p w:rsidR="002A5A5E" w:rsidRPr="00FC1444" w:rsidRDefault="00611CBA">
      <w:pPr>
        <w:autoSpaceDE w:val="0"/>
        <w:autoSpaceDN w:val="0"/>
        <w:spacing w:before="100" w:beforeAutospacing="1" w:after="100" w:afterAutospacing="1"/>
        <w:jc w:val="left"/>
        <w:outlineLvl w:val="2"/>
        <w:rPr>
          <w:rFonts w:eastAsiaTheme="minorEastAsia"/>
          <w:b/>
          <w:sz w:val="28"/>
          <w:szCs w:val="28"/>
        </w:rPr>
      </w:pPr>
      <w:r w:rsidRPr="00FC1444">
        <w:rPr>
          <w:rFonts w:eastAsiaTheme="minorEastAsia"/>
          <w:b/>
          <w:sz w:val="28"/>
          <w:szCs w:val="28"/>
        </w:rPr>
        <w:t>5.1.4</w:t>
      </w:r>
      <w:r w:rsidRPr="00FC1444">
        <w:rPr>
          <w:rFonts w:eastAsiaTheme="minorEastAsia"/>
          <w:b/>
          <w:sz w:val="28"/>
          <w:szCs w:val="28"/>
        </w:rPr>
        <w:t>固体废物</w:t>
      </w:r>
      <w:r w:rsidR="00FC1444" w:rsidRPr="00FC1444">
        <w:rPr>
          <w:rFonts w:eastAsiaTheme="minorEastAsia"/>
          <w:b/>
          <w:sz w:val="28"/>
          <w:szCs w:val="28"/>
        </w:rPr>
        <w:t>生态</w:t>
      </w:r>
      <w:r w:rsidRPr="00FC1444">
        <w:rPr>
          <w:rFonts w:eastAsiaTheme="minorEastAsia"/>
          <w:b/>
          <w:sz w:val="28"/>
          <w:szCs w:val="28"/>
        </w:rPr>
        <w:t>环境影响评价</w:t>
      </w:r>
    </w:p>
    <w:p w:rsidR="002A5A5E" w:rsidRPr="00FC1444" w:rsidRDefault="00957CE3">
      <w:pPr>
        <w:spacing w:line="360" w:lineRule="auto"/>
        <w:ind w:firstLineChars="200" w:firstLine="464"/>
        <w:rPr>
          <w:rFonts w:eastAsiaTheme="minorEastAsia"/>
          <w:spacing w:val="-4"/>
          <w:sz w:val="24"/>
          <w:szCs w:val="21"/>
        </w:rPr>
      </w:pPr>
      <w:r w:rsidRPr="00FC1444">
        <w:rPr>
          <w:rFonts w:eastAsiaTheme="minorEastAsia"/>
          <w:spacing w:val="-4"/>
          <w:sz w:val="24"/>
          <w:szCs w:val="21"/>
        </w:rPr>
        <w:t>施工期固体废物主要包括建筑垃圾</w:t>
      </w:r>
      <w:r w:rsidR="00611CBA" w:rsidRPr="00FC1444">
        <w:rPr>
          <w:rFonts w:eastAsiaTheme="minorEastAsia"/>
          <w:spacing w:val="-4"/>
          <w:sz w:val="24"/>
          <w:szCs w:val="21"/>
        </w:rPr>
        <w:t>、</w:t>
      </w:r>
      <w:r w:rsidRPr="00FC1444">
        <w:rPr>
          <w:rFonts w:eastAsiaTheme="minorEastAsia"/>
          <w:spacing w:val="-4"/>
          <w:sz w:val="24"/>
          <w:szCs w:val="21"/>
        </w:rPr>
        <w:t>土方（表土、</w:t>
      </w:r>
      <w:r w:rsidRPr="00FC1444">
        <w:rPr>
          <w:rFonts w:eastAsiaTheme="minorEastAsia"/>
          <w:sz w:val="24"/>
          <w:szCs w:val="22"/>
        </w:rPr>
        <w:t>钻井泥浆</w:t>
      </w:r>
      <w:r w:rsidRPr="00FC1444">
        <w:rPr>
          <w:rFonts w:eastAsiaTheme="minorEastAsia"/>
          <w:spacing w:val="-4"/>
          <w:sz w:val="24"/>
          <w:szCs w:val="21"/>
        </w:rPr>
        <w:t>）、</w:t>
      </w:r>
      <w:r w:rsidR="00611CBA" w:rsidRPr="00FC1444">
        <w:rPr>
          <w:rFonts w:eastAsiaTheme="minorEastAsia"/>
          <w:spacing w:val="-4"/>
          <w:sz w:val="24"/>
          <w:szCs w:val="21"/>
        </w:rPr>
        <w:t>生活垃圾、淤泥、废肥料包装袋。</w:t>
      </w:r>
    </w:p>
    <w:p w:rsidR="002A5A5E" w:rsidRPr="00FC1444" w:rsidRDefault="00611CBA" w:rsidP="00F9040C">
      <w:pPr>
        <w:spacing w:line="360" w:lineRule="auto"/>
        <w:ind w:firstLineChars="200" w:firstLine="464"/>
        <w:rPr>
          <w:rFonts w:eastAsiaTheme="minorEastAsia"/>
          <w:spacing w:val="-4"/>
          <w:sz w:val="24"/>
          <w:szCs w:val="21"/>
        </w:rPr>
      </w:pPr>
      <w:r w:rsidRPr="00FC1444">
        <w:rPr>
          <w:rFonts w:ascii="宋体" w:hAnsi="宋体" w:cs="宋体" w:hint="eastAsia"/>
          <w:spacing w:val="-4"/>
          <w:sz w:val="24"/>
          <w:szCs w:val="21"/>
        </w:rPr>
        <w:t>①</w:t>
      </w:r>
      <w:r w:rsidRPr="00FC1444">
        <w:rPr>
          <w:rFonts w:eastAsiaTheme="minorEastAsia"/>
          <w:spacing w:val="-4"/>
          <w:sz w:val="24"/>
          <w:szCs w:val="21"/>
        </w:rPr>
        <w:t>建筑垃圾</w:t>
      </w:r>
      <w:r w:rsidR="00957CE3" w:rsidRPr="00FC1444">
        <w:rPr>
          <w:rFonts w:eastAsiaTheme="minorEastAsia"/>
          <w:spacing w:val="-4"/>
          <w:sz w:val="24"/>
          <w:szCs w:val="21"/>
        </w:rPr>
        <w:t>主要为道路</w:t>
      </w:r>
      <w:r w:rsidR="006D1744" w:rsidRPr="00FC1444">
        <w:rPr>
          <w:rFonts w:eastAsiaTheme="minorEastAsia"/>
          <w:spacing w:val="-4"/>
          <w:sz w:val="24"/>
          <w:szCs w:val="21"/>
        </w:rPr>
        <w:t>、渠道衬砌</w:t>
      </w:r>
      <w:r w:rsidR="00957CE3" w:rsidRPr="00FC1444">
        <w:rPr>
          <w:rFonts w:eastAsiaTheme="minorEastAsia"/>
          <w:spacing w:val="-4"/>
          <w:sz w:val="24"/>
          <w:szCs w:val="21"/>
        </w:rPr>
        <w:t>及建筑物工程拆除的</w:t>
      </w:r>
      <w:r w:rsidRPr="00FC1444">
        <w:rPr>
          <w:rFonts w:eastAsiaTheme="minorEastAsia"/>
          <w:spacing w:val="-4"/>
          <w:sz w:val="24"/>
          <w:szCs w:val="21"/>
        </w:rPr>
        <w:t>废建材、</w:t>
      </w:r>
      <w:r w:rsidR="00957CE3" w:rsidRPr="00FC1444">
        <w:rPr>
          <w:rFonts w:eastAsiaTheme="minorEastAsia"/>
          <w:spacing w:val="-4"/>
          <w:sz w:val="24"/>
          <w:szCs w:val="21"/>
        </w:rPr>
        <w:t>废</w:t>
      </w:r>
      <w:r w:rsidR="006D1744" w:rsidRPr="00FC1444">
        <w:rPr>
          <w:rFonts w:eastAsiaTheme="minorEastAsia"/>
          <w:spacing w:val="-4"/>
          <w:sz w:val="24"/>
          <w:szCs w:val="21"/>
        </w:rPr>
        <w:t>包装袋</w:t>
      </w:r>
      <w:r w:rsidRPr="00FC1444">
        <w:rPr>
          <w:rFonts w:eastAsiaTheme="minorEastAsia"/>
          <w:spacing w:val="-4"/>
          <w:sz w:val="24"/>
          <w:szCs w:val="21"/>
        </w:rPr>
        <w:t>。对可再利用的建筑废料，进行回收利用，以节省资源。最大程度减小对环境的影响。</w:t>
      </w:r>
      <w:r w:rsidR="009C6020" w:rsidRPr="00FC1444">
        <w:rPr>
          <w:rFonts w:eastAsiaTheme="minorEastAsia"/>
          <w:spacing w:val="-4"/>
          <w:sz w:val="24"/>
          <w:szCs w:val="21"/>
        </w:rPr>
        <w:t>建筑垃圾分区堆放在施工场地内，采用苫布苫盖，及时清运，转移过程运输车辆采</w:t>
      </w:r>
      <w:r w:rsidR="009C6020" w:rsidRPr="00FC1444">
        <w:rPr>
          <w:rFonts w:eastAsiaTheme="minorEastAsia"/>
          <w:spacing w:val="-4"/>
          <w:sz w:val="24"/>
          <w:szCs w:val="21"/>
        </w:rPr>
        <w:lastRenderedPageBreak/>
        <w:t>用苫布苫盖，无抛洒滴漏。</w:t>
      </w:r>
      <w:r w:rsidR="00A26F21" w:rsidRPr="00FC1444">
        <w:rPr>
          <w:rFonts w:eastAsiaTheme="minorEastAsia"/>
          <w:spacing w:val="-4"/>
          <w:sz w:val="24"/>
          <w:szCs w:val="21"/>
        </w:rPr>
        <w:t>根据已批复的《</w:t>
      </w:r>
      <w:r w:rsidR="00AE168C" w:rsidRPr="00FC1444">
        <w:rPr>
          <w:rFonts w:eastAsiaTheme="minorEastAsia"/>
          <w:snapToGrid w:val="0"/>
          <w:kern w:val="0"/>
          <w:sz w:val="24"/>
        </w:rPr>
        <w:t>北林区</w:t>
      </w:r>
      <w:r w:rsidR="00AE168C" w:rsidRPr="00FC1444">
        <w:rPr>
          <w:rFonts w:eastAsiaTheme="minorEastAsia"/>
          <w:snapToGrid w:val="0"/>
          <w:kern w:val="0"/>
          <w:sz w:val="24"/>
        </w:rPr>
        <w:t>2026</w:t>
      </w:r>
      <w:r w:rsidR="00AE168C" w:rsidRPr="00FC1444">
        <w:rPr>
          <w:rFonts w:eastAsiaTheme="minorEastAsia"/>
          <w:snapToGrid w:val="0"/>
          <w:kern w:val="0"/>
          <w:sz w:val="24"/>
        </w:rPr>
        <w:t>年高标准农田建设项目</w:t>
      </w:r>
      <w:r w:rsidR="00A26F21" w:rsidRPr="00FC1444">
        <w:rPr>
          <w:rFonts w:eastAsiaTheme="minorEastAsia"/>
          <w:snapToGrid w:val="0"/>
          <w:kern w:val="0"/>
          <w:sz w:val="24"/>
        </w:rPr>
        <w:t>初步设计报告</w:t>
      </w:r>
      <w:r w:rsidR="00A26F21" w:rsidRPr="00FC1444">
        <w:rPr>
          <w:rFonts w:eastAsiaTheme="minorEastAsia"/>
          <w:spacing w:val="-4"/>
          <w:sz w:val="24"/>
          <w:szCs w:val="21"/>
        </w:rPr>
        <w:t>》，</w:t>
      </w:r>
      <w:r w:rsidRPr="00FC1444">
        <w:rPr>
          <w:rFonts w:eastAsiaTheme="minorEastAsia"/>
          <w:spacing w:val="-4"/>
          <w:sz w:val="24"/>
          <w:szCs w:val="21"/>
        </w:rPr>
        <w:t>建筑垃圾大部分用于田块整治工程，剩余及时送至建材公司回用。</w:t>
      </w:r>
      <w:r w:rsidR="00F9040C" w:rsidRPr="00FC1444">
        <w:rPr>
          <w:rFonts w:eastAsiaTheme="minorEastAsia"/>
          <w:spacing w:val="-4"/>
          <w:sz w:val="24"/>
          <w:szCs w:val="21"/>
        </w:rPr>
        <w:t>根据《建筑垃圾污染控制技术规范》（</w:t>
      </w:r>
      <w:r w:rsidR="00F9040C" w:rsidRPr="00FC1444">
        <w:rPr>
          <w:rFonts w:eastAsiaTheme="minorEastAsia"/>
          <w:spacing w:val="-4"/>
          <w:sz w:val="24"/>
          <w:szCs w:val="21"/>
        </w:rPr>
        <w:t>HJ1462-2026</w:t>
      </w:r>
      <w:r w:rsidR="00F9040C" w:rsidRPr="00FC1444">
        <w:rPr>
          <w:rFonts w:eastAsiaTheme="minorEastAsia"/>
          <w:spacing w:val="-4"/>
          <w:sz w:val="24"/>
          <w:szCs w:val="21"/>
        </w:rPr>
        <w:t>）要求，本项目建筑垃圾产生后，进行堆填利用前应开展本底调查（包括堆填利用区域的土壤环境、地下水环境以及地表水环境等，可参考已有的环境影响评价以及相关水文地质资料）及风险评估。</w:t>
      </w:r>
      <w:r w:rsidR="00957CE3" w:rsidRPr="00FC1444">
        <w:rPr>
          <w:rFonts w:eastAsiaTheme="minorEastAsia"/>
          <w:spacing w:val="-4"/>
          <w:sz w:val="24"/>
          <w:szCs w:val="21"/>
        </w:rPr>
        <w:t>废包装袋外售废品收购站</w:t>
      </w:r>
      <w:r w:rsidR="009C6020" w:rsidRPr="00FC1444">
        <w:rPr>
          <w:rFonts w:eastAsiaTheme="minorEastAsia"/>
          <w:spacing w:val="-4"/>
          <w:sz w:val="24"/>
          <w:szCs w:val="21"/>
        </w:rPr>
        <w:t>，进行资源化利用。</w:t>
      </w:r>
    </w:p>
    <w:p w:rsidR="002A5A5E" w:rsidRPr="00FC1444" w:rsidRDefault="009840DD" w:rsidP="00611CBA">
      <w:pPr>
        <w:widowControl/>
        <w:spacing w:line="360" w:lineRule="auto"/>
        <w:ind w:firstLineChars="200" w:firstLine="480"/>
        <w:rPr>
          <w:rFonts w:eastAsiaTheme="minorEastAsia"/>
          <w:sz w:val="24"/>
        </w:rPr>
      </w:pPr>
      <w:r w:rsidRPr="00FC1444">
        <w:rPr>
          <w:rFonts w:eastAsiaTheme="minorEastAsia"/>
          <w:spacing w:val="-4"/>
          <w:sz w:val="24"/>
          <w:szCs w:val="21"/>
        </w:rPr>
        <w:fldChar w:fldCharType="begin"/>
      </w:r>
      <w:r w:rsidR="00611CBA" w:rsidRPr="00FC1444">
        <w:rPr>
          <w:rFonts w:eastAsiaTheme="minorEastAsia"/>
          <w:spacing w:val="-4"/>
          <w:sz w:val="24"/>
          <w:szCs w:val="21"/>
        </w:rPr>
        <w:instrText xml:space="preserve"> = 2 \* GB3 </w:instrText>
      </w:r>
      <w:r w:rsidRPr="00FC1444">
        <w:rPr>
          <w:rFonts w:eastAsiaTheme="minorEastAsia"/>
          <w:spacing w:val="-4"/>
          <w:sz w:val="24"/>
          <w:szCs w:val="21"/>
        </w:rPr>
        <w:fldChar w:fldCharType="separate"/>
      </w:r>
      <w:r w:rsidR="00611CBA" w:rsidRPr="00FC1444">
        <w:rPr>
          <w:rFonts w:ascii="宋体" w:hAnsi="宋体" w:cs="宋体" w:hint="eastAsia"/>
          <w:spacing w:val="-4"/>
          <w:sz w:val="24"/>
          <w:szCs w:val="21"/>
        </w:rPr>
        <w:t>②</w:t>
      </w:r>
      <w:r w:rsidRPr="00FC1444">
        <w:rPr>
          <w:rFonts w:eastAsiaTheme="minorEastAsia"/>
          <w:spacing w:val="-4"/>
          <w:sz w:val="24"/>
          <w:szCs w:val="21"/>
        </w:rPr>
        <w:fldChar w:fldCharType="end"/>
      </w:r>
      <w:r w:rsidR="00611CBA" w:rsidRPr="00FC1444">
        <w:rPr>
          <w:rFonts w:eastAsiaTheme="minorEastAsia"/>
          <w:sz w:val="24"/>
          <w:szCs w:val="22"/>
        </w:rPr>
        <w:t>本项目</w:t>
      </w:r>
      <w:r w:rsidR="004B2F9E" w:rsidRPr="00FC1444">
        <w:rPr>
          <w:rFonts w:eastAsiaTheme="minorEastAsia"/>
          <w:bCs/>
          <w:sz w:val="24"/>
          <w:szCs w:val="22"/>
        </w:rPr>
        <w:t>单井泥浆最大产生量</w:t>
      </w:r>
      <w:r w:rsidR="004B2F9E" w:rsidRPr="00FC1444">
        <w:rPr>
          <w:rFonts w:eastAsiaTheme="minorEastAsia"/>
          <w:bCs/>
          <w:sz w:val="24"/>
          <w:szCs w:val="22"/>
        </w:rPr>
        <w:t>10</w:t>
      </w:r>
      <w:r w:rsidR="00DE2B0A" w:rsidRPr="00FC1444">
        <w:rPr>
          <w:rFonts w:eastAsiaTheme="minorEastAsia"/>
          <w:bCs/>
          <w:sz w:val="24"/>
          <w:szCs w:val="22"/>
        </w:rPr>
        <w:t>m</w:t>
      </w:r>
      <w:r w:rsidR="00DE2B0A" w:rsidRPr="00FC1444">
        <w:rPr>
          <w:rFonts w:eastAsiaTheme="minorEastAsia"/>
          <w:bCs/>
          <w:sz w:val="24"/>
          <w:szCs w:val="22"/>
          <w:vertAlign w:val="superscript"/>
        </w:rPr>
        <w:t>3</w:t>
      </w:r>
      <w:r w:rsidR="00611CBA" w:rsidRPr="00FC1444">
        <w:rPr>
          <w:rFonts w:eastAsiaTheme="minorEastAsia"/>
          <w:bCs/>
          <w:sz w:val="24"/>
          <w:szCs w:val="22"/>
        </w:rPr>
        <w:t>，</w:t>
      </w:r>
      <w:r w:rsidR="00611CBA" w:rsidRPr="00FC1444">
        <w:rPr>
          <w:rFonts w:eastAsiaTheme="minorEastAsia"/>
          <w:sz w:val="24"/>
          <w:szCs w:val="22"/>
        </w:rPr>
        <w:t>钻井泥浆可循环利用，废泥浆</w:t>
      </w:r>
      <w:r w:rsidR="00611CBA" w:rsidRPr="00FC1444">
        <w:rPr>
          <w:rFonts w:eastAsiaTheme="minorEastAsia"/>
          <w:sz w:val="24"/>
        </w:rPr>
        <w:t>暂存于施工场地</w:t>
      </w:r>
      <w:r w:rsidR="006974EB" w:rsidRPr="00FC1444">
        <w:rPr>
          <w:rFonts w:eastAsiaTheme="minorEastAsia"/>
          <w:sz w:val="24"/>
        </w:rPr>
        <w:t>1</w:t>
      </w:r>
      <w:r w:rsidR="0009673A" w:rsidRPr="00FC1444">
        <w:rPr>
          <w:rFonts w:eastAsiaTheme="minorEastAsia"/>
          <w:sz w:val="24"/>
        </w:rPr>
        <w:t>个</w:t>
      </w:r>
      <w:r w:rsidR="006974EB" w:rsidRPr="00FC1444">
        <w:rPr>
          <w:rFonts w:eastAsiaTheme="minorEastAsia"/>
          <w:sz w:val="24"/>
        </w:rPr>
        <w:t>1</w:t>
      </w:r>
      <w:r w:rsidR="00611CBA" w:rsidRPr="00FC1444">
        <w:rPr>
          <w:rFonts w:eastAsiaTheme="minorEastAsia"/>
          <w:sz w:val="24"/>
        </w:rPr>
        <w:t>0</w:t>
      </w:r>
      <w:r w:rsidR="00611CBA" w:rsidRPr="00FC1444">
        <w:rPr>
          <w:rFonts w:eastAsiaTheme="minorEastAsia"/>
          <w:sz w:val="24"/>
          <w:szCs w:val="22"/>
        </w:rPr>
        <w:t>m</w:t>
      </w:r>
      <w:r w:rsidR="00611CBA" w:rsidRPr="00FC1444">
        <w:rPr>
          <w:rFonts w:eastAsiaTheme="minorEastAsia"/>
          <w:sz w:val="24"/>
          <w:szCs w:val="22"/>
          <w:vertAlign w:val="superscript"/>
        </w:rPr>
        <w:t>3</w:t>
      </w:r>
      <w:r w:rsidR="00611CBA" w:rsidRPr="00FC1444">
        <w:rPr>
          <w:rFonts w:eastAsiaTheme="minorEastAsia"/>
          <w:sz w:val="24"/>
        </w:rPr>
        <w:t>移动式不锈钢沉淀池内，沉淀后上层清水用于洒水降尘，下层钻井</w:t>
      </w:r>
      <w:r w:rsidR="00611CBA" w:rsidRPr="00FC1444">
        <w:rPr>
          <w:rFonts w:eastAsiaTheme="minorEastAsia"/>
          <w:bCs/>
          <w:sz w:val="24"/>
          <w:szCs w:val="22"/>
        </w:rPr>
        <w:t>泥浆自然干化后用于周围道路平整</w:t>
      </w:r>
      <w:r w:rsidR="00611CBA" w:rsidRPr="00FC1444">
        <w:rPr>
          <w:rFonts w:eastAsiaTheme="minorEastAsia"/>
          <w:spacing w:val="-4"/>
          <w:sz w:val="24"/>
          <w:szCs w:val="21"/>
        </w:rPr>
        <w:t>。表土</w:t>
      </w:r>
      <w:r w:rsidR="009C6020" w:rsidRPr="00FC1444">
        <w:rPr>
          <w:rFonts w:eastAsiaTheme="minorEastAsia"/>
          <w:kern w:val="0"/>
          <w:sz w:val="24"/>
          <w:szCs w:val="20"/>
        </w:rPr>
        <w:t>在施工现场内贮存，作为表土暂存场，</w:t>
      </w:r>
      <w:r w:rsidR="009C6020" w:rsidRPr="00FC1444">
        <w:rPr>
          <w:rFonts w:eastAsiaTheme="minorEastAsia"/>
          <w:snapToGrid w:val="0"/>
          <w:kern w:val="0"/>
          <w:sz w:val="24"/>
        </w:rPr>
        <w:t>设置临时拦挡并采用密目网苫盖</w:t>
      </w:r>
      <w:r w:rsidR="009C6020" w:rsidRPr="00FC1444">
        <w:rPr>
          <w:rFonts w:eastAsiaTheme="minorEastAsia"/>
          <w:kern w:val="0"/>
          <w:sz w:val="24"/>
          <w:szCs w:val="20"/>
        </w:rPr>
        <w:t>，贮存过程严格按照表土贮存要求</w:t>
      </w:r>
      <w:r w:rsidR="009C6020" w:rsidRPr="00FC1444">
        <w:rPr>
          <w:rFonts w:eastAsiaTheme="minorEastAsia"/>
          <w:spacing w:val="-4"/>
          <w:sz w:val="24"/>
          <w:szCs w:val="21"/>
        </w:rPr>
        <w:t>，表土暂存场</w:t>
      </w:r>
      <w:r w:rsidR="009C6020" w:rsidRPr="00FC1444">
        <w:rPr>
          <w:rFonts w:eastAsiaTheme="minorEastAsia"/>
          <w:bCs/>
          <w:spacing w:val="-4"/>
          <w:sz w:val="24"/>
          <w:szCs w:val="21"/>
        </w:rPr>
        <w:t>堆高在</w:t>
      </w:r>
      <w:r w:rsidR="009C6020" w:rsidRPr="00FC1444">
        <w:rPr>
          <w:rFonts w:eastAsiaTheme="minorEastAsia"/>
          <w:bCs/>
          <w:spacing w:val="-4"/>
          <w:sz w:val="24"/>
          <w:szCs w:val="21"/>
        </w:rPr>
        <w:t>3m</w:t>
      </w:r>
      <w:r w:rsidR="009C6020" w:rsidRPr="00FC1444">
        <w:rPr>
          <w:rFonts w:eastAsiaTheme="minorEastAsia"/>
          <w:bCs/>
          <w:spacing w:val="-4"/>
          <w:sz w:val="24"/>
          <w:szCs w:val="21"/>
        </w:rPr>
        <w:t>以内，坡比</w:t>
      </w:r>
      <w:r w:rsidR="009C6020" w:rsidRPr="00FC1444">
        <w:rPr>
          <w:rFonts w:eastAsiaTheme="minorEastAsia"/>
          <w:bCs/>
          <w:spacing w:val="-4"/>
          <w:sz w:val="24"/>
          <w:szCs w:val="21"/>
        </w:rPr>
        <w:t>1</w:t>
      </w:r>
      <w:r w:rsidR="009C6020" w:rsidRPr="00FC1444">
        <w:rPr>
          <w:rFonts w:eastAsiaTheme="minorEastAsia"/>
          <w:bCs/>
          <w:spacing w:val="-4"/>
          <w:sz w:val="24"/>
          <w:szCs w:val="21"/>
        </w:rPr>
        <w:t>：</w:t>
      </w:r>
      <w:r w:rsidR="009C6020" w:rsidRPr="00FC1444">
        <w:rPr>
          <w:rFonts w:eastAsiaTheme="minorEastAsia"/>
          <w:bCs/>
          <w:spacing w:val="-4"/>
          <w:sz w:val="24"/>
          <w:szCs w:val="21"/>
        </w:rPr>
        <w:t>1</w:t>
      </w:r>
      <w:r w:rsidR="009C6020" w:rsidRPr="00FC1444">
        <w:rPr>
          <w:rFonts w:eastAsiaTheme="minorEastAsia"/>
          <w:bCs/>
          <w:spacing w:val="-4"/>
          <w:sz w:val="24"/>
          <w:szCs w:val="21"/>
        </w:rPr>
        <w:t>，可以保证堆土的稳定性及安全性。堆放地宜相对低凹、周围相对平缓，并设置排水设施</w:t>
      </w:r>
      <w:r w:rsidR="009C6020" w:rsidRPr="00FC1444">
        <w:rPr>
          <w:rFonts w:eastAsiaTheme="minorEastAsia"/>
          <w:spacing w:val="-4"/>
          <w:sz w:val="24"/>
          <w:szCs w:val="21"/>
        </w:rPr>
        <w:t>。</w:t>
      </w:r>
      <w:r w:rsidR="00611CBA" w:rsidRPr="00FC1444">
        <w:rPr>
          <w:rFonts w:eastAsiaTheme="minorEastAsia"/>
          <w:spacing w:val="-4"/>
          <w:sz w:val="24"/>
          <w:szCs w:val="21"/>
        </w:rPr>
        <w:t>用于临时工程土地恢复及田块整治工程，</w:t>
      </w:r>
      <w:r w:rsidR="009C6020" w:rsidRPr="00FC1444">
        <w:rPr>
          <w:rFonts w:eastAsiaTheme="minorEastAsia"/>
          <w:spacing w:val="-4"/>
          <w:sz w:val="24"/>
          <w:szCs w:val="21"/>
        </w:rPr>
        <w:t>进行资源化利用</w:t>
      </w:r>
      <w:r w:rsidR="00611CBA" w:rsidRPr="00FC1444">
        <w:rPr>
          <w:rFonts w:eastAsiaTheme="minorEastAsia"/>
          <w:spacing w:val="-4"/>
          <w:sz w:val="24"/>
          <w:szCs w:val="21"/>
        </w:rPr>
        <w:t>。</w:t>
      </w:r>
    </w:p>
    <w:p w:rsidR="002A5A5E" w:rsidRPr="00FC1444" w:rsidRDefault="009840DD" w:rsidP="00611CBA">
      <w:pPr>
        <w:spacing w:line="360" w:lineRule="auto"/>
        <w:ind w:firstLineChars="200" w:firstLine="480"/>
        <w:rPr>
          <w:rFonts w:eastAsiaTheme="minorEastAsia"/>
          <w:spacing w:val="-4"/>
          <w:sz w:val="24"/>
          <w:szCs w:val="21"/>
        </w:rPr>
      </w:pPr>
      <w:r w:rsidRPr="00FC1444">
        <w:rPr>
          <w:rFonts w:eastAsiaTheme="minorEastAsia"/>
          <w:spacing w:val="-4"/>
          <w:sz w:val="24"/>
          <w:szCs w:val="21"/>
        </w:rPr>
        <w:fldChar w:fldCharType="begin"/>
      </w:r>
      <w:r w:rsidR="00611CBA" w:rsidRPr="00FC1444">
        <w:rPr>
          <w:rFonts w:eastAsiaTheme="minorEastAsia"/>
          <w:spacing w:val="-4"/>
          <w:sz w:val="24"/>
          <w:szCs w:val="21"/>
        </w:rPr>
        <w:instrText xml:space="preserve"> = 3 \* GB3 </w:instrText>
      </w:r>
      <w:r w:rsidRPr="00FC1444">
        <w:rPr>
          <w:rFonts w:eastAsiaTheme="minorEastAsia"/>
          <w:spacing w:val="-4"/>
          <w:sz w:val="24"/>
          <w:szCs w:val="21"/>
        </w:rPr>
        <w:fldChar w:fldCharType="separate"/>
      </w:r>
      <w:r w:rsidR="00611CBA" w:rsidRPr="00FC1444">
        <w:rPr>
          <w:rFonts w:ascii="宋体" w:hAnsi="宋体" w:cs="宋体" w:hint="eastAsia"/>
          <w:spacing w:val="-4"/>
          <w:sz w:val="24"/>
          <w:szCs w:val="21"/>
        </w:rPr>
        <w:t>③</w:t>
      </w:r>
      <w:r w:rsidRPr="00FC1444">
        <w:rPr>
          <w:rFonts w:eastAsiaTheme="minorEastAsia"/>
          <w:spacing w:val="-4"/>
          <w:sz w:val="24"/>
          <w:szCs w:val="21"/>
        </w:rPr>
        <w:fldChar w:fldCharType="end"/>
      </w:r>
      <w:r w:rsidR="00611CBA" w:rsidRPr="00FC1444">
        <w:rPr>
          <w:rFonts w:eastAsiaTheme="minorEastAsia"/>
          <w:spacing w:val="-4"/>
          <w:sz w:val="24"/>
          <w:szCs w:val="21"/>
        </w:rPr>
        <w:t>施工人员产生的生活垃圾集中收集后由市政环卫部门统一清运处置。</w:t>
      </w:r>
    </w:p>
    <w:p w:rsidR="002A5A5E" w:rsidRPr="00FC1444" w:rsidRDefault="009840DD">
      <w:pPr>
        <w:spacing w:line="360" w:lineRule="auto"/>
        <w:ind w:firstLineChars="200" w:firstLine="480"/>
        <w:rPr>
          <w:rFonts w:eastAsiaTheme="minorEastAsia"/>
          <w:bCs/>
          <w:sz w:val="24"/>
        </w:rPr>
      </w:pPr>
      <w:r w:rsidRPr="00FC1444">
        <w:rPr>
          <w:rFonts w:eastAsiaTheme="minorEastAsia"/>
          <w:bCs/>
          <w:sz w:val="24"/>
        </w:rPr>
        <w:fldChar w:fldCharType="begin"/>
      </w:r>
      <w:r w:rsidR="00611CBA" w:rsidRPr="00FC1444">
        <w:rPr>
          <w:rFonts w:eastAsiaTheme="minorEastAsia"/>
          <w:bCs/>
          <w:sz w:val="24"/>
        </w:rPr>
        <w:instrText xml:space="preserve"> = 4 \* GB3 </w:instrText>
      </w:r>
      <w:r w:rsidRPr="00FC1444">
        <w:rPr>
          <w:rFonts w:eastAsiaTheme="minorEastAsia"/>
          <w:bCs/>
          <w:sz w:val="24"/>
        </w:rPr>
        <w:fldChar w:fldCharType="separate"/>
      </w:r>
      <w:r w:rsidR="00611CBA" w:rsidRPr="00FC1444">
        <w:rPr>
          <w:rFonts w:ascii="宋体" w:hAnsi="宋体" w:cs="宋体" w:hint="eastAsia"/>
          <w:bCs/>
          <w:sz w:val="24"/>
        </w:rPr>
        <w:t>④</w:t>
      </w:r>
      <w:r w:rsidRPr="00FC1444">
        <w:rPr>
          <w:rFonts w:eastAsiaTheme="minorEastAsia"/>
          <w:bCs/>
          <w:sz w:val="24"/>
        </w:rPr>
        <w:fldChar w:fldCharType="end"/>
      </w:r>
      <w:r w:rsidR="00611CBA" w:rsidRPr="00FC1444">
        <w:rPr>
          <w:rFonts w:eastAsiaTheme="minorEastAsia"/>
          <w:sz w:val="24"/>
        </w:rPr>
        <w:t>依据哈尔滨新巨环保科技有限公司</w:t>
      </w:r>
      <w:r w:rsidR="00B75CB4" w:rsidRPr="00FC1444">
        <w:rPr>
          <w:rFonts w:eastAsiaTheme="minorEastAsia"/>
          <w:sz w:val="24"/>
        </w:rPr>
        <w:t>2026</w:t>
      </w:r>
      <w:r w:rsidR="00611CBA" w:rsidRPr="00FC1444">
        <w:rPr>
          <w:rFonts w:eastAsiaTheme="minorEastAsia"/>
          <w:sz w:val="24"/>
        </w:rPr>
        <w:t>年</w:t>
      </w:r>
      <w:r w:rsidR="00363CBD" w:rsidRPr="00FC1444">
        <w:rPr>
          <w:rFonts w:eastAsiaTheme="minorEastAsia" w:hint="eastAsia"/>
          <w:sz w:val="24"/>
        </w:rPr>
        <w:t>8</w:t>
      </w:r>
      <w:r w:rsidR="00611CBA" w:rsidRPr="00FC1444">
        <w:rPr>
          <w:rFonts w:eastAsiaTheme="minorEastAsia"/>
          <w:sz w:val="24"/>
        </w:rPr>
        <w:t>月</w:t>
      </w:r>
      <w:r w:rsidR="00363CBD" w:rsidRPr="00FC1444">
        <w:rPr>
          <w:rFonts w:eastAsiaTheme="minorEastAsia" w:hint="eastAsia"/>
          <w:sz w:val="24"/>
        </w:rPr>
        <w:t>3</w:t>
      </w:r>
      <w:r w:rsidR="00B75CB4" w:rsidRPr="00FC1444">
        <w:rPr>
          <w:rFonts w:eastAsiaTheme="minorEastAsia"/>
          <w:sz w:val="24"/>
        </w:rPr>
        <w:t>1</w:t>
      </w:r>
      <w:r w:rsidR="00611CBA" w:rsidRPr="00FC1444">
        <w:rPr>
          <w:rFonts w:eastAsiaTheme="minorEastAsia"/>
          <w:sz w:val="24"/>
        </w:rPr>
        <w:t>日对本项目排水沟底泥现状检测报告可知，本项目排水沟底泥检测样品无重金属污染，</w:t>
      </w:r>
      <w:r w:rsidR="00EE6E53" w:rsidRPr="00FC1444">
        <w:rPr>
          <w:rFonts w:eastAsiaTheme="minorEastAsia"/>
          <w:kern w:val="10"/>
          <w:sz w:val="24"/>
          <w:szCs w:val="22"/>
        </w:rPr>
        <w:t>《土壤环境质量农用地土壤污染风险管控标准（试行）》（</w:t>
      </w:r>
      <w:r w:rsidR="00EE6E53" w:rsidRPr="00FC1444">
        <w:rPr>
          <w:rFonts w:eastAsiaTheme="minorEastAsia"/>
          <w:kern w:val="10"/>
          <w:sz w:val="24"/>
          <w:szCs w:val="22"/>
        </w:rPr>
        <w:t>GB15618-2018</w:t>
      </w:r>
      <w:r w:rsidR="00EE6E53" w:rsidRPr="00FC1444">
        <w:rPr>
          <w:rFonts w:eastAsiaTheme="minorEastAsia"/>
          <w:kern w:val="10"/>
          <w:sz w:val="24"/>
          <w:szCs w:val="22"/>
        </w:rPr>
        <w:t>）表</w:t>
      </w:r>
      <w:r w:rsidR="00EE6E53" w:rsidRPr="00FC1444">
        <w:rPr>
          <w:rFonts w:eastAsiaTheme="minorEastAsia"/>
          <w:kern w:val="10"/>
          <w:sz w:val="24"/>
          <w:szCs w:val="22"/>
        </w:rPr>
        <w:t>1</w:t>
      </w:r>
      <w:r w:rsidR="00EE6E53" w:rsidRPr="00FC1444">
        <w:rPr>
          <w:rFonts w:eastAsiaTheme="minorEastAsia"/>
          <w:kern w:val="10"/>
          <w:sz w:val="24"/>
          <w:szCs w:val="22"/>
        </w:rPr>
        <w:t>、表</w:t>
      </w:r>
      <w:r w:rsidR="00EE6E53" w:rsidRPr="00FC1444">
        <w:rPr>
          <w:rFonts w:eastAsiaTheme="minorEastAsia"/>
          <w:kern w:val="10"/>
          <w:sz w:val="24"/>
          <w:szCs w:val="22"/>
        </w:rPr>
        <w:t>2</w:t>
      </w:r>
      <w:r w:rsidR="00EE6E53" w:rsidRPr="00FC1444">
        <w:rPr>
          <w:rFonts w:eastAsiaTheme="minorEastAsia"/>
          <w:kern w:val="10"/>
          <w:sz w:val="24"/>
          <w:szCs w:val="22"/>
        </w:rPr>
        <w:t>中筛选值</w:t>
      </w:r>
      <w:r w:rsidR="00611CBA" w:rsidRPr="00FC1444">
        <w:rPr>
          <w:rFonts w:eastAsiaTheme="minorEastAsia"/>
          <w:sz w:val="24"/>
        </w:rPr>
        <w:t>要求。</w:t>
      </w:r>
      <w:r w:rsidR="00631660" w:rsidRPr="00FC1444">
        <w:rPr>
          <w:rFonts w:eastAsiaTheme="minorEastAsia"/>
          <w:bCs/>
          <w:sz w:val="24"/>
        </w:rPr>
        <w:t>本工程清淤施工期选定</w:t>
      </w:r>
      <w:r w:rsidR="00631660" w:rsidRPr="00FC1444">
        <w:rPr>
          <w:rFonts w:eastAsiaTheme="minorEastAsia"/>
          <w:bCs/>
          <w:sz w:val="24"/>
        </w:rPr>
        <w:t xml:space="preserve"> 2027</w:t>
      </w:r>
      <w:r w:rsidR="00631660" w:rsidRPr="00FC1444">
        <w:rPr>
          <w:rFonts w:eastAsiaTheme="minorEastAsia"/>
          <w:bCs/>
          <w:sz w:val="24"/>
        </w:rPr>
        <w:t>年</w:t>
      </w:r>
      <w:r w:rsidR="00631660" w:rsidRPr="00FC1444">
        <w:rPr>
          <w:rFonts w:eastAsiaTheme="minorEastAsia"/>
          <w:bCs/>
          <w:sz w:val="24"/>
        </w:rPr>
        <w:t>3</w:t>
      </w:r>
      <w:r w:rsidR="00631660" w:rsidRPr="00FC1444">
        <w:rPr>
          <w:rFonts w:eastAsiaTheme="minorEastAsia"/>
          <w:bCs/>
          <w:sz w:val="24"/>
        </w:rPr>
        <w:t>～</w:t>
      </w:r>
      <w:r w:rsidR="00631660" w:rsidRPr="00FC1444">
        <w:rPr>
          <w:rFonts w:eastAsiaTheme="minorEastAsia"/>
          <w:bCs/>
          <w:sz w:val="24"/>
        </w:rPr>
        <w:t>4</w:t>
      </w:r>
      <w:r w:rsidR="00631660" w:rsidRPr="00FC1444">
        <w:rPr>
          <w:rFonts w:eastAsiaTheme="minorEastAsia"/>
          <w:bCs/>
          <w:sz w:val="24"/>
        </w:rPr>
        <w:t>月河道枯水期开展，该阶段河流水位低，河床淤泥自然疏干，污泥含水率较低，约为</w:t>
      </w:r>
      <w:r w:rsidR="00631660" w:rsidRPr="00FC1444">
        <w:rPr>
          <w:rFonts w:eastAsiaTheme="minorEastAsia"/>
          <w:bCs/>
          <w:sz w:val="24"/>
        </w:rPr>
        <w:t>60%</w:t>
      </w:r>
      <w:r w:rsidR="00631660" w:rsidRPr="00FC1444">
        <w:rPr>
          <w:rFonts w:eastAsiaTheme="minorEastAsia"/>
          <w:bCs/>
          <w:sz w:val="24"/>
        </w:rPr>
        <w:t>。</w:t>
      </w:r>
      <w:r w:rsidR="00611CBA" w:rsidRPr="00FC1444">
        <w:rPr>
          <w:rFonts w:eastAsiaTheme="minorEastAsia"/>
          <w:bCs/>
          <w:sz w:val="24"/>
        </w:rPr>
        <w:t>本工程产生弃方淤泥</w:t>
      </w:r>
      <w:r w:rsidR="00EB2C0F" w:rsidRPr="00FC1444">
        <w:rPr>
          <w:rFonts w:eastAsiaTheme="minorEastAsia"/>
          <w:bCs/>
          <w:sz w:val="24"/>
        </w:rPr>
        <w:t>0.</w:t>
      </w:r>
      <w:r w:rsidR="00EB2C0F" w:rsidRPr="00FC1444">
        <w:rPr>
          <w:rFonts w:eastAsiaTheme="minorEastAsia" w:hint="eastAsia"/>
          <w:bCs/>
          <w:sz w:val="24"/>
        </w:rPr>
        <w:t>3</w:t>
      </w:r>
      <w:r w:rsidR="000037AB" w:rsidRPr="00FC1444">
        <w:rPr>
          <w:rFonts w:eastAsiaTheme="minorEastAsia"/>
          <w:bCs/>
          <w:sz w:val="24"/>
        </w:rPr>
        <w:t>55</w:t>
      </w:r>
      <w:r w:rsidR="000037AB" w:rsidRPr="00FC1444">
        <w:rPr>
          <w:rFonts w:eastAsiaTheme="minorEastAsia"/>
          <w:bCs/>
          <w:sz w:val="24"/>
        </w:rPr>
        <w:t>万</w:t>
      </w:r>
      <w:r w:rsidR="000037AB" w:rsidRPr="00FC1444">
        <w:rPr>
          <w:rFonts w:eastAsiaTheme="minorEastAsia"/>
          <w:bCs/>
          <w:sz w:val="24"/>
        </w:rPr>
        <w:t>m</w:t>
      </w:r>
      <w:r w:rsidR="00611CBA" w:rsidRPr="00FC1444">
        <w:rPr>
          <w:rFonts w:eastAsiaTheme="minorEastAsia"/>
          <w:bCs/>
          <w:sz w:val="24"/>
          <w:vertAlign w:val="superscript"/>
        </w:rPr>
        <w:t>3</w:t>
      </w:r>
      <w:r w:rsidR="00611CBA" w:rsidRPr="00FC1444">
        <w:rPr>
          <w:rFonts w:eastAsiaTheme="minorEastAsia"/>
          <w:bCs/>
          <w:sz w:val="24"/>
        </w:rPr>
        <w:t>，</w:t>
      </w:r>
      <w:r w:rsidR="00611CBA" w:rsidRPr="00FC1444">
        <w:rPr>
          <w:rFonts w:eastAsiaTheme="minorEastAsia"/>
          <w:spacing w:val="-5"/>
          <w:sz w:val="24"/>
        </w:rPr>
        <w:t>清淤采用挖掘机和人工结合的方式进行。</w:t>
      </w:r>
      <w:r w:rsidR="00730492" w:rsidRPr="00FC1444">
        <w:rPr>
          <w:rFonts w:eastAsiaTheme="minorEastAsia"/>
          <w:bCs/>
          <w:sz w:val="24"/>
        </w:rPr>
        <w:t>排水沟淤泥培至工程附近</w:t>
      </w:r>
      <w:r w:rsidR="00730492" w:rsidRPr="00FC1444">
        <w:rPr>
          <w:rFonts w:eastAsiaTheme="minorEastAsia"/>
          <w:bCs/>
          <w:sz w:val="24"/>
        </w:rPr>
        <w:t>200</w:t>
      </w:r>
      <w:r w:rsidR="00730492" w:rsidRPr="00FC1444">
        <w:rPr>
          <w:rFonts w:eastAsiaTheme="minorEastAsia"/>
          <w:bCs/>
          <w:sz w:val="24"/>
        </w:rPr>
        <w:t>米范围内无环境保护目标的排水沟两侧（</w:t>
      </w:r>
      <w:r w:rsidR="00386D57" w:rsidRPr="00FC1444">
        <w:rPr>
          <w:rFonts w:eastAsiaTheme="minorEastAsia"/>
          <w:bCs/>
          <w:sz w:val="24"/>
        </w:rPr>
        <w:t>避开黄家屯、李荒子屯等</w:t>
      </w:r>
      <w:r w:rsidR="00386D57" w:rsidRPr="00FC1444">
        <w:rPr>
          <w:rFonts w:eastAsiaTheme="minorEastAsia"/>
          <w:bCs/>
          <w:sz w:val="24"/>
        </w:rPr>
        <w:t>22</w:t>
      </w:r>
      <w:r w:rsidR="00386D57" w:rsidRPr="00FC1444">
        <w:rPr>
          <w:rFonts w:eastAsiaTheme="minorEastAsia"/>
          <w:bCs/>
          <w:sz w:val="24"/>
        </w:rPr>
        <w:t>个村屯</w:t>
      </w:r>
      <w:r w:rsidR="00730492" w:rsidRPr="00FC1444">
        <w:rPr>
          <w:rFonts w:eastAsiaTheme="minorEastAsia"/>
          <w:bCs/>
          <w:sz w:val="24"/>
        </w:rPr>
        <w:t>，具体见表</w:t>
      </w:r>
      <w:r w:rsidR="00730492" w:rsidRPr="00FC1444">
        <w:rPr>
          <w:rFonts w:eastAsiaTheme="minorEastAsia"/>
          <w:bCs/>
          <w:sz w:val="24"/>
        </w:rPr>
        <w:t>2-8-2</w:t>
      </w:r>
      <w:r w:rsidR="00730492" w:rsidRPr="00FC1444">
        <w:rPr>
          <w:rFonts w:eastAsiaTheme="minorEastAsia"/>
          <w:bCs/>
          <w:sz w:val="24"/>
        </w:rPr>
        <w:t>）</w:t>
      </w:r>
      <w:r w:rsidR="00611CBA" w:rsidRPr="00FC1444">
        <w:rPr>
          <w:rFonts w:eastAsiaTheme="minorEastAsia"/>
          <w:sz w:val="24"/>
        </w:rPr>
        <w:t>。</w:t>
      </w:r>
    </w:p>
    <w:p w:rsidR="002A5A5E" w:rsidRPr="00FC1444" w:rsidRDefault="009840DD">
      <w:pPr>
        <w:pStyle w:val="aff4"/>
        <w:adjustRightInd/>
        <w:snapToGrid/>
        <w:contextualSpacing/>
        <w:rPr>
          <w:rFonts w:ascii="Times New Roman" w:hAnsi="Times New Roman" w:cs="Times New Roman"/>
          <w:bCs/>
        </w:rPr>
      </w:pPr>
      <w:r w:rsidRPr="00FC1444">
        <w:rPr>
          <w:rFonts w:ascii="Times New Roman" w:hAnsi="Times New Roman" w:cs="Times New Roman"/>
          <w:bCs/>
        </w:rPr>
        <w:fldChar w:fldCharType="begin"/>
      </w:r>
      <w:r w:rsidR="00611CBA" w:rsidRPr="00FC1444">
        <w:rPr>
          <w:rFonts w:ascii="Times New Roman" w:hAnsi="Times New Roman" w:cs="Times New Roman"/>
          <w:bCs/>
        </w:rPr>
        <w:instrText xml:space="preserve"> = 5 \* GB3 </w:instrText>
      </w:r>
      <w:r w:rsidRPr="00FC1444">
        <w:rPr>
          <w:rFonts w:ascii="Times New Roman" w:hAnsi="Times New Roman" w:cs="Times New Roman"/>
          <w:bCs/>
        </w:rPr>
        <w:fldChar w:fldCharType="separate"/>
      </w:r>
      <w:r w:rsidR="00611CBA" w:rsidRPr="00FC1444">
        <w:rPr>
          <w:rFonts w:ascii="宋体" w:eastAsia="宋体" w:hAnsi="宋体" w:cs="宋体" w:hint="eastAsia"/>
          <w:bCs/>
        </w:rPr>
        <w:t>⑤</w:t>
      </w:r>
      <w:r w:rsidRPr="00FC1444">
        <w:rPr>
          <w:rFonts w:ascii="Times New Roman" w:hAnsi="Times New Roman" w:cs="Times New Roman"/>
          <w:bCs/>
        </w:rPr>
        <w:fldChar w:fldCharType="end"/>
      </w:r>
      <w:r w:rsidR="00611CBA" w:rsidRPr="00FC1444">
        <w:rPr>
          <w:rFonts w:ascii="Times New Roman" w:hAnsi="Times New Roman" w:cs="Times New Roman"/>
        </w:rPr>
        <w:t>施工期</w:t>
      </w:r>
      <w:r w:rsidR="00D61453" w:rsidRPr="00FC1444">
        <w:rPr>
          <w:rFonts w:ascii="Times New Roman" w:hAnsi="Times New Roman" w:cs="Times New Roman"/>
        </w:rPr>
        <w:t>田块整治</w:t>
      </w:r>
      <w:r w:rsidR="00611CBA" w:rsidRPr="00FC1444">
        <w:rPr>
          <w:rFonts w:ascii="Times New Roman" w:hAnsi="Times New Roman" w:cs="Times New Roman"/>
          <w:bCs/>
          <w:snapToGrid w:val="0"/>
          <w:kern w:val="0"/>
        </w:rPr>
        <w:t>工程</w:t>
      </w:r>
      <w:r w:rsidR="00611CBA" w:rsidRPr="00FC1444">
        <w:rPr>
          <w:rFonts w:ascii="Times New Roman" w:hAnsi="Times New Roman" w:cs="Times New Roman"/>
        </w:rPr>
        <w:t>将会产生少量的废肥料包装袋，产生量约为</w:t>
      </w:r>
      <w:r w:rsidR="00611CBA" w:rsidRPr="00FC1444">
        <w:rPr>
          <w:rFonts w:ascii="Times New Roman" w:hAnsi="Times New Roman" w:cs="Times New Roman"/>
        </w:rPr>
        <w:t>0.01t/a</w:t>
      </w:r>
      <w:r w:rsidR="00611CBA" w:rsidRPr="00FC1444">
        <w:rPr>
          <w:rFonts w:ascii="Times New Roman" w:hAnsi="Times New Roman" w:cs="Times New Roman"/>
        </w:rPr>
        <w:t>，外售废品收购站</w:t>
      </w:r>
      <w:r w:rsidR="009C6020" w:rsidRPr="00FC1444">
        <w:rPr>
          <w:rFonts w:ascii="Times New Roman" w:hAnsi="Times New Roman" w:cs="Times New Roman"/>
        </w:rPr>
        <w:t>，</w:t>
      </w:r>
      <w:r w:rsidR="009C6020" w:rsidRPr="00FC1444">
        <w:rPr>
          <w:rFonts w:ascii="Times New Roman" w:hAnsi="Times New Roman" w:cs="Times New Roman"/>
          <w:spacing w:val="-4"/>
          <w:szCs w:val="21"/>
        </w:rPr>
        <w:t>进行资源化利用。</w:t>
      </w:r>
    </w:p>
    <w:p w:rsidR="002A5A5E" w:rsidRPr="00FC1444" w:rsidRDefault="00611CBA" w:rsidP="009C6020">
      <w:pPr>
        <w:spacing w:line="360" w:lineRule="auto"/>
        <w:ind w:firstLineChars="200" w:firstLine="464"/>
        <w:rPr>
          <w:rFonts w:eastAsiaTheme="minorEastAsia"/>
          <w:spacing w:val="-4"/>
          <w:sz w:val="24"/>
          <w:szCs w:val="21"/>
        </w:rPr>
      </w:pPr>
      <w:r w:rsidRPr="00FC1444">
        <w:rPr>
          <w:rFonts w:eastAsiaTheme="minorEastAsia"/>
          <w:spacing w:val="-4"/>
          <w:sz w:val="24"/>
          <w:szCs w:val="21"/>
        </w:rPr>
        <w:t>通过以上措施，项目建设产生的固体废物得到了妥善处置，</w:t>
      </w:r>
      <w:r w:rsidR="009C6020" w:rsidRPr="00FC1444">
        <w:rPr>
          <w:rFonts w:eastAsiaTheme="minorEastAsia"/>
          <w:spacing w:val="-4"/>
          <w:sz w:val="24"/>
          <w:szCs w:val="21"/>
        </w:rPr>
        <w:t>可有效杜绝扬尘污染、渣土流失、随意倾倒等环境问题，实现</w:t>
      </w:r>
      <w:r w:rsidR="000D5858" w:rsidRPr="00FC1444">
        <w:rPr>
          <w:rFonts w:eastAsiaTheme="minorEastAsia"/>
          <w:spacing w:val="-4"/>
          <w:sz w:val="24"/>
          <w:szCs w:val="21"/>
        </w:rPr>
        <w:t>施工固废</w:t>
      </w:r>
      <w:r w:rsidR="009C6020" w:rsidRPr="00FC1444">
        <w:rPr>
          <w:rFonts w:eastAsiaTheme="minorEastAsia"/>
          <w:spacing w:val="-4"/>
          <w:sz w:val="24"/>
          <w:szCs w:val="21"/>
        </w:rPr>
        <w:t>减量化、无害化、资源化处置，</w:t>
      </w:r>
      <w:r w:rsidRPr="00FC1444">
        <w:rPr>
          <w:rFonts w:eastAsiaTheme="minorEastAsia"/>
          <w:spacing w:val="-4"/>
          <w:sz w:val="24"/>
          <w:szCs w:val="21"/>
        </w:rPr>
        <w:t>施工期间对周围环境造成的短暂影响可以接受。</w:t>
      </w:r>
    </w:p>
    <w:p w:rsidR="002A5A5E" w:rsidRPr="00FC1444" w:rsidRDefault="00611CBA">
      <w:pPr>
        <w:autoSpaceDE w:val="0"/>
        <w:autoSpaceDN w:val="0"/>
        <w:spacing w:before="100" w:beforeAutospacing="1" w:after="100" w:afterAutospacing="1"/>
        <w:jc w:val="left"/>
        <w:outlineLvl w:val="2"/>
        <w:rPr>
          <w:rFonts w:eastAsiaTheme="minorEastAsia"/>
          <w:b/>
          <w:sz w:val="28"/>
          <w:szCs w:val="28"/>
        </w:rPr>
      </w:pPr>
      <w:bookmarkStart w:id="125" w:name="_Toc486255087"/>
      <w:bookmarkStart w:id="126" w:name="_Toc15991680"/>
      <w:r w:rsidRPr="00FC1444">
        <w:rPr>
          <w:rFonts w:eastAsiaTheme="minorEastAsia"/>
          <w:b/>
          <w:sz w:val="28"/>
          <w:szCs w:val="28"/>
        </w:rPr>
        <w:t>5.1.5</w:t>
      </w:r>
      <w:r w:rsidRPr="00FC1444">
        <w:rPr>
          <w:rFonts w:eastAsiaTheme="minorEastAsia"/>
          <w:b/>
          <w:sz w:val="28"/>
          <w:szCs w:val="28"/>
        </w:rPr>
        <w:t>生态环境影响</w:t>
      </w:r>
      <w:bookmarkEnd w:id="125"/>
      <w:r w:rsidRPr="00FC1444">
        <w:rPr>
          <w:rFonts w:eastAsiaTheme="minorEastAsia"/>
          <w:b/>
          <w:sz w:val="28"/>
          <w:szCs w:val="28"/>
        </w:rPr>
        <w:t>预测与评价</w:t>
      </w:r>
      <w:bookmarkEnd w:id="126"/>
    </w:p>
    <w:p w:rsidR="002A5A5E" w:rsidRPr="00FC1444" w:rsidRDefault="00611CBA">
      <w:pPr>
        <w:pStyle w:val="aff4"/>
        <w:adjustRightInd/>
        <w:snapToGrid/>
        <w:jc w:val="both"/>
        <w:rPr>
          <w:rFonts w:ascii="Times New Roman" w:hAnsi="Times New Roman" w:cs="Times New Roman"/>
          <w:kern w:val="24"/>
        </w:rPr>
      </w:pPr>
      <w:r w:rsidRPr="00FC1444">
        <w:rPr>
          <w:rFonts w:ascii="Times New Roman" w:hAnsi="Times New Roman" w:cs="Times New Roman"/>
          <w:kern w:val="24"/>
        </w:rPr>
        <w:lastRenderedPageBreak/>
        <w:t>本项目建设地点位于</w:t>
      </w:r>
      <w:r w:rsidR="00433F49" w:rsidRPr="00FC1444">
        <w:rPr>
          <w:rFonts w:ascii="Times New Roman" w:hAnsi="Times New Roman" w:cs="Times New Roman"/>
          <w:snapToGrid w:val="0"/>
        </w:rPr>
        <w:t>黑龙江省绥化市北林区绥胜镇富强村、胜利二村；津河镇民胜村、津河村、靠河村；五营乡互相村、东围村、金伏村；三河镇太安村、永德村、合作村</w:t>
      </w:r>
      <w:r w:rsidRPr="00FC1444">
        <w:rPr>
          <w:rFonts w:ascii="Times New Roman" w:hAnsi="Times New Roman" w:cs="Times New Roman"/>
          <w:kern w:val="24"/>
        </w:rPr>
        <w:t>。</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kern w:val="24"/>
        </w:rPr>
        <w:t>工程</w:t>
      </w:r>
      <w:r w:rsidRPr="00FC1444">
        <w:rPr>
          <w:rFonts w:ascii="Times New Roman" w:hAnsi="Times New Roman" w:cs="Times New Roman"/>
          <w:bCs/>
          <w:snapToGrid w:val="0"/>
          <w:kern w:val="0"/>
        </w:rPr>
        <w:t>永久占地类型为</w:t>
      </w:r>
      <w:r w:rsidR="009555CD" w:rsidRPr="00FC1444">
        <w:rPr>
          <w:rFonts w:ascii="Times New Roman" w:hAnsi="Times New Roman" w:cs="Times New Roman"/>
          <w:bCs/>
          <w:snapToGrid w:val="0"/>
          <w:kern w:val="0"/>
        </w:rPr>
        <w:t>草地、交通运输用地、水利设施用地、坑塘水面</w:t>
      </w:r>
      <w:r w:rsidRPr="00FC1444">
        <w:rPr>
          <w:rFonts w:ascii="Times New Roman" w:hAnsi="Times New Roman" w:cs="Times New Roman"/>
          <w:bCs/>
          <w:snapToGrid w:val="0"/>
          <w:kern w:val="0"/>
        </w:rPr>
        <w:t>。</w:t>
      </w:r>
      <w:r w:rsidR="00B42C98" w:rsidRPr="00FC1444">
        <w:rPr>
          <w:rFonts w:ascii="Times New Roman" w:hAnsi="Times New Roman" w:cs="Times New Roman"/>
          <w:bCs/>
          <w:snapToGrid w:val="0"/>
          <w:kern w:val="0"/>
        </w:rPr>
        <w:t>新增永久占地</w:t>
      </w:r>
      <w:r w:rsidR="00C458B4" w:rsidRPr="00FC1444">
        <w:rPr>
          <w:rFonts w:ascii="Times New Roman" w:hAnsi="Times New Roman" w:cs="Times New Roman"/>
          <w:bCs/>
          <w:snapToGrid w:val="0"/>
          <w:kern w:val="0"/>
        </w:rPr>
        <w:t>22240</w:t>
      </w:r>
      <w:r w:rsidRPr="00FC1444">
        <w:rPr>
          <w:rFonts w:ascii="Times New Roman" w:hAnsi="Times New Roman" w:cs="Times New Roman"/>
          <w:bCs/>
          <w:snapToGrid w:val="0"/>
          <w:kern w:val="0"/>
        </w:rPr>
        <w:t>m</w:t>
      </w:r>
      <w:r w:rsidRPr="00FC1444">
        <w:rPr>
          <w:rFonts w:ascii="Times New Roman" w:hAnsi="Times New Roman" w:cs="Times New Roman"/>
          <w:bCs/>
          <w:snapToGrid w:val="0"/>
          <w:kern w:val="0"/>
          <w:vertAlign w:val="superscript"/>
        </w:rPr>
        <w:t>2</w:t>
      </w:r>
      <w:r w:rsidRPr="00FC1444">
        <w:rPr>
          <w:rFonts w:ascii="Times New Roman" w:hAnsi="Times New Roman" w:cs="Times New Roman"/>
        </w:rPr>
        <w:t>，</w:t>
      </w:r>
      <w:r w:rsidRPr="00FC1444">
        <w:rPr>
          <w:rFonts w:ascii="Times New Roman" w:hAnsi="Times New Roman" w:cs="Times New Roman"/>
          <w:bCs/>
          <w:snapToGrid w:val="0"/>
          <w:kern w:val="0"/>
        </w:rPr>
        <w:t>临时占地类型为耕地、草地、水利设施用地、坑塘水面</w:t>
      </w:r>
      <w:r w:rsidRPr="00FC1444">
        <w:rPr>
          <w:rFonts w:ascii="Times New Roman" w:hAnsi="Times New Roman" w:cs="Times New Roman"/>
        </w:rPr>
        <w:t>，占地面积为</w:t>
      </w:r>
      <w:r w:rsidR="008A02BD" w:rsidRPr="00FC1444">
        <w:rPr>
          <w:rFonts w:ascii="Times New Roman" w:hAnsi="Times New Roman" w:cs="Times New Roman"/>
        </w:rPr>
        <w:t>513022</w:t>
      </w:r>
      <w:r w:rsidRPr="00FC1444">
        <w:rPr>
          <w:rFonts w:ascii="Times New Roman" w:hAnsi="Times New Roman" w:cs="Times New Roman"/>
        </w:rPr>
        <w:t>m</w:t>
      </w:r>
      <w:r w:rsidRPr="00FC1444">
        <w:rPr>
          <w:rFonts w:ascii="Times New Roman" w:hAnsi="Times New Roman" w:cs="Times New Roman"/>
          <w:vertAlign w:val="superscript"/>
        </w:rPr>
        <w:t>2</w:t>
      </w:r>
      <w:r w:rsidRPr="00FC1444">
        <w:rPr>
          <w:rFonts w:ascii="Times New Roman" w:hAnsi="Times New Roman" w:cs="Times New Roman"/>
        </w:rPr>
        <w:t>。</w:t>
      </w:r>
      <w:r w:rsidRPr="00FC1444">
        <w:rPr>
          <w:rFonts w:ascii="Times New Roman" w:hAnsi="Times New Roman" w:cs="Times New Roman"/>
          <w:bCs/>
        </w:rPr>
        <w:t>工程占地将导致所在区域土地利用类型发生改变，植物个体损失，植被生物量减少；占地区的开挖、建筑材料的临时堆放等也将破坏土壤层，影响其理化性质。工程占地带来的生物量损失中，但损失量占评价区总生物量相对较小，影响非常微弱。</w:t>
      </w:r>
    </w:p>
    <w:p w:rsidR="002A5A5E" w:rsidRPr="00FC1444" w:rsidRDefault="00611CBA">
      <w:pPr>
        <w:pStyle w:val="aff4"/>
        <w:adjustRightInd/>
        <w:snapToGrid/>
        <w:jc w:val="both"/>
        <w:rPr>
          <w:rFonts w:ascii="Times New Roman" w:hAnsi="Times New Roman" w:cs="Times New Roman"/>
          <w:bCs/>
        </w:rPr>
      </w:pPr>
      <w:r w:rsidRPr="00FC1444">
        <w:rPr>
          <w:rFonts w:ascii="Times New Roman" w:hAnsi="Times New Roman" w:cs="Times New Roman"/>
          <w:bCs/>
        </w:rPr>
        <w:t>项目施工期对生态环境的影响主要体现为占用土地、扰动土层、生物量减少、土地利用类型改变、破坏景观完整性、加剧水土流失。</w:t>
      </w:r>
    </w:p>
    <w:p w:rsidR="002A5A5E" w:rsidRPr="00FC1444" w:rsidRDefault="00611CBA">
      <w:pPr>
        <w:pStyle w:val="aff4"/>
        <w:adjustRightInd/>
        <w:snapToGrid/>
        <w:jc w:val="both"/>
        <w:rPr>
          <w:rFonts w:ascii="Times New Roman" w:hAnsi="Times New Roman" w:cs="Times New Roman"/>
          <w:bCs/>
        </w:rPr>
      </w:pPr>
      <w:r w:rsidRPr="00FC1444">
        <w:rPr>
          <w:rFonts w:ascii="Times New Roman" w:hAnsi="Times New Roman" w:cs="Times New Roman"/>
          <w:bCs/>
        </w:rPr>
        <w:t>（</w:t>
      </w:r>
      <w:r w:rsidRPr="00FC1444">
        <w:rPr>
          <w:rFonts w:ascii="Times New Roman" w:hAnsi="Times New Roman" w:cs="Times New Roman"/>
          <w:bCs/>
        </w:rPr>
        <w:t>1</w:t>
      </w:r>
      <w:r w:rsidRPr="00FC1444">
        <w:rPr>
          <w:rFonts w:ascii="Times New Roman" w:hAnsi="Times New Roman" w:cs="Times New Roman"/>
          <w:bCs/>
        </w:rPr>
        <w:t>）对动植物及生物量影响评价</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bCs/>
        </w:rPr>
        <w:t>本项目在施工期对植被的影响主要是施工期征用永久占地及临时占地及机械碾压、施工人员践踏等破坏施工区域内的植被，开发过程所进行的土壤平整、土地开挖、取土、堆土等，会改变土层结构，原有土壤结构、理化性质将会发生</w:t>
      </w:r>
      <w:r w:rsidRPr="00FC1444">
        <w:rPr>
          <w:rFonts w:ascii="Times New Roman" w:hAnsi="Times New Roman" w:cs="Times New Roman"/>
          <w:snapToGrid w:val="0"/>
        </w:rPr>
        <w:t>明显改变，不利于植被生长。施工扬尘、运输车辆废气等，将使周边特别是沿运输线路两边的植被受到危害。</w:t>
      </w:r>
      <w:r w:rsidRPr="00FC1444">
        <w:rPr>
          <w:rFonts w:ascii="Times New Roman" w:hAnsi="Times New Roman" w:cs="Times New Roman"/>
          <w:bCs/>
          <w:snapToGrid w:val="0"/>
          <w:kern w:val="0"/>
        </w:rPr>
        <w:t>新增永久占地草地、水利设施用地、</w:t>
      </w:r>
      <w:r w:rsidR="00B42C98" w:rsidRPr="00FC1444">
        <w:rPr>
          <w:rFonts w:ascii="Times New Roman" w:hAnsi="Times New Roman" w:cs="Times New Roman"/>
          <w:bCs/>
          <w:snapToGrid w:val="0"/>
          <w:kern w:val="0"/>
        </w:rPr>
        <w:t>坑塘水面共</w:t>
      </w:r>
      <w:r w:rsidR="00C458B4" w:rsidRPr="00FC1444">
        <w:rPr>
          <w:rFonts w:ascii="Times New Roman" w:hAnsi="Times New Roman" w:cs="Times New Roman"/>
          <w:bCs/>
          <w:snapToGrid w:val="0"/>
          <w:kern w:val="0"/>
        </w:rPr>
        <w:t>22240</w:t>
      </w:r>
      <w:r w:rsidRPr="00FC1444">
        <w:rPr>
          <w:rFonts w:ascii="Times New Roman" w:hAnsi="Times New Roman" w:cs="Times New Roman"/>
          <w:bCs/>
          <w:snapToGrid w:val="0"/>
          <w:kern w:val="0"/>
        </w:rPr>
        <w:t>m</w:t>
      </w:r>
      <w:r w:rsidRPr="00FC1444">
        <w:rPr>
          <w:rFonts w:ascii="Times New Roman" w:hAnsi="Times New Roman" w:cs="Times New Roman"/>
          <w:vertAlign w:val="superscript"/>
        </w:rPr>
        <w:t>2</w:t>
      </w:r>
      <w:r w:rsidRPr="00FC1444">
        <w:rPr>
          <w:rFonts w:ascii="Times New Roman" w:hAnsi="Times New Roman" w:cs="Times New Roman"/>
          <w:bCs/>
          <w:snapToGrid w:val="0"/>
          <w:kern w:val="0"/>
        </w:rPr>
        <w:t>，临时占地类型为旱地、草地</w:t>
      </w:r>
      <w:r w:rsidRPr="00FC1444">
        <w:rPr>
          <w:rFonts w:ascii="Times New Roman" w:hAnsi="Times New Roman" w:cs="Times New Roman"/>
        </w:rPr>
        <w:t>，占地面积为</w:t>
      </w:r>
      <w:r w:rsidR="008A02BD" w:rsidRPr="00FC1444">
        <w:rPr>
          <w:rFonts w:ascii="Times New Roman" w:hAnsi="Times New Roman" w:cs="Times New Roman"/>
        </w:rPr>
        <w:t>513022</w:t>
      </w:r>
      <w:r w:rsidRPr="00FC1444">
        <w:rPr>
          <w:rFonts w:ascii="Times New Roman" w:hAnsi="Times New Roman" w:cs="Times New Roman"/>
        </w:rPr>
        <w:t>m</w:t>
      </w:r>
      <w:r w:rsidRPr="00FC1444">
        <w:rPr>
          <w:rFonts w:ascii="Times New Roman" w:hAnsi="Times New Roman" w:cs="Times New Roman"/>
          <w:vertAlign w:val="superscript"/>
        </w:rPr>
        <w:t>2</w:t>
      </w:r>
      <w:r w:rsidRPr="00FC1444">
        <w:rPr>
          <w:rFonts w:ascii="Times New Roman" w:hAnsi="Times New Roman" w:cs="Times New Roman"/>
        </w:rPr>
        <w:t>，</w:t>
      </w:r>
      <w:r w:rsidRPr="00FC1444">
        <w:rPr>
          <w:rFonts w:ascii="Times New Roman" w:hAnsi="Times New Roman" w:cs="Times New Roman"/>
          <w:snapToGrid w:val="0"/>
        </w:rPr>
        <w:t>破坏和影响施工作业区周围环境的植被覆盖率，损失生物量约</w:t>
      </w:r>
      <w:r w:rsidR="00BD35CC" w:rsidRPr="00FC1444">
        <w:rPr>
          <w:rFonts w:ascii="Times New Roman" w:hAnsi="Times New Roman" w:cs="Times New Roman" w:hint="eastAsia"/>
          <w:snapToGrid w:val="0"/>
        </w:rPr>
        <w:t>3</w:t>
      </w:r>
      <w:r w:rsidR="00B42C98" w:rsidRPr="00FC1444">
        <w:rPr>
          <w:rFonts w:ascii="Times New Roman" w:hAnsi="Times New Roman" w:cs="Times New Roman"/>
          <w:snapToGrid w:val="0"/>
        </w:rPr>
        <w:t>8</w:t>
      </w:r>
      <w:r w:rsidR="00736A2B" w:rsidRPr="00FC1444">
        <w:rPr>
          <w:rFonts w:ascii="Times New Roman" w:hAnsi="Times New Roman" w:cs="Times New Roman"/>
          <w:snapToGrid w:val="0"/>
        </w:rPr>
        <w:t>0</w:t>
      </w:r>
      <w:r w:rsidRPr="00FC1444">
        <w:rPr>
          <w:rFonts w:ascii="Times New Roman" w:hAnsi="Times New Roman" w:cs="Times New Roman"/>
          <w:snapToGrid w:val="0"/>
        </w:rPr>
        <w:t>t</w:t>
      </w:r>
      <w:r w:rsidRPr="00FC1444">
        <w:rPr>
          <w:rFonts w:ascii="Times New Roman" w:hAnsi="Times New Roman" w:cs="Times New Roman"/>
          <w:snapToGrid w:val="0"/>
        </w:rPr>
        <w:t>，</w:t>
      </w:r>
      <w:r w:rsidR="00410E03" w:rsidRPr="00FC1444">
        <w:rPr>
          <w:rFonts w:ascii="Times New Roman" w:hAnsi="Times New Roman" w:cs="Times New Roman"/>
          <w:snapToGrid w:val="0"/>
        </w:rPr>
        <w:t>施工期结束后逐渐恢复。</w:t>
      </w:r>
      <w:r w:rsidRPr="00FC1444">
        <w:rPr>
          <w:rFonts w:ascii="Times New Roman" w:hAnsi="Times New Roman" w:cs="Times New Roman"/>
          <w:snapToGrid w:val="0"/>
        </w:rPr>
        <w:t>项目所在区域以农田为主的生态系统，其主要生态服务功能为提供农产品。由于长期的农业活动，评价区域无大型野生动物出没，评价区是东北地区典型的连绵种植农田，周边无重要物种、重要生境分布。田间小型的啮齿类野生动物受噪声影响，会产生驱避作用，但周边存在大量的替代生境，不会对种群的数量和类型产生影响。占地范围内无国家公益林、无国家重点保护的野生植物等。因此工程临时占地对评价区天然植被影响较小。</w:t>
      </w:r>
    </w:p>
    <w:p w:rsidR="002A5A5E" w:rsidRPr="00FC1444" w:rsidRDefault="00611CBA">
      <w:pPr>
        <w:pStyle w:val="aff4"/>
        <w:adjustRightInd/>
        <w:snapToGrid/>
        <w:contextualSpacing/>
        <w:rPr>
          <w:rFonts w:ascii="Times New Roman" w:hAnsi="Times New Roman" w:cs="Times New Roman"/>
          <w:snapToGrid w:val="0"/>
        </w:rPr>
      </w:pPr>
      <w:r w:rsidRPr="00FC1444">
        <w:rPr>
          <w:rFonts w:ascii="Times New Roman" w:hAnsi="Times New Roman" w:cs="Times New Roman"/>
          <w:smallCaps/>
        </w:rPr>
        <w:t>评价范围内大型兽类较少，多数为分布于灌丛及农田中栖息活动的中小型哺乳类动物。项目区无国家重点保护野生动物分布，所以工程施工对国家保护的野生动物不会产生影响。工程施工影响范围内的如鼠类、草兔、蝙蝠和黄鼬等平原地带常见的小型哺乳动物，由于施工区占地，导致其生境损失，野生动物对人为</w:t>
      </w:r>
      <w:r w:rsidRPr="00FC1444">
        <w:rPr>
          <w:rFonts w:ascii="Times New Roman" w:hAnsi="Times New Roman" w:cs="Times New Roman"/>
          <w:smallCaps/>
        </w:rPr>
        <w:lastRenderedPageBreak/>
        <w:t>干扰具有回避性，向干扰小的地方迁移，将造成施工区域内数量短期内降低。</w:t>
      </w:r>
      <w:r w:rsidRPr="00FC1444">
        <w:rPr>
          <w:rFonts w:ascii="Times New Roman" w:hAnsi="Times New Roman" w:cs="Times New Roman"/>
        </w:rPr>
        <w:t>但这种影响随着工程结束将会逐渐减少或消除。</w:t>
      </w:r>
    </w:p>
    <w:p w:rsidR="002A5A5E" w:rsidRPr="00FC1444" w:rsidRDefault="00611CBA">
      <w:pPr>
        <w:spacing w:line="360" w:lineRule="auto"/>
        <w:ind w:firstLineChars="200" w:firstLine="480"/>
        <w:rPr>
          <w:rFonts w:eastAsiaTheme="minorEastAsia"/>
          <w:sz w:val="24"/>
          <w:szCs w:val="21"/>
        </w:rPr>
      </w:pPr>
      <w:r w:rsidRPr="00FC1444">
        <w:rPr>
          <w:rFonts w:eastAsiaTheme="minorEastAsia"/>
          <w:sz w:val="24"/>
          <w:szCs w:val="21"/>
        </w:rPr>
        <w:t>合理安排施工时序，选择</w:t>
      </w:r>
      <w:r w:rsidRPr="00FC1444">
        <w:rPr>
          <w:rFonts w:eastAsiaTheme="minorEastAsia"/>
          <w:sz w:val="24"/>
          <w:szCs w:val="21"/>
        </w:rPr>
        <w:t>3</w:t>
      </w:r>
      <w:r w:rsidRPr="00FC1444">
        <w:rPr>
          <w:rFonts w:eastAsiaTheme="minorEastAsia"/>
          <w:sz w:val="24"/>
          <w:szCs w:val="21"/>
        </w:rPr>
        <w:t>月至</w:t>
      </w:r>
      <w:r w:rsidRPr="00FC1444">
        <w:rPr>
          <w:rFonts w:eastAsiaTheme="minorEastAsia"/>
          <w:sz w:val="24"/>
          <w:szCs w:val="21"/>
        </w:rPr>
        <w:t>4</w:t>
      </w:r>
      <w:r w:rsidRPr="00FC1444">
        <w:rPr>
          <w:rFonts w:eastAsiaTheme="minorEastAsia"/>
          <w:sz w:val="24"/>
          <w:szCs w:val="21"/>
        </w:rPr>
        <w:t>月进行排水沟清淤及涵洞等建筑物、护砌工程施工，沟渠干涸，不涉水。施工废水洒水降尘，不会对沟渠水质、水生动植物产生影响。</w:t>
      </w:r>
      <w:r w:rsidRPr="00FC1444">
        <w:rPr>
          <w:rFonts w:eastAsiaTheme="minorEastAsia"/>
          <w:bCs/>
          <w:sz w:val="24"/>
        </w:rPr>
        <w:t>沟道清淤后，底质环境及水质的改善，将有利于沟道水生生态环境的重建，将加快底栖动物的恢复，提高底栖动物的多样性。</w:t>
      </w:r>
    </w:p>
    <w:p w:rsidR="002A5A5E" w:rsidRPr="00FC1444" w:rsidRDefault="00E17AA8">
      <w:pPr>
        <w:pStyle w:val="aff4"/>
        <w:adjustRightInd/>
        <w:snapToGrid/>
        <w:contextualSpacing/>
        <w:rPr>
          <w:rFonts w:ascii="Times New Roman" w:hAnsi="Times New Roman" w:cs="Times New Roman"/>
          <w:snapToGrid w:val="0"/>
        </w:rPr>
      </w:pPr>
      <w:r w:rsidRPr="00FC1444">
        <w:rPr>
          <w:rFonts w:ascii="Times New Roman" w:hAnsi="Times New Roman" w:cs="Times New Roman"/>
          <w:snapToGrid w:val="0"/>
          <w:kern w:val="0"/>
        </w:rPr>
        <w:t>输配电工程表土及土方临时堆存在施工沿线，分区存放，设置临时拦挡并采用密目网苫盖，施工结束后分层回填，</w:t>
      </w:r>
      <w:r w:rsidR="00617138" w:rsidRPr="00FC1444">
        <w:rPr>
          <w:rFonts w:ascii="Times New Roman" w:hAnsi="Times New Roman" w:cs="Times New Roman"/>
          <w:snapToGrid w:val="0"/>
          <w:kern w:val="0"/>
        </w:rPr>
        <w:t>施工场地恢复现状草地，</w:t>
      </w:r>
      <w:r w:rsidR="00C77AF5" w:rsidRPr="00FC1444">
        <w:rPr>
          <w:rFonts w:ascii="Times New Roman" w:hAnsi="Times New Roman" w:cs="Times New Roman"/>
          <w:snapToGrid w:val="0"/>
          <w:kern w:val="0"/>
        </w:rPr>
        <w:t>播撒草籽面积</w:t>
      </w:r>
      <w:r w:rsidR="00C77AF5" w:rsidRPr="00FC1444">
        <w:rPr>
          <w:rFonts w:ascii="Times New Roman" w:hAnsi="Times New Roman" w:cs="Times New Roman"/>
          <w:snapToGrid w:val="0"/>
          <w:kern w:val="0"/>
        </w:rPr>
        <w:t>456842</w:t>
      </w:r>
      <w:r w:rsidRPr="00FC1444">
        <w:rPr>
          <w:rFonts w:ascii="Times New Roman" w:hAnsi="Times New Roman" w:cs="Times New Roman"/>
          <w:snapToGrid w:val="0"/>
          <w:kern w:val="0"/>
        </w:rPr>
        <w:t>m</w:t>
      </w:r>
      <w:r w:rsidRPr="00FC1444">
        <w:rPr>
          <w:rFonts w:ascii="Times New Roman" w:hAnsi="Times New Roman" w:cs="Times New Roman"/>
          <w:snapToGrid w:val="0"/>
          <w:kern w:val="0"/>
          <w:vertAlign w:val="superscript"/>
        </w:rPr>
        <w:t>2</w:t>
      </w:r>
      <w:r w:rsidRPr="00FC1444">
        <w:rPr>
          <w:rFonts w:ascii="Times New Roman" w:hAnsi="Times New Roman" w:cs="Times New Roman"/>
          <w:snapToGrid w:val="0"/>
          <w:kern w:val="0"/>
        </w:rPr>
        <w:t>，草籽选用紫花苜蓿等，种草密度</w:t>
      </w:r>
      <w:r w:rsidRPr="00FC1444">
        <w:rPr>
          <w:rFonts w:ascii="Times New Roman" w:hAnsi="Times New Roman" w:cs="Times New Roman"/>
          <w:snapToGrid w:val="0"/>
          <w:kern w:val="0"/>
        </w:rPr>
        <w:t>80kg/</w:t>
      </w:r>
      <w:r w:rsidRPr="00FC1444">
        <w:rPr>
          <w:rFonts w:ascii="Times New Roman" w:hAnsi="Times New Roman" w:cs="Times New Roman"/>
          <w:snapToGrid w:val="0"/>
          <w:kern w:val="0"/>
        </w:rPr>
        <w:t>公顷，</w:t>
      </w:r>
      <w:r w:rsidR="00C77AF5" w:rsidRPr="00FC1444">
        <w:rPr>
          <w:rFonts w:ascii="Times New Roman" w:hAnsi="Times New Roman" w:cs="Times New Roman"/>
          <w:snapToGrid w:val="0"/>
          <w:kern w:val="0"/>
        </w:rPr>
        <w:t>恢复旱地</w:t>
      </w:r>
      <w:r w:rsidR="00C77AF5" w:rsidRPr="00FC1444">
        <w:rPr>
          <w:rFonts w:ascii="Times New Roman" w:hAnsi="Times New Roman" w:cs="Times New Roman"/>
          <w:snapToGrid w:val="0"/>
          <w:kern w:val="0"/>
        </w:rPr>
        <w:t>22560m</w:t>
      </w:r>
      <w:r w:rsidRPr="00FC1444">
        <w:rPr>
          <w:rFonts w:ascii="Times New Roman" w:hAnsi="Times New Roman" w:cs="Times New Roman"/>
          <w:snapToGrid w:val="0"/>
          <w:kern w:val="0"/>
          <w:vertAlign w:val="superscript"/>
        </w:rPr>
        <w:t>2</w:t>
      </w:r>
      <w:r w:rsidRPr="00FC1444">
        <w:rPr>
          <w:rFonts w:ascii="Times New Roman" w:hAnsi="Times New Roman" w:cs="Times New Roman"/>
          <w:snapToGrid w:val="0"/>
          <w:kern w:val="0"/>
        </w:rPr>
        <w:t>；灌溉井工程剥离表土、开挖土方暂存于施工场地内，分区存放，设置临时拦挡并采用密目网苫盖，施工结束后施工场地、临时道路恢复为旱地，</w:t>
      </w:r>
      <w:r w:rsidR="00C77AF5" w:rsidRPr="00FC1444">
        <w:rPr>
          <w:rFonts w:ascii="Times New Roman" w:hAnsi="Times New Roman" w:cs="Times New Roman"/>
          <w:snapToGrid w:val="0"/>
          <w:kern w:val="0"/>
        </w:rPr>
        <w:t>恢复面积</w:t>
      </w:r>
      <w:r w:rsidR="00C77AF5" w:rsidRPr="00FC1444">
        <w:rPr>
          <w:rFonts w:ascii="Times New Roman" w:hAnsi="Times New Roman" w:cs="Times New Roman"/>
          <w:snapToGrid w:val="0"/>
          <w:kern w:val="0"/>
        </w:rPr>
        <w:t>4620</w:t>
      </w:r>
      <w:r w:rsidRPr="00FC1444">
        <w:rPr>
          <w:rFonts w:ascii="Times New Roman" w:hAnsi="Times New Roman" w:cs="Times New Roman"/>
          <w:snapToGrid w:val="0"/>
          <w:kern w:val="0"/>
        </w:rPr>
        <w:t>m</w:t>
      </w:r>
      <w:r w:rsidRPr="00FC1444">
        <w:rPr>
          <w:rFonts w:ascii="Times New Roman" w:hAnsi="Times New Roman" w:cs="Times New Roman"/>
          <w:snapToGrid w:val="0"/>
          <w:kern w:val="0"/>
          <w:vertAlign w:val="superscript"/>
        </w:rPr>
        <w:t>2</w:t>
      </w:r>
      <w:r w:rsidRPr="00FC1444">
        <w:rPr>
          <w:rFonts w:ascii="Times New Roman" w:hAnsi="Times New Roman" w:cs="Times New Roman"/>
          <w:snapToGrid w:val="0"/>
          <w:kern w:val="0"/>
        </w:rPr>
        <w:t>；涵洞等建筑物工程剥离表土、开挖土方暂存于施工场地内，分区存放，设置临时拦挡并采用密目网苫盖，施工结束后施工场地恢复为草地，播撒草籽面积</w:t>
      </w:r>
      <w:r w:rsidRPr="00FC1444">
        <w:rPr>
          <w:rFonts w:ascii="Times New Roman" w:hAnsi="Times New Roman" w:cs="Times New Roman"/>
          <w:snapToGrid w:val="0"/>
          <w:kern w:val="0"/>
        </w:rPr>
        <w:t>18500m</w:t>
      </w:r>
      <w:r w:rsidRPr="00FC1444">
        <w:rPr>
          <w:rFonts w:ascii="Times New Roman" w:hAnsi="Times New Roman" w:cs="Times New Roman"/>
          <w:snapToGrid w:val="0"/>
          <w:kern w:val="0"/>
          <w:vertAlign w:val="superscript"/>
        </w:rPr>
        <w:t>2</w:t>
      </w:r>
      <w:r w:rsidRPr="00FC1444">
        <w:rPr>
          <w:rFonts w:ascii="Times New Roman" w:hAnsi="Times New Roman" w:cs="Times New Roman"/>
          <w:snapToGrid w:val="0"/>
          <w:kern w:val="0"/>
        </w:rPr>
        <w:t>，草籽选用紫花苜蓿等，种草密度</w:t>
      </w:r>
      <w:r w:rsidRPr="00FC1444">
        <w:rPr>
          <w:rFonts w:ascii="Times New Roman" w:hAnsi="Times New Roman" w:cs="Times New Roman"/>
          <w:snapToGrid w:val="0"/>
          <w:kern w:val="0"/>
        </w:rPr>
        <w:t>80kg/</w:t>
      </w:r>
      <w:r w:rsidRPr="00FC1444">
        <w:rPr>
          <w:rFonts w:ascii="Times New Roman" w:hAnsi="Times New Roman" w:cs="Times New Roman"/>
          <w:snapToGrid w:val="0"/>
          <w:kern w:val="0"/>
        </w:rPr>
        <w:t>公顷，恢复旱地</w:t>
      </w:r>
      <w:r w:rsidRPr="00FC1444">
        <w:rPr>
          <w:rFonts w:ascii="Times New Roman" w:hAnsi="Times New Roman" w:cs="Times New Roman"/>
          <w:snapToGrid w:val="0"/>
          <w:kern w:val="0"/>
        </w:rPr>
        <w:t>10500m</w:t>
      </w:r>
      <w:r w:rsidRPr="00FC1444">
        <w:rPr>
          <w:rFonts w:ascii="Times New Roman" w:hAnsi="Times New Roman" w:cs="Times New Roman"/>
          <w:snapToGrid w:val="0"/>
          <w:kern w:val="0"/>
          <w:vertAlign w:val="superscript"/>
        </w:rPr>
        <w:t>2</w:t>
      </w:r>
      <w:r w:rsidRPr="00FC1444">
        <w:rPr>
          <w:rFonts w:ascii="Times New Roman" w:hAnsi="Times New Roman" w:cs="Times New Roman"/>
          <w:snapToGrid w:val="0"/>
          <w:kern w:val="0"/>
        </w:rPr>
        <w:t>。使临时占地土地利用类型、植被覆盖度、生物量等恢复为原有水平。减少由于工程施工对其景观、生态、水土保持等方面的不利影响</w:t>
      </w:r>
      <w:r w:rsidR="00611CBA" w:rsidRPr="00FC1444">
        <w:rPr>
          <w:rFonts w:ascii="Times New Roman" w:hAnsi="Times New Roman" w:cs="Times New Roman"/>
          <w:snapToGrid w:val="0"/>
          <w:kern w:val="0"/>
        </w:rPr>
        <w:t>。</w:t>
      </w:r>
      <w:r w:rsidR="00611CBA" w:rsidRPr="00FC1444">
        <w:rPr>
          <w:rFonts w:ascii="Times New Roman" w:hAnsi="Times New Roman" w:cs="Times New Roman"/>
        </w:rPr>
        <w:t>建设单位为生态恢复工程实施责任主体</w:t>
      </w:r>
      <w:r w:rsidR="00611CBA" w:rsidRPr="00FC1444">
        <w:rPr>
          <w:rFonts w:ascii="Times New Roman" w:hAnsi="Times New Roman" w:cs="Times New Roman"/>
          <w:snapToGrid w:val="0"/>
        </w:rPr>
        <w:t>。</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kern w:val="24"/>
        </w:rPr>
        <w:t>（</w:t>
      </w:r>
      <w:r w:rsidRPr="00FC1444">
        <w:rPr>
          <w:rFonts w:ascii="Times New Roman" w:hAnsi="Times New Roman" w:cs="Times New Roman"/>
          <w:kern w:val="24"/>
        </w:rPr>
        <w:t>2</w:t>
      </w:r>
      <w:r w:rsidRPr="00FC1444">
        <w:rPr>
          <w:rFonts w:ascii="Times New Roman" w:hAnsi="Times New Roman" w:cs="Times New Roman"/>
          <w:kern w:val="24"/>
        </w:rPr>
        <w:t>）水土流失影响分析</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项目开发建设过程、</w:t>
      </w:r>
      <w:r w:rsidRPr="00FC1444">
        <w:rPr>
          <w:rFonts w:eastAsiaTheme="minorEastAsia"/>
          <w:bCs/>
          <w:sz w:val="24"/>
        </w:rPr>
        <w:t>占地开挖、建设等会扰动地表，破坏地表植被，使其失去固土防冲的能力，易诱发水土流失。排土场、工业场地平整等工程行为，使土壤裸露、地表扰动、局部地貌改变、原稳定体失衡，易产生水蚀，会对区域环境产生不利影响</w:t>
      </w:r>
      <w:r w:rsidRPr="00FC1444">
        <w:rPr>
          <w:rFonts w:eastAsiaTheme="minorEastAsia"/>
          <w:sz w:val="24"/>
        </w:rPr>
        <w:t>。</w:t>
      </w:r>
    </w:p>
    <w:p w:rsidR="002A5A5E" w:rsidRPr="00FC1444" w:rsidRDefault="009840DD">
      <w:pPr>
        <w:autoSpaceDE w:val="0"/>
        <w:autoSpaceDN w:val="0"/>
        <w:spacing w:line="360" w:lineRule="auto"/>
        <w:ind w:firstLineChars="200" w:firstLine="480"/>
        <w:contextualSpacing/>
        <w:rPr>
          <w:rFonts w:eastAsiaTheme="minorEastAsia"/>
          <w:szCs w:val="21"/>
        </w:rPr>
      </w:pPr>
      <w:r w:rsidRPr="00FC1444">
        <w:rPr>
          <w:rFonts w:eastAsiaTheme="minorEastAsia"/>
          <w:sz w:val="24"/>
        </w:rPr>
        <w:fldChar w:fldCharType="begin"/>
      </w:r>
      <w:r w:rsidR="00611CBA" w:rsidRPr="00FC1444">
        <w:rPr>
          <w:rFonts w:eastAsiaTheme="minorEastAsia"/>
          <w:sz w:val="24"/>
        </w:rPr>
        <w:instrText xml:space="preserve"> = 1 \* GB3 </w:instrText>
      </w:r>
      <w:r w:rsidRPr="00FC1444">
        <w:rPr>
          <w:rFonts w:eastAsiaTheme="minorEastAsia"/>
          <w:sz w:val="24"/>
        </w:rPr>
        <w:fldChar w:fldCharType="separate"/>
      </w:r>
      <w:r w:rsidR="00611CBA" w:rsidRPr="00FC1444">
        <w:rPr>
          <w:rFonts w:ascii="宋体" w:hAnsi="宋体" w:cs="宋体" w:hint="eastAsia"/>
          <w:sz w:val="24"/>
        </w:rPr>
        <w:t>①</w:t>
      </w:r>
      <w:r w:rsidRPr="00FC1444">
        <w:rPr>
          <w:rFonts w:eastAsiaTheme="minorEastAsia"/>
          <w:sz w:val="24"/>
        </w:rPr>
        <w:fldChar w:fldCharType="end"/>
      </w:r>
      <w:r w:rsidR="00611CBA" w:rsidRPr="00FC1444">
        <w:rPr>
          <w:rFonts w:eastAsiaTheme="minorEastAsia"/>
          <w:bCs/>
          <w:sz w:val="24"/>
        </w:rPr>
        <w:t>水土流失防治责任范围</w:t>
      </w:r>
    </w:p>
    <w:p w:rsidR="002A5A5E" w:rsidRPr="00FC1444" w:rsidRDefault="00611CBA">
      <w:pPr>
        <w:autoSpaceDE w:val="0"/>
        <w:autoSpaceDN w:val="0"/>
        <w:spacing w:line="360" w:lineRule="auto"/>
        <w:ind w:firstLineChars="200" w:firstLine="480"/>
        <w:contextualSpacing/>
        <w:rPr>
          <w:rFonts w:eastAsiaTheme="minorEastAsia"/>
          <w:bCs/>
          <w:sz w:val="24"/>
        </w:rPr>
      </w:pPr>
      <w:r w:rsidRPr="00FC1444">
        <w:rPr>
          <w:rFonts w:eastAsiaTheme="minorEastAsia"/>
          <w:bCs/>
          <w:sz w:val="24"/>
        </w:rPr>
        <w:t>根据《生产建设项目水土保持技术标准》（</w:t>
      </w:r>
      <w:r w:rsidRPr="00FC1444">
        <w:rPr>
          <w:rFonts w:eastAsiaTheme="minorEastAsia"/>
          <w:bCs/>
          <w:sz w:val="24"/>
        </w:rPr>
        <w:t>GB50433-2018</w:t>
      </w:r>
      <w:r w:rsidRPr="00FC1444">
        <w:rPr>
          <w:rFonts w:eastAsiaTheme="minorEastAsia"/>
          <w:bCs/>
          <w:sz w:val="24"/>
        </w:rPr>
        <w:t>），生产建设项目水土流失防治责任范围应包括项目永久征地、临时占地（含租赁土地）以及其他使用与管辖区域。</w:t>
      </w:r>
    </w:p>
    <w:p w:rsidR="002A5A5E" w:rsidRPr="00FC1444" w:rsidRDefault="00611CBA">
      <w:pPr>
        <w:pStyle w:val="afb"/>
        <w:rPr>
          <w:rFonts w:eastAsiaTheme="minorEastAsia"/>
          <w:color w:val="auto"/>
        </w:rPr>
      </w:pPr>
      <w:r w:rsidRPr="00FC1444">
        <w:rPr>
          <w:rFonts w:eastAsiaTheme="minorEastAsia"/>
          <w:color w:val="auto"/>
        </w:rPr>
        <w:t>通过查阅项目征地资料、现场勘查以及了解主体工程征占地、工程布置和施工时序后，确定本项目的防治责任范围。本项目水土流失防治责任范围为</w:t>
      </w:r>
      <w:r w:rsidR="00914626" w:rsidRPr="00FC1444">
        <w:rPr>
          <w:rFonts w:eastAsiaTheme="minorEastAsia" w:hint="eastAsia"/>
          <w:color w:val="auto"/>
        </w:rPr>
        <w:t>535262</w:t>
      </w:r>
      <w:r w:rsidRPr="00FC1444">
        <w:rPr>
          <w:rFonts w:eastAsiaTheme="minorEastAsia"/>
          <w:color w:val="auto"/>
        </w:rPr>
        <w:t>m</w:t>
      </w:r>
      <w:r w:rsidRPr="00FC1444">
        <w:rPr>
          <w:rFonts w:eastAsiaTheme="minorEastAsia"/>
          <w:color w:val="auto"/>
          <w:vertAlign w:val="superscript"/>
        </w:rPr>
        <w:t>2</w:t>
      </w:r>
      <w:r w:rsidRPr="00FC1444">
        <w:rPr>
          <w:rFonts w:eastAsiaTheme="minorEastAsia"/>
          <w:color w:val="auto"/>
        </w:rPr>
        <w:t>，隶属于</w:t>
      </w:r>
      <w:r w:rsidR="000E00D5" w:rsidRPr="00FC1444">
        <w:rPr>
          <w:rFonts w:eastAsiaTheme="minorEastAsia"/>
          <w:color w:val="auto"/>
        </w:rPr>
        <w:t>北林</w:t>
      </w:r>
      <w:r w:rsidRPr="00FC1444">
        <w:rPr>
          <w:rFonts w:eastAsiaTheme="minorEastAsia"/>
          <w:color w:val="auto"/>
        </w:rPr>
        <w:t>区。</w:t>
      </w:r>
    </w:p>
    <w:p w:rsidR="002A5A5E" w:rsidRPr="00FC1444" w:rsidRDefault="00611CBA">
      <w:pPr>
        <w:pStyle w:val="afb"/>
        <w:rPr>
          <w:rFonts w:eastAsiaTheme="minorEastAsia"/>
          <w:color w:val="auto"/>
        </w:rPr>
      </w:pPr>
      <w:r w:rsidRPr="00FC1444">
        <w:rPr>
          <w:rFonts w:eastAsiaTheme="minorEastAsia"/>
          <w:color w:val="auto"/>
        </w:rPr>
        <w:lastRenderedPageBreak/>
        <w:t>本工程水土流失防治分区为主体工程区、施工道路区以及临时堆土区。占地类型分为</w:t>
      </w:r>
      <w:r w:rsidR="009555CD" w:rsidRPr="00FC1444">
        <w:rPr>
          <w:rFonts w:eastAsiaTheme="minorEastAsia"/>
          <w:bCs/>
          <w:snapToGrid w:val="0"/>
          <w:color w:val="auto"/>
          <w:kern w:val="0"/>
        </w:rPr>
        <w:t>草地、交通运输用地、水利设施用地、坑塘水面</w:t>
      </w:r>
      <w:r w:rsidRPr="00FC1444">
        <w:rPr>
          <w:rFonts w:eastAsiaTheme="minorEastAsia"/>
          <w:color w:val="auto"/>
        </w:rPr>
        <w:t>，占地性质分为永久占地及临时占地。</w:t>
      </w:r>
    </w:p>
    <w:p w:rsidR="002A5A5E" w:rsidRPr="00FC1444" w:rsidRDefault="00611CBA">
      <w:pPr>
        <w:pStyle w:val="afb"/>
        <w:rPr>
          <w:rFonts w:eastAsiaTheme="minorEastAsia"/>
          <w:color w:val="auto"/>
        </w:rPr>
      </w:pPr>
      <w:r w:rsidRPr="00FC1444">
        <w:rPr>
          <w:rFonts w:eastAsiaTheme="minorEastAsia"/>
          <w:color w:val="auto"/>
        </w:rPr>
        <w:t>1</w:t>
      </w:r>
      <w:r w:rsidRPr="00FC1444">
        <w:rPr>
          <w:rFonts w:eastAsiaTheme="minorEastAsia"/>
          <w:color w:val="auto"/>
        </w:rPr>
        <w:t>）主体工程区</w:t>
      </w:r>
    </w:p>
    <w:p w:rsidR="002A5A5E" w:rsidRPr="00FC1444" w:rsidRDefault="00611CBA">
      <w:pPr>
        <w:pStyle w:val="afb"/>
        <w:rPr>
          <w:rFonts w:eastAsiaTheme="minorEastAsia"/>
          <w:color w:val="auto"/>
        </w:rPr>
      </w:pPr>
      <w:r w:rsidRPr="00FC1444">
        <w:rPr>
          <w:rFonts w:eastAsiaTheme="minorEastAsia"/>
          <w:color w:val="auto"/>
        </w:rPr>
        <w:t>主体工程区包括</w:t>
      </w:r>
      <w:r w:rsidR="00997DD5" w:rsidRPr="00FC1444">
        <w:rPr>
          <w:rFonts w:eastAsiaTheme="minorEastAsia"/>
          <w:color w:val="auto"/>
        </w:rPr>
        <w:t>机电井</w:t>
      </w:r>
      <w:r w:rsidRPr="00FC1444">
        <w:rPr>
          <w:rFonts w:eastAsiaTheme="minorEastAsia"/>
          <w:color w:val="auto"/>
        </w:rPr>
        <w:t>、建筑物</w:t>
      </w:r>
      <w:r w:rsidR="00997DD5" w:rsidRPr="00FC1444">
        <w:rPr>
          <w:rFonts w:eastAsiaTheme="minorEastAsia"/>
          <w:color w:val="auto"/>
        </w:rPr>
        <w:t>等</w:t>
      </w:r>
      <w:r w:rsidRPr="00FC1444">
        <w:rPr>
          <w:rFonts w:eastAsiaTheme="minorEastAsia"/>
          <w:color w:val="auto"/>
        </w:rPr>
        <w:t>工程区，新增占地面积为</w:t>
      </w:r>
      <w:r w:rsidR="00C458B4" w:rsidRPr="00FC1444">
        <w:rPr>
          <w:rFonts w:eastAsiaTheme="minorEastAsia"/>
          <w:color w:val="auto"/>
        </w:rPr>
        <w:t>22240</w:t>
      </w:r>
      <w:r w:rsidRPr="00FC1444">
        <w:rPr>
          <w:rFonts w:eastAsiaTheme="minorEastAsia"/>
          <w:color w:val="auto"/>
        </w:rPr>
        <w:t>m</w:t>
      </w:r>
      <w:r w:rsidRPr="00FC1444">
        <w:rPr>
          <w:rFonts w:eastAsiaTheme="minorEastAsia"/>
          <w:bCs/>
          <w:color w:val="auto"/>
          <w:vertAlign w:val="superscript"/>
        </w:rPr>
        <w:t>2</w:t>
      </w:r>
      <w:r w:rsidRPr="00FC1444">
        <w:rPr>
          <w:rFonts w:eastAsiaTheme="minorEastAsia"/>
          <w:color w:val="auto"/>
        </w:rPr>
        <w:t>。主体工程占地为本次工程扰动范围，计入本工程的水土流失防治责任范围内。</w:t>
      </w:r>
    </w:p>
    <w:p w:rsidR="002A5A5E" w:rsidRPr="00FC1444" w:rsidRDefault="00611CBA">
      <w:pPr>
        <w:pStyle w:val="afb"/>
        <w:rPr>
          <w:rFonts w:eastAsiaTheme="minorEastAsia"/>
          <w:color w:val="auto"/>
        </w:rPr>
      </w:pPr>
      <w:r w:rsidRPr="00FC1444">
        <w:rPr>
          <w:rFonts w:eastAsiaTheme="minorEastAsia"/>
          <w:color w:val="auto"/>
        </w:rPr>
        <w:t>2</w:t>
      </w:r>
      <w:r w:rsidRPr="00FC1444">
        <w:rPr>
          <w:rFonts w:eastAsiaTheme="minorEastAsia"/>
          <w:color w:val="auto"/>
        </w:rPr>
        <w:t>）施工道路区</w:t>
      </w:r>
    </w:p>
    <w:p w:rsidR="002A5A5E" w:rsidRPr="00FC1444" w:rsidRDefault="00611CBA">
      <w:pPr>
        <w:pStyle w:val="afb"/>
        <w:rPr>
          <w:rFonts w:eastAsiaTheme="minorEastAsia"/>
          <w:color w:val="auto"/>
        </w:rPr>
      </w:pPr>
      <w:r w:rsidRPr="00FC1444">
        <w:rPr>
          <w:rFonts w:eastAsiaTheme="minorEastAsia"/>
          <w:color w:val="auto"/>
        </w:rPr>
        <w:t>为满足施工需要，主体工程新建临时道路，占地面积</w:t>
      </w:r>
      <w:r w:rsidR="006430E4" w:rsidRPr="00FC1444">
        <w:rPr>
          <w:rFonts w:eastAsiaTheme="minorEastAsia" w:hint="eastAsia"/>
          <w:color w:val="auto"/>
        </w:rPr>
        <w:t>1500</w:t>
      </w:r>
      <w:r w:rsidRPr="00FC1444">
        <w:rPr>
          <w:rFonts w:eastAsiaTheme="minorEastAsia"/>
          <w:color w:val="auto"/>
        </w:rPr>
        <w:t>m</w:t>
      </w:r>
      <w:r w:rsidRPr="00FC1444">
        <w:rPr>
          <w:rFonts w:eastAsiaTheme="minorEastAsia"/>
          <w:color w:val="auto"/>
          <w:vertAlign w:val="superscript"/>
        </w:rPr>
        <w:t>2</w:t>
      </w:r>
      <w:r w:rsidRPr="00FC1444">
        <w:rPr>
          <w:rFonts w:eastAsiaTheme="minorEastAsia"/>
          <w:color w:val="auto"/>
        </w:rPr>
        <w:t>，占地性质为临时占地。</w:t>
      </w:r>
    </w:p>
    <w:p w:rsidR="002A5A5E" w:rsidRPr="00FC1444" w:rsidRDefault="00611CBA">
      <w:pPr>
        <w:pStyle w:val="afb"/>
        <w:rPr>
          <w:rFonts w:eastAsiaTheme="minorEastAsia"/>
          <w:color w:val="auto"/>
        </w:rPr>
      </w:pPr>
      <w:r w:rsidRPr="00FC1444">
        <w:rPr>
          <w:rFonts w:eastAsiaTheme="minorEastAsia"/>
          <w:color w:val="auto"/>
        </w:rPr>
        <w:t>3</w:t>
      </w:r>
      <w:r w:rsidRPr="00FC1444">
        <w:rPr>
          <w:rFonts w:eastAsiaTheme="minorEastAsia"/>
          <w:color w:val="auto"/>
        </w:rPr>
        <w:t>）临时堆土区</w:t>
      </w:r>
    </w:p>
    <w:p w:rsidR="002A5A5E" w:rsidRPr="00FC1444" w:rsidRDefault="00611CBA">
      <w:pPr>
        <w:pStyle w:val="afb"/>
        <w:rPr>
          <w:rFonts w:eastAsiaTheme="minorEastAsia"/>
          <w:color w:val="auto"/>
        </w:rPr>
      </w:pPr>
      <w:r w:rsidRPr="00FC1444">
        <w:rPr>
          <w:rFonts w:eastAsiaTheme="minorEastAsia"/>
          <w:color w:val="auto"/>
        </w:rPr>
        <w:t>为满足施工要求，设置临时堆土区（堆料场），总占地面积</w:t>
      </w:r>
      <w:r w:rsidR="00914626" w:rsidRPr="00FC1444">
        <w:rPr>
          <w:rFonts w:eastAsiaTheme="minorEastAsia" w:hint="eastAsia"/>
          <w:color w:val="auto"/>
        </w:rPr>
        <w:t>511522</w:t>
      </w:r>
      <w:r w:rsidRPr="00FC1444">
        <w:rPr>
          <w:rFonts w:eastAsiaTheme="minorEastAsia"/>
          <w:color w:val="auto"/>
        </w:rPr>
        <w:t>m</w:t>
      </w:r>
      <w:r w:rsidRPr="00FC1444">
        <w:rPr>
          <w:rFonts w:eastAsiaTheme="minorEastAsia"/>
          <w:color w:val="auto"/>
          <w:vertAlign w:val="superscript"/>
        </w:rPr>
        <w:t>2</w:t>
      </w:r>
      <w:r w:rsidRPr="00FC1444">
        <w:rPr>
          <w:rFonts w:eastAsiaTheme="minorEastAsia"/>
          <w:color w:val="auto"/>
        </w:rPr>
        <w:t>，占地性质为临时占地。</w:t>
      </w:r>
    </w:p>
    <w:p w:rsidR="002A5A5E" w:rsidRPr="00FC1444" w:rsidRDefault="009840DD">
      <w:pPr>
        <w:autoSpaceDE w:val="0"/>
        <w:autoSpaceDN w:val="0"/>
        <w:spacing w:line="360" w:lineRule="auto"/>
        <w:ind w:firstLineChars="200" w:firstLine="480"/>
        <w:contextualSpacing/>
        <w:rPr>
          <w:rFonts w:eastAsiaTheme="minorEastAsia"/>
          <w:bCs/>
          <w:sz w:val="24"/>
        </w:rPr>
      </w:pPr>
      <w:r w:rsidRPr="00FC1444">
        <w:rPr>
          <w:rFonts w:eastAsiaTheme="minorEastAsia"/>
          <w:bCs/>
          <w:sz w:val="24"/>
        </w:rPr>
        <w:fldChar w:fldCharType="begin"/>
      </w:r>
      <w:r w:rsidR="00611CBA" w:rsidRPr="00FC1444">
        <w:rPr>
          <w:rFonts w:eastAsiaTheme="minorEastAsia"/>
          <w:bCs/>
          <w:sz w:val="24"/>
        </w:rPr>
        <w:instrText xml:space="preserve"> = 2 \* GB3 </w:instrText>
      </w:r>
      <w:r w:rsidRPr="00FC1444">
        <w:rPr>
          <w:rFonts w:eastAsiaTheme="minorEastAsia"/>
          <w:bCs/>
          <w:sz w:val="24"/>
        </w:rPr>
        <w:fldChar w:fldCharType="separate"/>
      </w:r>
      <w:r w:rsidR="00611CBA" w:rsidRPr="00FC1444">
        <w:rPr>
          <w:rFonts w:ascii="宋体" w:hAnsi="宋体" w:cs="宋体" w:hint="eastAsia"/>
          <w:bCs/>
          <w:sz w:val="24"/>
        </w:rPr>
        <w:t>②</w:t>
      </w:r>
      <w:r w:rsidRPr="00FC1444">
        <w:rPr>
          <w:rFonts w:eastAsiaTheme="minorEastAsia"/>
          <w:bCs/>
          <w:sz w:val="24"/>
        </w:rPr>
        <w:fldChar w:fldCharType="end"/>
      </w:r>
      <w:r w:rsidR="00611CBA" w:rsidRPr="00FC1444">
        <w:rPr>
          <w:rFonts w:eastAsiaTheme="minorEastAsia"/>
          <w:bCs/>
          <w:sz w:val="24"/>
        </w:rPr>
        <w:t>水土流失防治目标</w:t>
      </w:r>
    </w:p>
    <w:p w:rsidR="002A5A5E" w:rsidRPr="00FC1444" w:rsidRDefault="00611CBA">
      <w:pPr>
        <w:autoSpaceDE w:val="0"/>
        <w:autoSpaceDN w:val="0"/>
        <w:spacing w:line="360" w:lineRule="auto"/>
        <w:ind w:firstLineChars="200" w:firstLine="480"/>
        <w:contextualSpacing/>
        <w:rPr>
          <w:rFonts w:eastAsiaTheme="minorEastAsia"/>
          <w:bCs/>
          <w:sz w:val="24"/>
        </w:rPr>
      </w:pPr>
      <w:r w:rsidRPr="00FC1444">
        <w:rPr>
          <w:rFonts w:eastAsiaTheme="minorEastAsia"/>
          <w:bCs/>
          <w:sz w:val="24"/>
        </w:rPr>
        <w:t>本项目的水土流失防治目标是：项目建设范围内的新增水土流失得到有效控制，原有水土流失得到治理；水土保持设施安全有效；水土资源、林草植被得到最大限度的保护与恢复；水土流失治理度、土壤流失控制比、渣土防护率、表土保护率、林草植被恢复率、林草覆盖率达到设计目标值。</w:t>
      </w:r>
    </w:p>
    <w:p w:rsidR="002A5A5E" w:rsidRPr="00FC1444" w:rsidRDefault="00611CBA">
      <w:pPr>
        <w:autoSpaceDE w:val="0"/>
        <w:autoSpaceDN w:val="0"/>
        <w:spacing w:line="360" w:lineRule="auto"/>
        <w:ind w:firstLineChars="200" w:firstLine="480"/>
        <w:contextualSpacing/>
        <w:rPr>
          <w:rFonts w:eastAsiaTheme="minorEastAsia"/>
          <w:bCs/>
          <w:sz w:val="24"/>
        </w:rPr>
      </w:pPr>
      <w:r w:rsidRPr="00FC1444">
        <w:rPr>
          <w:rFonts w:eastAsiaTheme="minorEastAsia"/>
          <w:bCs/>
          <w:sz w:val="24"/>
        </w:rPr>
        <w:t>项目区土壤侵蚀强度为轻度，土壤流失控制比调整为</w:t>
      </w:r>
      <w:r w:rsidRPr="00FC1444">
        <w:rPr>
          <w:rFonts w:eastAsiaTheme="minorEastAsia"/>
          <w:bCs/>
          <w:sz w:val="24"/>
        </w:rPr>
        <w:t>1</w:t>
      </w:r>
      <w:r w:rsidR="00967D9B" w:rsidRPr="00FC1444">
        <w:rPr>
          <w:rFonts w:eastAsiaTheme="minorEastAsia"/>
          <w:bCs/>
          <w:sz w:val="24"/>
        </w:rPr>
        <w:t>.</w:t>
      </w:r>
      <w:r w:rsidRPr="00FC1444">
        <w:rPr>
          <w:rFonts w:eastAsiaTheme="minorEastAsia"/>
          <w:bCs/>
          <w:sz w:val="24"/>
        </w:rPr>
        <w:t>0</w:t>
      </w:r>
      <w:r w:rsidRPr="00FC1444">
        <w:rPr>
          <w:rFonts w:eastAsiaTheme="minorEastAsia"/>
          <w:bCs/>
          <w:sz w:val="24"/>
        </w:rPr>
        <w:t>；项目位于水土流失重点治理区，林草覆盖率应提高，但主体设计项目实际能达到的林草覆盖率为</w:t>
      </w:r>
      <w:r w:rsidRPr="00FC1444">
        <w:rPr>
          <w:rFonts w:eastAsiaTheme="minorEastAsia"/>
          <w:bCs/>
          <w:sz w:val="24"/>
        </w:rPr>
        <w:t>12%</w:t>
      </w:r>
      <w:r w:rsidRPr="00FC1444">
        <w:rPr>
          <w:rFonts w:eastAsiaTheme="minorEastAsia"/>
          <w:bCs/>
          <w:sz w:val="24"/>
        </w:rPr>
        <w:t>，其余临时占地进行复垦，因此将林草覆盖率指标调整至</w:t>
      </w:r>
      <w:r w:rsidRPr="00FC1444">
        <w:rPr>
          <w:rFonts w:eastAsiaTheme="minorEastAsia"/>
          <w:bCs/>
          <w:sz w:val="24"/>
        </w:rPr>
        <w:t>12%</w:t>
      </w:r>
      <w:r w:rsidRPr="00FC1444">
        <w:rPr>
          <w:rFonts w:eastAsiaTheme="minorEastAsia"/>
          <w:bCs/>
          <w:sz w:val="24"/>
        </w:rPr>
        <w:t>。考虑项目区干旱程度、土壤侵蚀强度以及项目特点等因素，确定本方案防治目标。本项目执行的防治标准详见下表。</w:t>
      </w:r>
    </w:p>
    <w:p w:rsidR="009C6020" w:rsidRPr="00FC1444" w:rsidRDefault="009C6020">
      <w:pPr>
        <w:autoSpaceDE w:val="0"/>
        <w:autoSpaceDN w:val="0"/>
        <w:spacing w:line="360" w:lineRule="auto"/>
        <w:ind w:firstLineChars="200" w:firstLine="480"/>
        <w:contextualSpacing/>
        <w:rPr>
          <w:rFonts w:eastAsiaTheme="minorEastAsia"/>
          <w:bCs/>
          <w:sz w:val="24"/>
        </w:rPr>
      </w:pPr>
    </w:p>
    <w:p w:rsidR="009C6020" w:rsidRPr="00FC1444" w:rsidRDefault="009C6020">
      <w:pPr>
        <w:autoSpaceDE w:val="0"/>
        <w:autoSpaceDN w:val="0"/>
        <w:spacing w:line="360" w:lineRule="auto"/>
        <w:ind w:firstLineChars="200" w:firstLine="480"/>
        <w:contextualSpacing/>
        <w:rPr>
          <w:rFonts w:eastAsiaTheme="minorEastAsia"/>
          <w:bCs/>
          <w:sz w:val="24"/>
        </w:rPr>
      </w:pPr>
    </w:p>
    <w:p w:rsidR="00BB1D75" w:rsidRPr="00FC1444" w:rsidRDefault="00BB1D75">
      <w:pPr>
        <w:autoSpaceDE w:val="0"/>
        <w:autoSpaceDN w:val="0"/>
        <w:spacing w:line="360" w:lineRule="auto"/>
        <w:ind w:firstLineChars="200" w:firstLine="480"/>
        <w:contextualSpacing/>
        <w:rPr>
          <w:rFonts w:eastAsiaTheme="minorEastAsia"/>
          <w:bCs/>
          <w:sz w:val="24"/>
        </w:rPr>
      </w:pPr>
    </w:p>
    <w:p w:rsidR="00BB1D75" w:rsidRPr="00FC1444" w:rsidRDefault="00BB1D75">
      <w:pPr>
        <w:autoSpaceDE w:val="0"/>
        <w:autoSpaceDN w:val="0"/>
        <w:spacing w:line="360" w:lineRule="auto"/>
        <w:ind w:firstLineChars="200" w:firstLine="480"/>
        <w:contextualSpacing/>
        <w:rPr>
          <w:rFonts w:eastAsiaTheme="minorEastAsia"/>
          <w:bCs/>
          <w:sz w:val="24"/>
        </w:rPr>
      </w:pPr>
    </w:p>
    <w:p w:rsidR="00BB1D75" w:rsidRPr="00FC1444" w:rsidRDefault="00BB1D75">
      <w:pPr>
        <w:autoSpaceDE w:val="0"/>
        <w:autoSpaceDN w:val="0"/>
        <w:spacing w:line="360" w:lineRule="auto"/>
        <w:ind w:firstLineChars="200" w:firstLine="480"/>
        <w:contextualSpacing/>
        <w:rPr>
          <w:rFonts w:eastAsiaTheme="minorEastAsia"/>
          <w:bCs/>
          <w:sz w:val="24"/>
        </w:rPr>
      </w:pPr>
    </w:p>
    <w:p w:rsidR="00BB1D75" w:rsidRPr="00FC1444" w:rsidRDefault="00BB1D75">
      <w:pPr>
        <w:autoSpaceDE w:val="0"/>
        <w:autoSpaceDN w:val="0"/>
        <w:spacing w:line="360" w:lineRule="auto"/>
        <w:ind w:firstLineChars="200" w:firstLine="480"/>
        <w:contextualSpacing/>
        <w:rPr>
          <w:rFonts w:eastAsiaTheme="minorEastAsia"/>
          <w:bCs/>
          <w:sz w:val="24"/>
        </w:rPr>
      </w:pPr>
    </w:p>
    <w:p w:rsidR="009C6020" w:rsidRPr="00FC1444" w:rsidRDefault="009C6020">
      <w:pPr>
        <w:autoSpaceDE w:val="0"/>
        <w:autoSpaceDN w:val="0"/>
        <w:spacing w:line="360" w:lineRule="auto"/>
        <w:ind w:firstLineChars="200" w:firstLine="480"/>
        <w:contextualSpacing/>
        <w:rPr>
          <w:rFonts w:eastAsiaTheme="minorEastAsia"/>
          <w:bCs/>
          <w:sz w:val="24"/>
        </w:rPr>
      </w:pPr>
    </w:p>
    <w:p w:rsidR="009C6020" w:rsidRPr="00FC1444" w:rsidRDefault="009C6020">
      <w:pPr>
        <w:autoSpaceDE w:val="0"/>
        <w:autoSpaceDN w:val="0"/>
        <w:spacing w:line="360" w:lineRule="auto"/>
        <w:ind w:firstLineChars="200" w:firstLine="480"/>
        <w:contextualSpacing/>
        <w:rPr>
          <w:rFonts w:eastAsiaTheme="minorEastAsia"/>
          <w:bCs/>
          <w:sz w:val="24"/>
        </w:rPr>
      </w:pPr>
    </w:p>
    <w:p w:rsidR="002A5A5E" w:rsidRPr="00FC1444" w:rsidRDefault="00611CBA">
      <w:pPr>
        <w:jc w:val="center"/>
        <w:rPr>
          <w:rFonts w:eastAsiaTheme="minorEastAsia"/>
          <w:b/>
          <w:bCs/>
          <w:szCs w:val="21"/>
        </w:rPr>
      </w:pPr>
      <w:r w:rsidRPr="00FC1444">
        <w:rPr>
          <w:rFonts w:eastAsiaTheme="minorEastAsia"/>
          <w:b/>
          <w:bCs/>
          <w:szCs w:val="21"/>
        </w:rPr>
        <w:lastRenderedPageBreak/>
        <w:t>表</w:t>
      </w:r>
      <w:r w:rsidRPr="00FC1444">
        <w:rPr>
          <w:rFonts w:eastAsiaTheme="minorEastAsia"/>
          <w:b/>
          <w:bCs/>
          <w:szCs w:val="21"/>
        </w:rPr>
        <w:t>5-1-7</w:t>
      </w:r>
      <w:r w:rsidRPr="00FC1444">
        <w:rPr>
          <w:rFonts w:eastAsiaTheme="minorEastAsia"/>
          <w:b/>
          <w:bCs/>
          <w:szCs w:val="21"/>
        </w:rPr>
        <w:t>水土流失防治目标</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2103"/>
        <w:gridCol w:w="1313"/>
        <w:gridCol w:w="837"/>
        <w:gridCol w:w="1194"/>
        <w:gridCol w:w="968"/>
        <w:gridCol w:w="923"/>
        <w:gridCol w:w="963"/>
      </w:tblGrid>
      <w:tr w:rsidR="002A5A5E" w:rsidRPr="00FC1444">
        <w:trPr>
          <w:trHeight w:val="340"/>
        </w:trPr>
        <w:tc>
          <w:tcPr>
            <w:tcW w:w="1267" w:type="pct"/>
            <w:vMerge w:val="restart"/>
            <w:tcBorders>
              <w:tl2br w:val="nil"/>
              <w:tr2bl w:val="nil"/>
            </w:tcBorders>
            <w:vAlign w:val="center"/>
          </w:tcPr>
          <w:p w:rsidR="002A5A5E" w:rsidRPr="00FC1444" w:rsidRDefault="00611CBA">
            <w:pPr>
              <w:jc w:val="center"/>
            </w:pPr>
            <w:r w:rsidRPr="00FC1444">
              <w:t>防治指标</w:t>
            </w:r>
          </w:p>
        </w:tc>
        <w:tc>
          <w:tcPr>
            <w:tcW w:w="1295" w:type="pct"/>
            <w:gridSpan w:val="2"/>
            <w:tcBorders>
              <w:right w:val="single" w:sz="4" w:space="0" w:color="auto"/>
              <w:tl2br w:val="nil"/>
              <w:tr2bl w:val="nil"/>
            </w:tcBorders>
            <w:vAlign w:val="center"/>
          </w:tcPr>
          <w:p w:rsidR="002A5A5E" w:rsidRPr="00FC1444" w:rsidRDefault="00611CBA">
            <w:pPr>
              <w:jc w:val="center"/>
            </w:pPr>
            <w:r w:rsidRPr="00FC1444">
              <w:t>一级防治标准的防治目标值</w:t>
            </w:r>
          </w:p>
        </w:tc>
        <w:tc>
          <w:tcPr>
            <w:tcW w:w="719" w:type="pct"/>
            <w:tcBorders>
              <w:left w:val="single" w:sz="4" w:space="0" w:color="auto"/>
              <w:right w:val="single" w:sz="4" w:space="0" w:color="auto"/>
              <w:tl2br w:val="nil"/>
              <w:tr2bl w:val="nil"/>
            </w:tcBorders>
            <w:vAlign w:val="center"/>
          </w:tcPr>
          <w:p w:rsidR="002A5A5E" w:rsidRPr="00FC1444" w:rsidRDefault="00611CBA">
            <w:pPr>
              <w:jc w:val="center"/>
            </w:pPr>
            <w:r w:rsidRPr="00FC1444">
              <w:t>按土壤侵蚀强度调整的防治目标值</w:t>
            </w:r>
          </w:p>
        </w:tc>
        <w:tc>
          <w:tcPr>
            <w:tcW w:w="583" w:type="pct"/>
            <w:vMerge w:val="restart"/>
            <w:tcBorders>
              <w:left w:val="single" w:sz="4" w:space="0" w:color="auto"/>
              <w:tl2br w:val="nil"/>
              <w:tr2bl w:val="nil"/>
            </w:tcBorders>
            <w:vAlign w:val="center"/>
          </w:tcPr>
          <w:p w:rsidR="002A5A5E" w:rsidRPr="00FC1444" w:rsidRDefault="00611CBA">
            <w:pPr>
              <w:jc w:val="center"/>
            </w:pPr>
            <w:r w:rsidRPr="00FC1444">
              <w:t>按主体设计调整</w:t>
            </w:r>
          </w:p>
        </w:tc>
        <w:tc>
          <w:tcPr>
            <w:tcW w:w="1136" w:type="pct"/>
            <w:gridSpan w:val="2"/>
            <w:tcBorders>
              <w:tl2br w:val="nil"/>
              <w:tr2bl w:val="nil"/>
            </w:tcBorders>
            <w:vAlign w:val="center"/>
          </w:tcPr>
          <w:p w:rsidR="002A5A5E" w:rsidRPr="00FC1444" w:rsidRDefault="00611CBA">
            <w:pPr>
              <w:jc w:val="center"/>
            </w:pPr>
            <w:r w:rsidRPr="00FC1444">
              <w:t>本方案采用的防治目标值</w:t>
            </w:r>
          </w:p>
        </w:tc>
      </w:tr>
      <w:tr w:rsidR="002A5A5E" w:rsidRPr="00FC1444">
        <w:trPr>
          <w:trHeight w:val="340"/>
        </w:trPr>
        <w:tc>
          <w:tcPr>
            <w:tcW w:w="1267" w:type="pct"/>
            <w:vMerge/>
            <w:tcBorders>
              <w:tl2br w:val="nil"/>
              <w:tr2bl w:val="nil"/>
            </w:tcBorders>
            <w:vAlign w:val="center"/>
          </w:tcPr>
          <w:p w:rsidR="002A5A5E" w:rsidRPr="00FC1444" w:rsidRDefault="002A5A5E">
            <w:pPr>
              <w:jc w:val="center"/>
            </w:pPr>
          </w:p>
        </w:tc>
        <w:tc>
          <w:tcPr>
            <w:tcW w:w="791" w:type="pct"/>
            <w:tcBorders>
              <w:tl2br w:val="nil"/>
              <w:tr2bl w:val="nil"/>
            </w:tcBorders>
            <w:vAlign w:val="center"/>
          </w:tcPr>
          <w:p w:rsidR="002A5A5E" w:rsidRPr="00FC1444" w:rsidRDefault="00611CBA">
            <w:pPr>
              <w:jc w:val="center"/>
            </w:pPr>
            <w:r w:rsidRPr="00FC1444">
              <w:t>施工期</w:t>
            </w:r>
          </w:p>
        </w:tc>
        <w:tc>
          <w:tcPr>
            <w:tcW w:w="504" w:type="pct"/>
            <w:tcBorders>
              <w:tl2br w:val="nil"/>
              <w:tr2bl w:val="nil"/>
            </w:tcBorders>
            <w:vAlign w:val="center"/>
          </w:tcPr>
          <w:p w:rsidR="002A5A5E" w:rsidRPr="00FC1444" w:rsidRDefault="00611CBA">
            <w:pPr>
              <w:jc w:val="center"/>
            </w:pPr>
            <w:r w:rsidRPr="00FC1444">
              <w:t>设计水平年</w:t>
            </w:r>
          </w:p>
        </w:tc>
        <w:tc>
          <w:tcPr>
            <w:tcW w:w="719" w:type="pct"/>
            <w:tcBorders>
              <w:tl2br w:val="nil"/>
              <w:tr2bl w:val="nil"/>
            </w:tcBorders>
            <w:vAlign w:val="center"/>
          </w:tcPr>
          <w:p w:rsidR="002A5A5E" w:rsidRPr="00FC1444" w:rsidRDefault="00611CBA">
            <w:pPr>
              <w:jc w:val="center"/>
            </w:pPr>
            <w:r w:rsidRPr="00FC1444">
              <w:t>轻度</w:t>
            </w:r>
          </w:p>
        </w:tc>
        <w:tc>
          <w:tcPr>
            <w:tcW w:w="583" w:type="pct"/>
            <w:vMerge/>
            <w:tcBorders>
              <w:left w:val="single" w:sz="4" w:space="0" w:color="auto"/>
              <w:tl2br w:val="nil"/>
              <w:tr2bl w:val="nil"/>
            </w:tcBorders>
            <w:vAlign w:val="center"/>
          </w:tcPr>
          <w:p w:rsidR="002A5A5E" w:rsidRPr="00FC1444" w:rsidRDefault="002A5A5E">
            <w:pPr>
              <w:jc w:val="center"/>
            </w:pPr>
          </w:p>
        </w:tc>
        <w:tc>
          <w:tcPr>
            <w:tcW w:w="556" w:type="pct"/>
            <w:tcBorders>
              <w:tl2br w:val="nil"/>
              <w:tr2bl w:val="nil"/>
            </w:tcBorders>
            <w:vAlign w:val="center"/>
          </w:tcPr>
          <w:p w:rsidR="002A5A5E" w:rsidRPr="00FC1444" w:rsidRDefault="00611CBA">
            <w:pPr>
              <w:jc w:val="center"/>
            </w:pPr>
            <w:r w:rsidRPr="00FC1444">
              <w:t>施工期</w:t>
            </w:r>
          </w:p>
        </w:tc>
        <w:tc>
          <w:tcPr>
            <w:tcW w:w="580" w:type="pct"/>
            <w:tcBorders>
              <w:tl2br w:val="nil"/>
              <w:tr2bl w:val="nil"/>
            </w:tcBorders>
            <w:vAlign w:val="center"/>
          </w:tcPr>
          <w:p w:rsidR="002A5A5E" w:rsidRPr="00FC1444" w:rsidRDefault="00611CBA">
            <w:pPr>
              <w:jc w:val="center"/>
            </w:pPr>
            <w:r w:rsidRPr="00FC1444">
              <w:t>设计水平年</w:t>
            </w:r>
          </w:p>
        </w:tc>
      </w:tr>
      <w:tr w:rsidR="002A5A5E" w:rsidRPr="00FC1444">
        <w:trPr>
          <w:trHeight w:val="340"/>
        </w:trPr>
        <w:tc>
          <w:tcPr>
            <w:tcW w:w="1267" w:type="pct"/>
            <w:tcBorders>
              <w:tl2br w:val="nil"/>
              <w:tr2bl w:val="nil"/>
            </w:tcBorders>
            <w:vAlign w:val="center"/>
          </w:tcPr>
          <w:p w:rsidR="002A5A5E" w:rsidRPr="00FC1444" w:rsidRDefault="00611CBA">
            <w:pPr>
              <w:jc w:val="center"/>
            </w:pPr>
            <w:r w:rsidRPr="00FC1444">
              <w:t>水土流失治理度（</w:t>
            </w:r>
            <w:r w:rsidRPr="00FC1444">
              <w:t>%</w:t>
            </w:r>
            <w:r w:rsidRPr="00FC1444">
              <w:t>）</w:t>
            </w:r>
          </w:p>
        </w:tc>
        <w:tc>
          <w:tcPr>
            <w:tcW w:w="791" w:type="pct"/>
            <w:tcBorders>
              <w:tl2br w:val="nil"/>
              <w:tr2bl w:val="nil"/>
            </w:tcBorders>
            <w:vAlign w:val="center"/>
          </w:tcPr>
          <w:p w:rsidR="002A5A5E" w:rsidRPr="00FC1444" w:rsidRDefault="00611CBA">
            <w:pPr>
              <w:jc w:val="center"/>
            </w:pPr>
            <w:r w:rsidRPr="00FC1444">
              <w:t>-</w:t>
            </w:r>
          </w:p>
        </w:tc>
        <w:tc>
          <w:tcPr>
            <w:tcW w:w="504" w:type="pct"/>
            <w:tcBorders>
              <w:tl2br w:val="nil"/>
              <w:tr2bl w:val="nil"/>
            </w:tcBorders>
            <w:vAlign w:val="center"/>
          </w:tcPr>
          <w:p w:rsidR="002A5A5E" w:rsidRPr="00FC1444" w:rsidRDefault="00611CBA">
            <w:pPr>
              <w:jc w:val="center"/>
            </w:pPr>
            <w:r w:rsidRPr="00FC1444">
              <w:t>97</w:t>
            </w:r>
          </w:p>
        </w:tc>
        <w:tc>
          <w:tcPr>
            <w:tcW w:w="719" w:type="pct"/>
            <w:tcBorders>
              <w:tl2br w:val="nil"/>
              <w:tr2bl w:val="nil"/>
            </w:tcBorders>
            <w:vAlign w:val="center"/>
          </w:tcPr>
          <w:p w:rsidR="002A5A5E" w:rsidRPr="00FC1444" w:rsidRDefault="002A5A5E">
            <w:pPr>
              <w:jc w:val="center"/>
            </w:pPr>
          </w:p>
        </w:tc>
        <w:tc>
          <w:tcPr>
            <w:tcW w:w="583" w:type="pct"/>
            <w:tcBorders>
              <w:left w:val="single" w:sz="4" w:space="0" w:color="auto"/>
              <w:tl2br w:val="nil"/>
              <w:tr2bl w:val="nil"/>
            </w:tcBorders>
            <w:vAlign w:val="center"/>
          </w:tcPr>
          <w:p w:rsidR="002A5A5E" w:rsidRPr="00FC1444" w:rsidRDefault="002A5A5E">
            <w:pPr>
              <w:jc w:val="center"/>
            </w:pPr>
          </w:p>
        </w:tc>
        <w:tc>
          <w:tcPr>
            <w:tcW w:w="556" w:type="pct"/>
            <w:tcBorders>
              <w:tl2br w:val="nil"/>
              <w:tr2bl w:val="nil"/>
            </w:tcBorders>
            <w:vAlign w:val="center"/>
          </w:tcPr>
          <w:p w:rsidR="002A5A5E" w:rsidRPr="00FC1444" w:rsidRDefault="00611CBA">
            <w:pPr>
              <w:jc w:val="center"/>
            </w:pPr>
            <w:r w:rsidRPr="00FC1444">
              <w:t>-</w:t>
            </w:r>
          </w:p>
        </w:tc>
        <w:tc>
          <w:tcPr>
            <w:tcW w:w="580" w:type="pct"/>
            <w:tcBorders>
              <w:tl2br w:val="nil"/>
              <w:tr2bl w:val="nil"/>
            </w:tcBorders>
            <w:vAlign w:val="center"/>
          </w:tcPr>
          <w:p w:rsidR="002A5A5E" w:rsidRPr="00FC1444" w:rsidRDefault="00611CBA" w:rsidP="00914626">
            <w:pPr>
              <w:tabs>
                <w:tab w:val="left" w:pos="30"/>
              </w:tabs>
              <w:jc w:val="center"/>
            </w:pPr>
            <w:r w:rsidRPr="00FC1444">
              <w:t>97</w:t>
            </w:r>
          </w:p>
        </w:tc>
      </w:tr>
      <w:tr w:rsidR="002A5A5E" w:rsidRPr="00FC1444">
        <w:trPr>
          <w:trHeight w:val="340"/>
        </w:trPr>
        <w:tc>
          <w:tcPr>
            <w:tcW w:w="1267" w:type="pct"/>
            <w:tcBorders>
              <w:tl2br w:val="nil"/>
              <w:tr2bl w:val="nil"/>
            </w:tcBorders>
            <w:vAlign w:val="center"/>
          </w:tcPr>
          <w:p w:rsidR="002A5A5E" w:rsidRPr="00FC1444" w:rsidRDefault="00611CBA">
            <w:pPr>
              <w:jc w:val="center"/>
            </w:pPr>
            <w:r w:rsidRPr="00FC1444">
              <w:t>土壤流失控制比</w:t>
            </w:r>
          </w:p>
        </w:tc>
        <w:tc>
          <w:tcPr>
            <w:tcW w:w="791" w:type="pct"/>
            <w:tcBorders>
              <w:tl2br w:val="nil"/>
              <w:tr2bl w:val="nil"/>
            </w:tcBorders>
            <w:vAlign w:val="center"/>
          </w:tcPr>
          <w:p w:rsidR="002A5A5E" w:rsidRPr="00FC1444" w:rsidRDefault="00611CBA">
            <w:pPr>
              <w:jc w:val="center"/>
            </w:pPr>
            <w:r w:rsidRPr="00FC1444">
              <w:t>-</w:t>
            </w:r>
          </w:p>
        </w:tc>
        <w:tc>
          <w:tcPr>
            <w:tcW w:w="504" w:type="pct"/>
            <w:tcBorders>
              <w:tl2br w:val="nil"/>
              <w:tr2bl w:val="nil"/>
            </w:tcBorders>
            <w:vAlign w:val="center"/>
          </w:tcPr>
          <w:p w:rsidR="002A5A5E" w:rsidRPr="00FC1444" w:rsidRDefault="00611CBA">
            <w:pPr>
              <w:jc w:val="center"/>
            </w:pPr>
            <w:r w:rsidRPr="00FC1444">
              <w:t>0.9</w:t>
            </w:r>
          </w:p>
        </w:tc>
        <w:tc>
          <w:tcPr>
            <w:tcW w:w="719" w:type="pct"/>
            <w:tcBorders>
              <w:tl2br w:val="nil"/>
              <w:tr2bl w:val="nil"/>
            </w:tcBorders>
            <w:vAlign w:val="center"/>
          </w:tcPr>
          <w:p w:rsidR="002A5A5E" w:rsidRPr="00FC1444" w:rsidRDefault="00611CBA">
            <w:pPr>
              <w:jc w:val="center"/>
            </w:pPr>
            <w:r w:rsidRPr="00FC1444">
              <w:t>1.0</w:t>
            </w:r>
          </w:p>
        </w:tc>
        <w:tc>
          <w:tcPr>
            <w:tcW w:w="583" w:type="pct"/>
            <w:tcBorders>
              <w:left w:val="single" w:sz="4" w:space="0" w:color="auto"/>
              <w:tl2br w:val="nil"/>
              <w:tr2bl w:val="nil"/>
            </w:tcBorders>
            <w:vAlign w:val="center"/>
          </w:tcPr>
          <w:p w:rsidR="002A5A5E" w:rsidRPr="00FC1444" w:rsidRDefault="002A5A5E">
            <w:pPr>
              <w:jc w:val="center"/>
            </w:pPr>
          </w:p>
        </w:tc>
        <w:tc>
          <w:tcPr>
            <w:tcW w:w="556" w:type="pct"/>
            <w:tcBorders>
              <w:tl2br w:val="nil"/>
              <w:tr2bl w:val="nil"/>
            </w:tcBorders>
            <w:vAlign w:val="center"/>
          </w:tcPr>
          <w:p w:rsidR="002A5A5E" w:rsidRPr="00FC1444" w:rsidRDefault="00611CBA">
            <w:pPr>
              <w:jc w:val="center"/>
            </w:pPr>
            <w:r w:rsidRPr="00FC1444">
              <w:t>-</w:t>
            </w:r>
          </w:p>
        </w:tc>
        <w:tc>
          <w:tcPr>
            <w:tcW w:w="580" w:type="pct"/>
            <w:tcBorders>
              <w:tl2br w:val="nil"/>
              <w:tr2bl w:val="nil"/>
            </w:tcBorders>
            <w:vAlign w:val="center"/>
          </w:tcPr>
          <w:p w:rsidR="002A5A5E" w:rsidRPr="00FC1444" w:rsidRDefault="00611CBA">
            <w:pPr>
              <w:jc w:val="center"/>
            </w:pPr>
            <w:r w:rsidRPr="00FC1444">
              <w:t>1.0</w:t>
            </w:r>
          </w:p>
        </w:tc>
      </w:tr>
      <w:tr w:rsidR="002A5A5E" w:rsidRPr="00FC1444">
        <w:trPr>
          <w:trHeight w:val="340"/>
        </w:trPr>
        <w:tc>
          <w:tcPr>
            <w:tcW w:w="1267" w:type="pct"/>
            <w:tcBorders>
              <w:tl2br w:val="nil"/>
              <w:tr2bl w:val="nil"/>
            </w:tcBorders>
            <w:vAlign w:val="center"/>
          </w:tcPr>
          <w:p w:rsidR="002A5A5E" w:rsidRPr="00FC1444" w:rsidRDefault="00611CBA">
            <w:pPr>
              <w:jc w:val="center"/>
            </w:pPr>
            <w:r w:rsidRPr="00FC1444">
              <w:t>渣土防护率（</w:t>
            </w:r>
            <w:r w:rsidRPr="00FC1444">
              <w:t>%</w:t>
            </w:r>
            <w:r w:rsidRPr="00FC1444">
              <w:t>）</w:t>
            </w:r>
          </w:p>
        </w:tc>
        <w:tc>
          <w:tcPr>
            <w:tcW w:w="791" w:type="pct"/>
            <w:tcBorders>
              <w:tl2br w:val="nil"/>
              <w:tr2bl w:val="nil"/>
            </w:tcBorders>
            <w:vAlign w:val="center"/>
          </w:tcPr>
          <w:p w:rsidR="002A5A5E" w:rsidRPr="00FC1444" w:rsidRDefault="00611CBA">
            <w:pPr>
              <w:jc w:val="center"/>
            </w:pPr>
            <w:r w:rsidRPr="00FC1444">
              <w:t>95</w:t>
            </w:r>
          </w:p>
        </w:tc>
        <w:tc>
          <w:tcPr>
            <w:tcW w:w="504" w:type="pct"/>
            <w:tcBorders>
              <w:tl2br w:val="nil"/>
              <w:tr2bl w:val="nil"/>
            </w:tcBorders>
            <w:vAlign w:val="center"/>
          </w:tcPr>
          <w:p w:rsidR="002A5A5E" w:rsidRPr="00FC1444" w:rsidRDefault="00611CBA">
            <w:pPr>
              <w:jc w:val="center"/>
            </w:pPr>
            <w:r w:rsidRPr="00FC1444">
              <w:t>97</w:t>
            </w:r>
          </w:p>
        </w:tc>
        <w:tc>
          <w:tcPr>
            <w:tcW w:w="719" w:type="pct"/>
            <w:tcBorders>
              <w:tl2br w:val="nil"/>
              <w:tr2bl w:val="nil"/>
            </w:tcBorders>
            <w:vAlign w:val="center"/>
          </w:tcPr>
          <w:p w:rsidR="002A5A5E" w:rsidRPr="00FC1444" w:rsidRDefault="002A5A5E">
            <w:pPr>
              <w:jc w:val="center"/>
            </w:pPr>
          </w:p>
        </w:tc>
        <w:tc>
          <w:tcPr>
            <w:tcW w:w="583" w:type="pct"/>
            <w:tcBorders>
              <w:left w:val="single" w:sz="4" w:space="0" w:color="auto"/>
              <w:tl2br w:val="nil"/>
              <w:tr2bl w:val="nil"/>
            </w:tcBorders>
            <w:vAlign w:val="center"/>
          </w:tcPr>
          <w:p w:rsidR="002A5A5E" w:rsidRPr="00FC1444" w:rsidRDefault="002A5A5E">
            <w:pPr>
              <w:jc w:val="center"/>
            </w:pPr>
          </w:p>
        </w:tc>
        <w:tc>
          <w:tcPr>
            <w:tcW w:w="556" w:type="pct"/>
            <w:tcBorders>
              <w:tl2br w:val="nil"/>
              <w:tr2bl w:val="nil"/>
            </w:tcBorders>
            <w:vAlign w:val="center"/>
          </w:tcPr>
          <w:p w:rsidR="002A5A5E" w:rsidRPr="00FC1444" w:rsidRDefault="00611CBA">
            <w:pPr>
              <w:jc w:val="center"/>
            </w:pPr>
            <w:r w:rsidRPr="00FC1444">
              <w:t>95</w:t>
            </w:r>
          </w:p>
        </w:tc>
        <w:tc>
          <w:tcPr>
            <w:tcW w:w="580" w:type="pct"/>
            <w:tcBorders>
              <w:tl2br w:val="nil"/>
              <w:tr2bl w:val="nil"/>
            </w:tcBorders>
            <w:vAlign w:val="center"/>
          </w:tcPr>
          <w:p w:rsidR="002A5A5E" w:rsidRPr="00FC1444" w:rsidRDefault="00611CBA">
            <w:pPr>
              <w:jc w:val="center"/>
            </w:pPr>
            <w:r w:rsidRPr="00FC1444">
              <w:t>97</w:t>
            </w:r>
          </w:p>
        </w:tc>
      </w:tr>
      <w:tr w:rsidR="002A5A5E" w:rsidRPr="00FC1444">
        <w:trPr>
          <w:trHeight w:val="340"/>
        </w:trPr>
        <w:tc>
          <w:tcPr>
            <w:tcW w:w="1267" w:type="pct"/>
            <w:tcBorders>
              <w:tl2br w:val="nil"/>
              <w:tr2bl w:val="nil"/>
            </w:tcBorders>
            <w:vAlign w:val="center"/>
          </w:tcPr>
          <w:p w:rsidR="002A5A5E" w:rsidRPr="00FC1444" w:rsidRDefault="00611CBA">
            <w:pPr>
              <w:jc w:val="center"/>
            </w:pPr>
            <w:r w:rsidRPr="00FC1444">
              <w:t>表土保护率（</w:t>
            </w:r>
            <w:r w:rsidRPr="00FC1444">
              <w:t>%</w:t>
            </w:r>
            <w:r w:rsidRPr="00FC1444">
              <w:t>）</w:t>
            </w:r>
          </w:p>
        </w:tc>
        <w:tc>
          <w:tcPr>
            <w:tcW w:w="791" w:type="pct"/>
            <w:tcBorders>
              <w:tl2br w:val="nil"/>
              <w:tr2bl w:val="nil"/>
            </w:tcBorders>
            <w:vAlign w:val="center"/>
          </w:tcPr>
          <w:p w:rsidR="002A5A5E" w:rsidRPr="00FC1444" w:rsidRDefault="00611CBA">
            <w:pPr>
              <w:jc w:val="center"/>
            </w:pPr>
            <w:r w:rsidRPr="00FC1444">
              <w:t>98</w:t>
            </w:r>
          </w:p>
        </w:tc>
        <w:tc>
          <w:tcPr>
            <w:tcW w:w="504" w:type="pct"/>
            <w:tcBorders>
              <w:tl2br w:val="nil"/>
              <w:tr2bl w:val="nil"/>
            </w:tcBorders>
            <w:vAlign w:val="center"/>
          </w:tcPr>
          <w:p w:rsidR="002A5A5E" w:rsidRPr="00FC1444" w:rsidRDefault="00611CBA">
            <w:pPr>
              <w:jc w:val="center"/>
            </w:pPr>
            <w:r w:rsidRPr="00FC1444">
              <w:t>98</w:t>
            </w:r>
          </w:p>
        </w:tc>
        <w:tc>
          <w:tcPr>
            <w:tcW w:w="719" w:type="pct"/>
            <w:tcBorders>
              <w:tl2br w:val="nil"/>
              <w:tr2bl w:val="nil"/>
            </w:tcBorders>
            <w:vAlign w:val="center"/>
          </w:tcPr>
          <w:p w:rsidR="002A5A5E" w:rsidRPr="00FC1444" w:rsidRDefault="002A5A5E">
            <w:pPr>
              <w:jc w:val="center"/>
            </w:pPr>
          </w:p>
        </w:tc>
        <w:tc>
          <w:tcPr>
            <w:tcW w:w="583" w:type="pct"/>
            <w:tcBorders>
              <w:left w:val="single" w:sz="4" w:space="0" w:color="auto"/>
              <w:tl2br w:val="nil"/>
              <w:tr2bl w:val="nil"/>
            </w:tcBorders>
            <w:vAlign w:val="center"/>
          </w:tcPr>
          <w:p w:rsidR="002A5A5E" w:rsidRPr="00FC1444" w:rsidRDefault="002A5A5E">
            <w:pPr>
              <w:jc w:val="center"/>
            </w:pPr>
          </w:p>
        </w:tc>
        <w:tc>
          <w:tcPr>
            <w:tcW w:w="556" w:type="pct"/>
            <w:tcBorders>
              <w:tl2br w:val="nil"/>
              <w:tr2bl w:val="nil"/>
            </w:tcBorders>
            <w:vAlign w:val="center"/>
          </w:tcPr>
          <w:p w:rsidR="002A5A5E" w:rsidRPr="00FC1444" w:rsidRDefault="00611CBA">
            <w:pPr>
              <w:jc w:val="center"/>
            </w:pPr>
            <w:r w:rsidRPr="00FC1444">
              <w:t>98</w:t>
            </w:r>
          </w:p>
        </w:tc>
        <w:tc>
          <w:tcPr>
            <w:tcW w:w="580" w:type="pct"/>
            <w:tcBorders>
              <w:tl2br w:val="nil"/>
              <w:tr2bl w:val="nil"/>
            </w:tcBorders>
            <w:vAlign w:val="center"/>
          </w:tcPr>
          <w:p w:rsidR="002A5A5E" w:rsidRPr="00FC1444" w:rsidRDefault="00611CBA">
            <w:pPr>
              <w:jc w:val="center"/>
            </w:pPr>
            <w:r w:rsidRPr="00FC1444">
              <w:t>98</w:t>
            </w:r>
          </w:p>
        </w:tc>
      </w:tr>
      <w:tr w:rsidR="002A5A5E" w:rsidRPr="00FC1444">
        <w:trPr>
          <w:trHeight w:val="340"/>
        </w:trPr>
        <w:tc>
          <w:tcPr>
            <w:tcW w:w="1267" w:type="pct"/>
            <w:tcBorders>
              <w:tl2br w:val="nil"/>
              <w:tr2bl w:val="nil"/>
            </w:tcBorders>
            <w:vAlign w:val="center"/>
          </w:tcPr>
          <w:p w:rsidR="002A5A5E" w:rsidRPr="00FC1444" w:rsidRDefault="00611CBA">
            <w:pPr>
              <w:jc w:val="center"/>
            </w:pPr>
            <w:r w:rsidRPr="00FC1444">
              <w:t>林草植被恢复率（</w:t>
            </w:r>
            <w:r w:rsidRPr="00FC1444">
              <w:t>%</w:t>
            </w:r>
            <w:r w:rsidRPr="00FC1444">
              <w:t>）</w:t>
            </w:r>
          </w:p>
        </w:tc>
        <w:tc>
          <w:tcPr>
            <w:tcW w:w="791" w:type="pct"/>
            <w:tcBorders>
              <w:tl2br w:val="nil"/>
              <w:tr2bl w:val="nil"/>
            </w:tcBorders>
            <w:vAlign w:val="center"/>
          </w:tcPr>
          <w:p w:rsidR="002A5A5E" w:rsidRPr="00FC1444" w:rsidRDefault="00611CBA">
            <w:pPr>
              <w:jc w:val="center"/>
            </w:pPr>
            <w:r w:rsidRPr="00FC1444">
              <w:t>-</w:t>
            </w:r>
          </w:p>
        </w:tc>
        <w:tc>
          <w:tcPr>
            <w:tcW w:w="504" w:type="pct"/>
            <w:tcBorders>
              <w:tl2br w:val="nil"/>
              <w:tr2bl w:val="nil"/>
            </w:tcBorders>
            <w:vAlign w:val="center"/>
          </w:tcPr>
          <w:p w:rsidR="002A5A5E" w:rsidRPr="00FC1444" w:rsidRDefault="00611CBA">
            <w:pPr>
              <w:jc w:val="center"/>
            </w:pPr>
            <w:r w:rsidRPr="00FC1444">
              <w:t>97</w:t>
            </w:r>
          </w:p>
        </w:tc>
        <w:tc>
          <w:tcPr>
            <w:tcW w:w="719" w:type="pct"/>
            <w:tcBorders>
              <w:tl2br w:val="nil"/>
              <w:tr2bl w:val="nil"/>
            </w:tcBorders>
            <w:vAlign w:val="center"/>
          </w:tcPr>
          <w:p w:rsidR="002A5A5E" w:rsidRPr="00FC1444" w:rsidRDefault="002A5A5E">
            <w:pPr>
              <w:jc w:val="center"/>
            </w:pPr>
          </w:p>
        </w:tc>
        <w:tc>
          <w:tcPr>
            <w:tcW w:w="583" w:type="pct"/>
            <w:tcBorders>
              <w:left w:val="single" w:sz="4" w:space="0" w:color="auto"/>
              <w:tl2br w:val="nil"/>
              <w:tr2bl w:val="nil"/>
            </w:tcBorders>
            <w:vAlign w:val="center"/>
          </w:tcPr>
          <w:p w:rsidR="002A5A5E" w:rsidRPr="00FC1444" w:rsidRDefault="002A5A5E">
            <w:pPr>
              <w:jc w:val="center"/>
            </w:pPr>
          </w:p>
        </w:tc>
        <w:tc>
          <w:tcPr>
            <w:tcW w:w="556" w:type="pct"/>
            <w:tcBorders>
              <w:tl2br w:val="nil"/>
              <w:tr2bl w:val="nil"/>
            </w:tcBorders>
            <w:vAlign w:val="center"/>
          </w:tcPr>
          <w:p w:rsidR="002A5A5E" w:rsidRPr="00FC1444" w:rsidRDefault="00611CBA">
            <w:pPr>
              <w:jc w:val="center"/>
            </w:pPr>
            <w:r w:rsidRPr="00FC1444">
              <w:t>-</w:t>
            </w:r>
          </w:p>
        </w:tc>
        <w:tc>
          <w:tcPr>
            <w:tcW w:w="580" w:type="pct"/>
            <w:tcBorders>
              <w:tl2br w:val="nil"/>
              <w:tr2bl w:val="nil"/>
            </w:tcBorders>
            <w:vAlign w:val="center"/>
          </w:tcPr>
          <w:p w:rsidR="002A5A5E" w:rsidRPr="00FC1444" w:rsidRDefault="00611CBA">
            <w:pPr>
              <w:jc w:val="center"/>
            </w:pPr>
            <w:r w:rsidRPr="00FC1444">
              <w:t>97</w:t>
            </w:r>
          </w:p>
        </w:tc>
      </w:tr>
      <w:tr w:rsidR="002A5A5E" w:rsidRPr="00FC1444">
        <w:trPr>
          <w:trHeight w:val="340"/>
        </w:trPr>
        <w:tc>
          <w:tcPr>
            <w:tcW w:w="1267" w:type="pct"/>
            <w:tcBorders>
              <w:tl2br w:val="nil"/>
              <w:tr2bl w:val="nil"/>
            </w:tcBorders>
            <w:vAlign w:val="center"/>
          </w:tcPr>
          <w:p w:rsidR="002A5A5E" w:rsidRPr="00FC1444" w:rsidRDefault="00611CBA">
            <w:pPr>
              <w:jc w:val="center"/>
            </w:pPr>
            <w:r w:rsidRPr="00FC1444">
              <w:t>林草覆盖率（</w:t>
            </w:r>
            <w:r w:rsidRPr="00FC1444">
              <w:t>%</w:t>
            </w:r>
            <w:r w:rsidRPr="00FC1444">
              <w:t>）</w:t>
            </w:r>
          </w:p>
        </w:tc>
        <w:tc>
          <w:tcPr>
            <w:tcW w:w="791" w:type="pct"/>
            <w:tcBorders>
              <w:tl2br w:val="nil"/>
              <w:tr2bl w:val="nil"/>
            </w:tcBorders>
            <w:vAlign w:val="center"/>
          </w:tcPr>
          <w:p w:rsidR="002A5A5E" w:rsidRPr="00FC1444" w:rsidRDefault="00611CBA">
            <w:pPr>
              <w:jc w:val="center"/>
            </w:pPr>
            <w:r w:rsidRPr="00FC1444">
              <w:t>-</w:t>
            </w:r>
          </w:p>
        </w:tc>
        <w:tc>
          <w:tcPr>
            <w:tcW w:w="504" w:type="pct"/>
            <w:tcBorders>
              <w:tl2br w:val="nil"/>
              <w:tr2bl w:val="nil"/>
            </w:tcBorders>
            <w:vAlign w:val="center"/>
          </w:tcPr>
          <w:p w:rsidR="002A5A5E" w:rsidRPr="00FC1444" w:rsidRDefault="00611CBA">
            <w:pPr>
              <w:jc w:val="center"/>
            </w:pPr>
            <w:r w:rsidRPr="00FC1444">
              <w:t>25</w:t>
            </w:r>
          </w:p>
        </w:tc>
        <w:tc>
          <w:tcPr>
            <w:tcW w:w="719" w:type="pct"/>
            <w:tcBorders>
              <w:tl2br w:val="nil"/>
              <w:tr2bl w:val="nil"/>
            </w:tcBorders>
            <w:vAlign w:val="center"/>
          </w:tcPr>
          <w:p w:rsidR="002A5A5E" w:rsidRPr="00FC1444" w:rsidRDefault="002A5A5E">
            <w:pPr>
              <w:jc w:val="center"/>
            </w:pPr>
          </w:p>
        </w:tc>
        <w:tc>
          <w:tcPr>
            <w:tcW w:w="583" w:type="pct"/>
            <w:tcBorders>
              <w:left w:val="single" w:sz="4" w:space="0" w:color="auto"/>
              <w:tl2br w:val="nil"/>
              <w:tr2bl w:val="nil"/>
            </w:tcBorders>
            <w:vAlign w:val="center"/>
          </w:tcPr>
          <w:p w:rsidR="002A5A5E" w:rsidRPr="00FC1444" w:rsidRDefault="00611CBA">
            <w:pPr>
              <w:jc w:val="center"/>
            </w:pPr>
            <w:r w:rsidRPr="00FC1444">
              <w:t>-13</w:t>
            </w:r>
          </w:p>
        </w:tc>
        <w:tc>
          <w:tcPr>
            <w:tcW w:w="556" w:type="pct"/>
            <w:tcBorders>
              <w:tl2br w:val="nil"/>
              <w:tr2bl w:val="nil"/>
            </w:tcBorders>
            <w:vAlign w:val="center"/>
          </w:tcPr>
          <w:p w:rsidR="002A5A5E" w:rsidRPr="00FC1444" w:rsidRDefault="00611CBA">
            <w:pPr>
              <w:jc w:val="center"/>
            </w:pPr>
            <w:r w:rsidRPr="00FC1444">
              <w:t>-</w:t>
            </w:r>
          </w:p>
        </w:tc>
        <w:tc>
          <w:tcPr>
            <w:tcW w:w="580" w:type="pct"/>
            <w:tcBorders>
              <w:tl2br w:val="nil"/>
              <w:tr2bl w:val="nil"/>
            </w:tcBorders>
            <w:vAlign w:val="center"/>
          </w:tcPr>
          <w:p w:rsidR="002A5A5E" w:rsidRPr="00FC1444" w:rsidRDefault="00611CBA">
            <w:pPr>
              <w:jc w:val="center"/>
            </w:pPr>
            <w:r w:rsidRPr="00FC1444">
              <w:t>12</w:t>
            </w:r>
          </w:p>
        </w:tc>
      </w:tr>
    </w:tbl>
    <w:p w:rsidR="002A5A5E" w:rsidRPr="00FC1444" w:rsidRDefault="009840DD">
      <w:pPr>
        <w:autoSpaceDE w:val="0"/>
        <w:autoSpaceDN w:val="0"/>
        <w:spacing w:line="360" w:lineRule="auto"/>
        <w:ind w:firstLineChars="200" w:firstLine="480"/>
        <w:contextualSpacing/>
        <w:rPr>
          <w:rFonts w:eastAsiaTheme="minorEastAsia"/>
          <w:sz w:val="24"/>
        </w:rPr>
      </w:pPr>
      <w:r w:rsidRPr="00FC1444">
        <w:rPr>
          <w:rFonts w:eastAsiaTheme="minorEastAsia"/>
          <w:sz w:val="24"/>
        </w:rPr>
        <w:fldChar w:fldCharType="begin"/>
      </w:r>
      <w:r w:rsidR="00611CBA" w:rsidRPr="00FC1444">
        <w:rPr>
          <w:rFonts w:eastAsiaTheme="minorEastAsia"/>
          <w:sz w:val="24"/>
        </w:rPr>
        <w:instrText xml:space="preserve"> = 3 \* GB3 </w:instrText>
      </w:r>
      <w:r w:rsidRPr="00FC1444">
        <w:rPr>
          <w:rFonts w:eastAsiaTheme="minorEastAsia"/>
          <w:sz w:val="24"/>
        </w:rPr>
        <w:fldChar w:fldCharType="separate"/>
      </w:r>
      <w:r w:rsidR="00611CBA" w:rsidRPr="00FC1444">
        <w:rPr>
          <w:rFonts w:ascii="宋体" w:hAnsi="宋体" w:cs="宋体" w:hint="eastAsia"/>
          <w:sz w:val="24"/>
        </w:rPr>
        <w:t>③</w:t>
      </w:r>
      <w:r w:rsidRPr="00FC1444">
        <w:rPr>
          <w:rFonts w:eastAsiaTheme="minorEastAsia"/>
          <w:sz w:val="24"/>
        </w:rPr>
        <w:fldChar w:fldCharType="end"/>
      </w:r>
      <w:r w:rsidR="00611CBA" w:rsidRPr="00FC1444">
        <w:rPr>
          <w:rFonts w:eastAsiaTheme="minorEastAsia"/>
          <w:bCs/>
          <w:sz w:val="24"/>
        </w:rPr>
        <w:t>水土流失现状</w:t>
      </w:r>
    </w:p>
    <w:p w:rsidR="002A5A5E" w:rsidRPr="00FC1444" w:rsidRDefault="00611CBA">
      <w:pPr>
        <w:spacing w:line="360" w:lineRule="auto"/>
        <w:ind w:firstLineChars="200" w:firstLine="480"/>
        <w:rPr>
          <w:rFonts w:eastAsiaTheme="minorEastAsia"/>
          <w:sz w:val="24"/>
        </w:rPr>
      </w:pPr>
      <w:r w:rsidRPr="00FC1444">
        <w:rPr>
          <w:sz w:val="24"/>
        </w:rPr>
        <w:t>根据《黑龙江省水土保持规划（</w:t>
      </w:r>
      <w:r w:rsidRPr="00FC1444">
        <w:rPr>
          <w:sz w:val="24"/>
        </w:rPr>
        <w:t xml:space="preserve">2015-2030 </w:t>
      </w:r>
      <w:r w:rsidRPr="00FC1444">
        <w:rPr>
          <w:sz w:val="24"/>
        </w:rPr>
        <w:t>年）》，本项目涉及省级水土流失重点治理区。根据《土壤侵蚀分类分级标准》（</w:t>
      </w:r>
      <w:r w:rsidRPr="00FC1444">
        <w:rPr>
          <w:sz w:val="24"/>
        </w:rPr>
        <w:t>SL190-2007</w:t>
      </w:r>
      <w:r w:rsidRPr="00FC1444">
        <w:rPr>
          <w:sz w:val="24"/>
        </w:rPr>
        <w:t>），项目区土壤侵蚀类型为水力侵蚀；项目区属于东北黑土区，水土流失强度以轻度为主，针对项目区域的地形、地貌、降雨、风速、土壤、植被等水土流失影响因子的特性，结合现场实际调查等综合分析项目区平均土壤侵蚀模数为</w:t>
      </w:r>
      <w:r w:rsidRPr="00FC1444">
        <w:rPr>
          <w:sz w:val="24"/>
        </w:rPr>
        <w:t>800t/km</w:t>
      </w:r>
      <w:r w:rsidRPr="00FC1444">
        <w:rPr>
          <w:sz w:val="24"/>
          <w:vertAlign w:val="superscript"/>
        </w:rPr>
        <w:t>2</w:t>
      </w:r>
      <w:r w:rsidRPr="00FC1444">
        <w:rPr>
          <w:sz w:val="24"/>
        </w:rPr>
        <w:t>·a</w:t>
      </w:r>
      <w:r w:rsidRPr="00FC1444">
        <w:rPr>
          <w:sz w:val="24"/>
        </w:rPr>
        <w:t>，容许土壤流失量为</w:t>
      </w:r>
      <w:r w:rsidRPr="00FC1444">
        <w:rPr>
          <w:sz w:val="24"/>
        </w:rPr>
        <w:t>200t/km</w:t>
      </w:r>
      <w:r w:rsidRPr="00FC1444">
        <w:rPr>
          <w:sz w:val="24"/>
          <w:vertAlign w:val="superscript"/>
        </w:rPr>
        <w:t>2</w:t>
      </w:r>
      <w:r w:rsidRPr="00FC1444">
        <w:rPr>
          <w:sz w:val="24"/>
        </w:rPr>
        <w:t>·a</w:t>
      </w:r>
      <w:r w:rsidRPr="00FC1444">
        <w:rPr>
          <w:sz w:val="24"/>
        </w:rPr>
        <w:t>。</w:t>
      </w:r>
    </w:p>
    <w:p w:rsidR="002A5A5E" w:rsidRPr="00FC1444" w:rsidRDefault="009840DD">
      <w:pPr>
        <w:spacing w:line="360" w:lineRule="auto"/>
        <w:ind w:firstLineChars="200" w:firstLine="480"/>
        <w:rPr>
          <w:rFonts w:eastAsiaTheme="minorEastAsia"/>
          <w:b/>
          <w:sz w:val="24"/>
        </w:rPr>
      </w:pPr>
      <w:r w:rsidRPr="00FC1444">
        <w:rPr>
          <w:rFonts w:eastAsiaTheme="minorEastAsia"/>
          <w:sz w:val="24"/>
        </w:rPr>
        <w:fldChar w:fldCharType="begin"/>
      </w:r>
      <w:r w:rsidR="00611CBA" w:rsidRPr="00FC1444">
        <w:rPr>
          <w:rFonts w:eastAsiaTheme="minorEastAsia"/>
          <w:sz w:val="24"/>
        </w:rPr>
        <w:instrText xml:space="preserve"> = 4 \* GB3 </w:instrText>
      </w:r>
      <w:r w:rsidRPr="00FC1444">
        <w:rPr>
          <w:rFonts w:eastAsiaTheme="minorEastAsia"/>
          <w:sz w:val="24"/>
        </w:rPr>
        <w:fldChar w:fldCharType="separate"/>
      </w:r>
      <w:r w:rsidR="00611CBA" w:rsidRPr="00FC1444">
        <w:rPr>
          <w:rFonts w:ascii="宋体" w:hAnsi="宋体" w:cs="宋体" w:hint="eastAsia"/>
          <w:sz w:val="24"/>
        </w:rPr>
        <w:t>④</w:t>
      </w:r>
      <w:r w:rsidRPr="00FC1444">
        <w:rPr>
          <w:rFonts w:eastAsiaTheme="minorEastAsia"/>
          <w:sz w:val="24"/>
        </w:rPr>
        <w:fldChar w:fldCharType="end"/>
      </w:r>
      <w:r w:rsidR="00611CBA" w:rsidRPr="00FC1444">
        <w:rPr>
          <w:rFonts w:eastAsiaTheme="minorEastAsia"/>
          <w:bCs/>
          <w:sz w:val="24"/>
        </w:rPr>
        <w:t>水土流失影响因素分析</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kern w:val="0"/>
          <w:sz w:val="24"/>
        </w:rPr>
        <w:t>本项目建设与生产对水土流失的影响按水土流失产生部位、水土流失特点及</w:t>
      </w:r>
      <w:r w:rsidRPr="00FC1444">
        <w:rPr>
          <w:rFonts w:eastAsiaTheme="minorEastAsia"/>
          <w:sz w:val="24"/>
        </w:rPr>
        <w:t>水土流失影响因素可分为施工期（含施工准备期）和自然恢复期</w:t>
      </w:r>
      <w:r w:rsidRPr="00FC1444">
        <w:rPr>
          <w:rFonts w:eastAsiaTheme="minorEastAsia"/>
          <w:sz w:val="24"/>
        </w:rPr>
        <w:t>2</w:t>
      </w:r>
      <w:r w:rsidRPr="00FC1444">
        <w:rPr>
          <w:rFonts w:eastAsiaTheme="minorEastAsia"/>
          <w:sz w:val="24"/>
        </w:rPr>
        <w:t>个阶段。</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施工期（含施工准备期）：该阶段水土流失影响因素以人为活动为主导因素。项目建设过程中，建构物基础开挖、回填、建筑材料堆放、施工机械碾压和工人践踏等活动，改变了项目区地形地貌，扰动地表，破坏植被，将引起水土流失加剧。</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自然恢复期：该阶段工程建设已经完成，人为活动对地表扰动较小，建设区域内水土流失强度将大大降低，水土流失因素以自然因素为主。自然恢复期项目区部分地表被建构物等所占压使用，裸露的土地采取工程措施与植物措施相结合进行综合防治。在植物措施尚未完全发挥其水土保持功能之前，受降雨溅蚀和径流冲刷，仍会有轻度的水土流失发生。但随着植物生长，覆盖度增加，水土流失将会逐渐得到控制。</w:t>
      </w:r>
    </w:p>
    <w:p w:rsidR="009C6020" w:rsidRPr="00FC1444" w:rsidRDefault="009C6020">
      <w:pPr>
        <w:jc w:val="center"/>
        <w:rPr>
          <w:rFonts w:eastAsiaTheme="minorEastAsia"/>
          <w:b/>
          <w:bCs/>
          <w:szCs w:val="21"/>
        </w:rPr>
      </w:pPr>
    </w:p>
    <w:p w:rsidR="002A5A5E" w:rsidRPr="00FC1444" w:rsidRDefault="00611CBA">
      <w:pPr>
        <w:jc w:val="center"/>
        <w:rPr>
          <w:rFonts w:eastAsiaTheme="minorEastAsia"/>
          <w:b/>
          <w:bCs/>
          <w:szCs w:val="21"/>
        </w:rPr>
      </w:pPr>
      <w:r w:rsidRPr="00FC1444">
        <w:rPr>
          <w:rFonts w:eastAsiaTheme="minorEastAsia"/>
          <w:b/>
          <w:bCs/>
          <w:szCs w:val="21"/>
        </w:rPr>
        <w:lastRenderedPageBreak/>
        <w:t>表</w:t>
      </w:r>
      <w:r w:rsidRPr="00FC1444">
        <w:rPr>
          <w:rFonts w:eastAsiaTheme="minorEastAsia"/>
          <w:b/>
          <w:bCs/>
          <w:szCs w:val="21"/>
        </w:rPr>
        <w:t>5-1-8</w:t>
      </w:r>
      <w:r w:rsidRPr="00FC1444">
        <w:rPr>
          <w:rFonts w:eastAsiaTheme="minorEastAsia"/>
          <w:b/>
          <w:bCs/>
          <w:szCs w:val="21"/>
        </w:rPr>
        <w:t>可能造成水土流失的因素分析</w:t>
      </w:r>
    </w:p>
    <w:tbl>
      <w:tblPr>
        <w:tblW w:w="8528"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76"/>
        <w:gridCol w:w="1700"/>
        <w:gridCol w:w="6152"/>
      </w:tblGrid>
      <w:tr w:rsidR="002A5A5E" w:rsidRPr="00FC1444">
        <w:trPr>
          <w:cantSplit/>
          <w:trHeight w:val="340"/>
          <w:jc w:val="center"/>
        </w:trPr>
        <w:tc>
          <w:tcPr>
            <w:tcW w:w="676" w:type="dxa"/>
            <w:vAlign w:val="center"/>
          </w:tcPr>
          <w:p w:rsidR="002A5A5E" w:rsidRPr="00FC1444" w:rsidRDefault="00611CBA">
            <w:pPr>
              <w:widowControl/>
              <w:adjustRightInd w:val="0"/>
              <w:snapToGrid w:val="0"/>
              <w:jc w:val="center"/>
              <w:rPr>
                <w:rFonts w:eastAsiaTheme="minorEastAsia"/>
                <w:kern w:val="0"/>
                <w:szCs w:val="21"/>
              </w:rPr>
            </w:pPr>
            <w:r w:rsidRPr="00FC1444">
              <w:rPr>
                <w:rFonts w:eastAsiaTheme="minorEastAsia"/>
                <w:kern w:val="0"/>
                <w:szCs w:val="21"/>
              </w:rPr>
              <w:t>序号</w:t>
            </w:r>
          </w:p>
        </w:tc>
        <w:tc>
          <w:tcPr>
            <w:tcW w:w="1700" w:type="dxa"/>
            <w:vAlign w:val="center"/>
          </w:tcPr>
          <w:p w:rsidR="002A5A5E" w:rsidRPr="00FC1444" w:rsidRDefault="00611CBA">
            <w:pPr>
              <w:widowControl/>
              <w:adjustRightInd w:val="0"/>
              <w:snapToGrid w:val="0"/>
              <w:jc w:val="center"/>
              <w:rPr>
                <w:rFonts w:eastAsiaTheme="minorEastAsia"/>
                <w:kern w:val="0"/>
                <w:szCs w:val="21"/>
              </w:rPr>
            </w:pPr>
            <w:r w:rsidRPr="00FC1444">
              <w:rPr>
                <w:rFonts w:eastAsiaTheme="minorEastAsia"/>
                <w:kern w:val="0"/>
                <w:szCs w:val="21"/>
              </w:rPr>
              <w:t>预测单元</w:t>
            </w:r>
          </w:p>
        </w:tc>
        <w:tc>
          <w:tcPr>
            <w:tcW w:w="6152" w:type="dxa"/>
            <w:vAlign w:val="center"/>
          </w:tcPr>
          <w:p w:rsidR="002A5A5E" w:rsidRPr="00FC1444" w:rsidRDefault="00611CBA">
            <w:pPr>
              <w:widowControl/>
              <w:adjustRightInd w:val="0"/>
              <w:snapToGrid w:val="0"/>
              <w:jc w:val="center"/>
              <w:rPr>
                <w:rFonts w:eastAsiaTheme="minorEastAsia"/>
                <w:kern w:val="0"/>
                <w:szCs w:val="21"/>
              </w:rPr>
            </w:pPr>
            <w:r w:rsidRPr="00FC1444">
              <w:rPr>
                <w:rFonts w:eastAsiaTheme="minorEastAsia"/>
                <w:kern w:val="0"/>
                <w:szCs w:val="21"/>
              </w:rPr>
              <w:t>可能造成水土流失的因素分析</w:t>
            </w:r>
          </w:p>
        </w:tc>
      </w:tr>
      <w:tr w:rsidR="002A5A5E" w:rsidRPr="00FC1444">
        <w:trPr>
          <w:cantSplit/>
          <w:trHeight w:val="340"/>
          <w:jc w:val="center"/>
        </w:trPr>
        <w:tc>
          <w:tcPr>
            <w:tcW w:w="676" w:type="dxa"/>
            <w:vAlign w:val="center"/>
          </w:tcPr>
          <w:p w:rsidR="002A5A5E" w:rsidRPr="00FC1444" w:rsidRDefault="00611CBA">
            <w:pPr>
              <w:widowControl/>
              <w:adjustRightInd w:val="0"/>
              <w:snapToGrid w:val="0"/>
              <w:jc w:val="center"/>
              <w:rPr>
                <w:rFonts w:eastAsiaTheme="minorEastAsia"/>
                <w:kern w:val="0"/>
                <w:szCs w:val="21"/>
              </w:rPr>
            </w:pPr>
            <w:r w:rsidRPr="00FC1444">
              <w:rPr>
                <w:rFonts w:eastAsiaTheme="minorEastAsia"/>
                <w:kern w:val="0"/>
                <w:szCs w:val="21"/>
              </w:rPr>
              <w:t>1</w:t>
            </w:r>
          </w:p>
        </w:tc>
        <w:tc>
          <w:tcPr>
            <w:tcW w:w="1700" w:type="dxa"/>
            <w:vAlign w:val="center"/>
          </w:tcPr>
          <w:p w:rsidR="002A5A5E" w:rsidRPr="00FC1444" w:rsidRDefault="00611CBA">
            <w:pPr>
              <w:widowControl/>
              <w:adjustRightInd w:val="0"/>
              <w:snapToGrid w:val="0"/>
              <w:jc w:val="center"/>
              <w:rPr>
                <w:rFonts w:eastAsiaTheme="minorEastAsia"/>
                <w:kern w:val="0"/>
                <w:szCs w:val="21"/>
              </w:rPr>
            </w:pPr>
            <w:r w:rsidRPr="00FC1444">
              <w:rPr>
                <w:rFonts w:eastAsiaTheme="minorEastAsia"/>
                <w:kern w:val="0"/>
                <w:szCs w:val="21"/>
              </w:rPr>
              <w:t>主体工程区</w:t>
            </w:r>
          </w:p>
        </w:tc>
        <w:tc>
          <w:tcPr>
            <w:tcW w:w="6152" w:type="dxa"/>
            <w:vAlign w:val="center"/>
          </w:tcPr>
          <w:p w:rsidR="002A5A5E" w:rsidRPr="00FC1444" w:rsidRDefault="00611CBA">
            <w:pPr>
              <w:widowControl/>
              <w:adjustRightInd w:val="0"/>
              <w:snapToGrid w:val="0"/>
              <w:textAlignment w:val="center"/>
              <w:rPr>
                <w:rFonts w:eastAsiaTheme="minorEastAsia"/>
                <w:kern w:val="0"/>
                <w:szCs w:val="21"/>
              </w:rPr>
            </w:pPr>
            <w:r w:rsidRPr="00FC1444">
              <w:rPr>
                <w:rFonts w:eastAsiaTheme="minorEastAsia"/>
                <w:kern w:val="0"/>
                <w:szCs w:val="21"/>
              </w:rPr>
              <w:t>渠道、建筑物清基、基础开挖，产生弃土临时堆置；干渠填筑形成土质坡面裸露；工程建设压占、扰动大面积土地，破坏地表植被。水土流失主要发生在清基和土方填筑过程中，松散弃渣堆置和裸露的土质坡面在外营力作用下易产生流失</w:t>
            </w:r>
          </w:p>
        </w:tc>
      </w:tr>
      <w:tr w:rsidR="002A5A5E" w:rsidRPr="00FC1444">
        <w:trPr>
          <w:cantSplit/>
          <w:trHeight w:val="340"/>
          <w:jc w:val="center"/>
        </w:trPr>
        <w:tc>
          <w:tcPr>
            <w:tcW w:w="676" w:type="dxa"/>
            <w:vAlign w:val="center"/>
          </w:tcPr>
          <w:p w:rsidR="002A5A5E" w:rsidRPr="00FC1444" w:rsidRDefault="00611CBA">
            <w:pPr>
              <w:widowControl/>
              <w:adjustRightInd w:val="0"/>
              <w:snapToGrid w:val="0"/>
              <w:jc w:val="center"/>
              <w:rPr>
                <w:rFonts w:eastAsiaTheme="minorEastAsia"/>
                <w:kern w:val="0"/>
                <w:szCs w:val="21"/>
              </w:rPr>
            </w:pPr>
            <w:r w:rsidRPr="00FC1444">
              <w:rPr>
                <w:rFonts w:eastAsiaTheme="minorEastAsia"/>
                <w:kern w:val="0"/>
                <w:szCs w:val="21"/>
              </w:rPr>
              <w:t>2</w:t>
            </w:r>
          </w:p>
        </w:tc>
        <w:tc>
          <w:tcPr>
            <w:tcW w:w="1700" w:type="dxa"/>
            <w:vAlign w:val="center"/>
          </w:tcPr>
          <w:p w:rsidR="002A5A5E" w:rsidRPr="00FC1444" w:rsidRDefault="00611CBA">
            <w:pPr>
              <w:widowControl/>
              <w:adjustRightInd w:val="0"/>
              <w:snapToGrid w:val="0"/>
              <w:jc w:val="center"/>
              <w:rPr>
                <w:rFonts w:eastAsiaTheme="minorEastAsia"/>
                <w:kern w:val="0"/>
                <w:szCs w:val="21"/>
              </w:rPr>
            </w:pPr>
            <w:r w:rsidRPr="00FC1444">
              <w:t>临时堆土区</w:t>
            </w:r>
          </w:p>
        </w:tc>
        <w:tc>
          <w:tcPr>
            <w:tcW w:w="6152" w:type="dxa"/>
            <w:vAlign w:val="center"/>
          </w:tcPr>
          <w:p w:rsidR="002A5A5E" w:rsidRPr="00FC1444" w:rsidRDefault="00611CBA">
            <w:pPr>
              <w:widowControl/>
              <w:adjustRightInd w:val="0"/>
              <w:snapToGrid w:val="0"/>
              <w:rPr>
                <w:rFonts w:eastAsiaTheme="minorEastAsia"/>
                <w:kern w:val="0"/>
                <w:szCs w:val="21"/>
              </w:rPr>
            </w:pPr>
            <w:r w:rsidRPr="00FC1444">
              <w:rPr>
                <w:rFonts w:eastAsiaTheme="minorEastAsia"/>
                <w:kern w:val="0"/>
                <w:szCs w:val="21"/>
              </w:rPr>
              <w:t>施工机械碾压、施工人员扰动、占压地表、土方回填、施工机械碾压</w:t>
            </w:r>
          </w:p>
        </w:tc>
      </w:tr>
      <w:tr w:rsidR="002A5A5E" w:rsidRPr="00FC1444">
        <w:trPr>
          <w:cantSplit/>
          <w:trHeight w:val="340"/>
          <w:jc w:val="center"/>
        </w:trPr>
        <w:tc>
          <w:tcPr>
            <w:tcW w:w="676" w:type="dxa"/>
            <w:vAlign w:val="center"/>
          </w:tcPr>
          <w:p w:rsidR="002A5A5E" w:rsidRPr="00FC1444" w:rsidRDefault="00611CBA">
            <w:pPr>
              <w:widowControl/>
              <w:adjustRightInd w:val="0"/>
              <w:snapToGrid w:val="0"/>
              <w:jc w:val="center"/>
              <w:rPr>
                <w:rFonts w:eastAsiaTheme="minorEastAsia"/>
                <w:kern w:val="0"/>
                <w:szCs w:val="21"/>
              </w:rPr>
            </w:pPr>
            <w:r w:rsidRPr="00FC1444">
              <w:rPr>
                <w:rFonts w:eastAsiaTheme="minorEastAsia"/>
                <w:kern w:val="0"/>
                <w:szCs w:val="21"/>
              </w:rPr>
              <w:t>3</w:t>
            </w:r>
          </w:p>
        </w:tc>
        <w:tc>
          <w:tcPr>
            <w:tcW w:w="1700" w:type="dxa"/>
            <w:vAlign w:val="center"/>
          </w:tcPr>
          <w:p w:rsidR="002A5A5E" w:rsidRPr="00FC1444" w:rsidRDefault="00611CBA">
            <w:pPr>
              <w:widowControl/>
              <w:adjustRightInd w:val="0"/>
              <w:snapToGrid w:val="0"/>
              <w:jc w:val="center"/>
              <w:rPr>
                <w:rFonts w:eastAsiaTheme="minorEastAsia"/>
                <w:kern w:val="0"/>
                <w:szCs w:val="21"/>
              </w:rPr>
            </w:pPr>
            <w:r w:rsidRPr="00FC1444">
              <w:rPr>
                <w:rFonts w:eastAsiaTheme="minorEastAsia"/>
                <w:kern w:val="0"/>
                <w:szCs w:val="21"/>
              </w:rPr>
              <w:t>施工道路区</w:t>
            </w:r>
          </w:p>
        </w:tc>
        <w:tc>
          <w:tcPr>
            <w:tcW w:w="6152" w:type="dxa"/>
            <w:vAlign w:val="center"/>
          </w:tcPr>
          <w:p w:rsidR="002A5A5E" w:rsidRPr="00FC1444" w:rsidRDefault="00611CBA">
            <w:pPr>
              <w:widowControl/>
              <w:adjustRightInd w:val="0"/>
              <w:snapToGrid w:val="0"/>
              <w:rPr>
                <w:rFonts w:eastAsiaTheme="minorEastAsia"/>
                <w:kern w:val="0"/>
                <w:szCs w:val="21"/>
              </w:rPr>
            </w:pPr>
            <w:r w:rsidRPr="00FC1444">
              <w:rPr>
                <w:rFonts w:eastAsiaTheme="minorEastAsia"/>
                <w:kern w:val="0"/>
                <w:szCs w:val="21"/>
              </w:rPr>
              <w:t>场地平整、路基填筑、占压地表</w:t>
            </w:r>
          </w:p>
        </w:tc>
      </w:tr>
    </w:tbl>
    <w:p w:rsidR="002A5A5E" w:rsidRPr="00FC1444" w:rsidRDefault="009840DD">
      <w:pPr>
        <w:autoSpaceDE w:val="0"/>
        <w:autoSpaceDN w:val="0"/>
        <w:spacing w:line="360" w:lineRule="auto"/>
        <w:ind w:firstLineChars="200" w:firstLine="480"/>
        <w:contextualSpacing/>
        <w:rPr>
          <w:rFonts w:eastAsiaTheme="minorEastAsia"/>
          <w:sz w:val="24"/>
        </w:rPr>
      </w:pPr>
      <w:r w:rsidRPr="00FC1444">
        <w:rPr>
          <w:rFonts w:eastAsiaTheme="minorEastAsia"/>
          <w:sz w:val="24"/>
        </w:rPr>
        <w:fldChar w:fldCharType="begin"/>
      </w:r>
      <w:r w:rsidR="00611CBA" w:rsidRPr="00FC1444">
        <w:rPr>
          <w:rFonts w:eastAsiaTheme="minorEastAsia"/>
          <w:sz w:val="24"/>
        </w:rPr>
        <w:instrText xml:space="preserve"> = 5 \* GB3 </w:instrText>
      </w:r>
      <w:r w:rsidRPr="00FC1444">
        <w:rPr>
          <w:rFonts w:eastAsiaTheme="minorEastAsia"/>
          <w:sz w:val="24"/>
        </w:rPr>
        <w:fldChar w:fldCharType="separate"/>
      </w:r>
      <w:r w:rsidR="00611CBA" w:rsidRPr="00FC1444">
        <w:rPr>
          <w:rFonts w:ascii="宋体" w:hAnsi="宋体" w:cs="宋体" w:hint="eastAsia"/>
          <w:sz w:val="24"/>
        </w:rPr>
        <w:t>⑤</w:t>
      </w:r>
      <w:r w:rsidRPr="00FC1444">
        <w:rPr>
          <w:rFonts w:eastAsiaTheme="minorEastAsia"/>
          <w:sz w:val="24"/>
        </w:rPr>
        <w:fldChar w:fldCharType="end"/>
      </w:r>
      <w:r w:rsidR="00611CBA" w:rsidRPr="00FC1444">
        <w:rPr>
          <w:rFonts w:eastAsiaTheme="minorEastAsia"/>
          <w:sz w:val="24"/>
        </w:rPr>
        <w:t>水土流失预测</w:t>
      </w:r>
    </w:p>
    <w:p w:rsidR="002A5A5E" w:rsidRPr="00FC1444" w:rsidRDefault="00611CBA" w:rsidP="003E5585">
      <w:pPr>
        <w:autoSpaceDE w:val="0"/>
        <w:autoSpaceDN w:val="0"/>
        <w:spacing w:line="360" w:lineRule="auto"/>
        <w:ind w:firstLineChars="200" w:firstLine="480"/>
        <w:contextualSpacing/>
        <w:rPr>
          <w:rFonts w:eastAsiaTheme="minorEastAsia"/>
          <w:sz w:val="24"/>
        </w:rPr>
      </w:pPr>
      <w:r w:rsidRPr="00FC1444">
        <w:rPr>
          <w:rFonts w:eastAsiaTheme="minorEastAsia"/>
          <w:sz w:val="24"/>
        </w:rPr>
        <w:t>预测单元</w:t>
      </w:r>
      <w:r w:rsidR="003E5585" w:rsidRPr="00FC1444">
        <w:rPr>
          <w:rFonts w:eastAsiaTheme="minorEastAsia"/>
          <w:sz w:val="24"/>
        </w:rPr>
        <w:t>：</w:t>
      </w:r>
      <w:r w:rsidRPr="00FC1444">
        <w:rPr>
          <w:rFonts w:eastAsiaTheme="minorEastAsia"/>
          <w:sz w:val="24"/>
        </w:rPr>
        <w:t>依据工程布局、扰动地表时段、扰动形式以及扰动强度和特点，本项目预测单元划分为主体工程区、施工道路区以及临时堆土区。根据不同预测单元施工结束后地面的处理方式，结合工程平面布置以及项目区地形地势，对不同预测单元施工期和自然恢复期的预测面积进行了详细的统计。</w:t>
      </w:r>
    </w:p>
    <w:p w:rsidR="002A5A5E" w:rsidRPr="00FC1444" w:rsidRDefault="00611CBA" w:rsidP="003E5585">
      <w:pPr>
        <w:autoSpaceDE w:val="0"/>
        <w:autoSpaceDN w:val="0"/>
        <w:spacing w:line="360" w:lineRule="auto"/>
        <w:ind w:firstLineChars="200" w:firstLine="480"/>
        <w:contextualSpacing/>
        <w:rPr>
          <w:rFonts w:eastAsiaTheme="minorEastAsia"/>
          <w:sz w:val="24"/>
        </w:rPr>
      </w:pPr>
      <w:r w:rsidRPr="00FC1444">
        <w:rPr>
          <w:rFonts w:eastAsiaTheme="minorEastAsia"/>
          <w:sz w:val="24"/>
        </w:rPr>
        <w:t>预测时段</w:t>
      </w:r>
      <w:r w:rsidR="003E5585" w:rsidRPr="00FC1444">
        <w:rPr>
          <w:rFonts w:eastAsiaTheme="minorEastAsia"/>
          <w:sz w:val="24"/>
        </w:rPr>
        <w:t>：</w:t>
      </w:r>
      <w:r w:rsidRPr="00FC1444">
        <w:rPr>
          <w:rFonts w:eastAsiaTheme="minorEastAsia"/>
          <w:sz w:val="24"/>
        </w:rPr>
        <w:t>本项目水土流失预测时段划分为施工期（包括施工准备期）和自然恢复期。</w:t>
      </w:r>
      <w:r w:rsidRPr="00FC1444">
        <w:rPr>
          <w:rFonts w:eastAsiaTheme="minorEastAsia"/>
          <w:sz w:val="24"/>
        </w:rPr>
        <w:t xml:space="preserve"> </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1</w:t>
      </w:r>
      <w:r w:rsidRPr="00FC1444">
        <w:rPr>
          <w:rFonts w:eastAsiaTheme="minorEastAsia"/>
          <w:sz w:val="24"/>
        </w:rPr>
        <w:t>）施工期</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本项目总施工工期</w:t>
      </w:r>
      <w:r w:rsidRPr="00FC1444">
        <w:rPr>
          <w:rFonts w:eastAsiaTheme="minorEastAsia"/>
          <w:sz w:val="24"/>
        </w:rPr>
        <w:t xml:space="preserve"> </w:t>
      </w:r>
      <w:r w:rsidR="00E33931" w:rsidRPr="00FC1444">
        <w:rPr>
          <w:rFonts w:eastAsiaTheme="minorEastAsia" w:hint="eastAsia"/>
          <w:sz w:val="24"/>
        </w:rPr>
        <w:t>23</w:t>
      </w:r>
      <w:r w:rsidRPr="00FC1444">
        <w:rPr>
          <w:rFonts w:eastAsiaTheme="minorEastAsia"/>
          <w:sz w:val="24"/>
        </w:rPr>
        <w:t>个月，此阶段扰动程度高，水土流失显著，是重点预测时段。根据主体工程进度安排，按最不利情况考虑，确定施工期水土流失预测时段为</w:t>
      </w:r>
      <w:r w:rsidRPr="00FC1444">
        <w:rPr>
          <w:rFonts w:eastAsiaTheme="minorEastAsia"/>
          <w:sz w:val="24"/>
        </w:rPr>
        <w:t>3.75</w:t>
      </w:r>
      <w:r w:rsidRPr="00FC1444">
        <w:rPr>
          <w:rFonts w:eastAsiaTheme="minorEastAsia"/>
          <w:sz w:val="24"/>
        </w:rPr>
        <w:t>年。</w:t>
      </w:r>
      <w:r w:rsidRPr="00FC1444">
        <w:rPr>
          <w:rFonts w:eastAsiaTheme="minorEastAsia"/>
          <w:sz w:val="24"/>
        </w:rPr>
        <w:t xml:space="preserve"> </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2</w:t>
      </w:r>
      <w:r w:rsidRPr="00FC1444">
        <w:rPr>
          <w:rFonts w:eastAsiaTheme="minorEastAsia"/>
          <w:sz w:val="24"/>
        </w:rPr>
        <w:t>）自然恢复期</w:t>
      </w:r>
      <w:r w:rsidRPr="00FC1444">
        <w:rPr>
          <w:rFonts w:eastAsiaTheme="minorEastAsia"/>
          <w:sz w:val="24"/>
        </w:rPr>
        <w:t xml:space="preserve"> </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依据项目区现状土地类型、当地的水热条件和立地条件，依靠自然恢复能够形成保土保水生态功能。土壤侵蚀强度自然恢复到扰动前土壤侵蚀强度所需要的时间，应根据当地自然条件决定，一般情况湿润区取</w:t>
      </w:r>
      <w:r w:rsidRPr="00FC1444">
        <w:rPr>
          <w:rFonts w:eastAsiaTheme="minorEastAsia"/>
          <w:sz w:val="24"/>
        </w:rPr>
        <w:t>2</w:t>
      </w:r>
      <w:r w:rsidRPr="00FC1444">
        <w:rPr>
          <w:rFonts w:eastAsiaTheme="minorEastAsia"/>
          <w:sz w:val="24"/>
        </w:rPr>
        <w:t>年，半湿润区取</w:t>
      </w:r>
      <w:r w:rsidRPr="00FC1444">
        <w:rPr>
          <w:rFonts w:eastAsiaTheme="minorEastAsia"/>
          <w:sz w:val="24"/>
        </w:rPr>
        <w:t>3</w:t>
      </w:r>
      <w:r w:rsidRPr="00FC1444">
        <w:rPr>
          <w:rFonts w:eastAsiaTheme="minorEastAsia"/>
          <w:sz w:val="24"/>
        </w:rPr>
        <w:t>年，干旱半干旱区取</w:t>
      </w:r>
      <w:r w:rsidRPr="00FC1444">
        <w:rPr>
          <w:rFonts w:eastAsiaTheme="minorEastAsia"/>
          <w:sz w:val="24"/>
        </w:rPr>
        <w:t>5</w:t>
      </w:r>
      <w:r w:rsidRPr="00FC1444">
        <w:rPr>
          <w:rFonts w:eastAsiaTheme="minorEastAsia"/>
          <w:sz w:val="24"/>
        </w:rPr>
        <w:t>年，本项目所在地</w:t>
      </w:r>
      <w:r w:rsidR="000E00D5" w:rsidRPr="00FC1444">
        <w:rPr>
          <w:rFonts w:eastAsiaTheme="minorEastAsia"/>
          <w:sz w:val="24"/>
        </w:rPr>
        <w:t>绥化市</w:t>
      </w:r>
      <w:r w:rsidRPr="00FC1444">
        <w:rPr>
          <w:rFonts w:eastAsiaTheme="minorEastAsia"/>
          <w:sz w:val="24"/>
        </w:rPr>
        <w:t>属于半湿润区，故自然恢复期预测时段按</w:t>
      </w:r>
      <w:r w:rsidRPr="00FC1444">
        <w:rPr>
          <w:rFonts w:eastAsiaTheme="minorEastAsia"/>
          <w:sz w:val="24"/>
        </w:rPr>
        <w:t>3</w:t>
      </w:r>
      <w:r w:rsidRPr="00FC1444">
        <w:rPr>
          <w:rFonts w:eastAsiaTheme="minorEastAsia"/>
          <w:sz w:val="24"/>
        </w:rPr>
        <w:t>年计。</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土壤侵蚀模数</w:t>
      </w:r>
      <w:r w:rsidR="003E5585" w:rsidRPr="00FC1444">
        <w:rPr>
          <w:rFonts w:eastAsiaTheme="minorEastAsia"/>
          <w:sz w:val="24"/>
        </w:rPr>
        <w:t>：</w:t>
      </w:r>
    </w:p>
    <w:p w:rsidR="002A5A5E" w:rsidRPr="00FC1444" w:rsidRDefault="009840DD">
      <w:pPr>
        <w:autoSpaceDE w:val="0"/>
        <w:autoSpaceDN w:val="0"/>
        <w:spacing w:line="360" w:lineRule="auto"/>
        <w:ind w:firstLineChars="200" w:firstLine="480"/>
        <w:contextualSpacing/>
        <w:rPr>
          <w:rFonts w:eastAsiaTheme="minorEastAsia"/>
          <w:sz w:val="24"/>
        </w:rPr>
      </w:pPr>
      <w:r w:rsidRPr="00FC1444">
        <w:rPr>
          <w:rFonts w:eastAsiaTheme="minorEastAsia"/>
          <w:sz w:val="24"/>
        </w:rPr>
        <w:fldChar w:fldCharType="begin"/>
      </w:r>
      <w:r w:rsidR="003E5585" w:rsidRPr="00FC1444">
        <w:rPr>
          <w:rFonts w:eastAsiaTheme="minorEastAsia"/>
          <w:sz w:val="24"/>
        </w:rPr>
        <w:instrText xml:space="preserve"> = 1 \* GB3 </w:instrText>
      </w:r>
      <w:r w:rsidRPr="00FC1444">
        <w:rPr>
          <w:rFonts w:eastAsiaTheme="minorEastAsia"/>
          <w:sz w:val="24"/>
        </w:rPr>
        <w:fldChar w:fldCharType="separate"/>
      </w:r>
      <w:r w:rsidR="003E5585" w:rsidRPr="00FC1444">
        <w:rPr>
          <w:rFonts w:ascii="宋体" w:hAnsi="宋体" w:cs="宋体" w:hint="eastAsia"/>
          <w:noProof/>
          <w:sz w:val="24"/>
        </w:rPr>
        <w:t>①</w:t>
      </w:r>
      <w:r w:rsidRPr="00FC1444">
        <w:rPr>
          <w:rFonts w:eastAsiaTheme="minorEastAsia"/>
          <w:sz w:val="24"/>
        </w:rPr>
        <w:fldChar w:fldCharType="end"/>
      </w:r>
      <w:r w:rsidR="00611CBA" w:rsidRPr="00FC1444">
        <w:rPr>
          <w:rFonts w:eastAsiaTheme="minorEastAsia"/>
          <w:sz w:val="24"/>
        </w:rPr>
        <w:t>预测内容</w:t>
      </w:r>
      <w:r w:rsidR="00611CBA" w:rsidRPr="00FC1444">
        <w:rPr>
          <w:rFonts w:eastAsiaTheme="minorEastAsia"/>
          <w:sz w:val="24"/>
        </w:rPr>
        <w:t xml:space="preserve"> </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1</w:t>
      </w:r>
      <w:r w:rsidRPr="00FC1444">
        <w:rPr>
          <w:rFonts w:eastAsiaTheme="minorEastAsia"/>
          <w:sz w:val="24"/>
        </w:rPr>
        <w:t>）可能造成的水土流失量的预测</w:t>
      </w:r>
      <w:r w:rsidRPr="00FC1444">
        <w:rPr>
          <w:rFonts w:eastAsiaTheme="minorEastAsia"/>
          <w:sz w:val="24"/>
        </w:rPr>
        <w:t xml:space="preserve"> </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采用《生产建设项目土壤流失量测算导则》（</w:t>
      </w:r>
      <w:r w:rsidRPr="00FC1444">
        <w:rPr>
          <w:rFonts w:eastAsiaTheme="minorEastAsia"/>
          <w:sz w:val="24"/>
        </w:rPr>
        <w:t>SL773-2018</w:t>
      </w:r>
      <w:r w:rsidRPr="00FC1444">
        <w:rPr>
          <w:rFonts w:eastAsiaTheme="minorEastAsia"/>
          <w:sz w:val="24"/>
        </w:rPr>
        <w:t>）计算项目建设扰动后的土壤侵蚀模数，然后根据工程建设前后土壤侵蚀模数的差值计算新增水土流失量。</w:t>
      </w:r>
      <w:r w:rsidRPr="00FC1444">
        <w:rPr>
          <w:rFonts w:eastAsiaTheme="minorEastAsia"/>
          <w:sz w:val="24"/>
        </w:rPr>
        <w:t xml:space="preserve"> </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2</w:t>
      </w:r>
      <w:r w:rsidRPr="00FC1444">
        <w:rPr>
          <w:rFonts w:eastAsiaTheme="minorEastAsia"/>
          <w:sz w:val="24"/>
        </w:rPr>
        <w:t>）可能造成水土流失危害预测</w:t>
      </w:r>
      <w:r w:rsidRPr="00FC1444">
        <w:rPr>
          <w:rFonts w:eastAsiaTheme="minorEastAsia"/>
          <w:sz w:val="24"/>
        </w:rPr>
        <w:t xml:space="preserve"> </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lastRenderedPageBreak/>
        <w:t>根据工程的实施规模、施工工艺等的位置和数量，结合区域自然环境条件，预测由于工程建设引起新的水土流失可能造成的危害，为制定项目区防治措施提供科学依据。水土流失预测内容及方法见下表。</w:t>
      </w:r>
    </w:p>
    <w:p w:rsidR="002A5A5E" w:rsidRPr="00FC1444" w:rsidRDefault="00611CBA">
      <w:pPr>
        <w:jc w:val="center"/>
        <w:rPr>
          <w:b/>
          <w:bCs/>
          <w:szCs w:val="21"/>
        </w:rPr>
      </w:pPr>
      <w:r w:rsidRPr="00FC1444">
        <w:rPr>
          <w:b/>
          <w:bCs/>
          <w:szCs w:val="21"/>
        </w:rPr>
        <w:t>表</w:t>
      </w:r>
      <w:r w:rsidRPr="00FC1444">
        <w:rPr>
          <w:rFonts w:eastAsiaTheme="minorEastAsia"/>
          <w:b/>
          <w:bCs/>
          <w:szCs w:val="21"/>
        </w:rPr>
        <w:t>5-1-9</w:t>
      </w:r>
      <w:r w:rsidRPr="00FC1444">
        <w:rPr>
          <w:b/>
          <w:bCs/>
          <w:szCs w:val="21"/>
        </w:rPr>
        <w:t>预测内容一览表</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950"/>
        <w:gridCol w:w="2512"/>
        <w:gridCol w:w="4839"/>
      </w:tblGrid>
      <w:tr w:rsidR="002A5A5E" w:rsidRPr="00FC1444">
        <w:trPr>
          <w:trHeight w:val="340"/>
        </w:trPr>
        <w:tc>
          <w:tcPr>
            <w:tcW w:w="572" w:type="pct"/>
            <w:tcBorders>
              <w:tl2br w:val="nil"/>
              <w:tr2bl w:val="nil"/>
            </w:tcBorders>
            <w:vAlign w:val="center"/>
          </w:tcPr>
          <w:p w:rsidR="002A5A5E" w:rsidRPr="00FC1444" w:rsidRDefault="00611CBA">
            <w:pPr>
              <w:jc w:val="center"/>
            </w:pPr>
            <w:r w:rsidRPr="00FC1444">
              <w:t>序号</w:t>
            </w:r>
          </w:p>
        </w:tc>
        <w:tc>
          <w:tcPr>
            <w:tcW w:w="1512" w:type="pct"/>
            <w:tcBorders>
              <w:tl2br w:val="nil"/>
              <w:tr2bl w:val="nil"/>
            </w:tcBorders>
            <w:vAlign w:val="center"/>
          </w:tcPr>
          <w:p w:rsidR="002A5A5E" w:rsidRPr="00FC1444" w:rsidRDefault="00611CBA">
            <w:pPr>
              <w:jc w:val="center"/>
            </w:pPr>
            <w:r w:rsidRPr="00FC1444">
              <w:t>预测内容</w:t>
            </w:r>
          </w:p>
        </w:tc>
        <w:tc>
          <w:tcPr>
            <w:tcW w:w="2914" w:type="pct"/>
            <w:tcBorders>
              <w:tl2br w:val="nil"/>
              <w:tr2bl w:val="nil"/>
            </w:tcBorders>
            <w:vAlign w:val="center"/>
          </w:tcPr>
          <w:p w:rsidR="002A5A5E" w:rsidRPr="00FC1444" w:rsidRDefault="00611CBA">
            <w:pPr>
              <w:jc w:val="center"/>
            </w:pPr>
            <w:r w:rsidRPr="00FC1444">
              <w:t>预测方法</w:t>
            </w:r>
          </w:p>
        </w:tc>
      </w:tr>
      <w:tr w:rsidR="002A5A5E" w:rsidRPr="00FC1444">
        <w:trPr>
          <w:trHeight w:val="340"/>
        </w:trPr>
        <w:tc>
          <w:tcPr>
            <w:tcW w:w="572" w:type="pct"/>
            <w:tcBorders>
              <w:tl2br w:val="nil"/>
              <w:tr2bl w:val="nil"/>
            </w:tcBorders>
            <w:vAlign w:val="center"/>
          </w:tcPr>
          <w:p w:rsidR="002A5A5E" w:rsidRPr="00FC1444" w:rsidRDefault="00611CBA">
            <w:pPr>
              <w:jc w:val="center"/>
            </w:pPr>
            <w:r w:rsidRPr="00FC1444">
              <w:t>1</w:t>
            </w:r>
          </w:p>
        </w:tc>
        <w:tc>
          <w:tcPr>
            <w:tcW w:w="1512" w:type="pct"/>
            <w:tcBorders>
              <w:tl2br w:val="nil"/>
              <w:tr2bl w:val="nil"/>
            </w:tcBorders>
            <w:vAlign w:val="center"/>
          </w:tcPr>
          <w:p w:rsidR="002A5A5E" w:rsidRPr="00FC1444" w:rsidRDefault="00611CBA">
            <w:pPr>
              <w:jc w:val="center"/>
            </w:pPr>
            <w:r w:rsidRPr="00FC1444">
              <w:t>可能造成的水土流失量预测</w:t>
            </w:r>
          </w:p>
        </w:tc>
        <w:tc>
          <w:tcPr>
            <w:tcW w:w="2914" w:type="pct"/>
            <w:tcBorders>
              <w:tl2br w:val="nil"/>
              <w:tr2bl w:val="nil"/>
            </w:tcBorders>
            <w:vAlign w:val="center"/>
          </w:tcPr>
          <w:p w:rsidR="002A5A5E" w:rsidRPr="00FC1444" w:rsidRDefault="00611CBA">
            <w:pPr>
              <w:jc w:val="center"/>
            </w:pPr>
            <w:r w:rsidRPr="00FC1444">
              <w:t>采用类比工程实测资料计算项目建设扰动后的土壤侵蚀模数，进行水土流失量计算。</w:t>
            </w:r>
          </w:p>
        </w:tc>
      </w:tr>
      <w:tr w:rsidR="002A5A5E" w:rsidRPr="00FC1444">
        <w:trPr>
          <w:trHeight w:val="340"/>
        </w:trPr>
        <w:tc>
          <w:tcPr>
            <w:tcW w:w="572" w:type="pct"/>
            <w:tcBorders>
              <w:tl2br w:val="nil"/>
              <w:tr2bl w:val="nil"/>
            </w:tcBorders>
            <w:vAlign w:val="center"/>
          </w:tcPr>
          <w:p w:rsidR="002A5A5E" w:rsidRPr="00FC1444" w:rsidRDefault="00611CBA">
            <w:pPr>
              <w:jc w:val="center"/>
            </w:pPr>
            <w:r w:rsidRPr="00FC1444">
              <w:t>2</w:t>
            </w:r>
          </w:p>
        </w:tc>
        <w:tc>
          <w:tcPr>
            <w:tcW w:w="1512" w:type="pct"/>
            <w:tcBorders>
              <w:tl2br w:val="nil"/>
              <w:tr2bl w:val="nil"/>
            </w:tcBorders>
            <w:vAlign w:val="center"/>
          </w:tcPr>
          <w:p w:rsidR="002A5A5E" w:rsidRPr="00FC1444" w:rsidRDefault="00611CBA">
            <w:pPr>
              <w:jc w:val="center"/>
            </w:pPr>
            <w:r w:rsidRPr="00FC1444">
              <w:t>可能造成水土流失危害预测</w:t>
            </w:r>
          </w:p>
        </w:tc>
        <w:tc>
          <w:tcPr>
            <w:tcW w:w="2914" w:type="pct"/>
            <w:tcBorders>
              <w:tl2br w:val="nil"/>
              <w:tr2bl w:val="nil"/>
            </w:tcBorders>
            <w:vAlign w:val="center"/>
          </w:tcPr>
          <w:p w:rsidR="002A5A5E" w:rsidRPr="00FC1444" w:rsidRDefault="00611CBA">
            <w:pPr>
              <w:jc w:val="center"/>
            </w:pPr>
            <w:r w:rsidRPr="00FC1444">
              <w:t>根据工程的建设规模、施工工艺等，结合区域自然环境条件，定性分析由于工程建设可能造成的水土流失危害。</w:t>
            </w:r>
          </w:p>
        </w:tc>
      </w:tr>
    </w:tbl>
    <w:p w:rsidR="002A5A5E" w:rsidRPr="00FC1444" w:rsidRDefault="009840DD">
      <w:pPr>
        <w:pStyle w:val="afb"/>
        <w:rPr>
          <w:color w:val="auto"/>
        </w:rPr>
      </w:pPr>
      <w:r w:rsidRPr="00FC1444">
        <w:rPr>
          <w:color w:val="auto"/>
        </w:rPr>
        <w:fldChar w:fldCharType="begin"/>
      </w:r>
      <w:r w:rsidR="003E5585" w:rsidRPr="00FC1444">
        <w:rPr>
          <w:color w:val="auto"/>
        </w:rPr>
        <w:instrText xml:space="preserve"> = 2 \* GB3 </w:instrText>
      </w:r>
      <w:r w:rsidRPr="00FC1444">
        <w:rPr>
          <w:color w:val="auto"/>
        </w:rPr>
        <w:fldChar w:fldCharType="separate"/>
      </w:r>
      <w:r w:rsidR="003E5585" w:rsidRPr="00FC1444">
        <w:rPr>
          <w:rFonts w:ascii="宋体" w:hAnsi="宋体" w:cs="宋体" w:hint="eastAsia"/>
          <w:noProof/>
          <w:color w:val="auto"/>
        </w:rPr>
        <w:t>②</w:t>
      </w:r>
      <w:r w:rsidRPr="00FC1444">
        <w:rPr>
          <w:color w:val="auto"/>
        </w:rPr>
        <w:fldChar w:fldCharType="end"/>
      </w:r>
      <w:r w:rsidR="00611CBA" w:rsidRPr="00FC1444">
        <w:rPr>
          <w:color w:val="auto"/>
        </w:rPr>
        <w:t>土壤流失类型划分</w:t>
      </w:r>
      <w:r w:rsidR="00611CBA" w:rsidRPr="00FC1444">
        <w:rPr>
          <w:color w:val="auto"/>
        </w:rPr>
        <w:t xml:space="preserve"> </w:t>
      </w:r>
    </w:p>
    <w:p w:rsidR="002A5A5E" w:rsidRPr="00FC1444" w:rsidRDefault="00611CBA">
      <w:pPr>
        <w:pStyle w:val="afb"/>
        <w:rPr>
          <w:color w:val="auto"/>
        </w:rPr>
      </w:pPr>
      <w:r w:rsidRPr="00FC1444">
        <w:rPr>
          <w:color w:val="auto"/>
        </w:rPr>
        <w:t>依据《生产建设工程土壤流失量测算导则》（</w:t>
      </w:r>
      <w:r w:rsidRPr="00FC1444">
        <w:rPr>
          <w:color w:val="auto"/>
        </w:rPr>
        <w:t>SL773-2018</w:t>
      </w:r>
      <w:r w:rsidRPr="00FC1444">
        <w:rPr>
          <w:color w:val="auto"/>
        </w:rPr>
        <w:t>）项目土壤流失类型按下表进行划分：</w:t>
      </w:r>
    </w:p>
    <w:p w:rsidR="002A5A5E" w:rsidRPr="00FC1444" w:rsidRDefault="00611CBA">
      <w:pPr>
        <w:jc w:val="center"/>
        <w:rPr>
          <w:b/>
          <w:bCs/>
          <w:szCs w:val="21"/>
        </w:rPr>
      </w:pPr>
      <w:r w:rsidRPr="00FC1444">
        <w:rPr>
          <w:b/>
          <w:bCs/>
          <w:szCs w:val="21"/>
        </w:rPr>
        <w:t>表</w:t>
      </w:r>
      <w:r w:rsidRPr="00FC1444">
        <w:rPr>
          <w:b/>
          <w:bCs/>
          <w:szCs w:val="21"/>
        </w:rPr>
        <w:t>5-1-10</w:t>
      </w:r>
      <w:r w:rsidRPr="00FC1444">
        <w:rPr>
          <w:b/>
          <w:bCs/>
          <w:szCs w:val="21"/>
        </w:rPr>
        <w:t>生产建设项目土壤流失类型划分</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2074"/>
        <w:gridCol w:w="2077"/>
        <w:gridCol w:w="1758"/>
        <w:gridCol w:w="2392"/>
      </w:tblGrid>
      <w:tr w:rsidR="002A5A5E" w:rsidRPr="00FC1444">
        <w:trPr>
          <w:trHeight w:val="340"/>
        </w:trPr>
        <w:tc>
          <w:tcPr>
            <w:tcW w:w="1249" w:type="pct"/>
            <w:tcBorders>
              <w:tl2br w:val="nil"/>
              <w:tr2bl w:val="nil"/>
            </w:tcBorders>
            <w:vAlign w:val="center"/>
          </w:tcPr>
          <w:p w:rsidR="002A5A5E" w:rsidRPr="00FC1444" w:rsidRDefault="00611CBA">
            <w:pPr>
              <w:jc w:val="center"/>
            </w:pPr>
            <w:r w:rsidRPr="00FC1444">
              <w:t>一级分类</w:t>
            </w:r>
          </w:p>
        </w:tc>
        <w:tc>
          <w:tcPr>
            <w:tcW w:w="1251" w:type="pct"/>
            <w:tcBorders>
              <w:tl2br w:val="nil"/>
              <w:tr2bl w:val="nil"/>
            </w:tcBorders>
            <w:vAlign w:val="center"/>
          </w:tcPr>
          <w:p w:rsidR="002A5A5E" w:rsidRPr="00FC1444" w:rsidRDefault="00611CBA">
            <w:pPr>
              <w:jc w:val="center"/>
            </w:pPr>
            <w:r w:rsidRPr="00FC1444">
              <w:t>预测单元</w:t>
            </w:r>
          </w:p>
        </w:tc>
        <w:tc>
          <w:tcPr>
            <w:tcW w:w="1059" w:type="pct"/>
            <w:tcBorders>
              <w:tl2br w:val="nil"/>
              <w:tr2bl w:val="nil"/>
            </w:tcBorders>
            <w:vAlign w:val="center"/>
          </w:tcPr>
          <w:p w:rsidR="002A5A5E" w:rsidRPr="00FC1444" w:rsidRDefault="00611CBA">
            <w:pPr>
              <w:jc w:val="center"/>
            </w:pPr>
            <w:r w:rsidRPr="00FC1444">
              <w:t>二级分类</w:t>
            </w:r>
          </w:p>
        </w:tc>
        <w:tc>
          <w:tcPr>
            <w:tcW w:w="1441" w:type="pct"/>
            <w:tcBorders>
              <w:tl2br w:val="nil"/>
              <w:tr2bl w:val="nil"/>
            </w:tcBorders>
            <w:vAlign w:val="center"/>
          </w:tcPr>
          <w:p w:rsidR="002A5A5E" w:rsidRPr="00FC1444" w:rsidRDefault="00611CBA">
            <w:pPr>
              <w:jc w:val="center"/>
            </w:pPr>
            <w:r w:rsidRPr="00FC1444">
              <w:t>三级分类</w:t>
            </w:r>
          </w:p>
        </w:tc>
      </w:tr>
      <w:tr w:rsidR="002A5A5E" w:rsidRPr="00FC1444">
        <w:trPr>
          <w:trHeight w:val="340"/>
        </w:trPr>
        <w:tc>
          <w:tcPr>
            <w:tcW w:w="1249" w:type="pct"/>
            <w:vMerge w:val="restart"/>
            <w:tcBorders>
              <w:tl2br w:val="nil"/>
              <w:tr2bl w:val="nil"/>
            </w:tcBorders>
            <w:vAlign w:val="center"/>
          </w:tcPr>
          <w:p w:rsidR="002A5A5E" w:rsidRPr="00FC1444" w:rsidRDefault="00611CBA">
            <w:pPr>
              <w:jc w:val="center"/>
            </w:pPr>
            <w:r w:rsidRPr="00FC1444">
              <w:t>水力作用下的土壤流失</w:t>
            </w:r>
          </w:p>
        </w:tc>
        <w:tc>
          <w:tcPr>
            <w:tcW w:w="1251" w:type="pct"/>
            <w:tcBorders>
              <w:tl2br w:val="nil"/>
              <w:tr2bl w:val="nil"/>
            </w:tcBorders>
            <w:vAlign w:val="center"/>
          </w:tcPr>
          <w:p w:rsidR="002A5A5E" w:rsidRPr="00FC1444" w:rsidRDefault="00611CBA">
            <w:pPr>
              <w:jc w:val="center"/>
            </w:pPr>
            <w:r w:rsidRPr="00FC1444">
              <w:rPr>
                <w:spacing w:val="12"/>
              </w:rPr>
              <w:t>主体工程区</w:t>
            </w:r>
          </w:p>
        </w:tc>
        <w:tc>
          <w:tcPr>
            <w:tcW w:w="1059" w:type="pct"/>
            <w:tcBorders>
              <w:tl2br w:val="nil"/>
              <w:tr2bl w:val="nil"/>
            </w:tcBorders>
            <w:vAlign w:val="center"/>
          </w:tcPr>
          <w:p w:rsidR="002A5A5E" w:rsidRPr="00FC1444" w:rsidRDefault="00611CBA">
            <w:pPr>
              <w:jc w:val="center"/>
              <w:rPr>
                <w:spacing w:val="12"/>
              </w:rPr>
            </w:pPr>
            <w:r w:rsidRPr="00FC1444">
              <w:rPr>
                <w:spacing w:val="12"/>
              </w:rPr>
              <w:t>工程开挖面</w:t>
            </w:r>
          </w:p>
        </w:tc>
        <w:tc>
          <w:tcPr>
            <w:tcW w:w="1441" w:type="pct"/>
            <w:tcBorders>
              <w:tl2br w:val="nil"/>
              <w:tr2bl w:val="nil"/>
            </w:tcBorders>
            <w:vAlign w:val="center"/>
          </w:tcPr>
          <w:p w:rsidR="002A5A5E" w:rsidRPr="00FC1444" w:rsidRDefault="00611CBA">
            <w:pPr>
              <w:jc w:val="center"/>
              <w:rPr>
                <w:spacing w:val="12"/>
              </w:rPr>
            </w:pPr>
            <w:r w:rsidRPr="00FC1444">
              <w:rPr>
                <w:spacing w:val="12"/>
              </w:rPr>
              <w:t>上方无来水工程开挖面</w:t>
            </w:r>
          </w:p>
        </w:tc>
      </w:tr>
      <w:tr w:rsidR="002A5A5E" w:rsidRPr="00FC1444">
        <w:trPr>
          <w:trHeight w:val="340"/>
        </w:trPr>
        <w:tc>
          <w:tcPr>
            <w:tcW w:w="1249" w:type="pct"/>
            <w:vMerge/>
            <w:tcBorders>
              <w:tl2br w:val="nil"/>
              <w:tr2bl w:val="nil"/>
            </w:tcBorders>
            <w:vAlign w:val="center"/>
          </w:tcPr>
          <w:p w:rsidR="002A5A5E" w:rsidRPr="00FC1444" w:rsidRDefault="002A5A5E">
            <w:pPr>
              <w:jc w:val="center"/>
            </w:pPr>
          </w:p>
        </w:tc>
        <w:tc>
          <w:tcPr>
            <w:tcW w:w="1251" w:type="pct"/>
            <w:tcBorders>
              <w:tl2br w:val="nil"/>
              <w:tr2bl w:val="nil"/>
            </w:tcBorders>
            <w:vAlign w:val="center"/>
          </w:tcPr>
          <w:p w:rsidR="002A5A5E" w:rsidRPr="00FC1444" w:rsidRDefault="00611CBA">
            <w:pPr>
              <w:jc w:val="center"/>
            </w:pPr>
            <w:r w:rsidRPr="00FC1444">
              <w:t>施工道路区</w:t>
            </w:r>
          </w:p>
        </w:tc>
        <w:tc>
          <w:tcPr>
            <w:tcW w:w="1059" w:type="pct"/>
            <w:tcBorders>
              <w:tl2br w:val="nil"/>
              <w:tr2bl w:val="nil"/>
            </w:tcBorders>
            <w:vAlign w:val="center"/>
          </w:tcPr>
          <w:p w:rsidR="002A5A5E" w:rsidRPr="00FC1444" w:rsidRDefault="00611CBA">
            <w:pPr>
              <w:jc w:val="center"/>
              <w:rPr>
                <w:spacing w:val="12"/>
              </w:rPr>
            </w:pPr>
            <w:r w:rsidRPr="00FC1444">
              <w:rPr>
                <w:spacing w:val="12"/>
              </w:rPr>
              <w:t>一般扰动地表</w:t>
            </w:r>
          </w:p>
        </w:tc>
        <w:tc>
          <w:tcPr>
            <w:tcW w:w="1441" w:type="pct"/>
            <w:tcBorders>
              <w:tl2br w:val="nil"/>
              <w:tr2bl w:val="nil"/>
            </w:tcBorders>
            <w:vAlign w:val="center"/>
          </w:tcPr>
          <w:p w:rsidR="002A5A5E" w:rsidRPr="00FC1444" w:rsidRDefault="00611CBA">
            <w:pPr>
              <w:jc w:val="center"/>
              <w:rPr>
                <w:spacing w:val="12"/>
              </w:rPr>
            </w:pPr>
            <w:r w:rsidRPr="00FC1444">
              <w:rPr>
                <w:spacing w:val="12"/>
              </w:rPr>
              <w:t>地表翻扰型一般扰动地表</w:t>
            </w:r>
          </w:p>
        </w:tc>
      </w:tr>
      <w:tr w:rsidR="002A5A5E" w:rsidRPr="00FC1444">
        <w:trPr>
          <w:trHeight w:val="340"/>
        </w:trPr>
        <w:tc>
          <w:tcPr>
            <w:tcW w:w="1249" w:type="pct"/>
            <w:vMerge/>
            <w:tcBorders>
              <w:tl2br w:val="nil"/>
              <w:tr2bl w:val="nil"/>
            </w:tcBorders>
            <w:vAlign w:val="center"/>
          </w:tcPr>
          <w:p w:rsidR="002A5A5E" w:rsidRPr="00FC1444" w:rsidRDefault="002A5A5E">
            <w:pPr>
              <w:jc w:val="center"/>
            </w:pPr>
          </w:p>
        </w:tc>
        <w:tc>
          <w:tcPr>
            <w:tcW w:w="1251" w:type="pct"/>
            <w:tcBorders>
              <w:tl2br w:val="nil"/>
              <w:tr2bl w:val="nil"/>
            </w:tcBorders>
            <w:vAlign w:val="center"/>
          </w:tcPr>
          <w:p w:rsidR="002A5A5E" w:rsidRPr="00FC1444" w:rsidRDefault="00611CBA">
            <w:pPr>
              <w:jc w:val="center"/>
            </w:pPr>
            <w:r w:rsidRPr="00FC1444">
              <w:t>临时堆土区</w:t>
            </w:r>
          </w:p>
        </w:tc>
        <w:tc>
          <w:tcPr>
            <w:tcW w:w="1059" w:type="pct"/>
            <w:tcBorders>
              <w:tl2br w:val="nil"/>
              <w:tr2bl w:val="nil"/>
            </w:tcBorders>
            <w:vAlign w:val="center"/>
          </w:tcPr>
          <w:p w:rsidR="002A5A5E" w:rsidRPr="00FC1444" w:rsidRDefault="00611CBA">
            <w:pPr>
              <w:jc w:val="center"/>
              <w:rPr>
                <w:spacing w:val="12"/>
              </w:rPr>
            </w:pPr>
            <w:r w:rsidRPr="00FC1444">
              <w:rPr>
                <w:spacing w:val="12"/>
              </w:rPr>
              <w:t>工程堆积体</w:t>
            </w:r>
          </w:p>
        </w:tc>
        <w:tc>
          <w:tcPr>
            <w:tcW w:w="1441" w:type="pct"/>
            <w:tcBorders>
              <w:tl2br w:val="nil"/>
              <w:tr2bl w:val="nil"/>
            </w:tcBorders>
            <w:vAlign w:val="center"/>
          </w:tcPr>
          <w:p w:rsidR="002A5A5E" w:rsidRPr="00FC1444" w:rsidRDefault="00611CBA">
            <w:pPr>
              <w:jc w:val="center"/>
              <w:rPr>
                <w:spacing w:val="12"/>
              </w:rPr>
            </w:pPr>
            <w:r w:rsidRPr="00FC1444">
              <w:rPr>
                <w:spacing w:val="12"/>
              </w:rPr>
              <w:t>上方无来水工程堆积体</w:t>
            </w:r>
          </w:p>
        </w:tc>
      </w:tr>
    </w:tbl>
    <w:p w:rsidR="002A5A5E" w:rsidRPr="00FC1444" w:rsidRDefault="009840DD">
      <w:pPr>
        <w:pStyle w:val="afb"/>
        <w:rPr>
          <w:color w:val="auto"/>
        </w:rPr>
      </w:pPr>
      <w:r w:rsidRPr="00FC1444">
        <w:rPr>
          <w:color w:val="auto"/>
        </w:rPr>
        <w:fldChar w:fldCharType="begin"/>
      </w:r>
      <w:r w:rsidR="003E5585" w:rsidRPr="00FC1444">
        <w:rPr>
          <w:color w:val="auto"/>
        </w:rPr>
        <w:instrText xml:space="preserve"> = 3 \* GB3 </w:instrText>
      </w:r>
      <w:r w:rsidRPr="00FC1444">
        <w:rPr>
          <w:color w:val="auto"/>
        </w:rPr>
        <w:fldChar w:fldCharType="separate"/>
      </w:r>
      <w:r w:rsidR="003E5585" w:rsidRPr="00FC1444">
        <w:rPr>
          <w:rFonts w:ascii="宋体" w:hAnsi="宋体" w:cs="宋体" w:hint="eastAsia"/>
          <w:noProof/>
          <w:color w:val="auto"/>
        </w:rPr>
        <w:t>③</w:t>
      </w:r>
      <w:r w:rsidRPr="00FC1444">
        <w:rPr>
          <w:color w:val="auto"/>
        </w:rPr>
        <w:fldChar w:fldCharType="end"/>
      </w:r>
      <w:r w:rsidR="00611CBA" w:rsidRPr="00FC1444">
        <w:rPr>
          <w:color w:val="auto"/>
        </w:rPr>
        <w:t>项目区土壤流失背景值</w:t>
      </w:r>
      <w:r w:rsidR="00611CBA" w:rsidRPr="00FC1444">
        <w:rPr>
          <w:color w:val="auto"/>
        </w:rPr>
        <w:t xml:space="preserve"> </w:t>
      </w:r>
    </w:p>
    <w:p w:rsidR="002A5A5E" w:rsidRPr="00FC1444" w:rsidRDefault="00611CBA">
      <w:pPr>
        <w:pStyle w:val="afb"/>
        <w:rPr>
          <w:color w:val="auto"/>
        </w:rPr>
      </w:pPr>
      <w:r w:rsidRPr="00FC1444">
        <w:rPr>
          <w:color w:val="auto"/>
        </w:rPr>
        <w:t>项目区现状土壤侵蚀类型以水力侵蚀为主。通过实际调查和遥感资料分析，项目所在区域的土壤侵蚀模数约为</w:t>
      </w:r>
      <w:r w:rsidRPr="00FC1444">
        <w:rPr>
          <w:color w:val="auto"/>
        </w:rPr>
        <w:t>800t/km</w:t>
      </w:r>
      <w:r w:rsidRPr="00FC1444">
        <w:rPr>
          <w:color w:val="auto"/>
          <w:vertAlign w:val="superscript"/>
        </w:rPr>
        <w:t>2</w:t>
      </w:r>
      <w:r w:rsidRPr="00FC1444">
        <w:rPr>
          <w:color w:val="auto"/>
        </w:rPr>
        <w:t>·a</w:t>
      </w:r>
      <w:r w:rsidRPr="00FC1444">
        <w:rPr>
          <w:color w:val="auto"/>
        </w:rPr>
        <w:t>左右。</w:t>
      </w:r>
      <w:r w:rsidRPr="00FC1444">
        <w:rPr>
          <w:color w:val="auto"/>
        </w:rPr>
        <w:t xml:space="preserve"> </w:t>
      </w:r>
    </w:p>
    <w:p w:rsidR="002A5A5E" w:rsidRPr="00FC1444" w:rsidRDefault="009840DD">
      <w:pPr>
        <w:pStyle w:val="afb"/>
        <w:rPr>
          <w:color w:val="auto"/>
        </w:rPr>
      </w:pPr>
      <w:r w:rsidRPr="00FC1444">
        <w:rPr>
          <w:color w:val="auto"/>
        </w:rPr>
        <w:fldChar w:fldCharType="begin"/>
      </w:r>
      <w:r w:rsidR="003E5585" w:rsidRPr="00FC1444">
        <w:rPr>
          <w:color w:val="auto"/>
        </w:rPr>
        <w:instrText xml:space="preserve"> = 4 \* GB3 </w:instrText>
      </w:r>
      <w:r w:rsidRPr="00FC1444">
        <w:rPr>
          <w:color w:val="auto"/>
        </w:rPr>
        <w:fldChar w:fldCharType="separate"/>
      </w:r>
      <w:r w:rsidR="003E5585" w:rsidRPr="00FC1444">
        <w:rPr>
          <w:rFonts w:ascii="宋体" w:hAnsi="宋体" w:cs="宋体" w:hint="eastAsia"/>
          <w:noProof/>
          <w:color w:val="auto"/>
        </w:rPr>
        <w:t>④</w:t>
      </w:r>
      <w:r w:rsidRPr="00FC1444">
        <w:rPr>
          <w:color w:val="auto"/>
        </w:rPr>
        <w:fldChar w:fldCharType="end"/>
      </w:r>
      <w:r w:rsidR="00611CBA" w:rsidRPr="00FC1444">
        <w:rPr>
          <w:color w:val="auto"/>
        </w:rPr>
        <w:t>土壤侵蚀模数确定</w:t>
      </w:r>
    </w:p>
    <w:p w:rsidR="002A5A5E" w:rsidRPr="00FC1444" w:rsidRDefault="00611CBA">
      <w:pPr>
        <w:pStyle w:val="afb"/>
        <w:rPr>
          <w:color w:val="auto"/>
        </w:rPr>
      </w:pPr>
      <w:r w:rsidRPr="00FC1444">
        <w:rPr>
          <w:color w:val="auto"/>
        </w:rPr>
        <w:t>根据《生产建设工程土壤流失量测算导则》（</w:t>
      </w:r>
      <w:r w:rsidRPr="00FC1444">
        <w:rPr>
          <w:color w:val="auto"/>
        </w:rPr>
        <w:t>SL773-2018</w:t>
      </w:r>
      <w:r w:rsidRPr="00FC1444">
        <w:rPr>
          <w:color w:val="auto"/>
        </w:rPr>
        <w:t>）中的相关公式，计算得出工程施工前土壤流失背景值，工程施工期间开挖扰动和临时堆土的土壤侵蚀模数。计算得出的土壤侵蚀模数详见下表。</w:t>
      </w:r>
    </w:p>
    <w:p w:rsidR="002A5A5E" w:rsidRPr="00FC1444" w:rsidRDefault="00611CBA">
      <w:pPr>
        <w:jc w:val="center"/>
        <w:rPr>
          <w:b/>
          <w:bCs/>
          <w:szCs w:val="21"/>
        </w:rPr>
      </w:pPr>
      <w:r w:rsidRPr="00FC1444">
        <w:rPr>
          <w:b/>
          <w:bCs/>
          <w:szCs w:val="21"/>
        </w:rPr>
        <w:t>表</w:t>
      </w:r>
      <w:r w:rsidRPr="00FC1444">
        <w:rPr>
          <w:b/>
          <w:bCs/>
          <w:szCs w:val="21"/>
        </w:rPr>
        <w:t>5-1-11</w:t>
      </w:r>
      <w:r w:rsidRPr="00FC1444">
        <w:rPr>
          <w:b/>
          <w:bCs/>
          <w:szCs w:val="21"/>
        </w:rPr>
        <w:t>土壤侵蚀模数一览表</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1826"/>
        <w:gridCol w:w="4270"/>
        <w:gridCol w:w="2205"/>
      </w:tblGrid>
      <w:tr w:rsidR="002A5A5E" w:rsidRPr="00FC1444">
        <w:trPr>
          <w:trHeight w:val="340"/>
        </w:trPr>
        <w:tc>
          <w:tcPr>
            <w:tcW w:w="1100" w:type="pct"/>
            <w:tcBorders>
              <w:tl2br w:val="nil"/>
              <w:tr2bl w:val="nil"/>
            </w:tcBorders>
            <w:vAlign w:val="center"/>
          </w:tcPr>
          <w:p w:rsidR="002A5A5E" w:rsidRPr="00FC1444" w:rsidRDefault="00611CBA">
            <w:pPr>
              <w:jc w:val="center"/>
            </w:pPr>
            <w:r w:rsidRPr="00FC1444">
              <w:t>类型</w:t>
            </w:r>
          </w:p>
        </w:tc>
        <w:tc>
          <w:tcPr>
            <w:tcW w:w="2572" w:type="pct"/>
            <w:tcBorders>
              <w:tl2br w:val="nil"/>
              <w:tr2bl w:val="nil"/>
            </w:tcBorders>
            <w:vAlign w:val="center"/>
          </w:tcPr>
          <w:p w:rsidR="002A5A5E" w:rsidRPr="00FC1444" w:rsidRDefault="00611CBA">
            <w:pPr>
              <w:jc w:val="center"/>
            </w:pPr>
            <w:r w:rsidRPr="00FC1444">
              <w:t>分区</w:t>
            </w:r>
          </w:p>
        </w:tc>
        <w:tc>
          <w:tcPr>
            <w:tcW w:w="1328" w:type="pct"/>
            <w:tcBorders>
              <w:tl2br w:val="nil"/>
              <w:tr2bl w:val="nil"/>
            </w:tcBorders>
            <w:vAlign w:val="center"/>
          </w:tcPr>
          <w:p w:rsidR="002A5A5E" w:rsidRPr="00FC1444" w:rsidRDefault="00611CBA">
            <w:pPr>
              <w:jc w:val="center"/>
            </w:pPr>
            <w:r w:rsidRPr="00FC1444">
              <w:t>采用的侵蚀模数</w:t>
            </w:r>
            <w:r w:rsidRPr="00FC1444">
              <w:t xml:space="preserve"> </w:t>
            </w:r>
          </w:p>
          <w:p w:rsidR="002A5A5E" w:rsidRPr="00FC1444" w:rsidRDefault="00611CBA">
            <w:pPr>
              <w:jc w:val="center"/>
            </w:pPr>
            <w:r w:rsidRPr="00FC1444">
              <w:t>t/</w:t>
            </w:r>
            <w:r w:rsidRPr="00FC1444">
              <w:t>（</w:t>
            </w:r>
            <w:r w:rsidRPr="00FC1444">
              <w:t>km</w:t>
            </w:r>
            <w:r w:rsidRPr="00FC1444">
              <w:rPr>
                <w:vertAlign w:val="superscript"/>
              </w:rPr>
              <w:t>2</w:t>
            </w:r>
            <w:r w:rsidRPr="00FC1444">
              <w:t xml:space="preserve"> ·a</w:t>
            </w:r>
            <w:r w:rsidRPr="00FC1444">
              <w:t>）</w:t>
            </w:r>
          </w:p>
        </w:tc>
      </w:tr>
      <w:tr w:rsidR="002A5A5E" w:rsidRPr="00FC1444">
        <w:trPr>
          <w:trHeight w:val="340"/>
        </w:trPr>
        <w:tc>
          <w:tcPr>
            <w:tcW w:w="1100" w:type="pct"/>
            <w:tcBorders>
              <w:tl2br w:val="nil"/>
              <w:tr2bl w:val="nil"/>
            </w:tcBorders>
            <w:vAlign w:val="center"/>
          </w:tcPr>
          <w:p w:rsidR="002A5A5E" w:rsidRPr="00FC1444" w:rsidRDefault="00611CBA">
            <w:pPr>
              <w:jc w:val="center"/>
            </w:pPr>
            <w:r w:rsidRPr="00FC1444">
              <w:t>土壤流失背景值</w:t>
            </w:r>
          </w:p>
        </w:tc>
        <w:tc>
          <w:tcPr>
            <w:tcW w:w="2572" w:type="pct"/>
            <w:tcBorders>
              <w:tl2br w:val="nil"/>
              <w:tr2bl w:val="nil"/>
            </w:tcBorders>
            <w:vAlign w:val="center"/>
          </w:tcPr>
          <w:p w:rsidR="002A5A5E" w:rsidRPr="00FC1444" w:rsidRDefault="00611CBA">
            <w:pPr>
              <w:jc w:val="center"/>
            </w:pPr>
            <w:r w:rsidRPr="00FC1444">
              <w:t>-</w:t>
            </w:r>
          </w:p>
        </w:tc>
        <w:tc>
          <w:tcPr>
            <w:tcW w:w="1328" w:type="pct"/>
            <w:tcBorders>
              <w:tl2br w:val="nil"/>
              <w:tr2bl w:val="nil"/>
            </w:tcBorders>
            <w:vAlign w:val="center"/>
          </w:tcPr>
          <w:p w:rsidR="002A5A5E" w:rsidRPr="00FC1444" w:rsidRDefault="00611CBA">
            <w:pPr>
              <w:jc w:val="center"/>
            </w:pPr>
            <w:r w:rsidRPr="00FC1444">
              <w:t>800</w:t>
            </w:r>
          </w:p>
        </w:tc>
      </w:tr>
      <w:tr w:rsidR="002A5A5E" w:rsidRPr="00FC1444">
        <w:trPr>
          <w:trHeight w:val="340"/>
        </w:trPr>
        <w:tc>
          <w:tcPr>
            <w:tcW w:w="1100" w:type="pct"/>
            <w:vMerge w:val="restart"/>
            <w:tcBorders>
              <w:tl2br w:val="nil"/>
              <w:tr2bl w:val="nil"/>
            </w:tcBorders>
            <w:vAlign w:val="center"/>
          </w:tcPr>
          <w:p w:rsidR="002A5A5E" w:rsidRPr="00FC1444" w:rsidRDefault="00611CBA">
            <w:pPr>
              <w:jc w:val="center"/>
            </w:pPr>
            <w:r w:rsidRPr="00FC1444">
              <w:t>施工期土壤侵蚀模数</w:t>
            </w:r>
          </w:p>
        </w:tc>
        <w:tc>
          <w:tcPr>
            <w:tcW w:w="2572" w:type="pct"/>
            <w:tcBorders>
              <w:tl2br w:val="nil"/>
              <w:tr2bl w:val="nil"/>
            </w:tcBorders>
            <w:vAlign w:val="center"/>
          </w:tcPr>
          <w:p w:rsidR="002A5A5E" w:rsidRPr="00FC1444" w:rsidRDefault="00611CBA">
            <w:pPr>
              <w:jc w:val="center"/>
            </w:pPr>
            <w:r w:rsidRPr="00FC1444">
              <w:rPr>
                <w:spacing w:val="12"/>
              </w:rPr>
              <w:t>主体工程区</w:t>
            </w:r>
          </w:p>
        </w:tc>
        <w:tc>
          <w:tcPr>
            <w:tcW w:w="1328" w:type="pct"/>
            <w:tcBorders>
              <w:tl2br w:val="nil"/>
              <w:tr2bl w:val="nil"/>
            </w:tcBorders>
            <w:vAlign w:val="center"/>
          </w:tcPr>
          <w:p w:rsidR="002A5A5E" w:rsidRPr="00FC1444" w:rsidRDefault="00611CBA">
            <w:pPr>
              <w:jc w:val="center"/>
            </w:pPr>
            <w:r w:rsidRPr="00FC1444">
              <w:t>2047</w:t>
            </w:r>
          </w:p>
        </w:tc>
      </w:tr>
      <w:tr w:rsidR="002A5A5E" w:rsidRPr="00FC1444">
        <w:trPr>
          <w:trHeight w:val="340"/>
        </w:trPr>
        <w:tc>
          <w:tcPr>
            <w:tcW w:w="1100" w:type="pct"/>
            <w:vMerge/>
            <w:tcBorders>
              <w:tl2br w:val="nil"/>
              <w:tr2bl w:val="nil"/>
            </w:tcBorders>
            <w:vAlign w:val="center"/>
          </w:tcPr>
          <w:p w:rsidR="002A5A5E" w:rsidRPr="00FC1444" w:rsidRDefault="002A5A5E">
            <w:pPr>
              <w:jc w:val="center"/>
            </w:pPr>
          </w:p>
        </w:tc>
        <w:tc>
          <w:tcPr>
            <w:tcW w:w="2572" w:type="pct"/>
            <w:tcBorders>
              <w:tl2br w:val="nil"/>
              <w:tr2bl w:val="nil"/>
            </w:tcBorders>
            <w:vAlign w:val="center"/>
          </w:tcPr>
          <w:p w:rsidR="002A5A5E" w:rsidRPr="00FC1444" w:rsidRDefault="00611CBA">
            <w:pPr>
              <w:jc w:val="center"/>
            </w:pPr>
            <w:r w:rsidRPr="00FC1444">
              <w:t>施工道路区</w:t>
            </w:r>
          </w:p>
        </w:tc>
        <w:tc>
          <w:tcPr>
            <w:tcW w:w="1328" w:type="pct"/>
            <w:tcBorders>
              <w:tl2br w:val="nil"/>
              <w:tr2bl w:val="nil"/>
            </w:tcBorders>
            <w:vAlign w:val="center"/>
          </w:tcPr>
          <w:p w:rsidR="002A5A5E" w:rsidRPr="00FC1444" w:rsidRDefault="00611CBA">
            <w:pPr>
              <w:jc w:val="center"/>
            </w:pPr>
            <w:r w:rsidRPr="00FC1444">
              <w:t>1828</w:t>
            </w:r>
          </w:p>
        </w:tc>
      </w:tr>
      <w:tr w:rsidR="002A5A5E" w:rsidRPr="00FC1444">
        <w:trPr>
          <w:trHeight w:val="340"/>
        </w:trPr>
        <w:tc>
          <w:tcPr>
            <w:tcW w:w="1100" w:type="pct"/>
            <w:vMerge/>
            <w:tcBorders>
              <w:tl2br w:val="nil"/>
              <w:tr2bl w:val="nil"/>
            </w:tcBorders>
            <w:vAlign w:val="center"/>
          </w:tcPr>
          <w:p w:rsidR="002A5A5E" w:rsidRPr="00FC1444" w:rsidRDefault="002A5A5E">
            <w:pPr>
              <w:jc w:val="center"/>
            </w:pPr>
          </w:p>
        </w:tc>
        <w:tc>
          <w:tcPr>
            <w:tcW w:w="2572" w:type="pct"/>
            <w:tcBorders>
              <w:tl2br w:val="nil"/>
              <w:tr2bl w:val="nil"/>
            </w:tcBorders>
            <w:vAlign w:val="center"/>
          </w:tcPr>
          <w:p w:rsidR="002A5A5E" w:rsidRPr="00FC1444" w:rsidRDefault="00611CBA">
            <w:pPr>
              <w:jc w:val="center"/>
            </w:pPr>
            <w:r w:rsidRPr="00FC1444">
              <w:t>临时堆土区</w:t>
            </w:r>
          </w:p>
        </w:tc>
        <w:tc>
          <w:tcPr>
            <w:tcW w:w="1328" w:type="pct"/>
            <w:tcBorders>
              <w:tl2br w:val="nil"/>
              <w:tr2bl w:val="nil"/>
            </w:tcBorders>
            <w:vAlign w:val="center"/>
          </w:tcPr>
          <w:p w:rsidR="002A5A5E" w:rsidRPr="00FC1444" w:rsidRDefault="00611CBA">
            <w:pPr>
              <w:jc w:val="center"/>
            </w:pPr>
            <w:r w:rsidRPr="00FC1444">
              <w:t>8466</w:t>
            </w:r>
          </w:p>
        </w:tc>
      </w:tr>
      <w:tr w:rsidR="002A5A5E" w:rsidRPr="00FC1444">
        <w:trPr>
          <w:trHeight w:val="340"/>
        </w:trPr>
        <w:tc>
          <w:tcPr>
            <w:tcW w:w="1100" w:type="pct"/>
            <w:tcBorders>
              <w:tl2br w:val="nil"/>
              <w:tr2bl w:val="nil"/>
            </w:tcBorders>
            <w:vAlign w:val="center"/>
          </w:tcPr>
          <w:p w:rsidR="002A5A5E" w:rsidRPr="00FC1444" w:rsidRDefault="00611CBA">
            <w:pPr>
              <w:jc w:val="center"/>
            </w:pPr>
            <w:r w:rsidRPr="00FC1444">
              <w:t>自然恢复期第一年</w:t>
            </w:r>
          </w:p>
        </w:tc>
        <w:tc>
          <w:tcPr>
            <w:tcW w:w="2572" w:type="pct"/>
            <w:tcBorders>
              <w:tl2br w:val="nil"/>
              <w:tr2bl w:val="nil"/>
            </w:tcBorders>
            <w:vAlign w:val="center"/>
          </w:tcPr>
          <w:p w:rsidR="002A5A5E" w:rsidRPr="00FC1444" w:rsidRDefault="00611CBA">
            <w:pPr>
              <w:jc w:val="center"/>
            </w:pPr>
            <w:r w:rsidRPr="00FC1444">
              <w:rPr>
                <w:spacing w:val="12"/>
              </w:rPr>
              <w:t>主体工程区</w:t>
            </w:r>
            <w:r w:rsidRPr="00FC1444">
              <w:t>、施工道路区、临时堆土区</w:t>
            </w:r>
          </w:p>
        </w:tc>
        <w:tc>
          <w:tcPr>
            <w:tcW w:w="1328" w:type="pct"/>
            <w:tcBorders>
              <w:tl2br w:val="nil"/>
              <w:tr2bl w:val="nil"/>
            </w:tcBorders>
            <w:vAlign w:val="center"/>
          </w:tcPr>
          <w:p w:rsidR="002A5A5E" w:rsidRPr="00FC1444" w:rsidRDefault="00611CBA">
            <w:pPr>
              <w:jc w:val="center"/>
            </w:pPr>
            <w:r w:rsidRPr="00FC1444">
              <w:t>1419</w:t>
            </w:r>
          </w:p>
        </w:tc>
      </w:tr>
      <w:tr w:rsidR="002A5A5E" w:rsidRPr="00FC1444">
        <w:trPr>
          <w:trHeight w:val="340"/>
        </w:trPr>
        <w:tc>
          <w:tcPr>
            <w:tcW w:w="1100" w:type="pct"/>
            <w:tcBorders>
              <w:tl2br w:val="nil"/>
              <w:tr2bl w:val="nil"/>
            </w:tcBorders>
            <w:vAlign w:val="center"/>
          </w:tcPr>
          <w:p w:rsidR="002A5A5E" w:rsidRPr="00FC1444" w:rsidRDefault="00611CBA">
            <w:pPr>
              <w:jc w:val="center"/>
            </w:pPr>
            <w:r w:rsidRPr="00FC1444">
              <w:t>自然恢复期第二年</w:t>
            </w:r>
          </w:p>
        </w:tc>
        <w:tc>
          <w:tcPr>
            <w:tcW w:w="2572" w:type="pct"/>
            <w:tcBorders>
              <w:tl2br w:val="nil"/>
              <w:tr2bl w:val="nil"/>
            </w:tcBorders>
          </w:tcPr>
          <w:p w:rsidR="002A5A5E" w:rsidRPr="00FC1444" w:rsidRDefault="00611CBA">
            <w:pPr>
              <w:jc w:val="center"/>
            </w:pPr>
            <w:r w:rsidRPr="00FC1444">
              <w:rPr>
                <w:spacing w:val="12"/>
              </w:rPr>
              <w:t>主体工程区</w:t>
            </w:r>
            <w:r w:rsidRPr="00FC1444">
              <w:t>、施工道路区、临时堆土区</w:t>
            </w:r>
          </w:p>
        </w:tc>
        <w:tc>
          <w:tcPr>
            <w:tcW w:w="1328" w:type="pct"/>
            <w:tcBorders>
              <w:tl2br w:val="nil"/>
              <w:tr2bl w:val="nil"/>
            </w:tcBorders>
            <w:vAlign w:val="center"/>
          </w:tcPr>
          <w:p w:rsidR="002A5A5E" w:rsidRPr="00FC1444" w:rsidRDefault="00611CBA">
            <w:pPr>
              <w:jc w:val="center"/>
            </w:pPr>
            <w:r w:rsidRPr="00FC1444">
              <w:t>1130</w:t>
            </w:r>
          </w:p>
        </w:tc>
      </w:tr>
      <w:tr w:rsidR="002A5A5E" w:rsidRPr="00FC1444">
        <w:trPr>
          <w:trHeight w:val="340"/>
        </w:trPr>
        <w:tc>
          <w:tcPr>
            <w:tcW w:w="1100" w:type="pct"/>
            <w:tcBorders>
              <w:tl2br w:val="nil"/>
              <w:tr2bl w:val="nil"/>
            </w:tcBorders>
            <w:vAlign w:val="center"/>
          </w:tcPr>
          <w:p w:rsidR="002A5A5E" w:rsidRPr="00FC1444" w:rsidRDefault="00611CBA">
            <w:pPr>
              <w:jc w:val="center"/>
            </w:pPr>
            <w:r w:rsidRPr="00FC1444">
              <w:t>自然恢复期第三年</w:t>
            </w:r>
          </w:p>
        </w:tc>
        <w:tc>
          <w:tcPr>
            <w:tcW w:w="2572" w:type="pct"/>
            <w:tcBorders>
              <w:tl2br w:val="nil"/>
              <w:tr2bl w:val="nil"/>
            </w:tcBorders>
          </w:tcPr>
          <w:p w:rsidR="002A5A5E" w:rsidRPr="00FC1444" w:rsidRDefault="00611CBA">
            <w:pPr>
              <w:jc w:val="center"/>
            </w:pPr>
            <w:r w:rsidRPr="00FC1444">
              <w:rPr>
                <w:spacing w:val="12"/>
              </w:rPr>
              <w:t>主体工程区</w:t>
            </w:r>
            <w:r w:rsidRPr="00FC1444">
              <w:t>、施工道路区、临时堆土区</w:t>
            </w:r>
          </w:p>
        </w:tc>
        <w:tc>
          <w:tcPr>
            <w:tcW w:w="1328" w:type="pct"/>
            <w:tcBorders>
              <w:tl2br w:val="nil"/>
              <w:tr2bl w:val="nil"/>
            </w:tcBorders>
            <w:vAlign w:val="center"/>
          </w:tcPr>
          <w:p w:rsidR="002A5A5E" w:rsidRPr="00FC1444" w:rsidRDefault="00611CBA">
            <w:pPr>
              <w:jc w:val="center"/>
            </w:pPr>
            <w:r w:rsidRPr="00FC1444">
              <w:t>872</w:t>
            </w:r>
          </w:p>
        </w:tc>
      </w:tr>
    </w:tbl>
    <w:p w:rsidR="002A5A5E" w:rsidRPr="00FC1444" w:rsidRDefault="00611CBA">
      <w:pPr>
        <w:pStyle w:val="afb"/>
        <w:rPr>
          <w:color w:val="auto"/>
        </w:rPr>
      </w:pPr>
      <w:r w:rsidRPr="00FC1444">
        <w:rPr>
          <w:color w:val="auto"/>
        </w:rPr>
        <w:lastRenderedPageBreak/>
        <w:t>预测结果</w:t>
      </w:r>
      <w:r w:rsidR="003E5585" w:rsidRPr="00FC1444">
        <w:rPr>
          <w:color w:val="auto"/>
        </w:rPr>
        <w:t>：</w:t>
      </w:r>
    </w:p>
    <w:p w:rsidR="002A5A5E" w:rsidRPr="00FC1444" w:rsidRDefault="00611CBA">
      <w:pPr>
        <w:pStyle w:val="afb"/>
        <w:rPr>
          <w:color w:val="auto"/>
        </w:rPr>
      </w:pPr>
      <w:r w:rsidRPr="00FC1444">
        <w:rPr>
          <w:color w:val="auto"/>
        </w:rPr>
        <w:t>1</w:t>
      </w:r>
      <w:r w:rsidRPr="00FC1444">
        <w:rPr>
          <w:color w:val="auto"/>
        </w:rPr>
        <w:t>）建设期水土流失量</w:t>
      </w:r>
    </w:p>
    <w:p w:rsidR="002A5A5E" w:rsidRPr="00FC1444" w:rsidRDefault="00611CBA">
      <w:pPr>
        <w:pStyle w:val="afb"/>
        <w:rPr>
          <w:color w:val="auto"/>
        </w:rPr>
      </w:pPr>
      <w:r w:rsidRPr="00FC1444">
        <w:rPr>
          <w:color w:val="auto"/>
        </w:rPr>
        <w:t>建设期内，预测水土流失总量为</w:t>
      </w:r>
      <w:r w:rsidR="00914626" w:rsidRPr="00FC1444">
        <w:rPr>
          <w:rFonts w:hint="eastAsia"/>
          <w:color w:val="auto"/>
        </w:rPr>
        <w:t>16420.5</w:t>
      </w:r>
      <w:r w:rsidRPr="00FC1444">
        <w:rPr>
          <w:color w:val="auto"/>
        </w:rPr>
        <w:t>t</w:t>
      </w:r>
      <w:r w:rsidRPr="00FC1444">
        <w:rPr>
          <w:color w:val="auto"/>
        </w:rPr>
        <w:t>，新增水土流失量为</w:t>
      </w:r>
      <w:r w:rsidR="00914626" w:rsidRPr="00FC1444">
        <w:rPr>
          <w:rFonts w:hint="eastAsia"/>
          <w:color w:val="auto"/>
        </w:rPr>
        <w:t>14814.8</w:t>
      </w:r>
      <w:r w:rsidRPr="00FC1444">
        <w:rPr>
          <w:color w:val="auto"/>
        </w:rPr>
        <w:t>t</w:t>
      </w:r>
      <w:r w:rsidRPr="00FC1444">
        <w:rPr>
          <w:color w:val="auto"/>
        </w:rPr>
        <w:t>。</w:t>
      </w:r>
      <w:r w:rsidRPr="00FC1444">
        <w:rPr>
          <w:color w:val="auto"/>
        </w:rPr>
        <w:t xml:space="preserve"> </w:t>
      </w:r>
    </w:p>
    <w:p w:rsidR="002A5A5E" w:rsidRPr="00FC1444" w:rsidRDefault="00611CBA">
      <w:pPr>
        <w:pStyle w:val="afb"/>
        <w:rPr>
          <w:color w:val="auto"/>
        </w:rPr>
      </w:pPr>
      <w:r w:rsidRPr="00FC1444">
        <w:rPr>
          <w:color w:val="auto"/>
        </w:rPr>
        <w:t>2</w:t>
      </w:r>
      <w:r w:rsidRPr="00FC1444">
        <w:rPr>
          <w:color w:val="auto"/>
        </w:rPr>
        <w:t>）自然恢复期水土流失量</w:t>
      </w:r>
    </w:p>
    <w:p w:rsidR="002A5A5E" w:rsidRPr="00FC1444" w:rsidRDefault="00611CBA">
      <w:pPr>
        <w:pStyle w:val="afb"/>
        <w:rPr>
          <w:color w:val="auto"/>
        </w:rPr>
      </w:pPr>
      <w:r w:rsidRPr="00FC1444">
        <w:rPr>
          <w:color w:val="auto"/>
        </w:rPr>
        <w:t>自然恢复期内，预测水土流失总量为</w:t>
      </w:r>
      <w:r w:rsidR="00914626" w:rsidRPr="00FC1444">
        <w:rPr>
          <w:rFonts w:hint="eastAsia"/>
          <w:color w:val="auto"/>
        </w:rPr>
        <w:t>1831.1</w:t>
      </w:r>
      <w:r w:rsidRPr="00FC1444">
        <w:rPr>
          <w:color w:val="auto"/>
        </w:rPr>
        <w:t>t</w:t>
      </w:r>
      <w:r w:rsidRPr="00FC1444">
        <w:rPr>
          <w:color w:val="auto"/>
        </w:rPr>
        <w:t>，新增水土流失量为</w:t>
      </w:r>
      <w:r w:rsidR="00914626" w:rsidRPr="00FC1444">
        <w:rPr>
          <w:rFonts w:hint="eastAsia"/>
          <w:color w:val="auto"/>
        </w:rPr>
        <w:t>546.5</w:t>
      </w:r>
      <w:r w:rsidRPr="00FC1444">
        <w:rPr>
          <w:color w:val="auto"/>
        </w:rPr>
        <w:t>t</w:t>
      </w:r>
      <w:r w:rsidRPr="00FC1444">
        <w:rPr>
          <w:color w:val="auto"/>
        </w:rPr>
        <w:t>。</w:t>
      </w:r>
      <w:r w:rsidRPr="00FC1444">
        <w:rPr>
          <w:color w:val="auto"/>
        </w:rPr>
        <w:t xml:space="preserve"> </w:t>
      </w:r>
    </w:p>
    <w:p w:rsidR="002A5A5E" w:rsidRPr="00FC1444" w:rsidRDefault="00611CBA">
      <w:pPr>
        <w:pStyle w:val="afb"/>
        <w:rPr>
          <w:color w:val="auto"/>
        </w:rPr>
      </w:pPr>
      <w:r w:rsidRPr="00FC1444">
        <w:rPr>
          <w:color w:val="auto"/>
        </w:rPr>
        <w:t>3</w:t>
      </w:r>
      <w:r w:rsidRPr="00FC1444">
        <w:rPr>
          <w:color w:val="auto"/>
        </w:rPr>
        <w:t>）总水土流失量</w:t>
      </w:r>
    </w:p>
    <w:p w:rsidR="002A5A5E" w:rsidRPr="00FC1444" w:rsidRDefault="00611CBA">
      <w:pPr>
        <w:pStyle w:val="afb"/>
        <w:rPr>
          <w:color w:val="auto"/>
        </w:rPr>
      </w:pPr>
      <w:r w:rsidRPr="00FC1444">
        <w:rPr>
          <w:color w:val="auto"/>
        </w:rPr>
        <w:t>综上所述，项目区内在无水土保持设施的前提下，预测时段内水土流失总量为</w:t>
      </w:r>
      <w:r w:rsidR="00914626" w:rsidRPr="00FC1444">
        <w:rPr>
          <w:rFonts w:hint="eastAsia"/>
          <w:color w:val="auto"/>
        </w:rPr>
        <w:t>18251.6</w:t>
      </w:r>
      <w:r w:rsidRPr="00FC1444">
        <w:rPr>
          <w:color w:val="auto"/>
        </w:rPr>
        <w:t>t</w:t>
      </w:r>
      <w:r w:rsidRPr="00FC1444">
        <w:rPr>
          <w:color w:val="auto"/>
        </w:rPr>
        <w:t>，其中新增水土流失量为</w:t>
      </w:r>
      <w:r w:rsidR="00914626" w:rsidRPr="00FC1444">
        <w:rPr>
          <w:rFonts w:hint="eastAsia"/>
          <w:color w:val="auto"/>
        </w:rPr>
        <w:t>15361.3</w:t>
      </w:r>
      <w:r w:rsidRPr="00FC1444">
        <w:rPr>
          <w:color w:val="auto"/>
        </w:rPr>
        <w:t>t</w:t>
      </w:r>
      <w:r w:rsidRPr="00FC1444">
        <w:rPr>
          <w:color w:val="auto"/>
        </w:rPr>
        <w:t>。具体计算详见下表。</w:t>
      </w:r>
    </w:p>
    <w:p w:rsidR="002A5A5E" w:rsidRPr="00FC1444" w:rsidRDefault="00611CBA">
      <w:pPr>
        <w:jc w:val="center"/>
        <w:rPr>
          <w:b/>
          <w:bCs/>
          <w:szCs w:val="21"/>
        </w:rPr>
      </w:pPr>
      <w:r w:rsidRPr="00FC1444">
        <w:rPr>
          <w:b/>
          <w:bCs/>
          <w:szCs w:val="21"/>
        </w:rPr>
        <w:t>表</w:t>
      </w:r>
      <w:r w:rsidRPr="00FC1444">
        <w:rPr>
          <w:rFonts w:eastAsiaTheme="minorEastAsia"/>
          <w:b/>
          <w:bCs/>
          <w:szCs w:val="21"/>
        </w:rPr>
        <w:t>5-1-12</w:t>
      </w:r>
      <w:r w:rsidRPr="00FC1444">
        <w:rPr>
          <w:b/>
          <w:bCs/>
          <w:szCs w:val="21"/>
        </w:rPr>
        <w:t>建设期扰动区域水土流失量预测表</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1383"/>
        <w:gridCol w:w="830"/>
        <w:gridCol w:w="856"/>
        <w:gridCol w:w="1065"/>
        <w:gridCol w:w="1065"/>
        <w:gridCol w:w="1028"/>
        <w:gridCol w:w="1043"/>
        <w:gridCol w:w="1031"/>
      </w:tblGrid>
      <w:tr w:rsidR="002A5A5E" w:rsidRPr="00FC1444">
        <w:trPr>
          <w:trHeight w:val="340"/>
        </w:trPr>
        <w:tc>
          <w:tcPr>
            <w:tcW w:w="1383" w:type="dxa"/>
            <w:vMerge w:val="restart"/>
            <w:tcBorders>
              <w:tl2br w:val="nil"/>
              <w:tr2bl w:val="nil"/>
            </w:tcBorders>
            <w:vAlign w:val="center"/>
          </w:tcPr>
          <w:p w:rsidR="002A5A5E" w:rsidRPr="00FC1444" w:rsidRDefault="00611CBA">
            <w:pPr>
              <w:jc w:val="center"/>
            </w:pPr>
            <w:r w:rsidRPr="00FC1444">
              <w:t>预测单元</w:t>
            </w:r>
          </w:p>
        </w:tc>
        <w:tc>
          <w:tcPr>
            <w:tcW w:w="830" w:type="dxa"/>
            <w:tcBorders>
              <w:tl2br w:val="nil"/>
              <w:tr2bl w:val="nil"/>
            </w:tcBorders>
            <w:vAlign w:val="center"/>
          </w:tcPr>
          <w:p w:rsidR="002A5A5E" w:rsidRPr="00FC1444" w:rsidRDefault="00611CBA">
            <w:pPr>
              <w:jc w:val="center"/>
            </w:pPr>
            <w:r w:rsidRPr="00FC1444">
              <w:t>预测面积</w:t>
            </w:r>
          </w:p>
        </w:tc>
        <w:tc>
          <w:tcPr>
            <w:tcW w:w="856" w:type="dxa"/>
            <w:tcBorders>
              <w:tl2br w:val="nil"/>
              <w:tr2bl w:val="nil"/>
            </w:tcBorders>
            <w:vAlign w:val="center"/>
          </w:tcPr>
          <w:p w:rsidR="002A5A5E" w:rsidRPr="00FC1444" w:rsidRDefault="00611CBA">
            <w:pPr>
              <w:jc w:val="center"/>
            </w:pPr>
            <w:r w:rsidRPr="00FC1444">
              <w:t>预测时段</w:t>
            </w:r>
          </w:p>
        </w:tc>
        <w:tc>
          <w:tcPr>
            <w:tcW w:w="1065" w:type="dxa"/>
            <w:tcBorders>
              <w:tl2br w:val="nil"/>
              <w:tr2bl w:val="nil"/>
            </w:tcBorders>
            <w:vAlign w:val="center"/>
          </w:tcPr>
          <w:p w:rsidR="002A5A5E" w:rsidRPr="00FC1444" w:rsidRDefault="00611CBA">
            <w:pPr>
              <w:jc w:val="center"/>
            </w:pPr>
            <w:r w:rsidRPr="00FC1444">
              <w:t>土壤侵蚀</w:t>
            </w:r>
          </w:p>
          <w:p w:rsidR="002A5A5E" w:rsidRPr="00FC1444" w:rsidRDefault="00611CBA">
            <w:pPr>
              <w:jc w:val="center"/>
            </w:pPr>
            <w:r w:rsidRPr="00FC1444">
              <w:t>背景值</w:t>
            </w:r>
          </w:p>
        </w:tc>
        <w:tc>
          <w:tcPr>
            <w:tcW w:w="1065" w:type="dxa"/>
            <w:tcBorders>
              <w:tl2br w:val="nil"/>
              <w:tr2bl w:val="nil"/>
            </w:tcBorders>
            <w:vAlign w:val="center"/>
          </w:tcPr>
          <w:p w:rsidR="002A5A5E" w:rsidRPr="00FC1444" w:rsidRDefault="00611CBA">
            <w:pPr>
              <w:jc w:val="center"/>
            </w:pPr>
            <w:r w:rsidRPr="00FC1444">
              <w:t>扰动侵蚀</w:t>
            </w:r>
          </w:p>
          <w:p w:rsidR="002A5A5E" w:rsidRPr="00FC1444" w:rsidRDefault="00611CBA">
            <w:pPr>
              <w:jc w:val="center"/>
            </w:pPr>
            <w:r w:rsidRPr="00FC1444">
              <w:t>模数</w:t>
            </w:r>
          </w:p>
        </w:tc>
        <w:tc>
          <w:tcPr>
            <w:tcW w:w="1028" w:type="dxa"/>
            <w:tcBorders>
              <w:tl2br w:val="nil"/>
              <w:tr2bl w:val="nil"/>
            </w:tcBorders>
            <w:vAlign w:val="center"/>
          </w:tcPr>
          <w:p w:rsidR="002A5A5E" w:rsidRPr="00FC1444" w:rsidRDefault="00611CBA">
            <w:pPr>
              <w:jc w:val="center"/>
            </w:pPr>
            <w:r w:rsidRPr="00FC1444">
              <w:t>背景流失量</w:t>
            </w:r>
          </w:p>
        </w:tc>
        <w:tc>
          <w:tcPr>
            <w:tcW w:w="1043" w:type="dxa"/>
            <w:tcBorders>
              <w:tl2br w:val="nil"/>
              <w:tr2bl w:val="nil"/>
            </w:tcBorders>
            <w:vAlign w:val="center"/>
          </w:tcPr>
          <w:p w:rsidR="002A5A5E" w:rsidRPr="00FC1444" w:rsidRDefault="00611CBA">
            <w:pPr>
              <w:jc w:val="center"/>
            </w:pPr>
            <w:r w:rsidRPr="00FC1444">
              <w:t>扰动地表</w:t>
            </w:r>
          </w:p>
          <w:p w:rsidR="002A5A5E" w:rsidRPr="00FC1444" w:rsidRDefault="00611CBA">
            <w:pPr>
              <w:jc w:val="center"/>
            </w:pPr>
            <w:r w:rsidRPr="00FC1444">
              <w:t>流失量</w:t>
            </w:r>
          </w:p>
        </w:tc>
        <w:tc>
          <w:tcPr>
            <w:tcW w:w="1031" w:type="dxa"/>
            <w:tcBorders>
              <w:tl2br w:val="nil"/>
              <w:tr2bl w:val="nil"/>
            </w:tcBorders>
            <w:vAlign w:val="center"/>
          </w:tcPr>
          <w:p w:rsidR="002A5A5E" w:rsidRPr="00FC1444" w:rsidRDefault="00611CBA">
            <w:pPr>
              <w:jc w:val="center"/>
            </w:pPr>
            <w:r w:rsidRPr="00FC1444">
              <w:t>新增流失量</w:t>
            </w:r>
          </w:p>
        </w:tc>
      </w:tr>
      <w:tr w:rsidR="002A5A5E" w:rsidRPr="00FC1444">
        <w:trPr>
          <w:trHeight w:val="340"/>
        </w:trPr>
        <w:tc>
          <w:tcPr>
            <w:tcW w:w="1383" w:type="dxa"/>
            <w:vMerge/>
            <w:tcBorders>
              <w:tl2br w:val="nil"/>
              <w:tr2bl w:val="nil"/>
            </w:tcBorders>
            <w:vAlign w:val="center"/>
          </w:tcPr>
          <w:p w:rsidR="002A5A5E" w:rsidRPr="00FC1444" w:rsidRDefault="002A5A5E">
            <w:pPr>
              <w:jc w:val="center"/>
            </w:pPr>
          </w:p>
        </w:tc>
        <w:tc>
          <w:tcPr>
            <w:tcW w:w="830" w:type="dxa"/>
            <w:tcBorders>
              <w:tl2br w:val="nil"/>
              <w:tr2bl w:val="nil"/>
            </w:tcBorders>
            <w:vAlign w:val="center"/>
          </w:tcPr>
          <w:p w:rsidR="002A5A5E" w:rsidRPr="00FC1444" w:rsidRDefault="00611CBA">
            <w:pPr>
              <w:jc w:val="center"/>
            </w:pPr>
            <w:r w:rsidRPr="00FC1444">
              <w:t>km</w:t>
            </w:r>
            <w:r w:rsidRPr="00FC1444">
              <w:rPr>
                <w:vertAlign w:val="superscript"/>
              </w:rPr>
              <w:t>2</w:t>
            </w:r>
          </w:p>
        </w:tc>
        <w:tc>
          <w:tcPr>
            <w:tcW w:w="856" w:type="dxa"/>
            <w:tcBorders>
              <w:tl2br w:val="nil"/>
              <w:tr2bl w:val="nil"/>
            </w:tcBorders>
            <w:vAlign w:val="center"/>
          </w:tcPr>
          <w:p w:rsidR="002A5A5E" w:rsidRPr="00FC1444" w:rsidRDefault="00611CBA">
            <w:pPr>
              <w:jc w:val="center"/>
            </w:pPr>
            <w:r w:rsidRPr="00FC1444">
              <w:t>a</w:t>
            </w:r>
          </w:p>
        </w:tc>
        <w:tc>
          <w:tcPr>
            <w:tcW w:w="1065" w:type="dxa"/>
            <w:tcBorders>
              <w:tl2br w:val="nil"/>
              <w:tr2bl w:val="nil"/>
            </w:tcBorders>
            <w:vAlign w:val="center"/>
          </w:tcPr>
          <w:p w:rsidR="002A5A5E" w:rsidRPr="00FC1444" w:rsidRDefault="00611CBA">
            <w:pPr>
              <w:jc w:val="center"/>
            </w:pPr>
            <w:r w:rsidRPr="00FC1444">
              <w:t>t/km</w:t>
            </w:r>
            <w:r w:rsidRPr="00FC1444">
              <w:rPr>
                <w:vertAlign w:val="superscript"/>
              </w:rPr>
              <w:t>2</w:t>
            </w:r>
            <w:r w:rsidRPr="00FC1444">
              <w:t xml:space="preserve"> ·a</w:t>
            </w:r>
          </w:p>
        </w:tc>
        <w:tc>
          <w:tcPr>
            <w:tcW w:w="1065" w:type="dxa"/>
            <w:tcBorders>
              <w:tl2br w:val="nil"/>
              <w:tr2bl w:val="nil"/>
            </w:tcBorders>
            <w:vAlign w:val="center"/>
          </w:tcPr>
          <w:p w:rsidR="002A5A5E" w:rsidRPr="00FC1444" w:rsidRDefault="00611CBA">
            <w:pPr>
              <w:jc w:val="center"/>
            </w:pPr>
            <w:r w:rsidRPr="00FC1444">
              <w:t>t/km</w:t>
            </w:r>
            <w:r w:rsidRPr="00FC1444">
              <w:rPr>
                <w:vertAlign w:val="superscript"/>
              </w:rPr>
              <w:t>2</w:t>
            </w:r>
            <w:r w:rsidRPr="00FC1444">
              <w:t xml:space="preserve"> ·a</w:t>
            </w:r>
          </w:p>
        </w:tc>
        <w:tc>
          <w:tcPr>
            <w:tcW w:w="1028" w:type="dxa"/>
            <w:tcBorders>
              <w:tl2br w:val="nil"/>
              <w:tr2bl w:val="nil"/>
            </w:tcBorders>
            <w:vAlign w:val="center"/>
          </w:tcPr>
          <w:p w:rsidR="002A5A5E" w:rsidRPr="00FC1444" w:rsidRDefault="00611CBA">
            <w:pPr>
              <w:jc w:val="center"/>
            </w:pPr>
            <w:r w:rsidRPr="00FC1444">
              <w:t>t</w:t>
            </w:r>
          </w:p>
        </w:tc>
        <w:tc>
          <w:tcPr>
            <w:tcW w:w="1043" w:type="dxa"/>
            <w:tcBorders>
              <w:tl2br w:val="nil"/>
              <w:tr2bl w:val="nil"/>
            </w:tcBorders>
            <w:vAlign w:val="center"/>
          </w:tcPr>
          <w:p w:rsidR="002A5A5E" w:rsidRPr="00FC1444" w:rsidRDefault="00611CBA">
            <w:pPr>
              <w:jc w:val="center"/>
            </w:pPr>
            <w:r w:rsidRPr="00FC1444">
              <w:t>t</w:t>
            </w:r>
          </w:p>
        </w:tc>
        <w:tc>
          <w:tcPr>
            <w:tcW w:w="1031" w:type="dxa"/>
            <w:tcBorders>
              <w:tl2br w:val="nil"/>
              <w:tr2bl w:val="nil"/>
            </w:tcBorders>
            <w:vAlign w:val="center"/>
          </w:tcPr>
          <w:p w:rsidR="002A5A5E" w:rsidRPr="00FC1444" w:rsidRDefault="00611CBA">
            <w:pPr>
              <w:jc w:val="center"/>
            </w:pPr>
            <w:r w:rsidRPr="00FC1444">
              <w:t>t</w:t>
            </w:r>
          </w:p>
        </w:tc>
      </w:tr>
      <w:tr w:rsidR="00914626" w:rsidRPr="00FC1444">
        <w:trPr>
          <w:trHeight w:val="340"/>
        </w:trPr>
        <w:tc>
          <w:tcPr>
            <w:tcW w:w="1383" w:type="dxa"/>
            <w:tcBorders>
              <w:tl2br w:val="nil"/>
              <w:tr2bl w:val="nil"/>
            </w:tcBorders>
            <w:vAlign w:val="center"/>
          </w:tcPr>
          <w:p w:rsidR="00914626" w:rsidRPr="00FC1444" w:rsidRDefault="00914626">
            <w:pPr>
              <w:jc w:val="center"/>
            </w:pPr>
            <w:r w:rsidRPr="00FC1444">
              <w:rPr>
                <w:spacing w:val="12"/>
              </w:rPr>
              <w:t>主体工程区</w:t>
            </w:r>
          </w:p>
        </w:tc>
        <w:tc>
          <w:tcPr>
            <w:tcW w:w="830" w:type="dxa"/>
            <w:tcBorders>
              <w:tl2br w:val="nil"/>
              <w:tr2bl w:val="nil"/>
            </w:tcBorders>
            <w:vAlign w:val="center"/>
          </w:tcPr>
          <w:p w:rsidR="00914626" w:rsidRPr="00FC1444" w:rsidRDefault="00914626">
            <w:pPr>
              <w:jc w:val="center"/>
            </w:pPr>
            <w:r w:rsidRPr="00FC1444">
              <w:t>0.02224</w:t>
            </w:r>
          </w:p>
        </w:tc>
        <w:tc>
          <w:tcPr>
            <w:tcW w:w="856" w:type="dxa"/>
            <w:tcBorders>
              <w:tl2br w:val="nil"/>
              <w:tr2bl w:val="nil"/>
            </w:tcBorders>
            <w:vAlign w:val="center"/>
          </w:tcPr>
          <w:p w:rsidR="00914626" w:rsidRPr="00FC1444" w:rsidRDefault="00914626">
            <w:pPr>
              <w:jc w:val="center"/>
            </w:pPr>
            <w:r w:rsidRPr="00FC1444">
              <w:t>3.75</w:t>
            </w:r>
          </w:p>
        </w:tc>
        <w:tc>
          <w:tcPr>
            <w:tcW w:w="1065" w:type="dxa"/>
            <w:tcBorders>
              <w:tl2br w:val="nil"/>
              <w:tr2bl w:val="nil"/>
            </w:tcBorders>
            <w:vAlign w:val="center"/>
          </w:tcPr>
          <w:p w:rsidR="00914626" w:rsidRPr="00FC1444" w:rsidRDefault="00914626">
            <w:pPr>
              <w:jc w:val="center"/>
            </w:pPr>
            <w:r w:rsidRPr="00FC1444">
              <w:t>800</w:t>
            </w:r>
          </w:p>
        </w:tc>
        <w:tc>
          <w:tcPr>
            <w:tcW w:w="1065" w:type="dxa"/>
            <w:tcBorders>
              <w:tl2br w:val="nil"/>
              <w:tr2bl w:val="nil"/>
            </w:tcBorders>
            <w:vAlign w:val="center"/>
          </w:tcPr>
          <w:p w:rsidR="00914626" w:rsidRPr="00FC1444" w:rsidRDefault="00914626">
            <w:pPr>
              <w:jc w:val="center"/>
            </w:pPr>
            <w:r w:rsidRPr="00FC1444">
              <w:t>2047</w:t>
            </w:r>
          </w:p>
        </w:tc>
        <w:tc>
          <w:tcPr>
            <w:tcW w:w="1028" w:type="dxa"/>
            <w:tcBorders>
              <w:tl2br w:val="nil"/>
              <w:tr2bl w:val="nil"/>
            </w:tcBorders>
            <w:vAlign w:val="center"/>
          </w:tcPr>
          <w:p w:rsidR="00914626" w:rsidRPr="00FC1444" w:rsidRDefault="00914626">
            <w:pPr>
              <w:jc w:val="center"/>
            </w:pPr>
            <w:r w:rsidRPr="00FC1444">
              <w:t xml:space="preserve">66.7 </w:t>
            </w:r>
          </w:p>
        </w:tc>
        <w:tc>
          <w:tcPr>
            <w:tcW w:w="1043" w:type="dxa"/>
            <w:tcBorders>
              <w:tl2br w:val="nil"/>
              <w:tr2bl w:val="nil"/>
            </w:tcBorders>
            <w:vAlign w:val="center"/>
          </w:tcPr>
          <w:p w:rsidR="00914626" w:rsidRPr="00FC1444" w:rsidRDefault="00914626">
            <w:pPr>
              <w:jc w:val="center"/>
            </w:pPr>
            <w:r w:rsidRPr="00FC1444">
              <w:t xml:space="preserve">170.7 </w:t>
            </w:r>
          </w:p>
        </w:tc>
        <w:tc>
          <w:tcPr>
            <w:tcW w:w="1031" w:type="dxa"/>
            <w:tcBorders>
              <w:tl2br w:val="nil"/>
              <w:tr2bl w:val="nil"/>
            </w:tcBorders>
            <w:vAlign w:val="center"/>
          </w:tcPr>
          <w:p w:rsidR="00914626" w:rsidRPr="00FC1444" w:rsidRDefault="00914626">
            <w:pPr>
              <w:jc w:val="center"/>
            </w:pPr>
            <w:r w:rsidRPr="00FC1444">
              <w:t xml:space="preserve">104.0 </w:t>
            </w:r>
          </w:p>
        </w:tc>
      </w:tr>
      <w:tr w:rsidR="00914626" w:rsidRPr="00FC1444">
        <w:trPr>
          <w:trHeight w:val="340"/>
        </w:trPr>
        <w:tc>
          <w:tcPr>
            <w:tcW w:w="1383" w:type="dxa"/>
            <w:tcBorders>
              <w:tl2br w:val="nil"/>
              <w:tr2bl w:val="nil"/>
            </w:tcBorders>
            <w:vAlign w:val="center"/>
          </w:tcPr>
          <w:p w:rsidR="00914626" w:rsidRPr="00FC1444" w:rsidRDefault="00914626">
            <w:pPr>
              <w:jc w:val="center"/>
            </w:pPr>
            <w:r w:rsidRPr="00FC1444">
              <w:t>施工道路区</w:t>
            </w:r>
          </w:p>
        </w:tc>
        <w:tc>
          <w:tcPr>
            <w:tcW w:w="830" w:type="dxa"/>
            <w:tcBorders>
              <w:tl2br w:val="nil"/>
              <w:tr2bl w:val="nil"/>
            </w:tcBorders>
            <w:vAlign w:val="center"/>
          </w:tcPr>
          <w:p w:rsidR="00914626" w:rsidRPr="00FC1444" w:rsidRDefault="00914626">
            <w:pPr>
              <w:jc w:val="center"/>
            </w:pPr>
            <w:r w:rsidRPr="00FC1444">
              <w:t>0.0015</w:t>
            </w:r>
          </w:p>
        </w:tc>
        <w:tc>
          <w:tcPr>
            <w:tcW w:w="856" w:type="dxa"/>
            <w:tcBorders>
              <w:tl2br w:val="nil"/>
              <w:tr2bl w:val="nil"/>
            </w:tcBorders>
            <w:vAlign w:val="center"/>
          </w:tcPr>
          <w:p w:rsidR="00914626" w:rsidRPr="00FC1444" w:rsidRDefault="00914626">
            <w:pPr>
              <w:jc w:val="center"/>
            </w:pPr>
            <w:r w:rsidRPr="00FC1444">
              <w:t>3.75</w:t>
            </w:r>
          </w:p>
        </w:tc>
        <w:tc>
          <w:tcPr>
            <w:tcW w:w="1065" w:type="dxa"/>
            <w:tcBorders>
              <w:tl2br w:val="nil"/>
              <w:tr2bl w:val="nil"/>
            </w:tcBorders>
            <w:vAlign w:val="center"/>
          </w:tcPr>
          <w:p w:rsidR="00914626" w:rsidRPr="00FC1444" w:rsidRDefault="00914626">
            <w:pPr>
              <w:jc w:val="center"/>
            </w:pPr>
            <w:r w:rsidRPr="00FC1444">
              <w:t>800</w:t>
            </w:r>
          </w:p>
        </w:tc>
        <w:tc>
          <w:tcPr>
            <w:tcW w:w="1065" w:type="dxa"/>
            <w:tcBorders>
              <w:tl2br w:val="nil"/>
              <w:tr2bl w:val="nil"/>
            </w:tcBorders>
            <w:vAlign w:val="center"/>
          </w:tcPr>
          <w:p w:rsidR="00914626" w:rsidRPr="00FC1444" w:rsidRDefault="00914626">
            <w:pPr>
              <w:jc w:val="center"/>
            </w:pPr>
            <w:r w:rsidRPr="00FC1444">
              <w:t>1828</w:t>
            </w:r>
          </w:p>
        </w:tc>
        <w:tc>
          <w:tcPr>
            <w:tcW w:w="1028" w:type="dxa"/>
            <w:tcBorders>
              <w:tl2br w:val="nil"/>
              <w:tr2bl w:val="nil"/>
            </w:tcBorders>
            <w:vAlign w:val="center"/>
          </w:tcPr>
          <w:p w:rsidR="00914626" w:rsidRPr="00FC1444" w:rsidRDefault="00914626">
            <w:pPr>
              <w:jc w:val="center"/>
            </w:pPr>
            <w:r w:rsidRPr="00FC1444">
              <w:t xml:space="preserve">4.5 </w:t>
            </w:r>
          </w:p>
        </w:tc>
        <w:tc>
          <w:tcPr>
            <w:tcW w:w="1043" w:type="dxa"/>
            <w:tcBorders>
              <w:tl2br w:val="nil"/>
              <w:tr2bl w:val="nil"/>
            </w:tcBorders>
            <w:vAlign w:val="center"/>
          </w:tcPr>
          <w:p w:rsidR="00914626" w:rsidRPr="00FC1444" w:rsidRDefault="00914626">
            <w:pPr>
              <w:jc w:val="center"/>
            </w:pPr>
            <w:r w:rsidRPr="00FC1444">
              <w:t xml:space="preserve">10.3 </w:t>
            </w:r>
          </w:p>
        </w:tc>
        <w:tc>
          <w:tcPr>
            <w:tcW w:w="1031" w:type="dxa"/>
            <w:tcBorders>
              <w:tl2br w:val="nil"/>
              <w:tr2bl w:val="nil"/>
            </w:tcBorders>
            <w:vAlign w:val="center"/>
          </w:tcPr>
          <w:p w:rsidR="00914626" w:rsidRPr="00FC1444" w:rsidRDefault="00914626">
            <w:pPr>
              <w:jc w:val="center"/>
            </w:pPr>
            <w:r w:rsidRPr="00FC1444">
              <w:t xml:space="preserve">5.8 </w:t>
            </w:r>
          </w:p>
        </w:tc>
      </w:tr>
      <w:tr w:rsidR="00914626" w:rsidRPr="00FC1444">
        <w:trPr>
          <w:trHeight w:val="340"/>
        </w:trPr>
        <w:tc>
          <w:tcPr>
            <w:tcW w:w="1383" w:type="dxa"/>
            <w:tcBorders>
              <w:tl2br w:val="nil"/>
              <w:tr2bl w:val="nil"/>
            </w:tcBorders>
            <w:vAlign w:val="center"/>
          </w:tcPr>
          <w:p w:rsidR="00914626" w:rsidRPr="00FC1444" w:rsidRDefault="00914626">
            <w:pPr>
              <w:jc w:val="center"/>
            </w:pPr>
            <w:r w:rsidRPr="00FC1444">
              <w:t>临时堆土区</w:t>
            </w:r>
          </w:p>
        </w:tc>
        <w:tc>
          <w:tcPr>
            <w:tcW w:w="830" w:type="dxa"/>
            <w:tcBorders>
              <w:tl2br w:val="nil"/>
              <w:tr2bl w:val="nil"/>
            </w:tcBorders>
            <w:vAlign w:val="center"/>
          </w:tcPr>
          <w:p w:rsidR="00914626" w:rsidRPr="00FC1444" w:rsidRDefault="00914626">
            <w:pPr>
              <w:jc w:val="center"/>
            </w:pPr>
            <w:r w:rsidRPr="00FC1444">
              <w:t>0.511522</w:t>
            </w:r>
          </w:p>
        </w:tc>
        <w:tc>
          <w:tcPr>
            <w:tcW w:w="856" w:type="dxa"/>
            <w:tcBorders>
              <w:tl2br w:val="nil"/>
              <w:tr2bl w:val="nil"/>
            </w:tcBorders>
            <w:vAlign w:val="center"/>
          </w:tcPr>
          <w:p w:rsidR="00914626" w:rsidRPr="00FC1444" w:rsidRDefault="00914626">
            <w:pPr>
              <w:jc w:val="center"/>
            </w:pPr>
            <w:r w:rsidRPr="00FC1444">
              <w:t>3.75</w:t>
            </w:r>
          </w:p>
        </w:tc>
        <w:tc>
          <w:tcPr>
            <w:tcW w:w="1065" w:type="dxa"/>
            <w:tcBorders>
              <w:tl2br w:val="nil"/>
              <w:tr2bl w:val="nil"/>
            </w:tcBorders>
            <w:vAlign w:val="center"/>
          </w:tcPr>
          <w:p w:rsidR="00914626" w:rsidRPr="00FC1444" w:rsidRDefault="00914626">
            <w:pPr>
              <w:jc w:val="center"/>
            </w:pPr>
            <w:r w:rsidRPr="00FC1444">
              <w:t>800</w:t>
            </w:r>
          </w:p>
        </w:tc>
        <w:tc>
          <w:tcPr>
            <w:tcW w:w="1065" w:type="dxa"/>
            <w:tcBorders>
              <w:tl2br w:val="nil"/>
              <w:tr2bl w:val="nil"/>
            </w:tcBorders>
            <w:vAlign w:val="center"/>
          </w:tcPr>
          <w:p w:rsidR="00914626" w:rsidRPr="00FC1444" w:rsidRDefault="00914626">
            <w:pPr>
              <w:jc w:val="center"/>
            </w:pPr>
            <w:r w:rsidRPr="00FC1444">
              <w:t>8466</w:t>
            </w:r>
          </w:p>
        </w:tc>
        <w:tc>
          <w:tcPr>
            <w:tcW w:w="1028" w:type="dxa"/>
            <w:tcBorders>
              <w:tl2br w:val="nil"/>
              <w:tr2bl w:val="nil"/>
            </w:tcBorders>
            <w:vAlign w:val="center"/>
          </w:tcPr>
          <w:p w:rsidR="00914626" w:rsidRPr="00FC1444" w:rsidRDefault="00914626">
            <w:pPr>
              <w:jc w:val="center"/>
            </w:pPr>
            <w:r w:rsidRPr="00FC1444">
              <w:t xml:space="preserve">1534.6 </w:t>
            </w:r>
          </w:p>
        </w:tc>
        <w:tc>
          <w:tcPr>
            <w:tcW w:w="1043" w:type="dxa"/>
            <w:tcBorders>
              <w:tl2br w:val="nil"/>
              <w:tr2bl w:val="nil"/>
            </w:tcBorders>
            <w:vAlign w:val="center"/>
          </w:tcPr>
          <w:p w:rsidR="00914626" w:rsidRPr="00FC1444" w:rsidRDefault="00914626">
            <w:pPr>
              <w:jc w:val="center"/>
            </w:pPr>
            <w:r w:rsidRPr="00FC1444">
              <w:t xml:space="preserve">16239.5 </w:t>
            </w:r>
          </w:p>
        </w:tc>
        <w:tc>
          <w:tcPr>
            <w:tcW w:w="1031" w:type="dxa"/>
            <w:tcBorders>
              <w:tl2br w:val="nil"/>
              <w:tr2bl w:val="nil"/>
            </w:tcBorders>
            <w:vAlign w:val="center"/>
          </w:tcPr>
          <w:p w:rsidR="00914626" w:rsidRPr="00FC1444" w:rsidRDefault="00914626">
            <w:pPr>
              <w:jc w:val="center"/>
            </w:pPr>
            <w:r w:rsidRPr="00FC1444">
              <w:t xml:space="preserve">14705.0 </w:t>
            </w:r>
          </w:p>
        </w:tc>
      </w:tr>
      <w:tr w:rsidR="00914626" w:rsidRPr="00FC1444">
        <w:trPr>
          <w:trHeight w:val="340"/>
        </w:trPr>
        <w:tc>
          <w:tcPr>
            <w:tcW w:w="1383" w:type="dxa"/>
            <w:tcBorders>
              <w:tl2br w:val="nil"/>
              <w:tr2bl w:val="nil"/>
            </w:tcBorders>
            <w:vAlign w:val="center"/>
          </w:tcPr>
          <w:p w:rsidR="00914626" w:rsidRPr="00FC1444" w:rsidRDefault="00914626">
            <w:pPr>
              <w:jc w:val="center"/>
            </w:pPr>
            <w:r w:rsidRPr="00FC1444">
              <w:t>合计</w:t>
            </w:r>
          </w:p>
        </w:tc>
        <w:tc>
          <w:tcPr>
            <w:tcW w:w="830" w:type="dxa"/>
            <w:tcBorders>
              <w:tl2br w:val="nil"/>
              <w:tr2bl w:val="nil"/>
            </w:tcBorders>
            <w:vAlign w:val="center"/>
          </w:tcPr>
          <w:p w:rsidR="00914626" w:rsidRPr="00FC1444" w:rsidRDefault="00914626" w:rsidP="00D20F79">
            <w:pPr>
              <w:jc w:val="center"/>
            </w:pPr>
            <w:r w:rsidRPr="00FC1444">
              <w:t>0.</w:t>
            </w:r>
            <w:r w:rsidRPr="00FC1444">
              <w:rPr>
                <w:rFonts w:hint="eastAsia"/>
              </w:rPr>
              <w:t>5353</w:t>
            </w:r>
          </w:p>
        </w:tc>
        <w:tc>
          <w:tcPr>
            <w:tcW w:w="856" w:type="dxa"/>
            <w:tcBorders>
              <w:tl2br w:val="nil"/>
              <w:tr2bl w:val="nil"/>
            </w:tcBorders>
            <w:vAlign w:val="center"/>
          </w:tcPr>
          <w:p w:rsidR="00914626" w:rsidRPr="00FC1444" w:rsidRDefault="00914626">
            <w:pPr>
              <w:jc w:val="center"/>
            </w:pPr>
            <w:r w:rsidRPr="00FC1444">
              <w:t>/</w:t>
            </w:r>
          </w:p>
        </w:tc>
        <w:tc>
          <w:tcPr>
            <w:tcW w:w="1065" w:type="dxa"/>
            <w:tcBorders>
              <w:tl2br w:val="nil"/>
              <w:tr2bl w:val="nil"/>
            </w:tcBorders>
            <w:vAlign w:val="center"/>
          </w:tcPr>
          <w:p w:rsidR="00914626" w:rsidRPr="00FC1444" w:rsidRDefault="00914626">
            <w:pPr>
              <w:jc w:val="center"/>
            </w:pPr>
            <w:r w:rsidRPr="00FC1444">
              <w:t>/</w:t>
            </w:r>
          </w:p>
        </w:tc>
        <w:tc>
          <w:tcPr>
            <w:tcW w:w="1065" w:type="dxa"/>
            <w:tcBorders>
              <w:tl2br w:val="nil"/>
              <w:tr2bl w:val="nil"/>
            </w:tcBorders>
            <w:vAlign w:val="center"/>
          </w:tcPr>
          <w:p w:rsidR="00914626" w:rsidRPr="00FC1444" w:rsidRDefault="00914626">
            <w:pPr>
              <w:jc w:val="center"/>
            </w:pPr>
            <w:r w:rsidRPr="00FC1444">
              <w:t>/</w:t>
            </w:r>
          </w:p>
        </w:tc>
        <w:tc>
          <w:tcPr>
            <w:tcW w:w="1028" w:type="dxa"/>
            <w:tcBorders>
              <w:tl2br w:val="nil"/>
              <w:tr2bl w:val="nil"/>
            </w:tcBorders>
            <w:vAlign w:val="center"/>
          </w:tcPr>
          <w:p w:rsidR="00914626" w:rsidRPr="00FC1444" w:rsidRDefault="00914626">
            <w:pPr>
              <w:jc w:val="center"/>
            </w:pPr>
            <w:r w:rsidRPr="00FC1444">
              <w:t xml:space="preserve">1605.8 </w:t>
            </w:r>
          </w:p>
        </w:tc>
        <w:tc>
          <w:tcPr>
            <w:tcW w:w="1043" w:type="dxa"/>
            <w:tcBorders>
              <w:tl2br w:val="nil"/>
              <w:tr2bl w:val="nil"/>
            </w:tcBorders>
            <w:vAlign w:val="center"/>
          </w:tcPr>
          <w:p w:rsidR="00914626" w:rsidRPr="00FC1444" w:rsidRDefault="00914626">
            <w:pPr>
              <w:jc w:val="center"/>
            </w:pPr>
            <w:r w:rsidRPr="00FC1444">
              <w:t xml:space="preserve">16420.5 </w:t>
            </w:r>
          </w:p>
        </w:tc>
        <w:tc>
          <w:tcPr>
            <w:tcW w:w="1031" w:type="dxa"/>
            <w:tcBorders>
              <w:tl2br w:val="nil"/>
              <w:tr2bl w:val="nil"/>
            </w:tcBorders>
            <w:vAlign w:val="center"/>
          </w:tcPr>
          <w:p w:rsidR="00914626" w:rsidRPr="00FC1444" w:rsidRDefault="00914626">
            <w:pPr>
              <w:jc w:val="center"/>
            </w:pPr>
            <w:r w:rsidRPr="00FC1444">
              <w:t xml:space="preserve">14814.8 </w:t>
            </w:r>
          </w:p>
        </w:tc>
      </w:tr>
    </w:tbl>
    <w:p w:rsidR="002A5A5E" w:rsidRPr="00FC1444" w:rsidRDefault="00611CBA">
      <w:pPr>
        <w:jc w:val="center"/>
        <w:rPr>
          <w:b/>
          <w:bCs/>
          <w:szCs w:val="21"/>
        </w:rPr>
      </w:pPr>
      <w:r w:rsidRPr="00FC1444">
        <w:rPr>
          <w:b/>
          <w:bCs/>
          <w:szCs w:val="21"/>
        </w:rPr>
        <w:t>表</w:t>
      </w:r>
      <w:r w:rsidRPr="00FC1444">
        <w:rPr>
          <w:b/>
          <w:bCs/>
          <w:szCs w:val="21"/>
        </w:rPr>
        <w:t>5-1-13</w:t>
      </w:r>
      <w:r w:rsidRPr="00FC1444">
        <w:rPr>
          <w:b/>
          <w:bCs/>
          <w:szCs w:val="21"/>
        </w:rPr>
        <w:t>自然恢复期水土流失量预测表</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671"/>
        <w:gridCol w:w="793"/>
        <w:gridCol w:w="551"/>
        <w:gridCol w:w="689"/>
        <w:gridCol w:w="599"/>
        <w:gridCol w:w="691"/>
        <w:gridCol w:w="583"/>
        <w:gridCol w:w="693"/>
        <w:gridCol w:w="585"/>
        <w:gridCol w:w="693"/>
        <w:gridCol w:w="584"/>
        <w:gridCol w:w="585"/>
        <w:gridCol w:w="584"/>
      </w:tblGrid>
      <w:tr w:rsidR="002A5A5E" w:rsidRPr="00FC1444">
        <w:trPr>
          <w:trHeight w:val="340"/>
        </w:trPr>
        <w:tc>
          <w:tcPr>
            <w:tcW w:w="671" w:type="dxa"/>
            <w:vMerge w:val="restart"/>
            <w:tcBorders>
              <w:tl2br w:val="nil"/>
              <w:tr2bl w:val="nil"/>
            </w:tcBorders>
            <w:vAlign w:val="center"/>
          </w:tcPr>
          <w:p w:rsidR="002A5A5E" w:rsidRPr="00FC1444" w:rsidRDefault="00611CBA">
            <w:pPr>
              <w:jc w:val="center"/>
            </w:pPr>
            <w:r w:rsidRPr="00FC1444">
              <w:t>预测单元</w:t>
            </w:r>
          </w:p>
        </w:tc>
        <w:tc>
          <w:tcPr>
            <w:tcW w:w="793" w:type="dxa"/>
            <w:vMerge w:val="restart"/>
            <w:tcBorders>
              <w:tl2br w:val="nil"/>
              <w:tr2bl w:val="nil"/>
            </w:tcBorders>
            <w:vAlign w:val="center"/>
          </w:tcPr>
          <w:p w:rsidR="002A5A5E" w:rsidRPr="00FC1444" w:rsidRDefault="00611CBA">
            <w:pPr>
              <w:jc w:val="center"/>
            </w:pPr>
            <w:r w:rsidRPr="00FC1444">
              <w:t>预测</w:t>
            </w:r>
          </w:p>
          <w:p w:rsidR="002A5A5E" w:rsidRPr="00FC1444" w:rsidRDefault="00611CBA">
            <w:pPr>
              <w:jc w:val="center"/>
            </w:pPr>
            <w:r w:rsidRPr="00FC1444">
              <w:t>面积</w:t>
            </w:r>
          </w:p>
        </w:tc>
        <w:tc>
          <w:tcPr>
            <w:tcW w:w="1839" w:type="dxa"/>
            <w:gridSpan w:val="3"/>
            <w:tcBorders>
              <w:tl2br w:val="nil"/>
              <w:tr2bl w:val="nil"/>
            </w:tcBorders>
            <w:vAlign w:val="center"/>
          </w:tcPr>
          <w:p w:rsidR="002A5A5E" w:rsidRPr="00FC1444" w:rsidRDefault="00611CBA">
            <w:pPr>
              <w:jc w:val="center"/>
            </w:pPr>
            <w:r w:rsidRPr="00FC1444">
              <w:t>原地貌水土流失量</w:t>
            </w:r>
          </w:p>
        </w:tc>
        <w:tc>
          <w:tcPr>
            <w:tcW w:w="4414" w:type="dxa"/>
            <w:gridSpan w:val="7"/>
            <w:tcBorders>
              <w:tl2br w:val="nil"/>
              <w:tr2bl w:val="nil"/>
            </w:tcBorders>
            <w:vAlign w:val="center"/>
          </w:tcPr>
          <w:p w:rsidR="002A5A5E" w:rsidRPr="00FC1444" w:rsidRDefault="00611CBA">
            <w:pPr>
              <w:jc w:val="center"/>
            </w:pPr>
            <w:r w:rsidRPr="00FC1444">
              <w:t>自然恢复期水土流失量</w:t>
            </w:r>
          </w:p>
        </w:tc>
        <w:tc>
          <w:tcPr>
            <w:tcW w:w="584" w:type="dxa"/>
            <w:vMerge w:val="restart"/>
            <w:tcBorders>
              <w:tl2br w:val="nil"/>
              <w:tr2bl w:val="nil"/>
            </w:tcBorders>
            <w:vAlign w:val="center"/>
          </w:tcPr>
          <w:p w:rsidR="002A5A5E" w:rsidRPr="00FC1444" w:rsidRDefault="00611CBA">
            <w:pPr>
              <w:jc w:val="center"/>
            </w:pPr>
            <w:r w:rsidRPr="00FC1444">
              <w:t>新增流失量</w:t>
            </w:r>
          </w:p>
        </w:tc>
      </w:tr>
      <w:tr w:rsidR="002A5A5E" w:rsidRPr="00FC1444">
        <w:trPr>
          <w:trHeight w:val="423"/>
        </w:trPr>
        <w:tc>
          <w:tcPr>
            <w:tcW w:w="671" w:type="dxa"/>
            <w:vMerge/>
            <w:tcBorders>
              <w:tl2br w:val="nil"/>
              <w:tr2bl w:val="nil"/>
            </w:tcBorders>
            <w:vAlign w:val="center"/>
          </w:tcPr>
          <w:p w:rsidR="002A5A5E" w:rsidRPr="00FC1444" w:rsidRDefault="002A5A5E">
            <w:pPr>
              <w:jc w:val="center"/>
            </w:pPr>
          </w:p>
        </w:tc>
        <w:tc>
          <w:tcPr>
            <w:tcW w:w="793" w:type="dxa"/>
            <w:vMerge/>
            <w:tcBorders>
              <w:tl2br w:val="nil"/>
              <w:tr2bl w:val="nil"/>
            </w:tcBorders>
            <w:vAlign w:val="center"/>
          </w:tcPr>
          <w:p w:rsidR="002A5A5E" w:rsidRPr="00FC1444" w:rsidRDefault="002A5A5E">
            <w:pPr>
              <w:jc w:val="center"/>
            </w:pPr>
          </w:p>
        </w:tc>
        <w:tc>
          <w:tcPr>
            <w:tcW w:w="551" w:type="dxa"/>
            <w:vMerge w:val="restart"/>
            <w:tcBorders>
              <w:right w:val="single" w:sz="4" w:space="0" w:color="auto"/>
              <w:tl2br w:val="nil"/>
              <w:tr2bl w:val="nil"/>
            </w:tcBorders>
            <w:vAlign w:val="center"/>
          </w:tcPr>
          <w:p w:rsidR="002A5A5E" w:rsidRPr="00FC1444" w:rsidRDefault="00611CBA">
            <w:pPr>
              <w:jc w:val="center"/>
            </w:pPr>
            <w:r w:rsidRPr="00FC1444">
              <w:t>预测</w:t>
            </w:r>
          </w:p>
          <w:p w:rsidR="002A5A5E" w:rsidRPr="00FC1444" w:rsidRDefault="00611CBA">
            <w:pPr>
              <w:jc w:val="center"/>
              <w:rPr>
                <w:rFonts w:eastAsia="仿宋"/>
                <w:sz w:val="20"/>
                <w:szCs w:val="20"/>
              </w:rPr>
            </w:pPr>
            <w:r w:rsidRPr="00FC1444">
              <w:t>时段</w:t>
            </w:r>
          </w:p>
        </w:tc>
        <w:tc>
          <w:tcPr>
            <w:tcW w:w="689" w:type="dxa"/>
            <w:vMerge w:val="restart"/>
            <w:tcBorders>
              <w:left w:val="single" w:sz="4" w:space="0" w:color="auto"/>
              <w:right w:val="single" w:sz="4" w:space="0" w:color="auto"/>
              <w:tl2br w:val="nil"/>
              <w:tr2bl w:val="nil"/>
            </w:tcBorders>
            <w:vAlign w:val="center"/>
          </w:tcPr>
          <w:p w:rsidR="002A5A5E" w:rsidRPr="00FC1444" w:rsidRDefault="00611CBA">
            <w:pPr>
              <w:jc w:val="center"/>
              <w:rPr>
                <w:rFonts w:eastAsia="仿宋"/>
                <w:sz w:val="20"/>
                <w:szCs w:val="20"/>
              </w:rPr>
            </w:pPr>
            <w:r w:rsidRPr="00FC1444">
              <w:t>土壤侵蚀背景值</w:t>
            </w:r>
          </w:p>
        </w:tc>
        <w:tc>
          <w:tcPr>
            <w:tcW w:w="599" w:type="dxa"/>
            <w:vMerge w:val="restart"/>
            <w:tcBorders>
              <w:left w:val="single" w:sz="4" w:space="0" w:color="auto"/>
              <w:tl2br w:val="nil"/>
              <w:tr2bl w:val="nil"/>
            </w:tcBorders>
            <w:vAlign w:val="center"/>
          </w:tcPr>
          <w:p w:rsidR="002A5A5E" w:rsidRPr="00FC1444" w:rsidRDefault="00611CBA">
            <w:pPr>
              <w:jc w:val="center"/>
              <w:rPr>
                <w:rFonts w:eastAsia="仿宋"/>
                <w:sz w:val="20"/>
                <w:szCs w:val="20"/>
              </w:rPr>
            </w:pPr>
            <w:r w:rsidRPr="00FC1444">
              <w:t>背景流失量</w:t>
            </w:r>
          </w:p>
        </w:tc>
        <w:tc>
          <w:tcPr>
            <w:tcW w:w="1274" w:type="dxa"/>
            <w:gridSpan w:val="2"/>
            <w:tcBorders>
              <w:bottom w:val="single" w:sz="4" w:space="0" w:color="auto"/>
              <w:tl2br w:val="nil"/>
              <w:tr2bl w:val="nil"/>
            </w:tcBorders>
            <w:vAlign w:val="center"/>
          </w:tcPr>
          <w:p w:rsidR="002A5A5E" w:rsidRPr="00FC1444" w:rsidRDefault="00611CBA">
            <w:pPr>
              <w:jc w:val="center"/>
            </w:pPr>
            <w:r w:rsidRPr="00FC1444">
              <w:t>第一年流失量</w:t>
            </w:r>
          </w:p>
        </w:tc>
        <w:tc>
          <w:tcPr>
            <w:tcW w:w="1278" w:type="dxa"/>
            <w:gridSpan w:val="2"/>
            <w:tcBorders>
              <w:bottom w:val="single" w:sz="4" w:space="0" w:color="auto"/>
              <w:tl2br w:val="nil"/>
              <w:tr2bl w:val="nil"/>
            </w:tcBorders>
            <w:vAlign w:val="center"/>
          </w:tcPr>
          <w:p w:rsidR="002A5A5E" w:rsidRPr="00FC1444" w:rsidRDefault="00611CBA">
            <w:pPr>
              <w:jc w:val="center"/>
            </w:pPr>
            <w:r w:rsidRPr="00FC1444">
              <w:t>第</w:t>
            </w:r>
            <w:r w:rsidR="00997DD5" w:rsidRPr="00FC1444">
              <w:t>二</w:t>
            </w:r>
            <w:r w:rsidRPr="00FC1444">
              <w:t>年流失量</w:t>
            </w:r>
          </w:p>
        </w:tc>
        <w:tc>
          <w:tcPr>
            <w:tcW w:w="1277" w:type="dxa"/>
            <w:gridSpan w:val="2"/>
            <w:tcBorders>
              <w:bottom w:val="single" w:sz="4" w:space="0" w:color="auto"/>
              <w:tl2br w:val="nil"/>
              <w:tr2bl w:val="nil"/>
            </w:tcBorders>
            <w:vAlign w:val="center"/>
          </w:tcPr>
          <w:p w:rsidR="002A5A5E" w:rsidRPr="00FC1444" w:rsidRDefault="00611CBA">
            <w:pPr>
              <w:jc w:val="center"/>
            </w:pPr>
            <w:r w:rsidRPr="00FC1444">
              <w:t>第</w:t>
            </w:r>
            <w:r w:rsidR="00997DD5" w:rsidRPr="00FC1444">
              <w:t>三</w:t>
            </w:r>
            <w:r w:rsidRPr="00FC1444">
              <w:t>年流失量</w:t>
            </w:r>
          </w:p>
        </w:tc>
        <w:tc>
          <w:tcPr>
            <w:tcW w:w="585" w:type="dxa"/>
            <w:vMerge w:val="restart"/>
            <w:tcBorders>
              <w:tl2br w:val="nil"/>
              <w:tr2bl w:val="nil"/>
            </w:tcBorders>
            <w:vAlign w:val="center"/>
          </w:tcPr>
          <w:p w:rsidR="002A5A5E" w:rsidRPr="00FC1444" w:rsidRDefault="00611CBA">
            <w:pPr>
              <w:jc w:val="center"/>
            </w:pPr>
            <w:r w:rsidRPr="00FC1444">
              <w:t>流失量合计</w:t>
            </w:r>
          </w:p>
        </w:tc>
        <w:tc>
          <w:tcPr>
            <w:tcW w:w="584" w:type="dxa"/>
            <w:vMerge/>
            <w:tcBorders>
              <w:tl2br w:val="nil"/>
              <w:tr2bl w:val="nil"/>
            </w:tcBorders>
            <w:vAlign w:val="center"/>
          </w:tcPr>
          <w:p w:rsidR="002A5A5E" w:rsidRPr="00FC1444" w:rsidRDefault="002A5A5E">
            <w:pPr>
              <w:jc w:val="center"/>
            </w:pPr>
          </w:p>
        </w:tc>
      </w:tr>
      <w:tr w:rsidR="002A5A5E" w:rsidRPr="00FC1444">
        <w:trPr>
          <w:trHeight w:val="399"/>
        </w:trPr>
        <w:tc>
          <w:tcPr>
            <w:tcW w:w="671" w:type="dxa"/>
            <w:vMerge/>
            <w:tcBorders>
              <w:tl2br w:val="nil"/>
              <w:tr2bl w:val="nil"/>
            </w:tcBorders>
            <w:vAlign w:val="center"/>
          </w:tcPr>
          <w:p w:rsidR="002A5A5E" w:rsidRPr="00FC1444" w:rsidRDefault="002A5A5E">
            <w:pPr>
              <w:jc w:val="center"/>
            </w:pPr>
          </w:p>
        </w:tc>
        <w:tc>
          <w:tcPr>
            <w:tcW w:w="793" w:type="dxa"/>
            <w:vMerge/>
            <w:tcBorders>
              <w:tl2br w:val="nil"/>
              <w:tr2bl w:val="nil"/>
            </w:tcBorders>
            <w:vAlign w:val="center"/>
          </w:tcPr>
          <w:p w:rsidR="002A5A5E" w:rsidRPr="00FC1444" w:rsidRDefault="002A5A5E">
            <w:pPr>
              <w:jc w:val="center"/>
            </w:pPr>
          </w:p>
        </w:tc>
        <w:tc>
          <w:tcPr>
            <w:tcW w:w="551" w:type="dxa"/>
            <w:vMerge/>
            <w:tcBorders>
              <w:right w:val="single" w:sz="4" w:space="0" w:color="auto"/>
              <w:tl2br w:val="nil"/>
              <w:tr2bl w:val="nil"/>
            </w:tcBorders>
            <w:vAlign w:val="center"/>
          </w:tcPr>
          <w:p w:rsidR="002A5A5E" w:rsidRPr="00FC1444" w:rsidRDefault="002A5A5E">
            <w:pPr>
              <w:jc w:val="center"/>
            </w:pPr>
          </w:p>
        </w:tc>
        <w:tc>
          <w:tcPr>
            <w:tcW w:w="689" w:type="dxa"/>
            <w:vMerge/>
            <w:tcBorders>
              <w:left w:val="single" w:sz="4" w:space="0" w:color="auto"/>
              <w:right w:val="single" w:sz="4" w:space="0" w:color="auto"/>
              <w:tl2br w:val="nil"/>
              <w:tr2bl w:val="nil"/>
            </w:tcBorders>
            <w:vAlign w:val="center"/>
          </w:tcPr>
          <w:p w:rsidR="002A5A5E" w:rsidRPr="00FC1444" w:rsidRDefault="002A5A5E">
            <w:pPr>
              <w:jc w:val="center"/>
            </w:pPr>
          </w:p>
        </w:tc>
        <w:tc>
          <w:tcPr>
            <w:tcW w:w="599" w:type="dxa"/>
            <w:vMerge/>
            <w:tcBorders>
              <w:left w:val="single" w:sz="4" w:space="0" w:color="auto"/>
              <w:tl2br w:val="nil"/>
              <w:tr2bl w:val="nil"/>
            </w:tcBorders>
            <w:vAlign w:val="center"/>
          </w:tcPr>
          <w:p w:rsidR="002A5A5E" w:rsidRPr="00FC1444" w:rsidRDefault="002A5A5E">
            <w:pPr>
              <w:jc w:val="center"/>
            </w:pPr>
          </w:p>
        </w:tc>
        <w:tc>
          <w:tcPr>
            <w:tcW w:w="691" w:type="dxa"/>
            <w:tcBorders>
              <w:top w:val="single" w:sz="4" w:space="0" w:color="auto"/>
              <w:tl2br w:val="nil"/>
              <w:tr2bl w:val="nil"/>
            </w:tcBorders>
            <w:vAlign w:val="center"/>
          </w:tcPr>
          <w:p w:rsidR="002A5A5E" w:rsidRPr="00FC1444" w:rsidRDefault="00611CBA">
            <w:pPr>
              <w:jc w:val="center"/>
            </w:pPr>
            <w:r w:rsidRPr="00FC1444">
              <w:t>土壤侵蚀模数</w:t>
            </w:r>
          </w:p>
        </w:tc>
        <w:tc>
          <w:tcPr>
            <w:tcW w:w="583" w:type="dxa"/>
            <w:tcBorders>
              <w:top w:val="single" w:sz="4" w:space="0" w:color="auto"/>
              <w:tl2br w:val="nil"/>
              <w:tr2bl w:val="nil"/>
            </w:tcBorders>
            <w:vAlign w:val="center"/>
          </w:tcPr>
          <w:p w:rsidR="002A5A5E" w:rsidRPr="00FC1444" w:rsidRDefault="00611CBA">
            <w:pPr>
              <w:jc w:val="center"/>
            </w:pPr>
            <w:r w:rsidRPr="00FC1444">
              <w:t>流失量</w:t>
            </w:r>
          </w:p>
        </w:tc>
        <w:tc>
          <w:tcPr>
            <w:tcW w:w="693" w:type="dxa"/>
            <w:tcBorders>
              <w:top w:val="single" w:sz="4" w:space="0" w:color="auto"/>
              <w:tl2br w:val="nil"/>
              <w:tr2bl w:val="nil"/>
            </w:tcBorders>
            <w:vAlign w:val="center"/>
          </w:tcPr>
          <w:p w:rsidR="002A5A5E" w:rsidRPr="00FC1444" w:rsidRDefault="00611CBA">
            <w:pPr>
              <w:jc w:val="center"/>
            </w:pPr>
            <w:r w:rsidRPr="00FC1444">
              <w:t>土壤侵蚀模数</w:t>
            </w:r>
          </w:p>
        </w:tc>
        <w:tc>
          <w:tcPr>
            <w:tcW w:w="585" w:type="dxa"/>
            <w:tcBorders>
              <w:top w:val="single" w:sz="4" w:space="0" w:color="auto"/>
              <w:tl2br w:val="nil"/>
              <w:tr2bl w:val="nil"/>
            </w:tcBorders>
            <w:vAlign w:val="center"/>
          </w:tcPr>
          <w:p w:rsidR="002A5A5E" w:rsidRPr="00FC1444" w:rsidRDefault="00611CBA">
            <w:pPr>
              <w:jc w:val="center"/>
            </w:pPr>
            <w:r w:rsidRPr="00FC1444">
              <w:t>流失量</w:t>
            </w:r>
          </w:p>
        </w:tc>
        <w:tc>
          <w:tcPr>
            <w:tcW w:w="693" w:type="dxa"/>
            <w:tcBorders>
              <w:top w:val="single" w:sz="4" w:space="0" w:color="auto"/>
              <w:tl2br w:val="nil"/>
              <w:tr2bl w:val="nil"/>
            </w:tcBorders>
            <w:vAlign w:val="center"/>
          </w:tcPr>
          <w:p w:rsidR="002A5A5E" w:rsidRPr="00FC1444" w:rsidRDefault="00611CBA">
            <w:pPr>
              <w:jc w:val="center"/>
            </w:pPr>
            <w:r w:rsidRPr="00FC1444">
              <w:t>土壤侵蚀模数</w:t>
            </w:r>
          </w:p>
        </w:tc>
        <w:tc>
          <w:tcPr>
            <w:tcW w:w="584" w:type="dxa"/>
            <w:tcBorders>
              <w:top w:val="single" w:sz="4" w:space="0" w:color="auto"/>
              <w:tl2br w:val="nil"/>
              <w:tr2bl w:val="nil"/>
            </w:tcBorders>
            <w:vAlign w:val="center"/>
          </w:tcPr>
          <w:p w:rsidR="002A5A5E" w:rsidRPr="00FC1444" w:rsidRDefault="00611CBA">
            <w:pPr>
              <w:jc w:val="center"/>
            </w:pPr>
            <w:r w:rsidRPr="00FC1444">
              <w:t>流失量</w:t>
            </w:r>
          </w:p>
        </w:tc>
        <w:tc>
          <w:tcPr>
            <w:tcW w:w="585" w:type="dxa"/>
            <w:vMerge/>
            <w:tcBorders>
              <w:tl2br w:val="nil"/>
              <w:tr2bl w:val="nil"/>
            </w:tcBorders>
            <w:vAlign w:val="center"/>
          </w:tcPr>
          <w:p w:rsidR="002A5A5E" w:rsidRPr="00FC1444" w:rsidRDefault="002A5A5E">
            <w:pPr>
              <w:jc w:val="center"/>
            </w:pPr>
          </w:p>
        </w:tc>
        <w:tc>
          <w:tcPr>
            <w:tcW w:w="584" w:type="dxa"/>
            <w:vMerge/>
            <w:tcBorders>
              <w:tl2br w:val="nil"/>
              <w:tr2bl w:val="nil"/>
            </w:tcBorders>
            <w:vAlign w:val="center"/>
          </w:tcPr>
          <w:p w:rsidR="002A5A5E" w:rsidRPr="00FC1444" w:rsidRDefault="002A5A5E">
            <w:pPr>
              <w:jc w:val="center"/>
            </w:pPr>
          </w:p>
        </w:tc>
      </w:tr>
      <w:tr w:rsidR="002A5A5E" w:rsidRPr="00FC1444">
        <w:trPr>
          <w:trHeight w:val="340"/>
        </w:trPr>
        <w:tc>
          <w:tcPr>
            <w:tcW w:w="671" w:type="dxa"/>
            <w:vMerge/>
            <w:tcBorders>
              <w:tl2br w:val="nil"/>
              <w:tr2bl w:val="nil"/>
            </w:tcBorders>
            <w:vAlign w:val="center"/>
          </w:tcPr>
          <w:p w:rsidR="002A5A5E" w:rsidRPr="00FC1444" w:rsidRDefault="002A5A5E">
            <w:pPr>
              <w:jc w:val="center"/>
            </w:pPr>
          </w:p>
        </w:tc>
        <w:tc>
          <w:tcPr>
            <w:tcW w:w="793" w:type="dxa"/>
            <w:tcBorders>
              <w:tl2br w:val="nil"/>
              <w:tr2bl w:val="nil"/>
            </w:tcBorders>
            <w:vAlign w:val="center"/>
          </w:tcPr>
          <w:p w:rsidR="002A5A5E" w:rsidRPr="00FC1444" w:rsidRDefault="00611CBA">
            <w:pPr>
              <w:jc w:val="center"/>
            </w:pPr>
            <w:r w:rsidRPr="00FC1444">
              <w:t>km</w:t>
            </w:r>
            <w:r w:rsidRPr="00FC1444">
              <w:rPr>
                <w:vertAlign w:val="superscript"/>
              </w:rPr>
              <w:t>2</w:t>
            </w:r>
          </w:p>
        </w:tc>
        <w:tc>
          <w:tcPr>
            <w:tcW w:w="551" w:type="dxa"/>
            <w:tcBorders>
              <w:tl2br w:val="nil"/>
              <w:tr2bl w:val="nil"/>
            </w:tcBorders>
            <w:vAlign w:val="center"/>
          </w:tcPr>
          <w:p w:rsidR="002A5A5E" w:rsidRPr="00FC1444" w:rsidRDefault="00611CBA">
            <w:pPr>
              <w:jc w:val="center"/>
            </w:pPr>
            <w:r w:rsidRPr="00FC1444">
              <w:t>a</w:t>
            </w:r>
          </w:p>
        </w:tc>
        <w:tc>
          <w:tcPr>
            <w:tcW w:w="689" w:type="dxa"/>
            <w:tcBorders>
              <w:tl2br w:val="nil"/>
              <w:tr2bl w:val="nil"/>
            </w:tcBorders>
            <w:vAlign w:val="center"/>
          </w:tcPr>
          <w:p w:rsidR="002A5A5E" w:rsidRPr="00FC1444" w:rsidRDefault="00611CBA">
            <w:pPr>
              <w:jc w:val="center"/>
            </w:pPr>
            <w:r w:rsidRPr="00FC1444">
              <w:t>t/km</w:t>
            </w:r>
            <w:r w:rsidRPr="00FC1444">
              <w:rPr>
                <w:vertAlign w:val="superscript"/>
              </w:rPr>
              <w:t>2</w:t>
            </w:r>
            <w:r w:rsidRPr="00FC1444">
              <w:t xml:space="preserve"> ·a</w:t>
            </w:r>
          </w:p>
        </w:tc>
        <w:tc>
          <w:tcPr>
            <w:tcW w:w="599" w:type="dxa"/>
            <w:tcBorders>
              <w:tl2br w:val="nil"/>
              <w:tr2bl w:val="nil"/>
            </w:tcBorders>
            <w:vAlign w:val="center"/>
          </w:tcPr>
          <w:p w:rsidR="002A5A5E" w:rsidRPr="00FC1444" w:rsidRDefault="00611CBA">
            <w:pPr>
              <w:jc w:val="center"/>
            </w:pPr>
            <w:r w:rsidRPr="00FC1444">
              <w:t>t</w:t>
            </w:r>
          </w:p>
        </w:tc>
        <w:tc>
          <w:tcPr>
            <w:tcW w:w="691" w:type="dxa"/>
            <w:tcBorders>
              <w:tl2br w:val="nil"/>
              <w:tr2bl w:val="nil"/>
            </w:tcBorders>
            <w:vAlign w:val="center"/>
          </w:tcPr>
          <w:p w:rsidR="002A5A5E" w:rsidRPr="00FC1444" w:rsidRDefault="00611CBA">
            <w:pPr>
              <w:jc w:val="center"/>
            </w:pPr>
            <w:r w:rsidRPr="00FC1444">
              <w:t>t/km</w:t>
            </w:r>
            <w:r w:rsidRPr="00FC1444">
              <w:rPr>
                <w:vertAlign w:val="superscript"/>
              </w:rPr>
              <w:t>2</w:t>
            </w:r>
            <w:r w:rsidRPr="00FC1444">
              <w:t xml:space="preserve"> ·a</w:t>
            </w:r>
          </w:p>
        </w:tc>
        <w:tc>
          <w:tcPr>
            <w:tcW w:w="583" w:type="dxa"/>
            <w:tcBorders>
              <w:tl2br w:val="nil"/>
              <w:tr2bl w:val="nil"/>
            </w:tcBorders>
            <w:vAlign w:val="center"/>
          </w:tcPr>
          <w:p w:rsidR="002A5A5E" w:rsidRPr="00FC1444" w:rsidRDefault="00611CBA">
            <w:pPr>
              <w:jc w:val="center"/>
            </w:pPr>
            <w:r w:rsidRPr="00FC1444">
              <w:t>t</w:t>
            </w:r>
          </w:p>
        </w:tc>
        <w:tc>
          <w:tcPr>
            <w:tcW w:w="693" w:type="dxa"/>
            <w:tcBorders>
              <w:tl2br w:val="nil"/>
              <w:tr2bl w:val="nil"/>
            </w:tcBorders>
            <w:vAlign w:val="center"/>
          </w:tcPr>
          <w:p w:rsidR="002A5A5E" w:rsidRPr="00FC1444" w:rsidRDefault="00611CBA">
            <w:pPr>
              <w:jc w:val="center"/>
            </w:pPr>
            <w:r w:rsidRPr="00FC1444">
              <w:t>t/km</w:t>
            </w:r>
            <w:r w:rsidRPr="00FC1444">
              <w:rPr>
                <w:vertAlign w:val="superscript"/>
              </w:rPr>
              <w:t>2</w:t>
            </w:r>
            <w:r w:rsidRPr="00FC1444">
              <w:t xml:space="preserve"> ·a</w:t>
            </w:r>
          </w:p>
        </w:tc>
        <w:tc>
          <w:tcPr>
            <w:tcW w:w="585" w:type="dxa"/>
            <w:tcBorders>
              <w:tl2br w:val="nil"/>
              <w:tr2bl w:val="nil"/>
            </w:tcBorders>
            <w:vAlign w:val="center"/>
          </w:tcPr>
          <w:p w:rsidR="002A5A5E" w:rsidRPr="00FC1444" w:rsidRDefault="00611CBA">
            <w:pPr>
              <w:jc w:val="center"/>
            </w:pPr>
            <w:r w:rsidRPr="00FC1444">
              <w:t>t</w:t>
            </w:r>
          </w:p>
        </w:tc>
        <w:tc>
          <w:tcPr>
            <w:tcW w:w="693" w:type="dxa"/>
            <w:tcBorders>
              <w:tl2br w:val="nil"/>
              <w:tr2bl w:val="nil"/>
            </w:tcBorders>
            <w:vAlign w:val="center"/>
          </w:tcPr>
          <w:p w:rsidR="002A5A5E" w:rsidRPr="00FC1444" w:rsidRDefault="00611CBA">
            <w:pPr>
              <w:jc w:val="center"/>
            </w:pPr>
            <w:r w:rsidRPr="00FC1444">
              <w:t>t/km</w:t>
            </w:r>
            <w:r w:rsidRPr="00FC1444">
              <w:rPr>
                <w:vertAlign w:val="superscript"/>
              </w:rPr>
              <w:t>2</w:t>
            </w:r>
            <w:r w:rsidRPr="00FC1444">
              <w:t xml:space="preserve"> ·a</w:t>
            </w:r>
          </w:p>
        </w:tc>
        <w:tc>
          <w:tcPr>
            <w:tcW w:w="584" w:type="dxa"/>
            <w:tcBorders>
              <w:tl2br w:val="nil"/>
              <w:tr2bl w:val="nil"/>
            </w:tcBorders>
            <w:vAlign w:val="center"/>
          </w:tcPr>
          <w:p w:rsidR="002A5A5E" w:rsidRPr="00FC1444" w:rsidRDefault="00611CBA">
            <w:pPr>
              <w:jc w:val="center"/>
            </w:pPr>
            <w:r w:rsidRPr="00FC1444">
              <w:t>t</w:t>
            </w:r>
          </w:p>
        </w:tc>
        <w:tc>
          <w:tcPr>
            <w:tcW w:w="585" w:type="dxa"/>
            <w:tcBorders>
              <w:tl2br w:val="nil"/>
              <w:tr2bl w:val="nil"/>
            </w:tcBorders>
            <w:vAlign w:val="center"/>
          </w:tcPr>
          <w:p w:rsidR="002A5A5E" w:rsidRPr="00FC1444" w:rsidRDefault="00611CBA">
            <w:pPr>
              <w:jc w:val="center"/>
            </w:pPr>
            <w:r w:rsidRPr="00FC1444">
              <w:t>t</w:t>
            </w:r>
          </w:p>
        </w:tc>
        <w:tc>
          <w:tcPr>
            <w:tcW w:w="584" w:type="dxa"/>
            <w:tcBorders>
              <w:tl2br w:val="nil"/>
              <w:tr2bl w:val="nil"/>
            </w:tcBorders>
            <w:vAlign w:val="center"/>
          </w:tcPr>
          <w:p w:rsidR="002A5A5E" w:rsidRPr="00FC1444" w:rsidRDefault="00611CBA">
            <w:pPr>
              <w:jc w:val="center"/>
            </w:pPr>
            <w:r w:rsidRPr="00FC1444">
              <w:t>t</w:t>
            </w:r>
          </w:p>
        </w:tc>
      </w:tr>
      <w:tr w:rsidR="00914626" w:rsidRPr="00FC1444">
        <w:trPr>
          <w:trHeight w:val="340"/>
        </w:trPr>
        <w:tc>
          <w:tcPr>
            <w:tcW w:w="671" w:type="dxa"/>
            <w:tcBorders>
              <w:tl2br w:val="nil"/>
              <w:tr2bl w:val="nil"/>
            </w:tcBorders>
            <w:vAlign w:val="center"/>
          </w:tcPr>
          <w:p w:rsidR="00914626" w:rsidRPr="00FC1444" w:rsidRDefault="00914626">
            <w:pPr>
              <w:jc w:val="center"/>
            </w:pPr>
            <w:r w:rsidRPr="00FC1444">
              <w:rPr>
                <w:spacing w:val="12"/>
              </w:rPr>
              <w:t>主体工程区</w:t>
            </w:r>
          </w:p>
        </w:tc>
        <w:tc>
          <w:tcPr>
            <w:tcW w:w="793" w:type="dxa"/>
            <w:tcBorders>
              <w:tl2br w:val="nil"/>
              <w:tr2bl w:val="nil"/>
            </w:tcBorders>
            <w:vAlign w:val="center"/>
          </w:tcPr>
          <w:p w:rsidR="00914626" w:rsidRPr="00FC1444" w:rsidRDefault="00914626" w:rsidP="00065E61">
            <w:pPr>
              <w:jc w:val="center"/>
            </w:pPr>
            <w:r w:rsidRPr="00FC1444">
              <w:t>0.02224</w:t>
            </w:r>
          </w:p>
        </w:tc>
        <w:tc>
          <w:tcPr>
            <w:tcW w:w="551" w:type="dxa"/>
            <w:tcBorders>
              <w:tl2br w:val="nil"/>
              <w:tr2bl w:val="nil"/>
            </w:tcBorders>
            <w:vAlign w:val="center"/>
          </w:tcPr>
          <w:p w:rsidR="00914626" w:rsidRPr="00FC1444" w:rsidRDefault="00914626">
            <w:pPr>
              <w:jc w:val="center"/>
            </w:pPr>
            <w:r w:rsidRPr="00FC1444">
              <w:t>3</w:t>
            </w:r>
          </w:p>
        </w:tc>
        <w:tc>
          <w:tcPr>
            <w:tcW w:w="689" w:type="dxa"/>
            <w:tcBorders>
              <w:tl2br w:val="nil"/>
              <w:tr2bl w:val="nil"/>
            </w:tcBorders>
            <w:vAlign w:val="center"/>
          </w:tcPr>
          <w:p w:rsidR="00914626" w:rsidRPr="00FC1444" w:rsidRDefault="00914626">
            <w:pPr>
              <w:jc w:val="center"/>
            </w:pPr>
            <w:r w:rsidRPr="00FC1444">
              <w:t>800</w:t>
            </w:r>
          </w:p>
        </w:tc>
        <w:tc>
          <w:tcPr>
            <w:tcW w:w="599" w:type="dxa"/>
            <w:tcBorders>
              <w:tl2br w:val="nil"/>
              <w:tr2bl w:val="nil"/>
            </w:tcBorders>
            <w:vAlign w:val="center"/>
          </w:tcPr>
          <w:p w:rsidR="00914626" w:rsidRPr="00FC1444" w:rsidRDefault="00914626">
            <w:pPr>
              <w:jc w:val="center"/>
            </w:pPr>
            <w:r w:rsidRPr="00FC1444">
              <w:t xml:space="preserve">53.4 </w:t>
            </w:r>
          </w:p>
        </w:tc>
        <w:tc>
          <w:tcPr>
            <w:tcW w:w="691" w:type="dxa"/>
            <w:tcBorders>
              <w:tl2br w:val="nil"/>
              <w:tr2bl w:val="nil"/>
            </w:tcBorders>
            <w:vAlign w:val="center"/>
          </w:tcPr>
          <w:p w:rsidR="00914626" w:rsidRPr="00FC1444" w:rsidRDefault="00914626">
            <w:pPr>
              <w:jc w:val="center"/>
            </w:pPr>
            <w:r w:rsidRPr="00FC1444">
              <w:t>1419</w:t>
            </w:r>
          </w:p>
        </w:tc>
        <w:tc>
          <w:tcPr>
            <w:tcW w:w="583" w:type="dxa"/>
            <w:tcBorders>
              <w:tl2br w:val="nil"/>
              <w:tr2bl w:val="nil"/>
            </w:tcBorders>
            <w:vAlign w:val="center"/>
          </w:tcPr>
          <w:p w:rsidR="00914626" w:rsidRPr="00FC1444" w:rsidRDefault="00914626">
            <w:pPr>
              <w:jc w:val="center"/>
            </w:pPr>
            <w:r w:rsidRPr="00FC1444">
              <w:t xml:space="preserve">31.6 </w:t>
            </w:r>
          </w:p>
        </w:tc>
        <w:tc>
          <w:tcPr>
            <w:tcW w:w="693" w:type="dxa"/>
            <w:tcBorders>
              <w:tl2br w:val="nil"/>
              <w:tr2bl w:val="nil"/>
            </w:tcBorders>
            <w:vAlign w:val="center"/>
          </w:tcPr>
          <w:p w:rsidR="00914626" w:rsidRPr="00FC1444" w:rsidRDefault="00914626">
            <w:pPr>
              <w:jc w:val="center"/>
            </w:pPr>
            <w:r w:rsidRPr="00FC1444">
              <w:t>1130</w:t>
            </w:r>
          </w:p>
        </w:tc>
        <w:tc>
          <w:tcPr>
            <w:tcW w:w="585" w:type="dxa"/>
            <w:tcBorders>
              <w:tl2br w:val="nil"/>
              <w:tr2bl w:val="nil"/>
            </w:tcBorders>
            <w:vAlign w:val="center"/>
          </w:tcPr>
          <w:p w:rsidR="00914626" w:rsidRPr="00FC1444" w:rsidRDefault="00914626">
            <w:pPr>
              <w:jc w:val="center"/>
            </w:pPr>
            <w:r w:rsidRPr="00FC1444">
              <w:t xml:space="preserve">25.1 </w:t>
            </w:r>
          </w:p>
        </w:tc>
        <w:tc>
          <w:tcPr>
            <w:tcW w:w="693" w:type="dxa"/>
            <w:tcBorders>
              <w:tl2br w:val="nil"/>
              <w:tr2bl w:val="nil"/>
            </w:tcBorders>
            <w:vAlign w:val="center"/>
          </w:tcPr>
          <w:p w:rsidR="00914626" w:rsidRPr="00FC1444" w:rsidRDefault="00914626">
            <w:pPr>
              <w:jc w:val="center"/>
            </w:pPr>
            <w:r w:rsidRPr="00FC1444">
              <w:t>872</w:t>
            </w:r>
          </w:p>
        </w:tc>
        <w:tc>
          <w:tcPr>
            <w:tcW w:w="584" w:type="dxa"/>
            <w:tcBorders>
              <w:tl2br w:val="nil"/>
              <w:tr2bl w:val="nil"/>
            </w:tcBorders>
            <w:vAlign w:val="center"/>
          </w:tcPr>
          <w:p w:rsidR="00914626" w:rsidRPr="00FC1444" w:rsidRDefault="00914626">
            <w:pPr>
              <w:jc w:val="center"/>
            </w:pPr>
            <w:r w:rsidRPr="00FC1444">
              <w:t xml:space="preserve">19.4 </w:t>
            </w:r>
          </w:p>
        </w:tc>
        <w:tc>
          <w:tcPr>
            <w:tcW w:w="585" w:type="dxa"/>
            <w:tcBorders>
              <w:tl2br w:val="nil"/>
              <w:tr2bl w:val="nil"/>
            </w:tcBorders>
            <w:vAlign w:val="center"/>
          </w:tcPr>
          <w:p w:rsidR="00914626" w:rsidRPr="00FC1444" w:rsidRDefault="00914626">
            <w:pPr>
              <w:jc w:val="center"/>
            </w:pPr>
            <w:r w:rsidRPr="00FC1444">
              <w:t xml:space="preserve">76.1 </w:t>
            </w:r>
          </w:p>
        </w:tc>
        <w:tc>
          <w:tcPr>
            <w:tcW w:w="584" w:type="dxa"/>
            <w:tcBorders>
              <w:tl2br w:val="nil"/>
              <w:tr2bl w:val="nil"/>
            </w:tcBorders>
            <w:vAlign w:val="center"/>
          </w:tcPr>
          <w:p w:rsidR="00914626" w:rsidRPr="00FC1444" w:rsidRDefault="00914626">
            <w:pPr>
              <w:jc w:val="center"/>
            </w:pPr>
            <w:r w:rsidRPr="00FC1444">
              <w:t xml:space="preserve">22.7 </w:t>
            </w:r>
          </w:p>
        </w:tc>
      </w:tr>
      <w:tr w:rsidR="00914626" w:rsidRPr="00FC1444">
        <w:trPr>
          <w:trHeight w:val="340"/>
        </w:trPr>
        <w:tc>
          <w:tcPr>
            <w:tcW w:w="671" w:type="dxa"/>
            <w:tcBorders>
              <w:tl2br w:val="nil"/>
              <w:tr2bl w:val="nil"/>
            </w:tcBorders>
            <w:vAlign w:val="center"/>
          </w:tcPr>
          <w:p w:rsidR="00914626" w:rsidRPr="00FC1444" w:rsidRDefault="00914626">
            <w:pPr>
              <w:jc w:val="center"/>
            </w:pPr>
            <w:r w:rsidRPr="00FC1444">
              <w:t>施工道路区</w:t>
            </w:r>
          </w:p>
        </w:tc>
        <w:tc>
          <w:tcPr>
            <w:tcW w:w="793" w:type="dxa"/>
            <w:tcBorders>
              <w:tl2br w:val="nil"/>
              <w:tr2bl w:val="nil"/>
            </w:tcBorders>
            <w:vAlign w:val="center"/>
          </w:tcPr>
          <w:p w:rsidR="00914626" w:rsidRPr="00FC1444" w:rsidRDefault="00914626" w:rsidP="00065E61">
            <w:pPr>
              <w:jc w:val="center"/>
            </w:pPr>
            <w:r w:rsidRPr="00FC1444">
              <w:t>0.0015</w:t>
            </w:r>
          </w:p>
        </w:tc>
        <w:tc>
          <w:tcPr>
            <w:tcW w:w="551" w:type="dxa"/>
            <w:tcBorders>
              <w:tl2br w:val="nil"/>
              <w:tr2bl w:val="nil"/>
            </w:tcBorders>
            <w:vAlign w:val="center"/>
          </w:tcPr>
          <w:p w:rsidR="00914626" w:rsidRPr="00FC1444" w:rsidRDefault="00914626">
            <w:pPr>
              <w:jc w:val="center"/>
            </w:pPr>
            <w:r w:rsidRPr="00FC1444">
              <w:t>3</w:t>
            </w:r>
          </w:p>
        </w:tc>
        <w:tc>
          <w:tcPr>
            <w:tcW w:w="689" w:type="dxa"/>
            <w:tcBorders>
              <w:tl2br w:val="nil"/>
              <w:tr2bl w:val="nil"/>
            </w:tcBorders>
            <w:vAlign w:val="center"/>
          </w:tcPr>
          <w:p w:rsidR="00914626" w:rsidRPr="00FC1444" w:rsidRDefault="00914626">
            <w:pPr>
              <w:jc w:val="center"/>
            </w:pPr>
            <w:r w:rsidRPr="00FC1444">
              <w:t>800</w:t>
            </w:r>
          </w:p>
        </w:tc>
        <w:tc>
          <w:tcPr>
            <w:tcW w:w="599" w:type="dxa"/>
            <w:tcBorders>
              <w:tl2br w:val="nil"/>
              <w:tr2bl w:val="nil"/>
            </w:tcBorders>
            <w:vAlign w:val="center"/>
          </w:tcPr>
          <w:p w:rsidR="00914626" w:rsidRPr="00FC1444" w:rsidRDefault="00914626">
            <w:pPr>
              <w:jc w:val="center"/>
            </w:pPr>
            <w:r w:rsidRPr="00FC1444">
              <w:t xml:space="preserve">3.6 </w:t>
            </w:r>
          </w:p>
        </w:tc>
        <w:tc>
          <w:tcPr>
            <w:tcW w:w="691" w:type="dxa"/>
            <w:tcBorders>
              <w:tl2br w:val="nil"/>
              <w:tr2bl w:val="nil"/>
            </w:tcBorders>
            <w:vAlign w:val="center"/>
          </w:tcPr>
          <w:p w:rsidR="00914626" w:rsidRPr="00FC1444" w:rsidRDefault="00914626">
            <w:pPr>
              <w:jc w:val="center"/>
            </w:pPr>
            <w:r w:rsidRPr="00FC1444">
              <w:t>1419</w:t>
            </w:r>
          </w:p>
        </w:tc>
        <w:tc>
          <w:tcPr>
            <w:tcW w:w="583" w:type="dxa"/>
            <w:tcBorders>
              <w:tl2br w:val="nil"/>
              <w:tr2bl w:val="nil"/>
            </w:tcBorders>
            <w:vAlign w:val="center"/>
          </w:tcPr>
          <w:p w:rsidR="00914626" w:rsidRPr="00FC1444" w:rsidRDefault="00914626">
            <w:pPr>
              <w:jc w:val="center"/>
            </w:pPr>
            <w:r w:rsidRPr="00FC1444">
              <w:t xml:space="preserve">2.1 </w:t>
            </w:r>
          </w:p>
        </w:tc>
        <w:tc>
          <w:tcPr>
            <w:tcW w:w="693" w:type="dxa"/>
            <w:tcBorders>
              <w:tl2br w:val="nil"/>
              <w:tr2bl w:val="nil"/>
            </w:tcBorders>
            <w:vAlign w:val="center"/>
          </w:tcPr>
          <w:p w:rsidR="00914626" w:rsidRPr="00FC1444" w:rsidRDefault="00914626">
            <w:pPr>
              <w:jc w:val="center"/>
            </w:pPr>
            <w:r w:rsidRPr="00FC1444">
              <w:t>1130</w:t>
            </w:r>
          </w:p>
        </w:tc>
        <w:tc>
          <w:tcPr>
            <w:tcW w:w="585" w:type="dxa"/>
            <w:tcBorders>
              <w:tl2br w:val="nil"/>
              <w:tr2bl w:val="nil"/>
            </w:tcBorders>
            <w:vAlign w:val="center"/>
          </w:tcPr>
          <w:p w:rsidR="00914626" w:rsidRPr="00FC1444" w:rsidRDefault="00914626">
            <w:pPr>
              <w:jc w:val="center"/>
            </w:pPr>
            <w:r w:rsidRPr="00FC1444">
              <w:t xml:space="preserve">1.7 </w:t>
            </w:r>
          </w:p>
        </w:tc>
        <w:tc>
          <w:tcPr>
            <w:tcW w:w="693" w:type="dxa"/>
            <w:tcBorders>
              <w:tl2br w:val="nil"/>
              <w:tr2bl w:val="nil"/>
            </w:tcBorders>
            <w:vAlign w:val="center"/>
          </w:tcPr>
          <w:p w:rsidR="00914626" w:rsidRPr="00FC1444" w:rsidRDefault="00914626">
            <w:pPr>
              <w:jc w:val="center"/>
            </w:pPr>
            <w:r w:rsidRPr="00FC1444">
              <w:t>872</w:t>
            </w:r>
          </w:p>
        </w:tc>
        <w:tc>
          <w:tcPr>
            <w:tcW w:w="584" w:type="dxa"/>
            <w:tcBorders>
              <w:tl2br w:val="nil"/>
              <w:tr2bl w:val="nil"/>
            </w:tcBorders>
            <w:vAlign w:val="center"/>
          </w:tcPr>
          <w:p w:rsidR="00914626" w:rsidRPr="00FC1444" w:rsidRDefault="00914626">
            <w:pPr>
              <w:jc w:val="center"/>
            </w:pPr>
            <w:r w:rsidRPr="00FC1444">
              <w:t xml:space="preserve">1.3 </w:t>
            </w:r>
          </w:p>
        </w:tc>
        <w:tc>
          <w:tcPr>
            <w:tcW w:w="585" w:type="dxa"/>
            <w:tcBorders>
              <w:tl2br w:val="nil"/>
              <w:tr2bl w:val="nil"/>
            </w:tcBorders>
            <w:vAlign w:val="center"/>
          </w:tcPr>
          <w:p w:rsidR="00914626" w:rsidRPr="00FC1444" w:rsidRDefault="00914626">
            <w:pPr>
              <w:jc w:val="center"/>
            </w:pPr>
            <w:r w:rsidRPr="00FC1444">
              <w:t xml:space="preserve">5.1 </w:t>
            </w:r>
          </w:p>
        </w:tc>
        <w:tc>
          <w:tcPr>
            <w:tcW w:w="584" w:type="dxa"/>
            <w:tcBorders>
              <w:tl2br w:val="nil"/>
              <w:tr2bl w:val="nil"/>
            </w:tcBorders>
            <w:vAlign w:val="center"/>
          </w:tcPr>
          <w:p w:rsidR="00914626" w:rsidRPr="00FC1444" w:rsidRDefault="00914626">
            <w:pPr>
              <w:jc w:val="center"/>
            </w:pPr>
            <w:r w:rsidRPr="00FC1444">
              <w:t xml:space="preserve">1.5 </w:t>
            </w:r>
          </w:p>
        </w:tc>
      </w:tr>
      <w:tr w:rsidR="00914626" w:rsidRPr="00FC1444">
        <w:trPr>
          <w:trHeight w:val="340"/>
        </w:trPr>
        <w:tc>
          <w:tcPr>
            <w:tcW w:w="671" w:type="dxa"/>
            <w:tcBorders>
              <w:tl2br w:val="nil"/>
              <w:tr2bl w:val="nil"/>
            </w:tcBorders>
            <w:vAlign w:val="center"/>
          </w:tcPr>
          <w:p w:rsidR="00914626" w:rsidRPr="00FC1444" w:rsidRDefault="00914626">
            <w:pPr>
              <w:jc w:val="center"/>
            </w:pPr>
            <w:r w:rsidRPr="00FC1444">
              <w:t>临时堆土区</w:t>
            </w:r>
          </w:p>
        </w:tc>
        <w:tc>
          <w:tcPr>
            <w:tcW w:w="793" w:type="dxa"/>
            <w:tcBorders>
              <w:tl2br w:val="nil"/>
              <w:tr2bl w:val="nil"/>
            </w:tcBorders>
            <w:vAlign w:val="center"/>
          </w:tcPr>
          <w:p w:rsidR="00914626" w:rsidRPr="00FC1444" w:rsidRDefault="00914626" w:rsidP="00065E61">
            <w:pPr>
              <w:jc w:val="center"/>
            </w:pPr>
            <w:r w:rsidRPr="00FC1444">
              <w:t>0.511522</w:t>
            </w:r>
          </w:p>
        </w:tc>
        <w:tc>
          <w:tcPr>
            <w:tcW w:w="551" w:type="dxa"/>
            <w:tcBorders>
              <w:tl2br w:val="nil"/>
              <w:tr2bl w:val="nil"/>
            </w:tcBorders>
            <w:vAlign w:val="center"/>
          </w:tcPr>
          <w:p w:rsidR="00914626" w:rsidRPr="00FC1444" w:rsidRDefault="00914626">
            <w:pPr>
              <w:jc w:val="center"/>
            </w:pPr>
            <w:r w:rsidRPr="00FC1444">
              <w:t>3</w:t>
            </w:r>
          </w:p>
        </w:tc>
        <w:tc>
          <w:tcPr>
            <w:tcW w:w="689" w:type="dxa"/>
            <w:tcBorders>
              <w:tl2br w:val="nil"/>
              <w:tr2bl w:val="nil"/>
            </w:tcBorders>
            <w:vAlign w:val="center"/>
          </w:tcPr>
          <w:p w:rsidR="00914626" w:rsidRPr="00FC1444" w:rsidRDefault="00914626">
            <w:pPr>
              <w:jc w:val="center"/>
            </w:pPr>
            <w:r w:rsidRPr="00FC1444">
              <w:t>800</w:t>
            </w:r>
          </w:p>
        </w:tc>
        <w:tc>
          <w:tcPr>
            <w:tcW w:w="599" w:type="dxa"/>
            <w:tcBorders>
              <w:tl2br w:val="nil"/>
              <w:tr2bl w:val="nil"/>
            </w:tcBorders>
            <w:vAlign w:val="center"/>
          </w:tcPr>
          <w:p w:rsidR="00914626" w:rsidRPr="00FC1444" w:rsidRDefault="00914626">
            <w:pPr>
              <w:jc w:val="center"/>
            </w:pPr>
            <w:r w:rsidRPr="00FC1444">
              <w:t xml:space="preserve">1227.7 </w:t>
            </w:r>
          </w:p>
        </w:tc>
        <w:tc>
          <w:tcPr>
            <w:tcW w:w="691" w:type="dxa"/>
            <w:tcBorders>
              <w:tl2br w:val="nil"/>
              <w:tr2bl w:val="nil"/>
            </w:tcBorders>
            <w:vAlign w:val="center"/>
          </w:tcPr>
          <w:p w:rsidR="00914626" w:rsidRPr="00FC1444" w:rsidRDefault="00914626">
            <w:pPr>
              <w:jc w:val="center"/>
            </w:pPr>
            <w:r w:rsidRPr="00FC1444">
              <w:t>1419</w:t>
            </w:r>
          </w:p>
        </w:tc>
        <w:tc>
          <w:tcPr>
            <w:tcW w:w="583" w:type="dxa"/>
            <w:tcBorders>
              <w:tl2br w:val="nil"/>
              <w:tr2bl w:val="nil"/>
            </w:tcBorders>
            <w:vAlign w:val="center"/>
          </w:tcPr>
          <w:p w:rsidR="00914626" w:rsidRPr="00FC1444" w:rsidRDefault="00914626">
            <w:pPr>
              <w:jc w:val="center"/>
            </w:pPr>
            <w:r w:rsidRPr="00FC1444">
              <w:t xml:space="preserve">725.8 </w:t>
            </w:r>
          </w:p>
        </w:tc>
        <w:tc>
          <w:tcPr>
            <w:tcW w:w="693" w:type="dxa"/>
            <w:tcBorders>
              <w:tl2br w:val="nil"/>
              <w:tr2bl w:val="nil"/>
            </w:tcBorders>
            <w:vAlign w:val="center"/>
          </w:tcPr>
          <w:p w:rsidR="00914626" w:rsidRPr="00FC1444" w:rsidRDefault="00914626">
            <w:pPr>
              <w:jc w:val="center"/>
            </w:pPr>
            <w:r w:rsidRPr="00FC1444">
              <w:t>1130</w:t>
            </w:r>
          </w:p>
        </w:tc>
        <w:tc>
          <w:tcPr>
            <w:tcW w:w="585" w:type="dxa"/>
            <w:tcBorders>
              <w:tl2br w:val="nil"/>
              <w:tr2bl w:val="nil"/>
            </w:tcBorders>
            <w:vAlign w:val="center"/>
          </w:tcPr>
          <w:p w:rsidR="00914626" w:rsidRPr="00FC1444" w:rsidRDefault="00914626">
            <w:pPr>
              <w:jc w:val="center"/>
            </w:pPr>
            <w:r w:rsidRPr="00FC1444">
              <w:t xml:space="preserve">578.0 </w:t>
            </w:r>
          </w:p>
        </w:tc>
        <w:tc>
          <w:tcPr>
            <w:tcW w:w="693" w:type="dxa"/>
            <w:tcBorders>
              <w:tl2br w:val="nil"/>
              <w:tr2bl w:val="nil"/>
            </w:tcBorders>
            <w:vAlign w:val="center"/>
          </w:tcPr>
          <w:p w:rsidR="00914626" w:rsidRPr="00FC1444" w:rsidRDefault="00914626">
            <w:pPr>
              <w:jc w:val="center"/>
            </w:pPr>
            <w:r w:rsidRPr="00FC1444">
              <w:t>872</w:t>
            </w:r>
          </w:p>
        </w:tc>
        <w:tc>
          <w:tcPr>
            <w:tcW w:w="584" w:type="dxa"/>
            <w:tcBorders>
              <w:tl2br w:val="nil"/>
              <w:tr2bl w:val="nil"/>
            </w:tcBorders>
            <w:vAlign w:val="center"/>
          </w:tcPr>
          <w:p w:rsidR="00914626" w:rsidRPr="00FC1444" w:rsidRDefault="00914626">
            <w:pPr>
              <w:jc w:val="center"/>
            </w:pPr>
            <w:r w:rsidRPr="00FC1444">
              <w:t xml:space="preserve">446.0 </w:t>
            </w:r>
          </w:p>
        </w:tc>
        <w:tc>
          <w:tcPr>
            <w:tcW w:w="585" w:type="dxa"/>
            <w:tcBorders>
              <w:tl2br w:val="nil"/>
              <w:tr2bl w:val="nil"/>
            </w:tcBorders>
            <w:vAlign w:val="center"/>
          </w:tcPr>
          <w:p w:rsidR="00914626" w:rsidRPr="00FC1444" w:rsidRDefault="00914626">
            <w:pPr>
              <w:jc w:val="center"/>
            </w:pPr>
            <w:r w:rsidRPr="00FC1444">
              <w:t xml:space="preserve">1749.9 </w:t>
            </w:r>
          </w:p>
        </w:tc>
        <w:tc>
          <w:tcPr>
            <w:tcW w:w="584" w:type="dxa"/>
            <w:tcBorders>
              <w:tl2br w:val="nil"/>
              <w:tr2bl w:val="nil"/>
            </w:tcBorders>
            <w:vAlign w:val="center"/>
          </w:tcPr>
          <w:p w:rsidR="00914626" w:rsidRPr="00FC1444" w:rsidRDefault="00914626">
            <w:pPr>
              <w:jc w:val="center"/>
            </w:pPr>
            <w:r w:rsidRPr="00FC1444">
              <w:t xml:space="preserve">522.3 </w:t>
            </w:r>
          </w:p>
        </w:tc>
      </w:tr>
      <w:tr w:rsidR="00914626" w:rsidRPr="00FC1444">
        <w:trPr>
          <w:trHeight w:val="340"/>
        </w:trPr>
        <w:tc>
          <w:tcPr>
            <w:tcW w:w="671" w:type="dxa"/>
            <w:tcBorders>
              <w:tl2br w:val="nil"/>
              <w:tr2bl w:val="nil"/>
            </w:tcBorders>
            <w:vAlign w:val="center"/>
          </w:tcPr>
          <w:p w:rsidR="00914626" w:rsidRPr="00FC1444" w:rsidRDefault="00914626">
            <w:pPr>
              <w:jc w:val="center"/>
            </w:pPr>
            <w:r w:rsidRPr="00FC1444">
              <w:t>合计</w:t>
            </w:r>
          </w:p>
        </w:tc>
        <w:tc>
          <w:tcPr>
            <w:tcW w:w="793" w:type="dxa"/>
            <w:tcBorders>
              <w:tl2br w:val="nil"/>
              <w:tr2bl w:val="nil"/>
            </w:tcBorders>
            <w:vAlign w:val="center"/>
          </w:tcPr>
          <w:p w:rsidR="00914626" w:rsidRPr="00FC1444" w:rsidRDefault="00914626" w:rsidP="00065E61">
            <w:pPr>
              <w:jc w:val="center"/>
            </w:pPr>
            <w:r w:rsidRPr="00FC1444">
              <w:t>0.</w:t>
            </w:r>
            <w:r w:rsidRPr="00FC1444">
              <w:rPr>
                <w:rFonts w:hint="eastAsia"/>
              </w:rPr>
              <w:t>5353</w:t>
            </w:r>
          </w:p>
        </w:tc>
        <w:tc>
          <w:tcPr>
            <w:tcW w:w="551" w:type="dxa"/>
            <w:tcBorders>
              <w:tl2br w:val="nil"/>
              <w:tr2bl w:val="nil"/>
            </w:tcBorders>
            <w:vAlign w:val="center"/>
          </w:tcPr>
          <w:p w:rsidR="00914626" w:rsidRPr="00FC1444" w:rsidRDefault="00914626">
            <w:pPr>
              <w:jc w:val="center"/>
            </w:pPr>
            <w:r w:rsidRPr="00FC1444">
              <w:t>/</w:t>
            </w:r>
          </w:p>
        </w:tc>
        <w:tc>
          <w:tcPr>
            <w:tcW w:w="689" w:type="dxa"/>
            <w:tcBorders>
              <w:tl2br w:val="nil"/>
              <w:tr2bl w:val="nil"/>
            </w:tcBorders>
            <w:vAlign w:val="center"/>
          </w:tcPr>
          <w:p w:rsidR="00914626" w:rsidRPr="00FC1444" w:rsidRDefault="00914626">
            <w:pPr>
              <w:jc w:val="center"/>
            </w:pPr>
            <w:r w:rsidRPr="00FC1444">
              <w:t>/</w:t>
            </w:r>
          </w:p>
        </w:tc>
        <w:tc>
          <w:tcPr>
            <w:tcW w:w="599" w:type="dxa"/>
            <w:tcBorders>
              <w:tl2br w:val="nil"/>
              <w:tr2bl w:val="nil"/>
            </w:tcBorders>
            <w:vAlign w:val="center"/>
          </w:tcPr>
          <w:p w:rsidR="00914626" w:rsidRPr="00FC1444" w:rsidRDefault="00914626">
            <w:pPr>
              <w:jc w:val="center"/>
            </w:pPr>
            <w:r w:rsidRPr="00FC1444">
              <w:t xml:space="preserve">1284.6 </w:t>
            </w:r>
          </w:p>
        </w:tc>
        <w:tc>
          <w:tcPr>
            <w:tcW w:w="691" w:type="dxa"/>
            <w:tcBorders>
              <w:tl2br w:val="nil"/>
              <w:tr2bl w:val="nil"/>
            </w:tcBorders>
            <w:vAlign w:val="center"/>
          </w:tcPr>
          <w:p w:rsidR="00914626" w:rsidRPr="00FC1444" w:rsidRDefault="00914626">
            <w:pPr>
              <w:jc w:val="center"/>
            </w:pPr>
            <w:r w:rsidRPr="00FC1444">
              <w:t>/</w:t>
            </w:r>
          </w:p>
        </w:tc>
        <w:tc>
          <w:tcPr>
            <w:tcW w:w="583" w:type="dxa"/>
            <w:tcBorders>
              <w:tl2br w:val="nil"/>
              <w:tr2bl w:val="nil"/>
            </w:tcBorders>
            <w:vAlign w:val="center"/>
          </w:tcPr>
          <w:p w:rsidR="00914626" w:rsidRPr="00FC1444" w:rsidRDefault="00914626">
            <w:pPr>
              <w:jc w:val="center"/>
            </w:pPr>
            <w:r w:rsidRPr="00FC1444">
              <w:t xml:space="preserve">759.5 </w:t>
            </w:r>
          </w:p>
        </w:tc>
        <w:tc>
          <w:tcPr>
            <w:tcW w:w="693" w:type="dxa"/>
            <w:tcBorders>
              <w:tl2br w:val="nil"/>
              <w:tr2bl w:val="nil"/>
            </w:tcBorders>
            <w:vAlign w:val="center"/>
          </w:tcPr>
          <w:p w:rsidR="00914626" w:rsidRPr="00FC1444" w:rsidRDefault="00914626">
            <w:pPr>
              <w:jc w:val="center"/>
            </w:pPr>
            <w:r w:rsidRPr="00FC1444">
              <w:t>/</w:t>
            </w:r>
          </w:p>
        </w:tc>
        <w:tc>
          <w:tcPr>
            <w:tcW w:w="585" w:type="dxa"/>
            <w:tcBorders>
              <w:tl2br w:val="nil"/>
              <w:tr2bl w:val="nil"/>
            </w:tcBorders>
            <w:vAlign w:val="center"/>
          </w:tcPr>
          <w:p w:rsidR="00914626" w:rsidRPr="00FC1444" w:rsidRDefault="00914626">
            <w:pPr>
              <w:jc w:val="center"/>
            </w:pPr>
            <w:r w:rsidRPr="00FC1444">
              <w:t xml:space="preserve">604.8 </w:t>
            </w:r>
          </w:p>
        </w:tc>
        <w:tc>
          <w:tcPr>
            <w:tcW w:w="693" w:type="dxa"/>
            <w:tcBorders>
              <w:tl2br w:val="nil"/>
              <w:tr2bl w:val="nil"/>
            </w:tcBorders>
            <w:vAlign w:val="center"/>
          </w:tcPr>
          <w:p w:rsidR="00914626" w:rsidRPr="00FC1444" w:rsidRDefault="00914626">
            <w:pPr>
              <w:jc w:val="center"/>
            </w:pPr>
            <w:r w:rsidRPr="00FC1444">
              <w:t>/</w:t>
            </w:r>
          </w:p>
        </w:tc>
        <w:tc>
          <w:tcPr>
            <w:tcW w:w="584" w:type="dxa"/>
            <w:tcBorders>
              <w:tl2br w:val="nil"/>
              <w:tr2bl w:val="nil"/>
            </w:tcBorders>
            <w:vAlign w:val="center"/>
          </w:tcPr>
          <w:p w:rsidR="00914626" w:rsidRPr="00FC1444" w:rsidRDefault="00914626">
            <w:pPr>
              <w:jc w:val="center"/>
            </w:pPr>
            <w:r w:rsidRPr="00FC1444">
              <w:t xml:space="preserve">466.7 </w:t>
            </w:r>
          </w:p>
        </w:tc>
        <w:tc>
          <w:tcPr>
            <w:tcW w:w="585" w:type="dxa"/>
            <w:tcBorders>
              <w:tl2br w:val="nil"/>
              <w:tr2bl w:val="nil"/>
            </w:tcBorders>
            <w:vAlign w:val="center"/>
          </w:tcPr>
          <w:p w:rsidR="00914626" w:rsidRPr="00FC1444" w:rsidRDefault="00914626">
            <w:pPr>
              <w:jc w:val="center"/>
            </w:pPr>
            <w:r w:rsidRPr="00FC1444">
              <w:t xml:space="preserve">1831.1 </w:t>
            </w:r>
          </w:p>
        </w:tc>
        <w:tc>
          <w:tcPr>
            <w:tcW w:w="584" w:type="dxa"/>
            <w:tcBorders>
              <w:tl2br w:val="nil"/>
              <w:tr2bl w:val="nil"/>
            </w:tcBorders>
            <w:vAlign w:val="center"/>
          </w:tcPr>
          <w:p w:rsidR="00914626" w:rsidRPr="00FC1444" w:rsidRDefault="00914626">
            <w:pPr>
              <w:jc w:val="center"/>
            </w:pPr>
            <w:r w:rsidRPr="00FC1444">
              <w:t xml:space="preserve">546.5 </w:t>
            </w:r>
          </w:p>
        </w:tc>
      </w:tr>
    </w:tbl>
    <w:p w:rsidR="002A5A5E" w:rsidRPr="00FC1444" w:rsidRDefault="009840DD">
      <w:pPr>
        <w:autoSpaceDE w:val="0"/>
        <w:autoSpaceDN w:val="0"/>
        <w:spacing w:line="360" w:lineRule="auto"/>
        <w:ind w:firstLineChars="200" w:firstLine="480"/>
        <w:contextualSpacing/>
        <w:rPr>
          <w:rFonts w:eastAsiaTheme="minorEastAsia"/>
          <w:sz w:val="24"/>
        </w:rPr>
      </w:pPr>
      <w:r w:rsidRPr="00FC1444">
        <w:rPr>
          <w:rFonts w:eastAsiaTheme="minorEastAsia"/>
          <w:sz w:val="24"/>
        </w:rPr>
        <w:fldChar w:fldCharType="begin"/>
      </w:r>
      <w:r w:rsidR="00611CBA" w:rsidRPr="00FC1444">
        <w:rPr>
          <w:rFonts w:eastAsiaTheme="minorEastAsia"/>
          <w:sz w:val="24"/>
        </w:rPr>
        <w:instrText xml:space="preserve"> = 6 \* GB3 </w:instrText>
      </w:r>
      <w:r w:rsidRPr="00FC1444">
        <w:rPr>
          <w:rFonts w:eastAsiaTheme="minorEastAsia"/>
          <w:sz w:val="24"/>
        </w:rPr>
        <w:fldChar w:fldCharType="separate"/>
      </w:r>
      <w:r w:rsidR="00611CBA" w:rsidRPr="00FC1444">
        <w:rPr>
          <w:rFonts w:ascii="宋体" w:hAnsi="宋体" w:cs="宋体" w:hint="eastAsia"/>
          <w:sz w:val="24"/>
        </w:rPr>
        <w:t>⑥</w:t>
      </w:r>
      <w:r w:rsidRPr="00FC1444">
        <w:rPr>
          <w:rFonts w:eastAsiaTheme="minorEastAsia"/>
          <w:sz w:val="24"/>
        </w:rPr>
        <w:fldChar w:fldCharType="end"/>
      </w:r>
      <w:r w:rsidR="00611CBA" w:rsidRPr="00FC1444">
        <w:rPr>
          <w:rFonts w:eastAsiaTheme="minorEastAsia"/>
          <w:sz w:val="24"/>
        </w:rPr>
        <w:t>水土流失危害分析</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对工程项目本身可能造成的危害：</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工程建设期和水土保持措施发生作用前，遭遇强降雨时，坡面将产生面蚀，严重时产生沟蚀、坍陷，危及渠道安全稳定，同时泥沙进入下游河道和渠道，造成下游淤积，降低防洪除涝能力。</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对土壤肥力及地表植物的影响：</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lastRenderedPageBreak/>
        <w:t>项目建设过程中，施工生产生活区和施工道路等严重扰动地表，致使大量地表土体被剥离，植被被破坏，导致土壤抗蚀能力下降，土壤涵养水分能力减弱，耕作层肥力下降，植物赖以生长的土壤条件恶化，对地表植物及农作物生长极为不利。另外，大量的水土流失也会使土壤中有机物质流失，影响土壤中的生物、微生物的生存与繁殖，会给项目区的植被恢复和土地整治增加工作难度。</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加重项目区水土流失影响：</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项目区建设期间，由于施工行为对原地貌的开挖和扰动，破坏了原地表土壤和植被，增加了土地裸露面积，减弱了土体的抗蚀能力，使区域内的水土流失量增大，加重了项目区水土流失影响，水土保持设置的植物防护措施发挥效益也需要一定的时间。</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对周围生态环境的影响：</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该工程建设实施，占用农田，破坏地表植被，打破了原有的生态平衡，同时表土剥离及堆放、清基及填筑、回填土临时堆放等工程行为严重加剧了土壤侵蚀强度，如不采取防尘措施，遭遇大风和降雨，极易发生水土流失，将直接影响到项目区域及周围居民的正常的生产工作和生活环境，对附近居民身体健康及生活环境带来不利影响。</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工程占地破坏了项目区自然植被，降低了土壤抗侵蚀能力，使施工期间项目区部分区域土壤侵蚀强度呈增加趋势，生态效益损失。施工期结束后，对项目占地进行全面复垦和恢复，恢复为原地类，恢复原有物种，水土流失影响将逐步消失。</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为了避免本项目在施工过程中造成区域水土流失，破坏当地生态环境，提出建议如下：</w:t>
      </w:r>
    </w:p>
    <w:p w:rsidR="002A5A5E" w:rsidRPr="00FC1444" w:rsidRDefault="00611CBA">
      <w:pPr>
        <w:autoSpaceDE w:val="0"/>
        <w:autoSpaceDN w:val="0"/>
        <w:spacing w:line="360" w:lineRule="auto"/>
        <w:ind w:firstLineChars="200" w:firstLine="480"/>
        <w:contextualSpacing/>
        <w:rPr>
          <w:rFonts w:eastAsiaTheme="minorEastAsia"/>
          <w:sz w:val="24"/>
        </w:rPr>
      </w:pPr>
      <w:r w:rsidRPr="00FC1444">
        <w:rPr>
          <w:rFonts w:eastAsiaTheme="minorEastAsia"/>
          <w:sz w:val="24"/>
        </w:rPr>
        <w:t>项目施工过程中产生的表土及挖方采取设置临时拦挡并采用密目网苫盖，避免在暴雨中被冲刷流失。本项目施工过程中应严格将活动范围控制在本项目用地范围内，不占用其它土地。合理安排施工期，避免雨天施工。</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kern w:val="24"/>
        </w:rPr>
        <w:t>（</w:t>
      </w:r>
      <w:r w:rsidRPr="00FC1444">
        <w:rPr>
          <w:rFonts w:ascii="Times New Roman" w:hAnsi="Times New Roman" w:cs="Times New Roman"/>
          <w:kern w:val="24"/>
        </w:rPr>
        <w:t>3</w:t>
      </w:r>
      <w:r w:rsidRPr="00FC1444">
        <w:rPr>
          <w:rFonts w:ascii="Times New Roman" w:hAnsi="Times New Roman" w:cs="Times New Roman"/>
          <w:kern w:val="24"/>
        </w:rPr>
        <w:t>）土地利用影响分析</w:t>
      </w:r>
    </w:p>
    <w:p w:rsidR="002A5A5E" w:rsidRPr="00FC1444" w:rsidRDefault="00611CBA">
      <w:pPr>
        <w:spacing w:line="360" w:lineRule="auto"/>
        <w:ind w:firstLineChars="200" w:firstLine="480"/>
        <w:rPr>
          <w:rFonts w:eastAsiaTheme="minorEastAsia"/>
          <w:bCs/>
          <w:snapToGrid w:val="0"/>
          <w:sz w:val="24"/>
        </w:rPr>
      </w:pPr>
      <w:bookmarkStart w:id="127" w:name="_Toc494017092"/>
      <w:bookmarkStart w:id="128" w:name="_Toc415146703"/>
      <w:r w:rsidRPr="00FC1444">
        <w:rPr>
          <w:rFonts w:eastAsiaTheme="minorEastAsia"/>
          <w:bCs/>
          <w:snapToGrid w:val="0"/>
          <w:sz w:val="24"/>
        </w:rPr>
        <w:t>本项目施工过程中破坏植被，使土地利用类型发生改变，易引发水土侵蚀、崩塌等地质灾害。新增永久占地</w:t>
      </w:r>
      <w:r w:rsidRPr="00FC1444">
        <w:rPr>
          <w:rFonts w:eastAsiaTheme="minorEastAsia"/>
          <w:bCs/>
          <w:snapToGrid w:val="0"/>
          <w:kern w:val="0"/>
          <w:sz w:val="24"/>
        </w:rPr>
        <w:t>草地、水利设施用地、</w:t>
      </w:r>
      <w:r w:rsidR="00B42C98" w:rsidRPr="00FC1444">
        <w:rPr>
          <w:rFonts w:eastAsiaTheme="minorEastAsia"/>
          <w:bCs/>
          <w:snapToGrid w:val="0"/>
          <w:kern w:val="0"/>
          <w:sz w:val="24"/>
        </w:rPr>
        <w:t>坑塘水面共</w:t>
      </w:r>
      <w:r w:rsidR="00C458B4" w:rsidRPr="00FC1444">
        <w:rPr>
          <w:rFonts w:eastAsiaTheme="minorEastAsia"/>
          <w:bCs/>
          <w:snapToGrid w:val="0"/>
          <w:kern w:val="0"/>
          <w:sz w:val="24"/>
        </w:rPr>
        <w:t>22240</w:t>
      </w:r>
      <w:r w:rsidRPr="00FC1444">
        <w:rPr>
          <w:rFonts w:eastAsiaTheme="minorEastAsia"/>
          <w:bCs/>
          <w:snapToGrid w:val="0"/>
          <w:sz w:val="24"/>
        </w:rPr>
        <w:t>m</w:t>
      </w:r>
      <w:r w:rsidRPr="00FC1444">
        <w:rPr>
          <w:rFonts w:eastAsiaTheme="minorEastAsia"/>
          <w:bCs/>
          <w:snapToGrid w:val="0"/>
          <w:sz w:val="24"/>
          <w:vertAlign w:val="superscript"/>
        </w:rPr>
        <w:t>2</w:t>
      </w:r>
      <w:r w:rsidRPr="00FC1444">
        <w:rPr>
          <w:rFonts w:eastAsiaTheme="minorEastAsia"/>
          <w:bCs/>
          <w:snapToGrid w:val="0"/>
          <w:sz w:val="24"/>
        </w:rPr>
        <w:t>，建设完成后，土地利用类型变为水利设施用地及公用设施用地。临时占地类型为旱</w:t>
      </w:r>
      <w:r w:rsidRPr="00FC1444">
        <w:rPr>
          <w:rFonts w:eastAsiaTheme="minorEastAsia"/>
          <w:bCs/>
          <w:snapToGrid w:val="0"/>
          <w:sz w:val="24"/>
        </w:rPr>
        <w:lastRenderedPageBreak/>
        <w:t>地、草地，占地面积为</w:t>
      </w:r>
      <w:r w:rsidR="008A02BD" w:rsidRPr="00FC1444">
        <w:rPr>
          <w:rFonts w:eastAsiaTheme="minorEastAsia"/>
          <w:bCs/>
          <w:snapToGrid w:val="0"/>
          <w:sz w:val="24"/>
        </w:rPr>
        <w:t>513022</w:t>
      </w:r>
      <w:r w:rsidRPr="00FC1444">
        <w:rPr>
          <w:rFonts w:eastAsiaTheme="minorEastAsia"/>
          <w:bCs/>
          <w:snapToGrid w:val="0"/>
          <w:sz w:val="24"/>
        </w:rPr>
        <w:t>m</w:t>
      </w:r>
      <w:r w:rsidRPr="00FC1444">
        <w:rPr>
          <w:rFonts w:eastAsiaTheme="minorEastAsia"/>
          <w:bCs/>
          <w:snapToGrid w:val="0"/>
          <w:sz w:val="24"/>
          <w:vertAlign w:val="superscript"/>
        </w:rPr>
        <w:t>2</w:t>
      </w:r>
      <w:r w:rsidR="004246A4" w:rsidRPr="00FC1444">
        <w:rPr>
          <w:rFonts w:eastAsiaTheme="minorEastAsia"/>
          <w:bCs/>
          <w:snapToGrid w:val="0"/>
          <w:sz w:val="24"/>
        </w:rPr>
        <w:t>。</w:t>
      </w:r>
      <w:r w:rsidR="004246A4" w:rsidRPr="00FC1444">
        <w:rPr>
          <w:rFonts w:eastAsiaTheme="minorEastAsia"/>
          <w:snapToGrid w:val="0"/>
          <w:kern w:val="0"/>
          <w:sz w:val="24"/>
        </w:rPr>
        <w:t>输配电工程表土及土方临时堆存在施工沿线，分区存放，设置临时拦挡并采用密目网苫盖，施工结束后分层回填，</w:t>
      </w:r>
      <w:r w:rsidR="00617138" w:rsidRPr="00FC1444">
        <w:rPr>
          <w:rFonts w:eastAsiaTheme="minorEastAsia"/>
          <w:snapToGrid w:val="0"/>
          <w:kern w:val="0"/>
          <w:sz w:val="24"/>
        </w:rPr>
        <w:t>施工场地恢复现状草地，</w:t>
      </w:r>
      <w:r w:rsidR="00C77AF5" w:rsidRPr="00FC1444">
        <w:rPr>
          <w:rFonts w:eastAsiaTheme="minorEastAsia"/>
          <w:snapToGrid w:val="0"/>
          <w:kern w:val="0"/>
          <w:sz w:val="24"/>
        </w:rPr>
        <w:t>播撒草籽面积</w:t>
      </w:r>
      <w:r w:rsidR="00C77AF5" w:rsidRPr="00FC1444">
        <w:rPr>
          <w:rFonts w:eastAsiaTheme="minorEastAsia"/>
          <w:snapToGrid w:val="0"/>
          <w:kern w:val="0"/>
          <w:sz w:val="24"/>
        </w:rPr>
        <w:t>456842</w:t>
      </w:r>
      <w:r w:rsidR="004246A4" w:rsidRPr="00FC1444">
        <w:rPr>
          <w:rFonts w:eastAsiaTheme="minorEastAsia"/>
          <w:snapToGrid w:val="0"/>
          <w:kern w:val="0"/>
          <w:sz w:val="24"/>
        </w:rPr>
        <w:t>m</w:t>
      </w:r>
      <w:r w:rsidR="004246A4" w:rsidRPr="00FC1444">
        <w:rPr>
          <w:rFonts w:eastAsiaTheme="minorEastAsia"/>
          <w:snapToGrid w:val="0"/>
          <w:kern w:val="0"/>
          <w:sz w:val="24"/>
          <w:vertAlign w:val="superscript"/>
        </w:rPr>
        <w:t>2</w:t>
      </w:r>
      <w:r w:rsidR="004246A4" w:rsidRPr="00FC1444">
        <w:rPr>
          <w:rFonts w:eastAsiaTheme="minorEastAsia"/>
          <w:snapToGrid w:val="0"/>
          <w:kern w:val="0"/>
          <w:sz w:val="24"/>
        </w:rPr>
        <w:t>，草籽选用紫花苜蓿等，种草密度</w:t>
      </w:r>
      <w:r w:rsidR="004246A4" w:rsidRPr="00FC1444">
        <w:rPr>
          <w:rFonts w:eastAsiaTheme="minorEastAsia"/>
          <w:snapToGrid w:val="0"/>
          <w:kern w:val="0"/>
          <w:sz w:val="24"/>
        </w:rPr>
        <w:t>80kg/</w:t>
      </w:r>
      <w:r w:rsidR="004246A4" w:rsidRPr="00FC1444">
        <w:rPr>
          <w:rFonts w:eastAsiaTheme="minorEastAsia"/>
          <w:snapToGrid w:val="0"/>
          <w:kern w:val="0"/>
          <w:sz w:val="24"/>
        </w:rPr>
        <w:t>公顷，</w:t>
      </w:r>
      <w:r w:rsidR="00C77AF5" w:rsidRPr="00FC1444">
        <w:rPr>
          <w:rFonts w:eastAsiaTheme="minorEastAsia"/>
          <w:snapToGrid w:val="0"/>
          <w:kern w:val="0"/>
          <w:sz w:val="24"/>
        </w:rPr>
        <w:t>恢复旱地</w:t>
      </w:r>
      <w:r w:rsidR="00C77AF5" w:rsidRPr="00FC1444">
        <w:rPr>
          <w:rFonts w:eastAsiaTheme="minorEastAsia"/>
          <w:snapToGrid w:val="0"/>
          <w:kern w:val="0"/>
          <w:sz w:val="24"/>
        </w:rPr>
        <w:t>22560m</w:t>
      </w:r>
      <w:r w:rsidR="004246A4" w:rsidRPr="00FC1444">
        <w:rPr>
          <w:rFonts w:eastAsiaTheme="minorEastAsia"/>
          <w:snapToGrid w:val="0"/>
          <w:kern w:val="0"/>
          <w:sz w:val="24"/>
          <w:vertAlign w:val="superscript"/>
        </w:rPr>
        <w:t>2</w:t>
      </w:r>
      <w:r w:rsidR="004246A4" w:rsidRPr="00FC1444">
        <w:rPr>
          <w:rFonts w:eastAsiaTheme="minorEastAsia"/>
          <w:snapToGrid w:val="0"/>
          <w:kern w:val="0"/>
          <w:sz w:val="24"/>
        </w:rPr>
        <w:t>；灌溉井工程剥离表土、开挖土方暂存于施工场地内，分区存放，设置临时拦挡并采用密目网苫盖，施工结束后施工场地、临时道路恢复为旱地，</w:t>
      </w:r>
      <w:r w:rsidR="00C77AF5" w:rsidRPr="00FC1444">
        <w:rPr>
          <w:rFonts w:eastAsiaTheme="minorEastAsia"/>
          <w:snapToGrid w:val="0"/>
          <w:kern w:val="0"/>
          <w:sz w:val="24"/>
        </w:rPr>
        <w:t>恢复面积</w:t>
      </w:r>
      <w:r w:rsidR="00C77AF5" w:rsidRPr="00FC1444">
        <w:rPr>
          <w:rFonts w:eastAsiaTheme="minorEastAsia"/>
          <w:snapToGrid w:val="0"/>
          <w:kern w:val="0"/>
          <w:sz w:val="24"/>
        </w:rPr>
        <w:t>4620</w:t>
      </w:r>
      <w:r w:rsidR="004246A4" w:rsidRPr="00FC1444">
        <w:rPr>
          <w:rFonts w:eastAsiaTheme="minorEastAsia"/>
          <w:snapToGrid w:val="0"/>
          <w:kern w:val="0"/>
          <w:sz w:val="24"/>
        </w:rPr>
        <w:t>m</w:t>
      </w:r>
      <w:r w:rsidR="004246A4" w:rsidRPr="00FC1444">
        <w:rPr>
          <w:rFonts w:eastAsiaTheme="minorEastAsia"/>
          <w:snapToGrid w:val="0"/>
          <w:kern w:val="0"/>
          <w:sz w:val="24"/>
          <w:vertAlign w:val="superscript"/>
        </w:rPr>
        <w:t>2</w:t>
      </w:r>
      <w:r w:rsidR="004246A4" w:rsidRPr="00FC1444">
        <w:rPr>
          <w:rFonts w:eastAsiaTheme="minorEastAsia"/>
          <w:snapToGrid w:val="0"/>
          <w:kern w:val="0"/>
          <w:sz w:val="24"/>
        </w:rPr>
        <w:t>；涵洞等建筑物工程剥离表土、开挖土方暂存于施工场地内，分区存放，设置临时拦挡并采用密目网苫盖，施工结束后施工场地恢复为草地，播撒草籽面积</w:t>
      </w:r>
      <w:r w:rsidR="004246A4" w:rsidRPr="00FC1444">
        <w:rPr>
          <w:rFonts w:eastAsiaTheme="minorEastAsia"/>
          <w:sz w:val="24"/>
        </w:rPr>
        <w:t>18500</w:t>
      </w:r>
      <w:r w:rsidR="004246A4" w:rsidRPr="00FC1444">
        <w:rPr>
          <w:rFonts w:eastAsiaTheme="minorEastAsia"/>
          <w:snapToGrid w:val="0"/>
          <w:kern w:val="0"/>
          <w:sz w:val="24"/>
        </w:rPr>
        <w:t>m</w:t>
      </w:r>
      <w:r w:rsidR="004246A4" w:rsidRPr="00FC1444">
        <w:rPr>
          <w:rFonts w:eastAsiaTheme="minorEastAsia"/>
          <w:snapToGrid w:val="0"/>
          <w:kern w:val="0"/>
          <w:sz w:val="24"/>
          <w:vertAlign w:val="superscript"/>
        </w:rPr>
        <w:t>2</w:t>
      </w:r>
      <w:r w:rsidR="004246A4" w:rsidRPr="00FC1444">
        <w:rPr>
          <w:rFonts w:eastAsiaTheme="minorEastAsia"/>
          <w:snapToGrid w:val="0"/>
          <w:kern w:val="0"/>
          <w:sz w:val="24"/>
        </w:rPr>
        <w:t>，草籽选用紫花苜蓿等，种草密度</w:t>
      </w:r>
      <w:r w:rsidR="004246A4" w:rsidRPr="00FC1444">
        <w:rPr>
          <w:rFonts w:eastAsiaTheme="minorEastAsia"/>
          <w:snapToGrid w:val="0"/>
          <w:kern w:val="0"/>
          <w:sz w:val="24"/>
        </w:rPr>
        <w:t>80kg/</w:t>
      </w:r>
      <w:r w:rsidR="004246A4" w:rsidRPr="00FC1444">
        <w:rPr>
          <w:rFonts w:eastAsiaTheme="minorEastAsia"/>
          <w:snapToGrid w:val="0"/>
          <w:kern w:val="0"/>
          <w:sz w:val="24"/>
        </w:rPr>
        <w:t>公顷，恢复旱地</w:t>
      </w:r>
      <w:r w:rsidR="004246A4" w:rsidRPr="00FC1444">
        <w:rPr>
          <w:rFonts w:eastAsiaTheme="minorEastAsia"/>
          <w:snapToGrid w:val="0"/>
          <w:kern w:val="0"/>
          <w:sz w:val="24"/>
        </w:rPr>
        <w:t>10500m</w:t>
      </w:r>
      <w:r w:rsidR="004246A4" w:rsidRPr="00FC1444">
        <w:rPr>
          <w:rFonts w:eastAsiaTheme="minorEastAsia"/>
          <w:snapToGrid w:val="0"/>
          <w:kern w:val="0"/>
          <w:sz w:val="24"/>
          <w:vertAlign w:val="superscript"/>
        </w:rPr>
        <w:t>2</w:t>
      </w:r>
      <w:r w:rsidR="004246A4" w:rsidRPr="00FC1444">
        <w:rPr>
          <w:rFonts w:eastAsiaTheme="minorEastAsia"/>
          <w:snapToGrid w:val="0"/>
          <w:kern w:val="0"/>
          <w:sz w:val="24"/>
        </w:rPr>
        <w:t>。</w:t>
      </w:r>
      <w:r w:rsidRPr="00FC1444">
        <w:rPr>
          <w:rFonts w:eastAsiaTheme="minorEastAsia"/>
          <w:bCs/>
          <w:snapToGrid w:val="0"/>
          <w:sz w:val="24"/>
          <w:lang w:bidi="en-US"/>
        </w:rPr>
        <w:t>恢复为原有临时占地</w:t>
      </w:r>
      <w:r w:rsidRPr="00FC1444">
        <w:rPr>
          <w:rFonts w:eastAsiaTheme="minorEastAsia"/>
          <w:bCs/>
          <w:snapToGrid w:val="0"/>
          <w:sz w:val="24"/>
        </w:rPr>
        <w:t>土地利用类型，对</w:t>
      </w:r>
      <w:r w:rsidRPr="00FC1444">
        <w:rPr>
          <w:rFonts w:eastAsiaTheme="minorEastAsia"/>
          <w:kern w:val="24"/>
          <w:sz w:val="24"/>
        </w:rPr>
        <w:t>土地利用影响较小</w:t>
      </w:r>
      <w:r w:rsidRPr="00FC1444">
        <w:rPr>
          <w:rFonts w:eastAsiaTheme="minorEastAsia"/>
          <w:bCs/>
          <w:snapToGrid w:val="0"/>
          <w:sz w:val="24"/>
          <w:lang w:bidi="en-US"/>
        </w:rPr>
        <w:t>。</w:t>
      </w:r>
    </w:p>
    <w:p w:rsidR="002A5A5E" w:rsidRPr="00FC1444" w:rsidRDefault="00611CBA">
      <w:pPr>
        <w:spacing w:line="360" w:lineRule="auto"/>
        <w:ind w:firstLineChars="200" w:firstLine="480"/>
        <w:rPr>
          <w:rFonts w:eastAsiaTheme="minorEastAsia"/>
          <w:bCs/>
          <w:snapToGrid w:val="0"/>
          <w:sz w:val="24"/>
        </w:rPr>
      </w:pPr>
      <w:r w:rsidRPr="00FC1444">
        <w:rPr>
          <w:rFonts w:eastAsiaTheme="minorEastAsia"/>
          <w:bCs/>
          <w:snapToGrid w:val="0"/>
          <w:sz w:val="24"/>
        </w:rPr>
        <w:t>（</w:t>
      </w:r>
      <w:r w:rsidRPr="00FC1444">
        <w:rPr>
          <w:rFonts w:eastAsiaTheme="minorEastAsia"/>
          <w:bCs/>
          <w:snapToGrid w:val="0"/>
          <w:sz w:val="24"/>
        </w:rPr>
        <w:t>4</w:t>
      </w:r>
      <w:r w:rsidRPr="00FC1444">
        <w:rPr>
          <w:rFonts w:eastAsiaTheme="minorEastAsia"/>
          <w:bCs/>
          <w:snapToGrid w:val="0"/>
          <w:sz w:val="24"/>
        </w:rPr>
        <w:t>）对</w:t>
      </w:r>
      <w:r w:rsidRPr="00FC1444">
        <w:rPr>
          <w:rFonts w:eastAsiaTheme="minorEastAsia"/>
          <w:bCs/>
          <w:snapToGrid w:val="0"/>
          <w:sz w:val="24"/>
          <w:lang w:bidi="en-US"/>
        </w:rPr>
        <w:t>生态系统</w:t>
      </w:r>
      <w:r w:rsidRPr="00FC1444">
        <w:rPr>
          <w:rFonts w:eastAsiaTheme="minorEastAsia"/>
          <w:bCs/>
          <w:snapToGrid w:val="0"/>
          <w:sz w:val="24"/>
        </w:rPr>
        <w:t>影响分析</w:t>
      </w:r>
    </w:p>
    <w:p w:rsidR="002A5A5E" w:rsidRPr="00FC1444" w:rsidRDefault="00611CBA">
      <w:pPr>
        <w:spacing w:line="360" w:lineRule="auto"/>
        <w:ind w:firstLineChars="200" w:firstLine="480"/>
        <w:rPr>
          <w:rFonts w:eastAsiaTheme="minorEastAsia"/>
          <w:sz w:val="24"/>
        </w:rPr>
      </w:pPr>
      <w:r w:rsidRPr="00FC1444">
        <w:rPr>
          <w:rFonts w:eastAsiaTheme="minorEastAsia"/>
          <w:bCs/>
          <w:sz w:val="24"/>
        </w:rPr>
        <w:t>本项目永久占地</w:t>
      </w:r>
      <w:r w:rsidR="00C458B4" w:rsidRPr="00FC1444">
        <w:rPr>
          <w:rFonts w:eastAsiaTheme="minorEastAsia"/>
          <w:bCs/>
          <w:sz w:val="24"/>
        </w:rPr>
        <w:t>1443</w:t>
      </w:r>
      <w:r w:rsidR="00C458B4" w:rsidRPr="00FC1444">
        <w:rPr>
          <w:rFonts w:eastAsiaTheme="minorEastAsia"/>
          <w:bCs/>
          <w:sz w:val="24"/>
        </w:rPr>
        <w:t>万</w:t>
      </w:r>
      <w:r w:rsidRPr="00FC1444">
        <w:rPr>
          <w:rFonts w:eastAsiaTheme="minorEastAsia"/>
          <w:bCs/>
          <w:sz w:val="24"/>
        </w:rPr>
        <w:t>m</w:t>
      </w:r>
      <w:r w:rsidRPr="00FC1444">
        <w:rPr>
          <w:rFonts w:eastAsiaTheme="minorEastAsia"/>
          <w:bCs/>
          <w:sz w:val="24"/>
          <w:vertAlign w:val="superscript"/>
        </w:rPr>
        <w:t>2</w:t>
      </w:r>
      <w:r w:rsidRPr="00FC1444">
        <w:rPr>
          <w:rFonts w:eastAsiaTheme="minorEastAsia"/>
          <w:sz w:val="24"/>
        </w:rPr>
        <w:t>（新增约</w:t>
      </w:r>
      <w:r w:rsidR="00C458B4" w:rsidRPr="00FC1444">
        <w:rPr>
          <w:rFonts w:eastAsiaTheme="minorEastAsia"/>
          <w:bCs/>
          <w:snapToGrid w:val="0"/>
          <w:sz w:val="24"/>
        </w:rPr>
        <w:t>22240</w:t>
      </w:r>
      <w:r w:rsidRPr="00FC1444">
        <w:rPr>
          <w:rFonts w:eastAsiaTheme="minorEastAsia"/>
          <w:bCs/>
          <w:snapToGrid w:val="0"/>
          <w:sz w:val="24"/>
        </w:rPr>
        <w:t>m</w:t>
      </w:r>
      <w:r w:rsidRPr="00FC1444">
        <w:rPr>
          <w:rFonts w:eastAsiaTheme="minorEastAsia"/>
          <w:bCs/>
          <w:sz w:val="24"/>
          <w:vertAlign w:val="superscript"/>
        </w:rPr>
        <w:t>2</w:t>
      </w:r>
      <w:r w:rsidRPr="00FC1444">
        <w:rPr>
          <w:rFonts w:eastAsiaTheme="minorEastAsia"/>
          <w:sz w:val="24"/>
        </w:rPr>
        <w:t>），</w:t>
      </w:r>
      <w:r w:rsidRPr="00FC1444">
        <w:rPr>
          <w:rFonts w:eastAsiaTheme="minorEastAsia"/>
          <w:bCs/>
          <w:sz w:val="24"/>
        </w:rPr>
        <w:t>临时占地</w:t>
      </w:r>
      <w:r w:rsidRPr="00FC1444">
        <w:rPr>
          <w:rFonts w:eastAsiaTheme="minorEastAsia"/>
          <w:sz w:val="24"/>
        </w:rPr>
        <w:t>面积为</w:t>
      </w:r>
      <w:r w:rsidR="008A02BD" w:rsidRPr="00FC1444">
        <w:rPr>
          <w:rFonts w:eastAsiaTheme="minorEastAsia"/>
          <w:sz w:val="24"/>
        </w:rPr>
        <w:t>513022</w:t>
      </w:r>
      <w:r w:rsidRPr="00FC1444">
        <w:rPr>
          <w:rFonts w:eastAsiaTheme="minorEastAsia"/>
          <w:sz w:val="24"/>
        </w:rPr>
        <w:t>m</w:t>
      </w:r>
      <w:r w:rsidRPr="00FC1444">
        <w:rPr>
          <w:rFonts w:eastAsiaTheme="minorEastAsia"/>
          <w:sz w:val="24"/>
          <w:vertAlign w:val="superscript"/>
        </w:rPr>
        <w:t>2</w:t>
      </w:r>
      <w:r w:rsidRPr="00FC1444">
        <w:rPr>
          <w:rFonts w:eastAsiaTheme="minorEastAsia"/>
          <w:sz w:val="24"/>
        </w:rPr>
        <w:t>。</w:t>
      </w:r>
      <w:r w:rsidRPr="00FC1444">
        <w:rPr>
          <w:rFonts w:eastAsiaTheme="minorEastAsia"/>
          <w:bCs/>
          <w:sz w:val="24"/>
          <w:lang w:bidi="en-US"/>
        </w:rPr>
        <w:t>评价范围生态系统面积</w:t>
      </w:r>
      <w:r w:rsidR="00BD35CC" w:rsidRPr="00FC1444">
        <w:rPr>
          <w:rFonts w:eastAsiaTheme="minorEastAsia" w:hint="eastAsia"/>
          <w:bCs/>
          <w:sz w:val="24"/>
          <w:lang w:bidi="en-US"/>
        </w:rPr>
        <w:t>260.63</w:t>
      </w:r>
      <w:r w:rsidRPr="00FC1444">
        <w:rPr>
          <w:rFonts w:eastAsiaTheme="minorEastAsia"/>
          <w:bCs/>
          <w:sz w:val="24"/>
          <w:lang w:bidi="en-US"/>
        </w:rPr>
        <w:t>km</w:t>
      </w:r>
      <w:r w:rsidRPr="00FC1444">
        <w:rPr>
          <w:rFonts w:eastAsiaTheme="minorEastAsia"/>
          <w:bCs/>
          <w:sz w:val="24"/>
          <w:vertAlign w:val="superscript"/>
          <w:lang w:bidi="en-US"/>
        </w:rPr>
        <w:t>2</w:t>
      </w:r>
      <w:r w:rsidRPr="00FC1444">
        <w:rPr>
          <w:rFonts w:eastAsiaTheme="minorEastAsia"/>
          <w:bCs/>
          <w:sz w:val="24"/>
          <w:lang w:bidi="en-US"/>
        </w:rPr>
        <w:t>，项目工程新增面积占评价区总面积的</w:t>
      </w:r>
      <w:r w:rsidRPr="00FC1444">
        <w:rPr>
          <w:rFonts w:eastAsiaTheme="minorEastAsia"/>
          <w:bCs/>
          <w:sz w:val="24"/>
          <w:lang w:bidi="en-US"/>
        </w:rPr>
        <w:t>0.</w:t>
      </w:r>
      <w:r w:rsidR="00BD35CC" w:rsidRPr="00FC1444">
        <w:rPr>
          <w:rFonts w:eastAsiaTheme="minorEastAsia" w:hint="eastAsia"/>
          <w:bCs/>
          <w:sz w:val="24"/>
          <w:lang w:bidi="en-US"/>
        </w:rPr>
        <w:t>21</w:t>
      </w:r>
      <w:r w:rsidRPr="00FC1444">
        <w:rPr>
          <w:rFonts w:eastAsiaTheme="minorEastAsia"/>
          <w:bCs/>
          <w:sz w:val="24"/>
          <w:lang w:bidi="en-US"/>
        </w:rPr>
        <w:t>%</w:t>
      </w:r>
      <w:r w:rsidRPr="00FC1444">
        <w:rPr>
          <w:rFonts w:eastAsiaTheme="minorEastAsia"/>
          <w:bCs/>
          <w:sz w:val="24"/>
          <w:lang w:bidi="en-US"/>
        </w:rPr>
        <w:t>，占比较小。</w:t>
      </w:r>
      <w:r w:rsidRPr="00FC1444">
        <w:rPr>
          <w:rFonts w:eastAsiaTheme="minorEastAsia"/>
          <w:sz w:val="24"/>
        </w:rPr>
        <w:t>本工程施工期对永久占地及临时占地进行地表剥离，对局部自然生态环境造成一定的破坏，生产力有所降低。但生态破坏面积不大，对整个评价区域自然体系的稳定性不会造成明显影响，仅使局部区域植被铲除、动物迁徙、水土流失侵蚀度增加，局部自然生态环境遭到一定的破坏。但由于影响面积小，对评价区域内自然生态体系的稳定性和对外界环境干扰的阻抗和恢复功能影响不大。</w:t>
      </w:r>
    </w:p>
    <w:p w:rsidR="002A5A5E" w:rsidRPr="00FC1444" w:rsidRDefault="00611CBA">
      <w:pPr>
        <w:spacing w:line="360" w:lineRule="auto"/>
        <w:ind w:firstLineChars="200" w:firstLine="480"/>
        <w:rPr>
          <w:rFonts w:eastAsiaTheme="minorEastAsia"/>
          <w:sz w:val="24"/>
        </w:rPr>
      </w:pPr>
      <w:r w:rsidRPr="00FC1444">
        <w:rPr>
          <w:rFonts w:eastAsiaTheme="minorEastAsia"/>
          <w:bCs/>
          <w:sz w:val="24"/>
        </w:rPr>
        <w:t>本项目严格控制施工范围，对施工人员进行生态保护教育，表土采用分层剥离，分层堆放，</w:t>
      </w:r>
      <w:r w:rsidRPr="00FC1444">
        <w:rPr>
          <w:rFonts w:eastAsiaTheme="minorEastAsia"/>
          <w:spacing w:val="-4"/>
          <w:sz w:val="24"/>
          <w:szCs w:val="21"/>
        </w:rPr>
        <w:t>表土用于临时占地土地复垦</w:t>
      </w:r>
      <w:r w:rsidRPr="00FC1444">
        <w:rPr>
          <w:rFonts w:eastAsiaTheme="minorEastAsia"/>
          <w:bCs/>
          <w:sz w:val="24"/>
        </w:rPr>
        <w:t>。</w:t>
      </w:r>
      <w:r w:rsidRPr="00FC1444">
        <w:rPr>
          <w:rFonts w:eastAsiaTheme="minorEastAsia"/>
          <w:bCs/>
          <w:snapToGrid w:val="0"/>
          <w:sz w:val="24"/>
          <w:lang w:bidi="en-US"/>
        </w:rPr>
        <w:t>施工结束后恢复为原有土地类型，</w:t>
      </w:r>
      <w:r w:rsidRPr="00FC1444">
        <w:rPr>
          <w:rFonts w:eastAsiaTheme="minorEastAsia"/>
          <w:bCs/>
          <w:sz w:val="24"/>
        </w:rPr>
        <w:t>临时占地恢复为原有的生态系统，</w:t>
      </w:r>
      <w:r w:rsidRPr="00FC1444">
        <w:rPr>
          <w:rFonts w:eastAsiaTheme="minorEastAsia"/>
          <w:bCs/>
          <w:snapToGrid w:val="0"/>
          <w:sz w:val="24"/>
        </w:rPr>
        <w:t>对</w:t>
      </w:r>
      <w:r w:rsidRPr="00FC1444">
        <w:rPr>
          <w:rFonts w:eastAsiaTheme="minorEastAsia"/>
          <w:bCs/>
          <w:snapToGrid w:val="0"/>
          <w:sz w:val="24"/>
          <w:lang w:bidi="en-US"/>
        </w:rPr>
        <w:t>生态系统</w:t>
      </w:r>
      <w:r w:rsidRPr="00FC1444">
        <w:rPr>
          <w:rFonts w:eastAsiaTheme="minorEastAsia"/>
          <w:kern w:val="24"/>
          <w:sz w:val="24"/>
        </w:rPr>
        <w:t>影响较小</w:t>
      </w:r>
      <w:r w:rsidRPr="00FC1444">
        <w:rPr>
          <w:rFonts w:eastAsiaTheme="minorEastAsia"/>
          <w:bCs/>
          <w:sz w:val="24"/>
        </w:rPr>
        <w:t>。</w:t>
      </w:r>
    </w:p>
    <w:p w:rsidR="002A5A5E" w:rsidRPr="00FC1444" w:rsidRDefault="00611CBA">
      <w:pPr>
        <w:spacing w:line="360" w:lineRule="auto"/>
        <w:ind w:firstLineChars="200" w:firstLine="480"/>
        <w:rPr>
          <w:rFonts w:eastAsiaTheme="minorEastAsia"/>
          <w:bCs/>
          <w:snapToGrid w:val="0"/>
          <w:sz w:val="24"/>
        </w:rPr>
      </w:pPr>
      <w:r w:rsidRPr="00FC1444">
        <w:rPr>
          <w:rFonts w:eastAsiaTheme="minorEastAsia"/>
          <w:bCs/>
          <w:snapToGrid w:val="0"/>
          <w:sz w:val="24"/>
        </w:rPr>
        <w:t>（</w:t>
      </w:r>
      <w:r w:rsidRPr="00FC1444">
        <w:rPr>
          <w:rFonts w:eastAsiaTheme="minorEastAsia"/>
          <w:bCs/>
          <w:snapToGrid w:val="0"/>
          <w:sz w:val="24"/>
        </w:rPr>
        <w:t>5</w:t>
      </w:r>
      <w:r w:rsidRPr="00FC1444">
        <w:rPr>
          <w:rFonts w:eastAsiaTheme="minorEastAsia"/>
          <w:bCs/>
          <w:snapToGrid w:val="0"/>
          <w:sz w:val="24"/>
        </w:rPr>
        <w:t>）对自然景观影响分析</w:t>
      </w:r>
    </w:p>
    <w:p w:rsidR="00410E03" w:rsidRPr="00FC1444" w:rsidRDefault="001D3235" w:rsidP="00410E03">
      <w:pPr>
        <w:spacing w:line="360" w:lineRule="auto"/>
        <w:ind w:firstLineChars="200" w:firstLine="480"/>
        <w:rPr>
          <w:rFonts w:eastAsiaTheme="minorEastAsia"/>
          <w:bCs/>
          <w:snapToGrid w:val="0"/>
          <w:sz w:val="24"/>
        </w:rPr>
      </w:pPr>
      <w:r w:rsidRPr="00FC1444">
        <w:rPr>
          <w:rFonts w:eastAsiaTheme="minorEastAsia"/>
          <w:bCs/>
          <w:snapToGrid w:val="0"/>
          <w:sz w:val="24"/>
        </w:rPr>
        <w:t>项目永久占地代替了原有草地</w:t>
      </w:r>
      <w:r w:rsidR="00611CBA" w:rsidRPr="00FC1444">
        <w:rPr>
          <w:rFonts w:eastAsiaTheme="minorEastAsia"/>
          <w:bCs/>
          <w:snapToGrid w:val="0"/>
          <w:sz w:val="24"/>
        </w:rPr>
        <w:t>、坑塘水面，使其被分隔，产生景观的不连续性，这是人为活动对于自然景观的干扰和破坏，场区与周围自然景观产生了不协调。项目新增永久占地面积较小，在工程建设中要注意严格按所划定的区域施工，注意保护周边的植被。随着工程各项保护措施的落实到位，周边的生态系统将会得到逐步改善。</w:t>
      </w:r>
    </w:p>
    <w:p w:rsidR="002A5A5E" w:rsidRPr="00FC1444" w:rsidRDefault="00611CBA">
      <w:pPr>
        <w:spacing w:line="360" w:lineRule="auto"/>
        <w:ind w:firstLineChars="200" w:firstLine="480"/>
        <w:rPr>
          <w:rFonts w:eastAsiaTheme="minorEastAsia"/>
          <w:bCs/>
          <w:sz w:val="24"/>
        </w:rPr>
      </w:pPr>
      <w:r w:rsidRPr="00FC1444">
        <w:rPr>
          <w:rFonts w:eastAsiaTheme="minorEastAsia"/>
          <w:bCs/>
          <w:snapToGrid w:val="0"/>
          <w:sz w:val="24"/>
          <w:lang w:bidi="en-US"/>
        </w:rPr>
        <w:t>施工结束后恢复为原有土地类型，</w:t>
      </w:r>
      <w:r w:rsidRPr="00FC1444">
        <w:rPr>
          <w:rFonts w:eastAsiaTheme="minorEastAsia"/>
          <w:bCs/>
          <w:sz w:val="24"/>
        </w:rPr>
        <w:t>临时占地恢复为原有自然景观，对</w:t>
      </w:r>
      <w:r w:rsidRPr="00FC1444">
        <w:rPr>
          <w:rFonts w:eastAsiaTheme="minorEastAsia"/>
          <w:bCs/>
          <w:snapToGrid w:val="0"/>
          <w:sz w:val="24"/>
        </w:rPr>
        <w:t>自然景观影响较小</w:t>
      </w:r>
      <w:r w:rsidRPr="00FC1444">
        <w:rPr>
          <w:rFonts w:eastAsiaTheme="minorEastAsia"/>
          <w:bCs/>
          <w:sz w:val="24"/>
        </w:rPr>
        <w:t>。</w:t>
      </w:r>
    </w:p>
    <w:p w:rsidR="002A5A5E" w:rsidRPr="00FC1444" w:rsidRDefault="00611CBA">
      <w:pPr>
        <w:autoSpaceDE w:val="0"/>
        <w:autoSpaceDN w:val="0"/>
        <w:spacing w:before="100" w:beforeAutospacing="1" w:after="100" w:afterAutospacing="1"/>
        <w:jc w:val="left"/>
        <w:outlineLvl w:val="2"/>
        <w:rPr>
          <w:rFonts w:eastAsiaTheme="minorEastAsia"/>
          <w:b/>
          <w:sz w:val="28"/>
          <w:szCs w:val="28"/>
        </w:rPr>
      </w:pPr>
      <w:r w:rsidRPr="00FC1444">
        <w:rPr>
          <w:rFonts w:eastAsiaTheme="minorEastAsia"/>
          <w:b/>
          <w:sz w:val="28"/>
          <w:szCs w:val="28"/>
        </w:rPr>
        <w:t>5.1.6</w:t>
      </w:r>
      <w:r w:rsidRPr="00FC1444">
        <w:rPr>
          <w:rFonts w:eastAsiaTheme="minorEastAsia"/>
          <w:b/>
          <w:sz w:val="28"/>
          <w:szCs w:val="28"/>
        </w:rPr>
        <w:t>地下水</w:t>
      </w:r>
      <w:r w:rsidR="00FC1444" w:rsidRPr="00FC1444">
        <w:rPr>
          <w:rFonts w:eastAsiaTheme="minorEastAsia"/>
          <w:b/>
          <w:sz w:val="28"/>
          <w:szCs w:val="28"/>
        </w:rPr>
        <w:t>生态</w:t>
      </w:r>
      <w:r w:rsidRPr="00FC1444">
        <w:rPr>
          <w:rFonts w:eastAsiaTheme="minorEastAsia"/>
          <w:b/>
          <w:sz w:val="28"/>
          <w:szCs w:val="28"/>
        </w:rPr>
        <w:t>环境影响预测与评价</w:t>
      </w:r>
    </w:p>
    <w:p w:rsidR="002A5A5E" w:rsidRPr="00FC1444" w:rsidRDefault="00611CBA">
      <w:pPr>
        <w:spacing w:line="360" w:lineRule="auto"/>
        <w:ind w:firstLineChars="200" w:firstLine="480"/>
        <w:rPr>
          <w:rFonts w:eastAsiaTheme="minorEastAsia"/>
          <w:sz w:val="24"/>
        </w:rPr>
      </w:pPr>
      <w:r w:rsidRPr="00FC1444">
        <w:rPr>
          <w:rFonts w:eastAsiaTheme="minorEastAsia"/>
          <w:bCs/>
          <w:sz w:val="24"/>
        </w:rPr>
        <w:lastRenderedPageBreak/>
        <w:t>根据工程施工特点，对地下水水质的影响主要为施工废污水的排放下渗。</w:t>
      </w:r>
    </w:p>
    <w:p w:rsidR="002A5A5E" w:rsidRPr="00FC1444" w:rsidRDefault="00611CBA">
      <w:pPr>
        <w:spacing w:line="360" w:lineRule="auto"/>
        <w:ind w:firstLineChars="200" w:firstLine="480"/>
        <w:rPr>
          <w:rFonts w:eastAsiaTheme="minorEastAsia"/>
          <w:sz w:val="24"/>
          <w:szCs w:val="21"/>
        </w:rPr>
      </w:pPr>
      <w:r w:rsidRPr="00FC1444">
        <w:rPr>
          <w:rFonts w:eastAsiaTheme="minorEastAsia"/>
          <w:kern w:val="0"/>
          <w:sz w:val="24"/>
        </w:rPr>
        <w:t>本项目</w:t>
      </w:r>
      <w:r w:rsidRPr="00FC1444">
        <w:rPr>
          <w:rFonts w:eastAsiaTheme="minorEastAsia"/>
          <w:snapToGrid w:val="0"/>
          <w:kern w:val="0"/>
          <w:sz w:val="24"/>
          <w:szCs w:val="22"/>
        </w:rPr>
        <w:t>灌溉井</w:t>
      </w:r>
      <w:r w:rsidRPr="00FC1444">
        <w:rPr>
          <w:rFonts w:eastAsiaTheme="minorEastAsia"/>
          <w:kern w:val="0"/>
          <w:sz w:val="24"/>
        </w:rPr>
        <w:t>距离饮用水源地较远，均大于</w:t>
      </w:r>
      <w:r w:rsidR="00861722" w:rsidRPr="00FC1444">
        <w:rPr>
          <w:rFonts w:eastAsiaTheme="minorEastAsia"/>
          <w:kern w:val="0"/>
          <w:sz w:val="24"/>
        </w:rPr>
        <w:t>1</w:t>
      </w:r>
      <w:r w:rsidRPr="00FC1444">
        <w:rPr>
          <w:rFonts w:eastAsiaTheme="minorEastAsia"/>
          <w:kern w:val="0"/>
          <w:sz w:val="24"/>
        </w:rPr>
        <w:t>km</w:t>
      </w:r>
      <w:r w:rsidRPr="00FC1444">
        <w:rPr>
          <w:rFonts w:eastAsiaTheme="minorEastAsia"/>
          <w:kern w:val="0"/>
          <w:sz w:val="24"/>
        </w:rPr>
        <w:t>，</w:t>
      </w:r>
      <w:r w:rsidRPr="00FC1444">
        <w:rPr>
          <w:rFonts w:eastAsiaTheme="minorEastAsia"/>
          <w:sz w:val="24"/>
        </w:rPr>
        <w:t>不在其保护区范围内，项目施工期灌溉井工程打井过程中，不使用有毒有害等化学</w:t>
      </w:r>
      <w:r w:rsidR="00164CD3" w:rsidRPr="00FC1444">
        <w:rPr>
          <w:sz w:val="24"/>
        </w:rPr>
        <w:t>及油类物质</w:t>
      </w:r>
      <w:r w:rsidRPr="00FC1444">
        <w:rPr>
          <w:rFonts w:eastAsiaTheme="minorEastAsia"/>
          <w:sz w:val="24"/>
        </w:rPr>
        <w:t>，泥浆循环使用，妥善收集，施工过程中产生的废水经静置后用于场地洒水降尘，施工过程加强环境管理，杜绝油品跑冒滴漏事故。不会对评价范围内最近饮用水源地等地下水保护目标水质及水量产生影响。</w:t>
      </w:r>
      <w:r w:rsidRPr="00FC1444">
        <w:rPr>
          <w:rFonts w:eastAsiaTheme="minorEastAsia"/>
          <w:sz w:val="24"/>
          <w:szCs w:val="21"/>
        </w:rPr>
        <w:t>合理安排施工时序，选择</w:t>
      </w:r>
      <w:r w:rsidRPr="00FC1444">
        <w:rPr>
          <w:rFonts w:eastAsiaTheme="minorEastAsia"/>
          <w:sz w:val="24"/>
          <w:szCs w:val="21"/>
        </w:rPr>
        <w:t>3</w:t>
      </w:r>
      <w:r w:rsidRPr="00FC1444">
        <w:rPr>
          <w:rFonts w:eastAsiaTheme="minorEastAsia"/>
          <w:sz w:val="24"/>
          <w:szCs w:val="21"/>
        </w:rPr>
        <w:t>月至</w:t>
      </w:r>
      <w:r w:rsidRPr="00FC1444">
        <w:rPr>
          <w:rFonts w:eastAsiaTheme="minorEastAsia"/>
          <w:sz w:val="24"/>
          <w:szCs w:val="21"/>
        </w:rPr>
        <w:t>4</w:t>
      </w:r>
      <w:r w:rsidRPr="00FC1444">
        <w:rPr>
          <w:rFonts w:eastAsiaTheme="minorEastAsia"/>
          <w:sz w:val="24"/>
          <w:szCs w:val="21"/>
        </w:rPr>
        <w:t>月进行排水沟清淤及涵洞等建筑物、护砌工程施工，沟渠干涸，不涉水，不产生基坑废水。</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综上，施工期不会对地下水产生明显污染影响。</w:t>
      </w:r>
    </w:p>
    <w:p w:rsidR="002A5A5E" w:rsidRPr="00FC1444" w:rsidRDefault="00611CBA">
      <w:pPr>
        <w:autoSpaceDE w:val="0"/>
        <w:autoSpaceDN w:val="0"/>
        <w:spacing w:before="100" w:beforeAutospacing="1" w:after="100" w:afterAutospacing="1"/>
        <w:jc w:val="left"/>
        <w:outlineLvl w:val="2"/>
        <w:rPr>
          <w:rFonts w:eastAsiaTheme="minorEastAsia"/>
          <w:b/>
          <w:sz w:val="28"/>
          <w:szCs w:val="28"/>
        </w:rPr>
      </w:pPr>
      <w:r w:rsidRPr="00FC1444">
        <w:rPr>
          <w:rFonts w:eastAsiaTheme="minorEastAsia"/>
          <w:b/>
          <w:sz w:val="28"/>
          <w:szCs w:val="28"/>
        </w:rPr>
        <w:t>5.1.7</w:t>
      </w:r>
      <w:r w:rsidRPr="00FC1444">
        <w:rPr>
          <w:rFonts w:eastAsiaTheme="minorEastAsia"/>
          <w:b/>
          <w:sz w:val="28"/>
          <w:szCs w:val="28"/>
        </w:rPr>
        <w:t>对黑土地及基本农田影响分析</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）黑土地</w:t>
      </w:r>
    </w:p>
    <w:p w:rsidR="002A5A5E" w:rsidRPr="00FC1444" w:rsidRDefault="008C4342">
      <w:pPr>
        <w:spacing w:line="360" w:lineRule="auto"/>
        <w:ind w:firstLineChars="200" w:firstLine="480"/>
        <w:rPr>
          <w:rFonts w:eastAsiaTheme="minorEastAsia"/>
          <w:sz w:val="24"/>
        </w:rPr>
      </w:pPr>
      <w:r w:rsidRPr="00FC1444">
        <w:rPr>
          <w:rFonts w:eastAsiaTheme="minorEastAsia"/>
          <w:bCs/>
          <w:snapToGrid w:val="0"/>
          <w:sz w:val="24"/>
        </w:rPr>
        <w:t>本项目为高标准农田建设项目，田块整治工程在现状农田上建设，永久占地不可避免将占用黑土地。</w:t>
      </w:r>
      <w:r w:rsidR="00611CBA" w:rsidRPr="00FC1444">
        <w:rPr>
          <w:rFonts w:eastAsiaTheme="minorEastAsia"/>
          <w:sz w:val="24"/>
        </w:rPr>
        <w:t>在工程建设过程中，如果施工安排不合理或操作不当，会使机械的机油等废弃油对黑土地造成污染；施工材料乱丢乱放也会造成土壤的污染；扬尘及冲刷物质进入农田，而且这些物质多为生土，有机质含量低，过多进入农田将会影响土壤的组成和结构，使土壤肥力下降，影响作物产量。</w:t>
      </w:r>
    </w:p>
    <w:p w:rsidR="002A5A5E" w:rsidRPr="00FC1444" w:rsidRDefault="00611CBA">
      <w:pPr>
        <w:spacing w:line="360" w:lineRule="auto"/>
        <w:ind w:firstLine="482"/>
        <w:rPr>
          <w:rFonts w:eastAsiaTheme="minorEastAsia"/>
          <w:sz w:val="24"/>
        </w:rPr>
      </w:pPr>
      <w:r w:rsidRPr="00FC1444">
        <w:rPr>
          <w:rFonts w:eastAsiaTheme="minorEastAsia"/>
          <w:sz w:val="24"/>
        </w:rPr>
        <w:t>本项目施工期规范建筑垃圾和粉质材料的临时堆放，规范其他垃圾的收集和临时堆放，防止粉尘等进入农田。施工期各类废污水、固体废弃物按照要求进行处理和处置，避免污染工程周边黑土地。施工期加强管理，杜绝油品跑冒滴漏事故，不会对黑土地造成污染。</w:t>
      </w:r>
    </w:p>
    <w:p w:rsidR="00E36F90" w:rsidRPr="00FC1444" w:rsidRDefault="00E36F90">
      <w:pPr>
        <w:spacing w:line="360" w:lineRule="auto"/>
        <w:ind w:firstLine="482"/>
        <w:rPr>
          <w:rFonts w:eastAsiaTheme="minorEastAsia"/>
          <w:sz w:val="24"/>
        </w:rPr>
      </w:pPr>
      <w:r w:rsidRPr="00FC1444">
        <w:rPr>
          <w:rFonts w:eastAsiaTheme="minorEastAsia"/>
          <w:bCs/>
          <w:snapToGrid w:val="0"/>
          <w:sz w:val="24"/>
        </w:rPr>
        <w:t>施工期临时占用黑土地，进行表土剥离，</w:t>
      </w:r>
      <w:r w:rsidRPr="00FC1444">
        <w:rPr>
          <w:rFonts w:eastAsiaTheme="minorEastAsia"/>
          <w:snapToGrid w:val="0"/>
          <w:kern w:val="0"/>
          <w:sz w:val="24"/>
        </w:rPr>
        <w:t>表土分区存放，设置临时拦挡并采用密目网苫盖，施工结束后分层回填，施工场地恢复现状，</w:t>
      </w:r>
      <w:r w:rsidRPr="00FC1444">
        <w:rPr>
          <w:rFonts w:eastAsiaTheme="minorEastAsia"/>
          <w:bCs/>
          <w:snapToGrid w:val="0"/>
          <w:sz w:val="24"/>
          <w:lang w:bidi="en-US"/>
        </w:rPr>
        <w:t>恢复为原有临时占地</w:t>
      </w:r>
      <w:r w:rsidRPr="00FC1444">
        <w:rPr>
          <w:rFonts w:eastAsiaTheme="minorEastAsia"/>
          <w:bCs/>
          <w:snapToGrid w:val="0"/>
          <w:sz w:val="24"/>
        </w:rPr>
        <w:t>土地利用类型，对</w:t>
      </w:r>
      <w:r w:rsidRPr="00FC1444">
        <w:rPr>
          <w:rFonts w:eastAsiaTheme="minorEastAsia"/>
          <w:kern w:val="24"/>
          <w:sz w:val="24"/>
        </w:rPr>
        <w:t>黑土地影响较小。</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）基本农田</w:t>
      </w:r>
    </w:p>
    <w:p w:rsidR="002A5A5E" w:rsidRPr="00FC1444" w:rsidRDefault="00611CBA">
      <w:pPr>
        <w:spacing w:line="360" w:lineRule="auto"/>
        <w:ind w:firstLineChars="200" w:firstLine="480"/>
        <w:rPr>
          <w:rFonts w:eastAsiaTheme="minorEastAsia"/>
          <w:bCs/>
          <w:snapToGrid w:val="0"/>
          <w:sz w:val="24"/>
        </w:rPr>
      </w:pPr>
      <w:r w:rsidRPr="00FC1444">
        <w:rPr>
          <w:rFonts w:eastAsiaTheme="minorEastAsia"/>
          <w:snapToGrid w:val="0"/>
          <w:kern w:val="0"/>
          <w:sz w:val="24"/>
        </w:rPr>
        <w:t>本项目施工期临时占地不占用基本农田。</w:t>
      </w:r>
      <w:r w:rsidRPr="00FC1444">
        <w:rPr>
          <w:rFonts w:eastAsiaTheme="minorEastAsia"/>
          <w:bCs/>
          <w:snapToGrid w:val="0"/>
          <w:sz w:val="24"/>
        </w:rPr>
        <w:t>本项目为高标准农田建设项目，田块整治工程在现状农田上建设</w:t>
      </w:r>
      <w:r w:rsidR="00E33931" w:rsidRPr="00FC1444">
        <w:rPr>
          <w:rFonts w:eastAsiaTheme="minorEastAsia"/>
          <w:bCs/>
          <w:snapToGrid w:val="0"/>
          <w:sz w:val="24"/>
        </w:rPr>
        <w:t>，永久占地不可避免将占用基本农田</w:t>
      </w:r>
      <w:r w:rsidRPr="00FC1444">
        <w:rPr>
          <w:rFonts w:eastAsiaTheme="minorEastAsia"/>
          <w:bCs/>
          <w:snapToGrid w:val="0"/>
          <w:sz w:val="24"/>
        </w:rPr>
        <w:t>。施工过程中不向农用地排放重金属或者其他有毒有害物质含量超标的污水、污泥，以及可能造成土壤污染的清淤底泥、尾矿、矿渣等，不会造成永久基本农田污染。</w:t>
      </w:r>
      <w:r w:rsidRPr="00FC1444">
        <w:rPr>
          <w:rFonts w:eastAsiaTheme="minorEastAsia"/>
          <w:sz w:val="24"/>
        </w:rPr>
        <w:t>规范建筑垃圾和粉质材料的临时堆放，规范其他垃圾的收集和临时堆放，防止粉尘等进</w:t>
      </w:r>
      <w:r w:rsidRPr="00FC1444">
        <w:rPr>
          <w:rFonts w:eastAsiaTheme="minorEastAsia"/>
          <w:sz w:val="24"/>
        </w:rPr>
        <w:lastRenderedPageBreak/>
        <w:t>入农田。在土壤剥离及运输过程中，采取了水土保持和扬尘防治措施，防止环境污染。施工期各类废污水、固体废弃物按照要求进行处理和处置，避免污染工程周边基本农田。施工期加强管理，杜绝油品跑冒滴漏事故，不会对基本农田造成污染。严格执行项目的水土保持方案，合理施工减少土壤的翻动、开挖对土地肥力产生破坏等，防止和减轻施工造成的水土流失。</w:t>
      </w:r>
      <w:r w:rsidRPr="00FC1444">
        <w:rPr>
          <w:rFonts w:eastAsiaTheme="minorEastAsia"/>
          <w:bCs/>
          <w:sz w:val="24"/>
        </w:rPr>
        <w:t>加强施工期工人培训工作，施工时应建设围挡措施，减少粉尘对周围环境的影响；工程开挖应尽量避免在雨季进行。本项目应严格执行《中华人民共和国土地管理法》《基本农田保护条例》等文件要求，制定基本农田环境保护方案：</w:t>
      </w:r>
      <w:r w:rsidRPr="00FC1444">
        <w:rPr>
          <w:rFonts w:ascii="宋体" w:hAnsi="宋体" w:cs="宋体" w:hint="eastAsia"/>
          <w:bCs/>
          <w:sz w:val="24"/>
        </w:rPr>
        <w:t>①</w:t>
      </w:r>
      <w:r w:rsidRPr="00FC1444">
        <w:rPr>
          <w:rFonts w:eastAsiaTheme="minorEastAsia"/>
          <w:bCs/>
          <w:sz w:val="24"/>
        </w:rPr>
        <w:t>建设前期须优化道路选线、合理安排施工期；</w:t>
      </w:r>
      <w:r w:rsidRPr="00FC1444">
        <w:rPr>
          <w:rFonts w:ascii="宋体" w:hAnsi="宋体" w:cs="宋体" w:hint="eastAsia"/>
          <w:bCs/>
          <w:sz w:val="24"/>
        </w:rPr>
        <w:t>②</w:t>
      </w:r>
      <w:r w:rsidRPr="00FC1444">
        <w:rPr>
          <w:rFonts w:eastAsiaTheme="minorEastAsia"/>
          <w:bCs/>
          <w:sz w:val="24"/>
        </w:rPr>
        <w:t>施工期须按照报告书要求对临时占地采取耕作层的剥离和暂存、妥善处理、及时清运废弃物等方式做好基本农田的保护工作。</w:t>
      </w: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29" w:name="_Toc208906243"/>
      <w:r w:rsidRPr="00FC1444">
        <w:rPr>
          <w:rFonts w:eastAsiaTheme="minorEastAsia"/>
          <w:b/>
          <w:bCs/>
          <w:kern w:val="44"/>
          <w:sz w:val="30"/>
          <w:szCs w:val="30"/>
        </w:rPr>
        <w:t>5.2</w:t>
      </w:r>
      <w:r w:rsidRPr="00FC1444">
        <w:rPr>
          <w:rFonts w:eastAsiaTheme="minorEastAsia"/>
          <w:b/>
          <w:bCs/>
          <w:kern w:val="44"/>
          <w:sz w:val="30"/>
          <w:szCs w:val="30"/>
        </w:rPr>
        <w:t>运营期</w:t>
      </w:r>
      <w:r w:rsidR="00FC1444" w:rsidRPr="00FC1444">
        <w:rPr>
          <w:rFonts w:eastAsiaTheme="minorEastAsia"/>
          <w:b/>
          <w:bCs/>
          <w:kern w:val="44"/>
          <w:sz w:val="30"/>
          <w:szCs w:val="30"/>
        </w:rPr>
        <w:t>生态</w:t>
      </w:r>
      <w:r w:rsidRPr="00FC1444">
        <w:rPr>
          <w:rFonts w:eastAsiaTheme="minorEastAsia"/>
          <w:b/>
          <w:bCs/>
          <w:kern w:val="44"/>
          <w:sz w:val="30"/>
          <w:szCs w:val="30"/>
        </w:rPr>
        <w:t>环境影响预测与评价</w:t>
      </w:r>
      <w:bookmarkEnd w:id="127"/>
      <w:bookmarkEnd w:id="128"/>
      <w:bookmarkEnd w:id="129"/>
    </w:p>
    <w:p w:rsidR="002A5A5E" w:rsidRPr="00FC1444" w:rsidRDefault="00611CBA">
      <w:pPr>
        <w:autoSpaceDE w:val="0"/>
        <w:autoSpaceDN w:val="0"/>
        <w:spacing w:before="100" w:beforeAutospacing="1" w:after="100" w:afterAutospacing="1"/>
        <w:jc w:val="left"/>
        <w:outlineLvl w:val="2"/>
        <w:rPr>
          <w:rFonts w:eastAsiaTheme="minorEastAsia"/>
          <w:b/>
          <w:sz w:val="28"/>
          <w:szCs w:val="28"/>
        </w:rPr>
      </w:pPr>
      <w:r w:rsidRPr="00FC1444">
        <w:rPr>
          <w:rFonts w:eastAsiaTheme="minorEastAsia"/>
          <w:b/>
          <w:sz w:val="28"/>
          <w:szCs w:val="28"/>
        </w:rPr>
        <w:t>5.2.1</w:t>
      </w:r>
      <w:r w:rsidRPr="00FC1444">
        <w:rPr>
          <w:rFonts w:eastAsiaTheme="minorEastAsia"/>
          <w:b/>
          <w:sz w:val="28"/>
          <w:szCs w:val="28"/>
        </w:rPr>
        <w:t>大气</w:t>
      </w:r>
      <w:r w:rsidR="00FC1444" w:rsidRPr="00FC1444">
        <w:rPr>
          <w:rFonts w:eastAsiaTheme="minorEastAsia"/>
          <w:b/>
          <w:sz w:val="28"/>
          <w:szCs w:val="28"/>
        </w:rPr>
        <w:t>生态</w:t>
      </w:r>
      <w:r w:rsidRPr="00FC1444">
        <w:rPr>
          <w:rFonts w:eastAsiaTheme="minorEastAsia"/>
          <w:b/>
          <w:sz w:val="28"/>
          <w:szCs w:val="28"/>
        </w:rPr>
        <w:t>环境影响预测与评价</w:t>
      </w:r>
    </w:p>
    <w:p w:rsidR="002A5A5E" w:rsidRPr="00FC1444" w:rsidRDefault="00611CBA">
      <w:pPr>
        <w:pStyle w:val="aff4"/>
        <w:adjustRightInd/>
        <w:snapToGrid/>
        <w:jc w:val="both"/>
        <w:rPr>
          <w:rFonts w:ascii="Times New Roman" w:hAnsi="Times New Roman" w:cs="Times New Roman"/>
          <w:snapToGrid w:val="0"/>
          <w:kern w:val="0"/>
        </w:rPr>
      </w:pPr>
      <w:bookmarkStart w:id="130" w:name="_Hlk6926034"/>
      <w:r w:rsidRPr="00FC1444">
        <w:rPr>
          <w:rFonts w:ascii="Times New Roman" w:hAnsi="Times New Roman" w:cs="Times New Roman"/>
          <w:bCs/>
          <w:szCs w:val="20"/>
        </w:rPr>
        <w:t>本项目无冬季供暖，田间道路主要在春、秋农忙季节有少量农机车辆行驶，其他时段基本无车辆通过，车辆通过会产生少量汽车尾气，汽车尾气中主要污染物为</w:t>
      </w:r>
      <w:r w:rsidRPr="00FC1444">
        <w:rPr>
          <w:rFonts w:ascii="Times New Roman" w:hAnsi="Times New Roman" w:cs="Times New Roman"/>
          <w:bCs/>
          <w:szCs w:val="20"/>
        </w:rPr>
        <w:t>CO</w:t>
      </w:r>
      <w:r w:rsidRPr="00FC1444">
        <w:rPr>
          <w:rFonts w:ascii="Times New Roman" w:hAnsi="Times New Roman" w:cs="Times New Roman"/>
          <w:bCs/>
          <w:szCs w:val="20"/>
        </w:rPr>
        <w:t>、</w:t>
      </w:r>
      <w:r w:rsidRPr="00FC1444">
        <w:rPr>
          <w:rFonts w:ascii="Times New Roman" w:hAnsi="Times New Roman" w:cs="Times New Roman"/>
          <w:bCs/>
          <w:szCs w:val="20"/>
        </w:rPr>
        <w:t>NO</w:t>
      </w:r>
      <w:r w:rsidRPr="00FC1444">
        <w:rPr>
          <w:rFonts w:ascii="Times New Roman" w:hAnsi="Times New Roman" w:cs="Times New Roman"/>
          <w:bCs/>
          <w:szCs w:val="20"/>
          <w:vertAlign w:val="subscript"/>
        </w:rPr>
        <w:t>X</w:t>
      </w:r>
      <w:r w:rsidRPr="00FC1444">
        <w:rPr>
          <w:rFonts w:ascii="Times New Roman" w:hAnsi="Times New Roman" w:cs="Times New Roman"/>
          <w:bCs/>
          <w:szCs w:val="20"/>
        </w:rPr>
        <w:t>、</w:t>
      </w:r>
      <w:r w:rsidRPr="00FC1444">
        <w:rPr>
          <w:rFonts w:ascii="Times New Roman" w:hAnsi="Times New Roman" w:cs="Times New Roman"/>
          <w:bCs/>
          <w:szCs w:val="20"/>
        </w:rPr>
        <w:t>THC</w:t>
      </w:r>
      <w:r w:rsidRPr="00FC1444">
        <w:rPr>
          <w:rFonts w:ascii="Times New Roman" w:hAnsi="Times New Roman" w:cs="Times New Roman"/>
          <w:bCs/>
          <w:szCs w:val="20"/>
        </w:rPr>
        <w:t>等，本区域通过车辆一般为当地农用车，车速较慢、产生的尾气及扬尘较少，同时</w:t>
      </w:r>
      <w:r w:rsidRPr="00FC1444">
        <w:rPr>
          <w:rFonts w:ascii="Times New Roman" w:hAnsi="Times New Roman" w:cs="Times New Roman"/>
          <w:szCs w:val="20"/>
        </w:rPr>
        <w:t>通过对过往车辆采取限速措施后，</w:t>
      </w:r>
      <w:r w:rsidRPr="00FC1444">
        <w:rPr>
          <w:rFonts w:ascii="Times New Roman" w:hAnsi="Times New Roman" w:cs="Times New Roman"/>
          <w:bCs/>
          <w:szCs w:val="20"/>
        </w:rPr>
        <w:t>对周围环境空气影响不大</w:t>
      </w:r>
      <w:r w:rsidRPr="00FC1444">
        <w:rPr>
          <w:rFonts w:ascii="Times New Roman" w:hAnsi="Times New Roman" w:cs="Times New Roman"/>
          <w:szCs w:val="20"/>
        </w:rPr>
        <w:t>。</w:t>
      </w:r>
    </w:p>
    <w:p w:rsidR="002A5A5E" w:rsidRPr="00FC1444" w:rsidRDefault="00611CBA">
      <w:pPr>
        <w:pStyle w:val="aff4"/>
        <w:adjustRightInd/>
        <w:snapToGrid/>
        <w:jc w:val="both"/>
        <w:rPr>
          <w:rFonts w:ascii="Times New Roman" w:hAnsi="Times New Roman" w:cs="Times New Roman"/>
          <w:b/>
        </w:rPr>
      </w:pPr>
      <w:r w:rsidRPr="00FC1444">
        <w:rPr>
          <w:rFonts w:ascii="Times New Roman" w:hAnsi="Times New Roman" w:cs="Times New Roman"/>
          <w:snapToGrid w:val="0"/>
          <w:kern w:val="0"/>
        </w:rPr>
        <w:t>本项目排水工程设置</w:t>
      </w:r>
      <w:r w:rsidR="007D6514" w:rsidRPr="00FC1444">
        <w:rPr>
          <w:rFonts w:ascii="Times New Roman" w:hAnsi="Times New Roman" w:cs="Times New Roman"/>
          <w:snapToGrid w:val="0"/>
          <w:kern w:val="0"/>
        </w:rPr>
        <w:t>15</w:t>
      </w:r>
      <w:r w:rsidR="007D6514" w:rsidRPr="00FC1444">
        <w:rPr>
          <w:rFonts w:ascii="Times New Roman" w:hAnsi="Times New Roman" w:cs="Times New Roman"/>
          <w:snapToGrid w:val="0"/>
          <w:kern w:val="0"/>
        </w:rPr>
        <w:t>台</w:t>
      </w:r>
      <w:r w:rsidRPr="00FC1444">
        <w:rPr>
          <w:rFonts w:ascii="Times New Roman" w:hAnsi="Times New Roman" w:cs="Times New Roman"/>
          <w:snapToGrid w:val="0"/>
          <w:kern w:val="0"/>
        </w:rPr>
        <w:t>柴油机移动泵车，使用过程废气主要为</w:t>
      </w:r>
      <w:r w:rsidRPr="00FC1444">
        <w:rPr>
          <w:rFonts w:ascii="Times New Roman" w:hAnsi="Times New Roman" w:cs="Times New Roman"/>
          <w:snapToGrid w:val="0"/>
          <w:kern w:val="0"/>
        </w:rPr>
        <w:t>CO</w:t>
      </w:r>
      <w:r w:rsidRPr="00FC1444">
        <w:rPr>
          <w:rFonts w:ascii="Times New Roman" w:hAnsi="Times New Roman" w:cs="Times New Roman"/>
          <w:snapToGrid w:val="0"/>
          <w:kern w:val="0"/>
        </w:rPr>
        <w:t>、</w:t>
      </w:r>
      <w:r w:rsidRPr="00FC1444">
        <w:rPr>
          <w:rFonts w:ascii="Times New Roman" w:hAnsi="Times New Roman" w:cs="Times New Roman"/>
          <w:snapToGrid w:val="0"/>
          <w:kern w:val="0"/>
        </w:rPr>
        <w:t>HC+NOx</w:t>
      </w:r>
      <w:r w:rsidRPr="00FC1444">
        <w:rPr>
          <w:rFonts w:ascii="Times New Roman" w:hAnsi="Times New Roman" w:cs="Times New Roman"/>
          <w:snapToGrid w:val="0"/>
          <w:kern w:val="0"/>
        </w:rPr>
        <w:t>、</w:t>
      </w:r>
      <w:r w:rsidRPr="00FC1444">
        <w:rPr>
          <w:rFonts w:ascii="Times New Roman" w:hAnsi="Times New Roman" w:cs="Times New Roman"/>
          <w:snapToGrid w:val="0"/>
          <w:kern w:val="0"/>
        </w:rPr>
        <w:t>PM</w:t>
      </w:r>
      <w:r w:rsidRPr="00FC1444">
        <w:rPr>
          <w:rFonts w:ascii="Times New Roman" w:hAnsi="Times New Roman" w:cs="Times New Roman"/>
          <w:snapToGrid w:val="0"/>
          <w:kern w:val="0"/>
        </w:rPr>
        <w:t>（颗粒物），排放速率分别为</w:t>
      </w:r>
      <w:r w:rsidRPr="00FC1444">
        <w:rPr>
          <w:rFonts w:ascii="Times New Roman" w:hAnsi="Times New Roman" w:cs="Times New Roman"/>
          <w:snapToGrid w:val="0"/>
          <w:kern w:val="0"/>
        </w:rPr>
        <w:t>CO</w:t>
      </w:r>
      <w:r w:rsidRPr="00FC1444">
        <w:rPr>
          <w:rFonts w:ascii="Times New Roman" w:hAnsi="Times New Roman" w:cs="Times New Roman"/>
          <w:snapToGrid w:val="0"/>
          <w:kern w:val="0"/>
        </w:rPr>
        <w:t>：</w:t>
      </w:r>
      <w:r w:rsidRPr="00FC1444">
        <w:rPr>
          <w:rFonts w:ascii="Times New Roman" w:hAnsi="Times New Roman" w:cs="Times New Roman"/>
          <w:snapToGrid w:val="0"/>
          <w:kern w:val="0"/>
        </w:rPr>
        <w:t>0.15g/kWh</w:t>
      </w:r>
      <w:r w:rsidRPr="00FC1444">
        <w:rPr>
          <w:rFonts w:ascii="Times New Roman" w:hAnsi="Times New Roman" w:cs="Times New Roman"/>
          <w:snapToGrid w:val="0"/>
          <w:kern w:val="0"/>
        </w:rPr>
        <w:t>、</w:t>
      </w:r>
      <w:r w:rsidRPr="00FC1444">
        <w:rPr>
          <w:rFonts w:ascii="Times New Roman" w:hAnsi="Times New Roman" w:cs="Times New Roman"/>
          <w:snapToGrid w:val="0"/>
          <w:kern w:val="0"/>
        </w:rPr>
        <w:t>HC+NOx</w:t>
      </w:r>
      <w:r w:rsidRPr="00FC1444">
        <w:rPr>
          <w:rFonts w:ascii="Times New Roman" w:hAnsi="Times New Roman" w:cs="Times New Roman"/>
          <w:snapToGrid w:val="0"/>
          <w:kern w:val="0"/>
        </w:rPr>
        <w:t>：</w:t>
      </w:r>
      <w:r w:rsidRPr="00FC1444">
        <w:rPr>
          <w:rFonts w:ascii="Times New Roman" w:hAnsi="Times New Roman" w:cs="Times New Roman"/>
          <w:snapToGrid w:val="0"/>
          <w:kern w:val="0"/>
        </w:rPr>
        <w:t>0.696g/kWh</w:t>
      </w:r>
      <w:r w:rsidRPr="00FC1444">
        <w:rPr>
          <w:rFonts w:ascii="Times New Roman" w:hAnsi="Times New Roman" w:cs="Times New Roman"/>
          <w:snapToGrid w:val="0"/>
          <w:kern w:val="0"/>
        </w:rPr>
        <w:t>、</w:t>
      </w:r>
      <w:r w:rsidRPr="00FC1444">
        <w:rPr>
          <w:rFonts w:ascii="Times New Roman" w:hAnsi="Times New Roman" w:cs="Times New Roman"/>
          <w:snapToGrid w:val="0"/>
          <w:kern w:val="0"/>
        </w:rPr>
        <w:t>PM</w:t>
      </w:r>
      <w:r w:rsidRPr="00FC1444">
        <w:rPr>
          <w:rFonts w:ascii="Times New Roman" w:hAnsi="Times New Roman" w:cs="Times New Roman"/>
          <w:snapToGrid w:val="0"/>
          <w:kern w:val="0"/>
        </w:rPr>
        <w:t>（颗粒物）：</w:t>
      </w:r>
      <w:r w:rsidRPr="00FC1444">
        <w:rPr>
          <w:rFonts w:ascii="Times New Roman" w:hAnsi="Times New Roman" w:cs="Times New Roman"/>
          <w:snapToGrid w:val="0"/>
          <w:kern w:val="0"/>
        </w:rPr>
        <w:t>0.06g/kWh</w:t>
      </w:r>
      <w:r w:rsidRPr="00FC1444">
        <w:rPr>
          <w:rFonts w:ascii="Times New Roman" w:hAnsi="Times New Roman" w:cs="Times New Roman"/>
          <w:snapToGrid w:val="0"/>
          <w:kern w:val="0"/>
        </w:rPr>
        <w:t>，能够满足</w:t>
      </w:r>
      <w:r w:rsidRPr="00FC1444">
        <w:rPr>
          <w:rFonts w:ascii="Times New Roman" w:hAnsi="Times New Roman" w:cs="Times New Roman"/>
          <w:snapToGrid w:val="0"/>
          <w:kern w:val="0"/>
        </w:rPr>
        <w:t>GB20891-2014</w:t>
      </w:r>
      <w:r w:rsidRPr="00FC1444">
        <w:rPr>
          <w:rFonts w:ascii="Times New Roman" w:hAnsi="Times New Roman" w:cs="Times New Roman"/>
          <w:snapToGrid w:val="0"/>
          <w:kern w:val="0"/>
        </w:rPr>
        <w:t>《非道路移动机械用柴油机排气污染物排放限值及测量方法（中国三、四阶段）》中第四阶段（</w:t>
      </w:r>
      <w:r w:rsidRPr="00FC1444">
        <w:rPr>
          <w:rFonts w:ascii="Times New Roman" w:hAnsi="Times New Roman" w:cs="Times New Roman"/>
          <w:snapToGrid w:val="0"/>
          <w:kern w:val="0"/>
        </w:rPr>
        <w:t>130</w:t>
      </w:r>
      <w:r w:rsidRPr="00FC1444">
        <w:rPr>
          <w:rFonts w:ascii="Times New Roman" w:hAnsi="Times New Roman" w:cs="Times New Roman"/>
          <w:snapToGrid w:val="0"/>
          <w:kern w:val="0"/>
        </w:rPr>
        <w:t>＜额定功率＜</w:t>
      </w:r>
      <w:r w:rsidRPr="00FC1444">
        <w:rPr>
          <w:rFonts w:ascii="Times New Roman" w:hAnsi="Times New Roman" w:cs="Times New Roman"/>
          <w:snapToGrid w:val="0"/>
          <w:kern w:val="0"/>
        </w:rPr>
        <w:t>560kW</w:t>
      </w:r>
      <w:r w:rsidRPr="00FC1444">
        <w:rPr>
          <w:rFonts w:ascii="Times New Roman" w:hAnsi="Times New Roman" w:cs="Times New Roman"/>
          <w:snapToGrid w:val="0"/>
          <w:kern w:val="0"/>
        </w:rPr>
        <w:t>）中要求，</w:t>
      </w:r>
      <w:r w:rsidRPr="00FC1444">
        <w:rPr>
          <w:rFonts w:ascii="Times New Roman" w:hAnsi="Times New Roman" w:cs="Times New Roman"/>
        </w:rPr>
        <w:t>采用轻质柴油，减少柴油机移动泵车废气影响，同时鉴于项目的特殊性，泵车分布较分散，使用时间较短，位于田间，距离敏感点较远，田间空旷有利于柴油机移动泵车废气的稀释扩散，故柴油机移动泵车的废气影响是可接受的。</w:t>
      </w:r>
      <w:bookmarkEnd w:id="130"/>
    </w:p>
    <w:p w:rsidR="002A5A5E" w:rsidRPr="00FC1444" w:rsidRDefault="00611CBA">
      <w:pPr>
        <w:autoSpaceDE w:val="0"/>
        <w:autoSpaceDN w:val="0"/>
        <w:spacing w:before="100" w:beforeAutospacing="1" w:after="100" w:afterAutospacing="1"/>
        <w:jc w:val="left"/>
        <w:outlineLvl w:val="2"/>
        <w:rPr>
          <w:rFonts w:eastAsiaTheme="minorEastAsia"/>
          <w:b/>
          <w:sz w:val="28"/>
          <w:szCs w:val="28"/>
        </w:rPr>
      </w:pPr>
      <w:r w:rsidRPr="00FC1444">
        <w:rPr>
          <w:rFonts w:eastAsiaTheme="minorEastAsia"/>
          <w:b/>
          <w:sz w:val="28"/>
          <w:szCs w:val="28"/>
        </w:rPr>
        <w:t>5.2.2</w:t>
      </w:r>
      <w:r w:rsidRPr="00FC1444">
        <w:rPr>
          <w:rFonts w:eastAsiaTheme="minorEastAsia"/>
          <w:b/>
          <w:sz w:val="28"/>
          <w:szCs w:val="28"/>
        </w:rPr>
        <w:t>水</w:t>
      </w:r>
      <w:r w:rsidR="00FC1444" w:rsidRPr="00FC1444">
        <w:rPr>
          <w:rFonts w:eastAsiaTheme="minorEastAsia"/>
          <w:b/>
          <w:sz w:val="28"/>
          <w:szCs w:val="28"/>
        </w:rPr>
        <w:t>生态</w:t>
      </w:r>
      <w:r w:rsidRPr="00FC1444">
        <w:rPr>
          <w:rFonts w:eastAsiaTheme="minorEastAsia"/>
          <w:b/>
          <w:sz w:val="28"/>
          <w:szCs w:val="28"/>
        </w:rPr>
        <w:t>环境影响预测分析</w:t>
      </w:r>
    </w:p>
    <w:p w:rsidR="002A5A5E" w:rsidRPr="00FC1444" w:rsidRDefault="00611CBA">
      <w:pPr>
        <w:autoSpaceDE w:val="0"/>
        <w:autoSpaceDN w:val="0"/>
        <w:spacing w:before="100" w:beforeAutospacing="1" w:after="100" w:afterAutospacing="1"/>
        <w:outlineLvl w:val="3"/>
        <w:rPr>
          <w:rFonts w:eastAsiaTheme="minorEastAsia"/>
          <w:b/>
          <w:bCs/>
          <w:sz w:val="24"/>
        </w:rPr>
      </w:pPr>
      <w:r w:rsidRPr="00FC1444">
        <w:rPr>
          <w:rFonts w:eastAsiaTheme="minorEastAsia"/>
          <w:b/>
          <w:bCs/>
          <w:sz w:val="24"/>
        </w:rPr>
        <w:t>5.2.2.1</w:t>
      </w:r>
      <w:r w:rsidRPr="00FC1444">
        <w:rPr>
          <w:rFonts w:eastAsiaTheme="minorEastAsia"/>
          <w:b/>
          <w:bCs/>
          <w:sz w:val="24"/>
        </w:rPr>
        <w:t>地表水</w:t>
      </w:r>
      <w:r w:rsidR="00FC1444" w:rsidRPr="00FC1444">
        <w:rPr>
          <w:rFonts w:eastAsiaTheme="minorEastAsia"/>
          <w:b/>
          <w:bCs/>
          <w:sz w:val="24"/>
        </w:rPr>
        <w:t>生态</w:t>
      </w:r>
      <w:r w:rsidRPr="00FC1444">
        <w:rPr>
          <w:rFonts w:eastAsiaTheme="minorEastAsia"/>
          <w:b/>
          <w:bCs/>
          <w:sz w:val="24"/>
        </w:rPr>
        <w:t>环境影响分析</w:t>
      </w:r>
    </w:p>
    <w:p w:rsidR="002A5A5E" w:rsidRPr="00FC1444" w:rsidRDefault="003E5585">
      <w:pPr>
        <w:pStyle w:val="aff4"/>
        <w:adjustRightInd/>
        <w:snapToGrid/>
        <w:rPr>
          <w:rFonts w:ascii="Times New Roman" w:hAnsi="Times New Roman" w:cs="Times New Roman"/>
          <w:szCs w:val="22"/>
        </w:rPr>
      </w:pPr>
      <w:bookmarkStart w:id="131" w:name="_Hlk10651079"/>
      <w:r w:rsidRPr="00FC1444">
        <w:rPr>
          <w:rFonts w:ascii="Times New Roman" w:hAnsi="Times New Roman" w:cs="Times New Roman"/>
          <w:szCs w:val="22"/>
        </w:rPr>
        <w:lastRenderedPageBreak/>
        <w:t>（</w:t>
      </w:r>
      <w:r w:rsidRPr="00FC1444">
        <w:rPr>
          <w:rFonts w:ascii="Times New Roman" w:hAnsi="Times New Roman" w:cs="Times New Roman"/>
          <w:szCs w:val="22"/>
        </w:rPr>
        <w:t>1</w:t>
      </w:r>
      <w:r w:rsidRPr="00FC1444">
        <w:rPr>
          <w:rFonts w:ascii="Times New Roman" w:hAnsi="Times New Roman" w:cs="Times New Roman"/>
          <w:szCs w:val="22"/>
        </w:rPr>
        <w:t>）</w:t>
      </w:r>
      <w:r w:rsidR="00611CBA" w:rsidRPr="00FC1444">
        <w:rPr>
          <w:rFonts w:ascii="Times New Roman" w:hAnsi="Times New Roman" w:cs="Times New Roman"/>
          <w:szCs w:val="22"/>
        </w:rPr>
        <w:t>旱田</w:t>
      </w:r>
    </w:p>
    <w:p w:rsidR="002A5A5E" w:rsidRPr="00FC1444" w:rsidRDefault="00611CBA">
      <w:pPr>
        <w:pStyle w:val="aff4"/>
        <w:adjustRightInd/>
        <w:snapToGrid/>
        <w:rPr>
          <w:rFonts w:ascii="Times New Roman" w:hAnsi="Times New Roman" w:cs="Times New Roman"/>
        </w:rPr>
      </w:pPr>
      <w:r w:rsidRPr="00FC1444">
        <w:rPr>
          <w:rFonts w:ascii="Times New Roman" w:hAnsi="Times New Roman" w:cs="Times New Roman"/>
          <w:szCs w:val="22"/>
        </w:rPr>
        <w:t>根据</w:t>
      </w:r>
      <w:r w:rsidRPr="00FC1444">
        <w:rPr>
          <w:rFonts w:ascii="Times New Roman" w:hAnsi="Times New Roman" w:cs="Times New Roman"/>
        </w:rPr>
        <w:t>本工程已批复水资源论证报告书</w:t>
      </w:r>
      <w:r w:rsidRPr="00FC1444">
        <w:rPr>
          <w:rFonts w:ascii="Times New Roman" w:hAnsi="Times New Roman" w:cs="Times New Roman"/>
          <w:kern w:val="0"/>
          <w:szCs w:val="22"/>
        </w:rPr>
        <w:t>可知</w:t>
      </w:r>
      <w:r w:rsidRPr="00FC1444">
        <w:rPr>
          <w:rFonts w:ascii="Times New Roman" w:hAnsi="Times New Roman" w:cs="Times New Roman"/>
          <w:szCs w:val="20"/>
        </w:rPr>
        <w:t>，</w:t>
      </w:r>
      <w:r w:rsidRPr="00FC1444">
        <w:rPr>
          <w:rFonts w:ascii="Times New Roman" w:hAnsi="Times New Roman" w:cs="Times New Roman"/>
          <w:szCs w:val="22"/>
        </w:rPr>
        <w:t>新增水井区域均为旱田，无水田，属于高标准农田建设项目，灌溉后地下水经作物吸收等充分利用，用水效率较高，基本不产生退水</w:t>
      </w:r>
      <w:r w:rsidRPr="00FC1444">
        <w:rPr>
          <w:rFonts w:ascii="Times New Roman" w:hAnsi="Times New Roman" w:cs="Times New Roman"/>
        </w:rPr>
        <w:t>。</w:t>
      </w:r>
      <w:r w:rsidRPr="00FC1444">
        <w:rPr>
          <w:rFonts w:ascii="Times New Roman" w:hAnsi="Times New Roman" w:cs="Times New Roman"/>
          <w:kern w:val="0"/>
        </w:rPr>
        <w:t>项目施行</w:t>
      </w:r>
      <w:r w:rsidRPr="00FC1444">
        <w:rPr>
          <w:rFonts w:ascii="Times New Roman" w:hAnsi="Times New Roman" w:cs="Times New Roman"/>
          <w:kern w:val="0"/>
        </w:rPr>
        <w:t>“</w:t>
      </w:r>
      <w:r w:rsidRPr="00FC1444">
        <w:rPr>
          <w:rFonts w:ascii="Times New Roman" w:hAnsi="Times New Roman" w:cs="Times New Roman"/>
          <w:kern w:val="0"/>
        </w:rPr>
        <w:t>三减</w:t>
      </w:r>
      <w:r w:rsidRPr="00FC1444">
        <w:rPr>
          <w:rFonts w:ascii="Times New Roman" w:hAnsi="Times New Roman" w:cs="Times New Roman"/>
          <w:kern w:val="0"/>
        </w:rPr>
        <w:t>”</w:t>
      </w:r>
      <w:r w:rsidRPr="00FC1444">
        <w:rPr>
          <w:rFonts w:ascii="Times New Roman" w:hAnsi="Times New Roman" w:cs="Times New Roman"/>
          <w:kern w:val="0"/>
        </w:rPr>
        <w:t>行动，即减化肥、减农药、减除草剂，积极推广科学施肥，使化肥、农药实现减量化施用，提出测土配方施肥、水肥一体化、控制农药与化肥施用种类及数量措施。</w:t>
      </w:r>
    </w:p>
    <w:p w:rsidR="002A5A5E" w:rsidRPr="00FC1444" w:rsidRDefault="003E5585">
      <w:pPr>
        <w:pStyle w:val="aff4"/>
        <w:adjustRightInd/>
        <w:snapToGrid/>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2</w:t>
      </w:r>
      <w:r w:rsidRPr="00FC1444">
        <w:rPr>
          <w:rFonts w:ascii="Times New Roman" w:hAnsi="Times New Roman" w:cs="Times New Roman"/>
        </w:rPr>
        <w:t>）</w:t>
      </w:r>
      <w:r w:rsidR="00611CBA" w:rsidRPr="00FC1444">
        <w:rPr>
          <w:rFonts w:ascii="Times New Roman" w:hAnsi="Times New Roman" w:cs="Times New Roman"/>
        </w:rPr>
        <w:t>水田</w:t>
      </w:r>
    </w:p>
    <w:p w:rsidR="00810922" w:rsidRPr="00FC1444" w:rsidRDefault="00810922" w:rsidP="00810922">
      <w:pPr>
        <w:spacing w:line="360" w:lineRule="auto"/>
        <w:ind w:firstLineChars="200" w:firstLine="480"/>
        <w:jc w:val="left"/>
        <w:rPr>
          <w:rFonts w:eastAsiaTheme="minorEastAsia"/>
          <w:sz w:val="24"/>
        </w:rPr>
      </w:pPr>
      <w:r w:rsidRPr="00FC1444">
        <w:rPr>
          <w:rFonts w:eastAsiaTheme="minorEastAsia"/>
          <w:sz w:val="24"/>
        </w:rPr>
        <w:t>现有水田退水排放规律：</w:t>
      </w:r>
      <w:r w:rsidR="00430FD8" w:rsidRPr="00FC1444">
        <w:rPr>
          <w:rFonts w:eastAsiaTheme="minorEastAsia"/>
          <w:kern w:val="0"/>
          <w:sz w:val="24"/>
        </w:rPr>
        <w:t>灌区泡田期</w:t>
      </w:r>
      <w:r w:rsidR="00430FD8" w:rsidRPr="00FC1444">
        <w:rPr>
          <w:rFonts w:eastAsiaTheme="minorEastAsia"/>
          <w:kern w:val="0"/>
          <w:sz w:val="24"/>
        </w:rPr>
        <w:t>(5</w:t>
      </w:r>
      <w:r w:rsidR="00430FD8" w:rsidRPr="00FC1444">
        <w:rPr>
          <w:rFonts w:eastAsiaTheme="minorEastAsia"/>
          <w:kern w:val="0"/>
          <w:sz w:val="24"/>
        </w:rPr>
        <w:t>月中旬</w:t>
      </w:r>
      <w:r w:rsidR="00430FD8" w:rsidRPr="00FC1444">
        <w:rPr>
          <w:rFonts w:eastAsiaTheme="minorEastAsia"/>
          <w:kern w:val="0"/>
          <w:sz w:val="24"/>
        </w:rPr>
        <w:t>)</w:t>
      </w:r>
      <w:r w:rsidR="00430FD8" w:rsidRPr="00FC1444">
        <w:rPr>
          <w:rFonts w:eastAsiaTheme="minorEastAsia"/>
          <w:kern w:val="0"/>
          <w:sz w:val="24"/>
        </w:rPr>
        <w:t>后插秧前退水量占水田退水量的</w:t>
      </w:r>
      <w:r w:rsidR="00430FD8" w:rsidRPr="00FC1444">
        <w:rPr>
          <w:rFonts w:eastAsiaTheme="minorEastAsia"/>
          <w:kern w:val="0"/>
          <w:sz w:val="24"/>
        </w:rPr>
        <w:t>55%</w:t>
      </w:r>
      <w:r w:rsidR="00430FD8" w:rsidRPr="00FC1444">
        <w:rPr>
          <w:rFonts w:eastAsiaTheme="minorEastAsia"/>
          <w:kern w:val="0"/>
          <w:sz w:val="24"/>
        </w:rPr>
        <w:t>。分蘖临界期</w:t>
      </w:r>
      <w:r w:rsidR="00430FD8" w:rsidRPr="00FC1444">
        <w:rPr>
          <w:rFonts w:eastAsiaTheme="minorEastAsia"/>
          <w:kern w:val="0"/>
          <w:sz w:val="24"/>
        </w:rPr>
        <w:t>(6</w:t>
      </w:r>
      <w:r w:rsidR="00430FD8" w:rsidRPr="00FC1444">
        <w:rPr>
          <w:rFonts w:eastAsiaTheme="minorEastAsia"/>
          <w:kern w:val="0"/>
          <w:sz w:val="24"/>
        </w:rPr>
        <w:t>月末</w:t>
      </w:r>
      <w:r w:rsidR="00430FD8" w:rsidRPr="00FC1444">
        <w:rPr>
          <w:rFonts w:eastAsiaTheme="minorEastAsia"/>
          <w:kern w:val="0"/>
          <w:sz w:val="24"/>
        </w:rPr>
        <w:t>)</w:t>
      </w:r>
      <w:r w:rsidR="00430FD8" w:rsidRPr="00FC1444">
        <w:rPr>
          <w:rFonts w:eastAsiaTheme="minorEastAsia"/>
          <w:kern w:val="0"/>
          <w:sz w:val="24"/>
        </w:rPr>
        <w:t>退水量占水田总退水量的</w:t>
      </w:r>
      <w:r w:rsidR="00430FD8" w:rsidRPr="00FC1444">
        <w:rPr>
          <w:rFonts w:eastAsiaTheme="minorEastAsia"/>
          <w:kern w:val="0"/>
          <w:sz w:val="24"/>
        </w:rPr>
        <w:t>25%</w:t>
      </w:r>
      <w:r w:rsidR="00430FD8" w:rsidRPr="00FC1444">
        <w:rPr>
          <w:rFonts w:eastAsiaTheme="minorEastAsia"/>
          <w:kern w:val="0"/>
          <w:sz w:val="24"/>
        </w:rPr>
        <w:t>，拔节孕穗期</w:t>
      </w:r>
      <w:r w:rsidR="00430FD8" w:rsidRPr="00FC1444">
        <w:rPr>
          <w:rFonts w:eastAsiaTheme="minorEastAsia"/>
          <w:kern w:val="0"/>
          <w:sz w:val="24"/>
        </w:rPr>
        <w:t>(7</w:t>
      </w:r>
      <w:r w:rsidR="00430FD8" w:rsidRPr="00FC1444">
        <w:rPr>
          <w:rFonts w:eastAsiaTheme="minorEastAsia"/>
          <w:kern w:val="0"/>
          <w:sz w:val="24"/>
        </w:rPr>
        <w:t>月下旬</w:t>
      </w:r>
      <w:r w:rsidR="00430FD8" w:rsidRPr="00FC1444">
        <w:rPr>
          <w:rFonts w:eastAsiaTheme="minorEastAsia"/>
          <w:kern w:val="0"/>
          <w:sz w:val="24"/>
        </w:rPr>
        <w:t>)</w:t>
      </w:r>
      <w:r w:rsidR="00430FD8" w:rsidRPr="00FC1444">
        <w:rPr>
          <w:rFonts w:eastAsiaTheme="minorEastAsia"/>
          <w:kern w:val="0"/>
          <w:sz w:val="24"/>
        </w:rPr>
        <w:t>退水量占水田总退水量的</w:t>
      </w:r>
      <w:r w:rsidR="00430FD8" w:rsidRPr="00FC1444">
        <w:rPr>
          <w:rFonts w:eastAsiaTheme="minorEastAsia"/>
          <w:kern w:val="0"/>
          <w:sz w:val="24"/>
        </w:rPr>
        <w:t>5%</w:t>
      </w:r>
      <w:r w:rsidR="00430FD8" w:rsidRPr="00FC1444">
        <w:rPr>
          <w:rFonts w:eastAsiaTheme="minorEastAsia"/>
          <w:kern w:val="0"/>
          <w:sz w:val="24"/>
        </w:rPr>
        <w:t>，黄熟期</w:t>
      </w:r>
      <w:r w:rsidR="00430FD8" w:rsidRPr="00FC1444">
        <w:rPr>
          <w:rFonts w:eastAsiaTheme="minorEastAsia"/>
          <w:kern w:val="0"/>
          <w:sz w:val="24"/>
        </w:rPr>
        <w:t>(9</w:t>
      </w:r>
      <w:r w:rsidR="00430FD8" w:rsidRPr="00FC1444">
        <w:rPr>
          <w:rFonts w:eastAsiaTheme="minorEastAsia"/>
          <w:kern w:val="0"/>
          <w:sz w:val="24"/>
        </w:rPr>
        <w:t>月后</w:t>
      </w:r>
      <w:r w:rsidR="00430FD8" w:rsidRPr="00FC1444">
        <w:rPr>
          <w:rFonts w:eastAsiaTheme="minorEastAsia"/>
          <w:kern w:val="0"/>
          <w:sz w:val="24"/>
        </w:rPr>
        <w:t>)</w:t>
      </w:r>
      <w:r w:rsidR="00430FD8" w:rsidRPr="00FC1444">
        <w:rPr>
          <w:rFonts w:eastAsiaTheme="minorEastAsia"/>
          <w:kern w:val="0"/>
          <w:sz w:val="24"/>
        </w:rPr>
        <w:t>退水量占水田总退水量的</w:t>
      </w:r>
      <w:r w:rsidR="00430FD8" w:rsidRPr="00FC1444">
        <w:rPr>
          <w:rFonts w:eastAsiaTheme="minorEastAsia"/>
          <w:kern w:val="0"/>
          <w:sz w:val="24"/>
        </w:rPr>
        <w:t>15%</w:t>
      </w:r>
      <w:r w:rsidR="00430FD8" w:rsidRPr="00FC1444">
        <w:rPr>
          <w:rFonts w:eastAsiaTheme="minorEastAsia"/>
          <w:kern w:val="0"/>
          <w:sz w:val="24"/>
        </w:rPr>
        <w:t>。每次退水持续时间约为</w:t>
      </w:r>
      <w:r w:rsidR="00430FD8" w:rsidRPr="00FC1444">
        <w:rPr>
          <w:rFonts w:eastAsiaTheme="minorEastAsia"/>
          <w:kern w:val="0"/>
          <w:sz w:val="24"/>
        </w:rPr>
        <w:t>20</w:t>
      </w:r>
      <w:r w:rsidR="00430FD8" w:rsidRPr="00FC1444">
        <w:rPr>
          <w:rFonts w:eastAsiaTheme="minorEastAsia"/>
          <w:kern w:val="0"/>
          <w:sz w:val="24"/>
        </w:rPr>
        <w:t>天。主要集中在</w:t>
      </w:r>
      <w:r w:rsidR="00430FD8" w:rsidRPr="00FC1444">
        <w:rPr>
          <w:rFonts w:eastAsiaTheme="minorEastAsia"/>
          <w:kern w:val="0"/>
          <w:sz w:val="24"/>
        </w:rPr>
        <w:t>5</w:t>
      </w:r>
      <w:r w:rsidR="00430FD8" w:rsidRPr="00FC1444">
        <w:rPr>
          <w:rFonts w:eastAsiaTheme="minorEastAsia"/>
          <w:kern w:val="0"/>
          <w:sz w:val="24"/>
        </w:rPr>
        <w:t>月中旬至</w:t>
      </w:r>
      <w:r w:rsidR="00430FD8" w:rsidRPr="00FC1444">
        <w:rPr>
          <w:rFonts w:eastAsiaTheme="minorEastAsia"/>
          <w:kern w:val="0"/>
          <w:sz w:val="24"/>
        </w:rPr>
        <w:t>9</w:t>
      </w:r>
      <w:r w:rsidR="00430FD8" w:rsidRPr="00FC1444">
        <w:rPr>
          <w:rFonts w:eastAsiaTheme="minorEastAsia"/>
          <w:kern w:val="0"/>
          <w:sz w:val="24"/>
        </w:rPr>
        <w:t>月下旬</w:t>
      </w:r>
      <w:r w:rsidRPr="00FC1444">
        <w:rPr>
          <w:rFonts w:eastAsiaTheme="minorEastAsia"/>
          <w:sz w:val="24"/>
        </w:rPr>
        <w:t>。占比见下图：</w:t>
      </w:r>
    </w:p>
    <w:p w:rsidR="00810922" w:rsidRPr="00FC1444" w:rsidRDefault="00810922" w:rsidP="00810922">
      <w:pPr>
        <w:jc w:val="center"/>
        <w:rPr>
          <w:rFonts w:eastAsiaTheme="minorEastAsia"/>
          <w:sz w:val="24"/>
        </w:rPr>
      </w:pPr>
      <w:r w:rsidRPr="00FC1444">
        <w:rPr>
          <w:rFonts w:eastAsiaTheme="minorEastAsia"/>
          <w:noProof/>
          <w:sz w:val="24"/>
        </w:rPr>
        <w:drawing>
          <wp:inline distT="0" distB="0" distL="114300" distR="114300">
            <wp:extent cx="4542299" cy="2585809"/>
            <wp:effectExtent l="19050" t="19050" r="10651" b="24041"/>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
                    <pic:cNvPicPr>
                      <a:picLocks noChangeAspect="1"/>
                    </pic:cNvPicPr>
                  </pic:nvPicPr>
                  <pic:blipFill>
                    <a:blip r:embed="rId65"/>
                    <a:stretch>
                      <a:fillRect/>
                    </a:stretch>
                  </pic:blipFill>
                  <pic:spPr>
                    <a:xfrm>
                      <a:off x="0" y="0"/>
                      <a:ext cx="4538631" cy="2583721"/>
                    </a:xfrm>
                    <a:prstGeom prst="rect">
                      <a:avLst/>
                    </a:prstGeom>
                    <a:noFill/>
                    <a:ln>
                      <a:solidFill>
                        <a:schemeClr val="tx1"/>
                      </a:solidFill>
                    </a:ln>
                  </pic:spPr>
                </pic:pic>
              </a:graphicData>
            </a:graphic>
          </wp:inline>
        </w:drawing>
      </w:r>
    </w:p>
    <w:p w:rsidR="00810922" w:rsidRPr="00FC1444" w:rsidRDefault="00810922" w:rsidP="00810922">
      <w:pPr>
        <w:jc w:val="center"/>
        <w:rPr>
          <w:rFonts w:eastAsiaTheme="minorEastAsia"/>
          <w:sz w:val="24"/>
        </w:rPr>
      </w:pPr>
      <w:r w:rsidRPr="00FC1444">
        <w:rPr>
          <w:rFonts w:eastAsiaTheme="minorEastAsia"/>
          <w:b/>
          <w:szCs w:val="21"/>
        </w:rPr>
        <w:t>图</w:t>
      </w:r>
      <w:r w:rsidRPr="00FC1444">
        <w:rPr>
          <w:rFonts w:eastAsiaTheme="minorEastAsia"/>
          <w:b/>
          <w:szCs w:val="21"/>
        </w:rPr>
        <w:t xml:space="preserve">5-2-1 </w:t>
      </w:r>
      <w:r w:rsidRPr="00FC1444">
        <w:rPr>
          <w:rFonts w:eastAsiaTheme="minorEastAsia"/>
          <w:b/>
          <w:szCs w:val="21"/>
        </w:rPr>
        <w:t>不同时期退水比例占比图</w:t>
      </w:r>
    </w:p>
    <w:bookmarkEnd w:id="131"/>
    <w:p w:rsidR="00810922" w:rsidRPr="00FC1444" w:rsidRDefault="00810922" w:rsidP="00810922">
      <w:pPr>
        <w:spacing w:line="360" w:lineRule="auto"/>
        <w:ind w:firstLineChars="200" w:firstLine="480"/>
        <w:jc w:val="left"/>
        <w:rPr>
          <w:rFonts w:eastAsiaTheme="minorEastAsia"/>
          <w:kern w:val="0"/>
          <w:sz w:val="24"/>
        </w:rPr>
      </w:pPr>
      <w:r w:rsidRPr="00FC1444">
        <w:rPr>
          <w:rFonts w:eastAsiaTheme="minorEastAsia"/>
          <w:kern w:val="0"/>
          <w:sz w:val="24"/>
        </w:rPr>
        <w:t>项目区现有水田退水系统及组成：</w:t>
      </w:r>
      <w:r w:rsidRPr="00FC1444">
        <w:rPr>
          <w:rFonts w:eastAsiaTheme="minorEastAsia"/>
          <w:sz w:val="24"/>
        </w:rPr>
        <w:t>项目区排水工程已基本形成规模，</w:t>
      </w:r>
      <w:r w:rsidR="006D2471" w:rsidRPr="00FC1444">
        <w:rPr>
          <w:rFonts w:eastAsiaTheme="minorEastAsia" w:hint="eastAsia"/>
          <w:sz w:val="24"/>
        </w:rPr>
        <w:t>绥胜片区排水通过绥胜干沟汇入永安大排水，</w:t>
      </w:r>
      <w:r w:rsidR="006D2471" w:rsidRPr="00FC1444">
        <w:rPr>
          <w:rFonts w:eastAsiaTheme="minorEastAsia"/>
          <w:sz w:val="24"/>
        </w:rPr>
        <w:t>设有</w:t>
      </w:r>
      <w:r w:rsidR="006D2471" w:rsidRPr="00FC1444">
        <w:rPr>
          <w:rFonts w:eastAsiaTheme="minorEastAsia"/>
          <w:sz w:val="24"/>
        </w:rPr>
        <w:t>3</w:t>
      </w:r>
      <w:r w:rsidR="006D2471" w:rsidRPr="00FC1444">
        <w:rPr>
          <w:rFonts w:eastAsiaTheme="minorEastAsia"/>
          <w:sz w:val="24"/>
        </w:rPr>
        <w:t>个农田退水口，</w:t>
      </w:r>
      <w:r w:rsidR="006D2471" w:rsidRPr="00FC1444">
        <w:rPr>
          <w:rFonts w:eastAsiaTheme="minorEastAsia" w:hint="eastAsia"/>
          <w:sz w:val="24"/>
        </w:rPr>
        <w:t>最终汇入呼兰河，承泄区为呼兰河。津河片区排水通过原有沟汇入津河，</w:t>
      </w:r>
      <w:r w:rsidR="006D2471" w:rsidRPr="00FC1444">
        <w:rPr>
          <w:rFonts w:eastAsiaTheme="minorEastAsia"/>
          <w:sz w:val="24"/>
        </w:rPr>
        <w:t>设有</w:t>
      </w:r>
      <w:r w:rsidR="006D2471" w:rsidRPr="00FC1444">
        <w:rPr>
          <w:rFonts w:eastAsiaTheme="minorEastAsia" w:hint="eastAsia"/>
          <w:sz w:val="24"/>
        </w:rPr>
        <w:t>2</w:t>
      </w:r>
      <w:r w:rsidR="006D2471" w:rsidRPr="00FC1444">
        <w:rPr>
          <w:rFonts w:eastAsiaTheme="minorEastAsia"/>
          <w:sz w:val="24"/>
        </w:rPr>
        <w:t>个农田退水口，</w:t>
      </w:r>
      <w:r w:rsidR="006D2471" w:rsidRPr="00FC1444">
        <w:rPr>
          <w:rFonts w:eastAsiaTheme="minorEastAsia" w:hint="eastAsia"/>
          <w:sz w:val="24"/>
        </w:rPr>
        <w:t>最终承泄区为津河。五营片区排水通过原有沟汇入呼兰河，</w:t>
      </w:r>
      <w:r w:rsidR="006D2471" w:rsidRPr="00FC1444">
        <w:rPr>
          <w:rFonts w:eastAsiaTheme="minorEastAsia"/>
          <w:sz w:val="24"/>
        </w:rPr>
        <w:t>设有</w:t>
      </w:r>
      <w:r w:rsidR="006D2471" w:rsidRPr="00FC1444">
        <w:rPr>
          <w:rFonts w:eastAsiaTheme="minorEastAsia" w:hint="eastAsia"/>
          <w:sz w:val="24"/>
        </w:rPr>
        <w:t>2</w:t>
      </w:r>
      <w:r w:rsidR="006D2471" w:rsidRPr="00FC1444">
        <w:rPr>
          <w:rFonts w:eastAsiaTheme="minorEastAsia"/>
          <w:sz w:val="24"/>
        </w:rPr>
        <w:t>个农田退水口，</w:t>
      </w:r>
      <w:r w:rsidR="006D2471" w:rsidRPr="00FC1444">
        <w:rPr>
          <w:rFonts w:eastAsiaTheme="minorEastAsia" w:hint="eastAsia"/>
          <w:sz w:val="24"/>
        </w:rPr>
        <w:t>最终承泄区为呼兰河。三河片区排水通过原有沟汇入努敏河，</w:t>
      </w:r>
      <w:r w:rsidR="006D2471" w:rsidRPr="00FC1444">
        <w:rPr>
          <w:rFonts w:eastAsiaTheme="minorEastAsia"/>
          <w:sz w:val="24"/>
        </w:rPr>
        <w:t>设有</w:t>
      </w:r>
      <w:r w:rsidR="006D2471" w:rsidRPr="00FC1444">
        <w:rPr>
          <w:rFonts w:eastAsiaTheme="minorEastAsia" w:hint="eastAsia"/>
          <w:sz w:val="24"/>
        </w:rPr>
        <w:t>2</w:t>
      </w:r>
      <w:r w:rsidR="006D2471" w:rsidRPr="00FC1444">
        <w:rPr>
          <w:rFonts w:eastAsiaTheme="minorEastAsia"/>
          <w:sz w:val="24"/>
        </w:rPr>
        <w:t>个农田退水口，</w:t>
      </w:r>
      <w:r w:rsidR="006D2471" w:rsidRPr="00FC1444">
        <w:rPr>
          <w:rFonts w:eastAsiaTheme="minorEastAsia" w:hint="eastAsia"/>
          <w:sz w:val="24"/>
        </w:rPr>
        <w:t>最终承泄区为努敏河</w:t>
      </w:r>
      <w:r w:rsidRPr="00FC1444">
        <w:rPr>
          <w:rFonts w:eastAsiaTheme="minorEastAsia"/>
          <w:sz w:val="24"/>
        </w:rPr>
        <w:t>。</w:t>
      </w:r>
      <w:r w:rsidRPr="00FC1444">
        <w:rPr>
          <w:kern w:val="0"/>
          <w:sz w:val="24"/>
        </w:rPr>
        <w:t>本项目现有水田排污口位于</w:t>
      </w:r>
      <w:r w:rsidR="006D2471" w:rsidRPr="00FC1444">
        <w:rPr>
          <w:rFonts w:eastAsiaTheme="minorEastAsia"/>
          <w:sz w:val="24"/>
        </w:rPr>
        <w:t>绥胜干沟、原有沟</w:t>
      </w:r>
      <w:r w:rsidRPr="00FC1444">
        <w:rPr>
          <w:kern w:val="0"/>
          <w:sz w:val="24"/>
        </w:rPr>
        <w:t>。</w:t>
      </w:r>
      <w:r w:rsidRPr="00FC1444">
        <w:rPr>
          <w:rFonts w:eastAsiaTheme="minorEastAsia"/>
          <w:sz w:val="24"/>
        </w:rPr>
        <w:t>片区内</w:t>
      </w:r>
      <w:r w:rsidR="00AC69F4" w:rsidRPr="00FC1444">
        <w:rPr>
          <w:rFonts w:eastAsiaTheme="minorEastAsia"/>
          <w:sz w:val="24"/>
        </w:rPr>
        <w:t>排水承泄区为津河、呼兰河、努敏河</w:t>
      </w:r>
      <w:r w:rsidRPr="00FC1444">
        <w:rPr>
          <w:kern w:val="0"/>
          <w:sz w:val="24"/>
        </w:rPr>
        <w:t>。</w:t>
      </w:r>
      <w:r w:rsidRPr="00FC1444">
        <w:rPr>
          <w:rFonts w:eastAsiaTheme="minorEastAsia"/>
          <w:sz w:val="24"/>
        </w:rPr>
        <w:t>本项目退水路线及水系图见附图</w:t>
      </w:r>
      <w:r w:rsidRPr="00FC1444">
        <w:rPr>
          <w:rFonts w:eastAsiaTheme="minorEastAsia"/>
          <w:sz w:val="24"/>
        </w:rPr>
        <w:t>9</w:t>
      </w:r>
      <w:r w:rsidRPr="00FC1444">
        <w:rPr>
          <w:rFonts w:eastAsiaTheme="minorEastAsia"/>
          <w:sz w:val="24"/>
        </w:rPr>
        <w:t>。。</w:t>
      </w:r>
    </w:p>
    <w:p w:rsidR="002F45F4" w:rsidRPr="00FC1444" w:rsidRDefault="00C341EA" w:rsidP="002F45F4">
      <w:pPr>
        <w:pStyle w:val="aff4"/>
        <w:adjustRightInd/>
        <w:snapToGrid/>
        <w:rPr>
          <w:rFonts w:ascii="Times New Roman" w:hAnsi="Times New Roman" w:cs="Times New Roman"/>
          <w:smallCaps/>
          <w:shd w:val="clear" w:color="auto" w:fill="FFFFFF"/>
        </w:rPr>
      </w:pPr>
      <w:r w:rsidRPr="00FC1444">
        <w:rPr>
          <w:rFonts w:ascii="Times New Roman" w:hAnsi="Times New Roman" w:cs="Times New Roman" w:hint="eastAsia"/>
        </w:rPr>
        <w:lastRenderedPageBreak/>
        <w:t>本项目建设前后项目区水田面积不变，仍为</w:t>
      </w:r>
      <w:r w:rsidRPr="00FC1444">
        <w:rPr>
          <w:rFonts w:ascii="Times New Roman" w:hAnsi="Times New Roman" w:cs="Times New Roman" w:hint="eastAsia"/>
        </w:rPr>
        <w:t>9.16</w:t>
      </w:r>
      <w:r w:rsidR="0033279E" w:rsidRPr="00FC1444">
        <w:rPr>
          <w:rFonts w:ascii="Times New Roman" w:hAnsi="Times New Roman" w:cs="Times New Roman" w:hint="eastAsia"/>
        </w:rPr>
        <w:t>万亩。不新增灌溉设施，</w:t>
      </w:r>
      <w:r w:rsidRPr="00FC1444">
        <w:rPr>
          <w:rFonts w:ascii="Times New Roman" w:hAnsi="Times New Roman" w:cs="Times New Roman" w:hint="eastAsia"/>
        </w:rPr>
        <w:t>灌溉方式为现有农民自打地下水井井灌。退水总量及主要污染物：绥胜片区</w:t>
      </w:r>
      <w:r w:rsidRPr="00FC1444">
        <w:rPr>
          <w:rFonts w:ascii="Times New Roman" w:hAnsi="Times New Roman" w:cs="Times New Roman" w:hint="eastAsia"/>
        </w:rPr>
        <w:t>0.6</w:t>
      </w:r>
      <w:r w:rsidRPr="00FC1444">
        <w:rPr>
          <w:rFonts w:ascii="Times New Roman" w:hAnsi="Times New Roman" w:cs="Times New Roman" w:hint="eastAsia"/>
        </w:rPr>
        <w:t>万亩、津河片区</w:t>
      </w:r>
      <w:r w:rsidRPr="00FC1444">
        <w:rPr>
          <w:rFonts w:ascii="Times New Roman" w:hAnsi="Times New Roman" w:cs="Times New Roman" w:hint="eastAsia"/>
        </w:rPr>
        <w:t>1.54</w:t>
      </w:r>
      <w:r w:rsidRPr="00FC1444">
        <w:rPr>
          <w:rFonts w:ascii="Times New Roman" w:hAnsi="Times New Roman" w:cs="Times New Roman" w:hint="eastAsia"/>
        </w:rPr>
        <w:t>万亩、五营片区</w:t>
      </w:r>
      <w:r w:rsidRPr="00FC1444">
        <w:rPr>
          <w:rFonts w:ascii="Times New Roman" w:hAnsi="Times New Roman" w:cs="Times New Roman" w:hint="eastAsia"/>
        </w:rPr>
        <w:t>4.92</w:t>
      </w:r>
      <w:r w:rsidRPr="00FC1444">
        <w:rPr>
          <w:rFonts w:ascii="Times New Roman" w:hAnsi="Times New Roman" w:cs="Times New Roman" w:hint="eastAsia"/>
        </w:rPr>
        <w:t>万亩，三河片区</w:t>
      </w:r>
      <w:r w:rsidRPr="00FC1444">
        <w:rPr>
          <w:rFonts w:ascii="Times New Roman" w:hAnsi="Times New Roman" w:cs="Times New Roman" w:hint="eastAsia"/>
        </w:rPr>
        <w:t>2.1</w:t>
      </w:r>
      <w:r w:rsidRPr="00FC1444">
        <w:rPr>
          <w:rFonts w:ascii="Times New Roman" w:hAnsi="Times New Roman" w:cs="Times New Roman" w:hint="eastAsia"/>
        </w:rPr>
        <w:t>万亩。田取水量</w:t>
      </w:r>
      <w:r w:rsidRPr="00FC1444">
        <w:rPr>
          <w:rFonts w:ascii="Times New Roman" w:hAnsi="Times New Roman" w:cs="Times New Roman" w:hint="eastAsia"/>
        </w:rPr>
        <w:t>=</w:t>
      </w:r>
      <w:r w:rsidRPr="00FC1444">
        <w:rPr>
          <w:rFonts w:ascii="Times New Roman" w:hAnsi="Times New Roman" w:cs="Times New Roman" w:hint="eastAsia"/>
        </w:rPr>
        <w:t>灌溉面积×灌溉定额。现状年灌溉水利用系数</w:t>
      </w:r>
      <w:r w:rsidRPr="00FC1444">
        <w:rPr>
          <w:rFonts w:ascii="Times New Roman" w:hAnsi="Times New Roman" w:cs="Times New Roman" w:hint="eastAsia"/>
        </w:rPr>
        <w:t>0.67</w:t>
      </w:r>
      <w:r w:rsidRPr="00FC1444">
        <w:rPr>
          <w:rFonts w:ascii="Times New Roman" w:hAnsi="Times New Roman" w:cs="Times New Roman" w:hint="eastAsia"/>
        </w:rPr>
        <w:t>，水田灌溉用水定额为</w:t>
      </w:r>
      <w:r w:rsidRPr="00FC1444">
        <w:rPr>
          <w:rFonts w:ascii="Times New Roman" w:hAnsi="Times New Roman" w:cs="Times New Roman" w:hint="eastAsia"/>
        </w:rPr>
        <w:t>685m</w:t>
      </w:r>
      <w:r w:rsidRPr="00FC1444">
        <w:rPr>
          <w:rFonts w:ascii="Times New Roman" w:hAnsi="Times New Roman" w:cs="Times New Roman" w:hint="eastAsia"/>
          <w:vertAlign w:val="superscript"/>
        </w:rPr>
        <w:t>3</w:t>
      </w:r>
      <w:r w:rsidRPr="00FC1444">
        <w:rPr>
          <w:rFonts w:ascii="Times New Roman" w:hAnsi="Times New Roman" w:cs="Times New Roman" w:hint="eastAsia"/>
        </w:rPr>
        <w:t>/</w:t>
      </w:r>
      <w:r w:rsidRPr="00FC1444">
        <w:rPr>
          <w:rFonts w:ascii="Times New Roman" w:hAnsi="Times New Roman" w:cs="Times New Roman" w:hint="eastAsia"/>
        </w:rPr>
        <w:t>亩，现状引水总量</w:t>
      </w:r>
      <w:r w:rsidRPr="00FC1444">
        <w:rPr>
          <w:rFonts w:ascii="Times New Roman" w:hAnsi="Times New Roman" w:cs="Times New Roman" w:hint="eastAsia"/>
        </w:rPr>
        <w:t>6274.6</w:t>
      </w:r>
      <w:r w:rsidRPr="00FC1444">
        <w:rPr>
          <w:rFonts w:ascii="Times New Roman" w:hAnsi="Times New Roman" w:cs="Times New Roman" w:hint="eastAsia"/>
        </w:rPr>
        <w:t>万</w:t>
      </w:r>
      <w:r w:rsidRPr="00FC1444">
        <w:rPr>
          <w:rFonts w:ascii="Times New Roman" w:hAnsi="Times New Roman" w:cs="Times New Roman" w:hint="eastAsia"/>
        </w:rPr>
        <w:t>m</w:t>
      </w:r>
      <w:r w:rsidRPr="00FC1444">
        <w:rPr>
          <w:rFonts w:ascii="Times New Roman" w:hAnsi="Times New Roman" w:cs="Times New Roman" w:hint="eastAsia"/>
          <w:vertAlign w:val="superscript"/>
        </w:rPr>
        <w:t>3</w:t>
      </w:r>
      <w:r w:rsidRPr="00FC1444">
        <w:rPr>
          <w:rFonts w:ascii="Times New Roman" w:hAnsi="Times New Roman" w:cs="Times New Roman" w:hint="eastAsia"/>
        </w:rPr>
        <w:t>，现状退水系数按</w:t>
      </w:r>
      <w:r w:rsidRPr="00FC1444">
        <w:rPr>
          <w:rFonts w:ascii="Times New Roman" w:hAnsi="Times New Roman" w:cs="Times New Roman" w:hint="eastAsia"/>
        </w:rPr>
        <w:t>0.2</w:t>
      </w:r>
      <w:r w:rsidRPr="00FC1444">
        <w:rPr>
          <w:rFonts w:ascii="Times New Roman" w:hAnsi="Times New Roman" w:cs="Times New Roman" w:hint="eastAsia"/>
        </w:rPr>
        <w:t>计，则现状年灌区退水总量</w:t>
      </w:r>
      <w:r w:rsidRPr="00FC1444">
        <w:rPr>
          <w:rFonts w:ascii="Times New Roman" w:hAnsi="Times New Roman" w:cs="Times New Roman" w:hint="eastAsia"/>
        </w:rPr>
        <w:t>1255</w:t>
      </w:r>
      <w:r w:rsidRPr="00FC1444">
        <w:rPr>
          <w:rFonts w:ascii="Times New Roman" w:hAnsi="Times New Roman" w:cs="Times New Roman" w:hint="eastAsia"/>
        </w:rPr>
        <w:t>万</w:t>
      </w:r>
      <w:r w:rsidRPr="00FC1444">
        <w:rPr>
          <w:rFonts w:ascii="Times New Roman" w:hAnsi="Times New Roman" w:cs="Times New Roman" w:hint="eastAsia"/>
        </w:rPr>
        <w:t>m</w:t>
      </w:r>
      <w:r w:rsidRPr="00FC1444">
        <w:rPr>
          <w:rFonts w:ascii="Times New Roman" w:hAnsi="Times New Roman" w:cs="Times New Roman" w:hint="eastAsia"/>
          <w:vertAlign w:val="superscript"/>
        </w:rPr>
        <w:t>3</w:t>
      </w:r>
      <w:r w:rsidR="002F45F4" w:rsidRPr="00FC1444">
        <w:rPr>
          <w:rFonts w:ascii="Times New Roman" w:hAnsi="Times New Roman" w:cs="Times New Roman"/>
        </w:rPr>
        <w:t>。</w:t>
      </w:r>
    </w:p>
    <w:p w:rsidR="00C341EA" w:rsidRPr="00FC1444" w:rsidRDefault="00C341EA" w:rsidP="00C341EA">
      <w:pPr>
        <w:adjustRightInd w:val="0"/>
        <w:spacing w:line="360" w:lineRule="auto"/>
        <w:ind w:firstLineChars="200" w:firstLine="480"/>
        <w:rPr>
          <w:sz w:val="24"/>
        </w:rPr>
      </w:pPr>
      <w:r w:rsidRPr="00FC1444">
        <w:rPr>
          <w:sz w:val="24"/>
        </w:rPr>
        <w:t>本项目建设后现有水田灌溉方式不变。通过格田改造、土地平整等工程，可以减少池埂占地面积，减少田面不均补水，提高农田保水能力，并且由于渠系配套完善，减少引水的跑冒滴漏。根据</w:t>
      </w:r>
      <w:r w:rsidRPr="00FC1444">
        <w:rPr>
          <w:rFonts w:eastAsiaTheme="minorEastAsia"/>
          <w:sz w:val="24"/>
        </w:rPr>
        <w:t>《黑龙江：用水定额》（</w:t>
      </w:r>
      <w:r w:rsidRPr="00FC1444">
        <w:rPr>
          <w:rFonts w:eastAsiaTheme="minorEastAsia"/>
          <w:sz w:val="24"/>
        </w:rPr>
        <w:t>DB23/T 727-2025</w:t>
      </w:r>
      <w:r w:rsidRPr="00FC1444">
        <w:rPr>
          <w:rFonts w:eastAsiaTheme="minorEastAsia"/>
          <w:sz w:val="24"/>
        </w:rPr>
        <w:t>）</w:t>
      </w:r>
      <w:r w:rsidRPr="00FC1444">
        <w:rPr>
          <w:sz w:val="24"/>
        </w:rPr>
        <w:t>，渠道防渗输水灌溉水利用系数提升至</w:t>
      </w:r>
      <w:r w:rsidRPr="00FC1444">
        <w:rPr>
          <w:sz w:val="24"/>
        </w:rPr>
        <w:t>0.7</w:t>
      </w:r>
      <w:r w:rsidRPr="00FC1444">
        <w:rPr>
          <w:sz w:val="24"/>
        </w:rPr>
        <w:t>，水田灌溉用水定额为</w:t>
      </w:r>
      <w:r w:rsidRPr="00FC1444">
        <w:rPr>
          <w:sz w:val="24"/>
        </w:rPr>
        <w:t>600m</w:t>
      </w:r>
      <w:r w:rsidRPr="00FC1444">
        <w:rPr>
          <w:sz w:val="24"/>
          <w:vertAlign w:val="superscript"/>
        </w:rPr>
        <w:t>3</w:t>
      </w:r>
      <w:r w:rsidRPr="00FC1444">
        <w:rPr>
          <w:sz w:val="24"/>
        </w:rPr>
        <w:t>/</w:t>
      </w:r>
      <w:r w:rsidRPr="00FC1444">
        <w:rPr>
          <w:sz w:val="24"/>
        </w:rPr>
        <w:t>亩，引水总量</w:t>
      </w:r>
      <w:r w:rsidRPr="00FC1444">
        <w:rPr>
          <w:rFonts w:hint="eastAsia"/>
          <w:sz w:val="24"/>
        </w:rPr>
        <w:t>5496</w:t>
      </w:r>
      <w:r w:rsidRPr="00FC1444">
        <w:rPr>
          <w:sz w:val="24"/>
        </w:rPr>
        <w:t>万</w:t>
      </w:r>
      <w:r w:rsidRPr="00FC1444">
        <w:rPr>
          <w:sz w:val="24"/>
        </w:rPr>
        <w:t>m</w:t>
      </w:r>
      <w:r w:rsidRPr="00FC1444">
        <w:rPr>
          <w:sz w:val="24"/>
          <w:vertAlign w:val="superscript"/>
        </w:rPr>
        <w:t>3</w:t>
      </w:r>
      <w:r w:rsidRPr="00FC1444">
        <w:rPr>
          <w:sz w:val="24"/>
        </w:rPr>
        <w:t>。本项目建成后，进行土地平整、格田改造，消除高低不平造成的漫灌溢水、不均匀渗漏，减少田面弃水和无效深层渗漏，土壤保水能力增强，退水系数降至</w:t>
      </w:r>
      <w:r w:rsidRPr="00FC1444">
        <w:rPr>
          <w:sz w:val="24"/>
        </w:rPr>
        <w:t>0.15</w:t>
      </w:r>
      <w:r w:rsidRPr="00FC1444">
        <w:rPr>
          <w:sz w:val="24"/>
        </w:rPr>
        <w:t>，则项目建成后年灌区退水总量为</w:t>
      </w:r>
      <w:r w:rsidRPr="00FC1444">
        <w:rPr>
          <w:rFonts w:hint="eastAsia"/>
          <w:sz w:val="24"/>
        </w:rPr>
        <w:t>824</w:t>
      </w:r>
      <w:r w:rsidRPr="00FC1444">
        <w:rPr>
          <w:sz w:val="24"/>
        </w:rPr>
        <w:t>万</w:t>
      </w:r>
      <w:r w:rsidRPr="00FC1444">
        <w:rPr>
          <w:sz w:val="24"/>
        </w:rPr>
        <w:t>m</w:t>
      </w:r>
      <w:r w:rsidRPr="00FC1444">
        <w:rPr>
          <w:sz w:val="24"/>
          <w:vertAlign w:val="superscript"/>
        </w:rPr>
        <w:t>3</w:t>
      </w:r>
      <w:r w:rsidRPr="00FC1444">
        <w:rPr>
          <w:sz w:val="24"/>
        </w:rPr>
        <w:t>。项目建成后灌区年退水量与现状相比减少</w:t>
      </w:r>
      <w:r w:rsidRPr="00FC1444">
        <w:rPr>
          <w:sz w:val="24"/>
        </w:rPr>
        <w:t>431</w:t>
      </w:r>
      <w:r w:rsidRPr="00FC1444">
        <w:rPr>
          <w:sz w:val="24"/>
        </w:rPr>
        <w:t>万</w:t>
      </w:r>
      <w:r w:rsidRPr="00FC1444">
        <w:rPr>
          <w:sz w:val="24"/>
        </w:rPr>
        <w:t>m</w:t>
      </w:r>
      <w:r w:rsidRPr="00FC1444">
        <w:rPr>
          <w:sz w:val="24"/>
          <w:vertAlign w:val="superscript"/>
        </w:rPr>
        <w:t>3</w:t>
      </w:r>
      <w:r w:rsidRPr="00FC1444">
        <w:rPr>
          <w:rFonts w:eastAsiaTheme="minorEastAsia"/>
          <w:sz w:val="24"/>
        </w:rPr>
        <w:t>。</w:t>
      </w:r>
    </w:p>
    <w:p w:rsidR="000D2D13" w:rsidRPr="00FC1444" w:rsidRDefault="003F09B6" w:rsidP="00C157F1">
      <w:pPr>
        <w:pStyle w:val="aff4"/>
        <w:adjustRightInd/>
        <w:snapToGrid/>
        <w:rPr>
          <w:rFonts w:ascii="Times New Roman" w:hAnsi="Times New Roman" w:cs="Times New Roman"/>
        </w:rPr>
      </w:pPr>
      <w:r w:rsidRPr="00FC1444">
        <w:rPr>
          <w:rFonts w:ascii="Times New Roman" w:hAnsi="Times New Roman" w:cs="Times New Roman"/>
        </w:rPr>
        <w:t>本项目建设前，渠系渗漏、格田高低不平，灌水深浅不均，高处缺水脱肥、低处积水肥料随渗流、退水流失，为保证作物长势，农户普遍超量追肥弥补肥料流失。本项目建成后，采取</w:t>
      </w:r>
      <w:r w:rsidRPr="00FC1444">
        <w:rPr>
          <w:rFonts w:ascii="Times New Roman" w:hAnsi="Times New Roman" w:cs="Times New Roman"/>
        </w:rPr>
        <w:t>“</w:t>
      </w:r>
      <w:r w:rsidRPr="00FC1444">
        <w:rPr>
          <w:rFonts w:ascii="Times New Roman" w:hAnsi="Times New Roman" w:cs="Times New Roman"/>
        </w:rPr>
        <w:t>三减</w:t>
      </w:r>
      <w:r w:rsidRPr="00FC1444">
        <w:rPr>
          <w:rFonts w:ascii="Times New Roman" w:hAnsi="Times New Roman" w:cs="Times New Roman"/>
        </w:rPr>
        <w:t>”</w:t>
      </w:r>
      <w:r w:rsidRPr="00FC1444">
        <w:rPr>
          <w:rFonts w:ascii="Times New Roman" w:hAnsi="Times New Roman" w:cs="Times New Roman"/>
        </w:rPr>
        <w:t>措施，进行土地平整，格田水深均匀，肥料在田间均匀分布，无局部脱肥，基础施肥量下调，防渗渠、配套闸阀减少输水渗漏，田间无大量冗余排水，田间排水量减少，化肥滞留土壤供作物吸收，氮磷利用率提升，氮磷随田间退水流失量大幅降低，保水能力增强，土壤水肥滞留时间延长，根系吸收利用率上升，同等产量下化肥总投入减少</w:t>
      </w:r>
      <w:r w:rsidR="00C157F1" w:rsidRPr="00FC1444">
        <w:rPr>
          <w:rFonts w:ascii="Times New Roman" w:hAnsi="Times New Roman" w:cs="Times New Roman"/>
        </w:rPr>
        <w:t>。</w:t>
      </w:r>
    </w:p>
    <w:p w:rsidR="002A5A5E" w:rsidRPr="00FC1444" w:rsidRDefault="00611CBA">
      <w:pPr>
        <w:contextualSpacing/>
        <w:jc w:val="center"/>
        <w:rPr>
          <w:rFonts w:eastAsiaTheme="minorEastAsia"/>
          <w:b/>
          <w:szCs w:val="21"/>
        </w:rPr>
      </w:pPr>
      <w:r w:rsidRPr="00FC1444">
        <w:rPr>
          <w:rFonts w:eastAsiaTheme="minorEastAsia"/>
          <w:b/>
          <w:szCs w:val="21"/>
        </w:rPr>
        <w:t>表</w:t>
      </w:r>
      <w:r w:rsidRPr="00FC1444">
        <w:rPr>
          <w:rFonts w:eastAsiaTheme="minorEastAsia"/>
          <w:b/>
          <w:szCs w:val="21"/>
        </w:rPr>
        <w:t>5-2-1</w:t>
      </w:r>
      <w:r w:rsidRPr="00FC1444">
        <w:rPr>
          <w:rFonts w:eastAsiaTheme="minorEastAsia"/>
          <w:b/>
          <w:szCs w:val="21"/>
        </w:rPr>
        <w:t>排水分区退水量</w:t>
      </w:r>
      <w:r w:rsidR="00A717E1" w:rsidRPr="00FC1444">
        <w:rPr>
          <w:rFonts w:eastAsiaTheme="minorEastAsia"/>
          <w:b/>
          <w:szCs w:val="21"/>
        </w:rPr>
        <w:t>变化</w:t>
      </w:r>
      <w:r w:rsidRPr="00FC1444">
        <w:rPr>
          <w:rFonts w:eastAsiaTheme="minorEastAsia"/>
          <w:b/>
          <w:szCs w:val="21"/>
        </w:rPr>
        <w:t>情况</w:t>
      </w:r>
      <w:r w:rsidR="00A717E1" w:rsidRPr="00FC1444">
        <w:rPr>
          <w:rFonts w:eastAsiaTheme="minorEastAsia"/>
          <w:b/>
          <w:szCs w:val="21"/>
        </w:rPr>
        <w:t xml:space="preserve">          </w:t>
      </w:r>
      <w:r w:rsidRPr="00FC1444">
        <w:rPr>
          <w:rFonts w:eastAsiaTheme="minorEastAsia"/>
          <w:b/>
          <w:szCs w:val="21"/>
        </w:rPr>
        <w:t>单位：万</w:t>
      </w:r>
      <w:r w:rsidRPr="00FC1444">
        <w:rPr>
          <w:rFonts w:eastAsiaTheme="minorEastAsia"/>
          <w:b/>
          <w:szCs w:val="21"/>
        </w:rPr>
        <w:t>m</w:t>
      </w:r>
      <w:r w:rsidRPr="00FC1444">
        <w:rPr>
          <w:rFonts w:eastAsiaTheme="minorEastAsia"/>
          <w:b/>
          <w:szCs w:val="21"/>
          <w:vertAlign w:val="superscript"/>
        </w:rPr>
        <w:t>3</w:t>
      </w:r>
      <w:r w:rsidRPr="00FC1444">
        <w:rPr>
          <w:rFonts w:eastAsiaTheme="minorEastAsia"/>
          <w:b/>
          <w:bCs/>
          <w:szCs w:val="21"/>
        </w:rPr>
        <w:t>/a</w:t>
      </w:r>
    </w:p>
    <w:tbl>
      <w:tblPr>
        <w:tblStyle w:val="afc"/>
        <w:tblW w:w="4951" w:type="pct"/>
        <w:tblBorders>
          <w:top w:val="single" w:sz="12" w:space="0" w:color="auto"/>
          <w:left w:val="none" w:sz="0" w:space="0" w:color="auto"/>
          <w:bottom w:val="single" w:sz="12" w:space="0" w:color="auto"/>
          <w:right w:val="none" w:sz="0" w:space="0" w:color="auto"/>
        </w:tblBorders>
        <w:tblLook w:val="04A0"/>
      </w:tblPr>
      <w:tblGrid>
        <w:gridCol w:w="1240"/>
        <w:gridCol w:w="884"/>
        <w:gridCol w:w="916"/>
        <w:gridCol w:w="1105"/>
        <w:gridCol w:w="991"/>
        <w:gridCol w:w="991"/>
        <w:gridCol w:w="996"/>
        <w:gridCol w:w="1315"/>
      </w:tblGrid>
      <w:tr w:rsidR="00C341EA" w:rsidRPr="00FC1444" w:rsidTr="00C12A06">
        <w:trPr>
          <w:trHeight w:val="1170"/>
        </w:trPr>
        <w:tc>
          <w:tcPr>
            <w:tcW w:w="735" w:type="pct"/>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灌区</w:t>
            </w:r>
          </w:p>
        </w:tc>
        <w:tc>
          <w:tcPr>
            <w:tcW w:w="524" w:type="pct"/>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总用水量</w:t>
            </w:r>
          </w:p>
        </w:tc>
        <w:tc>
          <w:tcPr>
            <w:tcW w:w="543" w:type="pct"/>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总退水量</w:t>
            </w:r>
          </w:p>
        </w:tc>
        <w:tc>
          <w:tcPr>
            <w:tcW w:w="655" w:type="pct"/>
            <w:vAlign w:val="center"/>
          </w:tcPr>
          <w:p w:rsidR="00C341EA" w:rsidRPr="00FC1444" w:rsidRDefault="00C341EA" w:rsidP="00C12A06">
            <w:pPr>
              <w:jc w:val="center"/>
              <w:rPr>
                <w:rFonts w:eastAsiaTheme="minorEastAsia"/>
                <w:kern w:val="0"/>
                <w:szCs w:val="21"/>
              </w:rPr>
            </w:pPr>
            <w:r w:rsidRPr="00FC1444">
              <w:rPr>
                <w:rFonts w:eastAsiaTheme="minorEastAsia"/>
                <w:bCs/>
                <w:kern w:val="0"/>
                <w:szCs w:val="21"/>
              </w:rPr>
              <w:t>入津河</w:t>
            </w:r>
            <w:r w:rsidRPr="00FC1444">
              <w:rPr>
                <w:rFonts w:eastAsiaTheme="minorEastAsia"/>
                <w:kern w:val="0"/>
                <w:szCs w:val="21"/>
              </w:rPr>
              <w:t>退水口（</w:t>
            </w:r>
            <w:r w:rsidRPr="00FC1444">
              <w:rPr>
                <w:rFonts w:eastAsiaTheme="minorEastAsia" w:hint="eastAsia"/>
                <w:kern w:val="0"/>
                <w:szCs w:val="21"/>
              </w:rPr>
              <w:t>津河片区</w:t>
            </w:r>
            <w:r w:rsidRPr="00FC1444">
              <w:rPr>
                <w:rFonts w:eastAsiaTheme="minorEastAsia"/>
                <w:kern w:val="0"/>
                <w:szCs w:val="21"/>
              </w:rPr>
              <w:t>）</w:t>
            </w:r>
          </w:p>
        </w:tc>
        <w:tc>
          <w:tcPr>
            <w:tcW w:w="587" w:type="pct"/>
            <w:vAlign w:val="center"/>
          </w:tcPr>
          <w:p w:rsidR="00C341EA" w:rsidRPr="00FC1444" w:rsidRDefault="00C341EA" w:rsidP="00C12A06">
            <w:pPr>
              <w:jc w:val="center"/>
              <w:rPr>
                <w:rFonts w:eastAsiaTheme="minorEastAsia"/>
                <w:kern w:val="0"/>
                <w:szCs w:val="21"/>
              </w:rPr>
            </w:pPr>
            <w:r w:rsidRPr="00FC1444">
              <w:rPr>
                <w:rFonts w:eastAsiaTheme="minorEastAsia"/>
                <w:bCs/>
                <w:kern w:val="0"/>
                <w:szCs w:val="21"/>
              </w:rPr>
              <w:t>入努敏河</w:t>
            </w:r>
            <w:r w:rsidRPr="00FC1444">
              <w:rPr>
                <w:rFonts w:eastAsiaTheme="minorEastAsia"/>
                <w:kern w:val="0"/>
                <w:szCs w:val="21"/>
              </w:rPr>
              <w:t>退水口（</w:t>
            </w:r>
            <w:r w:rsidRPr="00FC1444">
              <w:rPr>
                <w:rFonts w:eastAsiaTheme="minorEastAsia" w:hint="eastAsia"/>
                <w:kern w:val="0"/>
                <w:szCs w:val="21"/>
              </w:rPr>
              <w:t>三河片区</w:t>
            </w:r>
            <w:r w:rsidRPr="00FC1444">
              <w:rPr>
                <w:rFonts w:eastAsiaTheme="minorEastAsia"/>
                <w:kern w:val="0"/>
                <w:szCs w:val="21"/>
              </w:rPr>
              <w:t>）</w:t>
            </w:r>
          </w:p>
        </w:tc>
        <w:tc>
          <w:tcPr>
            <w:tcW w:w="587" w:type="pct"/>
            <w:vAlign w:val="center"/>
          </w:tcPr>
          <w:p w:rsidR="00C341EA" w:rsidRPr="00FC1444" w:rsidRDefault="00C341EA" w:rsidP="00C12A06">
            <w:pPr>
              <w:jc w:val="center"/>
              <w:rPr>
                <w:rFonts w:eastAsiaTheme="minorEastAsia"/>
                <w:kern w:val="0"/>
                <w:szCs w:val="21"/>
              </w:rPr>
            </w:pPr>
            <w:r w:rsidRPr="00FC1444">
              <w:rPr>
                <w:rFonts w:eastAsiaTheme="minorEastAsia"/>
                <w:bCs/>
                <w:kern w:val="0"/>
                <w:szCs w:val="21"/>
              </w:rPr>
              <w:t>入呼兰河</w:t>
            </w:r>
            <w:r w:rsidRPr="00FC1444">
              <w:rPr>
                <w:rFonts w:eastAsiaTheme="minorEastAsia"/>
                <w:kern w:val="0"/>
                <w:szCs w:val="21"/>
              </w:rPr>
              <w:t>退水口（</w:t>
            </w:r>
            <w:r w:rsidRPr="00FC1444">
              <w:rPr>
                <w:rFonts w:eastAsiaTheme="minorEastAsia" w:hint="eastAsia"/>
                <w:kern w:val="0"/>
                <w:szCs w:val="21"/>
              </w:rPr>
              <w:t>绥胜片区</w:t>
            </w:r>
            <w:r w:rsidRPr="00FC1444">
              <w:rPr>
                <w:rFonts w:eastAsiaTheme="minorEastAsia"/>
                <w:kern w:val="0"/>
                <w:szCs w:val="21"/>
              </w:rPr>
              <w:t>）</w:t>
            </w:r>
          </w:p>
        </w:tc>
        <w:tc>
          <w:tcPr>
            <w:tcW w:w="590" w:type="pct"/>
            <w:vAlign w:val="center"/>
          </w:tcPr>
          <w:p w:rsidR="00C341EA" w:rsidRPr="00FC1444" w:rsidRDefault="00C341EA" w:rsidP="00C12A06">
            <w:pPr>
              <w:jc w:val="center"/>
              <w:rPr>
                <w:rFonts w:eastAsiaTheme="minorEastAsia"/>
                <w:kern w:val="0"/>
                <w:szCs w:val="21"/>
              </w:rPr>
            </w:pPr>
            <w:r w:rsidRPr="00FC1444">
              <w:rPr>
                <w:rFonts w:eastAsiaTheme="minorEastAsia"/>
                <w:bCs/>
                <w:kern w:val="0"/>
                <w:szCs w:val="21"/>
              </w:rPr>
              <w:t>入呼兰河</w:t>
            </w:r>
            <w:r w:rsidRPr="00FC1444">
              <w:rPr>
                <w:rFonts w:eastAsiaTheme="minorEastAsia"/>
                <w:kern w:val="0"/>
                <w:szCs w:val="21"/>
              </w:rPr>
              <w:t>退水口（</w:t>
            </w:r>
            <w:r w:rsidRPr="00FC1444">
              <w:rPr>
                <w:rFonts w:eastAsiaTheme="minorEastAsia" w:hint="eastAsia"/>
                <w:kern w:val="0"/>
                <w:szCs w:val="21"/>
              </w:rPr>
              <w:t>五营片区</w:t>
            </w:r>
            <w:r w:rsidRPr="00FC1444">
              <w:rPr>
                <w:rFonts w:eastAsiaTheme="minorEastAsia"/>
                <w:kern w:val="0"/>
                <w:szCs w:val="21"/>
              </w:rPr>
              <w:t>）</w:t>
            </w:r>
          </w:p>
        </w:tc>
        <w:tc>
          <w:tcPr>
            <w:tcW w:w="779" w:type="pct"/>
            <w:vAlign w:val="center"/>
          </w:tcPr>
          <w:p w:rsidR="00C341EA" w:rsidRPr="00FC1444" w:rsidRDefault="00C341EA" w:rsidP="00C12A06">
            <w:pPr>
              <w:jc w:val="center"/>
              <w:rPr>
                <w:rFonts w:eastAsiaTheme="minorEastAsia"/>
                <w:kern w:val="0"/>
                <w:szCs w:val="21"/>
              </w:rPr>
            </w:pPr>
            <w:r w:rsidRPr="00FC1444">
              <w:rPr>
                <w:rFonts w:eastAsiaTheme="minorEastAsia"/>
                <w:bCs/>
                <w:kern w:val="0"/>
                <w:szCs w:val="21"/>
              </w:rPr>
              <w:t>呼兰河</w:t>
            </w:r>
            <w:r w:rsidRPr="00FC1444">
              <w:rPr>
                <w:rFonts w:eastAsiaTheme="minorEastAsia"/>
                <w:kern w:val="0"/>
                <w:szCs w:val="21"/>
              </w:rPr>
              <w:t>合计退水量</w:t>
            </w:r>
          </w:p>
        </w:tc>
      </w:tr>
      <w:tr w:rsidR="00C341EA" w:rsidRPr="00FC1444" w:rsidTr="00C12A06">
        <w:trPr>
          <w:trHeight w:val="468"/>
        </w:trPr>
        <w:tc>
          <w:tcPr>
            <w:tcW w:w="735" w:type="pct"/>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建成前</w:t>
            </w:r>
          </w:p>
        </w:tc>
        <w:tc>
          <w:tcPr>
            <w:tcW w:w="524" w:type="pct"/>
            <w:vAlign w:val="center"/>
          </w:tcPr>
          <w:p w:rsidR="00C341EA" w:rsidRPr="00FC1444" w:rsidRDefault="00C341EA" w:rsidP="00C12A06">
            <w:pPr>
              <w:jc w:val="center"/>
              <w:rPr>
                <w:color w:val="000000"/>
                <w:szCs w:val="21"/>
              </w:rPr>
            </w:pPr>
            <w:r w:rsidRPr="00FC1444">
              <w:rPr>
                <w:color w:val="000000"/>
                <w:szCs w:val="21"/>
              </w:rPr>
              <w:t>6274.6</w:t>
            </w:r>
          </w:p>
        </w:tc>
        <w:tc>
          <w:tcPr>
            <w:tcW w:w="543" w:type="pct"/>
            <w:vAlign w:val="center"/>
          </w:tcPr>
          <w:p w:rsidR="00C341EA" w:rsidRPr="00FC1444" w:rsidRDefault="00C341EA" w:rsidP="00C12A06">
            <w:pPr>
              <w:jc w:val="center"/>
              <w:rPr>
                <w:szCs w:val="21"/>
              </w:rPr>
            </w:pPr>
            <w:r w:rsidRPr="00FC1444">
              <w:rPr>
                <w:szCs w:val="21"/>
              </w:rPr>
              <w:t>1255</w:t>
            </w:r>
          </w:p>
        </w:tc>
        <w:tc>
          <w:tcPr>
            <w:tcW w:w="655" w:type="pct"/>
            <w:vAlign w:val="center"/>
          </w:tcPr>
          <w:p w:rsidR="00C341EA" w:rsidRPr="00FC1444" w:rsidRDefault="00C341EA" w:rsidP="00C12A06">
            <w:pPr>
              <w:jc w:val="center"/>
              <w:rPr>
                <w:color w:val="000000"/>
                <w:szCs w:val="21"/>
              </w:rPr>
            </w:pPr>
            <w:r w:rsidRPr="00FC1444">
              <w:rPr>
                <w:color w:val="000000"/>
                <w:szCs w:val="21"/>
              </w:rPr>
              <w:t xml:space="preserve">210.8 </w:t>
            </w:r>
          </w:p>
        </w:tc>
        <w:tc>
          <w:tcPr>
            <w:tcW w:w="587" w:type="pct"/>
            <w:vAlign w:val="center"/>
          </w:tcPr>
          <w:p w:rsidR="00C341EA" w:rsidRPr="00FC1444" w:rsidRDefault="00C341EA" w:rsidP="00C12A06">
            <w:pPr>
              <w:jc w:val="center"/>
              <w:rPr>
                <w:color w:val="000000"/>
                <w:szCs w:val="21"/>
              </w:rPr>
            </w:pPr>
            <w:r w:rsidRPr="00FC1444">
              <w:rPr>
                <w:color w:val="000000"/>
                <w:szCs w:val="21"/>
              </w:rPr>
              <w:t xml:space="preserve">287.4 </w:t>
            </w:r>
          </w:p>
        </w:tc>
        <w:tc>
          <w:tcPr>
            <w:tcW w:w="587" w:type="pct"/>
            <w:vAlign w:val="center"/>
          </w:tcPr>
          <w:p w:rsidR="00C341EA" w:rsidRPr="00FC1444" w:rsidRDefault="00C341EA" w:rsidP="00C12A06">
            <w:pPr>
              <w:jc w:val="center"/>
              <w:rPr>
                <w:color w:val="000000"/>
                <w:szCs w:val="21"/>
              </w:rPr>
            </w:pPr>
            <w:r w:rsidRPr="00FC1444">
              <w:rPr>
                <w:color w:val="000000"/>
                <w:szCs w:val="21"/>
              </w:rPr>
              <w:t xml:space="preserve">82.8 </w:t>
            </w:r>
          </w:p>
        </w:tc>
        <w:tc>
          <w:tcPr>
            <w:tcW w:w="590" w:type="pct"/>
            <w:vAlign w:val="center"/>
          </w:tcPr>
          <w:p w:rsidR="00C341EA" w:rsidRPr="00FC1444" w:rsidRDefault="00C341EA" w:rsidP="00C12A06">
            <w:pPr>
              <w:jc w:val="center"/>
              <w:rPr>
                <w:color w:val="000000"/>
                <w:szCs w:val="21"/>
              </w:rPr>
            </w:pPr>
            <w:r w:rsidRPr="00FC1444">
              <w:rPr>
                <w:color w:val="000000"/>
                <w:szCs w:val="21"/>
              </w:rPr>
              <w:t xml:space="preserve">673.9 </w:t>
            </w:r>
          </w:p>
        </w:tc>
        <w:tc>
          <w:tcPr>
            <w:tcW w:w="779" w:type="pct"/>
            <w:vAlign w:val="center"/>
          </w:tcPr>
          <w:p w:rsidR="00C341EA" w:rsidRPr="00FC1444" w:rsidRDefault="00C341EA" w:rsidP="00C12A06">
            <w:pPr>
              <w:jc w:val="center"/>
              <w:rPr>
                <w:color w:val="000000"/>
                <w:szCs w:val="21"/>
              </w:rPr>
            </w:pPr>
            <w:r w:rsidRPr="00FC1444">
              <w:rPr>
                <w:rFonts w:hint="eastAsia"/>
                <w:color w:val="000000"/>
                <w:szCs w:val="21"/>
              </w:rPr>
              <w:t>756.8</w:t>
            </w:r>
          </w:p>
        </w:tc>
      </w:tr>
      <w:tr w:rsidR="00C341EA" w:rsidRPr="00FC1444" w:rsidTr="00C12A06">
        <w:trPr>
          <w:trHeight w:val="515"/>
        </w:trPr>
        <w:tc>
          <w:tcPr>
            <w:tcW w:w="735" w:type="pct"/>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建成后</w:t>
            </w:r>
          </w:p>
        </w:tc>
        <w:tc>
          <w:tcPr>
            <w:tcW w:w="524" w:type="pct"/>
            <w:vAlign w:val="center"/>
          </w:tcPr>
          <w:p w:rsidR="00C341EA" w:rsidRPr="00FC1444" w:rsidRDefault="00C341EA" w:rsidP="00C12A06">
            <w:pPr>
              <w:jc w:val="center"/>
              <w:rPr>
                <w:color w:val="000000"/>
                <w:szCs w:val="21"/>
              </w:rPr>
            </w:pPr>
            <w:r w:rsidRPr="00FC1444">
              <w:rPr>
                <w:color w:val="000000"/>
                <w:szCs w:val="21"/>
              </w:rPr>
              <w:t>5496</w:t>
            </w:r>
          </w:p>
        </w:tc>
        <w:tc>
          <w:tcPr>
            <w:tcW w:w="543" w:type="pct"/>
            <w:vAlign w:val="center"/>
          </w:tcPr>
          <w:p w:rsidR="00C341EA" w:rsidRPr="00FC1444" w:rsidRDefault="00C341EA" w:rsidP="00C12A06">
            <w:pPr>
              <w:jc w:val="center"/>
              <w:rPr>
                <w:szCs w:val="21"/>
              </w:rPr>
            </w:pPr>
            <w:r w:rsidRPr="00FC1444">
              <w:rPr>
                <w:szCs w:val="21"/>
              </w:rPr>
              <w:t>824</w:t>
            </w:r>
          </w:p>
        </w:tc>
        <w:tc>
          <w:tcPr>
            <w:tcW w:w="655" w:type="pct"/>
            <w:vAlign w:val="center"/>
          </w:tcPr>
          <w:p w:rsidR="00C341EA" w:rsidRPr="00FC1444" w:rsidRDefault="00C341EA" w:rsidP="00C12A06">
            <w:pPr>
              <w:jc w:val="center"/>
              <w:rPr>
                <w:color w:val="000000"/>
                <w:szCs w:val="21"/>
              </w:rPr>
            </w:pPr>
            <w:r w:rsidRPr="00FC1444">
              <w:rPr>
                <w:color w:val="000000"/>
                <w:szCs w:val="21"/>
              </w:rPr>
              <w:t xml:space="preserve">138.4 </w:t>
            </w:r>
          </w:p>
        </w:tc>
        <w:tc>
          <w:tcPr>
            <w:tcW w:w="587" w:type="pct"/>
            <w:vAlign w:val="center"/>
          </w:tcPr>
          <w:p w:rsidR="00C341EA" w:rsidRPr="00FC1444" w:rsidRDefault="00C341EA" w:rsidP="00C12A06">
            <w:pPr>
              <w:jc w:val="center"/>
              <w:rPr>
                <w:color w:val="000000"/>
                <w:szCs w:val="21"/>
              </w:rPr>
            </w:pPr>
            <w:r w:rsidRPr="00FC1444">
              <w:rPr>
                <w:color w:val="000000"/>
                <w:szCs w:val="21"/>
              </w:rPr>
              <w:t xml:space="preserve">188.7 </w:t>
            </w:r>
          </w:p>
        </w:tc>
        <w:tc>
          <w:tcPr>
            <w:tcW w:w="587" w:type="pct"/>
            <w:vAlign w:val="center"/>
          </w:tcPr>
          <w:p w:rsidR="00C341EA" w:rsidRPr="00FC1444" w:rsidRDefault="00C341EA" w:rsidP="00C12A06">
            <w:pPr>
              <w:jc w:val="center"/>
              <w:rPr>
                <w:color w:val="000000"/>
                <w:szCs w:val="21"/>
              </w:rPr>
            </w:pPr>
            <w:r w:rsidRPr="00FC1444">
              <w:rPr>
                <w:color w:val="000000"/>
                <w:szCs w:val="21"/>
              </w:rPr>
              <w:t xml:space="preserve">54.4 </w:t>
            </w:r>
          </w:p>
        </w:tc>
        <w:tc>
          <w:tcPr>
            <w:tcW w:w="590" w:type="pct"/>
            <w:vAlign w:val="center"/>
          </w:tcPr>
          <w:p w:rsidR="00C341EA" w:rsidRPr="00FC1444" w:rsidRDefault="00C341EA" w:rsidP="00C12A06">
            <w:pPr>
              <w:jc w:val="center"/>
              <w:rPr>
                <w:color w:val="000000"/>
                <w:szCs w:val="21"/>
              </w:rPr>
            </w:pPr>
            <w:r w:rsidRPr="00FC1444">
              <w:rPr>
                <w:color w:val="000000"/>
                <w:szCs w:val="21"/>
              </w:rPr>
              <w:t xml:space="preserve">442.5 </w:t>
            </w:r>
          </w:p>
        </w:tc>
        <w:tc>
          <w:tcPr>
            <w:tcW w:w="779" w:type="pct"/>
            <w:vAlign w:val="center"/>
          </w:tcPr>
          <w:p w:rsidR="00C341EA" w:rsidRPr="00FC1444" w:rsidRDefault="00C341EA" w:rsidP="00C12A06">
            <w:pPr>
              <w:jc w:val="center"/>
              <w:rPr>
                <w:color w:val="000000"/>
                <w:szCs w:val="21"/>
              </w:rPr>
            </w:pPr>
            <w:r w:rsidRPr="00FC1444">
              <w:rPr>
                <w:rFonts w:hint="eastAsia"/>
                <w:color w:val="000000"/>
                <w:szCs w:val="21"/>
              </w:rPr>
              <w:t>496.9</w:t>
            </w:r>
          </w:p>
        </w:tc>
      </w:tr>
      <w:tr w:rsidR="00C341EA" w:rsidRPr="00FC1444" w:rsidTr="00C12A06">
        <w:trPr>
          <w:trHeight w:val="528"/>
        </w:trPr>
        <w:tc>
          <w:tcPr>
            <w:tcW w:w="735" w:type="pct"/>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变化量</w:t>
            </w:r>
          </w:p>
        </w:tc>
        <w:tc>
          <w:tcPr>
            <w:tcW w:w="524" w:type="pct"/>
            <w:vAlign w:val="center"/>
          </w:tcPr>
          <w:p w:rsidR="00C341EA" w:rsidRPr="00FC1444" w:rsidRDefault="00C341EA" w:rsidP="00C12A06">
            <w:pPr>
              <w:jc w:val="center"/>
              <w:rPr>
                <w:szCs w:val="21"/>
              </w:rPr>
            </w:pPr>
            <w:r w:rsidRPr="00FC1444">
              <w:rPr>
                <w:rFonts w:hint="eastAsia"/>
                <w:szCs w:val="21"/>
              </w:rPr>
              <w:t>-778.6</w:t>
            </w:r>
          </w:p>
        </w:tc>
        <w:tc>
          <w:tcPr>
            <w:tcW w:w="543" w:type="pct"/>
            <w:vAlign w:val="center"/>
          </w:tcPr>
          <w:p w:rsidR="00C341EA" w:rsidRPr="00FC1444" w:rsidRDefault="00C341EA" w:rsidP="00C12A06">
            <w:pPr>
              <w:jc w:val="center"/>
              <w:rPr>
                <w:szCs w:val="21"/>
              </w:rPr>
            </w:pPr>
            <w:r w:rsidRPr="00FC1444">
              <w:rPr>
                <w:rFonts w:hint="eastAsia"/>
                <w:szCs w:val="21"/>
              </w:rPr>
              <w:t>-431</w:t>
            </w:r>
          </w:p>
        </w:tc>
        <w:tc>
          <w:tcPr>
            <w:tcW w:w="655" w:type="pct"/>
            <w:vAlign w:val="center"/>
          </w:tcPr>
          <w:p w:rsidR="00C341EA" w:rsidRPr="00FC1444" w:rsidRDefault="00C341EA" w:rsidP="00C12A06">
            <w:pPr>
              <w:jc w:val="center"/>
              <w:rPr>
                <w:rFonts w:eastAsiaTheme="minorEastAsia"/>
                <w:kern w:val="0"/>
                <w:szCs w:val="21"/>
              </w:rPr>
            </w:pPr>
            <w:r w:rsidRPr="00FC1444">
              <w:rPr>
                <w:rFonts w:eastAsiaTheme="minorEastAsia" w:hint="eastAsia"/>
                <w:kern w:val="0"/>
                <w:szCs w:val="21"/>
              </w:rPr>
              <w:t>-72.4</w:t>
            </w:r>
          </w:p>
        </w:tc>
        <w:tc>
          <w:tcPr>
            <w:tcW w:w="587" w:type="pct"/>
            <w:vAlign w:val="center"/>
          </w:tcPr>
          <w:p w:rsidR="00C341EA" w:rsidRPr="00FC1444" w:rsidRDefault="00C341EA" w:rsidP="00C12A06">
            <w:pPr>
              <w:jc w:val="center"/>
              <w:rPr>
                <w:rFonts w:eastAsiaTheme="minorEastAsia"/>
                <w:kern w:val="0"/>
                <w:szCs w:val="21"/>
              </w:rPr>
            </w:pPr>
            <w:r w:rsidRPr="00FC1444">
              <w:rPr>
                <w:rFonts w:eastAsiaTheme="minorEastAsia" w:hint="eastAsia"/>
                <w:kern w:val="0"/>
                <w:szCs w:val="21"/>
              </w:rPr>
              <w:t>-98.7</w:t>
            </w:r>
          </w:p>
        </w:tc>
        <w:tc>
          <w:tcPr>
            <w:tcW w:w="587" w:type="pct"/>
            <w:vAlign w:val="center"/>
          </w:tcPr>
          <w:p w:rsidR="00C341EA" w:rsidRPr="00FC1444" w:rsidRDefault="00C341EA" w:rsidP="00C12A06">
            <w:pPr>
              <w:jc w:val="center"/>
              <w:rPr>
                <w:rFonts w:eastAsiaTheme="minorEastAsia"/>
                <w:kern w:val="0"/>
                <w:szCs w:val="21"/>
              </w:rPr>
            </w:pPr>
            <w:r w:rsidRPr="00FC1444">
              <w:rPr>
                <w:rFonts w:eastAsiaTheme="minorEastAsia" w:hint="eastAsia"/>
                <w:kern w:val="0"/>
                <w:szCs w:val="21"/>
              </w:rPr>
              <w:t>-28.4</w:t>
            </w:r>
          </w:p>
        </w:tc>
        <w:tc>
          <w:tcPr>
            <w:tcW w:w="590" w:type="pct"/>
            <w:vAlign w:val="center"/>
          </w:tcPr>
          <w:p w:rsidR="00C341EA" w:rsidRPr="00FC1444" w:rsidRDefault="00C341EA" w:rsidP="00C12A06">
            <w:pPr>
              <w:jc w:val="center"/>
              <w:rPr>
                <w:rFonts w:eastAsiaTheme="minorEastAsia"/>
                <w:kern w:val="0"/>
                <w:szCs w:val="21"/>
              </w:rPr>
            </w:pPr>
            <w:r w:rsidRPr="00FC1444">
              <w:rPr>
                <w:rFonts w:eastAsiaTheme="minorEastAsia" w:hint="eastAsia"/>
                <w:kern w:val="0"/>
                <w:szCs w:val="21"/>
              </w:rPr>
              <w:t>-231.4</w:t>
            </w:r>
          </w:p>
        </w:tc>
        <w:tc>
          <w:tcPr>
            <w:tcW w:w="779" w:type="pct"/>
            <w:vAlign w:val="center"/>
          </w:tcPr>
          <w:p w:rsidR="00C341EA" w:rsidRPr="00FC1444" w:rsidRDefault="00C341EA" w:rsidP="00C12A06">
            <w:pPr>
              <w:jc w:val="center"/>
              <w:rPr>
                <w:rFonts w:eastAsiaTheme="minorEastAsia"/>
                <w:kern w:val="0"/>
                <w:szCs w:val="21"/>
              </w:rPr>
            </w:pPr>
            <w:r w:rsidRPr="00FC1444">
              <w:rPr>
                <w:rFonts w:eastAsiaTheme="minorEastAsia" w:hint="eastAsia"/>
                <w:kern w:val="0"/>
                <w:szCs w:val="21"/>
              </w:rPr>
              <w:t>-259.9</w:t>
            </w:r>
          </w:p>
        </w:tc>
      </w:tr>
    </w:tbl>
    <w:p w:rsidR="002A5A5E" w:rsidRPr="00FC1444" w:rsidRDefault="00611CBA">
      <w:pPr>
        <w:pStyle w:val="aff4"/>
        <w:rPr>
          <w:rFonts w:ascii="Times New Roman" w:hAnsi="Times New Roman" w:cs="Times New Roman"/>
          <w:bCs/>
          <w:snapToGrid w:val="0"/>
        </w:rPr>
      </w:pPr>
      <w:r w:rsidRPr="00FC1444">
        <w:rPr>
          <w:rFonts w:ascii="Times New Roman" w:hAnsi="Times New Roman" w:cs="Times New Roman"/>
          <w:bCs/>
          <w:snapToGrid w:val="0"/>
        </w:rPr>
        <w:t>参考《黑龙江省五常市龙凤山灌区</w:t>
      </w:r>
      <w:r w:rsidRPr="00FC1444">
        <w:rPr>
          <w:rFonts w:ascii="Times New Roman" w:hAnsi="Times New Roman" w:cs="Times New Roman"/>
          <w:bCs/>
          <w:snapToGrid w:val="0"/>
        </w:rPr>
        <w:t>“</w:t>
      </w:r>
      <w:r w:rsidRPr="00FC1444">
        <w:rPr>
          <w:rFonts w:ascii="Times New Roman" w:hAnsi="Times New Roman" w:cs="Times New Roman"/>
          <w:bCs/>
          <w:snapToGrid w:val="0"/>
        </w:rPr>
        <w:t>十四五</w:t>
      </w:r>
      <w:r w:rsidRPr="00FC1444">
        <w:rPr>
          <w:rFonts w:ascii="Times New Roman" w:hAnsi="Times New Roman" w:cs="Times New Roman"/>
          <w:bCs/>
          <w:snapToGrid w:val="0"/>
        </w:rPr>
        <w:t>”</w:t>
      </w:r>
      <w:r w:rsidRPr="00FC1444">
        <w:rPr>
          <w:rFonts w:ascii="Times New Roman" w:hAnsi="Times New Roman" w:cs="Times New Roman"/>
          <w:bCs/>
          <w:snapToGrid w:val="0"/>
        </w:rPr>
        <w:t>续建配套与现代化改造项目（</w:t>
      </w:r>
      <w:r w:rsidRPr="00FC1444">
        <w:rPr>
          <w:rFonts w:ascii="Times New Roman" w:hAnsi="Times New Roman" w:cs="Times New Roman"/>
          <w:bCs/>
          <w:snapToGrid w:val="0"/>
        </w:rPr>
        <w:t>2022-2025</w:t>
      </w:r>
      <w:r w:rsidRPr="00FC1444">
        <w:rPr>
          <w:rFonts w:ascii="Times New Roman" w:hAnsi="Times New Roman" w:cs="Times New Roman"/>
          <w:bCs/>
          <w:snapToGrid w:val="0"/>
        </w:rPr>
        <w:t>年度）环境影响报告书》中于</w:t>
      </w:r>
      <w:r w:rsidRPr="00FC1444">
        <w:rPr>
          <w:rFonts w:ascii="Times New Roman" w:hAnsi="Times New Roman" w:cs="Times New Roman"/>
          <w:bCs/>
          <w:snapToGrid w:val="0"/>
        </w:rPr>
        <w:t>2024</w:t>
      </w:r>
      <w:r w:rsidRPr="00FC1444">
        <w:rPr>
          <w:rFonts w:ascii="Times New Roman" w:hAnsi="Times New Roman" w:cs="Times New Roman"/>
          <w:bCs/>
          <w:snapToGrid w:val="0"/>
        </w:rPr>
        <w:t>年对</w:t>
      </w:r>
      <w:r w:rsidR="00967D9B" w:rsidRPr="00FC1444">
        <w:rPr>
          <w:rFonts w:ascii="Times New Roman" w:hAnsi="Times New Roman" w:cs="Times New Roman"/>
          <w:bCs/>
          <w:snapToGrid w:val="0"/>
        </w:rPr>
        <w:t>该</w:t>
      </w:r>
      <w:r w:rsidRPr="00FC1444">
        <w:rPr>
          <w:rFonts w:ascii="Times New Roman" w:hAnsi="Times New Roman" w:cs="Times New Roman"/>
          <w:bCs/>
          <w:snapToGrid w:val="0"/>
        </w:rPr>
        <w:t>项目退水期间的水质监测</w:t>
      </w:r>
      <w:r w:rsidRPr="00FC1444">
        <w:rPr>
          <w:rFonts w:ascii="Times New Roman" w:hAnsi="Times New Roman" w:cs="Times New Roman"/>
          <w:bCs/>
          <w:snapToGrid w:val="0"/>
        </w:rPr>
        <w:lastRenderedPageBreak/>
        <w:t>资料，</w:t>
      </w:r>
      <w:r w:rsidRPr="00FC1444">
        <w:rPr>
          <w:rFonts w:ascii="Times New Roman" w:hAnsi="Times New Roman" w:cs="Times New Roman"/>
          <w:bCs/>
          <w:snapToGrid w:val="0"/>
        </w:rPr>
        <w:t>COD</w:t>
      </w:r>
      <w:r w:rsidRPr="00FC1444">
        <w:rPr>
          <w:rFonts w:ascii="Times New Roman" w:hAnsi="Times New Roman" w:cs="Times New Roman"/>
          <w:bCs/>
          <w:snapToGrid w:val="0"/>
        </w:rPr>
        <w:t>和氨氮排水浓度分别为</w:t>
      </w:r>
      <w:r w:rsidRPr="00FC1444">
        <w:rPr>
          <w:rFonts w:ascii="Times New Roman" w:hAnsi="Times New Roman" w:cs="Times New Roman"/>
          <w:bCs/>
          <w:snapToGrid w:val="0"/>
        </w:rPr>
        <w:t>52.7mg/L</w:t>
      </w:r>
      <w:r w:rsidRPr="00FC1444">
        <w:rPr>
          <w:rFonts w:ascii="Times New Roman" w:hAnsi="Times New Roman" w:cs="Times New Roman"/>
          <w:bCs/>
          <w:snapToGrid w:val="0"/>
        </w:rPr>
        <w:t>和</w:t>
      </w:r>
      <w:r w:rsidRPr="00FC1444">
        <w:rPr>
          <w:rFonts w:ascii="Times New Roman" w:hAnsi="Times New Roman" w:cs="Times New Roman"/>
          <w:bCs/>
          <w:snapToGrid w:val="0"/>
        </w:rPr>
        <w:t>1.26mg/L</w:t>
      </w:r>
      <w:r w:rsidR="0003457C" w:rsidRPr="00FC1444">
        <w:rPr>
          <w:rFonts w:ascii="Times New Roman" w:hAnsi="Times New Roman" w:cs="Times New Roman"/>
          <w:bCs/>
          <w:snapToGrid w:val="0"/>
        </w:rPr>
        <w:t>。参考哈尔滨市呼兰生态环境局</w:t>
      </w:r>
      <w:r w:rsidRPr="00FC1444">
        <w:rPr>
          <w:rFonts w:ascii="Times New Roman" w:hAnsi="Times New Roman" w:cs="Times New Roman"/>
          <w:bCs/>
          <w:snapToGrid w:val="0"/>
        </w:rPr>
        <w:t>于</w:t>
      </w:r>
      <w:r w:rsidRPr="00FC1444">
        <w:rPr>
          <w:rFonts w:ascii="Times New Roman" w:hAnsi="Times New Roman" w:cs="Times New Roman"/>
          <w:bCs/>
          <w:snapToGrid w:val="0"/>
        </w:rPr>
        <w:t>2025</w:t>
      </w:r>
      <w:r w:rsidRPr="00FC1444">
        <w:rPr>
          <w:rFonts w:ascii="Times New Roman" w:hAnsi="Times New Roman" w:cs="Times New Roman"/>
          <w:bCs/>
          <w:snapToGrid w:val="0"/>
        </w:rPr>
        <w:t>年</w:t>
      </w:r>
      <w:r w:rsidRPr="00FC1444">
        <w:rPr>
          <w:rFonts w:ascii="Times New Roman" w:hAnsi="Times New Roman" w:cs="Times New Roman"/>
          <w:bCs/>
          <w:snapToGrid w:val="0"/>
        </w:rPr>
        <w:t>7</w:t>
      </w:r>
      <w:r w:rsidRPr="00FC1444">
        <w:rPr>
          <w:rFonts w:ascii="Times New Roman" w:hAnsi="Times New Roman" w:cs="Times New Roman"/>
          <w:bCs/>
          <w:snapToGrid w:val="0"/>
        </w:rPr>
        <w:t>月对区域孟家乡六排干河口内退水期间的水质监测资料，总磷排水浓度为</w:t>
      </w:r>
      <w:r w:rsidRPr="00FC1444">
        <w:rPr>
          <w:rFonts w:ascii="Times New Roman" w:hAnsi="Times New Roman" w:cs="Times New Roman"/>
          <w:bCs/>
          <w:snapToGrid w:val="0"/>
        </w:rPr>
        <w:t>1.84mg/L</w:t>
      </w:r>
      <w:r w:rsidR="00E03AD9" w:rsidRPr="00FC1444">
        <w:rPr>
          <w:rFonts w:ascii="Times New Roman" w:hAnsi="Times New Roman" w:cs="Times New Roman"/>
          <w:bCs/>
          <w:snapToGrid w:val="0"/>
        </w:rPr>
        <w:t>，总氮排水浓度为</w:t>
      </w:r>
      <w:r w:rsidR="00E03AD9" w:rsidRPr="00FC1444">
        <w:rPr>
          <w:rFonts w:ascii="Times New Roman" w:hAnsi="Times New Roman" w:cs="Times New Roman"/>
          <w:bCs/>
          <w:snapToGrid w:val="0"/>
        </w:rPr>
        <w:t>4.2mg/L</w:t>
      </w:r>
      <w:r w:rsidR="00E03AD9" w:rsidRPr="00FC1444">
        <w:rPr>
          <w:rFonts w:ascii="Times New Roman" w:hAnsi="Times New Roman" w:cs="Times New Roman"/>
          <w:bCs/>
          <w:snapToGrid w:val="0"/>
        </w:rPr>
        <w:t>。</w:t>
      </w:r>
      <w:r w:rsidRPr="00FC1444">
        <w:rPr>
          <w:rFonts w:ascii="Times New Roman" w:hAnsi="Times New Roman" w:cs="Times New Roman"/>
          <w:bCs/>
          <w:snapToGrid w:val="0"/>
        </w:rPr>
        <w:t>计算本项目</w:t>
      </w:r>
      <w:r w:rsidRPr="00FC1444">
        <w:rPr>
          <w:rFonts w:ascii="Times New Roman" w:hAnsi="Times New Roman" w:cs="Times New Roman"/>
          <w:szCs w:val="21"/>
        </w:rPr>
        <w:t>主要污染物入河量变化情况。</w:t>
      </w:r>
    </w:p>
    <w:p w:rsidR="002A5A5E" w:rsidRPr="00FC1444" w:rsidRDefault="00611CBA">
      <w:pPr>
        <w:contextualSpacing/>
        <w:jc w:val="center"/>
        <w:rPr>
          <w:rFonts w:eastAsiaTheme="minorEastAsia"/>
          <w:b/>
          <w:szCs w:val="21"/>
        </w:rPr>
      </w:pPr>
      <w:r w:rsidRPr="00FC1444">
        <w:rPr>
          <w:rFonts w:eastAsiaTheme="minorEastAsia"/>
          <w:b/>
          <w:szCs w:val="21"/>
        </w:rPr>
        <w:t>表</w:t>
      </w:r>
      <w:r w:rsidRPr="00FC1444">
        <w:rPr>
          <w:rFonts w:eastAsiaTheme="minorEastAsia"/>
          <w:b/>
          <w:szCs w:val="21"/>
        </w:rPr>
        <w:t>5-2-2</w:t>
      </w:r>
      <w:r w:rsidRPr="00FC1444">
        <w:rPr>
          <w:rFonts w:eastAsiaTheme="minorEastAsia"/>
          <w:b/>
          <w:szCs w:val="21"/>
        </w:rPr>
        <w:t>不同河流主要污染物入河量变化情况</w:t>
      </w:r>
      <w:r w:rsidRPr="00FC1444">
        <w:rPr>
          <w:rFonts w:eastAsiaTheme="minorEastAsia"/>
          <w:b/>
          <w:szCs w:val="21"/>
        </w:rPr>
        <w:t xml:space="preserve">    </w:t>
      </w:r>
      <w:r w:rsidRPr="00FC1444">
        <w:rPr>
          <w:rFonts w:eastAsiaTheme="minorEastAsia"/>
          <w:b/>
          <w:szCs w:val="21"/>
        </w:rPr>
        <w:t>单位：</w:t>
      </w:r>
      <w:r w:rsidRPr="00FC1444">
        <w:rPr>
          <w:rFonts w:eastAsiaTheme="minorEastAsia"/>
          <w:b/>
          <w:szCs w:val="21"/>
        </w:rPr>
        <w:t>t/a</w:t>
      </w:r>
    </w:p>
    <w:tbl>
      <w:tblPr>
        <w:tblW w:w="5000" w:type="pct"/>
        <w:jc w:val="center"/>
        <w:tblLook w:val="04A0"/>
      </w:tblPr>
      <w:tblGrid>
        <w:gridCol w:w="803"/>
        <w:gridCol w:w="694"/>
        <w:gridCol w:w="621"/>
        <w:gridCol w:w="621"/>
        <w:gridCol w:w="621"/>
        <w:gridCol w:w="694"/>
        <w:gridCol w:w="621"/>
        <w:gridCol w:w="621"/>
        <w:gridCol w:w="621"/>
        <w:gridCol w:w="743"/>
        <w:gridCol w:w="596"/>
        <w:gridCol w:w="596"/>
        <w:gridCol w:w="670"/>
      </w:tblGrid>
      <w:tr w:rsidR="00C341EA" w:rsidRPr="00FC1444" w:rsidTr="00C12A06">
        <w:trPr>
          <w:trHeight w:val="280"/>
          <w:tblHeader/>
          <w:jc w:val="center"/>
        </w:trPr>
        <w:tc>
          <w:tcPr>
            <w:tcW w:w="531" w:type="pct"/>
            <w:vMerge w:val="restart"/>
            <w:tcBorders>
              <w:top w:val="single" w:sz="12" w:space="0" w:color="auto"/>
              <w:left w:val="nil"/>
              <w:bottom w:val="single" w:sz="4" w:space="0" w:color="auto"/>
              <w:right w:val="single" w:sz="4" w:space="0" w:color="auto"/>
            </w:tcBorders>
            <w:noWrap/>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排入河流</w:t>
            </w:r>
          </w:p>
        </w:tc>
        <w:tc>
          <w:tcPr>
            <w:tcW w:w="1672" w:type="pct"/>
            <w:gridSpan w:val="4"/>
            <w:tcBorders>
              <w:top w:val="single" w:sz="12"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建成前</w:t>
            </w:r>
          </w:p>
        </w:tc>
        <w:tc>
          <w:tcPr>
            <w:tcW w:w="1672" w:type="pct"/>
            <w:gridSpan w:val="4"/>
            <w:tcBorders>
              <w:top w:val="single" w:sz="12"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建成后</w:t>
            </w:r>
          </w:p>
        </w:tc>
        <w:tc>
          <w:tcPr>
            <w:tcW w:w="1125" w:type="pct"/>
            <w:gridSpan w:val="4"/>
            <w:tcBorders>
              <w:top w:val="single" w:sz="12" w:space="0" w:color="auto"/>
              <w:left w:val="single" w:sz="4" w:space="0" w:color="auto"/>
              <w:bottom w:val="single" w:sz="4" w:space="0" w:color="auto"/>
              <w:right w:val="nil"/>
            </w:tcBorders>
            <w:noWrap/>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变化情况</w:t>
            </w:r>
          </w:p>
        </w:tc>
      </w:tr>
      <w:tr w:rsidR="00C341EA" w:rsidRPr="00FC1444" w:rsidTr="00C12A06">
        <w:trPr>
          <w:trHeight w:val="280"/>
          <w:tblHeader/>
          <w:jc w:val="center"/>
        </w:trPr>
        <w:tc>
          <w:tcPr>
            <w:tcW w:w="531" w:type="pct"/>
            <w:vMerge/>
            <w:tcBorders>
              <w:top w:val="single" w:sz="4" w:space="0" w:color="auto"/>
              <w:left w:val="nil"/>
              <w:bottom w:val="single" w:sz="4" w:space="0" w:color="auto"/>
              <w:right w:val="single" w:sz="4" w:space="0" w:color="auto"/>
            </w:tcBorders>
            <w:vAlign w:val="center"/>
          </w:tcPr>
          <w:p w:rsidR="00C341EA" w:rsidRPr="00FC1444" w:rsidRDefault="00C341EA" w:rsidP="00C12A06">
            <w:pPr>
              <w:jc w:val="center"/>
              <w:rPr>
                <w:rFonts w:eastAsiaTheme="minorEastAsia"/>
                <w:kern w:val="0"/>
                <w:szCs w:val="21"/>
              </w:rPr>
            </w:pPr>
          </w:p>
        </w:tc>
        <w:tc>
          <w:tcPr>
            <w:tcW w:w="45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COD</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氨氮</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总磷</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总氮</w:t>
            </w:r>
          </w:p>
        </w:tc>
        <w:tc>
          <w:tcPr>
            <w:tcW w:w="456"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COD</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氨氮</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总磷</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总氮</w:t>
            </w:r>
          </w:p>
        </w:tc>
        <w:tc>
          <w:tcPr>
            <w:tcW w:w="341"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COD</w:t>
            </w:r>
          </w:p>
        </w:tc>
        <w:tc>
          <w:tcPr>
            <w:tcW w:w="329" w:type="pct"/>
            <w:tcBorders>
              <w:top w:val="single" w:sz="4" w:space="0" w:color="auto"/>
              <w:left w:val="single" w:sz="4" w:space="0" w:color="auto"/>
              <w:bottom w:val="single" w:sz="4" w:space="0" w:color="auto"/>
              <w:right w:val="nil"/>
            </w:tcBorders>
            <w:noWrap/>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氨氮</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总磷</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总氮</w:t>
            </w:r>
          </w:p>
        </w:tc>
      </w:tr>
      <w:tr w:rsidR="00C341EA" w:rsidRPr="00FC1444" w:rsidTr="00C12A06">
        <w:trPr>
          <w:trHeight w:val="280"/>
          <w:jc w:val="center"/>
        </w:trPr>
        <w:tc>
          <w:tcPr>
            <w:tcW w:w="531" w:type="pct"/>
            <w:tcBorders>
              <w:top w:val="single" w:sz="4" w:space="0" w:color="auto"/>
              <w:left w:val="nil"/>
              <w:bottom w:val="single" w:sz="4" w:space="0" w:color="auto"/>
              <w:right w:val="single" w:sz="4" w:space="0" w:color="auto"/>
            </w:tcBorders>
            <w:noWrap/>
            <w:vAlign w:val="center"/>
          </w:tcPr>
          <w:p w:rsidR="00C341EA" w:rsidRPr="00FC1444" w:rsidRDefault="00C341EA" w:rsidP="00C12A06">
            <w:pPr>
              <w:jc w:val="center"/>
              <w:rPr>
                <w:rFonts w:eastAsiaTheme="minorEastAsia"/>
                <w:kern w:val="0"/>
                <w:szCs w:val="21"/>
              </w:rPr>
            </w:pPr>
            <w:r w:rsidRPr="00FC1444">
              <w:rPr>
                <w:rFonts w:eastAsiaTheme="minorEastAsia"/>
                <w:bCs/>
                <w:kern w:val="0"/>
                <w:szCs w:val="21"/>
              </w:rPr>
              <w:t>呼兰河</w:t>
            </w:r>
          </w:p>
        </w:tc>
        <w:tc>
          <w:tcPr>
            <w:tcW w:w="45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398.815 </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9.535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13.924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31.784 </w:t>
            </w:r>
          </w:p>
        </w:tc>
        <w:tc>
          <w:tcPr>
            <w:tcW w:w="456"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261.852 </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6.261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9.142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20.869 </w:t>
            </w:r>
          </w:p>
        </w:tc>
        <w:tc>
          <w:tcPr>
            <w:tcW w:w="341"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136.964 </w:t>
            </w:r>
          </w:p>
        </w:tc>
        <w:tc>
          <w:tcPr>
            <w:tcW w:w="329" w:type="pct"/>
            <w:tcBorders>
              <w:top w:val="single" w:sz="4" w:space="0" w:color="auto"/>
              <w:left w:val="single" w:sz="4" w:space="0" w:color="auto"/>
              <w:bottom w:val="single" w:sz="4" w:space="0" w:color="auto"/>
              <w:right w:val="nil"/>
            </w:tcBorders>
            <w:noWrap/>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3.275 </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4.782 </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10.916 </w:t>
            </w:r>
          </w:p>
        </w:tc>
      </w:tr>
      <w:tr w:rsidR="00C341EA" w:rsidRPr="00FC1444" w:rsidTr="00C12A06">
        <w:trPr>
          <w:trHeight w:val="280"/>
          <w:jc w:val="center"/>
        </w:trPr>
        <w:tc>
          <w:tcPr>
            <w:tcW w:w="531" w:type="pct"/>
            <w:tcBorders>
              <w:top w:val="single" w:sz="4" w:space="0" w:color="auto"/>
              <w:left w:val="nil"/>
              <w:bottom w:val="single" w:sz="4" w:space="0" w:color="auto"/>
              <w:right w:val="single" w:sz="4" w:space="0" w:color="auto"/>
            </w:tcBorders>
            <w:noWrap/>
            <w:vAlign w:val="center"/>
          </w:tcPr>
          <w:p w:rsidR="00C341EA" w:rsidRPr="00FC1444" w:rsidRDefault="00C341EA" w:rsidP="00C12A06">
            <w:pPr>
              <w:jc w:val="center"/>
              <w:rPr>
                <w:rFonts w:eastAsiaTheme="minorEastAsia"/>
                <w:kern w:val="0"/>
                <w:szCs w:val="21"/>
              </w:rPr>
            </w:pPr>
            <w:r w:rsidRPr="00FC1444">
              <w:rPr>
                <w:rFonts w:eastAsiaTheme="minorEastAsia"/>
                <w:bCs/>
                <w:kern w:val="0"/>
                <w:szCs w:val="21"/>
              </w:rPr>
              <w:t>津河</w:t>
            </w:r>
          </w:p>
        </w:tc>
        <w:tc>
          <w:tcPr>
            <w:tcW w:w="45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111.113 </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2.657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3.879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8.855 </w:t>
            </w:r>
          </w:p>
        </w:tc>
        <w:tc>
          <w:tcPr>
            <w:tcW w:w="456"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72.954 </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1.744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2.547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5.814 </w:t>
            </w:r>
          </w:p>
        </w:tc>
        <w:tc>
          <w:tcPr>
            <w:tcW w:w="341"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38.159 </w:t>
            </w:r>
          </w:p>
        </w:tc>
        <w:tc>
          <w:tcPr>
            <w:tcW w:w="329" w:type="pct"/>
            <w:tcBorders>
              <w:top w:val="single" w:sz="4" w:space="0" w:color="auto"/>
              <w:left w:val="single" w:sz="4" w:space="0" w:color="auto"/>
              <w:bottom w:val="single" w:sz="4" w:space="0" w:color="auto"/>
              <w:right w:val="nil"/>
            </w:tcBorders>
            <w:noWrap/>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0.912 </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1.332 </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3.041 </w:t>
            </w:r>
          </w:p>
        </w:tc>
      </w:tr>
      <w:tr w:rsidR="00C341EA" w:rsidRPr="00FC1444" w:rsidTr="00C12A06">
        <w:trPr>
          <w:trHeight w:val="280"/>
          <w:jc w:val="center"/>
        </w:trPr>
        <w:tc>
          <w:tcPr>
            <w:tcW w:w="531" w:type="pct"/>
            <w:tcBorders>
              <w:top w:val="single" w:sz="4" w:space="0" w:color="auto"/>
              <w:left w:val="nil"/>
              <w:bottom w:val="single" w:sz="4" w:space="0" w:color="auto"/>
              <w:right w:val="single" w:sz="4" w:space="0" w:color="auto"/>
            </w:tcBorders>
            <w:noWrap/>
            <w:vAlign w:val="center"/>
          </w:tcPr>
          <w:p w:rsidR="00C341EA" w:rsidRPr="00FC1444" w:rsidRDefault="00C341EA" w:rsidP="00C12A06">
            <w:pPr>
              <w:jc w:val="center"/>
              <w:rPr>
                <w:rFonts w:eastAsiaTheme="minorEastAsia"/>
                <w:kern w:val="0"/>
                <w:szCs w:val="21"/>
              </w:rPr>
            </w:pPr>
            <w:r w:rsidRPr="00FC1444">
              <w:rPr>
                <w:rFonts w:eastAsiaTheme="minorEastAsia"/>
                <w:bCs/>
                <w:kern w:val="0"/>
                <w:szCs w:val="21"/>
              </w:rPr>
              <w:t>努敏河</w:t>
            </w:r>
          </w:p>
        </w:tc>
        <w:tc>
          <w:tcPr>
            <w:tcW w:w="45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151.457 </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3.621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5.288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12.071 </w:t>
            </w:r>
          </w:p>
        </w:tc>
        <w:tc>
          <w:tcPr>
            <w:tcW w:w="456"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99.443 </w:t>
            </w:r>
          </w:p>
        </w:tc>
        <w:tc>
          <w:tcPr>
            <w:tcW w:w="405"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2.378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3.472 </w:t>
            </w:r>
          </w:p>
        </w:tc>
        <w:tc>
          <w:tcPr>
            <w:tcW w:w="405" w:type="pct"/>
            <w:tcBorders>
              <w:top w:val="single" w:sz="4" w:space="0" w:color="auto"/>
              <w:left w:val="single" w:sz="4" w:space="0" w:color="auto"/>
              <w:bottom w:val="single" w:sz="4"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7.925 </w:t>
            </w:r>
          </w:p>
        </w:tc>
        <w:tc>
          <w:tcPr>
            <w:tcW w:w="341" w:type="pct"/>
            <w:tcBorders>
              <w:top w:val="single" w:sz="4" w:space="0" w:color="auto"/>
              <w:left w:val="single" w:sz="4" w:space="0" w:color="auto"/>
              <w:bottom w:val="single" w:sz="4" w:space="0" w:color="auto"/>
              <w:right w:val="single" w:sz="4" w:space="0" w:color="auto"/>
            </w:tcBorders>
            <w:noWrap/>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52.014 </w:t>
            </w:r>
          </w:p>
        </w:tc>
        <w:tc>
          <w:tcPr>
            <w:tcW w:w="329" w:type="pct"/>
            <w:tcBorders>
              <w:top w:val="single" w:sz="4" w:space="0" w:color="auto"/>
              <w:left w:val="single" w:sz="4" w:space="0" w:color="auto"/>
              <w:bottom w:val="single" w:sz="4" w:space="0" w:color="auto"/>
              <w:right w:val="nil"/>
            </w:tcBorders>
            <w:noWrap/>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1.244 </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1.816 </w:t>
            </w:r>
          </w:p>
        </w:tc>
        <w:tc>
          <w:tcPr>
            <w:tcW w:w="228" w:type="pct"/>
            <w:tcBorders>
              <w:top w:val="single" w:sz="4" w:space="0" w:color="auto"/>
              <w:left w:val="single" w:sz="4" w:space="0" w:color="auto"/>
              <w:bottom w:val="single" w:sz="4" w:space="0" w:color="auto"/>
              <w:right w:val="nil"/>
            </w:tcBorders>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4.145 </w:t>
            </w:r>
          </w:p>
        </w:tc>
      </w:tr>
      <w:tr w:rsidR="00C341EA" w:rsidRPr="00FC1444" w:rsidTr="00C12A06">
        <w:trPr>
          <w:trHeight w:val="280"/>
          <w:jc w:val="center"/>
        </w:trPr>
        <w:tc>
          <w:tcPr>
            <w:tcW w:w="531" w:type="pct"/>
            <w:tcBorders>
              <w:top w:val="single" w:sz="4" w:space="0" w:color="auto"/>
              <w:left w:val="nil"/>
              <w:bottom w:val="single" w:sz="12" w:space="0" w:color="auto"/>
              <w:right w:val="single" w:sz="4" w:space="0" w:color="auto"/>
            </w:tcBorders>
            <w:noWrap/>
            <w:vAlign w:val="center"/>
          </w:tcPr>
          <w:p w:rsidR="00C341EA" w:rsidRPr="00FC1444" w:rsidRDefault="00C341EA" w:rsidP="00C12A06">
            <w:pPr>
              <w:jc w:val="center"/>
              <w:rPr>
                <w:rFonts w:eastAsiaTheme="minorEastAsia"/>
                <w:kern w:val="0"/>
                <w:szCs w:val="21"/>
              </w:rPr>
            </w:pPr>
            <w:r w:rsidRPr="00FC1444">
              <w:rPr>
                <w:rFonts w:eastAsiaTheme="minorEastAsia"/>
                <w:kern w:val="0"/>
                <w:szCs w:val="21"/>
              </w:rPr>
              <w:t>合计</w:t>
            </w:r>
          </w:p>
        </w:tc>
        <w:tc>
          <w:tcPr>
            <w:tcW w:w="455" w:type="pct"/>
            <w:tcBorders>
              <w:top w:val="single" w:sz="4" w:space="0" w:color="auto"/>
              <w:left w:val="single" w:sz="4" w:space="0" w:color="auto"/>
              <w:bottom w:val="single" w:sz="12"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661.385 </w:t>
            </w:r>
          </w:p>
        </w:tc>
        <w:tc>
          <w:tcPr>
            <w:tcW w:w="405" w:type="pct"/>
            <w:tcBorders>
              <w:top w:val="single" w:sz="4" w:space="0" w:color="auto"/>
              <w:left w:val="single" w:sz="4" w:space="0" w:color="auto"/>
              <w:bottom w:val="single" w:sz="12"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15.813 </w:t>
            </w:r>
          </w:p>
        </w:tc>
        <w:tc>
          <w:tcPr>
            <w:tcW w:w="405" w:type="pct"/>
            <w:tcBorders>
              <w:top w:val="single" w:sz="4" w:space="0" w:color="auto"/>
              <w:left w:val="single" w:sz="4" w:space="0" w:color="auto"/>
              <w:bottom w:val="single" w:sz="12"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23.092 </w:t>
            </w:r>
          </w:p>
        </w:tc>
        <w:tc>
          <w:tcPr>
            <w:tcW w:w="405" w:type="pct"/>
            <w:tcBorders>
              <w:top w:val="single" w:sz="4" w:space="0" w:color="auto"/>
              <w:left w:val="single" w:sz="4" w:space="0" w:color="auto"/>
              <w:bottom w:val="single" w:sz="12"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52.710 </w:t>
            </w:r>
          </w:p>
        </w:tc>
        <w:tc>
          <w:tcPr>
            <w:tcW w:w="456" w:type="pct"/>
            <w:tcBorders>
              <w:top w:val="single" w:sz="4" w:space="0" w:color="auto"/>
              <w:left w:val="single" w:sz="4" w:space="0" w:color="auto"/>
              <w:bottom w:val="single" w:sz="12"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434.248 </w:t>
            </w:r>
          </w:p>
        </w:tc>
        <w:tc>
          <w:tcPr>
            <w:tcW w:w="405" w:type="pct"/>
            <w:tcBorders>
              <w:top w:val="single" w:sz="4" w:space="0" w:color="auto"/>
              <w:left w:val="single" w:sz="4" w:space="0" w:color="auto"/>
              <w:bottom w:val="single" w:sz="12" w:space="0" w:color="auto"/>
              <w:right w:val="single" w:sz="4" w:space="0" w:color="auto"/>
            </w:tcBorders>
            <w:noWrap/>
            <w:vAlign w:val="center"/>
          </w:tcPr>
          <w:p w:rsidR="00C341EA" w:rsidRPr="00FC1444" w:rsidRDefault="00C341EA" w:rsidP="00C12A06">
            <w:pPr>
              <w:jc w:val="center"/>
              <w:rPr>
                <w:color w:val="000000"/>
                <w:szCs w:val="21"/>
              </w:rPr>
            </w:pPr>
            <w:r w:rsidRPr="00FC1444">
              <w:rPr>
                <w:color w:val="000000"/>
                <w:szCs w:val="21"/>
              </w:rPr>
              <w:t xml:space="preserve">10.382 </w:t>
            </w:r>
          </w:p>
        </w:tc>
        <w:tc>
          <w:tcPr>
            <w:tcW w:w="405" w:type="pct"/>
            <w:tcBorders>
              <w:top w:val="single" w:sz="4" w:space="0" w:color="auto"/>
              <w:left w:val="single" w:sz="4" w:space="0" w:color="auto"/>
              <w:bottom w:val="single" w:sz="12"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15.162 </w:t>
            </w:r>
          </w:p>
        </w:tc>
        <w:tc>
          <w:tcPr>
            <w:tcW w:w="405" w:type="pct"/>
            <w:tcBorders>
              <w:top w:val="single" w:sz="4" w:space="0" w:color="auto"/>
              <w:left w:val="single" w:sz="4" w:space="0" w:color="auto"/>
              <w:bottom w:val="single" w:sz="12" w:space="0" w:color="auto"/>
              <w:right w:val="single" w:sz="4" w:space="0" w:color="auto"/>
            </w:tcBorders>
            <w:vAlign w:val="center"/>
          </w:tcPr>
          <w:p w:rsidR="00C341EA" w:rsidRPr="00FC1444" w:rsidRDefault="00C341EA" w:rsidP="00C12A06">
            <w:pPr>
              <w:jc w:val="center"/>
              <w:rPr>
                <w:color w:val="000000"/>
                <w:szCs w:val="21"/>
              </w:rPr>
            </w:pPr>
            <w:r w:rsidRPr="00FC1444">
              <w:rPr>
                <w:color w:val="000000"/>
                <w:szCs w:val="21"/>
              </w:rPr>
              <w:t xml:space="preserve">34.608 </w:t>
            </w:r>
          </w:p>
        </w:tc>
        <w:tc>
          <w:tcPr>
            <w:tcW w:w="341" w:type="pct"/>
            <w:tcBorders>
              <w:top w:val="single" w:sz="4" w:space="0" w:color="auto"/>
              <w:left w:val="single" w:sz="4" w:space="0" w:color="auto"/>
              <w:bottom w:val="single" w:sz="12" w:space="0" w:color="auto"/>
              <w:right w:val="single" w:sz="4" w:space="0" w:color="auto"/>
            </w:tcBorders>
            <w:noWrap/>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227.137 </w:t>
            </w:r>
          </w:p>
        </w:tc>
        <w:tc>
          <w:tcPr>
            <w:tcW w:w="329" w:type="pct"/>
            <w:tcBorders>
              <w:top w:val="single" w:sz="4" w:space="0" w:color="auto"/>
              <w:left w:val="single" w:sz="4" w:space="0" w:color="auto"/>
              <w:bottom w:val="single" w:sz="12" w:space="0" w:color="auto"/>
              <w:right w:val="nil"/>
            </w:tcBorders>
            <w:noWrap/>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5.431 </w:t>
            </w:r>
          </w:p>
        </w:tc>
        <w:tc>
          <w:tcPr>
            <w:tcW w:w="228" w:type="pct"/>
            <w:tcBorders>
              <w:top w:val="single" w:sz="4" w:space="0" w:color="auto"/>
              <w:left w:val="single" w:sz="4" w:space="0" w:color="auto"/>
              <w:bottom w:val="single" w:sz="12" w:space="0" w:color="auto"/>
              <w:right w:val="nil"/>
            </w:tcBorders>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7.930 </w:t>
            </w:r>
          </w:p>
        </w:tc>
        <w:tc>
          <w:tcPr>
            <w:tcW w:w="228" w:type="pct"/>
            <w:tcBorders>
              <w:top w:val="single" w:sz="4" w:space="0" w:color="auto"/>
              <w:left w:val="single" w:sz="4" w:space="0" w:color="auto"/>
              <w:bottom w:val="single" w:sz="12" w:space="0" w:color="auto"/>
              <w:right w:val="nil"/>
            </w:tcBorders>
            <w:vAlign w:val="center"/>
          </w:tcPr>
          <w:p w:rsidR="00C341EA" w:rsidRPr="00FC1444" w:rsidRDefault="00C341EA" w:rsidP="00C12A06">
            <w:pPr>
              <w:jc w:val="center"/>
              <w:rPr>
                <w:color w:val="000000"/>
                <w:szCs w:val="21"/>
              </w:rPr>
            </w:pPr>
            <w:r w:rsidRPr="00FC1444">
              <w:rPr>
                <w:rFonts w:hint="eastAsia"/>
                <w:color w:val="000000"/>
                <w:szCs w:val="21"/>
              </w:rPr>
              <w:t>-</w:t>
            </w:r>
            <w:r w:rsidRPr="00FC1444">
              <w:rPr>
                <w:color w:val="000000"/>
                <w:szCs w:val="21"/>
              </w:rPr>
              <w:t xml:space="preserve">18.102 </w:t>
            </w:r>
          </w:p>
        </w:tc>
      </w:tr>
    </w:tbl>
    <w:p w:rsidR="002A5A5E" w:rsidRPr="00FC1444" w:rsidRDefault="00E008D1">
      <w:pPr>
        <w:spacing w:line="360" w:lineRule="auto"/>
        <w:ind w:firstLineChars="200" w:firstLine="480"/>
        <w:rPr>
          <w:rFonts w:eastAsiaTheme="minorEastAsia"/>
          <w:bCs/>
          <w:kern w:val="0"/>
          <w:sz w:val="24"/>
          <w:szCs w:val="21"/>
        </w:rPr>
      </w:pPr>
      <w:r w:rsidRPr="00FC1444">
        <w:rPr>
          <w:rFonts w:eastAsiaTheme="minorEastAsia"/>
          <w:sz w:val="24"/>
        </w:rPr>
        <w:t>项目建成后灌区年退水量与现状相比减少</w:t>
      </w:r>
      <w:r w:rsidRPr="00FC1444">
        <w:rPr>
          <w:rFonts w:eastAsiaTheme="minorEastAsia"/>
          <w:sz w:val="24"/>
        </w:rPr>
        <w:t>431</w:t>
      </w:r>
      <w:r w:rsidRPr="00FC1444">
        <w:rPr>
          <w:rFonts w:eastAsiaTheme="minorEastAsia"/>
          <w:sz w:val="24"/>
        </w:rPr>
        <w:t>万</w:t>
      </w:r>
      <w:r w:rsidR="00C322E4" w:rsidRPr="00FC1444">
        <w:rPr>
          <w:rFonts w:eastAsiaTheme="minorEastAsia"/>
          <w:sz w:val="24"/>
        </w:rPr>
        <w:t>m</w:t>
      </w:r>
      <w:r w:rsidR="00C322E4" w:rsidRPr="00FC1444">
        <w:rPr>
          <w:rFonts w:eastAsiaTheme="minorEastAsia"/>
          <w:sz w:val="24"/>
          <w:vertAlign w:val="superscript"/>
        </w:rPr>
        <w:t>3</w:t>
      </w:r>
      <w:r w:rsidR="00C322E4" w:rsidRPr="00FC1444">
        <w:rPr>
          <w:rFonts w:eastAsiaTheme="minorEastAsia"/>
          <w:sz w:val="24"/>
        </w:rPr>
        <w:t>，</w:t>
      </w:r>
      <w:r w:rsidR="00C341EA" w:rsidRPr="00FC1444">
        <w:rPr>
          <w:rFonts w:eastAsiaTheme="minorEastAsia"/>
          <w:bCs/>
          <w:sz w:val="24"/>
        </w:rPr>
        <w:t>COD</w:t>
      </w:r>
      <w:r w:rsidR="00C341EA" w:rsidRPr="00FC1444">
        <w:rPr>
          <w:rFonts w:eastAsiaTheme="minorEastAsia"/>
          <w:bCs/>
          <w:sz w:val="24"/>
        </w:rPr>
        <w:t>、氨氮、总磷及总氮排放量分别减少</w:t>
      </w:r>
      <w:r w:rsidR="00C341EA" w:rsidRPr="00FC1444">
        <w:rPr>
          <w:rFonts w:eastAsiaTheme="minorEastAsia"/>
          <w:bCs/>
          <w:sz w:val="24"/>
        </w:rPr>
        <w:t>227.137t/a</w:t>
      </w:r>
      <w:r w:rsidR="00C341EA" w:rsidRPr="00FC1444">
        <w:rPr>
          <w:rFonts w:eastAsiaTheme="minorEastAsia"/>
          <w:bCs/>
          <w:sz w:val="24"/>
        </w:rPr>
        <w:t>、</w:t>
      </w:r>
      <w:r w:rsidR="00C341EA" w:rsidRPr="00FC1444">
        <w:rPr>
          <w:rFonts w:eastAsiaTheme="minorEastAsia"/>
          <w:bCs/>
          <w:sz w:val="24"/>
        </w:rPr>
        <w:t>5.431t/a</w:t>
      </w:r>
      <w:r w:rsidR="00C341EA" w:rsidRPr="00FC1444">
        <w:rPr>
          <w:rFonts w:eastAsiaTheme="minorEastAsia"/>
          <w:bCs/>
          <w:sz w:val="24"/>
        </w:rPr>
        <w:t>、</w:t>
      </w:r>
      <w:r w:rsidR="00C341EA" w:rsidRPr="00FC1444">
        <w:rPr>
          <w:rFonts w:eastAsiaTheme="minorEastAsia"/>
          <w:bCs/>
          <w:sz w:val="24"/>
        </w:rPr>
        <w:t>7.93t/a</w:t>
      </w:r>
      <w:r w:rsidR="00C341EA" w:rsidRPr="00FC1444">
        <w:rPr>
          <w:rFonts w:eastAsiaTheme="minorEastAsia"/>
          <w:bCs/>
          <w:sz w:val="24"/>
        </w:rPr>
        <w:t>、</w:t>
      </w:r>
      <w:r w:rsidR="00C341EA" w:rsidRPr="00FC1444">
        <w:rPr>
          <w:rFonts w:eastAsiaTheme="minorEastAsia"/>
          <w:bCs/>
          <w:sz w:val="24"/>
        </w:rPr>
        <w:t>18.102t/a</w:t>
      </w:r>
      <w:r w:rsidR="00C341EA" w:rsidRPr="00FC1444">
        <w:rPr>
          <w:rFonts w:eastAsiaTheme="minorEastAsia"/>
          <w:bCs/>
          <w:sz w:val="24"/>
        </w:rPr>
        <w:t>。</w:t>
      </w:r>
      <w:r w:rsidR="00C322E4" w:rsidRPr="00FC1444">
        <w:rPr>
          <w:rFonts w:eastAsiaTheme="minorEastAsia"/>
          <w:kern w:val="0"/>
          <w:sz w:val="24"/>
        </w:rPr>
        <w:t>对</w:t>
      </w:r>
      <w:r w:rsidR="00B526E5" w:rsidRPr="00FC1444">
        <w:rPr>
          <w:rFonts w:eastAsiaTheme="minorEastAsia"/>
          <w:sz w:val="24"/>
          <w:lang w:bidi="en-US"/>
        </w:rPr>
        <w:t>呼兰河、津河、努敏河</w:t>
      </w:r>
      <w:r w:rsidR="00C322E4" w:rsidRPr="00FC1444">
        <w:rPr>
          <w:rFonts w:eastAsiaTheme="minorEastAsia"/>
          <w:sz w:val="24"/>
        </w:rPr>
        <w:t>水生生态</w:t>
      </w:r>
      <w:r w:rsidR="00C322E4" w:rsidRPr="00FC1444">
        <w:rPr>
          <w:rFonts w:eastAsiaTheme="minorEastAsia"/>
          <w:kern w:val="0"/>
          <w:sz w:val="24"/>
        </w:rPr>
        <w:t>环境起到一定改善作用。</w:t>
      </w:r>
      <w:r w:rsidR="00C322E4" w:rsidRPr="00FC1444">
        <w:rPr>
          <w:rFonts w:eastAsiaTheme="minorEastAsia"/>
          <w:sz w:val="24"/>
          <w:szCs w:val="21"/>
        </w:rPr>
        <w:t>本项目对区域水文情势、鱼类栖息及繁殖、浮游生物、底栖动物、水生维管束植物产生有利影响。农田排水集中在</w:t>
      </w:r>
      <w:r w:rsidR="00C322E4" w:rsidRPr="00FC1444">
        <w:rPr>
          <w:rFonts w:eastAsiaTheme="minorEastAsia"/>
          <w:sz w:val="24"/>
          <w:szCs w:val="21"/>
        </w:rPr>
        <w:t>5</w:t>
      </w:r>
      <w:r w:rsidR="00C322E4" w:rsidRPr="00FC1444">
        <w:rPr>
          <w:rFonts w:eastAsiaTheme="minorEastAsia"/>
          <w:sz w:val="24"/>
          <w:szCs w:val="21"/>
        </w:rPr>
        <w:t>～</w:t>
      </w:r>
      <w:r w:rsidR="00C322E4" w:rsidRPr="00FC1444">
        <w:rPr>
          <w:rFonts w:eastAsiaTheme="minorEastAsia"/>
          <w:sz w:val="24"/>
          <w:szCs w:val="21"/>
        </w:rPr>
        <w:t>9</w:t>
      </w:r>
      <w:r w:rsidR="00C322E4" w:rsidRPr="00FC1444">
        <w:rPr>
          <w:rFonts w:eastAsiaTheme="minorEastAsia"/>
          <w:sz w:val="24"/>
          <w:szCs w:val="21"/>
        </w:rPr>
        <w:t>月份，正值丰水期，</w:t>
      </w:r>
      <w:r w:rsidR="00B526E5" w:rsidRPr="00FC1444">
        <w:rPr>
          <w:rFonts w:eastAsiaTheme="minorEastAsia"/>
          <w:sz w:val="24"/>
          <w:lang w:bidi="en-US"/>
        </w:rPr>
        <w:t>呼兰河、津河、努敏河</w:t>
      </w:r>
      <w:r w:rsidR="00C322E4" w:rsidRPr="00FC1444">
        <w:rPr>
          <w:rFonts w:eastAsiaTheme="minorEastAsia"/>
          <w:sz w:val="24"/>
          <w:szCs w:val="21"/>
        </w:rPr>
        <w:t>水量充沛，进入水体的污染物将不同程度的被稀释和降解，对水质影响较小。</w:t>
      </w:r>
    </w:p>
    <w:p w:rsidR="007A282C" w:rsidRPr="00FC1444" w:rsidRDefault="003F09B6" w:rsidP="007A282C">
      <w:pPr>
        <w:pStyle w:val="aff4"/>
        <w:adjustRightInd/>
        <w:snapToGrid/>
        <w:rPr>
          <w:rFonts w:ascii="Times New Roman" w:hAnsi="Times New Roman" w:cs="Times New Roman"/>
        </w:rPr>
      </w:pPr>
      <w:r w:rsidRPr="00FC1444">
        <w:rPr>
          <w:rFonts w:ascii="Times New Roman" w:hAnsi="Times New Roman" w:cs="Times New Roman"/>
        </w:rPr>
        <w:t>本项目建设前，渠系渗漏、格田高低不平，灌水深浅不均，高处缺水脱肥、低处积水肥料随渗流、退水流失，为保证作物长势，农户普遍超量追肥弥补肥料流失。本项目建成后，采取</w:t>
      </w:r>
      <w:r w:rsidRPr="00FC1444">
        <w:rPr>
          <w:rFonts w:ascii="Times New Roman" w:hAnsi="Times New Roman" w:cs="Times New Roman"/>
        </w:rPr>
        <w:t>“</w:t>
      </w:r>
      <w:r w:rsidRPr="00FC1444">
        <w:rPr>
          <w:rFonts w:ascii="Times New Roman" w:hAnsi="Times New Roman" w:cs="Times New Roman"/>
        </w:rPr>
        <w:t>三减</w:t>
      </w:r>
      <w:r w:rsidRPr="00FC1444">
        <w:rPr>
          <w:rFonts w:ascii="Times New Roman" w:hAnsi="Times New Roman" w:cs="Times New Roman"/>
        </w:rPr>
        <w:t>”</w:t>
      </w:r>
      <w:r w:rsidRPr="00FC1444">
        <w:rPr>
          <w:rFonts w:ascii="Times New Roman" w:hAnsi="Times New Roman" w:cs="Times New Roman"/>
        </w:rPr>
        <w:t>措施，进行土地平整，格田水深均匀，肥料在田间均匀分布，无局部脱肥，基础施肥量下调，防渗渠、配套闸阀减少输水渗漏，田间无大量冗余排水，田间排水量减少，化肥滞留土壤供作物吸收，氮磷利用率提升，氮磷随田间退水流失量大幅降低，保水能力增强，土壤水肥滞留时间延长，根系吸收利用率上升，同等产量下化肥总投入减少</w:t>
      </w:r>
      <w:r w:rsidR="007A282C" w:rsidRPr="00FC1444">
        <w:rPr>
          <w:rFonts w:ascii="Times New Roman" w:hAnsi="Times New Roman" w:cs="Times New Roman"/>
        </w:rPr>
        <w:t>。</w:t>
      </w:r>
    </w:p>
    <w:p w:rsidR="002A5A5E" w:rsidRPr="00FC1444" w:rsidRDefault="00611CBA" w:rsidP="00611CBA">
      <w:pPr>
        <w:spacing w:line="360" w:lineRule="auto"/>
        <w:ind w:firstLineChars="182" w:firstLine="437"/>
        <w:rPr>
          <w:rFonts w:eastAsiaTheme="minorEastAsia"/>
          <w:kern w:val="0"/>
          <w:sz w:val="24"/>
        </w:rPr>
      </w:pPr>
      <w:r w:rsidRPr="00FC1444">
        <w:rPr>
          <w:rFonts w:eastAsiaTheme="minorEastAsia"/>
          <w:bCs/>
          <w:sz w:val="24"/>
        </w:rPr>
        <w:t>本次改造后，通过加强管理，</w:t>
      </w:r>
      <w:r w:rsidRPr="00FC1444">
        <w:rPr>
          <w:rFonts w:eastAsiaTheme="minorEastAsia"/>
          <w:sz w:val="24"/>
        </w:rPr>
        <w:t>施行</w:t>
      </w:r>
      <w:r w:rsidRPr="00FC1444">
        <w:rPr>
          <w:rFonts w:eastAsiaTheme="minorEastAsia"/>
          <w:sz w:val="24"/>
        </w:rPr>
        <w:t>“</w:t>
      </w:r>
      <w:r w:rsidRPr="00FC1444">
        <w:rPr>
          <w:rFonts w:eastAsiaTheme="minorEastAsia"/>
          <w:sz w:val="24"/>
        </w:rPr>
        <w:t>三减</w:t>
      </w:r>
      <w:r w:rsidRPr="00FC1444">
        <w:rPr>
          <w:rFonts w:eastAsiaTheme="minorEastAsia"/>
          <w:sz w:val="24"/>
        </w:rPr>
        <w:t>”</w:t>
      </w:r>
      <w:r w:rsidRPr="00FC1444">
        <w:rPr>
          <w:rFonts w:eastAsiaTheme="minorEastAsia"/>
          <w:sz w:val="24"/>
        </w:rPr>
        <w:t>行动，即减化肥、减农药、减除草剂，</w:t>
      </w:r>
      <w:r w:rsidRPr="00FC1444">
        <w:rPr>
          <w:rFonts w:eastAsiaTheme="minorEastAsia"/>
          <w:bCs/>
          <w:sz w:val="24"/>
        </w:rPr>
        <w:t>削减化肥和化学农药用量，增加有机肥、复合肥以及生物农药和高效低毒低残留农药的施用量。采取测土配方施肥、水肥一体化措施，减少农田退水中的农药、化肥含量，防止农药、化肥污染承泄区水体。合理安排施肥、施药时间，减</w:t>
      </w:r>
      <w:r w:rsidRPr="00FC1444">
        <w:rPr>
          <w:rFonts w:eastAsiaTheme="minorEastAsia"/>
          <w:bCs/>
          <w:sz w:val="24"/>
        </w:rPr>
        <w:lastRenderedPageBreak/>
        <w:t>轻对灌区下游水环境的污染。</w:t>
      </w:r>
      <w:r w:rsidRPr="00FC1444">
        <w:rPr>
          <w:rFonts w:eastAsiaTheme="minorEastAsia"/>
          <w:kern w:val="0"/>
          <w:sz w:val="24"/>
        </w:rPr>
        <w:t>故工程实施后对</w:t>
      </w:r>
      <w:r w:rsidR="00E456D6" w:rsidRPr="00FC1444">
        <w:rPr>
          <w:rFonts w:eastAsiaTheme="minorEastAsia"/>
          <w:sz w:val="24"/>
        </w:rPr>
        <w:t>呼兰河、津河及努敏河</w:t>
      </w:r>
      <w:r w:rsidRPr="00FC1444">
        <w:rPr>
          <w:rFonts w:eastAsiaTheme="minorEastAsia"/>
          <w:sz w:val="24"/>
        </w:rPr>
        <w:t>水质、野生动植物生境、水生生态</w:t>
      </w:r>
      <w:r w:rsidRPr="00FC1444">
        <w:rPr>
          <w:rFonts w:eastAsiaTheme="minorEastAsia"/>
          <w:kern w:val="0"/>
          <w:sz w:val="24"/>
        </w:rPr>
        <w:t>环境起到一定改善作用。</w:t>
      </w:r>
    </w:p>
    <w:p w:rsidR="002A5A5E" w:rsidRPr="00FC1444" w:rsidRDefault="00611CBA">
      <w:pPr>
        <w:autoSpaceDE w:val="0"/>
        <w:autoSpaceDN w:val="0"/>
        <w:spacing w:before="100" w:beforeAutospacing="1" w:after="100" w:afterAutospacing="1"/>
        <w:outlineLvl w:val="3"/>
        <w:rPr>
          <w:rFonts w:eastAsiaTheme="minorEastAsia"/>
          <w:b/>
          <w:bCs/>
          <w:sz w:val="24"/>
        </w:rPr>
      </w:pPr>
      <w:r w:rsidRPr="00FC1444">
        <w:rPr>
          <w:rFonts w:eastAsiaTheme="minorEastAsia"/>
          <w:b/>
          <w:bCs/>
          <w:sz w:val="24"/>
        </w:rPr>
        <w:t>5.2.2.2</w:t>
      </w:r>
      <w:r w:rsidRPr="00FC1444">
        <w:rPr>
          <w:rFonts w:eastAsiaTheme="minorEastAsia"/>
          <w:b/>
          <w:bCs/>
          <w:sz w:val="24"/>
        </w:rPr>
        <w:t>地下水</w:t>
      </w:r>
      <w:r w:rsidR="00FC1444" w:rsidRPr="00FC1444">
        <w:rPr>
          <w:rFonts w:eastAsiaTheme="minorEastAsia"/>
          <w:b/>
          <w:bCs/>
          <w:sz w:val="24"/>
        </w:rPr>
        <w:t>生态</w:t>
      </w:r>
      <w:r w:rsidRPr="00FC1444">
        <w:rPr>
          <w:rFonts w:eastAsiaTheme="minorEastAsia"/>
          <w:b/>
          <w:bCs/>
          <w:sz w:val="24"/>
        </w:rPr>
        <w:t>环境影响预测与分析</w:t>
      </w:r>
    </w:p>
    <w:p w:rsidR="002A5A5E" w:rsidRPr="00FC1444" w:rsidRDefault="003E5585">
      <w:pPr>
        <w:spacing w:line="360" w:lineRule="auto"/>
        <w:ind w:firstLineChars="200" w:firstLine="480"/>
        <w:contextualSpacing/>
        <w:rPr>
          <w:rFonts w:eastAsiaTheme="minorEastAsia"/>
          <w:kern w:val="0"/>
          <w:sz w:val="24"/>
        </w:rPr>
      </w:pPr>
      <w:r w:rsidRPr="00FC1444">
        <w:rPr>
          <w:rFonts w:eastAsiaTheme="minorEastAsia"/>
          <w:kern w:val="0"/>
          <w:sz w:val="24"/>
        </w:rPr>
        <w:t>（</w:t>
      </w:r>
      <w:r w:rsidRPr="00FC1444">
        <w:rPr>
          <w:rFonts w:eastAsiaTheme="minorEastAsia"/>
          <w:kern w:val="0"/>
          <w:sz w:val="24"/>
        </w:rPr>
        <w:t>1</w:t>
      </w:r>
      <w:r w:rsidRPr="00FC1444">
        <w:rPr>
          <w:rFonts w:eastAsiaTheme="minorEastAsia"/>
          <w:kern w:val="0"/>
          <w:sz w:val="24"/>
        </w:rPr>
        <w:t>）</w:t>
      </w:r>
      <w:r w:rsidR="00611CBA" w:rsidRPr="00FC1444">
        <w:rPr>
          <w:rFonts w:eastAsiaTheme="minorEastAsia"/>
          <w:bCs/>
          <w:sz w:val="24"/>
        </w:rPr>
        <w:t>地下水资源量分析</w:t>
      </w:r>
    </w:p>
    <w:p w:rsidR="002A5A5E" w:rsidRPr="00FC1444" w:rsidRDefault="00891513">
      <w:pPr>
        <w:spacing w:line="360" w:lineRule="auto"/>
        <w:ind w:firstLineChars="200" w:firstLine="480"/>
        <w:rPr>
          <w:rFonts w:eastAsiaTheme="minorEastAsia"/>
          <w:kern w:val="0"/>
          <w:sz w:val="24"/>
          <w:szCs w:val="22"/>
        </w:rPr>
      </w:pPr>
      <w:r w:rsidRPr="00FC1444">
        <w:rPr>
          <w:rFonts w:eastAsiaTheme="minorEastAsia"/>
          <w:sz w:val="24"/>
        </w:rPr>
        <w:t>根据已批复《</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水资源论证报告书》可知，论证区地下水可开采量为</w:t>
      </w:r>
      <w:r w:rsidR="00400760" w:rsidRPr="00FC1444">
        <w:rPr>
          <w:rFonts w:eastAsiaTheme="minorEastAsia"/>
          <w:sz w:val="24"/>
        </w:rPr>
        <w:t>459.81</w:t>
      </w:r>
      <w:r w:rsidRPr="00FC1444">
        <w:rPr>
          <w:rFonts w:eastAsiaTheme="minorEastAsia"/>
          <w:sz w:val="24"/>
        </w:rPr>
        <w:t>万</w:t>
      </w:r>
      <w:r w:rsidRPr="00FC1444">
        <w:rPr>
          <w:rFonts w:eastAsiaTheme="minorEastAsia"/>
          <w:sz w:val="24"/>
        </w:rPr>
        <w:t>m³/a</w:t>
      </w:r>
      <w:r w:rsidRPr="00FC1444">
        <w:rPr>
          <w:rFonts w:eastAsiaTheme="minorEastAsia"/>
          <w:sz w:val="24"/>
        </w:rPr>
        <w:t>。总补给量为</w:t>
      </w:r>
      <w:r w:rsidR="00400760" w:rsidRPr="00FC1444">
        <w:rPr>
          <w:rFonts w:eastAsiaTheme="minorEastAsia"/>
          <w:sz w:val="24"/>
        </w:rPr>
        <w:t>656.87</w:t>
      </w:r>
      <w:r w:rsidRPr="00FC1444">
        <w:rPr>
          <w:rFonts w:eastAsiaTheme="minorEastAsia"/>
          <w:sz w:val="24"/>
        </w:rPr>
        <w:t>m³/a</w:t>
      </w:r>
      <w:r w:rsidRPr="00FC1444">
        <w:rPr>
          <w:rFonts w:eastAsiaTheme="minorEastAsia"/>
          <w:sz w:val="24"/>
        </w:rPr>
        <w:t>。项目实施后，最大年取水量为</w:t>
      </w:r>
      <w:r w:rsidR="00371E5B" w:rsidRPr="00FC1444">
        <w:rPr>
          <w:rFonts w:eastAsiaTheme="minorEastAsia"/>
          <w:sz w:val="24"/>
        </w:rPr>
        <w:t>92.83</w:t>
      </w:r>
      <w:r w:rsidR="00371E5B" w:rsidRPr="00FC1444">
        <w:rPr>
          <w:rFonts w:eastAsiaTheme="minorEastAsia"/>
          <w:sz w:val="24"/>
        </w:rPr>
        <w:t>万</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，占可开采量的</w:t>
      </w:r>
      <w:r w:rsidR="00400760" w:rsidRPr="00FC1444">
        <w:rPr>
          <w:rFonts w:eastAsiaTheme="minorEastAsia"/>
          <w:sz w:val="24"/>
        </w:rPr>
        <w:t>20.2</w:t>
      </w:r>
      <w:r w:rsidRPr="00FC1444">
        <w:rPr>
          <w:rFonts w:eastAsiaTheme="minorEastAsia"/>
          <w:sz w:val="24"/>
        </w:rPr>
        <w:t>%</w:t>
      </w:r>
      <w:r w:rsidRPr="00FC1444">
        <w:rPr>
          <w:rFonts w:eastAsiaTheme="minorEastAsia"/>
          <w:sz w:val="24"/>
        </w:rPr>
        <w:t>，可以满足供水需求</w:t>
      </w:r>
      <w:r w:rsidR="00611CBA" w:rsidRPr="00FC1444">
        <w:rPr>
          <w:rFonts w:eastAsiaTheme="minorEastAsia"/>
          <w:sz w:val="24"/>
        </w:rPr>
        <w:t>。</w:t>
      </w:r>
    </w:p>
    <w:p w:rsidR="002A5A5E" w:rsidRPr="00FC1444" w:rsidRDefault="003E5585">
      <w:pPr>
        <w:spacing w:line="360" w:lineRule="auto"/>
        <w:ind w:firstLineChars="200" w:firstLine="480"/>
        <w:contextualSpacing/>
        <w:rPr>
          <w:rFonts w:eastAsiaTheme="minorEastAsia"/>
          <w:kern w:val="0"/>
          <w:sz w:val="24"/>
        </w:rPr>
      </w:pPr>
      <w:r w:rsidRPr="00FC1444">
        <w:rPr>
          <w:rFonts w:eastAsiaTheme="minorEastAsia"/>
          <w:kern w:val="0"/>
          <w:sz w:val="24"/>
        </w:rPr>
        <w:t>（</w:t>
      </w:r>
      <w:r w:rsidRPr="00FC1444">
        <w:rPr>
          <w:rFonts w:eastAsiaTheme="minorEastAsia"/>
          <w:kern w:val="0"/>
          <w:sz w:val="24"/>
        </w:rPr>
        <w:t>2</w:t>
      </w:r>
      <w:r w:rsidRPr="00FC1444">
        <w:rPr>
          <w:rFonts w:eastAsiaTheme="minorEastAsia"/>
          <w:kern w:val="0"/>
          <w:sz w:val="24"/>
        </w:rPr>
        <w:t>）</w:t>
      </w:r>
      <w:r w:rsidR="00611CBA" w:rsidRPr="00FC1444">
        <w:rPr>
          <w:rFonts w:eastAsiaTheme="minorEastAsia"/>
          <w:bCs/>
          <w:sz w:val="24"/>
        </w:rPr>
        <w:t>用水量分析</w:t>
      </w:r>
    </w:p>
    <w:p w:rsidR="002A5A5E" w:rsidRPr="00FC1444" w:rsidRDefault="00611CBA">
      <w:pPr>
        <w:autoSpaceDE w:val="0"/>
        <w:autoSpaceDN w:val="0"/>
        <w:spacing w:line="360" w:lineRule="auto"/>
        <w:ind w:firstLineChars="200" w:firstLine="480"/>
        <w:rPr>
          <w:rFonts w:eastAsiaTheme="minorEastAsia"/>
          <w:kern w:val="0"/>
          <w:sz w:val="24"/>
        </w:rPr>
      </w:pPr>
      <w:r w:rsidRPr="00FC1444">
        <w:rPr>
          <w:rFonts w:eastAsiaTheme="minorEastAsia"/>
          <w:kern w:val="0"/>
          <w:sz w:val="24"/>
        </w:rPr>
        <w:t>根据已批复《</w:t>
      </w:r>
      <w:r w:rsidR="00AE168C" w:rsidRPr="00FC1444">
        <w:rPr>
          <w:rFonts w:eastAsiaTheme="minorEastAsia"/>
          <w:kern w:val="0"/>
          <w:sz w:val="24"/>
        </w:rPr>
        <w:t>北林区</w:t>
      </w:r>
      <w:r w:rsidR="00AE168C" w:rsidRPr="00FC1444">
        <w:rPr>
          <w:rFonts w:eastAsiaTheme="minorEastAsia"/>
          <w:kern w:val="0"/>
          <w:sz w:val="24"/>
        </w:rPr>
        <w:t>2026</w:t>
      </w:r>
      <w:r w:rsidR="00AE168C" w:rsidRPr="00FC1444">
        <w:rPr>
          <w:rFonts w:eastAsiaTheme="minorEastAsia"/>
          <w:kern w:val="0"/>
          <w:sz w:val="24"/>
        </w:rPr>
        <w:t>年高标准农田建设项目</w:t>
      </w:r>
      <w:r w:rsidRPr="00FC1444">
        <w:rPr>
          <w:rFonts w:eastAsiaTheme="minorEastAsia"/>
          <w:kern w:val="0"/>
          <w:sz w:val="24"/>
        </w:rPr>
        <w:t>水资源论证报告书》《节水灌溉工程技术规范》和</w:t>
      </w:r>
      <w:r w:rsidRPr="00FC1444">
        <w:rPr>
          <w:rFonts w:eastAsiaTheme="minorEastAsia"/>
          <w:bCs/>
          <w:sz w:val="24"/>
        </w:rPr>
        <w:t>《黑龙江：用水定额》（</w:t>
      </w:r>
      <w:r w:rsidRPr="00FC1444">
        <w:rPr>
          <w:rFonts w:eastAsiaTheme="minorEastAsia"/>
          <w:bCs/>
          <w:sz w:val="24"/>
        </w:rPr>
        <w:t>DB23/T 727-202</w:t>
      </w:r>
      <w:r w:rsidR="00175C36" w:rsidRPr="00FC1444">
        <w:rPr>
          <w:rFonts w:eastAsiaTheme="minorEastAsia"/>
          <w:bCs/>
          <w:sz w:val="24"/>
        </w:rPr>
        <w:t>5</w:t>
      </w:r>
      <w:r w:rsidRPr="00FC1444">
        <w:rPr>
          <w:rFonts w:eastAsiaTheme="minorEastAsia"/>
          <w:bCs/>
          <w:sz w:val="24"/>
        </w:rPr>
        <w:t>）</w:t>
      </w:r>
      <w:r w:rsidRPr="00FC1444">
        <w:rPr>
          <w:rFonts w:eastAsiaTheme="minorEastAsia"/>
          <w:kern w:val="0"/>
          <w:sz w:val="24"/>
        </w:rPr>
        <w:t>，水源为地下水，设计灌溉保证率为</w:t>
      </w:r>
      <w:r w:rsidRPr="00FC1444">
        <w:rPr>
          <w:rFonts w:eastAsiaTheme="minorEastAsia"/>
          <w:kern w:val="0"/>
          <w:sz w:val="24"/>
        </w:rPr>
        <w:t>90%</w:t>
      </w:r>
      <w:r w:rsidR="00C50B3C" w:rsidRPr="00FC1444">
        <w:rPr>
          <w:rFonts w:eastAsiaTheme="minorEastAsia"/>
          <w:kern w:val="0"/>
          <w:sz w:val="24"/>
        </w:rPr>
        <w:t>，坐水种灌溉</w:t>
      </w:r>
      <w:r w:rsidRPr="00FC1444">
        <w:rPr>
          <w:rFonts w:eastAsiaTheme="minorEastAsia"/>
          <w:kern w:val="0"/>
          <w:sz w:val="24"/>
        </w:rPr>
        <w:t>定额</w:t>
      </w:r>
      <w:r w:rsidRPr="00FC1444">
        <w:rPr>
          <w:rFonts w:eastAsiaTheme="minorEastAsia"/>
          <w:kern w:val="0"/>
          <w:sz w:val="24"/>
        </w:rPr>
        <w:t>6m</w:t>
      </w:r>
      <w:r w:rsidRPr="00FC1444">
        <w:rPr>
          <w:rFonts w:eastAsiaTheme="minorEastAsia"/>
          <w:kern w:val="0"/>
          <w:sz w:val="24"/>
          <w:vertAlign w:val="superscript"/>
        </w:rPr>
        <w:t>3</w:t>
      </w:r>
      <w:r w:rsidRPr="00FC1444">
        <w:rPr>
          <w:rFonts w:eastAsiaTheme="minorEastAsia"/>
          <w:kern w:val="0"/>
          <w:sz w:val="24"/>
        </w:rPr>
        <w:t>/</w:t>
      </w:r>
      <w:r w:rsidRPr="00FC1444">
        <w:rPr>
          <w:rFonts w:eastAsiaTheme="minorEastAsia"/>
          <w:kern w:val="0"/>
          <w:sz w:val="24"/>
        </w:rPr>
        <w:t>亩，</w:t>
      </w:r>
      <w:r w:rsidR="00FD6E06" w:rsidRPr="00FC1444">
        <w:rPr>
          <w:rFonts w:eastAsiaTheme="minorEastAsia"/>
          <w:kern w:val="0"/>
          <w:sz w:val="24"/>
        </w:rPr>
        <w:t>灌溉水利用系数</w:t>
      </w:r>
      <w:r w:rsidR="00FD6E06" w:rsidRPr="00FC1444">
        <w:rPr>
          <w:rFonts w:eastAsiaTheme="minorEastAsia"/>
          <w:kern w:val="0"/>
          <w:sz w:val="24"/>
        </w:rPr>
        <w:t>0.85</w:t>
      </w:r>
      <w:r w:rsidR="00C50B3C" w:rsidRPr="00FC1444">
        <w:rPr>
          <w:rFonts w:eastAsiaTheme="minorEastAsia"/>
          <w:kern w:val="0"/>
          <w:sz w:val="24"/>
        </w:rPr>
        <w:t>，滴灌</w:t>
      </w:r>
      <w:r w:rsidRPr="00FC1444">
        <w:rPr>
          <w:rFonts w:eastAsiaTheme="minorEastAsia"/>
          <w:kern w:val="0"/>
          <w:sz w:val="24"/>
        </w:rPr>
        <w:t>定额为</w:t>
      </w:r>
      <w:r w:rsidR="00400760" w:rsidRPr="00FC1444">
        <w:rPr>
          <w:rFonts w:eastAsiaTheme="minorEastAsia"/>
          <w:kern w:val="0"/>
          <w:sz w:val="24"/>
        </w:rPr>
        <w:t>75</w:t>
      </w:r>
      <w:r w:rsidRPr="00FC1444">
        <w:rPr>
          <w:rFonts w:eastAsiaTheme="minorEastAsia"/>
          <w:kern w:val="0"/>
          <w:sz w:val="24"/>
        </w:rPr>
        <w:t>m</w:t>
      </w:r>
      <w:r w:rsidRPr="00FC1444">
        <w:rPr>
          <w:rFonts w:eastAsiaTheme="minorEastAsia"/>
          <w:kern w:val="0"/>
          <w:sz w:val="24"/>
          <w:vertAlign w:val="superscript"/>
        </w:rPr>
        <w:t>3</w:t>
      </w:r>
      <w:r w:rsidRPr="00FC1444">
        <w:rPr>
          <w:rFonts w:eastAsiaTheme="minorEastAsia"/>
          <w:kern w:val="0"/>
          <w:sz w:val="24"/>
        </w:rPr>
        <w:t>/</w:t>
      </w:r>
      <w:r w:rsidRPr="00FC1444">
        <w:rPr>
          <w:rFonts w:eastAsiaTheme="minorEastAsia"/>
          <w:kern w:val="0"/>
          <w:sz w:val="24"/>
        </w:rPr>
        <w:t>亩，滴灌灌溉水利用系数取</w:t>
      </w:r>
      <w:r w:rsidRPr="00FC1444">
        <w:rPr>
          <w:rFonts w:eastAsiaTheme="minorEastAsia"/>
          <w:kern w:val="0"/>
          <w:sz w:val="24"/>
        </w:rPr>
        <w:t>0.9</w:t>
      </w:r>
      <w:r w:rsidR="00DF41E3" w:rsidRPr="00FC1444">
        <w:rPr>
          <w:rFonts w:eastAsiaTheme="minorEastAsia"/>
          <w:kern w:val="0"/>
          <w:sz w:val="24"/>
        </w:rPr>
        <w:t>3</w:t>
      </w:r>
      <w:r w:rsidRPr="00FC1444">
        <w:rPr>
          <w:rFonts w:eastAsiaTheme="minorEastAsia"/>
          <w:kern w:val="0"/>
          <w:sz w:val="24"/>
        </w:rPr>
        <w:t>。</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本项目实现玉米</w:t>
      </w:r>
      <w:r w:rsidR="009F0766" w:rsidRPr="00FC1444">
        <w:rPr>
          <w:rFonts w:eastAsiaTheme="minorEastAsia"/>
          <w:kern w:val="0"/>
          <w:sz w:val="24"/>
        </w:rPr>
        <w:t>灌溉面积</w:t>
      </w:r>
      <w:r w:rsidR="00C11725" w:rsidRPr="00FC1444">
        <w:rPr>
          <w:rFonts w:eastAsiaTheme="minorEastAsia"/>
          <w:kern w:val="0"/>
          <w:sz w:val="24"/>
        </w:rPr>
        <w:t>44802</w:t>
      </w:r>
      <w:r w:rsidR="009F0766" w:rsidRPr="00FC1444">
        <w:rPr>
          <w:rFonts w:eastAsiaTheme="minorEastAsia"/>
          <w:kern w:val="0"/>
          <w:sz w:val="24"/>
        </w:rPr>
        <w:t>亩</w:t>
      </w:r>
      <w:r w:rsidRPr="00FC1444">
        <w:rPr>
          <w:rFonts w:eastAsiaTheme="minorEastAsia"/>
          <w:kern w:val="0"/>
          <w:sz w:val="24"/>
        </w:rPr>
        <w:t>，根据项目区的灌溉定额和灌溉水利用系数，灌溉总需水量为</w:t>
      </w:r>
      <w:r w:rsidR="00371E5B" w:rsidRPr="00FC1444">
        <w:rPr>
          <w:rFonts w:eastAsiaTheme="minorEastAsia"/>
          <w:kern w:val="0"/>
          <w:sz w:val="24"/>
        </w:rPr>
        <w:t>92.83</w:t>
      </w:r>
      <w:r w:rsidR="00371E5B" w:rsidRPr="00FC1444">
        <w:rPr>
          <w:rFonts w:eastAsiaTheme="minorEastAsia"/>
          <w:kern w:val="0"/>
          <w:sz w:val="24"/>
        </w:rPr>
        <w:t>万</w:t>
      </w:r>
      <w:r w:rsidRPr="00FC1444">
        <w:rPr>
          <w:rFonts w:eastAsiaTheme="minorEastAsia"/>
          <w:kern w:val="0"/>
          <w:sz w:val="24"/>
        </w:rPr>
        <w:t>m³/a</w:t>
      </w:r>
      <w:r w:rsidRPr="00FC1444">
        <w:rPr>
          <w:rFonts w:eastAsiaTheme="minorEastAsia"/>
          <w:kern w:val="0"/>
          <w:sz w:val="24"/>
        </w:rPr>
        <w:t>。</w:t>
      </w:r>
    </w:p>
    <w:p w:rsidR="002A5A5E" w:rsidRPr="00FC1444" w:rsidRDefault="003E5585">
      <w:pPr>
        <w:spacing w:line="360" w:lineRule="auto"/>
        <w:ind w:firstLineChars="200" w:firstLine="480"/>
        <w:contextualSpacing/>
        <w:rPr>
          <w:rFonts w:eastAsiaTheme="minorEastAsia"/>
          <w:bCs/>
          <w:kern w:val="0"/>
          <w:sz w:val="24"/>
        </w:rPr>
      </w:pPr>
      <w:r w:rsidRPr="00FC1444">
        <w:rPr>
          <w:rFonts w:eastAsiaTheme="minorEastAsia"/>
          <w:kern w:val="0"/>
          <w:sz w:val="24"/>
        </w:rPr>
        <w:t>（</w:t>
      </w:r>
      <w:r w:rsidRPr="00FC1444">
        <w:rPr>
          <w:rFonts w:eastAsiaTheme="minorEastAsia"/>
          <w:kern w:val="0"/>
          <w:sz w:val="24"/>
        </w:rPr>
        <w:t>3</w:t>
      </w:r>
      <w:r w:rsidRPr="00FC1444">
        <w:rPr>
          <w:rFonts w:eastAsiaTheme="minorEastAsia"/>
          <w:kern w:val="0"/>
          <w:sz w:val="24"/>
        </w:rPr>
        <w:t>）</w:t>
      </w:r>
      <w:r w:rsidR="00611CBA" w:rsidRPr="00FC1444">
        <w:rPr>
          <w:rFonts w:eastAsiaTheme="minorEastAsia"/>
          <w:bCs/>
          <w:kern w:val="0"/>
          <w:sz w:val="24"/>
        </w:rPr>
        <w:t>取水合理性分析</w:t>
      </w:r>
    </w:p>
    <w:p w:rsidR="002A5A5E" w:rsidRPr="00FC1444" w:rsidRDefault="00400760" w:rsidP="00400760">
      <w:pPr>
        <w:spacing w:line="360" w:lineRule="auto"/>
        <w:ind w:firstLineChars="200" w:firstLine="480"/>
        <w:rPr>
          <w:rFonts w:eastAsiaTheme="minorEastAsia"/>
          <w:sz w:val="24"/>
        </w:rPr>
      </w:pPr>
      <w:r w:rsidRPr="00FC1444">
        <w:rPr>
          <w:rFonts w:eastAsiaTheme="minorEastAsia"/>
          <w:sz w:val="24"/>
        </w:rPr>
        <w:t>根据已批复《北林区</w:t>
      </w:r>
      <w:r w:rsidRPr="00FC1444">
        <w:rPr>
          <w:rFonts w:eastAsiaTheme="minorEastAsia"/>
          <w:sz w:val="24"/>
        </w:rPr>
        <w:t>2026</w:t>
      </w:r>
      <w:r w:rsidRPr="00FC1444">
        <w:rPr>
          <w:rFonts w:eastAsiaTheme="minorEastAsia"/>
          <w:sz w:val="24"/>
        </w:rPr>
        <w:t>年高标准农田建设项目水资源论证报告书》可知，</w:t>
      </w:r>
      <w:r w:rsidR="00611CBA" w:rsidRPr="00FC1444">
        <w:rPr>
          <w:rFonts w:eastAsiaTheme="minorEastAsia"/>
          <w:bCs/>
          <w:kern w:val="0"/>
          <w:sz w:val="24"/>
        </w:rPr>
        <w:t>井群连续开采最大水位降深为</w:t>
      </w:r>
      <w:r w:rsidRPr="00FC1444">
        <w:rPr>
          <w:rFonts w:eastAsiaTheme="minorEastAsia"/>
          <w:bCs/>
          <w:kern w:val="0"/>
          <w:sz w:val="24"/>
        </w:rPr>
        <w:t>0.016</w:t>
      </w:r>
      <w:r w:rsidRPr="00FC1444">
        <w:rPr>
          <w:rFonts w:eastAsiaTheme="minorEastAsia"/>
          <w:bCs/>
          <w:kern w:val="0"/>
          <w:sz w:val="24"/>
        </w:rPr>
        <w:t>～</w:t>
      </w:r>
      <w:r w:rsidRPr="00FC1444">
        <w:rPr>
          <w:rFonts w:eastAsiaTheme="minorEastAsia"/>
          <w:bCs/>
          <w:kern w:val="0"/>
          <w:sz w:val="24"/>
        </w:rPr>
        <w:t>0.021m</w:t>
      </w:r>
      <w:r w:rsidR="00611CBA" w:rsidRPr="00FC1444">
        <w:rPr>
          <w:rFonts w:eastAsiaTheme="minorEastAsia"/>
          <w:bCs/>
          <w:kern w:val="0"/>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区域地下水水位年内和年际变化较小，地下水流场较稳定。新增项目取水特点是井群集中开采，开采量均远小于单井允许开采量，根据单井出水量、布井数量、井距和布井范围的影响，井群中心水位受影响水位下降变化较小。水源井在开采状态下，降深小于</w:t>
      </w:r>
      <w:r w:rsidR="00400760" w:rsidRPr="00FC1444">
        <w:rPr>
          <w:rFonts w:eastAsiaTheme="minorEastAsia"/>
          <w:sz w:val="24"/>
        </w:rPr>
        <w:t>0.1</w:t>
      </w:r>
      <w:r w:rsidRPr="00FC1444">
        <w:rPr>
          <w:rFonts w:eastAsiaTheme="minorEastAsia"/>
          <w:sz w:val="24"/>
        </w:rPr>
        <w:t>m</w:t>
      </w:r>
      <w:r w:rsidRPr="00FC1444">
        <w:rPr>
          <w:rFonts w:eastAsiaTheme="minorEastAsia"/>
          <w:sz w:val="24"/>
        </w:rPr>
        <w:t>，远小于含水层厚度的</w:t>
      </w:r>
      <w:r w:rsidRPr="00FC1444">
        <w:rPr>
          <w:rFonts w:eastAsiaTheme="minorEastAsia"/>
          <w:sz w:val="24"/>
        </w:rPr>
        <w:t>1/2</w:t>
      </w:r>
      <w:r w:rsidRPr="00FC1444">
        <w:rPr>
          <w:rFonts w:eastAsiaTheme="minorEastAsia"/>
          <w:sz w:val="24"/>
        </w:rPr>
        <w:t>，诱发环境地质问题的可能性小。</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本项目取水特点是灌溉期按周期取水。鉴于本区处于漫滩和阶地区，地下水资源丰富，地下水补给、径流、排泄条件通畅，</w:t>
      </w:r>
      <w:r w:rsidRPr="00FC1444">
        <w:rPr>
          <w:rFonts w:eastAsiaTheme="minorEastAsia"/>
          <w:bCs/>
          <w:sz w:val="24"/>
        </w:rPr>
        <w:t>项目实施后，论证区开采后地下水流场没有发生大的变化。受区域地形地貌、气候特征及土壤条件影响，项目区地下水含水层的大气降水垂直入渗补给条件较好，含水层调节能力强。因此，本项目取水不会引起论证区内的地下水水位持续下降，也不会产生严重的环境地质问题。</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bCs/>
          <w:kern w:val="0"/>
          <w:sz w:val="24"/>
        </w:rPr>
        <w:t>根据预测结果，井群连续开采最大水位降深为</w:t>
      </w:r>
      <w:r w:rsidR="00400760" w:rsidRPr="00FC1444">
        <w:rPr>
          <w:rFonts w:eastAsiaTheme="minorEastAsia"/>
          <w:bCs/>
          <w:kern w:val="0"/>
          <w:sz w:val="24"/>
        </w:rPr>
        <w:t>0.016</w:t>
      </w:r>
      <w:r w:rsidR="00400760" w:rsidRPr="00FC1444">
        <w:rPr>
          <w:rFonts w:eastAsiaTheme="minorEastAsia"/>
          <w:bCs/>
          <w:kern w:val="0"/>
          <w:sz w:val="24"/>
        </w:rPr>
        <w:t>～</w:t>
      </w:r>
      <w:r w:rsidR="00400760" w:rsidRPr="00FC1444">
        <w:rPr>
          <w:rFonts w:eastAsiaTheme="minorEastAsia"/>
          <w:bCs/>
          <w:kern w:val="0"/>
          <w:sz w:val="24"/>
        </w:rPr>
        <w:t>0.021m</w:t>
      </w:r>
      <w:r w:rsidRPr="00FC1444">
        <w:rPr>
          <w:rFonts w:eastAsiaTheme="minorEastAsia"/>
          <w:bCs/>
          <w:kern w:val="0"/>
          <w:sz w:val="24"/>
        </w:rPr>
        <w:t>，</w:t>
      </w:r>
      <w:r w:rsidR="00FD6E06" w:rsidRPr="00FC1444">
        <w:rPr>
          <w:rFonts w:eastAsiaTheme="minorEastAsia"/>
          <w:bCs/>
          <w:kern w:val="0"/>
          <w:sz w:val="24"/>
        </w:rPr>
        <w:t>小于</w:t>
      </w:r>
      <w:r w:rsidR="00FD6E06" w:rsidRPr="00FC1444">
        <w:rPr>
          <w:rFonts w:eastAsiaTheme="minorEastAsia"/>
          <w:bCs/>
          <w:kern w:val="0"/>
          <w:sz w:val="24"/>
        </w:rPr>
        <w:t>0.1m</w:t>
      </w:r>
      <w:r w:rsidRPr="00FC1444">
        <w:rPr>
          <w:rFonts w:eastAsiaTheme="minorEastAsia"/>
          <w:bCs/>
          <w:kern w:val="0"/>
          <w:sz w:val="24"/>
        </w:rPr>
        <w:t>，</w:t>
      </w:r>
      <w:r w:rsidRPr="00FC1444">
        <w:rPr>
          <w:rFonts w:eastAsiaTheme="minorEastAsia"/>
          <w:bCs/>
          <w:kern w:val="0"/>
          <w:sz w:val="24"/>
        </w:rPr>
        <w:lastRenderedPageBreak/>
        <w:t>小于含水层厚度</w:t>
      </w:r>
      <w:r w:rsidRPr="00FC1444">
        <w:rPr>
          <w:rFonts w:eastAsiaTheme="minorEastAsia"/>
          <w:bCs/>
          <w:kern w:val="0"/>
          <w:sz w:val="24"/>
        </w:rPr>
        <w:t>30m</w:t>
      </w:r>
      <w:r w:rsidRPr="00FC1444">
        <w:rPr>
          <w:rFonts w:eastAsiaTheme="minorEastAsia"/>
          <w:bCs/>
          <w:kern w:val="0"/>
          <w:sz w:val="24"/>
        </w:rPr>
        <w:t>的三分之一，故项目取水造成的地下水水位降深在允许范围内。项目实际开采为非持续性，且开采期为每年的</w:t>
      </w:r>
      <w:r w:rsidRPr="00FC1444">
        <w:rPr>
          <w:rFonts w:eastAsiaTheme="minorEastAsia"/>
          <w:bCs/>
          <w:kern w:val="0"/>
          <w:sz w:val="24"/>
        </w:rPr>
        <w:t>5-7</w:t>
      </w:r>
      <w:r w:rsidRPr="00FC1444">
        <w:rPr>
          <w:rFonts w:eastAsiaTheme="minorEastAsia"/>
          <w:bCs/>
          <w:kern w:val="0"/>
          <w:sz w:val="24"/>
        </w:rPr>
        <w:t>月，随着</w:t>
      </w:r>
      <w:r w:rsidRPr="00FC1444">
        <w:rPr>
          <w:rFonts w:eastAsiaTheme="minorEastAsia"/>
          <w:bCs/>
          <w:kern w:val="0"/>
          <w:sz w:val="24"/>
        </w:rPr>
        <w:t>7</w:t>
      </w:r>
      <w:r w:rsidRPr="00FC1444">
        <w:rPr>
          <w:rFonts w:eastAsiaTheme="minorEastAsia"/>
          <w:bCs/>
          <w:kern w:val="0"/>
          <w:sz w:val="24"/>
        </w:rPr>
        <w:t>月份丰水期的到来，得益于对地下水良好的补给条件，以丰补歉，项目取水水源地所在区域含水层厚度较大，富水性较好，水量和水质条件均能够满足项目用水要求。同时项目取水对区域水资源状况影响较小。</w:t>
      </w:r>
    </w:p>
    <w:p w:rsidR="002A5A5E" w:rsidRPr="00FC1444" w:rsidRDefault="003E5585">
      <w:pPr>
        <w:spacing w:line="360" w:lineRule="auto"/>
        <w:ind w:firstLineChars="200" w:firstLine="480"/>
        <w:contextualSpacing/>
        <w:rPr>
          <w:rFonts w:eastAsiaTheme="minorEastAsia"/>
          <w:bCs/>
          <w:kern w:val="0"/>
          <w:sz w:val="24"/>
        </w:rPr>
      </w:pPr>
      <w:r w:rsidRPr="00FC1444">
        <w:rPr>
          <w:rFonts w:eastAsiaTheme="minorEastAsia"/>
          <w:bCs/>
          <w:kern w:val="0"/>
          <w:sz w:val="24"/>
        </w:rPr>
        <w:t>（</w:t>
      </w:r>
      <w:r w:rsidRPr="00FC1444">
        <w:rPr>
          <w:rFonts w:eastAsiaTheme="minorEastAsia"/>
          <w:bCs/>
          <w:kern w:val="0"/>
          <w:sz w:val="24"/>
        </w:rPr>
        <w:t>4</w:t>
      </w:r>
      <w:r w:rsidRPr="00FC1444">
        <w:rPr>
          <w:rFonts w:eastAsiaTheme="minorEastAsia"/>
          <w:bCs/>
          <w:kern w:val="0"/>
          <w:sz w:val="24"/>
        </w:rPr>
        <w:t>）</w:t>
      </w:r>
      <w:r w:rsidR="00611CBA" w:rsidRPr="00FC1444">
        <w:rPr>
          <w:rFonts w:eastAsiaTheme="minorEastAsia"/>
          <w:bCs/>
          <w:kern w:val="0"/>
          <w:sz w:val="24"/>
        </w:rPr>
        <w:t>地下水开采影响范围</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bCs/>
          <w:kern w:val="0"/>
          <w:sz w:val="24"/>
        </w:rPr>
        <w:t>将开采井群概化为一眼大井，以平均日取水量开采，以预测开采井中心水位降深为大井的降深，采用吉哈尔特公式预测拟建地块开采后的影响范围。</w:t>
      </w:r>
    </w:p>
    <w:p w:rsidR="002A5A5E" w:rsidRPr="00FC1444" w:rsidRDefault="00611CBA">
      <w:pPr>
        <w:spacing w:line="360" w:lineRule="auto"/>
        <w:ind w:firstLineChars="200" w:firstLine="480"/>
        <w:contextualSpacing/>
        <w:jc w:val="center"/>
        <w:rPr>
          <w:rFonts w:eastAsiaTheme="minorEastAsia"/>
          <w:bCs/>
          <w:kern w:val="0"/>
          <w:sz w:val="24"/>
        </w:rPr>
      </w:pPr>
      <w:r w:rsidRPr="00FC1444">
        <w:rPr>
          <w:rFonts w:eastAsiaTheme="minorEastAsia"/>
          <w:bCs/>
          <w:noProof/>
          <w:kern w:val="0"/>
          <w:sz w:val="24"/>
        </w:rPr>
        <w:drawing>
          <wp:inline distT="0" distB="0" distL="0" distR="0">
            <wp:extent cx="1118235" cy="390525"/>
            <wp:effectExtent l="19050" t="0" r="5168" b="0"/>
            <wp:docPr id="67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图片 30"/>
                    <pic:cNvPicPr>
                      <a:picLocks noChangeAspect="1" noChangeArrowheads="1"/>
                    </pic:cNvPicPr>
                  </pic:nvPicPr>
                  <pic:blipFill>
                    <a:blip r:embed="rId66"/>
                    <a:srcRect/>
                    <a:stretch>
                      <a:fillRect/>
                    </a:stretch>
                  </pic:blipFill>
                  <pic:spPr>
                    <a:xfrm>
                      <a:off x="0" y="0"/>
                      <a:ext cx="1127726" cy="393737"/>
                    </a:xfrm>
                    <a:prstGeom prst="rect">
                      <a:avLst/>
                    </a:prstGeom>
                    <a:noFill/>
                    <a:ln w="9525">
                      <a:noFill/>
                      <a:miter lim="800000"/>
                      <a:headEnd/>
                      <a:tailEnd/>
                    </a:ln>
                  </pic:spPr>
                </pic:pic>
              </a:graphicData>
            </a:graphic>
          </wp:inline>
        </w:drawing>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式中：</w:t>
      </w:r>
      <w:r w:rsidRPr="00FC1444">
        <w:rPr>
          <w:rFonts w:eastAsiaTheme="minorEastAsia"/>
          <w:sz w:val="24"/>
        </w:rPr>
        <w:t>R—</w:t>
      </w:r>
      <w:r w:rsidRPr="00FC1444">
        <w:rPr>
          <w:rFonts w:eastAsiaTheme="minorEastAsia"/>
          <w:sz w:val="24"/>
        </w:rPr>
        <w:t>影响半径（</w:t>
      </w:r>
      <w:r w:rsidRPr="00FC1444">
        <w:rPr>
          <w:rFonts w:eastAsiaTheme="minorEastAsia"/>
          <w:sz w:val="24"/>
        </w:rPr>
        <w:t>m</w:t>
      </w:r>
      <w:r w:rsidRPr="00FC1444">
        <w:rPr>
          <w:rFonts w:eastAsiaTheme="minorEastAsia"/>
          <w:sz w:val="24"/>
        </w:rPr>
        <w:t>）；</w:t>
      </w:r>
    </w:p>
    <w:p w:rsidR="002A5A5E" w:rsidRPr="00FC1444" w:rsidRDefault="00611CBA">
      <w:pPr>
        <w:spacing w:line="360" w:lineRule="auto"/>
        <w:ind w:firstLineChars="500" w:firstLine="1200"/>
        <w:rPr>
          <w:rFonts w:eastAsiaTheme="minorEastAsia"/>
          <w:sz w:val="24"/>
        </w:rPr>
      </w:pPr>
      <w:r w:rsidRPr="00FC1444">
        <w:rPr>
          <w:rFonts w:eastAsiaTheme="minorEastAsia"/>
          <w:sz w:val="24"/>
        </w:rPr>
        <w:t>S—</w:t>
      </w:r>
      <w:r w:rsidRPr="00FC1444">
        <w:rPr>
          <w:rFonts w:eastAsiaTheme="minorEastAsia"/>
          <w:sz w:val="24"/>
        </w:rPr>
        <w:t>水位降深（</w:t>
      </w:r>
      <w:r w:rsidRPr="00FC1444">
        <w:rPr>
          <w:rFonts w:eastAsiaTheme="minorEastAsia"/>
          <w:sz w:val="24"/>
        </w:rPr>
        <w:t>m</w:t>
      </w:r>
      <w:r w:rsidRPr="00FC1444">
        <w:rPr>
          <w:rFonts w:eastAsiaTheme="minorEastAsia"/>
          <w:sz w:val="24"/>
        </w:rPr>
        <w:t>），经前文计算取</w:t>
      </w:r>
      <w:r w:rsidR="00400760" w:rsidRPr="00FC1444">
        <w:rPr>
          <w:rFonts w:eastAsiaTheme="minorEastAsia"/>
          <w:sz w:val="24"/>
        </w:rPr>
        <w:t>0.016</w:t>
      </w:r>
      <w:r w:rsidR="00400760" w:rsidRPr="00FC1444">
        <w:rPr>
          <w:rFonts w:eastAsiaTheme="minorEastAsia"/>
          <w:sz w:val="24"/>
        </w:rPr>
        <w:t>～</w:t>
      </w:r>
      <w:r w:rsidR="00400760" w:rsidRPr="00FC1444">
        <w:rPr>
          <w:rFonts w:eastAsiaTheme="minorEastAsia"/>
          <w:sz w:val="24"/>
        </w:rPr>
        <w:t>0.021m</w:t>
      </w:r>
      <w:r w:rsidRPr="00FC1444">
        <w:rPr>
          <w:rFonts w:eastAsiaTheme="minorEastAsia"/>
          <w:sz w:val="24"/>
        </w:rPr>
        <w:t>；</w:t>
      </w:r>
    </w:p>
    <w:p w:rsidR="002A5A5E" w:rsidRPr="00FC1444" w:rsidRDefault="00611CBA">
      <w:pPr>
        <w:spacing w:line="360" w:lineRule="auto"/>
        <w:ind w:firstLineChars="500" w:firstLine="1200"/>
        <w:rPr>
          <w:rFonts w:eastAsiaTheme="minorEastAsia"/>
          <w:sz w:val="24"/>
        </w:rPr>
      </w:pPr>
      <w:r w:rsidRPr="00FC1444">
        <w:rPr>
          <w:rFonts w:eastAsiaTheme="minorEastAsia"/>
          <w:sz w:val="24"/>
        </w:rPr>
        <w:t>K—</w:t>
      </w:r>
      <w:r w:rsidRPr="00FC1444">
        <w:rPr>
          <w:rFonts w:eastAsiaTheme="minorEastAsia"/>
          <w:sz w:val="24"/>
        </w:rPr>
        <w:t>渗透系数（</w:t>
      </w:r>
      <w:r w:rsidRPr="00FC1444">
        <w:rPr>
          <w:rFonts w:eastAsiaTheme="minorEastAsia"/>
          <w:sz w:val="24"/>
        </w:rPr>
        <w:t>m/d</w:t>
      </w:r>
      <w:r w:rsidRPr="00FC1444">
        <w:rPr>
          <w:rFonts w:eastAsiaTheme="minorEastAsia"/>
          <w:sz w:val="24"/>
        </w:rPr>
        <w:t>），</w:t>
      </w:r>
      <w:r w:rsidRPr="00FC1444">
        <w:rPr>
          <w:rFonts w:eastAsiaTheme="minorEastAsia"/>
          <w:sz w:val="24"/>
          <w:szCs w:val="22"/>
        </w:rPr>
        <w:t>数据来源</w:t>
      </w:r>
      <w:r w:rsidRPr="00FC1444">
        <w:rPr>
          <w:rFonts w:eastAsiaTheme="minorEastAsia"/>
          <w:sz w:val="24"/>
          <w:szCs w:val="22"/>
        </w:rPr>
        <w:t>“</w:t>
      </w:r>
      <w:r w:rsidRPr="00FC1444">
        <w:rPr>
          <w:rFonts w:eastAsiaTheme="minorEastAsia"/>
          <w:sz w:val="24"/>
          <w:szCs w:val="22"/>
        </w:rPr>
        <w:t>《</w:t>
      </w:r>
      <w:r w:rsidR="00AE168C" w:rsidRPr="00FC1444">
        <w:rPr>
          <w:rFonts w:eastAsiaTheme="minorEastAsia"/>
          <w:sz w:val="24"/>
          <w:szCs w:val="22"/>
        </w:rPr>
        <w:t>北林区</w:t>
      </w:r>
      <w:r w:rsidR="00AE168C" w:rsidRPr="00FC1444">
        <w:rPr>
          <w:rFonts w:eastAsiaTheme="minorEastAsia"/>
          <w:sz w:val="24"/>
          <w:szCs w:val="22"/>
        </w:rPr>
        <w:t>2026</w:t>
      </w:r>
      <w:r w:rsidR="00AE168C" w:rsidRPr="00FC1444">
        <w:rPr>
          <w:rFonts w:eastAsiaTheme="minorEastAsia"/>
          <w:sz w:val="24"/>
          <w:szCs w:val="22"/>
        </w:rPr>
        <w:t>年高标准农田建设项目</w:t>
      </w:r>
      <w:r w:rsidRPr="00FC1444">
        <w:rPr>
          <w:rFonts w:eastAsiaTheme="minorEastAsia"/>
          <w:sz w:val="24"/>
          <w:szCs w:val="22"/>
        </w:rPr>
        <w:t>水资源论证报告书》</w:t>
      </w:r>
      <w:r w:rsidRPr="00FC1444">
        <w:rPr>
          <w:rFonts w:eastAsiaTheme="minorEastAsia"/>
          <w:sz w:val="24"/>
          <w:szCs w:val="22"/>
        </w:rPr>
        <w:t>”</w:t>
      </w:r>
      <w:r w:rsidRPr="00FC1444">
        <w:rPr>
          <w:rFonts w:eastAsiaTheme="minorEastAsia"/>
          <w:sz w:val="24"/>
        </w:rPr>
        <w:t>，</w:t>
      </w:r>
      <w:r w:rsidRPr="00FC1444">
        <w:rPr>
          <w:rFonts w:eastAsiaTheme="minorEastAsia"/>
          <w:sz w:val="24"/>
        </w:rPr>
        <w:t>25m/d</w:t>
      </w:r>
      <w:r w:rsidRPr="00FC1444">
        <w:rPr>
          <w:rFonts w:eastAsiaTheme="minorEastAsia"/>
          <w:sz w:val="24"/>
        </w:rPr>
        <w:t>；</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bCs/>
          <w:kern w:val="0"/>
          <w:sz w:val="24"/>
        </w:rPr>
        <w:t>经计算，本项目最远影响范围为</w:t>
      </w:r>
      <w:r w:rsidR="00003BA4" w:rsidRPr="00FC1444">
        <w:rPr>
          <w:rFonts w:eastAsiaTheme="minorEastAsia"/>
          <w:bCs/>
          <w:kern w:val="0"/>
          <w:sz w:val="24"/>
        </w:rPr>
        <w:t>约</w:t>
      </w:r>
      <w:r w:rsidR="00003BA4" w:rsidRPr="00FC1444">
        <w:rPr>
          <w:rFonts w:eastAsiaTheme="minorEastAsia"/>
          <w:bCs/>
          <w:kern w:val="0"/>
          <w:sz w:val="24"/>
        </w:rPr>
        <w:t>1.05m</w:t>
      </w:r>
      <w:r w:rsidRPr="00FC1444">
        <w:rPr>
          <w:rFonts w:eastAsiaTheme="minorEastAsia"/>
          <w:bCs/>
          <w:kern w:val="0"/>
          <w:sz w:val="24"/>
        </w:rPr>
        <w:t>，根据项目开采井布置方案，因项目取水造成的地下水位下降基本局限在项目地块内，对地块外的取水基本不产生影响</w:t>
      </w:r>
      <w:r w:rsidRPr="00FC1444">
        <w:rPr>
          <w:rFonts w:eastAsiaTheme="minorEastAsia"/>
          <w:kern w:val="0"/>
          <w:sz w:val="24"/>
        </w:rPr>
        <w:t>。</w:t>
      </w:r>
      <w:r w:rsidRPr="00FC1444">
        <w:rPr>
          <w:rFonts w:eastAsiaTheme="minorEastAsia"/>
          <w:bCs/>
          <w:kern w:val="0"/>
          <w:sz w:val="24"/>
        </w:rPr>
        <w:t>本项目用水方式属间歇式开采，水位降深可在停止开采后快速得到调节恢复，不会形成长时间大面积地下水超采区，能够保持项目区的地下水总体补给平衡。</w:t>
      </w:r>
    </w:p>
    <w:p w:rsidR="002A5A5E" w:rsidRPr="00FC1444" w:rsidRDefault="003E5585">
      <w:pPr>
        <w:spacing w:line="360" w:lineRule="auto"/>
        <w:ind w:firstLineChars="200" w:firstLine="480"/>
        <w:contextualSpacing/>
        <w:rPr>
          <w:rFonts w:eastAsiaTheme="minorEastAsia"/>
          <w:bCs/>
          <w:sz w:val="24"/>
        </w:rPr>
      </w:pPr>
      <w:r w:rsidRPr="00FC1444">
        <w:rPr>
          <w:rFonts w:eastAsiaTheme="minorEastAsia"/>
          <w:kern w:val="0"/>
          <w:sz w:val="24"/>
        </w:rPr>
        <w:t>（</w:t>
      </w:r>
      <w:r w:rsidRPr="00FC1444">
        <w:rPr>
          <w:rFonts w:eastAsiaTheme="minorEastAsia"/>
          <w:kern w:val="0"/>
          <w:sz w:val="24"/>
        </w:rPr>
        <w:t>5</w:t>
      </w:r>
      <w:r w:rsidRPr="00FC1444">
        <w:rPr>
          <w:rFonts w:eastAsiaTheme="minorEastAsia"/>
          <w:kern w:val="0"/>
          <w:sz w:val="24"/>
        </w:rPr>
        <w:t>）</w:t>
      </w:r>
      <w:r w:rsidR="00611CBA" w:rsidRPr="00FC1444">
        <w:rPr>
          <w:rFonts w:eastAsiaTheme="minorEastAsia"/>
          <w:bCs/>
          <w:sz w:val="24"/>
        </w:rPr>
        <w:t>取水、灌溉影响分析</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kern w:val="0"/>
          <w:sz w:val="24"/>
        </w:rPr>
        <w:t>1</w:t>
      </w:r>
      <w:r w:rsidRPr="00FC1444">
        <w:rPr>
          <w:rFonts w:eastAsiaTheme="minorEastAsia"/>
          <w:kern w:val="0"/>
          <w:sz w:val="24"/>
        </w:rPr>
        <w:t>）</w:t>
      </w:r>
      <w:r w:rsidRPr="00FC1444">
        <w:rPr>
          <w:rFonts w:eastAsiaTheme="minorEastAsia"/>
          <w:bCs/>
          <w:kern w:val="0"/>
          <w:sz w:val="24"/>
        </w:rPr>
        <w:t>对区域地下水环境的影响</w:t>
      </w:r>
    </w:p>
    <w:p w:rsidR="002A5A5E" w:rsidRPr="00FC1444" w:rsidRDefault="00611CBA">
      <w:pPr>
        <w:spacing w:line="360" w:lineRule="auto"/>
        <w:ind w:firstLineChars="200" w:firstLine="480"/>
        <w:rPr>
          <w:rFonts w:eastAsiaTheme="minorEastAsia"/>
          <w:kern w:val="0"/>
          <w:sz w:val="24"/>
          <w:szCs w:val="22"/>
        </w:rPr>
      </w:pPr>
      <w:r w:rsidRPr="00FC1444">
        <w:rPr>
          <w:rFonts w:eastAsiaTheme="minorEastAsia"/>
          <w:sz w:val="24"/>
        </w:rPr>
        <w:t>从长期对地下水资源量分析看，节水工程建设采用的是高效节水形式，用水量与常规灌溉方式比较用水量较小，同时可以通过开发利用区域地下水，可以增加降雨、湖泡、侧向的补给量，用水量对地下水资源以有利影响为主。</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水资源论证报告对开采后地下水水位进行了预测，</w:t>
      </w:r>
      <w:r w:rsidRPr="00FC1444">
        <w:rPr>
          <w:rFonts w:eastAsiaTheme="minorEastAsia"/>
          <w:bCs/>
          <w:kern w:val="0"/>
          <w:sz w:val="24"/>
        </w:rPr>
        <w:t>论证区即使持续开采取水中心最大水位降深</w:t>
      </w:r>
      <w:r w:rsidR="00FD6E06" w:rsidRPr="00FC1444">
        <w:rPr>
          <w:rFonts w:eastAsiaTheme="minorEastAsia"/>
          <w:bCs/>
          <w:kern w:val="0"/>
          <w:sz w:val="24"/>
        </w:rPr>
        <w:t>小于</w:t>
      </w:r>
      <w:r w:rsidR="00FD6E06" w:rsidRPr="00FC1444">
        <w:rPr>
          <w:rFonts w:eastAsiaTheme="minorEastAsia"/>
          <w:bCs/>
          <w:kern w:val="0"/>
          <w:sz w:val="24"/>
        </w:rPr>
        <w:t>0.1m</w:t>
      </w:r>
      <w:r w:rsidRPr="00FC1444">
        <w:rPr>
          <w:rFonts w:eastAsiaTheme="minorEastAsia"/>
          <w:kern w:val="0"/>
          <w:sz w:val="24"/>
        </w:rPr>
        <w:t>，小于合理降深</w:t>
      </w:r>
      <w:r w:rsidRPr="00FC1444">
        <w:rPr>
          <w:rFonts w:eastAsiaTheme="minorEastAsia"/>
          <w:kern w:val="0"/>
          <w:sz w:val="24"/>
        </w:rPr>
        <w:t>5m</w:t>
      </w:r>
      <w:r w:rsidRPr="00FC1444">
        <w:rPr>
          <w:rFonts w:eastAsiaTheme="minorEastAsia"/>
          <w:kern w:val="0"/>
          <w:sz w:val="24"/>
        </w:rPr>
        <w:t>的动水位要求</w:t>
      </w:r>
      <w:r w:rsidRPr="00FC1444">
        <w:rPr>
          <w:rFonts w:eastAsiaTheme="minorEastAsia"/>
          <w:bCs/>
          <w:kern w:val="0"/>
          <w:sz w:val="24"/>
        </w:rPr>
        <w:t>，</w:t>
      </w:r>
      <w:r w:rsidRPr="00FC1444">
        <w:rPr>
          <w:rFonts w:eastAsiaTheme="minorEastAsia"/>
          <w:kern w:val="0"/>
          <w:sz w:val="24"/>
        </w:rPr>
        <w:t>同时本工程为非持续性取水，基本分布于春季耕种和夏季防旱，本项目灌溉水除植物吸收外，基本以蒸发和下渗的方式回归自然，能够对地下水位的恢复起到正效益，同时在丰水期地下水得到充分的补给，地下水位可以得到充分恢复。</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bCs/>
          <w:sz w:val="24"/>
        </w:rPr>
        <w:t>本次改造后，通过加强管理，</w:t>
      </w:r>
      <w:r w:rsidRPr="00FC1444">
        <w:rPr>
          <w:rFonts w:eastAsiaTheme="minorEastAsia"/>
          <w:sz w:val="24"/>
        </w:rPr>
        <w:t>施行</w:t>
      </w:r>
      <w:r w:rsidRPr="00FC1444">
        <w:rPr>
          <w:rFonts w:eastAsiaTheme="minorEastAsia"/>
          <w:sz w:val="24"/>
        </w:rPr>
        <w:t>“</w:t>
      </w:r>
      <w:r w:rsidRPr="00FC1444">
        <w:rPr>
          <w:rFonts w:eastAsiaTheme="minorEastAsia"/>
          <w:sz w:val="24"/>
        </w:rPr>
        <w:t>三减</w:t>
      </w:r>
      <w:r w:rsidRPr="00FC1444">
        <w:rPr>
          <w:rFonts w:eastAsiaTheme="minorEastAsia"/>
          <w:sz w:val="24"/>
        </w:rPr>
        <w:t>”</w:t>
      </w:r>
      <w:r w:rsidRPr="00FC1444">
        <w:rPr>
          <w:rFonts w:eastAsiaTheme="minorEastAsia"/>
          <w:sz w:val="24"/>
        </w:rPr>
        <w:t>行动，即减化肥、减农药、减除草</w:t>
      </w:r>
      <w:r w:rsidRPr="00FC1444">
        <w:rPr>
          <w:rFonts w:eastAsiaTheme="minorEastAsia"/>
          <w:sz w:val="24"/>
        </w:rPr>
        <w:lastRenderedPageBreak/>
        <w:t>剂，</w:t>
      </w:r>
      <w:r w:rsidRPr="00FC1444">
        <w:rPr>
          <w:rFonts w:eastAsiaTheme="minorEastAsia"/>
          <w:bCs/>
          <w:sz w:val="24"/>
        </w:rPr>
        <w:t>削减化肥和化学农药用量，增加有机肥、复合肥以及生物农药和高效低毒低残留农药的施用量。采取测土配方施肥、水肥一体化措施，防止农药、化肥污染地下水体。合理安排施肥、施药时间，减轻对地下水环境的污染。</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kern w:val="0"/>
          <w:sz w:val="24"/>
        </w:rPr>
        <w:t>2</w:t>
      </w:r>
      <w:r w:rsidRPr="00FC1444">
        <w:rPr>
          <w:rFonts w:eastAsiaTheme="minorEastAsia"/>
          <w:kern w:val="0"/>
          <w:sz w:val="24"/>
        </w:rPr>
        <w:t>）</w:t>
      </w:r>
      <w:r w:rsidRPr="00FC1444">
        <w:rPr>
          <w:rFonts w:eastAsiaTheme="minorEastAsia"/>
          <w:bCs/>
          <w:kern w:val="0"/>
          <w:sz w:val="24"/>
        </w:rPr>
        <w:t>对其他取水户的影响</w:t>
      </w:r>
    </w:p>
    <w:p w:rsidR="002A5A5E" w:rsidRPr="00FC1444" w:rsidRDefault="00611CBA">
      <w:pPr>
        <w:spacing w:line="360" w:lineRule="auto"/>
        <w:ind w:firstLineChars="200" w:firstLine="480"/>
        <w:contextualSpacing/>
        <w:rPr>
          <w:rFonts w:eastAsiaTheme="minorEastAsia"/>
          <w:sz w:val="24"/>
          <w:szCs w:val="20"/>
        </w:rPr>
      </w:pPr>
      <w:r w:rsidRPr="00FC1444">
        <w:rPr>
          <w:rFonts w:eastAsiaTheme="minorEastAsia"/>
          <w:sz w:val="24"/>
        </w:rPr>
        <w:t>根据已批复《</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水资源论证报告书》</w:t>
      </w:r>
      <w:r w:rsidRPr="00FC1444">
        <w:rPr>
          <w:rFonts w:eastAsiaTheme="minorEastAsia"/>
          <w:sz w:val="24"/>
          <w:szCs w:val="20"/>
        </w:rPr>
        <w:t>，项目区内主要用水户为农村居民生活和牲畜用水。项目建设后，已经考虑农村居民生活和牲畜用水的预留量，最大影响半径为</w:t>
      </w:r>
      <w:r w:rsidR="00211D82" w:rsidRPr="00FC1444">
        <w:rPr>
          <w:rFonts w:eastAsiaTheme="minorEastAsia" w:hint="eastAsia"/>
          <w:sz w:val="24"/>
          <w:szCs w:val="20"/>
        </w:rPr>
        <w:t>1.05</w:t>
      </w:r>
      <w:r w:rsidRPr="00FC1444">
        <w:rPr>
          <w:rFonts w:eastAsiaTheme="minorEastAsia"/>
          <w:sz w:val="24"/>
          <w:szCs w:val="20"/>
        </w:rPr>
        <w:t>m</w:t>
      </w:r>
      <w:r w:rsidRPr="00FC1444">
        <w:rPr>
          <w:rFonts w:eastAsiaTheme="minorEastAsia"/>
          <w:sz w:val="24"/>
          <w:szCs w:val="20"/>
        </w:rPr>
        <w:t>，而水井间距基本控制在</w:t>
      </w:r>
      <w:r w:rsidR="00211D82" w:rsidRPr="00FC1444">
        <w:rPr>
          <w:rFonts w:eastAsiaTheme="minorEastAsia" w:hint="eastAsia"/>
          <w:sz w:val="24"/>
          <w:szCs w:val="20"/>
        </w:rPr>
        <w:t>277</w:t>
      </w:r>
      <w:r w:rsidRPr="00FC1444">
        <w:rPr>
          <w:rFonts w:eastAsiaTheme="minorEastAsia"/>
          <w:sz w:val="24"/>
          <w:szCs w:val="20"/>
        </w:rPr>
        <w:t>-</w:t>
      </w:r>
      <w:r w:rsidR="00211D82" w:rsidRPr="00FC1444">
        <w:rPr>
          <w:rFonts w:eastAsiaTheme="minorEastAsia" w:hint="eastAsia"/>
          <w:sz w:val="24"/>
          <w:szCs w:val="20"/>
        </w:rPr>
        <w:t>280</w:t>
      </w:r>
      <w:r w:rsidRPr="00FC1444">
        <w:rPr>
          <w:rFonts w:eastAsiaTheme="minorEastAsia"/>
          <w:sz w:val="24"/>
          <w:szCs w:val="20"/>
        </w:rPr>
        <w:t>m</w:t>
      </w:r>
      <w:r w:rsidRPr="00FC1444">
        <w:rPr>
          <w:rFonts w:eastAsiaTheme="minorEastAsia"/>
          <w:sz w:val="24"/>
          <w:szCs w:val="20"/>
        </w:rPr>
        <w:t>之间，井群干扰系数</w:t>
      </w:r>
      <w:r w:rsidRPr="00FC1444">
        <w:rPr>
          <w:rFonts w:eastAsiaTheme="minorEastAsia"/>
          <w:sz w:val="24"/>
          <w:szCs w:val="20"/>
        </w:rPr>
        <w:t>0.02</w:t>
      </w:r>
      <w:r w:rsidRPr="00FC1444">
        <w:rPr>
          <w:rFonts w:eastAsiaTheme="minorEastAsia"/>
          <w:sz w:val="24"/>
          <w:szCs w:val="20"/>
        </w:rPr>
        <w:t>～</w:t>
      </w:r>
      <w:r w:rsidRPr="00FC1444">
        <w:rPr>
          <w:rFonts w:eastAsiaTheme="minorEastAsia"/>
          <w:sz w:val="24"/>
          <w:szCs w:val="20"/>
        </w:rPr>
        <w:t>0.05</w:t>
      </w:r>
      <w:r w:rsidRPr="00FC1444">
        <w:rPr>
          <w:rFonts w:eastAsiaTheme="minorEastAsia"/>
          <w:sz w:val="24"/>
          <w:szCs w:val="20"/>
        </w:rPr>
        <w:t>之间，故不会对其他用户造成影响。经对现状用水户用水情况调查和分析预测</w:t>
      </w:r>
      <w:r w:rsidRPr="00FC1444">
        <w:rPr>
          <w:rFonts w:eastAsiaTheme="minorEastAsia"/>
          <w:sz w:val="24"/>
          <w:szCs w:val="20"/>
        </w:rPr>
        <w:t>2030</w:t>
      </w:r>
      <w:r w:rsidRPr="00FC1444">
        <w:rPr>
          <w:rFonts w:eastAsiaTheme="minorEastAsia"/>
          <w:sz w:val="24"/>
          <w:szCs w:val="20"/>
        </w:rPr>
        <w:t>年各论证区需开现状及规划地下水开采率多年平均小于</w:t>
      </w:r>
      <w:r w:rsidRPr="00FC1444">
        <w:rPr>
          <w:rFonts w:eastAsiaTheme="minorEastAsia"/>
          <w:sz w:val="24"/>
          <w:szCs w:val="20"/>
        </w:rPr>
        <w:t>80%</w:t>
      </w:r>
      <w:r w:rsidRPr="00FC1444">
        <w:rPr>
          <w:rFonts w:eastAsiaTheme="minorEastAsia"/>
          <w:sz w:val="24"/>
          <w:szCs w:val="20"/>
        </w:rPr>
        <w:t>，不会形成较大的地下水降落漏斗，不会影响居民生活用水和其他用水户。</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3</w:t>
      </w:r>
      <w:r w:rsidRPr="00FC1444">
        <w:rPr>
          <w:rFonts w:eastAsiaTheme="minorEastAsia"/>
          <w:kern w:val="0"/>
          <w:sz w:val="24"/>
        </w:rPr>
        <w:t>）对地下水保护目标（集中式饮用水源地）、居民饮用水</w:t>
      </w:r>
      <w:r w:rsidRPr="00FC1444">
        <w:rPr>
          <w:rFonts w:eastAsiaTheme="minorEastAsia"/>
          <w:bCs/>
          <w:kern w:val="0"/>
          <w:sz w:val="24"/>
        </w:rPr>
        <w:t>的影响</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本项目</w:t>
      </w:r>
      <w:r w:rsidRPr="00FC1444">
        <w:rPr>
          <w:rFonts w:eastAsiaTheme="minorEastAsia"/>
          <w:snapToGrid w:val="0"/>
          <w:kern w:val="0"/>
          <w:sz w:val="24"/>
          <w:szCs w:val="22"/>
        </w:rPr>
        <w:t>灌溉井</w:t>
      </w:r>
      <w:r w:rsidRPr="00FC1444">
        <w:rPr>
          <w:rFonts w:eastAsiaTheme="minorEastAsia"/>
          <w:kern w:val="0"/>
          <w:sz w:val="24"/>
        </w:rPr>
        <w:t>不在</w:t>
      </w:r>
      <w:r w:rsidR="007C02C5" w:rsidRPr="00FC1444">
        <w:rPr>
          <w:rFonts w:eastAsiaTheme="minorEastAsia"/>
          <w:kern w:val="0"/>
          <w:sz w:val="24"/>
        </w:rPr>
        <w:t>集中式饮用水源地</w:t>
      </w:r>
      <w:r w:rsidRPr="00FC1444">
        <w:rPr>
          <w:rFonts w:eastAsiaTheme="minorEastAsia"/>
          <w:kern w:val="0"/>
          <w:sz w:val="24"/>
        </w:rPr>
        <w:t>保护范围内，</w:t>
      </w:r>
      <w:r w:rsidRPr="00FC1444">
        <w:rPr>
          <w:rFonts w:eastAsiaTheme="minorEastAsia"/>
          <w:sz w:val="24"/>
        </w:rPr>
        <w:t>根据已批复《</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水资源论证报告书》</w:t>
      </w:r>
      <w:r w:rsidRPr="00FC1444">
        <w:rPr>
          <w:rFonts w:eastAsiaTheme="minorEastAsia"/>
          <w:sz w:val="24"/>
          <w:szCs w:val="20"/>
        </w:rPr>
        <w:t>，</w:t>
      </w:r>
      <w:r w:rsidRPr="00FC1444">
        <w:rPr>
          <w:rFonts w:eastAsiaTheme="minorEastAsia"/>
          <w:bCs/>
          <w:kern w:val="0"/>
          <w:sz w:val="24"/>
        </w:rPr>
        <w:t>本项目水井开采地下水最远影响范围为</w:t>
      </w:r>
      <w:r w:rsidR="00003BA4" w:rsidRPr="00FC1444">
        <w:rPr>
          <w:rFonts w:eastAsiaTheme="minorEastAsia"/>
          <w:bCs/>
          <w:kern w:val="0"/>
          <w:sz w:val="24"/>
        </w:rPr>
        <w:t>约</w:t>
      </w:r>
      <w:r w:rsidR="00003BA4" w:rsidRPr="00FC1444">
        <w:rPr>
          <w:rFonts w:eastAsiaTheme="minorEastAsia"/>
          <w:bCs/>
          <w:kern w:val="0"/>
          <w:sz w:val="24"/>
        </w:rPr>
        <w:t>1.05m</w:t>
      </w:r>
      <w:r w:rsidRPr="00FC1444">
        <w:rPr>
          <w:rFonts w:eastAsiaTheme="minorEastAsia"/>
          <w:bCs/>
          <w:kern w:val="0"/>
          <w:sz w:val="24"/>
        </w:rPr>
        <w:t>，</w:t>
      </w:r>
      <w:r w:rsidRPr="00FC1444">
        <w:rPr>
          <w:rFonts w:eastAsiaTheme="minorEastAsia"/>
          <w:kern w:val="0"/>
          <w:sz w:val="24"/>
        </w:rPr>
        <w:t>并且本项目间歇性抽水，本项目灌溉水除植物吸收外，基本以蒸发和下渗的方式回归自然，能够对地下水位的恢复起到正效益，同时在丰水期地下水得到充分的补给，地下水位可以得到充分恢复，故对饮用水源地影响较小。</w:t>
      </w:r>
    </w:p>
    <w:p w:rsidR="002A5A5E" w:rsidRPr="00FC1444" w:rsidRDefault="00611CBA">
      <w:pPr>
        <w:spacing w:line="360" w:lineRule="auto"/>
        <w:ind w:firstLineChars="200" w:firstLine="480"/>
        <w:contextualSpacing/>
        <w:rPr>
          <w:rFonts w:eastAsiaTheme="minorEastAsia"/>
          <w:bCs/>
          <w:sz w:val="24"/>
        </w:rPr>
      </w:pPr>
      <w:r w:rsidRPr="00FC1444">
        <w:rPr>
          <w:rFonts w:eastAsiaTheme="minorEastAsia"/>
          <w:sz w:val="24"/>
        </w:rPr>
        <w:t>本项目合理开采地下水资源，严格执行灌溉制度，采取节水灌溉措施，提高水资源的利用率，通过管道输水、田间滴灌，最大限度的利用水资源。防止地下水超采，</w:t>
      </w:r>
      <w:r w:rsidRPr="00FC1444">
        <w:rPr>
          <w:rFonts w:eastAsiaTheme="minorEastAsia"/>
          <w:bCs/>
          <w:sz w:val="24"/>
        </w:rPr>
        <w:t>定期进行地下水水位监测（每年的丰、枯水期各监测</w:t>
      </w:r>
      <w:r w:rsidRPr="00FC1444">
        <w:rPr>
          <w:rFonts w:eastAsiaTheme="minorEastAsia"/>
          <w:bCs/>
          <w:sz w:val="24"/>
        </w:rPr>
        <w:t>1</w:t>
      </w:r>
      <w:r w:rsidRPr="00FC1444">
        <w:rPr>
          <w:rFonts w:eastAsiaTheme="minorEastAsia"/>
          <w:bCs/>
          <w:sz w:val="24"/>
        </w:rPr>
        <w:t>次），采取节水、降水措施。</w:t>
      </w:r>
    </w:p>
    <w:p w:rsidR="002A5A5E" w:rsidRPr="00FC1444" w:rsidRDefault="00611CBA">
      <w:pPr>
        <w:spacing w:line="360" w:lineRule="auto"/>
        <w:ind w:firstLineChars="200" w:firstLine="480"/>
        <w:contextualSpacing/>
        <w:rPr>
          <w:rFonts w:eastAsiaTheme="minorEastAsia"/>
          <w:bCs/>
          <w:sz w:val="24"/>
        </w:rPr>
      </w:pPr>
      <w:r w:rsidRPr="00FC1444">
        <w:rPr>
          <w:rFonts w:eastAsiaTheme="minorEastAsia"/>
          <w:bCs/>
          <w:sz w:val="24"/>
        </w:rPr>
        <w:t>4</w:t>
      </w:r>
      <w:r w:rsidRPr="00FC1444">
        <w:rPr>
          <w:rFonts w:eastAsiaTheme="minorEastAsia"/>
          <w:bCs/>
          <w:sz w:val="24"/>
        </w:rPr>
        <w:t>）对地下水补径排关系的影响</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根据已批复《</w:t>
      </w:r>
      <w:r w:rsidR="00AE168C" w:rsidRPr="00FC1444">
        <w:rPr>
          <w:rFonts w:eastAsiaTheme="minorEastAsia"/>
          <w:kern w:val="0"/>
          <w:sz w:val="24"/>
        </w:rPr>
        <w:t>北林区</w:t>
      </w:r>
      <w:r w:rsidR="00AE168C" w:rsidRPr="00FC1444">
        <w:rPr>
          <w:rFonts w:eastAsiaTheme="minorEastAsia"/>
          <w:kern w:val="0"/>
          <w:sz w:val="24"/>
        </w:rPr>
        <w:t>2026</w:t>
      </w:r>
      <w:r w:rsidR="00AE168C" w:rsidRPr="00FC1444">
        <w:rPr>
          <w:rFonts w:eastAsiaTheme="minorEastAsia"/>
          <w:kern w:val="0"/>
          <w:sz w:val="24"/>
        </w:rPr>
        <w:t>年高标准农田建设项目</w:t>
      </w:r>
      <w:r w:rsidRPr="00FC1444">
        <w:rPr>
          <w:rFonts w:eastAsiaTheme="minorEastAsia"/>
          <w:kern w:val="0"/>
          <w:sz w:val="24"/>
        </w:rPr>
        <w:t>水资源论证报告书》可知，</w:t>
      </w:r>
      <w:r w:rsidR="00400760" w:rsidRPr="00FC1444">
        <w:rPr>
          <w:rFonts w:eastAsiaTheme="minorEastAsia"/>
          <w:sz w:val="24"/>
        </w:rPr>
        <w:t>论证区地下水可开采量为</w:t>
      </w:r>
      <w:r w:rsidR="00400760" w:rsidRPr="00FC1444">
        <w:rPr>
          <w:rFonts w:eastAsiaTheme="minorEastAsia"/>
          <w:sz w:val="24"/>
        </w:rPr>
        <w:t>459.81</w:t>
      </w:r>
      <w:r w:rsidR="00400760" w:rsidRPr="00FC1444">
        <w:rPr>
          <w:rFonts w:eastAsiaTheme="minorEastAsia"/>
          <w:sz w:val="24"/>
        </w:rPr>
        <w:t>万</w:t>
      </w:r>
      <w:r w:rsidR="00400760" w:rsidRPr="00FC1444">
        <w:rPr>
          <w:rFonts w:eastAsiaTheme="minorEastAsia"/>
          <w:sz w:val="24"/>
        </w:rPr>
        <w:t>m³/a</w:t>
      </w:r>
      <w:r w:rsidR="00400760" w:rsidRPr="00FC1444">
        <w:rPr>
          <w:rFonts w:eastAsiaTheme="minorEastAsia"/>
          <w:sz w:val="24"/>
        </w:rPr>
        <w:t>。总补给量为</w:t>
      </w:r>
      <w:r w:rsidR="00400760" w:rsidRPr="00FC1444">
        <w:rPr>
          <w:rFonts w:eastAsiaTheme="minorEastAsia"/>
          <w:sz w:val="24"/>
        </w:rPr>
        <w:t>656.87m³/a</w:t>
      </w:r>
      <w:r w:rsidR="00400760" w:rsidRPr="00FC1444">
        <w:rPr>
          <w:rFonts w:eastAsiaTheme="minorEastAsia"/>
          <w:sz w:val="24"/>
        </w:rPr>
        <w:t>。项目实施后，最大年取水量为</w:t>
      </w:r>
      <w:r w:rsidR="00400760" w:rsidRPr="00FC1444">
        <w:rPr>
          <w:rFonts w:eastAsiaTheme="minorEastAsia"/>
          <w:sz w:val="24"/>
        </w:rPr>
        <w:t>92.83</w:t>
      </w:r>
      <w:r w:rsidR="00400760" w:rsidRPr="00FC1444">
        <w:rPr>
          <w:rFonts w:eastAsiaTheme="minorEastAsia"/>
          <w:sz w:val="24"/>
        </w:rPr>
        <w:t>万</w:t>
      </w:r>
      <w:r w:rsidR="00400760" w:rsidRPr="00FC1444">
        <w:rPr>
          <w:rFonts w:eastAsiaTheme="minorEastAsia"/>
          <w:sz w:val="24"/>
        </w:rPr>
        <w:t>m</w:t>
      </w:r>
      <w:r w:rsidR="00400760" w:rsidRPr="00FC1444">
        <w:rPr>
          <w:rFonts w:eastAsiaTheme="minorEastAsia"/>
          <w:sz w:val="24"/>
          <w:vertAlign w:val="superscript"/>
        </w:rPr>
        <w:t>3</w:t>
      </w:r>
      <w:r w:rsidR="00400760" w:rsidRPr="00FC1444">
        <w:rPr>
          <w:rFonts w:eastAsiaTheme="minorEastAsia"/>
          <w:sz w:val="24"/>
        </w:rPr>
        <w:t>，占可开采量的</w:t>
      </w:r>
      <w:r w:rsidR="00400760" w:rsidRPr="00FC1444">
        <w:rPr>
          <w:rFonts w:eastAsiaTheme="minorEastAsia"/>
          <w:sz w:val="24"/>
        </w:rPr>
        <w:t>20.2%</w:t>
      </w:r>
      <w:r w:rsidR="00400760" w:rsidRPr="00FC1444">
        <w:rPr>
          <w:rFonts w:eastAsiaTheme="minorEastAsia"/>
          <w:sz w:val="24"/>
        </w:rPr>
        <w:t>，</w:t>
      </w:r>
      <w:r w:rsidRPr="00FC1444">
        <w:rPr>
          <w:rFonts w:eastAsiaTheme="minorEastAsia"/>
          <w:kern w:val="0"/>
          <w:sz w:val="24"/>
        </w:rPr>
        <w:t>可以满足供水需求。</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kern w:val="0"/>
          <w:sz w:val="24"/>
        </w:rPr>
        <w:t>本项目</w:t>
      </w:r>
      <w:r w:rsidRPr="00FC1444">
        <w:rPr>
          <w:rFonts w:eastAsiaTheme="minorEastAsia"/>
          <w:snapToGrid w:val="0"/>
          <w:kern w:val="0"/>
          <w:sz w:val="24"/>
          <w:szCs w:val="22"/>
        </w:rPr>
        <w:t>灌溉井取水导致水位下降，将导致地下水的补给范围缩小，原本通过地表水体、大气降水等方式补给地下水的量减少。</w:t>
      </w:r>
      <w:r w:rsidRPr="00FC1444">
        <w:rPr>
          <w:rFonts w:eastAsiaTheme="minorEastAsia"/>
          <w:bCs/>
          <w:kern w:val="0"/>
          <w:sz w:val="24"/>
        </w:rPr>
        <w:t>根据已批复《</w:t>
      </w:r>
      <w:r w:rsidR="00AE168C" w:rsidRPr="00FC1444">
        <w:rPr>
          <w:rFonts w:eastAsiaTheme="minorEastAsia"/>
          <w:bCs/>
          <w:kern w:val="0"/>
          <w:sz w:val="24"/>
        </w:rPr>
        <w:t>北林区</w:t>
      </w:r>
      <w:r w:rsidR="00AE168C" w:rsidRPr="00FC1444">
        <w:rPr>
          <w:rFonts w:eastAsiaTheme="minorEastAsia"/>
          <w:bCs/>
          <w:kern w:val="0"/>
          <w:sz w:val="24"/>
        </w:rPr>
        <w:t>2026</w:t>
      </w:r>
      <w:r w:rsidR="00AE168C" w:rsidRPr="00FC1444">
        <w:rPr>
          <w:rFonts w:eastAsiaTheme="minorEastAsia"/>
          <w:bCs/>
          <w:kern w:val="0"/>
          <w:sz w:val="24"/>
        </w:rPr>
        <w:t>年高标准农田建设项目</w:t>
      </w:r>
      <w:r w:rsidRPr="00FC1444">
        <w:rPr>
          <w:rFonts w:eastAsiaTheme="minorEastAsia"/>
          <w:bCs/>
          <w:kern w:val="0"/>
          <w:sz w:val="24"/>
        </w:rPr>
        <w:t>水资源论证报告书》预测结果，井群连续开采最大水位降深为</w:t>
      </w:r>
      <w:r w:rsidR="00400760" w:rsidRPr="00FC1444">
        <w:rPr>
          <w:rFonts w:eastAsiaTheme="minorEastAsia"/>
          <w:bCs/>
          <w:kern w:val="0"/>
          <w:sz w:val="24"/>
        </w:rPr>
        <w:t>0.016</w:t>
      </w:r>
      <w:r w:rsidR="00400760" w:rsidRPr="00FC1444">
        <w:rPr>
          <w:rFonts w:eastAsiaTheme="minorEastAsia"/>
          <w:bCs/>
          <w:kern w:val="0"/>
          <w:sz w:val="24"/>
        </w:rPr>
        <w:t>～</w:t>
      </w:r>
      <w:r w:rsidR="00400760" w:rsidRPr="00FC1444">
        <w:rPr>
          <w:rFonts w:eastAsiaTheme="minorEastAsia"/>
          <w:bCs/>
          <w:kern w:val="0"/>
          <w:sz w:val="24"/>
        </w:rPr>
        <w:t>0.021m</w:t>
      </w:r>
      <w:r w:rsidRPr="00FC1444">
        <w:rPr>
          <w:rFonts w:eastAsiaTheme="minorEastAsia"/>
          <w:bCs/>
          <w:kern w:val="0"/>
          <w:sz w:val="24"/>
        </w:rPr>
        <w:t>，</w:t>
      </w:r>
      <w:r w:rsidR="00FD6E06" w:rsidRPr="00FC1444">
        <w:rPr>
          <w:rFonts w:eastAsiaTheme="minorEastAsia"/>
          <w:bCs/>
          <w:kern w:val="0"/>
          <w:sz w:val="24"/>
        </w:rPr>
        <w:t>小于</w:t>
      </w:r>
      <w:r w:rsidR="00FD6E06" w:rsidRPr="00FC1444">
        <w:rPr>
          <w:rFonts w:eastAsiaTheme="minorEastAsia"/>
          <w:bCs/>
          <w:kern w:val="0"/>
          <w:sz w:val="24"/>
        </w:rPr>
        <w:t>0.1m</w:t>
      </w:r>
      <w:r w:rsidRPr="00FC1444">
        <w:rPr>
          <w:rFonts w:eastAsiaTheme="minorEastAsia"/>
          <w:bCs/>
          <w:kern w:val="0"/>
          <w:sz w:val="24"/>
        </w:rPr>
        <w:t>，小于含水层厚度</w:t>
      </w:r>
      <w:r w:rsidRPr="00FC1444">
        <w:rPr>
          <w:rFonts w:eastAsiaTheme="minorEastAsia"/>
          <w:bCs/>
          <w:kern w:val="0"/>
          <w:sz w:val="24"/>
        </w:rPr>
        <w:t>30m</w:t>
      </w:r>
      <w:r w:rsidRPr="00FC1444">
        <w:rPr>
          <w:rFonts w:eastAsiaTheme="minorEastAsia"/>
          <w:bCs/>
          <w:kern w:val="0"/>
          <w:sz w:val="24"/>
        </w:rPr>
        <w:t>的三分之一，项目取水造成</w:t>
      </w:r>
      <w:r w:rsidRPr="00FC1444">
        <w:rPr>
          <w:rFonts w:eastAsiaTheme="minorEastAsia"/>
          <w:bCs/>
          <w:kern w:val="0"/>
          <w:sz w:val="24"/>
        </w:rPr>
        <w:lastRenderedPageBreak/>
        <w:t>的地下水水位降深在允许范围内，对</w:t>
      </w:r>
      <w:r w:rsidRPr="00FC1444">
        <w:rPr>
          <w:rFonts w:eastAsiaTheme="minorEastAsia"/>
          <w:snapToGrid w:val="0"/>
          <w:kern w:val="0"/>
          <w:sz w:val="24"/>
          <w:szCs w:val="22"/>
        </w:rPr>
        <w:t>地下水补给范围影响较小</w:t>
      </w:r>
      <w:r w:rsidRPr="00FC1444">
        <w:rPr>
          <w:rFonts w:eastAsiaTheme="minorEastAsia"/>
          <w:bCs/>
          <w:kern w:val="0"/>
          <w:sz w:val="24"/>
        </w:rPr>
        <w:t>。项目为非持续性，开采期为每年的</w:t>
      </w:r>
      <w:r w:rsidRPr="00FC1444">
        <w:rPr>
          <w:rFonts w:eastAsiaTheme="minorEastAsia"/>
          <w:bCs/>
          <w:kern w:val="0"/>
          <w:sz w:val="24"/>
        </w:rPr>
        <w:t>5-7</w:t>
      </w:r>
      <w:r w:rsidRPr="00FC1444">
        <w:rPr>
          <w:rFonts w:eastAsiaTheme="minorEastAsia"/>
          <w:bCs/>
          <w:kern w:val="0"/>
          <w:sz w:val="24"/>
        </w:rPr>
        <w:t>月，随着</w:t>
      </w:r>
      <w:r w:rsidRPr="00FC1444">
        <w:rPr>
          <w:rFonts w:eastAsiaTheme="minorEastAsia"/>
          <w:bCs/>
          <w:kern w:val="0"/>
          <w:sz w:val="24"/>
        </w:rPr>
        <w:t>7</w:t>
      </w:r>
      <w:r w:rsidRPr="00FC1444">
        <w:rPr>
          <w:rFonts w:eastAsiaTheme="minorEastAsia"/>
          <w:bCs/>
          <w:kern w:val="0"/>
          <w:sz w:val="24"/>
        </w:rPr>
        <w:t>月份丰水期的到来，以丰补歉，项目取水所在区域处于漫滩和阶地区，地下水资源丰富，地下水补给、径流、排泄条件通畅，含水层厚度较大，富水性较好，含水层的大气降水垂直入渗补给条件较好，含水层调节能力强，故项目取水对区域</w:t>
      </w:r>
      <w:r w:rsidRPr="00FC1444">
        <w:rPr>
          <w:rFonts w:eastAsiaTheme="minorEastAsia"/>
          <w:bCs/>
          <w:sz w:val="24"/>
        </w:rPr>
        <w:t>地下水补径排</w:t>
      </w:r>
      <w:r w:rsidRPr="00FC1444">
        <w:rPr>
          <w:rFonts w:eastAsiaTheme="minorEastAsia"/>
          <w:bCs/>
          <w:kern w:val="0"/>
          <w:sz w:val="24"/>
        </w:rPr>
        <w:t>影响较小。</w:t>
      </w:r>
    </w:p>
    <w:p w:rsidR="002A5A5E" w:rsidRPr="00FC1444" w:rsidRDefault="003E5585">
      <w:pPr>
        <w:spacing w:line="360" w:lineRule="auto"/>
        <w:ind w:firstLineChars="200" w:firstLine="480"/>
        <w:contextualSpacing/>
        <w:rPr>
          <w:rFonts w:eastAsiaTheme="minorEastAsia"/>
          <w:bCs/>
          <w:kern w:val="0"/>
          <w:sz w:val="24"/>
        </w:rPr>
      </w:pPr>
      <w:r w:rsidRPr="00FC1444">
        <w:rPr>
          <w:rFonts w:eastAsiaTheme="minorEastAsia"/>
          <w:bCs/>
          <w:kern w:val="0"/>
          <w:sz w:val="24"/>
        </w:rPr>
        <w:t>（</w:t>
      </w:r>
      <w:r w:rsidRPr="00FC1444">
        <w:rPr>
          <w:rFonts w:eastAsiaTheme="minorEastAsia"/>
          <w:bCs/>
          <w:kern w:val="0"/>
          <w:sz w:val="24"/>
        </w:rPr>
        <w:t>6</w:t>
      </w:r>
      <w:r w:rsidRPr="00FC1444">
        <w:rPr>
          <w:rFonts w:eastAsiaTheme="minorEastAsia"/>
          <w:bCs/>
          <w:kern w:val="0"/>
          <w:sz w:val="24"/>
        </w:rPr>
        <w:t>）</w:t>
      </w:r>
      <w:r w:rsidR="00611CBA" w:rsidRPr="00FC1444">
        <w:rPr>
          <w:rFonts w:eastAsiaTheme="minorEastAsia"/>
          <w:bCs/>
          <w:kern w:val="0"/>
          <w:sz w:val="24"/>
        </w:rPr>
        <w:t>对地下水水质的影响分析</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工程运行不改变区域地下水的补给、径流和排泄的基本条件，地下水在水质方面变化轻微，工程实施不会对地下水产生严重不利影响。</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1</w:t>
      </w:r>
      <w:r w:rsidRPr="00FC1444">
        <w:rPr>
          <w:rFonts w:eastAsiaTheme="minorEastAsia"/>
          <w:kern w:val="0"/>
          <w:sz w:val="24"/>
        </w:rPr>
        <w:t>）预测范围</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根据《环境影响评价技术导则</w:t>
      </w:r>
      <w:r w:rsidRPr="00FC1444">
        <w:rPr>
          <w:rFonts w:eastAsiaTheme="minorEastAsia"/>
          <w:kern w:val="0"/>
          <w:sz w:val="24"/>
        </w:rPr>
        <w:t xml:space="preserve"> </w:t>
      </w:r>
      <w:r w:rsidRPr="00FC1444">
        <w:rPr>
          <w:rFonts w:eastAsiaTheme="minorEastAsia"/>
          <w:kern w:val="0"/>
          <w:sz w:val="24"/>
        </w:rPr>
        <w:t>地下水环境》（</w:t>
      </w:r>
      <w:r w:rsidRPr="00FC1444">
        <w:rPr>
          <w:rFonts w:eastAsiaTheme="minorEastAsia"/>
          <w:kern w:val="0"/>
          <w:sz w:val="24"/>
        </w:rPr>
        <w:t>HJ610-2016</w:t>
      </w:r>
      <w:r w:rsidRPr="00FC1444">
        <w:rPr>
          <w:rFonts w:eastAsiaTheme="minorEastAsia"/>
          <w:kern w:val="0"/>
          <w:sz w:val="24"/>
        </w:rPr>
        <w:t>）中要求，地下水环境影响预测范围应与评价范围一致，本项目地下水预测范围为项目评价范围。预测层位为地下水的潜水含水层。</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2</w:t>
      </w:r>
      <w:r w:rsidRPr="00FC1444">
        <w:rPr>
          <w:rFonts w:eastAsiaTheme="minorEastAsia"/>
          <w:kern w:val="0"/>
          <w:sz w:val="24"/>
        </w:rPr>
        <w:t>）预测时段</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预测时段设定为发生泄漏后的</w:t>
      </w:r>
      <w:r w:rsidRPr="00FC1444">
        <w:rPr>
          <w:rFonts w:eastAsiaTheme="minorEastAsia"/>
          <w:kern w:val="0"/>
          <w:sz w:val="24"/>
        </w:rPr>
        <w:t>100</w:t>
      </w:r>
      <w:r w:rsidRPr="00FC1444">
        <w:rPr>
          <w:rFonts w:eastAsiaTheme="minorEastAsia"/>
          <w:kern w:val="0"/>
          <w:sz w:val="24"/>
        </w:rPr>
        <w:t>天、</w:t>
      </w:r>
      <w:r w:rsidRPr="00FC1444">
        <w:rPr>
          <w:rFonts w:eastAsiaTheme="minorEastAsia"/>
          <w:kern w:val="0"/>
          <w:sz w:val="24"/>
        </w:rPr>
        <w:t>1000</w:t>
      </w:r>
      <w:r w:rsidRPr="00FC1444">
        <w:rPr>
          <w:rFonts w:eastAsiaTheme="minorEastAsia"/>
          <w:kern w:val="0"/>
          <w:sz w:val="24"/>
        </w:rPr>
        <w:t>天。</w:t>
      </w:r>
      <w:r w:rsidR="000D2D13" w:rsidRPr="00FC1444">
        <w:rPr>
          <w:rFonts w:eastAsiaTheme="minorEastAsia"/>
          <w:kern w:val="0"/>
          <w:sz w:val="24"/>
        </w:rPr>
        <w:t>本项目柴油机移动泵车无服务年限，无厂界范围，无反应迁移规律的其它重要时间节点。</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3</w:t>
      </w:r>
      <w:r w:rsidRPr="00FC1444">
        <w:rPr>
          <w:rFonts w:eastAsiaTheme="minorEastAsia"/>
          <w:kern w:val="0"/>
          <w:sz w:val="24"/>
        </w:rPr>
        <w:t>）预测情景</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正常状况：本项目运营期柴油机移动泵车油箱密闭，柴油机移动泵车运行过程油箱正常情况下会发生泄漏。不使用时于村内暂存，暂存处地面设置重点防渗，正常情况下不会泄漏。</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非正常状况：非正常工况下，柴油机移动泵车油箱在使用和停放时发生泄漏事故，柴油渗漏对地下水水质造成影响。</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4</w:t>
      </w:r>
      <w:r w:rsidRPr="00FC1444">
        <w:rPr>
          <w:rFonts w:eastAsiaTheme="minorEastAsia"/>
          <w:kern w:val="0"/>
          <w:sz w:val="24"/>
        </w:rPr>
        <w:t>）预测因子</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选取石油类作为预测因子。假设</w:t>
      </w:r>
      <w:r w:rsidR="004C7001" w:rsidRPr="00FC1444">
        <w:rPr>
          <w:rFonts w:eastAsiaTheme="minorEastAsia"/>
          <w:sz w:val="24"/>
        </w:rPr>
        <w:t>柴油机移动泵车油箱全部</w:t>
      </w:r>
      <w:r w:rsidRPr="00FC1444">
        <w:rPr>
          <w:rFonts w:eastAsiaTheme="minorEastAsia"/>
          <w:sz w:val="24"/>
        </w:rPr>
        <w:t>泄漏</w:t>
      </w:r>
      <w:r w:rsidR="004C7001" w:rsidRPr="00FC1444">
        <w:rPr>
          <w:rFonts w:eastAsiaTheme="minorEastAsia"/>
          <w:sz w:val="24"/>
        </w:rPr>
        <w:t>，泄漏</w:t>
      </w:r>
      <w:r w:rsidRPr="00FC1444">
        <w:rPr>
          <w:rFonts w:eastAsiaTheme="minorEastAsia"/>
          <w:sz w:val="24"/>
        </w:rPr>
        <w:t>量为</w:t>
      </w:r>
      <w:r w:rsidR="004C7001" w:rsidRPr="00FC1444">
        <w:rPr>
          <w:rFonts w:eastAsiaTheme="minorEastAsia"/>
          <w:sz w:val="24"/>
        </w:rPr>
        <w:t>125</w:t>
      </w:r>
      <w:r w:rsidRPr="00FC1444">
        <w:rPr>
          <w:rFonts w:eastAsiaTheme="minorEastAsia"/>
          <w:sz w:val="24"/>
        </w:rPr>
        <w:t>kg</w:t>
      </w:r>
      <w:r w:rsidRPr="00FC1444">
        <w:rPr>
          <w:rFonts w:eastAsiaTheme="minorEastAsia"/>
          <w:sz w:val="24"/>
        </w:rPr>
        <w:t>。</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5</w:t>
      </w:r>
      <w:r w:rsidRPr="00FC1444">
        <w:rPr>
          <w:rFonts w:eastAsiaTheme="minorEastAsia"/>
          <w:sz w:val="24"/>
        </w:rPr>
        <w:t>）执行标准</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石油类参照《地表水环境质量标准》（</w:t>
      </w:r>
      <w:r w:rsidRPr="00FC1444">
        <w:rPr>
          <w:rFonts w:eastAsiaTheme="minorEastAsia"/>
          <w:kern w:val="0"/>
          <w:sz w:val="24"/>
        </w:rPr>
        <w:t>GB3838-2002</w:t>
      </w:r>
      <w:r w:rsidRPr="00FC1444">
        <w:rPr>
          <w:rFonts w:eastAsiaTheme="minorEastAsia"/>
          <w:kern w:val="0"/>
          <w:sz w:val="24"/>
        </w:rPr>
        <w:t>）</w:t>
      </w:r>
      <w:r w:rsidR="009840DD" w:rsidRPr="00FC1444">
        <w:rPr>
          <w:rFonts w:eastAsiaTheme="minorEastAsia"/>
          <w:bCs/>
          <w:sz w:val="24"/>
        </w:rPr>
        <w:fldChar w:fldCharType="begin"/>
      </w:r>
      <w:r w:rsidR="004B63C1" w:rsidRPr="00FC1444">
        <w:rPr>
          <w:rFonts w:eastAsiaTheme="minorEastAsia"/>
          <w:bCs/>
          <w:sz w:val="24"/>
        </w:rPr>
        <w:instrText xml:space="preserve"> = 2 \* ROMAN </w:instrText>
      </w:r>
      <w:r w:rsidR="009840DD" w:rsidRPr="00FC1444">
        <w:rPr>
          <w:rFonts w:eastAsiaTheme="minorEastAsia"/>
          <w:bCs/>
          <w:sz w:val="24"/>
        </w:rPr>
        <w:fldChar w:fldCharType="separate"/>
      </w:r>
      <w:r w:rsidR="004B63C1" w:rsidRPr="00FC1444">
        <w:rPr>
          <w:rFonts w:eastAsiaTheme="minorEastAsia"/>
          <w:bCs/>
          <w:sz w:val="24"/>
        </w:rPr>
        <w:t>II</w:t>
      </w:r>
      <w:r w:rsidR="009840DD" w:rsidRPr="00FC1444">
        <w:rPr>
          <w:rFonts w:eastAsiaTheme="minorEastAsia"/>
          <w:bCs/>
          <w:sz w:val="24"/>
        </w:rPr>
        <w:fldChar w:fldCharType="end"/>
      </w:r>
      <w:r w:rsidRPr="00FC1444">
        <w:rPr>
          <w:rFonts w:eastAsiaTheme="minorEastAsia"/>
          <w:kern w:val="0"/>
          <w:sz w:val="24"/>
        </w:rPr>
        <w:t>类标准。（</w:t>
      </w:r>
      <w:r w:rsidRPr="00FC1444">
        <w:rPr>
          <w:rFonts w:eastAsiaTheme="minorEastAsia"/>
          <w:kern w:val="0"/>
          <w:sz w:val="24"/>
        </w:rPr>
        <w:t>0.05mg/L</w:t>
      </w:r>
      <w:r w:rsidRPr="00FC1444">
        <w:rPr>
          <w:rFonts w:eastAsiaTheme="minorEastAsia"/>
          <w:kern w:val="0"/>
          <w:sz w:val="24"/>
        </w:rPr>
        <w:t>）</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6</w:t>
      </w:r>
      <w:r w:rsidRPr="00FC1444">
        <w:rPr>
          <w:rFonts w:eastAsiaTheme="minorEastAsia"/>
          <w:kern w:val="0"/>
          <w:sz w:val="24"/>
        </w:rPr>
        <w:t>）预测模型</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根据《环境影响评价技术导则</w:t>
      </w:r>
      <w:r w:rsidRPr="00FC1444">
        <w:rPr>
          <w:rFonts w:eastAsiaTheme="minorEastAsia"/>
          <w:sz w:val="24"/>
        </w:rPr>
        <w:t xml:space="preserve"> </w:t>
      </w:r>
      <w:r w:rsidRPr="00FC1444">
        <w:rPr>
          <w:rFonts w:eastAsiaTheme="minorEastAsia"/>
          <w:sz w:val="24"/>
        </w:rPr>
        <w:t>地下水环境》（</w:t>
      </w:r>
      <w:r w:rsidRPr="00FC1444">
        <w:rPr>
          <w:rFonts w:eastAsiaTheme="minorEastAsia"/>
          <w:sz w:val="24"/>
        </w:rPr>
        <w:t>HJ610-2016</w:t>
      </w:r>
      <w:r w:rsidRPr="00FC1444">
        <w:rPr>
          <w:rFonts w:eastAsiaTheme="minorEastAsia"/>
          <w:sz w:val="24"/>
        </w:rPr>
        <w:t>）要求，地下水环境影响评价三级评价预测方法可以选用解析法。根据本项目地下水的污染特性选</w:t>
      </w:r>
      <w:r w:rsidRPr="00FC1444">
        <w:rPr>
          <w:rFonts w:eastAsiaTheme="minorEastAsia"/>
          <w:sz w:val="24"/>
        </w:rPr>
        <w:lastRenderedPageBreak/>
        <w:t>用</w:t>
      </w:r>
      <w:r w:rsidRPr="00FC1444">
        <w:rPr>
          <w:rFonts w:eastAsiaTheme="minorEastAsia"/>
          <w:sz w:val="24"/>
        </w:rPr>
        <w:t>“</w:t>
      </w:r>
      <w:r w:rsidRPr="00FC1444">
        <w:rPr>
          <w:rFonts w:eastAsiaTheme="minorEastAsia"/>
          <w:sz w:val="24"/>
        </w:rPr>
        <w:t>一维无限长多孔介质柱体，示踪剂瞬时注入</w:t>
      </w:r>
      <w:r w:rsidRPr="00FC1444">
        <w:rPr>
          <w:rFonts w:eastAsiaTheme="minorEastAsia"/>
          <w:sz w:val="24"/>
        </w:rPr>
        <w:t>”</w:t>
      </w:r>
      <w:r w:rsidRPr="00FC1444">
        <w:rPr>
          <w:rFonts w:eastAsiaTheme="minorEastAsia"/>
          <w:sz w:val="24"/>
        </w:rPr>
        <w:t>，公式如下。</w:t>
      </w:r>
    </w:p>
    <w:p w:rsidR="002A5A5E" w:rsidRPr="00FC1444" w:rsidRDefault="00611CBA">
      <w:pPr>
        <w:spacing w:line="360" w:lineRule="auto"/>
        <w:ind w:firstLineChars="200" w:firstLine="480"/>
        <w:jc w:val="center"/>
        <w:rPr>
          <w:rFonts w:eastAsiaTheme="minorEastAsia"/>
          <w:sz w:val="24"/>
        </w:rPr>
      </w:pPr>
      <w:r w:rsidRPr="00FC1444">
        <w:rPr>
          <w:rFonts w:eastAsiaTheme="minorEastAsia"/>
          <w:noProof/>
          <w:sz w:val="24"/>
        </w:rPr>
        <w:drawing>
          <wp:inline distT="0" distB="0" distL="0" distR="0">
            <wp:extent cx="2115185" cy="588645"/>
            <wp:effectExtent l="0" t="0" r="18415" b="190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67" cstate="print"/>
                    <a:srcRect/>
                    <a:stretch>
                      <a:fillRect/>
                    </a:stretch>
                  </pic:blipFill>
                  <pic:spPr>
                    <a:xfrm>
                      <a:off x="0" y="0"/>
                      <a:ext cx="2115185" cy="588645"/>
                    </a:xfrm>
                    <a:prstGeom prst="rect">
                      <a:avLst/>
                    </a:prstGeom>
                    <a:noFill/>
                    <a:ln w="9525">
                      <a:noFill/>
                      <a:miter lim="800000"/>
                      <a:headEnd/>
                      <a:tailEnd/>
                    </a:ln>
                  </pic:spPr>
                </pic:pic>
              </a:graphicData>
            </a:graphic>
          </wp:inline>
        </w:drawing>
      </w:r>
    </w:p>
    <w:p w:rsidR="002A5A5E" w:rsidRPr="00FC1444" w:rsidRDefault="00611CBA">
      <w:pPr>
        <w:spacing w:line="360" w:lineRule="auto"/>
        <w:rPr>
          <w:rFonts w:eastAsiaTheme="minorEastAsia"/>
          <w:sz w:val="24"/>
        </w:rPr>
      </w:pPr>
      <w:r w:rsidRPr="00FC1444">
        <w:rPr>
          <w:rFonts w:eastAsiaTheme="minorEastAsia"/>
          <w:sz w:val="24"/>
        </w:rPr>
        <w:t>式中：</w:t>
      </w:r>
      <w:r w:rsidRPr="00FC1444">
        <w:rPr>
          <w:rFonts w:eastAsiaTheme="minorEastAsia"/>
          <w:sz w:val="24"/>
        </w:rPr>
        <w:t>x—</w:t>
      </w:r>
      <w:r w:rsidRPr="00FC1444">
        <w:rPr>
          <w:rFonts w:eastAsiaTheme="minorEastAsia"/>
          <w:sz w:val="24"/>
        </w:rPr>
        <w:t>距注入点的距离，</w:t>
      </w:r>
      <w:r w:rsidRPr="00FC1444">
        <w:rPr>
          <w:rFonts w:eastAsiaTheme="minorEastAsia"/>
          <w:sz w:val="24"/>
        </w:rPr>
        <w:t>m</w:t>
      </w:r>
      <w:r w:rsidRPr="00FC1444">
        <w:rPr>
          <w:rFonts w:eastAsiaTheme="minorEastAsia"/>
          <w:sz w:val="24"/>
        </w:rPr>
        <w:t>；</w:t>
      </w:r>
    </w:p>
    <w:p w:rsidR="002A5A5E" w:rsidRPr="00FC1444" w:rsidRDefault="00611CBA">
      <w:pPr>
        <w:spacing w:line="360" w:lineRule="auto"/>
        <w:ind w:firstLineChars="300" w:firstLine="720"/>
        <w:rPr>
          <w:rFonts w:eastAsiaTheme="minorEastAsia"/>
          <w:sz w:val="24"/>
        </w:rPr>
      </w:pPr>
      <w:r w:rsidRPr="00FC1444">
        <w:rPr>
          <w:rFonts w:eastAsiaTheme="minorEastAsia"/>
          <w:sz w:val="24"/>
        </w:rPr>
        <w:t>t—</w:t>
      </w:r>
      <w:r w:rsidRPr="00FC1444">
        <w:rPr>
          <w:rFonts w:eastAsiaTheme="minorEastAsia"/>
          <w:sz w:val="24"/>
        </w:rPr>
        <w:t>时间，</w:t>
      </w:r>
      <w:r w:rsidRPr="00FC1444">
        <w:rPr>
          <w:rFonts w:eastAsiaTheme="minorEastAsia"/>
          <w:sz w:val="24"/>
        </w:rPr>
        <w:t>d</w:t>
      </w:r>
      <w:r w:rsidRPr="00FC1444">
        <w:rPr>
          <w:rFonts w:eastAsiaTheme="minorEastAsia"/>
          <w:sz w:val="24"/>
        </w:rPr>
        <w:t>；</w:t>
      </w:r>
    </w:p>
    <w:p w:rsidR="002A5A5E" w:rsidRPr="00FC1444" w:rsidRDefault="00611CBA">
      <w:pPr>
        <w:spacing w:line="360" w:lineRule="auto"/>
        <w:ind w:firstLineChars="300" w:firstLine="720"/>
        <w:rPr>
          <w:rFonts w:eastAsiaTheme="minorEastAsia"/>
          <w:sz w:val="24"/>
        </w:rPr>
      </w:pPr>
      <w:r w:rsidRPr="00FC1444">
        <w:rPr>
          <w:rFonts w:eastAsiaTheme="minorEastAsia"/>
          <w:sz w:val="24"/>
        </w:rPr>
        <w:t>C(x,t)—t</w:t>
      </w:r>
      <w:r w:rsidRPr="00FC1444">
        <w:rPr>
          <w:rFonts w:eastAsiaTheme="minorEastAsia"/>
          <w:sz w:val="24"/>
        </w:rPr>
        <w:t>时刻点</w:t>
      </w:r>
      <w:r w:rsidRPr="00FC1444">
        <w:rPr>
          <w:rFonts w:eastAsiaTheme="minorEastAsia"/>
          <w:sz w:val="24"/>
        </w:rPr>
        <w:t>x</w:t>
      </w:r>
      <w:r w:rsidRPr="00FC1444">
        <w:rPr>
          <w:rFonts w:eastAsiaTheme="minorEastAsia"/>
          <w:sz w:val="24"/>
        </w:rPr>
        <w:t>处的示踪剂浓度，</w:t>
      </w:r>
      <w:r w:rsidRPr="00FC1444">
        <w:rPr>
          <w:rFonts w:eastAsiaTheme="minorEastAsia"/>
          <w:sz w:val="24"/>
        </w:rPr>
        <w:t>g/L</w:t>
      </w:r>
      <w:r w:rsidRPr="00FC1444">
        <w:rPr>
          <w:rFonts w:eastAsiaTheme="minorEastAsia"/>
          <w:sz w:val="24"/>
        </w:rPr>
        <w:t>；</w:t>
      </w:r>
    </w:p>
    <w:p w:rsidR="002A5A5E" w:rsidRPr="00FC1444" w:rsidRDefault="00611CBA">
      <w:pPr>
        <w:spacing w:line="360" w:lineRule="auto"/>
        <w:ind w:firstLineChars="300" w:firstLine="720"/>
        <w:rPr>
          <w:rFonts w:eastAsiaTheme="minorEastAsia"/>
          <w:sz w:val="24"/>
        </w:rPr>
      </w:pPr>
      <w:r w:rsidRPr="00FC1444">
        <w:rPr>
          <w:rFonts w:eastAsiaTheme="minorEastAsia"/>
          <w:sz w:val="24"/>
        </w:rPr>
        <w:t>m—</w:t>
      </w:r>
      <w:r w:rsidRPr="00FC1444">
        <w:rPr>
          <w:rFonts w:eastAsiaTheme="minorEastAsia"/>
          <w:sz w:val="24"/>
        </w:rPr>
        <w:t>注入的示踪剂质量，</w:t>
      </w:r>
      <w:r w:rsidRPr="00FC1444">
        <w:rPr>
          <w:rFonts w:eastAsiaTheme="minorEastAsia"/>
          <w:sz w:val="24"/>
        </w:rPr>
        <w:t>kg</w:t>
      </w:r>
      <w:r w:rsidRPr="00FC1444">
        <w:rPr>
          <w:rFonts w:eastAsiaTheme="minorEastAsia"/>
          <w:sz w:val="24"/>
        </w:rPr>
        <w:t>；</w:t>
      </w:r>
      <w:r w:rsidR="004B63C1" w:rsidRPr="00FC1444">
        <w:rPr>
          <w:rFonts w:eastAsiaTheme="minorEastAsia"/>
          <w:sz w:val="24"/>
        </w:rPr>
        <w:t>125</w:t>
      </w:r>
    </w:p>
    <w:p w:rsidR="002A5A5E" w:rsidRPr="00FC1444" w:rsidRDefault="00611CBA">
      <w:pPr>
        <w:spacing w:line="360" w:lineRule="auto"/>
        <w:ind w:firstLineChars="300" w:firstLine="720"/>
        <w:rPr>
          <w:rFonts w:eastAsiaTheme="minorEastAsia"/>
          <w:sz w:val="24"/>
        </w:rPr>
      </w:pPr>
      <w:r w:rsidRPr="00FC1444">
        <w:rPr>
          <w:rFonts w:eastAsiaTheme="minorEastAsia"/>
          <w:sz w:val="24"/>
        </w:rPr>
        <w:t>w—</w:t>
      </w:r>
      <w:r w:rsidRPr="00FC1444">
        <w:rPr>
          <w:rFonts w:eastAsiaTheme="minorEastAsia"/>
          <w:sz w:val="24"/>
        </w:rPr>
        <w:t>横截面面积，</w:t>
      </w:r>
      <w:r w:rsidRPr="00FC1444">
        <w:rPr>
          <w:rFonts w:eastAsiaTheme="minorEastAsia"/>
          <w:sz w:val="24"/>
        </w:rPr>
        <w:t>m</w:t>
      </w:r>
      <w:r w:rsidRPr="00FC1444">
        <w:rPr>
          <w:rFonts w:eastAsiaTheme="minorEastAsia"/>
          <w:sz w:val="24"/>
          <w:vertAlign w:val="superscript"/>
        </w:rPr>
        <w:t>2</w:t>
      </w:r>
      <w:r w:rsidRPr="00FC1444">
        <w:rPr>
          <w:rFonts w:eastAsiaTheme="minorEastAsia"/>
          <w:sz w:val="24"/>
        </w:rPr>
        <w:t>；</w:t>
      </w:r>
      <w:r w:rsidRPr="00FC1444">
        <w:rPr>
          <w:rFonts w:eastAsiaTheme="minorEastAsia"/>
          <w:sz w:val="24"/>
        </w:rPr>
        <w:t>0.0000785m</w:t>
      </w:r>
      <w:r w:rsidRPr="00FC1444">
        <w:rPr>
          <w:rFonts w:eastAsiaTheme="minorEastAsia"/>
          <w:sz w:val="24"/>
          <w:vertAlign w:val="superscript"/>
        </w:rPr>
        <w:t>2</w:t>
      </w:r>
    </w:p>
    <w:p w:rsidR="002A5A5E" w:rsidRPr="00FC1444" w:rsidRDefault="00611CBA">
      <w:pPr>
        <w:spacing w:line="360" w:lineRule="auto"/>
        <w:ind w:firstLineChars="300" w:firstLine="720"/>
        <w:rPr>
          <w:rFonts w:eastAsiaTheme="minorEastAsia"/>
          <w:sz w:val="24"/>
        </w:rPr>
      </w:pPr>
      <w:r w:rsidRPr="00FC1444">
        <w:rPr>
          <w:rFonts w:eastAsiaTheme="minorEastAsia"/>
          <w:sz w:val="24"/>
        </w:rPr>
        <w:t>u—</w:t>
      </w:r>
      <w:r w:rsidRPr="00FC1444">
        <w:rPr>
          <w:rFonts w:eastAsiaTheme="minorEastAsia"/>
          <w:sz w:val="24"/>
        </w:rPr>
        <w:t>水流速度，</w:t>
      </w:r>
      <w:r w:rsidRPr="00FC1444">
        <w:rPr>
          <w:rFonts w:eastAsiaTheme="minorEastAsia"/>
          <w:sz w:val="24"/>
        </w:rPr>
        <w:t>m/d</w:t>
      </w:r>
      <w:r w:rsidRPr="00FC1444">
        <w:rPr>
          <w:rFonts w:eastAsiaTheme="minorEastAsia"/>
          <w:sz w:val="24"/>
        </w:rPr>
        <w:t>；</w:t>
      </w:r>
      <w:r w:rsidRPr="00FC1444">
        <w:rPr>
          <w:rFonts w:eastAsiaTheme="minorEastAsia"/>
          <w:sz w:val="24"/>
        </w:rPr>
        <w:t>u=0.0</w:t>
      </w:r>
      <w:r w:rsidR="00BB21F7" w:rsidRPr="00FC1444">
        <w:rPr>
          <w:rFonts w:eastAsiaTheme="minorEastAsia" w:hint="eastAsia"/>
          <w:sz w:val="24"/>
        </w:rPr>
        <w:t>2</w:t>
      </w:r>
      <w:r w:rsidRPr="00FC1444">
        <w:rPr>
          <w:rFonts w:eastAsiaTheme="minorEastAsia"/>
          <w:sz w:val="24"/>
        </w:rPr>
        <w:t>m/d</w:t>
      </w:r>
    </w:p>
    <w:p w:rsidR="002A5A5E" w:rsidRPr="00FC1444" w:rsidRDefault="00611CBA">
      <w:pPr>
        <w:spacing w:line="360" w:lineRule="auto"/>
        <w:ind w:firstLineChars="300" w:firstLine="720"/>
        <w:rPr>
          <w:rFonts w:eastAsiaTheme="minorEastAsia"/>
          <w:sz w:val="24"/>
        </w:rPr>
      </w:pPr>
      <w:r w:rsidRPr="00FC1444">
        <w:rPr>
          <w:rFonts w:eastAsiaTheme="minorEastAsia"/>
          <w:sz w:val="24"/>
        </w:rPr>
        <w:t>n</w:t>
      </w:r>
      <w:r w:rsidRPr="00FC1444">
        <w:rPr>
          <w:rFonts w:eastAsiaTheme="minorEastAsia"/>
          <w:sz w:val="24"/>
          <w:vertAlign w:val="subscript"/>
        </w:rPr>
        <w:t>e</w:t>
      </w:r>
      <w:r w:rsidRPr="00FC1444">
        <w:rPr>
          <w:rFonts w:eastAsiaTheme="minorEastAsia"/>
          <w:sz w:val="24"/>
        </w:rPr>
        <w:t>—</w:t>
      </w:r>
      <w:r w:rsidRPr="00FC1444">
        <w:rPr>
          <w:rFonts w:eastAsiaTheme="minorEastAsia"/>
          <w:sz w:val="24"/>
        </w:rPr>
        <w:t>有效孔隙度，无量纲；</w:t>
      </w:r>
      <w:r w:rsidRPr="00FC1444">
        <w:rPr>
          <w:rFonts w:eastAsiaTheme="minorEastAsia"/>
          <w:sz w:val="24"/>
        </w:rPr>
        <w:t>n</w:t>
      </w:r>
      <w:r w:rsidRPr="00FC1444">
        <w:rPr>
          <w:rFonts w:eastAsiaTheme="minorEastAsia"/>
          <w:sz w:val="24"/>
          <w:vertAlign w:val="subscript"/>
        </w:rPr>
        <w:t>e</w:t>
      </w:r>
      <w:r w:rsidRPr="00FC1444">
        <w:rPr>
          <w:rFonts w:eastAsiaTheme="minorEastAsia"/>
          <w:sz w:val="24"/>
        </w:rPr>
        <w:t>=0.2</w:t>
      </w:r>
    </w:p>
    <w:p w:rsidR="002A5A5E" w:rsidRPr="00FC1444" w:rsidRDefault="00611CBA">
      <w:pPr>
        <w:spacing w:line="360" w:lineRule="auto"/>
        <w:ind w:firstLineChars="300" w:firstLine="720"/>
        <w:rPr>
          <w:rFonts w:eastAsiaTheme="minorEastAsia"/>
          <w:sz w:val="24"/>
        </w:rPr>
      </w:pPr>
      <w:r w:rsidRPr="00FC1444">
        <w:rPr>
          <w:rFonts w:eastAsiaTheme="minorEastAsia"/>
          <w:sz w:val="24"/>
        </w:rPr>
        <w:t>D</w:t>
      </w:r>
      <w:r w:rsidRPr="00FC1444">
        <w:rPr>
          <w:rFonts w:eastAsiaTheme="minorEastAsia"/>
          <w:sz w:val="24"/>
          <w:vertAlign w:val="subscript"/>
        </w:rPr>
        <w:t>L</w:t>
      </w:r>
      <w:r w:rsidRPr="00FC1444">
        <w:rPr>
          <w:rFonts w:eastAsiaTheme="minorEastAsia"/>
          <w:sz w:val="24"/>
        </w:rPr>
        <w:t>—</w:t>
      </w:r>
      <w:r w:rsidRPr="00FC1444">
        <w:rPr>
          <w:rFonts w:eastAsiaTheme="minorEastAsia"/>
          <w:sz w:val="24"/>
        </w:rPr>
        <w:t>纵向弥散系数，</w:t>
      </w:r>
      <w:r w:rsidRPr="00FC1444">
        <w:rPr>
          <w:rFonts w:eastAsiaTheme="minorEastAsia"/>
          <w:sz w:val="24"/>
        </w:rPr>
        <w:t>m</w:t>
      </w:r>
      <w:r w:rsidRPr="00FC1444">
        <w:rPr>
          <w:rFonts w:eastAsiaTheme="minorEastAsia"/>
          <w:sz w:val="24"/>
          <w:vertAlign w:val="superscript"/>
        </w:rPr>
        <w:t>2</w:t>
      </w:r>
      <w:r w:rsidRPr="00FC1444">
        <w:rPr>
          <w:rFonts w:eastAsiaTheme="minorEastAsia"/>
          <w:sz w:val="24"/>
        </w:rPr>
        <w:t>/d</w:t>
      </w:r>
      <w:r w:rsidRPr="00FC1444">
        <w:rPr>
          <w:rFonts w:eastAsiaTheme="minorEastAsia"/>
          <w:sz w:val="24"/>
        </w:rPr>
        <w:t>；</w:t>
      </w:r>
      <w:r w:rsidRPr="00FC1444">
        <w:rPr>
          <w:rFonts w:eastAsiaTheme="minorEastAsia"/>
          <w:sz w:val="24"/>
        </w:rPr>
        <w:t>D</w:t>
      </w:r>
      <w:r w:rsidRPr="00FC1444">
        <w:rPr>
          <w:rFonts w:eastAsiaTheme="minorEastAsia"/>
          <w:sz w:val="24"/>
          <w:vertAlign w:val="subscript"/>
        </w:rPr>
        <w:t>L</w:t>
      </w:r>
      <w:r w:rsidRPr="00FC1444">
        <w:rPr>
          <w:rFonts w:eastAsiaTheme="minorEastAsia"/>
          <w:sz w:val="24"/>
        </w:rPr>
        <w:t>=0.2m</w:t>
      </w:r>
      <w:r w:rsidRPr="00FC1444">
        <w:rPr>
          <w:rFonts w:eastAsiaTheme="minorEastAsia"/>
          <w:sz w:val="24"/>
          <w:vertAlign w:val="superscript"/>
        </w:rPr>
        <w:t>2</w:t>
      </w:r>
      <w:r w:rsidRPr="00FC1444">
        <w:rPr>
          <w:rFonts w:eastAsiaTheme="minorEastAsia"/>
          <w:sz w:val="24"/>
        </w:rPr>
        <w:t>/d</w:t>
      </w:r>
    </w:p>
    <w:p w:rsidR="002A5A5E" w:rsidRPr="00FC1444" w:rsidRDefault="00611CBA">
      <w:pPr>
        <w:spacing w:line="360" w:lineRule="auto"/>
        <w:ind w:firstLineChars="300" w:firstLine="720"/>
        <w:rPr>
          <w:rFonts w:eastAsiaTheme="minorEastAsia"/>
          <w:sz w:val="24"/>
        </w:rPr>
      </w:pPr>
      <w:r w:rsidRPr="00FC1444">
        <w:rPr>
          <w:rFonts w:eastAsiaTheme="minorEastAsia"/>
          <w:sz w:val="24"/>
        </w:rPr>
        <w:t>π—</w:t>
      </w:r>
      <w:r w:rsidRPr="00FC1444">
        <w:rPr>
          <w:rFonts w:eastAsiaTheme="minorEastAsia"/>
          <w:sz w:val="24"/>
        </w:rPr>
        <w:t>圆周率；</w:t>
      </w:r>
      <w:r w:rsidRPr="00FC1444">
        <w:rPr>
          <w:rFonts w:eastAsiaTheme="minorEastAsia"/>
          <w:sz w:val="24"/>
        </w:rPr>
        <w:t>π=3.14</w:t>
      </w:r>
      <w:r w:rsidRPr="00FC1444">
        <w:rPr>
          <w:rFonts w:eastAsiaTheme="minorEastAsia"/>
          <w:sz w:val="24"/>
        </w:rPr>
        <w:t>；</w:t>
      </w:r>
    </w:p>
    <w:p w:rsidR="002A5A5E" w:rsidRPr="00FC1444" w:rsidRDefault="00611CBA">
      <w:pPr>
        <w:spacing w:line="360" w:lineRule="auto"/>
        <w:rPr>
          <w:rFonts w:eastAsiaTheme="minorEastAsia"/>
          <w:sz w:val="24"/>
        </w:rPr>
      </w:pPr>
      <w:r w:rsidRPr="00FC1444">
        <w:rPr>
          <w:rFonts w:eastAsiaTheme="minorEastAsia"/>
          <w:sz w:val="24"/>
        </w:rPr>
        <w:t>模式中参数的确定：</w:t>
      </w:r>
    </w:p>
    <w:p w:rsidR="002A5A5E" w:rsidRPr="00FC1444" w:rsidRDefault="00611CBA">
      <w:pPr>
        <w:spacing w:line="360" w:lineRule="auto"/>
        <w:ind w:firstLine="495"/>
        <w:rPr>
          <w:rFonts w:eastAsiaTheme="minorEastAsia"/>
          <w:sz w:val="24"/>
        </w:rPr>
      </w:pPr>
      <w:r w:rsidRPr="00FC1444">
        <w:rPr>
          <w:rFonts w:eastAsiaTheme="minorEastAsia"/>
          <w:sz w:val="24"/>
        </w:rPr>
        <w:t>水流速度（</w:t>
      </w:r>
      <w:r w:rsidRPr="00FC1444">
        <w:rPr>
          <w:rFonts w:eastAsiaTheme="minorEastAsia"/>
          <w:sz w:val="24"/>
        </w:rPr>
        <w:t>u</w:t>
      </w:r>
      <w:r w:rsidRPr="00FC1444">
        <w:rPr>
          <w:rFonts w:eastAsiaTheme="minorEastAsia"/>
          <w:sz w:val="24"/>
        </w:rPr>
        <w:t>）：根据达西定律</w:t>
      </w:r>
      <w:r w:rsidRPr="00FC1444">
        <w:rPr>
          <w:rFonts w:eastAsiaTheme="minorEastAsia"/>
          <w:sz w:val="24"/>
        </w:rPr>
        <w:t>u=</w:t>
      </w:r>
      <w:r w:rsidRPr="00FC1444">
        <w:rPr>
          <w:rFonts w:eastAsiaTheme="minorEastAsia"/>
          <w:sz w:val="24"/>
        </w:rPr>
        <w:t>含水层渗透系数</w:t>
      </w:r>
      <w:r w:rsidRPr="00FC1444">
        <w:rPr>
          <w:rFonts w:eastAsiaTheme="minorEastAsia"/>
          <w:sz w:val="24"/>
        </w:rPr>
        <w:t>×</w:t>
      </w:r>
      <w:r w:rsidRPr="00FC1444">
        <w:rPr>
          <w:rFonts w:eastAsiaTheme="minorEastAsia"/>
          <w:sz w:val="24"/>
        </w:rPr>
        <w:t>地下水水力坡度，根据地下水概况分析，中砂石含水层渗透系数取（</w:t>
      </w:r>
      <w:r w:rsidRPr="00FC1444">
        <w:rPr>
          <w:rFonts w:eastAsiaTheme="minorEastAsia"/>
          <w:sz w:val="24"/>
        </w:rPr>
        <w:t>K=25m/d</w:t>
      </w:r>
      <w:r w:rsidRPr="00FC1444">
        <w:rPr>
          <w:rFonts w:eastAsiaTheme="minorEastAsia"/>
          <w:sz w:val="24"/>
        </w:rPr>
        <w:t>），水力坡度</w:t>
      </w:r>
      <w:r w:rsidRPr="00FC1444">
        <w:rPr>
          <w:rFonts w:eastAsiaTheme="minorEastAsia"/>
          <w:sz w:val="24"/>
        </w:rPr>
        <w:t>I=</w:t>
      </w:r>
      <w:r w:rsidR="003C360A" w:rsidRPr="00FC1444">
        <w:rPr>
          <w:rFonts w:eastAsiaTheme="minorEastAsia" w:hint="eastAsia"/>
          <w:sz w:val="24"/>
        </w:rPr>
        <w:t>0.61</w:t>
      </w:r>
      <w:r w:rsidRPr="00FC1444">
        <w:rPr>
          <w:rFonts w:eastAsiaTheme="minorEastAsia"/>
          <w:sz w:val="24"/>
        </w:rPr>
        <w:t>‰</w:t>
      </w:r>
      <w:r w:rsidRPr="00FC1444">
        <w:rPr>
          <w:rFonts w:eastAsiaTheme="minorEastAsia"/>
          <w:sz w:val="24"/>
        </w:rPr>
        <w:t>，所以</w:t>
      </w:r>
      <w:r w:rsidRPr="00FC1444">
        <w:rPr>
          <w:rFonts w:eastAsiaTheme="minorEastAsia"/>
          <w:sz w:val="24"/>
        </w:rPr>
        <w:t>u=0.0</w:t>
      </w:r>
      <w:r w:rsidR="003C360A" w:rsidRPr="00FC1444">
        <w:rPr>
          <w:rFonts w:eastAsiaTheme="minorEastAsia" w:hint="eastAsia"/>
          <w:sz w:val="24"/>
        </w:rPr>
        <w:t>2</w:t>
      </w:r>
      <w:r w:rsidRPr="00FC1444">
        <w:rPr>
          <w:rFonts w:eastAsiaTheme="minorEastAsia"/>
          <w:sz w:val="24"/>
        </w:rPr>
        <w:t>m/d</w:t>
      </w:r>
      <w:r w:rsidRPr="00FC1444">
        <w:rPr>
          <w:rFonts w:eastAsiaTheme="minorEastAsia"/>
          <w:sz w:val="24"/>
        </w:rPr>
        <w:t>。有效孔隙度（</w:t>
      </w:r>
      <w:r w:rsidRPr="00FC1444">
        <w:rPr>
          <w:rFonts w:eastAsiaTheme="minorEastAsia"/>
          <w:sz w:val="24"/>
        </w:rPr>
        <w:t>n</w:t>
      </w:r>
      <w:r w:rsidRPr="00FC1444">
        <w:rPr>
          <w:rFonts w:eastAsiaTheme="minorEastAsia"/>
          <w:sz w:val="24"/>
        </w:rPr>
        <w:t>）：根据资料选取，</w:t>
      </w:r>
      <w:r w:rsidRPr="00FC1444">
        <w:rPr>
          <w:rFonts w:eastAsiaTheme="minorEastAsia"/>
          <w:sz w:val="24"/>
        </w:rPr>
        <w:t>0.2</w:t>
      </w:r>
      <w:r w:rsidRPr="00FC1444">
        <w:rPr>
          <w:rFonts w:eastAsiaTheme="minorEastAsia"/>
          <w:sz w:val="24"/>
        </w:rPr>
        <w:t>。</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弥散系数：根据含水层岩性及渗透系数、水力坡度等因素，本项目参考《海岸工程》第</w:t>
      </w:r>
      <w:r w:rsidRPr="00FC1444">
        <w:rPr>
          <w:rFonts w:eastAsiaTheme="minorEastAsia"/>
          <w:sz w:val="24"/>
        </w:rPr>
        <w:t>17</w:t>
      </w:r>
      <w:r w:rsidRPr="00FC1444">
        <w:rPr>
          <w:rFonts w:eastAsiaTheme="minorEastAsia"/>
          <w:sz w:val="24"/>
        </w:rPr>
        <w:t>卷第</w:t>
      </w:r>
      <w:r w:rsidRPr="00FC1444">
        <w:rPr>
          <w:rFonts w:eastAsiaTheme="minorEastAsia"/>
          <w:sz w:val="24"/>
        </w:rPr>
        <w:t>3</w:t>
      </w:r>
      <w:r w:rsidRPr="00FC1444">
        <w:rPr>
          <w:rFonts w:eastAsiaTheme="minorEastAsia"/>
          <w:sz w:val="24"/>
        </w:rPr>
        <w:t>期</w:t>
      </w:r>
      <w:r w:rsidRPr="00FC1444">
        <w:rPr>
          <w:rFonts w:eastAsiaTheme="minorEastAsia"/>
          <w:sz w:val="24"/>
        </w:rPr>
        <w:t>-</w:t>
      </w:r>
      <w:r w:rsidRPr="00FC1444">
        <w:rPr>
          <w:rFonts w:eastAsiaTheme="minorEastAsia"/>
          <w:sz w:val="24"/>
        </w:rPr>
        <w:t>地下水弥散系数的测定中表</w:t>
      </w:r>
      <w:r w:rsidRPr="00FC1444">
        <w:rPr>
          <w:rFonts w:eastAsiaTheme="minorEastAsia"/>
          <w:sz w:val="24"/>
        </w:rPr>
        <w:t>5-2-5</w:t>
      </w:r>
      <w:r w:rsidRPr="00FC1444">
        <w:rPr>
          <w:rFonts w:eastAsiaTheme="minorEastAsia"/>
          <w:sz w:val="24"/>
        </w:rPr>
        <w:t>弥散系数参考表，取</w:t>
      </w:r>
      <w:r w:rsidRPr="00FC1444">
        <w:rPr>
          <w:rFonts w:eastAsiaTheme="minorEastAsia"/>
          <w:sz w:val="24"/>
        </w:rPr>
        <w:t>D</w:t>
      </w:r>
      <w:r w:rsidRPr="00FC1444">
        <w:rPr>
          <w:rFonts w:eastAsiaTheme="minorEastAsia"/>
          <w:sz w:val="24"/>
          <w:vertAlign w:val="subscript"/>
        </w:rPr>
        <w:t>L</w:t>
      </w:r>
      <w:r w:rsidRPr="00FC1444">
        <w:rPr>
          <w:rFonts w:eastAsiaTheme="minorEastAsia"/>
          <w:sz w:val="24"/>
        </w:rPr>
        <w:t>=0.2m</w:t>
      </w:r>
      <w:r w:rsidRPr="00FC1444">
        <w:rPr>
          <w:rFonts w:eastAsiaTheme="minorEastAsia"/>
          <w:sz w:val="24"/>
          <w:vertAlign w:val="superscript"/>
        </w:rPr>
        <w:t>2</w:t>
      </w:r>
      <w:r w:rsidRPr="00FC1444">
        <w:rPr>
          <w:rFonts w:eastAsiaTheme="minorEastAsia"/>
          <w:sz w:val="24"/>
        </w:rPr>
        <w:t>/d</w:t>
      </w:r>
      <w:r w:rsidRPr="00FC1444">
        <w:rPr>
          <w:rFonts w:eastAsiaTheme="minorEastAsia"/>
          <w:sz w:val="24"/>
        </w:rPr>
        <w:t>。</w:t>
      </w:r>
    </w:p>
    <w:p w:rsidR="002A5A5E" w:rsidRPr="00FC1444" w:rsidRDefault="00611CBA">
      <w:pPr>
        <w:contextualSpacing/>
        <w:jc w:val="center"/>
        <w:rPr>
          <w:rFonts w:eastAsiaTheme="minorEastAsia"/>
          <w:b/>
          <w:szCs w:val="21"/>
        </w:rPr>
      </w:pPr>
      <w:r w:rsidRPr="00FC1444">
        <w:rPr>
          <w:rFonts w:eastAsiaTheme="minorEastAsia"/>
          <w:b/>
          <w:szCs w:val="21"/>
        </w:rPr>
        <w:t>表</w:t>
      </w:r>
      <w:r w:rsidRPr="00FC1444">
        <w:rPr>
          <w:rFonts w:eastAsiaTheme="minorEastAsia"/>
          <w:b/>
          <w:szCs w:val="21"/>
        </w:rPr>
        <w:t>5-2-3</w:t>
      </w:r>
      <w:r w:rsidRPr="00FC1444">
        <w:rPr>
          <w:rFonts w:eastAsiaTheme="minorEastAsia"/>
          <w:b/>
          <w:szCs w:val="21"/>
        </w:rPr>
        <w:t>预测参数</w:t>
      </w:r>
    </w:p>
    <w:tbl>
      <w:tblPr>
        <w:tblW w:w="8522"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130"/>
        <w:gridCol w:w="2231"/>
        <w:gridCol w:w="2126"/>
        <w:gridCol w:w="2035"/>
      </w:tblGrid>
      <w:tr w:rsidR="002A5A5E" w:rsidRPr="00FC1444">
        <w:trPr>
          <w:trHeight w:val="40"/>
          <w:jc w:val="center"/>
        </w:trPr>
        <w:tc>
          <w:tcPr>
            <w:tcW w:w="2130" w:type="dxa"/>
            <w:vAlign w:val="center"/>
          </w:tcPr>
          <w:p w:rsidR="002A5A5E" w:rsidRPr="00FC1444" w:rsidRDefault="00611CBA">
            <w:pPr>
              <w:spacing w:line="0" w:lineRule="atLeast"/>
              <w:contextualSpacing/>
              <w:jc w:val="center"/>
              <w:rPr>
                <w:rFonts w:eastAsiaTheme="minorEastAsia"/>
                <w:szCs w:val="21"/>
              </w:rPr>
            </w:pPr>
            <w:bookmarkStart w:id="132" w:name="_Hlk522485953"/>
            <w:r w:rsidRPr="00FC1444">
              <w:rPr>
                <w:rFonts w:eastAsiaTheme="minorEastAsia"/>
                <w:szCs w:val="21"/>
              </w:rPr>
              <w:t>含水层参数</w:t>
            </w:r>
          </w:p>
        </w:tc>
        <w:tc>
          <w:tcPr>
            <w:tcW w:w="2231"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取值</w:t>
            </w:r>
          </w:p>
        </w:tc>
        <w:tc>
          <w:tcPr>
            <w:tcW w:w="2126"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含水层参数</w:t>
            </w:r>
          </w:p>
        </w:tc>
        <w:tc>
          <w:tcPr>
            <w:tcW w:w="2035"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取值</w:t>
            </w:r>
          </w:p>
        </w:tc>
      </w:tr>
      <w:tr w:rsidR="002A5A5E" w:rsidRPr="00FC1444">
        <w:trPr>
          <w:jc w:val="center"/>
        </w:trPr>
        <w:tc>
          <w:tcPr>
            <w:tcW w:w="213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渗透系数</w:t>
            </w:r>
          </w:p>
        </w:tc>
        <w:tc>
          <w:tcPr>
            <w:tcW w:w="2231"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25m/d</w:t>
            </w:r>
          </w:p>
        </w:tc>
        <w:tc>
          <w:tcPr>
            <w:tcW w:w="2126"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水利坡度</w:t>
            </w:r>
          </w:p>
        </w:tc>
        <w:tc>
          <w:tcPr>
            <w:tcW w:w="2035" w:type="dxa"/>
            <w:vAlign w:val="center"/>
          </w:tcPr>
          <w:p w:rsidR="002A5A5E" w:rsidRPr="00FC1444" w:rsidRDefault="003C360A">
            <w:pPr>
              <w:spacing w:line="0" w:lineRule="atLeast"/>
              <w:contextualSpacing/>
              <w:jc w:val="center"/>
              <w:rPr>
                <w:rFonts w:eastAsiaTheme="minorEastAsia"/>
                <w:szCs w:val="21"/>
              </w:rPr>
            </w:pPr>
            <w:r w:rsidRPr="00FC1444">
              <w:rPr>
                <w:rFonts w:eastAsiaTheme="minorEastAsia" w:hint="eastAsia"/>
                <w:szCs w:val="21"/>
              </w:rPr>
              <w:t>0.61</w:t>
            </w:r>
            <w:r w:rsidR="00611CBA" w:rsidRPr="00FC1444">
              <w:rPr>
                <w:rFonts w:eastAsiaTheme="minorEastAsia"/>
                <w:szCs w:val="21"/>
              </w:rPr>
              <w:t>‰</w:t>
            </w:r>
          </w:p>
        </w:tc>
      </w:tr>
      <w:tr w:rsidR="002A5A5E" w:rsidRPr="00FC1444">
        <w:trPr>
          <w:jc w:val="center"/>
        </w:trPr>
        <w:tc>
          <w:tcPr>
            <w:tcW w:w="213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有效孔隙率</w:t>
            </w:r>
          </w:p>
        </w:tc>
        <w:tc>
          <w:tcPr>
            <w:tcW w:w="2231"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0.2</w:t>
            </w:r>
          </w:p>
        </w:tc>
        <w:tc>
          <w:tcPr>
            <w:tcW w:w="2126"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弥散系数</w:t>
            </w:r>
          </w:p>
        </w:tc>
        <w:tc>
          <w:tcPr>
            <w:tcW w:w="2035"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0.2m</w:t>
            </w:r>
            <w:r w:rsidRPr="00FC1444">
              <w:rPr>
                <w:rFonts w:eastAsiaTheme="minorEastAsia"/>
                <w:szCs w:val="21"/>
                <w:vertAlign w:val="superscript"/>
              </w:rPr>
              <w:t>2</w:t>
            </w:r>
            <w:r w:rsidRPr="00FC1444">
              <w:rPr>
                <w:rFonts w:eastAsiaTheme="minorEastAsia"/>
                <w:szCs w:val="21"/>
              </w:rPr>
              <w:t>/d</w:t>
            </w:r>
          </w:p>
        </w:tc>
      </w:tr>
      <w:tr w:rsidR="002A5A5E" w:rsidRPr="00FC1444">
        <w:trPr>
          <w:trHeight w:val="69"/>
          <w:jc w:val="center"/>
        </w:trPr>
        <w:tc>
          <w:tcPr>
            <w:tcW w:w="213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流速</w:t>
            </w:r>
          </w:p>
        </w:tc>
        <w:tc>
          <w:tcPr>
            <w:tcW w:w="6392" w:type="dxa"/>
            <w:gridSpan w:val="3"/>
            <w:vAlign w:val="center"/>
          </w:tcPr>
          <w:p w:rsidR="002A5A5E" w:rsidRPr="00FC1444" w:rsidRDefault="003C360A">
            <w:pPr>
              <w:spacing w:line="0" w:lineRule="atLeast"/>
              <w:contextualSpacing/>
              <w:jc w:val="center"/>
              <w:rPr>
                <w:rFonts w:eastAsiaTheme="minorEastAsia"/>
                <w:szCs w:val="21"/>
              </w:rPr>
            </w:pPr>
            <w:r w:rsidRPr="00FC1444">
              <w:rPr>
                <w:rFonts w:eastAsiaTheme="minorEastAsia"/>
                <w:szCs w:val="21"/>
              </w:rPr>
              <w:t>0.0</w:t>
            </w:r>
            <w:r w:rsidRPr="00FC1444">
              <w:rPr>
                <w:rFonts w:eastAsiaTheme="minorEastAsia" w:hint="eastAsia"/>
                <w:szCs w:val="21"/>
              </w:rPr>
              <w:t>2</w:t>
            </w:r>
            <w:r w:rsidR="00611CBA" w:rsidRPr="00FC1444">
              <w:rPr>
                <w:rFonts w:eastAsiaTheme="minorEastAsia"/>
                <w:szCs w:val="21"/>
              </w:rPr>
              <w:t>m/d</w:t>
            </w:r>
          </w:p>
        </w:tc>
      </w:tr>
      <w:tr w:rsidR="002A5A5E" w:rsidRPr="00FC1444">
        <w:trPr>
          <w:jc w:val="center"/>
        </w:trPr>
        <w:tc>
          <w:tcPr>
            <w:tcW w:w="213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污染源参数</w:t>
            </w:r>
          </w:p>
        </w:tc>
        <w:tc>
          <w:tcPr>
            <w:tcW w:w="6392" w:type="dxa"/>
            <w:gridSpan w:val="3"/>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石油类</w:t>
            </w:r>
          </w:p>
        </w:tc>
      </w:tr>
      <w:tr w:rsidR="002A5A5E" w:rsidRPr="00FC1444">
        <w:trPr>
          <w:trHeight w:val="77"/>
          <w:jc w:val="center"/>
        </w:trPr>
        <w:tc>
          <w:tcPr>
            <w:tcW w:w="2130" w:type="dxa"/>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源强</w:t>
            </w:r>
          </w:p>
        </w:tc>
        <w:tc>
          <w:tcPr>
            <w:tcW w:w="6392" w:type="dxa"/>
            <w:gridSpan w:val="3"/>
            <w:vAlign w:val="center"/>
          </w:tcPr>
          <w:p w:rsidR="002A5A5E" w:rsidRPr="00FC1444" w:rsidRDefault="004B63C1">
            <w:pPr>
              <w:spacing w:line="0" w:lineRule="atLeast"/>
              <w:contextualSpacing/>
              <w:jc w:val="center"/>
              <w:rPr>
                <w:rFonts w:eastAsiaTheme="minorEastAsia"/>
                <w:kern w:val="0"/>
                <w:szCs w:val="21"/>
              </w:rPr>
            </w:pPr>
            <w:r w:rsidRPr="00FC1444">
              <w:rPr>
                <w:rFonts w:eastAsiaTheme="minorEastAsia"/>
                <w:szCs w:val="21"/>
              </w:rPr>
              <w:t>125</w:t>
            </w:r>
            <w:r w:rsidR="00611CBA" w:rsidRPr="00FC1444">
              <w:rPr>
                <w:rFonts w:eastAsiaTheme="minorEastAsia"/>
                <w:szCs w:val="21"/>
              </w:rPr>
              <w:t>kg</w:t>
            </w:r>
          </w:p>
        </w:tc>
      </w:tr>
    </w:tbl>
    <w:bookmarkEnd w:id="132"/>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7</w:t>
      </w:r>
      <w:r w:rsidRPr="00FC1444">
        <w:rPr>
          <w:rFonts w:eastAsiaTheme="minorEastAsia"/>
          <w:kern w:val="0"/>
          <w:sz w:val="24"/>
        </w:rPr>
        <w:t>）预测结果</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预测计算结果见表</w:t>
      </w:r>
      <w:r w:rsidRPr="00FC1444">
        <w:rPr>
          <w:rFonts w:eastAsiaTheme="minorEastAsia"/>
          <w:sz w:val="24"/>
        </w:rPr>
        <w:t>5-2-4</w:t>
      </w:r>
      <w:r w:rsidRPr="00FC1444">
        <w:rPr>
          <w:rFonts w:eastAsiaTheme="minorEastAsia"/>
          <w:sz w:val="24"/>
        </w:rPr>
        <w:t>。</w:t>
      </w:r>
    </w:p>
    <w:p w:rsidR="00C341EA" w:rsidRPr="00FC1444" w:rsidRDefault="00C341EA">
      <w:pPr>
        <w:contextualSpacing/>
        <w:jc w:val="center"/>
        <w:rPr>
          <w:rFonts w:eastAsiaTheme="minorEastAsia"/>
          <w:b/>
          <w:szCs w:val="21"/>
        </w:rPr>
      </w:pPr>
    </w:p>
    <w:p w:rsidR="00C341EA" w:rsidRPr="00FC1444" w:rsidRDefault="00C341EA">
      <w:pPr>
        <w:contextualSpacing/>
        <w:jc w:val="center"/>
        <w:rPr>
          <w:rFonts w:eastAsiaTheme="minorEastAsia"/>
          <w:b/>
          <w:szCs w:val="21"/>
        </w:rPr>
      </w:pPr>
    </w:p>
    <w:p w:rsidR="00E33931" w:rsidRPr="00FC1444" w:rsidRDefault="00E33931">
      <w:pPr>
        <w:contextualSpacing/>
        <w:jc w:val="center"/>
        <w:rPr>
          <w:rFonts w:eastAsiaTheme="minorEastAsia"/>
          <w:b/>
          <w:szCs w:val="21"/>
        </w:rPr>
      </w:pPr>
    </w:p>
    <w:p w:rsidR="00E33931" w:rsidRPr="00FC1444" w:rsidRDefault="00E33931">
      <w:pPr>
        <w:contextualSpacing/>
        <w:jc w:val="center"/>
        <w:rPr>
          <w:rFonts w:eastAsiaTheme="minorEastAsia"/>
          <w:b/>
          <w:szCs w:val="21"/>
        </w:rPr>
      </w:pPr>
    </w:p>
    <w:p w:rsidR="00E33931" w:rsidRPr="00FC1444" w:rsidRDefault="00E33931">
      <w:pPr>
        <w:contextualSpacing/>
        <w:jc w:val="center"/>
        <w:rPr>
          <w:rFonts w:eastAsiaTheme="minorEastAsia"/>
          <w:b/>
          <w:szCs w:val="21"/>
        </w:rPr>
      </w:pPr>
    </w:p>
    <w:p w:rsidR="00C341EA" w:rsidRPr="00FC1444" w:rsidRDefault="00C341EA">
      <w:pPr>
        <w:contextualSpacing/>
        <w:jc w:val="center"/>
        <w:rPr>
          <w:rFonts w:eastAsiaTheme="minorEastAsia"/>
          <w:b/>
          <w:szCs w:val="21"/>
        </w:rPr>
      </w:pPr>
    </w:p>
    <w:p w:rsidR="002A5A5E" w:rsidRPr="00FC1444" w:rsidRDefault="00611CBA">
      <w:pPr>
        <w:contextualSpacing/>
        <w:jc w:val="center"/>
        <w:rPr>
          <w:rFonts w:eastAsiaTheme="minorEastAsia"/>
          <w:b/>
          <w:szCs w:val="21"/>
        </w:rPr>
      </w:pPr>
      <w:r w:rsidRPr="00FC1444">
        <w:rPr>
          <w:rFonts w:eastAsiaTheme="minorEastAsia"/>
          <w:b/>
          <w:szCs w:val="21"/>
        </w:rPr>
        <w:lastRenderedPageBreak/>
        <w:t>表</w:t>
      </w:r>
      <w:r w:rsidRPr="00FC1444">
        <w:rPr>
          <w:rFonts w:eastAsiaTheme="minorEastAsia"/>
          <w:b/>
          <w:szCs w:val="21"/>
        </w:rPr>
        <w:t xml:space="preserve">5-2-4 </w:t>
      </w:r>
      <w:r w:rsidRPr="00FC1444">
        <w:rPr>
          <w:rFonts w:eastAsiaTheme="minorEastAsia"/>
          <w:b/>
          <w:szCs w:val="21"/>
        </w:rPr>
        <w:t>地下预测结果</w:t>
      </w:r>
    </w:p>
    <w:tbl>
      <w:tblPr>
        <w:tblW w:w="8296" w:type="dxa"/>
        <w:jc w:val="center"/>
        <w:tblBorders>
          <w:top w:val="single" w:sz="12" w:space="0" w:color="000000"/>
          <w:bottom w:val="single" w:sz="12" w:space="0" w:color="auto"/>
          <w:insideH w:val="single" w:sz="4" w:space="0" w:color="auto"/>
          <w:insideV w:val="single" w:sz="4" w:space="0" w:color="auto"/>
        </w:tblBorders>
        <w:tblCellMar>
          <w:left w:w="28" w:type="dxa"/>
          <w:right w:w="28" w:type="dxa"/>
        </w:tblCellMar>
        <w:tblLook w:val="04A0"/>
      </w:tblPr>
      <w:tblGrid>
        <w:gridCol w:w="1824"/>
        <w:gridCol w:w="2324"/>
        <w:gridCol w:w="1824"/>
        <w:gridCol w:w="2324"/>
      </w:tblGrid>
      <w:tr w:rsidR="002A5A5E" w:rsidRPr="00FC1444" w:rsidTr="00967D9B">
        <w:trPr>
          <w:cantSplit/>
          <w:trHeight w:val="324"/>
          <w:jc w:val="center"/>
        </w:trPr>
        <w:tc>
          <w:tcPr>
            <w:tcW w:w="0" w:type="auto"/>
            <w:gridSpan w:val="4"/>
            <w:vAlign w:val="center"/>
          </w:tcPr>
          <w:p w:rsidR="002A5A5E" w:rsidRPr="00FC1444" w:rsidRDefault="00611CBA">
            <w:pPr>
              <w:pStyle w:val="aff7"/>
              <w:spacing w:line="0" w:lineRule="atLeast"/>
              <w:contextualSpacing/>
              <w:rPr>
                <w:rFonts w:eastAsiaTheme="minorEastAsia" w:hAnsi="Times New Roman"/>
              </w:rPr>
            </w:pPr>
            <w:r w:rsidRPr="00FC1444">
              <w:rPr>
                <w:rFonts w:eastAsiaTheme="minorEastAsia" w:hAnsi="Times New Roman"/>
              </w:rPr>
              <w:t>石油类</w:t>
            </w:r>
          </w:p>
        </w:tc>
      </w:tr>
      <w:tr w:rsidR="002A5A5E" w:rsidRPr="00FC1444" w:rsidTr="00967D9B">
        <w:trPr>
          <w:cantSplit/>
          <w:trHeight w:val="324"/>
          <w:jc w:val="center"/>
        </w:trPr>
        <w:tc>
          <w:tcPr>
            <w:tcW w:w="0" w:type="auto"/>
            <w:gridSpan w:val="2"/>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100</w:t>
            </w:r>
            <w:r w:rsidRPr="00FC1444">
              <w:rPr>
                <w:rFonts w:eastAsiaTheme="minorEastAsia"/>
                <w:szCs w:val="21"/>
              </w:rPr>
              <w:t>天</w:t>
            </w:r>
          </w:p>
        </w:tc>
        <w:tc>
          <w:tcPr>
            <w:tcW w:w="0" w:type="auto"/>
            <w:gridSpan w:val="2"/>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1000</w:t>
            </w:r>
            <w:r w:rsidRPr="00FC1444">
              <w:rPr>
                <w:rFonts w:eastAsiaTheme="minorEastAsia"/>
                <w:szCs w:val="21"/>
              </w:rPr>
              <w:t>天</w:t>
            </w:r>
          </w:p>
        </w:tc>
      </w:tr>
      <w:tr w:rsidR="002A5A5E" w:rsidRPr="00FC1444" w:rsidTr="00967D9B">
        <w:trPr>
          <w:cantSplit/>
          <w:trHeight w:val="309"/>
          <w:jc w:val="center"/>
        </w:trPr>
        <w:tc>
          <w:tcPr>
            <w:tcW w:w="0" w:type="auto"/>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距离（</w:t>
            </w:r>
            <w:r w:rsidRPr="00FC1444">
              <w:rPr>
                <w:rFonts w:eastAsiaTheme="minorEastAsia"/>
                <w:szCs w:val="21"/>
              </w:rPr>
              <w:t>m</w:t>
            </w:r>
            <w:r w:rsidRPr="00FC1444">
              <w:rPr>
                <w:rFonts w:eastAsiaTheme="minorEastAsia"/>
                <w:szCs w:val="21"/>
              </w:rPr>
              <w:t>）</w:t>
            </w:r>
          </w:p>
        </w:tc>
        <w:tc>
          <w:tcPr>
            <w:tcW w:w="0" w:type="auto"/>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浓度（</w:t>
            </w:r>
            <w:r w:rsidRPr="00FC1444">
              <w:rPr>
                <w:rFonts w:eastAsiaTheme="minorEastAsia"/>
                <w:szCs w:val="21"/>
              </w:rPr>
              <w:t>mg/L</w:t>
            </w:r>
            <w:r w:rsidRPr="00FC1444">
              <w:rPr>
                <w:rFonts w:eastAsiaTheme="minorEastAsia"/>
                <w:szCs w:val="21"/>
              </w:rPr>
              <w:t>）</w:t>
            </w:r>
          </w:p>
        </w:tc>
        <w:tc>
          <w:tcPr>
            <w:tcW w:w="0" w:type="auto"/>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距离（</w:t>
            </w:r>
            <w:r w:rsidRPr="00FC1444">
              <w:rPr>
                <w:rFonts w:eastAsiaTheme="minorEastAsia"/>
                <w:szCs w:val="21"/>
              </w:rPr>
              <w:t>m</w:t>
            </w:r>
            <w:r w:rsidRPr="00FC1444">
              <w:rPr>
                <w:rFonts w:eastAsiaTheme="minorEastAsia"/>
                <w:szCs w:val="21"/>
              </w:rPr>
              <w:t>）</w:t>
            </w:r>
          </w:p>
        </w:tc>
        <w:tc>
          <w:tcPr>
            <w:tcW w:w="0" w:type="auto"/>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浓度（</w:t>
            </w:r>
            <w:r w:rsidRPr="00FC1444">
              <w:rPr>
                <w:rFonts w:eastAsiaTheme="minorEastAsia"/>
                <w:szCs w:val="21"/>
              </w:rPr>
              <w:t>mg/L</w:t>
            </w:r>
            <w:r w:rsidRPr="00FC1444">
              <w:rPr>
                <w:rFonts w:eastAsiaTheme="minorEastAsia"/>
                <w:szCs w:val="21"/>
              </w:rPr>
              <w:t>）</w:t>
            </w:r>
          </w:p>
        </w:tc>
      </w:tr>
      <w:tr w:rsidR="002A5A5E" w:rsidRPr="00FC1444" w:rsidTr="00967D9B">
        <w:trPr>
          <w:cantSplit/>
          <w:trHeight w:val="50"/>
          <w:jc w:val="center"/>
        </w:trPr>
        <w:tc>
          <w:tcPr>
            <w:tcW w:w="0" w:type="auto"/>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0</w:t>
            </w:r>
          </w:p>
        </w:tc>
        <w:tc>
          <w:tcPr>
            <w:tcW w:w="0" w:type="auto"/>
            <w:vAlign w:val="center"/>
          </w:tcPr>
          <w:p w:rsidR="002A5A5E" w:rsidRPr="00FC1444" w:rsidRDefault="00BB21F7">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1.580225E+08</w:t>
            </w:r>
          </w:p>
        </w:tc>
        <w:tc>
          <w:tcPr>
            <w:tcW w:w="0" w:type="auto"/>
            <w:vAlign w:val="center"/>
          </w:tcPr>
          <w:p w:rsidR="002A5A5E" w:rsidRPr="00FC1444" w:rsidRDefault="00611CBA">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0</w:t>
            </w:r>
          </w:p>
        </w:tc>
        <w:tc>
          <w:tcPr>
            <w:tcW w:w="0" w:type="auto"/>
            <w:vAlign w:val="center"/>
          </w:tcPr>
          <w:p w:rsidR="002A5A5E" w:rsidRPr="00FC1444" w:rsidRDefault="00FD7186">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4.777225E+07</w:t>
            </w:r>
          </w:p>
        </w:tc>
      </w:tr>
      <w:tr w:rsidR="002A5A5E" w:rsidRPr="00FC1444" w:rsidTr="00967D9B">
        <w:trPr>
          <w:cantSplit/>
          <w:trHeight w:val="255"/>
          <w:jc w:val="center"/>
        </w:trPr>
        <w:tc>
          <w:tcPr>
            <w:tcW w:w="0" w:type="auto"/>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10</w:t>
            </w:r>
          </w:p>
        </w:tc>
        <w:tc>
          <w:tcPr>
            <w:tcW w:w="0" w:type="auto"/>
            <w:vAlign w:val="center"/>
          </w:tcPr>
          <w:p w:rsidR="002A5A5E" w:rsidRPr="00FC1444" w:rsidRDefault="00BB21F7">
            <w:pPr>
              <w:widowControl/>
              <w:spacing w:line="0" w:lineRule="atLeast"/>
              <w:contextualSpacing/>
              <w:jc w:val="center"/>
              <w:textAlignment w:val="center"/>
              <w:rPr>
                <w:rFonts w:eastAsiaTheme="minorEastAsia"/>
                <w:szCs w:val="21"/>
              </w:rPr>
            </w:pPr>
            <w:r w:rsidRPr="00FC1444">
              <w:rPr>
                <w:rFonts w:eastAsiaTheme="minorEastAsia"/>
                <w:szCs w:val="21"/>
              </w:rPr>
              <w:t>1.466044E+08</w:t>
            </w:r>
          </w:p>
        </w:tc>
        <w:tc>
          <w:tcPr>
            <w:tcW w:w="0" w:type="auto"/>
            <w:vAlign w:val="center"/>
          </w:tcPr>
          <w:p w:rsidR="002A5A5E" w:rsidRPr="00FC1444" w:rsidRDefault="00FD7186">
            <w:pPr>
              <w:spacing w:line="0" w:lineRule="atLeast"/>
              <w:contextualSpacing/>
              <w:jc w:val="center"/>
              <w:rPr>
                <w:rFonts w:eastAsiaTheme="minorEastAsia"/>
                <w:szCs w:val="21"/>
              </w:rPr>
            </w:pPr>
            <w:r w:rsidRPr="00FC1444">
              <w:rPr>
                <w:rFonts w:eastAsiaTheme="minorEastAsia" w:hint="eastAsia"/>
                <w:szCs w:val="21"/>
              </w:rPr>
              <w:t>50</w:t>
            </w:r>
          </w:p>
        </w:tc>
        <w:tc>
          <w:tcPr>
            <w:tcW w:w="0" w:type="auto"/>
            <w:vAlign w:val="center"/>
          </w:tcPr>
          <w:p w:rsidR="002A5A5E" w:rsidRPr="00FC1444" w:rsidRDefault="00FD7186">
            <w:pPr>
              <w:widowControl/>
              <w:spacing w:line="0" w:lineRule="atLeast"/>
              <w:contextualSpacing/>
              <w:jc w:val="center"/>
              <w:textAlignment w:val="center"/>
              <w:rPr>
                <w:rFonts w:eastAsiaTheme="minorEastAsia"/>
                <w:szCs w:val="21"/>
              </w:rPr>
            </w:pPr>
            <w:r w:rsidRPr="00FC1444">
              <w:rPr>
                <w:rFonts w:eastAsiaTheme="minorEastAsia"/>
                <w:szCs w:val="21"/>
              </w:rPr>
              <w:t>4.487788E+07</w:t>
            </w:r>
          </w:p>
        </w:tc>
      </w:tr>
      <w:tr w:rsidR="002A5A5E" w:rsidRPr="00FC1444" w:rsidTr="00967D9B">
        <w:trPr>
          <w:cantSplit/>
          <w:trHeight w:val="50"/>
          <w:jc w:val="center"/>
        </w:trPr>
        <w:tc>
          <w:tcPr>
            <w:tcW w:w="0" w:type="auto"/>
            <w:vAlign w:val="center"/>
          </w:tcPr>
          <w:p w:rsidR="002A5A5E" w:rsidRPr="00FC1444" w:rsidRDefault="00BB21F7">
            <w:pPr>
              <w:spacing w:line="0" w:lineRule="atLeast"/>
              <w:contextualSpacing/>
              <w:jc w:val="center"/>
              <w:rPr>
                <w:rFonts w:eastAsiaTheme="minorEastAsia"/>
                <w:szCs w:val="21"/>
              </w:rPr>
            </w:pPr>
            <w:r w:rsidRPr="00FC1444">
              <w:rPr>
                <w:rFonts w:eastAsiaTheme="minorEastAsia" w:hint="eastAsia"/>
                <w:szCs w:val="21"/>
              </w:rPr>
              <w:t>50</w:t>
            </w:r>
          </w:p>
        </w:tc>
        <w:tc>
          <w:tcPr>
            <w:tcW w:w="0" w:type="auto"/>
            <w:vAlign w:val="center"/>
          </w:tcPr>
          <w:p w:rsidR="002A5A5E" w:rsidRPr="00FC1444" w:rsidRDefault="00BB21F7">
            <w:pPr>
              <w:widowControl/>
              <w:spacing w:line="0" w:lineRule="atLeast"/>
              <w:contextualSpacing/>
              <w:jc w:val="center"/>
              <w:textAlignment w:val="center"/>
              <w:rPr>
                <w:rFonts w:eastAsiaTheme="minorEastAsia"/>
                <w:szCs w:val="21"/>
              </w:rPr>
            </w:pPr>
            <w:r w:rsidRPr="00FC1444">
              <w:rPr>
                <w:rFonts w:eastAsiaTheme="minorEastAsia"/>
                <w:szCs w:val="21"/>
              </w:rPr>
              <w:t>8915020</w:t>
            </w:r>
          </w:p>
        </w:tc>
        <w:tc>
          <w:tcPr>
            <w:tcW w:w="0" w:type="auto"/>
            <w:vAlign w:val="center"/>
          </w:tcPr>
          <w:p w:rsidR="002A5A5E" w:rsidRPr="00FC1444" w:rsidRDefault="00FD7186">
            <w:pPr>
              <w:spacing w:line="0" w:lineRule="atLeast"/>
              <w:contextualSpacing/>
              <w:jc w:val="center"/>
              <w:rPr>
                <w:rFonts w:eastAsiaTheme="minorEastAsia"/>
                <w:szCs w:val="21"/>
              </w:rPr>
            </w:pPr>
            <w:r w:rsidRPr="00FC1444">
              <w:rPr>
                <w:rFonts w:eastAsiaTheme="minorEastAsia" w:hint="eastAsia"/>
                <w:szCs w:val="21"/>
              </w:rPr>
              <w:t>100</w:t>
            </w:r>
          </w:p>
        </w:tc>
        <w:tc>
          <w:tcPr>
            <w:tcW w:w="0" w:type="auto"/>
            <w:vAlign w:val="center"/>
          </w:tcPr>
          <w:p w:rsidR="002A5A5E" w:rsidRPr="00FC1444" w:rsidRDefault="00FD7186">
            <w:pPr>
              <w:widowControl/>
              <w:spacing w:line="0" w:lineRule="atLeast"/>
              <w:contextualSpacing/>
              <w:jc w:val="center"/>
              <w:textAlignment w:val="center"/>
              <w:rPr>
                <w:rFonts w:eastAsiaTheme="minorEastAsia"/>
                <w:szCs w:val="21"/>
              </w:rPr>
            </w:pPr>
            <w:r w:rsidRPr="00FC1444">
              <w:rPr>
                <w:rFonts w:eastAsiaTheme="minorEastAsia"/>
                <w:szCs w:val="21"/>
              </w:rPr>
              <w:t>2.256601E+07</w:t>
            </w:r>
          </w:p>
        </w:tc>
      </w:tr>
      <w:tr w:rsidR="002A5A5E" w:rsidRPr="00FC1444" w:rsidTr="00967D9B">
        <w:trPr>
          <w:cantSplit/>
          <w:trHeight w:val="50"/>
          <w:jc w:val="center"/>
        </w:trPr>
        <w:tc>
          <w:tcPr>
            <w:tcW w:w="0" w:type="auto"/>
            <w:vAlign w:val="center"/>
          </w:tcPr>
          <w:p w:rsidR="002A5A5E" w:rsidRPr="00FC1444" w:rsidRDefault="00BB21F7">
            <w:pPr>
              <w:spacing w:line="0" w:lineRule="atLeast"/>
              <w:contextualSpacing/>
              <w:jc w:val="center"/>
              <w:rPr>
                <w:rFonts w:eastAsiaTheme="minorEastAsia"/>
                <w:szCs w:val="21"/>
              </w:rPr>
            </w:pPr>
            <w:r w:rsidRPr="00FC1444">
              <w:rPr>
                <w:rFonts w:eastAsiaTheme="minorEastAsia" w:hint="eastAsia"/>
                <w:szCs w:val="21"/>
              </w:rPr>
              <w:t>100</w:t>
            </w:r>
          </w:p>
        </w:tc>
        <w:tc>
          <w:tcPr>
            <w:tcW w:w="0" w:type="auto"/>
            <w:vAlign w:val="center"/>
          </w:tcPr>
          <w:p w:rsidR="002A5A5E" w:rsidRPr="00FC1444" w:rsidRDefault="00BB21F7">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970.9238</w:t>
            </w:r>
          </w:p>
        </w:tc>
        <w:tc>
          <w:tcPr>
            <w:tcW w:w="0" w:type="auto"/>
            <w:vAlign w:val="center"/>
          </w:tcPr>
          <w:p w:rsidR="002A5A5E" w:rsidRPr="00FC1444" w:rsidRDefault="00FD7186">
            <w:pPr>
              <w:spacing w:line="0" w:lineRule="atLeast"/>
              <w:contextualSpacing/>
              <w:jc w:val="center"/>
              <w:rPr>
                <w:rFonts w:eastAsiaTheme="minorEastAsia"/>
                <w:bCs/>
                <w:szCs w:val="21"/>
              </w:rPr>
            </w:pPr>
            <w:r w:rsidRPr="00FC1444">
              <w:rPr>
                <w:rFonts w:eastAsiaTheme="minorEastAsia" w:hint="eastAsia"/>
                <w:bCs/>
                <w:szCs w:val="21"/>
              </w:rPr>
              <w:t>150</w:t>
            </w:r>
          </w:p>
        </w:tc>
        <w:tc>
          <w:tcPr>
            <w:tcW w:w="0" w:type="auto"/>
            <w:vAlign w:val="center"/>
          </w:tcPr>
          <w:p w:rsidR="002A5A5E" w:rsidRPr="00FC1444" w:rsidRDefault="00FD7186">
            <w:pPr>
              <w:widowControl/>
              <w:spacing w:line="0" w:lineRule="atLeast"/>
              <w:contextualSpacing/>
              <w:jc w:val="center"/>
              <w:textAlignment w:val="center"/>
              <w:rPr>
                <w:rFonts w:eastAsiaTheme="minorEastAsia"/>
                <w:bCs/>
                <w:kern w:val="0"/>
                <w:szCs w:val="21"/>
              </w:rPr>
            </w:pPr>
            <w:r w:rsidRPr="00FC1444">
              <w:rPr>
                <w:rFonts w:eastAsiaTheme="minorEastAsia"/>
                <w:bCs/>
                <w:kern w:val="0"/>
                <w:szCs w:val="21"/>
              </w:rPr>
              <w:t>6073560</w:t>
            </w:r>
          </w:p>
        </w:tc>
      </w:tr>
      <w:tr w:rsidR="002A5A5E" w:rsidRPr="00FC1444" w:rsidTr="00967D9B">
        <w:trPr>
          <w:cantSplit/>
          <w:trHeight w:val="309"/>
          <w:jc w:val="center"/>
        </w:trPr>
        <w:tc>
          <w:tcPr>
            <w:tcW w:w="0" w:type="auto"/>
            <w:vAlign w:val="center"/>
          </w:tcPr>
          <w:p w:rsidR="002A5A5E" w:rsidRPr="00FC1444" w:rsidRDefault="00BB21F7">
            <w:pPr>
              <w:spacing w:line="0" w:lineRule="atLeast"/>
              <w:contextualSpacing/>
              <w:jc w:val="center"/>
              <w:rPr>
                <w:rFonts w:eastAsiaTheme="minorEastAsia"/>
                <w:szCs w:val="21"/>
              </w:rPr>
            </w:pPr>
            <w:r w:rsidRPr="00FC1444">
              <w:rPr>
                <w:rFonts w:eastAsiaTheme="minorEastAsia" w:hint="eastAsia"/>
                <w:szCs w:val="21"/>
              </w:rPr>
              <w:t>130</w:t>
            </w:r>
          </w:p>
        </w:tc>
        <w:tc>
          <w:tcPr>
            <w:tcW w:w="0" w:type="auto"/>
            <w:vAlign w:val="center"/>
          </w:tcPr>
          <w:p w:rsidR="002A5A5E" w:rsidRPr="00FC1444" w:rsidRDefault="00BB21F7">
            <w:pPr>
              <w:widowControl/>
              <w:spacing w:line="0" w:lineRule="atLeast"/>
              <w:contextualSpacing/>
              <w:jc w:val="center"/>
              <w:textAlignment w:val="center"/>
              <w:rPr>
                <w:rFonts w:eastAsiaTheme="minorEastAsia"/>
                <w:szCs w:val="21"/>
              </w:rPr>
            </w:pPr>
            <w:r w:rsidRPr="00FC1444">
              <w:rPr>
                <w:rFonts w:eastAsiaTheme="minorEastAsia"/>
                <w:szCs w:val="21"/>
              </w:rPr>
              <w:t>0.2025533</w:t>
            </w:r>
          </w:p>
        </w:tc>
        <w:tc>
          <w:tcPr>
            <w:tcW w:w="0" w:type="auto"/>
            <w:vAlign w:val="center"/>
          </w:tcPr>
          <w:p w:rsidR="002A5A5E" w:rsidRPr="00FC1444" w:rsidRDefault="00FD7186">
            <w:pPr>
              <w:spacing w:line="0" w:lineRule="atLeast"/>
              <w:contextualSpacing/>
              <w:jc w:val="center"/>
              <w:rPr>
                <w:rFonts w:eastAsiaTheme="minorEastAsia"/>
                <w:szCs w:val="21"/>
              </w:rPr>
            </w:pPr>
            <w:r w:rsidRPr="00FC1444">
              <w:rPr>
                <w:rFonts w:eastAsiaTheme="minorEastAsia" w:hint="eastAsia"/>
                <w:szCs w:val="21"/>
              </w:rPr>
              <w:t>350</w:t>
            </w:r>
          </w:p>
        </w:tc>
        <w:tc>
          <w:tcPr>
            <w:tcW w:w="0" w:type="auto"/>
            <w:vAlign w:val="center"/>
          </w:tcPr>
          <w:p w:rsidR="002A5A5E" w:rsidRPr="00FC1444" w:rsidRDefault="00FD7186">
            <w:pPr>
              <w:widowControl/>
              <w:spacing w:line="0" w:lineRule="atLeast"/>
              <w:contextualSpacing/>
              <w:jc w:val="center"/>
              <w:textAlignment w:val="center"/>
              <w:rPr>
                <w:rFonts w:eastAsiaTheme="minorEastAsia"/>
                <w:szCs w:val="21"/>
              </w:rPr>
            </w:pPr>
            <w:r w:rsidRPr="00FC1444">
              <w:rPr>
                <w:rFonts w:eastAsiaTheme="minorEastAsia"/>
                <w:szCs w:val="21"/>
              </w:rPr>
              <w:t>61.52573</w:t>
            </w:r>
          </w:p>
        </w:tc>
      </w:tr>
      <w:tr w:rsidR="002A5A5E" w:rsidRPr="00FC1444" w:rsidTr="00967D9B">
        <w:trPr>
          <w:cantSplit/>
          <w:trHeight w:val="309"/>
          <w:jc w:val="center"/>
        </w:trPr>
        <w:tc>
          <w:tcPr>
            <w:tcW w:w="0" w:type="auto"/>
            <w:vAlign w:val="center"/>
          </w:tcPr>
          <w:p w:rsidR="002A5A5E" w:rsidRPr="00FC1444" w:rsidRDefault="00BB21F7">
            <w:pPr>
              <w:spacing w:line="0" w:lineRule="atLeast"/>
              <w:contextualSpacing/>
              <w:jc w:val="center"/>
              <w:rPr>
                <w:rFonts w:eastAsiaTheme="minorEastAsia"/>
                <w:szCs w:val="21"/>
              </w:rPr>
            </w:pPr>
            <w:r w:rsidRPr="00FC1444">
              <w:rPr>
                <w:rFonts w:eastAsiaTheme="minorEastAsia" w:hint="eastAsia"/>
                <w:szCs w:val="21"/>
              </w:rPr>
              <w:t>134</w:t>
            </w:r>
          </w:p>
        </w:tc>
        <w:tc>
          <w:tcPr>
            <w:tcW w:w="0" w:type="auto"/>
            <w:vAlign w:val="center"/>
          </w:tcPr>
          <w:p w:rsidR="002A5A5E" w:rsidRPr="00FC1444" w:rsidRDefault="00BB21F7">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0.05520223</w:t>
            </w:r>
          </w:p>
        </w:tc>
        <w:tc>
          <w:tcPr>
            <w:tcW w:w="0" w:type="auto"/>
            <w:vAlign w:val="center"/>
          </w:tcPr>
          <w:p w:rsidR="002A5A5E" w:rsidRPr="00FC1444" w:rsidRDefault="00FD7186">
            <w:pPr>
              <w:spacing w:line="0" w:lineRule="atLeast"/>
              <w:contextualSpacing/>
              <w:jc w:val="center"/>
              <w:rPr>
                <w:rFonts w:eastAsiaTheme="minorEastAsia"/>
                <w:szCs w:val="21"/>
              </w:rPr>
            </w:pPr>
            <w:r w:rsidRPr="00FC1444">
              <w:rPr>
                <w:rFonts w:eastAsiaTheme="minorEastAsia" w:hint="eastAsia"/>
                <w:szCs w:val="21"/>
              </w:rPr>
              <w:t>427</w:t>
            </w:r>
          </w:p>
        </w:tc>
        <w:tc>
          <w:tcPr>
            <w:tcW w:w="0" w:type="auto"/>
            <w:vAlign w:val="center"/>
          </w:tcPr>
          <w:p w:rsidR="002A5A5E" w:rsidRPr="00FC1444" w:rsidRDefault="00FD7186">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0.05108984</w:t>
            </w:r>
          </w:p>
        </w:tc>
      </w:tr>
      <w:tr w:rsidR="002A5A5E" w:rsidRPr="00FC1444" w:rsidTr="00967D9B">
        <w:trPr>
          <w:cantSplit/>
          <w:trHeight w:val="309"/>
          <w:jc w:val="center"/>
        </w:trPr>
        <w:tc>
          <w:tcPr>
            <w:tcW w:w="0" w:type="auto"/>
            <w:vAlign w:val="center"/>
          </w:tcPr>
          <w:p w:rsidR="002A5A5E" w:rsidRPr="00FC1444" w:rsidRDefault="00BB21F7">
            <w:pPr>
              <w:spacing w:line="0" w:lineRule="atLeast"/>
              <w:contextualSpacing/>
              <w:jc w:val="center"/>
              <w:rPr>
                <w:rFonts w:eastAsiaTheme="minorEastAsia"/>
                <w:szCs w:val="21"/>
              </w:rPr>
            </w:pPr>
            <w:r w:rsidRPr="00FC1444">
              <w:rPr>
                <w:rFonts w:eastAsiaTheme="minorEastAsia" w:hint="eastAsia"/>
                <w:szCs w:val="21"/>
              </w:rPr>
              <w:t>135</w:t>
            </w:r>
          </w:p>
        </w:tc>
        <w:tc>
          <w:tcPr>
            <w:tcW w:w="0" w:type="auto"/>
            <w:vAlign w:val="center"/>
          </w:tcPr>
          <w:p w:rsidR="002A5A5E" w:rsidRPr="00FC1444" w:rsidRDefault="00BB21F7">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0.03963662</w:t>
            </w:r>
          </w:p>
        </w:tc>
        <w:tc>
          <w:tcPr>
            <w:tcW w:w="0" w:type="auto"/>
            <w:vAlign w:val="center"/>
          </w:tcPr>
          <w:p w:rsidR="002A5A5E" w:rsidRPr="00FC1444" w:rsidRDefault="00FD7186">
            <w:pPr>
              <w:spacing w:line="0" w:lineRule="atLeast"/>
              <w:contextualSpacing/>
              <w:jc w:val="center"/>
              <w:rPr>
                <w:rFonts w:eastAsiaTheme="minorEastAsia"/>
                <w:szCs w:val="21"/>
              </w:rPr>
            </w:pPr>
            <w:r w:rsidRPr="00FC1444">
              <w:rPr>
                <w:rFonts w:eastAsiaTheme="minorEastAsia" w:hint="eastAsia"/>
                <w:szCs w:val="21"/>
              </w:rPr>
              <w:t>428</w:t>
            </w:r>
          </w:p>
        </w:tc>
        <w:tc>
          <w:tcPr>
            <w:tcW w:w="0" w:type="auto"/>
            <w:vAlign w:val="center"/>
          </w:tcPr>
          <w:p w:rsidR="002A5A5E" w:rsidRPr="00FC1444" w:rsidRDefault="00FD7186">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0.0461414</w:t>
            </w:r>
          </w:p>
        </w:tc>
      </w:tr>
      <w:tr w:rsidR="002A5A5E" w:rsidRPr="00FC1444" w:rsidTr="00967D9B">
        <w:trPr>
          <w:cantSplit/>
          <w:trHeight w:val="309"/>
          <w:jc w:val="center"/>
        </w:trPr>
        <w:tc>
          <w:tcPr>
            <w:tcW w:w="0" w:type="auto"/>
            <w:vAlign w:val="center"/>
          </w:tcPr>
          <w:p w:rsidR="002A5A5E" w:rsidRPr="00FC1444" w:rsidRDefault="00BB21F7">
            <w:pPr>
              <w:spacing w:line="0" w:lineRule="atLeast"/>
              <w:contextualSpacing/>
              <w:jc w:val="center"/>
              <w:rPr>
                <w:rFonts w:eastAsiaTheme="minorEastAsia"/>
                <w:szCs w:val="21"/>
              </w:rPr>
            </w:pPr>
            <w:r w:rsidRPr="00FC1444">
              <w:rPr>
                <w:rFonts w:eastAsiaTheme="minorEastAsia" w:hint="eastAsia"/>
                <w:szCs w:val="21"/>
              </w:rPr>
              <w:t>150</w:t>
            </w:r>
          </w:p>
        </w:tc>
        <w:tc>
          <w:tcPr>
            <w:tcW w:w="0" w:type="auto"/>
            <w:vAlign w:val="center"/>
          </w:tcPr>
          <w:p w:rsidR="002A5A5E" w:rsidRPr="00FC1444" w:rsidRDefault="00BB21F7">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0.0002041303</w:t>
            </w:r>
          </w:p>
        </w:tc>
        <w:tc>
          <w:tcPr>
            <w:tcW w:w="0" w:type="auto"/>
            <w:vAlign w:val="center"/>
          </w:tcPr>
          <w:p w:rsidR="002A5A5E" w:rsidRPr="00FC1444" w:rsidRDefault="00FD7186">
            <w:pPr>
              <w:spacing w:line="0" w:lineRule="atLeast"/>
              <w:contextualSpacing/>
              <w:jc w:val="center"/>
              <w:rPr>
                <w:rFonts w:eastAsiaTheme="minorEastAsia"/>
                <w:szCs w:val="21"/>
              </w:rPr>
            </w:pPr>
            <w:r w:rsidRPr="00FC1444">
              <w:rPr>
                <w:rFonts w:eastAsiaTheme="minorEastAsia" w:hint="eastAsia"/>
                <w:szCs w:val="21"/>
              </w:rPr>
              <w:t>800</w:t>
            </w:r>
          </w:p>
        </w:tc>
        <w:tc>
          <w:tcPr>
            <w:tcW w:w="0" w:type="auto"/>
            <w:vAlign w:val="center"/>
          </w:tcPr>
          <w:p w:rsidR="002A5A5E" w:rsidRPr="00FC1444" w:rsidRDefault="00FD7186">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4.707551E-26</w:t>
            </w:r>
          </w:p>
        </w:tc>
      </w:tr>
      <w:tr w:rsidR="00BB21F7" w:rsidRPr="00FC1444" w:rsidTr="00967D9B">
        <w:trPr>
          <w:cantSplit/>
          <w:trHeight w:val="309"/>
          <w:jc w:val="center"/>
        </w:trPr>
        <w:tc>
          <w:tcPr>
            <w:tcW w:w="0" w:type="auto"/>
            <w:vAlign w:val="center"/>
          </w:tcPr>
          <w:p w:rsidR="00BB21F7" w:rsidRPr="00FC1444" w:rsidRDefault="00BB21F7" w:rsidP="00065E61">
            <w:pPr>
              <w:spacing w:line="0" w:lineRule="atLeast"/>
              <w:contextualSpacing/>
              <w:jc w:val="center"/>
              <w:rPr>
                <w:rFonts w:eastAsiaTheme="minorEastAsia"/>
                <w:szCs w:val="21"/>
              </w:rPr>
            </w:pPr>
            <w:r w:rsidRPr="00FC1444">
              <w:rPr>
                <w:rFonts w:eastAsiaTheme="minorEastAsia" w:hint="eastAsia"/>
                <w:szCs w:val="21"/>
              </w:rPr>
              <w:t>315</w:t>
            </w:r>
          </w:p>
        </w:tc>
        <w:tc>
          <w:tcPr>
            <w:tcW w:w="0" w:type="auto"/>
            <w:vAlign w:val="center"/>
          </w:tcPr>
          <w:p w:rsidR="00BB21F7" w:rsidRPr="00FC1444" w:rsidRDefault="00BB21F7" w:rsidP="00065E61">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1.401298E-45</w:t>
            </w:r>
          </w:p>
        </w:tc>
        <w:tc>
          <w:tcPr>
            <w:tcW w:w="0" w:type="auto"/>
            <w:vAlign w:val="center"/>
          </w:tcPr>
          <w:p w:rsidR="00BB21F7" w:rsidRPr="00FC1444" w:rsidRDefault="00FD7186">
            <w:pPr>
              <w:spacing w:line="0" w:lineRule="atLeast"/>
              <w:contextualSpacing/>
              <w:jc w:val="center"/>
              <w:rPr>
                <w:rFonts w:eastAsiaTheme="minorEastAsia"/>
                <w:szCs w:val="21"/>
              </w:rPr>
            </w:pPr>
            <w:r w:rsidRPr="00FC1444">
              <w:rPr>
                <w:rFonts w:eastAsiaTheme="minorEastAsia" w:hint="eastAsia"/>
                <w:szCs w:val="21"/>
              </w:rPr>
              <w:t>1006</w:t>
            </w:r>
          </w:p>
        </w:tc>
        <w:tc>
          <w:tcPr>
            <w:tcW w:w="0" w:type="auto"/>
            <w:vAlign w:val="center"/>
          </w:tcPr>
          <w:p w:rsidR="00BB21F7" w:rsidRPr="00FC1444" w:rsidRDefault="00FD7186">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1.401298E-45</w:t>
            </w:r>
          </w:p>
        </w:tc>
      </w:tr>
      <w:tr w:rsidR="002A5A5E" w:rsidRPr="00FC1444" w:rsidTr="00967D9B">
        <w:trPr>
          <w:cantSplit/>
          <w:trHeight w:val="309"/>
          <w:jc w:val="center"/>
        </w:trPr>
        <w:tc>
          <w:tcPr>
            <w:tcW w:w="0" w:type="auto"/>
            <w:vAlign w:val="center"/>
          </w:tcPr>
          <w:p w:rsidR="002A5A5E" w:rsidRPr="00FC1444" w:rsidRDefault="00BB21F7" w:rsidP="000D2D13">
            <w:pPr>
              <w:spacing w:line="0" w:lineRule="atLeast"/>
              <w:contextualSpacing/>
              <w:jc w:val="center"/>
              <w:rPr>
                <w:rFonts w:eastAsiaTheme="minorEastAsia"/>
                <w:szCs w:val="21"/>
              </w:rPr>
            </w:pPr>
            <w:r w:rsidRPr="00FC1444">
              <w:rPr>
                <w:rFonts w:eastAsiaTheme="minorEastAsia" w:hint="eastAsia"/>
                <w:szCs w:val="21"/>
              </w:rPr>
              <w:t>316</w:t>
            </w:r>
          </w:p>
        </w:tc>
        <w:tc>
          <w:tcPr>
            <w:tcW w:w="0" w:type="auto"/>
            <w:vAlign w:val="center"/>
          </w:tcPr>
          <w:p w:rsidR="002A5A5E" w:rsidRPr="00FC1444" w:rsidRDefault="00BB21F7">
            <w:pPr>
              <w:widowControl/>
              <w:spacing w:line="0" w:lineRule="atLeast"/>
              <w:contextualSpacing/>
              <w:jc w:val="center"/>
              <w:textAlignment w:val="center"/>
              <w:rPr>
                <w:rFonts w:eastAsiaTheme="minorEastAsia"/>
                <w:kern w:val="0"/>
                <w:szCs w:val="21"/>
              </w:rPr>
            </w:pPr>
            <w:r w:rsidRPr="00FC1444">
              <w:rPr>
                <w:rFonts w:eastAsiaTheme="minorEastAsia" w:hint="eastAsia"/>
                <w:kern w:val="0"/>
                <w:szCs w:val="21"/>
              </w:rPr>
              <w:t>0</w:t>
            </w:r>
          </w:p>
        </w:tc>
        <w:tc>
          <w:tcPr>
            <w:tcW w:w="0" w:type="auto"/>
            <w:vAlign w:val="center"/>
          </w:tcPr>
          <w:p w:rsidR="002A5A5E" w:rsidRPr="00FC1444" w:rsidRDefault="00FD7186">
            <w:pPr>
              <w:spacing w:line="0" w:lineRule="atLeast"/>
              <w:contextualSpacing/>
              <w:jc w:val="center"/>
              <w:rPr>
                <w:rFonts w:eastAsiaTheme="minorEastAsia"/>
                <w:szCs w:val="21"/>
              </w:rPr>
            </w:pPr>
            <w:r w:rsidRPr="00FC1444">
              <w:rPr>
                <w:rFonts w:eastAsiaTheme="minorEastAsia" w:hint="eastAsia"/>
                <w:szCs w:val="21"/>
              </w:rPr>
              <w:t>1007</w:t>
            </w:r>
          </w:p>
        </w:tc>
        <w:tc>
          <w:tcPr>
            <w:tcW w:w="0" w:type="auto"/>
            <w:vAlign w:val="center"/>
          </w:tcPr>
          <w:p w:rsidR="002A5A5E" w:rsidRPr="00FC1444" w:rsidRDefault="00783CDA">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0</w:t>
            </w:r>
          </w:p>
        </w:tc>
      </w:tr>
      <w:tr w:rsidR="002A5A5E" w:rsidRPr="00FC1444" w:rsidTr="00967D9B">
        <w:trPr>
          <w:cantSplit/>
          <w:trHeight w:val="309"/>
          <w:jc w:val="center"/>
        </w:trPr>
        <w:tc>
          <w:tcPr>
            <w:tcW w:w="0" w:type="auto"/>
            <w:vAlign w:val="center"/>
          </w:tcPr>
          <w:p w:rsidR="002A5A5E" w:rsidRPr="00FC1444" w:rsidRDefault="00BB21F7" w:rsidP="000D2D13">
            <w:pPr>
              <w:spacing w:line="0" w:lineRule="atLeast"/>
              <w:contextualSpacing/>
              <w:jc w:val="center"/>
              <w:rPr>
                <w:rFonts w:eastAsiaTheme="minorEastAsia"/>
                <w:szCs w:val="21"/>
              </w:rPr>
            </w:pPr>
            <w:r w:rsidRPr="00FC1444">
              <w:rPr>
                <w:rFonts w:eastAsiaTheme="minorEastAsia" w:hint="eastAsia"/>
                <w:szCs w:val="21"/>
              </w:rPr>
              <w:t>500</w:t>
            </w:r>
          </w:p>
        </w:tc>
        <w:tc>
          <w:tcPr>
            <w:tcW w:w="0" w:type="auto"/>
            <w:vAlign w:val="center"/>
          </w:tcPr>
          <w:p w:rsidR="002A5A5E" w:rsidRPr="00FC1444" w:rsidRDefault="00611CBA">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0</w:t>
            </w:r>
          </w:p>
        </w:tc>
        <w:tc>
          <w:tcPr>
            <w:tcW w:w="0" w:type="auto"/>
            <w:vAlign w:val="center"/>
          </w:tcPr>
          <w:p w:rsidR="002A5A5E" w:rsidRPr="00FC1444" w:rsidRDefault="00FD7186">
            <w:pPr>
              <w:spacing w:line="0" w:lineRule="atLeast"/>
              <w:contextualSpacing/>
              <w:jc w:val="center"/>
              <w:rPr>
                <w:rFonts w:eastAsiaTheme="minorEastAsia"/>
                <w:szCs w:val="21"/>
              </w:rPr>
            </w:pPr>
            <w:r w:rsidRPr="00FC1444">
              <w:rPr>
                <w:rFonts w:eastAsiaTheme="minorEastAsia" w:hint="eastAsia"/>
                <w:szCs w:val="21"/>
              </w:rPr>
              <w:t>2000</w:t>
            </w:r>
          </w:p>
        </w:tc>
        <w:tc>
          <w:tcPr>
            <w:tcW w:w="0" w:type="auto"/>
            <w:vAlign w:val="center"/>
          </w:tcPr>
          <w:p w:rsidR="002A5A5E" w:rsidRPr="00FC1444" w:rsidRDefault="00611CBA">
            <w:pPr>
              <w:widowControl/>
              <w:spacing w:line="0" w:lineRule="atLeast"/>
              <w:contextualSpacing/>
              <w:jc w:val="center"/>
              <w:textAlignment w:val="center"/>
              <w:rPr>
                <w:rFonts w:eastAsiaTheme="minorEastAsia"/>
                <w:kern w:val="0"/>
                <w:szCs w:val="21"/>
              </w:rPr>
            </w:pPr>
            <w:r w:rsidRPr="00FC1444">
              <w:rPr>
                <w:rFonts w:eastAsiaTheme="minorEastAsia"/>
                <w:kern w:val="0"/>
                <w:szCs w:val="21"/>
              </w:rPr>
              <w:t>0</w:t>
            </w:r>
          </w:p>
        </w:tc>
      </w:tr>
    </w:tbl>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根据表</w:t>
      </w:r>
      <w:r w:rsidRPr="00FC1444">
        <w:rPr>
          <w:rFonts w:eastAsiaTheme="minorEastAsia"/>
          <w:kern w:val="0"/>
          <w:sz w:val="24"/>
        </w:rPr>
        <w:t>5-2-2</w:t>
      </w:r>
      <w:r w:rsidRPr="00FC1444">
        <w:rPr>
          <w:rFonts w:eastAsiaTheme="minorEastAsia"/>
          <w:kern w:val="0"/>
          <w:sz w:val="24"/>
        </w:rPr>
        <w:t>可知，本项目发生泄漏情况下，</w:t>
      </w:r>
      <w:r w:rsidRPr="00FC1444">
        <w:rPr>
          <w:rFonts w:eastAsiaTheme="minorEastAsia"/>
          <w:sz w:val="24"/>
        </w:rPr>
        <w:t>石油类</w:t>
      </w:r>
      <w:r w:rsidRPr="00FC1444">
        <w:rPr>
          <w:rFonts w:eastAsiaTheme="minorEastAsia"/>
          <w:kern w:val="0"/>
          <w:sz w:val="24"/>
        </w:rPr>
        <w:t>：</w:t>
      </w:r>
      <w:r w:rsidRPr="00FC1444">
        <w:rPr>
          <w:rFonts w:eastAsiaTheme="minorEastAsia"/>
          <w:kern w:val="0"/>
          <w:sz w:val="24"/>
        </w:rPr>
        <w:t>100d</w:t>
      </w:r>
      <w:r w:rsidRPr="00FC1444">
        <w:rPr>
          <w:rFonts w:eastAsiaTheme="minorEastAsia"/>
          <w:kern w:val="0"/>
          <w:sz w:val="24"/>
        </w:rPr>
        <w:t>，在下游</w:t>
      </w:r>
      <w:r w:rsidR="00BB21F7" w:rsidRPr="00FC1444">
        <w:rPr>
          <w:rFonts w:eastAsiaTheme="minorEastAsia" w:hint="eastAsia"/>
          <w:kern w:val="0"/>
          <w:sz w:val="24"/>
        </w:rPr>
        <w:t>135</w:t>
      </w:r>
      <w:r w:rsidRPr="00FC1444">
        <w:rPr>
          <w:rFonts w:eastAsiaTheme="minorEastAsia"/>
          <w:kern w:val="0"/>
          <w:sz w:val="24"/>
        </w:rPr>
        <w:t>m</w:t>
      </w:r>
      <w:r w:rsidRPr="00FC1444">
        <w:rPr>
          <w:rFonts w:eastAsiaTheme="minorEastAsia"/>
          <w:kern w:val="0"/>
          <w:sz w:val="24"/>
        </w:rPr>
        <w:t>处达到标准值，影响范围为</w:t>
      </w:r>
      <w:r w:rsidR="00BB21F7" w:rsidRPr="00FC1444">
        <w:rPr>
          <w:rFonts w:eastAsiaTheme="minorEastAsia" w:hint="eastAsia"/>
          <w:kern w:val="0"/>
          <w:sz w:val="24"/>
        </w:rPr>
        <w:t>315</w:t>
      </w:r>
      <w:r w:rsidRPr="00FC1444">
        <w:rPr>
          <w:rFonts w:eastAsiaTheme="minorEastAsia"/>
          <w:kern w:val="0"/>
          <w:sz w:val="24"/>
        </w:rPr>
        <w:t>m</w:t>
      </w:r>
      <w:r w:rsidRPr="00FC1444">
        <w:rPr>
          <w:rFonts w:eastAsiaTheme="minorEastAsia"/>
          <w:kern w:val="0"/>
          <w:sz w:val="24"/>
        </w:rPr>
        <w:t>；</w:t>
      </w:r>
      <w:r w:rsidRPr="00FC1444">
        <w:rPr>
          <w:rFonts w:eastAsiaTheme="minorEastAsia"/>
          <w:kern w:val="0"/>
          <w:sz w:val="24"/>
        </w:rPr>
        <w:t>1000d</w:t>
      </w:r>
      <w:r w:rsidRPr="00FC1444">
        <w:rPr>
          <w:rFonts w:eastAsiaTheme="minorEastAsia"/>
          <w:kern w:val="0"/>
          <w:sz w:val="24"/>
        </w:rPr>
        <w:t>，在下游</w:t>
      </w:r>
      <w:r w:rsidR="00FD7186" w:rsidRPr="00FC1444">
        <w:rPr>
          <w:rFonts w:eastAsiaTheme="minorEastAsia" w:hint="eastAsia"/>
          <w:kern w:val="0"/>
          <w:sz w:val="24"/>
        </w:rPr>
        <w:t>428</w:t>
      </w:r>
      <w:r w:rsidRPr="00FC1444">
        <w:rPr>
          <w:rFonts w:eastAsiaTheme="minorEastAsia"/>
          <w:kern w:val="0"/>
          <w:sz w:val="24"/>
        </w:rPr>
        <w:t>m</w:t>
      </w:r>
      <w:r w:rsidRPr="00FC1444">
        <w:rPr>
          <w:rFonts w:eastAsiaTheme="minorEastAsia"/>
          <w:kern w:val="0"/>
          <w:sz w:val="24"/>
        </w:rPr>
        <w:t>处达到标准值，影响范围为</w:t>
      </w:r>
      <w:r w:rsidR="00FD7186" w:rsidRPr="00FC1444">
        <w:rPr>
          <w:rFonts w:eastAsiaTheme="minorEastAsia" w:hint="eastAsia"/>
          <w:kern w:val="0"/>
          <w:sz w:val="24"/>
        </w:rPr>
        <w:t>1006</w:t>
      </w:r>
      <w:r w:rsidRPr="00FC1444">
        <w:rPr>
          <w:rFonts w:eastAsiaTheme="minorEastAsia"/>
          <w:kern w:val="0"/>
          <w:sz w:val="24"/>
        </w:rPr>
        <w:t>m</w:t>
      </w:r>
      <w:r w:rsidRPr="00FC1444">
        <w:rPr>
          <w:rFonts w:eastAsiaTheme="minorEastAsia"/>
          <w:kern w:val="0"/>
          <w:sz w:val="24"/>
        </w:rPr>
        <w:t>。石油类执行《地表水环境质量标准》（</w:t>
      </w:r>
      <w:r w:rsidRPr="00FC1444">
        <w:rPr>
          <w:rFonts w:eastAsiaTheme="minorEastAsia"/>
          <w:kern w:val="0"/>
          <w:sz w:val="24"/>
        </w:rPr>
        <w:t>GB3838-2002</w:t>
      </w:r>
      <w:r w:rsidRPr="00FC1444">
        <w:rPr>
          <w:rFonts w:eastAsiaTheme="minorEastAsia"/>
          <w:kern w:val="0"/>
          <w:sz w:val="24"/>
        </w:rPr>
        <w:t>）</w:t>
      </w:r>
      <w:r w:rsidR="009840DD" w:rsidRPr="00FC1444">
        <w:rPr>
          <w:rFonts w:eastAsiaTheme="minorEastAsia"/>
          <w:bCs/>
          <w:sz w:val="24"/>
        </w:rPr>
        <w:fldChar w:fldCharType="begin"/>
      </w:r>
      <w:r w:rsidR="004B63C1" w:rsidRPr="00FC1444">
        <w:rPr>
          <w:rFonts w:eastAsiaTheme="minorEastAsia"/>
          <w:bCs/>
          <w:sz w:val="24"/>
        </w:rPr>
        <w:instrText xml:space="preserve"> = 2 \* ROMAN </w:instrText>
      </w:r>
      <w:r w:rsidR="009840DD" w:rsidRPr="00FC1444">
        <w:rPr>
          <w:rFonts w:eastAsiaTheme="minorEastAsia"/>
          <w:bCs/>
          <w:sz w:val="24"/>
        </w:rPr>
        <w:fldChar w:fldCharType="separate"/>
      </w:r>
      <w:r w:rsidR="004B63C1" w:rsidRPr="00FC1444">
        <w:rPr>
          <w:rFonts w:eastAsiaTheme="minorEastAsia"/>
          <w:bCs/>
          <w:sz w:val="24"/>
        </w:rPr>
        <w:t>II</w:t>
      </w:r>
      <w:r w:rsidR="009840DD" w:rsidRPr="00FC1444">
        <w:rPr>
          <w:rFonts w:eastAsiaTheme="minorEastAsia"/>
          <w:bCs/>
          <w:sz w:val="24"/>
        </w:rPr>
        <w:fldChar w:fldCharType="end"/>
      </w:r>
      <w:r w:rsidRPr="00FC1444">
        <w:rPr>
          <w:rFonts w:eastAsiaTheme="minorEastAsia"/>
          <w:kern w:val="0"/>
          <w:sz w:val="24"/>
        </w:rPr>
        <w:t>类标准（</w:t>
      </w:r>
      <w:r w:rsidRPr="00FC1444">
        <w:rPr>
          <w:rFonts w:eastAsiaTheme="minorEastAsia"/>
          <w:kern w:val="0"/>
          <w:sz w:val="24"/>
        </w:rPr>
        <w:t>≤0.05</w:t>
      </w:r>
      <w:r w:rsidRPr="00FC1444">
        <w:rPr>
          <w:rFonts w:eastAsiaTheme="minorEastAsia"/>
          <w:szCs w:val="21"/>
        </w:rPr>
        <w:t>mg/L</w:t>
      </w:r>
      <w:r w:rsidRPr="00FC1444">
        <w:rPr>
          <w:rFonts w:eastAsiaTheme="minorEastAsia"/>
          <w:kern w:val="0"/>
          <w:sz w:val="24"/>
        </w:rPr>
        <w:t>）。在此范围内无地下水保护目标，事故造成部分区域浅层地下水污染。所以非正常工况下，污水渗漏不会对地下水流向下游居民点地下饮用水造成影响。项目建设对区域地下水环境影响较小。</w:t>
      </w:r>
    </w:p>
    <w:p w:rsidR="002A5A5E" w:rsidRPr="00FC1444" w:rsidRDefault="00BB21F7">
      <w:pPr>
        <w:spacing w:line="360" w:lineRule="auto"/>
        <w:jc w:val="center"/>
        <w:rPr>
          <w:rFonts w:eastAsiaTheme="minorEastAsia"/>
          <w:snapToGrid w:val="0"/>
          <w:kern w:val="0"/>
          <w:sz w:val="24"/>
        </w:rPr>
      </w:pPr>
      <w:r w:rsidRPr="00FC1444">
        <w:rPr>
          <w:rFonts w:eastAsiaTheme="minorEastAsia"/>
          <w:noProof/>
          <w:kern w:val="0"/>
          <w:sz w:val="24"/>
        </w:rPr>
        <w:drawing>
          <wp:inline distT="0" distB="0" distL="0" distR="0">
            <wp:extent cx="4436415" cy="2468969"/>
            <wp:effectExtent l="19050" t="19050" r="21285" b="26581"/>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srcRect/>
                    <a:stretch>
                      <a:fillRect/>
                    </a:stretch>
                  </pic:blipFill>
                  <pic:spPr bwMode="auto">
                    <a:xfrm>
                      <a:off x="0" y="0"/>
                      <a:ext cx="4441923" cy="2472034"/>
                    </a:xfrm>
                    <a:prstGeom prst="rect">
                      <a:avLst/>
                    </a:prstGeom>
                    <a:noFill/>
                    <a:ln w="9525">
                      <a:solidFill>
                        <a:schemeClr val="tx1"/>
                      </a:solidFill>
                      <a:miter lim="800000"/>
                      <a:headEnd/>
                      <a:tailEnd/>
                    </a:ln>
                  </pic:spPr>
                </pic:pic>
              </a:graphicData>
            </a:graphic>
          </wp:inline>
        </w:drawing>
      </w:r>
    </w:p>
    <w:p w:rsidR="002A5A5E" w:rsidRPr="00FC1444" w:rsidRDefault="00611CBA">
      <w:pPr>
        <w:contextualSpacing/>
        <w:jc w:val="center"/>
        <w:rPr>
          <w:rFonts w:eastAsiaTheme="minorEastAsia"/>
          <w:b/>
          <w:szCs w:val="21"/>
        </w:rPr>
      </w:pPr>
      <w:r w:rsidRPr="00FC1444">
        <w:rPr>
          <w:rFonts w:eastAsiaTheme="minorEastAsia"/>
          <w:b/>
          <w:szCs w:val="21"/>
        </w:rPr>
        <w:t>图</w:t>
      </w:r>
      <w:r w:rsidRPr="00FC1444">
        <w:rPr>
          <w:rFonts w:eastAsiaTheme="minorEastAsia"/>
          <w:b/>
          <w:szCs w:val="21"/>
        </w:rPr>
        <w:t>5-2-2 100</w:t>
      </w:r>
      <w:r w:rsidRPr="00FC1444">
        <w:rPr>
          <w:rFonts w:eastAsiaTheme="minorEastAsia"/>
          <w:b/>
          <w:szCs w:val="21"/>
        </w:rPr>
        <w:t>天石油类预测结果图</w:t>
      </w:r>
    </w:p>
    <w:p w:rsidR="002A5A5E" w:rsidRPr="00FC1444" w:rsidRDefault="00FD7186">
      <w:pPr>
        <w:spacing w:line="360" w:lineRule="auto"/>
        <w:jc w:val="center"/>
        <w:rPr>
          <w:rFonts w:eastAsiaTheme="minorEastAsia"/>
          <w:snapToGrid w:val="0"/>
          <w:kern w:val="0"/>
          <w:sz w:val="24"/>
        </w:rPr>
      </w:pPr>
      <w:r w:rsidRPr="00FC1444">
        <w:rPr>
          <w:rFonts w:eastAsiaTheme="minorEastAsia"/>
          <w:noProof/>
          <w:kern w:val="0"/>
          <w:sz w:val="24"/>
        </w:rPr>
        <w:lastRenderedPageBreak/>
        <w:drawing>
          <wp:inline distT="0" distB="0" distL="0" distR="0">
            <wp:extent cx="4448868" cy="2415647"/>
            <wp:effectExtent l="19050" t="19050" r="27882" b="22753"/>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srcRect/>
                    <a:stretch>
                      <a:fillRect/>
                    </a:stretch>
                  </pic:blipFill>
                  <pic:spPr bwMode="auto">
                    <a:xfrm>
                      <a:off x="0" y="0"/>
                      <a:ext cx="4469720" cy="2426969"/>
                    </a:xfrm>
                    <a:prstGeom prst="rect">
                      <a:avLst/>
                    </a:prstGeom>
                    <a:noFill/>
                    <a:ln w="9525">
                      <a:solidFill>
                        <a:schemeClr val="tx1"/>
                      </a:solidFill>
                      <a:miter lim="800000"/>
                      <a:headEnd/>
                      <a:tailEnd/>
                    </a:ln>
                  </pic:spPr>
                </pic:pic>
              </a:graphicData>
            </a:graphic>
          </wp:inline>
        </w:drawing>
      </w:r>
    </w:p>
    <w:p w:rsidR="002A5A5E" w:rsidRPr="00FC1444" w:rsidRDefault="00611CBA">
      <w:pPr>
        <w:contextualSpacing/>
        <w:jc w:val="center"/>
        <w:rPr>
          <w:rFonts w:eastAsiaTheme="minorEastAsia"/>
          <w:b/>
          <w:szCs w:val="21"/>
        </w:rPr>
      </w:pPr>
      <w:r w:rsidRPr="00FC1444">
        <w:rPr>
          <w:rFonts w:eastAsiaTheme="minorEastAsia"/>
          <w:b/>
          <w:szCs w:val="21"/>
        </w:rPr>
        <w:t>图</w:t>
      </w:r>
      <w:r w:rsidRPr="00FC1444">
        <w:rPr>
          <w:rFonts w:eastAsiaTheme="minorEastAsia"/>
          <w:b/>
          <w:szCs w:val="21"/>
        </w:rPr>
        <w:t>5-2-3 1000</w:t>
      </w:r>
      <w:r w:rsidRPr="00FC1444">
        <w:rPr>
          <w:rFonts w:eastAsiaTheme="minorEastAsia"/>
          <w:b/>
          <w:szCs w:val="21"/>
        </w:rPr>
        <w:t>天石油类预测结果图</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5.2.3</w:t>
      </w:r>
      <w:r w:rsidR="00FC1444" w:rsidRPr="00FC1444">
        <w:rPr>
          <w:rFonts w:eastAsiaTheme="minorEastAsia"/>
          <w:b/>
          <w:sz w:val="28"/>
          <w:szCs w:val="28"/>
        </w:rPr>
        <w:t>噪</w:t>
      </w:r>
      <w:r w:rsidRPr="00FC1444">
        <w:rPr>
          <w:rFonts w:eastAsiaTheme="minorEastAsia"/>
          <w:b/>
          <w:sz w:val="28"/>
          <w:szCs w:val="28"/>
        </w:rPr>
        <w:t>声</w:t>
      </w:r>
      <w:r w:rsidR="00FC1444" w:rsidRPr="00FC1444">
        <w:rPr>
          <w:rFonts w:eastAsiaTheme="minorEastAsia"/>
          <w:b/>
          <w:sz w:val="28"/>
          <w:szCs w:val="28"/>
        </w:rPr>
        <w:t>生态</w:t>
      </w:r>
      <w:r w:rsidRPr="00FC1444">
        <w:rPr>
          <w:rFonts w:eastAsiaTheme="minorEastAsia"/>
          <w:b/>
          <w:sz w:val="28"/>
          <w:szCs w:val="28"/>
        </w:rPr>
        <w:t>环境影响预测与分析</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5.2.3.1</w:t>
      </w:r>
      <w:r w:rsidRPr="00FC1444">
        <w:rPr>
          <w:rFonts w:eastAsiaTheme="minorEastAsia"/>
          <w:b/>
          <w:sz w:val="24"/>
        </w:rPr>
        <w:t>主要噪声源</w:t>
      </w:r>
      <w:r w:rsidRPr="00FC1444">
        <w:rPr>
          <w:rFonts w:eastAsiaTheme="minorEastAsia"/>
          <w:b/>
          <w:sz w:val="24"/>
        </w:rPr>
        <w:t xml:space="preserve"> </w:t>
      </w:r>
    </w:p>
    <w:p w:rsidR="002A5A5E" w:rsidRPr="00FC1444" w:rsidRDefault="00611CBA">
      <w:pPr>
        <w:pStyle w:val="afffffffff3"/>
        <w:spacing w:line="360" w:lineRule="auto"/>
        <w:ind w:firstLineChars="200" w:firstLine="480"/>
        <w:textAlignment w:val="center"/>
        <w:rPr>
          <w:rFonts w:eastAsiaTheme="minorEastAsia"/>
          <w:sz w:val="24"/>
        </w:rPr>
      </w:pPr>
      <w:r w:rsidRPr="00FC1444">
        <w:rPr>
          <w:rFonts w:eastAsiaTheme="minorEastAsia"/>
          <w:sz w:val="24"/>
          <w:szCs w:val="24"/>
        </w:rPr>
        <w:t>本项目运营期道路行驶车辆主要为农用机械，只是农忙季节的出入频繁，较项目建设前，车流量变化不大，区域受交通噪声影响的程度变化不大，</w:t>
      </w:r>
      <w:r w:rsidRPr="00FC1444">
        <w:rPr>
          <w:rFonts w:eastAsiaTheme="minorEastAsia"/>
          <w:sz w:val="24"/>
        </w:rPr>
        <w:t>临近敏感目标的道路处设置限速、禁鸣标识，能够有效降低机动车辆产生的噪声。</w:t>
      </w:r>
    </w:p>
    <w:p w:rsidR="002A5A5E" w:rsidRPr="00FC1444" w:rsidRDefault="00611CBA">
      <w:pPr>
        <w:pStyle w:val="afffffffff3"/>
        <w:spacing w:line="360" w:lineRule="auto"/>
        <w:ind w:firstLineChars="200" w:firstLine="480"/>
        <w:textAlignment w:val="center"/>
        <w:rPr>
          <w:rFonts w:eastAsiaTheme="minorEastAsia"/>
          <w:sz w:val="24"/>
          <w:szCs w:val="24"/>
        </w:rPr>
      </w:pPr>
      <w:r w:rsidRPr="00FC1444">
        <w:rPr>
          <w:rFonts w:eastAsiaTheme="minorEastAsia"/>
          <w:sz w:val="24"/>
          <w:szCs w:val="24"/>
        </w:rPr>
        <w:t>本项目运营期排水沟仅在降水无法排出情况下采用柴油机移动泵车进行排水，柴油机移动泵车及</w:t>
      </w:r>
      <w:r w:rsidR="00716701" w:rsidRPr="00FC1444">
        <w:rPr>
          <w:rFonts w:eastAsiaTheme="minorEastAsia"/>
          <w:sz w:val="24"/>
          <w:szCs w:val="24"/>
        </w:rPr>
        <w:t>施肥机</w:t>
      </w:r>
      <w:r w:rsidRPr="00FC1444">
        <w:rPr>
          <w:rFonts w:eastAsiaTheme="minorEastAsia"/>
          <w:sz w:val="24"/>
          <w:szCs w:val="24"/>
        </w:rPr>
        <w:t>使用时间较短，且布局在耕地内，远离居民。变压器基础减振，产生影响较小。</w:t>
      </w:r>
    </w:p>
    <w:p w:rsidR="002A5A5E" w:rsidRPr="00FC1444" w:rsidRDefault="00611CBA">
      <w:pPr>
        <w:pStyle w:val="afffffffff3"/>
        <w:spacing w:line="360" w:lineRule="auto"/>
        <w:ind w:firstLineChars="200" w:firstLine="480"/>
        <w:textAlignment w:val="center"/>
        <w:rPr>
          <w:rFonts w:eastAsiaTheme="minorEastAsia"/>
          <w:sz w:val="24"/>
          <w:szCs w:val="24"/>
        </w:rPr>
      </w:pPr>
      <w:r w:rsidRPr="00FC1444">
        <w:rPr>
          <w:rFonts w:eastAsiaTheme="minorEastAsia"/>
          <w:sz w:val="24"/>
          <w:szCs w:val="24"/>
        </w:rPr>
        <w:t>故运营期主要噪声影响为灌溉井内泵类、</w:t>
      </w:r>
      <w:r w:rsidR="00A4540D" w:rsidRPr="00FC1444">
        <w:rPr>
          <w:rFonts w:eastAsiaTheme="minorEastAsia"/>
          <w:sz w:val="24"/>
          <w:szCs w:val="24"/>
        </w:rPr>
        <w:t>水肥一体化设备</w:t>
      </w:r>
      <w:r w:rsidRPr="00FC1444">
        <w:rPr>
          <w:rFonts w:eastAsiaTheme="minorEastAsia"/>
          <w:sz w:val="24"/>
          <w:szCs w:val="24"/>
        </w:rPr>
        <w:t>、</w:t>
      </w:r>
      <w:r w:rsidR="00716701" w:rsidRPr="00FC1444">
        <w:rPr>
          <w:rFonts w:eastAsiaTheme="minorEastAsia"/>
          <w:sz w:val="24"/>
          <w:szCs w:val="24"/>
        </w:rPr>
        <w:t>施肥机</w:t>
      </w:r>
      <w:r w:rsidRPr="00FC1444">
        <w:rPr>
          <w:rFonts w:eastAsiaTheme="minorEastAsia"/>
          <w:sz w:val="24"/>
          <w:szCs w:val="24"/>
        </w:rPr>
        <w:t>噪声影响。潜水泵、</w:t>
      </w:r>
      <w:r w:rsidR="00A4540D" w:rsidRPr="00FC1444">
        <w:rPr>
          <w:rFonts w:eastAsiaTheme="minorEastAsia"/>
          <w:sz w:val="24"/>
          <w:szCs w:val="24"/>
        </w:rPr>
        <w:t>水肥一体化设备</w:t>
      </w:r>
      <w:r w:rsidRPr="00FC1444">
        <w:rPr>
          <w:rFonts w:eastAsiaTheme="minorEastAsia"/>
          <w:sz w:val="24"/>
          <w:szCs w:val="24"/>
        </w:rPr>
        <w:t>位于井房内，潜水泵位于地下，潜水泵、</w:t>
      </w:r>
      <w:r w:rsidR="00A4540D" w:rsidRPr="00FC1444">
        <w:rPr>
          <w:rFonts w:eastAsiaTheme="minorEastAsia"/>
          <w:sz w:val="24"/>
          <w:szCs w:val="24"/>
        </w:rPr>
        <w:t>水肥一体化设备</w:t>
      </w:r>
      <w:r w:rsidRPr="00FC1444">
        <w:rPr>
          <w:rFonts w:eastAsiaTheme="minorEastAsia"/>
          <w:sz w:val="24"/>
          <w:szCs w:val="24"/>
        </w:rPr>
        <w:t>采取减振措施，项目灌溉为间歇灌溉，且有抗旱作用，对周围居民影响可接受。因此本次运营期针对使用频繁的灌溉井泵类、</w:t>
      </w:r>
      <w:r w:rsidR="00A4540D" w:rsidRPr="00FC1444">
        <w:rPr>
          <w:rFonts w:eastAsiaTheme="minorEastAsia"/>
          <w:sz w:val="24"/>
          <w:szCs w:val="24"/>
        </w:rPr>
        <w:t>水肥一体化设备</w:t>
      </w:r>
      <w:r w:rsidRPr="00FC1444">
        <w:rPr>
          <w:rFonts w:eastAsiaTheme="minorEastAsia"/>
          <w:sz w:val="24"/>
          <w:szCs w:val="24"/>
        </w:rPr>
        <w:t>对周围声环境的影响进行预测，泵类声压级为</w:t>
      </w:r>
      <w:r w:rsidRPr="00FC1444">
        <w:rPr>
          <w:rFonts w:eastAsiaTheme="minorEastAsia"/>
          <w:sz w:val="24"/>
          <w:szCs w:val="24"/>
        </w:rPr>
        <w:t>70dB</w:t>
      </w:r>
      <w:r w:rsidRPr="00FC1444">
        <w:rPr>
          <w:rFonts w:eastAsiaTheme="minorEastAsia"/>
          <w:sz w:val="24"/>
          <w:szCs w:val="24"/>
        </w:rPr>
        <w:t>（</w:t>
      </w:r>
      <w:r w:rsidRPr="00FC1444">
        <w:rPr>
          <w:rFonts w:eastAsiaTheme="minorEastAsia"/>
          <w:sz w:val="24"/>
          <w:szCs w:val="24"/>
        </w:rPr>
        <w:t>A</w:t>
      </w:r>
      <w:r w:rsidRPr="00FC1444">
        <w:rPr>
          <w:rFonts w:eastAsiaTheme="minorEastAsia"/>
          <w:sz w:val="24"/>
          <w:szCs w:val="24"/>
        </w:rPr>
        <w:t>）。</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5.2.3.2</w:t>
      </w:r>
      <w:r w:rsidRPr="00FC1444">
        <w:rPr>
          <w:rFonts w:eastAsiaTheme="minorEastAsia"/>
          <w:b/>
          <w:sz w:val="24"/>
        </w:rPr>
        <w:t>预测模式</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w:t>
      </w:r>
      <w:r w:rsidRPr="00FC1444">
        <w:rPr>
          <w:rFonts w:eastAsiaTheme="minorEastAsia"/>
          <w:kern w:val="0"/>
          <w:sz w:val="24"/>
        </w:rPr>
        <w:t>1</w:t>
      </w:r>
      <w:r w:rsidRPr="00FC1444">
        <w:rPr>
          <w:rFonts w:eastAsiaTheme="minorEastAsia"/>
          <w:kern w:val="0"/>
          <w:sz w:val="24"/>
        </w:rPr>
        <w:t>）由建设项目自身声源在预测点产生的声级计算公式：</w:t>
      </w:r>
    </w:p>
    <w:p w:rsidR="002A5A5E" w:rsidRPr="00FC1444" w:rsidRDefault="00611CBA">
      <w:pPr>
        <w:spacing w:line="360" w:lineRule="auto"/>
        <w:ind w:firstLineChars="200" w:firstLine="480"/>
        <w:jc w:val="center"/>
        <w:rPr>
          <w:rFonts w:eastAsiaTheme="minorEastAsia"/>
          <w:kern w:val="0"/>
          <w:sz w:val="24"/>
        </w:rPr>
      </w:pPr>
      <w:r w:rsidRPr="00FC1444">
        <w:rPr>
          <w:rFonts w:eastAsiaTheme="minorEastAsia"/>
          <w:noProof/>
          <w:kern w:val="0"/>
          <w:sz w:val="24"/>
        </w:rPr>
        <w:drawing>
          <wp:inline distT="0" distB="0" distL="0" distR="0">
            <wp:extent cx="1838325" cy="466725"/>
            <wp:effectExtent l="0" t="0" r="0" b="0"/>
            <wp:docPr id="242"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61"/>
                    <pic:cNvPicPr>
                      <a:picLocks noChangeAspect="1" noChangeArrowheads="1"/>
                    </pic:cNvPicPr>
                  </pic:nvPicPr>
                  <pic:blipFill>
                    <a:blip r:embed="rId70"/>
                    <a:srcRect/>
                    <a:stretch>
                      <a:fillRect/>
                    </a:stretch>
                  </pic:blipFill>
                  <pic:spPr>
                    <a:xfrm>
                      <a:off x="0" y="0"/>
                      <a:ext cx="1838325" cy="466725"/>
                    </a:xfrm>
                    <a:prstGeom prst="rect">
                      <a:avLst/>
                    </a:prstGeom>
                    <a:noFill/>
                    <a:ln w="9525">
                      <a:noFill/>
                      <a:miter lim="800000"/>
                      <a:headEnd/>
                      <a:tailEnd/>
                    </a:ln>
                  </pic:spPr>
                </pic:pic>
              </a:graphicData>
            </a:graphic>
          </wp:inline>
        </w:drawing>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式中：</w:t>
      </w:r>
      <w:r w:rsidRPr="00FC1444">
        <w:rPr>
          <w:rFonts w:eastAsiaTheme="minorEastAsia"/>
          <w:kern w:val="0"/>
          <w:sz w:val="24"/>
        </w:rPr>
        <w:t>Leqg——</w:t>
      </w:r>
      <w:r w:rsidRPr="00FC1444">
        <w:rPr>
          <w:rFonts w:eastAsiaTheme="minorEastAsia"/>
          <w:kern w:val="0"/>
          <w:sz w:val="24"/>
        </w:rPr>
        <w:t>噪声贡献值，</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lastRenderedPageBreak/>
        <w:t>T——</w:t>
      </w:r>
      <w:r w:rsidRPr="00FC1444">
        <w:rPr>
          <w:rFonts w:eastAsiaTheme="minorEastAsia"/>
          <w:kern w:val="0"/>
          <w:sz w:val="24"/>
        </w:rPr>
        <w:t>预测计算的时间段，</w:t>
      </w:r>
      <w:r w:rsidRPr="00FC1444">
        <w:rPr>
          <w:rFonts w:eastAsiaTheme="minorEastAsia"/>
          <w:kern w:val="0"/>
          <w:sz w:val="24"/>
        </w:rPr>
        <w:t>s</w:t>
      </w:r>
      <w:r w:rsidRPr="00FC1444">
        <w:rPr>
          <w:rFonts w:eastAsiaTheme="minorEastAsia"/>
          <w:kern w:val="0"/>
          <w:sz w:val="24"/>
        </w:rPr>
        <w:t>；</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t>ti——i</w:t>
      </w:r>
      <w:r w:rsidRPr="00FC1444">
        <w:rPr>
          <w:rFonts w:eastAsiaTheme="minorEastAsia"/>
          <w:kern w:val="0"/>
          <w:sz w:val="24"/>
        </w:rPr>
        <w:t>声源在</w:t>
      </w:r>
      <w:r w:rsidRPr="00FC1444">
        <w:rPr>
          <w:rFonts w:eastAsiaTheme="minorEastAsia"/>
          <w:kern w:val="0"/>
          <w:sz w:val="24"/>
        </w:rPr>
        <w:t>T</w:t>
      </w:r>
      <w:r w:rsidRPr="00FC1444">
        <w:rPr>
          <w:rFonts w:eastAsiaTheme="minorEastAsia"/>
          <w:kern w:val="0"/>
          <w:sz w:val="24"/>
        </w:rPr>
        <w:t>时段内的运行时间，</w:t>
      </w:r>
      <w:r w:rsidRPr="00FC1444">
        <w:rPr>
          <w:rFonts w:eastAsiaTheme="minorEastAsia"/>
          <w:kern w:val="0"/>
          <w:sz w:val="24"/>
        </w:rPr>
        <w:t>s</w:t>
      </w:r>
      <w:r w:rsidRPr="00FC1444">
        <w:rPr>
          <w:rFonts w:eastAsiaTheme="minorEastAsia"/>
          <w:kern w:val="0"/>
          <w:sz w:val="24"/>
        </w:rPr>
        <w:t>；</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t>LAi——i</w:t>
      </w:r>
      <w:r w:rsidRPr="00FC1444">
        <w:rPr>
          <w:rFonts w:eastAsiaTheme="minorEastAsia"/>
          <w:kern w:val="0"/>
          <w:sz w:val="24"/>
        </w:rPr>
        <w:t>声源在预测点产生的等效连续</w:t>
      </w:r>
      <w:r w:rsidRPr="00FC1444">
        <w:rPr>
          <w:rFonts w:eastAsiaTheme="minorEastAsia"/>
          <w:kern w:val="0"/>
          <w:sz w:val="24"/>
        </w:rPr>
        <w:t>A</w:t>
      </w:r>
      <w:r w:rsidRPr="00FC1444">
        <w:rPr>
          <w:rFonts w:eastAsiaTheme="minorEastAsia"/>
          <w:kern w:val="0"/>
          <w:sz w:val="24"/>
        </w:rPr>
        <w:t>声级，</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w:t>
      </w:r>
      <w:r w:rsidRPr="00FC1444">
        <w:rPr>
          <w:rFonts w:eastAsiaTheme="minorEastAsia"/>
          <w:kern w:val="0"/>
          <w:sz w:val="24"/>
        </w:rPr>
        <w:t>2</w:t>
      </w:r>
      <w:r w:rsidRPr="00FC1444">
        <w:rPr>
          <w:rFonts w:eastAsiaTheme="minorEastAsia"/>
          <w:kern w:val="0"/>
          <w:sz w:val="24"/>
        </w:rPr>
        <w:t>）预测点的贡献值和背景值按能量叠加方法计算得到的声级计算公式：</w:t>
      </w:r>
    </w:p>
    <w:p w:rsidR="002A5A5E" w:rsidRPr="00FC1444" w:rsidRDefault="00611CBA">
      <w:pPr>
        <w:spacing w:line="360" w:lineRule="auto"/>
        <w:ind w:firstLineChars="200" w:firstLine="480"/>
        <w:jc w:val="center"/>
        <w:rPr>
          <w:rFonts w:eastAsiaTheme="minorEastAsia"/>
          <w:kern w:val="0"/>
          <w:sz w:val="24"/>
        </w:rPr>
      </w:pPr>
      <w:r w:rsidRPr="00FC1444">
        <w:rPr>
          <w:rFonts w:eastAsiaTheme="minorEastAsia"/>
          <w:noProof/>
          <w:kern w:val="0"/>
          <w:sz w:val="24"/>
        </w:rPr>
        <w:drawing>
          <wp:inline distT="0" distB="0" distL="0" distR="0">
            <wp:extent cx="2085975" cy="285750"/>
            <wp:effectExtent l="0" t="0" r="0" b="0"/>
            <wp:docPr id="243"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62"/>
                    <pic:cNvPicPr>
                      <a:picLocks noChangeAspect="1" noChangeArrowheads="1"/>
                    </pic:cNvPicPr>
                  </pic:nvPicPr>
                  <pic:blipFill>
                    <a:blip r:embed="rId71"/>
                    <a:srcRect/>
                    <a:stretch>
                      <a:fillRect/>
                    </a:stretch>
                  </pic:blipFill>
                  <pic:spPr>
                    <a:xfrm>
                      <a:off x="0" y="0"/>
                      <a:ext cx="2085975" cy="285750"/>
                    </a:xfrm>
                    <a:prstGeom prst="rect">
                      <a:avLst/>
                    </a:prstGeom>
                    <a:noFill/>
                    <a:ln w="9525">
                      <a:noFill/>
                      <a:miter lim="800000"/>
                      <a:headEnd/>
                      <a:tailEnd/>
                    </a:ln>
                  </pic:spPr>
                </pic:pic>
              </a:graphicData>
            </a:graphic>
          </wp:inline>
        </w:drawing>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式中：</w:t>
      </w:r>
      <w:r w:rsidRPr="00FC1444">
        <w:rPr>
          <w:rFonts w:eastAsiaTheme="minorEastAsia"/>
          <w:kern w:val="0"/>
          <w:sz w:val="24"/>
        </w:rPr>
        <w:t>Leq——</w:t>
      </w:r>
      <w:r w:rsidRPr="00FC1444">
        <w:rPr>
          <w:rFonts w:eastAsiaTheme="minorEastAsia"/>
          <w:kern w:val="0"/>
          <w:sz w:val="24"/>
        </w:rPr>
        <w:t>预测点的噪声预测值，</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t>Leqg——</w:t>
      </w:r>
      <w:r w:rsidRPr="00FC1444">
        <w:rPr>
          <w:rFonts w:eastAsiaTheme="minorEastAsia"/>
          <w:kern w:val="0"/>
          <w:sz w:val="24"/>
        </w:rPr>
        <w:t>建设项目声源在预测点产生的噪声贡献值，</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t>Leqb——</w:t>
      </w:r>
      <w:r w:rsidRPr="00FC1444">
        <w:rPr>
          <w:rFonts w:eastAsiaTheme="minorEastAsia"/>
          <w:kern w:val="0"/>
          <w:sz w:val="24"/>
        </w:rPr>
        <w:t>预测点的背景噪声值，</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w:t>
      </w:r>
      <w:r w:rsidRPr="00FC1444">
        <w:rPr>
          <w:rFonts w:eastAsiaTheme="minorEastAsia"/>
          <w:kern w:val="0"/>
          <w:sz w:val="24"/>
        </w:rPr>
        <w:t>3</w:t>
      </w:r>
      <w:r w:rsidRPr="00FC1444">
        <w:rPr>
          <w:rFonts w:eastAsiaTheme="minorEastAsia"/>
          <w:kern w:val="0"/>
          <w:sz w:val="24"/>
        </w:rPr>
        <w:t>）室内声源等效室外声源功率级计算</w:t>
      </w:r>
    </w:p>
    <w:p w:rsidR="002A5A5E" w:rsidRPr="00FC1444" w:rsidRDefault="00611CBA">
      <w:pPr>
        <w:spacing w:line="360" w:lineRule="auto"/>
        <w:ind w:firstLineChars="200" w:firstLine="480"/>
        <w:jc w:val="center"/>
        <w:rPr>
          <w:rFonts w:eastAsiaTheme="minorEastAsia"/>
          <w:kern w:val="0"/>
          <w:sz w:val="24"/>
        </w:rPr>
      </w:pPr>
      <w:r w:rsidRPr="00FC1444">
        <w:rPr>
          <w:rFonts w:eastAsiaTheme="minorEastAsia"/>
          <w:noProof/>
          <w:kern w:val="0"/>
          <w:sz w:val="24"/>
        </w:rPr>
        <w:drawing>
          <wp:inline distT="0" distB="0" distL="0" distR="0">
            <wp:extent cx="2628900" cy="447675"/>
            <wp:effectExtent l="19050" t="0" r="0" b="0"/>
            <wp:docPr id="244"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0"/>
                    <pic:cNvPicPr>
                      <a:picLocks noChangeAspect="1" noChangeArrowheads="1"/>
                    </pic:cNvPicPr>
                  </pic:nvPicPr>
                  <pic:blipFill>
                    <a:blip r:embed="rId72"/>
                    <a:srcRect/>
                    <a:stretch>
                      <a:fillRect/>
                    </a:stretch>
                  </pic:blipFill>
                  <pic:spPr>
                    <a:xfrm>
                      <a:off x="0" y="0"/>
                      <a:ext cx="2628900" cy="447675"/>
                    </a:xfrm>
                    <a:prstGeom prst="rect">
                      <a:avLst/>
                    </a:prstGeom>
                    <a:noFill/>
                    <a:ln w="9525">
                      <a:noFill/>
                      <a:miter lim="800000"/>
                      <a:headEnd/>
                      <a:tailEnd/>
                    </a:ln>
                  </pic:spPr>
                </pic:pic>
              </a:graphicData>
            </a:graphic>
          </wp:inline>
        </w:drawing>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式中：</w:t>
      </w:r>
      <w:r w:rsidRPr="00FC1444">
        <w:rPr>
          <w:rFonts w:eastAsiaTheme="minorEastAsia"/>
          <w:kern w:val="0"/>
          <w:sz w:val="24"/>
        </w:rPr>
        <w:t>L</w:t>
      </w:r>
      <w:r w:rsidRPr="00FC1444">
        <w:rPr>
          <w:rFonts w:eastAsiaTheme="minorEastAsia"/>
          <w:kern w:val="0"/>
          <w:sz w:val="24"/>
          <w:vertAlign w:val="subscript"/>
        </w:rPr>
        <w:t>p1</w:t>
      </w:r>
      <w:r w:rsidRPr="00FC1444">
        <w:rPr>
          <w:rFonts w:eastAsiaTheme="minorEastAsia"/>
          <w:kern w:val="0"/>
          <w:sz w:val="24"/>
        </w:rPr>
        <w:t>—</w:t>
      </w:r>
      <w:r w:rsidRPr="00FC1444">
        <w:rPr>
          <w:rFonts w:eastAsiaTheme="minorEastAsia"/>
          <w:kern w:val="0"/>
          <w:sz w:val="24"/>
        </w:rPr>
        <w:t>靠近开口处（或窗户）室内某倍频带的声压级或</w:t>
      </w:r>
      <w:r w:rsidRPr="00FC1444">
        <w:rPr>
          <w:rFonts w:eastAsiaTheme="minorEastAsia"/>
          <w:kern w:val="0"/>
          <w:sz w:val="24"/>
        </w:rPr>
        <w:t>A</w:t>
      </w:r>
      <w:r w:rsidRPr="00FC1444">
        <w:rPr>
          <w:rFonts w:eastAsiaTheme="minorEastAsia"/>
          <w:kern w:val="0"/>
          <w:sz w:val="24"/>
        </w:rPr>
        <w:t>声级，</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t>L</w:t>
      </w:r>
      <w:r w:rsidRPr="00FC1444">
        <w:rPr>
          <w:rFonts w:eastAsiaTheme="minorEastAsia"/>
          <w:kern w:val="0"/>
          <w:sz w:val="24"/>
          <w:vertAlign w:val="subscript"/>
        </w:rPr>
        <w:t>p2</w:t>
      </w:r>
      <w:r w:rsidRPr="00FC1444">
        <w:rPr>
          <w:rFonts w:eastAsiaTheme="minorEastAsia"/>
          <w:kern w:val="0"/>
          <w:sz w:val="24"/>
        </w:rPr>
        <w:t>——</w:t>
      </w:r>
      <w:r w:rsidRPr="00FC1444">
        <w:rPr>
          <w:rFonts w:eastAsiaTheme="minorEastAsia"/>
          <w:kern w:val="0"/>
          <w:sz w:val="24"/>
        </w:rPr>
        <w:t>靠近开口处（或窗户）室外某倍频带的声压级或</w:t>
      </w:r>
      <w:r w:rsidRPr="00FC1444">
        <w:rPr>
          <w:rFonts w:eastAsiaTheme="minorEastAsia"/>
          <w:kern w:val="0"/>
          <w:sz w:val="24"/>
        </w:rPr>
        <w:t>A</w:t>
      </w:r>
      <w:r w:rsidRPr="00FC1444">
        <w:rPr>
          <w:rFonts w:eastAsiaTheme="minorEastAsia"/>
          <w:kern w:val="0"/>
          <w:sz w:val="24"/>
        </w:rPr>
        <w:t>声级，</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t>TL——</w:t>
      </w:r>
      <w:r w:rsidRPr="00FC1444">
        <w:rPr>
          <w:rFonts w:eastAsiaTheme="minorEastAsia"/>
          <w:kern w:val="0"/>
          <w:sz w:val="24"/>
        </w:rPr>
        <w:t>隔墙（或窗户）倍频带或</w:t>
      </w:r>
      <w:r w:rsidRPr="00FC1444">
        <w:rPr>
          <w:rFonts w:eastAsiaTheme="minorEastAsia"/>
          <w:kern w:val="0"/>
          <w:sz w:val="24"/>
        </w:rPr>
        <w:t xml:space="preserve"> A </w:t>
      </w:r>
      <w:r w:rsidRPr="00FC1444">
        <w:rPr>
          <w:rFonts w:eastAsiaTheme="minorEastAsia"/>
          <w:kern w:val="0"/>
          <w:sz w:val="24"/>
        </w:rPr>
        <w:t>声级的隔声量，</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然后计算出所有室内声源在围护结构处产生的</w:t>
      </w:r>
      <w:r w:rsidRPr="00FC1444">
        <w:rPr>
          <w:rFonts w:eastAsiaTheme="minorEastAsia"/>
          <w:kern w:val="0"/>
          <w:sz w:val="24"/>
        </w:rPr>
        <w:t>i</w:t>
      </w:r>
      <w:r w:rsidRPr="00FC1444">
        <w:rPr>
          <w:rFonts w:eastAsiaTheme="minorEastAsia"/>
          <w:kern w:val="0"/>
          <w:sz w:val="24"/>
        </w:rPr>
        <w:t>倍频带叠加声压级：</w:t>
      </w:r>
    </w:p>
    <w:p w:rsidR="002A5A5E" w:rsidRPr="00FC1444" w:rsidRDefault="00611CBA">
      <w:pPr>
        <w:spacing w:line="360" w:lineRule="auto"/>
        <w:ind w:firstLineChars="200" w:firstLine="480"/>
        <w:jc w:val="center"/>
        <w:rPr>
          <w:rFonts w:eastAsiaTheme="minorEastAsia"/>
          <w:kern w:val="0"/>
          <w:sz w:val="24"/>
        </w:rPr>
      </w:pPr>
      <w:r w:rsidRPr="00FC1444">
        <w:rPr>
          <w:rFonts w:eastAsiaTheme="minorEastAsia"/>
          <w:noProof/>
          <w:kern w:val="0"/>
          <w:sz w:val="24"/>
        </w:rPr>
        <w:drawing>
          <wp:inline distT="0" distB="0" distL="0" distR="0">
            <wp:extent cx="2562225" cy="590550"/>
            <wp:effectExtent l="19050" t="0" r="9525" b="0"/>
            <wp:docPr id="245"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1"/>
                    <pic:cNvPicPr>
                      <a:picLocks noChangeAspect="1" noChangeArrowheads="1"/>
                    </pic:cNvPicPr>
                  </pic:nvPicPr>
                  <pic:blipFill>
                    <a:blip r:embed="rId73"/>
                    <a:srcRect/>
                    <a:stretch>
                      <a:fillRect/>
                    </a:stretch>
                  </pic:blipFill>
                  <pic:spPr>
                    <a:xfrm>
                      <a:off x="0" y="0"/>
                      <a:ext cx="2562225" cy="590550"/>
                    </a:xfrm>
                    <a:prstGeom prst="rect">
                      <a:avLst/>
                    </a:prstGeom>
                    <a:noFill/>
                    <a:ln w="9525">
                      <a:noFill/>
                      <a:miter lim="800000"/>
                      <a:headEnd/>
                      <a:tailEnd/>
                    </a:ln>
                  </pic:spPr>
                </pic:pic>
              </a:graphicData>
            </a:graphic>
          </wp:inline>
        </w:drawing>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式中：</w:t>
      </w:r>
      <w:r w:rsidRPr="00FC1444">
        <w:rPr>
          <w:rFonts w:eastAsiaTheme="minorEastAsia"/>
          <w:kern w:val="0"/>
          <w:sz w:val="24"/>
        </w:rPr>
        <w:t>Lp1i</w:t>
      </w:r>
      <w:r w:rsidRPr="00FC1444">
        <w:rPr>
          <w:rFonts w:eastAsiaTheme="minorEastAsia"/>
          <w:kern w:val="0"/>
          <w:sz w:val="24"/>
        </w:rPr>
        <w:t>（</w:t>
      </w:r>
      <w:r w:rsidRPr="00FC1444">
        <w:rPr>
          <w:rFonts w:eastAsiaTheme="minorEastAsia"/>
          <w:kern w:val="0"/>
          <w:sz w:val="24"/>
        </w:rPr>
        <w:t>T</w:t>
      </w:r>
      <w:r w:rsidRPr="00FC1444">
        <w:rPr>
          <w:rFonts w:eastAsiaTheme="minorEastAsia"/>
          <w:kern w:val="0"/>
          <w:sz w:val="24"/>
        </w:rPr>
        <w:t>）</w:t>
      </w:r>
      <w:r w:rsidRPr="00FC1444">
        <w:rPr>
          <w:rFonts w:eastAsiaTheme="minorEastAsia"/>
          <w:kern w:val="0"/>
          <w:sz w:val="24"/>
        </w:rPr>
        <w:t>—</w:t>
      </w:r>
      <w:r w:rsidRPr="00FC1444">
        <w:rPr>
          <w:rFonts w:eastAsiaTheme="minorEastAsia"/>
          <w:kern w:val="0"/>
          <w:sz w:val="24"/>
        </w:rPr>
        <w:t>靠近围护结构处室内</w:t>
      </w:r>
      <w:r w:rsidRPr="00FC1444">
        <w:rPr>
          <w:rFonts w:eastAsiaTheme="minorEastAsia"/>
          <w:kern w:val="0"/>
          <w:sz w:val="24"/>
        </w:rPr>
        <w:t>N</w:t>
      </w:r>
      <w:r w:rsidRPr="00FC1444">
        <w:rPr>
          <w:rFonts w:eastAsiaTheme="minorEastAsia"/>
          <w:kern w:val="0"/>
          <w:sz w:val="24"/>
        </w:rPr>
        <w:t>个声源</w:t>
      </w:r>
      <w:r w:rsidRPr="00FC1444">
        <w:rPr>
          <w:rFonts w:eastAsiaTheme="minorEastAsia"/>
          <w:kern w:val="0"/>
          <w:sz w:val="24"/>
        </w:rPr>
        <w:t>i</w:t>
      </w:r>
      <w:r w:rsidRPr="00FC1444">
        <w:rPr>
          <w:rFonts w:eastAsiaTheme="minorEastAsia"/>
          <w:kern w:val="0"/>
          <w:sz w:val="24"/>
        </w:rPr>
        <w:t>倍频带的叠加声压级，</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Lp1ij—</w:t>
      </w:r>
      <w:r w:rsidRPr="00FC1444">
        <w:rPr>
          <w:rFonts w:eastAsiaTheme="minorEastAsia"/>
          <w:kern w:val="0"/>
          <w:sz w:val="24"/>
        </w:rPr>
        <w:t>室内</w:t>
      </w:r>
      <w:r w:rsidRPr="00FC1444">
        <w:rPr>
          <w:rFonts w:eastAsiaTheme="minorEastAsia"/>
          <w:kern w:val="0"/>
          <w:sz w:val="24"/>
        </w:rPr>
        <w:t>j</w:t>
      </w:r>
      <w:r w:rsidRPr="00FC1444">
        <w:rPr>
          <w:rFonts w:eastAsiaTheme="minorEastAsia"/>
          <w:kern w:val="0"/>
          <w:sz w:val="24"/>
        </w:rPr>
        <w:t>声源</w:t>
      </w:r>
      <w:r w:rsidRPr="00FC1444">
        <w:rPr>
          <w:rFonts w:eastAsiaTheme="minorEastAsia"/>
          <w:kern w:val="0"/>
          <w:sz w:val="24"/>
        </w:rPr>
        <w:t>i</w:t>
      </w:r>
      <w:r w:rsidRPr="00FC1444">
        <w:rPr>
          <w:rFonts w:eastAsiaTheme="minorEastAsia"/>
          <w:kern w:val="0"/>
          <w:sz w:val="24"/>
        </w:rPr>
        <w:t>倍频带的声压级，</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N—</w:t>
      </w:r>
      <w:r w:rsidRPr="00FC1444">
        <w:rPr>
          <w:rFonts w:eastAsiaTheme="minorEastAsia"/>
          <w:kern w:val="0"/>
          <w:sz w:val="24"/>
        </w:rPr>
        <w:t>室内声源总数。</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在室内近似为扩散声场时，计算出靠近室外围护结构处的声压级：</w:t>
      </w:r>
    </w:p>
    <w:p w:rsidR="002A5A5E" w:rsidRPr="00FC1444" w:rsidRDefault="00611CBA">
      <w:pPr>
        <w:spacing w:line="360" w:lineRule="auto"/>
        <w:ind w:firstLineChars="200" w:firstLine="480"/>
        <w:jc w:val="center"/>
        <w:rPr>
          <w:rFonts w:eastAsiaTheme="minorEastAsia"/>
          <w:kern w:val="0"/>
          <w:sz w:val="24"/>
        </w:rPr>
      </w:pPr>
      <w:r w:rsidRPr="00FC1444">
        <w:rPr>
          <w:rFonts w:eastAsiaTheme="minorEastAsia"/>
          <w:noProof/>
          <w:kern w:val="0"/>
          <w:sz w:val="24"/>
        </w:rPr>
        <w:drawing>
          <wp:inline distT="0" distB="0" distL="0" distR="0">
            <wp:extent cx="2914650" cy="333375"/>
            <wp:effectExtent l="19050" t="0" r="0" b="0"/>
            <wp:docPr id="246"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2"/>
                    <pic:cNvPicPr>
                      <a:picLocks noChangeAspect="1" noChangeArrowheads="1"/>
                    </pic:cNvPicPr>
                  </pic:nvPicPr>
                  <pic:blipFill>
                    <a:blip r:embed="rId74"/>
                    <a:srcRect/>
                    <a:stretch>
                      <a:fillRect/>
                    </a:stretch>
                  </pic:blipFill>
                  <pic:spPr>
                    <a:xfrm>
                      <a:off x="0" y="0"/>
                      <a:ext cx="2914650" cy="333375"/>
                    </a:xfrm>
                    <a:prstGeom prst="rect">
                      <a:avLst/>
                    </a:prstGeom>
                    <a:noFill/>
                    <a:ln w="9525">
                      <a:noFill/>
                      <a:miter lim="800000"/>
                      <a:headEnd/>
                      <a:tailEnd/>
                    </a:ln>
                  </pic:spPr>
                </pic:pic>
              </a:graphicData>
            </a:graphic>
          </wp:inline>
        </w:drawing>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式中：</w:t>
      </w:r>
      <w:r w:rsidRPr="00FC1444">
        <w:rPr>
          <w:rFonts w:eastAsiaTheme="minorEastAsia"/>
          <w:kern w:val="0"/>
          <w:sz w:val="24"/>
        </w:rPr>
        <w:t>L</w:t>
      </w:r>
      <w:r w:rsidRPr="00FC1444">
        <w:rPr>
          <w:rFonts w:eastAsiaTheme="minorEastAsia"/>
          <w:kern w:val="0"/>
          <w:sz w:val="24"/>
          <w:vertAlign w:val="subscript"/>
        </w:rPr>
        <w:t>2pi</w:t>
      </w:r>
      <w:r w:rsidRPr="00FC1444">
        <w:rPr>
          <w:rFonts w:eastAsiaTheme="minorEastAsia"/>
          <w:kern w:val="0"/>
          <w:sz w:val="24"/>
        </w:rPr>
        <w:t>（</w:t>
      </w:r>
      <w:r w:rsidRPr="00FC1444">
        <w:rPr>
          <w:rFonts w:eastAsiaTheme="minorEastAsia"/>
          <w:kern w:val="0"/>
          <w:sz w:val="24"/>
        </w:rPr>
        <w:t>T</w:t>
      </w:r>
      <w:r w:rsidRPr="00FC1444">
        <w:rPr>
          <w:rFonts w:eastAsiaTheme="minorEastAsia"/>
          <w:kern w:val="0"/>
          <w:sz w:val="24"/>
        </w:rPr>
        <w:t>）</w:t>
      </w:r>
      <w:r w:rsidRPr="00FC1444">
        <w:rPr>
          <w:rFonts w:eastAsiaTheme="minorEastAsia"/>
          <w:kern w:val="0"/>
          <w:sz w:val="24"/>
        </w:rPr>
        <w:t>—</w:t>
      </w:r>
      <w:r w:rsidRPr="00FC1444">
        <w:rPr>
          <w:rFonts w:eastAsiaTheme="minorEastAsia"/>
          <w:kern w:val="0"/>
          <w:sz w:val="24"/>
        </w:rPr>
        <w:t>靠近围护结构处室外</w:t>
      </w:r>
      <w:r w:rsidRPr="00FC1444">
        <w:rPr>
          <w:rFonts w:eastAsiaTheme="minorEastAsia"/>
          <w:kern w:val="0"/>
          <w:sz w:val="24"/>
        </w:rPr>
        <w:t>N</w:t>
      </w:r>
      <w:r w:rsidRPr="00FC1444">
        <w:rPr>
          <w:rFonts w:eastAsiaTheme="minorEastAsia"/>
          <w:kern w:val="0"/>
          <w:sz w:val="24"/>
        </w:rPr>
        <w:t>个声源</w:t>
      </w:r>
      <w:r w:rsidRPr="00FC1444">
        <w:rPr>
          <w:rFonts w:eastAsiaTheme="minorEastAsia"/>
          <w:kern w:val="0"/>
          <w:sz w:val="24"/>
        </w:rPr>
        <w:t>i</w:t>
      </w:r>
      <w:r w:rsidRPr="00FC1444">
        <w:rPr>
          <w:rFonts w:eastAsiaTheme="minorEastAsia"/>
          <w:kern w:val="0"/>
          <w:sz w:val="24"/>
        </w:rPr>
        <w:t>倍频带的叠加声压级，</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450" w:firstLine="1080"/>
        <w:jc w:val="left"/>
        <w:rPr>
          <w:rFonts w:eastAsiaTheme="minorEastAsia"/>
          <w:kern w:val="0"/>
          <w:sz w:val="24"/>
        </w:rPr>
      </w:pPr>
      <w:r w:rsidRPr="00FC1444">
        <w:rPr>
          <w:rFonts w:eastAsiaTheme="minorEastAsia"/>
          <w:kern w:val="0"/>
          <w:sz w:val="24"/>
        </w:rPr>
        <w:t>TLi—</w:t>
      </w:r>
      <w:r w:rsidRPr="00FC1444">
        <w:rPr>
          <w:rFonts w:eastAsiaTheme="minorEastAsia"/>
          <w:kern w:val="0"/>
          <w:sz w:val="24"/>
        </w:rPr>
        <w:t>围护结构</w:t>
      </w:r>
      <w:r w:rsidRPr="00FC1444">
        <w:rPr>
          <w:rFonts w:eastAsiaTheme="minorEastAsia"/>
          <w:kern w:val="0"/>
          <w:sz w:val="24"/>
        </w:rPr>
        <w:t>i</w:t>
      </w:r>
      <w:r w:rsidRPr="00FC1444">
        <w:rPr>
          <w:rFonts w:eastAsiaTheme="minorEastAsia"/>
          <w:kern w:val="0"/>
          <w:sz w:val="24"/>
        </w:rPr>
        <w:t>倍频带的隔声量，</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然后将室外声源的声压级和透过面积换算成等效的室外声源，计算出中心位置位于透声面积（</w:t>
      </w:r>
      <w:r w:rsidRPr="00FC1444">
        <w:rPr>
          <w:rFonts w:eastAsiaTheme="minorEastAsia"/>
          <w:kern w:val="0"/>
          <w:sz w:val="24"/>
        </w:rPr>
        <w:t>S</w:t>
      </w:r>
      <w:r w:rsidRPr="00FC1444">
        <w:rPr>
          <w:rFonts w:eastAsiaTheme="minorEastAsia"/>
          <w:kern w:val="0"/>
          <w:sz w:val="24"/>
        </w:rPr>
        <w:t>）处的等效声源的倍频带声功率级。</w:t>
      </w:r>
    </w:p>
    <w:p w:rsidR="002A5A5E" w:rsidRPr="00FC1444" w:rsidRDefault="00611CBA">
      <w:pPr>
        <w:spacing w:line="360" w:lineRule="auto"/>
        <w:ind w:firstLineChars="200" w:firstLine="480"/>
        <w:jc w:val="center"/>
        <w:rPr>
          <w:rFonts w:eastAsiaTheme="minorEastAsia"/>
          <w:kern w:val="0"/>
          <w:sz w:val="24"/>
        </w:rPr>
      </w:pPr>
      <w:r w:rsidRPr="00FC1444">
        <w:rPr>
          <w:rFonts w:eastAsiaTheme="minorEastAsia"/>
          <w:noProof/>
          <w:kern w:val="0"/>
          <w:sz w:val="24"/>
        </w:rPr>
        <w:drawing>
          <wp:inline distT="0" distB="0" distL="0" distR="0">
            <wp:extent cx="2124075" cy="295275"/>
            <wp:effectExtent l="19050" t="0" r="9525" b="0"/>
            <wp:docPr id="247"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3"/>
                    <pic:cNvPicPr>
                      <a:picLocks noChangeAspect="1" noChangeArrowheads="1"/>
                    </pic:cNvPicPr>
                  </pic:nvPicPr>
                  <pic:blipFill>
                    <a:blip r:embed="rId75"/>
                    <a:srcRect/>
                    <a:stretch>
                      <a:fillRect/>
                    </a:stretch>
                  </pic:blipFill>
                  <pic:spPr>
                    <a:xfrm>
                      <a:off x="0" y="0"/>
                      <a:ext cx="2124075" cy="295275"/>
                    </a:xfrm>
                    <a:prstGeom prst="rect">
                      <a:avLst/>
                    </a:prstGeom>
                    <a:noFill/>
                    <a:ln w="9525">
                      <a:noFill/>
                      <a:miter lim="800000"/>
                      <a:headEnd/>
                      <a:tailEnd/>
                    </a:ln>
                  </pic:spPr>
                </pic:pic>
              </a:graphicData>
            </a:graphic>
          </wp:inline>
        </w:drawing>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lastRenderedPageBreak/>
        <w:t>式中：</w:t>
      </w:r>
      <w:r w:rsidRPr="00FC1444">
        <w:rPr>
          <w:rFonts w:eastAsiaTheme="minorEastAsia"/>
          <w:kern w:val="0"/>
          <w:sz w:val="24"/>
        </w:rPr>
        <w:t>L</w:t>
      </w:r>
      <w:r w:rsidRPr="00FC1444">
        <w:rPr>
          <w:rFonts w:eastAsiaTheme="minorEastAsia"/>
          <w:kern w:val="0"/>
          <w:sz w:val="24"/>
          <w:vertAlign w:val="subscript"/>
        </w:rPr>
        <w:t>w</w:t>
      </w:r>
      <w:r w:rsidRPr="00FC1444">
        <w:rPr>
          <w:rFonts w:eastAsiaTheme="minorEastAsia"/>
          <w:kern w:val="0"/>
          <w:sz w:val="24"/>
        </w:rPr>
        <w:t>—</w:t>
      </w:r>
      <w:r w:rsidRPr="00FC1444">
        <w:rPr>
          <w:rFonts w:eastAsiaTheme="minorEastAsia"/>
          <w:kern w:val="0"/>
          <w:sz w:val="24"/>
        </w:rPr>
        <w:t>中心位置位于透声面积（</w:t>
      </w:r>
      <w:r w:rsidRPr="00FC1444">
        <w:rPr>
          <w:rFonts w:eastAsiaTheme="minorEastAsia"/>
          <w:kern w:val="0"/>
          <w:sz w:val="24"/>
        </w:rPr>
        <w:t>S</w:t>
      </w:r>
      <w:r w:rsidRPr="00FC1444">
        <w:rPr>
          <w:rFonts w:eastAsiaTheme="minorEastAsia"/>
          <w:kern w:val="0"/>
          <w:sz w:val="24"/>
        </w:rPr>
        <w:t>）处的等效声源的倍频带声功率级，</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t>L</w:t>
      </w:r>
      <w:r w:rsidRPr="00FC1444">
        <w:rPr>
          <w:rFonts w:eastAsiaTheme="minorEastAsia"/>
          <w:kern w:val="0"/>
          <w:sz w:val="24"/>
          <w:vertAlign w:val="subscript"/>
        </w:rPr>
        <w:t>p2</w:t>
      </w:r>
      <w:r w:rsidRPr="00FC1444">
        <w:rPr>
          <w:rFonts w:eastAsiaTheme="minorEastAsia"/>
          <w:kern w:val="0"/>
          <w:sz w:val="24"/>
        </w:rPr>
        <w:t>（</w:t>
      </w:r>
      <w:r w:rsidRPr="00FC1444">
        <w:rPr>
          <w:rFonts w:eastAsiaTheme="minorEastAsia"/>
          <w:kern w:val="0"/>
          <w:sz w:val="24"/>
        </w:rPr>
        <w:t>T</w:t>
      </w:r>
      <w:r w:rsidRPr="00FC1444">
        <w:rPr>
          <w:rFonts w:eastAsiaTheme="minorEastAsia"/>
          <w:kern w:val="0"/>
          <w:sz w:val="24"/>
        </w:rPr>
        <w:t>）</w:t>
      </w:r>
      <w:r w:rsidRPr="00FC1444">
        <w:rPr>
          <w:rFonts w:eastAsiaTheme="minorEastAsia"/>
          <w:kern w:val="0"/>
          <w:sz w:val="24"/>
        </w:rPr>
        <w:t>—</w:t>
      </w:r>
      <w:r w:rsidRPr="00FC1444">
        <w:rPr>
          <w:rFonts w:eastAsiaTheme="minorEastAsia"/>
          <w:kern w:val="0"/>
          <w:sz w:val="24"/>
        </w:rPr>
        <w:t>靠近围护结构处室外声源的声压级，</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t>S—</w:t>
      </w:r>
      <w:r w:rsidRPr="00FC1444">
        <w:rPr>
          <w:rFonts w:eastAsiaTheme="minorEastAsia"/>
          <w:kern w:val="0"/>
          <w:sz w:val="24"/>
        </w:rPr>
        <w:t>透声面积，</w:t>
      </w:r>
      <w:r w:rsidRPr="00FC1444">
        <w:rPr>
          <w:rFonts w:eastAsiaTheme="minorEastAsia"/>
          <w:kern w:val="0"/>
          <w:sz w:val="24"/>
        </w:rPr>
        <w:t>m</w:t>
      </w:r>
      <w:r w:rsidRPr="00FC1444">
        <w:rPr>
          <w:rFonts w:eastAsiaTheme="minorEastAsia"/>
          <w:kern w:val="0"/>
          <w:sz w:val="24"/>
          <w:vertAlign w:val="superscript"/>
        </w:rPr>
        <w:t>2</w:t>
      </w:r>
      <w:r w:rsidRPr="00FC1444">
        <w:rPr>
          <w:rFonts w:eastAsiaTheme="minorEastAsia"/>
          <w:kern w:val="0"/>
          <w:sz w:val="24"/>
        </w:rPr>
        <w:t>。</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w:t>
      </w:r>
      <w:r w:rsidRPr="00FC1444">
        <w:rPr>
          <w:rFonts w:eastAsiaTheme="minorEastAsia"/>
          <w:kern w:val="0"/>
          <w:sz w:val="24"/>
        </w:rPr>
        <w:t>4</w:t>
      </w:r>
      <w:r w:rsidRPr="00FC1444">
        <w:rPr>
          <w:rFonts w:eastAsiaTheme="minorEastAsia"/>
          <w:kern w:val="0"/>
          <w:sz w:val="24"/>
        </w:rPr>
        <w:t>）户外声传播衰减计算</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户外声传播衰减包括几何发散（</w:t>
      </w:r>
      <w:r w:rsidRPr="00FC1444">
        <w:rPr>
          <w:rFonts w:eastAsiaTheme="minorEastAsia"/>
          <w:kern w:val="0"/>
          <w:sz w:val="24"/>
        </w:rPr>
        <w:t>Adiv</w:t>
      </w:r>
      <w:r w:rsidRPr="00FC1444">
        <w:rPr>
          <w:rFonts w:eastAsiaTheme="minorEastAsia"/>
          <w:kern w:val="0"/>
          <w:sz w:val="24"/>
        </w:rPr>
        <w:t>）、大气吸收（</w:t>
      </w:r>
      <w:r w:rsidRPr="00FC1444">
        <w:rPr>
          <w:rFonts w:eastAsiaTheme="minorEastAsia"/>
          <w:kern w:val="0"/>
          <w:sz w:val="24"/>
        </w:rPr>
        <w:t>Aatm</w:t>
      </w:r>
      <w:r w:rsidRPr="00FC1444">
        <w:rPr>
          <w:rFonts w:eastAsiaTheme="minorEastAsia"/>
          <w:kern w:val="0"/>
          <w:sz w:val="24"/>
        </w:rPr>
        <w:t>）、地面效应（</w:t>
      </w:r>
      <w:r w:rsidRPr="00FC1444">
        <w:rPr>
          <w:rFonts w:eastAsiaTheme="minorEastAsia"/>
          <w:kern w:val="0"/>
          <w:sz w:val="24"/>
        </w:rPr>
        <w:t>Agr</w:t>
      </w:r>
      <w:r w:rsidRPr="00FC1444">
        <w:rPr>
          <w:rFonts w:eastAsiaTheme="minorEastAsia"/>
          <w:kern w:val="0"/>
          <w:sz w:val="24"/>
        </w:rPr>
        <w:t>）、屏障屏蔽（</w:t>
      </w:r>
      <w:r w:rsidRPr="00FC1444">
        <w:rPr>
          <w:rFonts w:eastAsiaTheme="minorEastAsia"/>
          <w:kern w:val="0"/>
          <w:sz w:val="24"/>
        </w:rPr>
        <w:t>Abar</w:t>
      </w:r>
      <w:r w:rsidRPr="00FC1444">
        <w:rPr>
          <w:rFonts w:eastAsiaTheme="minorEastAsia"/>
          <w:kern w:val="0"/>
          <w:sz w:val="24"/>
        </w:rPr>
        <w:t>）、其他多方面效应（</w:t>
      </w:r>
      <w:r w:rsidRPr="00FC1444">
        <w:rPr>
          <w:rFonts w:eastAsiaTheme="minorEastAsia"/>
          <w:kern w:val="0"/>
          <w:sz w:val="24"/>
        </w:rPr>
        <w:t>Amisc</w:t>
      </w:r>
      <w:r w:rsidRPr="00FC1444">
        <w:rPr>
          <w:rFonts w:eastAsiaTheme="minorEastAsia"/>
          <w:kern w:val="0"/>
          <w:sz w:val="24"/>
        </w:rPr>
        <w:t>）引起的衰减。</w:t>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距声源点</w:t>
      </w:r>
      <w:r w:rsidRPr="00FC1444">
        <w:rPr>
          <w:rFonts w:eastAsiaTheme="minorEastAsia"/>
          <w:kern w:val="0"/>
          <w:sz w:val="24"/>
        </w:rPr>
        <w:t>r</w:t>
      </w:r>
      <w:r w:rsidRPr="00FC1444">
        <w:rPr>
          <w:rFonts w:eastAsiaTheme="minorEastAsia"/>
          <w:kern w:val="0"/>
          <w:sz w:val="24"/>
        </w:rPr>
        <w:t>处的</w:t>
      </w:r>
      <w:r w:rsidRPr="00FC1444">
        <w:rPr>
          <w:rFonts w:eastAsiaTheme="minorEastAsia"/>
          <w:kern w:val="0"/>
          <w:sz w:val="24"/>
        </w:rPr>
        <w:t>A</w:t>
      </w:r>
      <w:r w:rsidRPr="00FC1444">
        <w:rPr>
          <w:rFonts w:eastAsiaTheme="minorEastAsia"/>
          <w:kern w:val="0"/>
          <w:sz w:val="24"/>
        </w:rPr>
        <w:t>声级按下式计算：</w:t>
      </w:r>
    </w:p>
    <w:p w:rsidR="002A5A5E" w:rsidRPr="00FC1444" w:rsidRDefault="00611CBA">
      <w:pPr>
        <w:spacing w:line="360" w:lineRule="auto"/>
        <w:ind w:firstLineChars="200" w:firstLine="480"/>
        <w:jc w:val="center"/>
        <w:rPr>
          <w:rFonts w:eastAsiaTheme="minorEastAsia"/>
          <w:kern w:val="0"/>
          <w:sz w:val="24"/>
        </w:rPr>
      </w:pPr>
      <w:r w:rsidRPr="00FC1444">
        <w:rPr>
          <w:rFonts w:eastAsiaTheme="minorEastAsia"/>
          <w:noProof/>
          <w:kern w:val="0"/>
          <w:sz w:val="24"/>
        </w:rPr>
        <w:drawing>
          <wp:inline distT="0" distB="0" distL="0" distR="0">
            <wp:extent cx="3924300" cy="333375"/>
            <wp:effectExtent l="19050" t="0" r="0" b="0"/>
            <wp:docPr id="248" name="图片 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3144"/>
                    <pic:cNvPicPr>
                      <a:picLocks noChangeAspect="1" noChangeArrowheads="1"/>
                    </pic:cNvPicPr>
                  </pic:nvPicPr>
                  <pic:blipFill>
                    <a:blip r:embed="rId76"/>
                    <a:srcRect/>
                    <a:stretch>
                      <a:fillRect/>
                    </a:stretch>
                  </pic:blipFill>
                  <pic:spPr>
                    <a:xfrm>
                      <a:off x="0" y="0"/>
                      <a:ext cx="3924300" cy="333375"/>
                    </a:xfrm>
                    <a:prstGeom prst="rect">
                      <a:avLst/>
                    </a:prstGeom>
                    <a:noFill/>
                    <a:ln w="9525">
                      <a:noFill/>
                      <a:miter lim="800000"/>
                      <a:headEnd/>
                      <a:tailEnd/>
                    </a:ln>
                  </pic:spPr>
                </pic:pic>
              </a:graphicData>
            </a:graphic>
          </wp:inline>
        </w:drawing>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w:t>
      </w:r>
      <w:r w:rsidRPr="00FC1444">
        <w:rPr>
          <w:rFonts w:eastAsiaTheme="minorEastAsia"/>
          <w:kern w:val="0"/>
          <w:sz w:val="24"/>
        </w:rPr>
        <w:t>5</w:t>
      </w:r>
      <w:r w:rsidRPr="00FC1444">
        <w:rPr>
          <w:rFonts w:eastAsiaTheme="minorEastAsia"/>
          <w:kern w:val="0"/>
          <w:sz w:val="24"/>
        </w:rPr>
        <w:t>）拟建工程声源对预测点产生的贡献值计算</w:t>
      </w:r>
    </w:p>
    <w:p w:rsidR="002A5A5E" w:rsidRPr="00FC1444" w:rsidRDefault="00611CBA">
      <w:pPr>
        <w:spacing w:line="360" w:lineRule="auto"/>
        <w:ind w:firstLineChars="200" w:firstLine="480"/>
        <w:jc w:val="center"/>
        <w:rPr>
          <w:rFonts w:eastAsiaTheme="minorEastAsia"/>
          <w:kern w:val="0"/>
          <w:sz w:val="24"/>
        </w:rPr>
      </w:pPr>
      <w:r w:rsidRPr="00FC1444">
        <w:rPr>
          <w:rFonts w:eastAsiaTheme="minorEastAsia"/>
          <w:noProof/>
          <w:kern w:val="0"/>
          <w:sz w:val="24"/>
        </w:rPr>
        <w:drawing>
          <wp:inline distT="0" distB="0" distL="0" distR="0">
            <wp:extent cx="3333750" cy="723900"/>
            <wp:effectExtent l="19050" t="0" r="0" b="0"/>
            <wp:docPr id="249"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66"/>
                    <pic:cNvPicPr>
                      <a:picLocks noChangeAspect="1" noChangeArrowheads="1"/>
                    </pic:cNvPicPr>
                  </pic:nvPicPr>
                  <pic:blipFill>
                    <a:blip r:embed="rId77"/>
                    <a:srcRect/>
                    <a:stretch>
                      <a:fillRect/>
                    </a:stretch>
                  </pic:blipFill>
                  <pic:spPr>
                    <a:xfrm>
                      <a:off x="0" y="0"/>
                      <a:ext cx="3333750" cy="723900"/>
                    </a:xfrm>
                    <a:prstGeom prst="rect">
                      <a:avLst/>
                    </a:prstGeom>
                    <a:noFill/>
                    <a:ln w="9525">
                      <a:noFill/>
                      <a:miter lim="800000"/>
                      <a:headEnd/>
                      <a:tailEnd/>
                    </a:ln>
                  </pic:spPr>
                </pic:pic>
              </a:graphicData>
            </a:graphic>
          </wp:inline>
        </w:drawing>
      </w:r>
    </w:p>
    <w:p w:rsidR="002A5A5E" w:rsidRPr="00FC1444" w:rsidRDefault="00611CBA">
      <w:pPr>
        <w:spacing w:line="360" w:lineRule="auto"/>
        <w:ind w:firstLineChars="200" w:firstLine="480"/>
        <w:jc w:val="left"/>
        <w:rPr>
          <w:rFonts w:eastAsiaTheme="minorEastAsia"/>
          <w:kern w:val="0"/>
          <w:sz w:val="24"/>
        </w:rPr>
      </w:pPr>
      <w:r w:rsidRPr="00FC1444">
        <w:rPr>
          <w:rFonts w:eastAsiaTheme="minorEastAsia"/>
          <w:kern w:val="0"/>
          <w:sz w:val="24"/>
        </w:rPr>
        <w:t>式中：</w:t>
      </w:r>
      <w:r w:rsidRPr="00FC1444">
        <w:rPr>
          <w:rFonts w:eastAsiaTheme="minorEastAsia"/>
          <w:kern w:val="0"/>
          <w:sz w:val="24"/>
        </w:rPr>
        <w:t>Leqg—</w:t>
      </w:r>
      <w:r w:rsidRPr="00FC1444">
        <w:rPr>
          <w:rFonts w:eastAsiaTheme="minorEastAsia"/>
          <w:kern w:val="0"/>
          <w:sz w:val="24"/>
        </w:rPr>
        <w:t>建设项目声源在预测点产生的噪声贡献值，</w:t>
      </w:r>
      <w:r w:rsidRPr="00FC1444">
        <w:rPr>
          <w:rFonts w:eastAsiaTheme="minorEastAsia"/>
          <w:kern w:val="0"/>
          <w:sz w:val="24"/>
        </w:rPr>
        <w:t>dB</w:t>
      </w:r>
      <w:r w:rsidRPr="00FC1444">
        <w:rPr>
          <w:rFonts w:eastAsiaTheme="minorEastAsia"/>
          <w:kern w:val="0"/>
          <w:sz w:val="24"/>
        </w:rPr>
        <w:t>；</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t>T—</w:t>
      </w:r>
      <w:r w:rsidRPr="00FC1444">
        <w:rPr>
          <w:rFonts w:eastAsiaTheme="minorEastAsia"/>
          <w:kern w:val="0"/>
          <w:sz w:val="24"/>
        </w:rPr>
        <w:t>用于计算等效声级的时间，</w:t>
      </w:r>
      <w:r w:rsidRPr="00FC1444">
        <w:rPr>
          <w:rFonts w:eastAsiaTheme="minorEastAsia"/>
          <w:kern w:val="0"/>
          <w:sz w:val="24"/>
        </w:rPr>
        <w:t>s</w:t>
      </w:r>
      <w:r w:rsidRPr="00FC1444">
        <w:rPr>
          <w:rFonts w:eastAsiaTheme="minorEastAsia"/>
          <w:kern w:val="0"/>
          <w:sz w:val="24"/>
        </w:rPr>
        <w:t>；</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t>N—</w:t>
      </w:r>
      <w:r w:rsidRPr="00FC1444">
        <w:rPr>
          <w:rFonts w:eastAsiaTheme="minorEastAsia"/>
          <w:kern w:val="0"/>
          <w:sz w:val="24"/>
        </w:rPr>
        <w:t>室外声源个数；</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t>t</w:t>
      </w:r>
      <w:r w:rsidRPr="00FC1444">
        <w:rPr>
          <w:rFonts w:eastAsiaTheme="minorEastAsia"/>
          <w:kern w:val="0"/>
          <w:sz w:val="24"/>
          <w:vertAlign w:val="subscript"/>
        </w:rPr>
        <w:t>i</w:t>
      </w:r>
      <w:r w:rsidRPr="00FC1444">
        <w:rPr>
          <w:rFonts w:eastAsiaTheme="minorEastAsia"/>
          <w:kern w:val="0"/>
          <w:sz w:val="24"/>
        </w:rPr>
        <w:t>—</w:t>
      </w:r>
      <w:r w:rsidRPr="00FC1444">
        <w:rPr>
          <w:rFonts w:eastAsiaTheme="minorEastAsia"/>
          <w:kern w:val="0"/>
          <w:sz w:val="24"/>
        </w:rPr>
        <w:t>在</w:t>
      </w:r>
      <w:r w:rsidRPr="00FC1444">
        <w:rPr>
          <w:rFonts w:eastAsiaTheme="minorEastAsia"/>
          <w:kern w:val="0"/>
          <w:sz w:val="24"/>
        </w:rPr>
        <w:t>T</w:t>
      </w:r>
      <w:r w:rsidRPr="00FC1444">
        <w:rPr>
          <w:rFonts w:eastAsiaTheme="minorEastAsia"/>
          <w:kern w:val="0"/>
          <w:sz w:val="24"/>
        </w:rPr>
        <w:t>时间内</w:t>
      </w:r>
      <w:r w:rsidRPr="00FC1444">
        <w:rPr>
          <w:rFonts w:eastAsiaTheme="minorEastAsia"/>
          <w:kern w:val="0"/>
          <w:sz w:val="24"/>
        </w:rPr>
        <w:t>i</w:t>
      </w:r>
      <w:r w:rsidRPr="00FC1444">
        <w:rPr>
          <w:rFonts w:eastAsiaTheme="minorEastAsia"/>
          <w:kern w:val="0"/>
          <w:sz w:val="24"/>
        </w:rPr>
        <w:t>声源工作时间，</w:t>
      </w:r>
      <w:r w:rsidRPr="00FC1444">
        <w:rPr>
          <w:rFonts w:eastAsiaTheme="minorEastAsia"/>
          <w:kern w:val="0"/>
          <w:sz w:val="24"/>
        </w:rPr>
        <w:t>s</w:t>
      </w:r>
      <w:r w:rsidRPr="00FC1444">
        <w:rPr>
          <w:rFonts w:eastAsiaTheme="minorEastAsia"/>
          <w:kern w:val="0"/>
          <w:sz w:val="24"/>
        </w:rPr>
        <w:t>；</w:t>
      </w:r>
    </w:p>
    <w:p w:rsidR="002A5A5E" w:rsidRPr="00FC1444" w:rsidRDefault="00611CBA">
      <w:pPr>
        <w:spacing w:line="360" w:lineRule="auto"/>
        <w:ind w:firstLineChars="500" w:firstLine="1200"/>
        <w:jc w:val="left"/>
        <w:rPr>
          <w:rFonts w:eastAsiaTheme="minorEastAsia"/>
          <w:kern w:val="0"/>
          <w:sz w:val="24"/>
        </w:rPr>
      </w:pPr>
      <w:r w:rsidRPr="00FC1444">
        <w:rPr>
          <w:rFonts w:eastAsiaTheme="minorEastAsia"/>
          <w:kern w:val="0"/>
          <w:sz w:val="24"/>
        </w:rPr>
        <w:t>M—</w:t>
      </w:r>
      <w:r w:rsidRPr="00FC1444">
        <w:rPr>
          <w:rFonts w:eastAsiaTheme="minorEastAsia"/>
          <w:kern w:val="0"/>
          <w:sz w:val="24"/>
        </w:rPr>
        <w:t>等效室外声源个数；</w:t>
      </w:r>
    </w:p>
    <w:p w:rsidR="002A5A5E" w:rsidRPr="00FC1444" w:rsidRDefault="00611CBA">
      <w:pPr>
        <w:pStyle w:val="00"/>
        <w:ind w:firstLineChars="500" w:firstLine="1200"/>
        <w:rPr>
          <w:rFonts w:hAnsi="Times New Roman"/>
          <w:color w:val="auto"/>
        </w:rPr>
      </w:pPr>
      <w:r w:rsidRPr="00FC1444">
        <w:rPr>
          <w:rFonts w:hAnsi="Times New Roman"/>
          <w:color w:val="auto"/>
        </w:rPr>
        <w:t>t</w:t>
      </w:r>
      <w:r w:rsidRPr="00FC1444">
        <w:rPr>
          <w:rFonts w:hAnsi="Times New Roman"/>
          <w:color w:val="auto"/>
          <w:vertAlign w:val="subscript"/>
        </w:rPr>
        <w:t>j</w:t>
      </w:r>
      <w:r w:rsidRPr="00FC1444">
        <w:rPr>
          <w:rFonts w:hAnsi="Times New Roman"/>
          <w:color w:val="auto"/>
        </w:rPr>
        <w:t>—</w:t>
      </w:r>
      <w:r w:rsidRPr="00FC1444">
        <w:rPr>
          <w:rFonts w:hAnsi="Times New Roman"/>
          <w:color w:val="auto"/>
        </w:rPr>
        <w:t>在</w:t>
      </w:r>
      <w:r w:rsidRPr="00FC1444">
        <w:rPr>
          <w:rFonts w:hAnsi="Times New Roman"/>
          <w:color w:val="auto"/>
        </w:rPr>
        <w:t>T</w:t>
      </w:r>
      <w:r w:rsidRPr="00FC1444">
        <w:rPr>
          <w:rFonts w:hAnsi="Times New Roman"/>
          <w:color w:val="auto"/>
        </w:rPr>
        <w:t>时间内</w:t>
      </w:r>
      <w:r w:rsidRPr="00FC1444">
        <w:rPr>
          <w:rFonts w:hAnsi="Times New Roman"/>
          <w:color w:val="auto"/>
        </w:rPr>
        <w:t>j</w:t>
      </w:r>
      <w:r w:rsidRPr="00FC1444">
        <w:rPr>
          <w:rFonts w:hAnsi="Times New Roman"/>
          <w:color w:val="auto"/>
        </w:rPr>
        <w:t>声源工作时间，</w:t>
      </w:r>
      <w:r w:rsidRPr="00FC1444">
        <w:rPr>
          <w:rFonts w:hAnsi="Times New Roman"/>
          <w:color w:val="auto"/>
        </w:rPr>
        <w:t>s</w:t>
      </w:r>
      <w:r w:rsidRPr="00FC1444">
        <w:rPr>
          <w:rFonts w:hAnsi="Times New Roman"/>
          <w:color w:val="auto"/>
        </w:rPr>
        <w:t>。</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5.2.3.3</w:t>
      </w:r>
      <w:r w:rsidRPr="00FC1444">
        <w:rPr>
          <w:rFonts w:eastAsiaTheme="minorEastAsia"/>
          <w:b/>
          <w:sz w:val="24"/>
        </w:rPr>
        <w:t>预测结果</w:t>
      </w:r>
    </w:p>
    <w:p w:rsidR="002A5A5E" w:rsidRPr="00FC1444" w:rsidRDefault="00611CBA">
      <w:pPr>
        <w:pStyle w:val="aff4"/>
        <w:adjustRightInd/>
        <w:snapToGrid/>
        <w:rPr>
          <w:rFonts w:ascii="Times New Roman" w:hAnsi="Times New Roman" w:cs="Times New Roman"/>
          <w:snapToGrid w:val="0"/>
        </w:rPr>
      </w:pPr>
      <w:r w:rsidRPr="00FC1444">
        <w:rPr>
          <w:rFonts w:ascii="Times New Roman" w:hAnsi="Times New Roman" w:cs="Times New Roman"/>
          <w:lang w:val="zh-CN"/>
        </w:rPr>
        <w:t>本次选取</w:t>
      </w:r>
      <w:r w:rsidR="003E2A9F" w:rsidRPr="00FC1444">
        <w:rPr>
          <w:rFonts w:ascii="Times New Roman" w:hAnsi="Times New Roman" w:cs="Times New Roman"/>
          <w:lang w:val="zh-CN"/>
        </w:rPr>
        <w:t>1</w:t>
      </w:r>
      <w:r w:rsidRPr="00FC1444">
        <w:rPr>
          <w:rFonts w:ascii="Times New Roman" w:hAnsi="Times New Roman" w:cs="Times New Roman"/>
          <w:lang w:val="zh-CN"/>
        </w:rPr>
        <w:t>口距离周围村屯（</w:t>
      </w:r>
      <w:r w:rsidR="007E1FA8" w:rsidRPr="00FC1444">
        <w:rPr>
          <w:rFonts w:ascii="Times New Roman" w:hAnsi="Times New Roman" w:cs="Times New Roman" w:hint="eastAsia"/>
          <w:szCs w:val="21"/>
        </w:rPr>
        <w:t>刘家</w:t>
      </w:r>
      <w:r w:rsidR="007E1FA8" w:rsidRPr="00FC1444">
        <w:rPr>
          <w:rFonts w:ascii="Times New Roman" w:hAnsi="Times New Roman" w:cs="Times New Roman"/>
          <w:szCs w:val="21"/>
        </w:rPr>
        <w:t>沟</w:t>
      </w:r>
      <w:r w:rsidRPr="00FC1444">
        <w:rPr>
          <w:rFonts w:ascii="Times New Roman" w:hAnsi="Times New Roman" w:cs="Times New Roman"/>
          <w:lang w:val="zh-CN"/>
        </w:rPr>
        <w:t>）最近的机电井</w:t>
      </w:r>
      <w:r w:rsidRPr="00FC1444">
        <w:rPr>
          <w:rFonts w:ascii="Times New Roman" w:hAnsi="Times New Roman" w:cs="Times New Roman"/>
          <w:lang w:val="zh-CN"/>
        </w:rPr>
        <w:t>-</w:t>
      </w:r>
      <w:r w:rsidR="007E1FA8" w:rsidRPr="00FC1444">
        <w:rPr>
          <w:rFonts w:ascii="Times New Roman" w:hAnsi="Times New Roman" w:cs="Times New Roman" w:hint="eastAsia"/>
          <w:lang w:val="zh-CN"/>
        </w:rPr>
        <w:t>80</w:t>
      </w:r>
      <w:r w:rsidRPr="00FC1444">
        <w:rPr>
          <w:rFonts w:ascii="Times New Roman" w:hAnsi="Times New Roman" w:cs="Times New Roman"/>
        </w:rPr>
        <w:t>及</w:t>
      </w:r>
      <w:r w:rsidR="003E2A9F" w:rsidRPr="00FC1444">
        <w:rPr>
          <w:rFonts w:ascii="Times New Roman" w:hAnsi="Times New Roman" w:cs="Times New Roman"/>
          <w:lang w:val="zh-CN"/>
        </w:rPr>
        <w:t>1</w:t>
      </w:r>
      <w:r w:rsidRPr="00FC1444">
        <w:rPr>
          <w:rFonts w:ascii="Times New Roman" w:hAnsi="Times New Roman" w:cs="Times New Roman"/>
          <w:lang w:val="zh-CN"/>
        </w:rPr>
        <w:t>口距离周围村屯（</w:t>
      </w:r>
      <w:r w:rsidR="007E1FA8" w:rsidRPr="00FC1444">
        <w:rPr>
          <w:rFonts w:ascii="Times New Roman" w:hAnsi="Times New Roman" w:cs="Times New Roman" w:hint="eastAsia"/>
        </w:rPr>
        <w:t>张</w:t>
      </w:r>
      <w:r w:rsidR="007E1FA8" w:rsidRPr="00FC1444">
        <w:rPr>
          <w:rFonts w:ascii="Times New Roman" w:hAnsi="Times New Roman" w:cs="Times New Roman"/>
        </w:rPr>
        <w:t>家窝棚</w:t>
      </w:r>
      <w:r w:rsidRPr="00FC1444">
        <w:rPr>
          <w:rFonts w:ascii="Times New Roman" w:hAnsi="Times New Roman" w:cs="Times New Roman"/>
          <w:lang w:val="zh-CN"/>
        </w:rPr>
        <w:t>）最近的</w:t>
      </w:r>
      <w:r w:rsidR="003E2A9F" w:rsidRPr="00FC1444">
        <w:rPr>
          <w:rFonts w:ascii="Times New Roman" w:hAnsi="Times New Roman" w:cs="Times New Roman"/>
        </w:rPr>
        <w:t>滴灌</w:t>
      </w:r>
      <w:r w:rsidRPr="00FC1444">
        <w:rPr>
          <w:rFonts w:ascii="Times New Roman" w:hAnsi="Times New Roman" w:cs="Times New Roman"/>
        </w:rPr>
        <w:t>井</w:t>
      </w:r>
      <w:r w:rsidRPr="00FC1444">
        <w:rPr>
          <w:rFonts w:ascii="Times New Roman" w:hAnsi="Times New Roman" w:cs="Times New Roman"/>
        </w:rPr>
        <w:t>-</w:t>
      </w:r>
      <w:r w:rsidR="007E1FA8" w:rsidRPr="00FC1444">
        <w:rPr>
          <w:rFonts w:ascii="Times New Roman" w:hAnsi="Times New Roman" w:cs="Times New Roman" w:hint="eastAsia"/>
        </w:rPr>
        <w:t>9</w:t>
      </w:r>
      <w:r w:rsidR="007E1FA8" w:rsidRPr="00FC1444">
        <w:rPr>
          <w:rFonts w:ascii="Times New Roman" w:hAnsi="Times New Roman" w:cs="Times New Roman"/>
        </w:rPr>
        <w:t>（</w:t>
      </w:r>
      <w:r w:rsidRPr="00FC1444">
        <w:rPr>
          <w:rFonts w:ascii="Times New Roman" w:hAnsi="Times New Roman" w:cs="Times New Roman"/>
        </w:rPr>
        <w:t>水肥一体</w:t>
      </w:r>
      <w:r w:rsidR="007E1FA8" w:rsidRPr="00FC1444">
        <w:rPr>
          <w:rFonts w:ascii="MS Mincho" w:eastAsia="MS Mincho" w:hAnsi="MS Mincho" w:cs="MS Mincho"/>
        </w:rPr>
        <w:t>化</w:t>
      </w:r>
      <w:r w:rsidRPr="00FC1444">
        <w:rPr>
          <w:rFonts w:ascii="Times New Roman" w:hAnsi="Times New Roman" w:cs="Times New Roman"/>
        </w:rPr>
        <w:t>）进行预测，</w:t>
      </w:r>
      <w:r w:rsidRPr="00FC1444">
        <w:rPr>
          <w:rFonts w:ascii="Times New Roman" w:hAnsi="Times New Roman" w:cs="Times New Roman"/>
          <w:snapToGrid w:val="0"/>
        </w:rPr>
        <w:t>噪声</w:t>
      </w:r>
      <w:r w:rsidRPr="00FC1444">
        <w:rPr>
          <w:rFonts w:ascii="Times New Roman" w:hAnsi="Times New Roman" w:cs="Times New Roman"/>
          <w:iCs/>
          <w:snapToGrid w:val="0"/>
        </w:rPr>
        <w:t>预测结果见下表</w:t>
      </w:r>
      <w:r w:rsidRPr="00FC1444">
        <w:rPr>
          <w:rFonts w:ascii="Times New Roman" w:hAnsi="Times New Roman" w:cs="Times New Roman"/>
          <w:snapToGrid w:val="0"/>
        </w:rPr>
        <w:t>。</w:t>
      </w:r>
    </w:p>
    <w:p w:rsidR="002A5A5E" w:rsidRPr="00FC1444" w:rsidRDefault="00611CBA">
      <w:pPr>
        <w:contextualSpacing/>
        <w:jc w:val="center"/>
        <w:rPr>
          <w:rFonts w:eastAsiaTheme="minorEastAsia"/>
          <w:snapToGrid w:val="0"/>
          <w:sz w:val="24"/>
        </w:rPr>
      </w:pPr>
      <w:r w:rsidRPr="00FC1444">
        <w:rPr>
          <w:rFonts w:eastAsiaTheme="minorEastAsia"/>
          <w:b/>
          <w:kern w:val="0"/>
          <w:szCs w:val="21"/>
        </w:rPr>
        <w:t>表</w:t>
      </w:r>
      <w:r w:rsidRPr="00FC1444">
        <w:rPr>
          <w:rFonts w:eastAsiaTheme="minorEastAsia"/>
          <w:b/>
          <w:kern w:val="0"/>
          <w:szCs w:val="21"/>
        </w:rPr>
        <w:t>5-2-5</w:t>
      </w:r>
      <w:r w:rsidRPr="00FC1444">
        <w:rPr>
          <w:rFonts w:eastAsiaTheme="minorEastAsia"/>
          <w:b/>
          <w:kern w:val="0"/>
          <w:szCs w:val="21"/>
        </w:rPr>
        <w:t>机电井井房昼夜噪声预测结果</w:t>
      </w:r>
      <w:r w:rsidRPr="00FC1444">
        <w:rPr>
          <w:rFonts w:eastAsiaTheme="minorEastAsia"/>
          <w:b/>
          <w:kern w:val="0"/>
          <w:szCs w:val="21"/>
        </w:rPr>
        <w:t xml:space="preserve">    </w:t>
      </w:r>
      <w:r w:rsidRPr="00FC1444">
        <w:rPr>
          <w:rFonts w:eastAsiaTheme="minorEastAsia"/>
          <w:b/>
          <w:kern w:val="0"/>
          <w:szCs w:val="21"/>
        </w:rPr>
        <w:t>单位：</w:t>
      </w:r>
      <w:r w:rsidRPr="00FC1444">
        <w:rPr>
          <w:rFonts w:eastAsiaTheme="minorEastAsia"/>
          <w:b/>
          <w:kern w:val="0"/>
          <w:szCs w:val="21"/>
        </w:rPr>
        <w:t>dB(A)</w:t>
      </w:r>
    </w:p>
    <w:tbl>
      <w:tblPr>
        <w:tblW w:w="8231"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1543"/>
        <w:gridCol w:w="1689"/>
        <w:gridCol w:w="1689"/>
        <w:gridCol w:w="1689"/>
        <w:gridCol w:w="1621"/>
      </w:tblGrid>
      <w:tr w:rsidR="002A5A5E" w:rsidRPr="00FC1444">
        <w:trPr>
          <w:trHeight w:val="73"/>
        </w:trPr>
        <w:tc>
          <w:tcPr>
            <w:tcW w:w="1543" w:type="dxa"/>
            <w:vMerge w:val="restart"/>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预测指标</w:t>
            </w:r>
          </w:p>
        </w:tc>
        <w:tc>
          <w:tcPr>
            <w:tcW w:w="1689"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厂界东</w:t>
            </w:r>
          </w:p>
        </w:tc>
        <w:tc>
          <w:tcPr>
            <w:tcW w:w="1689"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厂界南</w:t>
            </w:r>
          </w:p>
        </w:tc>
        <w:tc>
          <w:tcPr>
            <w:tcW w:w="1689"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厂界西</w:t>
            </w:r>
          </w:p>
        </w:tc>
        <w:tc>
          <w:tcPr>
            <w:tcW w:w="1621"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厂界北</w:t>
            </w:r>
          </w:p>
        </w:tc>
      </w:tr>
      <w:tr w:rsidR="002A5A5E" w:rsidRPr="00FC1444">
        <w:trPr>
          <w:trHeight w:val="191"/>
        </w:trPr>
        <w:tc>
          <w:tcPr>
            <w:tcW w:w="1543" w:type="dxa"/>
            <w:vMerge/>
            <w:vAlign w:val="center"/>
          </w:tcPr>
          <w:p w:rsidR="002A5A5E" w:rsidRPr="00FC1444" w:rsidRDefault="002A5A5E">
            <w:pPr>
              <w:ind w:firstLineChars="12" w:firstLine="25"/>
              <w:jc w:val="center"/>
              <w:rPr>
                <w:rFonts w:eastAsiaTheme="minorEastAsia"/>
                <w:kern w:val="0"/>
                <w:szCs w:val="21"/>
              </w:rPr>
            </w:pPr>
          </w:p>
        </w:tc>
        <w:tc>
          <w:tcPr>
            <w:tcW w:w="1689"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昼间</w:t>
            </w:r>
          </w:p>
        </w:tc>
        <w:tc>
          <w:tcPr>
            <w:tcW w:w="1689"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昼间</w:t>
            </w:r>
          </w:p>
        </w:tc>
        <w:tc>
          <w:tcPr>
            <w:tcW w:w="1689"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昼间</w:t>
            </w:r>
          </w:p>
        </w:tc>
        <w:tc>
          <w:tcPr>
            <w:tcW w:w="1621"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昼间</w:t>
            </w:r>
          </w:p>
        </w:tc>
      </w:tr>
      <w:tr w:rsidR="002A5A5E" w:rsidRPr="00FC1444">
        <w:trPr>
          <w:trHeight w:val="141"/>
        </w:trPr>
        <w:tc>
          <w:tcPr>
            <w:tcW w:w="1543" w:type="dxa"/>
            <w:vAlign w:val="center"/>
          </w:tcPr>
          <w:p w:rsidR="002A5A5E" w:rsidRPr="00FC1444" w:rsidRDefault="00611CBA">
            <w:pPr>
              <w:ind w:firstLineChars="100" w:firstLine="210"/>
              <w:jc w:val="center"/>
              <w:rPr>
                <w:rFonts w:eastAsiaTheme="minorEastAsia"/>
                <w:kern w:val="0"/>
                <w:szCs w:val="21"/>
              </w:rPr>
            </w:pPr>
            <w:r w:rsidRPr="00FC1444">
              <w:rPr>
                <w:rFonts w:eastAsiaTheme="minorEastAsia"/>
                <w:kern w:val="0"/>
                <w:szCs w:val="21"/>
              </w:rPr>
              <w:t>贡献值</w:t>
            </w:r>
          </w:p>
        </w:tc>
        <w:tc>
          <w:tcPr>
            <w:tcW w:w="1689" w:type="dxa"/>
            <w:vAlign w:val="center"/>
          </w:tcPr>
          <w:p w:rsidR="002A5A5E" w:rsidRPr="00FC1444" w:rsidRDefault="00047161" w:rsidP="00545139">
            <w:pPr>
              <w:jc w:val="center"/>
              <w:rPr>
                <w:rFonts w:eastAsiaTheme="minorEastAsia"/>
                <w:kern w:val="0"/>
                <w:szCs w:val="21"/>
              </w:rPr>
            </w:pPr>
            <w:r w:rsidRPr="00FC1444">
              <w:rPr>
                <w:rFonts w:eastAsiaTheme="minorEastAsia" w:hint="eastAsia"/>
                <w:kern w:val="0"/>
                <w:szCs w:val="21"/>
              </w:rPr>
              <w:t>27</w:t>
            </w:r>
          </w:p>
        </w:tc>
        <w:tc>
          <w:tcPr>
            <w:tcW w:w="1689" w:type="dxa"/>
            <w:vAlign w:val="center"/>
          </w:tcPr>
          <w:p w:rsidR="002A5A5E" w:rsidRPr="00FC1444" w:rsidRDefault="00047161">
            <w:pPr>
              <w:jc w:val="center"/>
              <w:rPr>
                <w:rFonts w:eastAsiaTheme="minorEastAsia"/>
                <w:kern w:val="0"/>
                <w:szCs w:val="21"/>
              </w:rPr>
            </w:pPr>
            <w:r w:rsidRPr="00FC1444">
              <w:rPr>
                <w:rFonts w:eastAsiaTheme="minorEastAsia" w:hint="eastAsia"/>
                <w:kern w:val="0"/>
                <w:szCs w:val="21"/>
              </w:rPr>
              <w:t>35</w:t>
            </w:r>
          </w:p>
        </w:tc>
        <w:tc>
          <w:tcPr>
            <w:tcW w:w="1689" w:type="dxa"/>
            <w:vAlign w:val="center"/>
          </w:tcPr>
          <w:p w:rsidR="002A5A5E" w:rsidRPr="00FC1444" w:rsidRDefault="00047161">
            <w:pPr>
              <w:jc w:val="center"/>
              <w:rPr>
                <w:rFonts w:eastAsiaTheme="minorEastAsia"/>
                <w:kern w:val="0"/>
                <w:szCs w:val="21"/>
              </w:rPr>
            </w:pPr>
            <w:r w:rsidRPr="00FC1444">
              <w:rPr>
                <w:rFonts w:eastAsiaTheme="minorEastAsia" w:hint="eastAsia"/>
                <w:kern w:val="0"/>
                <w:szCs w:val="21"/>
              </w:rPr>
              <w:t>36</w:t>
            </w:r>
          </w:p>
        </w:tc>
        <w:tc>
          <w:tcPr>
            <w:tcW w:w="1621" w:type="dxa"/>
            <w:vAlign w:val="center"/>
          </w:tcPr>
          <w:p w:rsidR="002A5A5E" w:rsidRPr="00FC1444" w:rsidRDefault="00047161" w:rsidP="005C57FA">
            <w:pPr>
              <w:jc w:val="center"/>
              <w:rPr>
                <w:rFonts w:eastAsiaTheme="minorEastAsia"/>
                <w:kern w:val="0"/>
                <w:szCs w:val="21"/>
              </w:rPr>
            </w:pPr>
            <w:r w:rsidRPr="00FC1444">
              <w:rPr>
                <w:rFonts w:eastAsiaTheme="minorEastAsia" w:hint="eastAsia"/>
                <w:kern w:val="0"/>
                <w:szCs w:val="21"/>
              </w:rPr>
              <w:t>41</w:t>
            </w:r>
          </w:p>
        </w:tc>
      </w:tr>
      <w:tr w:rsidR="002A5A5E" w:rsidRPr="00FC1444">
        <w:trPr>
          <w:trHeight w:val="47"/>
        </w:trPr>
        <w:tc>
          <w:tcPr>
            <w:tcW w:w="1543" w:type="dxa"/>
          </w:tcPr>
          <w:p w:rsidR="002A5A5E" w:rsidRPr="00FC1444" w:rsidRDefault="00611CBA">
            <w:pPr>
              <w:ind w:firstLineChars="62" w:firstLine="130"/>
              <w:jc w:val="center"/>
              <w:rPr>
                <w:rFonts w:eastAsiaTheme="minorEastAsia"/>
                <w:kern w:val="0"/>
                <w:szCs w:val="21"/>
              </w:rPr>
            </w:pPr>
            <w:r w:rsidRPr="00FC1444">
              <w:rPr>
                <w:rFonts w:eastAsiaTheme="minorEastAsia"/>
                <w:kern w:val="0"/>
                <w:szCs w:val="21"/>
              </w:rPr>
              <w:t>标准限值</w:t>
            </w:r>
          </w:p>
        </w:tc>
        <w:tc>
          <w:tcPr>
            <w:tcW w:w="6688" w:type="dxa"/>
            <w:gridSpan w:val="4"/>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昼：</w:t>
            </w:r>
            <w:r w:rsidRPr="00FC1444">
              <w:rPr>
                <w:rFonts w:eastAsiaTheme="minorEastAsia"/>
                <w:kern w:val="0"/>
                <w:szCs w:val="21"/>
              </w:rPr>
              <w:t>55</w:t>
            </w:r>
            <w:r w:rsidRPr="00FC1444">
              <w:rPr>
                <w:rFonts w:eastAsiaTheme="minorEastAsia"/>
                <w:kern w:val="0"/>
                <w:szCs w:val="21"/>
              </w:rPr>
              <w:t>，夜：</w:t>
            </w:r>
            <w:r w:rsidRPr="00FC1444">
              <w:rPr>
                <w:rFonts w:eastAsiaTheme="minorEastAsia"/>
                <w:kern w:val="0"/>
                <w:szCs w:val="21"/>
              </w:rPr>
              <w:t>45</w:t>
            </w:r>
          </w:p>
        </w:tc>
      </w:tr>
    </w:tbl>
    <w:p w:rsidR="002A5A5E" w:rsidRPr="00FC1444" w:rsidRDefault="00611CBA">
      <w:pPr>
        <w:contextualSpacing/>
        <w:jc w:val="center"/>
        <w:rPr>
          <w:rFonts w:eastAsiaTheme="minorEastAsia"/>
          <w:b/>
          <w:kern w:val="0"/>
          <w:szCs w:val="21"/>
        </w:rPr>
      </w:pPr>
      <w:r w:rsidRPr="00FC1444">
        <w:rPr>
          <w:rFonts w:eastAsiaTheme="minorEastAsia"/>
          <w:b/>
          <w:kern w:val="0"/>
          <w:szCs w:val="21"/>
        </w:rPr>
        <w:t xml:space="preserve">  </w:t>
      </w:r>
      <w:r w:rsidRPr="00FC1444">
        <w:rPr>
          <w:rFonts w:eastAsiaTheme="minorEastAsia"/>
          <w:b/>
          <w:kern w:val="0"/>
          <w:szCs w:val="21"/>
        </w:rPr>
        <w:t>表</w:t>
      </w:r>
      <w:r w:rsidRPr="00FC1444">
        <w:rPr>
          <w:rFonts w:eastAsiaTheme="minorEastAsia"/>
          <w:b/>
          <w:kern w:val="0"/>
          <w:szCs w:val="21"/>
        </w:rPr>
        <w:t xml:space="preserve">5-2-6 </w:t>
      </w:r>
      <w:r w:rsidRPr="00FC1444">
        <w:rPr>
          <w:rFonts w:eastAsiaTheme="minorEastAsia"/>
          <w:b/>
          <w:kern w:val="0"/>
          <w:szCs w:val="21"/>
        </w:rPr>
        <w:t>距离机电井井房最近敏感点噪声预测结果</w:t>
      </w:r>
      <w:r w:rsidRPr="00FC1444">
        <w:rPr>
          <w:rFonts w:eastAsiaTheme="minorEastAsia"/>
          <w:b/>
          <w:kern w:val="0"/>
          <w:szCs w:val="21"/>
        </w:rPr>
        <w:t xml:space="preserve">    </w:t>
      </w:r>
      <w:r w:rsidRPr="00FC1444">
        <w:rPr>
          <w:rFonts w:eastAsiaTheme="minorEastAsia"/>
          <w:b/>
          <w:kern w:val="0"/>
          <w:szCs w:val="21"/>
        </w:rPr>
        <w:t>单位：</w:t>
      </w:r>
      <w:r w:rsidRPr="00FC1444">
        <w:rPr>
          <w:rFonts w:eastAsiaTheme="minorEastAsia"/>
          <w:b/>
          <w:kern w:val="0"/>
          <w:szCs w:val="21"/>
        </w:rPr>
        <w:t>dB</w:t>
      </w:r>
      <w:r w:rsidRPr="00FC1444">
        <w:rPr>
          <w:rFonts w:eastAsiaTheme="minorEastAsia"/>
          <w:b/>
          <w:kern w:val="0"/>
          <w:szCs w:val="21"/>
        </w:rPr>
        <w:t>（</w:t>
      </w:r>
      <w:r w:rsidRPr="00FC1444">
        <w:rPr>
          <w:rFonts w:eastAsiaTheme="minorEastAsia"/>
          <w:b/>
          <w:kern w:val="0"/>
          <w:szCs w:val="21"/>
        </w:rPr>
        <w:t>A</w:t>
      </w:r>
      <w:r w:rsidRPr="00FC1444">
        <w:rPr>
          <w:rFonts w:eastAsiaTheme="minorEastAsia"/>
          <w:b/>
          <w:kern w:val="0"/>
          <w:szCs w:val="21"/>
        </w:rPr>
        <w:t>）</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080"/>
        <w:gridCol w:w="1780"/>
        <w:gridCol w:w="1554"/>
        <w:gridCol w:w="1554"/>
        <w:gridCol w:w="1554"/>
      </w:tblGrid>
      <w:tr w:rsidR="002A5A5E" w:rsidRPr="00FC1444">
        <w:trPr>
          <w:trHeight w:val="84"/>
          <w:jc w:val="center"/>
        </w:trPr>
        <w:tc>
          <w:tcPr>
            <w:tcW w:w="1220" w:type="pct"/>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预测点位</w:t>
            </w:r>
          </w:p>
        </w:tc>
        <w:tc>
          <w:tcPr>
            <w:tcW w:w="1044" w:type="pct"/>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预测时段</w:t>
            </w:r>
          </w:p>
        </w:tc>
        <w:tc>
          <w:tcPr>
            <w:tcW w:w="912" w:type="pct"/>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贡献值</w:t>
            </w:r>
          </w:p>
        </w:tc>
        <w:tc>
          <w:tcPr>
            <w:tcW w:w="912" w:type="pct"/>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背景值</w:t>
            </w:r>
          </w:p>
        </w:tc>
        <w:tc>
          <w:tcPr>
            <w:tcW w:w="912" w:type="pct"/>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预测值</w:t>
            </w:r>
          </w:p>
        </w:tc>
      </w:tr>
      <w:tr w:rsidR="00B5448F" w:rsidRPr="00FC1444">
        <w:trPr>
          <w:trHeight w:val="151"/>
          <w:jc w:val="center"/>
        </w:trPr>
        <w:tc>
          <w:tcPr>
            <w:tcW w:w="1220" w:type="pct"/>
            <w:vMerge w:val="restart"/>
            <w:shd w:val="clear" w:color="auto" w:fill="auto"/>
            <w:vAlign w:val="center"/>
          </w:tcPr>
          <w:p w:rsidR="00B5448F" w:rsidRPr="00FC1444" w:rsidRDefault="00B5448F">
            <w:pPr>
              <w:jc w:val="center"/>
              <w:rPr>
                <w:rFonts w:eastAsiaTheme="minorEastAsia"/>
                <w:bCs/>
                <w:kern w:val="0"/>
                <w:szCs w:val="21"/>
              </w:rPr>
            </w:pPr>
            <w:r w:rsidRPr="00FC1444">
              <w:rPr>
                <w:rFonts w:eastAsiaTheme="minorEastAsia"/>
                <w:szCs w:val="21"/>
              </w:rPr>
              <w:t>刘家沟</w:t>
            </w:r>
          </w:p>
        </w:tc>
        <w:tc>
          <w:tcPr>
            <w:tcW w:w="1044" w:type="pct"/>
            <w:shd w:val="clear" w:color="auto" w:fill="auto"/>
            <w:vAlign w:val="center"/>
          </w:tcPr>
          <w:p w:rsidR="00B5448F" w:rsidRPr="00FC1444" w:rsidRDefault="00B5448F">
            <w:pPr>
              <w:spacing w:line="0" w:lineRule="atLeast"/>
              <w:jc w:val="center"/>
              <w:rPr>
                <w:rFonts w:eastAsiaTheme="minorEastAsia"/>
                <w:szCs w:val="21"/>
              </w:rPr>
            </w:pPr>
            <w:r w:rsidRPr="00FC1444">
              <w:rPr>
                <w:rFonts w:eastAsiaTheme="minorEastAsia"/>
                <w:szCs w:val="21"/>
              </w:rPr>
              <w:t>昼</w:t>
            </w:r>
          </w:p>
        </w:tc>
        <w:tc>
          <w:tcPr>
            <w:tcW w:w="912" w:type="pct"/>
            <w:shd w:val="clear" w:color="auto" w:fill="auto"/>
            <w:vAlign w:val="center"/>
          </w:tcPr>
          <w:p w:rsidR="00B5448F" w:rsidRPr="00FC1444" w:rsidRDefault="00047161" w:rsidP="00D86A2B">
            <w:pPr>
              <w:jc w:val="center"/>
              <w:rPr>
                <w:rFonts w:eastAsiaTheme="minorEastAsia"/>
                <w:szCs w:val="21"/>
              </w:rPr>
            </w:pPr>
            <w:r w:rsidRPr="00FC1444">
              <w:rPr>
                <w:rFonts w:eastAsiaTheme="minorEastAsia" w:hint="eastAsia"/>
                <w:szCs w:val="21"/>
              </w:rPr>
              <w:t>10</w:t>
            </w:r>
          </w:p>
        </w:tc>
        <w:tc>
          <w:tcPr>
            <w:tcW w:w="912" w:type="pct"/>
            <w:vAlign w:val="center"/>
          </w:tcPr>
          <w:p w:rsidR="00B5448F" w:rsidRPr="00FC1444" w:rsidRDefault="00B5448F">
            <w:pPr>
              <w:jc w:val="center"/>
              <w:rPr>
                <w:rFonts w:eastAsiaTheme="minorEastAsia"/>
                <w:szCs w:val="21"/>
              </w:rPr>
            </w:pPr>
            <w:r w:rsidRPr="00FC1444">
              <w:rPr>
                <w:rFonts w:eastAsiaTheme="minorEastAsia" w:hint="eastAsia"/>
                <w:szCs w:val="21"/>
              </w:rPr>
              <w:t>50</w:t>
            </w:r>
          </w:p>
        </w:tc>
        <w:tc>
          <w:tcPr>
            <w:tcW w:w="912" w:type="pct"/>
            <w:vAlign w:val="center"/>
          </w:tcPr>
          <w:p w:rsidR="00B5448F" w:rsidRPr="00FC1444" w:rsidRDefault="00047161" w:rsidP="001E7596">
            <w:pPr>
              <w:jc w:val="center"/>
              <w:rPr>
                <w:rFonts w:eastAsiaTheme="minorEastAsia"/>
                <w:szCs w:val="21"/>
              </w:rPr>
            </w:pPr>
            <w:r w:rsidRPr="00FC1444">
              <w:rPr>
                <w:rFonts w:eastAsiaTheme="minorEastAsia" w:hint="eastAsia"/>
                <w:szCs w:val="21"/>
              </w:rPr>
              <w:t>50</w:t>
            </w:r>
          </w:p>
        </w:tc>
      </w:tr>
      <w:tr w:rsidR="00B5448F" w:rsidRPr="00FC1444">
        <w:trPr>
          <w:trHeight w:val="151"/>
          <w:jc w:val="center"/>
        </w:trPr>
        <w:tc>
          <w:tcPr>
            <w:tcW w:w="1220" w:type="pct"/>
            <w:vMerge/>
            <w:shd w:val="clear" w:color="auto" w:fill="auto"/>
            <w:vAlign w:val="center"/>
          </w:tcPr>
          <w:p w:rsidR="00B5448F" w:rsidRPr="00FC1444" w:rsidRDefault="00B5448F">
            <w:pPr>
              <w:jc w:val="center"/>
              <w:rPr>
                <w:rFonts w:eastAsiaTheme="minorEastAsia"/>
                <w:szCs w:val="21"/>
              </w:rPr>
            </w:pPr>
          </w:p>
        </w:tc>
        <w:tc>
          <w:tcPr>
            <w:tcW w:w="1044" w:type="pct"/>
            <w:shd w:val="clear" w:color="auto" w:fill="auto"/>
            <w:vAlign w:val="center"/>
          </w:tcPr>
          <w:p w:rsidR="00B5448F" w:rsidRPr="00FC1444" w:rsidRDefault="00B5448F">
            <w:pPr>
              <w:spacing w:line="0" w:lineRule="atLeast"/>
              <w:jc w:val="center"/>
              <w:rPr>
                <w:rFonts w:eastAsiaTheme="minorEastAsia"/>
                <w:szCs w:val="21"/>
              </w:rPr>
            </w:pPr>
            <w:r w:rsidRPr="00FC1444">
              <w:rPr>
                <w:rFonts w:eastAsiaTheme="minorEastAsia"/>
                <w:szCs w:val="21"/>
              </w:rPr>
              <w:t>夜</w:t>
            </w:r>
          </w:p>
        </w:tc>
        <w:tc>
          <w:tcPr>
            <w:tcW w:w="912" w:type="pct"/>
            <w:shd w:val="clear" w:color="auto" w:fill="auto"/>
            <w:vAlign w:val="center"/>
          </w:tcPr>
          <w:p w:rsidR="00B5448F" w:rsidRPr="00FC1444" w:rsidRDefault="00047161" w:rsidP="00D86A2B">
            <w:pPr>
              <w:jc w:val="center"/>
              <w:rPr>
                <w:rFonts w:eastAsiaTheme="minorEastAsia"/>
                <w:szCs w:val="21"/>
              </w:rPr>
            </w:pPr>
            <w:r w:rsidRPr="00FC1444">
              <w:rPr>
                <w:rFonts w:eastAsiaTheme="minorEastAsia" w:hint="eastAsia"/>
                <w:szCs w:val="21"/>
              </w:rPr>
              <w:t>10</w:t>
            </w:r>
          </w:p>
        </w:tc>
        <w:tc>
          <w:tcPr>
            <w:tcW w:w="912" w:type="pct"/>
            <w:vAlign w:val="center"/>
          </w:tcPr>
          <w:p w:rsidR="00B5448F" w:rsidRPr="00FC1444" w:rsidRDefault="00B5448F">
            <w:pPr>
              <w:jc w:val="center"/>
              <w:rPr>
                <w:rFonts w:eastAsiaTheme="minorEastAsia"/>
                <w:szCs w:val="21"/>
              </w:rPr>
            </w:pPr>
            <w:r w:rsidRPr="00FC1444">
              <w:rPr>
                <w:rFonts w:eastAsiaTheme="minorEastAsia" w:hint="eastAsia"/>
                <w:szCs w:val="21"/>
              </w:rPr>
              <w:t>40</w:t>
            </w:r>
          </w:p>
        </w:tc>
        <w:tc>
          <w:tcPr>
            <w:tcW w:w="912" w:type="pct"/>
            <w:vAlign w:val="center"/>
          </w:tcPr>
          <w:p w:rsidR="00B5448F" w:rsidRPr="00FC1444" w:rsidRDefault="00047161" w:rsidP="001E7596">
            <w:pPr>
              <w:jc w:val="center"/>
              <w:rPr>
                <w:rFonts w:eastAsiaTheme="minorEastAsia"/>
                <w:szCs w:val="21"/>
              </w:rPr>
            </w:pPr>
            <w:r w:rsidRPr="00FC1444">
              <w:rPr>
                <w:rFonts w:eastAsiaTheme="minorEastAsia" w:hint="eastAsia"/>
                <w:szCs w:val="21"/>
              </w:rPr>
              <w:t>40</w:t>
            </w:r>
          </w:p>
        </w:tc>
      </w:tr>
    </w:tbl>
    <w:p w:rsidR="00C341EA" w:rsidRPr="00FC1444" w:rsidRDefault="00C341EA">
      <w:pPr>
        <w:contextualSpacing/>
        <w:jc w:val="center"/>
        <w:rPr>
          <w:rFonts w:eastAsiaTheme="minorEastAsia"/>
          <w:b/>
          <w:kern w:val="0"/>
          <w:szCs w:val="21"/>
        </w:rPr>
      </w:pPr>
    </w:p>
    <w:p w:rsidR="002A5A5E" w:rsidRPr="00FC1444" w:rsidRDefault="00611CBA">
      <w:pPr>
        <w:contextualSpacing/>
        <w:jc w:val="center"/>
        <w:rPr>
          <w:rFonts w:eastAsiaTheme="minorEastAsia"/>
          <w:snapToGrid w:val="0"/>
          <w:sz w:val="24"/>
        </w:rPr>
      </w:pPr>
      <w:r w:rsidRPr="00FC1444">
        <w:rPr>
          <w:rFonts w:eastAsiaTheme="minorEastAsia"/>
          <w:b/>
          <w:kern w:val="0"/>
          <w:szCs w:val="21"/>
        </w:rPr>
        <w:lastRenderedPageBreak/>
        <w:t>表</w:t>
      </w:r>
      <w:r w:rsidRPr="00FC1444">
        <w:rPr>
          <w:rFonts w:eastAsiaTheme="minorEastAsia"/>
          <w:b/>
          <w:kern w:val="0"/>
          <w:szCs w:val="21"/>
        </w:rPr>
        <w:t>5-2-7</w:t>
      </w:r>
      <w:r w:rsidR="003E2A9F" w:rsidRPr="00FC1444">
        <w:rPr>
          <w:rFonts w:eastAsiaTheme="minorEastAsia"/>
          <w:b/>
          <w:kern w:val="0"/>
          <w:szCs w:val="21"/>
        </w:rPr>
        <w:t>滴灌</w:t>
      </w:r>
      <w:r w:rsidRPr="00FC1444">
        <w:rPr>
          <w:rFonts w:eastAsiaTheme="minorEastAsia"/>
          <w:b/>
          <w:kern w:val="0"/>
          <w:szCs w:val="21"/>
        </w:rPr>
        <w:t>井（含水肥一体）井房昼夜噪声预测结果</w:t>
      </w:r>
      <w:r w:rsidRPr="00FC1444">
        <w:rPr>
          <w:rFonts w:eastAsiaTheme="minorEastAsia"/>
          <w:b/>
          <w:kern w:val="0"/>
          <w:szCs w:val="21"/>
        </w:rPr>
        <w:t xml:space="preserve">    </w:t>
      </w:r>
      <w:r w:rsidRPr="00FC1444">
        <w:rPr>
          <w:rFonts w:eastAsiaTheme="minorEastAsia"/>
          <w:b/>
          <w:kern w:val="0"/>
          <w:szCs w:val="21"/>
        </w:rPr>
        <w:t>单位：</w:t>
      </w:r>
      <w:r w:rsidRPr="00FC1444">
        <w:rPr>
          <w:rFonts w:eastAsiaTheme="minorEastAsia"/>
          <w:b/>
          <w:kern w:val="0"/>
          <w:szCs w:val="21"/>
        </w:rPr>
        <w:t>dB(A)</w:t>
      </w:r>
    </w:p>
    <w:tbl>
      <w:tblPr>
        <w:tblW w:w="8231"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1543"/>
        <w:gridCol w:w="1689"/>
        <w:gridCol w:w="1689"/>
        <w:gridCol w:w="1689"/>
        <w:gridCol w:w="1621"/>
      </w:tblGrid>
      <w:tr w:rsidR="002A5A5E" w:rsidRPr="00FC1444">
        <w:trPr>
          <w:trHeight w:val="295"/>
        </w:trPr>
        <w:tc>
          <w:tcPr>
            <w:tcW w:w="1543" w:type="dxa"/>
            <w:vMerge w:val="restart"/>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预测指标</w:t>
            </w:r>
          </w:p>
        </w:tc>
        <w:tc>
          <w:tcPr>
            <w:tcW w:w="1689"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厂界东</w:t>
            </w:r>
          </w:p>
        </w:tc>
        <w:tc>
          <w:tcPr>
            <w:tcW w:w="1689"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厂界南</w:t>
            </w:r>
          </w:p>
        </w:tc>
        <w:tc>
          <w:tcPr>
            <w:tcW w:w="1689"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厂界西</w:t>
            </w:r>
          </w:p>
        </w:tc>
        <w:tc>
          <w:tcPr>
            <w:tcW w:w="1621"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厂界北</w:t>
            </w:r>
          </w:p>
        </w:tc>
      </w:tr>
      <w:tr w:rsidR="002A5A5E" w:rsidRPr="00FC1444">
        <w:trPr>
          <w:trHeight w:val="191"/>
        </w:trPr>
        <w:tc>
          <w:tcPr>
            <w:tcW w:w="1543" w:type="dxa"/>
            <w:vMerge/>
            <w:vAlign w:val="center"/>
          </w:tcPr>
          <w:p w:rsidR="002A5A5E" w:rsidRPr="00FC1444" w:rsidRDefault="002A5A5E">
            <w:pPr>
              <w:ind w:firstLineChars="12" w:firstLine="25"/>
              <w:jc w:val="center"/>
              <w:rPr>
                <w:rFonts w:eastAsiaTheme="minorEastAsia"/>
                <w:kern w:val="0"/>
                <w:szCs w:val="21"/>
              </w:rPr>
            </w:pPr>
          </w:p>
        </w:tc>
        <w:tc>
          <w:tcPr>
            <w:tcW w:w="1689"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昼间</w:t>
            </w:r>
          </w:p>
        </w:tc>
        <w:tc>
          <w:tcPr>
            <w:tcW w:w="1689"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昼间</w:t>
            </w:r>
          </w:p>
        </w:tc>
        <w:tc>
          <w:tcPr>
            <w:tcW w:w="1689"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昼间</w:t>
            </w:r>
          </w:p>
        </w:tc>
        <w:tc>
          <w:tcPr>
            <w:tcW w:w="1621" w:type="dxa"/>
            <w:vAlign w:val="center"/>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昼间</w:t>
            </w:r>
          </w:p>
        </w:tc>
      </w:tr>
      <w:tr w:rsidR="002A5A5E" w:rsidRPr="00FC1444">
        <w:trPr>
          <w:trHeight w:val="141"/>
        </w:trPr>
        <w:tc>
          <w:tcPr>
            <w:tcW w:w="1543" w:type="dxa"/>
            <w:vAlign w:val="center"/>
          </w:tcPr>
          <w:p w:rsidR="002A5A5E" w:rsidRPr="00FC1444" w:rsidRDefault="00611CBA">
            <w:pPr>
              <w:ind w:firstLineChars="100" w:firstLine="210"/>
              <w:jc w:val="center"/>
              <w:rPr>
                <w:rFonts w:eastAsiaTheme="minorEastAsia"/>
                <w:kern w:val="0"/>
                <w:szCs w:val="21"/>
              </w:rPr>
            </w:pPr>
            <w:r w:rsidRPr="00FC1444">
              <w:rPr>
                <w:rFonts w:eastAsiaTheme="minorEastAsia"/>
                <w:kern w:val="0"/>
                <w:szCs w:val="21"/>
              </w:rPr>
              <w:t>贡献值</w:t>
            </w:r>
          </w:p>
        </w:tc>
        <w:tc>
          <w:tcPr>
            <w:tcW w:w="1689" w:type="dxa"/>
            <w:vAlign w:val="center"/>
          </w:tcPr>
          <w:p w:rsidR="002A5A5E" w:rsidRPr="00FC1444" w:rsidRDefault="000B4216">
            <w:pPr>
              <w:jc w:val="center"/>
              <w:rPr>
                <w:rFonts w:eastAsiaTheme="minorEastAsia"/>
                <w:kern w:val="0"/>
                <w:szCs w:val="21"/>
              </w:rPr>
            </w:pPr>
            <w:r w:rsidRPr="00FC1444">
              <w:rPr>
                <w:rFonts w:eastAsiaTheme="minorEastAsia" w:hint="eastAsia"/>
                <w:kern w:val="0"/>
                <w:szCs w:val="21"/>
              </w:rPr>
              <w:t>43</w:t>
            </w:r>
          </w:p>
        </w:tc>
        <w:tc>
          <w:tcPr>
            <w:tcW w:w="1689" w:type="dxa"/>
            <w:vAlign w:val="center"/>
          </w:tcPr>
          <w:p w:rsidR="002A5A5E" w:rsidRPr="00FC1444" w:rsidRDefault="000B4216" w:rsidP="00545139">
            <w:pPr>
              <w:jc w:val="center"/>
              <w:rPr>
                <w:rFonts w:eastAsiaTheme="minorEastAsia"/>
                <w:kern w:val="0"/>
                <w:szCs w:val="21"/>
              </w:rPr>
            </w:pPr>
            <w:r w:rsidRPr="00FC1444">
              <w:rPr>
                <w:rFonts w:eastAsiaTheme="minorEastAsia" w:hint="eastAsia"/>
                <w:kern w:val="0"/>
                <w:szCs w:val="21"/>
              </w:rPr>
              <w:t>40</w:t>
            </w:r>
          </w:p>
        </w:tc>
        <w:tc>
          <w:tcPr>
            <w:tcW w:w="1689" w:type="dxa"/>
            <w:vAlign w:val="center"/>
          </w:tcPr>
          <w:p w:rsidR="002A5A5E" w:rsidRPr="00FC1444" w:rsidRDefault="000B4216">
            <w:pPr>
              <w:jc w:val="center"/>
              <w:rPr>
                <w:rFonts w:eastAsiaTheme="minorEastAsia"/>
                <w:kern w:val="0"/>
                <w:szCs w:val="21"/>
              </w:rPr>
            </w:pPr>
            <w:r w:rsidRPr="00FC1444">
              <w:rPr>
                <w:rFonts w:eastAsiaTheme="minorEastAsia" w:hint="eastAsia"/>
                <w:kern w:val="0"/>
                <w:szCs w:val="21"/>
              </w:rPr>
              <w:t>42</w:t>
            </w:r>
          </w:p>
        </w:tc>
        <w:tc>
          <w:tcPr>
            <w:tcW w:w="1621" w:type="dxa"/>
            <w:vAlign w:val="center"/>
          </w:tcPr>
          <w:p w:rsidR="002A5A5E" w:rsidRPr="00FC1444" w:rsidRDefault="000B4216">
            <w:pPr>
              <w:jc w:val="center"/>
              <w:rPr>
                <w:rFonts w:eastAsiaTheme="minorEastAsia"/>
                <w:kern w:val="0"/>
                <w:szCs w:val="21"/>
              </w:rPr>
            </w:pPr>
            <w:r w:rsidRPr="00FC1444">
              <w:rPr>
                <w:rFonts w:eastAsiaTheme="minorEastAsia" w:hint="eastAsia"/>
                <w:kern w:val="0"/>
                <w:szCs w:val="21"/>
              </w:rPr>
              <w:t>43</w:t>
            </w:r>
          </w:p>
        </w:tc>
      </w:tr>
      <w:tr w:rsidR="002A5A5E" w:rsidRPr="00FC1444">
        <w:trPr>
          <w:trHeight w:val="47"/>
        </w:trPr>
        <w:tc>
          <w:tcPr>
            <w:tcW w:w="1543" w:type="dxa"/>
          </w:tcPr>
          <w:p w:rsidR="002A5A5E" w:rsidRPr="00FC1444" w:rsidRDefault="00611CBA">
            <w:pPr>
              <w:ind w:firstLineChars="62" w:firstLine="130"/>
              <w:jc w:val="center"/>
              <w:rPr>
                <w:rFonts w:eastAsiaTheme="minorEastAsia"/>
                <w:kern w:val="0"/>
                <w:szCs w:val="21"/>
              </w:rPr>
            </w:pPr>
            <w:r w:rsidRPr="00FC1444">
              <w:rPr>
                <w:rFonts w:eastAsiaTheme="minorEastAsia"/>
                <w:kern w:val="0"/>
                <w:szCs w:val="21"/>
              </w:rPr>
              <w:t>标准限值</w:t>
            </w:r>
          </w:p>
        </w:tc>
        <w:tc>
          <w:tcPr>
            <w:tcW w:w="6688" w:type="dxa"/>
            <w:gridSpan w:val="4"/>
          </w:tcPr>
          <w:p w:rsidR="002A5A5E" w:rsidRPr="00FC1444" w:rsidRDefault="00611CBA">
            <w:pPr>
              <w:ind w:firstLineChars="12" w:firstLine="25"/>
              <w:jc w:val="center"/>
              <w:rPr>
                <w:rFonts w:eastAsiaTheme="minorEastAsia"/>
                <w:kern w:val="0"/>
                <w:szCs w:val="21"/>
              </w:rPr>
            </w:pPr>
            <w:r w:rsidRPr="00FC1444">
              <w:rPr>
                <w:rFonts w:eastAsiaTheme="minorEastAsia"/>
                <w:kern w:val="0"/>
                <w:szCs w:val="21"/>
              </w:rPr>
              <w:t>昼：</w:t>
            </w:r>
            <w:r w:rsidRPr="00FC1444">
              <w:rPr>
                <w:rFonts w:eastAsiaTheme="minorEastAsia"/>
                <w:kern w:val="0"/>
                <w:szCs w:val="21"/>
              </w:rPr>
              <w:t>55</w:t>
            </w:r>
            <w:r w:rsidRPr="00FC1444">
              <w:rPr>
                <w:rFonts w:eastAsiaTheme="minorEastAsia"/>
                <w:kern w:val="0"/>
                <w:szCs w:val="21"/>
              </w:rPr>
              <w:t>，夜：</w:t>
            </w:r>
            <w:r w:rsidRPr="00FC1444">
              <w:rPr>
                <w:rFonts w:eastAsiaTheme="minorEastAsia"/>
                <w:kern w:val="0"/>
                <w:szCs w:val="21"/>
              </w:rPr>
              <w:t>45</w:t>
            </w:r>
          </w:p>
        </w:tc>
      </w:tr>
    </w:tbl>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 xml:space="preserve">5-2-8 </w:t>
      </w:r>
      <w:r w:rsidRPr="00FC1444">
        <w:rPr>
          <w:rFonts w:eastAsiaTheme="minorEastAsia"/>
          <w:b/>
          <w:kern w:val="0"/>
          <w:szCs w:val="21"/>
        </w:rPr>
        <w:t>距离</w:t>
      </w:r>
      <w:r w:rsidR="003E2A9F" w:rsidRPr="00FC1444">
        <w:rPr>
          <w:rFonts w:eastAsiaTheme="minorEastAsia"/>
          <w:b/>
          <w:kern w:val="0"/>
          <w:szCs w:val="21"/>
        </w:rPr>
        <w:t>滴灌</w:t>
      </w:r>
      <w:r w:rsidRPr="00FC1444">
        <w:rPr>
          <w:rFonts w:eastAsiaTheme="minorEastAsia"/>
          <w:b/>
          <w:kern w:val="0"/>
          <w:szCs w:val="21"/>
        </w:rPr>
        <w:t>井（含水肥一体）井房最近敏感点噪声预测结果</w:t>
      </w:r>
      <w:r w:rsidRPr="00FC1444">
        <w:rPr>
          <w:rFonts w:eastAsiaTheme="minorEastAsia"/>
          <w:b/>
          <w:kern w:val="0"/>
          <w:szCs w:val="21"/>
        </w:rPr>
        <w:t xml:space="preserve">  </w:t>
      </w:r>
      <w:r w:rsidRPr="00FC1444">
        <w:rPr>
          <w:rFonts w:eastAsiaTheme="minorEastAsia"/>
          <w:b/>
          <w:kern w:val="0"/>
          <w:szCs w:val="21"/>
        </w:rPr>
        <w:t>单位：</w:t>
      </w:r>
      <w:r w:rsidRPr="00FC1444">
        <w:rPr>
          <w:rFonts w:eastAsiaTheme="minorEastAsia"/>
          <w:b/>
          <w:kern w:val="0"/>
          <w:szCs w:val="21"/>
        </w:rPr>
        <w:t>dB</w:t>
      </w:r>
      <w:r w:rsidRPr="00FC1444">
        <w:rPr>
          <w:rFonts w:eastAsiaTheme="minorEastAsia"/>
          <w:b/>
          <w:kern w:val="0"/>
          <w:szCs w:val="21"/>
        </w:rPr>
        <w:t>（</w:t>
      </w:r>
      <w:r w:rsidRPr="00FC1444">
        <w:rPr>
          <w:rFonts w:eastAsiaTheme="minorEastAsia"/>
          <w:b/>
          <w:kern w:val="0"/>
          <w:szCs w:val="21"/>
        </w:rPr>
        <w:t>A</w:t>
      </w:r>
      <w:r w:rsidRPr="00FC1444">
        <w:rPr>
          <w:rFonts w:eastAsiaTheme="minorEastAsia"/>
          <w:b/>
          <w:kern w:val="0"/>
          <w:szCs w:val="21"/>
        </w:rPr>
        <w:t>）</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080"/>
        <w:gridCol w:w="1780"/>
        <w:gridCol w:w="1554"/>
        <w:gridCol w:w="1554"/>
        <w:gridCol w:w="1554"/>
      </w:tblGrid>
      <w:tr w:rsidR="002A5A5E" w:rsidRPr="00FC1444">
        <w:trPr>
          <w:trHeight w:val="84"/>
          <w:jc w:val="center"/>
        </w:trPr>
        <w:tc>
          <w:tcPr>
            <w:tcW w:w="1220" w:type="pct"/>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预测点位</w:t>
            </w:r>
          </w:p>
        </w:tc>
        <w:tc>
          <w:tcPr>
            <w:tcW w:w="1044" w:type="pct"/>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预测时段</w:t>
            </w:r>
          </w:p>
        </w:tc>
        <w:tc>
          <w:tcPr>
            <w:tcW w:w="912" w:type="pct"/>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贡献值</w:t>
            </w:r>
          </w:p>
        </w:tc>
        <w:tc>
          <w:tcPr>
            <w:tcW w:w="912" w:type="pct"/>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背景值</w:t>
            </w:r>
          </w:p>
        </w:tc>
        <w:tc>
          <w:tcPr>
            <w:tcW w:w="912" w:type="pct"/>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预测值</w:t>
            </w:r>
          </w:p>
        </w:tc>
      </w:tr>
      <w:tr w:rsidR="000B4216" w:rsidRPr="00FC1444">
        <w:trPr>
          <w:trHeight w:val="223"/>
          <w:jc w:val="center"/>
        </w:trPr>
        <w:tc>
          <w:tcPr>
            <w:tcW w:w="1220" w:type="pct"/>
            <w:vMerge w:val="restart"/>
            <w:shd w:val="clear" w:color="auto" w:fill="auto"/>
            <w:vAlign w:val="center"/>
          </w:tcPr>
          <w:p w:rsidR="000B4216" w:rsidRPr="00FC1444" w:rsidRDefault="000B4216">
            <w:pPr>
              <w:jc w:val="center"/>
              <w:rPr>
                <w:rFonts w:eastAsiaTheme="minorEastAsia"/>
                <w:bCs/>
                <w:kern w:val="0"/>
                <w:szCs w:val="21"/>
              </w:rPr>
            </w:pPr>
            <w:r w:rsidRPr="00FC1444">
              <w:rPr>
                <w:rFonts w:eastAsiaTheme="minorEastAsia"/>
              </w:rPr>
              <w:t>张家窝棚</w:t>
            </w:r>
          </w:p>
        </w:tc>
        <w:tc>
          <w:tcPr>
            <w:tcW w:w="1044" w:type="pct"/>
            <w:shd w:val="clear" w:color="auto" w:fill="auto"/>
            <w:vAlign w:val="center"/>
          </w:tcPr>
          <w:p w:rsidR="000B4216" w:rsidRPr="00FC1444" w:rsidRDefault="000B4216">
            <w:pPr>
              <w:spacing w:line="0" w:lineRule="atLeast"/>
              <w:jc w:val="center"/>
              <w:rPr>
                <w:rFonts w:eastAsiaTheme="minorEastAsia"/>
                <w:szCs w:val="21"/>
              </w:rPr>
            </w:pPr>
            <w:r w:rsidRPr="00FC1444">
              <w:rPr>
                <w:rFonts w:eastAsiaTheme="minorEastAsia"/>
                <w:szCs w:val="21"/>
              </w:rPr>
              <w:t>昼</w:t>
            </w:r>
          </w:p>
        </w:tc>
        <w:tc>
          <w:tcPr>
            <w:tcW w:w="912" w:type="pct"/>
            <w:shd w:val="clear" w:color="auto" w:fill="auto"/>
            <w:vAlign w:val="center"/>
          </w:tcPr>
          <w:p w:rsidR="000B4216" w:rsidRPr="00FC1444" w:rsidRDefault="000B4216" w:rsidP="00D86A2B">
            <w:pPr>
              <w:jc w:val="center"/>
              <w:rPr>
                <w:rFonts w:eastAsiaTheme="minorEastAsia"/>
                <w:szCs w:val="21"/>
              </w:rPr>
            </w:pPr>
            <w:r w:rsidRPr="00FC1444">
              <w:rPr>
                <w:rFonts w:eastAsiaTheme="minorEastAsia" w:hint="eastAsia"/>
                <w:szCs w:val="21"/>
              </w:rPr>
              <w:t>11</w:t>
            </w:r>
          </w:p>
        </w:tc>
        <w:tc>
          <w:tcPr>
            <w:tcW w:w="912" w:type="pct"/>
            <w:vAlign w:val="center"/>
          </w:tcPr>
          <w:p w:rsidR="000B4216" w:rsidRPr="00FC1444" w:rsidRDefault="000B4216">
            <w:pPr>
              <w:jc w:val="center"/>
              <w:rPr>
                <w:rFonts w:eastAsiaTheme="minorEastAsia"/>
                <w:szCs w:val="21"/>
              </w:rPr>
            </w:pPr>
            <w:r w:rsidRPr="00FC1444">
              <w:rPr>
                <w:rFonts w:eastAsiaTheme="minorEastAsia" w:hint="eastAsia"/>
                <w:szCs w:val="21"/>
              </w:rPr>
              <w:t>51</w:t>
            </w:r>
          </w:p>
        </w:tc>
        <w:tc>
          <w:tcPr>
            <w:tcW w:w="912" w:type="pct"/>
            <w:vAlign w:val="center"/>
          </w:tcPr>
          <w:p w:rsidR="000B4216" w:rsidRPr="00FC1444" w:rsidRDefault="000B4216" w:rsidP="00C120B6">
            <w:pPr>
              <w:jc w:val="center"/>
              <w:rPr>
                <w:rFonts w:eastAsiaTheme="minorEastAsia"/>
                <w:szCs w:val="21"/>
              </w:rPr>
            </w:pPr>
            <w:r w:rsidRPr="00FC1444">
              <w:rPr>
                <w:rFonts w:eastAsiaTheme="minorEastAsia" w:hint="eastAsia"/>
                <w:szCs w:val="21"/>
              </w:rPr>
              <w:t>51</w:t>
            </w:r>
          </w:p>
        </w:tc>
      </w:tr>
      <w:tr w:rsidR="000B4216" w:rsidRPr="00FC1444">
        <w:trPr>
          <w:trHeight w:val="223"/>
          <w:jc w:val="center"/>
        </w:trPr>
        <w:tc>
          <w:tcPr>
            <w:tcW w:w="1220" w:type="pct"/>
            <w:vMerge/>
            <w:shd w:val="clear" w:color="auto" w:fill="auto"/>
            <w:vAlign w:val="center"/>
          </w:tcPr>
          <w:p w:rsidR="000B4216" w:rsidRPr="00FC1444" w:rsidRDefault="000B4216">
            <w:pPr>
              <w:jc w:val="center"/>
              <w:rPr>
                <w:rFonts w:eastAsiaTheme="minorEastAsia"/>
              </w:rPr>
            </w:pPr>
          </w:p>
        </w:tc>
        <w:tc>
          <w:tcPr>
            <w:tcW w:w="1044" w:type="pct"/>
            <w:shd w:val="clear" w:color="auto" w:fill="auto"/>
            <w:vAlign w:val="center"/>
          </w:tcPr>
          <w:p w:rsidR="000B4216" w:rsidRPr="00FC1444" w:rsidRDefault="000B4216">
            <w:pPr>
              <w:spacing w:line="0" w:lineRule="atLeast"/>
              <w:jc w:val="center"/>
              <w:rPr>
                <w:rFonts w:eastAsiaTheme="minorEastAsia"/>
                <w:szCs w:val="21"/>
              </w:rPr>
            </w:pPr>
            <w:r w:rsidRPr="00FC1444">
              <w:rPr>
                <w:rFonts w:eastAsiaTheme="minorEastAsia"/>
                <w:szCs w:val="21"/>
              </w:rPr>
              <w:t>夜</w:t>
            </w:r>
          </w:p>
        </w:tc>
        <w:tc>
          <w:tcPr>
            <w:tcW w:w="912" w:type="pct"/>
            <w:shd w:val="clear" w:color="auto" w:fill="auto"/>
            <w:vAlign w:val="center"/>
          </w:tcPr>
          <w:p w:rsidR="000B4216" w:rsidRPr="00FC1444" w:rsidRDefault="000B4216" w:rsidP="00D86A2B">
            <w:pPr>
              <w:jc w:val="center"/>
              <w:rPr>
                <w:rFonts w:eastAsiaTheme="minorEastAsia"/>
                <w:szCs w:val="21"/>
              </w:rPr>
            </w:pPr>
            <w:r w:rsidRPr="00FC1444">
              <w:rPr>
                <w:rFonts w:eastAsiaTheme="minorEastAsia" w:hint="eastAsia"/>
                <w:szCs w:val="21"/>
              </w:rPr>
              <w:t>11</w:t>
            </w:r>
          </w:p>
        </w:tc>
        <w:tc>
          <w:tcPr>
            <w:tcW w:w="912" w:type="pct"/>
            <w:vAlign w:val="center"/>
          </w:tcPr>
          <w:p w:rsidR="000B4216" w:rsidRPr="00FC1444" w:rsidRDefault="000B4216">
            <w:pPr>
              <w:jc w:val="center"/>
              <w:rPr>
                <w:rFonts w:eastAsiaTheme="minorEastAsia"/>
                <w:szCs w:val="21"/>
              </w:rPr>
            </w:pPr>
            <w:r w:rsidRPr="00FC1444">
              <w:rPr>
                <w:rFonts w:eastAsiaTheme="minorEastAsia" w:hint="eastAsia"/>
                <w:szCs w:val="21"/>
              </w:rPr>
              <w:t>41</w:t>
            </w:r>
          </w:p>
        </w:tc>
        <w:tc>
          <w:tcPr>
            <w:tcW w:w="912" w:type="pct"/>
            <w:vAlign w:val="center"/>
          </w:tcPr>
          <w:p w:rsidR="000B4216" w:rsidRPr="00FC1444" w:rsidRDefault="000B4216" w:rsidP="00C120B6">
            <w:pPr>
              <w:jc w:val="center"/>
              <w:rPr>
                <w:rFonts w:eastAsiaTheme="minorEastAsia"/>
                <w:szCs w:val="21"/>
              </w:rPr>
            </w:pPr>
            <w:r w:rsidRPr="00FC1444">
              <w:rPr>
                <w:rFonts w:eastAsiaTheme="minorEastAsia" w:hint="eastAsia"/>
                <w:szCs w:val="21"/>
              </w:rPr>
              <w:t>41</w:t>
            </w:r>
          </w:p>
        </w:tc>
      </w:tr>
    </w:tbl>
    <w:p w:rsidR="002A5A5E" w:rsidRPr="00FC1444" w:rsidRDefault="009840DD" w:rsidP="003E2A9F">
      <w:pPr>
        <w:spacing w:line="0" w:lineRule="atLeast"/>
        <w:jc w:val="center"/>
        <w:rPr>
          <w:rFonts w:eastAsiaTheme="minorEastAsia"/>
          <w:b/>
          <w:kern w:val="0"/>
          <w:szCs w:val="21"/>
        </w:rPr>
      </w:pPr>
      <w:r w:rsidRPr="00FC1444">
        <w:rPr>
          <w:rFonts w:eastAsiaTheme="minorEastAsia"/>
          <w:b/>
          <w:kern w:val="0"/>
          <w:szCs w:val="21"/>
        </w:rPr>
        <w:pict>
          <v:rect id="_x0000_s696772" style="position:absolute;left:0;text-align:left;margin-left:199.3pt;margin-top:140.1pt;width:12.85pt;height:7.1pt;rotation:9868242fd;z-index:251707392;mso-position-horizontal-relative:text;mso-position-vertical-relative:text" filled="f"/>
        </w:pict>
      </w:r>
      <w:r w:rsidRPr="00FC1444">
        <w:rPr>
          <w:rFonts w:eastAsiaTheme="minorEastAsia"/>
          <w:b/>
          <w:kern w:val="0"/>
          <w:szCs w:val="21"/>
        </w:rPr>
        <w:pict>
          <v:shape id="_x0000_s696771" type="#_x0000_t61" style="position:absolute;left:0;text-align:left;margin-left:122.15pt;margin-top:25.5pt;width:70.2pt;height:25.95pt;z-index:251706368;mso-position-horizontal-relative:text;mso-position-vertical-relative:text" adj="25077,95889" filled="f" strokecolor="red">
            <v:textbox style="mso-next-textbox:#_x0000_s696771">
              <w:txbxContent>
                <w:p w:rsidR="006F5CC4" w:rsidRDefault="006F5CC4">
                  <w:r w:rsidRPr="007E1FA8">
                    <w:rPr>
                      <w:bCs/>
                      <w:color w:val="FF0000"/>
                      <w:kern w:val="0"/>
                      <w:szCs w:val="21"/>
                    </w:rPr>
                    <w:t>刘家沟</w:t>
                  </w:r>
                  <w:r>
                    <w:rPr>
                      <w:bCs/>
                      <w:color w:val="FF0000"/>
                      <w:kern w:val="0"/>
                      <w:szCs w:val="21"/>
                    </w:rPr>
                    <w:t>居民</w:t>
                  </w:r>
                </w:p>
              </w:txbxContent>
            </v:textbox>
          </v:shape>
        </w:pict>
      </w:r>
      <w:r w:rsidR="002479AA" w:rsidRPr="00FC1444">
        <w:rPr>
          <w:rFonts w:eastAsiaTheme="minorEastAsia"/>
          <w:b/>
          <w:noProof/>
          <w:kern w:val="0"/>
          <w:szCs w:val="21"/>
        </w:rPr>
        <w:drawing>
          <wp:anchor distT="0" distB="0" distL="114300" distR="114300" simplePos="0" relativeHeight="251863040" behindDoc="0" locked="0" layoutInCell="1" allowOverlap="1">
            <wp:simplePos x="0" y="0"/>
            <wp:positionH relativeFrom="column">
              <wp:posOffset>27957</wp:posOffset>
            </wp:positionH>
            <wp:positionV relativeFrom="paragraph">
              <wp:posOffset>22547</wp:posOffset>
            </wp:positionV>
            <wp:extent cx="764721" cy="712519"/>
            <wp:effectExtent l="19050" t="0" r="0" b="0"/>
            <wp:wrapNone/>
            <wp:docPr id="685" name="图片 29" descr="E:\xwechat_files\wxid_mq55o8x17m3l21_57cf\temp\RWTemp\2026-09\9e20f478899dc29eb19741386f9343c8\cf5832beccbae337fe08c2bfaa8c1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wechat_files\wxid_mq55o8x17m3l21_57cf\temp\RWTemp\2026-09\9e20f478899dc29eb19741386f9343c8\cf5832beccbae337fe08c2bfaa8c1c9d.png"/>
                    <pic:cNvPicPr>
                      <a:picLocks noChangeAspect="1" noChangeArrowheads="1"/>
                    </pic:cNvPicPr>
                  </pic:nvPicPr>
                  <pic:blipFill>
                    <a:blip r:embed="rId23"/>
                    <a:srcRect/>
                    <a:stretch>
                      <a:fillRect/>
                    </a:stretch>
                  </pic:blipFill>
                  <pic:spPr bwMode="auto">
                    <a:xfrm>
                      <a:off x="0" y="0"/>
                      <a:ext cx="764721" cy="712519"/>
                    </a:xfrm>
                    <a:prstGeom prst="rect">
                      <a:avLst/>
                    </a:prstGeom>
                    <a:noFill/>
                    <a:ln w="9525">
                      <a:noFill/>
                      <a:miter lim="800000"/>
                      <a:headEnd/>
                      <a:tailEnd/>
                    </a:ln>
                  </pic:spPr>
                </pic:pic>
              </a:graphicData>
            </a:graphic>
          </wp:anchor>
        </w:drawing>
      </w:r>
      <w:r w:rsidR="001E7596" w:rsidRPr="00FC1444">
        <w:rPr>
          <w:rFonts w:eastAsiaTheme="minorEastAsia"/>
          <w:b/>
          <w:noProof/>
          <w:kern w:val="0"/>
          <w:szCs w:val="21"/>
        </w:rPr>
        <w:drawing>
          <wp:anchor distT="0" distB="0" distL="114300" distR="114300" simplePos="0" relativeHeight="251841536" behindDoc="0" locked="0" layoutInCell="1" allowOverlap="1">
            <wp:simplePos x="0" y="0"/>
            <wp:positionH relativeFrom="column">
              <wp:posOffset>4648835</wp:posOffset>
            </wp:positionH>
            <wp:positionV relativeFrom="paragraph">
              <wp:posOffset>19050</wp:posOffset>
            </wp:positionV>
            <wp:extent cx="650240" cy="2934335"/>
            <wp:effectExtent l="19050" t="0" r="0" b="0"/>
            <wp:wrapNone/>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a:srcRect/>
                    <a:stretch>
                      <a:fillRect/>
                    </a:stretch>
                  </pic:blipFill>
                  <pic:spPr bwMode="auto">
                    <a:xfrm>
                      <a:off x="0" y="0"/>
                      <a:ext cx="650240" cy="2934335"/>
                    </a:xfrm>
                    <a:prstGeom prst="rect">
                      <a:avLst/>
                    </a:prstGeom>
                    <a:noFill/>
                    <a:ln w="9525">
                      <a:noFill/>
                      <a:miter lim="800000"/>
                      <a:headEnd/>
                      <a:tailEnd/>
                    </a:ln>
                  </pic:spPr>
                </pic:pic>
              </a:graphicData>
            </a:graphic>
          </wp:anchor>
        </w:drawing>
      </w:r>
      <w:r w:rsidR="005E515D" w:rsidRPr="00FC1444">
        <w:rPr>
          <w:rFonts w:eastAsiaTheme="minorEastAsia"/>
          <w:b/>
          <w:noProof/>
          <w:kern w:val="0"/>
          <w:szCs w:val="21"/>
        </w:rPr>
        <w:drawing>
          <wp:inline distT="0" distB="0" distL="0" distR="0">
            <wp:extent cx="5274310" cy="3803469"/>
            <wp:effectExtent l="19050" t="19050" r="21590" b="25581"/>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9"/>
                    <a:srcRect/>
                    <a:stretch>
                      <a:fillRect/>
                    </a:stretch>
                  </pic:blipFill>
                  <pic:spPr bwMode="auto">
                    <a:xfrm>
                      <a:off x="0" y="0"/>
                      <a:ext cx="5274310" cy="3803469"/>
                    </a:xfrm>
                    <a:prstGeom prst="rect">
                      <a:avLst/>
                    </a:prstGeom>
                    <a:noFill/>
                    <a:ln w="9525">
                      <a:solidFill>
                        <a:schemeClr val="tx1"/>
                      </a:solidFill>
                      <a:miter lim="800000"/>
                      <a:headEnd/>
                      <a:tailEnd/>
                    </a:ln>
                  </pic:spPr>
                </pic:pic>
              </a:graphicData>
            </a:graphic>
          </wp:inline>
        </w:drawing>
      </w:r>
    </w:p>
    <w:p w:rsidR="002A5A5E" w:rsidRPr="00FC1444" w:rsidRDefault="00611CBA" w:rsidP="003E2A9F">
      <w:pPr>
        <w:spacing w:line="0" w:lineRule="atLeast"/>
        <w:contextualSpacing/>
        <w:jc w:val="center"/>
        <w:rPr>
          <w:rFonts w:eastAsiaTheme="minorEastAsia"/>
          <w:b/>
          <w:kern w:val="0"/>
          <w:szCs w:val="21"/>
        </w:rPr>
      </w:pPr>
      <w:r w:rsidRPr="00FC1444">
        <w:rPr>
          <w:rFonts w:eastAsiaTheme="minorEastAsia"/>
          <w:b/>
          <w:kern w:val="0"/>
          <w:szCs w:val="21"/>
        </w:rPr>
        <w:t>图</w:t>
      </w:r>
      <w:r w:rsidRPr="00FC1444">
        <w:rPr>
          <w:rFonts w:eastAsiaTheme="minorEastAsia"/>
          <w:b/>
          <w:kern w:val="0"/>
          <w:szCs w:val="21"/>
        </w:rPr>
        <w:t xml:space="preserve">5-2-4 </w:t>
      </w:r>
      <w:r w:rsidRPr="00FC1444">
        <w:rPr>
          <w:rFonts w:eastAsiaTheme="minorEastAsia"/>
          <w:b/>
          <w:kern w:val="0"/>
          <w:szCs w:val="21"/>
        </w:rPr>
        <w:t>机电井声环境预测结果等值线图</w:t>
      </w:r>
    </w:p>
    <w:p w:rsidR="002A5A5E" w:rsidRPr="00FC1444" w:rsidRDefault="000B4216" w:rsidP="003E2A9F">
      <w:pPr>
        <w:spacing w:line="0" w:lineRule="atLeast"/>
        <w:jc w:val="center"/>
        <w:rPr>
          <w:rFonts w:eastAsiaTheme="minorEastAsia"/>
          <w:b/>
          <w:kern w:val="0"/>
          <w:szCs w:val="21"/>
        </w:rPr>
      </w:pPr>
      <w:r w:rsidRPr="00FC1444">
        <w:rPr>
          <w:rFonts w:eastAsiaTheme="minorEastAsia"/>
          <w:b/>
          <w:kern w:val="0"/>
          <w:szCs w:val="21"/>
        </w:rPr>
        <w:t xml:space="preserve"> </w:t>
      </w:r>
      <w:r w:rsidRPr="00FC1444">
        <w:rPr>
          <w:rFonts w:eastAsiaTheme="minorEastAsia"/>
          <w:b/>
          <w:noProof/>
          <w:kern w:val="0"/>
          <w:szCs w:val="21"/>
        </w:rPr>
        <w:lastRenderedPageBreak/>
        <w:drawing>
          <wp:inline distT="0" distB="0" distL="0" distR="0">
            <wp:extent cx="5274310" cy="3962693"/>
            <wp:effectExtent l="19050" t="19050" r="21590" b="18757"/>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srcRect/>
                    <a:stretch>
                      <a:fillRect/>
                    </a:stretch>
                  </pic:blipFill>
                  <pic:spPr bwMode="auto">
                    <a:xfrm>
                      <a:off x="0" y="0"/>
                      <a:ext cx="5274310" cy="3962693"/>
                    </a:xfrm>
                    <a:prstGeom prst="rect">
                      <a:avLst/>
                    </a:prstGeom>
                    <a:noFill/>
                    <a:ln w="9525">
                      <a:solidFill>
                        <a:schemeClr val="tx1"/>
                      </a:solidFill>
                      <a:miter lim="800000"/>
                      <a:headEnd/>
                      <a:tailEnd/>
                    </a:ln>
                  </pic:spPr>
                </pic:pic>
              </a:graphicData>
            </a:graphic>
          </wp:inline>
        </w:drawing>
      </w:r>
    </w:p>
    <w:p w:rsidR="002A5A5E" w:rsidRPr="00FC1444" w:rsidRDefault="000B4216" w:rsidP="003E2A9F">
      <w:pPr>
        <w:contextualSpacing/>
        <w:jc w:val="center"/>
        <w:rPr>
          <w:rFonts w:eastAsiaTheme="minorEastAsia"/>
          <w:b/>
          <w:kern w:val="0"/>
          <w:szCs w:val="21"/>
        </w:rPr>
      </w:pPr>
      <w:r w:rsidRPr="00FC1444">
        <w:rPr>
          <w:rFonts w:eastAsiaTheme="minorEastAsia"/>
          <w:b/>
          <w:noProof/>
          <w:kern w:val="0"/>
          <w:szCs w:val="21"/>
        </w:rPr>
        <w:drawing>
          <wp:anchor distT="0" distB="0" distL="114300" distR="114300" simplePos="0" relativeHeight="251843584" behindDoc="0" locked="0" layoutInCell="1" allowOverlap="1">
            <wp:simplePos x="0" y="0"/>
            <wp:positionH relativeFrom="column">
              <wp:posOffset>4671208</wp:posOffset>
            </wp:positionH>
            <wp:positionV relativeFrom="paragraph">
              <wp:posOffset>-3976749</wp:posOffset>
            </wp:positionV>
            <wp:extent cx="634093" cy="2933205"/>
            <wp:effectExtent l="19050" t="0" r="0" b="0"/>
            <wp:wrapNone/>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a:srcRect/>
                    <a:stretch>
                      <a:fillRect/>
                    </a:stretch>
                  </pic:blipFill>
                  <pic:spPr bwMode="auto">
                    <a:xfrm>
                      <a:off x="0" y="0"/>
                      <a:ext cx="634093" cy="2933205"/>
                    </a:xfrm>
                    <a:prstGeom prst="rect">
                      <a:avLst/>
                    </a:prstGeom>
                    <a:noFill/>
                    <a:ln w="9525">
                      <a:noFill/>
                      <a:miter lim="800000"/>
                      <a:headEnd/>
                      <a:tailEnd/>
                    </a:ln>
                  </pic:spPr>
                </pic:pic>
              </a:graphicData>
            </a:graphic>
          </wp:anchor>
        </w:drawing>
      </w:r>
      <w:r w:rsidR="009840DD" w:rsidRPr="00FC1444">
        <w:rPr>
          <w:rFonts w:eastAsiaTheme="minorEastAsia"/>
          <w:b/>
          <w:kern w:val="0"/>
          <w:szCs w:val="21"/>
        </w:rPr>
        <w:pict>
          <v:rect id="_x0000_s696829" style="position:absolute;left:0;text-align:left;margin-left:244.7pt;margin-top:-144.85pt;width:14.25pt;height:7.5pt;rotation:10111527fd;z-index:251709440;mso-position-horizontal-relative:text;mso-position-vertical-relative:text" filled="f"/>
        </w:pict>
      </w:r>
      <w:r w:rsidR="009840DD" w:rsidRPr="00FC1444">
        <w:rPr>
          <w:rFonts w:eastAsiaTheme="minorEastAsia"/>
          <w:b/>
          <w:kern w:val="0"/>
          <w:szCs w:val="21"/>
        </w:rPr>
        <w:pict>
          <v:shape id="_x0000_s696820" type="#_x0000_t61" style="position:absolute;left:0;text-align:left;margin-left:122.5pt;margin-top:-36.35pt;width:79.65pt;height:25.95pt;z-index:251708416;mso-position-horizontal-relative:text;mso-position-vertical-relative:text" adj="34522,-88148" filled="f" strokecolor="red">
            <v:textbox style="mso-next-textbox:#_x0000_s696820">
              <w:txbxContent>
                <w:p w:rsidR="006F5CC4" w:rsidRDefault="006F5CC4">
                  <w:r w:rsidRPr="007E1FA8">
                    <w:rPr>
                      <w:bCs/>
                      <w:color w:val="FF0000"/>
                      <w:kern w:val="0"/>
                      <w:szCs w:val="21"/>
                    </w:rPr>
                    <w:t>张家窝棚</w:t>
                  </w:r>
                  <w:r>
                    <w:rPr>
                      <w:bCs/>
                      <w:color w:val="FF0000"/>
                      <w:kern w:val="0"/>
                      <w:szCs w:val="21"/>
                    </w:rPr>
                    <w:t>居民</w:t>
                  </w:r>
                </w:p>
              </w:txbxContent>
            </v:textbox>
          </v:shape>
        </w:pict>
      </w:r>
      <w:r w:rsidRPr="00FC1444">
        <w:rPr>
          <w:rFonts w:eastAsiaTheme="minorEastAsia"/>
          <w:b/>
          <w:noProof/>
          <w:kern w:val="0"/>
          <w:szCs w:val="21"/>
        </w:rPr>
        <w:drawing>
          <wp:anchor distT="0" distB="0" distL="114300" distR="114300" simplePos="0" relativeHeight="251865088" behindDoc="0" locked="0" layoutInCell="1" allowOverlap="1">
            <wp:simplePos x="0" y="0"/>
            <wp:positionH relativeFrom="column">
              <wp:posOffset>27956</wp:posOffset>
            </wp:positionH>
            <wp:positionV relativeFrom="paragraph">
              <wp:posOffset>-3976749</wp:posOffset>
            </wp:positionV>
            <wp:extent cx="764722" cy="712519"/>
            <wp:effectExtent l="19050" t="0" r="0" b="0"/>
            <wp:wrapNone/>
            <wp:docPr id="686" name="图片 29" descr="E:\xwechat_files\wxid_mq55o8x17m3l21_57cf\temp\RWTemp\2026-09\9e20f478899dc29eb19741386f9343c8\cf5832beccbae337fe08c2bfaa8c1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wechat_files\wxid_mq55o8x17m3l21_57cf\temp\RWTemp\2026-09\9e20f478899dc29eb19741386f9343c8\cf5832beccbae337fe08c2bfaa8c1c9d.png"/>
                    <pic:cNvPicPr>
                      <a:picLocks noChangeAspect="1" noChangeArrowheads="1"/>
                    </pic:cNvPicPr>
                  </pic:nvPicPr>
                  <pic:blipFill>
                    <a:blip r:embed="rId23"/>
                    <a:srcRect/>
                    <a:stretch>
                      <a:fillRect/>
                    </a:stretch>
                  </pic:blipFill>
                  <pic:spPr bwMode="auto">
                    <a:xfrm>
                      <a:off x="0" y="0"/>
                      <a:ext cx="764722" cy="712519"/>
                    </a:xfrm>
                    <a:prstGeom prst="rect">
                      <a:avLst/>
                    </a:prstGeom>
                    <a:noFill/>
                    <a:ln w="9525">
                      <a:noFill/>
                      <a:miter lim="800000"/>
                      <a:headEnd/>
                      <a:tailEnd/>
                    </a:ln>
                  </pic:spPr>
                </pic:pic>
              </a:graphicData>
            </a:graphic>
          </wp:anchor>
        </w:drawing>
      </w:r>
      <w:r w:rsidR="00611CBA" w:rsidRPr="00FC1444">
        <w:rPr>
          <w:rFonts w:eastAsiaTheme="minorEastAsia"/>
          <w:b/>
          <w:kern w:val="0"/>
          <w:szCs w:val="21"/>
        </w:rPr>
        <w:t>图</w:t>
      </w:r>
      <w:r w:rsidR="00611CBA" w:rsidRPr="00FC1444">
        <w:rPr>
          <w:rFonts w:eastAsiaTheme="minorEastAsia"/>
          <w:b/>
          <w:kern w:val="0"/>
          <w:szCs w:val="21"/>
        </w:rPr>
        <w:t>5-2-5</w:t>
      </w:r>
      <w:r w:rsidR="003E2A9F" w:rsidRPr="00FC1444">
        <w:rPr>
          <w:rFonts w:eastAsiaTheme="minorEastAsia"/>
          <w:b/>
          <w:kern w:val="0"/>
          <w:szCs w:val="21"/>
        </w:rPr>
        <w:t>滴灌</w:t>
      </w:r>
      <w:r w:rsidR="00611CBA" w:rsidRPr="00FC1444">
        <w:rPr>
          <w:rFonts w:eastAsiaTheme="minorEastAsia"/>
          <w:b/>
          <w:kern w:val="0"/>
          <w:szCs w:val="21"/>
        </w:rPr>
        <w:t>井（含水肥一体）声环境预测结果等值线图</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预测结果表明，机电井井房及机电井（水肥一体）井房厂界噪声能够满足《</w:t>
      </w:r>
      <w:r w:rsidR="00E67573" w:rsidRPr="00FC1444">
        <w:rPr>
          <w:rFonts w:eastAsiaTheme="minorEastAsia"/>
          <w:sz w:val="24"/>
        </w:rPr>
        <w:t>工业企业厂界环境噪声排放标准</w:t>
      </w:r>
      <w:r w:rsidRPr="00FC1444">
        <w:rPr>
          <w:rFonts w:eastAsiaTheme="minorEastAsia"/>
          <w:sz w:val="24"/>
        </w:rPr>
        <w:t>》</w:t>
      </w:r>
      <w:r w:rsidRPr="00FC1444">
        <w:rPr>
          <w:rFonts w:eastAsiaTheme="minorEastAsia"/>
          <w:sz w:val="24"/>
        </w:rPr>
        <w:t>(GB12348-2008)</w:t>
      </w:r>
      <w:r w:rsidRPr="00FC1444">
        <w:rPr>
          <w:rFonts w:eastAsiaTheme="minorEastAsia"/>
          <w:sz w:val="24"/>
        </w:rPr>
        <w:t>表</w:t>
      </w:r>
      <w:r w:rsidRPr="00FC1444">
        <w:rPr>
          <w:rFonts w:eastAsiaTheme="minorEastAsia"/>
          <w:sz w:val="24"/>
        </w:rPr>
        <w:t>1</w:t>
      </w:r>
      <w:r w:rsidRPr="00FC1444">
        <w:rPr>
          <w:rFonts w:eastAsiaTheme="minorEastAsia"/>
          <w:sz w:val="24"/>
        </w:rPr>
        <w:t>中</w:t>
      </w:r>
      <w:r w:rsidRPr="00FC1444">
        <w:rPr>
          <w:rFonts w:eastAsiaTheme="minorEastAsia"/>
          <w:sz w:val="24"/>
        </w:rPr>
        <w:t>1</w:t>
      </w:r>
      <w:r w:rsidRPr="00FC1444">
        <w:rPr>
          <w:rFonts w:eastAsiaTheme="minorEastAsia"/>
          <w:sz w:val="24"/>
        </w:rPr>
        <w:t>类标准要求。</w:t>
      </w:r>
      <w:r w:rsidR="003E2A9F" w:rsidRPr="00FC1444">
        <w:rPr>
          <w:rFonts w:eastAsiaTheme="minorEastAsia"/>
          <w:sz w:val="24"/>
        </w:rPr>
        <w:t>项目区</w:t>
      </w:r>
      <w:r w:rsidRPr="00FC1444">
        <w:rPr>
          <w:rFonts w:eastAsiaTheme="minorEastAsia"/>
          <w:sz w:val="24"/>
          <w:lang w:val="zh-CN"/>
        </w:rPr>
        <w:t>机电井</w:t>
      </w:r>
      <w:r w:rsidRPr="00FC1444">
        <w:rPr>
          <w:rFonts w:eastAsiaTheme="minorEastAsia"/>
          <w:sz w:val="24"/>
          <w:lang w:val="zh-CN"/>
        </w:rPr>
        <w:t>-</w:t>
      </w:r>
      <w:r w:rsidR="007E1FA8" w:rsidRPr="00FC1444">
        <w:rPr>
          <w:rFonts w:eastAsiaTheme="minorEastAsia" w:hint="eastAsia"/>
          <w:sz w:val="24"/>
          <w:lang w:val="zh-CN"/>
        </w:rPr>
        <w:t>80</w:t>
      </w:r>
      <w:r w:rsidRPr="00FC1444">
        <w:rPr>
          <w:rFonts w:eastAsiaTheme="minorEastAsia"/>
          <w:sz w:val="24"/>
        </w:rPr>
        <w:t>距离最近居民</w:t>
      </w:r>
      <w:r w:rsidR="007E1FA8" w:rsidRPr="00FC1444">
        <w:rPr>
          <w:rFonts w:eastAsiaTheme="minorEastAsia"/>
          <w:bCs/>
          <w:sz w:val="24"/>
        </w:rPr>
        <w:t>刘家沟</w:t>
      </w:r>
      <w:r w:rsidRPr="00FC1444">
        <w:rPr>
          <w:rFonts w:eastAsiaTheme="minorEastAsia"/>
          <w:sz w:val="24"/>
        </w:rPr>
        <w:t>（</w:t>
      </w:r>
      <w:r w:rsidR="009643BC" w:rsidRPr="00FC1444">
        <w:rPr>
          <w:rFonts w:eastAsiaTheme="minorEastAsia" w:hint="eastAsia"/>
          <w:sz w:val="24"/>
        </w:rPr>
        <w:t>10</w:t>
      </w:r>
      <w:r w:rsidRPr="00FC1444">
        <w:rPr>
          <w:rFonts w:eastAsiaTheme="minorEastAsia"/>
          <w:sz w:val="24"/>
        </w:rPr>
        <w:t>m</w:t>
      </w:r>
      <w:r w:rsidRPr="00FC1444">
        <w:rPr>
          <w:rFonts w:eastAsiaTheme="minorEastAsia"/>
          <w:sz w:val="24"/>
        </w:rPr>
        <w:t>）及</w:t>
      </w:r>
      <w:r w:rsidR="003E2A9F" w:rsidRPr="00FC1444">
        <w:rPr>
          <w:rFonts w:eastAsiaTheme="minorEastAsia"/>
          <w:sz w:val="24"/>
        </w:rPr>
        <w:t>滴灌</w:t>
      </w:r>
      <w:r w:rsidRPr="00FC1444">
        <w:rPr>
          <w:rFonts w:eastAsiaTheme="minorEastAsia"/>
          <w:sz w:val="24"/>
        </w:rPr>
        <w:t>井</w:t>
      </w:r>
      <w:r w:rsidRPr="00FC1444">
        <w:rPr>
          <w:rFonts w:eastAsiaTheme="minorEastAsia"/>
          <w:sz w:val="24"/>
        </w:rPr>
        <w:t>-</w:t>
      </w:r>
      <w:r w:rsidR="007E1FA8" w:rsidRPr="00FC1444">
        <w:rPr>
          <w:rFonts w:eastAsiaTheme="minorEastAsia" w:hint="eastAsia"/>
          <w:sz w:val="24"/>
        </w:rPr>
        <w:t>9</w:t>
      </w:r>
      <w:r w:rsidR="007E1FA8" w:rsidRPr="00FC1444">
        <w:rPr>
          <w:rFonts w:eastAsiaTheme="minorEastAsia"/>
          <w:sz w:val="24"/>
        </w:rPr>
        <w:t>（</w:t>
      </w:r>
      <w:r w:rsidRPr="00FC1444">
        <w:rPr>
          <w:rFonts w:eastAsiaTheme="minorEastAsia"/>
          <w:sz w:val="24"/>
        </w:rPr>
        <w:t>水肥一体</w:t>
      </w:r>
      <w:r w:rsidR="007E1FA8" w:rsidRPr="00FC1444">
        <w:rPr>
          <w:rFonts w:eastAsiaTheme="minorEastAsia"/>
          <w:sz w:val="24"/>
        </w:rPr>
        <w:t>化</w:t>
      </w:r>
      <w:r w:rsidRPr="00FC1444">
        <w:rPr>
          <w:rFonts w:eastAsiaTheme="minorEastAsia"/>
          <w:sz w:val="24"/>
        </w:rPr>
        <w:t>）距离最近居民</w:t>
      </w:r>
      <w:r w:rsidR="007E1FA8" w:rsidRPr="00FC1444">
        <w:rPr>
          <w:rFonts w:eastAsiaTheme="minorEastAsia"/>
          <w:sz w:val="24"/>
        </w:rPr>
        <w:t>张家窝棚</w:t>
      </w:r>
      <w:r w:rsidRPr="00FC1444">
        <w:rPr>
          <w:rFonts w:eastAsiaTheme="minorEastAsia"/>
          <w:sz w:val="24"/>
        </w:rPr>
        <w:t>（</w:t>
      </w:r>
      <w:r w:rsidR="009643BC" w:rsidRPr="00FC1444">
        <w:rPr>
          <w:rFonts w:eastAsiaTheme="minorEastAsia" w:hint="eastAsia"/>
          <w:sz w:val="24"/>
        </w:rPr>
        <w:t>100</w:t>
      </w:r>
      <w:r w:rsidRPr="00FC1444">
        <w:rPr>
          <w:rFonts w:eastAsiaTheme="minorEastAsia"/>
          <w:sz w:val="24"/>
        </w:rPr>
        <w:t>m</w:t>
      </w:r>
      <w:r w:rsidRPr="00FC1444">
        <w:rPr>
          <w:rFonts w:eastAsiaTheme="minorEastAsia"/>
          <w:sz w:val="24"/>
        </w:rPr>
        <w:t>）噪声预测值能够满足《声环境质量标准》（</w:t>
      </w:r>
      <w:r w:rsidRPr="00FC1444">
        <w:rPr>
          <w:rFonts w:eastAsiaTheme="minorEastAsia"/>
          <w:sz w:val="24"/>
        </w:rPr>
        <w:t>GB3096-2008</w:t>
      </w:r>
      <w:r w:rsidRPr="00FC1444">
        <w:rPr>
          <w:rFonts w:eastAsiaTheme="minorEastAsia"/>
          <w:sz w:val="24"/>
        </w:rPr>
        <w:t>）中</w:t>
      </w:r>
      <w:r w:rsidRPr="00FC1444">
        <w:rPr>
          <w:rFonts w:eastAsiaTheme="minorEastAsia"/>
          <w:sz w:val="24"/>
        </w:rPr>
        <w:t>1</w:t>
      </w:r>
      <w:r w:rsidRPr="00FC1444">
        <w:rPr>
          <w:rFonts w:eastAsiaTheme="minorEastAsia"/>
          <w:sz w:val="24"/>
        </w:rPr>
        <w:t>类区标准要求。</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5.2.4</w:t>
      </w:r>
      <w:r w:rsidRPr="00FC1444">
        <w:rPr>
          <w:rFonts w:eastAsiaTheme="minorEastAsia"/>
          <w:b/>
          <w:sz w:val="28"/>
          <w:szCs w:val="28"/>
        </w:rPr>
        <w:t>固体废物</w:t>
      </w:r>
      <w:r w:rsidR="00FC1444" w:rsidRPr="00FC1444">
        <w:rPr>
          <w:rFonts w:eastAsiaTheme="minorEastAsia"/>
          <w:b/>
          <w:sz w:val="28"/>
          <w:szCs w:val="28"/>
        </w:rPr>
        <w:t>生态</w:t>
      </w:r>
      <w:r w:rsidRPr="00FC1444">
        <w:rPr>
          <w:rFonts w:eastAsiaTheme="minorEastAsia"/>
          <w:b/>
          <w:sz w:val="28"/>
          <w:szCs w:val="28"/>
        </w:rPr>
        <w:t>环境影响分析</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本项目运营期产生固体废物主要为秸秆、</w:t>
      </w:r>
      <w:r w:rsidRPr="00FC1444">
        <w:rPr>
          <w:rFonts w:eastAsiaTheme="minorEastAsia"/>
          <w:bCs/>
          <w:sz w:val="24"/>
        </w:rPr>
        <w:t>农药包装物及废肥料包装袋</w:t>
      </w:r>
      <w:r w:rsidRPr="00FC1444">
        <w:rPr>
          <w:rFonts w:eastAsiaTheme="minorEastAsia"/>
          <w:sz w:val="24"/>
        </w:rPr>
        <w:t>。</w:t>
      </w:r>
    </w:p>
    <w:p w:rsidR="002A5A5E" w:rsidRPr="00FC1444" w:rsidRDefault="00611CBA">
      <w:pPr>
        <w:pStyle w:val="00"/>
        <w:rPr>
          <w:rFonts w:hAnsi="Times New Roman"/>
          <w:color w:val="auto"/>
        </w:rPr>
      </w:pPr>
      <w:r w:rsidRPr="00FC1444">
        <w:rPr>
          <w:rFonts w:hAnsi="Times New Roman"/>
          <w:bCs w:val="0"/>
          <w:color w:val="auto"/>
        </w:rPr>
        <w:t>高标准农田耕种过程中将会产生农药包装物及废肥料包装袋，依据《农药包装废弃物回收处理管理办法》（中华人民共和国农业农村部</w:t>
      </w:r>
      <w:r w:rsidRPr="00FC1444">
        <w:rPr>
          <w:rFonts w:hAnsi="Times New Roman"/>
          <w:bCs w:val="0"/>
          <w:color w:val="auto"/>
        </w:rPr>
        <w:t xml:space="preserve"> </w:t>
      </w:r>
      <w:r w:rsidRPr="00FC1444">
        <w:rPr>
          <w:rFonts w:hAnsi="Times New Roman"/>
          <w:bCs w:val="0"/>
          <w:color w:val="auto"/>
        </w:rPr>
        <w:t>生态环境部令</w:t>
      </w:r>
      <w:r w:rsidRPr="00FC1444">
        <w:rPr>
          <w:rFonts w:hAnsi="Times New Roman"/>
          <w:bCs w:val="0"/>
          <w:color w:val="auto"/>
        </w:rPr>
        <w:t>2020</w:t>
      </w:r>
      <w:r w:rsidRPr="00FC1444">
        <w:rPr>
          <w:rFonts w:hAnsi="Times New Roman"/>
          <w:bCs w:val="0"/>
          <w:color w:val="auto"/>
        </w:rPr>
        <w:t>年</w:t>
      </w:r>
      <w:r w:rsidRPr="00FC1444">
        <w:rPr>
          <w:rFonts w:hAnsi="Times New Roman"/>
          <w:bCs w:val="0"/>
          <w:color w:val="auto"/>
        </w:rPr>
        <w:t xml:space="preserve"> </w:t>
      </w:r>
      <w:r w:rsidRPr="00FC1444">
        <w:rPr>
          <w:rFonts w:hAnsi="Times New Roman"/>
          <w:bCs w:val="0"/>
          <w:color w:val="auto"/>
        </w:rPr>
        <w:t>第</w:t>
      </w:r>
      <w:r w:rsidRPr="00FC1444">
        <w:rPr>
          <w:rFonts w:hAnsi="Times New Roman"/>
          <w:bCs w:val="0"/>
          <w:color w:val="auto"/>
        </w:rPr>
        <w:t>6</w:t>
      </w:r>
      <w:r w:rsidRPr="00FC1444">
        <w:rPr>
          <w:rFonts w:hAnsi="Times New Roman"/>
          <w:bCs w:val="0"/>
          <w:color w:val="auto"/>
        </w:rPr>
        <w:t>号）以及《国家危险废物名录（</w:t>
      </w:r>
      <w:r w:rsidRPr="00FC1444">
        <w:rPr>
          <w:rFonts w:hAnsi="Times New Roman"/>
          <w:bCs w:val="0"/>
          <w:color w:val="auto"/>
        </w:rPr>
        <w:t>2025</w:t>
      </w:r>
      <w:r w:rsidRPr="00FC1444">
        <w:rPr>
          <w:rFonts w:hAnsi="Times New Roman"/>
          <w:bCs w:val="0"/>
          <w:color w:val="auto"/>
        </w:rPr>
        <w:t>年版）》危险废物豁免管理清单，农药包装物不按照危险废物管理。</w:t>
      </w:r>
      <w:r w:rsidR="00D33612" w:rsidRPr="00FC1444">
        <w:rPr>
          <w:rFonts w:hAnsi="Times New Roman"/>
          <w:color w:val="auto"/>
        </w:rPr>
        <w:t>秸秆、</w:t>
      </w:r>
      <w:r w:rsidR="00D33612" w:rsidRPr="00FC1444">
        <w:rPr>
          <w:rFonts w:hAnsi="Times New Roman"/>
          <w:bCs w:val="0"/>
          <w:color w:val="auto"/>
        </w:rPr>
        <w:t>废肥料包</w:t>
      </w:r>
      <w:r w:rsidR="00A05A30" w:rsidRPr="00FC1444">
        <w:rPr>
          <w:rFonts w:hAnsi="Times New Roman"/>
          <w:bCs w:val="0"/>
          <w:color w:val="auto"/>
        </w:rPr>
        <w:t>装袋由当地农民负责外售综合利用；农业使用者及时收集农药包装物，</w:t>
      </w:r>
      <w:r w:rsidR="00D33612" w:rsidRPr="00FC1444">
        <w:rPr>
          <w:rFonts w:hAnsi="Times New Roman"/>
          <w:bCs w:val="0"/>
          <w:color w:val="auto"/>
        </w:rPr>
        <w:t>并交回农药经营者或回收站。</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lastRenderedPageBreak/>
        <w:t>5.2.5</w:t>
      </w:r>
      <w:r w:rsidRPr="00FC1444">
        <w:rPr>
          <w:rFonts w:eastAsiaTheme="minorEastAsia"/>
          <w:b/>
          <w:sz w:val="28"/>
          <w:szCs w:val="28"/>
        </w:rPr>
        <w:t>土壤</w:t>
      </w:r>
      <w:r w:rsidR="00FC1444" w:rsidRPr="00FC1444">
        <w:rPr>
          <w:rFonts w:eastAsiaTheme="minorEastAsia"/>
          <w:b/>
          <w:sz w:val="28"/>
          <w:szCs w:val="28"/>
        </w:rPr>
        <w:t>生态环境</w:t>
      </w:r>
      <w:r w:rsidRPr="00FC1444">
        <w:rPr>
          <w:rFonts w:eastAsiaTheme="minorEastAsia"/>
          <w:b/>
          <w:sz w:val="28"/>
          <w:szCs w:val="28"/>
        </w:rPr>
        <w:t>影响评价</w:t>
      </w:r>
    </w:p>
    <w:p w:rsidR="002A5A5E" w:rsidRPr="00FC1444" w:rsidRDefault="00611CBA">
      <w:pPr>
        <w:spacing w:line="360" w:lineRule="auto"/>
        <w:ind w:firstLineChars="196" w:firstLine="470"/>
        <w:rPr>
          <w:rFonts w:eastAsiaTheme="minorEastAsia"/>
          <w:sz w:val="24"/>
          <w:szCs w:val="21"/>
        </w:rPr>
      </w:pPr>
      <w:r w:rsidRPr="00FC1444">
        <w:rPr>
          <w:rFonts w:eastAsiaTheme="minorEastAsia"/>
          <w:sz w:val="24"/>
        </w:rPr>
        <w:t>本项目主要</w:t>
      </w:r>
      <w:r w:rsidR="00D61453" w:rsidRPr="00FC1444">
        <w:rPr>
          <w:rFonts w:eastAsiaTheme="minorEastAsia"/>
          <w:sz w:val="24"/>
        </w:rPr>
        <w:t>建设灌溉与排水工程、田间道路工程、农田输配电工程、田块整治工程</w:t>
      </w:r>
      <w:r w:rsidRPr="00FC1444">
        <w:rPr>
          <w:rFonts w:eastAsiaTheme="minorEastAsia"/>
          <w:sz w:val="24"/>
        </w:rPr>
        <w:t>。</w:t>
      </w:r>
      <w:r w:rsidRPr="00FC1444">
        <w:rPr>
          <w:rFonts w:eastAsiaTheme="minorEastAsia"/>
          <w:sz w:val="24"/>
          <w:szCs w:val="21"/>
        </w:rPr>
        <w:t>通过本工程建设，项目运行能减少因沟道长期淤积、渠道损毁堵塞等造成的雨水漫流、水土保持功能缺失、加剧水土流失等问题，可以有效控制新增水土流失量，提高植被覆盖度，也可以改善项目区及其周边生态环境，使区域水土流失得到有效治理，水土保持功能得到恢复。</w:t>
      </w:r>
    </w:p>
    <w:p w:rsidR="002A5A5E" w:rsidRPr="00FC1444" w:rsidRDefault="00611CBA">
      <w:pPr>
        <w:spacing w:line="360" w:lineRule="auto"/>
        <w:ind w:firstLine="482"/>
        <w:rPr>
          <w:rFonts w:eastAsiaTheme="minorEastAsia"/>
          <w:sz w:val="24"/>
        </w:rPr>
      </w:pPr>
      <w:r w:rsidRPr="00FC1444">
        <w:rPr>
          <w:rFonts w:eastAsiaTheme="minorEastAsia"/>
          <w:sz w:val="24"/>
        </w:rPr>
        <w:t>项目建成后灌溉井灌溉过程中，如进行过度灌溉将引起地下水位变化，从而产生区域土壤盐渍化的风险。水田灌溉对土壤潜育化影响。</w:t>
      </w:r>
    </w:p>
    <w:p w:rsidR="002A5A5E" w:rsidRPr="00FC1444" w:rsidRDefault="00611CBA">
      <w:pPr>
        <w:spacing w:line="360" w:lineRule="auto"/>
        <w:ind w:firstLine="482"/>
        <w:rPr>
          <w:rFonts w:eastAsiaTheme="minorEastAsia"/>
          <w:sz w:val="24"/>
        </w:rPr>
      </w:pPr>
      <w:r w:rsidRPr="00FC1444">
        <w:rPr>
          <w:rFonts w:eastAsiaTheme="minorEastAsia"/>
          <w:sz w:val="24"/>
        </w:rPr>
        <w:t>根据土壤现状监测，本项目区域土壤</w:t>
      </w:r>
      <w:r w:rsidRPr="00FC1444">
        <w:rPr>
          <w:rFonts w:eastAsiaTheme="minorEastAsia"/>
          <w:sz w:val="24"/>
          <w:szCs w:val="21"/>
        </w:rPr>
        <w:t>pH</w:t>
      </w:r>
      <w:r w:rsidRPr="00FC1444">
        <w:rPr>
          <w:rFonts w:eastAsiaTheme="minorEastAsia"/>
          <w:sz w:val="24"/>
          <w:szCs w:val="21"/>
        </w:rPr>
        <w:t>值在</w:t>
      </w:r>
      <w:r w:rsidR="00EB77FA" w:rsidRPr="00FC1444">
        <w:rPr>
          <w:rFonts w:eastAsiaTheme="minorEastAsia" w:hint="eastAsia"/>
          <w:sz w:val="24"/>
          <w:szCs w:val="21"/>
        </w:rPr>
        <w:t>7.1</w:t>
      </w:r>
      <w:r w:rsidR="00EB77FA" w:rsidRPr="00FC1444">
        <w:rPr>
          <w:rFonts w:eastAsiaTheme="minorEastAsia"/>
          <w:sz w:val="24"/>
          <w:szCs w:val="21"/>
        </w:rPr>
        <w:t>-7.</w:t>
      </w:r>
      <w:r w:rsidR="00EB77FA" w:rsidRPr="00FC1444">
        <w:rPr>
          <w:rFonts w:eastAsiaTheme="minorEastAsia" w:hint="eastAsia"/>
          <w:sz w:val="24"/>
          <w:szCs w:val="21"/>
        </w:rPr>
        <w:t>6</w:t>
      </w:r>
      <w:r w:rsidR="00B42262" w:rsidRPr="00FC1444">
        <w:rPr>
          <w:rFonts w:eastAsiaTheme="minorEastAsia"/>
          <w:snapToGrid w:val="0"/>
          <w:sz w:val="24"/>
          <w:szCs w:val="22"/>
        </w:rPr>
        <w:t>之间</w:t>
      </w:r>
      <w:r w:rsidRPr="00FC1444">
        <w:rPr>
          <w:rFonts w:eastAsiaTheme="minorEastAsia"/>
          <w:sz w:val="24"/>
          <w:szCs w:val="21"/>
        </w:rPr>
        <w:t>，含盐量为</w:t>
      </w:r>
      <w:r w:rsidR="00B42262" w:rsidRPr="00FC1444">
        <w:rPr>
          <w:rFonts w:eastAsiaTheme="minorEastAsia"/>
          <w:sz w:val="24"/>
          <w:szCs w:val="21"/>
        </w:rPr>
        <w:t>0.</w:t>
      </w:r>
      <w:r w:rsidR="00EB77FA" w:rsidRPr="00FC1444">
        <w:rPr>
          <w:rFonts w:eastAsiaTheme="minorEastAsia" w:hint="eastAsia"/>
          <w:sz w:val="24"/>
          <w:szCs w:val="21"/>
        </w:rPr>
        <w:t>6</w:t>
      </w:r>
      <w:r w:rsidR="00B42262" w:rsidRPr="00FC1444">
        <w:rPr>
          <w:rFonts w:eastAsiaTheme="minorEastAsia"/>
          <w:sz w:val="24"/>
          <w:szCs w:val="21"/>
        </w:rPr>
        <w:t>-0.</w:t>
      </w:r>
      <w:r w:rsidR="00EB77FA" w:rsidRPr="00FC1444">
        <w:rPr>
          <w:rFonts w:eastAsiaTheme="minorEastAsia" w:hint="eastAsia"/>
          <w:sz w:val="24"/>
          <w:szCs w:val="21"/>
        </w:rPr>
        <w:t>8</w:t>
      </w:r>
      <w:r w:rsidRPr="00FC1444">
        <w:rPr>
          <w:rFonts w:eastAsiaTheme="minorEastAsia"/>
          <w:sz w:val="24"/>
          <w:szCs w:val="21"/>
        </w:rPr>
        <w:t>g/kg</w:t>
      </w:r>
      <w:r w:rsidRPr="00FC1444">
        <w:rPr>
          <w:rFonts w:eastAsiaTheme="minorEastAsia"/>
          <w:sz w:val="24"/>
        </w:rPr>
        <w:t>，未出现土壤次生盐渍化现象。本项目建设完成后，对部分渠道进行衬砌，进一步降低灌区田间地下水入渗几率。本工程按照灌溉定额灌溉，考虑农作物灌溉制度、种植结构设计，实行节水型灌溉技术，以满足作物的灌溉需求，严禁过度灌溉，适度灌溉能够提升土壤肥力及农作物产量，土壤中的毛细血管上升幅度较小，不会引起土壤次生盐渍化。</w:t>
      </w:r>
    </w:p>
    <w:p w:rsidR="002A5A5E" w:rsidRPr="00FC1444" w:rsidRDefault="00611CBA">
      <w:pPr>
        <w:spacing w:line="360" w:lineRule="auto"/>
        <w:ind w:firstLine="482"/>
        <w:rPr>
          <w:rFonts w:eastAsiaTheme="minorEastAsia"/>
          <w:sz w:val="24"/>
        </w:rPr>
      </w:pPr>
      <w:r w:rsidRPr="00FC1444">
        <w:rPr>
          <w:rFonts w:eastAsiaTheme="minorEastAsia"/>
          <w:sz w:val="24"/>
        </w:rPr>
        <w:t>项目区地下水主要接受大气降水补给，灌区田间水与区内承压水之间水力联系微弱。</w:t>
      </w:r>
      <w:r w:rsidRPr="00FC1444">
        <w:rPr>
          <w:rFonts w:eastAsiaTheme="minorEastAsia"/>
          <w:bCs/>
          <w:kern w:val="0"/>
          <w:sz w:val="24"/>
        </w:rPr>
        <w:t>根据已批复《</w:t>
      </w:r>
      <w:r w:rsidR="00AE168C" w:rsidRPr="00FC1444">
        <w:rPr>
          <w:rFonts w:eastAsiaTheme="minorEastAsia"/>
          <w:bCs/>
          <w:kern w:val="0"/>
          <w:sz w:val="24"/>
        </w:rPr>
        <w:t>北林区</w:t>
      </w:r>
      <w:r w:rsidR="00AE168C" w:rsidRPr="00FC1444">
        <w:rPr>
          <w:rFonts w:eastAsiaTheme="minorEastAsia"/>
          <w:bCs/>
          <w:kern w:val="0"/>
          <w:sz w:val="24"/>
        </w:rPr>
        <w:t>2026</w:t>
      </w:r>
      <w:r w:rsidR="00AE168C" w:rsidRPr="00FC1444">
        <w:rPr>
          <w:rFonts w:eastAsiaTheme="minorEastAsia"/>
          <w:bCs/>
          <w:kern w:val="0"/>
          <w:sz w:val="24"/>
        </w:rPr>
        <w:t>年高标准农田建设项目</w:t>
      </w:r>
      <w:r w:rsidRPr="00FC1444">
        <w:rPr>
          <w:rFonts w:eastAsiaTheme="minorEastAsia"/>
          <w:bCs/>
          <w:kern w:val="0"/>
          <w:sz w:val="24"/>
        </w:rPr>
        <w:t>水资源论证报告书》预测结果，井群连续开采最大水位降深为</w:t>
      </w:r>
      <w:r w:rsidR="00400760" w:rsidRPr="00FC1444">
        <w:rPr>
          <w:rFonts w:eastAsiaTheme="minorEastAsia"/>
          <w:bCs/>
          <w:kern w:val="0"/>
          <w:sz w:val="24"/>
        </w:rPr>
        <w:t>0.016</w:t>
      </w:r>
      <w:r w:rsidR="00400760" w:rsidRPr="00FC1444">
        <w:rPr>
          <w:rFonts w:eastAsiaTheme="minorEastAsia"/>
          <w:bCs/>
          <w:kern w:val="0"/>
          <w:sz w:val="24"/>
        </w:rPr>
        <w:t>～</w:t>
      </w:r>
      <w:r w:rsidR="00400760" w:rsidRPr="00FC1444">
        <w:rPr>
          <w:rFonts w:eastAsiaTheme="minorEastAsia"/>
          <w:bCs/>
          <w:kern w:val="0"/>
          <w:sz w:val="24"/>
        </w:rPr>
        <w:t>0.021m</w:t>
      </w:r>
      <w:r w:rsidRPr="00FC1444">
        <w:rPr>
          <w:rFonts w:eastAsiaTheme="minorEastAsia"/>
          <w:bCs/>
          <w:kern w:val="0"/>
          <w:sz w:val="24"/>
        </w:rPr>
        <w:t>，</w:t>
      </w:r>
      <w:r w:rsidR="00FD6E06" w:rsidRPr="00FC1444">
        <w:rPr>
          <w:rFonts w:eastAsiaTheme="minorEastAsia"/>
          <w:bCs/>
          <w:kern w:val="0"/>
          <w:sz w:val="24"/>
        </w:rPr>
        <w:t>小于</w:t>
      </w:r>
      <w:r w:rsidR="00FD6E06" w:rsidRPr="00FC1444">
        <w:rPr>
          <w:rFonts w:eastAsiaTheme="minorEastAsia"/>
          <w:bCs/>
          <w:kern w:val="0"/>
          <w:sz w:val="24"/>
        </w:rPr>
        <w:t>0.1m</w:t>
      </w:r>
      <w:r w:rsidRPr="00FC1444">
        <w:rPr>
          <w:rFonts w:eastAsiaTheme="minorEastAsia"/>
          <w:bCs/>
          <w:kern w:val="0"/>
          <w:sz w:val="24"/>
        </w:rPr>
        <w:t>，小于含水层厚度</w:t>
      </w:r>
      <w:r w:rsidRPr="00FC1444">
        <w:rPr>
          <w:rFonts w:eastAsiaTheme="minorEastAsia"/>
          <w:bCs/>
          <w:kern w:val="0"/>
          <w:sz w:val="24"/>
        </w:rPr>
        <w:t>30m</w:t>
      </w:r>
      <w:r w:rsidRPr="00FC1444">
        <w:rPr>
          <w:rFonts w:eastAsiaTheme="minorEastAsia"/>
          <w:bCs/>
          <w:kern w:val="0"/>
          <w:sz w:val="24"/>
        </w:rPr>
        <w:t>的三分之一，项目取水造成的地下水水位降深在允许范围内，对</w:t>
      </w:r>
      <w:r w:rsidRPr="00FC1444">
        <w:rPr>
          <w:rFonts w:eastAsiaTheme="minorEastAsia"/>
          <w:snapToGrid w:val="0"/>
          <w:kern w:val="0"/>
          <w:sz w:val="24"/>
          <w:szCs w:val="22"/>
        </w:rPr>
        <w:t>地下水补给范围影响较小</w:t>
      </w:r>
      <w:r w:rsidRPr="00FC1444">
        <w:rPr>
          <w:rFonts w:eastAsiaTheme="minorEastAsia"/>
          <w:bCs/>
          <w:kern w:val="0"/>
          <w:sz w:val="24"/>
        </w:rPr>
        <w:t>。项目为非持续性，开采期为每年的</w:t>
      </w:r>
      <w:r w:rsidRPr="00FC1444">
        <w:rPr>
          <w:rFonts w:eastAsiaTheme="minorEastAsia"/>
          <w:bCs/>
          <w:kern w:val="0"/>
          <w:sz w:val="24"/>
        </w:rPr>
        <w:t>5-7</w:t>
      </w:r>
      <w:r w:rsidRPr="00FC1444">
        <w:rPr>
          <w:rFonts w:eastAsiaTheme="minorEastAsia"/>
          <w:bCs/>
          <w:kern w:val="0"/>
          <w:sz w:val="24"/>
        </w:rPr>
        <w:t>月，随着</w:t>
      </w:r>
      <w:r w:rsidRPr="00FC1444">
        <w:rPr>
          <w:rFonts w:eastAsiaTheme="minorEastAsia"/>
          <w:bCs/>
          <w:kern w:val="0"/>
          <w:sz w:val="24"/>
        </w:rPr>
        <w:t>7</w:t>
      </w:r>
      <w:r w:rsidRPr="00FC1444">
        <w:rPr>
          <w:rFonts w:eastAsiaTheme="minorEastAsia"/>
          <w:bCs/>
          <w:kern w:val="0"/>
          <w:sz w:val="24"/>
        </w:rPr>
        <w:t>月份丰水期的到来，以丰补歉，项目取水所在区域处于漫滩和阶地区，地下水资源丰富，地下水补给、径流、排泄条件通畅，含水层厚度较大，富水性较好，含水层的大气降水垂直入渗补给条件较好，含水层调节能力强，故项目取水对区域</w:t>
      </w:r>
      <w:r w:rsidRPr="00FC1444">
        <w:rPr>
          <w:rFonts w:eastAsiaTheme="minorEastAsia"/>
          <w:bCs/>
          <w:sz w:val="24"/>
        </w:rPr>
        <w:t>地下水</w:t>
      </w:r>
      <w:r w:rsidRPr="00FC1444">
        <w:rPr>
          <w:rFonts w:eastAsiaTheme="minorEastAsia"/>
          <w:bCs/>
          <w:kern w:val="0"/>
          <w:sz w:val="24"/>
        </w:rPr>
        <w:t>影响较小。故不会对土壤结构造成破坏，不会引起干化、沙化等问题。</w:t>
      </w:r>
    </w:p>
    <w:p w:rsidR="002A5A5E" w:rsidRPr="00FC1444" w:rsidRDefault="00611CBA">
      <w:pPr>
        <w:spacing w:line="360" w:lineRule="auto"/>
        <w:ind w:firstLine="482"/>
        <w:rPr>
          <w:rFonts w:eastAsiaTheme="minorEastAsia"/>
          <w:sz w:val="24"/>
        </w:rPr>
      </w:pPr>
      <w:r w:rsidRPr="00FC1444">
        <w:rPr>
          <w:rFonts w:eastAsiaTheme="minorEastAsia"/>
          <w:sz w:val="24"/>
        </w:rPr>
        <w:t>我省种植水稻已有几十年的历史，至今未发生水田有沼泽化的现象，其原因是水稻不是沼泽植物，不会产生泥炭累积，由于每年耕翻水稻，根系很快能分解，北方的水稻一年一熟，淹水时间短，而且水稻淹水仅</w:t>
      </w:r>
      <w:r w:rsidRPr="00FC1444">
        <w:rPr>
          <w:rFonts w:eastAsiaTheme="minorEastAsia"/>
          <w:sz w:val="24"/>
        </w:rPr>
        <w:t>70</w:t>
      </w:r>
      <w:r w:rsidRPr="00FC1444">
        <w:rPr>
          <w:rFonts w:eastAsiaTheme="minorEastAsia"/>
          <w:sz w:val="24"/>
        </w:rPr>
        <w:t>天～</w:t>
      </w:r>
      <w:r w:rsidRPr="00FC1444">
        <w:rPr>
          <w:rFonts w:eastAsiaTheme="minorEastAsia"/>
          <w:sz w:val="24"/>
        </w:rPr>
        <w:t>80</w:t>
      </w:r>
      <w:r w:rsidRPr="00FC1444">
        <w:rPr>
          <w:rFonts w:eastAsiaTheme="minorEastAsia"/>
          <w:sz w:val="24"/>
        </w:rPr>
        <w:t>天，不是常年积水，所以不会产生沼泽化。</w:t>
      </w:r>
    </w:p>
    <w:p w:rsidR="002A5A5E" w:rsidRPr="00FC1444" w:rsidRDefault="00611CBA">
      <w:pPr>
        <w:spacing w:line="360" w:lineRule="auto"/>
        <w:ind w:firstLine="482"/>
        <w:rPr>
          <w:rFonts w:eastAsiaTheme="minorEastAsia"/>
          <w:sz w:val="24"/>
        </w:rPr>
      </w:pPr>
      <w:r w:rsidRPr="00FC1444">
        <w:rPr>
          <w:rFonts w:eastAsiaTheme="minorEastAsia"/>
          <w:sz w:val="24"/>
        </w:rPr>
        <w:t>本项目采用节水灌溉方式，配套健全灌排渠系系统，通过农民进行科学合理的耕作，将改良土壤结构，增加有机质含量，培肥地力，逐渐改善土壤板结状况，</w:t>
      </w:r>
      <w:r w:rsidRPr="00FC1444">
        <w:rPr>
          <w:rFonts w:eastAsiaTheme="minorEastAsia"/>
          <w:sz w:val="24"/>
        </w:rPr>
        <w:lastRenderedPageBreak/>
        <w:t>增进土壤的养分循环，土壤含水能力增强，这些变化将在一定程度上改善和提高土壤环境质量，使土壤生态系统稳定性增强，土地潜力得到充分发挥，农业生产水平将大幅度提高，土地资源得到合理利用。</w:t>
      </w:r>
    </w:p>
    <w:p w:rsidR="002A5A5E" w:rsidRPr="00FC1444" w:rsidRDefault="00611CBA">
      <w:pPr>
        <w:spacing w:line="360" w:lineRule="auto"/>
        <w:ind w:firstLine="482"/>
        <w:rPr>
          <w:rFonts w:eastAsiaTheme="minorEastAsia"/>
          <w:sz w:val="24"/>
        </w:rPr>
      </w:pPr>
      <w:r w:rsidRPr="00FC1444">
        <w:rPr>
          <w:rFonts w:eastAsiaTheme="minorEastAsia"/>
          <w:bCs/>
          <w:sz w:val="24"/>
        </w:rPr>
        <w:t>本次改造后，通过加强管理，</w:t>
      </w:r>
      <w:r w:rsidRPr="00FC1444">
        <w:rPr>
          <w:rFonts w:eastAsiaTheme="minorEastAsia"/>
          <w:sz w:val="24"/>
        </w:rPr>
        <w:t>施行</w:t>
      </w:r>
      <w:r w:rsidRPr="00FC1444">
        <w:rPr>
          <w:rFonts w:eastAsiaTheme="minorEastAsia"/>
          <w:sz w:val="24"/>
        </w:rPr>
        <w:t>“</w:t>
      </w:r>
      <w:r w:rsidRPr="00FC1444">
        <w:rPr>
          <w:rFonts w:eastAsiaTheme="minorEastAsia"/>
          <w:sz w:val="24"/>
        </w:rPr>
        <w:t>三减</w:t>
      </w:r>
      <w:r w:rsidRPr="00FC1444">
        <w:rPr>
          <w:rFonts w:eastAsiaTheme="minorEastAsia"/>
          <w:sz w:val="24"/>
        </w:rPr>
        <w:t>”</w:t>
      </w:r>
      <w:r w:rsidRPr="00FC1444">
        <w:rPr>
          <w:rFonts w:eastAsiaTheme="minorEastAsia"/>
          <w:sz w:val="24"/>
        </w:rPr>
        <w:t>行动，即减化肥、减农药、减除草剂，水稻亩施肥量</w:t>
      </w:r>
      <w:r w:rsidRPr="00FC1444">
        <w:rPr>
          <w:rFonts w:eastAsiaTheme="minorEastAsia"/>
          <w:sz w:val="24"/>
        </w:rPr>
        <w:t>50</w:t>
      </w:r>
      <w:r w:rsidRPr="00FC1444">
        <w:rPr>
          <w:rFonts w:eastAsiaTheme="minorEastAsia"/>
          <w:sz w:val="24"/>
        </w:rPr>
        <w:t>公斤，玉米亩施肥量</w:t>
      </w:r>
      <w:r w:rsidRPr="00FC1444">
        <w:rPr>
          <w:rFonts w:eastAsiaTheme="minorEastAsia"/>
          <w:sz w:val="24"/>
        </w:rPr>
        <w:t>65</w:t>
      </w:r>
      <w:r w:rsidRPr="00FC1444">
        <w:rPr>
          <w:rFonts w:eastAsiaTheme="minorEastAsia"/>
          <w:sz w:val="24"/>
        </w:rPr>
        <w:t>公斤；水稻亩施药量</w:t>
      </w:r>
      <w:r w:rsidRPr="00FC1444">
        <w:rPr>
          <w:rFonts w:eastAsiaTheme="minorEastAsia"/>
          <w:sz w:val="24"/>
        </w:rPr>
        <w:t>0.36</w:t>
      </w:r>
      <w:r w:rsidRPr="00FC1444">
        <w:rPr>
          <w:rFonts w:eastAsiaTheme="minorEastAsia"/>
          <w:sz w:val="24"/>
        </w:rPr>
        <w:t>公斤，玉米亩施药量</w:t>
      </w:r>
      <w:r w:rsidRPr="00FC1444">
        <w:rPr>
          <w:rFonts w:eastAsiaTheme="minorEastAsia"/>
          <w:sz w:val="24"/>
        </w:rPr>
        <w:t>0.31</w:t>
      </w:r>
      <w:r w:rsidRPr="00FC1444">
        <w:rPr>
          <w:rFonts w:eastAsiaTheme="minorEastAsia"/>
          <w:sz w:val="24"/>
        </w:rPr>
        <w:t>公斤，大豆亩施药量</w:t>
      </w:r>
      <w:r w:rsidRPr="00FC1444">
        <w:rPr>
          <w:rFonts w:eastAsiaTheme="minorEastAsia"/>
          <w:sz w:val="24"/>
        </w:rPr>
        <w:t>0.26</w:t>
      </w:r>
      <w:r w:rsidRPr="00FC1444">
        <w:rPr>
          <w:rFonts w:eastAsiaTheme="minorEastAsia"/>
          <w:sz w:val="24"/>
        </w:rPr>
        <w:t>公斤。</w:t>
      </w:r>
      <w:r w:rsidRPr="00FC1444">
        <w:rPr>
          <w:rFonts w:eastAsiaTheme="minorEastAsia"/>
          <w:bCs/>
          <w:sz w:val="24"/>
        </w:rPr>
        <w:t>削减化肥和化学农药用量，增加有机肥、复合肥以及生物农药和高效低毒低残留农药的施用量。采取测土配方施肥、水肥一体化措施，</w:t>
      </w:r>
      <w:r w:rsidRPr="00FC1444">
        <w:rPr>
          <w:rFonts w:eastAsiaTheme="minorEastAsia"/>
          <w:sz w:val="24"/>
        </w:rPr>
        <w:t>化肥和化学农药用量将会大量削减，土壤中化肥和化学农药残留量将会减少对土壤的污染。</w:t>
      </w:r>
    </w:p>
    <w:p w:rsidR="002A5A5E" w:rsidRPr="00FC1444" w:rsidRDefault="00611CBA">
      <w:pPr>
        <w:spacing w:line="360" w:lineRule="auto"/>
        <w:ind w:firstLine="482"/>
        <w:rPr>
          <w:rFonts w:eastAsiaTheme="minorEastAsia"/>
          <w:sz w:val="24"/>
        </w:rPr>
      </w:pPr>
      <w:r w:rsidRPr="00FC1444">
        <w:rPr>
          <w:rFonts w:eastAsiaTheme="minorEastAsia"/>
          <w:sz w:val="24"/>
        </w:rPr>
        <w:t>故本项目的建设对土壤环境影响不大。运营期建设单位定期对土壤环境进行监测。</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5.2.6</w:t>
      </w:r>
      <w:r w:rsidRPr="00FC1444">
        <w:rPr>
          <w:rFonts w:eastAsiaTheme="minorEastAsia"/>
          <w:b/>
          <w:sz w:val="28"/>
          <w:szCs w:val="28"/>
        </w:rPr>
        <w:t>农田输配电工程电磁辐射</w:t>
      </w:r>
      <w:r w:rsidR="00FC1444" w:rsidRPr="00FC1444">
        <w:rPr>
          <w:rFonts w:eastAsiaTheme="minorEastAsia"/>
          <w:b/>
          <w:sz w:val="28"/>
          <w:szCs w:val="28"/>
        </w:rPr>
        <w:t>生态环境</w:t>
      </w:r>
      <w:r w:rsidRPr="00FC1444">
        <w:rPr>
          <w:rFonts w:eastAsiaTheme="minorEastAsia"/>
          <w:b/>
          <w:sz w:val="28"/>
          <w:szCs w:val="28"/>
        </w:rPr>
        <w:t>影响评价</w:t>
      </w:r>
    </w:p>
    <w:p w:rsidR="002A5A5E" w:rsidRPr="00FC1444" w:rsidRDefault="00611CBA">
      <w:pPr>
        <w:spacing w:line="360" w:lineRule="auto"/>
        <w:ind w:firstLine="482"/>
        <w:rPr>
          <w:rFonts w:eastAsiaTheme="minorEastAsia"/>
          <w:sz w:val="24"/>
        </w:rPr>
      </w:pPr>
      <w:r w:rsidRPr="00FC1444">
        <w:rPr>
          <w:rFonts w:eastAsiaTheme="minorEastAsia"/>
          <w:sz w:val="24"/>
        </w:rPr>
        <w:t>根据《电磁环境控制限值》（</w:t>
      </w:r>
      <w:r w:rsidRPr="00FC1444">
        <w:rPr>
          <w:rFonts w:eastAsiaTheme="minorEastAsia"/>
          <w:sz w:val="24"/>
        </w:rPr>
        <w:t>GB8702-2014</w:t>
      </w:r>
      <w:r w:rsidRPr="00FC1444">
        <w:rPr>
          <w:rFonts w:eastAsiaTheme="minorEastAsia"/>
          <w:sz w:val="24"/>
        </w:rPr>
        <w:t>）可知，</w:t>
      </w:r>
      <w:r w:rsidRPr="00FC1444">
        <w:rPr>
          <w:rFonts w:eastAsiaTheme="minorEastAsia"/>
          <w:sz w:val="24"/>
        </w:rPr>
        <w:t>100kV</w:t>
      </w:r>
      <w:r w:rsidRPr="00FC1444">
        <w:rPr>
          <w:rFonts w:eastAsiaTheme="minorEastAsia"/>
          <w:sz w:val="24"/>
        </w:rPr>
        <w:t>以下电压等级的交流输变电设施豁免管理，本项目高压线路为</w:t>
      </w:r>
      <w:r w:rsidRPr="00FC1444">
        <w:rPr>
          <w:rFonts w:eastAsiaTheme="minorEastAsia"/>
          <w:sz w:val="24"/>
        </w:rPr>
        <w:t>10kV</w:t>
      </w:r>
      <w:r w:rsidRPr="00FC1444">
        <w:rPr>
          <w:rFonts w:eastAsiaTheme="minorEastAsia"/>
          <w:sz w:val="24"/>
        </w:rPr>
        <w:t>，低压线路为</w:t>
      </w:r>
      <w:r w:rsidRPr="00FC1444">
        <w:rPr>
          <w:rFonts w:eastAsiaTheme="minorEastAsia"/>
          <w:sz w:val="24"/>
        </w:rPr>
        <w:t>0.4kV</w:t>
      </w:r>
      <w:r w:rsidRPr="00FC1444">
        <w:rPr>
          <w:rFonts w:eastAsiaTheme="minorEastAsia"/>
          <w:sz w:val="24"/>
        </w:rPr>
        <w:t>，</w:t>
      </w:r>
      <w:r w:rsidRPr="00FC1444">
        <w:rPr>
          <w:rFonts w:eastAsiaTheme="minorEastAsia"/>
          <w:bCs/>
          <w:sz w:val="24"/>
        </w:rPr>
        <w:t>变压器型号为</w:t>
      </w:r>
      <w:r w:rsidRPr="00FC1444">
        <w:rPr>
          <w:rFonts w:eastAsiaTheme="minorEastAsia"/>
          <w:sz w:val="24"/>
        </w:rPr>
        <w:t>S20-M-30kVA</w:t>
      </w:r>
      <w:r w:rsidRPr="00FC1444">
        <w:rPr>
          <w:rFonts w:eastAsiaTheme="minorEastAsia"/>
          <w:sz w:val="24"/>
        </w:rPr>
        <w:t>、</w:t>
      </w:r>
      <w:r w:rsidRPr="00FC1444">
        <w:rPr>
          <w:rFonts w:eastAsiaTheme="minorEastAsia"/>
          <w:sz w:val="24"/>
        </w:rPr>
        <w:t>S20-M-50kVA</w:t>
      </w:r>
      <w:r w:rsidRPr="00FC1444">
        <w:rPr>
          <w:rFonts w:eastAsiaTheme="minorEastAsia"/>
          <w:sz w:val="24"/>
        </w:rPr>
        <w:t>、</w:t>
      </w:r>
      <w:r w:rsidRPr="00FC1444">
        <w:rPr>
          <w:rFonts w:eastAsiaTheme="minorEastAsia"/>
          <w:sz w:val="24"/>
        </w:rPr>
        <w:t>S20-M-80kVA</w:t>
      </w:r>
      <w:r w:rsidRPr="00FC1444">
        <w:rPr>
          <w:rFonts w:eastAsiaTheme="minorEastAsia"/>
          <w:sz w:val="24"/>
        </w:rPr>
        <w:t>，属于豁免范畴，根据《中华人民共和国环境电磁波卫生标准》，适合人们长期居住的安全区环境电磁辐射值必须小于</w:t>
      </w:r>
      <w:r w:rsidRPr="00FC1444">
        <w:rPr>
          <w:rFonts w:eastAsiaTheme="minorEastAsia"/>
          <w:sz w:val="24"/>
        </w:rPr>
        <w:t>0.01kV/m</w:t>
      </w:r>
      <w:r w:rsidRPr="00FC1444">
        <w:rPr>
          <w:rFonts w:eastAsiaTheme="minorEastAsia"/>
          <w:sz w:val="24"/>
        </w:rPr>
        <w:t>。</w:t>
      </w:r>
      <w:r w:rsidRPr="00FC1444">
        <w:rPr>
          <w:rFonts w:eastAsiaTheme="minorEastAsia"/>
          <w:sz w:val="24"/>
        </w:rPr>
        <w:t>11-66</w:t>
      </w:r>
      <w:r w:rsidRPr="00FC1444">
        <w:rPr>
          <w:rFonts w:eastAsiaTheme="minorEastAsia"/>
          <w:sz w:val="24"/>
        </w:rPr>
        <w:t>千伏的高压线在十数米范围内的电磁辐射强度超过</w:t>
      </w:r>
      <w:r w:rsidRPr="00FC1444">
        <w:rPr>
          <w:rFonts w:eastAsiaTheme="minorEastAsia"/>
          <w:sz w:val="24"/>
        </w:rPr>
        <w:t>0.4</w:t>
      </w:r>
      <w:r w:rsidRPr="00FC1444">
        <w:rPr>
          <w:rFonts w:eastAsiaTheme="minorEastAsia"/>
          <w:sz w:val="24"/>
        </w:rPr>
        <w:t>微特斯拉，本项目</w:t>
      </w:r>
      <w:r w:rsidRPr="00FC1444">
        <w:rPr>
          <w:rFonts w:eastAsiaTheme="minorEastAsia"/>
          <w:sz w:val="24"/>
        </w:rPr>
        <w:t>10kV</w:t>
      </w:r>
      <w:r w:rsidRPr="00FC1444">
        <w:rPr>
          <w:rFonts w:eastAsiaTheme="minorEastAsia"/>
          <w:sz w:val="24"/>
        </w:rPr>
        <w:t>电磁辐射更小，故对周围影响不大。</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5.2.7</w:t>
      </w:r>
      <w:r w:rsidRPr="00FC1444">
        <w:rPr>
          <w:rFonts w:eastAsiaTheme="minorEastAsia"/>
          <w:b/>
          <w:sz w:val="28"/>
          <w:szCs w:val="28"/>
        </w:rPr>
        <w:t>风险</w:t>
      </w:r>
      <w:r w:rsidR="00FC1444" w:rsidRPr="00FC1444">
        <w:rPr>
          <w:rFonts w:eastAsiaTheme="minorEastAsia"/>
          <w:b/>
          <w:sz w:val="28"/>
          <w:szCs w:val="28"/>
        </w:rPr>
        <w:t>生态环境</w:t>
      </w:r>
      <w:r w:rsidRPr="00FC1444">
        <w:rPr>
          <w:rFonts w:eastAsiaTheme="minorEastAsia"/>
          <w:b/>
          <w:sz w:val="28"/>
          <w:szCs w:val="28"/>
        </w:rPr>
        <w:t>影响评价</w:t>
      </w:r>
    </w:p>
    <w:p w:rsidR="002A5A5E" w:rsidRPr="00FC1444" w:rsidRDefault="00611CBA">
      <w:pPr>
        <w:widowControl/>
        <w:tabs>
          <w:tab w:val="left" w:leader="middleDot" w:pos="0"/>
        </w:tabs>
        <w:spacing w:line="360" w:lineRule="auto"/>
        <w:ind w:firstLineChars="200" w:firstLine="480"/>
        <w:rPr>
          <w:rFonts w:eastAsiaTheme="minorEastAsia"/>
          <w:sz w:val="24"/>
        </w:rPr>
      </w:pPr>
      <w:r w:rsidRPr="00FC1444">
        <w:rPr>
          <w:rFonts w:eastAsiaTheme="minorEastAsia"/>
          <w:sz w:val="24"/>
        </w:rPr>
        <w:t>根据工程分析结果，本项目危险物质数量与临界量比值</w:t>
      </w:r>
      <w:r w:rsidRPr="00FC1444">
        <w:rPr>
          <w:rFonts w:eastAsiaTheme="minorEastAsia"/>
          <w:sz w:val="24"/>
        </w:rPr>
        <w:t>Q</w:t>
      </w:r>
      <w:r w:rsidRPr="00FC1444">
        <w:rPr>
          <w:rFonts w:eastAsiaTheme="minorEastAsia"/>
          <w:sz w:val="24"/>
        </w:rPr>
        <w:t>小于</w:t>
      </w:r>
      <w:r w:rsidRPr="00FC1444">
        <w:rPr>
          <w:rFonts w:eastAsiaTheme="minorEastAsia"/>
          <w:sz w:val="24"/>
        </w:rPr>
        <w:t>1</w:t>
      </w:r>
      <w:r w:rsidRPr="00FC1444">
        <w:rPr>
          <w:rFonts w:eastAsiaTheme="minorEastAsia"/>
          <w:sz w:val="24"/>
        </w:rPr>
        <w:t>，环境风险潜势为</w:t>
      </w:r>
      <w:r w:rsidR="009840DD" w:rsidRPr="00FC1444">
        <w:rPr>
          <w:rFonts w:eastAsiaTheme="minorEastAsia"/>
          <w:sz w:val="24"/>
        </w:rPr>
        <w:fldChar w:fldCharType="begin"/>
      </w:r>
      <w:r w:rsidRPr="00FC1444">
        <w:rPr>
          <w:rFonts w:eastAsiaTheme="minorEastAsia"/>
          <w:sz w:val="24"/>
        </w:rPr>
        <w:instrText xml:space="preserve"> = 1 \* ROMAN </w:instrText>
      </w:r>
      <w:r w:rsidR="009840DD" w:rsidRPr="00FC1444">
        <w:rPr>
          <w:rFonts w:eastAsiaTheme="minorEastAsia"/>
          <w:sz w:val="24"/>
        </w:rPr>
        <w:fldChar w:fldCharType="separate"/>
      </w:r>
      <w:r w:rsidRPr="00FC1444">
        <w:rPr>
          <w:rFonts w:eastAsiaTheme="minorEastAsia"/>
          <w:sz w:val="24"/>
        </w:rPr>
        <w:t>I</w:t>
      </w:r>
      <w:r w:rsidR="009840DD" w:rsidRPr="00FC1444">
        <w:rPr>
          <w:rFonts w:eastAsiaTheme="minorEastAsia"/>
          <w:sz w:val="24"/>
        </w:rPr>
        <w:fldChar w:fldCharType="end"/>
      </w:r>
      <w:r w:rsidRPr="00FC1444">
        <w:rPr>
          <w:rFonts w:eastAsiaTheme="minorEastAsia"/>
          <w:sz w:val="24"/>
        </w:rPr>
        <w:t>，进行简单分析。</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5.2.7.1</w:t>
      </w:r>
      <w:r w:rsidRPr="00FC1444">
        <w:rPr>
          <w:rFonts w:eastAsiaTheme="minorEastAsia"/>
          <w:b/>
          <w:sz w:val="24"/>
        </w:rPr>
        <w:t>环境敏感目标概况</w:t>
      </w:r>
    </w:p>
    <w:p w:rsidR="002A5A5E" w:rsidRPr="00FC1444" w:rsidRDefault="00611CBA">
      <w:pPr>
        <w:spacing w:line="360" w:lineRule="auto"/>
        <w:ind w:firstLineChars="200" w:firstLine="480"/>
        <w:rPr>
          <w:rFonts w:eastAsiaTheme="minorEastAsia"/>
          <w:sz w:val="24"/>
        </w:rPr>
      </w:pPr>
      <w:r w:rsidRPr="00FC1444">
        <w:rPr>
          <w:rFonts w:eastAsiaTheme="minorEastAsia"/>
          <w:kern w:val="0"/>
          <w:sz w:val="24"/>
        </w:rPr>
        <w:t>根据风险潜势判断，本项目不设环境风险评价等级和评价范围，仅开展简单分析，环境敏感目标主要为高标准农田片区范围内村屯</w:t>
      </w:r>
      <w:r w:rsidRPr="00FC1444">
        <w:rPr>
          <w:rFonts w:eastAsiaTheme="minorEastAsia"/>
          <w:sz w:val="24"/>
        </w:rPr>
        <w:t>。</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5.2.7.2</w:t>
      </w:r>
      <w:r w:rsidRPr="00FC1444">
        <w:rPr>
          <w:rFonts w:eastAsiaTheme="minorEastAsia"/>
          <w:b/>
          <w:sz w:val="24"/>
        </w:rPr>
        <w:t>环境风险识别</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bCs/>
        </w:rPr>
        <w:lastRenderedPageBreak/>
        <w:t>本项目风险事故发生的潜在因素主要为运营期柴油机移动泵车中柴油泄漏、变压器中变压器油泄漏，泄漏的主要原因为设备失修，管理不善，操作失误等</w:t>
      </w:r>
      <w:r w:rsidRPr="00FC1444">
        <w:rPr>
          <w:rFonts w:ascii="Times New Roman" w:hAnsi="Times New Roman" w:cs="Times New Roman"/>
        </w:rPr>
        <w:t>。一旦发生泄漏风险，将对</w:t>
      </w:r>
      <w:r w:rsidRPr="00FC1444">
        <w:rPr>
          <w:rFonts w:ascii="Times New Roman" w:hAnsi="Times New Roman" w:cs="Times New Roman"/>
          <w:bCs/>
        </w:rPr>
        <w:t>大气环境、</w:t>
      </w:r>
      <w:r w:rsidRPr="00FC1444">
        <w:rPr>
          <w:rFonts w:ascii="Times New Roman" w:hAnsi="Times New Roman" w:cs="Times New Roman"/>
        </w:rPr>
        <w:t>地下水造成影响。</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5.2.7.3</w:t>
      </w:r>
      <w:r w:rsidRPr="00FC1444">
        <w:rPr>
          <w:rFonts w:eastAsiaTheme="minorEastAsia"/>
          <w:b/>
          <w:sz w:val="24"/>
        </w:rPr>
        <w:t>环境风险分析</w:t>
      </w:r>
    </w:p>
    <w:p w:rsidR="002A5A5E" w:rsidRPr="00FC1444" w:rsidRDefault="00611CBA">
      <w:pPr>
        <w:pStyle w:val="aff4"/>
        <w:adjustRightInd/>
        <w:snapToGrid/>
        <w:rPr>
          <w:rFonts w:ascii="Times New Roman" w:hAnsi="Times New Roman" w:cs="Times New Roman"/>
        </w:rPr>
      </w:pPr>
      <w:r w:rsidRPr="00FC1444">
        <w:rPr>
          <w:rFonts w:ascii="Times New Roman" w:hAnsi="Times New Roman" w:cs="Times New Roman"/>
        </w:rPr>
        <w:t>项目发生泄漏等环境风险事故时，污染物的扩散途径有如下几种：</w:t>
      </w:r>
    </w:p>
    <w:p w:rsidR="002A5A5E" w:rsidRPr="00FC1444" w:rsidRDefault="00611CBA">
      <w:pPr>
        <w:pStyle w:val="aff4"/>
        <w:adjustRightInd/>
        <w:snapToGrid/>
        <w:rPr>
          <w:rFonts w:ascii="Times New Roman" w:hAnsi="Times New Roman" w:cs="Times New Roman"/>
        </w:rPr>
      </w:pPr>
      <w:r w:rsidRPr="00FC1444">
        <w:rPr>
          <w:rFonts w:ascii="Times New Roman" w:hAnsi="Times New Roman" w:cs="Times New Roman"/>
          <w:bCs/>
        </w:rPr>
        <w:t>柴油、变压器油</w:t>
      </w:r>
      <w:r w:rsidRPr="00FC1444">
        <w:rPr>
          <w:rFonts w:ascii="Times New Roman" w:hAnsi="Times New Roman" w:cs="Times New Roman"/>
        </w:rPr>
        <w:t>泄漏后，</w:t>
      </w:r>
      <w:r w:rsidRPr="00FC1444">
        <w:rPr>
          <w:rFonts w:ascii="Times New Roman" w:hAnsi="Times New Roman" w:cs="Times New Roman"/>
          <w:kern w:val="0"/>
        </w:rPr>
        <w:t>引发的火灾，火灾事故排放烟尘、二氧化硫、氮氧化物等有毒有害物质主要通过大气扩散</w:t>
      </w:r>
      <w:r w:rsidRPr="00FC1444">
        <w:rPr>
          <w:rFonts w:ascii="Times New Roman" w:hAnsi="Times New Roman" w:cs="Times New Roman"/>
        </w:rPr>
        <w:t>，在不利气象条件下可能对周围居民区等敏感目标造成不利影响。泄漏液体进入地下水，将对区域地下水造成影响。</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5.2.7.4</w:t>
      </w:r>
      <w:r w:rsidRPr="00FC1444">
        <w:rPr>
          <w:rFonts w:eastAsiaTheme="minorEastAsia"/>
          <w:b/>
          <w:sz w:val="24"/>
        </w:rPr>
        <w:t>风险防范措施及应急要求</w:t>
      </w:r>
    </w:p>
    <w:p w:rsidR="002A5A5E" w:rsidRPr="00FC1444" w:rsidRDefault="00611CBA">
      <w:pPr>
        <w:spacing w:line="360" w:lineRule="auto"/>
        <w:ind w:firstLineChars="200" w:firstLine="480"/>
        <w:rPr>
          <w:rFonts w:eastAsiaTheme="minorEastAsia"/>
          <w:sz w:val="24"/>
          <w:szCs w:val="20"/>
        </w:rPr>
      </w:pPr>
      <w:r w:rsidRPr="00FC1444">
        <w:rPr>
          <w:rFonts w:eastAsiaTheme="minorEastAsia"/>
          <w:sz w:val="24"/>
          <w:szCs w:val="20"/>
        </w:rPr>
        <w:t>本项目</w:t>
      </w:r>
      <w:r w:rsidRPr="00FC1444">
        <w:rPr>
          <w:rFonts w:eastAsiaTheme="minorEastAsia"/>
          <w:bCs/>
          <w:sz w:val="24"/>
          <w:szCs w:val="20"/>
        </w:rPr>
        <w:t>柴油机移动泵车</w:t>
      </w:r>
      <w:r w:rsidRPr="00FC1444">
        <w:rPr>
          <w:rFonts w:eastAsiaTheme="minorEastAsia"/>
          <w:sz w:val="24"/>
          <w:szCs w:val="20"/>
        </w:rPr>
        <w:t>油箱密闭，不使用时于村内暂存，暂存处地面设置重点防渗（等效黏土防渗层</w:t>
      </w:r>
      <w:r w:rsidRPr="00FC1444">
        <w:rPr>
          <w:rFonts w:eastAsiaTheme="minorEastAsia"/>
          <w:sz w:val="24"/>
          <w:szCs w:val="20"/>
        </w:rPr>
        <w:t>Mb≥6.0m</w:t>
      </w:r>
      <w:r w:rsidRPr="00FC1444">
        <w:rPr>
          <w:rFonts w:eastAsiaTheme="minorEastAsia"/>
          <w:sz w:val="24"/>
          <w:szCs w:val="20"/>
        </w:rPr>
        <w:t>，渗透系数</w:t>
      </w:r>
      <w:r w:rsidRPr="00FC1444">
        <w:rPr>
          <w:rFonts w:eastAsiaTheme="minorEastAsia"/>
          <w:sz w:val="24"/>
          <w:szCs w:val="20"/>
        </w:rPr>
        <w:t>K≤1.0×10</w:t>
      </w:r>
      <w:r w:rsidRPr="00FC1444">
        <w:rPr>
          <w:rFonts w:eastAsiaTheme="minorEastAsia"/>
          <w:sz w:val="24"/>
          <w:szCs w:val="20"/>
          <w:vertAlign w:val="superscript"/>
        </w:rPr>
        <w:t>-7</w:t>
      </w:r>
      <w:r w:rsidRPr="00FC1444">
        <w:rPr>
          <w:rFonts w:eastAsiaTheme="minorEastAsia"/>
          <w:sz w:val="24"/>
          <w:szCs w:val="20"/>
        </w:rPr>
        <w:t>cm/s</w:t>
      </w:r>
      <w:r w:rsidRPr="00FC1444">
        <w:rPr>
          <w:rFonts w:eastAsiaTheme="minorEastAsia"/>
          <w:sz w:val="24"/>
          <w:szCs w:val="20"/>
        </w:rPr>
        <w:t>），正常情况下不会泄漏，若发生泄漏事故，属于小范围污染，立即用沙土进行掩埋，产生的含油沙土交由资质单位运输和处置。</w:t>
      </w:r>
    </w:p>
    <w:p w:rsidR="002A5A5E" w:rsidRPr="00FC1444" w:rsidRDefault="00611CBA">
      <w:pPr>
        <w:widowControl/>
        <w:spacing w:line="360" w:lineRule="auto"/>
        <w:ind w:firstLineChars="200" w:firstLine="480"/>
        <w:jc w:val="left"/>
        <w:rPr>
          <w:rFonts w:eastAsiaTheme="minorEastAsia"/>
          <w:sz w:val="24"/>
        </w:rPr>
      </w:pPr>
      <w:r w:rsidRPr="00FC1444">
        <w:rPr>
          <w:rFonts w:eastAsiaTheme="minorEastAsia"/>
          <w:sz w:val="24"/>
        </w:rPr>
        <w:t>本项目变压器油箱采取全密封结构，采用真空注油工艺，防止进水、进气，延缓变压器老化，提高运行可靠性，无储油柜。变压器使用期间不换油、不补油，使用寿命结束后或出现设备故障时直接整体更换变压器，由设备厂家带走，正常情况下，变压器油不会泄漏，若受到外力因素如地震、台风或人为因素破坏等，变压器油有泄漏的风险，此种因素存在不可控性。</w:t>
      </w:r>
    </w:p>
    <w:p w:rsidR="002A5A5E" w:rsidRPr="00FC1444" w:rsidRDefault="0021317F">
      <w:pPr>
        <w:widowControl/>
        <w:spacing w:line="360" w:lineRule="auto"/>
        <w:ind w:firstLineChars="200" w:firstLine="480"/>
        <w:jc w:val="left"/>
        <w:rPr>
          <w:rFonts w:eastAsiaTheme="minorEastAsia"/>
          <w:sz w:val="24"/>
        </w:rPr>
      </w:pPr>
      <w:r w:rsidRPr="00FC1444">
        <w:rPr>
          <w:rFonts w:eastAsiaTheme="minorEastAsia"/>
          <w:sz w:val="24"/>
        </w:rPr>
        <w:t>本项目变压器为杆上变压器，露天设置，</w:t>
      </w:r>
      <w:r w:rsidR="00611CBA" w:rsidRPr="00FC1444">
        <w:rPr>
          <w:rFonts w:eastAsiaTheme="minorEastAsia"/>
          <w:sz w:val="24"/>
        </w:rPr>
        <w:t>每个变压器箱内变压器油最大贮存量为</w:t>
      </w:r>
      <w:r w:rsidR="00611CBA" w:rsidRPr="00FC1444">
        <w:rPr>
          <w:rFonts w:eastAsiaTheme="minorEastAsia"/>
          <w:sz w:val="24"/>
        </w:rPr>
        <w:t>115kg</w:t>
      </w:r>
      <w:r w:rsidR="00611CBA" w:rsidRPr="00FC1444">
        <w:rPr>
          <w:rFonts w:eastAsiaTheme="minorEastAsia"/>
          <w:sz w:val="24"/>
        </w:rPr>
        <w:t>，定期巡检，重点检查变压器油箱密封性（有无裂缝、接口渗漏）、油位刻度（判断是否存在异常泄漏），发现变压器油泄漏应立即停止此变压器运行，</w:t>
      </w:r>
      <w:r w:rsidR="00611CBA" w:rsidRPr="00FC1444">
        <w:rPr>
          <w:rFonts w:eastAsiaTheme="minorEastAsia"/>
          <w:sz w:val="24"/>
          <w:szCs w:val="20"/>
        </w:rPr>
        <w:t>属于小范围污染，立即用沙土进行掩埋，产生的含油沙土及</w:t>
      </w:r>
      <w:r w:rsidR="00611CBA" w:rsidRPr="00FC1444">
        <w:rPr>
          <w:rFonts w:eastAsiaTheme="minorEastAsia"/>
          <w:sz w:val="24"/>
        </w:rPr>
        <w:t>泄漏物</w:t>
      </w:r>
      <w:r w:rsidR="00611CBA" w:rsidRPr="00FC1444">
        <w:rPr>
          <w:rFonts w:eastAsiaTheme="minorEastAsia"/>
          <w:sz w:val="24"/>
          <w:szCs w:val="20"/>
        </w:rPr>
        <w:t>交由资质单位处置进行运输和处置</w:t>
      </w:r>
      <w:r w:rsidR="00611CBA" w:rsidRPr="00FC1444">
        <w:rPr>
          <w:rFonts w:eastAsiaTheme="minorEastAsia"/>
          <w:sz w:val="24"/>
        </w:rPr>
        <w:t>，通过采取此应急措施后本项目环境风险影响可接受。</w:t>
      </w:r>
    </w:p>
    <w:p w:rsidR="002A5A5E" w:rsidRPr="00FC1444" w:rsidRDefault="00611CBA">
      <w:pPr>
        <w:spacing w:line="360" w:lineRule="auto"/>
        <w:ind w:firstLineChars="200" w:firstLine="480"/>
        <w:rPr>
          <w:rFonts w:eastAsiaTheme="minorEastAsia"/>
          <w:sz w:val="24"/>
          <w:szCs w:val="20"/>
        </w:rPr>
      </w:pPr>
      <w:r w:rsidRPr="00FC1444">
        <w:rPr>
          <w:rFonts w:eastAsiaTheme="minorEastAsia"/>
          <w:sz w:val="24"/>
          <w:szCs w:val="20"/>
        </w:rPr>
        <w:t>加强巡视及管理并制定环境风险应急预案。在严格落实应急措施后，可将风险发生的概率和影响后果降到最低限度。一旦发生事故，及时采取应急措施，可将对大气和地下水的影响降到最低限度，其风险水平可以被接受。</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5.2.7.5</w:t>
      </w:r>
      <w:r w:rsidRPr="00FC1444">
        <w:rPr>
          <w:rFonts w:eastAsiaTheme="minorEastAsia"/>
          <w:b/>
          <w:sz w:val="24"/>
        </w:rPr>
        <w:t>分析结论</w:t>
      </w:r>
    </w:p>
    <w:p w:rsidR="002A5A5E" w:rsidRPr="00FC1444" w:rsidRDefault="00611CBA">
      <w:pPr>
        <w:spacing w:line="360" w:lineRule="auto"/>
        <w:ind w:firstLine="482"/>
        <w:rPr>
          <w:rFonts w:eastAsiaTheme="minorEastAsia"/>
          <w:kern w:val="0"/>
          <w:sz w:val="24"/>
        </w:rPr>
      </w:pPr>
      <w:r w:rsidRPr="00FC1444">
        <w:rPr>
          <w:rFonts w:eastAsiaTheme="minorEastAsia"/>
          <w:kern w:val="0"/>
          <w:sz w:val="24"/>
        </w:rPr>
        <w:lastRenderedPageBreak/>
        <w:t>采取本项目提出的风险应急措施，可有效避免风险事故污染大气、地下水，可有效保护应急人员健康。</w:t>
      </w:r>
    </w:p>
    <w:p w:rsidR="002A5A5E" w:rsidRPr="00FC1444" w:rsidRDefault="00611CBA">
      <w:pPr>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5-2-9</w:t>
      </w:r>
      <w:r w:rsidRPr="00FC1444">
        <w:rPr>
          <w:rFonts w:eastAsiaTheme="minorEastAsia"/>
          <w:b/>
          <w:kern w:val="0"/>
          <w:szCs w:val="21"/>
        </w:rPr>
        <w:t>建设项目环境风险简单分析内容表</w:t>
      </w:r>
    </w:p>
    <w:tbl>
      <w:tblPr>
        <w:tblW w:w="0" w:type="auto"/>
        <w:jc w:val="center"/>
        <w:tblBorders>
          <w:top w:val="single" w:sz="12" w:space="0" w:color="000000"/>
          <w:bottom w:val="single" w:sz="12" w:space="0" w:color="000000"/>
          <w:insideH w:val="single" w:sz="6" w:space="0" w:color="000000"/>
          <w:insideV w:val="single" w:sz="6" w:space="0" w:color="000000"/>
        </w:tblBorders>
        <w:tblLayout w:type="fixed"/>
        <w:tblLook w:val="04A0"/>
      </w:tblPr>
      <w:tblGrid>
        <w:gridCol w:w="1526"/>
        <w:gridCol w:w="1276"/>
        <w:gridCol w:w="1275"/>
        <w:gridCol w:w="1134"/>
        <w:gridCol w:w="2268"/>
        <w:gridCol w:w="1043"/>
      </w:tblGrid>
      <w:tr w:rsidR="002A5A5E" w:rsidRPr="00FC1444" w:rsidTr="0088710B">
        <w:trPr>
          <w:trHeight w:val="225"/>
          <w:jc w:val="center"/>
        </w:trPr>
        <w:tc>
          <w:tcPr>
            <w:tcW w:w="1526" w:type="dxa"/>
            <w:vAlign w:val="center"/>
          </w:tcPr>
          <w:p w:rsidR="002A5A5E" w:rsidRPr="00FC1444" w:rsidRDefault="00611CBA">
            <w:pPr>
              <w:jc w:val="center"/>
              <w:rPr>
                <w:rFonts w:eastAsiaTheme="minorEastAsia"/>
                <w:szCs w:val="21"/>
              </w:rPr>
            </w:pPr>
            <w:r w:rsidRPr="00FC1444">
              <w:rPr>
                <w:rFonts w:eastAsiaTheme="minorEastAsia"/>
                <w:szCs w:val="21"/>
              </w:rPr>
              <w:t>建设项目名称</w:t>
            </w:r>
          </w:p>
        </w:tc>
        <w:tc>
          <w:tcPr>
            <w:tcW w:w="6996" w:type="dxa"/>
            <w:gridSpan w:val="5"/>
            <w:vAlign w:val="center"/>
          </w:tcPr>
          <w:p w:rsidR="002A5A5E" w:rsidRPr="00FC1444" w:rsidRDefault="00AE168C">
            <w:pPr>
              <w:jc w:val="center"/>
              <w:rPr>
                <w:rFonts w:eastAsiaTheme="minorEastAsia"/>
                <w:szCs w:val="21"/>
              </w:rPr>
            </w:pPr>
            <w:r w:rsidRPr="00FC1444">
              <w:rPr>
                <w:rFonts w:eastAsiaTheme="minorEastAsia"/>
                <w:bCs/>
                <w:szCs w:val="21"/>
              </w:rPr>
              <w:t>北林区</w:t>
            </w:r>
            <w:r w:rsidRPr="00FC1444">
              <w:rPr>
                <w:rFonts w:eastAsiaTheme="minorEastAsia"/>
                <w:bCs/>
                <w:szCs w:val="21"/>
              </w:rPr>
              <w:t>2026</w:t>
            </w:r>
            <w:r w:rsidRPr="00FC1444">
              <w:rPr>
                <w:rFonts w:eastAsiaTheme="minorEastAsia"/>
                <w:bCs/>
                <w:szCs w:val="21"/>
              </w:rPr>
              <w:t>年高标准农田建设项目</w:t>
            </w:r>
          </w:p>
        </w:tc>
      </w:tr>
      <w:tr w:rsidR="002A5A5E" w:rsidRPr="00FC1444" w:rsidTr="00DF7E65">
        <w:trPr>
          <w:trHeight w:val="48"/>
          <w:jc w:val="center"/>
        </w:trPr>
        <w:tc>
          <w:tcPr>
            <w:tcW w:w="1526" w:type="dxa"/>
            <w:vAlign w:val="center"/>
          </w:tcPr>
          <w:p w:rsidR="002A5A5E" w:rsidRPr="00FC1444" w:rsidRDefault="00611CBA">
            <w:pPr>
              <w:jc w:val="center"/>
              <w:rPr>
                <w:rFonts w:eastAsiaTheme="minorEastAsia"/>
                <w:szCs w:val="21"/>
              </w:rPr>
            </w:pPr>
            <w:r w:rsidRPr="00FC1444">
              <w:rPr>
                <w:rFonts w:eastAsiaTheme="minorEastAsia"/>
                <w:szCs w:val="21"/>
              </w:rPr>
              <w:t>建设地点</w:t>
            </w:r>
          </w:p>
        </w:tc>
        <w:tc>
          <w:tcPr>
            <w:tcW w:w="1276" w:type="dxa"/>
            <w:vAlign w:val="center"/>
          </w:tcPr>
          <w:p w:rsidR="002A5A5E" w:rsidRPr="00FC1444" w:rsidRDefault="00611CBA">
            <w:pPr>
              <w:jc w:val="center"/>
              <w:rPr>
                <w:rFonts w:eastAsiaTheme="minorEastAsia"/>
                <w:szCs w:val="21"/>
              </w:rPr>
            </w:pPr>
            <w:r w:rsidRPr="00FC1444">
              <w:rPr>
                <w:rFonts w:eastAsiaTheme="minorEastAsia"/>
                <w:szCs w:val="21"/>
              </w:rPr>
              <w:t>（黑龙江）省</w:t>
            </w:r>
          </w:p>
        </w:tc>
        <w:tc>
          <w:tcPr>
            <w:tcW w:w="1275" w:type="dxa"/>
            <w:vAlign w:val="center"/>
          </w:tcPr>
          <w:p w:rsidR="002A5A5E" w:rsidRPr="00FC1444" w:rsidRDefault="00611CBA">
            <w:pPr>
              <w:jc w:val="center"/>
              <w:rPr>
                <w:rFonts w:eastAsiaTheme="minorEastAsia"/>
                <w:szCs w:val="21"/>
              </w:rPr>
            </w:pPr>
            <w:r w:rsidRPr="00FC1444">
              <w:rPr>
                <w:rFonts w:eastAsiaTheme="minorEastAsia"/>
                <w:szCs w:val="21"/>
              </w:rPr>
              <w:t>（</w:t>
            </w:r>
            <w:r w:rsidR="0018427B" w:rsidRPr="00FC1444">
              <w:rPr>
                <w:rFonts w:eastAsiaTheme="minorEastAsia"/>
                <w:szCs w:val="21"/>
              </w:rPr>
              <w:t>绥化</w:t>
            </w:r>
            <w:r w:rsidRPr="00FC1444">
              <w:rPr>
                <w:rFonts w:eastAsiaTheme="minorEastAsia"/>
                <w:szCs w:val="21"/>
              </w:rPr>
              <w:t>）市</w:t>
            </w:r>
          </w:p>
        </w:tc>
        <w:tc>
          <w:tcPr>
            <w:tcW w:w="1134" w:type="dxa"/>
            <w:vAlign w:val="center"/>
          </w:tcPr>
          <w:p w:rsidR="002A5A5E" w:rsidRPr="00FC1444" w:rsidRDefault="00611CBA" w:rsidP="00DF7E65">
            <w:pPr>
              <w:jc w:val="center"/>
              <w:rPr>
                <w:rFonts w:eastAsiaTheme="minorEastAsia"/>
                <w:szCs w:val="21"/>
              </w:rPr>
            </w:pPr>
            <w:r w:rsidRPr="00FC1444">
              <w:rPr>
                <w:rFonts w:eastAsiaTheme="minorEastAsia"/>
                <w:szCs w:val="21"/>
              </w:rPr>
              <w:t>（</w:t>
            </w:r>
            <w:r w:rsidR="0018427B" w:rsidRPr="00FC1444">
              <w:rPr>
                <w:rFonts w:eastAsiaTheme="minorEastAsia"/>
                <w:szCs w:val="21"/>
              </w:rPr>
              <w:t>北林</w:t>
            </w:r>
            <w:r w:rsidRPr="00FC1444">
              <w:rPr>
                <w:rFonts w:eastAsiaTheme="minorEastAsia"/>
                <w:szCs w:val="21"/>
              </w:rPr>
              <w:t>）</w:t>
            </w:r>
            <w:r w:rsidR="00DF7E65" w:rsidRPr="00FC1444">
              <w:rPr>
                <w:rFonts w:eastAsiaTheme="minorEastAsia"/>
                <w:szCs w:val="21"/>
              </w:rPr>
              <w:t>区</w:t>
            </w:r>
          </w:p>
        </w:tc>
        <w:tc>
          <w:tcPr>
            <w:tcW w:w="2268" w:type="dxa"/>
            <w:vAlign w:val="center"/>
          </w:tcPr>
          <w:p w:rsidR="002A5A5E" w:rsidRPr="00FC1444" w:rsidRDefault="0018427B" w:rsidP="00861722">
            <w:pPr>
              <w:jc w:val="center"/>
              <w:rPr>
                <w:rFonts w:eastAsiaTheme="minorEastAsia"/>
                <w:szCs w:val="21"/>
              </w:rPr>
            </w:pPr>
            <w:r w:rsidRPr="00FC1444">
              <w:rPr>
                <w:rFonts w:eastAsiaTheme="minorEastAsia"/>
                <w:szCs w:val="21"/>
              </w:rPr>
              <w:t>绥胜镇、津河镇、五营乡、三河镇</w:t>
            </w:r>
          </w:p>
        </w:tc>
        <w:tc>
          <w:tcPr>
            <w:tcW w:w="1043" w:type="dxa"/>
            <w:vAlign w:val="center"/>
          </w:tcPr>
          <w:p w:rsidR="002A5A5E" w:rsidRPr="00FC1444" w:rsidRDefault="00611CBA">
            <w:pPr>
              <w:jc w:val="center"/>
              <w:rPr>
                <w:rFonts w:eastAsiaTheme="minorEastAsia"/>
                <w:szCs w:val="21"/>
              </w:rPr>
            </w:pPr>
            <w:r w:rsidRPr="00FC1444">
              <w:rPr>
                <w:rFonts w:eastAsiaTheme="minorEastAsia"/>
                <w:szCs w:val="21"/>
              </w:rPr>
              <w:t>（</w:t>
            </w:r>
            <w:r w:rsidRPr="00FC1444">
              <w:rPr>
                <w:rFonts w:eastAsiaTheme="minorEastAsia"/>
                <w:szCs w:val="21"/>
              </w:rPr>
              <w:t>/</w:t>
            </w:r>
            <w:r w:rsidRPr="00FC1444">
              <w:rPr>
                <w:rFonts w:eastAsiaTheme="minorEastAsia"/>
                <w:szCs w:val="21"/>
              </w:rPr>
              <w:t>）园区</w:t>
            </w:r>
          </w:p>
        </w:tc>
      </w:tr>
      <w:tr w:rsidR="002A5A5E" w:rsidRPr="00FC1444" w:rsidTr="00DF7E65">
        <w:trPr>
          <w:trHeight w:val="50"/>
          <w:jc w:val="center"/>
        </w:trPr>
        <w:tc>
          <w:tcPr>
            <w:tcW w:w="1526" w:type="dxa"/>
            <w:vAlign w:val="center"/>
          </w:tcPr>
          <w:p w:rsidR="002A5A5E" w:rsidRPr="00FC1444" w:rsidRDefault="00611CBA">
            <w:pPr>
              <w:jc w:val="center"/>
              <w:rPr>
                <w:rFonts w:eastAsiaTheme="minorEastAsia"/>
                <w:szCs w:val="21"/>
              </w:rPr>
            </w:pPr>
            <w:r w:rsidRPr="00FC1444">
              <w:rPr>
                <w:rFonts w:eastAsiaTheme="minorEastAsia"/>
                <w:szCs w:val="21"/>
              </w:rPr>
              <w:t>地理坐标</w:t>
            </w:r>
          </w:p>
        </w:tc>
        <w:tc>
          <w:tcPr>
            <w:tcW w:w="1276" w:type="dxa"/>
            <w:vAlign w:val="center"/>
          </w:tcPr>
          <w:p w:rsidR="002A5A5E" w:rsidRPr="00FC1444" w:rsidRDefault="00611CBA">
            <w:pPr>
              <w:jc w:val="center"/>
              <w:rPr>
                <w:rFonts w:eastAsiaTheme="minorEastAsia"/>
                <w:szCs w:val="21"/>
              </w:rPr>
            </w:pPr>
            <w:r w:rsidRPr="00FC1444">
              <w:rPr>
                <w:rFonts w:eastAsiaTheme="minorEastAsia"/>
                <w:szCs w:val="21"/>
              </w:rPr>
              <w:t>经度</w:t>
            </w:r>
          </w:p>
        </w:tc>
        <w:tc>
          <w:tcPr>
            <w:tcW w:w="1275" w:type="dxa"/>
            <w:vAlign w:val="center"/>
          </w:tcPr>
          <w:p w:rsidR="002A5A5E" w:rsidRPr="00FC1444" w:rsidRDefault="008B2E12" w:rsidP="0088710B">
            <w:pPr>
              <w:jc w:val="center"/>
              <w:rPr>
                <w:rFonts w:eastAsiaTheme="minorEastAsia"/>
                <w:bCs/>
                <w:szCs w:val="21"/>
              </w:rPr>
            </w:pPr>
            <w:r w:rsidRPr="00FC1444">
              <w:rPr>
                <w:rFonts w:eastAsiaTheme="minorEastAsia"/>
                <w:bCs/>
                <w:szCs w:val="21"/>
              </w:rPr>
              <w:t>126.4601</w:t>
            </w:r>
            <w:r w:rsidR="00611CBA" w:rsidRPr="00FC1444">
              <w:rPr>
                <w:rFonts w:eastAsiaTheme="minorEastAsia"/>
                <w:bCs/>
                <w:szCs w:val="21"/>
              </w:rPr>
              <w:t>~</w:t>
            </w:r>
            <w:r w:rsidRPr="00FC1444">
              <w:rPr>
                <w:rFonts w:eastAsiaTheme="minorEastAsia"/>
                <w:bCs/>
                <w:szCs w:val="21"/>
              </w:rPr>
              <w:t>127.14318</w:t>
            </w:r>
          </w:p>
        </w:tc>
        <w:tc>
          <w:tcPr>
            <w:tcW w:w="1134" w:type="dxa"/>
            <w:vAlign w:val="center"/>
          </w:tcPr>
          <w:p w:rsidR="002A5A5E" w:rsidRPr="00FC1444" w:rsidRDefault="00611CBA" w:rsidP="0088710B">
            <w:pPr>
              <w:jc w:val="center"/>
              <w:rPr>
                <w:rFonts w:eastAsiaTheme="minorEastAsia"/>
                <w:szCs w:val="21"/>
              </w:rPr>
            </w:pPr>
            <w:r w:rsidRPr="00FC1444">
              <w:rPr>
                <w:rFonts w:eastAsiaTheme="minorEastAsia"/>
                <w:szCs w:val="21"/>
              </w:rPr>
              <w:t>纬度</w:t>
            </w:r>
          </w:p>
        </w:tc>
        <w:tc>
          <w:tcPr>
            <w:tcW w:w="3311" w:type="dxa"/>
            <w:gridSpan w:val="2"/>
            <w:vAlign w:val="center"/>
          </w:tcPr>
          <w:p w:rsidR="002A5A5E" w:rsidRPr="00FC1444" w:rsidRDefault="008B2E12" w:rsidP="0088710B">
            <w:pPr>
              <w:jc w:val="center"/>
              <w:rPr>
                <w:rFonts w:eastAsiaTheme="minorEastAsia"/>
                <w:bCs/>
                <w:szCs w:val="21"/>
              </w:rPr>
            </w:pPr>
            <w:r w:rsidRPr="00FC1444">
              <w:rPr>
                <w:rFonts w:eastAsiaTheme="minorEastAsia"/>
                <w:bCs/>
                <w:szCs w:val="21"/>
              </w:rPr>
              <w:t>46.2950</w:t>
            </w:r>
            <w:r w:rsidR="00611CBA" w:rsidRPr="00FC1444">
              <w:rPr>
                <w:rFonts w:eastAsiaTheme="minorEastAsia"/>
                <w:bCs/>
                <w:szCs w:val="21"/>
              </w:rPr>
              <w:t>~</w:t>
            </w:r>
            <w:r w:rsidRPr="00FC1444">
              <w:rPr>
                <w:rFonts w:eastAsiaTheme="minorEastAsia"/>
                <w:bCs/>
                <w:szCs w:val="21"/>
              </w:rPr>
              <w:t>47.0321</w:t>
            </w:r>
          </w:p>
        </w:tc>
      </w:tr>
      <w:tr w:rsidR="002A5A5E" w:rsidRPr="00FC1444" w:rsidTr="0088710B">
        <w:trPr>
          <w:trHeight w:val="436"/>
          <w:jc w:val="center"/>
        </w:trPr>
        <w:tc>
          <w:tcPr>
            <w:tcW w:w="1526" w:type="dxa"/>
            <w:vAlign w:val="center"/>
          </w:tcPr>
          <w:p w:rsidR="002A5A5E" w:rsidRPr="00FC1444" w:rsidRDefault="00611CBA">
            <w:pPr>
              <w:jc w:val="center"/>
              <w:rPr>
                <w:rFonts w:eastAsiaTheme="minorEastAsia"/>
                <w:szCs w:val="21"/>
              </w:rPr>
            </w:pPr>
            <w:r w:rsidRPr="00FC1444">
              <w:rPr>
                <w:rFonts w:eastAsiaTheme="minorEastAsia"/>
                <w:szCs w:val="21"/>
              </w:rPr>
              <w:t>主要危险物质及分布</w:t>
            </w:r>
          </w:p>
        </w:tc>
        <w:tc>
          <w:tcPr>
            <w:tcW w:w="6996" w:type="dxa"/>
            <w:gridSpan w:val="5"/>
            <w:vAlign w:val="center"/>
          </w:tcPr>
          <w:p w:rsidR="002A5A5E" w:rsidRPr="00FC1444" w:rsidRDefault="00611CBA">
            <w:pPr>
              <w:jc w:val="center"/>
              <w:rPr>
                <w:rFonts w:eastAsiaTheme="minorEastAsia"/>
                <w:szCs w:val="21"/>
              </w:rPr>
            </w:pPr>
            <w:r w:rsidRPr="00FC1444">
              <w:rPr>
                <w:rFonts w:eastAsiaTheme="minorEastAsia"/>
                <w:szCs w:val="21"/>
              </w:rPr>
              <w:t>柴油机移动泵车、变压器</w:t>
            </w:r>
          </w:p>
        </w:tc>
      </w:tr>
      <w:tr w:rsidR="002A5A5E" w:rsidRPr="00FC1444" w:rsidTr="0088710B">
        <w:trPr>
          <w:trHeight w:val="303"/>
          <w:jc w:val="center"/>
        </w:trPr>
        <w:tc>
          <w:tcPr>
            <w:tcW w:w="1526" w:type="dxa"/>
            <w:vAlign w:val="center"/>
          </w:tcPr>
          <w:p w:rsidR="002A5A5E" w:rsidRPr="00FC1444" w:rsidRDefault="00611CBA">
            <w:pPr>
              <w:jc w:val="center"/>
              <w:rPr>
                <w:rFonts w:eastAsiaTheme="minorEastAsia"/>
                <w:szCs w:val="21"/>
              </w:rPr>
            </w:pPr>
            <w:r w:rsidRPr="00FC1444">
              <w:rPr>
                <w:rFonts w:eastAsiaTheme="minorEastAsia"/>
                <w:szCs w:val="21"/>
              </w:rPr>
              <w:t>环境影响途径及危害后果（大气、地表水、地下水等）</w:t>
            </w:r>
          </w:p>
        </w:tc>
        <w:tc>
          <w:tcPr>
            <w:tcW w:w="6996" w:type="dxa"/>
            <w:gridSpan w:val="5"/>
            <w:vAlign w:val="center"/>
          </w:tcPr>
          <w:p w:rsidR="002A5A5E" w:rsidRPr="00FC1444" w:rsidRDefault="00611CBA">
            <w:pPr>
              <w:jc w:val="left"/>
              <w:rPr>
                <w:rFonts w:eastAsiaTheme="minorEastAsia"/>
                <w:szCs w:val="21"/>
              </w:rPr>
            </w:pPr>
            <w:r w:rsidRPr="00FC1444">
              <w:rPr>
                <w:rFonts w:eastAsiaTheme="minorEastAsia"/>
                <w:bCs/>
              </w:rPr>
              <w:t>本项目风险事故发生的潜在因素主要为运营期柴油机移动泵车中柴油泄漏及变压器油泄漏，泄漏的主要原因为设备失修，管理不善，操作失误等</w:t>
            </w:r>
            <w:r w:rsidRPr="00FC1444">
              <w:rPr>
                <w:rFonts w:eastAsiaTheme="minorEastAsia"/>
              </w:rPr>
              <w:t>。一旦发生泄漏风险，将对</w:t>
            </w:r>
            <w:r w:rsidRPr="00FC1444">
              <w:rPr>
                <w:rFonts w:eastAsiaTheme="minorEastAsia"/>
                <w:bCs/>
              </w:rPr>
              <w:t>大气环境、</w:t>
            </w:r>
            <w:r w:rsidRPr="00FC1444">
              <w:rPr>
                <w:rFonts w:eastAsiaTheme="minorEastAsia"/>
              </w:rPr>
              <w:t>地下水造成影响</w:t>
            </w:r>
            <w:r w:rsidRPr="00FC1444">
              <w:rPr>
                <w:rFonts w:eastAsiaTheme="minorEastAsia"/>
                <w:szCs w:val="21"/>
              </w:rPr>
              <w:t>。</w:t>
            </w:r>
          </w:p>
        </w:tc>
      </w:tr>
      <w:tr w:rsidR="002A5A5E" w:rsidRPr="00FC1444" w:rsidTr="0088710B">
        <w:trPr>
          <w:trHeight w:val="1392"/>
          <w:jc w:val="center"/>
        </w:trPr>
        <w:tc>
          <w:tcPr>
            <w:tcW w:w="1526" w:type="dxa"/>
            <w:vAlign w:val="center"/>
          </w:tcPr>
          <w:p w:rsidR="002A5A5E" w:rsidRPr="00FC1444" w:rsidRDefault="00611CBA">
            <w:pPr>
              <w:jc w:val="center"/>
              <w:rPr>
                <w:rFonts w:eastAsiaTheme="minorEastAsia"/>
                <w:szCs w:val="21"/>
              </w:rPr>
            </w:pPr>
            <w:r w:rsidRPr="00FC1444">
              <w:rPr>
                <w:rFonts w:eastAsiaTheme="minorEastAsia"/>
                <w:szCs w:val="21"/>
              </w:rPr>
              <w:t>风险防范</w:t>
            </w:r>
          </w:p>
          <w:p w:rsidR="002A5A5E" w:rsidRPr="00FC1444" w:rsidRDefault="00611CBA">
            <w:pPr>
              <w:jc w:val="center"/>
              <w:rPr>
                <w:rFonts w:eastAsiaTheme="minorEastAsia"/>
                <w:szCs w:val="21"/>
              </w:rPr>
            </w:pPr>
            <w:r w:rsidRPr="00FC1444">
              <w:rPr>
                <w:rFonts w:eastAsiaTheme="minorEastAsia"/>
                <w:szCs w:val="21"/>
              </w:rPr>
              <w:t>措施要求</w:t>
            </w:r>
          </w:p>
        </w:tc>
        <w:tc>
          <w:tcPr>
            <w:tcW w:w="6996" w:type="dxa"/>
            <w:gridSpan w:val="5"/>
            <w:vAlign w:val="center"/>
          </w:tcPr>
          <w:p w:rsidR="002A5A5E" w:rsidRPr="00FC1444" w:rsidRDefault="00611CBA">
            <w:pPr>
              <w:jc w:val="left"/>
              <w:rPr>
                <w:rFonts w:eastAsiaTheme="minorEastAsia"/>
                <w:szCs w:val="21"/>
              </w:rPr>
            </w:pPr>
            <w:r w:rsidRPr="00FC1444">
              <w:rPr>
                <w:rFonts w:eastAsiaTheme="minorEastAsia"/>
                <w:szCs w:val="21"/>
              </w:rPr>
              <w:t>本项目</w:t>
            </w:r>
            <w:r w:rsidRPr="00FC1444">
              <w:rPr>
                <w:rFonts w:eastAsiaTheme="minorEastAsia"/>
                <w:bCs/>
                <w:szCs w:val="21"/>
              </w:rPr>
              <w:t>柴油机移动泵车</w:t>
            </w:r>
            <w:r w:rsidRPr="00FC1444">
              <w:rPr>
                <w:rFonts w:eastAsiaTheme="minorEastAsia"/>
                <w:szCs w:val="21"/>
              </w:rPr>
              <w:t>油箱密闭，不使用时于村内暂存，暂存处地面设置重点防渗（等效黏土防渗层</w:t>
            </w:r>
            <w:r w:rsidRPr="00FC1444">
              <w:rPr>
                <w:rFonts w:eastAsiaTheme="minorEastAsia"/>
                <w:szCs w:val="21"/>
              </w:rPr>
              <w:t>Mb≥6.0m</w:t>
            </w:r>
            <w:r w:rsidRPr="00FC1444">
              <w:rPr>
                <w:rFonts w:eastAsiaTheme="minorEastAsia"/>
                <w:szCs w:val="21"/>
              </w:rPr>
              <w:t>，渗透系数</w:t>
            </w:r>
            <w:r w:rsidRPr="00FC1444">
              <w:rPr>
                <w:rFonts w:eastAsiaTheme="minorEastAsia"/>
                <w:szCs w:val="21"/>
              </w:rPr>
              <w:t>K≤1.0×10</w:t>
            </w:r>
            <w:r w:rsidRPr="00FC1444">
              <w:rPr>
                <w:rFonts w:eastAsiaTheme="minorEastAsia"/>
                <w:szCs w:val="21"/>
                <w:vertAlign w:val="superscript"/>
              </w:rPr>
              <w:t>-7</w:t>
            </w:r>
            <w:r w:rsidRPr="00FC1444">
              <w:rPr>
                <w:rFonts w:eastAsiaTheme="minorEastAsia"/>
                <w:szCs w:val="21"/>
              </w:rPr>
              <w:t>cm/s</w:t>
            </w:r>
            <w:r w:rsidRPr="00FC1444">
              <w:rPr>
                <w:rFonts w:eastAsiaTheme="minorEastAsia"/>
                <w:szCs w:val="21"/>
              </w:rPr>
              <w:t>），正常情况下不会泄漏，若发生泄漏事故，属于小范围污染，立即用沙土进行掩埋，产生的含油沙土交由资质单位运输和处置。</w:t>
            </w:r>
          </w:p>
          <w:p w:rsidR="002A5A5E" w:rsidRPr="00FC1444" w:rsidRDefault="00611CBA">
            <w:pPr>
              <w:jc w:val="left"/>
              <w:rPr>
                <w:rFonts w:eastAsiaTheme="minorEastAsia"/>
                <w:szCs w:val="21"/>
              </w:rPr>
            </w:pPr>
            <w:r w:rsidRPr="00FC1444">
              <w:rPr>
                <w:rFonts w:eastAsiaTheme="minorEastAsia"/>
                <w:szCs w:val="21"/>
              </w:rPr>
              <w:t>定期巡检，重点检查变压器油箱密封性（有无裂缝、接口渗漏）、油位刻度（判断是否存在异常泄漏），发现变压器油泄漏应立即停止此变压器运行，属于小范围污染，立即用沙土进行掩埋，产生的含油沙土及泄漏物交由资质单位处置进行运输和处置，通过采取此应急措施后本项目环境风险影响可接受。加强巡视及管理并制定环境风险应急预案。</w:t>
            </w:r>
          </w:p>
        </w:tc>
      </w:tr>
      <w:tr w:rsidR="002A5A5E" w:rsidRPr="00FC1444">
        <w:trPr>
          <w:trHeight w:val="127"/>
          <w:jc w:val="center"/>
        </w:trPr>
        <w:tc>
          <w:tcPr>
            <w:tcW w:w="8522" w:type="dxa"/>
            <w:gridSpan w:val="6"/>
            <w:vAlign w:val="center"/>
          </w:tcPr>
          <w:p w:rsidR="002A5A5E" w:rsidRPr="00FC1444" w:rsidRDefault="00611CBA">
            <w:pPr>
              <w:rPr>
                <w:rFonts w:eastAsiaTheme="minorEastAsia"/>
                <w:szCs w:val="21"/>
              </w:rPr>
            </w:pPr>
            <w:r w:rsidRPr="00FC1444">
              <w:rPr>
                <w:rFonts w:eastAsiaTheme="minorEastAsia"/>
                <w:szCs w:val="21"/>
              </w:rPr>
              <w:t>填表说明（列出项目相关信息及评价说明）</w:t>
            </w:r>
          </w:p>
        </w:tc>
      </w:tr>
    </w:tbl>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5.2.8</w:t>
      </w:r>
      <w:r w:rsidRPr="00FC1444">
        <w:rPr>
          <w:rFonts w:eastAsiaTheme="minorEastAsia"/>
          <w:b/>
          <w:sz w:val="28"/>
          <w:szCs w:val="28"/>
        </w:rPr>
        <w:t>生态环境影响预测与评价</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bCs/>
          <w:kern w:val="0"/>
          <w:sz w:val="24"/>
        </w:rPr>
        <w:t>（</w:t>
      </w:r>
      <w:r w:rsidRPr="00FC1444">
        <w:rPr>
          <w:rFonts w:eastAsiaTheme="minorEastAsia"/>
          <w:bCs/>
          <w:kern w:val="0"/>
          <w:sz w:val="24"/>
        </w:rPr>
        <w:t>1</w:t>
      </w:r>
      <w:r w:rsidRPr="00FC1444">
        <w:rPr>
          <w:rFonts w:eastAsiaTheme="minorEastAsia"/>
          <w:bCs/>
          <w:kern w:val="0"/>
          <w:sz w:val="24"/>
        </w:rPr>
        <w:t>）</w:t>
      </w:r>
      <w:r w:rsidRPr="00FC1444">
        <w:rPr>
          <w:rFonts w:eastAsiaTheme="minorEastAsia"/>
          <w:kern w:val="0"/>
          <w:sz w:val="24"/>
        </w:rPr>
        <w:t>对</w:t>
      </w:r>
      <w:r w:rsidRPr="00FC1444">
        <w:rPr>
          <w:rFonts w:eastAsiaTheme="minorEastAsia"/>
          <w:bCs/>
          <w:kern w:val="0"/>
          <w:sz w:val="24"/>
        </w:rPr>
        <w:t>陆生生态</w:t>
      </w:r>
      <w:r w:rsidRPr="00FC1444">
        <w:rPr>
          <w:rFonts w:eastAsiaTheme="minorEastAsia"/>
          <w:kern w:val="0"/>
          <w:sz w:val="24"/>
        </w:rPr>
        <w:t>影响分析</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smallCaps/>
          <w:sz w:val="24"/>
        </w:rPr>
        <w:t>项目区以农田生态系统为主，已形成多年，项目建成后区域仍以农田生态系统为主，经现状调查，人类活动频繁，项目区无大型兽类分布。鼠类等小型动物、植物已适应现有生境及生态系统。项目区无陆生重要物种、重要生境，工程运行期间，有效利用水肥资源，有利于农田生态系统健康发展，不会造成物种、生物量损失及生境变化，不会对区域</w:t>
      </w:r>
      <w:r w:rsidRPr="00FC1444">
        <w:rPr>
          <w:rFonts w:eastAsiaTheme="minorEastAsia"/>
          <w:bCs/>
          <w:kern w:val="0"/>
          <w:sz w:val="24"/>
        </w:rPr>
        <w:t>生物多样性产生较大影响。本项目为高标准农田建设项目，种植旱地作物可以增加植被覆盖率，农田生态系统依赖于人的管理，其主要功能为提供农产品，高标准农田建设有利于进一步发挥它的生态体系功能。本区域通过车辆一般为当地农用车，车速较慢、产生的尾气及扬尘较少，同时采取限速、禁鸣措施。灌溉井泵类位于地下，能够有效的阻隔声传播，柴油机移动</w:t>
      </w:r>
      <w:r w:rsidRPr="00FC1444">
        <w:rPr>
          <w:rFonts w:eastAsiaTheme="minorEastAsia"/>
          <w:bCs/>
          <w:kern w:val="0"/>
          <w:sz w:val="24"/>
        </w:rPr>
        <w:lastRenderedPageBreak/>
        <w:t>泵车及</w:t>
      </w:r>
      <w:r w:rsidR="00716701" w:rsidRPr="00FC1444">
        <w:rPr>
          <w:rFonts w:eastAsiaTheme="minorEastAsia"/>
          <w:bCs/>
          <w:kern w:val="0"/>
          <w:sz w:val="24"/>
        </w:rPr>
        <w:t>施肥机</w:t>
      </w:r>
      <w:r w:rsidRPr="00FC1444">
        <w:rPr>
          <w:rFonts w:eastAsiaTheme="minorEastAsia"/>
          <w:bCs/>
          <w:kern w:val="0"/>
          <w:sz w:val="24"/>
        </w:rPr>
        <w:t>使用时间较短，减少扬尘和噪声对动植物产生的影响。</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bCs/>
          <w:kern w:val="0"/>
          <w:sz w:val="24"/>
        </w:rPr>
        <w:t>根据已批复《</w:t>
      </w:r>
      <w:r w:rsidR="00AE168C" w:rsidRPr="00FC1444">
        <w:rPr>
          <w:rFonts w:eastAsiaTheme="minorEastAsia"/>
          <w:bCs/>
          <w:kern w:val="0"/>
          <w:sz w:val="24"/>
        </w:rPr>
        <w:t>北林区</w:t>
      </w:r>
      <w:r w:rsidR="00AE168C" w:rsidRPr="00FC1444">
        <w:rPr>
          <w:rFonts w:eastAsiaTheme="minorEastAsia"/>
          <w:bCs/>
          <w:kern w:val="0"/>
          <w:sz w:val="24"/>
        </w:rPr>
        <w:t>2026</w:t>
      </w:r>
      <w:r w:rsidR="00AE168C" w:rsidRPr="00FC1444">
        <w:rPr>
          <w:rFonts w:eastAsiaTheme="minorEastAsia"/>
          <w:bCs/>
          <w:kern w:val="0"/>
          <w:sz w:val="24"/>
        </w:rPr>
        <w:t>年高标准农田建设项目</w:t>
      </w:r>
      <w:r w:rsidRPr="00FC1444">
        <w:rPr>
          <w:rFonts w:eastAsiaTheme="minorEastAsia"/>
          <w:bCs/>
          <w:kern w:val="0"/>
          <w:sz w:val="24"/>
        </w:rPr>
        <w:t>水资源论证报告书》预测结果，本项目灌溉井井群连续开采最大水位降深为</w:t>
      </w:r>
      <w:r w:rsidR="00400760" w:rsidRPr="00FC1444">
        <w:rPr>
          <w:rFonts w:eastAsiaTheme="minorEastAsia"/>
          <w:bCs/>
          <w:kern w:val="0"/>
          <w:sz w:val="24"/>
        </w:rPr>
        <w:t>0.016</w:t>
      </w:r>
      <w:r w:rsidR="00400760" w:rsidRPr="00FC1444">
        <w:rPr>
          <w:rFonts w:eastAsiaTheme="minorEastAsia"/>
          <w:bCs/>
          <w:kern w:val="0"/>
          <w:sz w:val="24"/>
        </w:rPr>
        <w:t>～</w:t>
      </w:r>
      <w:r w:rsidR="00400760" w:rsidRPr="00FC1444">
        <w:rPr>
          <w:rFonts w:eastAsiaTheme="minorEastAsia"/>
          <w:bCs/>
          <w:kern w:val="0"/>
          <w:sz w:val="24"/>
        </w:rPr>
        <w:t>0.021m</w:t>
      </w:r>
      <w:r w:rsidRPr="00FC1444">
        <w:rPr>
          <w:rFonts w:eastAsiaTheme="minorEastAsia"/>
          <w:bCs/>
          <w:kern w:val="0"/>
          <w:sz w:val="24"/>
        </w:rPr>
        <w:t>，</w:t>
      </w:r>
      <w:r w:rsidR="00FD6E06" w:rsidRPr="00FC1444">
        <w:rPr>
          <w:rFonts w:eastAsiaTheme="minorEastAsia"/>
          <w:bCs/>
          <w:kern w:val="0"/>
          <w:sz w:val="24"/>
        </w:rPr>
        <w:t>小于</w:t>
      </w:r>
      <w:r w:rsidR="00FD6E06" w:rsidRPr="00FC1444">
        <w:rPr>
          <w:rFonts w:eastAsiaTheme="minorEastAsia"/>
          <w:bCs/>
          <w:kern w:val="0"/>
          <w:sz w:val="24"/>
        </w:rPr>
        <w:t>0.1m</w:t>
      </w:r>
      <w:r w:rsidRPr="00FC1444">
        <w:rPr>
          <w:rFonts w:eastAsiaTheme="minorEastAsia"/>
          <w:bCs/>
          <w:kern w:val="0"/>
          <w:sz w:val="24"/>
        </w:rPr>
        <w:t>，小于含水层厚度</w:t>
      </w:r>
      <w:r w:rsidRPr="00FC1444">
        <w:rPr>
          <w:rFonts w:eastAsiaTheme="minorEastAsia"/>
          <w:bCs/>
          <w:kern w:val="0"/>
          <w:sz w:val="24"/>
        </w:rPr>
        <w:t>30m</w:t>
      </w:r>
      <w:r w:rsidRPr="00FC1444">
        <w:rPr>
          <w:rFonts w:eastAsiaTheme="minorEastAsia"/>
          <w:bCs/>
          <w:kern w:val="0"/>
          <w:sz w:val="24"/>
        </w:rPr>
        <w:t>的三分之一，故项目取水造成的地下水水位降深在允许范围内。项目实际开采为非持续性，且开采期为每年的</w:t>
      </w:r>
      <w:r w:rsidRPr="00FC1444">
        <w:rPr>
          <w:rFonts w:eastAsiaTheme="minorEastAsia"/>
          <w:bCs/>
          <w:kern w:val="0"/>
          <w:sz w:val="24"/>
        </w:rPr>
        <w:t>5-7</w:t>
      </w:r>
      <w:r w:rsidRPr="00FC1444">
        <w:rPr>
          <w:rFonts w:eastAsiaTheme="minorEastAsia"/>
          <w:bCs/>
          <w:kern w:val="0"/>
          <w:sz w:val="24"/>
        </w:rPr>
        <w:t>月，随着</w:t>
      </w:r>
      <w:r w:rsidRPr="00FC1444">
        <w:rPr>
          <w:rFonts w:eastAsiaTheme="minorEastAsia"/>
          <w:bCs/>
          <w:kern w:val="0"/>
          <w:sz w:val="24"/>
        </w:rPr>
        <w:t>7</w:t>
      </w:r>
      <w:r w:rsidRPr="00FC1444">
        <w:rPr>
          <w:rFonts w:eastAsiaTheme="minorEastAsia"/>
          <w:bCs/>
          <w:kern w:val="0"/>
          <w:sz w:val="24"/>
        </w:rPr>
        <w:t>月份丰水期的到来，以丰补歉，项目取水水源地所在区域含水层厚度较大，富水性较好，项目取水对区域</w:t>
      </w:r>
      <w:r w:rsidRPr="00FC1444">
        <w:rPr>
          <w:rFonts w:eastAsiaTheme="minorEastAsia"/>
          <w:bCs/>
          <w:sz w:val="24"/>
        </w:rPr>
        <w:t>地下水</w:t>
      </w:r>
      <w:r w:rsidRPr="00FC1444">
        <w:rPr>
          <w:rFonts w:eastAsiaTheme="minorEastAsia"/>
          <w:bCs/>
          <w:kern w:val="0"/>
          <w:sz w:val="24"/>
        </w:rPr>
        <w:t>影响较小。故不会对土壤结构造成破坏，不会引起干化、沙化等问题。对陆生生态产生影响较小。</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bCs/>
          <w:kern w:val="0"/>
          <w:sz w:val="24"/>
        </w:rPr>
        <w:t>（</w:t>
      </w:r>
      <w:r w:rsidRPr="00FC1444">
        <w:rPr>
          <w:rFonts w:eastAsiaTheme="minorEastAsia"/>
          <w:bCs/>
          <w:kern w:val="0"/>
          <w:sz w:val="24"/>
        </w:rPr>
        <w:t>2</w:t>
      </w:r>
      <w:r w:rsidRPr="00FC1444">
        <w:rPr>
          <w:rFonts w:eastAsiaTheme="minorEastAsia"/>
          <w:bCs/>
          <w:kern w:val="0"/>
          <w:sz w:val="24"/>
        </w:rPr>
        <w:t>）</w:t>
      </w:r>
      <w:r w:rsidRPr="00FC1444">
        <w:rPr>
          <w:rFonts w:eastAsiaTheme="minorEastAsia"/>
          <w:kern w:val="0"/>
          <w:sz w:val="24"/>
        </w:rPr>
        <w:t>对</w:t>
      </w:r>
      <w:r w:rsidRPr="00FC1444">
        <w:rPr>
          <w:rFonts w:eastAsiaTheme="minorEastAsia"/>
          <w:bCs/>
          <w:kern w:val="0"/>
          <w:sz w:val="24"/>
        </w:rPr>
        <w:t>水生生态</w:t>
      </w:r>
      <w:r w:rsidRPr="00FC1444">
        <w:rPr>
          <w:rFonts w:eastAsiaTheme="minorEastAsia"/>
          <w:kern w:val="0"/>
          <w:sz w:val="24"/>
        </w:rPr>
        <w:t>影响分析</w:t>
      </w:r>
    </w:p>
    <w:p w:rsidR="002A5A5E" w:rsidRPr="00FC1444" w:rsidRDefault="00A4540D">
      <w:pPr>
        <w:spacing w:line="360" w:lineRule="auto"/>
        <w:ind w:firstLineChars="200" w:firstLine="480"/>
        <w:contextualSpacing/>
        <w:rPr>
          <w:rFonts w:eastAsiaTheme="minorEastAsia"/>
          <w:kern w:val="0"/>
          <w:sz w:val="24"/>
        </w:rPr>
      </w:pPr>
      <w:r w:rsidRPr="00FC1444">
        <w:rPr>
          <w:rFonts w:eastAsiaTheme="minorEastAsia"/>
          <w:kern w:val="0"/>
          <w:sz w:val="24"/>
        </w:rPr>
        <w:t>根据</w:t>
      </w:r>
      <w:r w:rsidR="00611CBA" w:rsidRPr="00FC1444">
        <w:rPr>
          <w:rFonts w:eastAsiaTheme="minorEastAsia"/>
          <w:kern w:val="0"/>
          <w:sz w:val="24"/>
        </w:rPr>
        <w:t>我省灌溉目前的统计资料，</w:t>
      </w:r>
      <w:r w:rsidR="00430FD8" w:rsidRPr="00FC1444">
        <w:rPr>
          <w:rFonts w:eastAsiaTheme="minorEastAsia"/>
          <w:kern w:val="0"/>
          <w:sz w:val="24"/>
        </w:rPr>
        <w:t>灌区泡田期</w:t>
      </w:r>
      <w:r w:rsidR="00430FD8" w:rsidRPr="00FC1444">
        <w:rPr>
          <w:rFonts w:eastAsiaTheme="minorEastAsia"/>
          <w:kern w:val="0"/>
          <w:sz w:val="24"/>
        </w:rPr>
        <w:t>(5</w:t>
      </w:r>
      <w:r w:rsidR="00430FD8" w:rsidRPr="00FC1444">
        <w:rPr>
          <w:rFonts w:eastAsiaTheme="minorEastAsia"/>
          <w:kern w:val="0"/>
          <w:sz w:val="24"/>
        </w:rPr>
        <w:t>月中旬</w:t>
      </w:r>
      <w:r w:rsidR="00430FD8" w:rsidRPr="00FC1444">
        <w:rPr>
          <w:rFonts w:eastAsiaTheme="minorEastAsia"/>
          <w:kern w:val="0"/>
          <w:sz w:val="24"/>
        </w:rPr>
        <w:t>)</w:t>
      </w:r>
      <w:r w:rsidR="00430FD8" w:rsidRPr="00FC1444">
        <w:rPr>
          <w:rFonts w:eastAsiaTheme="minorEastAsia"/>
          <w:kern w:val="0"/>
          <w:sz w:val="24"/>
        </w:rPr>
        <w:t>后插秧前退水量占水田退水量的</w:t>
      </w:r>
      <w:r w:rsidR="00430FD8" w:rsidRPr="00FC1444">
        <w:rPr>
          <w:rFonts w:eastAsiaTheme="minorEastAsia"/>
          <w:kern w:val="0"/>
          <w:sz w:val="24"/>
        </w:rPr>
        <w:t>55%</w:t>
      </w:r>
      <w:r w:rsidR="00430FD8" w:rsidRPr="00FC1444">
        <w:rPr>
          <w:rFonts w:eastAsiaTheme="minorEastAsia"/>
          <w:kern w:val="0"/>
          <w:sz w:val="24"/>
        </w:rPr>
        <w:t>。分蘖临界期</w:t>
      </w:r>
      <w:r w:rsidR="00430FD8" w:rsidRPr="00FC1444">
        <w:rPr>
          <w:rFonts w:eastAsiaTheme="minorEastAsia"/>
          <w:kern w:val="0"/>
          <w:sz w:val="24"/>
        </w:rPr>
        <w:t>(6</w:t>
      </w:r>
      <w:r w:rsidR="00430FD8" w:rsidRPr="00FC1444">
        <w:rPr>
          <w:rFonts w:eastAsiaTheme="minorEastAsia"/>
          <w:kern w:val="0"/>
          <w:sz w:val="24"/>
        </w:rPr>
        <w:t>月末</w:t>
      </w:r>
      <w:r w:rsidR="00430FD8" w:rsidRPr="00FC1444">
        <w:rPr>
          <w:rFonts w:eastAsiaTheme="minorEastAsia"/>
          <w:kern w:val="0"/>
          <w:sz w:val="24"/>
        </w:rPr>
        <w:t>)</w:t>
      </w:r>
      <w:r w:rsidR="00430FD8" w:rsidRPr="00FC1444">
        <w:rPr>
          <w:rFonts w:eastAsiaTheme="minorEastAsia"/>
          <w:kern w:val="0"/>
          <w:sz w:val="24"/>
        </w:rPr>
        <w:t>退水量占水田总退水量的</w:t>
      </w:r>
      <w:r w:rsidR="00430FD8" w:rsidRPr="00FC1444">
        <w:rPr>
          <w:rFonts w:eastAsiaTheme="minorEastAsia"/>
          <w:kern w:val="0"/>
          <w:sz w:val="24"/>
        </w:rPr>
        <w:t>25%</w:t>
      </w:r>
      <w:r w:rsidR="00430FD8" w:rsidRPr="00FC1444">
        <w:rPr>
          <w:rFonts w:eastAsiaTheme="minorEastAsia"/>
          <w:kern w:val="0"/>
          <w:sz w:val="24"/>
        </w:rPr>
        <w:t>，拔节孕穗期</w:t>
      </w:r>
      <w:r w:rsidR="00430FD8" w:rsidRPr="00FC1444">
        <w:rPr>
          <w:rFonts w:eastAsiaTheme="minorEastAsia"/>
          <w:kern w:val="0"/>
          <w:sz w:val="24"/>
        </w:rPr>
        <w:t>(7</w:t>
      </w:r>
      <w:r w:rsidR="00430FD8" w:rsidRPr="00FC1444">
        <w:rPr>
          <w:rFonts w:eastAsiaTheme="minorEastAsia"/>
          <w:kern w:val="0"/>
          <w:sz w:val="24"/>
        </w:rPr>
        <w:t>月下旬</w:t>
      </w:r>
      <w:r w:rsidR="00430FD8" w:rsidRPr="00FC1444">
        <w:rPr>
          <w:rFonts w:eastAsiaTheme="minorEastAsia"/>
          <w:kern w:val="0"/>
          <w:sz w:val="24"/>
        </w:rPr>
        <w:t>)</w:t>
      </w:r>
      <w:r w:rsidR="00430FD8" w:rsidRPr="00FC1444">
        <w:rPr>
          <w:rFonts w:eastAsiaTheme="minorEastAsia"/>
          <w:kern w:val="0"/>
          <w:sz w:val="24"/>
        </w:rPr>
        <w:t>退水量占水田总退水量的</w:t>
      </w:r>
      <w:r w:rsidR="00430FD8" w:rsidRPr="00FC1444">
        <w:rPr>
          <w:rFonts w:eastAsiaTheme="minorEastAsia"/>
          <w:kern w:val="0"/>
          <w:sz w:val="24"/>
        </w:rPr>
        <w:t>5%</w:t>
      </w:r>
      <w:r w:rsidR="00430FD8" w:rsidRPr="00FC1444">
        <w:rPr>
          <w:rFonts w:eastAsiaTheme="minorEastAsia"/>
          <w:kern w:val="0"/>
          <w:sz w:val="24"/>
        </w:rPr>
        <w:t>，黄熟期</w:t>
      </w:r>
      <w:r w:rsidR="00430FD8" w:rsidRPr="00FC1444">
        <w:rPr>
          <w:rFonts w:eastAsiaTheme="minorEastAsia"/>
          <w:kern w:val="0"/>
          <w:sz w:val="24"/>
        </w:rPr>
        <w:t>(9</w:t>
      </w:r>
      <w:r w:rsidR="00430FD8" w:rsidRPr="00FC1444">
        <w:rPr>
          <w:rFonts w:eastAsiaTheme="minorEastAsia"/>
          <w:kern w:val="0"/>
          <w:sz w:val="24"/>
        </w:rPr>
        <w:t>月后</w:t>
      </w:r>
      <w:r w:rsidR="00430FD8" w:rsidRPr="00FC1444">
        <w:rPr>
          <w:rFonts w:eastAsiaTheme="minorEastAsia"/>
          <w:kern w:val="0"/>
          <w:sz w:val="24"/>
        </w:rPr>
        <w:t>)</w:t>
      </w:r>
      <w:r w:rsidR="00430FD8" w:rsidRPr="00FC1444">
        <w:rPr>
          <w:rFonts w:eastAsiaTheme="minorEastAsia"/>
          <w:kern w:val="0"/>
          <w:sz w:val="24"/>
        </w:rPr>
        <w:t>退水量占水田总退水量的</w:t>
      </w:r>
      <w:r w:rsidR="00430FD8" w:rsidRPr="00FC1444">
        <w:rPr>
          <w:rFonts w:eastAsiaTheme="minorEastAsia"/>
          <w:kern w:val="0"/>
          <w:sz w:val="24"/>
        </w:rPr>
        <w:t>15%</w:t>
      </w:r>
      <w:r w:rsidR="00430FD8" w:rsidRPr="00FC1444">
        <w:rPr>
          <w:rFonts w:eastAsiaTheme="minorEastAsia"/>
          <w:kern w:val="0"/>
          <w:sz w:val="24"/>
        </w:rPr>
        <w:t>。每次退水持续时间约为</w:t>
      </w:r>
      <w:r w:rsidR="00430FD8" w:rsidRPr="00FC1444">
        <w:rPr>
          <w:rFonts w:eastAsiaTheme="minorEastAsia"/>
          <w:kern w:val="0"/>
          <w:sz w:val="24"/>
        </w:rPr>
        <w:t>20</w:t>
      </w:r>
      <w:r w:rsidR="00430FD8" w:rsidRPr="00FC1444">
        <w:rPr>
          <w:rFonts w:eastAsiaTheme="minorEastAsia"/>
          <w:kern w:val="0"/>
          <w:sz w:val="24"/>
        </w:rPr>
        <w:t>天。主要集中在</w:t>
      </w:r>
      <w:r w:rsidR="00430FD8" w:rsidRPr="00FC1444">
        <w:rPr>
          <w:rFonts w:eastAsiaTheme="minorEastAsia"/>
          <w:kern w:val="0"/>
          <w:sz w:val="24"/>
        </w:rPr>
        <w:t>5</w:t>
      </w:r>
      <w:r w:rsidR="00430FD8" w:rsidRPr="00FC1444">
        <w:rPr>
          <w:rFonts w:eastAsiaTheme="minorEastAsia"/>
          <w:kern w:val="0"/>
          <w:sz w:val="24"/>
        </w:rPr>
        <w:t>月中旬至</w:t>
      </w:r>
      <w:r w:rsidR="00430FD8" w:rsidRPr="00FC1444">
        <w:rPr>
          <w:rFonts w:eastAsiaTheme="minorEastAsia"/>
          <w:kern w:val="0"/>
          <w:sz w:val="24"/>
        </w:rPr>
        <w:t>9</w:t>
      </w:r>
      <w:r w:rsidR="00430FD8" w:rsidRPr="00FC1444">
        <w:rPr>
          <w:rFonts w:eastAsiaTheme="minorEastAsia"/>
          <w:kern w:val="0"/>
          <w:sz w:val="24"/>
        </w:rPr>
        <w:t>月下旬</w:t>
      </w:r>
      <w:r w:rsidR="00611CBA" w:rsidRPr="00FC1444">
        <w:rPr>
          <w:rFonts w:eastAsiaTheme="minorEastAsia"/>
          <w:kern w:val="0"/>
          <w:sz w:val="24"/>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灌区退水中的有机污染物主要有颗粒有机物、溶解有机物、腐殖质等。这些有机物质在被微生物分解过程中消耗水体中的大量氧气，造成水体中溶解氧含量的降低。当有机物浓度过高时，甚至会发生缺氧现象。在缺氧条件下，厌氧微生物利用水体中的有机物大量生长与繁殖，同时生成一些有毒气体，如硫化氢和氨气等这些有毒气体会对鱼类产生毒害作用。悬浮有机物的消耗作用有可能造成相对低氧的水域，从而使鱼类产生回避反应。此外，缺氧条件下还会造成部分病原菌大量繁殖，可能会导致鱼类的死亡率上升。灌区在种植过程中会施加农药，因此退水中可能含有农药及其分解产物，属于结构复杂难于自然降解的有机物，随排水进入到</w:t>
      </w:r>
      <w:r w:rsidR="00B526E5" w:rsidRPr="00FC1444">
        <w:rPr>
          <w:rFonts w:eastAsiaTheme="minorEastAsia"/>
          <w:sz w:val="24"/>
          <w:lang w:bidi="en-US"/>
        </w:rPr>
        <w:t>呼兰河、津河、努敏河</w:t>
      </w:r>
      <w:r w:rsidRPr="00FC1444">
        <w:rPr>
          <w:rFonts w:eastAsiaTheme="minorEastAsia"/>
          <w:sz w:val="24"/>
        </w:rPr>
        <w:t>中，可能会对鱼类的生理生化、生长和繁殖产生影响。</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营养盐主要是中水体中的含氮、磷的无机物质，主要水质指标是</w:t>
      </w:r>
      <w:r w:rsidRPr="00FC1444">
        <w:rPr>
          <w:rFonts w:eastAsiaTheme="minorEastAsia"/>
          <w:sz w:val="24"/>
        </w:rPr>
        <w:t>NH</w:t>
      </w:r>
      <w:r w:rsidRPr="00FC1444">
        <w:rPr>
          <w:rFonts w:eastAsiaTheme="minorEastAsia"/>
          <w:sz w:val="24"/>
          <w:vertAlign w:val="subscript"/>
        </w:rPr>
        <w:t>4</w:t>
      </w:r>
      <w:r w:rsidRPr="00FC1444">
        <w:rPr>
          <w:rFonts w:eastAsiaTheme="minorEastAsia"/>
          <w:sz w:val="24"/>
          <w:vertAlign w:val="superscript"/>
        </w:rPr>
        <w:t>+</w:t>
      </w:r>
      <w:r w:rsidRPr="00FC1444">
        <w:rPr>
          <w:rFonts w:eastAsiaTheme="minorEastAsia"/>
          <w:sz w:val="24"/>
        </w:rPr>
        <w:t>-N</w:t>
      </w:r>
      <w:r w:rsidRPr="00FC1444">
        <w:rPr>
          <w:rFonts w:eastAsiaTheme="minorEastAsia"/>
          <w:sz w:val="24"/>
        </w:rPr>
        <w:t>、</w:t>
      </w:r>
      <w:r w:rsidRPr="00FC1444">
        <w:rPr>
          <w:rFonts w:eastAsiaTheme="minorEastAsia"/>
          <w:sz w:val="24"/>
        </w:rPr>
        <w:t>TN</w:t>
      </w:r>
      <w:r w:rsidRPr="00FC1444">
        <w:rPr>
          <w:rFonts w:eastAsiaTheme="minorEastAsia"/>
          <w:sz w:val="24"/>
        </w:rPr>
        <w:t>和</w:t>
      </w:r>
      <w:r w:rsidRPr="00FC1444">
        <w:rPr>
          <w:rFonts w:eastAsiaTheme="minorEastAsia"/>
          <w:sz w:val="24"/>
        </w:rPr>
        <w:t>TP</w:t>
      </w:r>
      <w:r w:rsidRPr="00FC1444">
        <w:rPr>
          <w:rFonts w:eastAsiaTheme="minorEastAsia"/>
          <w:sz w:val="24"/>
        </w:rPr>
        <w:t>的含量。随着种植集约化程度的不断提高，灌区内大量化肥的施加，使大量氮、磷随农田退水或下渗进入排水沟渠，最终退入</w:t>
      </w:r>
      <w:r w:rsidR="00B526E5" w:rsidRPr="00FC1444">
        <w:rPr>
          <w:rFonts w:eastAsiaTheme="minorEastAsia"/>
          <w:sz w:val="24"/>
        </w:rPr>
        <w:t>津河、呼兰河、努敏河</w:t>
      </w:r>
      <w:r w:rsidRPr="00FC1444">
        <w:rPr>
          <w:rFonts w:eastAsiaTheme="minorEastAsia"/>
          <w:sz w:val="24"/>
        </w:rPr>
        <w:t>，对该水域的水质和地下水的饮用安全产生了严重影响，对农灌区的可持续发展和</w:t>
      </w:r>
      <w:r w:rsidR="00B526E5" w:rsidRPr="00FC1444">
        <w:rPr>
          <w:rFonts w:eastAsiaTheme="minorEastAsia"/>
          <w:sz w:val="24"/>
          <w:lang w:bidi="en-US"/>
        </w:rPr>
        <w:t>呼兰河、津河、努敏河</w:t>
      </w:r>
      <w:r w:rsidRPr="00FC1444">
        <w:rPr>
          <w:rFonts w:eastAsiaTheme="minorEastAsia"/>
          <w:sz w:val="24"/>
        </w:rPr>
        <w:t>水环境及其流域生态安全构成极大挑战。当氮、磷的负荷量超过自然净化能力时，就出现富营养化问题。水体中的氮、磷含量过高，会引</w:t>
      </w:r>
      <w:r w:rsidRPr="00FC1444">
        <w:rPr>
          <w:rFonts w:eastAsiaTheme="minorEastAsia"/>
          <w:sz w:val="24"/>
        </w:rPr>
        <w:lastRenderedPageBreak/>
        <w:t>起藻类恶性繁殖、死亡、分解、水质恶化、水体中溶解氧下降。水体富营养化造成的环境污染，会引起鱼类及其它经济水生生物急速死亡，使水生态环境恶化。其造成鱼类死亡的原因主要有三点：一是水体溶解氧极低以窒息死亡，二是有毒藻华，释放的毒素致死，三是藻类分解产生非离子氨致毒死亡。在水体中以非离子氨和铵离子存在的氮称为氨氮，非离子氨对鱼类有毒害作用。鱼类对非离子氨非常敏感，即使水体中非离子氨的含量很低，也会影响到鱼鳃中氧的传递。</w:t>
      </w:r>
      <w:bookmarkStart w:id="133" w:name="_Toc448912404"/>
    </w:p>
    <w:bookmarkEnd w:id="133"/>
    <w:p w:rsidR="002A5A5E" w:rsidRPr="00FC1444" w:rsidRDefault="00611CBA">
      <w:pPr>
        <w:spacing w:line="360" w:lineRule="auto"/>
        <w:ind w:firstLineChars="200" w:firstLine="480"/>
        <w:rPr>
          <w:rFonts w:eastAsiaTheme="minorEastAsia"/>
          <w:sz w:val="24"/>
        </w:rPr>
      </w:pPr>
      <w:r w:rsidRPr="00FC1444">
        <w:rPr>
          <w:rFonts w:eastAsiaTheme="minorEastAsia"/>
          <w:sz w:val="24"/>
        </w:rPr>
        <w:t>退水对受纳水体中鱼类栖息地的影响主要体现在退水中的污染物质。当退水中污染物浓度未超过河水中水生生物生存阈值时，由于退水带来了额外的营养物质</w:t>
      </w:r>
      <w:r w:rsidRPr="00FC1444">
        <w:rPr>
          <w:rFonts w:eastAsiaTheme="minorEastAsia"/>
          <w:sz w:val="24"/>
        </w:rPr>
        <w:t>(</w:t>
      </w:r>
      <w:r w:rsidRPr="00FC1444">
        <w:rPr>
          <w:rFonts w:eastAsiaTheme="minorEastAsia"/>
          <w:sz w:val="24"/>
        </w:rPr>
        <w:t>氮素、有机物等</w:t>
      </w:r>
      <w:r w:rsidRPr="00FC1444">
        <w:rPr>
          <w:rFonts w:eastAsiaTheme="minorEastAsia"/>
          <w:sz w:val="24"/>
        </w:rPr>
        <w:t>)</w:t>
      </w:r>
      <w:r w:rsidRPr="00FC1444">
        <w:rPr>
          <w:rFonts w:eastAsiaTheme="minorEastAsia"/>
          <w:sz w:val="24"/>
        </w:rPr>
        <w:t>，水生生物生存环境将得到适当的改善，适宜的栖息地面积增大。当退水中的污染物浓度超过河水中水生生物生存阈值时，会造成水体污染，其中过量的悬浮物质、有机物和营养盐等会对鱼类的生存造成威胁，水生生物中毒，甚至致死，其生存环境恶化，导致鱼类栖息地的面积缩小。退水对下游沿岸带的水质影响较大，当污染物浓度超过其自净能力时，会对一些经济鱼类的栖息地造成影响，影响鱼类的产卵、索饵和洄游。</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水体富营养化对大型底栖动物群落产生了一定负面影响，底栖动物群落多样性随着富营养化程度的提高而相应降低，大型底栖动物多样性会相应降低。水体中总氮、氨氮、化学需氧量、五日生化需氧量和总磷的含量对底栖动物的密度均有较大影响。在高氮、磷营养盐水平下，会导致物理生境退化、敏感底栖动物物种减少、耐污物种个体密度上升等现象。灌区退水中的污染物质会降低植物种子的萌发率、萌发指数和活力指数，延长种子的萌发进程。</w:t>
      </w:r>
    </w:p>
    <w:p w:rsidR="002A5A5E" w:rsidRPr="00FC1444" w:rsidRDefault="00611CBA">
      <w:pPr>
        <w:spacing w:line="360" w:lineRule="auto"/>
        <w:ind w:firstLineChars="200" w:firstLine="480"/>
        <w:contextualSpacing/>
        <w:rPr>
          <w:rFonts w:eastAsiaTheme="minorEastAsia"/>
          <w:smallCaps/>
          <w:sz w:val="24"/>
        </w:rPr>
      </w:pPr>
      <w:r w:rsidRPr="00FC1444">
        <w:rPr>
          <w:rFonts w:eastAsiaTheme="minorEastAsia"/>
          <w:smallCaps/>
          <w:sz w:val="24"/>
        </w:rPr>
        <w:t>本项目灌区已建设多年，区域水生生态系统经过长时间的演替，已形成稳定的适合现有鱼类及水生生物生长繁殖的生境和生态系统。</w:t>
      </w:r>
    </w:p>
    <w:p w:rsidR="002A5A5E" w:rsidRPr="00FC1444" w:rsidRDefault="00E456D6" w:rsidP="00E456D6">
      <w:pPr>
        <w:spacing w:line="360" w:lineRule="auto"/>
        <w:ind w:firstLineChars="200" w:firstLine="480"/>
        <w:contextualSpacing/>
        <w:rPr>
          <w:rFonts w:eastAsiaTheme="minorEastAsia"/>
          <w:kern w:val="0"/>
          <w:sz w:val="24"/>
        </w:rPr>
      </w:pPr>
      <w:r w:rsidRPr="00FC1444">
        <w:rPr>
          <w:rFonts w:eastAsiaTheme="minorEastAsia" w:hint="eastAsia"/>
          <w:sz w:val="24"/>
        </w:rPr>
        <w:t>项目区排水工程已基本形成规模，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00142C81" w:rsidRPr="00FC1444">
        <w:rPr>
          <w:rFonts w:eastAsiaTheme="minorEastAsia"/>
          <w:sz w:val="24"/>
        </w:rPr>
        <w:t>片区内</w:t>
      </w:r>
      <w:r w:rsidR="00AC69F4" w:rsidRPr="00FC1444">
        <w:rPr>
          <w:rFonts w:eastAsiaTheme="minorEastAsia"/>
          <w:sz w:val="24"/>
        </w:rPr>
        <w:t>排水承泄区为津河、呼兰河、努敏河</w:t>
      </w:r>
      <w:r w:rsidR="00611CBA" w:rsidRPr="00FC1444">
        <w:rPr>
          <w:rFonts w:eastAsiaTheme="minorEastAsia"/>
          <w:kern w:val="0"/>
          <w:sz w:val="24"/>
        </w:rPr>
        <w:t>。</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smallCaps/>
          <w:sz w:val="24"/>
        </w:rPr>
        <w:t>由于工程的实施，</w:t>
      </w:r>
      <w:r w:rsidRPr="00FC1444">
        <w:rPr>
          <w:rFonts w:eastAsiaTheme="minorEastAsia"/>
          <w:kern w:val="0"/>
          <w:sz w:val="24"/>
          <w:szCs w:val="21"/>
        </w:rPr>
        <w:t>减少渠道上的</w:t>
      </w:r>
      <w:r w:rsidRPr="00FC1444">
        <w:rPr>
          <w:rFonts w:eastAsiaTheme="minorEastAsia"/>
          <w:kern w:val="0"/>
          <w:sz w:val="24"/>
          <w:szCs w:val="21"/>
        </w:rPr>
        <w:t>“</w:t>
      </w:r>
      <w:r w:rsidRPr="00FC1444">
        <w:rPr>
          <w:rFonts w:eastAsiaTheme="minorEastAsia"/>
          <w:kern w:val="0"/>
          <w:sz w:val="24"/>
          <w:szCs w:val="21"/>
        </w:rPr>
        <w:t>跑、漏、冒</w:t>
      </w:r>
      <w:r w:rsidRPr="00FC1444">
        <w:rPr>
          <w:rFonts w:eastAsiaTheme="minorEastAsia"/>
          <w:kern w:val="0"/>
          <w:sz w:val="24"/>
          <w:szCs w:val="21"/>
        </w:rPr>
        <w:t>”</w:t>
      </w:r>
      <w:r w:rsidRPr="00FC1444">
        <w:rPr>
          <w:rFonts w:eastAsiaTheme="minorEastAsia"/>
          <w:kern w:val="0"/>
          <w:sz w:val="24"/>
          <w:szCs w:val="21"/>
        </w:rPr>
        <w:t>水现象，减少灌区引水量，</w:t>
      </w:r>
      <w:r w:rsidRPr="00FC1444">
        <w:rPr>
          <w:rFonts w:eastAsiaTheme="minorEastAsia"/>
          <w:sz w:val="24"/>
        </w:rPr>
        <w:t>节约了水资源，提升水资源利用效率，农田保水能力增强，</w:t>
      </w:r>
      <w:r w:rsidRPr="00FC1444">
        <w:rPr>
          <w:rFonts w:eastAsiaTheme="minorEastAsia"/>
          <w:smallCaps/>
          <w:sz w:val="24"/>
        </w:rPr>
        <w:t>工程实施前后取水量、</w:t>
      </w:r>
      <w:r w:rsidRPr="00FC1444">
        <w:rPr>
          <w:rFonts w:eastAsiaTheme="minorEastAsia"/>
          <w:smallCaps/>
          <w:sz w:val="24"/>
        </w:rPr>
        <w:lastRenderedPageBreak/>
        <w:t>退水量、</w:t>
      </w:r>
      <w:r w:rsidRPr="00FC1444">
        <w:rPr>
          <w:rFonts w:eastAsiaTheme="minorEastAsia"/>
          <w:kern w:val="0"/>
          <w:sz w:val="24"/>
          <w:szCs w:val="21"/>
        </w:rPr>
        <w:t>污染物入河量</w:t>
      </w:r>
      <w:r w:rsidRPr="00FC1444">
        <w:rPr>
          <w:rFonts w:eastAsiaTheme="minorEastAsia"/>
          <w:smallCaps/>
          <w:sz w:val="24"/>
        </w:rPr>
        <w:t>均减少，对区域水文情势、鱼类栖息及繁殖、浮游生物、底栖动物、水生维管束植物产生有利影响。</w:t>
      </w:r>
      <w:r w:rsidRPr="00FC1444">
        <w:rPr>
          <w:rFonts w:eastAsiaTheme="minorEastAsia"/>
          <w:snapToGrid w:val="0"/>
          <w:sz w:val="24"/>
        </w:rPr>
        <w:t>农田排水集中在</w:t>
      </w:r>
      <w:r w:rsidRPr="00FC1444">
        <w:rPr>
          <w:rFonts w:eastAsiaTheme="minorEastAsia"/>
          <w:snapToGrid w:val="0"/>
          <w:sz w:val="24"/>
        </w:rPr>
        <w:t>5</w:t>
      </w:r>
      <w:r w:rsidRPr="00FC1444">
        <w:rPr>
          <w:rFonts w:eastAsiaTheme="minorEastAsia"/>
          <w:snapToGrid w:val="0"/>
          <w:sz w:val="24"/>
        </w:rPr>
        <w:t>～</w:t>
      </w:r>
      <w:r w:rsidRPr="00FC1444">
        <w:rPr>
          <w:rFonts w:eastAsiaTheme="minorEastAsia"/>
          <w:snapToGrid w:val="0"/>
          <w:sz w:val="24"/>
        </w:rPr>
        <w:t>9</w:t>
      </w:r>
      <w:r w:rsidRPr="00FC1444">
        <w:rPr>
          <w:rFonts w:eastAsiaTheme="minorEastAsia"/>
          <w:snapToGrid w:val="0"/>
          <w:sz w:val="24"/>
        </w:rPr>
        <w:t>月份，正值丰水期，</w:t>
      </w:r>
      <w:r w:rsidR="00B526E5" w:rsidRPr="00FC1444">
        <w:rPr>
          <w:rFonts w:eastAsiaTheme="minorEastAsia"/>
          <w:sz w:val="24"/>
          <w:lang w:bidi="en-US"/>
        </w:rPr>
        <w:t>呼兰河、津河、努敏河</w:t>
      </w:r>
      <w:r w:rsidRPr="00FC1444">
        <w:rPr>
          <w:rFonts w:eastAsiaTheme="minorEastAsia"/>
          <w:snapToGrid w:val="0"/>
          <w:sz w:val="24"/>
        </w:rPr>
        <w:t>水量充沛，进入水体的污染物将不同程度的被稀释和降解，对水质影响较小。</w:t>
      </w:r>
      <w:r w:rsidRPr="00FC1444">
        <w:rPr>
          <w:rFonts w:eastAsiaTheme="minorEastAsia"/>
          <w:sz w:val="24"/>
        </w:rPr>
        <w:t>项目施行</w:t>
      </w:r>
      <w:r w:rsidRPr="00FC1444">
        <w:rPr>
          <w:rFonts w:eastAsiaTheme="minorEastAsia"/>
          <w:sz w:val="24"/>
        </w:rPr>
        <w:t>“</w:t>
      </w:r>
      <w:r w:rsidRPr="00FC1444">
        <w:rPr>
          <w:rFonts w:eastAsiaTheme="minorEastAsia"/>
          <w:sz w:val="24"/>
        </w:rPr>
        <w:t>三减</w:t>
      </w:r>
      <w:r w:rsidRPr="00FC1444">
        <w:rPr>
          <w:rFonts w:eastAsiaTheme="minorEastAsia"/>
          <w:sz w:val="24"/>
        </w:rPr>
        <w:t>”</w:t>
      </w:r>
      <w:r w:rsidRPr="00FC1444">
        <w:rPr>
          <w:rFonts w:eastAsiaTheme="minorEastAsia"/>
          <w:sz w:val="24"/>
        </w:rPr>
        <w:t>行动，即减化肥、减农药、减除草剂，积极推广科学施肥，使化肥、农药实现减量化施用，实施测土配方施肥、水肥一体化等措施，控制农药、肥料施用种类及数量。</w:t>
      </w:r>
      <w:r w:rsidR="00E008D1" w:rsidRPr="00FC1444">
        <w:rPr>
          <w:rFonts w:eastAsiaTheme="minorEastAsia"/>
          <w:sz w:val="24"/>
        </w:rPr>
        <w:t>项目建成后灌区年退水量与现状相比减少</w:t>
      </w:r>
      <w:r w:rsidR="00E008D1" w:rsidRPr="00FC1444">
        <w:rPr>
          <w:rFonts w:eastAsiaTheme="minorEastAsia"/>
          <w:sz w:val="24"/>
        </w:rPr>
        <w:t>431</w:t>
      </w:r>
      <w:r w:rsidR="00E008D1" w:rsidRPr="00FC1444">
        <w:rPr>
          <w:rFonts w:eastAsiaTheme="minorEastAsia"/>
          <w:sz w:val="24"/>
        </w:rPr>
        <w:t>万</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w:t>
      </w:r>
      <w:r w:rsidR="00C341EA" w:rsidRPr="00FC1444">
        <w:rPr>
          <w:rFonts w:eastAsiaTheme="minorEastAsia"/>
          <w:bCs/>
          <w:sz w:val="24"/>
        </w:rPr>
        <w:t>COD</w:t>
      </w:r>
      <w:r w:rsidR="00C341EA" w:rsidRPr="00FC1444">
        <w:rPr>
          <w:rFonts w:eastAsiaTheme="minorEastAsia"/>
          <w:bCs/>
          <w:sz w:val="24"/>
        </w:rPr>
        <w:t>、氨氮、总磷及总氮排放量分别减少</w:t>
      </w:r>
      <w:r w:rsidR="00C341EA" w:rsidRPr="00FC1444">
        <w:rPr>
          <w:rFonts w:eastAsiaTheme="minorEastAsia"/>
          <w:bCs/>
          <w:sz w:val="24"/>
        </w:rPr>
        <w:t>227.137t/a</w:t>
      </w:r>
      <w:r w:rsidR="00C341EA" w:rsidRPr="00FC1444">
        <w:rPr>
          <w:rFonts w:eastAsiaTheme="minorEastAsia"/>
          <w:bCs/>
          <w:sz w:val="24"/>
        </w:rPr>
        <w:t>、</w:t>
      </w:r>
      <w:r w:rsidR="00C341EA" w:rsidRPr="00FC1444">
        <w:rPr>
          <w:rFonts w:eastAsiaTheme="minorEastAsia"/>
          <w:bCs/>
          <w:sz w:val="24"/>
        </w:rPr>
        <w:t>5.431t/a</w:t>
      </w:r>
      <w:r w:rsidR="00C341EA" w:rsidRPr="00FC1444">
        <w:rPr>
          <w:rFonts w:eastAsiaTheme="minorEastAsia"/>
          <w:bCs/>
          <w:sz w:val="24"/>
        </w:rPr>
        <w:t>、</w:t>
      </w:r>
      <w:r w:rsidR="00C341EA" w:rsidRPr="00FC1444">
        <w:rPr>
          <w:rFonts w:eastAsiaTheme="minorEastAsia"/>
          <w:bCs/>
          <w:sz w:val="24"/>
        </w:rPr>
        <w:t>7.93t/a</w:t>
      </w:r>
      <w:r w:rsidR="00C341EA" w:rsidRPr="00FC1444">
        <w:rPr>
          <w:rFonts w:eastAsiaTheme="minorEastAsia"/>
          <w:bCs/>
          <w:sz w:val="24"/>
        </w:rPr>
        <w:t>、</w:t>
      </w:r>
      <w:r w:rsidR="00C341EA" w:rsidRPr="00FC1444">
        <w:rPr>
          <w:rFonts w:eastAsiaTheme="minorEastAsia"/>
          <w:bCs/>
          <w:sz w:val="24"/>
        </w:rPr>
        <w:t>18.102t/a</w:t>
      </w:r>
      <w:r w:rsidR="00C341EA" w:rsidRPr="00FC1444">
        <w:rPr>
          <w:rFonts w:eastAsiaTheme="minorEastAsia"/>
          <w:bCs/>
          <w:sz w:val="24"/>
        </w:rPr>
        <w:t>。</w:t>
      </w:r>
      <w:r w:rsidRPr="00FC1444">
        <w:rPr>
          <w:rFonts w:eastAsiaTheme="minorEastAsia"/>
          <w:kern w:val="0"/>
          <w:sz w:val="24"/>
        </w:rPr>
        <w:t>故工程实施后对</w:t>
      </w:r>
      <w:r w:rsidR="00B526E5" w:rsidRPr="00FC1444">
        <w:rPr>
          <w:rFonts w:eastAsiaTheme="minorEastAsia"/>
          <w:sz w:val="24"/>
          <w:lang w:bidi="en-US"/>
        </w:rPr>
        <w:t>呼兰河、津河、努敏河</w:t>
      </w:r>
      <w:r w:rsidRPr="00FC1444">
        <w:rPr>
          <w:rFonts w:eastAsiaTheme="minorEastAsia"/>
          <w:sz w:val="24"/>
        </w:rPr>
        <w:t>水生生态</w:t>
      </w:r>
      <w:r w:rsidRPr="00FC1444">
        <w:rPr>
          <w:rFonts w:eastAsiaTheme="minorEastAsia"/>
          <w:kern w:val="0"/>
          <w:sz w:val="24"/>
        </w:rPr>
        <w:t>环境起到一定改善作用。</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本项目水田灌溉取水依托现有取水井，</w:t>
      </w:r>
      <w:r w:rsidRPr="00FC1444">
        <w:rPr>
          <w:rFonts w:eastAsiaTheme="minorEastAsia"/>
          <w:smallCaps/>
          <w:sz w:val="24"/>
        </w:rPr>
        <w:t>由于工程的实施，</w:t>
      </w:r>
      <w:r w:rsidRPr="00FC1444">
        <w:rPr>
          <w:rFonts w:eastAsiaTheme="minorEastAsia"/>
          <w:kern w:val="0"/>
          <w:sz w:val="24"/>
          <w:szCs w:val="21"/>
        </w:rPr>
        <w:t>减少渠道上的</w:t>
      </w:r>
      <w:r w:rsidRPr="00FC1444">
        <w:rPr>
          <w:rFonts w:eastAsiaTheme="minorEastAsia"/>
          <w:kern w:val="0"/>
          <w:sz w:val="24"/>
          <w:szCs w:val="21"/>
        </w:rPr>
        <w:t>“</w:t>
      </w:r>
      <w:r w:rsidRPr="00FC1444">
        <w:rPr>
          <w:rFonts w:eastAsiaTheme="minorEastAsia"/>
          <w:kern w:val="0"/>
          <w:sz w:val="24"/>
          <w:szCs w:val="21"/>
        </w:rPr>
        <w:t>跑、漏、冒</w:t>
      </w:r>
      <w:r w:rsidRPr="00FC1444">
        <w:rPr>
          <w:rFonts w:eastAsiaTheme="minorEastAsia"/>
          <w:kern w:val="0"/>
          <w:sz w:val="24"/>
          <w:szCs w:val="21"/>
        </w:rPr>
        <w:t>”</w:t>
      </w:r>
      <w:r w:rsidRPr="00FC1444">
        <w:rPr>
          <w:rFonts w:eastAsiaTheme="minorEastAsia"/>
          <w:kern w:val="0"/>
          <w:sz w:val="24"/>
          <w:szCs w:val="21"/>
        </w:rPr>
        <w:t>水现象，减少灌区引水量，</w:t>
      </w:r>
      <w:r w:rsidRPr="00FC1444">
        <w:rPr>
          <w:rFonts w:eastAsiaTheme="minorEastAsia"/>
          <w:sz w:val="24"/>
        </w:rPr>
        <w:t>节约了水资源，提升水资源利用效率。</w:t>
      </w:r>
      <w:r w:rsidRPr="00FC1444">
        <w:rPr>
          <w:rFonts w:eastAsiaTheme="minorEastAsia"/>
          <w:smallCaps/>
          <w:sz w:val="24"/>
        </w:rPr>
        <w:t>工程实施前后取水量、退水量均减少，对区域水文情势、鱼类栖息及繁殖、浮游生物、底栖动物、水生维管束植物产生有利影响。</w:t>
      </w:r>
      <w:r w:rsidRPr="00FC1444">
        <w:rPr>
          <w:rFonts w:eastAsiaTheme="minorEastAsia"/>
          <w:sz w:val="24"/>
        </w:rPr>
        <w:t>灌区退水不会显著</w:t>
      </w:r>
      <w:r w:rsidRPr="00FC1444">
        <w:rPr>
          <w:rFonts w:eastAsia="MS Mincho"/>
          <w:sz w:val="24"/>
        </w:rPr>
        <w:t>‌</w:t>
      </w:r>
      <w:r w:rsidRPr="00FC1444">
        <w:rPr>
          <w:rFonts w:eastAsiaTheme="minorEastAsia"/>
          <w:sz w:val="24"/>
        </w:rPr>
        <w:t>影响河道的自然状态和生态平衡。</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工程实施后，通过加强管理，发展绿色水稻生产，削减化肥和化学农药用量，增加有机肥、复合肥以及生物农药和高效低毒低残留农药的施用量，减少农田退水中的农药、化肥含量，退水中污染物浓度降低，污染物入河量减少，有利于受纳水体</w:t>
      </w:r>
      <w:r w:rsidR="00B526E5" w:rsidRPr="00FC1444">
        <w:rPr>
          <w:rFonts w:eastAsiaTheme="minorEastAsia"/>
          <w:sz w:val="24"/>
          <w:lang w:bidi="en-US"/>
        </w:rPr>
        <w:t>呼兰河、津河、努敏河</w:t>
      </w:r>
      <w:r w:rsidRPr="00FC1444">
        <w:rPr>
          <w:rFonts w:eastAsiaTheme="minorEastAsia"/>
          <w:sz w:val="24"/>
        </w:rPr>
        <w:t>河流水质的维持和改善。</w:t>
      </w:r>
    </w:p>
    <w:p w:rsidR="002A5A5E" w:rsidRPr="00FC1444" w:rsidRDefault="00E008D1">
      <w:pPr>
        <w:spacing w:line="360" w:lineRule="auto"/>
        <w:ind w:firstLineChars="200" w:firstLine="480"/>
        <w:contextualSpacing/>
        <w:rPr>
          <w:rFonts w:eastAsiaTheme="minorEastAsia"/>
          <w:sz w:val="24"/>
        </w:rPr>
      </w:pPr>
      <w:r w:rsidRPr="00FC1444">
        <w:rPr>
          <w:rFonts w:eastAsiaTheme="minorEastAsia"/>
          <w:sz w:val="24"/>
        </w:rPr>
        <w:t>项目建成后灌区年退水量与现状相比减少</w:t>
      </w:r>
      <w:r w:rsidRPr="00FC1444">
        <w:rPr>
          <w:rFonts w:eastAsiaTheme="minorEastAsia"/>
          <w:sz w:val="24"/>
        </w:rPr>
        <w:t>431</w:t>
      </w:r>
      <w:r w:rsidRPr="00FC1444">
        <w:rPr>
          <w:rFonts w:eastAsiaTheme="minorEastAsia"/>
          <w:sz w:val="24"/>
        </w:rPr>
        <w:t>万</w:t>
      </w:r>
      <w:r w:rsidR="00611CBA" w:rsidRPr="00FC1444">
        <w:rPr>
          <w:rFonts w:eastAsiaTheme="minorEastAsia"/>
          <w:sz w:val="24"/>
        </w:rPr>
        <w:t>m</w:t>
      </w:r>
      <w:r w:rsidR="00611CBA" w:rsidRPr="00FC1444">
        <w:rPr>
          <w:rFonts w:eastAsiaTheme="minorEastAsia"/>
          <w:sz w:val="24"/>
          <w:vertAlign w:val="superscript"/>
        </w:rPr>
        <w:t>3</w:t>
      </w:r>
      <w:r w:rsidR="00611CBA" w:rsidRPr="00FC1444">
        <w:rPr>
          <w:rFonts w:eastAsiaTheme="minorEastAsia"/>
          <w:sz w:val="24"/>
        </w:rPr>
        <w:t>，</w:t>
      </w:r>
      <w:r w:rsidR="00C341EA" w:rsidRPr="00FC1444">
        <w:rPr>
          <w:rFonts w:eastAsiaTheme="minorEastAsia"/>
          <w:bCs/>
          <w:sz w:val="24"/>
        </w:rPr>
        <w:t>COD</w:t>
      </w:r>
      <w:r w:rsidR="00C341EA" w:rsidRPr="00FC1444">
        <w:rPr>
          <w:rFonts w:eastAsiaTheme="minorEastAsia"/>
          <w:bCs/>
          <w:sz w:val="24"/>
        </w:rPr>
        <w:t>、氨氮、总磷及总氮排放量分别减少</w:t>
      </w:r>
      <w:r w:rsidR="00C341EA" w:rsidRPr="00FC1444">
        <w:rPr>
          <w:rFonts w:eastAsiaTheme="minorEastAsia"/>
          <w:bCs/>
          <w:sz w:val="24"/>
        </w:rPr>
        <w:t>227.137t/a</w:t>
      </w:r>
      <w:r w:rsidR="00C341EA" w:rsidRPr="00FC1444">
        <w:rPr>
          <w:rFonts w:eastAsiaTheme="minorEastAsia"/>
          <w:bCs/>
          <w:sz w:val="24"/>
        </w:rPr>
        <w:t>、</w:t>
      </w:r>
      <w:r w:rsidR="00C341EA" w:rsidRPr="00FC1444">
        <w:rPr>
          <w:rFonts w:eastAsiaTheme="minorEastAsia"/>
          <w:bCs/>
          <w:sz w:val="24"/>
        </w:rPr>
        <w:t>5.431t/a</w:t>
      </w:r>
      <w:r w:rsidR="00C341EA" w:rsidRPr="00FC1444">
        <w:rPr>
          <w:rFonts w:eastAsiaTheme="minorEastAsia"/>
          <w:bCs/>
          <w:sz w:val="24"/>
        </w:rPr>
        <w:t>、</w:t>
      </w:r>
      <w:r w:rsidR="00C341EA" w:rsidRPr="00FC1444">
        <w:rPr>
          <w:rFonts w:eastAsiaTheme="minorEastAsia"/>
          <w:bCs/>
          <w:sz w:val="24"/>
        </w:rPr>
        <w:t>7.93t/a</w:t>
      </w:r>
      <w:r w:rsidR="00C341EA" w:rsidRPr="00FC1444">
        <w:rPr>
          <w:rFonts w:eastAsiaTheme="minorEastAsia"/>
          <w:bCs/>
          <w:sz w:val="24"/>
        </w:rPr>
        <w:t>、</w:t>
      </w:r>
      <w:r w:rsidR="00C341EA" w:rsidRPr="00FC1444">
        <w:rPr>
          <w:rFonts w:eastAsiaTheme="minorEastAsia"/>
          <w:bCs/>
          <w:sz w:val="24"/>
        </w:rPr>
        <w:t>18.102t/a</w:t>
      </w:r>
      <w:r w:rsidR="00C341EA" w:rsidRPr="00FC1444">
        <w:rPr>
          <w:rFonts w:eastAsiaTheme="minorEastAsia"/>
          <w:bCs/>
          <w:sz w:val="24"/>
        </w:rPr>
        <w:t>。</w:t>
      </w:r>
      <w:r w:rsidR="00611CBA" w:rsidRPr="00FC1444">
        <w:rPr>
          <w:rFonts w:eastAsiaTheme="minorEastAsia"/>
          <w:kern w:val="0"/>
          <w:sz w:val="24"/>
        </w:rPr>
        <w:t>对</w:t>
      </w:r>
      <w:r w:rsidR="00B526E5" w:rsidRPr="00FC1444">
        <w:rPr>
          <w:rFonts w:eastAsiaTheme="minorEastAsia"/>
          <w:sz w:val="24"/>
          <w:lang w:bidi="en-US"/>
        </w:rPr>
        <w:t>呼兰河、津河、努敏河</w:t>
      </w:r>
      <w:r w:rsidR="00611CBA" w:rsidRPr="00FC1444">
        <w:rPr>
          <w:rFonts w:eastAsiaTheme="minorEastAsia"/>
          <w:sz w:val="24"/>
        </w:rPr>
        <w:t>水生生态</w:t>
      </w:r>
      <w:r w:rsidR="00611CBA" w:rsidRPr="00FC1444">
        <w:rPr>
          <w:rFonts w:eastAsiaTheme="minorEastAsia"/>
          <w:kern w:val="0"/>
          <w:sz w:val="24"/>
        </w:rPr>
        <w:t>环境起到一定改善作用。</w:t>
      </w:r>
      <w:r w:rsidR="00611CBA" w:rsidRPr="00FC1444">
        <w:rPr>
          <w:rFonts w:eastAsiaTheme="minorEastAsia"/>
          <w:sz w:val="24"/>
        </w:rPr>
        <w:t>对产黏性卵鱼类产卵场产生有利影响，不会导致鱼类产卵量的显著降低，不会对国家重点保护水生野生动物</w:t>
      </w:r>
      <w:r w:rsidR="00611CBA" w:rsidRPr="00FC1444">
        <w:rPr>
          <w:sz w:val="24"/>
        </w:rPr>
        <w:t>雷氏七鳃鳗等产生影响</w:t>
      </w:r>
      <w:r w:rsidR="00611CBA" w:rsidRPr="00FC1444">
        <w:rPr>
          <w:rFonts w:eastAsiaTheme="minorEastAsia"/>
          <w:sz w:val="24"/>
        </w:rPr>
        <w:t>。项目运营后，</w:t>
      </w:r>
      <w:r w:rsidR="00B526E5" w:rsidRPr="00FC1444">
        <w:rPr>
          <w:rFonts w:eastAsiaTheme="minorEastAsia"/>
          <w:sz w:val="24"/>
          <w:lang w:bidi="en-US"/>
        </w:rPr>
        <w:t>呼兰河、津河、努敏河</w:t>
      </w:r>
      <w:r w:rsidR="00611CBA" w:rsidRPr="00FC1444">
        <w:rPr>
          <w:rFonts w:eastAsiaTheme="minorEastAsia"/>
          <w:sz w:val="24"/>
        </w:rPr>
        <w:t>水文情势变化较小，不会改变现有的水流条件，入河污染物减少。因此，总体来看本项目运营对鱼类的洄游基本无影响，对鱼类栖息地基本无影响。</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w:t>
      </w:r>
      <w:r w:rsidR="00C02588" w:rsidRPr="00FC1444">
        <w:rPr>
          <w:rFonts w:eastAsiaTheme="minorEastAsia" w:hint="eastAsia"/>
          <w:kern w:val="0"/>
          <w:sz w:val="24"/>
        </w:rPr>
        <w:t>3</w:t>
      </w:r>
      <w:r w:rsidRPr="00FC1444">
        <w:rPr>
          <w:rFonts w:eastAsiaTheme="minorEastAsia"/>
          <w:kern w:val="0"/>
          <w:sz w:val="24"/>
        </w:rPr>
        <w:t>）水文情势影响</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kern w:val="0"/>
          <w:sz w:val="24"/>
        </w:rPr>
        <w:t>项目实施后，农田退水</w:t>
      </w:r>
      <w:r w:rsidRPr="00FC1444">
        <w:rPr>
          <w:rFonts w:eastAsiaTheme="minorEastAsia"/>
          <w:sz w:val="24"/>
        </w:rPr>
        <w:t>与现状相比</w:t>
      </w:r>
      <w:r w:rsidR="009E2123" w:rsidRPr="00FC1444">
        <w:rPr>
          <w:rFonts w:eastAsiaTheme="minorEastAsia"/>
          <w:sz w:val="24"/>
        </w:rPr>
        <w:t>减少</w:t>
      </w:r>
      <w:r w:rsidR="009E2123" w:rsidRPr="00FC1444">
        <w:rPr>
          <w:rFonts w:eastAsiaTheme="minorEastAsia"/>
          <w:sz w:val="24"/>
        </w:rPr>
        <w:t>24.1</w:t>
      </w:r>
      <w:r w:rsidR="009E2123" w:rsidRPr="00FC1444">
        <w:rPr>
          <w:rFonts w:eastAsiaTheme="minorEastAsia"/>
          <w:sz w:val="24"/>
        </w:rPr>
        <w:t>万</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。本项目农田退水具有周期性，集中在</w:t>
      </w:r>
      <w:r w:rsidRPr="00FC1444">
        <w:rPr>
          <w:rFonts w:eastAsiaTheme="minorEastAsia"/>
          <w:sz w:val="24"/>
        </w:rPr>
        <w:t>5</w:t>
      </w:r>
      <w:r w:rsidRPr="00FC1444">
        <w:rPr>
          <w:rFonts w:eastAsiaTheme="minorEastAsia"/>
          <w:sz w:val="24"/>
        </w:rPr>
        <w:t>～</w:t>
      </w:r>
      <w:r w:rsidRPr="00FC1444">
        <w:rPr>
          <w:rFonts w:eastAsiaTheme="minorEastAsia"/>
          <w:sz w:val="24"/>
        </w:rPr>
        <w:t>9</w:t>
      </w:r>
      <w:r w:rsidRPr="00FC1444">
        <w:rPr>
          <w:rFonts w:eastAsiaTheme="minorEastAsia"/>
          <w:sz w:val="24"/>
        </w:rPr>
        <w:t>月份，退水量减少将会导致地表水流量、水温、水位等短时发生变化。</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lastRenderedPageBreak/>
        <w:t>水位、流量、流速是鱼类生殖、索饵洄游的重要因素，尤其在繁殖期流量、流速对鱼类的繁殖</w:t>
      </w:r>
      <w:r w:rsidR="00A4540D" w:rsidRPr="00FC1444">
        <w:rPr>
          <w:rFonts w:eastAsiaTheme="minorEastAsia"/>
          <w:kern w:val="0"/>
          <w:sz w:val="24"/>
        </w:rPr>
        <w:t>尤</w:t>
      </w:r>
      <w:r w:rsidRPr="00FC1444">
        <w:rPr>
          <w:rFonts w:eastAsiaTheme="minorEastAsia"/>
          <w:kern w:val="0"/>
          <w:sz w:val="24"/>
        </w:rPr>
        <w:t>为重要。不同鱼类繁殖对流量、流速要求各有差异。流速、流量是鱼类繁殖的外在因素，通过流速的刺激可加速性腺成熟、刺激内分泌加大，促进繁殖。特别是对产漂流性、漂浮性鱼类更为重要，流速的大小直接影响鱼类繁殖、孵化效果和鱼苗成活率。一些鲤科鱼类的繁殖除对流速、流量有一定要求外，水位的变化也是影响鱼类繁殖的重要因素，除了水位上涨带来的刺激外，沿岸带大量淹没的植物也是重要外界因素之一，为其提供了良好的产卵条件。水位降低使得产黏性卵、底质鱼类的产卵场丧失，同时由于水位降低，已经产在沿岸带黏在水生维管植物上、底质的鱼卵会因离水而死亡，从而影响鱼类繁殖效果和资源量。</w:t>
      </w:r>
    </w:p>
    <w:p w:rsidR="00A851F4" w:rsidRPr="00FC1444" w:rsidRDefault="001201E2">
      <w:pPr>
        <w:spacing w:line="360" w:lineRule="auto"/>
        <w:ind w:firstLineChars="200" w:firstLine="480"/>
        <w:contextualSpacing/>
        <w:rPr>
          <w:rFonts w:eastAsiaTheme="minorEastAsia"/>
          <w:sz w:val="24"/>
        </w:rPr>
      </w:pPr>
      <w:r w:rsidRPr="00FC1444">
        <w:rPr>
          <w:rFonts w:eastAsiaTheme="minorEastAsia"/>
          <w:sz w:val="24"/>
        </w:rPr>
        <w:t>本项目农田退水集中在</w:t>
      </w:r>
      <w:r w:rsidRPr="00FC1444">
        <w:rPr>
          <w:rFonts w:eastAsiaTheme="minorEastAsia"/>
          <w:sz w:val="24"/>
        </w:rPr>
        <w:t>5</w:t>
      </w:r>
      <w:r w:rsidRPr="00FC1444">
        <w:rPr>
          <w:rFonts w:eastAsiaTheme="minorEastAsia"/>
          <w:sz w:val="24"/>
        </w:rPr>
        <w:t>～</w:t>
      </w:r>
      <w:r w:rsidRPr="00FC1444">
        <w:rPr>
          <w:rFonts w:eastAsiaTheme="minorEastAsia"/>
          <w:sz w:val="24"/>
        </w:rPr>
        <w:t>9</w:t>
      </w:r>
      <w:r w:rsidRPr="00FC1444">
        <w:rPr>
          <w:rFonts w:eastAsiaTheme="minorEastAsia"/>
          <w:sz w:val="24"/>
        </w:rPr>
        <w:t>月份，入</w:t>
      </w:r>
      <w:r w:rsidRPr="00FC1444">
        <w:rPr>
          <w:rFonts w:eastAsiaTheme="minorEastAsia" w:hint="eastAsia"/>
          <w:sz w:val="24"/>
        </w:rPr>
        <w:t>呼兰河</w:t>
      </w:r>
      <w:r w:rsidRPr="00FC1444">
        <w:rPr>
          <w:rFonts w:eastAsiaTheme="minorEastAsia"/>
          <w:sz w:val="24"/>
        </w:rPr>
        <w:t>年退水量与现状相比减少</w:t>
      </w:r>
      <w:r w:rsidRPr="00FC1444">
        <w:rPr>
          <w:rFonts w:eastAsiaTheme="minorEastAsia" w:hint="eastAsia"/>
          <w:sz w:val="24"/>
        </w:rPr>
        <w:t>259.9</w:t>
      </w:r>
      <w:r w:rsidRPr="00FC1444">
        <w:rPr>
          <w:rFonts w:eastAsiaTheme="minorEastAsia"/>
          <w:sz w:val="24"/>
        </w:rPr>
        <w:t>万</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w:t>
      </w:r>
      <w:r w:rsidRPr="00FC1444">
        <w:rPr>
          <w:rFonts w:eastAsiaTheme="minorEastAsia" w:hint="eastAsia"/>
          <w:sz w:val="24"/>
        </w:rPr>
        <w:t>呼兰河</w:t>
      </w:r>
      <w:r w:rsidRPr="00FC1444">
        <w:rPr>
          <w:rFonts w:eastAsiaTheme="minorEastAsia"/>
          <w:sz w:val="24"/>
        </w:rPr>
        <w:t>流域多年平均年径流量约为</w:t>
      </w:r>
      <w:r w:rsidRPr="00FC1444">
        <w:rPr>
          <w:rFonts w:eastAsiaTheme="minorEastAsia"/>
          <w:sz w:val="24"/>
        </w:rPr>
        <w:t> </w:t>
      </w:r>
      <w:r w:rsidRPr="00FC1444">
        <w:rPr>
          <w:rFonts w:eastAsiaTheme="minorEastAsia" w:hint="eastAsia"/>
          <w:bCs/>
          <w:sz w:val="24"/>
        </w:rPr>
        <w:t>41.3</w:t>
      </w:r>
      <w:r w:rsidRPr="00FC1444">
        <w:rPr>
          <w:rFonts w:eastAsiaTheme="minorEastAsia"/>
          <w:bCs/>
          <w:sz w:val="24"/>
        </w:rPr>
        <w:t>亿</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，退水减少量占比约为</w:t>
      </w:r>
      <w:r w:rsidRPr="00FC1444">
        <w:rPr>
          <w:rFonts w:eastAsiaTheme="minorEastAsia"/>
          <w:sz w:val="24"/>
        </w:rPr>
        <w:t>0.0</w:t>
      </w:r>
      <w:r w:rsidRPr="00FC1444">
        <w:rPr>
          <w:rFonts w:eastAsiaTheme="minorEastAsia" w:hint="eastAsia"/>
          <w:sz w:val="24"/>
        </w:rPr>
        <w:t>6</w:t>
      </w:r>
      <w:r w:rsidRPr="00FC1444">
        <w:rPr>
          <w:rFonts w:eastAsiaTheme="minorEastAsia"/>
          <w:sz w:val="24"/>
        </w:rPr>
        <w:t>%</w:t>
      </w:r>
      <w:r w:rsidRPr="00FC1444">
        <w:rPr>
          <w:rFonts w:eastAsiaTheme="minorEastAsia"/>
          <w:sz w:val="24"/>
        </w:rPr>
        <w:t>。入</w:t>
      </w:r>
      <w:r w:rsidRPr="00FC1444">
        <w:rPr>
          <w:rFonts w:eastAsiaTheme="minorEastAsia" w:hint="eastAsia"/>
          <w:sz w:val="24"/>
        </w:rPr>
        <w:t>津</w:t>
      </w:r>
      <w:r w:rsidRPr="00FC1444">
        <w:rPr>
          <w:rFonts w:eastAsiaTheme="minorEastAsia"/>
          <w:sz w:val="24"/>
        </w:rPr>
        <w:t>河年退水量与现状相比减少</w:t>
      </w:r>
      <w:r w:rsidRPr="00FC1444">
        <w:rPr>
          <w:rFonts w:eastAsiaTheme="minorEastAsia" w:hint="eastAsia"/>
          <w:sz w:val="24"/>
        </w:rPr>
        <w:t>72.4</w:t>
      </w:r>
      <w:r w:rsidRPr="00FC1444">
        <w:rPr>
          <w:rFonts w:eastAsiaTheme="minorEastAsia"/>
          <w:sz w:val="24"/>
        </w:rPr>
        <w:t>万</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w:t>
      </w:r>
      <w:r w:rsidRPr="00FC1444">
        <w:rPr>
          <w:rFonts w:eastAsiaTheme="minorEastAsia" w:hint="eastAsia"/>
          <w:sz w:val="24"/>
        </w:rPr>
        <w:t>津</w:t>
      </w:r>
      <w:r w:rsidRPr="00FC1444">
        <w:rPr>
          <w:rFonts w:eastAsiaTheme="minorEastAsia"/>
          <w:sz w:val="24"/>
        </w:rPr>
        <w:t>河流域多年平均年径流量约为</w:t>
      </w:r>
      <w:r w:rsidRPr="00FC1444">
        <w:rPr>
          <w:rFonts w:eastAsiaTheme="minorEastAsia" w:hint="eastAsia"/>
          <w:bCs/>
          <w:sz w:val="24"/>
        </w:rPr>
        <w:t>0.11</w:t>
      </w:r>
      <w:r w:rsidRPr="00FC1444">
        <w:rPr>
          <w:rFonts w:eastAsiaTheme="minorEastAsia"/>
          <w:bCs/>
          <w:sz w:val="24"/>
        </w:rPr>
        <w:t>亿</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，退水减少量占比约为</w:t>
      </w:r>
      <w:r w:rsidRPr="00FC1444">
        <w:rPr>
          <w:rFonts w:eastAsiaTheme="minorEastAsia" w:hint="eastAsia"/>
          <w:sz w:val="24"/>
        </w:rPr>
        <w:t>6.58</w:t>
      </w:r>
      <w:r w:rsidRPr="00FC1444">
        <w:rPr>
          <w:rFonts w:eastAsiaTheme="minorEastAsia"/>
          <w:sz w:val="24"/>
        </w:rPr>
        <w:t>%</w:t>
      </w:r>
      <w:r w:rsidRPr="00FC1444">
        <w:rPr>
          <w:rFonts w:eastAsiaTheme="minorEastAsia"/>
          <w:sz w:val="24"/>
        </w:rPr>
        <w:t>。入</w:t>
      </w:r>
      <w:r w:rsidRPr="00FC1444">
        <w:rPr>
          <w:rFonts w:eastAsiaTheme="minorEastAsia" w:hint="eastAsia"/>
          <w:sz w:val="24"/>
        </w:rPr>
        <w:t>努</w:t>
      </w:r>
      <w:r w:rsidRPr="00FC1444">
        <w:rPr>
          <w:rFonts w:eastAsiaTheme="minorEastAsia"/>
          <w:sz w:val="24"/>
        </w:rPr>
        <w:t>敏河年退水量与现状相比减少</w:t>
      </w:r>
      <w:r w:rsidRPr="00FC1444">
        <w:rPr>
          <w:rFonts w:eastAsiaTheme="minorEastAsia" w:hint="eastAsia"/>
          <w:sz w:val="24"/>
        </w:rPr>
        <w:t>98.7</w:t>
      </w:r>
      <w:r w:rsidRPr="00FC1444">
        <w:rPr>
          <w:rFonts w:eastAsiaTheme="minorEastAsia"/>
          <w:sz w:val="24"/>
        </w:rPr>
        <w:t>万</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w:t>
      </w:r>
      <w:r w:rsidRPr="00FC1444">
        <w:rPr>
          <w:rFonts w:eastAsiaTheme="minorEastAsia" w:hint="eastAsia"/>
          <w:sz w:val="24"/>
        </w:rPr>
        <w:t>努</w:t>
      </w:r>
      <w:r w:rsidRPr="00FC1444">
        <w:rPr>
          <w:rFonts w:eastAsiaTheme="minorEastAsia"/>
          <w:sz w:val="24"/>
        </w:rPr>
        <w:t>敏河流域多年平均年径流量约为</w:t>
      </w:r>
      <w:r w:rsidRPr="00FC1444">
        <w:rPr>
          <w:rFonts w:eastAsiaTheme="minorEastAsia"/>
          <w:sz w:val="24"/>
        </w:rPr>
        <w:t> </w:t>
      </w:r>
      <w:r w:rsidRPr="00FC1444">
        <w:rPr>
          <w:rFonts w:eastAsiaTheme="minorEastAsia" w:hint="eastAsia"/>
          <w:bCs/>
          <w:sz w:val="24"/>
        </w:rPr>
        <w:t>7.24</w:t>
      </w:r>
      <w:r w:rsidRPr="00FC1444">
        <w:rPr>
          <w:rFonts w:eastAsiaTheme="minorEastAsia"/>
          <w:bCs/>
          <w:sz w:val="24"/>
        </w:rPr>
        <w:t>亿</w:t>
      </w:r>
      <w:r w:rsidRPr="00FC1444">
        <w:rPr>
          <w:rFonts w:eastAsiaTheme="minorEastAsia"/>
          <w:sz w:val="24"/>
        </w:rPr>
        <w:t>m</w:t>
      </w:r>
      <w:r w:rsidRPr="00FC1444">
        <w:rPr>
          <w:rFonts w:eastAsiaTheme="minorEastAsia"/>
          <w:sz w:val="24"/>
          <w:vertAlign w:val="superscript"/>
        </w:rPr>
        <w:t>3</w:t>
      </w:r>
      <w:r w:rsidRPr="00FC1444">
        <w:rPr>
          <w:rFonts w:eastAsiaTheme="minorEastAsia"/>
          <w:sz w:val="24"/>
        </w:rPr>
        <w:t>，退水减少量占比约为</w:t>
      </w:r>
      <w:r w:rsidRPr="00FC1444">
        <w:rPr>
          <w:rFonts w:eastAsiaTheme="minorEastAsia"/>
          <w:sz w:val="24"/>
        </w:rPr>
        <w:t>0.1</w:t>
      </w:r>
      <w:r w:rsidRPr="00FC1444">
        <w:rPr>
          <w:rFonts w:eastAsiaTheme="minorEastAsia" w:hint="eastAsia"/>
          <w:sz w:val="24"/>
        </w:rPr>
        <w:t>4</w:t>
      </w:r>
      <w:r w:rsidRPr="00FC1444">
        <w:rPr>
          <w:rFonts w:eastAsiaTheme="minorEastAsia"/>
          <w:sz w:val="24"/>
        </w:rPr>
        <w:t>%</w:t>
      </w:r>
      <w:r w:rsidRPr="00FC1444">
        <w:rPr>
          <w:rFonts w:eastAsiaTheme="minorEastAsia"/>
          <w:sz w:val="24"/>
        </w:rPr>
        <w:t>。占比</w:t>
      </w:r>
      <w:r w:rsidRPr="00FC1444">
        <w:rPr>
          <w:rFonts w:eastAsiaTheme="minorEastAsia" w:hint="eastAsia"/>
          <w:sz w:val="24"/>
        </w:rPr>
        <w:t>较</w:t>
      </w:r>
      <w:r w:rsidRPr="00FC1444">
        <w:rPr>
          <w:rFonts w:eastAsiaTheme="minorEastAsia"/>
          <w:sz w:val="24"/>
        </w:rPr>
        <w:t>小，故不会对已形成的现有的水域形态、径流条件、水力条件以及冲於条件等造成显著影响</w:t>
      </w:r>
      <w:r w:rsidR="00A851F4" w:rsidRPr="00FC1444">
        <w:rPr>
          <w:rFonts w:eastAsiaTheme="minorEastAsia"/>
          <w:sz w:val="24"/>
        </w:rPr>
        <w:t>。</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评价区域无国家重点保护、珍贵濒危水生野生动物和重要经济鱼类</w:t>
      </w:r>
      <w:r w:rsidRPr="00FC1444">
        <w:rPr>
          <w:rFonts w:eastAsiaTheme="minorEastAsia"/>
          <w:sz w:val="24"/>
        </w:rPr>
        <w:t>“</w:t>
      </w:r>
      <w:r w:rsidRPr="00FC1444">
        <w:rPr>
          <w:rFonts w:eastAsiaTheme="minorEastAsia"/>
          <w:sz w:val="24"/>
        </w:rPr>
        <w:t>三场</w:t>
      </w:r>
      <w:r w:rsidRPr="00FC1444">
        <w:rPr>
          <w:rFonts w:eastAsiaTheme="minorEastAsia"/>
          <w:sz w:val="24"/>
        </w:rPr>
        <w:t>”</w:t>
      </w:r>
      <w:r w:rsidRPr="00FC1444">
        <w:rPr>
          <w:rFonts w:eastAsiaTheme="minorEastAsia"/>
          <w:sz w:val="24"/>
        </w:rPr>
        <w:t>分布，因此退水减少对国家重点保护、珍贵濒危水生野生动物产卵繁殖无影响。</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浮游生物是水体中鱼类等水生动物的重要的饵料基础，不同水体、环境的浮游生物无论种类、密度、生物量都有较大的差别。本项目依托现有退水口，退水减少量相对退水河流流域多年平均年径流量占比</w:t>
      </w:r>
      <w:r w:rsidR="001201E2" w:rsidRPr="00FC1444">
        <w:rPr>
          <w:rFonts w:eastAsiaTheme="minorEastAsia" w:hint="eastAsia"/>
          <w:sz w:val="24"/>
        </w:rPr>
        <w:t>较</w:t>
      </w:r>
      <w:r w:rsidRPr="00FC1444">
        <w:rPr>
          <w:rFonts w:eastAsiaTheme="minorEastAsia"/>
          <w:sz w:val="24"/>
        </w:rPr>
        <w:t>小，河流整体形态仍然保持原始状态，浮游生物种类、密度、生物量没有发生较大的变化。不会导致沿岸带底栖动物死亡，整体而言底栖动物密度和生物量受到的影响较小。</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kern w:val="0"/>
          <w:sz w:val="24"/>
        </w:rPr>
        <w:t>（</w:t>
      </w:r>
      <w:r w:rsidR="00C02588" w:rsidRPr="00FC1444">
        <w:rPr>
          <w:rFonts w:eastAsiaTheme="minorEastAsia" w:hint="eastAsia"/>
          <w:kern w:val="0"/>
          <w:sz w:val="24"/>
        </w:rPr>
        <w:t>4</w:t>
      </w:r>
      <w:r w:rsidRPr="00FC1444">
        <w:rPr>
          <w:rFonts w:eastAsiaTheme="minorEastAsia"/>
          <w:kern w:val="0"/>
          <w:sz w:val="24"/>
        </w:rPr>
        <w:t>）项目实施后现有生态问题的演变及发展趋势分析</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根据评价区现有生态环境问题调查结果，灌区干渠上现有部分涵洞等渠系建筑物已到达合理使用年限，老化破损严重，年久失修，无法继续满足基本灌溉需求；渠道衬砌长度较短，渗漏损失大，导致渠道输水效率低，部分输水渠段跑、冒、漏严重，致使渠道沿程水损失较大，水资源浪费严重。项目区部分排水沟淤</w:t>
      </w:r>
      <w:r w:rsidRPr="00FC1444">
        <w:rPr>
          <w:rFonts w:eastAsiaTheme="minorEastAsia"/>
          <w:sz w:val="24"/>
        </w:rPr>
        <w:lastRenderedPageBreak/>
        <w:t>积严重，排水不畅。本</w:t>
      </w:r>
      <w:r w:rsidRPr="00FC1444">
        <w:rPr>
          <w:rFonts w:eastAsiaTheme="minorEastAsia"/>
          <w:kern w:val="0"/>
          <w:sz w:val="24"/>
        </w:rPr>
        <w:t>项目对</w:t>
      </w:r>
      <w:r w:rsidRPr="00FC1444">
        <w:rPr>
          <w:rFonts w:eastAsiaTheme="minorEastAsia"/>
          <w:sz w:val="24"/>
        </w:rPr>
        <w:t>渠道进行衬砌，对建筑物进行新建或拆除重建，对部分现有排水沟进行清淤、衬砌。</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kern w:val="0"/>
          <w:sz w:val="24"/>
        </w:rPr>
        <w:t>项目实施后，水资源得到充分利用，减少渠道</w:t>
      </w:r>
      <w:r w:rsidRPr="00FC1444">
        <w:rPr>
          <w:rFonts w:eastAsiaTheme="minorEastAsia"/>
          <w:sz w:val="24"/>
        </w:rPr>
        <w:t>跑、冒、漏，</w:t>
      </w:r>
      <w:r w:rsidRPr="00FC1444">
        <w:rPr>
          <w:rFonts w:eastAsiaTheme="minorEastAsia"/>
          <w:kern w:val="0"/>
          <w:sz w:val="24"/>
          <w:szCs w:val="21"/>
        </w:rPr>
        <w:t>减轻水土流失，</w:t>
      </w:r>
      <w:r w:rsidRPr="00FC1444">
        <w:rPr>
          <w:rFonts w:eastAsiaTheme="minorEastAsia"/>
          <w:sz w:val="24"/>
        </w:rPr>
        <w:t>提高水资源利用效率，节约了水资源，满足灌溉需求，排水沟排水通畅。</w:t>
      </w:r>
      <w:r w:rsidRPr="00FC1444">
        <w:rPr>
          <w:rFonts w:eastAsiaTheme="minorEastAsia"/>
          <w:kern w:val="0"/>
          <w:sz w:val="24"/>
          <w:szCs w:val="21"/>
        </w:rPr>
        <w:t>使区域土壤保水保肥能力提升。</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sz w:val="24"/>
        </w:rPr>
        <w:t>农田退水对水环境产生一定的影响。运行期加强管理，科学、合理使用化肥，减少农药化肥的施用。</w:t>
      </w:r>
      <w:r w:rsidRPr="00FC1444">
        <w:rPr>
          <w:rFonts w:eastAsiaTheme="minorEastAsia"/>
          <w:smallCaps/>
          <w:sz w:val="24"/>
        </w:rPr>
        <w:t>由于工程的实施，</w:t>
      </w:r>
      <w:r w:rsidRPr="00FC1444">
        <w:rPr>
          <w:rFonts w:eastAsiaTheme="minorEastAsia"/>
          <w:kern w:val="0"/>
          <w:sz w:val="24"/>
          <w:szCs w:val="21"/>
        </w:rPr>
        <w:t>减少渠道上的</w:t>
      </w:r>
      <w:r w:rsidRPr="00FC1444">
        <w:rPr>
          <w:rFonts w:eastAsiaTheme="minorEastAsia"/>
          <w:kern w:val="0"/>
          <w:sz w:val="24"/>
          <w:szCs w:val="21"/>
        </w:rPr>
        <w:t>“</w:t>
      </w:r>
      <w:r w:rsidRPr="00FC1444">
        <w:rPr>
          <w:rFonts w:eastAsiaTheme="minorEastAsia"/>
          <w:kern w:val="0"/>
          <w:sz w:val="24"/>
          <w:szCs w:val="21"/>
        </w:rPr>
        <w:t>跑、漏、冒</w:t>
      </w:r>
      <w:r w:rsidRPr="00FC1444">
        <w:rPr>
          <w:rFonts w:eastAsiaTheme="minorEastAsia"/>
          <w:kern w:val="0"/>
          <w:sz w:val="24"/>
          <w:szCs w:val="21"/>
        </w:rPr>
        <w:t>”</w:t>
      </w:r>
      <w:r w:rsidRPr="00FC1444">
        <w:rPr>
          <w:rFonts w:eastAsiaTheme="minorEastAsia"/>
          <w:kern w:val="0"/>
          <w:sz w:val="24"/>
          <w:szCs w:val="21"/>
        </w:rPr>
        <w:t>水现象，减少灌区取水量，</w:t>
      </w:r>
      <w:r w:rsidRPr="00FC1444">
        <w:rPr>
          <w:rFonts w:eastAsiaTheme="minorEastAsia"/>
          <w:sz w:val="24"/>
        </w:rPr>
        <w:t>节约了水资源，提升水资源利用效率。</w:t>
      </w:r>
      <w:r w:rsidRPr="00FC1444">
        <w:rPr>
          <w:rFonts w:eastAsiaTheme="minorEastAsia"/>
          <w:smallCaps/>
          <w:sz w:val="24"/>
        </w:rPr>
        <w:t>工程实施后取水量、退水量、</w:t>
      </w:r>
      <w:r w:rsidRPr="00FC1444">
        <w:rPr>
          <w:rFonts w:eastAsiaTheme="minorEastAsia"/>
          <w:kern w:val="0"/>
          <w:sz w:val="24"/>
          <w:szCs w:val="21"/>
        </w:rPr>
        <w:t>污染物入河量</w:t>
      </w:r>
      <w:r w:rsidRPr="00FC1444">
        <w:rPr>
          <w:rFonts w:eastAsiaTheme="minorEastAsia"/>
          <w:smallCaps/>
          <w:sz w:val="24"/>
        </w:rPr>
        <w:t>均减少</w:t>
      </w:r>
      <w:r w:rsidRPr="00FC1444">
        <w:rPr>
          <w:rFonts w:eastAsiaTheme="minorEastAsia"/>
          <w:kern w:val="0"/>
          <w:sz w:val="24"/>
          <w:szCs w:val="21"/>
        </w:rPr>
        <w:t>。</w:t>
      </w:r>
      <w:r w:rsidRPr="00FC1444">
        <w:rPr>
          <w:rFonts w:eastAsiaTheme="minorEastAsia"/>
          <w:kern w:val="0"/>
          <w:sz w:val="24"/>
        </w:rPr>
        <w:t>故工程实施后对</w:t>
      </w:r>
      <w:r w:rsidR="00E456D6" w:rsidRPr="00FC1444">
        <w:rPr>
          <w:rFonts w:eastAsiaTheme="minorEastAsia"/>
          <w:sz w:val="24"/>
        </w:rPr>
        <w:t>呼兰河、津河及努敏河</w:t>
      </w:r>
      <w:r w:rsidRPr="00FC1444">
        <w:rPr>
          <w:rFonts w:eastAsiaTheme="minorEastAsia"/>
          <w:sz w:val="24"/>
        </w:rPr>
        <w:t>水生生态</w:t>
      </w:r>
      <w:r w:rsidRPr="00FC1444">
        <w:rPr>
          <w:rFonts w:eastAsiaTheme="minorEastAsia"/>
          <w:kern w:val="0"/>
          <w:sz w:val="24"/>
        </w:rPr>
        <w:t>环境起到一定改善作用。</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区域水生生态系统经过长时间的演替，已形成稳定的适合现有鱼类及水生生物生长繁殖的生境和生态系统。</w:t>
      </w:r>
    </w:p>
    <w:p w:rsidR="002A5A5E" w:rsidRPr="00FC1444" w:rsidRDefault="00611CBA">
      <w:pPr>
        <w:spacing w:line="360" w:lineRule="auto"/>
        <w:ind w:firstLineChars="200" w:firstLine="480"/>
        <w:contextualSpacing/>
        <w:rPr>
          <w:rFonts w:eastAsiaTheme="minorEastAsia"/>
          <w:bCs/>
          <w:kern w:val="0"/>
          <w:sz w:val="24"/>
        </w:rPr>
        <w:sectPr w:rsidR="002A5A5E" w:rsidRPr="00FC1444">
          <w:pgSz w:w="11906" w:h="16838"/>
          <w:pgMar w:top="1440" w:right="1800" w:bottom="1440" w:left="1800" w:header="851" w:footer="992" w:gutter="0"/>
          <w:cols w:space="425"/>
          <w:docGrid w:type="lines" w:linePitch="312"/>
        </w:sectPr>
      </w:pPr>
      <w:r w:rsidRPr="00FC1444">
        <w:rPr>
          <w:rFonts w:eastAsiaTheme="minorEastAsia"/>
          <w:bCs/>
          <w:kern w:val="0"/>
          <w:sz w:val="24"/>
        </w:rPr>
        <w:t>综上，项目实施对周边生态环境影响较小。</w:t>
      </w:r>
    </w:p>
    <w:p w:rsidR="002A5A5E" w:rsidRPr="00FC1444" w:rsidRDefault="00611CBA">
      <w:pPr>
        <w:widowControl/>
        <w:tabs>
          <w:tab w:val="left" w:leader="middleDot" w:pos="7371"/>
        </w:tabs>
        <w:spacing w:line="360" w:lineRule="auto"/>
        <w:jc w:val="left"/>
        <w:outlineLvl w:val="0"/>
        <w:rPr>
          <w:rFonts w:eastAsiaTheme="minorEastAsia"/>
          <w:b/>
          <w:kern w:val="0"/>
          <w:sz w:val="32"/>
          <w:szCs w:val="32"/>
        </w:rPr>
      </w:pPr>
      <w:bookmarkStart w:id="134" w:name="_Toc479252821"/>
      <w:bookmarkStart w:id="135" w:name="_Toc208906244"/>
      <w:bookmarkStart w:id="136" w:name="_Toc477954576"/>
      <w:r w:rsidRPr="00FC1444">
        <w:rPr>
          <w:rFonts w:eastAsiaTheme="minorEastAsia"/>
          <w:b/>
          <w:kern w:val="0"/>
          <w:sz w:val="32"/>
          <w:szCs w:val="32"/>
        </w:rPr>
        <w:lastRenderedPageBreak/>
        <w:t>6</w:t>
      </w:r>
      <w:r w:rsidRPr="00FC1444">
        <w:rPr>
          <w:rFonts w:eastAsiaTheme="minorEastAsia"/>
          <w:b/>
          <w:kern w:val="0"/>
          <w:sz w:val="32"/>
          <w:szCs w:val="32"/>
        </w:rPr>
        <w:t>环境保护措施及其可行性论证</w:t>
      </w:r>
      <w:bookmarkEnd w:id="134"/>
      <w:bookmarkEnd w:id="135"/>
      <w:bookmarkEnd w:id="136"/>
    </w:p>
    <w:p w:rsidR="002A5A5E" w:rsidRPr="00FC1444" w:rsidRDefault="00611CBA">
      <w:pPr>
        <w:keepNext/>
        <w:keepLines/>
        <w:spacing w:before="100" w:beforeAutospacing="1" w:after="100" w:afterAutospacing="1"/>
        <w:outlineLvl w:val="1"/>
        <w:rPr>
          <w:rFonts w:eastAsiaTheme="minorEastAsia"/>
          <w:b/>
          <w:sz w:val="30"/>
          <w:szCs w:val="30"/>
        </w:rPr>
      </w:pPr>
      <w:bookmarkStart w:id="137" w:name="_Toc494017094"/>
      <w:bookmarkStart w:id="138" w:name="_Toc493664702"/>
      <w:bookmarkStart w:id="139" w:name="_Toc208906245"/>
      <w:r w:rsidRPr="00FC1444">
        <w:rPr>
          <w:rFonts w:eastAsiaTheme="minorEastAsia"/>
          <w:b/>
          <w:sz w:val="30"/>
          <w:szCs w:val="30"/>
        </w:rPr>
        <w:t>6.1</w:t>
      </w:r>
      <w:r w:rsidRPr="00FC1444">
        <w:rPr>
          <w:rFonts w:eastAsiaTheme="minorEastAsia"/>
          <w:b/>
          <w:sz w:val="30"/>
          <w:szCs w:val="30"/>
        </w:rPr>
        <w:t>施工期环境保护措施及其可行性论证</w:t>
      </w:r>
      <w:bookmarkEnd w:id="137"/>
      <w:bookmarkEnd w:id="138"/>
      <w:bookmarkEnd w:id="139"/>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6.1.1</w:t>
      </w:r>
      <w:r w:rsidRPr="00FC1444">
        <w:rPr>
          <w:rFonts w:eastAsiaTheme="minorEastAsia"/>
          <w:b/>
          <w:sz w:val="28"/>
          <w:szCs w:val="28"/>
        </w:rPr>
        <w:t>大气环境保护措施及其可行性论证</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）施工现场使用商品混凝土、预拌砂浆，严禁现场搅拌。</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）施工现场细颗粒建筑材料密闭存放或严密覆盖，严禁露天放置；余料及时回收。</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3</w:t>
      </w:r>
      <w:r w:rsidRPr="00FC1444">
        <w:rPr>
          <w:rFonts w:eastAsiaTheme="minorEastAsia"/>
          <w:sz w:val="24"/>
        </w:rPr>
        <w:t>）施工期间，施工单位在非冬季时期制定洒水降尘制度，配套洒水车，专人负责，对施工场地及施工道路洒水抑尘；施工地面及时压实，天气干燥时增加洒水密度与频率。</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4</w:t>
      </w:r>
      <w:r w:rsidRPr="00FC1444">
        <w:rPr>
          <w:rFonts w:eastAsiaTheme="minorEastAsia"/>
          <w:sz w:val="24"/>
        </w:rPr>
        <w:t>）施工现场集中堆放的土方和裸露场地采取覆盖措施，严禁裸露。土料运输过程严格采用密闭运输，运输途中的物料不得沿途泄漏、散落或者飞扬。</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5</w:t>
      </w:r>
      <w:r w:rsidRPr="00FC1444">
        <w:rPr>
          <w:rFonts w:eastAsiaTheme="minorEastAsia"/>
          <w:sz w:val="24"/>
        </w:rPr>
        <w:t>）施工现场运送土方、渣土的车辆封闭或遮盖严密，严禁使用未办理相关手续的渣土等运输车辆，严禁沿路遗撒和随意倾倒。</w:t>
      </w:r>
    </w:p>
    <w:p w:rsidR="002A5A5E" w:rsidRPr="00FC1444" w:rsidRDefault="00611CBA" w:rsidP="00611CBA">
      <w:pPr>
        <w:spacing w:line="360" w:lineRule="auto"/>
        <w:ind w:firstLineChars="177" w:firstLine="425"/>
        <w:rPr>
          <w:rFonts w:eastAsiaTheme="minorEastAsia"/>
          <w:kern w:val="0"/>
          <w:sz w:val="24"/>
          <w:szCs w:val="20"/>
        </w:rPr>
      </w:pPr>
      <w:r w:rsidRPr="00FC1444">
        <w:rPr>
          <w:rFonts w:eastAsiaTheme="minorEastAsia"/>
          <w:sz w:val="24"/>
        </w:rPr>
        <w:t>（</w:t>
      </w:r>
      <w:r w:rsidRPr="00FC1444">
        <w:rPr>
          <w:rFonts w:eastAsiaTheme="minorEastAsia"/>
          <w:sz w:val="24"/>
        </w:rPr>
        <w:t>6</w:t>
      </w:r>
      <w:r w:rsidRPr="00FC1444">
        <w:rPr>
          <w:rFonts w:eastAsiaTheme="minorEastAsia"/>
          <w:sz w:val="24"/>
        </w:rPr>
        <w:t>）</w:t>
      </w:r>
      <w:r w:rsidRPr="00FC1444">
        <w:rPr>
          <w:rFonts w:eastAsiaTheme="minorEastAsia"/>
          <w:kern w:val="0"/>
          <w:sz w:val="24"/>
          <w:szCs w:val="20"/>
        </w:rPr>
        <w:t>加强运输车辆的维护、保养，避免尾气超标排放。</w:t>
      </w:r>
    </w:p>
    <w:p w:rsidR="002A5A5E" w:rsidRPr="00FC1444" w:rsidRDefault="00611CBA" w:rsidP="00611CBA">
      <w:pPr>
        <w:spacing w:line="360" w:lineRule="auto"/>
        <w:ind w:firstLineChars="177" w:firstLine="425"/>
        <w:rPr>
          <w:rFonts w:eastAsiaTheme="minorEastAsia"/>
          <w:kern w:val="0"/>
          <w:sz w:val="24"/>
          <w:szCs w:val="20"/>
        </w:rPr>
      </w:pPr>
      <w:r w:rsidRPr="00FC1444">
        <w:rPr>
          <w:rFonts w:eastAsiaTheme="minorEastAsia"/>
          <w:kern w:val="0"/>
          <w:sz w:val="24"/>
          <w:szCs w:val="20"/>
        </w:rPr>
        <w:t>（</w:t>
      </w:r>
      <w:r w:rsidRPr="00FC1444">
        <w:rPr>
          <w:rFonts w:eastAsiaTheme="minorEastAsia"/>
          <w:kern w:val="0"/>
          <w:sz w:val="24"/>
          <w:szCs w:val="20"/>
        </w:rPr>
        <w:t>7</w:t>
      </w:r>
      <w:r w:rsidRPr="00FC1444">
        <w:rPr>
          <w:rFonts w:eastAsiaTheme="minorEastAsia"/>
          <w:kern w:val="0"/>
          <w:sz w:val="24"/>
          <w:szCs w:val="20"/>
        </w:rPr>
        <w:t>）涵洞、田间道路工程建筑物拆除工程，气象预报风速达到</w:t>
      </w:r>
      <w:r w:rsidRPr="00FC1444">
        <w:rPr>
          <w:rFonts w:eastAsiaTheme="minorEastAsia"/>
          <w:kern w:val="0"/>
          <w:sz w:val="24"/>
          <w:szCs w:val="20"/>
        </w:rPr>
        <w:t>5</w:t>
      </w:r>
      <w:r w:rsidRPr="00FC1444">
        <w:rPr>
          <w:rFonts w:eastAsiaTheme="minorEastAsia"/>
          <w:kern w:val="0"/>
          <w:sz w:val="24"/>
          <w:szCs w:val="20"/>
        </w:rPr>
        <w:t>级时，应当停止拆除工程施工。拆除工程完工后</w:t>
      </w:r>
      <w:r w:rsidRPr="00FC1444">
        <w:rPr>
          <w:rFonts w:eastAsiaTheme="minorEastAsia"/>
          <w:kern w:val="0"/>
          <w:sz w:val="24"/>
          <w:szCs w:val="20"/>
        </w:rPr>
        <w:t>30</w:t>
      </w:r>
      <w:r w:rsidRPr="00FC1444">
        <w:rPr>
          <w:rFonts w:eastAsiaTheme="minorEastAsia"/>
          <w:kern w:val="0"/>
          <w:sz w:val="24"/>
          <w:szCs w:val="20"/>
        </w:rPr>
        <w:t>日内不能开工的建设用地，建设单位应当采取覆盖、地面硬化、简易绿化等措施。</w:t>
      </w:r>
    </w:p>
    <w:p w:rsidR="002A5A5E" w:rsidRPr="00FC1444" w:rsidRDefault="00611CBA" w:rsidP="00611CBA">
      <w:pPr>
        <w:spacing w:line="360" w:lineRule="auto"/>
        <w:ind w:firstLineChars="177" w:firstLine="425"/>
        <w:rPr>
          <w:rFonts w:eastAsiaTheme="minorEastAsia"/>
          <w:snapToGrid w:val="0"/>
          <w:sz w:val="24"/>
        </w:rPr>
      </w:pPr>
      <w:r w:rsidRPr="00FC1444">
        <w:rPr>
          <w:rFonts w:eastAsiaTheme="minorEastAsia"/>
          <w:sz w:val="24"/>
        </w:rPr>
        <w:t>（</w:t>
      </w:r>
      <w:r w:rsidRPr="00FC1444">
        <w:rPr>
          <w:rFonts w:eastAsiaTheme="minorEastAsia"/>
          <w:sz w:val="24"/>
        </w:rPr>
        <w:t>8</w:t>
      </w:r>
      <w:r w:rsidRPr="00FC1444">
        <w:rPr>
          <w:rFonts w:eastAsiaTheme="minorEastAsia"/>
          <w:sz w:val="24"/>
        </w:rPr>
        <w:t>）</w:t>
      </w:r>
      <w:r w:rsidRPr="00FC1444">
        <w:rPr>
          <w:rFonts w:eastAsiaTheme="minorEastAsia"/>
          <w:snapToGrid w:val="0"/>
          <w:sz w:val="24"/>
        </w:rPr>
        <w:t>途经施工区村屯干道的运输车辆，实行限速管理，时速应小于</w:t>
      </w:r>
      <w:r w:rsidRPr="00FC1444">
        <w:rPr>
          <w:rFonts w:eastAsiaTheme="minorEastAsia"/>
          <w:snapToGrid w:val="0"/>
          <w:sz w:val="24"/>
        </w:rPr>
        <w:t>20km/h</w:t>
      </w:r>
      <w:r w:rsidRPr="00FC1444">
        <w:rPr>
          <w:rFonts w:eastAsiaTheme="minorEastAsia"/>
          <w:snapToGrid w:val="0"/>
          <w:sz w:val="24"/>
        </w:rPr>
        <w:t>，</w:t>
      </w:r>
      <w:r w:rsidRPr="00FC1444">
        <w:rPr>
          <w:rFonts w:eastAsiaTheme="minorEastAsia"/>
          <w:sz w:val="24"/>
        </w:rPr>
        <w:t>非冬季</w:t>
      </w:r>
      <w:r w:rsidRPr="00FC1444">
        <w:rPr>
          <w:rFonts w:eastAsiaTheme="minorEastAsia"/>
          <w:snapToGrid w:val="0"/>
          <w:sz w:val="24"/>
        </w:rPr>
        <w:t>干旱、多风天气，路段每天洒水不少于两次，减少扬尘对附近居民和作物的影响。</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napToGrid w:val="0"/>
          <w:sz w:val="24"/>
        </w:rPr>
        <w:t>（</w:t>
      </w:r>
      <w:r w:rsidRPr="00FC1444">
        <w:rPr>
          <w:rFonts w:eastAsiaTheme="minorEastAsia"/>
          <w:snapToGrid w:val="0"/>
          <w:sz w:val="24"/>
        </w:rPr>
        <w:t>9</w:t>
      </w:r>
      <w:r w:rsidRPr="00FC1444">
        <w:rPr>
          <w:rFonts w:eastAsiaTheme="minorEastAsia"/>
          <w:snapToGrid w:val="0"/>
          <w:sz w:val="24"/>
        </w:rPr>
        <w:t>）本环评要求灌溉井、田间道路、涵洞、变压器、排水沟清淤等工程在距离环境保护目标较近位置施工时（</w:t>
      </w:r>
      <w:r w:rsidR="00D41946" w:rsidRPr="00FC1444">
        <w:rPr>
          <w:rFonts w:eastAsiaTheme="minorEastAsia"/>
          <w:snapToGrid w:val="0"/>
          <w:sz w:val="24"/>
        </w:rPr>
        <w:t>如胜利二村、东沟子等村屯</w:t>
      </w:r>
      <w:r w:rsidR="00943455" w:rsidRPr="00FC1444">
        <w:rPr>
          <w:rFonts w:eastAsiaTheme="minorEastAsia"/>
          <w:snapToGrid w:val="0"/>
          <w:sz w:val="24"/>
        </w:rPr>
        <w:t>，具体村屯名称见表</w:t>
      </w:r>
      <w:r w:rsidR="00943455" w:rsidRPr="00FC1444">
        <w:rPr>
          <w:rFonts w:eastAsiaTheme="minorEastAsia"/>
          <w:snapToGrid w:val="0"/>
          <w:sz w:val="24"/>
        </w:rPr>
        <w:t>2-8-1</w:t>
      </w:r>
      <w:r w:rsidRPr="00FC1444">
        <w:rPr>
          <w:rFonts w:eastAsiaTheme="minorEastAsia"/>
          <w:snapToGrid w:val="0"/>
          <w:sz w:val="24"/>
        </w:rPr>
        <w:t>），应设置施工围挡，将施工场地及施工人员与居民分离开，保证施工安全、减少扬尘逸散，</w:t>
      </w:r>
      <w:r w:rsidRPr="00FC1444">
        <w:rPr>
          <w:rFonts w:eastAsiaTheme="minorEastAsia"/>
          <w:sz w:val="24"/>
        </w:rPr>
        <w:t>非冬季季节</w:t>
      </w:r>
      <w:r w:rsidRPr="00FC1444">
        <w:rPr>
          <w:rFonts w:eastAsiaTheme="minorEastAsia"/>
          <w:snapToGrid w:val="0"/>
          <w:sz w:val="24"/>
        </w:rPr>
        <w:t>同时还应采取洒水、喷淋等抑尘措施。</w:t>
      </w:r>
    </w:p>
    <w:p w:rsidR="004C69F2" w:rsidRPr="00FC1444" w:rsidRDefault="00611CBA" w:rsidP="004C69F2">
      <w:pPr>
        <w:widowControl/>
        <w:spacing w:line="360" w:lineRule="auto"/>
        <w:ind w:firstLineChars="200" w:firstLine="480"/>
        <w:rPr>
          <w:rFonts w:eastAsiaTheme="minorEastAsia"/>
          <w:sz w:val="24"/>
        </w:rPr>
      </w:pPr>
      <w:r w:rsidRPr="00FC1444">
        <w:rPr>
          <w:rFonts w:eastAsiaTheme="minorEastAsia"/>
          <w:snapToGrid w:val="0"/>
          <w:sz w:val="24"/>
        </w:rPr>
        <w:t>（</w:t>
      </w:r>
      <w:r w:rsidRPr="00FC1444">
        <w:rPr>
          <w:rFonts w:eastAsiaTheme="minorEastAsia"/>
          <w:snapToGrid w:val="0"/>
          <w:sz w:val="24"/>
        </w:rPr>
        <w:t>10</w:t>
      </w:r>
      <w:r w:rsidRPr="00FC1444">
        <w:rPr>
          <w:rFonts w:eastAsiaTheme="minorEastAsia"/>
          <w:snapToGrid w:val="0"/>
          <w:sz w:val="24"/>
        </w:rPr>
        <w:t>）</w:t>
      </w:r>
      <w:r w:rsidR="004C69F2" w:rsidRPr="00FC1444">
        <w:rPr>
          <w:sz w:val="24"/>
        </w:rPr>
        <w:t>清淤施工期选定</w:t>
      </w:r>
      <w:r w:rsidR="004C69F2" w:rsidRPr="00FC1444">
        <w:rPr>
          <w:sz w:val="24"/>
        </w:rPr>
        <w:t xml:space="preserve"> 2027</w:t>
      </w:r>
      <w:r w:rsidR="004C69F2" w:rsidRPr="00FC1444">
        <w:rPr>
          <w:sz w:val="24"/>
        </w:rPr>
        <w:t>年</w:t>
      </w:r>
      <w:r w:rsidR="004C69F2" w:rsidRPr="00FC1444">
        <w:rPr>
          <w:sz w:val="24"/>
        </w:rPr>
        <w:t>3</w:t>
      </w:r>
      <w:r w:rsidR="004C69F2" w:rsidRPr="00FC1444">
        <w:rPr>
          <w:rFonts w:eastAsiaTheme="minorEastAsia"/>
          <w:kern w:val="0"/>
          <w:sz w:val="24"/>
        </w:rPr>
        <w:t>～</w:t>
      </w:r>
      <w:r w:rsidR="004C69F2" w:rsidRPr="00FC1444">
        <w:rPr>
          <w:sz w:val="24"/>
        </w:rPr>
        <w:t>4</w:t>
      </w:r>
      <w:r w:rsidR="004C69F2" w:rsidRPr="00FC1444">
        <w:rPr>
          <w:sz w:val="24"/>
        </w:rPr>
        <w:t>月河道枯水期开展</w:t>
      </w:r>
      <w:r w:rsidRPr="00FC1444">
        <w:rPr>
          <w:rFonts w:eastAsiaTheme="minorEastAsia"/>
          <w:snapToGrid w:val="0"/>
          <w:sz w:val="24"/>
        </w:rPr>
        <w:t>，喷洒微生物除臭剂。</w:t>
      </w:r>
      <w:r w:rsidR="004C69F2" w:rsidRPr="00FC1444">
        <w:rPr>
          <w:rFonts w:eastAsiaTheme="minorEastAsia"/>
          <w:sz w:val="24"/>
        </w:rPr>
        <w:t>排水沟淤泥</w:t>
      </w:r>
      <w:r w:rsidR="004C69F2" w:rsidRPr="00FC1444">
        <w:rPr>
          <w:rFonts w:eastAsiaTheme="minorEastAsia"/>
          <w:bCs/>
          <w:sz w:val="24"/>
        </w:rPr>
        <w:t>培至工程附近</w:t>
      </w:r>
      <w:r w:rsidR="004C69F2" w:rsidRPr="00FC1444">
        <w:rPr>
          <w:rFonts w:eastAsiaTheme="minorEastAsia"/>
          <w:bCs/>
          <w:sz w:val="24"/>
        </w:rPr>
        <w:t>200</w:t>
      </w:r>
      <w:r w:rsidR="004C69F2" w:rsidRPr="00FC1444">
        <w:rPr>
          <w:rFonts w:eastAsiaTheme="minorEastAsia"/>
          <w:bCs/>
          <w:sz w:val="24"/>
        </w:rPr>
        <w:t>米范围内无环境保护目标的排水沟两侧（</w:t>
      </w:r>
      <w:r w:rsidR="00386D57" w:rsidRPr="00FC1444">
        <w:rPr>
          <w:rFonts w:eastAsiaTheme="minorEastAsia"/>
          <w:bCs/>
          <w:sz w:val="24"/>
        </w:rPr>
        <w:t>避开</w:t>
      </w:r>
      <w:r w:rsidR="00386D57" w:rsidRPr="00FC1444">
        <w:rPr>
          <w:rFonts w:eastAsiaTheme="minorEastAsia"/>
          <w:bCs/>
          <w:sz w:val="24"/>
        </w:rPr>
        <w:lastRenderedPageBreak/>
        <w:t>黄家屯、李荒子屯等</w:t>
      </w:r>
      <w:r w:rsidR="00386D57" w:rsidRPr="00FC1444">
        <w:rPr>
          <w:rFonts w:eastAsiaTheme="minorEastAsia"/>
          <w:bCs/>
          <w:sz w:val="24"/>
        </w:rPr>
        <w:t>22</w:t>
      </w:r>
      <w:r w:rsidR="00386D57" w:rsidRPr="00FC1444">
        <w:rPr>
          <w:rFonts w:eastAsiaTheme="minorEastAsia"/>
          <w:bCs/>
          <w:sz w:val="24"/>
        </w:rPr>
        <w:t>个村屯</w:t>
      </w:r>
      <w:r w:rsidR="004C69F2" w:rsidRPr="00FC1444">
        <w:rPr>
          <w:rFonts w:eastAsiaTheme="minorEastAsia"/>
          <w:bCs/>
          <w:sz w:val="24"/>
        </w:rPr>
        <w:t>，具体见表</w:t>
      </w:r>
      <w:r w:rsidR="004C69F2" w:rsidRPr="00FC1444">
        <w:rPr>
          <w:rFonts w:eastAsiaTheme="minorEastAsia"/>
          <w:bCs/>
          <w:sz w:val="24"/>
        </w:rPr>
        <w:t>2-8-2</w:t>
      </w:r>
      <w:r w:rsidR="004C69F2" w:rsidRPr="00FC1444">
        <w:rPr>
          <w:rFonts w:eastAsiaTheme="minorEastAsia"/>
          <w:bCs/>
          <w:sz w:val="24"/>
        </w:rPr>
        <w:t>），</w:t>
      </w:r>
      <w:r w:rsidR="004C69F2" w:rsidRPr="00FC1444">
        <w:rPr>
          <w:rFonts w:eastAsiaTheme="minorEastAsia"/>
          <w:sz w:val="24"/>
        </w:rPr>
        <w:t>减少对附近环境保护目标的影响。</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采取以上措施后，</w:t>
      </w:r>
      <w:r w:rsidR="004C69F2" w:rsidRPr="00FC1444">
        <w:rPr>
          <w:rFonts w:eastAsiaTheme="minorEastAsia"/>
          <w:sz w:val="24"/>
        </w:rPr>
        <w:t>无组织</w:t>
      </w:r>
      <w:r w:rsidRPr="00FC1444">
        <w:rPr>
          <w:rFonts w:eastAsiaTheme="minorEastAsia"/>
          <w:sz w:val="24"/>
        </w:rPr>
        <w:t>颗粒物排放浓度满足《大气污染物综合排放标准》（</w:t>
      </w:r>
      <w:r w:rsidRPr="00FC1444">
        <w:rPr>
          <w:rFonts w:eastAsiaTheme="minorEastAsia"/>
          <w:sz w:val="24"/>
        </w:rPr>
        <w:t>GB16297-1996</w:t>
      </w:r>
      <w:r w:rsidRPr="00FC1444">
        <w:rPr>
          <w:rFonts w:eastAsiaTheme="minorEastAsia"/>
          <w:sz w:val="24"/>
        </w:rPr>
        <w:t>）表</w:t>
      </w:r>
      <w:r w:rsidRPr="00FC1444">
        <w:rPr>
          <w:rFonts w:eastAsiaTheme="minorEastAsia"/>
          <w:sz w:val="24"/>
        </w:rPr>
        <w:t>2</w:t>
      </w:r>
      <w:r w:rsidRPr="00FC1444">
        <w:rPr>
          <w:rFonts w:eastAsiaTheme="minorEastAsia"/>
          <w:sz w:val="24"/>
        </w:rPr>
        <w:t>中无组织排放监控浓度限值要求，</w:t>
      </w:r>
      <w:r w:rsidR="004C69F2" w:rsidRPr="00FC1444">
        <w:rPr>
          <w:rFonts w:eastAsiaTheme="minorEastAsia"/>
          <w:sz w:val="24"/>
        </w:rPr>
        <w:t>无组织</w:t>
      </w:r>
      <w:r w:rsidRPr="00FC1444">
        <w:rPr>
          <w:rFonts w:eastAsiaTheme="minorEastAsia"/>
          <w:sz w:val="24"/>
        </w:rPr>
        <w:t>臭气浓度满足《恶臭污染物排放标准》（</w:t>
      </w:r>
      <w:r w:rsidRPr="00FC1444">
        <w:rPr>
          <w:rFonts w:eastAsiaTheme="minorEastAsia"/>
          <w:sz w:val="24"/>
        </w:rPr>
        <w:t>GB14554-93</w:t>
      </w:r>
      <w:r w:rsidRPr="00FC1444">
        <w:rPr>
          <w:rFonts w:eastAsiaTheme="minorEastAsia"/>
          <w:sz w:val="24"/>
        </w:rPr>
        <w:t>）表</w:t>
      </w:r>
      <w:r w:rsidRPr="00FC1444">
        <w:rPr>
          <w:rFonts w:eastAsiaTheme="minorEastAsia"/>
          <w:sz w:val="24"/>
        </w:rPr>
        <w:t>1</w:t>
      </w:r>
      <w:r w:rsidRPr="00FC1444">
        <w:rPr>
          <w:rFonts w:eastAsiaTheme="minorEastAsia"/>
          <w:sz w:val="24"/>
        </w:rPr>
        <w:t>二级标准，移动式发电机废气排放满足《非道路移动机械用柴油机移动泵车污染物排放限值及测量方法（中国三、四阶段）》（</w:t>
      </w:r>
      <w:r w:rsidRPr="00FC1444">
        <w:rPr>
          <w:rFonts w:eastAsiaTheme="minorEastAsia"/>
          <w:sz w:val="24"/>
        </w:rPr>
        <w:t>GB20891-2014</w:t>
      </w:r>
      <w:r w:rsidRPr="00FC1444">
        <w:rPr>
          <w:rFonts w:eastAsiaTheme="minorEastAsia"/>
          <w:sz w:val="24"/>
        </w:rPr>
        <w:t>）中表</w:t>
      </w:r>
      <w:r w:rsidRPr="00FC1444">
        <w:rPr>
          <w:rFonts w:eastAsiaTheme="minorEastAsia"/>
          <w:sz w:val="24"/>
        </w:rPr>
        <w:t>2</w:t>
      </w:r>
      <w:r w:rsidRPr="00FC1444">
        <w:rPr>
          <w:rFonts w:eastAsiaTheme="minorEastAsia"/>
          <w:sz w:val="24"/>
        </w:rPr>
        <w:t>非道路移动机械用柴油机排气污染物排放限值要求。</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总之，项目只要在施工中加强管理、切实落实好这些措施，施工场地产生的扬尘、废气影响将大大降低，同时该空气影响将随施工的结束而消失。施工期大气环境保护措施可行。</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6.1.2</w:t>
      </w:r>
      <w:r w:rsidRPr="00FC1444">
        <w:rPr>
          <w:rFonts w:eastAsiaTheme="minorEastAsia"/>
          <w:b/>
          <w:sz w:val="28"/>
          <w:szCs w:val="28"/>
        </w:rPr>
        <w:t>水环境保护措施及其可行性论证</w:t>
      </w:r>
    </w:p>
    <w:p w:rsidR="002A5A5E" w:rsidRPr="00FC1444" w:rsidRDefault="00611CBA">
      <w:pPr>
        <w:spacing w:line="360" w:lineRule="auto"/>
        <w:ind w:firstLineChars="200" w:firstLine="480"/>
        <w:rPr>
          <w:rFonts w:eastAsiaTheme="minorEastAsia"/>
          <w:sz w:val="24"/>
          <w:szCs w:val="21"/>
        </w:rPr>
      </w:pPr>
      <w:r w:rsidRPr="00FC1444">
        <w:rPr>
          <w:rFonts w:eastAsiaTheme="minorEastAsia"/>
          <w:kern w:val="0"/>
          <w:sz w:val="24"/>
        </w:rPr>
        <w:t>施工废水主要污染因子为</w:t>
      </w:r>
      <w:r w:rsidRPr="00FC1444">
        <w:rPr>
          <w:rFonts w:eastAsiaTheme="minorEastAsia"/>
          <w:kern w:val="0"/>
          <w:sz w:val="24"/>
        </w:rPr>
        <w:t>SS</w:t>
      </w:r>
      <w:r w:rsidRPr="00FC1444">
        <w:rPr>
          <w:rFonts w:eastAsiaTheme="minorEastAsia"/>
          <w:kern w:val="0"/>
          <w:sz w:val="24"/>
        </w:rPr>
        <w:t>。</w:t>
      </w:r>
    </w:p>
    <w:p w:rsidR="002A5A5E" w:rsidRPr="00FC1444" w:rsidRDefault="00611CBA">
      <w:pPr>
        <w:spacing w:line="360" w:lineRule="auto"/>
        <w:ind w:firstLineChars="200" w:firstLine="480"/>
        <w:rPr>
          <w:rFonts w:eastAsiaTheme="minorEastAsia"/>
          <w:sz w:val="24"/>
          <w:szCs w:val="21"/>
        </w:rPr>
      </w:pPr>
      <w:r w:rsidRPr="00FC1444">
        <w:rPr>
          <w:rFonts w:eastAsiaTheme="minorEastAsia"/>
          <w:sz w:val="24"/>
          <w:szCs w:val="21"/>
        </w:rPr>
        <w:t>合理安排施工时序，选择</w:t>
      </w:r>
      <w:r w:rsidRPr="00FC1444">
        <w:rPr>
          <w:rFonts w:eastAsiaTheme="minorEastAsia"/>
          <w:sz w:val="24"/>
          <w:szCs w:val="21"/>
        </w:rPr>
        <w:t>3</w:t>
      </w:r>
      <w:r w:rsidRPr="00FC1444">
        <w:rPr>
          <w:rFonts w:eastAsiaTheme="minorEastAsia"/>
          <w:sz w:val="24"/>
          <w:szCs w:val="21"/>
        </w:rPr>
        <w:t>月至</w:t>
      </w:r>
      <w:r w:rsidRPr="00FC1444">
        <w:rPr>
          <w:rFonts w:eastAsiaTheme="minorEastAsia"/>
          <w:sz w:val="24"/>
          <w:szCs w:val="21"/>
        </w:rPr>
        <w:t>4</w:t>
      </w:r>
      <w:r w:rsidRPr="00FC1444">
        <w:rPr>
          <w:rFonts w:eastAsiaTheme="minorEastAsia"/>
          <w:sz w:val="24"/>
          <w:szCs w:val="21"/>
        </w:rPr>
        <w:t>月进行清淤，排水沟干涸，不涉水，避免对地表水体的影响。</w:t>
      </w:r>
    </w:p>
    <w:p w:rsidR="002A5A5E" w:rsidRPr="00FC1444" w:rsidRDefault="00611CBA">
      <w:pPr>
        <w:spacing w:line="360" w:lineRule="auto"/>
        <w:ind w:firstLineChars="200" w:firstLine="480"/>
        <w:rPr>
          <w:rFonts w:eastAsiaTheme="minorEastAsia"/>
          <w:sz w:val="24"/>
          <w:szCs w:val="21"/>
        </w:rPr>
      </w:pPr>
      <w:r w:rsidRPr="00FC1444">
        <w:rPr>
          <w:rFonts w:eastAsiaTheme="minorEastAsia"/>
          <w:sz w:val="24"/>
        </w:rPr>
        <w:t>项目施工人员均雇佣附近居民，大部分施工聚集区均距离附近村屯较近。</w:t>
      </w:r>
      <w:r w:rsidRPr="00FC1444">
        <w:rPr>
          <w:rFonts w:eastAsiaTheme="minorEastAsia"/>
          <w:sz w:val="24"/>
          <w:szCs w:val="21"/>
        </w:rPr>
        <w:t>施工期施工人员的生活污水排入依托附近民房防渗旱厕，定期清掏，外运堆肥，不外排。</w:t>
      </w:r>
    </w:p>
    <w:p w:rsidR="002A5A5E" w:rsidRPr="00FC1444" w:rsidRDefault="00611CBA">
      <w:pPr>
        <w:widowControl/>
        <w:spacing w:line="360" w:lineRule="auto"/>
        <w:ind w:firstLineChars="200" w:firstLine="480"/>
        <w:rPr>
          <w:rFonts w:eastAsiaTheme="minorEastAsia"/>
          <w:sz w:val="24"/>
          <w:szCs w:val="22"/>
        </w:rPr>
      </w:pPr>
      <w:r w:rsidRPr="00FC1444">
        <w:rPr>
          <w:rFonts w:eastAsiaTheme="minorEastAsia"/>
          <w:sz w:val="24"/>
        </w:rPr>
        <w:t>洗井废水用于洒水降尘。</w:t>
      </w:r>
      <w:r w:rsidRPr="00FC1444">
        <w:rPr>
          <w:rFonts w:eastAsiaTheme="minorEastAsia"/>
          <w:sz w:val="24"/>
          <w:szCs w:val="22"/>
        </w:rPr>
        <w:t>钻井泥浆可循环利用，废泥浆</w:t>
      </w:r>
      <w:r w:rsidRPr="00FC1444">
        <w:rPr>
          <w:rFonts w:eastAsiaTheme="minorEastAsia"/>
          <w:sz w:val="24"/>
        </w:rPr>
        <w:t>暂存于施工场地</w:t>
      </w:r>
      <w:r w:rsidR="006974EB" w:rsidRPr="00FC1444">
        <w:rPr>
          <w:rFonts w:eastAsiaTheme="minorEastAsia"/>
          <w:sz w:val="24"/>
        </w:rPr>
        <w:t>1</w:t>
      </w:r>
      <w:r w:rsidR="0009673A" w:rsidRPr="00FC1444">
        <w:rPr>
          <w:rFonts w:eastAsiaTheme="minorEastAsia"/>
          <w:sz w:val="24"/>
        </w:rPr>
        <w:t>个</w:t>
      </w:r>
      <w:r w:rsidR="006974EB" w:rsidRPr="00FC1444">
        <w:rPr>
          <w:rFonts w:eastAsiaTheme="minorEastAsia"/>
          <w:sz w:val="24"/>
        </w:rPr>
        <w:t>1</w:t>
      </w:r>
      <w:r w:rsidRPr="00FC1444">
        <w:rPr>
          <w:rFonts w:eastAsiaTheme="minorEastAsia"/>
          <w:sz w:val="24"/>
        </w:rPr>
        <w:t>0</w:t>
      </w:r>
      <w:r w:rsidRPr="00FC1444">
        <w:rPr>
          <w:rFonts w:eastAsiaTheme="minorEastAsia"/>
          <w:sz w:val="24"/>
          <w:szCs w:val="22"/>
        </w:rPr>
        <w:t>m</w:t>
      </w:r>
      <w:r w:rsidRPr="00FC1444">
        <w:rPr>
          <w:rFonts w:eastAsiaTheme="minorEastAsia"/>
          <w:sz w:val="24"/>
          <w:szCs w:val="22"/>
          <w:vertAlign w:val="superscript"/>
        </w:rPr>
        <w:t>3</w:t>
      </w:r>
      <w:r w:rsidRPr="00FC1444">
        <w:rPr>
          <w:rFonts w:eastAsiaTheme="minorEastAsia"/>
          <w:sz w:val="24"/>
        </w:rPr>
        <w:t>移动式不锈钢沉淀池内，沉淀后上层清水用于洒水降尘，下层钻井</w:t>
      </w:r>
      <w:r w:rsidRPr="00FC1444">
        <w:rPr>
          <w:rFonts w:eastAsiaTheme="minorEastAsia"/>
          <w:bCs/>
          <w:sz w:val="24"/>
          <w:szCs w:val="22"/>
        </w:rPr>
        <w:t>泥浆自然干化后用于周围道路平整。</w:t>
      </w:r>
    </w:p>
    <w:p w:rsidR="002A5A5E" w:rsidRPr="00FC1444" w:rsidRDefault="00611CBA">
      <w:pPr>
        <w:spacing w:line="360" w:lineRule="auto"/>
        <w:ind w:firstLineChars="200" w:firstLine="480"/>
        <w:rPr>
          <w:rFonts w:eastAsiaTheme="minorEastAsia"/>
          <w:sz w:val="24"/>
          <w:szCs w:val="21"/>
        </w:rPr>
      </w:pPr>
      <w:r w:rsidRPr="00FC1444">
        <w:rPr>
          <w:rFonts w:eastAsiaTheme="minorEastAsia"/>
          <w:bCs/>
          <w:kern w:val="0"/>
          <w:sz w:val="24"/>
          <w:szCs w:val="20"/>
        </w:rPr>
        <w:t>清淤工程在枯水期施工，污泥铺摊晾晒过程中可能会产生沥水，但由于在干槽时段进行清淤，污泥含水率较低，</w:t>
      </w:r>
      <w:r w:rsidR="00B13779" w:rsidRPr="00FC1444">
        <w:rPr>
          <w:rFonts w:eastAsiaTheme="minorEastAsia"/>
          <w:bCs/>
          <w:kern w:val="0"/>
          <w:sz w:val="24"/>
          <w:szCs w:val="20"/>
        </w:rPr>
        <w:t>约为</w:t>
      </w:r>
      <w:r w:rsidR="00B13779" w:rsidRPr="00FC1444">
        <w:rPr>
          <w:rFonts w:eastAsiaTheme="minorEastAsia"/>
          <w:bCs/>
          <w:kern w:val="0"/>
          <w:sz w:val="24"/>
          <w:szCs w:val="20"/>
        </w:rPr>
        <w:t>60%</w:t>
      </w:r>
      <w:r w:rsidR="00B13779" w:rsidRPr="00FC1444">
        <w:rPr>
          <w:rFonts w:eastAsiaTheme="minorEastAsia"/>
          <w:bCs/>
          <w:kern w:val="0"/>
          <w:sz w:val="24"/>
          <w:szCs w:val="20"/>
        </w:rPr>
        <w:t>。</w:t>
      </w:r>
      <w:r w:rsidR="00B13779" w:rsidRPr="00FC1444">
        <w:rPr>
          <w:rFonts w:eastAsiaTheme="minorEastAsia"/>
          <w:bCs/>
          <w:kern w:val="10"/>
          <w:sz w:val="24"/>
          <w:szCs w:val="22"/>
        </w:rPr>
        <w:t>污泥</w:t>
      </w:r>
      <w:r w:rsidR="00B13779" w:rsidRPr="00FC1444">
        <w:rPr>
          <w:rFonts w:eastAsiaTheme="minorEastAsia"/>
          <w:bCs/>
          <w:kern w:val="0"/>
          <w:sz w:val="24"/>
          <w:szCs w:val="20"/>
        </w:rPr>
        <w:t>铺摊</w:t>
      </w:r>
      <w:r w:rsidR="00B13779" w:rsidRPr="00FC1444">
        <w:rPr>
          <w:spacing w:val="-1"/>
          <w:sz w:val="24"/>
        </w:rPr>
        <w:t>前先根据地势铺设</w:t>
      </w:r>
      <w:r w:rsidR="00B13779" w:rsidRPr="00FC1444">
        <w:rPr>
          <w:spacing w:val="-1"/>
          <w:sz w:val="24"/>
        </w:rPr>
        <w:t>5cm</w:t>
      </w:r>
      <w:r w:rsidR="00B13779" w:rsidRPr="00FC1444">
        <w:rPr>
          <w:spacing w:val="-1"/>
          <w:sz w:val="24"/>
        </w:rPr>
        <w:t>卵石层、</w:t>
      </w:r>
      <w:r w:rsidR="00B13779" w:rsidRPr="00FC1444">
        <w:rPr>
          <w:spacing w:val="-1"/>
          <w:sz w:val="24"/>
        </w:rPr>
        <w:t>20cm</w:t>
      </w:r>
      <w:r w:rsidR="00B13779" w:rsidRPr="00FC1444">
        <w:rPr>
          <w:spacing w:val="-1"/>
          <w:sz w:val="24"/>
        </w:rPr>
        <w:t>砂子层，形成一侧临沟渠偏低、另一侧靠农田偏高的坡度，防止淤泥沥水渗入周边农田。</w:t>
      </w:r>
      <w:r w:rsidR="00B13779" w:rsidRPr="00FC1444">
        <w:rPr>
          <w:spacing w:val="-5"/>
          <w:sz w:val="24"/>
        </w:rPr>
        <w:t>污泥沥水</w:t>
      </w:r>
      <w:r w:rsidR="00B13779" w:rsidRPr="00FC1444">
        <w:rPr>
          <w:rFonts w:eastAsiaTheme="minorEastAsia"/>
          <w:bCs/>
          <w:kern w:val="0"/>
          <w:sz w:val="24"/>
          <w:szCs w:val="20"/>
        </w:rPr>
        <w:t>与渠道内水质基本一致，</w:t>
      </w:r>
      <w:r w:rsidR="00B13779" w:rsidRPr="00FC1444">
        <w:rPr>
          <w:spacing w:val="-5"/>
          <w:sz w:val="24"/>
        </w:rPr>
        <w:t>经过滤处理后</w:t>
      </w:r>
      <w:r w:rsidR="00B13779" w:rsidRPr="00FC1444">
        <w:rPr>
          <w:rFonts w:eastAsiaTheme="minorEastAsia"/>
          <w:bCs/>
          <w:kern w:val="0"/>
          <w:sz w:val="24"/>
          <w:szCs w:val="20"/>
        </w:rPr>
        <w:t>排至原有渠道内。</w:t>
      </w:r>
      <w:r w:rsidRPr="00FC1444">
        <w:rPr>
          <w:rFonts w:eastAsiaTheme="minorEastAsia"/>
          <w:bCs/>
          <w:kern w:val="0"/>
          <w:sz w:val="24"/>
          <w:szCs w:val="20"/>
        </w:rPr>
        <w:t>不会对灌区水质产生不良影响。</w:t>
      </w:r>
    </w:p>
    <w:p w:rsidR="002A5A5E" w:rsidRPr="00FC1444" w:rsidRDefault="00611CBA">
      <w:pPr>
        <w:spacing w:line="360" w:lineRule="auto"/>
        <w:ind w:firstLineChars="200" w:firstLine="480"/>
        <w:rPr>
          <w:rFonts w:eastAsiaTheme="minorEastAsia"/>
          <w:sz w:val="24"/>
          <w:szCs w:val="21"/>
        </w:rPr>
      </w:pPr>
      <w:r w:rsidRPr="00FC1444">
        <w:rPr>
          <w:rFonts w:eastAsiaTheme="minorEastAsia"/>
          <w:sz w:val="24"/>
          <w:szCs w:val="21"/>
        </w:rPr>
        <w:t>本工程</w:t>
      </w:r>
      <w:r w:rsidRPr="00FC1444">
        <w:rPr>
          <w:rFonts w:eastAsiaTheme="minorEastAsia"/>
          <w:sz w:val="24"/>
        </w:rPr>
        <w:t>施工期无施工废水排放到环境水体。施工过程不会对周围环境及环境保护目标造成影响。</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lastRenderedPageBreak/>
        <w:t>6.1.3</w:t>
      </w:r>
      <w:r w:rsidRPr="00FC1444">
        <w:rPr>
          <w:rFonts w:eastAsiaTheme="minorEastAsia"/>
          <w:b/>
          <w:sz w:val="28"/>
          <w:szCs w:val="28"/>
        </w:rPr>
        <w:t>声环境保护措施及其可行性论证</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项目施工期噪声主要来源于施工机械噪声和运输车辆噪声，根据拟建项目所在区域环境敏感点情况和受影响的程度，建设单位应针对以上具体影响情况，采取以下防护措施来减轻噪声和振动的影响：</w:t>
      </w:r>
    </w:p>
    <w:p w:rsidR="002A5A5E" w:rsidRPr="00FC1444" w:rsidRDefault="00611CBA" w:rsidP="00611CBA">
      <w:pPr>
        <w:spacing w:line="360" w:lineRule="auto"/>
        <w:ind w:firstLineChars="177" w:firstLine="425"/>
        <w:rPr>
          <w:rFonts w:eastAsiaTheme="minorEastAsia"/>
          <w:sz w:val="24"/>
          <w:szCs w:val="21"/>
        </w:rPr>
      </w:pPr>
      <w:r w:rsidRPr="00FC1444">
        <w:rPr>
          <w:rFonts w:eastAsiaTheme="minorEastAsia"/>
          <w:sz w:val="24"/>
        </w:rPr>
        <w:t>（</w:t>
      </w:r>
      <w:r w:rsidRPr="00FC1444">
        <w:rPr>
          <w:rFonts w:eastAsiaTheme="minorEastAsia"/>
          <w:sz w:val="24"/>
        </w:rPr>
        <w:t>1</w:t>
      </w:r>
      <w:r w:rsidRPr="00FC1444">
        <w:rPr>
          <w:rFonts w:eastAsiaTheme="minorEastAsia"/>
          <w:sz w:val="24"/>
        </w:rPr>
        <w:t>）</w:t>
      </w:r>
      <w:r w:rsidRPr="00FC1444">
        <w:rPr>
          <w:rFonts w:eastAsiaTheme="minorEastAsia"/>
          <w:bCs/>
          <w:sz w:val="24"/>
        </w:rPr>
        <w:t>合理规划施工布置。</w:t>
      </w:r>
      <w:r w:rsidRPr="00FC1444">
        <w:rPr>
          <w:rFonts w:eastAsiaTheme="minorEastAsia"/>
          <w:sz w:val="24"/>
          <w:szCs w:val="21"/>
        </w:rPr>
        <w:t>移动式声屏障可拆卸重复使用，高度为</w:t>
      </w:r>
      <w:r w:rsidRPr="00FC1444">
        <w:rPr>
          <w:rFonts w:eastAsiaTheme="minorEastAsia"/>
          <w:sz w:val="24"/>
          <w:szCs w:val="21"/>
        </w:rPr>
        <w:t>2m</w:t>
      </w:r>
      <w:r w:rsidRPr="00FC1444">
        <w:rPr>
          <w:rFonts w:eastAsiaTheme="minorEastAsia"/>
          <w:sz w:val="24"/>
          <w:szCs w:val="21"/>
        </w:rPr>
        <w:t>。本次评价考虑距离工程</w:t>
      </w:r>
      <w:r w:rsidRPr="00FC1444">
        <w:rPr>
          <w:rFonts w:eastAsiaTheme="minorEastAsia"/>
          <w:sz w:val="24"/>
          <w:szCs w:val="21"/>
        </w:rPr>
        <w:t>10m</w:t>
      </w:r>
      <w:r w:rsidRPr="00FC1444">
        <w:rPr>
          <w:rFonts w:eastAsiaTheme="minorEastAsia"/>
          <w:sz w:val="24"/>
          <w:szCs w:val="21"/>
        </w:rPr>
        <w:t>以内的敏感保护目标设置芯材为玻璃棉等吸声材料的双层移动式隔声屏障，</w:t>
      </w:r>
      <w:r w:rsidRPr="00FC1444">
        <w:rPr>
          <w:rFonts w:eastAsiaTheme="minorEastAsia"/>
          <w:spacing w:val="-5"/>
          <w:sz w:val="24"/>
        </w:rPr>
        <w:t>双层</w:t>
      </w:r>
      <w:r w:rsidRPr="00FC1444">
        <w:rPr>
          <w:rFonts w:eastAsiaTheme="minorEastAsia"/>
          <w:sz w:val="24"/>
          <w:szCs w:val="21"/>
        </w:rPr>
        <w:t>声屏障降噪效果良好，可降噪</w:t>
      </w:r>
      <w:r w:rsidRPr="00FC1444">
        <w:rPr>
          <w:rFonts w:eastAsiaTheme="minorEastAsia"/>
          <w:sz w:val="24"/>
          <w:szCs w:val="21"/>
        </w:rPr>
        <w:t>25dB</w:t>
      </w:r>
      <w:r w:rsidRPr="00FC1444">
        <w:rPr>
          <w:rFonts w:eastAsiaTheme="minorEastAsia"/>
          <w:sz w:val="24"/>
          <w:szCs w:val="21"/>
        </w:rPr>
        <w:t>（</w:t>
      </w:r>
      <w:r w:rsidRPr="00FC1444">
        <w:rPr>
          <w:rFonts w:eastAsiaTheme="minorEastAsia"/>
          <w:sz w:val="24"/>
          <w:szCs w:val="21"/>
        </w:rPr>
        <w:t>A</w:t>
      </w:r>
      <w:r w:rsidRPr="00FC1444">
        <w:rPr>
          <w:rFonts w:eastAsiaTheme="minorEastAsia"/>
          <w:sz w:val="24"/>
          <w:szCs w:val="21"/>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szCs w:val="21"/>
        </w:rPr>
        <w:t>合理布置施工现场，尽量让高噪声设备远离敏感点一侧布置；做好安全文明施工（严禁中午</w:t>
      </w:r>
      <w:r w:rsidRPr="00FC1444">
        <w:rPr>
          <w:rFonts w:eastAsiaTheme="minorEastAsia"/>
          <w:sz w:val="24"/>
          <w:szCs w:val="21"/>
        </w:rPr>
        <w:t>12:00</w:t>
      </w:r>
      <w:r w:rsidRPr="00FC1444">
        <w:rPr>
          <w:rFonts w:eastAsia="MS Mincho"/>
          <w:sz w:val="24"/>
          <w:szCs w:val="21"/>
        </w:rPr>
        <w:t>〜</w:t>
      </w:r>
      <w:r w:rsidRPr="00FC1444">
        <w:rPr>
          <w:rFonts w:eastAsiaTheme="minorEastAsia"/>
          <w:sz w:val="24"/>
          <w:szCs w:val="21"/>
        </w:rPr>
        <w:t>14:00</w:t>
      </w:r>
      <w:r w:rsidRPr="00FC1444">
        <w:rPr>
          <w:rFonts w:eastAsiaTheme="minorEastAsia"/>
          <w:sz w:val="24"/>
          <w:szCs w:val="21"/>
        </w:rPr>
        <w:t>进行高噪声施工活动），夜间不施工，在</w:t>
      </w:r>
      <w:r w:rsidRPr="00FC1444">
        <w:rPr>
          <w:rFonts w:eastAsiaTheme="minorEastAsia"/>
          <w:sz w:val="24"/>
          <w:szCs w:val="21"/>
        </w:rPr>
        <w:t>10m</w:t>
      </w:r>
      <w:r w:rsidRPr="00FC1444">
        <w:rPr>
          <w:rFonts w:eastAsiaTheme="minorEastAsia"/>
          <w:sz w:val="24"/>
          <w:szCs w:val="21"/>
        </w:rPr>
        <w:t>以内分布有居民（</w:t>
      </w:r>
      <w:r w:rsidR="00D41946" w:rsidRPr="00FC1444">
        <w:rPr>
          <w:rFonts w:eastAsiaTheme="minorEastAsia"/>
          <w:sz w:val="24"/>
          <w:szCs w:val="21"/>
        </w:rPr>
        <w:t>曹家炉、刘家沟、崔家窝棚等村屯，共</w:t>
      </w:r>
      <w:r w:rsidR="00D41946" w:rsidRPr="00FC1444">
        <w:rPr>
          <w:rFonts w:eastAsiaTheme="minorEastAsia"/>
          <w:sz w:val="24"/>
          <w:szCs w:val="21"/>
        </w:rPr>
        <w:t>19</w:t>
      </w:r>
      <w:r w:rsidR="00D41946" w:rsidRPr="00FC1444">
        <w:rPr>
          <w:rFonts w:eastAsiaTheme="minorEastAsia"/>
          <w:sz w:val="24"/>
          <w:szCs w:val="21"/>
        </w:rPr>
        <w:t>处，</w:t>
      </w:r>
      <w:r w:rsidRPr="00FC1444">
        <w:rPr>
          <w:rFonts w:eastAsiaTheme="minorEastAsia"/>
          <w:sz w:val="24"/>
          <w:szCs w:val="21"/>
        </w:rPr>
        <w:t>具体村屯名称</w:t>
      </w:r>
      <w:r w:rsidR="00660C23" w:rsidRPr="00FC1444">
        <w:rPr>
          <w:rFonts w:eastAsiaTheme="minorEastAsia"/>
          <w:sz w:val="24"/>
          <w:szCs w:val="21"/>
        </w:rPr>
        <w:t>见表</w:t>
      </w:r>
      <w:r w:rsidR="00660C23" w:rsidRPr="00FC1444">
        <w:rPr>
          <w:rFonts w:eastAsiaTheme="minorEastAsia"/>
          <w:sz w:val="24"/>
          <w:szCs w:val="21"/>
        </w:rPr>
        <w:t>2-8-1</w:t>
      </w:r>
      <w:r w:rsidRPr="00FC1444">
        <w:rPr>
          <w:rFonts w:eastAsiaTheme="minorEastAsia"/>
          <w:sz w:val="24"/>
          <w:szCs w:val="21"/>
        </w:rPr>
        <w:t>）的灌溉与排水、田间道路、涵洞等建筑物、</w:t>
      </w:r>
      <w:r w:rsidRPr="00FC1444">
        <w:rPr>
          <w:rFonts w:eastAsiaTheme="minorEastAsia"/>
          <w:bCs/>
          <w:sz w:val="24"/>
          <w:szCs w:val="21"/>
        </w:rPr>
        <w:t>输配电</w:t>
      </w:r>
      <w:r w:rsidRPr="00FC1444">
        <w:rPr>
          <w:rFonts w:eastAsiaTheme="minorEastAsia"/>
          <w:sz w:val="24"/>
          <w:szCs w:val="21"/>
        </w:rPr>
        <w:t>工程处设置</w:t>
      </w:r>
      <w:r w:rsidRPr="00FC1444">
        <w:rPr>
          <w:rFonts w:eastAsiaTheme="minorEastAsia"/>
          <w:spacing w:val="-5"/>
          <w:sz w:val="24"/>
        </w:rPr>
        <w:t>双层</w:t>
      </w:r>
      <w:r w:rsidRPr="00FC1444">
        <w:rPr>
          <w:rFonts w:eastAsiaTheme="minorEastAsia"/>
          <w:sz w:val="24"/>
          <w:szCs w:val="21"/>
        </w:rPr>
        <w:t>移动隔声屏障，高度为</w:t>
      </w:r>
      <w:r w:rsidRPr="00FC1444">
        <w:rPr>
          <w:rFonts w:eastAsiaTheme="minorEastAsia"/>
          <w:sz w:val="24"/>
          <w:szCs w:val="21"/>
        </w:rPr>
        <w:t>2m</w:t>
      </w:r>
      <w:r w:rsidRPr="00FC1444">
        <w:rPr>
          <w:rFonts w:eastAsiaTheme="minorEastAsia"/>
          <w:sz w:val="24"/>
          <w:szCs w:val="21"/>
        </w:rPr>
        <w:t>，长度能够覆盖敏感目标（长度超出敏感目标两侧各</w:t>
      </w:r>
      <w:r w:rsidRPr="00FC1444">
        <w:rPr>
          <w:rFonts w:eastAsiaTheme="minorEastAsia"/>
          <w:sz w:val="24"/>
          <w:szCs w:val="21"/>
        </w:rPr>
        <w:t>10m</w:t>
      </w:r>
      <w:r w:rsidRPr="00FC1444">
        <w:rPr>
          <w:rFonts w:eastAsiaTheme="minorEastAsia"/>
          <w:sz w:val="24"/>
          <w:szCs w:val="21"/>
        </w:rPr>
        <w:t>）。采取</w:t>
      </w:r>
      <w:r w:rsidRPr="00FC1444">
        <w:rPr>
          <w:rFonts w:eastAsiaTheme="minorEastAsia"/>
          <w:spacing w:val="-5"/>
          <w:sz w:val="24"/>
        </w:rPr>
        <w:t>双层</w:t>
      </w:r>
      <w:r w:rsidRPr="00FC1444">
        <w:rPr>
          <w:rFonts w:eastAsiaTheme="minorEastAsia"/>
          <w:sz w:val="24"/>
          <w:szCs w:val="21"/>
        </w:rPr>
        <w:t>声屏障措施后，施工厂界噪声值可满足</w:t>
      </w:r>
      <w:r w:rsidRPr="00FC1444">
        <w:rPr>
          <w:rFonts w:eastAsiaTheme="minorEastAsia"/>
          <w:bCs/>
          <w:sz w:val="24"/>
        </w:rPr>
        <w:t>《建筑施工噪声排放标准》</w:t>
      </w:r>
      <w:r w:rsidRPr="00FC1444">
        <w:rPr>
          <w:rFonts w:eastAsiaTheme="minorEastAsia"/>
          <w:bCs/>
          <w:sz w:val="24"/>
        </w:rPr>
        <w:t>(GB12523-2025)</w:t>
      </w:r>
      <w:r w:rsidRPr="00FC1444">
        <w:rPr>
          <w:rFonts w:eastAsiaTheme="minorEastAsia"/>
          <w:bCs/>
          <w:sz w:val="24"/>
        </w:rPr>
        <w:t>要求。</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w:t>
      </w:r>
      <w:r w:rsidRPr="00FC1444">
        <w:rPr>
          <w:rFonts w:eastAsiaTheme="minorEastAsia"/>
          <w:sz w:val="24"/>
          <w:szCs w:val="21"/>
        </w:rPr>
        <w:t>对施工机械和车辆进行维护保养</w:t>
      </w:r>
      <w:r w:rsidRPr="00FC1444">
        <w:rPr>
          <w:rFonts w:eastAsiaTheme="minorEastAsia"/>
          <w:sz w:val="24"/>
        </w:rPr>
        <w:t>。</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3</w:t>
      </w:r>
      <w:r w:rsidRPr="00FC1444">
        <w:rPr>
          <w:rFonts w:eastAsiaTheme="minorEastAsia"/>
          <w:sz w:val="24"/>
        </w:rPr>
        <w:t>）</w:t>
      </w:r>
      <w:r w:rsidRPr="00FC1444">
        <w:rPr>
          <w:rFonts w:eastAsiaTheme="minorEastAsia"/>
          <w:bCs/>
          <w:smallCaps/>
          <w:sz w:val="24"/>
        </w:rPr>
        <w:t>施工单位应加强对施工队伍的管理，倡导文明施工；</w:t>
      </w:r>
      <w:r w:rsidRPr="00FC1444">
        <w:rPr>
          <w:rFonts w:eastAsiaTheme="minorEastAsia"/>
          <w:bCs/>
          <w:sz w:val="24"/>
        </w:rPr>
        <w:t>车辆经过居民区和噪声敏感点附近时应控制车速不超过</w:t>
      </w:r>
      <w:r w:rsidRPr="00FC1444">
        <w:rPr>
          <w:rFonts w:eastAsiaTheme="minorEastAsia"/>
          <w:bCs/>
          <w:sz w:val="24"/>
        </w:rPr>
        <w:t>20km/h</w:t>
      </w:r>
      <w:r w:rsidRPr="00FC1444">
        <w:rPr>
          <w:rFonts w:eastAsiaTheme="minorEastAsia"/>
          <w:bCs/>
          <w:sz w:val="24"/>
        </w:rPr>
        <w:t>，禁止鸣笛，同时，结合施工区所列的环境敏感目标设置警示牌限速牌</w:t>
      </w:r>
      <w:r w:rsidRPr="00FC1444">
        <w:rPr>
          <w:rFonts w:eastAsiaTheme="minorEastAsia"/>
          <w:sz w:val="24"/>
        </w:rPr>
        <w:t>。</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4</w:t>
      </w:r>
      <w:r w:rsidRPr="00FC1444">
        <w:rPr>
          <w:rFonts w:eastAsiaTheme="minorEastAsia"/>
          <w:sz w:val="24"/>
        </w:rPr>
        <w:t>）</w:t>
      </w:r>
      <w:r w:rsidRPr="00FC1444">
        <w:rPr>
          <w:rFonts w:eastAsiaTheme="minorEastAsia"/>
          <w:sz w:val="24"/>
          <w:szCs w:val="21"/>
        </w:rPr>
        <w:t>加强施工期环境管理，尽量避免高噪声机械设备集中使用或几台声功率相同的设备同时、同点作业，以减少作业时的噪声声级</w:t>
      </w:r>
      <w:r w:rsidRPr="00FC1444">
        <w:rPr>
          <w:rFonts w:eastAsiaTheme="minorEastAsia"/>
          <w:sz w:val="24"/>
        </w:rPr>
        <w:t>。</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5</w:t>
      </w:r>
      <w:r w:rsidRPr="00FC1444">
        <w:rPr>
          <w:rFonts w:eastAsiaTheme="minorEastAsia"/>
          <w:sz w:val="24"/>
        </w:rPr>
        <w:t>）</w:t>
      </w:r>
      <w:r w:rsidRPr="00FC1444">
        <w:rPr>
          <w:rFonts w:eastAsiaTheme="minorEastAsia"/>
          <w:sz w:val="24"/>
          <w:szCs w:val="21"/>
        </w:rPr>
        <w:t>合理安排施工作业时间，禁止夜间（</w:t>
      </w:r>
      <w:r w:rsidRPr="00FC1444">
        <w:rPr>
          <w:rFonts w:eastAsiaTheme="minorEastAsia"/>
          <w:sz w:val="24"/>
          <w:szCs w:val="21"/>
        </w:rPr>
        <w:t>22:00-6:00</w:t>
      </w:r>
      <w:r w:rsidRPr="00FC1444">
        <w:rPr>
          <w:rFonts w:eastAsiaTheme="minorEastAsia"/>
          <w:sz w:val="24"/>
          <w:szCs w:val="21"/>
        </w:rPr>
        <w:t>）施工</w:t>
      </w:r>
      <w:r w:rsidRPr="00FC1444">
        <w:rPr>
          <w:rFonts w:eastAsiaTheme="minorEastAsia"/>
          <w:sz w:val="24"/>
        </w:rPr>
        <w:t>。</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6</w:t>
      </w:r>
      <w:r w:rsidRPr="00FC1444">
        <w:rPr>
          <w:rFonts w:eastAsiaTheme="minorEastAsia"/>
          <w:sz w:val="24"/>
        </w:rPr>
        <w:t>）建设管理部门应加强对施工工地的噪声管理，施工企业也应对施工进行自律，文明施工，避免因施工噪声产生纠纷。</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7</w:t>
      </w:r>
      <w:r w:rsidRPr="00FC1444">
        <w:rPr>
          <w:rFonts w:eastAsiaTheme="minorEastAsia"/>
          <w:sz w:val="24"/>
        </w:rPr>
        <w:t>）</w:t>
      </w:r>
      <w:r w:rsidRPr="00FC1444">
        <w:rPr>
          <w:rFonts w:eastAsiaTheme="minorEastAsia"/>
          <w:bCs/>
          <w:sz w:val="24"/>
        </w:rPr>
        <w:t>加强施工期噪声监测，项目所在区域地势平坦，噪声影响范围大；施工期环境监测单位应加强对声环境敏感点的噪声监测，尤其是建筑物工程附近的敏感点的噪声监测，对于噪声超标的区域，及时反馈建设单位，督促施工单位加以规范，确保敏感点声环境功能区达标。</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bCs/>
          <w:sz w:val="24"/>
        </w:rPr>
        <w:t>综上分析，本项目施工期噪声具有阶段性、临时性和不固定性的特征。尽管施工噪声对周边环境有一定的不利影响，但是施工期噪声影响是短暂的，一旦施</w:t>
      </w:r>
      <w:r w:rsidRPr="00FC1444">
        <w:rPr>
          <w:rFonts w:eastAsiaTheme="minorEastAsia"/>
          <w:bCs/>
          <w:sz w:val="24"/>
        </w:rPr>
        <w:lastRenderedPageBreak/>
        <w:t>工活动结束，施工噪声影响也就随之结束，</w:t>
      </w:r>
      <w:r w:rsidRPr="00FC1444">
        <w:rPr>
          <w:rFonts w:eastAsiaTheme="minorEastAsia"/>
          <w:sz w:val="24"/>
        </w:rPr>
        <w:t>采取措施后厂界噪声符合《建筑施工噪声排放标准》（</w:t>
      </w:r>
      <w:r w:rsidRPr="00FC1444">
        <w:rPr>
          <w:rFonts w:eastAsiaTheme="minorEastAsia"/>
          <w:sz w:val="24"/>
        </w:rPr>
        <w:t>GB12523-2025</w:t>
      </w:r>
      <w:r w:rsidRPr="00FC1444">
        <w:rPr>
          <w:rFonts w:eastAsiaTheme="minorEastAsia"/>
          <w:sz w:val="24"/>
        </w:rPr>
        <w:t>）要求，施工期声环境保护措施可行。</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6.1.4</w:t>
      </w:r>
      <w:r w:rsidRPr="00FC1444">
        <w:rPr>
          <w:rFonts w:eastAsiaTheme="minorEastAsia"/>
          <w:b/>
          <w:sz w:val="28"/>
          <w:szCs w:val="28"/>
        </w:rPr>
        <w:t>固体废物处置措施及其可行性论证</w:t>
      </w:r>
    </w:p>
    <w:p w:rsidR="002A5A5E" w:rsidRPr="00FC1444" w:rsidRDefault="00611CBA">
      <w:pPr>
        <w:spacing w:line="360" w:lineRule="auto"/>
        <w:ind w:firstLineChars="200" w:firstLine="464"/>
        <w:rPr>
          <w:rFonts w:eastAsiaTheme="minorEastAsia"/>
          <w:spacing w:val="-4"/>
          <w:sz w:val="24"/>
          <w:szCs w:val="21"/>
        </w:rPr>
      </w:pPr>
      <w:r w:rsidRPr="00FC1444">
        <w:rPr>
          <w:rFonts w:eastAsiaTheme="minorEastAsia"/>
          <w:spacing w:val="-4"/>
          <w:sz w:val="24"/>
          <w:szCs w:val="21"/>
        </w:rPr>
        <w:t>施工期固体废物主要包括</w:t>
      </w:r>
      <w:r w:rsidR="00957CE3" w:rsidRPr="00FC1444">
        <w:rPr>
          <w:rFonts w:eastAsiaTheme="minorEastAsia"/>
          <w:spacing w:val="-4"/>
          <w:sz w:val="24"/>
          <w:szCs w:val="21"/>
        </w:rPr>
        <w:t>建筑垃圾、土方（表土、</w:t>
      </w:r>
      <w:r w:rsidR="00957CE3" w:rsidRPr="00FC1444">
        <w:rPr>
          <w:rFonts w:eastAsiaTheme="minorEastAsia"/>
          <w:sz w:val="24"/>
          <w:szCs w:val="22"/>
        </w:rPr>
        <w:t>钻井泥浆</w:t>
      </w:r>
      <w:r w:rsidR="00957CE3" w:rsidRPr="00FC1444">
        <w:rPr>
          <w:rFonts w:eastAsiaTheme="minorEastAsia"/>
          <w:spacing w:val="-4"/>
          <w:sz w:val="24"/>
          <w:szCs w:val="21"/>
        </w:rPr>
        <w:t>）、生活垃圾、淤泥、废肥料包装袋</w:t>
      </w:r>
      <w:r w:rsidRPr="00FC1444">
        <w:rPr>
          <w:rFonts w:eastAsiaTheme="minorEastAsia"/>
          <w:spacing w:val="-4"/>
          <w:sz w:val="24"/>
          <w:szCs w:val="21"/>
        </w:rPr>
        <w:t>。</w:t>
      </w:r>
    </w:p>
    <w:p w:rsidR="002A5A5E" w:rsidRPr="00FC1444" w:rsidRDefault="00611CBA">
      <w:pPr>
        <w:spacing w:line="360" w:lineRule="auto"/>
        <w:ind w:firstLineChars="200" w:firstLine="480"/>
        <w:rPr>
          <w:rFonts w:eastAsiaTheme="minorEastAsia"/>
          <w:spacing w:val="-4"/>
          <w:sz w:val="24"/>
          <w:szCs w:val="21"/>
        </w:rPr>
      </w:pPr>
      <w:r w:rsidRPr="00FC1444">
        <w:rPr>
          <w:rFonts w:eastAsiaTheme="minorEastAsia"/>
          <w:sz w:val="24"/>
        </w:rPr>
        <w:t>（</w:t>
      </w:r>
      <w:r w:rsidRPr="00FC1444">
        <w:rPr>
          <w:rFonts w:eastAsiaTheme="minorEastAsia"/>
          <w:sz w:val="24"/>
        </w:rPr>
        <w:t>1</w:t>
      </w:r>
      <w:r w:rsidRPr="00FC1444">
        <w:rPr>
          <w:rFonts w:eastAsiaTheme="minorEastAsia"/>
          <w:sz w:val="24"/>
        </w:rPr>
        <w:t>）</w:t>
      </w:r>
      <w:r w:rsidR="006D1744" w:rsidRPr="00FC1444">
        <w:rPr>
          <w:rFonts w:eastAsiaTheme="minorEastAsia"/>
          <w:spacing w:val="-4"/>
          <w:sz w:val="24"/>
          <w:szCs w:val="21"/>
        </w:rPr>
        <w:t>建筑垃圾主要为道路、</w:t>
      </w:r>
      <w:r w:rsidR="006D1744" w:rsidRPr="00FC1444">
        <w:rPr>
          <w:rFonts w:eastAsiaTheme="minorEastAsia"/>
          <w:bCs/>
          <w:spacing w:val="-4"/>
          <w:sz w:val="24"/>
          <w:szCs w:val="21"/>
        </w:rPr>
        <w:t>渠道衬砌</w:t>
      </w:r>
      <w:r w:rsidR="006D1744" w:rsidRPr="00FC1444">
        <w:rPr>
          <w:rFonts w:eastAsiaTheme="minorEastAsia"/>
          <w:spacing w:val="-4"/>
          <w:sz w:val="24"/>
          <w:szCs w:val="21"/>
        </w:rPr>
        <w:t>及建筑物工程拆除的废建材、废包装袋</w:t>
      </w:r>
      <w:r w:rsidRPr="00FC1444">
        <w:rPr>
          <w:rFonts w:eastAsiaTheme="minorEastAsia"/>
          <w:spacing w:val="-4"/>
          <w:sz w:val="24"/>
          <w:szCs w:val="21"/>
        </w:rPr>
        <w:t>对可再利用的建筑废料，应进行回收利用，以节省资源。最大程度减小对环境的影响。建筑垃圾大部分用于田块整治工程，剩余及时送至建材公司回用。</w:t>
      </w:r>
      <w:r w:rsidR="00F9040C" w:rsidRPr="00FC1444">
        <w:rPr>
          <w:rFonts w:eastAsiaTheme="minorEastAsia"/>
          <w:spacing w:val="-4"/>
          <w:sz w:val="24"/>
          <w:szCs w:val="21"/>
        </w:rPr>
        <w:t>根据《建筑垃圾污染控制技术规范》（</w:t>
      </w:r>
      <w:r w:rsidR="00F9040C" w:rsidRPr="00FC1444">
        <w:rPr>
          <w:rFonts w:eastAsiaTheme="minorEastAsia"/>
          <w:spacing w:val="-4"/>
          <w:sz w:val="24"/>
          <w:szCs w:val="21"/>
        </w:rPr>
        <w:t>HJ1462-2026</w:t>
      </w:r>
      <w:r w:rsidR="00F9040C" w:rsidRPr="00FC1444">
        <w:rPr>
          <w:rFonts w:eastAsiaTheme="minorEastAsia"/>
          <w:spacing w:val="-4"/>
          <w:sz w:val="24"/>
          <w:szCs w:val="21"/>
        </w:rPr>
        <w:t>）要求，本项目建筑垃圾产生后，进行堆填利用前应开展本底调查（包括堆填利用区域的土壤环境、地下水环境以及地表水环境等，可参考已有的环境影响评价以及相关水文地质资料）及风险评估。</w:t>
      </w:r>
      <w:r w:rsidR="00957CE3" w:rsidRPr="00FC1444">
        <w:rPr>
          <w:rFonts w:eastAsiaTheme="minorEastAsia"/>
          <w:spacing w:val="-4"/>
          <w:sz w:val="24"/>
          <w:szCs w:val="21"/>
        </w:rPr>
        <w:t>废包装袋外售废品收购站。</w:t>
      </w:r>
    </w:p>
    <w:p w:rsidR="002A5A5E" w:rsidRPr="00FC1444" w:rsidRDefault="00611CBA">
      <w:pPr>
        <w:widowControl/>
        <w:spacing w:line="360" w:lineRule="auto"/>
        <w:ind w:firstLineChars="200" w:firstLine="480"/>
        <w:rPr>
          <w:rFonts w:eastAsiaTheme="minorEastAsia"/>
          <w:spacing w:val="-5"/>
          <w:sz w:val="24"/>
        </w:rPr>
      </w:pPr>
      <w:r w:rsidRPr="00FC1444">
        <w:rPr>
          <w:rFonts w:eastAsiaTheme="minorEastAsia"/>
          <w:sz w:val="24"/>
        </w:rPr>
        <w:t>（</w:t>
      </w:r>
      <w:r w:rsidRPr="00FC1444">
        <w:rPr>
          <w:rFonts w:eastAsiaTheme="minorEastAsia"/>
          <w:sz w:val="24"/>
        </w:rPr>
        <w:t>2</w:t>
      </w:r>
      <w:r w:rsidRPr="00FC1444">
        <w:rPr>
          <w:rFonts w:eastAsiaTheme="minorEastAsia"/>
          <w:sz w:val="24"/>
        </w:rPr>
        <w:t>）</w:t>
      </w:r>
      <w:r w:rsidRPr="00FC1444">
        <w:rPr>
          <w:rFonts w:eastAsiaTheme="minorEastAsia"/>
          <w:spacing w:val="-4"/>
          <w:sz w:val="24"/>
          <w:szCs w:val="21"/>
        </w:rPr>
        <w:t>本项目</w:t>
      </w:r>
      <w:r w:rsidRPr="00FC1444">
        <w:rPr>
          <w:rFonts w:eastAsiaTheme="minorEastAsia"/>
          <w:bCs/>
          <w:spacing w:val="-4"/>
          <w:sz w:val="24"/>
          <w:szCs w:val="21"/>
        </w:rPr>
        <w:t>泥浆不含有毒有害、油类等化学物质。</w:t>
      </w:r>
      <w:r w:rsidRPr="00FC1444">
        <w:rPr>
          <w:rFonts w:eastAsiaTheme="minorEastAsia"/>
          <w:sz w:val="24"/>
          <w:szCs w:val="22"/>
        </w:rPr>
        <w:t>钻井泥浆可循环利用，废泥浆</w:t>
      </w:r>
      <w:r w:rsidRPr="00FC1444">
        <w:rPr>
          <w:rFonts w:eastAsiaTheme="minorEastAsia"/>
          <w:sz w:val="24"/>
        </w:rPr>
        <w:t>暂存于施工场地</w:t>
      </w:r>
      <w:r w:rsidR="006974EB" w:rsidRPr="00FC1444">
        <w:rPr>
          <w:rFonts w:eastAsiaTheme="minorEastAsia"/>
          <w:sz w:val="24"/>
        </w:rPr>
        <w:t>1</w:t>
      </w:r>
      <w:r w:rsidR="0009673A" w:rsidRPr="00FC1444">
        <w:rPr>
          <w:rFonts w:eastAsiaTheme="minorEastAsia"/>
          <w:sz w:val="24"/>
        </w:rPr>
        <w:t>个</w:t>
      </w:r>
      <w:r w:rsidR="006974EB" w:rsidRPr="00FC1444">
        <w:rPr>
          <w:rFonts w:eastAsiaTheme="minorEastAsia"/>
          <w:sz w:val="24"/>
        </w:rPr>
        <w:t>1</w:t>
      </w:r>
      <w:r w:rsidRPr="00FC1444">
        <w:rPr>
          <w:rFonts w:eastAsiaTheme="minorEastAsia"/>
          <w:sz w:val="24"/>
        </w:rPr>
        <w:t>0</w:t>
      </w:r>
      <w:r w:rsidRPr="00FC1444">
        <w:rPr>
          <w:rFonts w:eastAsiaTheme="minorEastAsia"/>
          <w:sz w:val="24"/>
          <w:szCs w:val="22"/>
        </w:rPr>
        <w:t>m</w:t>
      </w:r>
      <w:r w:rsidRPr="00FC1444">
        <w:rPr>
          <w:rFonts w:eastAsiaTheme="minorEastAsia"/>
          <w:sz w:val="24"/>
          <w:szCs w:val="22"/>
          <w:vertAlign w:val="superscript"/>
        </w:rPr>
        <w:t>3</w:t>
      </w:r>
      <w:r w:rsidRPr="00FC1444">
        <w:rPr>
          <w:rFonts w:eastAsiaTheme="minorEastAsia"/>
          <w:sz w:val="24"/>
        </w:rPr>
        <w:t>移动式不锈钢沉淀池内，沉淀后上层清水用于洒水降尘，下层钻井</w:t>
      </w:r>
      <w:r w:rsidRPr="00FC1444">
        <w:rPr>
          <w:rFonts w:eastAsiaTheme="minorEastAsia"/>
          <w:bCs/>
          <w:sz w:val="24"/>
          <w:szCs w:val="22"/>
        </w:rPr>
        <w:t>泥浆自然干化后用于周围道路平整</w:t>
      </w:r>
      <w:r w:rsidRPr="00FC1444">
        <w:rPr>
          <w:rFonts w:eastAsiaTheme="minorEastAsia"/>
          <w:spacing w:val="-4"/>
          <w:sz w:val="24"/>
          <w:szCs w:val="21"/>
        </w:rPr>
        <w:t>。表土用于临时工程土地恢复及田块整治工程，</w:t>
      </w:r>
      <w:r w:rsidR="009C6020" w:rsidRPr="00FC1444">
        <w:rPr>
          <w:rFonts w:eastAsiaTheme="minorEastAsia"/>
          <w:spacing w:val="-4"/>
          <w:sz w:val="24"/>
          <w:szCs w:val="21"/>
        </w:rPr>
        <w:t>资源化利用</w:t>
      </w:r>
      <w:r w:rsidRPr="00FC1444">
        <w:rPr>
          <w:rFonts w:eastAsiaTheme="minorEastAsia"/>
          <w:spacing w:val="-4"/>
          <w:sz w:val="24"/>
          <w:szCs w:val="21"/>
        </w:rPr>
        <w:t>。</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3</w:t>
      </w:r>
      <w:r w:rsidRPr="00FC1444">
        <w:rPr>
          <w:rFonts w:eastAsiaTheme="minorEastAsia"/>
          <w:sz w:val="24"/>
        </w:rPr>
        <w:t>）</w:t>
      </w:r>
      <w:r w:rsidRPr="00FC1444">
        <w:rPr>
          <w:rFonts w:eastAsiaTheme="minorEastAsia"/>
          <w:spacing w:val="-4"/>
          <w:sz w:val="24"/>
          <w:szCs w:val="21"/>
        </w:rPr>
        <w:t>施工人员产生的生活垃圾集中收集后应由市政环卫部门统一清运处置</w:t>
      </w:r>
      <w:r w:rsidRPr="00FC1444">
        <w:rPr>
          <w:rFonts w:eastAsiaTheme="minorEastAsia"/>
          <w:sz w:val="24"/>
        </w:rPr>
        <w:t>。</w:t>
      </w:r>
    </w:p>
    <w:p w:rsidR="002A5A5E" w:rsidRPr="00FC1444" w:rsidRDefault="00611CBA" w:rsidP="00611CBA">
      <w:pPr>
        <w:spacing w:line="360" w:lineRule="auto"/>
        <w:ind w:firstLineChars="177" w:firstLine="425"/>
        <w:rPr>
          <w:rFonts w:eastAsiaTheme="minorEastAsia"/>
          <w:bCs/>
          <w:sz w:val="24"/>
        </w:rPr>
      </w:pPr>
      <w:r w:rsidRPr="00FC1444">
        <w:rPr>
          <w:rFonts w:eastAsiaTheme="minorEastAsia"/>
          <w:sz w:val="24"/>
        </w:rPr>
        <w:t>（</w:t>
      </w:r>
      <w:r w:rsidRPr="00FC1444">
        <w:rPr>
          <w:rFonts w:eastAsiaTheme="minorEastAsia"/>
          <w:sz w:val="24"/>
        </w:rPr>
        <w:t>4</w:t>
      </w:r>
      <w:r w:rsidRPr="00FC1444">
        <w:rPr>
          <w:rFonts w:eastAsiaTheme="minorEastAsia"/>
          <w:sz w:val="24"/>
        </w:rPr>
        <w:t>）</w:t>
      </w:r>
      <w:r w:rsidR="00957CE3" w:rsidRPr="00FC1444">
        <w:rPr>
          <w:rFonts w:eastAsiaTheme="minorEastAsia"/>
          <w:bCs/>
          <w:sz w:val="24"/>
        </w:rPr>
        <w:t>清淤工程产生</w:t>
      </w:r>
      <w:r w:rsidRPr="00FC1444">
        <w:rPr>
          <w:rFonts w:eastAsiaTheme="minorEastAsia"/>
          <w:bCs/>
          <w:sz w:val="24"/>
        </w:rPr>
        <w:t>淤泥</w:t>
      </w:r>
      <w:r w:rsidR="00EB2C0F" w:rsidRPr="00FC1444">
        <w:rPr>
          <w:rFonts w:eastAsiaTheme="minorEastAsia"/>
          <w:bCs/>
          <w:sz w:val="24"/>
        </w:rPr>
        <w:t>0.</w:t>
      </w:r>
      <w:r w:rsidR="00EB2C0F" w:rsidRPr="00FC1444">
        <w:rPr>
          <w:rFonts w:eastAsiaTheme="minorEastAsia" w:hint="eastAsia"/>
          <w:bCs/>
          <w:sz w:val="24"/>
        </w:rPr>
        <w:t>3</w:t>
      </w:r>
      <w:r w:rsidR="000037AB" w:rsidRPr="00FC1444">
        <w:rPr>
          <w:rFonts w:eastAsiaTheme="minorEastAsia"/>
          <w:bCs/>
          <w:sz w:val="24"/>
        </w:rPr>
        <w:t>55</w:t>
      </w:r>
      <w:r w:rsidR="000037AB" w:rsidRPr="00FC1444">
        <w:rPr>
          <w:rFonts w:eastAsiaTheme="minorEastAsia"/>
          <w:bCs/>
          <w:sz w:val="24"/>
        </w:rPr>
        <w:t>万</w:t>
      </w:r>
      <w:r w:rsidR="000037AB" w:rsidRPr="00FC1444">
        <w:rPr>
          <w:rFonts w:eastAsiaTheme="minorEastAsia"/>
          <w:bCs/>
          <w:sz w:val="24"/>
        </w:rPr>
        <w:t>m</w:t>
      </w:r>
      <w:r w:rsidRPr="00FC1444">
        <w:rPr>
          <w:rFonts w:eastAsiaTheme="minorEastAsia"/>
          <w:bCs/>
          <w:sz w:val="24"/>
          <w:vertAlign w:val="superscript"/>
        </w:rPr>
        <w:t>3</w:t>
      </w:r>
      <w:r w:rsidRPr="00FC1444">
        <w:rPr>
          <w:rFonts w:eastAsiaTheme="minorEastAsia"/>
          <w:bCs/>
          <w:sz w:val="24"/>
        </w:rPr>
        <w:t>，</w:t>
      </w:r>
      <w:r w:rsidR="00730492" w:rsidRPr="00FC1444">
        <w:rPr>
          <w:rFonts w:eastAsiaTheme="minorEastAsia"/>
          <w:bCs/>
          <w:sz w:val="24"/>
        </w:rPr>
        <w:t>排水沟淤泥培至工程附近</w:t>
      </w:r>
      <w:r w:rsidR="00730492" w:rsidRPr="00FC1444">
        <w:rPr>
          <w:rFonts w:eastAsiaTheme="minorEastAsia"/>
          <w:bCs/>
          <w:sz w:val="24"/>
        </w:rPr>
        <w:t>200</w:t>
      </w:r>
      <w:r w:rsidR="00730492" w:rsidRPr="00FC1444">
        <w:rPr>
          <w:rFonts w:eastAsiaTheme="minorEastAsia"/>
          <w:bCs/>
          <w:sz w:val="24"/>
        </w:rPr>
        <w:t>米范围内无环境保护目标的排水沟两侧（</w:t>
      </w:r>
      <w:r w:rsidR="00386D57" w:rsidRPr="00FC1444">
        <w:rPr>
          <w:rFonts w:eastAsiaTheme="minorEastAsia"/>
          <w:bCs/>
          <w:sz w:val="24"/>
        </w:rPr>
        <w:t>避开黄家屯、李荒子屯等</w:t>
      </w:r>
      <w:r w:rsidR="00386D57" w:rsidRPr="00FC1444">
        <w:rPr>
          <w:rFonts w:eastAsiaTheme="minorEastAsia"/>
          <w:bCs/>
          <w:sz w:val="24"/>
        </w:rPr>
        <w:t>22</w:t>
      </w:r>
      <w:r w:rsidR="00386D57" w:rsidRPr="00FC1444">
        <w:rPr>
          <w:rFonts w:eastAsiaTheme="minorEastAsia"/>
          <w:bCs/>
          <w:sz w:val="24"/>
        </w:rPr>
        <w:t>个村屯</w:t>
      </w:r>
      <w:r w:rsidR="00730492" w:rsidRPr="00FC1444">
        <w:rPr>
          <w:rFonts w:eastAsiaTheme="minorEastAsia"/>
          <w:bCs/>
          <w:sz w:val="24"/>
        </w:rPr>
        <w:t>，具体见表</w:t>
      </w:r>
      <w:r w:rsidR="00730492" w:rsidRPr="00FC1444">
        <w:rPr>
          <w:rFonts w:eastAsiaTheme="minorEastAsia"/>
          <w:bCs/>
          <w:sz w:val="24"/>
        </w:rPr>
        <w:t>2-8-2</w:t>
      </w:r>
      <w:r w:rsidR="00730492" w:rsidRPr="00FC1444">
        <w:rPr>
          <w:rFonts w:eastAsiaTheme="minorEastAsia"/>
          <w:bCs/>
          <w:sz w:val="24"/>
        </w:rPr>
        <w:t>）</w:t>
      </w:r>
      <w:r w:rsidRPr="00FC1444">
        <w:rPr>
          <w:rFonts w:eastAsiaTheme="minorEastAsia"/>
          <w:bCs/>
          <w:sz w:val="24"/>
        </w:rPr>
        <w:t>。</w:t>
      </w:r>
    </w:p>
    <w:p w:rsidR="002A5A5E" w:rsidRPr="00FC1444" w:rsidRDefault="00611CBA" w:rsidP="00611CBA">
      <w:pPr>
        <w:spacing w:line="360" w:lineRule="auto"/>
        <w:ind w:firstLineChars="177" w:firstLine="425"/>
        <w:rPr>
          <w:rFonts w:eastAsiaTheme="minorEastAsia"/>
          <w:spacing w:val="-4"/>
          <w:sz w:val="24"/>
        </w:rPr>
      </w:pPr>
      <w:r w:rsidRPr="00FC1444">
        <w:rPr>
          <w:rFonts w:eastAsiaTheme="minorEastAsia"/>
          <w:bCs/>
          <w:sz w:val="24"/>
        </w:rPr>
        <w:t>（</w:t>
      </w:r>
      <w:r w:rsidRPr="00FC1444">
        <w:rPr>
          <w:rFonts w:eastAsiaTheme="minorEastAsia"/>
          <w:bCs/>
          <w:sz w:val="24"/>
        </w:rPr>
        <w:t>5</w:t>
      </w:r>
      <w:r w:rsidRPr="00FC1444">
        <w:rPr>
          <w:rFonts w:eastAsiaTheme="minorEastAsia"/>
          <w:bCs/>
          <w:sz w:val="24"/>
        </w:rPr>
        <w:t>）</w:t>
      </w:r>
      <w:r w:rsidRPr="00FC1444">
        <w:rPr>
          <w:rFonts w:eastAsiaTheme="minorEastAsia"/>
          <w:sz w:val="24"/>
        </w:rPr>
        <w:t>施工期</w:t>
      </w:r>
      <w:r w:rsidR="00D61453" w:rsidRPr="00FC1444">
        <w:rPr>
          <w:rFonts w:eastAsiaTheme="minorEastAsia"/>
          <w:bCs/>
          <w:sz w:val="24"/>
        </w:rPr>
        <w:t>田块整治</w:t>
      </w:r>
      <w:r w:rsidRPr="00FC1444">
        <w:rPr>
          <w:rFonts w:eastAsiaTheme="minorEastAsia"/>
          <w:bCs/>
          <w:sz w:val="24"/>
        </w:rPr>
        <w:t>工程</w:t>
      </w:r>
      <w:r w:rsidRPr="00FC1444">
        <w:rPr>
          <w:rFonts w:eastAsiaTheme="minorEastAsia"/>
          <w:sz w:val="24"/>
        </w:rPr>
        <w:t>将会产生少量的废肥料包装袋，产生量约为</w:t>
      </w:r>
      <w:r w:rsidRPr="00FC1444">
        <w:rPr>
          <w:rFonts w:eastAsiaTheme="minorEastAsia"/>
          <w:sz w:val="24"/>
        </w:rPr>
        <w:t>0.01t/a</w:t>
      </w:r>
      <w:r w:rsidRPr="00FC1444">
        <w:rPr>
          <w:rFonts w:eastAsiaTheme="minorEastAsia"/>
          <w:sz w:val="24"/>
        </w:rPr>
        <w:t>，外售废品收购站。</w:t>
      </w:r>
    </w:p>
    <w:p w:rsidR="002A5A5E" w:rsidRPr="00FC1444" w:rsidRDefault="000D5858" w:rsidP="000D5858">
      <w:pPr>
        <w:spacing w:line="360" w:lineRule="auto"/>
        <w:ind w:firstLineChars="177" w:firstLine="411"/>
        <w:rPr>
          <w:rFonts w:eastAsiaTheme="minorEastAsia"/>
          <w:sz w:val="24"/>
        </w:rPr>
      </w:pPr>
      <w:r w:rsidRPr="00FC1444">
        <w:rPr>
          <w:rFonts w:eastAsiaTheme="minorEastAsia"/>
          <w:spacing w:val="-4"/>
          <w:sz w:val="24"/>
          <w:szCs w:val="21"/>
        </w:rPr>
        <w:t>通过以上措施，项目建设产生的固体废物得到了妥善处置，可有效杜绝扬尘污染、渣土流失、随意倾倒等环境问题，实现施工固废减量化、无害化、资源化处置。</w:t>
      </w:r>
      <w:r w:rsidR="00611CBA" w:rsidRPr="00FC1444">
        <w:rPr>
          <w:rFonts w:eastAsiaTheme="minorEastAsia"/>
          <w:sz w:val="24"/>
        </w:rPr>
        <w:t>本项目施工期产生的固废处置率</w:t>
      </w:r>
      <w:r w:rsidR="00611CBA" w:rsidRPr="00FC1444">
        <w:rPr>
          <w:rFonts w:eastAsiaTheme="minorEastAsia"/>
          <w:sz w:val="24"/>
        </w:rPr>
        <w:t>100%</w:t>
      </w:r>
      <w:r w:rsidR="00611CBA" w:rsidRPr="00FC1444">
        <w:rPr>
          <w:rFonts w:eastAsiaTheme="minorEastAsia"/>
          <w:sz w:val="24"/>
        </w:rPr>
        <w:t>，施工期固体废物处置措施可行。</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lastRenderedPageBreak/>
        <w:t>6.1.5</w:t>
      </w:r>
      <w:r w:rsidRPr="00FC1444">
        <w:rPr>
          <w:rFonts w:eastAsiaTheme="minorEastAsia"/>
          <w:b/>
          <w:sz w:val="28"/>
          <w:szCs w:val="28"/>
        </w:rPr>
        <w:t>生态保护减缓措施</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kern w:val="24"/>
        </w:rPr>
        <w:t>项目施工期对生态环境的影响主要体现为占用土地、扰动土层、生物量减少、土地利用类型改变、影响</w:t>
      </w:r>
      <w:r w:rsidRPr="00FC1444">
        <w:rPr>
          <w:rFonts w:ascii="Times New Roman" w:hAnsi="Times New Roman" w:cs="Times New Roman"/>
          <w:szCs w:val="21"/>
        </w:rPr>
        <w:t>景观完整性</w:t>
      </w:r>
      <w:r w:rsidRPr="00FC1444">
        <w:rPr>
          <w:rFonts w:ascii="Times New Roman" w:hAnsi="Times New Roman" w:cs="Times New Roman"/>
          <w:kern w:val="24"/>
        </w:rPr>
        <w:t>、加剧水土流失</w:t>
      </w:r>
      <w:r w:rsidRPr="00FC1444">
        <w:rPr>
          <w:rFonts w:ascii="Times New Roman" w:hAnsi="Times New Roman" w:cs="Times New Roman"/>
          <w:snapToGrid w:val="0"/>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为减轻拟建项目运营期对生态环境带来的不利影响，拟采取以下生态保护措施：</w:t>
      </w:r>
    </w:p>
    <w:p w:rsidR="002A5A5E" w:rsidRPr="00FC1444" w:rsidRDefault="00A4540D">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1</w:t>
      </w:r>
      <w:r w:rsidRPr="00FC1444">
        <w:rPr>
          <w:rFonts w:eastAsiaTheme="minorEastAsia"/>
          <w:snapToGrid w:val="0"/>
          <w:kern w:val="0"/>
          <w:sz w:val="24"/>
        </w:rPr>
        <w:t>）</w:t>
      </w:r>
      <w:r w:rsidR="00611CBA" w:rsidRPr="00FC1444">
        <w:rPr>
          <w:rFonts w:eastAsiaTheme="minorEastAsia"/>
          <w:snapToGrid w:val="0"/>
          <w:kern w:val="0"/>
          <w:sz w:val="24"/>
        </w:rPr>
        <w:t>陆生生态、水生生态保护措施</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严格控制占地范围，减少植被破坏、禁止动物的捕猎，加强对施工人员生态环境方面知识的教育，加强管理，增强对生态环境保护的意识和观念，并使施工人员变为自觉行为。</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施工单位优化施工工艺和施工时序，尽量减少对动物惊扰应采用先进的施工工艺和优良设备，严格按规范施工，特别注意减少施工噪声对鸟类和兽类的惊扰。鉴于鸟类对噪声、振动和施工灯光的特殊要求，施工均在白天进行，晚上不施工。不在野生动物繁殖季节施工，减轻施工噪声和振动对野生动物的影响。</w:t>
      </w:r>
      <w:r w:rsidRPr="00FC1444">
        <w:rPr>
          <w:rFonts w:eastAsiaTheme="minorEastAsia"/>
          <w:sz w:val="24"/>
          <w:szCs w:val="21"/>
        </w:rPr>
        <w:t>合理安排施工时序，选择</w:t>
      </w:r>
      <w:r w:rsidRPr="00FC1444">
        <w:rPr>
          <w:rFonts w:eastAsiaTheme="minorEastAsia"/>
          <w:sz w:val="24"/>
          <w:szCs w:val="21"/>
        </w:rPr>
        <w:t>3</w:t>
      </w:r>
      <w:r w:rsidRPr="00FC1444">
        <w:rPr>
          <w:rFonts w:eastAsiaTheme="minorEastAsia"/>
          <w:sz w:val="24"/>
          <w:szCs w:val="21"/>
        </w:rPr>
        <w:t>月至</w:t>
      </w:r>
      <w:r w:rsidRPr="00FC1444">
        <w:rPr>
          <w:rFonts w:eastAsiaTheme="minorEastAsia"/>
          <w:sz w:val="24"/>
          <w:szCs w:val="21"/>
        </w:rPr>
        <w:t>4</w:t>
      </w:r>
      <w:r w:rsidRPr="00FC1444">
        <w:rPr>
          <w:rFonts w:eastAsiaTheme="minorEastAsia"/>
          <w:sz w:val="24"/>
          <w:szCs w:val="21"/>
        </w:rPr>
        <w:t>月进行排水沟清淤及涵洞等建筑物、护砌工程施工，沟渠干涸，不涉水，避免对地表水体的影响。施工废水洒水降尘，不会对沟渠水质、水生动植物产生影响。</w:t>
      </w:r>
      <w:r w:rsidRPr="00FC1444">
        <w:rPr>
          <w:rFonts w:eastAsiaTheme="minorEastAsia"/>
          <w:bCs/>
          <w:sz w:val="24"/>
        </w:rPr>
        <w:t>沟道清淤后，底质环境及水质的改善，对水生生态有益。</w:t>
      </w:r>
    </w:p>
    <w:p w:rsidR="002A5A5E" w:rsidRPr="00FC1444" w:rsidRDefault="00611CBA">
      <w:pPr>
        <w:spacing w:line="360" w:lineRule="auto"/>
        <w:ind w:firstLineChars="200" w:firstLine="480"/>
        <w:rPr>
          <w:rFonts w:eastAsiaTheme="minorEastAsia"/>
          <w:sz w:val="24"/>
          <w:szCs w:val="21"/>
        </w:rPr>
      </w:pPr>
      <w:r w:rsidRPr="00FC1444">
        <w:rPr>
          <w:rFonts w:eastAsiaTheme="minorEastAsia"/>
          <w:snapToGrid w:val="0"/>
          <w:kern w:val="0"/>
          <w:sz w:val="24"/>
        </w:rPr>
        <w:t>合理安排施工时间，避免雨天及大风天施工，防止在暴雨及大风期间造成大量水土流失。</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施工期应把剥离的表层腐殖土集中妥善处理，并采取密目网苫盖措施，对挖方进行妥善的临时堆置，并及时进行弃方的清运，避免随意排放，以确保挖填裸露堆土，不被雨水冲刷，避免造成水土流失。</w:t>
      </w:r>
    </w:p>
    <w:p w:rsidR="002A5A5E" w:rsidRPr="00FC1444" w:rsidRDefault="00611CBA">
      <w:pPr>
        <w:spacing w:line="360" w:lineRule="auto"/>
        <w:ind w:firstLineChars="200" w:firstLine="480"/>
        <w:rPr>
          <w:rFonts w:eastAsiaTheme="minorEastAsia"/>
          <w:smallCaps/>
          <w:sz w:val="24"/>
        </w:rPr>
      </w:pPr>
      <w:r w:rsidRPr="00FC1444">
        <w:rPr>
          <w:rFonts w:eastAsiaTheme="minorEastAsia"/>
          <w:snapToGrid w:val="0"/>
          <w:kern w:val="0"/>
          <w:sz w:val="24"/>
        </w:rPr>
        <w:t>保护工程施工区域的水生生物资源。涵洞等建筑物施工过程</w:t>
      </w:r>
      <w:r w:rsidRPr="00FC1444">
        <w:rPr>
          <w:rFonts w:eastAsiaTheme="minorEastAsia"/>
          <w:smallCaps/>
          <w:sz w:val="24"/>
        </w:rPr>
        <w:t>禁止施工生产废水排放至沟渠内。</w:t>
      </w:r>
    </w:p>
    <w:p w:rsidR="002A5A5E" w:rsidRPr="00FC1444" w:rsidRDefault="00611CBA">
      <w:pPr>
        <w:spacing w:line="360" w:lineRule="auto"/>
        <w:ind w:firstLineChars="200" w:firstLine="480"/>
        <w:rPr>
          <w:rFonts w:eastAsiaTheme="minorEastAsia"/>
          <w:smallCaps/>
          <w:sz w:val="24"/>
        </w:rPr>
      </w:pPr>
      <w:r w:rsidRPr="00FC1444">
        <w:rPr>
          <w:rFonts w:eastAsiaTheme="minorEastAsia"/>
          <w:smallCaps/>
          <w:sz w:val="24"/>
        </w:rPr>
        <w:t>施工工区等在施工结束后，应立即恢复地表绿化，且尽可能恢复为原有物种，尽量不改变当地生态系统构成。</w:t>
      </w:r>
    </w:p>
    <w:p w:rsidR="002A5A5E" w:rsidRPr="00FC1444" w:rsidRDefault="00611CBA">
      <w:pPr>
        <w:spacing w:line="360" w:lineRule="auto"/>
        <w:ind w:firstLineChars="200" w:firstLine="480"/>
        <w:rPr>
          <w:rFonts w:eastAsiaTheme="minorEastAsia"/>
          <w:smallCaps/>
          <w:sz w:val="24"/>
        </w:rPr>
      </w:pPr>
      <w:r w:rsidRPr="00FC1444">
        <w:rPr>
          <w:rFonts w:eastAsiaTheme="minorEastAsia"/>
          <w:smallCaps/>
          <w:sz w:val="24"/>
        </w:rPr>
        <w:t>加强管理，严格控制施工作业范围，优化施工时序，进行</w:t>
      </w:r>
      <w:r w:rsidRPr="00FC1444">
        <w:rPr>
          <w:rFonts w:eastAsiaTheme="minorEastAsia"/>
          <w:smallCaps/>
          <w:sz w:val="24"/>
        </w:rPr>
        <w:t>“</w:t>
      </w:r>
      <w:r w:rsidRPr="00FC1444">
        <w:rPr>
          <w:rFonts w:eastAsiaTheme="minorEastAsia"/>
          <w:smallCaps/>
          <w:sz w:val="24"/>
        </w:rPr>
        <w:t>边施工、边修复</w:t>
      </w:r>
      <w:r w:rsidRPr="00FC1444">
        <w:rPr>
          <w:rFonts w:eastAsiaTheme="minorEastAsia"/>
          <w:smallCaps/>
          <w:sz w:val="24"/>
        </w:rPr>
        <w:t>”</w:t>
      </w:r>
      <w:r w:rsidRPr="00FC1444">
        <w:rPr>
          <w:rFonts w:eastAsiaTheme="minorEastAsia"/>
          <w:smallCaps/>
          <w:sz w:val="24"/>
        </w:rPr>
        <w:t>。</w:t>
      </w:r>
    </w:p>
    <w:p w:rsidR="002A5A5E" w:rsidRPr="00FC1444" w:rsidRDefault="00611CBA">
      <w:pPr>
        <w:spacing w:line="360" w:lineRule="auto"/>
        <w:ind w:firstLineChars="200" w:firstLine="480"/>
        <w:rPr>
          <w:rFonts w:eastAsiaTheme="minorEastAsia"/>
          <w:smallCaps/>
          <w:sz w:val="24"/>
        </w:rPr>
      </w:pPr>
      <w:r w:rsidRPr="00FC1444">
        <w:rPr>
          <w:rFonts w:eastAsiaTheme="minorEastAsia"/>
          <w:smallCaps/>
          <w:sz w:val="24"/>
        </w:rPr>
        <w:t>本项目田间道路工程在现有道路基</w:t>
      </w:r>
      <w:r w:rsidR="00D61453" w:rsidRPr="00FC1444">
        <w:rPr>
          <w:rFonts w:eastAsiaTheme="minorEastAsia"/>
          <w:smallCaps/>
          <w:sz w:val="24"/>
        </w:rPr>
        <w:t>础上修建，现有灌溉渠道衬砌，现有排水沟清淤、衬砌，田块整治工程</w:t>
      </w:r>
      <w:r w:rsidRPr="00FC1444">
        <w:rPr>
          <w:rFonts w:eastAsiaTheme="minorEastAsia"/>
          <w:bCs/>
          <w:smallCaps/>
          <w:sz w:val="24"/>
        </w:rPr>
        <w:t>在永久占地范围内</w:t>
      </w:r>
      <w:r w:rsidRPr="00FC1444">
        <w:rPr>
          <w:rFonts w:eastAsiaTheme="minorEastAsia"/>
          <w:smallCaps/>
          <w:sz w:val="24"/>
        </w:rPr>
        <w:t>，不新增临时占地，尽量减少占地。</w:t>
      </w:r>
    </w:p>
    <w:p w:rsidR="002A5A5E" w:rsidRPr="00FC1444" w:rsidRDefault="00A4540D">
      <w:pPr>
        <w:spacing w:line="360" w:lineRule="auto"/>
        <w:ind w:firstLineChars="200" w:firstLine="480"/>
        <w:rPr>
          <w:rFonts w:eastAsiaTheme="minorEastAsia"/>
          <w:smallCaps/>
          <w:sz w:val="24"/>
        </w:rPr>
      </w:pPr>
      <w:r w:rsidRPr="00FC1444">
        <w:rPr>
          <w:rFonts w:eastAsiaTheme="minorEastAsia"/>
          <w:smallCaps/>
          <w:sz w:val="24"/>
        </w:rPr>
        <w:lastRenderedPageBreak/>
        <w:t>（</w:t>
      </w:r>
      <w:r w:rsidRPr="00FC1444">
        <w:rPr>
          <w:rFonts w:eastAsiaTheme="minorEastAsia"/>
          <w:smallCaps/>
          <w:sz w:val="24"/>
        </w:rPr>
        <w:t>2</w:t>
      </w:r>
      <w:r w:rsidRPr="00FC1444">
        <w:rPr>
          <w:rFonts w:eastAsiaTheme="minorEastAsia"/>
          <w:smallCaps/>
          <w:sz w:val="24"/>
        </w:rPr>
        <w:t>）</w:t>
      </w:r>
      <w:r w:rsidR="00611CBA" w:rsidRPr="00FC1444">
        <w:rPr>
          <w:rFonts w:eastAsiaTheme="minorEastAsia"/>
          <w:smallCaps/>
          <w:sz w:val="24"/>
        </w:rPr>
        <w:t>表土堆存方式及生态保护措施</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kern w:val="0"/>
          <w:sz w:val="24"/>
          <w:szCs w:val="20"/>
        </w:rPr>
        <w:t>本项目灌溉井工程、</w:t>
      </w:r>
      <w:r w:rsidRPr="00FC1444">
        <w:rPr>
          <w:rFonts w:eastAsiaTheme="minorEastAsia"/>
          <w:bCs/>
          <w:kern w:val="0"/>
          <w:sz w:val="24"/>
          <w:szCs w:val="20"/>
        </w:rPr>
        <w:t>建筑物工程</w:t>
      </w:r>
      <w:r w:rsidRPr="00FC1444">
        <w:rPr>
          <w:rFonts w:eastAsiaTheme="minorEastAsia"/>
          <w:kern w:val="0"/>
          <w:sz w:val="24"/>
          <w:szCs w:val="20"/>
        </w:rPr>
        <w:t>永久占地在工程建设前对表土进行剥离，剥离厚度约</w:t>
      </w:r>
      <w:r w:rsidRPr="00FC1444">
        <w:rPr>
          <w:rFonts w:eastAsiaTheme="minorEastAsia"/>
          <w:kern w:val="0"/>
          <w:sz w:val="24"/>
          <w:szCs w:val="20"/>
        </w:rPr>
        <w:t>30cm</w:t>
      </w:r>
      <w:r w:rsidRPr="00FC1444">
        <w:rPr>
          <w:rFonts w:eastAsiaTheme="minorEastAsia"/>
          <w:kern w:val="0"/>
          <w:sz w:val="24"/>
          <w:szCs w:val="20"/>
        </w:rPr>
        <w:t>。剥离后的表土在施工现场贮存，作为表土暂存场，</w:t>
      </w:r>
      <w:r w:rsidRPr="00FC1444">
        <w:rPr>
          <w:rFonts w:eastAsiaTheme="minorEastAsia"/>
          <w:bCs/>
          <w:kern w:val="0"/>
          <w:sz w:val="24"/>
          <w:szCs w:val="20"/>
        </w:rPr>
        <w:t>田块整治工程</w:t>
      </w:r>
      <w:r w:rsidRPr="00FC1444">
        <w:rPr>
          <w:rFonts w:eastAsiaTheme="minorEastAsia"/>
          <w:sz w:val="24"/>
        </w:rPr>
        <w:t>根据平整地块所在村的平均土壤厚度确定表土剥离厚度约</w:t>
      </w:r>
      <w:r w:rsidRPr="00FC1444">
        <w:rPr>
          <w:rFonts w:eastAsiaTheme="minorEastAsia"/>
          <w:sz w:val="24"/>
        </w:rPr>
        <w:t>25cm</w:t>
      </w:r>
      <w:r w:rsidRPr="00FC1444">
        <w:rPr>
          <w:rFonts w:eastAsiaTheme="minorEastAsia"/>
          <w:sz w:val="24"/>
        </w:rPr>
        <w:t>，</w:t>
      </w:r>
      <w:r w:rsidRPr="00FC1444">
        <w:rPr>
          <w:rFonts w:eastAsiaTheme="minorEastAsia"/>
          <w:kern w:val="0"/>
          <w:sz w:val="24"/>
          <w:szCs w:val="20"/>
        </w:rPr>
        <w:t>剥离后的表土在施工现场贮存，</w:t>
      </w:r>
      <w:r w:rsidRPr="00FC1444">
        <w:rPr>
          <w:rFonts w:eastAsiaTheme="minorEastAsia"/>
          <w:snapToGrid w:val="0"/>
          <w:kern w:val="0"/>
          <w:sz w:val="24"/>
        </w:rPr>
        <w:t>设置临时拦挡并采用密目网苫盖</w:t>
      </w:r>
      <w:r w:rsidRPr="00FC1444">
        <w:rPr>
          <w:rFonts w:eastAsiaTheme="minorEastAsia"/>
          <w:kern w:val="0"/>
          <w:sz w:val="24"/>
          <w:szCs w:val="20"/>
        </w:rPr>
        <w:t>，贮存过程严格按照表土贮存要求。项目施工过程中会设置施工场地、施工道路，为临时占地，需要对表土进行剥离，剥离厚度约</w:t>
      </w:r>
      <w:r w:rsidRPr="00FC1444">
        <w:rPr>
          <w:rFonts w:eastAsiaTheme="minorEastAsia"/>
          <w:kern w:val="0"/>
          <w:sz w:val="24"/>
          <w:szCs w:val="20"/>
        </w:rPr>
        <w:t>30cm</w:t>
      </w:r>
      <w:r w:rsidRPr="00FC1444">
        <w:rPr>
          <w:rFonts w:eastAsiaTheme="minorEastAsia"/>
          <w:kern w:val="0"/>
          <w:sz w:val="24"/>
          <w:szCs w:val="20"/>
        </w:rPr>
        <w:t>，临时占地的表土分层剥离，分别堆放在输配电工程、灌溉井、建筑物等施工场地内，并加盖苫布，表土暂存场</w:t>
      </w:r>
      <w:r w:rsidRPr="00FC1444">
        <w:rPr>
          <w:rFonts w:eastAsiaTheme="minorEastAsia"/>
          <w:bCs/>
          <w:kern w:val="0"/>
          <w:sz w:val="24"/>
          <w:szCs w:val="20"/>
        </w:rPr>
        <w:t>堆高在</w:t>
      </w:r>
      <w:r w:rsidRPr="00FC1444">
        <w:rPr>
          <w:rFonts w:eastAsiaTheme="minorEastAsia"/>
          <w:bCs/>
          <w:kern w:val="0"/>
          <w:sz w:val="24"/>
          <w:szCs w:val="20"/>
        </w:rPr>
        <w:t>3m</w:t>
      </w:r>
      <w:r w:rsidRPr="00FC1444">
        <w:rPr>
          <w:rFonts w:eastAsiaTheme="minorEastAsia"/>
          <w:bCs/>
          <w:kern w:val="0"/>
          <w:sz w:val="24"/>
          <w:szCs w:val="20"/>
        </w:rPr>
        <w:t>以内，坡比</w:t>
      </w:r>
      <w:r w:rsidRPr="00FC1444">
        <w:rPr>
          <w:rFonts w:eastAsiaTheme="minorEastAsia"/>
          <w:bCs/>
          <w:kern w:val="0"/>
          <w:sz w:val="24"/>
          <w:szCs w:val="20"/>
        </w:rPr>
        <w:t>1</w:t>
      </w:r>
      <w:r w:rsidRPr="00FC1444">
        <w:rPr>
          <w:rFonts w:eastAsiaTheme="minorEastAsia"/>
          <w:bCs/>
          <w:kern w:val="0"/>
          <w:sz w:val="24"/>
          <w:szCs w:val="20"/>
        </w:rPr>
        <w:t>：</w:t>
      </w:r>
      <w:r w:rsidRPr="00FC1444">
        <w:rPr>
          <w:rFonts w:eastAsiaTheme="minorEastAsia"/>
          <w:bCs/>
          <w:kern w:val="0"/>
          <w:sz w:val="24"/>
          <w:szCs w:val="20"/>
        </w:rPr>
        <w:t>1</w:t>
      </w:r>
      <w:r w:rsidRPr="00FC1444">
        <w:rPr>
          <w:rFonts w:eastAsiaTheme="minorEastAsia"/>
          <w:bCs/>
          <w:kern w:val="0"/>
          <w:sz w:val="24"/>
          <w:szCs w:val="20"/>
        </w:rPr>
        <w:t>，可以保证堆土的稳定性及安全性。堆放地宜相对低凹、周围相对平缓，并设置排水设施。</w:t>
      </w:r>
      <w:r w:rsidRPr="00FC1444">
        <w:rPr>
          <w:rFonts w:eastAsiaTheme="minorEastAsia"/>
          <w:kern w:val="0"/>
          <w:sz w:val="24"/>
          <w:szCs w:val="20"/>
        </w:rPr>
        <w:t>施工结束后，进行表土分层回填措施，使其逐渐恢复其原有生态系统。</w:t>
      </w:r>
    </w:p>
    <w:p w:rsidR="002A5A5E" w:rsidRPr="00FC1444" w:rsidRDefault="00A4540D">
      <w:pPr>
        <w:spacing w:line="360" w:lineRule="auto"/>
        <w:ind w:firstLineChars="200" w:firstLine="480"/>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3</w:t>
      </w:r>
      <w:r w:rsidRPr="00FC1444">
        <w:rPr>
          <w:rFonts w:eastAsiaTheme="minorEastAsia"/>
          <w:snapToGrid w:val="0"/>
          <w:kern w:val="0"/>
          <w:sz w:val="24"/>
        </w:rPr>
        <w:t>）</w:t>
      </w:r>
      <w:r w:rsidR="00611CBA" w:rsidRPr="00FC1444">
        <w:rPr>
          <w:rFonts w:eastAsiaTheme="minorEastAsia"/>
          <w:snapToGrid w:val="0"/>
          <w:kern w:val="0"/>
          <w:sz w:val="24"/>
        </w:rPr>
        <w:t>临时占地生态恢复措施</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本项目工程临时占地包括施工场地、临时道路、表土堆场、堆料场等，工程结束后均进行土地复垦和植被恢复。</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1</w:t>
      </w:r>
      <w:r w:rsidRPr="00FC1444">
        <w:rPr>
          <w:rFonts w:eastAsiaTheme="minorEastAsia"/>
          <w:snapToGrid w:val="0"/>
          <w:kern w:val="0"/>
          <w:sz w:val="24"/>
        </w:rPr>
        <w:t>）施工生产生活区、弃土场</w:t>
      </w:r>
    </w:p>
    <w:p w:rsidR="002A5A5E" w:rsidRPr="00FC1444" w:rsidRDefault="00611CBA">
      <w:pPr>
        <w:spacing w:line="360" w:lineRule="auto"/>
        <w:ind w:firstLineChars="200" w:firstLine="480"/>
        <w:rPr>
          <w:rFonts w:eastAsiaTheme="minorEastAsia"/>
          <w:spacing w:val="-4"/>
          <w:sz w:val="24"/>
          <w:szCs w:val="21"/>
        </w:rPr>
      </w:pPr>
      <w:r w:rsidRPr="00FC1444">
        <w:rPr>
          <w:rFonts w:eastAsiaTheme="minorEastAsia"/>
          <w:snapToGrid w:val="0"/>
          <w:kern w:val="0"/>
          <w:sz w:val="24"/>
        </w:rPr>
        <w:t>施工生产生活区为租赁村屯现有民房。工程拆除</w:t>
      </w:r>
      <w:r w:rsidRPr="00FC1444">
        <w:rPr>
          <w:rFonts w:eastAsiaTheme="minorEastAsia"/>
          <w:spacing w:val="-4"/>
          <w:sz w:val="24"/>
          <w:szCs w:val="21"/>
        </w:rPr>
        <w:t>建筑垃圾大部分用于田块整治工程，剩余及时送至建材公司回用。</w:t>
      </w:r>
      <w:r w:rsidRPr="00FC1444">
        <w:rPr>
          <w:rFonts w:eastAsiaTheme="minorEastAsia"/>
          <w:bCs/>
          <w:spacing w:val="-4"/>
          <w:sz w:val="24"/>
          <w:szCs w:val="21"/>
        </w:rPr>
        <w:t>废泥浆</w:t>
      </w:r>
      <w:r w:rsidRPr="00FC1444">
        <w:rPr>
          <w:rFonts w:eastAsiaTheme="minorEastAsia"/>
          <w:spacing w:val="-4"/>
          <w:sz w:val="24"/>
          <w:szCs w:val="21"/>
        </w:rPr>
        <w:t>风干后用于周围道路平整。表土用于临时工程土地恢复及田块整治工程，土方能回填的及时回填。本工程产生弃方淤泥</w:t>
      </w:r>
      <w:r w:rsidR="00EB2C0F" w:rsidRPr="00FC1444">
        <w:rPr>
          <w:rFonts w:eastAsiaTheme="minorEastAsia"/>
          <w:spacing w:val="-4"/>
          <w:sz w:val="24"/>
          <w:szCs w:val="21"/>
        </w:rPr>
        <w:t>0.</w:t>
      </w:r>
      <w:r w:rsidR="00EB2C0F" w:rsidRPr="00FC1444">
        <w:rPr>
          <w:rFonts w:eastAsiaTheme="minorEastAsia" w:hint="eastAsia"/>
          <w:spacing w:val="-4"/>
          <w:sz w:val="24"/>
          <w:szCs w:val="21"/>
        </w:rPr>
        <w:t>3</w:t>
      </w:r>
      <w:r w:rsidR="000037AB" w:rsidRPr="00FC1444">
        <w:rPr>
          <w:rFonts w:eastAsiaTheme="minorEastAsia"/>
          <w:spacing w:val="-4"/>
          <w:sz w:val="24"/>
          <w:szCs w:val="21"/>
        </w:rPr>
        <w:t>55</w:t>
      </w:r>
      <w:r w:rsidR="000037AB" w:rsidRPr="00FC1444">
        <w:rPr>
          <w:rFonts w:eastAsiaTheme="minorEastAsia"/>
          <w:spacing w:val="-4"/>
          <w:sz w:val="24"/>
          <w:szCs w:val="21"/>
        </w:rPr>
        <w:t>万</w:t>
      </w:r>
      <w:r w:rsidR="000037AB" w:rsidRPr="00FC1444">
        <w:rPr>
          <w:rFonts w:eastAsiaTheme="minorEastAsia"/>
          <w:spacing w:val="-4"/>
          <w:sz w:val="24"/>
          <w:szCs w:val="21"/>
        </w:rPr>
        <w:t>m</w:t>
      </w:r>
      <w:r w:rsidRPr="00FC1444">
        <w:rPr>
          <w:rFonts w:eastAsiaTheme="minorEastAsia"/>
          <w:spacing w:val="-4"/>
          <w:sz w:val="24"/>
          <w:szCs w:val="21"/>
          <w:vertAlign w:val="superscript"/>
        </w:rPr>
        <w:t>3</w:t>
      </w:r>
      <w:r w:rsidRPr="00FC1444">
        <w:rPr>
          <w:rFonts w:eastAsiaTheme="minorEastAsia"/>
          <w:spacing w:val="-4"/>
          <w:sz w:val="24"/>
          <w:szCs w:val="21"/>
        </w:rPr>
        <w:t>，</w:t>
      </w:r>
      <w:r w:rsidR="00730492" w:rsidRPr="00FC1444">
        <w:rPr>
          <w:rFonts w:eastAsiaTheme="minorEastAsia"/>
          <w:bCs/>
          <w:sz w:val="24"/>
        </w:rPr>
        <w:t>排水沟淤泥培至工程附近</w:t>
      </w:r>
      <w:r w:rsidR="00730492" w:rsidRPr="00FC1444">
        <w:rPr>
          <w:rFonts w:eastAsiaTheme="minorEastAsia"/>
          <w:bCs/>
          <w:sz w:val="24"/>
        </w:rPr>
        <w:t>200</w:t>
      </w:r>
      <w:r w:rsidR="00730492" w:rsidRPr="00FC1444">
        <w:rPr>
          <w:rFonts w:eastAsiaTheme="minorEastAsia"/>
          <w:bCs/>
          <w:sz w:val="24"/>
        </w:rPr>
        <w:t>米范围内无环境保护目标的排水沟两侧（</w:t>
      </w:r>
      <w:r w:rsidR="00386D57" w:rsidRPr="00FC1444">
        <w:rPr>
          <w:rFonts w:eastAsiaTheme="minorEastAsia"/>
          <w:bCs/>
          <w:sz w:val="24"/>
        </w:rPr>
        <w:t>避开黄家屯、李荒子屯等</w:t>
      </w:r>
      <w:r w:rsidR="00386D57" w:rsidRPr="00FC1444">
        <w:rPr>
          <w:rFonts w:eastAsiaTheme="minorEastAsia"/>
          <w:bCs/>
          <w:sz w:val="24"/>
        </w:rPr>
        <w:t>22</w:t>
      </w:r>
      <w:r w:rsidR="00386D57" w:rsidRPr="00FC1444">
        <w:rPr>
          <w:rFonts w:eastAsiaTheme="minorEastAsia"/>
          <w:bCs/>
          <w:sz w:val="24"/>
        </w:rPr>
        <w:t>个村屯</w:t>
      </w:r>
      <w:r w:rsidR="00730492" w:rsidRPr="00FC1444">
        <w:rPr>
          <w:rFonts w:eastAsiaTheme="minorEastAsia"/>
          <w:bCs/>
          <w:sz w:val="24"/>
        </w:rPr>
        <w:t>，具体见表</w:t>
      </w:r>
      <w:r w:rsidR="00730492" w:rsidRPr="00FC1444">
        <w:rPr>
          <w:rFonts w:eastAsiaTheme="minorEastAsia"/>
          <w:bCs/>
          <w:sz w:val="24"/>
        </w:rPr>
        <w:t>2-8-2</w:t>
      </w:r>
      <w:r w:rsidR="00730492" w:rsidRPr="00FC1444">
        <w:rPr>
          <w:rFonts w:eastAsiaTheme="minorEastAsia"/>
          <w:bCs/>
          <w:sz w:val="24"/>
        </w:rPr>
        <w:t>）</w:t>
      </w:r>
      <w:r w:rsidRPr="00FC1444">
        <w:rPr>
          <w:rFonts w:eastAsiaTheme="minorEastAsia"/>
          <w:spacing w:val="-4"/>
          <w:sz w:val="24"/>
          <w:szCs w:val="21"/>
        </w:rPr>
        <w:t>。不设置弃土场。</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2</w:t>
      </w:r>
      <w:r w:rsidRPr="00FC1444">
        <w:rPr>
          <w:rFonts w:eastAsiaTheme="minorEastAsia"/>
          <w:snapToGrid w:val="0"/>
          <w:kern w:val="0"/>
          <w:sz w:val="24"/>
        </w:rPr>
        <w:t>）项目施工场地、临时道路、堆料场、表土堆场</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项目施工场地、临时道路、堆料场、表土堆场在相应工程结束后需对开挖地面平整覆土，并尽快恢复原状，防止遭受降雨侵蚀。</w:t>
      </w:r>
    </w:p>
    <w:p w:rsidR="002A5A5E" w:rsidRPr="00FC1444" w:rsidRDefault="00F41A00">
      <w:pPr>
        <w:spacing w:line="360" w:lineRule="auto"/>
        <w:ind w:firstLineChars="200" w:firstLine="480"/>
        <w:rPr>
          <w:rFonts w:eastAsiaTheme="minorEastAsia"/>
          <w:snapToGrid w:val="0"/>
          <w:kern w:val="0"/>
          <w:sz w:val="24"/>
        </w:rPr>
      </w:pPr>
      <w:r w:rsidRPr="00FC1444">
        <w:rPr>
          <w:rFonts w:eastAsiaTheme="minorEastAsia"/>
          <w:snapToGrid w:val="0"/>
          <w:kern w:val="0"/>
          <w:sz w:val="24"/>
        </w:rPr>
        <w:t>输配电工程表土及土方临时堆存在施工沿线，分区存放，设置临时拦挡并采用密目网苫盖，施工结束后分层回填，</w:t>
      </w:r>
      <w:r w:rsidR="00617138" w:rsidRPr="00FC1444">
        <w:rPr>
          <w:rFonts w:eastAsiaTheme="minorEastAsia"/>
          <w:snapToGrid w:val="0"/>
          <w:kern w:val="0"/>
          <w:sz w:val="24"/>
        </w:rPr>
        <w:t>施工场地恢复现状草地，</w:t>
      </w:r>
      <w:r w:rsidR="00C77AF5" w:rsidRPr="00FC1444">
        <w:rPr>
          <w:rFonts w:eastAsiaTheme="minorEastAsia"/>
          <w:snapToGrid w:val="0"/>
          <w:kern w:val="0"/>
          <w:sz w:val="24"/>
        </w:rPr>
        <w:t>播撒草籽面积</w:t>
      </w:r>
      <w:r w:rsidR="00C77AF5" w:rsidRPr="00FC1444">
        <w:rPr>
          <w:rFonts w:eastAsiaTheme="minorEastAsia"/>
          <w:snapToGrid w:val="0"/>
          <w:kern w:val="0"/>
          <w:sz w:val="24"/>
        </w:rPr>
        <w:t>456842</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napToGrid w:val="0"/>
          <w:kern w:val="0"/>
          <w:sz w:val="24"/>
        </w:rPr>
        <w:t>，草籽选用紫花苜蓿等，种草密度</w:t>
      </w:r>
      <w:r w:rsidRPr="00FC1444">
        <w:rPr>
          <w:rFonts w:eastAsiaTheme="minorEastAsia"/>
          <w:snapToGrid w:val="0"/>
          <w:kern w:val="0"/>
          <w:sz w:val="24"/>
        </w:rPr>
        <w:t>80kg/</w:t>
      </w:r>
      <w:r w:rsidRPr="00FC1444">
        <w:rPr>
          <w:rFonts w:eastAsiaTheme="minorEastAsia"/>
          <w:snapToGrid w:val="0"/>
          <w:kern w:val="0"/>
          <w:sz w:val="24"/>
        </w:rPr>
        <w:t>公顷，</w:t>
      </w:r>
      <w:r w:rsidR="00C77AF5" w:rsidRPr="00FC1444">
        <w:rPr>
          <w:rFonts w:eastAsiaTheme="minorEastAsia"/>
          <w:snapToGrid w:val="0"/>
          <w:kern w:val="0"/>
          <w:sz w:val="24"/>
        </w:rPr>
        <w:t>恢复旱地</w:t>
      </w:r>
      <w:r w:rsidR="00C77AF5" w:rsidRPr="00FC1444">
        <w:rPr>
          <w:rFonts w:eastAsiaTheme="minorEastAsia"/>
          <w:snapToGrid w:val="0"/>
          <w:kern w:val="0"/>
          <w:sz w:val="24"/>
        </w:rPr>
        <w:t>22560m</w:t>
      </w:r>
      <w:r w:rsidRPr="00FC1444">
        <w:rPr>
          <w:rFonts w:eastAsiaTheme="minorEastAsia"/>
          <w:snapToGrid w:val="0"/>
          <w:kern w:val="0"/>
          <w:sz w:val="24"/>
          <w:vertAlign w:val="superscript"/>
        </w:rPr>
        <w:t>2</w:t>
      </w:r>
      <w:r w:rsidRPr="00FC1444">
        <w:rPr>
          <w:rFonts w:eastAsiaTheme="minorEastAsia"/>
          <w:snapToGrid w:val="0"/>
          <w:kern w:val="0"/>
          <w:sz w:val="24"/>
        </w:rPr>
        <w:t>；灌溉井工程剥离表土、开挖土方暂存于施工场地内，分区存放，设置临时拦挡并采用密目网苫盖，施工结束后施工场地、临时道路恢复为旱地，</w:t>
      </w:r>
      <w:r w:rsidR="00C77AF5" w:rsidRPr="00FC1444">
        <w:rPr>
          <w:rFonts w:eastAsiaTheme="minorEastAsia"/>
          <w:snapToGrid w:val="0"/>
          <w:kern w:val="0"/>
          <w:sz w:val="24"/>
        </w:rPr>
        <w:t>恢复面积</w:t>
      </w:r>
      <w:r w:rsidR="00C77AF5" w:rsidRPr="00FC1444">
        <w:rPr>
          <w:rFonts w:eastAsiaTheme="minorEastAsia"/>
          <w:snapToGrid w:val="0"/>
          <w:kern w:val="0"/>
          <w:sz w:val="24"/>
        </w:rPr>
        <w:t>4620</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napToGrid w:val="0"/>
          <w:kern w:val="0"/>
          <w:sz w:val="24"/>
        </w:rPr>
        <w:t>；涵洞等建筑物工程剥离表土、开挖土方暂存于施工场地内，分区存放，设置临时</w:t>
      </w:r>
      <w:r w:rsidRPr="00FC1444">
        <w:rPr>
          <w:rFonts w:eastAsiaTheme="minorEastAsia"/>
          <w:snapToGrid w:val="0"/>
          <w:kern w:val="0"/>
          <w:sz w:val="24"/>
        </w:rPr>
        <w:lastRenderedPageBreak/>
        <w:t>拦挡并采用密目网苫盖，施工结束后施工场地恢复为草地，播撒草籽面积</w:t>
      </w:r>
      <w:r w:rsidRPr="00FC1444">
        <w:rPr>
          <w:rFonts w:eastAsiaTheme="minorEastAsia"/>
          <w:sz w:val="24"/>
        </w:rPr>
        <w:t>18500</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napToGrid w:val="0"/>
          <w:kern w:val="0"/>
          <w:sz w:val="24"/>
        </w:rPr>
        <w:t>，草籽选用紫花苜蓿等，种草密度</w:t>
      </w:r>
      <w:r w:rsidRPr="00FC1444">
        <w:rPr>
          <w:rFonts w:eastAsiaTheme="minorEastAsia"/>
          <w:snapToGrid w:val="0"/>
          <w:kern w:val="0"/>
          <w:sz w:val="24"/>
        </w:rPr>
        <w:t>80kg/</w:t>
      </w:r>
      <w:r w:rsidRPr="00FC1444">
        <w:rPr>
          <w:rFonts w:eastAsiaTheme="minorEastAsia"/>
          <w:snapToGrid w:val="0"/>
          <w:kern w:val="0"/>
          <w:sz w:val="24"/>
        </w:rPr>
        <w:t>公顷，恢复旱地</w:t>
      </w:r>
      <w:r w:rsidRPr="00FC1444">
        <w:rPr>
          <w:rFonts w:eastAsiaTheme="minorEastAsia"/>
          <w:snapToGrid w:val="0"/>
          <w:kern w:val="0"/>
          <w:sz w:val="24"/>
        </w:rPr>
        <w:t>10500m</w:t>
      </w:r>
      <w:r w:rsidRPr="00FC1444">
        <w:rPr>
          <w:rFonts w:eastAsiaTheme="minorEastAsia"/>
          <w:snapToGrid w:val="0"/>
          <w:kern w:val="0"/>
          <w:sz w:val="24"/>
          <w:vertAlign w:val="superscript"/>
        </w:rPr>
        <w:t>2</w:t>
      </w:r>
      <w:r w:rsidRPr="00FC1444">
        <w:rPr>
          <w:rFonts w:eastAsiaTheme="minorEastAsia"/>
          <w:snapToGrid w:val="0"/>
          <w:kern w:val="0"/>
          <w:sz w:val="24"/>
        </w:rPr>
        <w:t>。</w:t>
      </w:r>
      <w:r w:rsidR="00611CBA" w:rsidRPr="00FC1444">
        <w:rPr>
          <w:rFonts w:eastAsiaTheme="minorEastAsia"/>
          <w:snapToGrid w:val="0"/>
          <w:kern w:val="0"/>
          <w:sz w:val="24"/>
        </w:rPr>
        <w:t>使临时占地土地利用类型、植被覆盖度、生物量等恢复为原有水平。减少由于工程施工对其景观、生态、水土保持等方面的不利影响。</w:t>
      </w:r>
      <w:r w:rsidR="00611CBA" w:rsidRPr="00FC1444">
        <w:rPr>
          <w:rFonts w:eastAsiaTheme="minorEastAsia"/>
          <w:kern w:val="0"/>
          <w:sz w:val="24"/>
          <w:szCs w:val="20"/>
        </w:rPr>
        <w:t>表土暂存场</w:t>
      </w:r>
      <w:r w:rsidR="00611CBA" w:rsidRPr="00FC1444">
        <w:rPr>
          <w:rFonts w:eastAsiaTheme="minorEastAsia"/>
          <w:bCs/>
          <w:kern w:val="0"/>
          <w:sz w:val="24"/>
          <w:szCs w:val="20"/>
        </w:rPr>
        <w:t>堆高在</w:t>
      </w:r>
      <w:r w:rsidR="00611CBA" w:rsidRPr="00FC1444">
        <w:rPr>
          <w:rFonts w:eastAsiaTheme="minorEastAsia"/>
          <w:bCs/>
          <w:kern w:val="0"/>
          <w:sz w:val="24"/>
          <w:szCs w:val="20"/>
        </w:rPr>
        <w:t>3m</w:t>
      </w:r>
      <w:r w:rsidR="00611CBA" w:rsidRPr="00FC1444">
        <w:rPr>
          <w:rFonts w:eastAsiaTheme="minorEastAsia"/>
          <w:bCs/>
          <w:kern w:val="0"/>
          <w:sz w:val="24"/>
          <w:szCs w:val="20"/>
        </w:rPr>
        <w:t>以内，坡比</w:t>
      </w:r>
      <w:r w:rsidR="00611CBA" w:rsidRPr="00FC1444">
        <w:rPr>
          <w:rFonts w:eastAsiaTheme="minorEastAsia"/>
          <w:bCs/>
          <w:kern w:val="0"/>
          <w:sz w:val="24"/>
          <w:szCs w:val="20"/>
        </w:rPr>
        <w:t>1</w:t>
      </w:r>
      <w:r w:rsidR="00611CBA" w:rsidRPr="00FC1444">
        <w:rPr>
          <w:rFonts w:eastAsiaTheme="minorEastAsia"/>
          <w:bCs/>
          <w:kern w:val="0"/>
          <w:sz w:val="24"/>
          <w:szCs w:val="20"/>
        </w:rPr>
        <w:t>：</w:t>
      </w:r>
      <w:r w:rsidR="00611CBA" w:rsidRPr="00FC1444">
        <w:rPr>
          <w:rFonts w:eastAsiaTheme="minorEastAsia"/>
          <w:bCs/>
          <w:kern w:val="0"/>
          <w:sz w:val="24"/>
          <w:szCs w:val="20"/>
        </w:rPr>
        <w:t>1</w:t>
      </w:r>
      <w:r w:rsidR="00611CBA" w:rsidRPr="00FC1444">
        <w:rPr>
          <w:rFonts w:eastAsiaTheme="minorEastAsia"/>
          <w:bCs/>
          <w:kern w:val="0"/>
          <w:sz w:val="24"/>
          <w:szCs w:val="20"/>
        </w:rPr>
        <w:t>，可以保证堆土的稳定性及安全性。堆放地宜相对低凹、周围相对平缓，并设置排水设施。</w:t>
      </w:r>
      <w:r w:rsidR="00611CBA" w:rsidRPr="00FC1444">
        <w:rPr>
          <w:rFonts w:eastAsiaTheme="minorEastAsia"/>
          <w:sz w:val="24"/>
        </w:rPr>
        <w:t>建设单位为生态恢复工程实施责任主体。</w:t>
      </w:r>
      <w:r w:rsidR="00164CD3" w:rsidRPr="00FC1444">
        <w:rPr>
          <w:rFonts w:eastAsiaTheme="minorEastAsia"/>
          <w:sz w:val="24"/>
        </w:rPr>
        <w:t>建设单位严格控制施工范围，优化施工工艺和施工时序，涵洞等建筑物工程施工过程禁止施工生产废水排放至沟渠内；施工过程中采取</w:t>
      </w:r>
      <w:r w:rsidR="00164CD3" w:rsidRPr="00FC1444">
        <w:rPr>
          <w:rFonts w:eastAsiaTheme="minorEastAsia"/>
          <w:sz w:val="24"/>
        </w:rPr>
        <w:t>“</w:t>
      </w:r>
      <w:r w:rsidR="00164CD3" w:rsidRPr="00FC1444">
        <w:rPr>
          <w:rFonts w:eastAsiaTheme="minorEastAsia"/>
          <w:sz w:val="24"/>
        </w:rPr>
        <w:t>边施工、边修复</w:t>
      </w:r>
      <w:r w:rsidR="00164CD3" w:rsidRPr="00FC1444">
        <w:rPr>
          <w:rFonts w:eastAsiaTheme="minorEastAsia"/>
          <w:sz w:val="24"/>
        </w:rPr>
        <w:t>”</w:t>
      </w:r>
      <w:r w:rsidR="00164CD3" w:rsidRPr="00FC1444">
        <w:rPr>
          <w:rFonts w:eastAsiaTheme="minorEastAsia"/>
          <w:sz w:val="24"/>
        </w:rPr>
        <w:t>措施，及时恢复原地貌，减少对生态环境的破坏。</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随着采取有效的人工措施，以及植物的自我恢复能力，项目周边被影响或破坏的植物逐渐得到恢复</w:t>
      </w:r>
      <w:r w:rsidRPr="00FC1444">
        <w:rPr>
          <w:rFonts w:eastAsiaTheme="minorEastAsia"/>
          <w:sz w:val="24"/>
        </w:rPr>
        <w:t>。综上，本项目采取的生态保护措施可行</w:t>
      </w:r>
      <w:r w:rsidRPr="00FC1444">
        <w:rPr>
          <w:rFonts w:eastAsiaTheme="minorEastAsia"/>
          <w:snapToGrid w:val="0"/>
          <w:kern w:val="0"/>
          <w:sz w:val="24"/>
        </w:rPr>
        <w:t>。</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6.1.6</w:t>
      </w:r>
      <w:r w:rsidRPr="00FC1444">
        <w:rPr>
          <w:rFonts w:eastAsiaTheme="minorEastAsia"/>
          <w:b/>
          <w:sz w:val="28"/>
          <w:szCs w:val="28"/>
        </w:rPr>
        <w:t>地下水环境保护措施及其可行性论证</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项目施工期灌溉井工程打井过程中，不使用有毒有害及油类物质，泥浆部分循环使用，妥善收集，施工过程中产生的废水经静置后用于场地洒水降尘，施工过程加强环境管理，杜绝油品跑冒滴漏事故。</w:t>
      </w:r>
      <w:r w:rsidRPr="00FC1444">
        <w:rPr>
          <w:rFonts w:eastAsiaTheme="minorEastAsia"/>
          <w:kern w:val="0"/>
          <w:sz w:val="24"/>
        </w:rPr>
        <w:t>本项目</w:t>
      </w:r>
      <w:r w:rsidRPr="00FC1444">
        <w:rPr>
          <w:rFonts w:eastAsiaTheme="minorEastAsia"/>
          <w:snapToGrid w:val="0"/>
          <w:kern w:val="0"/>
          <w:sz w:val="24"/>
          <w:szCs w:val="22"/>
        </w:rPr>
        <w:t>灌溉井</w:t>
      </w:r>
      <w:r w:rsidRPr="00FC1444">
        <w:rPr>
          <w:rFonts w:eastAsiaTheme="minorEastAsia"/>
          <w:kern w:val="0"/>
          <w:sz w:val="24"/>
        </w:rPr>
        <w:t>距离饮用水源地较远，均大于</w:t>
      </w:r>
      <w:r w:rsidR="00861722" w:rsidRPr="00FC1444">
        <w:rPr>
          <w:rFonts w:eastAsiaTheme="minorEastAsia"/>
          <w:kern w:val="0"/>
          <w:sz w:val="24"/>
        </w:rPr>
        <w:t>1</w:t>
      </w:r>
      <w:r w:rsidRPr="00FC1444">
        <w:rPr>
          <w:rFonts w:eastAsiaTheme="minorEastAsia"/>
          <w:kern w:val="0"/>
          <w:sz w:val="24"/>
        </w:rPr>
        <w:t>km</w:t>
      </w:r>
      <w:r w:rsidRPr="00FC1444">
        <w:rPr>
          <w:rFonts w:eastAsiaTheme="minorEastAsia"/>
          <w:kern w:val="0"/>
          <w:sz w:val="24"/>
        </w:rPr>
        <w:t>，</w:t>
      </w:r>
      <w:r w:rsidRPr="00FC1444">
        <w:rPr>
          <w:rFonts w:eastAsiaTheme="minorEastAsia"/>
          <w:sz w:val="24"/>
        </w:rPr>
        <w:t>不在其保护区范围内。不会对评价范围内最近饮用水源地等地下水保护目标水质及水量产生影响。</w:t>
      </w:r>
    </w:p>
    <w:p w:rsidR="002A5A5E" w:rsidRPr="00FC1444" w:rsidRDefault="00611CBA">
      <w:pPr>
        <w:spacing w:line="360" w:lineRule="auto"/>
        <w:ind w:firstLineChars="200" w:firstLine="480"/>
        <w:rPr>
          <w:rFonts w:eastAsiaTheme="minorEastAsia"/>
          <w:sz w:val="24"/>
        </w:rPr>
      </w:pPr>
      <w:r w:rsidRPr="00FC1444">
        <w:rPr>
          <w:rFonts w:eastAsiaTheme="minorEastAsia"/>
          <w:sz w:val="24"/>
          <w:szCs w:val="21"/>
        </w:rPr>
        <w:t>合理安排施工时序，选择</w:t>
      </w:r>
      <w:r w:rsidRPr="00FC1444">
        <w:rPr>
          <w:rFonts w:eastAsiaTheme="minorEastAsia"/>
          <w:sz w:val="24"/>
          <w:szCs w:val="21"/>
        </w:rPr>
        <w:t>3</w:t>
      </w:r>
      <w:r w:rsidRPr="00FC1444">
        <w:rPr>
          <w:rFonts w:eastAsiaTheme="minorEastAsia"/>
          <w:sz w:val="24"/>
          <w:szCs w:val="21"/>
        </w:rPr>
        <w:t>月至</w:t>
      </w:r>
      <w:r w:rsidRPr="00FC1444">
        <w:rPr>
          <w:rFonts w:eastAsiaTheme="minorEastAsia"/>
          <w:sz w:val="24"/>
          <w:szCs w:val="21"/>
        </w:rPr>
        <w:t>4</w:t>
      </w:r>
      <w:r w:rsidRPr="00FC1444">
        <w:rPr>
          <w:rFonts w:eastAsiaTheme="minorEastAsia"/>
          <w:sz w:val="24"/>
          <w:szCs w:val="21"/>
        </w:rPr>
        <w:t>月进行排水沟清淤及涵洞等建筑物、护砌工程施工，沟渠干涸，不涉水，不产生基坑废水。</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施工期不会对地下水产生明显污染影响。因此，施工期地下水环境保护措施可行。</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6.1.7</w:t>
      </w:r>
      <w:r w:rsidRPr="00FC1444">
        <w:rPr>
          <w:rFonts w:eastAsiaTheme="minorEastAsia"/>
          <w:b/>
          <w:sz w:val="28"/>
          <w:szCs w:val="28"/>
        </w:rPr>
        <w:t>黑土地及基本农田环境保护措施及其可行性论证</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施工期由于机械碾压以及施工人员的践踏，在施工作业区域的土壤将被严重压实，丧失其涵养水分的功能，部分施工区域的表土将被铲去，还可能被填埋，从而使土壤失去肥力，不利于植物的生长和恢复。</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在工程建设过程中，如果施工安排不合理或操作不当，会使机械的机油等废</w:t>
      </w:r>
      <w:r w:rsidRPr="00FC1444">
        <w:rPr>
          <w:rFonts w:eastAsiaTheme="minorEastAsia"/>
          <w:sz w:val="24"/>
        </w:rPr>
        <w:lastRenderedPageBreak/>
        <w:t>弃油对黑土地造成污染；施工材料乱丢乱放也会造成土壤的污染；扬尘及冲刷物质进入农田，而且这些物质多为生土，有机质含量低，过多进入农田将会影响土壤的组成和结构，使土壤肥力下降，影响作物产量。</w:t>
      </w:r>
    </w:p>
    <w:p w:rsidR="002A5A5E" w:rsidRPr="00FC1444" w:rsidRDefault="00611CBA">
      <w:pPr>
        <w:spacing w:line="360" w:lineRule="auto"/>
        <w:ind w:firstLineChars="200" w:firstLine="480"/>
        <w:rPr>
          <w:rFonts w:eastAsiaTheme="minorEastAsia"/>
          <w:sz w:val="24"/>
        </w:rPr>
      </w:pPr>
      <w:r w:rsidRPr="00FC1444">
        <w:rPr>
          <w:rFonts w:eastAsiaTheme="minorEastAsia"/>
          <w:snapToGrid w:val="0"/>
          <w:kern w:val="0"/>
          <w:sz w:val="24"/>
        </w:rPr>
        <w:t>本项目施工期临时占地不占用基本农田。</w:t>
      </w:r>
      <w:r w:rsidRPr="00FC1444">
        <w:rPr>
          <w:rFonts w:eastAsiaTheme="minorEastAsia"/>
          <w:bCs/>
          <w:snapToGrid w:val="0"/>
          <w:sz w:val="24"/>
        </w:rPr>
        <w:t>本项目为高标准农田建设项目，田块整治工程在现状农田上建设，永久占地不可避免将占用基本农田，占用面积约为</w:t>
      </w:r>
      <w:r w:rsidRPr="00FC1444">
        <w:rPr>
          <w:rFonts w:eastAsiaTheme="minorEastAsia"/>
          <w:bCs/>
          <w:snapToGrid w:val="0"/>
          <w:sz w:val="24"/>
        </w:rPr>
        <w:t>0.03</w:t>
      </w:r>
      <w:r w:rsidRPr="00FC1444">
        <w:rPr>
          <w:rFonts w:eastAsiaTheme="minorEastAsia"/>
          <w:bCs/>
          <w:snapToGrid w:val="0"/>
          <w:sz w:val="24"/>
        </w:rPr>
        <w:t>平方公里。</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施工期主要采取的保护措施如下：</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）施工生产生活用地等临时占地，施工过程中临时占用破坏的部分植被，工程结束后需对其进行生态恢复。</w:t>
      </w:r>
    </w:p>
    <w:p w:rsidR="002A5A5E" w:rsidRPr="00FC1444" w:rsidRDefault="00611CBA">
      <w:pPr>
        <w:spacing w:line="360" w:lineRule="auto"/>
        <w:ind w:firstLine="482"/>
        <w:rPr>
          <w:rFonts w:eastAsiaTheme="minorEastAsia"/>
          <w:sz w:val="24"/>
        </w:rPr>
      </w:pPr>
      <w:r w:rsidRPr="00FC1444">
        <w:rPr>
          <w:rFonts w:eastAsiaTheme="minorEastAsia"/>
          <w:sz w:val="24"/>
        </w:rPr>
        <w:t>（</w:t>
      </w:r>
      <w:r w:rsidRPr="00FC1444">
        <w:rPr>
          <w:rFonts w:eastAsiaTheme="minorEastAsia"/>
          <w:sz w:val="24"/>
        </w:rPr>
        <w:t>2</w:t>
      </w:r>
      <w:r w:rsidRPr="00FC1444">
        <w:rPr>
          <w:rFonts w:eastAsiaTheme="minorEastAsia"/>
          <w:sz w:val="24"/>
        </w:rPr>
        <w:t>）规范建筑垃圾和粉质材料的临时堆放，规范其他垃圾的收集和临时堆放，防止粉尘等进入农田。在土壤剥离及运输过程中，采取了水土保持和扬尘防治措施，防止了黑土地、基本农田和环境污染。</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w:t>
      </w:r>
      <w:r w:rsidRPr="00FC1444">
        <w:rPr>
          <w:rFonts w:eastAsiaTheme="minorEastAsia"/>
          <w:sz w:val="24"/>
        </w:rPr>
        <w:t>3</w:t>
      </w:r>
      <w:r w:rsidRPr="00FC1444">
        <w:rPr>
          <w:rFonts w:eastAsiaTheme="minorEastAsia"/>
          <w:sz w:val="24"/>
        </w:rPr>
        <w:t>）在工程施工中，将对表层土壤产生直接的破坏作用，表层土壤含有丰富的有机质和植物种子、块根、块茎等繁殖体，是可利用的宝贵资源，本项目按照《黑龙江省人民政府办公厅关于建设占用耕地耕作层土壤剥离利用工作的指导意见（试行）》黑政办规【</w:t>
      </w:r>
      <w:r w:rsidRPr="00FC1444">
        <w:rPr>
          <w:rFonts w:eastAsiaTheme="minorEastAsia"/>
          <w:sz w:val="24"/>
        </w:rPr>
        <w:t>2021</w:t>
      </w:r>
      <w:r w:rsidRPr="00FC1444">
        <w:rPr>
          <w:rFonts w:eastAsiaTheme="minorEastAsia"/>
          <w:sz w:val="24"/>
        </w:rPr>
        <w:t>】</w:t>
      </w:r>
      <w:r w:rsidRPr="00FC1444">
        <w:rPr>
          <w:rFonts w:eastAsiaTheme="minorEastAsia"/>
          <w:sz w:val="24"/>
        </w:rPr>
        <w:t>18</w:t>
      </w:r>
      <w:r w:rsidRPr="00FC1444">
        <w:rPr>
          <w:rFonts w:eastAsiaTheme="minorEastAsia"/>
          <w:sz w:val="24"/>
        </w:rPr>
        <w:t>号、黑龙江省地方标准《建设占用耕地耕作层土壤剥离利用技术规范》（</w:t>
      </w:r>
      <w:r w:rsidRPr="00FC1444">
        <w:rPr>
          <w:rFonts w:eastAsiaTheme="minorEastAsia"/>
          <w:sz w:val="24"/>
        </w:rPr>
        <w:t>DB23/T2913-2021</w:t>
      </w:r>
      <w:r w:rsidRPr="00FC1444">
        <w:rPr>
          <w:rFonts w:eastAsiaTheme="minorEastAsia"/>
          <w:sz w:val="24"/>
        </w:rPr>
        <w:t>）要求进行土壤剥离。本项目施工前对占用的土地进行表土剥离，临时占地耕地剥离厚度为</w:t>
      </w:r>
      <w:r w:rsidRPr="00FC1444">
        <w:rPr>
          <w:rFonts w:eastAsiaTheme="minorEastAsia"/>
          <w:sz w:val="24"/>
        </w:rPr>
        <w:t>30cm</w:t>
      </w:r>
      <w:r w:rsidRPr="00FC1444">
        <w:rPr>
          <w:rFonts w:eastAsiaTheme="minorEastAsia"/>
          <w:sz w:val="24"/>
        </w:rPr>
        <w:t>，田块整治工程根据平整地块所在村的平均土壤厚度确定表土剥离厚度约</w:t>
      </w:r>
      <w:r w:rsidRPr="00FC1444">
        <w:rPr>
          <w:rFonts w:eastAsiaTheme="minorEastAsia"/>
          <w:sz w:val="24"/>
        </w:rPr>
        <w:t>25cm</w:t>
      </w:r>
      <w:r w:rsidRPr="00FC1444">
        <w:rPr>
          <w:rFonts w:eastAsiaTheme="minorEastAsia"/>
          <w:sz w:val="24"/>
        </w:rPr>
        <w:t>，将剥离的表层土单独堆放，表土剥离后存储于项目施工场地表土堆场内。表土储存时</w:t>
      </w:r>
      <w:r w:rsidRPr="00FC1444">
        <w:rPr>
          <w:rFonts w:eastAsiaTheme="minorEastAsia"/>
          <w:bCs/>
          <w:sz w:val="24"/>
        </w:rPr>
        <w:t>表土堆场设置临时拦挡，采用密目网苫盖，</w:t>
      </w:r>
      <w:r w:rsidRPr="00FC1444">
        <w:rPr>
          <w:rFonts w:eastAsiaTheme="minorEastAsia"/>
          <w:sz w:val="24"/>
        </w:rPr>
        <w:t>在项目施工结束后，剥离的表土优先用于临时占地生态恢复，其余用于本项目田块整治工程。</w:t>
      </w:r>
    </w:p>
    <w:p w:rsidR="002A5A5E" w:rsidRPr="00FC1444" w:rsidRDefault="00611CBA">
      <w:pPr>
        <w:spacing w:line="360" w:lineRule="auto"/>
        <w:ind w:firstLine="482"/>
        <w:rPr>
          <w:rFonts w:eastAsiaTheme="minorEastAsia"/>
          <w:sz w:val="24"/>
        </w:rPr>
      </w:pPr>
      <w:r w:rsidRPr="00FC1444">
        <w:rPr>
          <w:rFonts w:eastAsiaTheme="minorEastAsia"/>
          <w:sz w:val="24"/>
        </w:rPr>
        <w:t>（</w:t>
      </w:r>
      <w:r w:rsidRPr="00FC1444">
        <w:rPr>
          <w:rFonts w:eastAsiaTheme="minorEastAsia"/>
          <w:sz w:val="24"/>
        </w:rPr>
        <w:t>4</w:t>
      </w:r>
      <w:r w:rsidRPr="00FC1444">
        <w:rPr>
          <w:rFonts w:eastAsiaTheme="minorEastAsia"/>
          <w:sz w:val="24"/>
        </w:rPr>
        <w:t>）施工期各类废污水、固体废弃物按照要求进行处理和处置，避免污染工程周边黑土地、基本农田。施工期加强管理，杜绝油品跑冒滴漏事故，不会对黑土地及基本农田造成污染。</w:t>
      </w:r>
    </w:p>
    <w:p w:rsidR="002A5A5E" w:rsidRPr="00FC1444" w:rsidRDefault="00611CBA">
      <w:pPr>
        <w:spacing w:line="360" w:lineRule="auto"/>
        <w:ind w:firstLine="482"/>
        <w:rPr>
          <w:rFonts w:eastAsiaTheme="minorEastAsia"/>
          <w:sz w:val="24"/>
        </w:rPr>
      </w:pPr>
      <w:r w:rsidRPr="00FC1444">
        <w:rPr>
          <w:rFonts w:eastAsiaTheme="minorEastAsia"/>
          <w:sz w:val="24"/>
        </w:rPr>
        <w:t>（</w:t>
      </w:r>
      <w:r w:rsidRPr="00FC1444">
        <w:rPr>
          <w:rFonts w:eastAsiaTheme="minorEastAsia"/>
          <w:sz w:val="24"/>
        </w:rPr>
        <w:t>5</w:t>
      </w:r>
      <w:r w:rsidRPr="00FC1444">
        <w:rPr>
          <w:rFonts w:eastAsiaTheme="minorEastAsia"/>
          <w:sz w:val="24"/>
        </w:rPr>
        <w:t>）严格执行项目的水土保持方案，合理施工减少土壤的翻动、开挖对土地肥力产生破坏等，防止和减轻施工造成的水土流失。</w:t>
      </w:r>
    </w:p>
    <w:p w:rsidR="002A5A5E" w:rsidRPr="00FC1444" w:rsidRDefault="00611CBA">
      <w:pPr>
        <w:spacing w:line="360" w:lineRule="auto"/>
        <w:ind w:firstLine="482"/>
        <w:rPr>
          <w:rFonts w:eastAsiaTheme="minorEastAsia"/>
          <w:sz w:val="24"/>
        </w:rPr>
      </w:pPr>
      <w:r w:rsidRPr="00FC1444">
        <w:rPr>
          <w:rFonts w:eastAsiaTheme="minorEastAsia"/>
          <w:sz w:val="24"/>
        </w:rPr>
        <w:t>（</w:t>
      </w:r>
      <w:r w:rsidRPr="00FC1444">
        <w:rPr>
          <w:rFonts w:eastAsiaTheme="minorEastAsia"/>
          <w:sz w:val="24"/>
        </w:rPr>
        <w:t>6</w:t>
      </w:r>
      <w:r w:rsidRPr="00FC1444">
        <w:rPr>
          <w:rFonts w:eastAsiaTheme="minorEastAsia"/>
          <w:sz w:val="24"/>
        </w:rPr>
        <w:t>）</w:t>
      </w:r>
      <w:r w:rsidRPr="00FC1444">
        <w:rPr>
          <w:rFonts w:eastAsiaTheme="minorEastAsia"/>
          <w:bCs/>
          <w:sz w:val="24"/>
        </w:rPr>
        <w:t>加强施工期工人培训工作，禁止盗挖、滥挖和非法买卖黑土；施工时应建设围挡措施，减少粉尘对周围黑土的影响；工程开挖应尽量避免在雨季进行。</w:t>
      </w:r>
    </w:p>
    <w:p w:rsidR="002A5A5E" w:rsidRPr="00FC1444" w:rsidRDefault="00611CBA">
      <w:pPr>
        <w:spacing w:line="360" w:lineRule="auto"/>
        <w:ind w:firstLine="482"/>
        <w:rPr>
          <w:rFonts w:eastAsiaTheme="minorEastAsia"/>
          <w:sz w:val="24"/>
        </w:rPr>
      </w:pPr>
      <w:r w:rsidRPr="00FC1444">
        <w:rPr>
          <w:rFonts w:eastAsiaTheme="minorEastAsia"/>
          <w:sz w:val="24"/>
        </w:rPr>
        <w:lastRenderedPageBreak/>
        <w:t>（</w:t>
      </w:r>
      <w:r w:rsidRPr="00FC1444">
        <w:rPr>
          <w:rFonts w:eastAsiaTheme="minorEastAsia"/>
          <w:sz w:val="24"/>
        </w:rPr>
        <w:t>7</w:t>
      </w:r>
      <w:r w:rsidRPr="00FC1444">
        <w:rPr>
          <w:rFonts w:eastAsiaTheme="minorEastAsia"/>
          <w:sz w:val="24"/>
        </w:rPr>
        <w:t>）</w:t>
      </w:r>
      <w:r w:rsidRPr="00FC1444">
        <w:rPr>
          <w:rFonts w:eastAsiaTheme="minorEastAsia"/>
          <w:bCs/>
          <w:sz w:val="24"/>
        </w:rPr>
        <w:t>本项目应严格执行《中华人民共和国土地管理法》《基本农田保护条例》等文件要求，制定基本农田环境保护方案：</w:t>
      </w:r>
      <w:r w:rsidRPr="00FC1444">
        <w:rPr>
          <w:rFonts w:ascii="宋体" w:hAnsi="宋体" w:cs="宋体" w:hint="eastAsia"/>
          <w:bCs/>
          <w:sz w:val="24"/>
        </w:rPr>
        <w:t>①</w:t>
      </w:r>
      <w:r w:rsidRPr="00FC1444">
        <w:rPr>
          <w:rFonts w:eastAsiaTheme="minorEastAsia"/>
          <w:bCs/>
          <w:sz w:val="24"/>
        </w:rPr>
        <w:t>建设前期须优化道路选线、合理安排施工期；</w:t>
      </w:r>
      <w:r w:rsidRPr="00FC1444">
        <w:rPr>
          <w:rFonts w:ascii="宋体" w:hAnsi="宋体" w:cs="宋体" w:hint="eastAsia"/>
          <w:bCs/>
          <w:sz w:val="24"/>
        </w:rPr>
        <w:t>②</w:t>
      </w:r>
      <w:r w:rsidRPr="00FC1444">
        <w:rPr>
          <w:rFonts w:eastAsiaTheme="minorEastAsia"/>
          <w:bCs/>
          <w:sz w:val="24"/>
        </w:rPr>
        <w:t>施工期须按照报告书要求对临时占地采取耕作层的剥离和暂存、妥善处理、及时清运废弃物等方式做好基本农田的保护工作。</w:t>
      </w:r>
    </w:p>
    <w:p w:rsidR="002A5A5E" w:rsidRPr="00FC1444" w:rsidRDefault="00611CBA">
      <w:pPr>
        <w:spacing w:line="360" w:lineRule="auto"/>
        <w:ind w:firstLine="482"/>
        <w:rPr>
          <w:rFonts w:eastAsiaTheme="minorEastAsia"/>
          <w:sz w:val="24"/>
        </w:rPr>
      </w:pPr>
      <w:r w:rsidRPr="00FC1444">
        <w:rPr>
          <w:rFonts w:eastAsiaTheme="minorEastAsia"/>
          <w:sz w:val="24"/>
        </w:rPr>
        <w:t>采取以上措施后，将会有效减少项目施工对黑土地及基本农田的不利影响。</w:t>
      </w: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40" w:name="_Toc208906246"/>
      <w:r w:rsidRPr="00FC1444">
        <w:rPr>
          <w:rFonts w:eastAsiaTheme="minorEastAsia"/>
          <w:b/>
          <w:bCs/>
          <w:kern w:val="44"/>
          <w:sz w:val="30"/>
          <w:szCs w:val="30"/>
        </w:rPr>
        <w:t>6.2</w:t>
      </w:r>
      <w:r w:rsidRPr="00FC1444">
        <w:rPr>
          <w:rFonts w:eastAsiaTheme="minorEastAsia"/>
          <w:b/>
          <w:bCs/>
          <w:kern w:val="44"/>
          <w:sz w:val="30"/>
          <w:szCs w:val="30"/>
        </w:rPr>
        <w:t>运营期环境保护措施及其可行性论证</w:t>
      </w:r>
      <w:bookmarkEnd w:id="140"/>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6.2.1</w:t>
      </w:r>
      <w:r w:rsidRPr="00FC1444">
        <w:rPr>
          <w:rFonts w:eastAsiaTheme="minorEastAsia"/>
          <w:b/>
          <w:sz w:val="28"/>
          <w:szCs w:val="28"/>
        </w:rPr>
        <w:t>大气环境保护措施及其可行性论证</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无冬季供暖，田间道路主要在春、秋农忙季节有少量农机车辆行驶，其他时段基本无车辆通过，车辆通过会产生少量汽车尾气，本区域通过车辆一般为当地农用车，车速较慢、产生的尾气及扬尘较少，同时通过对过往车辆采取限速措施后，对周围环境空气影响不大。</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本项目排水工程设置</w:t>
      </w:r>
      <w:r w:rsidR="007D6514" w:rsidRPr="00FC1444">
        <w:rPr>
          <w:rFonts w:eastAsiaTheme="minorEastAsia"/>
          <w:sz w:val="24"/>
        </w:rPr>
        <w:t>15</w:t>
      </w:r>
      <w:r w:rsidR="007D6514" w:rsidRPr="00FC1444">
        <w:rPr>
          <w:rFonts w:eastAsiaTheme="minorEastAsia"/>
          <w:sz w:val="24"/>
        </w:rPr>
        <w:t>台</w:t>
      </w:r>
      <w:r w:rsidRPr="00FC1444">
        <w:rPr>
          <w:rFonts w:eastAsiaTheme="minorEastAsia"/>
          <w:sz w:val="24"/>
        </w:rPr>
        <w:t>柴油机移动泵车，采用轻质柴油，减少使用过程中产生的废气影响，鉴于项目的特殊性，泵车分布较分散，使用时间较短，位于田间，距离敏感点较远，田间空旷有利于柴油机移动泵车废气的稀释扩散，柴油机移动泵车废气排放满足《非道路移动机械用柴油机移动泵车污染物排放限值及测量方法（中国三、四阶段）》（</w:t>
      </w:r>
      <w:r w:rsidRPr="00FC1444">
        <w:rPr>
          <w:rFonts w:eastAsiaTheme="minorEastAsia"/>
          <w:sz w:val="24"/>
        </w:rPr>
        <w:t>GB20891-2014</w:t>
      </w:r>
      <w:r w:rsidRPr="00FC1444">
        <w:rPr>
          <w:rFonts w:eastAsiaTheme="minorEastAsia"/>
          <w:sz w:val="24"/>
        </w:rPr>
        <w:t>）中表</w:t>
      </w:r>
      <w:r w:rsidRPr="00FC1444">
        <w:rPr>
          <w:rFonts w:eastAsiaTheme="minorEastAsia"/>
          <w:sz w:val="24"/>
        </w:rPr>
        <w:t>2</w:t>
      </w:r>
      <w:r w:rsidRPr="00FC1444">
        <w:rPr>
          <w:rFonts w:eastAsiaTheme="minorEastAsia"/>
          <w:sz w:val="24"/>
        </w:rPr>
        <w:t>非道路移动机械用柴油机排气污染物排放限值要求。</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综上所述，该项目大气污染物治理措施可行，污染物经治理和大气稀释扩散后对当地的环境空气质量影响很小，大气环境质量可维持现状水平。</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6.2.2</w:t>
      </w:r>
      <w:r w:rsidRPr="00FC1444">
        <w:rPr>
          <w:rFonts w:eastAsiaTheme="minorEastAsia"/>
          <w:b/>
          <w:sz w:val="28"/>
          <w:szCs w:val="28"/>
        </w:rPr>
        <w:t>水环境保护措施及其可行性论证</w:t>
      </w:r>
    </w:p>
    <w:p w:rsidR="002A5A5E" w:rsidRPr="00FC1444" w:rsidRDefault="00A4540D">
      <w:pPr>
        <w:pStyle w:val="aff4"/>
        <w:adjustRightInd/>
        <w:snapToGrid/>
        <w:rPr>
          <w:rFonts w:ascii="Times New Roman" w:hAnsi="Times New Roman" w:cs="Times New Roman"/>
          <w:szCs w:val="22"/>
        </w:rPr>
      </w:pPr>
      <w:r w:rsidRPr="00FC1444">
        <w:rPr>
          <w:rFonts w:ascii="Times New Roman" w:hAnsi="Times New Roman" w:cs="Times New Roman"/>
          <w:szCs w:val="22"/>
        </w:rPr>
        <w:t>（</w:t>
      </w:r>
      <w:r w:rsidRPr="00FC1444">
        <w:rPr>
          <w:rFonts w:ascii="Times New Roman" w:hAnsi="Times New Roman" w:cs="Times New Roman"/>
          <w:szCs w:val="22"/>
        </w:rPr>
        <w:t>1</w:t>
      </w:r>
      <w:r w:rsidRPr="00FC1444">
        <w:rPr>
          <w:rFonts w:ascii="Times New Roman" w:hAnsi="Times New Roman" w:cs="Times New Roman"/>
          <w:szCs w:val="22"/>
        </w:rPr>
        <w:t>）</w:t>
      </w:r>
      <w:r w:rsidR="00611CBA" w:rsidRPr="00FC1444">
        <w:rPr>
          <w:rFonts w:ascii="Times New Roman" w:hAnsi="Times New Roman" w:cs="Times New Roman"/>
          <w:szCs w:val="22"/>
        </w:rPr>
        <w:t>地表水</w:t>
      </w:r>
    </w:p>
    <w:p w:rsidR="002A5A5E" w:rsidRPr="00FC1444" w:rsidRDefault="00611CBA">
      <w:pPr>
        <w:pStyle w:val="aff4"/>
        <w:adjustRightInd/>
        <w:snapToGrid/>
        <w:rPr>
          <w:rFonts w:ascii="Times New Roman" w:hAnsi="Times New Roman" w:cs="Times New Roman"/>
          <w:kern w:val="0"/>
        </w:rPr>
      </w:pPr>
      <w:r w:rsidRPr="00FC1444">
        <w:rPr>
          <w:rFonts w:ascii="Times New Roman" w:hAnsi="Times New Roman" w:cs="Times New Roman"/>
          <w:szCs w:val="22"/>
        </w:rPr>
        <w:t>根据</w:t>
      </w:r>
      <w:r w:rsidRPr="00FC1444">
        <w:rPr>
          <w:rFonts w:ascii="Times New Roman" w:hAnsi="Times New Roman" w:cs="Times New Roman"/>
        </w:rPr>
        <w:t>本工程已批复水资源论证报告书</w:t>
      </w:r>
      <w:r w:rsidRPr="00FC1444">
        <w:rPr>
          <w:rFonts w:ascii="Times New Roman" w:hAnsi="Times New Roman" w:cs="Times New Roman"/>
          <w:kern w:val="0"/>
          <w:szCs w:val="22"/>
        </w:rPr>
        <w:t>可知</w:t>
      </w:r>
      <w:r w:rsidRPr="00FC1444">
        <w:rPr>
          <w:rFonts w:ascii="Times New Roman" w:hAnsi="Times New Roman" w:cs="Times New Roman"/>
          <w:szCs w:val="20"/>
        </w:rPr>
        <w:t>，</w:t>
      </w:r>
      <w:r w:rsidRPr="00FC1444">
        <w:rPr>
          <w:rFonts w:ascii="Times New Roman" w:hAnsi="Times New Roman" w:cs="Times New Roman"/>
          <w:szCs w:val="22"/>
        </w:rPr>
        <w:t>新增灌溉井区域均为旱田，无水田，属于高标准农田建设项目，采取节水灌溉措施，地下水经作物吸收等充分利用，用水效率较高，不会产生退水</w:t>
      </w:r>
      <w:r w:rsidRPr="00FC1444">
        <w:rPr>
          <w:rFonts w:ascii="Times New Roman" w:hAnsi="Times New Roman" w:cs="Times New Roman"/>
          <w:kern w:val="0"/>
        </w:rPr>
        <w:t>。</w:t>
      </w:r>
    </w:p>
    <w:p w:rsidR="002A5A5E" w:rsidRPr="00FC1444" w:rsidRDefault="00611CBA">
      <w:pPr>
        <w:pStyle w:val="aff4"/>
        <w:adjustRightInd/>
        <w:snapToGrid/>
        <w:rPr>
          <w:rFonts w:ascii="Times New Roman" w:hAnsi="Times New Roman" w:cs="Times New Roman"/>
          <w:szCs w:val="22"/>
        </w:rPr>
      </w:pPr>
      <w:r w:rsidRPr="00FC1444">
        <w:rPr>
          <w:rFonts w:ascii="Times New Roman" w:hAnsi="Times New Roman" w:cs="Times New Roman"/>
          <w:szCs w:val="22"/>
        </w:rPr>
        <w:t>本项目实施后，由于灌溉水利用系数的提升、农田保水能力增强以及渠系配套系统的完善，地表水退水量减少，相应污染物入河量与现状相比也有一定程度的削减，</w:t>
      </w:r>
      <w:r w:rsidR="00E008D1" w:rsidRPr="00FC1444">
        <w:rPr>
          <w:rFonts w:ascii="Times New Roman" w:hAnsi="Times New Roman" w:cs="Times New Roman"/>
          <w:szCs w:val="22"/>
        </w:rPr>
        <w:t>项目建成后灌区年退水量与现状相比减少</w:t>
      </w:r>
      <w:r w:rsidR="00E008D1" w:rsidRPr="00FC1444">
        <w:rPr>
          <w:rFonts w:ascii="Times New Roman" w:hAnsi="Times New Roman" w:cs="Times New Roman"/>
          <w:szCs w:val="22"/>
        </w:rPr>
        <w:t>431</w:t>
      </w:r>
      <w:r w:rsidR="00E008D1" w:rsidRPr="00FC1444">
        <w:rPr>
          <w:rFonts w:ascii="Times New Roman" w:hAnsi="Times New Roman" w:cs="Times New Roman"/>
          <w:szCs w:val="22"/>
        </w:rPr>
        <w:t>万</w:t>
      </w:r>
      <w:r w:rsidRPr="00FC1444">
        <w:rPr>
          <w:rFonts w:ascii="Times New Roman" w:hAnsi="Times New Roman" w:cs="Times New Roman"/>
          <w:szCs w:val="22"/>
        </w:rPr>
        <w:t>m</w:t>
      </w:r>
      <w:r w:rsidRPr="00FC1444">
        <w:rPr>
          <w:rFonts w:ascii="Times New Roman" w:hAnsi="Times New Roman" w:cs="Times New Roman"/>
          <w:szCs w:val="22"/>
          <w:vertAlign w:val="superscript"/>
        </w:rPr>
        <w:t>3</w:t>
      </w:r>
      <w:r w:rsidRPr="00FC1444">
        <w:rPr>
          <w:rFonts w:ascii="Times New Roman" w:hAnsi="Times New Roman" w:cs="Times New Roman"/>
          <w:szCs w:val="22"/>
        </w:rPr>
        <w:t>。</w:t>
      </w:r>
      <w:r w:rsidR="00C341EA" w:rsidRPr="00FC1444">
        <w:rPr>
          <w:rFonts w:ascii="Times New Roman" w:hAnsi="Times New Roman" w:cs="Times New Roman"/>
          <w:bCs/>
          <w:szCs w:val="22"/>
        </w:rPr>
        <w:t>COD</w:t>
      </w:r>
      <w:r w:rsidR="00C341EA" w:rsidRPr="00FC1444">
        <w:rPr>
          <w:rFonts w:ascii="Times New Roman" w:hAnsi="Times New Roman" w:cs="Times New Roman"/>
          <w:bCs/>
          <w:szCs w:val="22"/>
        </w:rPr>
        <w:t>、氨氮、总</w:t>
      </w:r>
      <w:r w:rsidR="00C341EA" w:rsidRPr="00FC1444">
        <w:rPr>
          <w:rFonts w:ascii="Times New Roman" w:hAnsi="Times New Roman" w:cs="Times New Roman"/>
          <w:bCs/>
          <w:szCs w:val="22"/>
        </w:rPr>
        <w:lastRenderedPageBreak/>
        <w:t>磷及总氮排放量分别减少</w:t>
      </w:r>
      <w:r w:rsidR="00C341EA" w:rsidRPr="00FC1444">
        <w:rPr>
          <w:rFonts w:ascii="Times New Roman" w:hAnsi="Times New Roman" w:cs="Times New Roman"/>
          <w:bCs/>
          <w:szCs w:val="22"/>
        </w:rPr>
        <w:t>227.137t/a</w:t>
      </w:r>
      <w:r w:rsidR="00C341EA" w:rsidRPr="00FC1444">
        <w:rPr>
          <w:rFonts w:ascii="Times New Roman" w:hAnsi="Times New Roman" w:cs="Times New Roman"/>
          <w:bCs/>
          <w:szCs w:val="22"/>
        </w:rPr>
        <w:t>、</w:t>
      </w:r>
      <w:r w:rsidR="00C341EA" w:rsidRPr="00FC1444">
        <w:rPr>
          <w:rFonts w:ascii="Times New Roman" w:hAnsi="Times New Roman" w:cs="Times New Roman"/>
          <w:bCs/>
          <w:szCs w:val="22"/>
        </w:rPr>
        <w:t>5.431t/a</w:t>
      </w:r>
      <w:r w:rsidR="00C341EA" w:rsidRPr="00FC1444">
        <w:rPr>
          <w:rFonts w:ascii="Times New Roman" w:hAnsi="Times New Roman" w:cs="Times New Roman"/>
          <w:bCs/>
          <w:szCs w:val="22"/>
        </w:rPr>
        <w:t>、</w:t>
      </w:r>
      <w:r w:rsidR="00C341EA" w:rsidRPr="00FC1444">
        <w:rPr>
          <w:rFonts w:ascii="Times New Roman" w:hAnsi="Times New Roman" w:cs="Times New Roman"/>
          <w:bCs/>
          <w:szCs w:val="22"/>
        </w:rPr>
        <w:t>7.93t/a</w:t>
      </w:r>
      <w:r w:rsidR="00C341EA" w:rsidRPr="00FC1444">
        <w:rPr>
          <w:rFonts w:ascii="Times New Roman" w:hAnsi="Times New Roman" w:cs="Times New Roman"/>
          <w:bCs/>
          <w:szCs w:val="22"/>
        </w:rPr>
        <w:t>、</w:t>
      </w:r>
      <w:r w:rsidR="00C341EA" w:rsidRPr="00FC1444">
        <w:rPr>
          <w:rFonts w:ascii="Times New Roman" w:hAnsi="Times New Roman" w:cs="Times New Roman"/>
          <w:bCs/>
          <w:szCs w:val="22"/>
        </w:rPr>
        <w:t>18.102t/a</w:t>
      </w:r>
      <w:r w:rsidR="00C341EA" w:rsidRPr="00FC1444">
        <w:rPr>
          <w:rFonts w:ascii="Times New Roman" w:hAnsi="Times New Roman" w:cs="Times New Roman"/>
          <w:bCs/>
          <w:szCs w:val="22"/>
        </w:rPr>
        <w:t>。</w:t>
      </w:r>
      <w:r w:rsidRPr="00FC1444">
        <w:rPr>
          <w:rFonts w:ascii="Times New Roman" w:hAnsi="Times New Roman" w:cs="Times New Roman"/>
          <w:kern w:val="0"/>
        </w:rPr>
        <w:t>故工程实施后对地表水环境起到一定改善作用。</w:t>
      </w:r>
    </w:p>
    <w:p w:rsidR="002A5A5E" w:rsidRPr="00FC1444" w:rsidRDefault="00611CBA" w:rsidP="00611CBA">
      <w:pPr>
        <w:spacing w:line="360" w:lineRule="auto"/>
        <w:ind w:firstLineChars="182" w:firstLine="437"/>
        <w:rPr>
          <w:rFonts w:eastAsiaTheme="minorEastAsia"/>
          <w:kern w:val="0"/>
          <w:sz w:val="24"/>
        </w:rPr>
      </w:pPr>
      <w:r w:rsidRPr="00FC1444">
        <w:rPr>
          <w:rFonts w:eastAsiaTheme="minorEastAsia"/>
          <w:kern w:val="0"/>
          <w:sz w:val="24"/>
        </w:rPr>
        <w:t>项目施行</w:t>
      </w:r>
      <w:r w:rsidRPr="00FC1444">
        <w:rPr>
          <w:rFonts w:eastAsiaTheme="minorEastAsia"/>
          <w:kern w:val="0"/>
          <w:sz w:val="24"/>
        </w:rPr>
        <w:t>“</w:t>
      </w:r>
      <w:r w:rsidRPr="00FC1444">
        <w:rPr>
          <w:rFonts w:eastAsiaTheme="minorEastAsia"/>
          <w:kern w:val="0"/>
          <w:sz w:val="24"/>
        </w:rPr>
        <w:t>三减</w:t>
      </w:r>
      <w:r w:rsidRPr="00FC1444">
        <w:rPr>
          <w:rFonts w:eastAsiaTheme="minorEastAsia"/>
          <w:kern w:val="0"/>
          <w:sz w:val="24"/>
        </w:rPr>
        <w:t>”</w:t>
      </w:r>
      <w:r w:rsidRPr="00FC1444">
        <w:rPr>
          <w:rFonts w:eastAsiaTheme="minorEastAsia"/>
          <w:kern w:val="0"/>
          <w:sz w:val="24"/>
        </w:rPr>
        <w:t>行动，即减化肥、减农药、减除草剂，积极推广科学施肥，使化肥、农药实现减量化施用，增加有机肥的施用，优化调整农药施用结构，控制农药施用量，采取测土配方施肥、水肥一体化措施。故工程实施后对</w:t>
      </w:r>
      <w:r w:rsidR="00E456D6" w:rsidRPr="00FC1444">
        <w:rPr>
          <w:rFonts w:eastAsiaTheme="minorEastAsia"/>
          <w:sz w:val="24"/>
        </w:rPr>
        <w:t>呼兰河、津河及努敏河</w:t>
      </w:r>
      <w:r w:rsidRPr="00FC1444">
        <w:rPr>
          <w:rFonts w:eastAsiaTheme="minorEastAsia"/>
          <w:sz w:val="24"/>
        </w:rPr>
        <w:t>水生生态</w:t>
      </w:r>
      <w:r w:rsidRPr="00FC1444">
        <w:rPr>
          <w:rFonts w:eastAsiaTheme="minorEastAsia"/>
          <w:kern w:val="0"/>
          <w:sz w:val="24"/>
        </w:rPr>
        <w:t>环境起到一定改善作用。</w:t>
      </w:r>
    </w:p>
    <w:p w:rsidR="002A5A5E" w:rsidRPr="00FC1444" w:rsidRDefault="00A4540D">
      <w:pPr>
        <w:spacing w:line="360" w:lineRule="auto"/>
        <w:ind w:firstLineChars="200" w:firstLine="480"/>
        <w:rPr>
          <w:rFonts w:eastAsiaTheme="minorEastAsia"/>
          <w:sz w:val="24"/>
        </w:rPr>
      </w:pPr>
      <w:r w:rsidRPr="00FC1444">
        <w:rPr>
          <w:rFonts w:eastAsiaTheme="minorEastAsia"/>
          <w:kern w:val="0"/>
          <w:sz w:val="24"/>
        </w:rPr>
        <w:t>（</w:t>
      </w:r>
      <w:r w:rsidRPr="00FC1444">
        <w:rPr>
          <w:rFonts w:eastAsiaTheme="minorEastAsia"/>
          <w:kern w:val="0"/>
          <w:sz w:val="24"/>
        </w:rPr>
        <w:t>2</w:t>
      </w:r>
      <w:r w:rsidRPr="00FC1444">
        <w:rPr>
          <w:rFonts w:eastAsiaTheme="minorEastAsia"/>
          <w:kern w:val="0"/>
          <w:sz w:val="24"/>
        </w:rPr>
        <w:t>）</w:t>
      </w:r>
      <w:r w:rsidR="00611CBA" w:rsidRPr="00FC1444">
        <w:rPr>
          <w:rFonts w:eastAsiaTheme="minorEastAsia"/>
          <w:kern w:val="0"/>
          <w:sz w:val="24"/>
        </w:rPr>
        <w:t>地下水</w:t>
      </w:r>
    </w:p>
    <w:p w:rsidR="002A5A5E" w:rsidRPr="00FC1444" w:rsidRDefault="00611CBA">
      <w:pPr>
        <w:spacing w:line="360" w:lineRule="auto"/>
        <w:ind w:firstLine="482"/>
        <w:rPr>
          <w:rFonts w:eastAsiaTheme="minorEastAsia"/>
          <w:sz w:val="24"/>
        </w:rPr>
      </w:pPr>
      <w:r w:rsidRPr="00FC1444">
        <w:rPr>
          <w:rFonts w:eastAsiaTheme="minorEastAsia"/>
          <w:sz w:val="24"/>
        </w:rPr>
        <w:t>1</w:t>
      </w:r>
      <w:r w:rsidRPr="00FC1444">
        <w:rPr>
          <w:rFonts w:eastAsiaTheme="minorEastAsia"/>
          <w:sz w:val="24"/>
        </w:rPr>
        <w:t>）非正常工况下，柴油机移动泵车油箱在使用和停放时发生泄漏事故，柴油渗漏对地下水水质造成影响。本项目设置</w:t>
      </w:r>
      <w:r w:rsidRPr="00FC1444">
        <w:rPr>
          <w:rFonts w:eastAsiaTheme="minorEastAsia"/>
          <w:sz w:val="24"/>
        </w:rPr>
        <w:t>3</w:t>
      </w:r>
      <w:r w:rsidRPr="00FC1444">
        <w:rPr>
          <w:rFonts w:eastAsiaTheme="minorEastAsia"/>
          <w:sz w:val="24"/>
        </w:rPr>
        <w:t>口地下水跟踪监测井（</w:t>
      </w:r>
      <w:r w:rsidR="00C0294E" w:rsidRPr="00FC1444">
        <w:rPr>
          <w:rFonts w:eastAsiaTheme="minorEastAsia" w:hint="eastAsia"/>
          <w:sz w:val="24"/>
        </w:rPr>
        <w:t>绥胜</w:t>
      </w:r>
      <w:r w:rsidR="00C0294E" w:rsidRPr="00FC1444">
        <w:rPr>
          <w:rFonts w:eastAsiaTheme="minorEastAsia" w:hint="eastAsia"/>
          <w:sz w:val="24"/>
        </w:rPr>
        <w:t>21#</w:t>
      </w:r>
      <w:r w:rsidR="00C0294E" w:rsidRPr="00FC1444">
        <w:rPr>
          <w:rFonts w:eastAsiaTheme="minorEastAsia" w:hint="eastAsia"/>
          <w:sz w:val="24"/>
        </w:rPr>
        <w:t>机电井、津河</w:t>
      </w:r>
      <w:r w:rsidR="00C0294E" w:rsidRPr="00FC1444">
        <w:rPr>
          <w:rFonts w:eastAsiaTheme="minorEastAsia" w:hint="eastAsia"/>
          <w:sz w:val="24"/>
        </w:rPr>
        <w:t>20#</w:t>
      </w:r>
      <w:r w:rsidR="00C0294E" w:rsidRPr="00FC1444">
        <w:rPr>
          <w:rFonts w:eastAsiaTheme="minorEastAsia" w:hint="eastAsia"/>
          <w:sz w:val="24"/>
        </w:rPr>
        <w:t>机电井、绥胜</w:t>
      </w:r>
      <w:r w:rsidR="00C0294E" w:rsidRPr="00FC1444">
        <w:rPr>
          <w:rFonts w:eastAsiaTheme="minorEastAsia" w:hint="eastAsia"/>
          <w:sz w:val="24"/>
        </w:rPr>
        <w:t>31#</w:t>
      </w:r>
      <w:r w:rsidR="00C0294E" w:rsidRPr="00FC1444">
        <w:rPr>
          <w:rFonts w:eastAsiaTheme="minorEastAsia" w:hint="eastAsia"/>
          <w:sz w:val="24"/>
        </w:rPr>
        <w:t>机电井</w:t>
      </w:r>
      <w:r w:rsidRPr="00FC1444">
        <w:rPr>
          <w:rFonts w:eastAsiaTheme="minorEastAsia"/>
          <w:sz w:val="24"/>
        </w:rPr>
        <w:t>），制定地下水跟踪监测计划及信息公开计划，防止对区域地下水环境造成影响。以柴油机移动泵车油箱泄漏对地下水影响进行预测，泄漏发生后</w:t>
      </w:r>
      <w:r w:rsidRPr="00FC1444">
        <w:rPr>
          <w:rFonts w:eastAsiaTheme="minorEastAsia"/>
          <w:sz w:val="24"/>
        </w:rPr>
        <w:t>100</w:t>
      </w:r>
      <w:r w:rsidRPr="00FC1444">
        <w:rPr>
          <w:rFonts w:eastAsiaTheme="minorEastAsia"/>
          <w:sz w:val="24"/>
        </w:rPr>
        <w:t>天时，石油类预测达标距离为</w:t>
      </w:r>
      <w:r w:rsidR="00E33931" w:rsidRPr="00FC1444">
        <w:rPr>
          <w:rFonts w:eastAsiaTheme="minorEastAsia" w:hint="eastAsia"/>
          <w:sz w:val="24"/>
        </w:rPr>
        <w:t>135</w:t>
      </w:r>
      <w:r w:rsidRPr="00FC1444">
        <w:rPr>
          <w:rFonts w:eastAsiaTheme="minorEastAsia"/>
          <w:sz w:val="24"/>
        </w:rPr>
        <w:t>米，泄漏发生后</w:t>
      </w:r>
      <w:r w:rsidRPr="00FC1444">
        <w:rPr>
          <w:rFonts w:eastAsiaTheme="minorEastAsia"/>
          <w:sz w:val="24"/>
        </w:rPr>
        <w:t>1000</w:t>
      </w:r>
      <w:r w:rsidRPr="00FC1444">
        <w:rPr>
          <w:rFonts w:eastAsiaTheme="minorEastAsia"/>
          <w:sz w:val="24"/>
        </w:rPr>
        <w:t>天时，石油类预测达标距离为</w:t>
      </w:r>
      <w:r w:rsidR="00E33931" w:rsidRPr="00FC1444">
        <w:rPr>
          <w:rFonts w:eastAsiaTheme="minorEastAsia" w:hint="eastAsia"/>
          <w:sz w:val="24"/>
        </w:rPr>
        <w:t>428</w:t>
      </w:r>
      <w:r w:rsidRPr="00FC1444">
        <w:rPr>
          <w:rFonts w:eastAsiaTheme="minorEastAsia"/>
          <w:sz w:val="24"/>
        </w:rPr>
        <w:t>米。本项目柴油机移动泵车油箱密闭，设置固定暂存场所，暂存场所地面采取防渗措施，在使用过程中若发生泄漏事故，立即用沙土进行掩埋，产生的含油沙土交由资质单位运输和处置。定期巡检，重点检查变压器油箱密封性（有无裂缝、接口渗漏）、油位刻度（判断是否存在异常泄漏），发现变压器油泄漏应立即停止此变压器运行，</w:t>
      </w:r>
      <w:r w:rsidRPr="00FC1444">
        <w:rPr>
          <w:rFonts w:eastAsiaTheme="minorEastAsia"/>
          <w:sz w:val="24"/>
          <w:szCs w:val="20"/>
        </w:rPr>
        <w:t>属于小范围污染，立即用沙土进行掩埋，产生的含油沙土及</w:t>
      </w:r>
      <w:r w:rsidRPr="00FC1444">
        <w:rPr>
          <w:rFonts w:eastAsiaTheme="minorEastAsia"/>
          <w:sz w:val="24"/>
        </w:rPr>
        <w:t>泄漏物</w:t>
      </w:r>
      <w:r w:rsidRPr="00FC1444">
        <w:rPr>
          <w:rFonts w:eastAsiaTheme="minorEastAsia"/>
          <w:sz w:val="24"/>
          <w:szCs w:val="20"/>
        </w:rPr>
        <w:t>交由资质单位处置进行运输和处置。</w:t>
      </w:r>
      <w:r w:rsidRPr="00FC1444">
        <w:rPr>
          <w:rFonts w:eastAsiaTheme="minorEastAsia"/>
          <w:sz w:val="24"/>
        </w:rPr>
        <w:t>不会对地下水环境产生污染。</w:t>
      </w:r>
    </w:p>
    <w:p w:rsidR="002A5A5E" w:rsidRPr="00FC1444" w:rsidRDefault="00611CBA">
      <w:pPr>
        <w:spacing w:line="360" w:lineRule="auto"/>
        <w:ind w:firstLine="482"/>
        <w:rPr>
          <w:rFonts w:eastAsiaTheme="minorEastAsia"/>
          <w:sz w:val="24"/>
        </w:rPr>
      </w:pPr>
      <w:r w:rsidRPr="00FC1444">
        <w:rPr>
          <w:rFonts w:eastAsiaTheme="minorEastAsia"/>
          <w:sz w:val="24"/>
        </w:rPr>
        <w:t>2</w:t>
      </w:r>
      <w:r w:rsidRPr="00FC1444">
        <w:rPr>
          <w:rFonts w:eastAsiaTheme="minorEastAsia"/>
          <w:sz w:val="24"/>
        </w:rPr>
        <w:t>）本项目合理开采地下水资源，严格执行灌溉制度，采取节水灌溉措施，提高水资源的利用率，通过管道输水、田间滴灌，最大限度的利用水资源。防止地下水超采。</w:t>
      </w:r>
      <w:r w:rsidRPr="00FC1444">
        <w:rPr>
          <w:rFonts w:eastAsiaTheme="minorEastAsia"/>
          <w:bCs/>
          <w:sz w:val="24"/>
        </w:rPr>
        <w:t>本次改造后，通过加强管理，</w:t>
      </w:r>
      <w:r w:rsidRPr="00FC1444">
        <w:rPr>
          <w:rFonts w:eastAsiaTheme="minorEastAsia"/>
          <w:sz w:val="24"/>
        </w:rPr>
        <w:t>施行</w:t>
      </w:r>
      <w:r w:rsidRPr="00FC1444">
        <w:rPr>
          <w:rFonts w:eastAsiaTheme="minorEastAsia"/>
          <w:sz w:val="24"/>
        </w:rPr>
        <w:t>“</w:t>
      </w:r>
      <w:r w:rsidRPr="00FC1444">
        <w:rPr>
          <w:rFonts w:eastAsiaTheme="minorEastAsia"/>
          <w:sz w:val="24"/>
        </w:rPr>
        <w:t>三减</w:t>
      </w:r>
      <w:r w:rsidRPr="00FC1444">
        <w:rPr>
          <w:rFonts w:eastAsiaTheme="minorEastAsia"/>
          <w:sz w:val="24"/>
        </w:rPr>
        <w:t>”</w:t>
      </w:r>
      <w:r w:rsidRPr="00FC1444">
        <w:rPr>
          <w:rFonts w:eastAsiaTheme="minorEastAsia"/>
          <w:sz w:val="24"/>
        </w:rPr>
        <w:t>行动，即减化肥、减农药、减除草剂，</w:t>
      </w:r>
      <w:r w:rsidRPr="00FC1444">
        <w:rPr>
          <w:rFonts w:eastAsiaTheme="minorEastAsia"/>
          <w:bCs/>
          <w:sz w:val="24"/>
        </w:rPr>
        <w:t>削减化肥和化学农药用量，增加有机肥、复合肥以及生物农药和高效低毒低残留农药的施用量。采取测土配方施肥、水肥一体化措施，防止农药、化肥污染地下水体。合理安排施肥、施药时间，减轻对地下水环境的污染。</w:t>
      </w:r>
    </w:p>
    <w:p w:rsidR="002A5A5E" w:rsidRPr="00FC1444" w:rsidRDefault="00611CBA">
      <w:pPr>
        <w:spacing w:line="360" w:lineRule="auto"/>
        <w:ind w:firstLine="482"/>
        <w:rPr>
          <w:rFonts w:eastAsiaTheme="minorEastAsia"/>
          <w:sz w:val="24"/>
        </w:rPr>
      </w:pPr>
      <w:r w:rsidRPr="00FC1444">
        <w:rPr>
          <w:rFonts w:eastAsiaTheme="minorEastAsia"/>
          <w:sz w:val="24"/>
        </w:rPr>
        <w:t>综上所述，项目对地表水、地下水环境产生影响较小。</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6.2.3</w:t>
      </w:r>
      <w:r w:rsidRPr="00FC1444">
        <w:rPr>
          <w:rFonts w:eastAsiaTheme="minorEastAsia"/>
          <w:b/>
          <w:sz w:val="28"/>
          <w:szCs w:val="28"/>
        </w:rPr>
        <w:t>声环境保护措施及其可行性论证</w:t>
      </w:r>
    </w:p>
    <w:p w:rsidR="002A5A5E" w:rsidRPr="00FC1444" w:rsidRDefault="00611CBA">
      <w:pPr>
        <w:spacing w:line="360" w:lineRule="auto"/>
        <w:ind w:firstLineChars="200" w:firstLine="480"/>
        <w:contextualSpacing/>
        <w:rPr>
          <w:rFonts w:eastAsiaTheme="minorEastAsia"/>
          <w:bCs/>
          <w:sz w:val="24"/>
        </w:rPr>
      </w:pPr>
      <w:r w:rsidRPr="00FC1444">
        <w:rPr>
          <w:rFonts w:eastAsiaTheme="minorEastAsia"/>
          <w:bCs/>
          <w:sz w:val="24"/>
        </w:rPr>
        <w:t>（</w:t>
      </w:r>
      <w:r w:rsidRPr="00FC1444">
        <w:rPr>
          <w:rFonts w:eastAsiaTheme="minorEastAsia"/>
          <w:bCs/>
          <w:sz w:val="24"/>
        </w:rPr>
        <w:t>1</w:t>
      </w:r>
      <w:r w:rsidRPr="00FC1444">
        <w:rPr>
          <w:rFonts w:eastAsiaTheme="minorEastAsia"/>
          <w:bCs/>
          <w:sz w:val="24"/>
        </w:rPr>
        <w:t>）灌溉井泵类等噪声</w:t>
      </w:r>
    </w:p>
    <w:p w:rsidR="002A5A5E" w:rsidRPr="00FC1444" w:rsidRDefault="00611CBA">
      <w:pPr>
        <w:pStyle w:val="afffffffff3"/>
        <w:spacing w:line="360" w:lineRule="auto"/>
        <w:ind w:firstLineChars="200" w:firstLine="480"/>
        <w:textAlignment w:val="center"/>
        <w:rPr>
          <w:rFonts w:eastAsiaTheme="minorEastAsia"/>
          <w:sz w:val="24"/>
          <w:szCs w:val="24"/>
        </w:rPr>
      </w:pPr>
      <w:r w:rsidRPr="00FC1444">
        <w:rPr>
          <w:rFonts w:eastAsiaTheme="minorEastAsia"/>
          <w:sz w:val="24"/>
          <w:szCs w:val="24"/>
        </w:rPr>
        <w:lastRenderedPageBreak/>
        <w:t>潜水泵、</w:t>
      </w:r>
      <w:r w:rsidR="00A4540D" w:rsidRPr="00FC1444">
        <w:rPr>
          <w:rFonts w:eastAsiaTheme="minorEastAsia"/>
          <w:sz w:val="24"/>
          <w:szCs w:val="24"/>
        </w:rPr>
        <w:t>水肥一体化设备</w:t>
      </w:r>
      <w:r w:rsidRPr="00FC1444">
        <w:rPr>
          <w:rFonts w:eastAsiaTheme="minorEastAsia"/>
          <w:sz w:val="24"/>
          <w:szCs w:val="24"/>
        </w:rPr>
        <w:t>位于井房内，</w:t>
      </w:r>
      <w:r w:rsidRPr="00FC1444">
        <w:rPr>
          <w:rFonts w:eastAsiaTheme="minorEastAsia"/>
          <w:sz w:val="24"/>
        </w:rPr>
        <w:t>能够有效的阻隔声传播，</w:t>
      </w:r>
      <w:r w:rsidRPr="00FC1444">
        <w:rPr>
          <w:rFonts w:eastAsiaTheme="minorEastAsia"/>
          <w:sz w:val="24"/>
          <w:szCs w:val="24"/>
        </w:rPr>
        <w:t>潜水泵位于地下，潜水泵、</w:t>
      </w:r>
      <w:r w:rsidR="00A4540D" w:rsidRPr="00FC1444">
        <w:rPr>
          <w:rFonts w:eastAsiaTheme="minorEastAsia"/>
          <w:sz w:val="24"/>
          <w:szCs w:val="24"/>
        </w:rPr>
        <w:t>水肥一体化设备</w:t>
      </w:r>
      <w:r w:rsidRPr="00FC1444">
        <w:rPr>
          <w:rFonts w:eastAsiaTheme="minorEastAsia"/>
          <w:sz w:val="24"/>
          <w:szCs w:val="24"/>
        </w:rPr>
        <w:t>采取减振措施，项目灌溉为间歇灌溉，且有抗旱作用，对周围居民影响可接受。</w:t>
      </w:r>
      <w:r w:rsidRPr="00FC1444">
        <w:rPr>
          <w:rFonts w:eastAsiaTheme="minorEastAsia"/>
          <w:sz w:val="24"/>
        </w:rPr>
        <w:t>喷灌设备一般设置于耕地内，距离居民较远，再经距离衰减，能够有效的降低泵类对周围环境影响。排水沟仅在降水无法排出情况下采用柴油机移动泵车进行排水，柴油机移动泵车及</w:t>
      </w:r>
      <w:r w:rsidR="00716701" w:rsidRPr="00FC1444">
        <w:rPr>
          <w:rFonts w:eastAsiaTheme="minorEastAsia"/>
          <w:sz w:val="24"/>
        </w:rPr>
        <w:t>施肥机</w:t>
      </w:r>
      <w:r w:rsidRPr="00FC1444">
        <w:rPr>
          <w:rFonts w:eastAsiaTheme="minorEastAsia"/>
          <w:sz w:val="24"/>
        </w:rPr>
        <w:t>使用时间较短，且布局在耕地内，远离居民，影响较小。</w:t>
      </w:r>
      <w:r w:rsidRPr="00FC1444">
        <w:rPr>
          <w:rFonts w:eastAsiaTheme="minorEastAsia"/>
          <w:sz w:val="24"/>
          <w:szCs w:val="24"/>
        </w:rPr>
        <w:t>变压器基础减振，产生影响较小。</w:t>
      </w:r>
    </w:p>
    <w:p w:rsidR="002A5A5E" w:rsidRPr="00FC1444" w:rsidRDefault="00611CBA">
      <w:pPr>
        <w:spacing w:line="360" w:lineRule="auto"/>
        <w:ind w:firstLineChars="200" w:firstLine="480"/>
        <w:contextualSpacing/>
        <w:rPr>
          <w:rFonts w:eastAsiaTheme="minorEastAsia"/>
          <w:bCs/>
          <w:sz w:val="24"/>
        </w:rPr>
      </w:pPr>
      <w:r w:rsidRPr="00FC1444">
        <w:rPr>
          <w:rFonts w:eastAsiaTheme="minorEastAsia"/>
          <w:bCs/>
          <w:sz w:val="24"/>
        </w:rPr>
        <w:t>（</w:t>
      </w:r>
      <w:r w:rsidRPr="00FC1444">
        <w:rPr>
          <w:rFonts w:eastAsiaTheme="minorEastAsia"/>
          <w:bCs/>
          <w:sz w:val="24"/>
        </w:rPr>
        <w:t>2</w:t>
      </w:r>
      <w:r w:rsidRPr="00FC1444">
        <w:rPr>
          <w:rFonts w:eastAsiaTheme="minorEastAsia"/>
          <w:bCs/>
          <w:sz w:val="24"/>
        </w:rPr>
        <w:t>）机动车辆产生的交通噪声</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机动车辆产生的噪声为流动不稳态声源，临近敏感目标的道路处设置限速、禁鸣标识，能够有效降低机动车辆产生的噪声。</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综上所述，本项目采取上述防噪措施后，噪声对周围环境影响较小，井房厂界噪声能够满足《</w:t>
      </w:r>
      <w:r w:rsidR="00E67573" w:rsidRPr="00FC1444">
        <w:rPr>
          <w:rFonts w:eastAsiaTheme="minorEastAsia"/>
          <w:sz w:val="24"/>
        </w:rPr>
        <w:t>工业企业厂界环境噪声排放标准</w:t>
      </w:r>
      <w:r w:rsidRPr="00FC1444">
        <w:rPr>
          <w:rFonts w:eastAsiaTheme="minorEastAsia"/>
          <w:sz w:val="24"/>
        </w:rPr>
        <w:t>》</w:t>
      </w:r>
      <w:r w:rsidRPr="00FC1444">
        <w:rPr>
          <w:rFonts w:eastAsiaTheme="minorEastAsia"/>
          <w:sz w:val="24"/>
        </w:rPr>
        <w:t>(GB12348-2008)</w:t>
      </w:r>
      <w:r w:rsidRPr="00FC1444">
        <w:rPr>
          <w:rFonts w:eastAsiaTheme="minorEastAsia"/>
          <w:sz w:val="24"/>
        </w:rPr>
        <w:t>表</w:t>
      </w:r>
      <w:r w:rsidRPr="00FC1444">
        <w:rPr>
          <w:rFonts w:eastAsiaTheme="minorEastAsia"/>
          <w:sz w:val="24"/>
        </w:rPr>
        <w:t>1</w:t>
      </w:r>
      <w:r w:rsidRPr="00FC1444">
        <w:rPr>
          <w:rFonts w:eastAsiaTheme="minorEastAsia"/>
          <w:sz w:val="24"/>
        </w:rPr>
        <w:t>中</w:t>
      </w:r>
      <w:r w:rsidRPr="00FC1444">
        <w:rPr>
          <w:rFonts w:eastAsiaTheme="minorEastAsia"/>
          <w:sz w:val="24"/>
        </w:rPr>
        <w:t>1</w:t>
      </w:r>
      <w:r w:rsidRPr="00FC1444">
        <w:rPr>
          <w:rFonts w:eastAsiaTheme="minorEastAsia"/>
          <w:sz w:val="24"/>
        </w:rPr>
        <w:t>类标准要求。敏感点叠加值满足《声环境质量标准》（</w:t>
      </w:r>
      <w:r w:rsidRPr="00FC1444">
        <w:rPr>
          <w:rFonts w:eastAsiaTheme="minorEastAsia"/>
          <w:sz w:val="24"/>
        </w:rPr>
        <w:t>GB3096-2008</w:t>
      </w:r>
      <w:r w:rsidRPr="00FC1444">
        <w:rPr>
          <w:rFonts w:eastAsiaTheme="minorEastAsia"/>
          <w:sz w:val="24"/>
        </w:rPr>
        <w:t>）中</w:t>
      </w:r>
      <w:r w:rsidRPr="00FC1444">
        <w:rPr>
          <w:rFonts w:eastAsiaTheme="minorEastAsia"/>
          <w:sz w:val="24"/>
        </w:rPr>
        <w:t>1</w:t>
      </w:r>
      <w:r w:rsidRPr="00FC1444">
        <w:rPr>
          <w:rFonts w:eastAsiaTheme="minorEastAsia"/>
          <w:sz w:val="24"/>
        </w:rPr>
        <w:t>类标准。</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6.2.4</w:t>
      </w:r>
      <w:r w:rsidRPr="00FC1444">
        <w:rPr>
          <w:rFonts w:eastAsiaTheme="minorEastAsia"/>
          <w:b/>
          <w:sz w:val="28"/>
          <w:szCs w:val="28"/>
        </w:rPr>
        <w:t>固体废物污染防治措施及其可行性论证</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本项目运营期产生固体废物主要为秸秆、</w:t>
      </w:r>
      <w:r w:rsidRPr="00FC1444">
        <w:rPr>
          <w:rFonts w:eastAsiaTheme="minorEastAsia"/>
          <w:bCs/>
          <w:sz w:val="24"/>
        </w:rPr>
        <w:t>农药包装物及废肥料包装袋</w:t>
      </w:r>
      <w:r w:rsidRPr="00FC1444">
        <w:rPr>
          <w:rFonts w:eastAsiaTheme="minorEastAsia"/>
          <w:sz w:val="24"/>
        </w:rPr>
        <w:t>。</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bCs/>
          <w:sz w:val="24"/>
        </w:rPr>
        <w:t>高标准农田耕种过程中将会产生农药包装物及废肥料包装袋，依据《农药包装废弃物回收处理管理办法》（中华人民共和国农业农村部</w:t>
      </w:r>
      <w:r w:rsidRPr="00FC1444">
        <w:rPr>
          <w:rFonts w:eastAsiaTheme="minorEastAsia"/>
          <w:bCs/>
          <w:sz w:val="24"/>
        </w:rPr>
        <w:t xml:space="preserve"> </w:t>
      </w:r>
      <w:r w:rsidRPr="00FC1444">
        <w:rPr>
          <w:rFonts w:eastAsiaTheme="minorEastAsia"/>
          <w:bCs/>
          <w:sz w:val="24"/>
        </w:rPr>
        <w:t>生态环境部令</w:t>
      </w:r>
      <w:r w:rsidRPr="00FC1444">
        <w:rPr>
          <w:rFonts w:eastAsiaTheme="minorEastAsia"/>
          <w:bCs/>
          <w:sz w:val="24"/>
        </w:rPr>
        <w:t>2020</w:t>
      </w:r>
      <w:r w:rsidRPr="00FC1444">
        <w:rPr>
          <w:rFonts w:eastAsiaTheme="minorEastAsia"/>
          <w:bCs/>
          <w:sz w:val="24"/>
        </w:rPr>
        <w:t>年</w:t>
      </w:r>
      <w:r w:rsidRPr="00FC1444">
        <w:rPr>
          <w:rFonts w:eastAsiaTheme="minorEastAsia"/>
          <w:bCs/>
          <w:sz w:val="24"/>
        </w:rPr>
        <w:t xml:space="preserve"> </w:t>
      </w:r>
      <w:r w:rsidRPr="00FC1444">
        <w:rPr>
          <w:rFonts w:eastAsiaTheme="minorEastAsia"/>
          <w:bCs/>
          <w:sz w:val="24"/>
        </w:rPr>
        <w:t>第</w:t>
      </w:r>
      <w:r w:rsidRPr="00FC1444">
        <w:rPr>
          <w:rFonts w:eastAsiaTheme="minorEastAsia"/>
          <w:bCs/>
          <w:sz w:val="24"/>
        </w:rPr>
        <w:t>6</w:t>
      </w:r>
      <w:r w:rsidRPr="00FC1444">
        <w:rPr>
          <w:rFonts w:eastAsiaTheme="minorEastAsia"/>
          <w:bCs/>
          <w:sz w:val="24"/>
        </w:rPr>
        <w:t>号）以及《国家危险废物名录（</w:t>
      </w:r>
      <w:r w:rsidRPr="00FC1444">
        <w:rPr>
          <w:rFonts w:eastAsiaTheme="minorEastAsia"/>
          <w:bCs/>
          <w:sz w:val="24"/>
        </w:rPr>
        <w:t>2025</w:t>
      </w:r>
      <w:r w:rsidRPr="00FC1444">
        <w:rPr>
          <w:rFonts w:eastAsiaTheme="minorEastAsia"/>
          <w:bCs/>
          <w:sz w:val="24"/>
        </w:rPr>
        <w:t>年版）》危险废物豁免管理清单，农药包装物不按照危险废物管理。</w:t>
      </w:r>
      <w:r w:rsidR="00D33612" w:rsidRPr="00FC1444">
        <w:rPr>
          <w:rFonts w:eastAsiaTheme="minorEastAsia"/>
          <w:sz w:val="24"/>
        </w:rPr>
        <w:t>秸秆、</w:t>
      </w:r>
      <w:r w:rsidR="00D33612" w:rsidRPr="00FC1444">
        <w:rPr>
          <w:rFonts w:eastAsiaTheme="minorEastAsia"/>
          <w:bCs/>
          <w:sz w:val="24"/>
        </w:rPr>
        <w:t>废肥料包</w:t>
      </w:r>
      <w:r w:rsidR="00A05A30" w:rsidRPr="00FC1444">
        <w:rPr>
          <w:rFonts w:eastAsiaTheme="minorEastAsia"/>
          <w:bCs/>
          <w:sz w:val="24"/>
        </w:rPr>
        <w:t>装袋由当地农民负责外售综合利用；农业使用者及时收集农药包装物，</w:t>
      </w:r>
      <w:r w:rsidR="00D33612" w:rsidRPr="00FC1444">
        <w:rPr>
          <w:rFonts w:eastAsiaTheme="minorEastAsia"/>
          <w:bCs/>
          <w:sz w:val="24"/>
        </w:rPr>
        <w:t>交回农药经营者或回收站。</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6.2.5</w:t>
      </w:r>
      <w:r w:rsidRPr="00FC1444">
        <w:rPr>
          <w:rFonts w:eastAsiaTheme="minorEastAsia"/>
          <w:b/>
          <w:sz w:val="28"/>
          <w:szCs w:val="28"/>
        </w:rPr>
        <w:t>电磁环境保护措施及其可行性论证</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在满足变压器设计要求的前提下，保障公众健康，保护周围电磁环境。通过采用防护措施，本项目运营期间，将变压器、配电装置产生的电磁辐射降到最低水平，最大限度的保障公众身体健康。</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6.2.6</w:t>
      </w:r>
      <w:r w:rsidRPr="00FC1444">
        <w:rPr>
          <w:rFonts w:eastAsiaTheme="minorEastAsia"/>
          <w:b/>
          <w:sz w:val="28"/>
          <w:szCs w:val="28"/>
        </w:rPr>
        <w:t>土壤环境保护措施及其可行性论证</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本项目为</w:t>
      </w:r>
      <w:r w:rsidRPr="00FC1444">
        <w:rPr>
          <w:rFonts w:eastAsiaTheme="minorEastAsia"/>
          <w:bCs/>
          <w:kern w:val="0"/>
          <w:sz w:val="24"/>
        </w:rPr>
        <w:t>高标准农田建设项目</w:t>
      </w:r>
      <w:r w:rsidRPr="00FC1444">
        <w:rPr>
          <w:rFonts w:eastAsiaTheme="minorEastAsia"/>
          <w:sz w:val="24"/>
        </w:rPr>
        <w:t>，实施后项目区的农业生产条件将大大改善，</w:t>
      </w:r>
      <w:r w:rsidRPr="00FC1444">
        <w:rPr>
          <w:rFonts w:eastAsiaTheme="minorEastAsia"/>
          <w:sz w:val="24"/>
        </w:rPr>
        <w:lastRenderedPageBreak/>
        <w:t>抵御自然灾害的能力将大幅度提高。</w:t>
      </w:r>
      <w:r w:rsidRPr="00FC1444">
        <w:rPr>
          <w:rFonts w:eastAsiaTheme="minorEastAsia"/>
          <w:bCs/>
          <w:sz w:val="24"/>
        </w:rPr>
        <w:t>本项目合理开采地下水资源，严格执行灌溉制度，采取节水灌溉措施，提高水资源的利用率。</w:t>
      </w:r>
      <w:r w:rsidRPr="00FC1444">
        <w:rPr>
          <w:rFonts w:eastAsiaTheme="minorEastAsia"/>
          <w:sz w:val="24"/>
        </w:rPr>
        <w:t>适度灌溉能够提升土壤肥力及农作物产量，不会造成土壤盐化问题。实施本项目后，对项目区发展生态农业提供了有利条件，能为环境所接受。运营期建设单位定期对土壤环境进行监测。</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项目区地力培肥、土壤保水保肥能力提升措施：优化耕作制度，减少土壤扰动，大力推广有机肥料及生物肥的使用，采用喷灌和滴灌技术，提高水肥利用效率，减少化学肥料对土壤环境产生的不利影响。</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科学、合理使用化肥方式方法：</w:t>
      </w:r>
      <w:r w:rsidRPr="00FC1444">
        <w:rPr>
          <w:rFonts w:eastAsiaTheme="minorEastAsia"/>
          <w:bCs/>
          <w:sz w:val="24"/>
        </w:rPr>
        <w:t>避免盲目、过量、单用、连用化肥，进行平衡施肥，以及根据不同作物和生长季节合理施肥。根据不同区域、不同地块的土壤情况，合理搭配化肥种类和用量，实现平衡施肥。</w:t>
      </w:r>
      <w:r w:rsidRPr="00FC1444">
        <w:rPr>
          <w:rFonts w:eastAsiaTheme="minorEastAsia"/>
          <w:sz w:val="24"/>
        </w:rPr>
        <w:t>大力推广有机肥料及生物肥的使用。</w:t>
      </w:r>
    </w:p>
    <w:p w:rsidR="002A5A5E" w:rsidRPr="00FC1444" w:rsidRDefault="00611CBA">
      <w:pPr>
        <w:keepNext/>
        <w:keepLines/>
        <w:spacing w:before="100" w:beforeAutospacing="1" w:after="100" w:afterAutospacing="1"/>
        <w:outlineLvl w:val="2"/>
        <w:rPr>
          <w:rFonts w:eastAsiaTheme="minorEastAsia"/>
          <w:b/>
          <w:sz w:val="28"/>
          <w:szCs w:val="28"/>
        </w:rPr>
      </w:pPr>
      <w:bookmarkStart w:id="141" w:name="_Toc15991704"/>
      <w:r w:rsidRPr="00FC1444">
        <w:rPr>
          <w:rFonts w:eastAsiaTheme="minorEastAsia"/>
          <w:b/>
          <w:sz w:val="28"/>
          <w:szCs w:val="28"/>
        </w:rPr>
        <w:t>6.2.7</w:t>
      </w:r>
      <w:r w:rsidRPr="00FC1444">
        <w:rPr>
          <w:rFonts w:eastAsiaTheme="minorEastAsia"/>
          <w:b/>
          <w:sz w:val="28"/>
          <w:szCs w:val="28"/>
        </w:rPr>
        <w:t>风险防范措施</w:t>
      </w:r>
      <w:bookmarkEnd w:id="141"/>
    </w:p>
    <w:p w:rsidR="002A5A5E" w:rsidRPr="00FC1444" w:rsidRDefault="00611CBA">
      <w:pPr>
        <w:spacing w:line="360" w:lineRule="auto"/>
        <w:ind w:firstLineChars="200" w:firstLine="480"/>
        <w:rPr>
          <w:rFonts w:eastAsiaTheme="minorEastAsia"/>
          <w:sz w:val="24"/>
          <w:szCs w:val="20"/>
        </w:rPr>
      </w:pPr>
      <w:r w:rsidRPr="00FC1444">
        <w:rPr>
          <w:rFonts w:eastAsiaTheme="minorEastAsia"/>
          <w:sz w:val="24"/>
          <w:szCs w:val="20"/>
        </w:rPr>
        <w:t>本项目</w:t>
      </w:r>
      <w:r w:rsidRPr="00FC1444">
        <w:rPr>
          <w:rFonts w:eastAsiaTheme="minorEastAsia"/>
          <w:bCs/>
          <w:sz w:val="24"/>
          <w:szCs w:val="20"/>
        </w:rPr>
        <w:t>柴油机移动泵车</w:t>
      </w:r>
      <w:r w:rsidRPr="00FC1444">
        <w:rPr>
          <w:rFonts w:eastAsiaTheme="minorEastAsia"/>
          <w:sz w:val="24"/>
          <w:szCs w:val="20"/>
        </w:rPr>
        <w:t>油箱密闭，不使用时于村内暂存，暂存处地面设置重点防渗（等效黏土防渗层</w:t>
      </w:r>
      <w:r w:rsidRPr="00FC1444">
        <w:rPr>
          <w:rFonts w:eastAsiaTheme="minorEastAsia"/>
          <w:sz w:val="24"/>
          <w:szCs w:val="20"/>
        </w:rPr>
        <w:t>Mb≥6.0m</w:t>
      </w:r>
      <w:r w:rsidRPr="00FC1444">
        <w:rPr>
          <w:rFonts w:eastAsiaTheme="minorEastAsia"/>
          <w:sz w:val="24"/>
          <w:szCs w:val="20"/>
        </w:rPr>
        <w:t>，渗透系数</w:t>
      </w:r>
      <w:r w:rsidRPr="00FC1444">
        <w:rPr>
          <w:rFonts w:eastAsiaTheme="minorEastAsia"/>
          <w:sz w:val="24"/>
          <w:szCs w:val="20"/>
        </w:rPr>
        <w:t>K≤1.0×10</w:t>
      </w:r>
      <w:r w:rsidRPr="00FC1444">
        <w:rPr>
          <w:rFonts w:eastAsiaTheme="minorEastAsia"/>
          <w:sz w:val="24"/>
          <w:szCs w:val="20"/>
          <w:vertAlign w:val="superscript"/>
        </w:rPr>
        <w:t>-7</w:t>
      </w:r>
      <w:r w:rsidRPr="00FC1444">
        <w:rPr>
          <w:rFonts w:eastAsiaTheme="minorEastAsia"/>
          <w:sz w:val="24"/>
          <w:szCs w:val="20"/>
        </w:rPr>
        <w:t>cm/s</w:t>
      </w:r>
      <w:r w:rsidRPr="00FC1444">
        <w:rPr>
          <w:rFonts w:eastAsiaTheme="minorEastAsia"/>
          <w:sz w:val="24"/>
          <w:szCs w:val="20"/>
        </w:rPr>
        <w:t>），正常情况下不会泄漏，若发生泄漏事故，属于小范围污染，立即用沙土进行掩埋，产生的含油沙土送有资质单位。</w:t>
      </w:r>
    </w:p>
    <w:p w:rsidR="002A5A5E" w:rsidRPr="00FC1444" w:rsidRDefault="00611CBA">
      <w:pPr>
        <w:spacing w:line="360" w:lineRule="auto"/>
        <w:ind w:firstLineChars="200" w:firstLine="480"/>
        <w:rPr>
          <w:rFonts w:eastAsiaTheme="minorEastAsia"/>
          <w:sz w:val="24"/>
          <w:szCs w:val="20"/>
        </w:rPr>
      </w:pPr>
      <w:r w:rsidRPr="00FC1444">
        <w:rPr>
          <w:rFonts w:eastAsiaTheme="minorEastAsia"/>
          <w:sz w:val="24"/>
        </w:rPr>
        <w:t>定期巡检，重点检查变压器油箱密封性（有无裂缝、接口渗漏）、油位刻度（判断是否存在异常泄漏），发现变压器油泄漏应立即停止此变压器运行，</w:t>
      </w:r>
      <w:r w:rsidRPr="00FC1444">
        <w:rPr>
          <w:rFonts w:eastAsiaTheme="minorEastAsia"/>
          <w:sz w:val="24"/>
          <w:szCs w:val="20"/>
        </w:rPr>
        <w:t>属于小范围污染，立即用沙土进行掩埋，产生的含油沙土及</w:t>
      </w:r>
      <w:r w:rsidRPr="00FC1444">
        <w:rPr>
          <w:rFonts w:eastAsiaTheme="minorEastAsia"/>
          <w:sz w:val="24"/>
        </w:rPr>
        <w:t>泄漏物</w:t>
      </w:r>
      <w:r w:rsidRPr="00FC1444">
        <w:rPr>
          <w:rFonts w:eastAsiaTheme="minorEastAsia"/>
          <w:sz w:val="24"/>
          <w:szCs w:val="20"/>
        </w:rPr>
        <w:t>交由资质单位处置进行运输和处置。</w:t>
      </w:r>
    </w:p>
    <w:p w:rsidR="002A5A5E" w:rsidRPr="00FC1444" w:rsidRDefault="00611CBA">
      <w:pPr>
        <w:spacing w:line="360" w:lineRule="auto"/>
        <w:ind w:firstLineChars="200" w:firstLine="480"/>
        <w:rPr>
          <w:rFonts w:eastAsiaTheme="minorEastAsia"/>
          <w:sz w:val="24"/>
          <w:szCs w:val="20"/>
        </w:rPr>
      </w:pPr>
      <w:r w:rsidRPr="00FC1444">
        <w:rPr>
          <w:rFonts w:eastAsiaTheme="minorEastAsia"/>
          <w:sz w:val="24"/>
          <w:szCs w:val="20"/>
        </w:rPr>
        <w:t>通过采取应急措施后本项目环境风险影响可接受。加强巡视及管理并制定环境风险应急预案。</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6.2.8</w:t>
      </w:r>
      <w:r w:rsidRPr="00FC1444">
        <w:rPr>
          <w:rFonts w:eastAsiaTheme="minorEastAsia"/>
          <w:b/>
          <w:sz w:val="28"/>
          <w:szCs w:val="28"/>
        </w:rPr>
        <w:t>生态环境保护措施及其可行性论证</w:t>
      </w:r>
    </w:p>
    <w:p w:rsidR="002A5A5E" w:rsidRPr="00FC1444" w:rsidRDefault="00611CBA">
      <w:pPr>
        <w:spacing w:line="360" w:lineRule="auto"/>
        <w:ind w:firstLineChars="200" w:firstLine="480"/>
        <w:rPr>
          <w:rFonts w:eastAsiaTheme="minorEastAsia"/>
          <w:bCs/>
          <w:kern w:val="0"/>
          <w:sz w:val="24"/>
        </w:rPr>
      </w:pPr>
      <w:r w:rsidRPr="00FC1444">
        <w:rPr>
          <w:rFonts w:eastAsiaTheme="minorEastAsia"/>
          <w:bCs/>
          <w:kern w:val="0"/>
          <w:sz w:val="24"/>
        </w:rPr>
        <w:t>本项目为高标准农田建设项目，农田生态系统依赖于人的管理，其主要功能为提供农产品，高标准农田建设有利于进一步发挥它的生态体系功能。</w:t>
      </w:r>
    </w:p>
    <w:p w:rsidR="002A5A5E" w:rsidRPr="00FC1444" w:rsidRDefault="00611CBA">
      <w:pPr>
        <w:spacing w:line="360" w:lineRule="auto"/>
        <w:ind w:firstLineChars="200" w:firstLine="480"/>
        <w:rPr>
          <w:rFonts w:eastAsiaTheme="minorEastAsia"/>
          <w:bCs/>
          <w:kern w:val="0"/>
          <w:sz w:val="24"/>
        </w:rPr>
      </w:pPr>
      <w:r w:rsidRPr="00FC1444">
        <w:rPr>
          <w:rFonts w:eastAsiaTheme="minorEastAsia"/>
          <w:bCs/>
          <w:kern w:val="0"/>
          <w:sz w:val="24"/>
        </w:rPr>
        <w:t>根据已批复《</w:t>
      </w:r>
      <w:r w:rsidR="00AE168C" w:rsidRPr="00FC1444">
        <w:rPr>
          <w:rFonts w:eastAsiaTheme="minorEastAsia"/>
          <w:bCs/>
          <w:kern w:val="0"/>
          <w:sz w:val="24"/>
        </w:rPr>
        <w:t>北林区</w:t>
      </w:r>
      <w:r w:rsidR="00AE168C" w:rsidRPr="00FC1444">
        <w:rPr>
          <w:rFonts w:eastAsiaTheme="minorEastAsia"/>
          <w:bCs/>
          <w:kern w:val="0"/>
          <w:sz w:val="24"/>
        </w:rPr>
        <w:t>2026</w:t>
      </w:r>
      <w:r w:rsidR="00AE168C" w:rsidRPr="00FC1444">
        <w:rPr>
          <w:rFonts w:eastAsiaTheme="minorEastAsia"/>
          <w:bCs/>
          <w:kern w:val="0"/>
          <w:sz w:val="24"/>
        </w:rPr>
        <w:t>年高标准农田建设项目</w:t>
      </w:r>
      <w:r w:rsidRPr="00FC1444">
        <w:rPr>
          <w:rFonts w:eastAsiaTheme="minorEastAsia"/>
          <w:bCs/>
          <w:kern w:val="0"/>
          <w:sz w:val="24"/>
        </w:rPr>
        <w:t>水资源论证报告书》预测</w:t>
      </w:r>
      <w:r w:rsidRPr="00FC1444">
        <w:rPr>
          <w:rFonts w:eastAsiaTheme="minorEastAsia"/>
          <w:bCs/>
          <w:kern w:val="0"/>
          <w:sz w:val="24"/>
        </w:rPr>
        <w:lastRenderedPageBreak/>
        <w:t>结果，本项目灌溉井井群连续开采最大水位降深为</w:t>
      </w:r>
      <w:r w:rsidR="00400760" w:rsidRPr="00FC1444">
        <w:rPr>
          <w:rFonts w:eastAsiaTheme="minorEastAsia"/>
          <w:bCs/>
          <w:kern w:val="0"/>
          <w:sz w:val="24"/>
        </w:rPr>
        <w:t>0.016</w:t>
      </w:r>
      <w:r w:rsidR="00400760" w:rsidRPr="00FC1444">
        <w:rPr>
          <w:rFonts w:eastAsiaTheme="minorEastAsia"/>
          <w:bCs/>
          <w:kern w:val="0"/>
          <w:sz w:val="24"/>
        </w:rPr>
        <w:t>～</w:t>
      </w:r>
      <w:r w:rsidR="00400760" w:rsidRPr="00FC1444">
        <w:rPr>
          <w:rFonts w:eastAsiaTheme="minorEastAsia"/>
          <w:bCs/>
          <w:kern w:val="0"/>
          <w:sz w:val="24"/>
        </w:rPr>
        <w:t>0.021m</w:t>
      </w:r>
      <w:r w:rsidRPr="00FC1444">
        <w:rPr>
          <w:rFonts w:eastAsiaTheme="minorEastAsia"/>
          <w:bCs/>
          <w:kern w:val="0"/>
          <w:sz w:val="24"/>
        </w:rPr>
        <w:t>，</w:t>
      </w:r>
      <w:r w:rsidR="00FD6E06" w:rsidRPr="00FC1444">
        <w:rPr>
          <w:rFonts w:eastAsiaTheme="minorEastAsia"/>
          <w:bCs/>
          <w:kern w:val="0"/>
          <w:sz w:val="24"/>
        </w:rPr>
        <w:t>小于</w:t>
      </w:r>
      <w:r w:rsidR="00FD6E06" w:rsidRPr="00FC1444">
        <w:rPr>
          <w:rFonts w:eastAsiaTheme="minorEastAsia"/>
          <w:bCs/>
          <w:kern w:val="0"/>
          <w:sz w:val="24"/>
        </w:rPr>
        <w:t>0.1m</w:t>
      </w:r>
      <w:r w:rsidRPr="00FC1444">
        <w:rPr>
          <w:rFonts w:eastAsiaTheme="minorEastAsia"/>
          <w:bCs/>
          <w:kern w:val="0"/>
          <w:sz w:val="24"/>
        </w:rPr>
        <w:t>，小于含水层厚度</w:t>
      </w:r>
      <w:r w:rsidRPr="00FC1444">
        <w:rPr>
          <w:rFonts w:eastAsiaTheme="minorEastAsia"/>
          <w:bCs/>
          <w:kern w:val="0"/>
          <w:sz w:val="24"/>
        </w:rPr>
        <w:t>30m</w:t>
      </w:r>
      <w:r w:rsidRPr="00FC1444">
        <w:rPr>
          <w:rFonts w:eastAsiaTheme="minorEastAsia"/>
          <w:bCs/>
          <w:kern w:val="0"/>
          <w:sz w:val="24"/>
        </w:rPr>
        <w:t>的三分之一，故项目取水造成的地下水水位降深在允许范围内。项目实际开采为非持续性，且开采期为每年的</w:t>
      </w:r>
      <w:r w:rsidRPr="00FC1444">
        <w:rPr>
          <w:rFonts w:eastAsiaTheme="minorEastAsia"/>
          <w:bCs/>
          <w:kern w:val="0"/>
          <w:sz w:val="24"/>
        </w:rPr>
        <w:t>5-7</w:t>
      </w:r>
      <w:r w:rsidRPr="00FC1444">
        <w:rPr>
          <w:rFonts w:eastAsiaTheme="minorEastAsia"/>
          <w:bCs/>
          <w:kern w:val="0"/>
          <w:sz w:val="24"/>
        </w:rPr>
        <w:t>月，随着</w:t>
      </w:r>
      <w:r w:rsidRPr="00FC1444">
        <w:rPr>
          <w:rFonts w:eastAsiaTheme="minorEastAsia"/>
          <w:bCs/>
          <w:kern w:val="0"/>
          <w:sz w:val="24"/>
        </w:rPr>
        <w:t>7</w:t>
      </w:r>
      <w:r w:rsidRPr="00FC1444">
        <w:rPr>
          <w:rFonts w:eastAsiaTheme="minorEastAsia"/>
          <w:bCs/>
          <w:kern w:val="0"/>
          <w:sz w:val="24"/>
        </w:rPr>
        <w:t>月份丰水期的到来，以丰补歉，项目取水水源地所在区域含水层厚度较大，富水性较好，项目取水对区域地下水影响较小。故不会对土壤结构造成破坏，不会引起干化、沙化等问题。对陆生生态产生影响较小。</w:t>
      </w:r>
    </w:p>
    <w:p w:rsidR="002A5A5E" w:rsidRPr="00FC1444" w:rsidRDefault="00611CBA">
      <w:pPr>
        <w:spacing w:line="360" w:lineRule="auto"/>
        <w:ind w:firstLineChars="200" w:firstLine="480"/>
        <w:rPr>
          <w:rFonts w:eastAsiaTheme="minorEastAsia"/>
          <w:smallCaps/>
          <w:sz w:val="24"/>
        </w:rPr>
      </w:pPr>
      <w:r w:rsidRPr="00FC1444">
        <w:rPr>
          <w:rFonts w:eastAsiaTheme="minorEastAsia"/>
          <w:smallCaps/>
          <w:sz w:val="24"/>
        </w:rPr>
        <w:t>项目区以农田生态系统为主，已形成多年，本项目不新增农田面积，不新开垦林地、草地、湿地等，项目建成后区域仍以农田生态系统为主。灌区建设多年，区域水生生态系统经过长时间的演替，已形成稳定的适合现有鱼类及水生生物生长繁殖的生境和生态系统。</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mallCaps/>
          <w:sz w:val="24"/>
        </w:rPr>
        <w:t>由于工程的实施，</w:t>
      </w:r>
      <w:r w:rsidRPr="00FC1444">
        <w:rPr>
          <w:rFonts w:eastAsiaTheme="minorEastAsia"/>
          <w:kern w:val="0"/>
          <w:sz w:val="24"/>
          <w:szCs w:val="21"/>
        </w:rPr>
        <w:t>减少渠道上的</w:t>
      </w:r>
      <w:r w:rsidRPr="00FC1444">
        <w:rPr>
          <w:rFonts w:eastAsiaTheme="minorEastAsia"/>
          <w:kern w:val="0"/>
          <w:sz w:val="24"/>
          <w:szCs w:val="21"/>
        </w:rPr>
        <w:t>“</w:t>
      </w:r>
      <w:r w:rsidRPr="00FC1444">
        <w:rPr>
          <w:rFonts w:eastAsiaTheme="minorEastAsia"/>
          <w:kern w:val="0"/>
          <w:sz w:val="24"/>
          <w:szCs w:val="21"/>
        </w:rPr>
        <w:t>跑、漏、冒</w:t>
      </w:r>
      <w:r w:rsidRPr="00FC1444">
        <w:rPr>
          <w:rFonts w:eastAsiaTheme="minorEastAsia"/>
          <w:kern w:val="0"/>
          <w:sz w:val="24"/>
          <w:szCs w:val="21"/>
        </w:rPr>
        <w:t>”</w:t>
      </w:r>
      <w:r w:rsidRPr="00FC1444">
        <w:rPr>
          <w:rFonts w:eastAsiaTheme="minorEastAsia"/>
          <w:kern w:val="0"/>
          <w:sz w:val="24"/>
          <w:szCs w:val="21"/>
        </w:rPr>
        <w:t>水现象，减少灌区引水量，</w:t>
      </w:r>
      <w:r w:rsidRPr="00FC1444">
        <w:rPr>
          <w:rFonts w:eastAsiaTheme="minorEastAsia"/>
          <w:sz w:val="24"/>
        </w:rPr>
        <w:t>节约了水资源，提升水资源利用效率。</w:t>
      </w:r>
      <w:r w:rsidRPr="00FC1444">
        <w:rPr>
          <w:rFonts w:eastAsiaTheme="minorEastAsia"/>
          <w:smallCaps/>
          <w:sz w:val="24"/>
        </w:rPr>
        <w:t>工程实施前后取水量、退水量、</w:t>
      </w:r>
      <w:r w:rsidRPr="00FC1444">
        <w:rPr>
          <w:rFonts w:eastAsiaTheme="minorEastAsia"/>
          <w:kern w:val="0"/>
          <w:sz w:val="24"/>
          <w:szCs w:val="21"/>
        </w:rPr>
        <w:t>污染物入河量</w:t>
      </w:r>
      <w:r w:rsidRPr="00FC1444">
        <w:rPr>
          <w:rFonts w:eastAsiaTheme="minorEastAsia"/>
          <w:smallCaps/>
          <w:sz w:val="24"/>
        </w:rPr>
        <w:t>均减少，对区域水文情势、鱼类栖息及繁殖、浮游生物、底栖动物、水生维管束植物产生有利影响。</w:t>
      </w:r>
      <w:r w:rsidRPr="00FC1444">
        <w:rPr>
          <w:rFonts w:eastAsiaTheme="minorEastAsia"/>
          <w:snapToGrid w:val="0"/>
          <w:sz w:val="24"/>
        </w:rPr>
        <w:t>农田排水集中在</w:t>
      </w:r>
      <w:r w:rsidRPr="00FC1444">
        <w:rPr>
          <w:rFonts w:eastAsiaTheme="minorEastAsia"/>
          <w:snapToGrid w:val="0"/>
          <w:sz w:val="24"/>
        </w:rPr>
        <w:t>5</w:t>
      </w:r>
      <w:r w:rsidRPr="00FC1444">
        <w:rPr>
          <w:rFonts w:eastAsiaTheme="minorEastAsia"/>
          <w:snapToGrid w:val="0"/>
          <w:sz w:val="24"/>
        </w:rPr>
        <w:t>～</w:t>
      </w:r>
      <w:r w:rsidRPr="00FC1444">
        <w:rPr>
          <w:rFonts w:eastAsiaTheme="minorEastAsia"/>
          <w:snapToGrid w:val="0"/>
          <w:sz w:val="24"/>
        </w:rPr>
        <w:t>9</w:t>
      </w:r>
      <w:r w:rsidRPr="00FC1444">
        <w:rPr>
          <w:rFonts w:eastAsiaTheme="minorEastAsia"/>
          <w:snapToGrid w:val="0"/>
          <w:sz w:val="24"/>
        </w:rPr>
        <w:t>月份，正值丰水期，</w:t>
      </w:r>
      <w:r w:rsidR="00B526E5" w:rsidRPr="00FC1444">
        <w:rPr>
          <w:rFonts w:eastAsiaTheme="minorEastAsia"/>
          <w:sz w:val="24"/>
        </w:rPr>
        <w:t>津河、呼兰河、努敏河</w:t>
      </w:r>
      <w:r w:rsidRPr="00FC1444">
        <w:rPr>
          <w:rFonts w:eastAsiaTheme="minorEastAsia"/>
          <w:snapToGrid w:val="0"/>
          <w:sz w:val="24"/>
        </w:rPr>
        <w:t>水量充沛，进入水体的污染物将不同程度的被稀释和降解，对水质影响较小。</w:t>
      </w:r>
      <w:r w:rsidRPr="00FC1444">
        <w:rPr>
          <w:rFonts w:eastAsiaTheme="minorEastAsia"/>
          <w:sz w:val="24"/>
        </w:rPr>
        <w:t>项目施行</w:t>
      </w:r>
      <w:r w:rsidRPr="00FC1444">
        <w:rPr>
          <w:rFonts w:eastAsiaTheme="minorEastAsia"/>
          <w:sz w:val="24"/>
        </w:rPr>
        <w:t>“</w:t>
      </w:r>
      <w:r w:rsidRPr="00FC1444">
        <w:rPr>
          <w:rFonts w:eastAsiaTheme="minorEastAsia"/>
          <w:sz w:val="24"/>
        </w:rPr>
        <w:t>三减</w:t>
      </w:r>
      <w:r w:rsidRPr="00FC1444">
        <w:rPr>
          <w:rFonts w:eastAsiaTheme="minorEastAsia"/>
          <w:sz w:val="24"/>
        </w:rPr>
        <w:t>”</w:t>
      </w:r>
      <w:r w:rsidRPr="00FC1444">
        <w:rPr>
          <w:rFonts w:eastAsiaTheme="minorEastAsia"/>
          <w:sz w:val="24"/>
        </w:rPr>
        <w:t>行动，即减化肥、减农药、减除草剂，积极推广科学施肥，使化肥、农药实现减量化施用，提出测土配方施肥、水肥一体化、控制农药与化肥施用种类及数量措施，</w:t>
      </w:r>
      <w:r w:rsidRPr="00FC1444">
        <w:rPr>
          <w:rFonts w:eastAsiaTheme="minorEastAsia"/>
          <w:kern w:val="0"/>
          <w:sz w:val="24"/>
        </w:rPr>
        <w:t>故工程实施后对</w:t>
      </w:r>
      <w:r w:rsidR="00E456D6" w:rsidRPr="00FC1444">
        <w:rPr>
          <w:rFonts w:eastAsiaTheme="minorEastAsia"/>
          <w:sz w:val="24"/>
        </w:rPr>
        <w:t>呼兰河、津河及努敏河</w:t>
      </w:r>
      <w:r w:rsidRPr="00FC1444">
        <w:rPr>
          <w:rFonts w:eastAsiaTheme="minorEastAsia"/>
          <w:sz w:val="24"/>
        </w:rPr>
        <w:t>水生生态</w:t>
      </w:r>
      <w:r w:rsidRPr="00FC1444">
        <w:rPr>
          <w:rFonts w:eastAsiaTheme="minorEastAsia"/>
          <w:kern w:val="0"/>
          <w:sz w:val="24"/>
        </w:rPr>
        <w:t>环境起到一定改善作用</w:t>
      </w:r>
      <w:r w:rsidRPr="00FC1444">
        <w:rPr>
          <w:rFonts w:eastAsiaTheme="minorEastAsia"/>
          <w:sz w:val="24"/>
        </w:rPr>
        <w:t>。</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bCs/>
          <w:kern w:val="0"/>
          <w:sz w:val="24"/>
        </w:rPr>
        <w:t>本项目依托现有退水口，退水减少量相对退水河流流域多年平均年径流量占比</w:t>
      </w:r>
      <w:r w:rsidR="001201E2" w:rsidRPr="00FC1444">
        <w:rPr>
          <w:rFonts w:eastAsiaTheme="minorEastAsia" w:hint="eastAsia"/>
          <w:sz w:val="24"/>
        </w:rPr>
        <w:t>较</w:t>
      </w:r>
      <w:r w:rsidRPr="00FC1444">
        <w:rPr>
          <w:rFonts w:eastAsiaTheme="minorEastAsia"/>
          <w:bCs/>
          <w:kern w:val="0"/>
          <w:sz w:val="24"/>
        </w:rPr>
        <w:t>小，不会对已形成的现有的水域形态、径流条件、水力条件以及冲於条件等造成显著影响。</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本区域通过车辆一般为当地农用车，车速较慢、产生的尾气及扬尘较少，同时采取限速、禁鸣措施。灌溉井泵类位于地下，能够有效的阻隔声传播，柴油机移动泵车及</w:t>
      </w:r>
      <w:r w:rsidR="00716701" w:rsidRPr="00FC1444">
        <w:rPr>
          <w:rFonts w:eastAsiaTheme="minorEastAsia"/>
          <w:sz w:val="24"/>
        </w:rPr>
        <w:t>施肥机</w:t>
      </w:r>
      <w:r w:rsidRPr="00FC1444">
        <w:rPr>
          <w:rFonts w:eastAsiaTheme="minorEastAsia"/>
          <w:sz w:val="24"/>
        </w:rPr>
        <w:t>使用时间较短，减少扬尘和噪声对</w:t>
      </w:r>
      <w:r w:rsidRPr="00FC1444">
        <w:rPr>
          <w:rFonts w:eastAsiaTheme="minorEastAsia"/>
          <w:bCs/>
          <w:kern w:val="0"/>
          <w:sz w:val="24"/>
        </w:rPr>
        <w:t>动植物</w:t>
      </w:r>
      <w:r w:rsidRPr="00FC1444">
        <w:rPr>
          <w:rFonts w:eastAsiaTheme="minorEastAsia"/>
          <w:sz w:val="24"/>
        </w:rPr>
        <w:t>产生的影响。</w:t>
      </w:r>
      <w:r w:rsidRPr="00FC1444">
        <w:rPr>
          <w:rFonts w:eastAsiaTheme="minorEastAsia"/>
          <w:bCs/>
          <w:kern w:val="0"/>
          <w:sz w:val="24"/>
        </w:rPr>
        <w:t>因此，项目实施对周边生态环境影响较小。</w:t>
      </w:r>
    </w:p>
    <w:p w:rsidR="002A5A5E" w:rsidRPr="00FC1444" w:rsidRDefault="00611CBA">
      <w:pPr>
        <w:keepNext/>
        <w:keepLines/>
        <w:spacing w:before="100" w:beforeAutospacing="1" w:after="100" w:afterAutospacing="1"/>
        <w:outlineLvl w:val="1"/>
        <w:rPr>
          <w:rFonts w:eastAsiaTheme="minorEastAsia"/>
          <w:b/>
          <w:sz w:val="30"/>
          <w:szCs w:val="30"/>
        </w:rPr>
      </w:pPr>
      <w:bookmarkStart w:id="142" w:name="_Toc480447676"/>
      <w:bookmarkStart w:id="143" w:name="_Toc15991705"/>
      <w:bookmarkStart w:id="144" w:name="_Toc208906247"/>
      <w:bookmarkStart w:id="145" w:name="_Toc527121414"/>
      <w:r w:rsidRPr="00FC1444">
        <w:rPr>
          <w:rFonts w:eastAsiaTheme="minorEastAsia"/>
          <w:b/>
          <w:sz w:val="30"/>
          <w:szCs w:val="30"/>
        </w:rPr>
        <w:t>6.3</w:t>
      </w:r>
      <w:r w:rsidRPr="00FC1444">
        <w:rPr>
          <w:rFonts w:eastAsiaTheme="minorEastAsia"/>
          <w:b/>
          <w:sz w:val="30"/>
          <w:szCs w:val="30"/>
        </w:rPr>
        <w:t>环境保护投资估算</w:t>
      </w:r>
      <w:bookmarkEnd w:id="142"/>
      <w:bookmarkEnd w:id="143"/>
      <w:bookmarkEnd w:id="144"/>
      <w:bookmarkEnd w:id="145"/>
    </w:p>
    <w:p w:rsidR="002A5A5E" w:rsidRPr="00FC1444" w:rsidRDefault="00611CBA">
      <w:pPr>
        <w:spacing w:line="360" w:lineRule="auto"/>
        <w:contextualSpacing/>
        <w:rPr>
          <w:rFonts w:eastAsiaTheme="minorEastAsia"/>
          <w:snapToGrid w:val="0"/>
          <w:kern w:val="0"/>
          <w:sz w:val="24"/>
        </w:rPr>
      </w:pPr>
      <w:r w:rsidRPr="00FC1444">
        <w:rPr>
          <w:rFonts w:eastAsiaTheme="minorEastAsia"/>
          <w:snapToGrid w:val="0"/>
          <w:kern w:val="0"/>
          <w:sz w:val="24"/>
        </w:rPr>
        <w:t>环保投资比按下式计算：</w:t>
      </w:r>
    </w:p>
    <w:p w:rsidR="002A5A5E" w:rsidRPr="00FC1444" w:rsidRDefault="00611CBA">
      <w:pPr>
        <w:jc w:val="center"/>
        <w:rPr>
          <w:rFonts w:eastAsiaTheme="minorEastAsia"/>
          <w:snapToGrid w:val="0"/>
          <w:kern w:val="0"/>
          <w:sz w:val="24"/>
        </w:rPr>
      </w:pPr>
      <w:r w:rsidRPr="00FC1444">
        <w:rPr>
          <w:rFonts w:eastAsiaTheme="minorEastAsia"/>
          <w:noProof/>
          <w:kern w:val="0"/>
          <w:sz w:val="24"/>
        </w:rPr>
        <w:lastRenderedPageBreak/>
        <w:drawing>
          <wp:inline distT="0" distB="0" distL="0" distR="0">
            <wp:extent cx="1132840" cy="409575"/>
            <wp:effectExtent l="19050" t="0" r="0" b="0"/>
            <wp:docPr id="16"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1"/>
                    <pic:cNvPicPr>
                      <a:picLocks noChangeAspect="1" noChangeArrowheads="1"/>
                    </pic:cNvPicPr>
                  </pic:nvPicPr>
                  <pic:blipFill>
                    <a:blip r:embed="rId81" cstate="print"/>
                    <a:srcRect/>
                    <a:stretch>
                      <a:fillRect/>
                    </a:stretch>
                  </pic:blipFill>
                  <pic:spPr>
                    <a:xfrm>
                      <a:off x="0" y="0"/>
                      <a:ext cx="1132840" cy="409575"/>
                    </a:xfrm>
                    <a:prstGeom prst="rect">
                      <a:avLst/>
                    </a:prstGeom>
                    <a:noFill/>
                    <a:ln w="9525">
                      <a:noFill/>
                      <a:miter lim="800000"/>
                      <a:headEnd/>
                      <a:tailEnd/>
                    </a:ln>
                  </pic:spPr>
                </pic:pic>
              </a:graphicData>
            </a:graphic>
          </wp:inline>
        </w:drawing>
      </w:r>
    </w:p>
    <w:p w:rsidR="002A5A5E" w:rsidRPr="00FC1444" w:rsidRDefault="00611CBA">
      <w:pPr>
        <w:spacing w:line="360" w:lineRule="auto"/>
        <w:rPr>
          <w:rFonts w:eastAsiaTheme="minorEastAsia"/>
          <w:snapToGrid w:val="0"/>
          <w:kern w:val="0"/>
          <w:sz w:val="24"/>
        </w:rPr>
      </w:pPr>
      <w:r w:rsidRPr="00FC1444">
        <w:rPr>
          <w:rFonts w:eastAsiaTheme="minorEastAsia"/>
          <w:snapToGrid w:val="0"/>
          <w:kern w:val="0"/>
          <w:sz w:val="24"/>
        </w:rPr>
        <w:t>式中：</w:t>
      </w:r>
      <w:r w:rsidRPr="00FC1444">
        <w:rPr>
          <w:rFonts w:eastAsiaTheme="minorEastAsia"/>
          <w:i/>
          <w:snapToGrid w:val="0"/>
          <w:kern w:val="0"/>
          <w:sz w:val="24"/>
        </w:rPr>
        <w:t>HJ</w:t>
      </w:r>
      <w:r w:rsidRPr="00FC1444">
        <w:rPr>
          <w:rFonts w:eastAsiaTheme="minorEastAsia"/>
          <w:snapToGrid w:val="0"/>
          <w:kern w:val="0"/>
          <w:sz w:val="24"/>
        </w:rPr>
        <w:t>—</w:t>
      </w:r>
      <w:r w:rsidRPr="00FC1444">
        <w:rPr>
          <w:rFonts w:eastAsiaTheme="minorEastAsia"/>
          <w:snapToGrid w:val="0"/>
          <w:kern w:val="0"/>
          <w:sz w:val="24"/>
        </w:rPr>
        <w:t>环保费用投资比，</w:t>
      </w:r>
      <w:r w:rsidRPr="00FC1444">
        <w:rPr>
          <w:rFonts w:eastAsiaTheme="minorEastAsia"/>
          <w:snapToGrid w:val="0"/>
          <w:kern w:val="0"/>
          <w:sz w:val="24"/>
        </w:rPr>
        <w:t>100%</w:t>
      </w:r>
      <w:r w:rsidRPr="00FC1444">
        <w:rPr>
          <w:rFonts w:eastAsiaTheme="minorEastAsia"/>
          <w:snapToGrid w:val="0"/>
          <w:kern w:val="0"/>
          <w:sz w:val="24"/>
        </w:rPr>
        <w:t>；</w:t>
      </w:r>
    </w:p>
    <w:p w:rsidR="002A5A5E" w:rsidRPr="00FC1444" w:rsidRDefault="00611CBA">
      <w:pPr>
        <w:spacing w:line="360" w:lineRule="auto"/>
        <w:rPr>
          <w:rFonts w:eastAsiaTheme="minorEastAsia"/>
          <w:snapToGrid w:val="0"/>
          <w:kern w:val="0"/>
          <w:sz w:val="24"/>
        </w:rPr>
      </w:pPr>
      <w:r w:rsidRPr="00FC1444">
        <w:rPr>
          <w:rFonts w:eastAsiaTheme="minorEastAsia"/>
          <w:i/>
          <w:snapToGrid w:val="0"/>
          <w:kern w:val="0"/>
          <w:sz w:val="24"/>
        </w:rPr>
        <w:t>HT</w:t>
      </w:r>
      <w:r w:rsidRPr="00FC1444">
        <w:rPr>
          <w:rFonts w:eastAsiaTheme="minorEastAsia"/>
          <w:snapToGrid w:val="0"/>
          <w:kern w:val="0"/>
          <w:sz w:val="24"/>
        </w:rPr>
        <w:t>—</w:t>
      </w:r>
      <w:r w:rsidRPr="00FC1444">
        <w:rPr>
          <w:rFonts w:eastAsiaTheme="minorEastAsia"/>
          <w:snapToGrid w:val="0"/>
          <w:kern w:val="0"/>
          <w:sz w:val="24"/>
        </w:rPr>
        <w:t>环保投资，万元；</w:t>
      </w:r>
    </w:p>
    <w:p w:rsidR="002A5A5E" w:rsidRPr="00FC1444" w:rsidRDefault="00611CBA">
      <w:pPr>
        <w:spacing w:line="360" w:lineRule="auto"/>
        <w:rPr>
          <w:rFonts w:eastAsiaTheme="minorEastAsia"/>
          <w:snapToGrid w:val="0"/>
          <w:kern w:val="0"/>
          <w:sz w:val="24"/>
        </w:rPr>
      </w:pPr>
      <w:r w:rsidRPr="00FC1444">
        <w:rPr>
          <w:rFonts w:eastAsiaTheme="minorEastAsia"/>
          <w:i/>
          <w:snapToGrid w:val="0"/>
          <w:kern w:val="0"/>
          <w:sz w:val="24"/>
        </w:rPr>
        <w:t>JI</w:t>
      </w:r>
      <w:r w:rsidRPr="00FC1444">
        <w:rPr>
          <w:rFonts w:eastAsiaTheme="minorEastAsia"/>
          <w:snapToGrid w:val="0"/>
          <w:kern w:val="0"/>
          <w:sz w:val="24"/>
        </w:rPr>
        <w:t>—</w:t>
      </w:r>
      <w:r w:rsidRPr="00FC1444">
        <w:rPr>
          <w:rFonts w:eastAsiaTheme="minorEastAsia"/>
          <w:snapToGrid w:val="0"/>
          <w:kern w:val="0"/>
          <w:sz w:val="24"/>
        </w:rPr>
        <w:t>项目总投资，万元。</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根据工程分析和环境影响预测及评价结果，本项目产生的污水、固废、废气、噪声等对周围环境将会产生一定的影响，因此，必须采取相应的环境保护措施加以控制，并保证相应环保投资的投入，以使项目建成后生产过程中产生的各类污染物对周围环境的影响降低到最低程度。根据初步估算，本项目的环保投资见表</w:t>
      </w:r>
      <w:r w:rsidRPr="00FC1444">
        <w:rPr>
          <w:rFonts w:eastAsiaTheme="minorEastAsia"/>
          <w:snapToGrid w:val="0"/>
          <w:kern w:val="0"/>
          <w:sz w:val="24"/>
        </w:rPr>
        <w:t>6-3-1</w:t>
      </w:r>
      <w:r w:rsidRPr="00FC1444">
        <w:rPr>
          <w:rFonts w:eastAsiaTheme="minorEastAsia"/>
          <w:snapToGrid w:val="0"/>
          <w:kern w:val="0"/>
          <w:sz w:val="24"/>
        </w:rPr>
        <w:t>。</w:t>
      </w:r>
    </w:p>
    <w:p w:rsidR="002A5A5E" w:rsidRPr="00FC1444" w:rsidRDefault="00611CBA">
      <w:pPr>
        <w:spacing w:line="360" w:lineRule="auto"/>
        <w:ind w:firstLineChars="200" w:firstLine="480"/>
        <w:rPr>
          <w:rFonts w:eastAsiaTheme="minorEastAsia"/>
          <w:snapToGrid w:val="0"/>
          <w:kern w:val="0"/>
        </w:rPr>
        <w:sectPr w:rsidR="002A5A5E" w:rsidRPr="00FC1444">
          <w:pgSz w:w="11906" w:h="16838"/>
          <w:pgMar w:top="1440" w:right="1800" w:bottom="1440" w:left="1800" w:header="851" w:footer="992" w:gutter="0"/>
          <w:cols w:space="425"/>
          <w:docGrid w:type="lines" w:linePitch="312"/>
        </w:sectPr>
      </w:pPr>
      <w:r w:rsidRPr="00FC1444">
        <w:rPr>
          <w:rFonts w:eastAsiaTheme="minorEastAsia"/>
          <w:snapToGrid w:val="0"/>
          <w:kern w:val="0"/>
          <w:sz w:val="24"/>
        </w:rPr>
        <w:t>本工程总投资为</w:t>
      </w:r>
      <w:r w:rsidR="00D622BA" w:rsidRPr="00FC1444">
        <w:rPr>
          <w:rFonts w:eastAsiaTheme="minorEastAsia"/>
          <w:snapToGrid w:val="0"/>
          <w:kern w:val="0"/>
          <w:sz w:val="24"/>
        </w:rPr>
        <w:t>51585</w:t>
      </w:r>
      <w:r w:rsidR="00D622BA" w:rsidRPr="00FC1444">
        <w:rPr>
          <w:rFonts w:eastAsiaTheme="minorEastAsia"/>
          <w:snapToGrid w:val="0"/>
          <w:kern w:val="0"/>
          <w:sz w:val="24"/>
        </w:rPr>
        <w:t>万元</w:t>
      </w:r>
      <w:r w:rsidRPr="00FC1444">
        <w:rPr>
          <w:rFonts w:eastAsiaTheme="minorEastAsia"/>
          <w:snapToGrid w:val="0"/>
          <w:kern w:val="0"/>
          <w:sz w:val="24"/>
        </w:rPr>
        <w:t>，环保投资估算为</w:t>
      </w:r>
      <w:r w:rsidRPr="00FC1444">
        <w:rPr>
          <w:rFonts w:eastAsiaTheme="minorEastAsia"/>
          <w:snapToGrid w:val="0"/>
          <w:kern w:val="0"/>
          <w:sz w:val="24"/>
        </w:rPr>
        <w:t>168.0</w:t>
      </w:r>
      <w:r w:rsidRPr="00FC1444">
        <w:rPr>
          <w:rFonts w:eastAsiaTheme="minorEastAsia"/>
          <w:snapToGrid w:val="0"/>
          <w:kern w:val="0"/>
          <w:sz w:val="24"/>
        </w:rPr>
        <w:t>万元，占总投资的</w:t>
      </w:r>
      <w:r w:rsidRPr="00FC1444">
        <w:rPr>
          <w:rFonts w:eastAsiaTheme="minorEastAsia"/>
          <w:snapToGrid w:val="0"/>
          <w:kern w:val="0"/>
          <w:sz w:val="24"/>
        </w:rPr>
        <w:t>0.</w:t>
      </w:r>
      <w:r w:rsidR="002F2D3F" w:rsidRPr="00FC1444">
        <w:rPr>
          <w:rFonts w:eastAsiaTheme="minorEastAsia" w:hint="eastAsia"/>
          <w:snapToGrid w:val="0"/>
          <w:kern w:val="0"/>
          <w:sz w:val="24"/>
        </w:rPr>
        <w:t>33</w:t>
      </w:r>
      <w:r w:rsidRPr="00FC1444">
        <w:rPr>
          <w:rFonts w:eastAsiaTheme="minorEastAsia"/>
          <w:snapToGrid w:val="0"/>
          <w:kern w:val="0"/>
          <w:sz w:val="24"/>
        </w:rPr>
        <w:t>%</w:t>
      </w:r>
      <w:r w:rsidRPr="00FC1444">
        <w:rPr>
          <w:rFonts w:eastAsiaTheme="minorEastAsia"/>
          <w:snapToGrid w:val="0"/>
          <w:kern w:val="0"/>
          <w:sz w:val="24"/>
        </w:rPr>
        <w:t>。</w:t>
      </w:r>
    </w:p>
    <w:p w:rsidR="002A5A5E" w:rsidRPr="00FC1444" w:rsidRDefault="00611CBA">
      <w:pPr>
        <w:contextualSpacing/>
        <w:jc w:val="center"/>
        <w:rPr>
          <w:rFonts w:eastAsiaTheme="minorEastAsia"/>
          <w:b/>
          <w:kern w:val="0"/>
          <w:szCs w:val="21"/>
        </w:rPr>
      </w:pPr>
      <w:bookmarkStart w:id="146" w:name="_Hlk480428871"/>
      <w:r w:rsidRPr="00FC1444">
        <w:rPr>
          <w:rFonts w:eastAsiaTheme="minorEastAsia"/>
          <w:b/>
          <w:kern w:val="0"/>
          <w:szCs w:val="21"/>
        </w:rPr>
        <w:lastRenderedPageBreak/>
        <w:t>表</w:t>
      </w:r>
      <w:r w:rsidRPr="00FC1444">
        <w:rPr>
          <w:rFonts w:eastAsiaTheme="minorEastAsia"/>
          <w:b/>
          <w:kern w:val="0"/>
          <w:szCs w:val="21"/>
        </w:rPr>
        <w:t>6-3-1</w:t>
      </w:r>
      <w:r w:rsidRPr="00FC1444">
        <w:rPr>
          <w:rFonts w:eastAsiaTheme="minorEastAsia"/>
          <w:b/>
          <w:kern w:val="0"/>
          <w:szCs w:val="21"/>
        </w:rPr>
        <w:t>环保投资明细表</w:t>
      </w:r>
    </w:p>
    <w:tbl>
      <w:tblPr>
        <w:tblW w:w="8613" w:type="dxa"/>
        <w:tblBorders>
          <w:top w:val="single" w:sz="12" w:space="0" w:color="auto"/>
          <w:bottom w:val="single" w:sz="12" w:space="0" w:color="auto"/>
          <w:insideH w:val="single" w:sz="4" w:space="0" w:color="auto"/>
          <w:insideV w:val="single" w:sz="4" w:space="0" w:color="auto"/>
        </w:tblBorders>
        <w:tblLayout w:type="fixed"/>
        <w:tblLook w:val="04A0"/>
      </w:tblPr>
      <w:tblGrid>
        <w:gridCol w:w="394"/>
        <w:gridCol w:w="990"/>
        <w:gridCol w:w="5954"/>
        <w:gridCol w:w="1275"/>
      </w:tblGrid>
      <w:tr w:rsidR="002A5A5E" w:rsidRPr="00FC1444">
        <w:tc>
          <w:tcPr>
            <w:tcW w:w="1384" w:type="dxa"/>
            <w:gridSpan w:val="2"/>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项目</w:t>
            </w:r>
          </w:p>
        </w:tc>
        <w:tc>
          <w:tcPr>
            <w:tcW w:w="5954"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治理设施内容</w:t>
            </w:r>
          </w:p>
        </w:tc>
        <w:tc>
          <w:tcPr>
            <w:tcW w:w="1275"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金额（万元）</w:t>
            </w:r>
          </w:p>
        </w:tc>
      </w:tr>
      <w:tr w:rsidR="002A5A5E" w:rsidRPr="00FC1444">
        <w:tc>
          <w:tcPr>
            <w:tcW w:w="394" w:type="dxa"/>
            <w:vMerge w:val="restart"/>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施工期</w:t>
            </w:r>
          </w:p>
        </w:tc>
        <w:tc>
          <w:tcPr>
            <w:tcW w:w="990" w:type="dxa"/>
            <w:shd w:val="clear" w:color="auto" w:fill="auto"/>
            <w:vAlign w:val="center"/>
          </w:tcPr>
          <w:p w:rsidR="002A5A5E" w:rsidRPr="00FC1444" w:rsidRDefault="00611CBA">
            <w:pPr>
              <w:adjustRightInd w:val="0"/>
              <w:snapToGrid w:val="0"/>
              <w:jc w:val="center"/>
              <w:rPr>
                <w:rFonts w:eastAsiaTheme="minorEastAsia"/>
              </w:rPr>
            </w:pPr>
            <w:r w:rsidRPr="00FC1444">
              <w:rPr>
                <w:rFonts w:eastAsiaTheme="minorEastAsia"/>
                <w:szCs w:val="20"/>
              </w:rPr>
              <w:t>废气</w:t>
            </w:r>
          </w:p>
        </w:tc>
        <w:tc>
          <w:tcPr>
            <w:tcW w:w="5954"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建筑材料密闭存放或严密覆盖，严禁露天放置、非冬季时期洒水降尘、运输车辆遮盖严密、加强运输车辆的维护、保养；</w:t>
            </w:r>
            <w:r w:rsidRPr="00FC1444">
              <w:rPr>
                <w:rFonts w:eastAsiaTheme="minorEastAsia"/>
                <w:snapToGrid w:val="0"/>
                <w:kern w:val="0"/>
              </w:rPr>
              <w:t>在距离环境保护目标较近位置施工时（</w:t>
            </w:r>
            <w:r w:rsidR="00D41946" w:rsidRPr="00FC1444">
              <w:rPr>
                <w:rFonts w:eastAsiaTheme="minorEastAsia"/>
              </w:rPr>
              <w:t>如胜利二村、东沟子等村屯</w:t>
            </w:r>
            <w:r w:rsidR="00943455" w:rsidRPr="00FC1444">
              <w:rPr>
                <w:rFonts w:eastAsiaTheme="minorEastAsia"/>
              </w:rPr>
              <w:t>，具体村屯名称见表</w:t>
            </w:r>
            <w:r w:rsidR="00943455" w:rsidRPr="00FC1444">
              <w:rPr>
                <w:rFonts w:eastAsiaTheme="minorEastAsia"/>
              </w:rPr>
              <w:t>2-8-1</w:t>
            </w:r>
            <w:r w:rsidRPr="00FC1444">
              <w:rPr>
                <w:rFonts w:eastAsiaTheme="minorEastAsia"/>
                <w:snapToGrid w:val="0"/>
                <w:kern w:val="0"/>
              </w:rPr>
              <w:t>）设置施工围挡；</w:t>
            </w:r>
            <w:r w:rsidRPr="00FC1444">
              <w:rPr>
                <w:rFonts w:eastAsiaTheme="minorEastAsia"/>
              </w:rPr>
              <w:t>合理安排清淤时间，喷洒微生物除臭剂</w:t>
            </w:r>
          </w:p>
        </w:tc>
        <w:tc>
          <w:tcPr>
            <w:tcW w:w="1275"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20.5</w:t>
            </w:r>
          </w:p>
        </w:tc>
      </w:tr>
      <w:tr w:rsidR="002A5A5E" w:rsidRPr="00FC1444">
        <w:tc>
          <w:tcPr>
            <w:tcW w:w="394" w:type="dxa"/>
            <w:vMerge/>
            <w:shd w:val="clear" w:color="auto" w:fill="auto"/>
            <w:vAlign w:val="center"/>
          </w:tcPr>
          <w:p w:rsidR="002A5A5E" w:rsidRPr="00FC1444"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FC1444" w:rsidRDefault="00611CBA">
            <w:pPr>
              <w:adjustRightInd w:val="0"/>
              <w:snapToGrid w:val="0"/>
              <w:jc w:val="center"/>
              <w:rPr>
                <w:rFonts w:eastAsiaTheme="minorEastAsia"/>
              </w:rPr>
            </w:pPr>
            <w:r w:rsidRPr="00FC1444">
              <w:rPr>
                <w:rFonts w:eastAsiaTheme="minorEastAsia"/>
                <w:szCs w:val="20"/>
              </w:rPr>
              <w:t>废水</w:t>
            </w:r>
          </w:p>
        </w:tc>
        <w:tc>
          <w:tcPr>
            <w:tcW w:w="5954" w:type="dxa"/>
            <w:shd w:val="clear" w:color="auto" w:fill="auto"/>
            <w:vAlign w:val="center"/>
          </w:tcPr>
          <w:p w:rsidR="002A5A5E" w:rsidRPr="00FC1444" w:rsidRDefault="006974EB" w:rsidP="006974EB">
            <w:pPr>
              <w:spacing w:line="0" w:lineRule="atLeast"/>
              <w:jc w:val="center"/>
              <w:rPr>
                <w:rFonts w:eastAsiaTheme="minorEastAsia"/>
                <w:snapToGrid w:val="0"/>
                <w:kern w:val="0"/>
                <w:lang w:val="zh-CN"/>
              </w:rPr>
            </w:pPr>
            <w:r w:rsidRPr="00FC1444">
              <w:rPr>
                <w:rFonts w:eastAsiaTheme="minorEastAsia"/>
                <w:snapToGrid w:val="0"/>
                <w:kern w:val="0"/>
                <w:lang w:val="zh-CN"/>
              </w:rPr>
              <w:t>1</w:t>
            </w:r>
            <w:r w:rsidR="0009673A" w:rsidRPr="00FC1444">
              <w:rPr>
                <w:rFonts w:eastAsiaTheme="minorEastAsia"/>
                <w:snapToGrid w:val="0"/>
                <w:kern w:val="0"/>
                <w:lang w:val="zh-CN"/>
              </w:rPr>
              <w:t>个</w:t>
            </w:r>
            <w:r w:rsidRPr="00FC1444">
              <w:rPr>
                <w:rFonts w:eastAsiaTheme="minorEastAsia"/>
                <w:snapToGrid w:val="0"/>
                <w:kern w:val="0"/>
                <w:lang w:val="zh-CN"/>
              </w:rPr>
              <w:t>1</w:t>
            </w:r>
            <w:r w:rsidR="00611CBA" w:rsidRPr="00FC1444">
              <w:rPr>
                <w:rFonts w:eastAsiaTheme="minorEastAsia"/>
                <w:snapToGrid w:val="0"/>
                <w:kern w:val="0"/>
                <w:lang w:val="zh-CN"/>
              </w:rPr>
              <w:t>0</w:t>
            </w:r>
            <w:r w:rsidR="00611CBA" w:rsidRPr="00FC1444">
              <w:rPr>
                <w:rFonts w:eastAsiaTheme="minorEastAsia"/>
                <w:snapToGrid w:val="0"/>
                <w:kern w:val="0"/>
                <w:szCs w:val="21"/>
              </w:rPr>
              <w:t>m</w:t>
            </w:r>
            <w:r w:rsidR="00611CBA" w:rsidRPr="00FC1444">
              <w:rPr>
                <w:rFonts w:eastAsiaTheme="minorEastAsia"/>
                <w:snapToGrid w:val="0"/>
                <w:kern w:val="0"/>
                <w:szCs w:val="21"/>
                <w:vertAlign w:val="superscript"/>
              </w:rPr>
              <w:t>2</w:t>
            </w:r>
            <w:r w:rsidR="00660C23" w:rsidRPr="00FC1444">
              <w:rPr>
                <w:rFonts w:eastAsiaTheme="minorEastAsia"/>
                <w:snapToGrid w:val="0"/>
                <w:kern w:val="0"/>
                <w:lang w:val="zh-CN"/>
              </w:rPr>
              <w:t>移动式不锈钢沉淀池</w:t>
            </w:r>
          </w:p>
        </w:tc>
        <w:tc>
          <w:tcPr>
            <w:tcW w:w="1275" w:type="dxa"/>
            <w:shd w:val="clear" w:color="auto" w:fill="auto"/>
            <w:vAlign w:val="center"/>
          </w:tcPr>
          <w:p w:rsidR="002A5A5E" w:rsidRPr="00FC1444" w:rsidRDefault="00E439C3">
            <w:pPr>
              <w:spacing w:line="0" w:lineRule="atLeast"/>
              <w:jc w:val="center"/>
              <w:rPr>
                <w:rFonts w:eastAsiaTheme="minorEastAsia"/>
                <w:snapToGrid w:val="0"/>
                <w:kern w:val="0"/>
                <w:lang w:val="zh-CN"/>
              </w:rPr>
            </w:pPr>
            <w:r w:rsidRPr="00FC1444">
              <w:rPr>
                <w:rFonts w:eastAsiaTheme="minorEastAsia" w:hint="eastAsia"/>
                <w:snapToGrid w:val="0"/>
                <w:kern w:val="0"/>
                <w:lang w:val="zh-CN"/>
              </w:rPr>
              <w:t>1</w:t>
            </w:r>
            <w:r w:rsidR="0009673A" w:rsidRPr="00FC1444">
              <w:rPr>
                <w:rFonts w:eastAsiaTheme="minorEastAsia"/>
                <w:snapToGrid w:val="0"/>
                <w:kern w:val="0"/>
                <w:lang w:val="zh-CN"/>
              </w:rPr>
              <w:t>.0</w:t>
            </w:r>
          </w:p>
        </w:tc>
      </w:tr>
      <w:tr w:rsidR="002A5A5E" w:rsidRPr="00FC1444">
        <w:tc>
          <w:tcPr>
            <w:tcW w:w="394" w:type="dxa"/>
            <w:vMerge/>
            <w:shd w:val="clear" w:color="auto" w:fill="auto"/>
            <w:vAlign w:val="center"/>
          </w:tcPr>
          <w:p w:rsidR="002A5A5E" w:rsidRPr="00FC1444"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FC1444" w:rsidRDefault="00611CBA">
            <w:pPr>
              <w:adjustRightInd w:val="0"/>
              <w:snapToGrid w:val="0"/>
              <w:jc w:val="center"/>
              <w:rPr>
                <w:rFonts w:eastAsiaTheme="minorEastAsia"/>
              </w:rPr>
            </w:pPr>
            <w:r w:rsidRPr="00FC1444">
              <w:rPr>
                <w:rFonts w:eastAsiaTheme="minorEastAsia"/>
                <w:szCs w:val="20"/>
              </w:rPr>
              <w:t>噪声</w:t>
            </w:r>
          </w:p>
        </w:tc>
        <w:tc>
          <w:tcPr>
            <w:tcW w:w="5954"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bCs/>
                <w:szCs w:val="21"/>
              </w:rPr>
              <w:t>选用低噪声设备、定期保养施工设备、</w:t>
            </w:r>
            <w:r w:rsidRPr="00FC1444">
              <w:rPr>
                <w:rFonts w:eastAsiaTheme="minorEastAsia"/>
              </w:rPr>
              <w:t>在</w:t>
            </w:r>
            <w:r w:rsidRPr="00FC1444">
              <w:rPr>
                <w:rFonts w:eastAsiaTheme="minorEastAsia"/>
              </w:rPr>
              <w:t>10m</w:t>
            </w:r>
            <w:r w:rsidRPr="00FC1444">
              <w:rPr>
                <w:rFonts w:eastAsiaTheme="minorEastAsia"/>
              </w:rPr>
              <w:t>以内分布有居民（</w:t>
            </w:r>
            <w:r w:rsidR="00D41946" w:rsidRPr="00FC1444">
              <w:rPr>
                <w:rFonts w:eastAsiaTheme="minorEastAsia"/>
              </w:rPr>
              <w:t>曹家炉、刘家沟、崔家窝棚等村屯，共</w:t>
            </w:r>
            <w:r w:rsidR="00D41946" w:rsidRPr="00FC1444">
              <w:rPr>
                <w:rFonts w:eastAsiaTheme="minorEastAsia"/>
              </w:rPr>
              <w:t>19</w:t>
            </w:r>
            <w:r w:rsidR="00D41946" w:rsidRPr="00FC1444">
              <w:rPr>
                <w:rFonts w:eastAsiaTheme="minorEastAsia"/>
              </w:rPr>
              <w:t>处，</w:t>
            </w:r>
            <w:r w:rsidRPr="00FC1444">
              <w:rPr>
                <w:rFonts w:eastAsiaTheme="minorEastAsia"/>
              </w:rPr>
              <w:t>具体村屯名称</w:t>
            </w:r>
            <w:r w:rsidR="00660C23" w:rsidRPr="00FC1444">
              <w:rPr>
                <w:rFonts w:eastAsiaTheme="minorEastAsia"/>
              </w:rPr>
              <w:t>见表</w:t>
            </w:r>
            <w:r w:rsidR="00660C23" w:rsidRPr="00FC1444">
              <w:rPr>
                <w:rFonts w:eastAsiaTheme="minorEastAsia"/>
              </w:rPr>
              <w:t>2-8-1</w:t>
            </w:r>
            <w:r w:rsidRPr="00FC1444">
              <w:rPr>
                <w:rFonts w:eastAsiaTheme="minorEastAsia"/>
              </w:rPr>
              <w:t>）的灌溉与排水、田间道路、涵洞等建筑物、</w:t>
            </w:r>
            <w:r w:rsidRPr="00FC1444">
              <w:rPr>
                <w:rFonts w:eastAsiaTheme="minorEastAsia"/>
                <w:bCs/>
              </w:rPr>
              <w:t>输配电</w:t>
            </w:r>
            <w:r w:rsidRPr="00FC1444">
              <w:rPr>
                <w:rFonts w:eastAsiaTheme="minorEastAsia"/>
              </w:rPr>
              <w:t>工程处设置双层移动隔声屏障，高度为</w:t>
            </w:r>
            <w:r w:rsidRPr="00FC1444">
              <w:rPr>
                <w:rFonts w:eastAsiaTheme="minorEastAsia"/>
              </w:rPr>
              <w:t>2m</w:t>
            </w:r>
            <w:r w:rsidRPr="00FC1444">
              <w:rPr>
                <w:rFonts w:eastAsiaTheme="minorEastAsia"/>
              </w:rPr>
              <w:t>，长度超出敏感目标两侧各</w:t>
            </w:r>
            <w:r w:rsidRPr="00FC1444">
              <w:rPr>
                <w:rFonts w:eastAsiaTheme="minorEastAsia"/>
              </w:rPr>
              <w:t>10m</w:t>
            </w:r>
          </w:p>
        </w:tc>
        <w:tc>
          <w:tcPr>
            <w:tcW w:w="1275"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20.0</w:t>
            </w:r>
          </w:p>
        </w:tc>
      </w:tr>
      <w:tr w:rsidR="002A5A5E" w:rsidRPr="00FC1444">
        <w:tc>
          <w:tcPr>
            <w:tcW w:w="394" w:type="dxa"/>
            <w:vMerge/>
            <w:shd w:val="clear" w:color="auto" w:fill="auto"/>
            <w:vAlign w:val="center"/>
          </w:tcPr>
          <w:p w:rsidR="002A5A5E" w:rsidRPr="00FC1444"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FC1444" w:rsidRDefault="00611CBA">
            <w:pPr>
              <w:adjustRightInd w:val="0"/>
              <w:snapToGrid w:val="0"/>
              <w:jc w:val="center"/>
              <w:rPr>
                <w:rFonts w:eastAsiaTheme="minorEastAsia"/>
                <w:szCs w:val="21"/>
              </w:rPr>
            </w:pPr>
            <w:r w:rsidRPr="00FC1444">
              <w:rPr>
                <w:rFonts w:eastAsiaTheme="minorEastAsia"/>
                <w:szCs w:val="21"/>
              </w:rPr>
              <w:t>生态</w:t>
            </w:r>
          </w:p>
        </w:tc>
        <w:tc>
          <w:tcPr>
            <w:tcW w:w="5954" w:type="dxa"/>
            <w:shd w:val="clear" w:color="auto" w:fill="auto"/>
            <w:vAlign w:val="center"/>
          </w:tcPr>
          <w:p w:rsidR="002A5A5E" w:rsidRPr="00FC1444" w:rsidRDefault="00F41A00">
            <w:pPr>
              <w:spacing w:line="0" w:lineRule="atLeast"/>
              <w:jc w:val="center"/>
              <w:rPr>
                <w:rFonts w:eastAsiaTheme="minorEastAsia"/>
                <w:snapToGrid w:val="0"/>
                <w:kern w:val="0"/>
                <w:szCs w:val="21"/>
                <w:lang w:val="zh-CN"/>
              </w:rPr>
            </w:pPr>
            <w:r w:rsidRPr="00FC1444">
              <w:rPr>
                <w:rFonts w:eastAsiaTheme="minorEastAsia"/>
                <w:snapToGrid w:val="0"/>
                <w:kern w:val="0"/>
                <w:szCs w:val="21"/>
              </w:rPr>
              <w:t>输配电工程表土及土方临时堆存在施工沿线，分区存放，设置临时拦挡并采用密目网苫盖，施工结束后分层回填，</w:t>
            </w:r>
            <w:r w:rsidR="00617138" w:rsidRPr="00FC1444">
              <w:rPr>
                <w:rFonts w:eastAsiaTheme="minorEastAsia"/>
                <w:snapToGrid w:val="0"/>
                <w:kern w:val="0"/>
                <w:szCs w:val="21"/>
              </w:rPr>
              <w:t>施工场地恢复现状草地，</w:t>
            </w:r>
            <w:r w:rsidR="00C77AF5" w:rsidRPr="00FC1444">
              <w:rPr>
                <w:rFonts w:eastAsiaTheme="minorEastAsia"/>
                <w:snapToGrid w:val="0"/>
                <w:kern w:val="0"/>
                <w:szCs w:val="21"/>
              </w:rPr>
              <w:t>播撒草籽面积</w:t>
            </w:r>
            <w:r w:rsidR="00C77AF5" w:rsidRPr="00FC1444">
              <w:rPr>
                <w:rFonts w:eastAsiaTheme="minorEastAsia"/>
                <w:snapToGrid w:val="0"/>
                <w:kern w:val="0"/>
                <w:szCs w:val="21"/>
              </w:rPr>
              <w:t>456842</w:t>
            </w:r>
            <w:r w:rsidRPr="00FC1444">
              <w:rPr>
                <w:rFonts w:eastAsiaTheme="minorEastAsia"/>
                <w:snapToGrid w:val="0"/>
                <w:kern w:val="0"/>
                <w:szCs w:val="21"/>
              </w:rPr>
              <w:t>m</w:t>
            </w:r>
            <w:r w:rsidRPr="00FC1444">
              <w:rPr>
                <w:rFonts w:eastAsiaTheme="minorEastAsia"/>
                <w:snapToGrid w:val="0"/>
                <w:kern w:val="0"/>
                <w:szCs w:val="21"/>
                <w:vertAlign w:val="superscript"/>
              </w:rPr>
              <w:t>2</w:t>
            </w:r>
            <w:r w:rsidRPr="00FC1444">
              <w:rPr>
                <w:rFonts w:eastAsiaTheme="minorEastAsia"/>
                <w:snapToGrid w:val="0"/>
                <w:kern w:val="0"/>
                <w:szCs w:val="21"/>
              </w:rPr>
              <w:t>，草籽选用紫花苜蓿等，种草密度</w:t>
            </w:r>
            <w:r w:rsidRPr="00FC1444">
              <w:rPr>
                <w:rFonts w:eastAsiaTheme="minorEastAsia"/>
                <w:snapToGrid w:val="0"/>
                <w:kern w:val="0"/>
                <w:szCs w:val="21"/>
              </w:rPr>
              <w:t>80kg/</w:t>
            </w:r>
            <w:r w:rsidRPr="00FC1444">
              <w:rPr>
                <w:rFonts w:eastAsiaTheme="minorEastAsia"/>
                <w:snapToGrid w:val="0"/>
                <w:kern w:val="0"/>
                <w:szCs w:val="21"/>
              </w:rPr>
              <w:t>公顷，</w:t>
            </w:r>
            <w:r w:rsidR="00C77AF5" w:rsidRPr="00FC1444">
              <w:rPr>
                <w:rFonts w:eastAsiaTheme="minorEastAsia"/>
                <w:snapToGrid w:val="0"/>
                <w:kern w:val="0"/>
                <w:szCs w:val="21"/>
              </w:rPr>
              <w:t>恢复旱地</w:t>
            </w:r>
            <w:r w:rsidR="00C77AF5" w:rsidRPr="00FC1444">
              <w:rPr>
                <w:rFonts w:eastAsiaTheme="minorEastAsia"/>
                <w:snapToGrid w:val="0"/>
                <w:kern w:val="0"/>
                <w:szCs w:val="21"/>
              </w:rPr>
              <w:t>22560m</w:t>
            </w:r>
            <w:r w:rsidRPr="00FC1444">
              <w:rPr>
                <w:rFonts w:eastAsiaTheme="minorEastAsia"/>
                <w:snapToGrid w:val="0"/>
                <w:kern w:val="0"/>
                <w:szCs w:val="21"/>
                <w:vertAlign w:val="superscript"/>
              </w:rPr>
              <w:t>2</w:t>
            </w:r>
            <w:r w:rsidRPr="00FC1444">
              <w:rPr>
                <w:rFonts w:eastAsiaTheme="minorEastAsia"/>
                <w:snapToGrid w:val="0"/>
                <w:kern w:val="0"/>
                <w:szCs w:val="21"/>
              </w:rPr>
              <w:t>；灌溉井工程剥离表土、开挖土方暂存于施工场地内，分区存放，设置临时拦挡并采用密目网苫盖，施工结束后施工场地、临时道路恢复为旱地，</w:t>
            </w:r>
            <w:r w:rsidR="00C77AF5" w:rsidRPr="00FC1444">
              <w:rPr>
                <w:rFonts w:eastAsiaTheme="minorEastAsia"/>
                <w:snapToGrid w:val="0"/>
                <w:kern w:val="0"/>
                <w:szCs w:val="21"/>
              </w:rPr>
              <w:t>恢复面积</w:t>
            </w:r>
            <w:r w:rsidR="00C77AF5" w:rsidRPr="00FC1444">
              <w:rPr>
                <w:rFonts w:eastAsiaTheme="minorEastAsia"/>
                <w:snapToGrid w:val="0"/>
                <w:kern w:val="0"/>
                <w:szCs w:val="21"/>
              </w:rPr>
              <w:t>4620</w:t>
            </w:r>
            <w:r w:rsidRPr="00FC1444">
              <w:rPr>
                <w:rFonts w:eastAsiaTheme="minorEastAsia"/>
                <w:snapToGrid w:val="0"/>
                <w:kern w:val="0"/>
                <w:szCs w:val="21"/>
              </w:rPr>
              <w:t>m</w:t>
            </w:r>
            <w:r w:rsidRPr="00FC1444">
              <w:rPr>
                <w:rFonts w:eastAsiaTheme="minorEastAsia"/>
                <w:snapToGrid w:val="0"/>
                <w:kern w:val="0"/>
                <w:szCs w:val="21"/>
                <w:vertAlign w:val="superscript"/>
              </w:rPr>
              <w:t>2</w:t>
            </w:r>
            <w:r w:rsidRPr="00FC1444">
              <w:rPr>
                <w:rFonts w:eastAsiaTheme="minorEastAsia"/>
                <w:snapToGrid w:val="0"/>
                <w:kern w:val="0"/>
                <w:szCs w:val="21"/>
              </w:rPr>
              <w:t>；涵洞等建筑物工程剥离表土、开挖土方暂存于施工场地内，分区存放，设置临时拦挡并采用密目网苫盖，施工结束后施工场地恢复为草地，播撒草籽面积</w:t>
            </w:r>
            <w:r w:rsidRPr="00FC1444">
              <w:rPr>
                <w:rFonts w:eastAsiaTheme="minorEastAsia"/>
                <w:snapToGrid w:val="0"/>
                <w:kern w:val="0"/>
                <w:szCs w:val="21"/>
              </w:rPr>
              <w:t>18500m</w:t>
            </w:r>
            <w:r w:rsidRPr="00FC1444">
              <w:rPr>
                <w:rFonts w:eastAsiaTheme="minorEastAsia"/>
                <w:snapToGrid w:val="0"/>
                <w:kern w:val="0"/>
                <w:szCs w:val="21"/>
                <w:vertAlign w:val="superscript"/>
              </w:rPr>
              <w:t>2</w:t>
            </w:r>
            <w:r w:rsidRPr="00FC1444">
              <w:rPr>
                <w:rFonts w:eastAsiaTheme="minorEastAsia"/>
                <w:snapToGrid w:val="0"/>
                <w:kern w:val="0"/>
                <w:szCs w:val="21"/>
              </w:rPr>
              <w:t>，草籽选用紫花苜蓿等，种草密度</w:t>
            </w:r>
            <w:r w:rsidRPr="00FC1444">
              <w:rPr>
                <w:rFonts w:eastAsiaTheme="minorEastAsia"/>
                <w:snapToGrid w:val="0"/>
                <w:kern w:val="0"/>
                <w:szCs w:val="21"/>
              </w:rPr>
              <w:t>80kg/</w:t>
            </w:r>
            <w:r w:rsidRPr="00FC1444">
              <w:rPr>
                <w:rFonts w:eastAsiaTheme="minorEastAsia"/>
                <w:snapToGrid w:val="0"/>
                <w:kern w:val="0"/>
                <w:szCs w:val="21"/>
              </w:rPr>
              <w:t>公顷，恢复旱地</w:t>
            </w:r>
            <w:r w:rsidRPr="00FC1444">
              <w:rPr>
                <w:rFonts w:eastAsiaTheme="minorEastAsia"/>
                <w:snapToGrid w:val="0"/>
                <w:kern w:val="0"/>
                <w:szCs w:val="21"/>
              </w:rPr>
              <w:t>10500m</w:t>
            </w:r>
            <w:r w:rsidRPr="00FC1444">
              <w:rPr>
                <w:rFonts w:eastAsiaTheme="minorEastAsia"/>
                <w:snapToGrid w:val="0"/>
                <w:kern w:val="0"/>
                <w:szCs w:val="21"/>
                <w:vertAlign w:val="superscript"/>
              </w:rPr>
              <w:t>2</w:t>
            </w:r>
            <w:r w:rsidRPr="00FC1444">
              <w:rPr>
                <w:rFonts w:eastAsiaTheme="minorEastAsia"/>
                <w:snapToGrid w:val="0"/>
                <w:kern w:val="0"/>
                <w:szCs w:val="21"/>
              </w:rPr>
              <w:t>。</w:t>
            </w:r>
            <w:r w:rsidR="00611CBA" w:rsidRPr="00FC1444">
              <w:rPr>
                <w:rFonts w:eastAsiaTheme="minorEastAsia"/>
                <w:snapToGrid w:val="0"/>
                <w:kern w:val="0"/>
                <w:szCs w:val="21"/>
              </w:rPr>
              <w:t>使临时占地土地利用类型、植被覆盖度、生物量等恢复为原有水平。减少由于工程施工对其景观、生态、水土保持等方面的不利影响。表土暂存场</w:t>
            </w:r>
            <w:r w:rsidR="00611CBA" w:rsidRPr="00FC1444">
              <w:rPr>
                <w:rFonts w:eastAsiaTheme="minorEastAsia"/>
                <w:bCs/>
                <w:kern w:val="0"/>
                <w:szCs w:val="21"/>
              </w:rPr>
              <w:t>堆高在</w:t>
            </w:r>
            <w:r w:rsidR="00611CBA" w:rsidRPr="00FC1444">
              <w:rPr>
                <w:rFonts w:eastAsiaTheme="minorEastAsia"/>
                <w:bCs/>
                <w:kern w:val="0"/>
                <w:szCs w:val="21"/>
              </w:rPr>
              <w:t>3m</w:t>
            </w:r>
            <w:r w:rsidR="00611CBA" w:rsidRPr="00FC1444">
              <w:rPr>
                <w:rFonts w:eastAsiaTheme="minorEastAsia"/>
                <w:bCs/>
                <w:kern w:val="0"/>
                <w:szCs w:val="21"/>
              </w:rPr>
              <w:t>以内，坡比</w:t>
            </w:r>
            <w:r w:rsidR="00611CBA" w:rsidRPr="00FC1444">
              <w:rPr>
                <w:rFonts w:eastAsiaTheme="minorEastAsia"/>
                <w:bCs/>
                <w:kern w:val="0"/>
                <w:szCs w:val="21"/>
              </w:rPr>
              <w:t>1</w:t>
            </w:r>
            <w:r w:rsidR="00611CBA" w:rsidRPr="00FC1444">
              <w:rPr>
                <w:rFonts w:eastAsiaTheme="minorEastAsia"/>
                <w:bCs/>
                <w:kern w:val="0"/>
                <w:szCs w:val="21"/>
              </w:rPr>
              <w:t>：</w:t>
            </w:r>
            <w:r w:rsidR="00611CBA" w:rsidRPr="00FC1444">
              <w:rPr>
                <w:rFonts w:eastAsiaTheme="minorEastAsia"/>
                <w:bCs/>
                <w:kern w:val="0"/>
                <w:szCs w:val="21"/>
              </w:rPr>
              <w:t>1</w:t>
            </w:r>
            <w:r w:rsidR="00611CBA" w:rsidRPr="00FC1444">
              <w:rPr>
                <w:rFonts w:eastAsiaTheme="minorEastAsia"/>
                <w:bCs/>
                <w:kern w:val="0"/>
                <w:szCs w:val="21"/>
              </w:rPr>
              <w:t>，可以保证堆土的稳定性及安全性。堆放地宜相对低凹、周围相对平缓，并设置排水设施。</w:t>
            </w:r>
            <w:r w:rsidR="00611CBA" w:rsidRPr="00FC1444">
              <w:rPr>
                <w:rFonts w:eastAsiaTheme="minorEastAsia"/>
                <w:szCs w:val="21"/>
              </w:rPr>
              <w:t>建设单位为生态恢复工程实施责任主体</w:t>
            </w:r>
          </w:p>
        </w:tc>
        <w:tc>
          <w:tcPr>
            <w:tcW w:w="1275" w:type="dxa"/>
            <w:shd w:val="clear" w:color="auto" w:fill="auto"/>
            <w:vAlign w:val="center"/>
          </w:tcPr>
          <w:p w:rsidR="002A5A5E" w:rsidRPr="00FC1444" w:rsidRDefault="00E439C3" w:rsidP="00E439C3">
            <w:pPr>
              <w:spacing w:line="0" w:lineRule="atLeast"/>
              <w:jc w:val="center"/>
              <w:rPr>
                <w:rFonts w:eastAsiaTheme="minorEastAsia"/>
                <w:snapToGrid w:val="0"/>
                <w:kern w:val="0"/>
                <w:lang w:val="zh-CN"/>
              </w:rPr>
            </w:pPr>
            <w:r w:rsidRPr="00FC1444">
              <w:rPr>
                <w:rFonts w:eastAsiaTheme="minorEastAsia" w:hint="eastAsia"/>
                <w:snapToGrid w:val="0"/>
                <w:kern w:val="0"/>
                <w:lang w:val="zh-CN"/>
              </w:rPr>
              <w:t>78</w:t>
            </w:r>
            <w:r w:rsidR="00611CBA" w:rsidRPr="00FC1444">
              <w:rPr>
                <w:rFonts w:eastAsiaTheme="minorEastAsia"/>
                <w:snapToGrid w:val="0"/>
                <w:kern w:val="0"/>
                <w:lang w:val="zh-CN"/>
              </w:rPr>
              <w:t>.0</w:t>
            </w:r>
          </w:p>
        </w:tc>
      </w:tr>
      <w:tr w:rsidR="002A5A5E" w:rsidRPr="00FC1444">
        <w:tc>
          <w:tcPr>
            <w:tcW w:w="394" w:type="dxa"/>
            <w:vMerge/>
            <w:shd w:val="clear" w:color="auto" w:fill="auto"/>
            <w:vAlign w:val="center"/>
          </w:tcPr>
          <w:p w:rsidR="002A5A5E" w:rsidRPr="00FC1444"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FC1444" w:rsidRDefault="00611CBA">
            <w:pPr>
              <w:adjustRightInd w:val="0"/>
              <w:snapToGrid w:val="0"/>
              <w:jc w:val="center"/>
              <w:rPr>
                <w:rFonts w:eastAsiaTheme="minorEastAsia"/>
              </w:rPr>
            </w:pPr>
            <w:r w:rsidRPr="00FC1444">
              <w:rPr>
                <w:rFonts w:eastAsiaTheme="minorEastAsia"/>
                <w:szCs w:val="20"/>
              </w:rPr>
              <w:t>固废</w:t>
            </w:r>
          </w:p>
        </w:tc>
        <w:tc>
          <w:tcPr>
            <w:tcW w:w="5954" w:type="dxa"/>
            <w:shd w:val="clear" w:color="auto" w:fill="auto"/>
            <w:vAlign w:val="center"/>
          </w:tcPr>
          <w:p w:rsidR="002A5A5E" w:rsidRPr="00FC1444" w:rsidRDefault="00611CBA" w:rsidP="00F9040C">
            <w:pPr>
              <w:spacing w:line="0" w:lineRule="atLeast"/>
              <w:jc w:val="center"/>
              <w:rPr>
                <w:rFonts w:eastAsiaTheme="minorEastAsia"/>
                <w:snapToGrid w:val="0"/>
                <w:kern w:val="0"/>
              </w:rPr>
            </w:pPr>
            <w:r w:rsidRPr="00FC1444">
              <w:rPr>
                <w:rFonts w:eastAsiaTheme="minorEastAsia"/>
                <w:szCs w:val="21"/>
                <w:lang w:val="zh-CN"/>
              </w:rPr>
              <w:t>淤泥清除</w:t>
            </w:r>
            <w:r w:rsidRPr="00FC1444">
              <w:rPr>
                <w:rFonts w:eastAsiaTheme="minorEastAsia"/>
                <w:snapToGrid w:val="0"/>
                <w:kern w:val="0"/>
                <w:lang w:val="zh-CN"/>
              </w:rPr>
              <w:t>、</w:t>
            </w:r>
            <w:r w:rsidR="000D5858" w:rsidRPr="00FC1444">
              <w:rPr>
                <w:rFonts w:eastAsiaTheme="minorEastAsia"/>
                <w:snapToGrid w:val="0"/>
                <w:kern w:val="0"/>
                <w:lang w:val="zh-CN"/>
              </w:rPr>
              <w:t>垃圾清运</w:t>
            </w:r>
          </w:p>
        </w:tc>
        <w:tc>
          <w:tcPr>
            <w:tcW w:w="1275" w:type="dxa"/>
            <w:shd w:val="clear" w:color="auto" w:fill="auto"/>
            <w:vAlign w:val="center"/>
          </w:tcPr>
          <w:p w:rsidR="002A5A5E" w:rsidRPr="00FC1444" w:rsidRDefault="00E439C3">
            <w:pPr>
              <w:spacing w:line="0" w:lineRule="atLeast"/>
              <w:jc w:val="center"/>
              <w:rPr>
                <w:rFonts w:eastAsiaTheme="minorEastAsia"/>
                <w:snapToGrid w:val="0"/>
                <w:kern w:val="0"/>
                <w:lang w:val="zh-CN"/>
              </w:rPr>
            </w:pPr>
            <w:r w:rsidRPr="00FC1444">
              <w:rPr>
                <w:rFonts w:eastAsiaTheme="minorEastAsia" w:hint="eastAsia"/>
                <w:snapToGrid w:val="0"/>
                <w:kern w:val="0"/>
                <w:lang w:val="zh-CN"/>
              </w:rPr>
              <w:t>6</w:t>
            </w:r>
            <w:r w:rsidR="00611CBA" w:rsidRPr="00FC1444">
              <w:rPr>
                <w:rFonts w:eastAsiaTheme="minorEastAsia"/>
                <w:snapToGrid w:val="0"/>
                <w:kern w:val="0"/>
                <w:lang w:val="zh-CN"/>
              </w:rPr>
              <w:t>.0</w:t>
            </w:r>
          </w:p>
        </w:tc>
      </w:tr>
      <w:tr w:rsidR="002A5A5E" w:rsidRPr="00FC1444">
        <w:tc>
          <w:tcPr>
            <w:tcW w:w="394" w:type="dxa"/>
            <w:vMerge/>
            <w:shd w:val="clear" w:color="auto" w:fill="auto"/>
            <w:vAlign w:val="center"/>
          </w:tcPr>
          <w:p w:rsidR="002A5A5E" w:rsidRPr="00FC1444"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FC1444" w:rsidRDefault="00611CBA">
            <w:pPr>
              <w:adjustRightInd w:val="0"/>
              <w:snapToGrid w:val="0"/>
              <w:jc w:val="center"/>
              <w:rPr>
                <w:rFonts w:eastAsiaTheme="minorEastAsia"/>
                <w:szCs w:val="20"/>
              </w:rPr>
            </w:pPr>
            <w:r w:rsidRPr="00FC1444">
              <w:rPr>
                <w:rFonts w:eastAsiaTheme="minorEastAsia"/>
                <w:szCs w:val="21"/>
                <w:lang w:val="zh-CN"/>
              </w:rPr>
              <w:t>环境管理与监测</w:t>
            </w:r>
          </w:p>
        </w:tc>
        <w:tc>
          <w:tcPr>
            <w:tcW w:w="5954" w:type="dxa"/>
            <w:shd w:val="clear" w:color="auto" w:fill="auto"/>
            <w:vAlign w:val="center"/>
          </w:tcPr>
          <w:p w:rsidR="002A5A5E" w:rsidRPr="00FC1444" w:rsidRDefault="00611CBA">
            <w:pPr>
              <w:spacing w:line="0" w:lineRule="atLeast"/>
              <w:jc w:val="center"/>
              <w:rPr>
                <w:rFonts w:eastAsiaTheme="minorEastAsia"/>
                <w:szCs w:val="21"/>
                <w:lang w:val="zh-CN"/>
              </w:rPr>
            </w:pPr>
            <w:r w:rsidRPr="00FC1444">
              <w:rPr>
                <w:rFonts w:eastAsiaTheme="minorEastAsia"/>
                <w:szCs w:val="21"/>
              </w:rPr>
              <w:t>环境管理档案、施工期环境监测</w:t>
            </w:r>
          </w:p>
        </w:tc>
        <w:tc>
          <w:tcPr>
            <w:tcW w:w="1275"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10.0</w:t>
            </w:r>
          </w:p>
        </w:tc>
      </w:tr>
      <w:tr w:rsidR="002A5A5E" w:rsidRPr="00FC1444">
        <w:trPr>
          <w:trHeight w:val="287"/>
        </w:trPr>
        <w:tc>
          <w:tcPr>
            <w:tcW w:w="394" w:type="dxa"/>
            <w:vMerge w:val="restart"/>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运营期</w:t>
            </w:r>
          </w:p>
        </w:tc>
        <w:tc>
          <w:tcPr>
            <w:tcW w:w="990"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废气</w:t>
            </w:r>
          </w:p>
        </w:tc>
        <w:tc>
          <w:tcPr>
            <w:tcW w:w="5954"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zCs w:val="21"/>
              </w:rPr>
              <w:t>车辆减速慢行、采用轻质柴油</w:t>
            </w:r>
          </w:p>
        </w:tc>
        <w:tc>
          <w:tcPr>
            <w:tcW w:w="1275" w:type="dxa"/>
            <w:shd w:val="clear" w:color="auto" w:fill="auto"/>
            <w:vAlign w:val="center"/>
          </w:tcPr>
          <w:p w:rsidR="002A5A5E" w:rsidRPr="00FC1444" w:rsidRDefault="0061289D">
            <w:pPr>
              <w:spacing w:line="0" w:lineRule="atLeast"/>
              <w:jc w:val="center"/>
              <w:rPr>
                <w:rFonts w:eastAsiaTheme="minorEastAsia"/>
                <w:snapToGrid w:val="0"/>
                <w:kern w:val="0"/>
                <w:lang w:val="zh-CN"/>
              </w:rPr>
            </w:pPr>
            <w:r w:rsidRPr="00FC1444">
              <w:rPr>
                <w:rFonts w:eastAsiaTheme="minorEastAsia"/>
                <w:snapToGrid w:val="0"/>
                <w:kern w:val="0"/>
                <w:lang w:val="zh-CN"/>
              </w:rPr>
              <w:t>0.5</w:t>
            </w:r>
          </w:p>
        </w:tc>
      </w:tr>
      <w:tr w:rsidR="002A5A5E" w:rsidRPr="00FC1444">
        <w:tc>
          <w:tcPr>
            <w:tcW w:w="394" w:type="dxa"/>
            <w:vMerge/>
            <w:shd w:val="clear" w:color="auto" w:fill="auto"/>
            <w:vAlign w:val="center"/>
          </w:tcPr>
          <w:p w:rsidR="002A5A5E" w:rsidRPr="00FC1444"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噪声</w:t>
            </w:r>
          </w:p>
        </w:tc>
        <w:tc>
          <w:tcPr>
            <w:tcW w:w="5954"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zCs w:val="21"/>
              </w:rPr>
              <w:t>水泵等设备采取基础减振等措施；井房；限速和禁鸣标识</w:t>
            </w:r>
          </w:p>
        </w:tc>
        <w:tc>
          <w:tcPr>
            <w:tcW w:w="1275"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5.0</w:t>
            </w:r>
          </w:p>
        </w:tc>
      </w:tr>
      <w:tr w:rsidR="002A5A5E" w:rsidRPr="00FC1444">
        <w:trPr>
          <w:trHeight w:val="456"/>
        </w:trPr>
        <w:tc>
          <w:tcPr>
            <w:tcW w:w="394" w:type="dxa"/>
            <w:vMerge/>
            <w:shd w:val="clear" w:color="auto" w:fill="auto"/>
            <w:vAlign w:val="center"/>
          </w:tcPr>
          <w:p w:rsidR="002A5A5E" w:rsidRPr="00FC1444"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FC1444" w:rsidRDefault="00611CBA">
            <w:pPr>
              <w:adjustRightInd w:val="0"/>
              <w:snapToGrid w:val="0"/>
              <w:jc w:val="center"/>
              <w:rPr>
                <w:rFonts w:eastAsiaTheme="minorEastAsia"/>
                <w:szCs w:val="20"/>
              </w:rPr>
            </w:pPr>
            <w:r w:rsidRPr="00FC1444">
              <w:rPr>
                <w:rFonts w:eastAsiaTheme="minorEastAsia"/>
                <w:szCs w:val="20"/>
              </w:rPr>
              <w:t>风险</w:t>
            </w:r>
          </w:p>
        </w:tc>
        <w:tc>
          <w:tcPr>
            <w:tcW w:w="5954" w:type="dxa"/>
            <w:shd w:val="clear" w:color="auto" w:fill="auto"/>
            <w:vAlign w:val="center"/>
          </w:tcPr>
          <w:p w:rsidR="002A5A5E" w:rsidRPr="00FC1444" w:rsidRDefault="00611CBA">
            <w:pPr>
              <w:adjustRightInd w:val="0"/>
              <w:snapToGrid w:val="0"/>
              <w:jc w:val="center"/>
              <w:rPr>
                <w:rFonts w:eastAsiaTheme="minorEastAsia"/>
                <w:szCs w:val="21"/>
              </w:rPr>
            </w:pPr>
            <w:r w:rsidRPr="00FC1444">
              <w:rPr>
                <w:rFonts w:eastAsiaTheme="minorEastAsia"/>
              </w:rPr>
              <w:t>项目</w:t>
            </w:r>
            <w:r w:rsidRPr="00FC1444">
              <w:rPr>
                <w:rFonts w:eastAsiaTheme="minorEastAsia"/>
                <w:bCs/>
              </w:rPr>
              <w:t>柴油机移动泵车</w:t>
            </w:r>
            <w:r w:rsidRPr="00FC1444">
              <w:rPr>
                <w:rFonts w:eastAsiaTheme="minorEastAsia"/>
              </w:rPr>
              <w:t>油箱密闭，不使用于村内暂存，暂存处地面设置重点防渗（等效黏土防渗层</w:t>
            </w:r>
            <w:r w:rsidRPr="00FC1444">
              <w:rPr>
                <w:rFonts w:eastAsiaTheme="minorEastAsia"/>
              </w:rPr>
              <w:t>Mb≥6.0m</w:t>
            </w:r>
            <w:r w:rsidRPr="00FC1444">
              <w:rPr>
                <w:rFonts w:eastAsiaTheme="minorEastAsia"/>
              </w:rPr>
              <w:t>，渗透系数</w:t>
            </w:r>
            <w:r w:rsidRPr="00FC1444">
              <w:rPr>
                <w:rFonts w:eastAsiaTheme="minorEastAsia"/>
              </w:rPr>
              <w:t>K≤1.0×10</w:t>
            </w:r>
            <w:r w:rsidRPr="00FC1444">
              <w:rPr>
                <w:rFonts w:eastAsiaTheme="minorEastAsia"/>
                <w:vertAlign w:val="superscript"/>
              </w:rPr>
              <w:t>-7</w:t>
            </w:r>
            <w:r w:rsidRPr="00FC1444">
              <w:rPr>
                <w:rFonts w:eastAsiaTheme="minorEastAsia"/>
              </w:rPr>
              <w:t>cm/s</w:t>
            </w:r>
            <w:r w:rsidRPr="00FC1444">
              <w:rPr>
                <w:rFonts w:eastAsiaTheme="minorEastAsia"/>
              </w:rPr>
              <w:t>）；泄漏物交由资质单位处置进行运输和处置；制定应急预案并根据应急预案补充相应物资</w:t>
            </w:r>
          </w:p>
        </w:tc>
        <w:tc>
          <w:tcPr>
            <w:tcW w:w="1275"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5.0</w:t>
            </w:r>
          </w:p>
        </w:tc>
      </w:tr>
      <w:tr w:rsidR="002A5A5E" w:rsidRPr="00FC1444">
        <w:tc>
          <w:tcPr>
            <w:tcW w:w="394" w:type="dxa"/>
            <w:vMerge/>
            <w:shd w:val="clear" w:color="auto" w:fill="auto"/>
            <w:vAlign w:val="center"/>
          </w:tcPr>
          <w:p w:rsidR="002A5A5E" w:rsidRPr="00FC1444"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zCs w:val="21"/>
              </w:rPr>
              <w:t>运行维护</w:t>
            </w:r>
          </w:p>
        </w:tc>
        <w:tc>
          <w:tcPr>
            <w:tcW w:w="5954"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zCs w:val="21"/>
              </w:rPr>
              <w:t>设备设施定期运行维护</w:t>
            </w:r>
          </w:p>
        </w:tc>
        <w:tc>
          <w:tcPr>
            <w:tcW w:w="1275"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2.0</w:t>
            </w:r>
          </w:p>
        </w:tc>
      </w:tr>
      <w:tr w:rsidR="002A5A5E" w:rsidRPr="00FC1444">
        <w:tc>
          <w:tcPr>
            <w:tcW w:w="394" w:type="dxa"/>
            <w:vMerge/>
            <w:shd w:val="clear" w:color="auto" w:fill="auto"/>
            <w:vAlign w:val="center"/>
          </w:tcPr>
          <w:p w:rsidR="002A5A5E" w:rsidRPr="00FC1444"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FC1444" w:rsidRDefault="00611CBA">
            <w:pPr>
              <w:tabs>
                <w:tab w:val="left" w:pos="10260"/>
              </w:tabs>
              <w:autoSpaceDE w:val="0"/>
              <w:autoSpaceDN w:val="0"/>
              <w:adjustRightInd w:val="0"/>
              <w:jc w:val="center"/>
              <w:rPr>
                <w:rFonts w:eastAsiaTheme="minorEastAsia"/>
                <w:szCs w:val="21"/>
              </w:rPr>
            </w:pPr>
            <w:r w:rsidRPr="00FC1444">
              <w:rPr>
                <w:rFonts w:eastAsiaTheme="minorEastAsia"/>
                <w:szCs w:val="21"/>
                <w:lang w:val="zh-CN"/>
              </w:rPr>
              <w:t>环境管理与监测</w:t>
            </w:r>
          </w:p>
        </w:tc>
        <w:tc>
          <w:tcPr>
            <w:tcW w:w="5954" w:type="dxa"/>
            <w:shd w:val="clear" w:color="auto" w:fill="auto"/>
            <w:vAlign w:val="center"/>
          </w:tcPr>
          <w:p w:rsidR="002A5A5E" w:rsidRPr="00FC1444" w:rsidRDefault="00611CBA">
            <w:pPr>
              <w:tabs>
                <w:tab w:val="left" w:pos="10260"/>
              </w:tabs>
              <w:autoSpaceDE w:val="0"/>
              <w:autoSpaceDN w:val="0"/>
              <w:adjustRightInd w:val="0"/>
              <w:jc w:val="center"/>
              <w:rPr>
                <w:rFonts w:eastAsiaTheme="minorEastAsia"/>
                <w:szCs w:val="21"/>
              </w:rPr>
            </w:pPr>
            <w:r w:rsidRPr="00FC1444">
              <w:rPr>
                <w:rFonts w:eastAsiaTheme="minorEastAsia"/>
                <w:szCs w:val="21"/>
              </w:rPr>
              <w:t>环境管理档案、运营期环境监测、竣工环境保护验收监测</w:t>
            </w:r>
          </w:p>
        </w:tc>
        <w:tc>
          <w:tcPr>
            <w:tcW w:w="1275"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20.0</w:t>
            </w:r>
          </w:p>
        </w:tc>
      </w:tr>
      <w:tr w:rsidR="002A5A5E" w:rsidRPr="00FC1444">
        <w:tc>
          <w:tcPr>
            <w:tcW w:w="1384" w:type="dxa"/>
            <w:gridSpan w:val="2"/>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合计</w:t>
            </w:r>
          </w:p>
        </w:tc>
        <w:tc>
          <w:tcPr>
            <w:tcW w:w="5954"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w:t>
            </w:r>
          </w:p>
        </w:tc>
        <w:tc>
          <w:tcPr>
            <w:tcW w:w="1275" w:type="dxa"/>
            <w:shd w:val="clear" w:color="auto" w:fill="auto"/>
            <w:vAlign w:val="center"/>
          </w:tcPr>
          <w:p w:rsidR="002A5A5E" w:rsidRPr="00FC1444" w:rsidRDefault="00611CBA">
            <w:pPr>
              <w:spacing w:line="0" w:lineRule="atLeast"/>
              <w:jc w:val="center"/>
              <w:rPr>
                <w:rFonts w:eastAsiaTheme="minorEastAsia"/>
                <w:snapToGrid w:val="0"/>
                <w:kern w:val="0"/>
                <w:lang w:val="zh-CN"/>
              </w:rPr>
            </w:pPr>
            <w:r w:rsidRPr="00FC1444">
              <w:rPr>
                <w:rFonts w:eastAsiaTheme="minorEastAsia"/>
                <w:snapToGrid w:val="0"/>
                <w:kern w:val="0"/>
                <w:lang w:val="zh-CN"/>
              </w:rPr>
              <w:t>168.0</w:t>
            </w:r>
          </w:p>
        </w:tc>
      </w:tr>
      <w:bookmarkEnd w:id="146"/>
    </w:tbl>
    <w:p w:rsidR="002A5A5E" w:rsidRPr="00FC1444" w:rsidRDefault="002A5A5E">
      <w:pPr>
        <w:spacing w:line="360" w:lineRule="auto"/>
        <w:rPr>
          <w:rFonts w:eastAsiaTheme="minorEastAsia"/>
          <w:sz w:val="24"/>
        </w:rPr>
        <w:sectPr w:rsidR="002A5A5E" w:rsidRPr="00FC1444">
          <w:pgSz w:w="11906" w:h="16838"/>
          <w:pgMar w:top="1440" w:right="1800" w:bottom="1440" w:left="1800" w:header="851" w:footer="992" w:gutter="0"/>
          <w:cols w:space="425"/>
          <w:docGrid w:type="lines" w:linePitch="312"/>
        </w:sectPr>
      </w:pPr>
    </w:p>
    <w:p w:rsidR="002A5A5E" w:rsidRPr="00FC1444"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47" w:name="_Toc477954582"/>
      <w:bookmarkStart w:id="148" w:name="_Toc208906248"/>
      <w:r w:rsidRPr="00FC1444">
        <w:rPr>
          <w:rFonts w:eastAsiaTheme="minorEastAsia"/>
          <w:b/>
          <w:kern w:val="0"/>
          <w:sz w:val="32"/>
          <w:szCs w:val="32"/>
        </w:rPr>
        <w:lastRenderedPageBreak/>
        <w:t>7</w:t>
      </w:r>
      <w:r w:rsidR="00FC1444" w:rsidRPr="00FC1444">
        <w:rPr>
          <w:rFonts w:eastAsiaTheme="minorEastAsia"/>
          <w:b/>
          <w:kern w:val="0"/>
          <w:sz w:val="32"/>
          <w:szCs w:val="32"/>
        </w:rPr>
        <w:t>生态</w:t>
      </w:r>
      <w:r w:rsidRPr="00FC1444">
        <w:rPr>
          <w:rFonts w:eastAsiaTheme="minorEastAsia"/>
          <w:b/>
          <w:kern w:val="0"/>
          <w:sz w:val="32"/>
          <w:szCs w:val="32"/>
        </w:rPr>
        <w:t>环境影响经济损益分析</w:t>
      </w:r>
      <w:bookmarkEnd w:id="147"/>
      <w:bookmarkEnd w:id="148"/>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49" w:name="_Toc369009159"/>
      <w:bookmarkStart w:id="150" w:name="_Toc477954583"/>
      <w:bookmarkStart w:id="151" w:name="_Toc208906249"/>
      <w:r w:rsidRPr="00FC1444">
        <w:rPr>
          <w:rFonts w:eastAsiaTheme="minorEastAsia"/>
          <w:b/>
          <w:bCs/>
          <w:kern w:val="44"/>
          <w:sz w:val="30"/>
          <w:szCs w:val="30"/>
        </w:rPr>
        <w:t>7.1</w:t>
      </w:r>
      <w:bookmarkEnd w:id="149"/>
      <w:bookmarkEnd w:id="150"/>
      <w:r w:rsidRPr="00FC1444">
        <w:rPr>
          <w:rFonts w:eastAsiaTheme="minorEastAsia"/>
          <w:b/>
          <w:bCs/>
          <w:kern w:val="44"/>
          <w:sz w:val="30"/>
          <w:szCs w:val="30"/>
        </w:rPr>
        <w:t>社会经济效益分析</w:t>
      </w:r>
      <w:bookmarkEnd w:id="151"/>
    </w:p>
    <w:p w:rsidR="002A5A5E" w:rsidRPr="00FC1444" w:rsidRDefault="00611CBA">
      <w:pPr>
        <w:spacing w:line="360" w:lineRule="auto"/>
        <w:ind w:firstLineChars="196" w:firstLine="470"/>
        <w:rPr>
          <w:rFonts w:eastAsiaTheme="minorEastAsia"/>
          <w:sz w:val="24"/>
        </w:rPr>
      </w:pPr>
      <w:r w:rsidRPr="00FC1444">
        <w:rPr>
          <w:rFonts w:eastAsiaTheme="minorEastAsia"/>
          <w:sz w:val="24"/>
        </w:rPr>
        <w:t>项目区建设高标准农田面积</w:t>
      </w:r>
      <w:r w:rsidR="00E439C3" w:rsidRPr="00FC1444">
        <w:rPr>
          <w:rFonts w:eastAsiaTheme="minorEastAsia" w:hint="eastAsia"/>
          <w:sz w:val="24"/>
        </w:rPr>
        <w:t>21</w:t>
      </w:r>
      <w:r w:rsidRPr="00FC1444">
        <w:rPr>
          <w:rFonts w:eastAsiaTheme="minorEastAsia"/>
          <w:sz w:val="24"/>
        </w:rPr>
        <w:t>万亩，其中：玉米</w:t>
      </w:r>
      <w:r w:rsidR="00E439C3" w:rsidRPr="00FC1444">
        <w:rPr>
          <w:rFonts w:eastAsiaTheme="minorEastAsia" w:hint="eastAsia"/>
          <w:sz w:val="24"/>
        </w:rPr>
        <w:t>11.84</w:t>
      </w:r>
      <w:r w:rsidRPr="00FC1444">
        <w:rPr>
          <w:rFonts w:eastAsiaTheme="minorEastAsia"/>
          <w:sz w:val="24"/>
        </w:rPr>
        <w:t>万亩，水稻</w:t>
      </w:r>
      <w:r w:rsidR="00E439C3" w:rsidRPr="00FC1444">
        <w:rPr>
          <w:rFonts w:eastAsiaTheme="minorEastAsia" w:hint="eastAsia"/>
          <w:sz w:val="24"/>
        </w:rPr>
        <w:t>9.16</w:t>
      </w:r>
      <w:r w:rsidR="00E439C3" w:rsidRPr="00FC1444">
        <w:rPr>
          <w:rFonts w:eastAsiaTheme="minorEastAsia"/>
          <w:sz w:val="24"/>
        </w:rPr>
        <w:t>万亩。目前，</w:t>
      </w:r>
      <w:r w:rsidRPr="00FC1444">
        <w:rPr>
          <w:rFonts w:eastAsiaTheme="minorEastAsia"/>
          <w:sz w:val="24"/>
        </w:rPr>
        <w:t>玉米亩产</w:t>
      </w:r>
      <w:r w:rsidR="00740C2F" w:rsidRPr="00FC1444">
        <w:rPr>
          <w:rFonts w:eastAsiaTheme="minorEastAsia" w:hint="eastAsia"/>
          <w:sz w:val="24"/>
        </w:rPr>
        <w:t>420</w:t>
      </w:r>
      <w:r w:rsidRPr="00FC1444">
        <w:rPr>
          <w:rFonts w:eastAsiaTheme="minorEastAsia"/>
          <w:sz w:val="24"/>
        </w:rPr>
        <w:t>kg</w:t>
      </w:r>
      <w:r w:rsidRPr="00FC1444">
        <w:rPr>
          <w:rFonts w:eastAsiaTheme="minorEastAsia"/>
          <w:sz w:val="24"/>
        </w:rPr>
        <w:t>，水稻亩产</w:t>
      </w:r>
      <w:r w:rsidR="00740C2F" w:rsidRPr="00FC1444">
        <w:rPr>
          <w:rFonts w:eastAsiaTheme="minorEastAsia" w:hint="eastAsia"/>
          <w:sz w:val="24"/>
        </w:rPr>
        <w:t>475</w:t>
      </w:r>
      <w:r w:rsidRPr="00FC1444">
        <w:rPr>
          <w:rFonts w:eastAsiaTheme="minorEastAsia"/>
          <w:sz w:val="24"/>
        </w:rPr>
        <w:t>kg</w:t>
      </w:r>
      <w:r w:rsidRPr="00FC1444">
        <w:rPr>
          <w:rFonts w:eastAsiaTheme="minorEastAsia"/>
          <w:sz w:val="24"/>
        </w:rPr>
        <w:t>，项目建成达产后，玉米亩产</w:t>
      </w:r>
      <w:r w:rsidR="00740C2F" w:rsidRPr="00FC1444">
        <w:rPr>
          <w:rFonts w:eastAsiaTheme="minorEastAsia" w:hint="eastAsia"/>
          <w:sz w:val="24"/>
        </w:rPr>
        <w:t>500</w:t>
      </w:r>
      <w:r w:rsidRPr="00FC1444">
        <w:rPr>
          <w:rFonts w:eastAsiaTheme="minorEastAsia"/>
          <w:sz w:val="24"/>
        </w:rPr>
        <w:t>kg</w:t>
      </w:r>
      <w:r w:rsidRPr="00FC1444">
        <w:rPr>
          <w:rFonts w:eastAsiaTheme="minorEastAsia"/>
          <w:sz w:val="24"/>
        </w:rPr>
        <w:t>，水稻亩产</w:t>
      </w:r>
      <w:r w:rsidRPr="00FC1444">
        <w:rPr>
          <w:rFonts w:eastAsiaTheme="minorEastAsia"/>
          <w:sz w:val="24"/>
        </w:rPr>
        <w:t>5</w:t>
      </w:r>
      <w:r w:rsidR="00740C2F" w:rsidRPr="00FC1444">
        <w:rPr>
          <w:rFonts w:eastAsiaTheme="minorEastAsia" w:hint="eastAsia"/>
          <w:sz w:val="24"/>
        </w:rPr>
        <w:t>2</w:t>
      </w:r>
      <w:r w:rsidRPr="00FC1444">
        <w:rPr>
          <w:rFonts w:eastAsiaTheme="minorEastAsia"/>
          <w:sz w:val="24"/>
        </w:rPr>
        <w:t>0kg</w:t>
      </w:r>
      <w:r w:rsidRPr="00FC1444">
        <w:rPr>
          <w:rFonts w:eastAsiaTheme="minorEastAsia"/>
          <w:sz w:val="24"/>
        </w:rPr>
        <w:t>。粮食年增加产量</w:t>
      </w:r>
      <w:r w:rsidR="00740C2F" w:rsidRPr="00FC1444">
        <w:rPr>
          <w:rFonts w:eastAsiaTheme="minorEastAsia" w:hint="eastAsia"/>
          <w:sz w:val="24"/>
        </w:rPr>
        <w:t>1154</w:t>
      </w:r>
      <w:r w:rsidRPr="00FC1444">
        <w:rPr>
          <w:rFonts w:eastAsiaTheme="minorEastAsia"/>
          <w:sz w:val="24"/>
        </w:rPr>
        <w:t>万</w:t>
      </w:r>
      <w:r w:rsidRPr="00FC1444">
        <w:rPr>
          <w:rFonts w:eastAsiaTheme="minorEastAsia"/>
          <w:sz w:val="24"/>
        </w:rPr>
        <w:t>kg</w:t>
      </w:r>
      <w:r w:rsidRPr="00FC1444">
        <w:rPr>
          <w:rFonts w:eastAsiaTheme="minorEastAsia"/>
          <w:sz w:val="24"/>
        </w:rPr>
        <w:t>，</w:t>
      </w:r>
      <w:r w:rsidR="00740C2F" w:rsidRPr="00FC1444">
        <w:rPr>
          <w:rFonts w:eastAsiaTheme="minorEastAsia"/>
          <w:sz w:val="24"/>
        </w:rPr>
        <w:t>年</w:t>
      </w:r>
      <w:r w:rsidR="00740C2F" w:rsidRPr="00FC1444">
        <w:rPr>
          <w:rFonts w:eastAsiaTheme="minorEastAsia" w:hint="eastAsia"/>
          <w:sz w:val="24"/>
        </w:rPr>
        <w:t>增加产值</w:t>
      </w:r>
      <w:r w:rsidR="00740C2F" w:rsidRPr="00FC1444">
        <w:rPr>
          <w:rFonts w:eastAsiaTheme="minorEastAsia" w:hint="eastAsia"/>
          <w:sz w:val="24"/>
        </w:rPr>
        <w:t>3707.82</w:t>
      </w:r>
      <w:r w:rsidR="00740C2F" w:rsidRPr="00FC1444">
        <w:rPr>
          <w:rFonts w:eastAsiaTheme="minorEastAsia" w:hint="eastAsia"/>
          <w:sz w:val="24"/>
        </w:rPr>
        <w:t>万元，年增加纯收入</w:t>
      </w:r>
      <w:r w:rsidR="00740C2F" w:rsidRPr="00FC1444">
        <w:rPr>
          <w:rFonts w:eastAsiaTheme="minorEastAsia" w:hint="eastAsia"/>
          <w:sz w:val="24"/>
        </w:rPr>
        <w:t>1420.86</w:t>
      </w:r>
      <w:r w:rsidR="00740C2F" w:rsidRPr="00FC1444">
        <w:rPr>
          <w:rFonts w:eastAsiaTheme="minorEastAsia" w:hint="eastAsia"/>
          <w:sz w:val="24"/>
        </w:rPr>
        <w:t>万元</w:t>
      </w:r>
      <w:r w:rsidRPr="00FC1444">
        <w:rPr>
          <w:rFonts w:eastAsiaTheme="minorEastAsia"/>
          <w:sz w:val="24"/>
        </w:rPr>
        <w:t>。</w:t>
      </w:r>
    </w:p>
    <w:p w:rsidR="002A5A5E" w:rsidRPr="00FC1444" w:rsidRDefault="00611CBA">
      <w:pPr>
        <w:spacing w:line="360" w:lineRule="auto"/>
        <w:ind w:firstLineChars="196" w:firstLine="470"/>
        <w:rPr>
          <w:rFonts w:eastAsiaTheme="minorEastAsia"/>
          <w:sz w:val="24"/>
        </w:rPr>
      </w:pPr>
      <w:r w:rsidRPr="00FC1444">
        <w:rPr>
          <w:rFonts w:eastAsiaTheme="minorEastAsia"/>
          <w:sz w:val="24"/>
        </w:rPr>
        <w:t>农田道路等的建设，主要完善了当地的农业交通条件，为当地农业机械化作业提供了便利的条件，提高了农业生产效率。便利的交通运输条件能够减少人力的投入，减少运输损耗，实现间接促进增产的目的。</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项目建成后，可充分合理地利用当地资源，实现资源的科学配置，全面启动市场农业，不仅促进农民增收，而且可有力的促进</w:t>
      </w:r>
      <w:r w:rsidR="000E00D5" w:rsidRPr="00FC1444">
        <w:rPr>
          <w:rFonts w:eastAsiaTheme="minorEastAsia"/>
          <w:sz w:val="24"/>
        </w:rPr>
        <w:t>绥化</w:t>
      </w:r>
      <w:r w:rsidRPr="00FC1444">
        <w:rPr>
          <w:rFonts w:eastAsiaTheme="minorEastAsia"/>
          <w:sz w:val="24"/>
        </w:rPr>
        <w:t>市农业的可持续发展，具有一定的社会正效益。</w:t>
      </w: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52" w:name="_Toc528847181"/>
      <w:bookmarkStart w:id="153" w:name="_Toc208906250"/>
      <w:bookmarkStart w:id="154" w:name="_Toc15991709"/>
      <w:r w:rsidRPr="00FC1444">
        <w:rPr>
          <w:rFonts w:eastAsiaTheme="minorEastAsia"/>
          <w:b/>
          <w:bCs/>
          <w:kern w:val="44"/>
          <w:sz w:val="30"/>
          <w:szCs w:val="30"/>
        </w:rPr>
        <w:t>7.2</w:t>
      </w:r>
      <w:r w:rsidRPr="00FC1444">
        <w:rPr>
          <w:rFonts w:eastAsiaTheme="minorEastAsia"/>
          <w:b/>
          <w:bCs/>
          <w:kern w:val="44"/>
          <w:sz w:val="30"/>
          <w:szCs w:val="30"/>
        </w:rPr>
        <w:t>环境效益分析</w:t>
      </w:r>
      <w:bookmarkEnd w:id="152"/>
      <w:bookmarkEnd w:id="153"/>
      <w:bookmarkEnd w:id="154"/>
    </w:p>
    <w:p w:rsidR="002A5A5E" w:rsidRPr="00FC1444" w:rsidRDefault="00611CBA">
      <w:pPr>
        <w:widowControl/>
        <w:spacing w:line="360" w:lineRule="auto"/>
        <w:ind w:firstLineChars="200" w:firstLine="480"/>
        <w:jc w:val="left"/>
        <w:rPr>
          <w:rFonts w:eastAsiaTheme="minorEastAsia"/>
          <w:kern w:val="0"/>
          <w:sz w:val="24"/>
        </w:rPr>
      </w:pPr>
      <w:r w:rsidRPr="00FC1444">
        <w:rPr>
          <w:rFonts w:eastAsiaTheme="minorEastAsia"/>
          <w:kern w:val="0"/>
          <w:sz w:val="24"/>
        </w:rPr>
        <w:t>本项目为</w:t>
      </w:r>
      <w:r w:rsidRPr="00FC1444">
        <w:rPr>
          <w:rFonts w:eastAsiaTheme="minorEastAsia"/>
          <w:sz w:val="24"/>
        </w:rPr>
        <w:t>高标准农田建设</w:t>
      </w:r>
      <w:r w:rsidRPr="00FC1444">
        <w:rPr>
          <w:rFonts w:eastAsiaTheme="minorEastAsia"/>
          <w:kern w:val="0"/>
          <w:sz w:val="24"/>
        </w:rPr>
        <w:t>项目，改善了各项目区整体生态环境，土地提高了保水保肥的能力，对调节区域气候、保护环境都有积极的影响；完善了建设区域的涵洞、道路等农田配套建设，提高了农业综合生产能力，减少道路扬尘产生。通过田间基础建设，使基本农田得到很好的保护，水、能、气、热更加协调。</w:t>
      </w:r>
    </w:p>
    <w:p w:rsidR="002A5A5E" w:rsidRPr="00FC1444" w:rsidRDefault="00611CBA">
      <w:pPr>
        <w:keepNext/>
        <w:keepLines/>
        <w:spacing w:before="100" w:beforeAutospacing="1" w:after="100" w:afterAutospacing="1"/>
        <w:outlineLvl w:val="2"/>
        <w:rPr>
          <w:rFonts w:eastAsiaTheme="minorEastAsia"/>
          <w:b/>
          <w:sz w:val="28"/>
          <w:szCs w:val="28"/>
        </w:rPr>
      </w:pPr>
      <w:bookmarkStart w:id="155" w:name="_Toc15991712"/>
      <w:bookmarkStart w:id="156" w:name="_Toc528847184"/>
      <w:r w:rsidRPr="00FC1444">
        <w:rPr>
          <w:rFonts w:eastAsiaTheme="minorEastAsia"/>
          <w:b/>
          <w:sz w:val="28"/>
          <w:szCs w:val="28"/>
        </w:rPr>
        <w:t>7.2.1</w:t>
      </w:r>
      <w:r w:rsidRPr="00FC1444">
        <w:rPr>
          <w:rFonts w:eastAsiaTheme="minorEastAsia"/>
          <w:b/>
          <w:sz w:val="28"/>
          <w:szCs w:val="28"/>
        </w:rPr>
        <w:t>环境损失分析</w:t>
      </w:r>
      <w:bookmarkEnd w:id="155"/>
      <w:bookmarkEnd w:id="156"/>
    </w:p>
    <w:p w:rsidR="002A5A5E" w:rsidRPr="00FC1444" w:rsidRDefault="00611CBA">
      <w:pPr>
        <w:widowControl/>
        <w:spacing w:line="360" w:lineRule="auto"/>
        <w:ind w:firstLineChars="200" w:firstLine="480"/>
        <w:jc w:val="left"/>
        <w:rPr>
          <w:rFonts w:eastAsiaTheme="minorEastAsia"/>
          <w:kern w:val="0"/>
          <w:sz w:val="24"/>
        </w:rPr>
      </w:pPr>
      <w:r w:rsidRPr="00FC1444">
        <w:rPr>
          <w:rFonts w:eastAsiaTheme="minorEastAsia"/>
          <w:kern w:val="0"/>
          <w:sz w:val="24"/>
        </w:rPr>
        <w:t>根据环境经济学理论，如果建设项目引起环境质量下降，则恢复环境质量或生产性资产所花费的费用可作为环境效益损失的最低估价。工程以减免工程对环境不利影响或恢复、补偿环境效益所采取的保护和补偿措施费用作为反映工程影响损失大小的尺度，计算损失值。</w:t>
      </w:r>
    </w:p>
    <w:p w:rsidR="002A5A5E" w:rsidRPr="00FC1444" w:rsidRDefault="00611CBA">
      <w:pPr>
        <w:widowControl/>
        <w:spacing w:line="360" w:lineRule="auto"/>
        <w:ind w:firstLineChars="200" w:firstLine="480"/>
        <w:jc w:val="left"/>
        <w:rPr>
          <w:rFonts w:eastAsiaTheme="minorEastAsia"/>
          <w:kern w:val="0"/>
          <w:sz w:val="24"/>
        </w:rPr>
      </w:pPr>
      <w:r w:rsidRPr="00FC1444">
        <w:rPr>
          <w:rFonts w:eastAsiaTheme="minorEastAsia"/>
          <w:kern w:val="0"/>
          <w:sz w:val="24"/>
        </w:rPr>
        <w:t>根据本项目环境特点，为减免、恢复或补偿不利环境影响所采取的环境保护措施主要包括以下内容：大气污染控制措施、固体废弃物处理措施、噪声</w:t>
      </w:r>
    </w:p>
    <w:p w:rsidR="002A5A5E" w:rsidRPr="00FC1444" w:rsidRDefault="00611CBA">
      <w:pPr>
        <w:widowControl/>
        <w:spacing w:line="360" w:lineRule="auto"/>
        <w:jc w:val="left"/>
        <w:rPr>
          <w:rFonts w:eastAsiaTheme="minorEastAsia"/>
          <w:kern w:val="0"/>
          <w:sz w:val="24"/>
        </w:rPr>
      </w:pPr>
      <w:r w:rsidRPr="00FC1444">
        <w:rPr>
          <w:rFonts w:eastAsiaTheme="minorEastAsia"/>
          <w:kern w:val="0"/>
          <w:sz w:val="24"/>
        </w:rPr>
        <w:t>及生态环保及恢复措施等。工程环境保护措施总费用</w:t>
      </w:r>
      <w:r w:rsidRPr="00FC1444">
        <w:rPr>
          <w:rFonts w:eastAsiaTheme="minorEastAsia"/>
          <w:kern w:val="0"/>
          <w:sz w:val="24"/>
        </w:rPr>
        <w:t>168.0</w:t>
      </w:r>
      <w:r w:rsidRPr="00FC1444">
        <w:rPr>
          <w:rFonts w:eastAsiaTheme="minorEastAsia"/>
          <w:kern w:val="0"/>
          <w:sz w:val="24"/>
        </w:rPr>
        <w:t>万元。</w:t>
      </w:r>
    </w:p>
    <w:p w:rsidR="002A5A5E" w:rsidRPr="00FC1444" w:rsidRDefault="00611CBA">
      <w:pPr>
        <w:keepNext/>
        <w:keepLines/>
        <w:spacing w:before="100" w:beforeAutospacing="1" w:after="100" w:afterAutospacing="1"/>
        <w:outlineLvl w:val="2"/>
        <w:rPr>
          <w:rFonts w:eastAsiaTheme="minorEastAsia"/>
          <w:b/>
          <w:sz w:val="28"/>
          <w:szCs w:val="28"/>
        </w:rPr>
      </w:pPr>
      <w:bookmarkStart w:id="157" w:name="_Toc528847185"/>
      <w:bookmarkStart w:id="158" w:name="_Toc15991713"/>
      <w:r w:rsidRPr="00FC1444">
        <w:rPr>
          <w:rFonts w:eastAsiaTheme="minorEastAsia"/>
          <w:b/>
          <w:sz w:val="28"/>
          <w:szCs w:val="28"/>
        </w:rPr>
        <w:lastRenderedPageBreak/>
        <w:t>7.2.</w:t>
      </w:r>
      <w:bookmarkEnd w:id="157"/>
      <w:bookmarkEnd w:id="158"/>
      <w:r w:rsidRPr="00FC1444">
        <w:rPr>
          <w:rFonts w:eastAsiaTheme="minorEastAsia"/>
          <w:b/>
          <w:sz w:val="28"/>
          <w:szCs w:val="28"/>
        </w:rPr>
        <w:t>2</w:t>
      </w:r>
      <w:r w:rsidRPr="00FC1444">
        <w:rPr>
          <w:rFonts w:eastAsiaTheme="minorEastAsia"/>
          <w:b/>
          <w:sz w:val="28"/>
          <w:szCs w:val="28"/>
        </w:rPr>
        <w:t>环境经济损益分析结论</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kern w:val="0"/>
          <w:sz w:val="24"/>
        </w:rPr>
        <w:t>本项目产生的效益大于环保投资。因此，总体来看，本工程产生的经济环境效益大于环境损失工程具有正效益</w:t>
      </w:r>
      <w:r w:rsidRPr="00FC1444">
        <w:rPr>
          <w:rFonts w:eastAsiaTheme="minorEastAsia"/>
          <w:sz w:val="24"/>
        </w:rPr>
        <w:t>。</w:t>
      </w:r>
    </w:p>
    <w:p w:rsidR="002A5A5E" w:rsidRPr="00FC1444" w:rsidRDefault="00611CBA">
      <w:pPr>
        <w:spacing w:line="360" w:lineRule="auto"/>
        <w:ind w:firstLineChars="200" w:firstLine="480"/>
        <w:contextualSpacing/>
        <w:rPr>
          <w:rFonts w:eastAsiaTheme="minorEastAsia"/>
          <w:sz w:val="24"/>
        </w:rPr>
        <w:sectPr w:rsidR="002A5A5E" w:rsidRPr="00FC1444">
          <w:pgSz w:w="11906" w:h="16838"/>
          <w:pgMar w:top="1440" w:right="1797" w:bottom="1440" w:left="1797" w:header="851" w:footer="992" w:gutter="0"/>
          <w:cols w:space="425"/>
          <w:docGrid w:type="linesAndChars" w:linePitch="326"/>
        </w:sectPr>
      </w:pPr>
      <w:r w:rsidRPr="00FC1444">
        <w:rPr>
          <w:rFonts w:eastAsiaTheme="minorEastAsia"/>
          <w:sz w:val="24"/>
        </w:rPr>
        <w:t>综上所述，由环境影响导致的经济损失较拟建项目带来的环境效益和经济效益要小得多，工程的建设将产生广泛的经济效益，</w:t>
      </w:r>
      <w:r w:rsidRPr="00FC1444">
        <w:rPr>
          <w:rFonts w:eastAsiaTheme="minorEastAsia"/>
          <w:kern w:val="0"/>
          <w:sz w:val="24"/>
        </w:rPr>
        <w:t>提高粮食产量，</w:t>
      </w:r>
      <w:r w:rsidRPr="00FC1444">
        <w:rPr>
          <w:rFonts w:eastAsiaTheme="minorEastAsia"/>
          <w:sz w:val="24"/>
        </w:rPr>
        <w:t>拉动地区经济增长和社会发展，同时在环境保护方面也是可以接受的。</w:t>
      </w:r>
    </w:p>
    <w:p w:rsidR="002A5A5E" w:rsidRPr="00FC1444"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59" w:name="_Toc477954588"/>
      <w:bookmarkStart w:id="160" w:name="_Toc208906251"/>
      <w:r w:rsidRPr="00FC1444">
        <w:rPr>
          <w:rFonts w:eastAsiaTheme="minorEastAsia"/>
          <w:b/>
          <w:kern w:val="0"/>
          <w:sz w:val="32"/>
          <w:szCs w:val="32"/>
        </w:rPr>
        <w:lastRenderedPageBreak/>
        <w:t>8</w:t>
      </w:r>
      <w:r w:rsidRPr="00FC1444">
        <w:rPr>
          <w:rFonts w:eastAsiaTheme="minorEastAsia"/>
          <w:b/>
          <w:kern w:val="0"/>
          <w:sz w:val="32"/>
          <w:szCs w:val="32"/>
        </w:rPr>
        <w:t>环境管理与监测计划</w:t>
      </w:r>
      <w:bookmarkEnd w:id="159"/>
      <w:bookmarkEnd w:id="160"/>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61" w:name="_Toc208906252"/>
      <w:bookmarkStart w:id="162" w:name="_Toc477954589"/>
      <w:r w:rsidRPr="00FC1444">
        <w:rPr>
          <w:rFonts w:eastAsiaTheme="minorEastAsia"/>
          <w:b/>
          <w:bCs/>
          <w:kern w:val="44"/>
          <w:sz w:val="30"/>
          <w:szCs w:val="30"/>
        </w:rPr>
        <w:t>8.1</w:t>
      </w:r>
      <w:r w:rsidRPr="00FC1444">
        <w:rPr>
          <w:rFonts w:eastAsiaTheme="minorEastAsia"/>
          <w:b/>
          <w:bCs/>
          <w:kern w:val="44"/>
          <w:sz w:val="30"/>
          <w:szCs w:val="30"/>
        </w:rPr>
        <w:t>环境管理</w:t>
      </w:r>
      <w:bookmarkEnd w:id="161"/>
      <w:bookmarkEnd w:id="162"/>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环境管理是以环境科学理论为基础，运用经济、法律、技术、行政、教育等手段对经济、社会发展过程中施加给环境的污染和破坏影响进行调节控制，实现经济、社会和环境效益的和谐统一。</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为全面贯彻和落实国家及地方环保法律法规，加强企业内部污染物排放监督控制，本项目将环境保护纳入企业管理和生产计划之中，企业内部必须建立相应的环境管理机构及监控计划。</w:t>
      </w:r>
    </w:p>
    <w:p w:rsidR="002A5A5E" w:rsidRPr="00FC1444" w:rsidRDefault="00A4540D">
      <w:pPr>
        <w:spacing w:line="360" w:lineRule="auto"/>
        <w:ind w:firstLineChars="200" w:firstLine="480"/>
        <w:contextualSpacing/>
        <w:rPr>
          <w:rFonts w:eastAsiaTheme="minorEastAsia"/>
          <w:sz w:val="24"/>
        </w:rPr>
      </w:pPr>
      <w:bookmarkStart w:id="163" w:name="_Toc342462534"/>
      <w:bookmarkStart w:id="164" w:name="_Toc477954590"/>
      <w:r w:rsidRPr="00FC1444">
        <w:rPr>
          <w:rFonts w:eastAsiaTheme="minorEastAsia"/>
          <w:sz w:val="24"/>
        </w:rPr>
        <w:t>（</w:t>
      </w:r>
      <w:r w:rsidRPr="00FC1444">
        <w:rPr>
          <w:rFonts w:eastAsiaTheme="minorEastAsia"/>
          <w:sz w:val="24"/>
        </w:rPr>
        <w:t>1</w:t>
      </w:r>
      <w:r w:rsidRPr="00FC1444">
        <w:rPr>
          <w:rFonts w:eastAsiaTheme="minorEastAsia"/>
          <w:sz w:val="24"/>
        </w:rPr>
        <w:t>）</w:t>
      </w:r>
      <w:r w:rsidR="00611CBA" w:rsidRPr="00FC1444">
        <w:rPr>
          <w:rFonts w:eastAsiaTheme="minorEastAsia"/>
          <w:sz w:val="24"/>
        </w:rPr>
        <w:t>环境管理体系</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本工程环境管理体系由建设单位环境管理办公室、环境监理机构、承包商环境管理办公室组成，并由政府职能部门参与管理。为了使工程环境保护措施得以切实有效的实施，达到工程建设与环境保护协调发展，工程环境管理除实行环境管理机构统一管理、各承包商、环保项目实施部门分级管理和政府环境保护部门宏观监督外，必须建立工程建设环境监理制度，形成完整的环境管理体系，以确保工程建设环境保护总体目标的实现。</w:t>
      </w:r>
    </w:p>
    <w:p w:rsidR="002A5A5E" w:rsidRPr="00FC1444" w:rsidRDefault="00A4540D">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2</w:t>
      </w:r>
      <w:r w:rsidRPr="00FC1444">
        <w:rPr>
          <w:rFonts w:ascii="Times New Roman" w:hAnsi="Times New Roman" w:cs="Times New Roman"/>
        </w:rPr>
        <w:t>）</w:t>
      </w:r>
      <w:r w:rsidR="00611CBA" w:rsidRPr="00FC1444">
        <w:rPr>
          <w:rFonts w:ascii="Times New Roman" w:hAnsi="Times New Roman" w:cs="Times New Roman"/>
        </w:rPr>
        <w:t>环境管理机构职能及职责</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1</w:t>
      </w:r>
      <w:r w:rsidRPr="00FC1444">
        <w:rPr>
          <w:rFonts w:ascii="Times New Roman" w:hAnsi="Times New Roman" w:cs="Times New Roman"/>
        </w:rPr>
        <w:t>）基本职能</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根据国家环境保护管理的规定，应设置工程环境保护管理机构。环境保护管理机构是工程管理机构的重要组成部分，在业务上接受当地生态环境主管部门的指导。</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2</w:t>
      </w:r>
      <w:r w:rsidRPr="00FC1444">
        <w:rPr>
          <w:rFonts w:ascii="Times New Roman" w:hAnsi="Times New Roman" w:cs="Times New Roman"/>
        </w:rPr>
        <w:t>）主要工作职责</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a.</w:t>
      </w:r>
      <w:r w:rsidRPr="00FC1444">
        <w:rPr>
          <w:rFonts w:ascii="Times New Roman" w:hAnsi="Times New Roman" w:cs="Times New Roman"/>
        </w:rPr>
        <w:t>督促、检查本企业执行国家环境保护方针、政策、法规及本企业环境保护制度；</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b.</w:t>
      </w:r>
      <w:r w:rsidRPr="00FC1444">
        <w:rPr>
          <w:rFonts w:ascii="Times New Roman" w:hAnsi="Times New Roman" w:cs="Times New Roman"/>
        </w:rPr>
        <w:t>拟定本企业环境管理办法，按照国家和地区的规定制定本企业污染物排放指标和污染综合防治的经济技术原则，做好企业升级环保考核工作；</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c.</w:t>
      </w:r>
      <w:r w:rsidRPr="00FC1444">
        <w:rPr>
          <w:rFonts w:ascii="Times New Roman" w:hAnsi="Times New Roman" w:cs="Times New Roman"/>
        </w:rPr>
        <w:t>负责组织污染源调查，填写环保报表；</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d.</w:t>
      </w:r>
      <w:r w:rsidRPr="00FC1444">
        <w:rPr>
          <w:rFonts w:ascii="Times New Roman" w:hAnsi="Times New Roman" w:cs="Times New Roman"/>
        </w:rPr>
        <w:t>组织推动本企业在基本建设、技术改造中，贯彻执行</w:t>
      </w:r>
      <w:r w:rsidRPr="00FC1444">
        <w:rPr>
          <w:rFonts w:ascii="Times New Roman" w:hAnsi="Times New Roman" w:cs="Times New Roman"/>
        </w:rPr>
        <w:t>“</w:t>
      </w:r>
      <w:r w:rsidRPr="00FC1444">
        <w:rPr>
          <w:rFonts w:ascii="Times New Roman" w:hAnsi="Times New Roman" w:cs="Times New Roman"/>
        </w:rPr>
        <w:t>三同时</w:t>
      </w:r>
      <w:r w:rsidRPr="00FC1444">
        <w:rPr>
          <w:rFonts w:ascii="Times New Roman" w:hAnsi="Times New Roman" w:cs="Times New Roman"/>
        </w:rPr>
        <w:t>”</w:t>
      </w:r>
      <w:r w:rsidRPr="00FC1444">
        <w:rPr>
          <w:rFonts w:ascii="Times New Roman" w:hAnsi="Times New Roman" w:cs="Times New Roman"/>
        </w:rPr>
        <w:t>的规定，并参加有关方案的审定及竣工验收工作；</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lastRenderedPageBreak/>
        <w:t>e.</w:t>
      </w:r>
      <w:r w:rsidRPr="00FC1444">
        <w:rPr>
          <w:rFonts w:ascii="Times New Roman" w:hAnsi="Times New Roman" w:cs="Times New Roman"/>
        </w:rPr>
        <w:t>加强与主管环保部门的联系，会同有关单位做好环境预测，制定企业环境保护长远规划和年度计划，并督促实施；</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f.</w:t>
      </w:r>
      <w:r w:rsidRPr="00FC1444">
        <w:rPr>
          <w:rFonts w:ascii="Times New Roman" w:hAnsi="Times New Roman" w:cs="Times New Roman"/>
        </w:rPr>
        <w:t>组织有关部门和人员，检查企业环境质量状况及发展趋势；</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g.</w:t>
      </w:r>
      <w:r w:rsidRPr="00FC1444">
        <w:rPr>
          <w:rFonts w:ascii="Times New Roman" w:hAnsi="Times New Roman" w:cs="Times New Roman"/>
        </w:rPr>
        <w:t>负责组织本企业污染事故的调查与处理；</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h.</w:t>
      </w:r>
      <w:r w:rsidRPr="00FC1444">
        <w:rPr>
          <w:rFonts w:ascii="Times New Roman" w:hAnsi="Times New Roman" w:cs="Times New Roman"/>
        </w:rPr>
        <w:t>做好企业环境统计工作，建立环境保护档案；</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i.</w:t>
      </w:r>
      <w:r w:rsidRPr="00FC1444">
        <w:rPr>
          <w:rFonts w:ascii="Times New Roman" w:hAnsi="Times New Roman" w:cs="Times New Roman"/>
        </w:rPr>
        <w:t>会同有关单位组织开展清洁生产活动，负责广泛开展环境宣传教育活动，普及环境科学知识，推动清洁生产活动的深度开展。</w:t>
      </w:r>
    </w:p>
    <w:p w:rsidR="002A5A5E" w:rsidRPr="00FC1444" w:rsidRDefault="00A4540D">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3</w:t>
      </w:r>
      <w:r w:rsidRPr="00FC1444">
        <w:rPr>
          <w:rFonts w:ascii="Times New Roman" w:hAnsi="Times New Roman" w:cs="Times New Roman"/>
        </w:rPr>
        <w:t>）</w:t>
      </w:r>
      <w:r w:rsidR="00611CBA" w:rsidRPr="00FC1444">
        <w:rPr>
          <w:rFonts w:ascii="Times New Roman" w:hAnsi="Times New Roman" w:cs="Times New Roman"/>
        </w:rPr>
        <w:t>企业管理</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1</w:t>
      </w:r>
      <w:r w:rsidRPr="00FC1444">
        <w:rPr>
          <w:rFonts w:ascii="Times New Roman" w:hAnsi="Times New Roman" w:cs="Times New Roman"/>
        </w:rPr>
        <w:t>）确保各项环保设施的正常运转，负责日常维护，并制定事故的应急处理方法；</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2</w:t>
      </w:r>
      <w:r w:rsidRPr="00FC1444">
        <w:rPr>
          <w:rFonts w:ascii="Times New Roman" w:hAnsi="Times New Roman" w:cs="Times New Roman"/>
        </w:rPr>
        <w:t>）负责企业的日常环境监测工作。</w:t>
      </w:r>
    </w:p>
    <w:p w:rsidR="002A5A5E" w:rsidRPr="00FC1444" w:rsidRDefault="00A4540D">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4</w:t>
      </w:r>
      <w:r w:rsidRPr="00FC1444">
        <w:rPr>
          <w:rFonts w:ascii="Times New Roman" w:hAnsi="Times New Roman" w:cs="Times New Roman"/>
        </w:rPr>
        <w:t>）</w:t>
      </w:r>
      <w:r w:rsidR="00611CBA" w:rsidRPr="00FC1444">
        <w:rPr>
          <w:rFonts w:ascii="Times New Roman" w:hAnsi="Times New Roman" w:cs="Times New Roman"/>
        </w:rPr>
        <w:t>农业科技应用与配套的管理要求</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1</w:t>
      </w:r>
      <w:r w:rsidRPr="00FC1444">
        <w:rPr>
          <w:rFonts w:ascii="Times New Roman" w:hAnsi="Times New Roman" w:cs="Times New Roman"/>
        </w:rPr>
        <w:t>）高标准农田建设应开展绿色</w:t>
      </w:r>
      <w:r w:rsidRPr="00FC1444">
        <w:rPr>
          <w:rFonts w:ascii="Times New Roman" w:hAnsi="Times New Roman" w:cs="Times New Roman"/>
        </w:rPr>
        <w:t>(</w:t>
      </w:r>
      <w:r w:rsidRPr="00FC1444">
        <w:rPr>
          <w:rFonts w:ascii="Times New Roman" w:hAnsi="Times New Roman" w:cs="Times New Roman"/>
        </w:rPr>
        <w:t>新</w:t>
      </w:r>
      <w:r w:rsidRPr="00FC1444">
        <w:rPr>
          <w:rFonts w:ascii="Times New Roman" w:hAnsi="Times New Roman" w:cs="Times New Roman"/>
        </w:rPr>
        <w:t>)</w:t>
      </w:r>
      <w:r w:rsidRPr="00FC1444">
        <w:rPr>
          <w:rFonts w:ascii="Times New Roman" w:hAnsi="Times New Roman" w:cs="Times New Roman"/>
        </w:rPr>
        <w:t>工艺、产品、技术、装备、模式的综合集成及示范推广应用。</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2</w:t>
      </w:r>
      <w:r w:rsidRPr="00FC1444">
        <w:rPr>
          <w:rFonts w:ascii="Times New Roman" w:hAnsi="Times New Roman" w:cs="Times New Roman"/>
        </w:rPr>
        <w:t>）高标准农田建成后，应加强农业科技配套与应用，推广良种良法。机械化耕种收综合作业水平、优良品种覆盖率、病虫害统防统治覆盖率应超过全国平均水平。有条件的地方应推广病虫害绿色防控保护性耕作和科学用水用肥用药技术及物联网、大数据、移动互联网、智能控制、卫星定位等信息技术。</w:t>
      </w:r>
    </w:p>
    <w:p w:rsidR="002A5A5E" w:rsidRPr="00FC1444" w:rsidRDefault="00611CBA">
      <w:pPr>
        <w:keepNext/>
        <w:keepLines/>
        <w:spacing w:before="100" w:beforeAutospacing="1" w:after="100" w:afterAutospacing="1"/>
        <w:outlineLvl w:val="2"/>
        <w:rPr>
          <w:rFonts w:eastAsiaTheme="minorEastAsia"/>
          <w:b/>
          <w:sz w:val="28"/>
          <w:szCs w:val="28"/>
        </w:rPr>
      </w:pPr>
      <w:bookmarkStart w:id="165" w:name="_Toc15991718"/>
      <w:r w:rsidRPr="00FC1444">
        <w:rPr>
          <w:rFonts w:eastAsiaTheme="minorEastAsia"/>
          <w:b/>
          <w:sz w:val="28"/>
          <w:szCs w:val="28"/>
        </w:rPr>
        <w:t>8.1.1</w:t>
      </w:r>
      <w:r w:rsidRPr="00FC1444">
        <w:rPr>
          <w:rFonts w:eastAsiaTheme="minorEastAsia"/>
          <w:b/>
          <w:sz w:val="28"/>
          <w:szCs w:val="28"/>
        </w:rPr>
        <w:t>施工期环境管理</w:t>
      </w:r>
      <w:bookmarkEnd w:id="165"/>
      <w:r w:rsidRPr="00FC1444">
        <w:rPr>
          <w:rFonts w:eastAsiaTheme="minorEastAsia"/>
          <w:b/>
          <w:sz w:val="28"/>
          <w:szCs w:val="28"/>
        </w:rPr>
        <w:t>要求</w:t>
      </w:r>
    </w:p>
    <w:p w:rsidR="002A5A5E" w:rsidRPr="00FC1444" w:rsidRDefault="00A4540D">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1</w:t>
      </w:r>
      <w:r w:rsidRPr="00FC1444">
        <w:rPr>
          <w:rFonts w:ascii="Times New Roman" w:hAnsi="Times New Roman" w:cs="Times New Roman"/>
        </w:rPr>
        <w:t>）</w:t>
      </w:r>
      <w:r w:rsidR="00611CBA" w:rsidRPr="00FC1444">
        <w:rPr>
          <w:rFonts w:ascii="Times New Roman" w:hAnsi="Times New Roman" w:cs="Times New Roman"/>
        </w:rPr>
        <w:t>环境管理机构对施工期环境保护工作全面负责，履行施工期各阶段环境管理职责。</w:t>
      </w:r>
    </w:p>
    <w:p w:rsidR="002A5A5E" w:rsidRPr="00FC1444" w:rsidRDefault="00A4540D">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2</w:t>
      </w:r>
      <w:r w:rsidRPr="00FC1444">
        <w:rPr>
          <w:rFonts w:ascii="Times New Roman" w:hAnsi="Times New Roman" w:cs="Times New Roman"/>
        </w:rPr>
        <w:t>）</w:t>
      </w:r>
      <w:r w:rsidR="00611CBA" w:rsidRPr="00FC1444">
        <w:rPr>
          <w:rFonts w:ascii="Times New Roman" w:hAnsi="Times New Roman" w:cs="Times New Roman"/>
        </w:rPr>
        <w:t>对施工队伍实行职责管理，要求施工队伍按要求文明施工，并做好监督、检查和教育工作。</w:t>
      </w:r>
    </w:p>
    <w:p w:rsidR="002A5A5E" w:rsidRPr="00FC1444" w:rsidRDefault="00A4540D">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3</w:t>
      </w:r>
      <w:r w:rsidRPr="00FC1444">
        <w:rPr>
          <w:rFonts w:ascii="Times New Roman" w:hAnsi="Times New Roman" w:cs="Times New Roman"/>
        </w:rPr>
        <w:t>）</w:t>
      </w:r>
      <w:r w:rsidR="00611CBA" w:rsidRPr="00FC1444">
        <w:rPr>
          <w:rFonts w:ascii="Times New Roman" w:hAnsi="Times New Roman" w:cs="Times New Roman"/>
        </w:rPr>
        <w:t>按照环保主管部门的要求和本报告书中有关环境保护对策措施对施工程序和场地布置实施统一安排。</w:t>
      </w:r>
    </w:p>
    <w:p w:rsidR="002A5A5E" w:rsidRPr="00FC1444" w:rsidRDefault="00611CBA">
      <w:pPr>
        <w:keepNext/>
        <w:keepLines/>
        <w:spacing w:before="100" w:beforeAutospacing="1" w:after="100" w:afterAutospacing="1"/>
        <w:outlineLvl w:val="2"/>
        <w:rPr>
          <w:rFonts w:eastAsiaTheme="minorEastAsia"/>
          <w:b/>
          <w:sz w:val="28"/>
          <w:szCs w:val="28"/>
        </w:rPr>
      </w:pPr>
      <w:bookmarkStart w:id="166" w:name="_Toc15991719"/>
      <w:r w:rsidRPr="00FC1444">
        <w:rPr>
          <w:rFonts w:eastAsiaTheme="minorEastAsia"/>
          <w:b/>
          <w:sz w:val="28"/>
          <w:szCs w:val="28"/>
        </w:rPr>
        <w:lastRenderedPageBreak/>
        <w:t>8.1.2</w:t>
      </w:r>
      <w:r w:rsidRPr="00FC1444">
        <w:rPr>
          <w:rFonts w:eastAsiaTheme="minorEastAsia"/>
          <w:b/>
          <w:sz w:val="28"/>
          <w:szCs w:val="28"/>
        </w:rPr>
        <w:t>运营期环境管理</w:t>
      </w:r>
      <w:bookmarkEnd w:id="166"/>
      <w:r w:rsidRPr="00FC1444">
        <w:rPr>
          <w:rFonts w:eastAsiaTheme="minorEastAsia"/>
          <w:b/>
          <w:sz w:val="28"/>
          <w:szCs w:val="28"/>
        </w:rPr>
        <w:t>要求</w:t>
      </w:r>
    </w:p>
    <w:p w:rsidR="002A5A5E" w:rsidRPr="00FC1444" w:rsidRDefault="00A4540D">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1</w:t>
      </w:r>
      <w:r w:rsidRPr="00FC1444">
        <w:rPr>
          <w:rFonts w:ascii="Times New Roman" w:hAnsi="Times New Roman" w:cs="Times New Roman"/>
        </w:rPr>
        <w:t>）</w:t>
      </w:r>
      <w:r w:rsidR="00611CBA" w:rsidRPr="00FC1444">
        <w:rPr>
          <w:rFonts w:ascii="Times New Roman" w:hAnsi="Times New Roman" w:cs="Times New Roman"/>
        </w:rPr>
        <w:t>“</w:t>
      </w:r>
      <w:r w:rsidR="00611CBA" w:rsidRPr="00FC1444">
        <w:rPr>
          <w:rFonts w:ascii="Times New Roman" w:hAnsi="Times New Roman" w:cs="Times New Roman"/>
        </w:rPr>
        <w:t>三同时</w:t>
      </w:r>
      <w:r w:rsidR="00611CBA" w:rsidRPr="00FC1444">
        <w:rPr>
          <w:rFonts w:ascii="Times New Roman" w:hAnsi="Times New Roman" w:cs="Times New Roman"/>
        </w:rPr>
        <w:t>”</w:t>
      </w:r>
      <w:r w:rsidR="00611CBA" w:rsidRPr="00FC1444">
        <w:rPr>
          <w:rFonts w:ascii="Times New Roman" w:hAnsi="Times New Roman" w:cs="Times New Roman"/>
        </w:rPr>
        <w:t>验收</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建设项目竣工后，建设单位向当地环境保护部门申请对项目配套建设的环保治理设施与主体工程竣工验收，然后本工程方可正式投产运行。</w:t>
      </w:r>
    </w:p>
    <w:p w:rsidR="002A5A5E" w:rsidRPr="00FC1444" w:rsidRDefault="00A4540D">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2</w:t>
      </w:r>
      <w:r w:rsidRPr="00FC1444">
        <w:rPr>
          <w:rFonts w:ascii="Times New Roman" w:hAnsi="Times New Roman" w:cs="Times New Roman"/>
        </w:rPr>
        <w:t>）</w:t>
      </w:r>
      <w:r w:rsidR="00611CBA" w:rsidRPr="00FC1444">
        <w:rPr>
          <w:rFonts w:ascii="Times New Roman" w:hAnsi="Times New Roman" w:cs="Times New Roman"/>
        </w:rPr>
        <w:t>教育培训</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定期组织对职工的环境教育与培训，提高全体职工的环保意识。推广应用环境保护先进技术和经验，开展有关环境保护的科研工作。</w:t>
      </w:r>
    </w:p>
    <w:p w:rsidR="002A5A5E" w:rsidRPr="00FC1444" w:rsidRDefault="00A4540D">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3</w:t>
      </w:r>
      <w:r w:rsidRPr="00FC1444">
        <w:rPr>
          <w:rFonts w:ascii="Times New Roman" w:hAnsi="Times New Roman" w:cs="Times New Roman"/>
        </w:rPr>
        <w:t>）</w:t>
      </w:r>
      <w:r w:rsidR="00611CBA" w:rsidRPr="00FC1444">
        <w:rPr>
          <w:rFonts w:ascii="Times New Roman" w:hAnsi="Times New Roman" w:cs="Times New Roman"/>
        </w:rPr>
        <w:t>加强监管</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县级以上人民政府农业农村主管部门鼓励和引导生产经营者依法收集、贮存、运输、利用处置农业固体废物，加强监督管理，防止污染环境。</w:t>
      </w:r>
    </w:p>
    <w:p w:rsidR="002A5A5E" w:rsidRPr="00FC1444" w:rsidRDefault="00611CBA">
      <w:pPr>
        <w:keepNext/>
        <w:keepLines/>
        <w:spacing w:before="100" w:beforeAutospacing="1" w:after="100" w:afterAutospacing="1"/>
        <w:outlineLvl w:val="2"/>
        <w:rPr>
          <w:rFonts w:eastAsiaTheme="minorEastAsia"/>
          <w:b/>
          <w:sz w:val="28"/>
          <w:szCs w:val="28"/>
        </w:rPr>
      </w:pPr>
      <w:bookmarkStart w:id="167" w:name="_Toc15991720"/>
      <w:bookmarkStart w:id="168" w:name="_Toc527121434"/>
      <w:r w:rsidRPr="00FC1444">
        <w:rPr>
          <w:rFonts w:eastAsiaTheme="minorEastAsia"/>
          <w:b/>
          <w:sz w:val="28"/>
          <w:szCs w:val="28"/>
        </w:rPr>
        <w:t>8.1.3</w:t>
      </w:r>
      <w:r w:rsidRPr="00FC1444">
        <w:rPr>
          <w:rFonts w:eastAsiaTheme="minorEastAsia"/>
          <w:b/>
          <w:sz w:val="28"/>
          <w:szCs w:val="28"/>
        </w:rPr>
        <w:t>污染物排放清单及管理要求</w:t>
      </w:r>
      <w:bookmarkEnd w:id="167"/>
      <w:bookmarkEnd w:id="168"/>
    </w:p>
    <w:p w:rsidR="002A5A5E" w:rsidRPr="00FC1444" w:rsidRDefault="00611CBA">
      <w:pPr>
        <w:spacing w:line="360" w:lineRule="auto"/>
        <w:rPr>
          <w:rFonts w:eastAsiaTheme="minorEastAsia"/>
          <w:snapToGrid w:val="0"/>
          <w:kern w:val="0"/>
          <w:sz w:val="24"/>
        </w:rPr>
        <w:sectPr w:rsidR="002A5A5E" w:rsidRPr="00FC1444">
          <w:pgSz w:w="11906" w:h="16838"/>
          <w:pgMar w:top="1440" w:right="1797" w:bottom="1440" w:left="1797" w:header="851" w:footer="992" w:gutter="0"/>
          <w:cols w:space="425"/>
          <w:docGrid w:type="linesAndChars" w:linePitch="326"/>
        </w:sectPr>
      </w:pPr>
      <w:r w:rsidRPr="00FC1444">
        <w:rPr>
          <w:rFonts w:eastAsiaTheme="minorEastAsia"/>
          <w:snapToGrid w:val="0"/>
          <w:kern w:val="0"/>
          <w:sz w:val="24"/>
        </w:rPr>
        <w:t>本项目污染物排放清单及管理要求详见表</w:t>
      </w:r>
      <w:r w:rsidRPr="00FC1444">
        <w:rPr>
          <w:rFonts w:eastAsiaTheme="minorEastAsia"/>
          <w:snapToGrid w:val="0"/>
          <w:kern w:val="0"/>
          <w:sz w:val="24"/>
        </w:rPr>
        <w:t>8-1-1</w:t>
      </w:r>
      <w:r w:rsidRPr="00FC1444">
        <w:rPr>
          <w:rFonts w:eastAsiaTheme="minorEastAsia"/>
          <w:snapToGrid w:val="0"/>
          <w:kern w:val="0"/>
          <w:sz w:val="24"/>
        </w:rPr>
        <w:t>。</w:t>
      </w: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8-1-1</w:t>
      </w:r>
      <w:r w:rsidRPr="00FC1444">
        <w:rPr>
          <w:rFonts w:eastAsiaTheme="minorEastAsia"/>
          <w:b/>
          <w:kern w:val="0"/>
          <w:szCs w:val="21"/>
        </w:rPr>
        <w:t>污染物排放清单一览表</w:t>
      </w:r>
    </w:p>
    <w:tbl>
      <w:tblPr>
        <w:tblW w:w="14531" w:type="dxa"/>
        <w:jc w:val="center"/>
        <w:tblBorders>
          <w:top w:val="single" w:sz="12" w:space="0" w:color="auto"/>
          <w:bottom w:val="single" w:sz="12" w:space="0" w:color="auto"/>
          <w:insideH w:val="single" w:sz="4" w:space="0" w:color="auto"/>
          <w:insideV w:val="single" w:sz="4" w:space="0" w:color="auto"/>
        </w:tblBorders>
        <w:tblCellMar>
          <w:left w:w="23" w:type="dxa"/>
          <w:right w:w="23" w:type="dxa"/>
        </w:tblCellMar>
        <w:tblLook w:val="04A0"/>
      </w:tblPr>
      <w:tblGrid>
        <w:gridCol w:w="1271"/>
        <w:gridCol w:w="1134"/>
        <w:gridCol w:w="5973"/>
        <w:gridCol w:w="956"/>
        <w:gridCol w:w="1565"/>
        <w:gridCol w:w="1872"/>
        <w:gridCol w:w="17"/>
        <w:gridCol w:w="1743"/>
      </w:tblGrid>
      <w:tr w:rsidR="00B36490" w:rsidRPr="00FC1444" w:rsidTr="00B36490">
        <w:trPr>
          <w:trHeight w:val="208"/>
          <w:jc w:val="center"/>
        </w:trPr>
        <w:tc>
          <w:tcPr>
            <w:tcW w:w="1271" w:type="dxa"/>
            <w:tcBorders>
              <w:top w:val="single" w:sz="12" w:space="0" w:color="auto"/>
              <w:bottom w:val="single" w:sz="4" w:space="0" w:color="auto"/>
            </w:tcBorders>
            <w:shd w:val="clear" w:color="auto" w:fill="DDD9C3" w:themeFill="background2" w:themeFillShade="E6"/>
            <w:vAlign w:val="center"/>
          </w:tcPr>
          <w:p w:rsidR="002A5A5E" w:rsidRPr="00FC1444" w:rsidRDefault="00611CBA">
            <w:pPr>
              <w:tabs>
                <w:tab w:val="left" w:pos="360"/>
              </w:tabs>
              <w:autoSpaceDE w:val="0"/>
              <w:autoSpaceDN w:val="0"/>
              <w:spacing w:line="0" w:lineRule="atLeast"/>
              <w:jc w:val="center"/>
              <w:rPr>
                <w:rFonts w:eastAsiaTheme="minorEastAsia"/>
                <w:b/>
                <w:bCs/>
                <w:szCs w:val="21"/>
              </w:rPr>
            </w:pPr>
            <w:r w:rsidRPr="00FC1444">
              <w:rPr>
                <w:rFonts w:eastAsiaTheme="minorEastAsia"/>
                <w:b/>
                <w:bCs/>
                <w:szCs w:val="21"/>
              </w:rPr>
              <w:t>类别</w:t>
            </w:r>
          </w:p>
        </w:tc>
        <w:tc>
          <w:tcPr>
            <w:tcW w:w="1134" w:type="dxa"/>
            <w:tcBorders>
              <w:top w:val="single" w:sz="12" w:space="0" w:color="auto"/>
              <w:bottom w:val="single" w:sz="4" w:space="0" w:color="auto"/>
            </w:tcBorders>
            <w:shd w:val="clear" w:color="auto" w:fill="DDD9C3" w:themeFill="background2" w:themeFillShade="E6"/>
            <w:vAlign w:val="center"/>
          </w:tcPr>
          <w:p w:rsidR="002A5A5E" w:rsidRPr="00FC1444" w:rsidRDefault="00611CBA">
            <w:pPr>
              <w:tabs>
                <w:tab w:val="left" w:pos="360"/>
              </w:tabs>
              <w:autoSpaceDE w:val="0"/>
              <w:autoSpaceDN w:val="0"/>
              <w:spacing w:line="0" w:lineRule="atLeast"/>
              <w:jc w:val="center"/>
              <w:rPr>
                <w:rFonts w:eastAsiaTheme="minorEastAsia"/>
                <w:b/>
                <w:bCs/>
                <w:szCs w:val="21"/>
              </w:rPr>
            </w:pPr>
            <w:r w:rsidRPr="00FC1444">
              <w:rPr>
                <w:rFonts w:eastAsiaTheme="minorEastAsia"/>
                <w:b/>
                <w:bCs/>
                <w:szCs w:val="21"/>
              </w:rPr>
              <w:t>污染因子</w:t>
            </w:r>
          </w:p>
        </w:tc>
        <w:tc>
          <w:tcPr>
            <w:tcW w:w="5973" w:type="dxa"/>
            <w:tcBorders>
              <w:top w:val="single" w:sz="12" w:space="0" w:color="auto"/>
              <w:bottom w:val="single" w:sz="4" w:space="0" w:color="auto"/>
            </w:tcBorders>
            <w:shd w:val="clear" w:color="auto" w:fill="DDD9C3" w:themeFill="background2" w:themeFillShade="E6"/>
            <w:vAlign w:val="center"/>
          </w:tcPr>
          <w:p w:rsidR="002A5A5E" w:rsidRPr="00FC1444" w:rsidRDefault="00611CBA">
            <w:pPr>
              <w:tabs>
                <w:tab w:val="left" w:pos="360"/>
              </w:tabs>
              <w:autoSpaceDE w:val="0"/>
              <w:autoSpaceDN w:val="0"/>
              <w:spacing w:line="0" w:lineRule="atLeast"/>
              <w:jc w:val="center"/>
              <w:rPr>
                <w:rFonts w:eastAsiaTheme="minorEastAsia"/>
                <w:b/>
                <w:bCs/>
                <w:szCs w:val="21"/>
              </w:rPr>
            </w:pPr>
            <w:r w:rsidRPr="00FC1444">
              <w:rPr>
                <w:rFonts w:eastAsiaTheme="minorEastAsia"/>
                <w:b/>
                <w:bCs/>
                <w:szCs w:val="21"/>
              </w:rPr>
              <w:t>污染防治措施</w:t>
            </w:r>
          </w:p>
        </w:tc>
        <w:tc>
          <w:tcPr>
            <w:tcW w:w="956" w:type="dxa"/>
            <w:tcBorders>
              <w:top w:val="single" w:sz="12" w:space="0" w:color="auto"/>
              <w:bottom w:val="single" w:sz="4" w:space="0" w:color="auto"/>
            </w:tcBorders>
            <w:shd w:val="clear" w:color="auto" w:fill="DDD9C3" w:themeFill="background2" w:themeFillShade="E6"/>
            <w:vAlign w:val="center"/>
          </w:tcPr>
          <w:p w:rsidR="002A5A5E" w:rsidRPr="00FC1444" w:rsidRDefault="00611CBA">
            <w:pPr>
              <w:tabs>
                <w:tab w:val="left" w:pos="360"/>
              </w:tabs>
              <w:autoSpaceDE w:val="0"/>
              <w:autoSpaceDN w:val="0"/>
              <w:spacing w:line="0" w:lineRule="atLeast"/>
              <w:jc w:val="center"/>
              <w:rPr>
                <w:rFonts w:eastAsiaTheme="minorEastAsia"/>
                <w:b/>
                <w:bCs/>
                <w:szCs w:val="21"/>
              </w:rPr>
            </w:pPr>
            <w:r w:rsidRPr="00FC1444">
              <w:rPr>
                <w:rFonts w:eastAsiaTheme="minorEastAsia"/>
                <w:b/>
                <w:bCs/>
                <w:szCs w:val="21"/>
              </w:rPr>
              <w:t>排放浓度</w:t>
            </w:r>
          </w:p>
        </w:tc>
        <w:tc>
          <w:tcPr>
            <w:tcW w:w="1565" w:type="dxa"/>
            <w:tcBorders>
              <w:top w:val="single" w:sz="12" w:space="0" w:color="auto"/>
              <w:bottom w:val="single" w:sz="4" w:space="0" w:color="auto"/>
            </w:tcBorders>
            <w:shd w:val="clear" w:color="auto" w:fill="DDD9C3" w:themeFill="background2" w:themeFillShade="E6"/>
            <w:vAlign w:val="center"/>
          </w:tcPr>
          <w:p w:rsidR="002A5A5E" w:rsidRPr="00FC1444" w:rsidRDefault="00611CBA">
            <w:pPr>
              <w:tabs>
                <w:tab w:val="left" w:pos="360"/>
              </w:tabs>
              <w:autoSpaceDE w:val="0"/>
              <w:autoSpaceDN w:val="0"/>
              <w:spacing w:line="0" w:lineRule="atLeast"/>
              <w:jc w:val="center"/>
              <w:rPr>
                <w:rFonts w:eastAsiaTheme="minorEastAsia"/>
                <w:b/>
                <w:bCs/>
                <w:szCs w:val="21"/>
              </w:rPr>
            </w:pPr>
            <w:r w:rsidRPr="00FC1444">
              <w:rPr>
                <w:rFonts w:eastAsiaTheme="minorEastAsia"/>
                <w:b/>
                <w:bCs/>
                <w:szCs w:val="21"/>
              </w:rPr>
              <w:t>总量指标</w:t>
            </w:r>
          </w:p>
        </w:tc>
        <w:tc>
          <w:tcPr>
            <w:tcW w:w="1889" w:type="dxa"/>
            <w:gridSpan w:val="2"/>
            <w:tcBorders>
              <w:top w:val="single" w:sz="12" w:space="0" w:color="auto"/>
              <w:bottom w:val="single" w:sz="4" w:space="0" w:color="auto"/>
            </w:tcBorders>
            <w:shd w:val="clear" w:color="auto" w:fill="DDD9C3" w:themeFill="background2" w:themeFillShade="E6"/>
            <w:vAlign w:val="center"/>
          </w:tcPr>
          <w:p w:rsidR="002A5A5E" w:rsidRPr="00FC1444" w:rsidRDefault="00611CBA">
            <w:pPr>
              <w:tabs>
                <w:tab w:val="left" w:pos="360"/>
              </w:tabs>
              <w:autoSpaceDE w:val="0"/>
              <w:autoSpaceDN w:val="0"/>
              <w:spacing w:line="0" w:lineRule="atLeast"/>
              <w:jc w:val="center"/>
              <w:rPr>
                <w:rFonts w:eastAsiaTheme="minorEastAsia"/>
                <w:b/>
                <w:bCs/>
                <w:szCs w:val="21"/>
              </w:rPr>
            </w:pPr>
            <w:r w:rsidRPr="00FC1444">
              <w:rPr>
                <w:rFonts w:eastAsiaTheme="minorEastAsia"/>
                <w:b/>
                <w:bCs/>
                <w:szCs w:val="21"/>
              </w:rPr>
              <w:t>排放标准</w:t>
            </w:r>
          </w:p>
        </w:tc>
        <w:tc>
          <w:tcPr>
            <w:tcW w:w="1743" w:type="dxa"/>
            <w:tcBorders>
              <w:top w:val="single" w:sz="12" w:space="0" w:color="auto"/>
              <w:bottom w:val="single" w:sz="4" w:space="0" w:color="auto"/>
            </w:tcBorders>
            <w:shd w:val="clear" w:color="auto" w:fill="DDD9C3" w:themeFill="background2" w:themeFillShade="E6"/>
            <w:vAlign w:val="center"/>
          </w:tcPr>
          <w:p w:rsidR="002A5A5E" w:rsidRPr="00FC1444" w:rsidRDefault="00611CBA">
            <w:pPr>
              <w:tabs>
                <w:tab w:val="left" w:pos="360"/>
              </w:tabs>
              <w:autoSpaceDE w:val="0"/>
              <w:autoSpaceDN w:val="0"/>
              <w:spacing w:line="0" w:lineRule="atLeast"/>
              <w:jc w:val="center"/>
              <w:rPr>
                <w:rFonts w:eastAsiaTheme="minorEastAsia"/>
                <w:b/>
                <w:bCs/>
                <w:szCs w:val="21"/>
              </w:rPr>
            </w:pPr>
            <w:r w:rsidRPr="00FC1444">
              <w:rPr>
                <w:rFonts w:eastAsiaTheme="minorEastAsia"/>
                <w:b/>
                <w:bCs/>
                <w:szCs w:val="21"/>
              </w:rPr>
              <w:t>排放口信息</w:t>
            </w:r>
          </w:p>
        </w:tc>
      </w:tr>
      <w:tr w:rsidR="00B36490" w:rsidRPr="00FC1444" w:rsidTr="00B36490">
        <w:trPr>
          <w:trHeight w:val="919"/>
          <w:jc w:val="center"/>
        </w:trPr>
        <w:tc>
          <w:tcPr>
            <w:tcW w:w="1271" w:type="dxa"/>
            <w:tcBorders>
              <w:top w:val="single" w:sz="4" w:space="0" w:color="auto"/>
            </w:tcBorders>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施工期废气</w:t>
            </w:r>
          </w:p>
        </w:tc>
        <w:tc>
          <w:tcPr>
            <w:tcW w:w="1134" w:type="dxa"/>
            <w:tcBorders>
              <w:top w:val="single" w:sz="4" w:space="0" w:color="auto"/>
            </w:tcBorders>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TSP</w:t>
            </w:r>
            <w:r w:rsidRPr="00FC1444">
              <w:rPr>
                <w:rFonts w:eastAsiaTheme="minorEastAsia"/>
                <w:szCs w:val="21"/>
              </w:rPr>
              <w:t>、</w:t>
            </w:r>
            <w:r w:rsidRPr="00FC1444">
              <w:rPr>
                <w:rFonts w:eastAsiaTheme="minorEastAsia"/>
                <w:szCs w:val="21"/>
              </w:rPr>
              <w:t>CO</w:t>
            </w:r>
            <w:r w:rsidRPr="00FC1444">
              <w:rPr>
                <w:rFonts w:eastAsiaTheme="minorEastAsia"/>
                <w:szCs w:val="21"/>
              </w:rPr>
              <w:t>、</w:t>
            </w:r>
            <w:r w:rsidRPr="00FC1444">
              <w:rPr>
                <w:rFonts w:eastAsiaTheme="minorEastAsia"/>
                <w:szCs w:val="21"/>
              </w:rPr>
              <w:t>HC+NOx</w:t>
            </w:r>
            <w:r w:rsidRPr="00FC1444">
              <w:rPr>
                <w:rFonts w:eastAsiaTheme="minorEastAsia"/>
                <w:szCs w:val="21"/>
              </w:rPr>
              <w:t>、</w:t>
            </w:r>
            <w:r w:rsidRPr="00FC1444">
              <w:rPr>
                <w:rFonts w:eastAsiaTheme="minorEastAsia"/>
                <w:szCs w:val="21"/>
              </w:rPr>
              <w:t>THC</w:t>
            </w:r>
            <w:r w:rsidRPr="00FC1444">
              <w:rPr>
                <w:rFonts w:eastAsiaTheme="minorEastAsia"/>
                <w:szCs w:val="21"/>
              </w:rPr>
              <w:t>、臭气浓度</w:t>
            </w:r>
          </w:p>
        </w:tc>
        <w:tc>
          <w:tcPr>
            <w:tcW w:w="5973" w:type="dxa"/>
            <w:tcBorders>
              <w:top w:val="single" w:sz="4" w:space="0" w:color="auto"/>
            </w:tcBorders>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rPr>
              <w:t>施工期施工现场使用商品混凝土、预拌砂浆，严禁现场搅拌；建筑材料密闭存放或严密覆盖，严禁露天放置；余料及时回收；施工期间，</w:t>
            </w:r>
            <w:r w:rsidR="00341992" w:rsidRPr="00FC1444">
              <w:rPr>
                <w:rFonts w:eastAsiaTheme="minorEastAsia"/>
              </w:rPr>
              <w:t>施工单位在非</w:t>
            </w:r>
            <w:r w:rsidRPr="00FC1444">
              <w:rPr>
                <w:rFonts w:eastAsiaTheme="minorEastAsia"/>
              </w:rPr>
              <w:t>冬季时期制定洒水降尘制度，配套洒水车，专人负责，对施工场地及施工道路洒水抑尘；施工地面及时压实并及时采取洒水降尘措施，天气干燥时增加洒水密度与频率；施工现场运送土方、渣土的车辆封闭或遮盖严密，严禁使用未办理相关手续的渣土等运输车辆，严禁沿路遗撒和随意倾倒；途经施工区村屯干道的运输车辆，实行限速管理，时速应小于</w:t>
            </w:r>
            <w:r w:rsidRPr="00FC1444">
              <w:rPr>
                <w:rFonts w:eastAsiaTheme="minorEastAsia"/>
              </w:rPr>
              <w:t>20km/h</w:t>
            </w:r>
            <w:r w:rsidRPr="00FC1444">
              <w:rPr>
                <w:rFonts w:eastAsiaTheme="minorEastAsia"/>
              </w:rPr>
              <w:t>，非冬季干旱、多风天气，路段每天洒水不少于两次；加强运输车辆的维护、保养，避免尾气超标排放；灌溉井、田间道路、涵洞、变压器、排水沟清淤等工程在距离环境保护目标较近位置施工时（</w:t>
            </w:r>
            <w:r w:rsidR="00D41946" w:rsidRPr="00FC1444">
              <w:rPr>
                <w:rFonts w:eastAsiaTheme="minorEastAsia"/>
              </w:rPr>
              <w:t>如胜利二村、东沟子等村屯</w:t>
            </w:r>
            <w:r w:rsidR="00943455" w:rsidRPr="00FC1444">
              <w:rPr>
                <w:rFonts w:eastAsiaTheme="minorEastAsia"/>
              </w:rPr>
              <w:t>，具体村屯名称见表</w:t>
            </w:r>
            <w:r w:rsidR="00943455" w:rsidRPr="00FC1444">
              <w:rPr>
                <w:rFonts w:eastAsiaTheme="minorEastAsia"/>
              </w:rPr>
              <w:t>2-8-1</w:t>
            </w:r>
            <w:r w:rsidRPr="00FC1444">
              <w:rPr>
                <w:rFonts w:eastAsiaTheme="minorEastAsia"/>
              </w:rPr>
              <w:t>），应设置施工围挡，将施工场地及施工人员与居民分离开，保证施工安全、减少扬尘逸散；合理安排清淤时间，喷洒微生物除臭剂</w:t>
            </w:r>
            <w:r w:rsidR="00730492" w:rsidRPr="00FC1444">
              <w:rPr>
                <w:rFonts w:eastAsiaTheme="minorEastAsia"/>
              </w:rPr>
              <w:t>，排水沟淤泥</w:t>
            </w:r>
            <w:r w:rsidR="00730492" w:rsidRPr="00FC1444">
              <w:rPr>
                <w:rFonts w:eastAsiaTheme="minorEastAsia"/>
                <w:bCs/>
              </w:rPr>
              <w:t>培至工程附近</w:t>
            </w:r>
            <w:r w:rsidR="00730492" w:rsidRPr="00FC1444">
              <w:rPr>
                <w:rFonts w:eastAsiaTheme="minorEastAsia"/>
                <w:bCs/>
              </w:rPr>
              <w:t>200</w:t>
            </w:r>
            <w:r w:rsidR="00730492" w:rsidRPr="00FC1444">
              <w:rPr>
                <w:rFonts w:eastAsiaTheme="minorEastAsia"/>
                <w:bCs/>
              </w:rPr>
              <w:t>米范围内无环境保护目标的排水沟两侧（</w:t>
            </w:r>
            <w:r w:rsidR="00386D57" w:rsidRPr="00FC1444">
              <w:rPr>
                <w:rFonts w:eastAsiaTheme="minorEastAsia"/>
                <w:bCs/>
              </w:rPr>
              <w:t>避开黄家屯、李荒子屯等</w:t>
            </w:r>
            <w:r w:rsidR="00386D57" w:rsidRPr="00FC1444">
              <w:rPr>
                <w:rFonts w:eastAsiaTheme="minorEastAsia"/>
                <w:bCs/>
              </w:rPr>
              <w:t>22</w:t>
            </w:r>
            <w:r w:rsidR="00386D57" w:rsidRPr="00FC1444">
              <w:rPr>
                <w:rFonts w:eastAsiaTheme="minorEastAsia"/>
                <w:bCs/>
              </w:rPr>
              <w:t>个村屯</w:t>
            </w:r>
            <w:r w:rsidR="00730492" w:rsidRPr="00FC1444">
              <w:rPr>
                <w:rFonts w:eastAsiaTheme="minorEastAsia"/>
                <w:bCs/>
              </w:rPr>
              <w:t>，具体见表</w:t>
            </w:r>
            <w:r w:rsidR="00730492" w:rsidRPr="00FC1444">
              <w:rPr>
                <w:rFonts w:eastAsiaTheme="minorEastAsia"/>
                <w:bCs/>
              </w:rPr>
              <w:t>2-8-2</w:t>
            </w:r>
            <w:r w:rsidR="00730492" w:rsidRPr="00FC1444">
              <w:rPr>
                <w:rFonts w:eastAsiaTheme="minorEastAsia"/>
                <w:bCs/>
              </w:rPr>
              <w:t>）</w:t>
            </w:r>
          </w:p>
        </w:tc>
        <w:tc>
          <w:tcPr>
            <w:tcW w:w="956" w:type="dxa"/>
            <w:tcBorders>
              <w:top w:val="single" w:sz="4" w:space="0" w:color="auto"/>
            </w:tcBorders>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w:t>
            </w:r>
          </w:p>
        </w:tc>
        <w:tc>
          <w:tcPr>
            <w:tcW w:w="1565" w:type="dxa"/>
            <w:tcBorders>
              <w:top w:val="single" w:sz="4" w:space="0" w:color="auto"/>
            </w:tcBorders>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w:t>
            </w:r>
          </w:p>
        </w:tc>
        <w:tc>
          <w:tcPr>
            <w:tcW w:w="1889" w:type="dxa"/>
            <w:gridSpan w:val="2"/>
            <w:tcBorders>
              <w:top w:val="single" w:sz="4" w:space="0" w:color="auto"/>
            </w:tcBorders>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《大气污染物综合排放标准》（</w:t>
            </w:r>
            <w:r w:rsidRPr="00FC1444">
              <w:rPr>
                <w:rFonts w:eastAsiaTheme="minorEastAsia"/>
                <w:szCs w:val="21"/>
              </w:rPr>
              <w:t>GB16297-1996</w:t>
            </w:r>
            <w:r w:rsidRPr="00FC1444">
              <w:rPr>
                <w:rFonts w:eastAsiaTheme="minorEastAsia"/>
                <w:szCs w:val="21"/>
              </w:rPr>
              <w:t>）表</w:t>
            </w:r>
            <w:r w:rsidRPr="00FC1444">
              <w:rPr>
                <w:rFonts w:eastAsiaTheme="minorEastAsia"/>
                <w:szCs w:val="21"/>
              </w:rPr>
              <w:t>2</w:t>
            </w:r>
            <w:r w:rsidRPr="00FC1444">
              <w:rPr>
                <w:rFonts w:eastAsiaTheme="minorEastAsia"/>
                <w:szCs w:val="21"/>
              </w:rPr>
              <w:t>中无组织排放监控浓度限值；</w:t>
            </w:r>
            <w:r w:rsidRPr="00FC1444">
              <w:rPr>
                <w:rFonts w:eastAsiaTheme="minorEastAsia"/>
                <w:szCs w:val="21"/>
              </w:rPr>
              <w:t>GB20891-2014</w:t>
            </w:r>
            <w:r w:rsidRPr="00FC1444">
              <w:rPr>
                <w:rFonts w:eastAsiaTheme="minorEastAsia"/>
                <w:szCs w:val="21"/>
              </w:rPr>
              <w:t>《非道路移动机械用柴油机排气污染物排放限值及测量方法（中国三、四阶段）》中第四阶段（</w:t>
            </w:r>
            <w:r w:rsidRPr="00FC1444">
              <w:rPr>
                <w:rFonts w:eastAsiaTheme="minorEastAsia"/>
                <w:szCs w:val="21"/>
              </w:rPr>
              <w:t>130</w:t>
            </w:r>
            <w:r w:rsidRPr="00FC1444">
              <w:rPr>
                <w:rFonts w:eastAsiaTheme="minorEastAsia"/>
                <w:szCs w:val="21"/>
              </w:rPr>
              <w:t>＜额定功率＜</w:t>
            </w:r>
            <w:r w:rsidRPr="00FC1444">
              <w:rPr>
                <w:rFonts w:eastAsiaTheme="minorEastAsia"/>
                <w:szCs w:val="21"/>
              </w:rPr>
              <w:t>560kW</w:t>
            </w:r>
            <w:r w:rsidRPr="00FC1444">
              <w:rPr>
                <w:rFonts w:eastAsiaTheme="minorEastAsia"/>
                <w:szCs w:val="21"/>
              </w:rPr>
              <w:t>）；《恶臭污染物排放标准》（</w:t>
            </w:r>
            <w:r w:rsidRPr="00FC1444">
              <w:rPr>
                <w:rFonts w:eastAsiaTheme="minorEastAsia"/>
                <w:szCs w:val="21"/>
              </w:rPr>
              <w:t>GB14554-93</w:t>
            </w:r>
            <w:r w:rsidRPr="00FC1444">
              <w:rPr>
                <w:rFonts w:eastAsiaTheme="minorEastAsia"/>
                <w:szCs w:val="21"/>
              </w:rPr>
              <w:t>）表</w:t>
            </w:r>
            <w:r w:rsidRPr="00FC1444">
              <w:rPr>
                <w:rFonts w:eastAsiaTheme="minorEastAsia"/>
                <w:szCs w:val="21"/>
              </w:rPr>
              <w:t>1</w:t>
            </w:r>
            <w:r w:rsidRPr="00FC1444">
              <w:rPr>
                <w:rFonts w:eastAsiaTheme="minorEastAsia"/>
                <w:szCs w:val="21"/>
              </w:rPr>
              <w:t>二级标准</w:t>
            </w:r>
          </w:p>
        </w:tc>
        <w:tc>
          <w:tcPr>
            <w:tcW w:w="1743" w:type="dxa"/>
            <w:tcBorders>
              <w:top w:val="single" w:sz="4" w:space="0" w:color="auto"/>
            </w:tcBorders>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w:t>
            </w:r>
          </w:p>
        </w:tc>
      </w:tr>
      <w:tr w:rsidR="00EB3FF0" w:rsidRPr="00FC1444" w:rsidTr="00B36490">
        <w:trPr>
          <w:trHeight w:val="362"/>
          <w:jc w:val="center"/>
        </w:trPr>
        <w:tc>
          <w:tcPr>
            <w:tcW w:w="1271" w:type="dxa"/>
            <w:vMerge w:val="restart"/>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施工期废水</w:t>
            </w:r>
          </w:p>
        </w:tc>
        <w:tc>
          <w:tcPr>
            <w:tcW w:w="1134" w:type="dxa"/>
            <w:shd w:val="clear" w:color="auto" w:fill="auto"/>
            <w:vAlign w:val="center"/>
          </w:tcPr>
          <w:p w:rsidR="002A5A5E" w:rsidRPr="00FC1444" w:rsidRDefault="00611CBA">
            <w:pPr>
              <w:jc w:val="center"/>
              <w:rPr>
                <w:rFonts w:eastAsiaTheme="minorEastAsia"/>
                <w:szCs w:val="21"/>
              </w:rPr>
            </w:pPr>
            <w:r w:rsidRPr="00FC1444">
              <w:rPr>
                <w:rFonts w:eastAsiaTheme="minorEastAsia"/>
                <w:szCs w:val="21"/>
              </w:rPr>
              <w:t>生活污水</w:t>
            </w:r>
          </w:p>
        </w:tc>
        <w:tc>
          <w:tcPr>
            <w:tcW w:w="8494" w:type="dxa"/>
            <w:gridSpan w:val="3"/>
            <w:shd w:val="clear" w:color="auto" w:fill="auto"/>
            <w:vAlign w:val="center"/>
          </w:tcPr>
          <w:p w:rsidR="002A5A5E" w:rsidRPr="00FC1444" w:rsidRDefault="00611CBA">
            <w:pPr>
              <w:jc w:val="center"/>
              <w:rPr>
                <w:rFonts w:eastAsiaTheme="minorEastAsia"/>
                <w:szCs w:val="21"/>
              </w:rPr>
            </w:pPr>
            <w:r w:rsidRPr="00FC1444">
              <w:rPr>
                <w:rFonts w:eastAsiaTheme="minorEastAsia"/>
                <w:bCs/>
                <w:szCs w:val="21"/>
              </w:rPr>
              <w:t>依托附近民</w:t>
            </w:r>
            <w:r w:rsidRPr="00FC1444">
              <w:rPr>
                <w:rFonts w:eastAsiaTheme="minorEastAsia"/>
                <w:szCs w:val="21"/>
              </w:rPr>
              <w:t>防渗旱厕，定期清掏，外运堆肥，不外排</w:t>
            </w:r>
          </w:p>
        </w:tc>
        <w:tc>
          <w:tcPr>
            <w:tcW w:w="1889" w:type="dxa"/>
            <w:gridSpan w:val="2"/>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w:t>
            </w:r>
          </w:p>
        </w:tc>
        <w:tc>
          <w:tcPr>
            <w:tcW w:w="1743" w:type="dxa"/>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w:t>
            </w:r>
          </w:p>
        </w:tc>
      </w:tr>
      <w:tr w:rsidR="00EB3FF0" w:rsidRPr="00FC1444" w:rsidTr="00B36490">
        <w:trPr>
          <w:trHeight w:val="415"/>
          <w:jc w:val="center"/>
        </w:trPr>
        <w:tc>
          <w:tcPr>
            <w:tcW w:w="1271" w:type="dxa"/>
            <w:vMerge/>
            <w:shd w:val="clear" w:color="auto" w:fill="auto"/>
            <w:vAlign w:val="center"/>
          </w:tcPr>
          <w:p w:rsidR="002A5A5E" w:rsidRPr="00FC1444" w:rsidRDefault="002A5A5E">
            <w:pPr>
              <w:spacing w:line="0" w:lineRule="atLeast"/>
              <w:jc w:val="center"/>
              <w:rPr>
                <w:rFonts w:eastAsiaTheme="minorEastAsia"/>
                <w:szCs w:val="21"/>
              </w:rPr>
            </w:pPr>
          </w:p>
        </w:tc>
        <w:tc>
          <w:tcPr>
            <w:tcW w:w="1134" w:type="dxa"/>
            <w:shd w:val="clear" w:color="auto" w:fill="auto"/>
            <w:vAlign w:val="center"/>
          </w:tcPr>
          <w:p w:rsidR="002A5A5E" w:rsidRPr="00FC1444" w:rsidRDefault="00611CBA">
            <w:pPr>
              <w:jc w:val="center"/>
              <w:rPr>
                <w:rFonts w:eastAsiaTheme="minorEastAsia"/>
                <w:szCs w:val="21"/>
              </w:rPr>
            </w:pPr>
            <w:r w:rsidRPr="00FC1444">
              <w:rPr>
                <w:rFonts w:eastAsiaTheme="minorEastAsia"/>
                <w:szCs w:val="21"/>
              </w:rPr>
              <w:t>施工废水</w:t>
            </w:r>
          </w:p>
        </w:tc>
        <w:tc>
          <w:tcPr>
            <w:tcW w:w="8494" w:type="dxa"/>
            <w:gridSpan w:val="3"/>
            <w:shd w:val="clear" w:color="auto" w:fill="auto"/>
            <w:vAlign w:val="center"/>
          </w:tcPr>
          <w:p w:rsidR="002A5A5E" w:rsidRPr="00FC1444" w:rsidRDefault="00611CBA" w:rsidP="006974EB">
            <w:pPr>
              <w:tabs>
                <w:tab w:val="left" w:pos="360"/>
              </w:tabs>
              <w:autoSpaceDE w:val="0"/>
              <w:autoSpaceDN w:val="0"/>
              <w:jc w:val="center"/>
              <w:rPr>
                <w:rFonts w:eastAsiaTheme="minorEastAsia"/>
                <w:bCs/>
                <w:szCs w:val="21"/>
              </w:rPr>
            </w:pPr>
            <w:r w:rsidRPr="00FC1444">
              <w:rPr>
                <w:rFonts w:eastAsiaTheme="minorEastAsia"/>
                <w:bCs/>
                <w:szCs w:val="21"/>
              </w:rPr>
              <w:t>洗井废水用于洒水降尘；</w:t>
            </w:r>
            <w:r w:rsidRPr="00FC1444">
              <w:rPr>
                <w:rFonts w:eastAsiaTheme="minorEastAsia"/>
              </w:rPr>
              <w:t>钻井泥浆循环利用，</w:t>
            </w:r>
            <w:r w:rsidRPr="00FC1444">
              <w:rPr>
                <w:rFonts w:eastAsiaTheme="minorEastAsia"/>
                <w:szCs w:val="22"/>
              </w:rPr>
              <w:t>废泥浆</w:t>
            </w:r>
            <w:r w:rsidRPr="00FC1444">
              <w:rPr>
                <w:rFonts w:eastAsiaTheme="minorEastAsia"/>
              </w:rPr>
              <w:t>暂存于施工场地</w:t>
            </w:r>
            <w:r w:rsidR="006974EB" w:rsidRPr="00FC1444">
              <w:rPr>
                <w:rFonts w:eastAsiaTheme="minorEastAsia"/>
              </w:rPr>
              <w:t>1</w:t>
            </w:r>
            <w:r w:rsidR="0009673A" w:rsidRPr="00FC1444">
              <w:rPr>
                <w:rFonts w:eastAsiaTheme="minorEastAsia"/>
              </w:rPr>
              <w:t>个</w:t>
            </w:r>
            <w:r w:rsidR="006974EB" w:rsidRPr="00FC1444">
              <w:rPr>
                <w:rFonts w:eastAsiaTheme="minorEastAsia"/>
              </w:rPr>
              <w:t>1</w:t>
            </w:r>
            <w:r w:rsidRPr="00FC1444">
              <w:rPr>
                <w:rFonts w:eastAsiaTheme="minorEastAsia"/>
              </w:rPr>
              <w:t>0</w:t>
            </w:r>
            <w:r w:rsidRPr="00FC1444">
              <w:rPr>
                <w:rFonts w:eastAsiaTheme="minorEastAsia"/>
                <w:szCs w:val="22"/>
              </w:rPr>
              <w:t>m</w:t>
            </w:r>
            <w:r w:rsidRPr="00FC1444">
              <w:rPr>
                <w:rFonts w:eastAsiaTheme="minorEastAsia"/>
                <w:szCs w:val="22"/>
                <w:vertAlign w:val="superscript"/>
              </w:rPr>
              <w:t>3</w:t>
            </w:r>
            <w:r w:rsidRPr="00FC1444">
              <w:rPr>
                <w:rFonts w:eastAsiaTheme="minorEastAsia"/>
              </w:rPr>
              <w:t>移动式不锈钢沉淀池内，沉淀后上层清水用于洒水降尘，下层钻井</w:t>
            </w:r>
            <w:r w:rsidRPr="00FC1444">
              <w:rPr>
                <w:rFonts w:eastAsiaTheme="minorEastAsia"/>
                <w:bCs/>
              </w:rPr>
              <w:t>泥浆自然干化后用于周围路面平整</w:t>
            </w:r>
            <w:r w:rsidRPr="00FC1444">
              <w:rPr>
                <w:rFonts w:eastAsiaTheme="minorEastAsia"/>
                <w:bCs/>
                <w:szCs w:val="21"/>
              </w:rPr>
              <w:t>；</w:t>
            </w:r>
            <w:r w:rsidR="00B13779" w:rsidRPr="00FC1444">
              <w:rPr>
                <w:rFonts w:eastAsiaTheme="minorEastAsia"/>
                <w:bCs/>
                <w:szCs w:val="21"/>
              </w:rPr>
              <w:t>清淤工程污泥铺摊前先根据地势铺设</w:t>
            </w:r>
            <w:r w:rsidR="00B13779" w:rsidRPr="00FC1444">
              <w:rPr>
                <w:rFonts w:eastAsiaTheme="minorEastAsia"/>
                <w:bCs/>
                <w:szCs w:val="21"/>
              </w:rPr>
              <w:t>5cm</w:t>
            </w:r>
            <w:r w:rsidR="00B13779" w:rsidRPr="00FC1444">
              <w:rPr>
                <w:rFonts w:eastAsiaTheme="minorEastAsia"/>
                <w:bCs/>
                <w:szCs w:val="21"/>
              </w:rPr>
              <w:t>卵石层、</w:t>
            </w:r>
            <w:r w:rsidR="00B13779" w:rsidRPr="00FC1444">
              <w:rPr>
                <w:rFonts w:eastAsiaTheme="minorEastAsia"/>
                <w:bCs/>
                <w:szCs w:val="21"/>
              </w:rPr>
              <w:t>20cm</w:t>
            </w:r>
            <w:r w:rsidR="00B13779" w:rsidRPr="00FC1444">
              <w:rPr>
                <w:rFonts w:eastAsiaTheme="minorEastAsia"/>
                <w:bCs/>
                <w:szCs w:val="21"/>
              </w:rPr>
              <w:t>砂子层，形成一侧临沟渠偏低、另一侧靠农田偏高的坡度，防止淤泥沥水渗入周边农田。污泥沥水与渠道内水质基本一致，经过滤处理后排至原有渠道内</w:t>
            </w:r>
          </w:p>
        </w:tc>
        <w:tc>
          <w:tcPr>
            <w:tcW w:w="1889" w:type="dxa"/>
            <w:gridSpan w:val="2"/>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w:t>
            </w:r>
          </w:p>
        </w:tc>
        <w:tc>
          <w:tcPr>
            <w:tcW w:w="1743" w:type="dxa"/>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w:t>
            </w:r>
          </w:p>
        </w:tc>
      </w:tr>
      <w:tr w:rsidR="00EB3FF0" w:rsidRPr="00FC1444" w:rsidTr="00B36490">
        <w:trPr>
          <w:trHeight w:val="919"/>
          <w:jc w:val="center"/>
        </w:trPr>
        <w:tc>
          <w:tcPr>
            <w:tcW w:w="1271" w:type="dxa"/>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施工期噪声</w:t>
            </w:r>
          </w:p>
        </w:tc>
        <w:tc>
          <w:tcPr>
            <w:tcW w:w="1134" w:type="dxa"/>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施工设备、运输车</w:t>
            </w:r>
          </w:p>
        </w:tc>
        <w:tc>
          <w:tcPr>
            <w:tcW w:w="8494" w:type="dxa"/>
            <w:gridSpan w:val="3"/>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rPr>
              <w:t>在</w:t>
            </w:r>
            <w:r w:rsidRPr="00FC1444">
              <w:rPr>
                <w:rFonts w:eastAsiaTheme="minorEastAsia"/>
              </w:rPr>
              <w:t>10m</w:t>
            </w:r>
            <w:r w:rsidRPr="00FC1444">
              <w:rPr>
                <w:rFonts w:eastAsiaTheme="minorEastAsia"/>
              </w:rPr>
              <w:t>以内分布有居民（</w:t>
            </w:r>
            <w:r w:rsidR="00D41946" w:rsidRPr="00FC1444">
              <w:rPr>
                <w:rFonts w:eastAsiaTheme="minorEastAsia"/>
              </w:rPr>
              <w:t>曹家炉、刘家沟、崔家窝棚等村屯，共</w:t>
            </w:r>
            <w:r w:rsidR="00D41946" w:rsidRPr="00FC1444">
              <w:rPr>
                <w:rFonts w:eastAsiaTheme="minorEastAsia"/>
              </w:rPr>
              <w:t>19</w:t>
            </w:r>
            <w:r w:rsidR="00D41946" w:rsidRPr="00FC1444">
              <w:rPr>
                <w:rFonts w:eastAsiaTheme="minorEastAsia"/>
              </w:rPr>
              <w:t>处，</w:t>
            </w:r>
            <w:r w:rsidRPr="00FC1444">
              <w:rPr>
                <w:rFonts w:eastAsiaTheme="minorEastAsia"/>
              </w:rPr>
              <w:t>具体村屯名称</w:t>
            </w:r>
            <w:r w:rsidR="00660C23" w:rsidRPr="00FC1444">
              <w:rPr>
                <w:rFonts w:eastAsiaTheme="minorEastAsia"/>
              </w:rPr>
              <w:t>见表</w:t>
            </w:r>
            <w:r w:rsidR="00660C23" w:rsidRPr="00FC1444">
              <w:rPr>
                <w:rFonts w:eastAsiaTheme="minorEastAsia"/>
              </w:rPr>
              <w:t>2-8-1</w:t>
            </w:r>
            <w:r w:rsidRPr="00FC1444">
              <w:rPr>
                <w:rFonts w:eastAsiaTheme="minorEastAsia"/>
              </w:rPr>
              <w:t>）的灌溉与排水、田间道路、涵洞等建筑物、</w:t>
            </w:r>
            <w:r w:rsidRPr="00FC1444">
              <w:rPr>
                <w:rFonts w:eastAsiaTheme="minorEastAsia"/>
                <w:bCs/>
              </w:rPr>
              <w:t>输配电</w:t>
            </w:r>
            <w:r w:rsidRPr="00FC1444">
              <w:rPr>
                <w:rFonts w:eastAsiaTheme="minorEastAsia"/>
              </w:rPr>
              <w:t>工程处设置双层移动隔声屏障，高度为</w:t>
            </w:r>
            <w:r w:rsidRPr="00FC1444">
              <w:rPr>
                <w:rFonts w:eastAsiaTheme="minorEastAsia"/>
              </w:rPr>
              <w:t>2m</w:t>
            </w:r>
            <w:r w:rsidRPr="00FC1444">
              <w:rPr>
                <w:rFonts w:eastAsiaTheme="minorEastAsia"/>
              </w:rPr>
              <w:t>，长度超出敏感目标两侧各</w:t>
            </w:r>
            <w:r w:rsidRPr="00FC1444">
              <w:rPr>
                <w:rFonts w:eastAsiaTheme="minorEastAsia"/>
              </w:rPr>
              <w:t>10m</w:t>
            </w:r>
            <w:r w:rsidRPr="00FC1444">
              <w:rPr>
                <w:rFonts w:eastAsiaTheme="minorEastAsia"/>
                <w:szCs w:val="21"/>
              </w:rPr>
              <w:t>；对施工机械和车辆进行维护保养；运输车辆在经过沿线村屯时采取减速慢行、禁止鸣笛等管理措施，</w:t>
            </w:r>
            <w:r w:rsidRPr="00FC1444">
              <w:rPr>
                <w:rFonts w:eastAsiaTheme="minorEastAsia"/>
                <w:bCs/>
                <w:szCs w:val="21"/>
              </w:rPr>
              <w:t>控制车速不超过</w:t>
            </w:r>
            <w:r w:rsidRPr="00FC1444">
              <w:rPr>
                <w:rFonts w:eastAsiaTheme="minorEastAsia"/>
                <w:bCs/>
                <w:szCs w:val="21"/>
              </w:rPr>
              <w:t>20km/h</w:t>
            </w:r>
            <w:r w:rsidRPr="00FC1444">
              <w:rPr>
                <w:rFonts w:eastAsiaTheme="minorEastAsia"/>
                <w:szCs w:val="21"/>
              </w:rPr>
              <w:t>；合理布置施工现</w:t>
            </w:r>
            <w:r w:rsidRPr="00FC1444">
              <w:rPr>
                <w:rFonts w:eastAsiaTheme="minorEastAsia"/>
                <w:szCs w:val="21"/>
              </w:rPr>
              <w:lastRenderedPageBreak/>
              <w:t>场，尽量让高噪声设备远离敏感点一侧布置。加强施工期环境管理，尽量避免高噪声机械设备集中使用或几台声功率相同的设备同时、同点作业，以减少作业时的噪声声级。合理安排施工作业时间，禁止夜间（</w:t>
            </w:r>
            <w:r w:rsidRPr="00FC1444">
              <w:rPr>
                <w:rFonts w:eastAsiaTheme="minorEastAsia"/>
                <w:szCs w:val="21"/>
              </w:rPr>
              <w:t>22:00-6:00</w:t>
            </w:r>
            <w:r w:rsidRPr="00FC1444">
              <w:rPr>
                <w:rFonts w:eastAsiaTheme="minorEastAsia"/>
                <w:szCs w:val="21"/>
              </w:rPr>
              <w:t>）施工；</w:t>
            </w:r>
            <w:r w:rsidRPr="00FC1444">
              <w:rPr>
                <w:rFonts w:eastAsiaTheme="minorEastAsia"/>
                <w:bCs/>
                <w:szCs w:val="21"/>
              </w:rPr>
              <w:t>加强施工期噪声监测，确保声环境功能区达标</w:t>
            </w:r>
          </w:p>
        </w:tc>
        <w:tc>
          <w:tcPr>
            <w:tcW w:w="1889" w:type="dxa"/>
            <w:gridSpan w:val="2"/>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lastRenderedPageBreak/>
              <w:t>《建筑施工噪声排放标准》（</w:t>
            </w:r>
            <w:r w:rsidRPr="00FC1444">
              <w:rPr>
                <w:rFonts w:eastAsiaTheme="minorEastAsia"/>
                <w:szCs w:val="21"/>
              </w:rPr>
              <w:t>GB12523-2025)</w:t>
            </w:r>
          </w:p>
        </w:tc>
        <w:tc>
          <w:tcPr>
            <w:tcW w:w="1743" w:type="dxa"/>
            <w:shd w:val="clear" w:color="auto" w:fill="auto"/>
            <w:vAlign w:val="center"/>
          </w:tcPr>
          <w:p w:rsidR="002A5A5E" w:rsidRPr="00FC1444" w:rsidRDefault="009840DD">
            <w:pPr>
              <w:spacing w:line="300" w:lineRule="atLeast"/>
              <w:jc w:val="center"/>
              <w:rPr>
                <w:rFonts w:eastAsiaTheme="minorEastAsia"/>
                <w:sz w:val="18"/>
                <w:szCs w:val="18"/>
              </w:rPr>
            </w:pPr>
            <w:r w:rsidRPr="00FC1444">
              <w:rPr>
                <w:rFonts w:eastAsiaTheme="minorEastAsia"/>
                <w:szCs w:val="21"/>
              </w:rPr>
              <w:pict>
                <v:shape id="图片 441" o:spid="_x0000_s696754" type="#_x0000_t75" style="position:absolute;left:0;text-align:left;margin-left:22.3pt;margin-top:2.45pt;width:35.7pt;height:31.05pt;z-index:251705344;mso-position-horizontal-relative:text;mso-position-vertical-relative:text">
                  <v:imagedata r:id="rId82" o:title=""/>
                </v:shape>
              </w:pict>
            </w:r>
          </w:p>
          <w:p w:rsidR="002A5A5E" w:rsidRPr="00FC1444" w:rsidRDefault="002A5A5E">
            <w:pPr>
              <w:spacing w:line="0" w:lineRule="atLeast"/>
              <w:jc w:val="center"/>
              <w:rPr>
                <w:rFonts w:eastAsiaTheme="minorEastAsia"/>
                <w:b/>
                <w:bCs/>
                <w:sz w:val="18"/>
                <w:szCs w:val="18"/>
              </w:rPr>
            </w:pPr>
          </w:p>
          <w:p w:rsidR="00730492" w:rsidRPr="00FC1444" w:rsidRDefault="00730492">
            <w:pPr>
              <w:spacing w:line="0" w:lineRule="atLeast"/>
              <w:jc w:val="center"/>
              <w:rPr>
                <w:rFonts w:eastAsiaTheme="minorEastAsia"/>
                <w:b/>
                <w:bCs/>
                <w:sz w:val="18"/>
                <w:szCs w:val="18"/>
              </w:rPr>
            </w:pPr>
          </w:p>
          <w:p w:rsidR="002A5A5E" w:rsidRPr="00FC1444" w:rsidRDefault="00611CBA">
            <w:pPr>
              <w:spacing w:line="0" w:lineRule="atLeast"/>
              <w:jc w:val="center"/>
              <w:rPr>
                <w:rFonts w:eastAsiaTheme="minorEastAsia"/>
                <w:sz w:val="18"/>
                <w:szCs w:val="18"/>
              </w:rPr>
            </w:pPr>
            <w:r w:rsidRPr="00FC1444">
              <w:rPr>
                <w:rFonts w:eastAsiaTheme="minorEastAsia"/>
                <w:b/>
                <w:bCs/>
                <w:sz w:val="18"/>
                <w:szCs w:val="18"/>
              </w:rPr>
              <w:t>提示图形符号</w:t>
            </w:r>
          </w:p>
          <w:p w:rsidR="002A5A5E" w:rsidRPr="00FC1444" w:rsidRDefault="006B5CB5">
            <w:pPr>
              <w:spacing w:line="0" w:lineRule="atLeast"/>
              <w:jc w:val="center"/>
              <w:rPr>
                <w:rFonts w:eastAsiaTheme="minorEastAsia"/>
                <w:sz w:val="18"/>
                <w:szCs w:val="18"/>
              </w:rPr>
            </w:pPr>
            <w:r w:rsidRPr="00FC1444">
              <w:rPr>
                <w:rFonts w:eastAsiaTheme="minorEastAsia"/>
                <w:sz w:val="18"/>
                <w:szCs w:val="18"/>
              </w:rPr>
              <w:lastRenderedPageBreak/>
              <w:pict>
                <v:shape id="_x0000_i1027" type="#_x0000_t75" style="width:37.5pt;height:31.5pt">
                  <v:imagedata r:id="rId83" o:title=""/>
                </v:shape>
              </w:pict>
            </w:r>
          </w:p>
          <w:p w:rsidR="002A5A5E" w:rsidRPr="00FC1444" w:rsidRDefault="00611CBA">
            <w:pPr>
              <w:spacing w:line="300" w:lineRule="atLeast"/>
              <w:jc w:val="center"/>
              <w:rPr>
                <w:rFonts w:eastAsiaTheme="minorEastAsia"/>
                <w:sz w:val="18"/>
                <w:szCs w:val="18"/>
              </w:rPr>
            </w:pPr>
            <w:r w:rsidRPr="00FC1444">
              <w:rPr>
                <w:rFonts w:eastAsiaTheme="minorEastAsia"/>
                <w:b/>
                <w:bCs/>
                <w:sz w:val="18"/>
                <w:szCs w:val="18"/>
              </w:rPr>
              <w:t>警告图形符号</w:t>
            </w:r>
          </w:p>
        </w:tc>
      </w:tr>
      <w:tr w:rsidR="00B36490" w:rsidRPr="00FC1444" w:rsidTr="00B36490">
        <w:trPr>
          <w:trHeight w:val="919"/>
          <w:jc w:val="center"/>
        </w:trPr>
        <w:tc>
          <w:tcPr>
            <w:tcW w:w="1271" w:type="dxa"/>
            <w:vMerge w:val="restart"/>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lastRenderedPageBreak/>
              <w:t>施工期固废</w:t>
            </w:r>
          </w:p>
        </w:tc>
        <w:tc>
          <w:tcPr>
            <w:tcW w:w="1134" w:type="dxa"/>
            <w:shd w:val="clear" w:color="auto" w:fill="auto"/>
            <w:vAlign w:val="center"/>
          </w:tcPr>
          <w:p w:rsidR="002A5A5E" w:rsidRPr="00FC1444" w:rsidRDefault="00E67114" w:rsidP="00E67114">
            <w:pPr>
              <w:spacing w:line="0" w:lineRule="atLeast"/>
              <w:jc w:val="center"/>
              <w:rPr>
                <w:rFonts w:eastAsiaTheme="minorEastAsia"/>
                <w:szCs w:val="21"/>
              </w:rPr>
            </w:pPr>
            <w:r w:rsidRPr="00FC1444">
              <w:rPr>
                <w:rFonts w:eastAsiaTheme="minorEastAsia"/>
                <w:szCs w:val="21"/>
              </w:rPr>
              <w:t>建筑垃圾、土方</w:t>
            </w:r>
            <w:r w:rsidR="00611CBA" w:rsidRPr="00FC1444">
              <w:rPr>
                <w:rFonts w:eastAsiaTheme="minorEastAsia"/>
                <w:szCs w:val="21"/>
              </w:rPr>
              <w:t>、淤泥、</w:t>
            </w:r>
            <w:r w:rsidRPr="00FC1444">
              <w:rPr>
                <w:rFonts w:eastAsiaTheme="minorEastAsia"/>
                <w:szCs w:val="21"/>
              </w:rPr>
              <w:t>生活垃圾、</w:t>
            </w:r>
            <w:r w:rsidR="00611CBA" w:rsidRPr="00FC1444">
              <w:rPr>
                <w:rFonts w:eastAsiaTheme="minorEastAsia"/>
              </w:rPr>
              <w:t>废肥料包装袋</w:t>
            </w:r>
          </w:p>
        </w:tc>
        <w:tc>
          <w:tcPr>
            <w:tcW w:w="8494" w:type="dxa"/>
            <w:gridSpan w:val="3"/>
            <w:shd w:val="clear" w:color="auto" w:fill="auto"/>
            <w:vAlign w:val="center"/>
          </w:tcPr>
          <w:p w:rsidR="002A5A5E" w:rsidRPr="00FC1444" w:rsidRDefault="00611CBA" w:rsidP="00F9040C">
            <w:pPr>
              <w:spacing w:line="0" w:lineRule="atLeast"/>
              <w:jc w:val="center"/>
              <w:rPr>
                <w:rFonts w:eastAsiaTheme="minorEastAsia"/>
                <w:bCs/>
                <w:szCs w:val="21"/>
              </w:rPr>
            </w:pPr>
            <w:r w:rsidRPr="00FC1444">
              <w:rPr>
                <w:rFonts w:eastAsiaTheme="minorEastAsia"/>
                <w:szCs w:val="21"/>
              </w:rPr>
              <w:t>建筑垃圾大部分用于</w:t>
            </w:r>
            <w:r w:rsidRPr="00FC1444">
              <w:rPr>
                <w:rFonts w:eastAsiaTheme="minorEastAsia"/>
                <w:snapToGrid w:val="0"/>
                <w:kern w:val="0"/>
              </w:rPr>
              <w:t>田块整治工程，剩余</w:t>
            </w:r>
            <w:r w:rsidRPr="00FC1444">
              <w:rPr>
                <w:rFonts w:eastAsiaTheme="minorEastAsia"/>
                <w:szCs w:val="21"/>
              </w:rPr>
              <w:t>及时送至建材公司回用</w:t>
            </w:r>
            <w:r w:rsidR="00F9040C" w:rsidRPr="00FC1444">
              <w:rPr>
                <w:rFonts w:eastAsiaTheme="minorEastAsia"/>
                <w:szCs w:val="21"/>
              </w:rPr>
              <w:t>，建筑垃圾进行堆填利用前应开展本底调查及风险评估。</w:t>
            </w:r>
            <w:r w:rsidR="00957CE3" w:rsidRPr="00FC1444">
              <w:rPr>
                <w:rFonts w:eastAsiaTheme="minorEastAsia"/>
                <w:szCs w:val="21"/>
              </w:rPr>
              <w:t>废包装袋外售废品收购站</w:t>
            </w:r>
            <w:r w:rsidR="00E67114" w:rsidRPr="00FC1444">
              <w:rPr>
                <w:rFonts w:eastAsiaTheme="minorEastAsia"/>
                <w:szCs w:val="21"/>
              </w:rPr>
              <w:t>；</w:t>
            </w:r>
            <w:r w:rsidRPr="00FC1444">
              <w:rPr>
                <w:rFonts w:eastAsiaTheme="minorEastAsia"/>
              </w:rPr>
              <w:t>钻井泥浆循环利用，</w:t>
            </w:r>
            <w:r w:rsidRPr="00FC1444">
              <w:rPr>
                <w:rFonts w:eastAsiaTheme="minorEastAsia"/>
                <w:szCs w:val="22"/>
              </w:rPr>
              <w:t>废泥浆</w:t>
            </w:r>
            <w:r w:rsidRPr="00FC1444">
              <w:rPr>
                <w:rFonts w:eastAsiaTheme="minorEastAsia"/>
              </w:rPr>
              <w:t>暂存于施工场地</w:t>
            </w:r>
            <w:r w:rsidR="006974EB" w:rsidRPr="00FC1444">
              <w:rPr>
                <w:rFonts w:eastAsiaTheme="minorEastAsia"/>
              </w:rPr>
              <w:t>1</w:t>
            </w:r>
            <w:r w:rsidR="006974EB" w:rsidRPr="00FC1444">
              <w:rPr>
                <w:rFonts w:eastAsiaTheme="minorEastAsia"/>
              </w:rPr>
              <w:t>个</w:t>
            </w:r>
            <w:r w:rsidR="006974EB" w:rsidRPr="00FC1444">
              <w:rPr>
                <w:rFonts w:eastAsiaTheme="minorEastAsia"/>
              </w:rPr>
              <w:t>10</w:t>
            </w:r>
            <w:r w:rsidRPr="00FC1444">
              <w:rPr>
                <w:rFonts w:eastAsiaTheme="minorEastAsia"/>
                <w:szCs w:val="22"/>
              </w:rPr>
              <w:t>m</w:t>
            </w:r>
            <w:r w:rsidRPr="00FC1444">
              <w:rPr>
                <w:rFonts w:eastAsiaTheme="minorEastAsia"/>
                <w:szCs w:val="22"/>
                <w:vertAlign w:val="superscript"/>
              </w:rPr>
              <w:t>3</w:t>
            </w:r>
            <w:r w:rsidRPr="00FC1444">
              <w:rPr>
                <w:rFonts w:eastAsiaTheme="minorEastAsia"/>
              </w:rPr>
              <w:t>移动式不锈钢沉淀池内，沉淀后上层清水用于洒水降尘，下层钻井</w:t>
            </w:r>
            <w:r w:rsidRPr="00FC1444">
              <w:rPr>
                <w:rFonts w:eastAsiaTheme="minorEastAsia"/>
                <w:bCs/>
              </w:rPr>
              <w:t>泥浆自然干化后用于周围路面平整</w:t>
            </w:r>
            <w:r w:rsidRPr="00FC1444">
              <w:rPr>
                <w:rFonts w:eastAsiaTheme="minorEastAsia"/>
                <w:szCs w:val="21"/>
              </w:rPr>
              <w:t>；表土全部用于临时工程土地恢复及田块整治工程，</w:t>
            </w:r>
            <w:r w:rsidR="009C6020" w:rsidRPr="00FC1444">
              <w:rPr>
                <w:rFonts w:eastAsiaTheme="minorEastAsia"/>
                <w:szCs w:val="21"/>
              </w:rPr>
              <w:t>资源化利用</w:t>
            </w:r>
            <w:r w:rsidR="00E67114" w:rsidRPr="00FC1444">
              <w:rPr>
                <w:rFonts w:eastAsiaTheme="minorEastAsia"/>
                <w:szCs w:val="21"/>
              </w:rPr>
              <w:t>；</w:t>
            </w:r>
            <w:r w:rsidR="00E67114" w:rsidRPr="00FC1444">
              <w:rPr>
                <w:rFonts w:eastAsiaTheme="minorEastAsia"/>
                <w:snapToGrid w:val="0"/>
                <w:kern w:val="0"/>
              </w:rPr>
              <w:t>施工人员产生的生活垃圾集中收集后由市政环卫部门统一清运处置</w:t>
            </w:r>
            <w:r w:rsidR="00E67114" w:rsidRPr="00FC1444">
              <w:rPr>
                <w:rFonts w:eastAsiaTheme="minorEastAsia"/>
              </w:rPr>
              <w:t>；</w:t>
            </w:r>
            <w:r w:rsidR="00730492" w:rsidRPr="00FC1444">
              <w:rPr>
                <w:rFonts w:eastAsiaTheme="minorEastAsia"/>
                <w:bCs/>
              </w:rPr>
              <w:t>排水沟淤泥培至工程附近</w:t>
            </w:r>
            <w:r w:rsidR="00730492" w:rsidRPr="00FC1444">
              <w:rPr>
                <w:rFonts w:eastAsiaTheme="minorEastAsia"/>
                <w:bCs/>
              </w:rPr>
              <w:t>200</w:t>
            </w:r>
            <w:r w:rsidR="00730492" w:rsidRPr="00FC1444">
              <w:rPr>
                <w:rFonts w:eastAsiaTheme="minorEastAsia"/>
                <w:bCs/>
              </w:rPr>
              <w:t>米范围内无环境保护目标的排水沟两侧（</w:t>
            </w:r>
            <w:r w:rsidR="00386D57" w:rsidRPr="00FC1444">
              <w:rPr>
                <w:rFonts w:eastAsiaTheme="minorEastAsia"/>
                <w:bCs/>
              </w:rPr>
              <w:t>避开黄家屯、李荒子屯等</w:t>
            </w:r>
            <w:r w:rsidR="00386D57" w:rsidRPr="00FC1444">
              <w:rPr>
                <w:rFonts w:eastAsiaTheme="minorEastAsia"/>
                <w:bCs/>
              </w:rPr>
              <w:t>22</w:t>
            </w:r>
            <w:r w:rsidR="00386D57" w:rsidRPr="00FC1444">
              <w:rPr>
                <w:rFonts w:eastAsiaTheme="minorEastAsia"/>
                <w:bCs/>
              </w:rPr>
              <w:t>个村屯</w:t>
            </w:r>
            <w:r w:rsidR="00730492" w:rsidRPr="00FC1444">
              <w:rPr>
                <w:rFonts w:eastAsiaTheme="minorEastAsia"/>
                <w:bCs/>
              </w:rPr>
              <w:t>，具体见表</w:t>
            </w:r>
            <w:r w:rsidR="00730492" w:rsidRPr="00FC1444">
              <w:rPr>
                <w:rFonts w:eastAsiaTheme="minorEastAsia"/>
                <w:bCs/>
              </w:rPr>
              <w:t>2-8-2</w:t>
            </w:r>
            <w:r w:rsidR="00730492" w:rsidRPr="00FC1444">
              <w:rPr>
                <w:rFonts w:eastAsiaTheme="minorEastAsia"/>
                <w:bCs/>
              </w:rPr>
              <w:t>）</w:t>
            </w:r>
            <w:r w:rsidRPr="00FC1444">
              <w:rPr>
                <w:rFonts w:eastAsiaTheme="minorEastAsia"/>
                <w:bCs/>
                <w:szCs w:val="21"/>
              </w:rPr>
              <w:t>；</w:t>
            </w:r>
            <w:r w:rsidRPr="00FC1444">
              <w:rPr>
                <w:rFonts w:eastAsiaTheme="minorEastAsia"/>
              </w:rPr>
              <w:t>废肥料包装袋外售废品收购站</w:t>
            </w:r>
          </w:p>
        </w:tc>
        <w:tc>
          <w:tcPr>
            <w:tcW w:w="1872" w:type="dxa"/>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100%</w:t>
            </w:r>
            <w:r w:rsidRPr="00FC1444">
              <w:rPr>
                <w:rFonts w:eastAsiaTheme="minorEastAsia"/>
                <w:szCs w:val="21"/>
              </w:rPr>
              <w:t>处置</w:t>
            </w:r>
          </w:p>
        </w:tc>
        <w:tc>
          <w:tcPr>
            <w:tcW w:w="1760" w:type="dxa"/>
            <w:gridSpan w:val="2"/>
            <w:shd w:val="clear" w:color="auto" w:fill="auto"/>
            <w:vAlign w:val="center"/>
          </w:tcPr>
          <w:p w:rsidR="002A5A5E" w:rsidRPr="00FC1444" w:rsidRDefault="00611CBA">
            <w:pPr>
              <w:jc w:val="center"/>
              <w:rPr>
                <w:rFonts w:eastAsiaTheme="minorEastAsia"/>
                <w:szCs w:val="21"/>
              </w:rPr>
            </w:pPr>
            <w:r w:rsidRPr="00FC1444">
              <w:rPr>
                <w:rFonts w:eastAsiaTheme="minorEastAsia"/>
                <w:noProof/>
                <w:szCs w:val="21"/>
              </w:rPr>
              <w:drawing>
                <wp:inline distT="0" distB="0" distL="0" distR="0">
                  <wp:extent cx="695325" cy="619125"/>
                  <wp:effectExtent l="19050" t="0" r="9525" b="0"/>
                  <wp:docPr id="27"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1"/>
                          <pic:cNvPicPr>
                            <a:picLocks noChangeAspect="1" noChangeArrowheads="1"/>
                          </pic:cNvPicPr>
                        </pic:nvPicPr>
                        <pic:blipFill>
                          <a:blip r:embed="rId84"/>
                          <a:srcRect/>
                          <a:stretch>
                            <a:fillRect/>
                          </a:stretch>
                        </pic:blipFill>
                        <pic:spPr>
                          <a:xfrm>
                            <a:off x="0" y="0"/>
                            <a:ext cx="695325" cy="619125"/>
                          </a:xfrm>
                          <a:prstGeom prst="rect">
                            <a:avLst/>
                          </a:prstGeom>
                          <a:noFill/>
                          <a:ln w="9525">
                            <a:noFill/>
                            <a:miter lim="800000"/>
                            <a:headEnd/>
                            <a:tailEnd/>
                          </a:ln>
                        </pic:spPr>
                      </pic:pic>
                    </a:graphicData>
                  </a:graphic>
                </wp:inline>
              </w:drawing>
            </w:r>
          </w:p>
          <w:p w:rsidR="002A5A5E" w:rsidRPr="00FC1444" w:rsidRDefault="00611CBA">
            <w:pPr>
              <w:spacing w:line="0" w:lineRule="atLeast"/>
              <w:jc w:val="center"/>
              <w:rPr>
                <w:rFonts w:eastAsiaTheme="minorEastAsia"/>
                <w:szCs w:val="21"/>
              </w:rPr>
            </w:pPr>
            <w:r w:rsidRPr="00FC1444">
              <w:rPr>
                <w:rFonts w:eastAsiaTheme="minorEastAsia"/>
                <w:b/>
                <w:bCs/>
                <w:szCs w:val="21"/>
              </w:rPr>
              <w:t>一般固体废物</w:t>
            </w:r>
          </w:p>
        </w:tc>
      </w:tr>
      <w:tr w:rsidR="00B36490" w:rsidRPr="00FC1444" w:rsidTr="00B36490">
        <w:trPr>
          <w:trHeight w:val="85"/>
          <w:jc w:val="center"/>
        </w:trPr>
        <w:tc>
          <w:tcPr>
            <w:tcW w:w="1271" w:type="dxa"/>
            <w:vMerge/>
            <w:shd w:val="clear" w:color="auto" w:fill="auto"/>
            <w:vAlign w:val="center"/>
          </w:tcPr>
          <w:p w:rsidR="002A5A5E" w:rsidRPr="00FC1444" w:rsidRDefault="002A5A5E">
            <w:pPr>
              <w:spacing w:line="0" w:lineRule="atLeast"/>
              <w:jc w:val="center"/>
              <w:rPr>
                <w:rFonts w:eastAsiaTheme="minorEastAsia"/>
                <w:szCs w:val="21"/>
              </w:rPr>
            </w:pPr>
          </w:p>
        </w:tc>
        <w:tc>
          <w:tcPr>
            <w:tcW w:w="1134" w:type="dxa"/>
            <w:shd w:val="clear" w:color="auto" w:fill="auto"/>
            <w:vAlign w:val="center"/>
          </w:tcPr>
          <w:p w:rsidR="002A5A5E" w:rsidRPr="00FC1444" w:rsidRDefault="00611CBA">
            <w:pPr>
              <w:jc w:val="center"/>
              <w:rPr>
                <w:rFonts w:eastAsiaTheme="minorEastAsia"/>
                <w:szCs w:val="21"/>
              </w:rPr>
            </w:pPr>
            <w:r w:rsidRPr="00FC1444">
              <w:rPr>
                <w:rFonts w:eastAsiaTheme="minorEastAsia"/>
                <w:szCs w:val="21"/>
              </w:rPr>
              <w:t>生活垃圾</w:t>
            </w:r>
          </w:p>
        </w:tc>
        <w:tc>
          <w:tcPr>
            <w:tcW w:w="8494" w:type="dxa"/>
            <w:gridSpan w:val="3"/>
            <w:shd w:val="clear" w:color="auto" w:fill="auto"/>
            <w:vAlign w:val="center"/>
          </w:tcPr>
          <w:p w:rsidR="002A5A5E" w:rsidRPr="00FC1444" w:rsidRDefault="00611CBA">
            <w:pPr>
              <w:jc w:val="center"/>
              <w:rPr>
                <w:rFonts w:eastAsiaTheme="minorEastAsia"/>
                <w:szCs w:val="21"/>
              </w:rPr>
            </w:pPr>
            <w:r w:rsidRPr="00FC1444">
              <w:rPr>
                <w:rFonts w:eastAsiaTheme="minorEastAsia"/>
                <w:bCs/>
                <w:szCs w:val="21"/>
              </w:rPr>
              <w:t>当地环卫部门统一处理</w:t>
            </w:r>
          </w:p>
        </w:tc>
        <w:tc>
          <w:tcPr>
            <w:tcW w:w="1872" w:type="dxa"/>
            <w:shd w:val="clear" w:color="auto" w:fill="auto"/>
            <w:vAlign w:val="center"/>
          </w:tcPr>
          <w:p w:rsidR="002A5A5E" w:rsidRPr="00FC1444" w:rsidRDefault="00611CBA">
            <w:pPr>
              <w:jc w:val="center"/>
              <w:rPr>
                <w:rFonts w:eastAsiaTheme="minorEastAsia"/>
                <w:szCs w:val="21"/>
              </w:rPr>
            </w:pPr>
            <w:r w:rsidRPr="00FC1444">
              <w:rPr>
                <w:rFonts w:eastAsiaTheme="minorEastAsia"/>
                <w:szCs w:val="21"/>
              </w:rPr>
              <w:t>/</w:t>
            </w:r>
          </w:p>
        </w:tc>
        <w:tc>
          <w:tcPr>
            <w:tcW w:w="1760" w:type="dxa"/>
            <w:gridSpan w:val="2"/>
            <w:shd w:val="clear" w:color="auto" w:fill="auto"/>
            <w:vAlign w:val="center"/>
          </w:tcPr>
          <w:p w:rsidR="002A5A5E" w:rsidRPr="00FC1444" w:rsidRDefault="00611CBA">
            <w:pPr>
              <w:jc w:val="center"/>
              <w:rPr>
                <w:rFonts w:eastAsiaTheme="minorEastAsia"/>
                <w:szCs w:val="21"/>
              </w:rPr>
            </w:pPr>
            <w:r w:rsidRPr="00FC1444">
              <w:rPr>
                <w:rFonts w:eastAsiaTheme="minorEastAsia"/>
                <w:szCs w:val="21"/>
              </w:rPr>
              <w:t>/</w:t>
            </w:r>
          </w:p>
        </w:tc>
      </w:tr>
      <w:tr w:rsidR="00B36490" w:rsidRPr="00FC1444" w:rsidTr="00B36490">
        <w:trPr>
          <w:trHeight w:val="919"/>
          <w:jc w:val="center"/>
        </w:trPr>
        <w:tc>
          <w:tcPr>
            <w:tcW w:w="1271" w:type="dxa"/>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运营期废气</w:t>
            </w:r>
          </w:p>
        </w:tc>
        <w:tc>
          <w:tcPr>
            <w:tcW w:w="1134" w:type="dxa"/>
            <w:shd w:val="clear" w:color="auto" w:fill="auto"/>
            <w:vAlign w:val="center"/>
          </w:tcPr>
          <w:p w:rsidR="002A5A5E" w:rsidRPr="00FC1444" w:rsidRDefault="00611CBA">
            <w:pPr>
              <w:pStyle w:val="aff7"/>
              <w:rPr>
                <w:rFonts w:eastAsiaTheme="minorEastAsia" w:hAnsi="Times New Roman"/>
                <w:snapToGrid w:val="0"/>
              </w:rPr>
            </w:pPr>
            <w:r w:rsidRPr="00FC1444">
              <w:rPr>
                <w:rFonts w:eastAsiaTheme="minorEastAsia" w:hAnsi="Times New Roman"/>
                <w:bCs/>
                <w:snapToGrid w:val="0"/>
              </w:rPr>
              <w:t>CO</w:t>
            </w:r>
            <w:r w:rsidRPr="00FC1444">
              <w:rPr>
                <w:rFonts w:eastAsiaTheme="minorEastAsia" w:hAnsi="Times New Roman"/>
                <w:bCs/>
                <w:snapToGrid w:val="0"/>
              </w:rPr>
              <w:t>、</w:t>
            </w:r>
            <w:r w:rsidRPr="00FC1444">
              <w:rPr>
                <w:rFonts w:eastAsiaTheme="minorEastAsia" w:hAnsi="Times New Roman"/>
                <w:bCs/>
                <w:snapToGrid w:val="0"/>
              </w:rPr>
              <w:t>HC+NOx</w:t>
            </w:r>
            <w:r w:rsidRPr="00FC1444">
              <w:rPr>
                <w:rFonts w:eastAsiaTheme="minorEastAsia" w:hAnsi="Times New Roman"/>
                <w:bCs/>
                <w:snapToGrid w:val="0"/>
              </w:rPr>
              <w:t>、</w:t>
            </w:r>
            <w:r w:rsidRPr="00FC1444">
              <w:rPr>
                <w:rFonts w:eastAsiaTheme="minorEastAsia" w:hAnsi="Times New Roman"/>
                <w:bCs/>
                <w:snapToGrid w:val="0"/>
              </w:rPr>
              <w:t>THC</w:t>
            </w:r>
          </w:p>
        </w:tc>
        <w:tc>
          <w:tcPr>
            <w:tcW w:w="8494" w:type="dxa"/>
            <w:gridSpan w:val="3"/>
            <w:shd w:val="clear" w:color="auto" w:fill="auto"/>
            <w:vAlign w:val="center"/>
          </w:tcPr>
          <w:p w:rsidR="002A5A5E" w:rsidRPr="00FC1444" w:rsidRDefault="00611CBA">
            <w:pPr>
              <w:pStyle w:val="aff7"/>
              <w:rPr>
                <w:rFonts w:eastAsiaTheme="minorEastAsia" w:hAnsi="Times New Roman"/>
                <w:b/>
              </w:rPr>
            </w:pPr>
            <w:r w:rsidRPr="00FC1444">
              <w:rPr>
                <w:rFonts w:eastAsiaTheme="minorEastAsia" w:hAnsi="Times New Roman"/>
                <w:kern w:val="0"/>
              </w:rPr>
              <w:t>田间道路</w:t>
            </w:r>
            <w:r w:rsidRPr="00FC1444">
              <w:rPr>
                <w:rFonts w:eastAsiaTheme="minorEastAsia" w:hAnsi="Times New Roman"/>
              </w:rPr>
              <w:t>车辆通过会产生少量汽车尾气，采取限速措施；排水沟仅在降水无法排出情况下采用柴油机移动泵车进行排水，使用时间较短，采用轻质柴油，减少柴油机移动泵车废气影响</w:t>
            </w:r>
          </w:p>
        </w:tc>
        <w:tc>
          <w:tcPr>
            <w:tcW w:w="1872" w:type="dxa"/>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GB20891-2014</w:t>
            </w:r>
            <w:r w:rsidRPr="00FC1444">
              <w:rPr>
                <w:rFonts w:eastAsiaTheme="minorEastAsia"/>
                <w:szCs w:val="21"/>
              </w:rPr>
              <w:t>《非道路移动机械用柴油机排气污染物排放限值及测量方法（中国三、四阶段）》中第四阶段（</w:t>
            </w:r>
            <w:r w:rsidRPr="00FC1444">
              <w:rPr>
                <w:rFonts w:eastAsiaTheme="minorEastAsia"/>
                <w:szCs w:val="21"/>
              </w:rPr>
              <w:t>130</w:t>
            </w:r>
            <w:r w:rsidRPr="00FC1444">
              <w:rPr>
                <w:rFonts w:eastAsiaTheme="minorEastAsia"/>
                <w:szCs w:val="21"/>
              </w:rPr>
              <w:t>＜额定功率＜</w:t>
            </w:r>
            <w:r w:rsidRPr="00FC1444">
              <w:rPr>
                <w:rFonts w:eastAsiaTheme="minorEastAsia"/>
                <w:szCs w:val="21"/>
              </w:rPr>
              <w:t>560kW</w:t>
            </w:r>
            <w:r w:rsidRPr="00FC1444">
              <w:rPr>
                <w:rFonts w:eastAsiaTheme="minorEastAsia"/>
                <w:szCs w:val="21"/>
              </w:rPr>
              <w:t>）</w:t>
            </w:r>
          </w:p>
        </w:tc>
        <w:tc>
          <w:tcPr>
            <w:tcW w:w="1760" w:type="dxa"/>
            <w:gridSpan w:val="2"/>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w:t>
            </w:r>
          </w:p>
        </w:tc>
      </w:tr>
      <w:tr w:rsidR="00B36490" w:rsidRPr="00FC1444" w:rsidTr="00B36490">
        <w:trPr>
          <w:trHeight w:val="623"/>
          <w:jc w:val="center"/>
        </w:trPr>
        <w:tc>
          <w:tcPr>
            <w:tcW w:w="1271" w:type="dxa"/>
            <w:vMerge w:val="restart"/>
            <w:shd w:val="clear" w:color="auto" w:fill="auto"/>
            <w:vAlign w:val="center"/>
          </w:tcPr>
          <w:p w:rsidR="00D33612" w:rsidRPr="00FC1444" w:rsidRDefault="00D33612">
            <w:pPr>
              <w:pStyle w:val="aff7"/>
              <w:rPr>
                <w:rFonts w:eastAsiaTheme="minorEastAsia" w:hAnsi="Times New Roman"/>
              </w:rPr>
            </w:pPr>
            <w:r w:rsidRPr="00FC1444">
              <w:rPr>
                <w:rFonts w:eastAsiaTheme="minorEastAsia" w:hAnsi="Times New Roman"/>
              </w:rPr>
              <w:t>运营期固体废物</w:t>
            </w:r>
          </w:p>
        </w:tc>
        <w:tc>
          <w:tcPr>
            <w:tcW w:w="1134" w:type="dxa"/>
            <w:shd w:val="clear" w:color="auto" w:fill="auto"/>
            <w:vAlign w:val="center"/>
          </w:tcPr>
          <w:p w:rsidR="00D33612" w:rsidRPr="00FC1444" w:rsidRDefault="00D33612" w:rsidP="00D33612">
            <w:pPr>
              <w:spacing w:line="0" w:lineRule="atLeast"/>
              <w:jc w:val="center"/>
              <w:rPr>
                <w:rFonts w:eastAsiaTheme="minorEastAsia"/>
                <w:szCs w:val="21"/>
              </w:rPr>
            </w:pPr>
            <w:r w:rsidRPr="00FC1444">
              <w:rPr>
                <w:rFonts w:eastAsiaTheme="minorEastAsia"/>
                <w:szCs w:val="21"/>
              </w:rPr>
              <w:t>秸秆、</w:t>
            </w:r>
            <w:r w:rsidRPr="00FC1444">
              <w:rPr>
                <w:rFonts w:eastAsiaTheme="minorEastAsia"/>
                <w:bCs/>
                <w:szCs w:val="21"/>
              </w:rPr>
              <w:t>废肥料包装袋</w:t>
            </w:r>
          </w:p>
        </w:tc>
        <w:tc>
          <w:tcPr>
            <w:tcW w:w="8494" w:type="dxa"/>
            <w:gridSpan w:val="3"/>
            <w:shd w:val="clear" w:color="auto" w:fill="auto"/>
            <w:vAlign w:val="center"/>
          </w:tcPr>
          <w:p w:rsidR="00D33612" w:rsidRPr="00FC1444" w:rsidRDefault="00D33612">
            <w:pPr>
              <w:pStyle w:val="aff7"/>
              <w:rPr>
                <w:rFonts w:eastAsiaTheme="minorEastAsia" w:hAnsi="Times New Roman"/>
              </w:rPr>
            </w:pPr>
            <w:r w:rsidRPr="00FC1444">
              <w:rPr>
                <w:rFonts w:hAnsi="Times New Roman"/>
                <w:bCs/>
              </w:rPr>
              <w:t>由当地农民负责外售综合利用</w:t>
            </w:r>
          </w:p>
        </w:tc>
        <w:tc>
          <w:tcPr>
            <w:tcW w:w="1872" w:type="dxa"/>
            <w:vMerge w:val="restart"/>
            <w:shd w:val="clear" w:color="auto" w:fill="auto"/>
            <w:vAlign w:val="center"/>
          </w:tcPr>
          <w:p w:rsidR="00D33612" w:rsidRPr="00FC1444" w:rsidRDefault="00D33612">
            <w:pPr>
              <w:spacing w:line="0" w:lineRule="atLeast"/>
              <w:jc w:val="center"/>
              <w:rPr>
                <w:rFonts w:eastAsiaTheme="minorEastAsia"/>
              </w:rPr>
            </w:pPr>
            <w:r w:rsidRPr="00FC1444">
              <w:rPr>
                <w:rFonts w:eastAsiaTheme="minorEastAsia"/>
                <w:szCs w:val="21"/>
              </w:rPr>
              <w:t>100%</w:t>
            </w:r>
            <w:r w:rsidRPr="00FC1444">
              <w:rPr>
                <w:rFonts w:eastAsiaTheme="minorEastAsia"/>
                <w:szCs w:val="21"/>
              </w:rPr>
              <w:t>处置</w:t>
            </w:r>
          </w:p>
        </w:tc>
        <w:tc>
          <w:tcPr>
            <w:tcW w:w="1760" w:type="dxa"/>
            <w:gridSpan w:val="2"/>
            <w:vMerge w:val="restart"/>
            <w:shd w:val="clear" w:color="auto" w:fill="auto"/>
            <w:vAlign w:val="center"/>
          </w:tcPr>
          <w:p w:rsidR="00D33612" w:rsidRPr="00FC1444" w:rsidRDefault="00D33612">
            <w:pPr>
              <w:jc w:val="center"/>
              <w:rPr>
                <w:rFonts w:eastAsiaTheme="minorEastAsia"/>
                <w:szCs w:val="21"/>
              </w:rPr>
            </w:pPr>
            <w:r w:rsidRPr="00FC1444">
              <w:rPr>
                <w:rFonts w:eastAsiaTheme="minorEastAsia"/>
                <w:noProof/>
                <w:szCs w:val="21"/>
              </w:rPr>
              <w:drawing>
                <wp:inline distT="0" distB="0" distL="0" distR="0">
                  <wp:extent cx="695325" cy="619125"/>
                  <wp:effectExtent l="19050" t="0" r="9525" b="0"/>
                  <wp:docPr id="63"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81"/>
                          <pic:cNvPicPr>
                            <a:picLocks noChangeAspect="1" noChangeArrowheads="1"/>
                          </pic:cNvPicPr>
                        </pic:nvPicPr>
                        <pic:blipFill>
                          <a:blip r:embed="rId84"/>
                          <a:srcRect/>
                          <a:stretch>
                            <a:fillRect/>
                          </a:stretch>
                        </pic:blipFill>
                        <pic:spPr>
                          <a:xfrm>
                            <a:off x="0" y="0"/>
                            <a:ext cx="695325" cy="619125"/>
                          </a:xfrm>
                          <a:prstGeom prst="rect">
                            <a:avLst/>
                          </a:prstGeom>
                          <a:noFill/>
                          <a:ln w="9525">
                            <a:noFill/>
                            <a:miter lim="800000"/>
                            <a:headEnd/>
                            <a:tailEnd/>
                          </a:ln>
                        </pic:spPr>
                      </pic:pic>
                    </a:graphicData>
                  </a:graphic>
                </wp:inline>
              </w:drawing>
            </w:r>
          </w:p>
          <w:p w:rsidR="00D33612" w:rsidRPr="00FC1444" w:rsidRDefault="00D33612">
            <w:pPr>
              <w:spacing w:line="0" w:lineRule="atLeast"/>
              <w:jc w:val="center"/>
              <w:rPr>
                <w:rFonts w:eastAsiaTheme="minorEastAsia"/>
                <w:szCs w:val="21"/>
              </w:rPr>
            </w:pPr>
            <w:r w:rsidRPr="00FC1444">
              <w:rPr>
                <w:rFonts w:eastAsiaTheme="minorEastAsia"/>
                <w:b/>
                <w:bCs/>
                <w:szCs w:val="21"/>
              </w:rPr>
              <w:t>一般固体废物</w:t>
            </w:r>
          </w:p>
        </w:tc>
      </w:tr>
      <w:tr w:rsidR="00B36490" w:rsidRPr="00FC1444" w:rsidTr="00B36490">
        <w:trPr>
          <w:trHeight w:val="622"/>
          <w:jc w:val="center"/>
        </w:trPr>
        <w:tc>
          <w:tcPr>
            <w:tcW w:w="1271" w:type="dxa"/>
            <w:vMerge/>
            <w:shd w:val="clear" w:color="auto" w:fill="auto"/>
            <w:vAlign w:val="center"/>
          </w:tcPr>
          <w:p w:rsidR="00D33612" w:rsidRPr="00FC1444" w:rsidRDefault="00D33612">
            <w:pPr>
              <w:pStyle w:val="aff7"/>
              <w:rPr>
                <w:rFonts w:eastAsiaTheme="minorEastAsia" w:hAnsi="Times New Roman"/>
              </w:rPr>
            </w:pPr>
          </w:p>
        </w:tc>
        <w:tc>
          <w:tcPr>
            <w:tcW w:w="1134" w:type="dxa"/>
            <w:shd w:val="clear" w:color="auto" w:fill="auto"/>
            <w:vAlign w:val="center"/>
          </w:tcPr>
          <w:p w:rsidR="00D33612" w:rsidRPr="00FC1444" w:rsidRDefault="00D33612">
            <w:pPr>
              <w:spacing w:line="0" w:lineRule="atLeast"/>
              <w:jc w:val="center"/>
              <w:rPr>
                <w:rFonts w:eastAsiaTheme="minorEastAsia"/>
                <w:szCs w:val="21"/>
              </w:rPr>
            </w:pPr>
            <w:r w:rsidRPr="00FC1444">
              <w:rPr>
                <w:rFonts w:eastAsiaTheme="minorEastAsia"/>
                <w:bCs/>
                <w:szCs w:val="21"/>
              </w:rPr>
              <w:t>农药包装物</w:t>
            </w:r>
          </w:p>
        </w:tc>
        <w:tc>
          <w:tcPr>
            <w:tcW w:w="8494" w:type="dxa"/>
            <w:gridSpan w:val="3"/>
            <w:shd w:val="clear" w:color="auto" w:fill="auto"/>
            <w:vAlign w:val="center"/>
          </w:tcPr>
          <w:p w:rsidR="00D33612" w:rsidRPr="00FC1444" w:rsidRDefault="00A05A30">
            <w:pPr>
              <w:pStyle w:val="aff7"/>
              <w:rPr>
                <w:rFonts w:hAnsi="Times New Roman"/>
                <w:bCs/>
              </w:rPr>
            </w:pPr>
            <w:r w:rsidRPr="00FC1444">
              <w:rPr>
                <w:rFonts w:hAnsi="Times New Roman"/>
                <w:bCs/>
              </w:rPr>
              <w:t>农业使用者及时收集农药包装物，</w:t>
            </w:r>
            <w:r w:rsidR="00D33612" w:rsidRPr="00FC1444">
              <w:rPr>
                <w:rFonts w:hAnsi="Times New Roman"/>
                <w:bCs/>
              </w:rPr>
              <w:t>交回农药经营者或回收站</w:t>
            </w:r>
          </w:p>
        </w:tc>
        <w:tc>
          <w:tcPr>
            <w:tcW w:w="1872" w:type="dxa"/>
            <w:vMerge/>
            <w:shd w:val="clear" w:color="auto" w:fill="auto"/>
            <w:vAlign w:val="center"/>
          </w:tcPr>
          <w:p w:rsidR="00D33612" w:rsidRPr="00FC1444" w:rsidRDefault="00D33612">
            <w:pPr>
              <w:spacing w:line="0" w:lineRule="atLeast"/>
              <w:jc w:val="center"/>
              <w:rPr>
                <w:rFonts w:eastAsiaTheme="minorEastAsia"/>
                <w:szCs w:val="21"/>
              </w:rPr>
            </w:pPr>
          </w:p>
        </w:tc>
        <w:tc>
          <w:tcPr>
            <w:tcW w:w="1760" w:type="dxa"/>
            <w:gridSpan w:val="2"/>
            <w:vMerge/>
            <w:shd w:val="clear" w:color="auto" w:fill="auto"/>
            <w:vAlign w:val="center"/>
          </w:tcPr>
          <w:p w:rsidR="00D33612" w:rsidRPr="00FC1444" w:rsidRDefault="00D33612">
            <w:pPr>
              <w:jc w:val="center"/>
              <w:rPr>
                <w:rFonts w:eastAsiaTheme="minorEastAsia"/>
                <w:noProof/>
                <w:szCs w:val="21"/>
              </w:rPr>
            </w:pPr>
          </w:p>
        </w:tc>
      </w:tr>
      <w:tr w:rsidR="00B36490" w:rsidRPr="00FC1444" w:rsidTr="002F2D3F">
        <w:trPr>
          <w:trHeight w:val="2534"/>
          <w:jc w:val="center"/>
        </w:trPr>
        <w:tc>
          <w:tcPr>
            <w:tcW w:w="1271" w:type="dxa"/>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lastRenderedPageBreak/>
              <w:t>运营期噪声</w:t>
            </w:r>
          </w:p>
        </w:tc>
        <w:tc>
          <w:tcPr>
            <w:tcW w:w="1134" w:type="dxa"/>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水泵等</w:t>
            </w:r>
            <w:r w:rsidRPr="00FC1444">
              <w:rPr>
                <w:rFonts w:eastAsiaTheme="minorEastAsia"/>
                <w:szCs w:val="21"/>
              </w:rPr>
              <w:t xml:space="preserve"> </w:t>
            </w:r>
          </w:p>
        </w:tc>
        <w:tc>
          <w:tcPr>
            <w:tcW w:w="8494" w:type="dxa"/>
            <w:gridSpan w:val="3"/>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运营期潜水泵、</w:t>
            </w:r>
            <w:r w:rsidR="00A4540D" w:rsidRPr="00FC1444">
              <w:rPr>
                <w:rFonts w:eastAsiaTheme="minorEastAsia"/>
                <w:szCs w:val="21"/>
              </w:rPr>
              <w:t>水肥一体化设备</w:t>
            </w:r>
            <w:r w:rsidRPr="00FC1444">
              <w:rPr>
                <w:rFonts w:eastAsiaTheme="minorEastAsia"/>
                <w:szCs w:val="21"/>
              </w:rPr>
              <w:t>位于井房内，潜水泵位于地下，潜水泵、</w:t>
            </w:r>
            <w:r w:rsidR="00A4540D" w:rsidRPr="00FC1444">
              <w:rPr>
                <w:rFonts w:eastAsiaTheme="minorEastAsia"/>
                <w:szCs w:val="21"/>
              </w:rPr>
              <w:t>水肥一体化设备</w:t>
            </w:r>
            <w:r w:rsidRPr="00FC1444">
              <w:rPr>
                <w:rFonts w:eastAsiaTheme="minorEastAsia"/>
                <w:szCs w:val="21"/>
              </w:rPr>
              <w:t>采取减振措施；变压器基础减振；临近敏感目标的道路处设置限速、禁鸣标识</w:t>
            </w:r>
          </w:p>
        </w:tc>
        <w:tc>
          <w:tcPr>
            <w:tcW w:w="1872" w:type="dxa"/>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井房厂界</w:t>
            </w:r>
            <w:r w:rsidRPr="00FC1444">
              <w:rPr>
                <w:rFonts w:eastAsiaTheme="minorEastAsia"/>
                <w:bCs/>
                <w:szCs w:val="21"/>
              </w:rPr>
              <w:t>噪声执行《工业企业厂界环境噪声排放标准》（</w:t>
            </w:r>
            <w:r w:rsidRPr="00FC1444">
              <w:rPr>
                <w:rFonts w:eastAsiaTheme="minorEastAsia"/>
                <w:bCs/>
                <w:szCs w:val="21"/>
              </w:rPr>
              <w:t>GB12348-2008</w:t>
            </w:r>
            <w:r w:rsidRPr="00FC1444">
              <w:rPr>
                <w:rFonts w:eastAsiaTheme="minorEastAsia"/>
                <w:bCs/>
                <w:szCs w:val="21"/>
              </w:rPr>
              <w:t>）表</w:t>
            </w:r>
            <w:r w:rsidRPr="00FC1444">
              <w:rPr>
                <w:rFonts w:eastAsiaTheme="minorEastAsia"/>
                <w:bCs/>
                <w:szCs w:val="21"/>
              </w:rPr>
              <w:t>1</w:t>
            </w:r>
            <w:r w:rsidRPr="00FC1444">
              <w:rPr>
                <w:rFonts w:eastAsiaTheme="minorEastAsia"/>
                <w:bCs/>
                <w:szCs w:val="21"/>
              </w:rPr>
              <w:t>中</w:t>
            </w:r>
            <w:r w:rsidRPr="00FC1444">
              <w:rPr>
                <w:rFonts w:eastAsiaTheme="minorEastAsia"/>
                <w:bCs/>
                <w:szCs w:val="21"/>
              </w:rPr>
              <w:t>1</w:t>
            </w:r>
            <w:r w:rsidRPr="00FC1444">
              <w:rPr>
                <w:rFonts w:eastAsiaTheme="minorEastAsia"/>
                <w:bCs/>
                <w:szCs w:val="21"/>
              </w:rPr>
              <w:t>类标准</w:t>
            </w:r>
          </w:p>
        </w:tc>
        <w:tc>
          <w:tcPr>
            <w:tcW w:w="1760" w:type="dxa"/>
            <w:gridSpan w:val="2"/>
            <w:shd w:val="clear" w:color="auto" w:fill="auto"/>
            <w:vAlign w:val="center"/>
          </w:tcPr>
          <w:p w:rsidR="002A5A5E" w:rsidRPr="00FC1444" w:rsidRDefault="00611CBA">
            <w:pPr>
              <w:spacing w:line="0" w:lineRule="atLeast"/>
              <w:jc w:val="center"/>
              <w:rPr>
                <w:rFonts w:eastAsiaTheme="minorEastAsia"/>
                <w:szCs w:val="21"/>
              </w:rPr>
            </w:pPr>
            <w:r w:rsidRPr="00FC1444">
              <w:rPr>
                <w:rFonts w:eastAsiaTheme="minorEastAsia"/>
                <w:noProof/>
                <w:szCs w:val="21"/>
              </w:rPr>
              <w:drawing>
                <wp:anchor distT="0" distB="0" distL="114300" distR="114300" simplePos="0" relativeHeight="251814912" behindDoc="0" locked="0" layoutInCell="1" allowOverlap="1">
                  <wp:simplePos x="0" y="0"/>
                  <wp:positionH relativeFrom="column">
                    <wp:posOffset>283845</wp:posOffset>
                  </wp:positionH>
                  <wp:positionV relativeFrom="paragraph">
                    <wp:posOffset>46355</wp:posOffset>
                  </wp:positionV>
                  <wp:extent cx="561975" cy="495300"/>
                  <wp:effectExtent l="19050" t="0" r="9525" b="0"/>
                  <wp:wrapNone/>
                  <wp:docPr id="59" name="图片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41"/>
                          <pic:cNvPicPr>
                            <a:picLocks noChangeAspect="1" noChangeArrowheads="1"/>
                          </pic:cNvPicPr>
                        </pic:nvPicPr>
                        <pic:blipFill>
                          <a:blip r:embed="rId85" cstate="print"/>
                          <a:srcRect/>
                          <a:stretch>
                            <a:fillRect/>
                          </a:stretch>
                        </pic:blipFill>
                        <pic:spPr>
                          <a:xfrm>
                            <a:off x="0" y="0"/>
                            <a:ext cx="561975" cy="495300"/>
                          </a:xfrm>
                          <a:prstGeom prst="rect">
                            <a:avLst/>
                          </a:prstGeom>
                          <a:noFill/>
                          <a:ln w="9525">
                            <a:noFill/>
                            <a:miter lim="800000"/>
                            <a:headEnd/>
                            <a:tailEnd/>
                          </a:ln>
                        </pic:spPr>
                      </pic:pic>
                    </a:graphicData>
                  </a:graphic>
                </wp:anchor>
              </w:drawing>
            </w:r>
          </w:p>
          <w:p w:rsidR="002A5A5E" w:rsidRPr="00FC1444" w:rsidRDefault="002A5A5E">
            <w:pPr>
              <w:spacing w:line="0" w:lineRule="atLeast"/>
              <w:jc w:val="center"/>
              <w:rPr>
                <w:rFonts w:eastAsiaTheme="minorEastAsia"/>
                <w:szCs w:val="21"/>
              </w:rPr>
            </w:pPr>
          </w:p>
          <w:p w:rsidR="002A5A5E" w:rsidRPr="00FC1444" w:rsidRDefault="002A5A5E">
            <w:pPr>
              <w:spacing w:line="0" w:lineRule="atLeast"/>
              <w:jc w:val="center"/>
              <w:rPr>
                <w:rFonts w:eastAsiaTheme="minorEastAsia"/>
                <w:szCs w:val="21"/>
              </w:rPr>
            </w:pPr>
          </w:p>
          <w:p w:rsidR="002A5A5E" w:rsidRPr="00FC1444" w:rsidRDefault="002A5A5E">
            <w:pPr>
              <w:spacing w:line="0" w:lineRule="atLeast"/>
              <w:jc w:val="center"/>
              <w:rPr>
                <w:rFonts w:eastAsiaTheme="minorEastAsia"/>
                <w:b/>
                <w:bCs/>
                <w:szCs w:val="21"/>
              </w:rPr>
            </w:pPr>
          </w:p>
          <w:p w:rsidR="002A5A5E" w:rsidRPr="00FC1444" w:rsidRDefault="00611CBA">
            <w:pPr>
              <w:spacing w:line="0" w:lineRule="atLeast"/>
              <w:jc w:val="center"/>
              <w:rPr>
                <w:rFonts w:eastAsiaTheme="minorEastAsia"/>
                <w:szCs w:val="21"/>
              </w:rPr>
            </w:pPr>
            <w:r w:rsidRPr="00FC1444">
              <w:rPr>
                <w:rFonts w:eastAsiaTheme="minorEastAsia"/>
                <w:b/>
                <w:bCs/>
                <w:szCs w:val="21"/>
              </w:rPr>
              <w:t>提示图形符号</w:t>
            </w:r>
          </w:p>
          <w:p w:rsidR="002A5A5E" w:rsidRPr="00FC1444" w:rsidRDefault="00611CBA">
            <w:pPr>
              <w:spacing w:line="0" w:lineRule="atLeast"/>
              <w:jc w:val="center"/>
              <w:rPr>
                <w:rFonts w:eastAsiaTheme="minorEastAsia"/>
                <w:szCs w:val="21"/>
              </w:rPr>
            </w:pPr>
            <w:r w:rsidRPr="00FC1444">
              <w:rPr>
                <w:rFonts w:eastAsiaTheme="minorEastAsia"/>
                <w:noProof/>
                <w:szCs w:val="21"/>
              </w:rPr>
              <w:drawing>
                <wp:inline distT="0" distB="0" distL="0" distR="0">
                  <wp:extent cx="592207" cy="523875"/>
                  <wp:effectExtent l="19050" t="0" r="0" b="0"/>
                  <wp:docPr id="91"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80"/>
                          <pic:cNvPicPr>
                            <a:picLocks noChangeAspect="1" noChangeArrowheads="1"/>
                          </pic:cNvPicPr>
                        </pic:nvPicPr>
                        <pic:blipFill>
                          <a:blip r:embed="rId86" cstate="print"/>
                          <a:srcRect/>
                          <a:stretch>
                            <a:fillRect/>
                          </a:stretch>
                        </pic:blipFill>
                        <pic:spPr>
                          <a:xfrm>
                            <a:off x="0" y="0"/>
                            <a:ext cx="591609" cy="523346"/>
                          </a:xfrm>
                          <a:prstGeom prst="rect">
                            <a:avLst/>
                          </a:prstGeom>
                          <a:noFill/>
                          <a:ln w="9525">
                            <a:noFill/>
                            <a:miter lim="800000"/>
                            <a:headEnd/>
                            <a:tailEnd/>
                          </a:ln>
                        </pic:spPr>
                      </pic:pic>
                    </a:graphicData>
                  </a:graphic>
                </wp:inline>
              </w:drawing>
            </w:r>
          </w:p>
          <w:p w:rsidR="002A5A5E" w:rsidRPr="00FC1444" w:rsidRDefault="00611CBA">
            <w:pPr>
              <w:spacing w:line="0" w:lineRule="atLeast"/>
              <w:jc w:val="center"/>
              <w:rPr>
                <w:rFonts w:eastAsiaTheme="minorEastAsia"/>
                <w:szCs w:val="21"/>
              </w:rPr>
            </w:pPr>
            <w:r w:rsidRPr="00FC1444">
              <w:rPr>
                <w:rFonts w:eastAsiaTheme="minorEastAsia"/>
                <w:b/>
                <w:bCs/>
                <w:szCs w:val="21"/>
              </w:rPr>
              <w:t>警告图形符号</w:t>
            </w:r>
          </w:p>
        </w:tc>
      </w:tr>
      <w:tr w:rsidR="00B36490" w:rsidRPr="00FC1444" w:rsidTr="002F2D3F">
        <w:trPr>
          <w:trHeight w:val="1393"/>
          <w:jc w:val="center"/>
        </w:trPr>
        <w:tc>
          <w:tcPr>
            <w:tcW w:w="1271" w:type="dxa"/>
            <w:shd w:val="clear" w:color="auto" w:fill="auto"/>
            <w:vAlign w:val="center"/>
          </w:tcPr>
          <w:p w:rsidR="00B36490" w:rsidRPr="00FC1444" w:rsidRDefault="00B36490" w:rsidP="00433F49">
            <w:pPr>
              <w:spacing w:line="0" w:lineRule="atLeast"/>
              <w:jc w:val="center"/>
              <w:rPr>
                <w:rFonts w:eastAsiaTheme="minorEastAsia"/>
                <w:szCs w:val="21"/>
              </w:rPr>
            </w:pPr>
            <w:r w:rsidRPr="00FC1444">
              <w:rPr>
                <w:rFonts w:eastAsiaTheme="minorEastAsia"/>
                <w:szCs w:val="21"/>
              </w:rPr>
              <w:t>风险防范措施</w:t>
            </w:r>
          </w:p>
        </w:tc>
        <w:tc>
          <w:tcPr>
            <w:tcW w:w="1134" w:type="dxa"/>
            <w:shd w:val="clear" w:color="auto" w:fill="auto"/>
            <w:vAlign w:val="center"/>
          </w:tcPr>
          <w:p w:rsidR="00B36490" w:rsidRPr="00FC1444" w:rsidRDefault="00B36490" w:rsidP="00433F49">
            <w:pPr>
              <w:spacing w:line="0" w:lineRule="atLeast"/>
              <w:jc w:val="center"/>
              <w:rPr>
                <w:rFonts w:eastAsiaTheme="minorEastAsia"/>
                <w:szCs w:val="21"/>
              </w:rPr>
            </w:pPr>
            <w:r w:rsidRPr="00FC1444">
              <w:rPr>
                <w:rFonts w:eastAsiaTheme="minorEastAsia"/>
                <w:szCs w:val="21"/>
              </w:rPr>
              <w:t>环境风险</w:t>
            </w:r>
          </w:p>
        </w:tc>
        <w:tc>
          <w:tcPr>
            <w:tcW w:w="12126" w:type="dxa"/>
            <w:gridSpan w:val="6"/>
            <w:shd w:val="clear" w:color="auto" w:fill="auto"/>
            <w:vAlign w:val="center"/>
          </w:tcPr>
          <w:p w:rsidR="00B36490" w:rsidRPr="00FC1444" w:rsidRDefault="00B36490">
            <w:pPr>
              <w:spacing w:line="0" w:lineRule="atLeast"/>
              <w:jc w:val="center"/>
              <w:rPr>
                <w:rFonts w:eastAsiaTheme="minorEastAsia"/>
                <w:noProof/>
                <w:szCs w:val="21"/>
              </w:rPr>
            </w:pPr>
            <w:r w:rsidRPr="00FC1444">
              <w:rPr>
                <w:rFonts w:eastAsiaTheme="minorEastAsia"/>
                <w:szCs w:val="21"/>
              </w:rPr>
              <w:t>本项目</w:t>
            </w:r>
            <w:r w:rsidRPr="00FC1444">
              <w:rPr>
                <w:rFonts w:eastAsiaTheme="minorEastAsia"/>
                <w:bCs/>
                <w:szCs w:val="21"/>
              </w:rPr>
              <w:t>柴油机移动泵车</w:t>
            </w:r>
            <w:r w:rsidRPr="00FC1444">
              <w:rPr>
                <w:rFonts w:eastAsiaTheme="minorEastAsia"/>
                <w:szCs w:val="21"/>
              </w:rPr>
              <w:t>油箱密闭，不使用时于村内暂存，暂存处地面设置重点防渗（等效黏土防渗层</w:t>
            </w:r>
            <w:r w:rsidRPr="00FC1444">
              <w:rPr>
                <w:rFonts w:eastAsiaTheme="minorEastAsia"/>
                <w:szCs w:val="21"/>
              </w:rPr>
              <w:t>Mb≥6.0m</w:t>
            </w:r>
            <w:r w:rsidRPr="00FC1444">
              <w:rPr>
                <w:rFonts w:eastAsiaTheme="minorEastAsia"/>
                <w:szCs w:val="21"/>
              </w:rPr>
              <w:t>，渗透系数</w:t>
            </w:r>
            <w:r w:rsidRPr="00FC1444">
              <w:rPr>
                <w:rFonts w:eastAsiaTheme="minorEastAsia"/>
                <w:szCs w:val="21"/>
              </w:rPr>
              <w:t>K≤1.0×10</w:t>
            </w:r>
            <w:r w:rsidRPr="00FC1444">
              <w:rPr>
                <w:rFonts w:eastAsiaTheme="minorEastAsia"/>
                <w:szCs w:val="21"/>
                <w:vertAlign w:val="superscript"/>
              </w:rPr>
              <w:t>-7</w:t>
            </w:r>
            <w:r w:rsidRPr="00FC1444">
              <w:rPr>
                <w:rFonts w:eastAsiaTheme="minorEastAsia"/>
                <w:szCs w:val="21"/>
              </w:rPr>
              <w:t>cm/s</w:t>
            </w:r>
            <w:r w:rsidRPr="00FC1444">
              <w:rPr>
                <w:rFonts w:eastAsiaTheme="minorEastAsia"/>
                <w:szCs w:val="21"/>
              </w:rPr>
              <w:t>），正常情况下不会泄漏，若发生泄漏事故，属于小范围污染，立即用沙土进行掩埋，产生的含油沙土送有资质单位。定期巡检，重点检查变压器油箱密封性（有无裂缝、接口渗漏）、油位刻度（判断是否存在异常泄漏），发现变压器油泄漏应立即停止此变压器运行，属于小范围污染，立即用沙土进行掩埋，产生的含油沙土及泄漏物交由资质单位处置进行运输和处置，通过采取此应急措施后本项目环境风险影响可接受。加强巡视及管理并制定环境风险应急预案</w:t>
            </w:r>
          </w:p>
        </w:tc>
      </w:tr>
      <w:tr w:rsidR="00B36490" w:rsidRPr="00FC1444" w:rsidTr="00B36490">
        <w:trPr>
          <w:trHeight w:val="328"/>
          <w:jc w:val="center"/>
        </w:trPr>
        <w:tc>
          <w:tcPr>
            <w:tcW w:w="1271" w:type="dxa"/>
            <w:shd w:val="clear" w:color="auto" w:fill="auto"/>
            <w:vAlign w:val="center"/>
          </w:tcPr>
          <w:p w:rsidR="00B36490" w:rsidRPr="00FC1444" w:rsidRDefault="00B36490" w:rsidP="00433F49">
            <w:pPr>
              <w:spacing w:line="0" w:lineRule="atLeast"/>
              <w:jc w:val="center"/>
              <w:rPr>
                <w:rFonts w:eastAsiaTheme="minorEastAsia"/>
                <w:szCs w:val="21"/>
              </w:rPr>
            </w:pPr>
            <w:r w:rsidRPr="00FC1444">
              <w:rPr>
                <w:rFonts w:eastAsiaTheme="minorEastAsia"/>
                <w:szCs w:val="21"/>
              </w:rPr>
              <w:t>总量指标</w:t>
            </w:r>
          </w:p>
        </w:tc>
        <w:tc>
          <w:tcPr>
            <w:tcW w:w="13260" w:type="dxa"/>
            <w:gridSpan w:val="7"/>
            <w:shd w:val="clear" w:color="auto" w:fill="auto"/>
            <w:vAlign w:val="center"/>
          </w:tcPr>
          <w:p w:rsidR="00B36490" w:rsidRPr="00FC1444" w:rsidRDefault="00B36490">
            <w:pPr>
              <w:spacing w:line="0" w:lineRule="atLeast"/>
              <w:jc w:val="center"/>
              <w:rPr>
                <w:rFonts w:eastAsiaTheme="minorEastAsia"/>
                <w:szCs w:val="21"/>
              </w:rPr>
            </w:pPr>
            <w:r w:rsidRPr="00FC1444">
              <w:rPr>
                <w:rFonts w:eastAsiaTheme="minorEastAsia"/>
                <w:szCs w:val="21"/>
              </w:rPr>
              <w:t>/</w:t>
            </w:r>
          </w:p>
        </w:tc>
      </w:tr>
    </w:tbl>
    <w:p w:rsidR="002A5A5E" w:rsidRPr="00FC1444" w:rsidRDefault="002A5A5E">
      <w:pPr>
        <w:spacing w:line="500" w:lineRule="exact"/>
        <w:rPr>
          <w:rFonts w:eastAsiaTheme="minorEastAsia"/>
          <w:snapToGrid w:val="0"/>
          <w:kern w:val="0"/>
        </w:rPr>
        <w:sectPr w:rsidR="002A5A5E" w:rsidRPr="00FC1444">
          <w:pgSz w:w="16838" w:h="11906" w:orient="landscape"/>
          <w:pgMar w:top="1797" w:right="1440" w:bottom="1797" w:left="1440" w:header="851" w:footer="992" w:gutter="0"/>
          <w:cols w:space="425"/>
          <w:docGrid w:type="linesAndChars" w:linePitch="326"/>
        </w:sectPr>
      </w:pP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69" w:name="_Toc208906253"/>
      <w:r w:rsidRPr="00FC1444">
        <w:rPr>
          <w:rFonts w:eastAsiaTheme="minorEastAsia"/>
          <w:b/>
          <w:bCs/>
          <w:kern w:val="44"/>
          <w:sz w:val="30"/>
          <w:szCs w:val="30"/>
        </w:rPr>
        <w:lastRenderedPageBreak/>
        <w:t>8.2</w:t>
      </w:r>
      <w:r w:rsidRPr="00FC1444">
        <w:rPr>
          <w:rFonts w:eastAsiaTheme="minorEastAsia"/>
          <w:b/>
          <w:bCs/>
          <w:kern w:val="44"/>
          <w:sz w:val="30"/>
          <w:szCs w:val="30"/>
        </w:rPr>
        <w:t>环境监测</w:t>
      </w:r>
      <w:bookmarkEnd w:id="163"/>
      <w:bookmarkEnd w:id="164"/>
      <w:bookmarkEnd w:id="169"/>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环境监测是项目环境保护的</w:t>
      </w:r>
      <w:r w:rsidRPr="00FC1444">
        <w:rPr>
          <w:rFonts w:eastAsiaTheme="minorEastAsia"/>
          <w:sz w:val="24"/>
        </w:rPr>
        <w:t>“</w:t>
      </w:r>
      <w:r w:rsidRPr="00FC1444">
        <w:rPr>
          <w:rFonts w:eastAsiaTheme="minorEastAsia"/>
          <w:sz w:val="24"/>
        </w:rPr>
        <w:t>眼睛</w:t>
      </w:r>
      <w:r w:rsidRPr="00FC1444">
        <w:rPr>
          <w:rFonts w:eastAsiaTheme="minorEastAsia"/>
          <w:sz w:val="24"/>
        </w:rPr>
        <w:t>”</w:t>
      </w:r>
      <w:r w:rsidRPr="00FC1444">
        <w:rPr>
          <w:rFonts w:eastAsiaTheme="minorEastAsia"/>
          <w:sz w:val="24"/>
        </w:rPr>
        <w:t>，是基本的手段和信息基础，环境监测的特点是以样品的监测结果来推断总体环境质量。因此，必须把握好各个技术环节，包括确定环境监测的项目的范围，采样的位置和数量，采样的时间和方法，样品的分析和数据处理等及其质量保证工作。保证监测数据具有完整的质量特征，准确性、精密性、完整性、代表性和可比性。</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8.2.1</w:t>
      </w:r>
      <w:r w:rsidRPr="00FC1444">
        <w:rPr>
          <w:rFonts w:eastAsiaTheme="minorEastAsia"/>
          <w:b/>
          <w:sz w:val="28"/>
          <w:szCs w:val="28"/>
        </w:rPr>
        <w:t>环境监测的必要性</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环境监测既是项目执行管理的需要，也是环保部门了解项目执行情况、研究对策，实行宏观指导的依据。通过现场监测，能及时发现问题和了解运行数据是否理想，达到总结经验、解决问题、改善管理的目的，以确保项目顺利实现预期目的。</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8.2.2</w:t>
      </w:r>
      <w:r w:rsidRPr="00FC1444">
        <w:rPr>
          <w:rFonts w:eastAsiaTheme="minorEastAsia"/>
          <w:b/>
          <w:sz w:val="28"/>
          <w:szCs w:val="28"/>
        </w:rPr>
        <w:t>环境监测机构设置</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为了及时准确地了解项目的污染物排放情况和污染物治理设施的运行状况，企业应委托有资质的监测机构进行常规监测。</w:t>
      </w:r>
    </w:p>
    <w:p w:rsidR="002A5A5E" w:rsidRPr="00FC1444" w:rsidRDefault="00611CBA">
      <w:pPr>
        <w:keepNext/>
        <w:keepLines/>
        <w:spacing w:before="100" w:beforeAutospacing="1" w:after="100" w:afterAutospacing="1"/>
        <w:outlineLvl w:val="2"/>
        <w:rPr>
          <w:rFonts w:eastAsiaTheme="minorEastAsia"/>
          <w:b/>
          <w:sz w:val="28"/>
          <w:szCs w:val="28"/>
        </w:rPr>
      </w:pPr>
      <w:bookmarkStart w:id="170" w:name="_Toc11758578"/>
      <w:r w:rsidRPr="00FC1444">
        <w:rPr>
          <w:rFonts w:eastAsiaTheme="minorEastAsia"/>
          <w:b/>
          <w:sz w:val="28"/>
          <w:szCs w:val="28"/>
        </w:rPr>
        <w:t>8.2.3</w:t>
      </w:r>
      <w:r w:rsidRPr="00FC1444">
        <w:rPr>
          <w:rFonts w:eastAsiaTheme="minorEastAsia"/>
          <w:b/>
          <w:sz w:val="28"/>
          <w:szCs w:val="28"/>
        </w:rPr>
        <w:t>环境监测计划</w:t>
      </w:r>
      <w:bookmarkEnd w:id="170"/>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根据《排污单位自行监测技术指南</w:t>
      </w:r>
      <w:r w:rsidRPr="00FC1444">
        <w:rPr>
          <w:rFonts w:eastAsiaTheme="minorEastAsia"/>
          <w:sz w:val="24"/>
        </w:rPr>
        <w:t xml:space="preserve"> </w:t>
      </w:r>
      <w:r w:rsidRPr="00FC1444">
        <w:rPr>
          <w:rFonts w:eastAsiaTheme="minorEastAsia"/>
          <w:sz w:val="24"/>
        </w:rPr>
        <w:t>总则》（</w:t>
      </w:r>
      <w:r w:rsidRPr="00FC1444">
        <w:rPr>
          <w:rFonts w:eastAsiaTheme="minorEastAsia"/>
          <w:sz w:val="24"/>
        </w:rPr>
        <w:t>HJ819-2017</w:t>
      </w:r>
      <w:r w:rsidRPr="00FC1444">
        <w:rPr>
          <w:rFonts w:eastAsiaTheme="minorEastAsia"/>
          <w:sz w:val="24"/>
        </w:rPr>
        <w:t>），排污单位应掌握本单位的污染排放状况及其对周边环境质量的影响，对污染物排放、周边环境质量影响进行监测。</w:t>
      </w:r>
    </w:p>
    <w:p w:rsidR="002A5A5E" w:rsidRPr="00FC1444" w:rsidRDefault="00611CBA">
      <w:pPr>
        <w:spacing w:line="360" w:lineRule="auto"/>
        <w:ind w:firstLineChars="200" w:firstLine="476"/>
        <w:contextualSpacing/>
        <w:rPr>
          <w:rFonts w:eastAsiaTheme="minorEastAsia"/>
          <w:snapToGrid w:val="0"/>
          <w:kern w:val="0"/>
          <w:sz w:val="24"/>
        </w:rPr>
      </w:pPr>
      <w:r w:rsidRPr="00FC1444">
        <w:rPr>
          <w:rFonts w:eastAsiaTheme="minorEastAsia"/>
          <w:spacing w:val="-1"/>
          <w:sz w:val="24"/>
        </w:rPr>
        <w:t>项目分布范围广，施工战线长，施工区多数分布在农村地段，对环境影响相对较小，故根据工程特点，制定施工期环境监测计划</w:t>
      </w:r>
      <w:r w:rsidRPr="00FC1444">
        <w:rPr>
          <w:rFonts w:eastAsiaTheme="minorEastAsia"/>
          <w:snapToGrid w:val="0"/>
          <w:kern w:val="0"/>
          <w:sz w:val="24"/>
        </w:rPr>
        <w:t>。企业委托有资质的监测单位进行污染源监测，并将监测报告存档。建设单位根据监测评估结果优化环境保护措施。</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1</w:t>
      </w:r>
      <w:r w:rsidRPr="00FC1444">
        <w:rPr>
          <w:rFonts w:eastAsiaTheme="minorEastAsia"/>
          <w:snapToGrid w:val="0"/>
          <w:kern w:val="0"/>
          <w:sz w:val="24"/>
        </w:rPr>
        <w:t>）施工期</w:t>
      </w:r>
    </w:p>
    <w:p w:rsidR="002A5A5E" w:rsidRPr="00FC1444" w:rsidRDefault="00611CBA">
      <w:pPr>
        <w:spacing w:line="360" w:lineRule="auto"/>
        <w:ind w:firstLineChars="200" w:firstLine="476"/>
        <w:contextualSpacing/>
        <w:rPr>
          <w:rFonts w:eastAsiaTheme="minorEastAsia"/>
          <w:snapToGrid w:val="0"/>
          <w:kern w:val="0"/>
          <w:sz w:val="24"/>
        </w:rPr>
      </w:pPr>
      <w:r w:rsidRPr="00FC1444">
        <w:rPr>
          <w:rFonts w:eastAsiaTheme="minorEastAsia"/>
          <w:spacing w:val="-1"/>
          <w:sz w:val="24"/>
        </w:rPr>
        <w:lastRenderedPageBreak/>
        <w:t>根据工程特点，确定环境监测要素为地表水、生态环境、环境空气和声环境等，监测重点为地表水和生态环境，施工期环境监测周期与项目建设周期同步。</w:t>
      </w:r>
    </w:p>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8-2-1</w:t>
      </w:r>
      <w:r w:rsidRPr="00FC1444">
        <w:rPr>
          <w:rFonts w:eastAsiaTheme="minorEastAsia"/>
          <w:b/>
          <w:kern w:val="0"/>
          <w:szCs w:val="21"/>
        </w:rPr>
        <w:t>施工期环境监测计划一览表</w:t>
      </w:r>
    </w:p>
    <w:tbl>
      <w:tblPr>
        <w:tblW w:w="8528" w:type="dxa"/>
        <w:tblBorders>
          <w:top w:val="single" w:sz="12" w:space="0" w:color="auto"/>
          <w:bottom w:val="single" w:sz="12" w:space="0" w:color="auto"/>
          <w:insideH w:val="single" w:sz="8" w:space="0" w:color="auto"/>
          <w:insideV w:val="single" w:sz="8" w:space="0" w:color="auto"/>
        </w:tblBorders>
        <w:tblLayout w:type="fixed"/>
        <w:tblCellMar>
          <w:left w:w="57" w:type="dxa"/>
          <w:right w:w="57" w:type="dxa"/>
        </w:tblCellMar>
        <w:tblLook w:val="04A0"/>
      </w:tblPr>
      <w:tblGrid>
        <w:gridCol w:w="947"/>
        <w:gridCol w:w="3221"/>
        <w:gridCol w:w="1037"/>
        <w:gridCol w:w="1830"/>
        <w:gridCol w:w="804"/>
        <w:gridCol w:w="689"/>
      </w:tblGrid>
      <w:tr w:rsidR="002A5A5E" w:rsidRPr="00FC1444">
        <w:trPr>
          <w:trHeight w:val="214"/>
        </w:trPr>
        <w:tc>
          <w:tcPr>
            <w:tcW w:w="947"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环境</w:t>
            </w:r>
          </w:p>
          <w:p w:rsidR="002A5A5E" w:rsidRPr="00FC1444" w:rsidRDefault="00611CBA">
            <w:pPr>
              <w:jc w:val="center"/>
              <w:rPr>
                <w:rFonts w:eastAsiaTheme="minorEastAsia"/>
                <w:kern w:val="0"/>
                <w:szCs w:val="20"/>
              </w:rPr>
            </w:pPr>
            <w:r w:rsidRPr="00FC1444">
              <w:rPr>
                <w:rFonts w:eastAsiaTheme="minorEastAsia"/>
                <w:kern w:val="0"/>
                <w:szCs w:val="20"/>
              </w:rPr>
              <w:t>要素</w:t>
            </w:r>
          </w:p>
        </w:tc>
        <w:tc>
          <w:tcPr>
            <w:tcW w:w="3221"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监测地点</w:t>
            </w:r>
          </w:p>
        </w:tc>
        <w:tc>
          <w:tcPr>
            <w:tcW w:w="1037"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监测项目</w:t>
            </w:r>
          </w:p>
        </w:tc>
        <w:tc>
          <w:tcPr>
            <w:tcW w:w="1830"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监测时间及频率</w:t>
            </w:r>
          </w:p>
        </w:tc>
        <w:tc>
          <w:tcPr>
            <w:tcW w:w="804"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实施机构</w:t>
            </w:r>
          </w:p>
        </w:tc>
        <w:tc>
          <w:tcPr>
            <w:tcW w:w="689"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监督机构</w:t>
            </w:r>
          </w:p>
        </w:tc>
      </w:tr>
      <w:tr w:rsidR="002A5A5E" w:rsidRPr="00FC1444">
        <w:trPr>
          <w:trHeight w:val="667"/>
        </w:trPr>
        <w:tc>
          <w:tcPr>
            <w:tcW w:w="947"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大气</w:t>
            </w:r>
          </w:p>
          <w:p w:rsidR="002A5A5E" w:rsidRPr="00FC1444" w:rsidRDefault="00611CBA">
            <w:pPr>
              <w:jc w:val="center"/>
              <w:rPr>
                <w:rFonts w:eastAsiaTheme="minorEastAsia"/>
                <w:kern w:val="0"/>
                <w:szCs w:val="20"/>
              </w:rPr>
            </w:pPr>
            <w:r w:rsidRPr="00FC1444">
              <w:rPr>
                <w:rFonts w:eastAsiaTheme="minorEastAsia"/>
                <w:kern w:val="0"/>
                <w:szCs w:val="20"/>
              </w:rPr>
              <w:t>环境</w:t>
            </w:r>
          </w:p>
        </w:tc>
        <w:tc>
          <w:tcPr>
            <w:tcW w:w="3221" w:type="dxa"/>
            <w:tcBorders>
              <w:tl2br w:val="nil"/>
              <w:tr2bl w:val="nil"/>
            </w:tcBorders>
            <w:vAlign w:val="center"/>
          </w:tcPr>
          <w:p w:rsidR="002A5A5E" w:rsidRPr="00FC1444" w:rsidRDefault="00611CBA" w:rsidP="002D7E70">
            <w:pPr>
              <w:jc w:val="center"/>
              <w:rPr>
                <w:rFonts w:eastAsiaTheme="minorEastAsia"/>
                <w:kern w:val="0"/>
                <w:szCs w:val="20"/>
              </w:rPr>
            </w:pPr>
            <w:r w:rsidRPr="00FC1444">
              <w:rPr>
                <w:rFonts w:eastAsiaTheme="minorEastAsia"/>
                <w:szCs w:val="21"/>
              </w:rPr>
              <w:t>选择项目典型施工区（灌溉井、建筑物、输配电、田间道路、排水沟清淤等工程较集中施工区）沿线居民点（</w:t>
            </w:r>
            <w:r w:rsidR="009643BC" w:rsidRPr="00FC1444">
              <w:rPr>
                <w:rFonts w:eastAsiaTheme="minorEastAsia" w:hint="eastAsia"/>
                <w:szCs w:val="21"/>
              </w:rPr>
              <w:t>旭升村、李荒子屯、</w:t>
            </w:r>
            <w:r w:rsidR="00C0294E" w:rsidRPr="00FC1444">
              <w:rPr>
                <w:rFonts w:eastAsiaTheme="minorEastAsia" w:hint="eastAsia"/>
                <w:szCs w:val="21"/>
              </w:rPr>
              <w:t>张家窝棚、沈家屯、靠河村</w:t>
            </w:r>
            <w:r w:rsidRPr="00FC1444">
              <w:rPr>
                <w:rFonts w:eastAsiaTheme="minorEastAsia"/>
                <w:szCs w:val="21"/>
              </w:rPr>
              <w:t>）</w:t>
            </w:r>
            <w:r w:rsidR="00733B9E" w:rsidRPr="00FC1444">
              <w:rPr>
                <w:rFonts w:eastAsiaTheme="minorEastAsia"/>
                <w:szCs w:val="21"/>
              </w:rPr>
              <w:t>各</w:t>
            </w:r>
            <w:r w:rsidRPr="00FC1444">
              <w:rPr>
                <w:rFonts w:eastAsiaTheme="minorEastAsia"/>
                <w:szCs w:val="21"/>
              </w:rPr>
              <w:t>布设</w:t>
            </w:r>
            <w:r w:rsidRPr="00FC1444">
              <w:rPr>
                <w:rFonts w:eastAsiaTheme="minorEastAsia"/>
                <w:szCs w:val="21"/>
              </w:rPr>
              <w:t>1</w:t>
            </w:r>
            <w:r w:rsidRPr="00FC1444">
              <w:rPr>
                <w:rFonts w:eastAsiaTheme="minorEastAsia"/>
                <w:szCs w:val="21"/>
              </w:rPr>
              <w:t>个监测点，共</w:t>
            </w:r>
            <w:r w:rsidR="002D7E70" w:rsidRPr="00FC1444">
              <w:rPr>
                <w:rFonts w:eastAsiaTheme="minorEastAsia"/>
                <w:szCs w:val="21"/>
              </w:rPr>
              <w:t>5</w:t>
            </w:r>
            <w:r w:rsidRPr="00FC1444">
              <w:rPr>
                <w:rFonts w:eastAsiaTheme="minorEastAsia"/>
                <w:szCs w:val="21"/>
              </w:rPr>
              <w:t>个</w:t>
            </w:r>
          </w:p>
        </w:tc>
        <w:tc>
          <w:tcPr>
            <w:tcW w:w="1037"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TSP</w:t>
            </w:r>
            <w:r w:rsidRPr="00FC1444">
              <w:rPr>
                <w:rFonts w:eastAsiaTheme="minorEastAsia"/>
                <w:kern w:val="0"/>
                <w:szCs w:val="20"/>
              </w:rPr>
              <w:t>、臭气浓度</w:t>
            </w:r>
          </w:p>
        </w:tc>
        <w:tc>
          <w:tcPr>
            <w:tcW w:w="1830"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施工高峰期监测一次，连续</w:t>
            </w:r>
            <w:r w:rsidRPr="00FC1444">
              <w:rPr>
                <w:rFonts w:eastAsiaTheme="minorEastAsia"/>
                <w:kern w:val="0"/>
                <w:szCs w:val="20"/>
              </w:rPr>
              <w:t>3</w:t>
            </w:r>
            <w:r w:rsidRPr="00FC1444">
              <w:rPr>
                <w:rFonts w:eastAsiaTheme="minorEastAsia"/>
                <w:kern w:val="0"/>
                <w:szCs w:val="20"/>
              </w:rPr>
              <w:t>天，每天</w:t>
            </w:r>
            <w:r w:rsidRPr="00FC1444">
              <w:rPr>
                <w:rFonts w:eastAsiaTheme="minorEastAsia"/>
                <w:kern w:val="0"/>
                <w:szCs w:val="20"/>
              </w:rPr>
              <w:t>4</w:t>
            </w:r>
            <w:r w:rsidRPr="00FC1444">
              <w:rPr>
                <w:rFonts w:eastAsiaTheme="minorEastAsia"/>
                <w:kern w:val="0"/>
                <w:szCs w:val="20"/>
              </w:rPr>
              <w:t>次</w:t>
            </w:r>
          </w:p>
        </w:tc>
        <w:tc>
          <w:tcPr>
            <w:tcW w:w="804" w:type="dxa"/>
            <w:vMerge w:val="restart"/>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有资质监测部门</w:t>
            </w:r>
          </w:p>
        </w:tc>
        <w:tc>
          <w:tcPr>
            <w:tcW w:w="689" w:type="dxa"/>
            <w:vMerge w:val="restart"/>
            <w:tcBorders>
              <w:tl2br w:val="nil"/>
              <w:tr2bl w:val="nil"/>
            </w:tcBorders>
            <w:vAlign w:val="center"/>
          </w:tcPr>
          <w:p w:rsidR="002A5A5E" w:rsidRPr="00FC1444" w:rsidRDefault="000E00D5">
            <w:pPr>
              <w:jc w:val="center"/>
              <w:rPr>
                <w:rFonts w:eastAsiaTheme="minorEastAsia"/>
                <w:kern w:val="0"/>
                <w:szCs w:val="20"/>
              </w:rPr>
            </w:pPr>
            <w:r w:rsidRPr="00FC1444">
              <w:rPr>
                <w:rFonts w:eastAsiaTheme="minorEastAsia"/>
                <w:kern w:val="0"/>
                <w:szCs w:val="20"/>
              </w:rPr>
              <w:t>绥化</w:t>
            </w:r>
            <w:r w:rsidR="00611CBA" w:rsidRPr="00FC1444">
              <w:rPr>
                <w:rFonts w:eastAsiaTheme="minorEastAsia"/>
                <w:kern w:val="0"/>
                <w:szCs w:val="20"/>
              </w:rPr>
              <w:t>市</w:t>
            </w:r>
            <w:r w:rsidRPr="00FC1444">
              <w:rPr>
                <w:rFonts w:eastAsiaTheme="minorEastAsia"/>
                <w:kern w:val="0"/>
                <w:szCs w:val="20"/>
              </w:rPr>
              <w:t>北林</w:t>
            </w:r>
            <w:r w:rsidR="00611CBA" w:rsidRPr="00FC1444">
              <w:rPr>
                <w:rFonts w:eastAsiaTheme="minorEastAsia"/>
                <w:kern w:val="0"/>
                <w:szCs w:val="20"/>
              </w:rPr>
              <w:t>生态环境局</w:t>
            </w:r>
          </w:p>
        </w:tc>
      </w:tr>
      <w:tr w:rsidR="002A5A5E" w:rsidRPr="00FC1444">
        <w:trPr>
          <w:trHeight w:val="993"/>
        </w:trPr>
        <w:tc>
          <w:tcPr>
            <w:tcW w:w="947"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声环境</w:t>
            </w:r>
          </w:p>
        </w:tc>
        <w:tc>
          <w:tcPr>
            <w:tcW w:w="3221" w:type="dxa"/>
            <w:tcBorders>
              <w:tl2br w:val="nil"/>
              <w:tr2bl w:val="nil"/>
            </w:tcBorders>
            <w:vAlign w:val="center"/>
          </w:tcPr>
          <w:p w:rsidR="002A5A5E" w:rsidRPr="00FC1444" w:rsidRDefault="00611CBA" w:rsidP="00C70BD5">
            <w:pPr>
              <w:adjustRightInd w:val="0"/>
              <w:snapToGrid w:val="0"/>
              <w:jc w:val="center"/>
              <w:rPr>
                <w:rFonts w:eastAsiaTheme="minorEastAsia"/>
                <w:kern w:val="0"/>
                <w:szCs w:val="20"/>
              </w:rPr>
            </w:pPr>
            <w:r w:rsidRPr="00FC1444">
              <w:rPr>
                <w:rFonts w:eastAsiaTheme="minorEastAsia"/>
                <w:szCs w:val="21"/>
              </w:rPr>
              <w:t>选择项目典型施工区（灌溉井、建筑物、输配电、田间道路、排水沟清淤等工程较集中施工区）沿线居民点（</w:t>
            </w:r>
            <w:r w:rsidR="009643BC" w:rsidRPr="00FC1444">
              <w:rPr>
                <w:rFonts w:eastAsiaTheme="minorEastAsia" w:hint="eastAsia"/>
                <w:szCs w:val="21"/>
              </w:rPr>
              <w:t>旭升村、李荒子屯、</w:t>
            </w:r>
            <w:r w:rsidR="00C0294E" w:rsidRPr="00FC1444">
              <w:rPr>
                <w:rFonts w:eastAsiaTheme="minorEastAsia" w:hint="eastAsia"/>
                <w:szCs w:val="21"/>
              </w:rPr>
              <w:t>张家窝棚、沈家屯、靠河村</w:t>
            </w:r>
            <w:r w:rsidRPr="00FC1444">
              <w:rPr>
                <w:rFonts w:eastAsiaTheme="minorEastAsia"/>
                <w:szCs w:val="21"/>
              </w:rPr>
              <w:t>）</w:t>
            </w:r>
            <w:r w:rsidR="00733B9E" w:rsidRPr="00FC1444">
              <w:rPr>
                <w:rFonts w:eastAsiaTheme="minorEastAsia"/>
                <w:szCs w:val="21"/>
              </w:rPr>
              <w:t>各</w:t>
            </w:r>
            <w:r w:rsidRPr="00FC1444">
              <w:rPr>
                <w:rFonts w:eastAsiaTheme="minorEastAsia"/>
                <w:szCs w:val="21"/>
              </w:rPr>
              <w:t>布设</w:t>
            </w:r>
            <w:r w:rsidRPr="00FC1444">
              <w:rPr>
                <w:rFonts w:eastAsiaTheme="minorEastAsia"/>
                <w:szCs w:val="21"/>
              </w:rPr>
              <w:t>1</w:t>
            </w:r>
            <w:r w:rsidRPr="00FC1444">
              <w:rPr>
                <w:rFonts w:eastAsiaTheme="minorEastAsia"/>
                <w:szCs w:val="21"/>
              </w:rPr>
              <w:t>个监测点，共</w:t>
            </w:r>
            <w:r w:rsidRPr="00FC1444">
              <w:rPr>
                <w:rFonts w:eastAsiaTheme="minorEastAsia"/>
                <w:szCs w:val="21"/>
              </w:rPr>
              <w:t>5</w:t>
            </w:r>
            <w:r w:rsidRPr="00FC1444">
              <w:rPr>
                <w:rFonts w:eastAsiaTheme="minorEastAsia"/>
                <w:szCs w:val="21"/>
              </w:rPr>
              <w:t>个</w:t>
            </w:r>
          </w:p>
        </w:tc>
        <w:tc>
          <w:tcPr>
            <w:tcW w:w="1037"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等效连续</w:t>
            </w:r>
            <w:r w:rsidRPr="00FC1444">
              <w:rPr>
                <w:rFonts w:eastAsiaTheme="minorEastAsia"/>
                <w:kern w:val="0"/>
                <w:szCs w:val="20"/>
              </w:rPr>
              <w:t>A</w:t>
            </w:r>
            <w:r w:rsidRPr="00FC1444">
              <w:rPr>
                <w:rFonts w:eastAsiaTheme="minorEastAsia"/>
                <w:kern w:val="0"/>
                <w:szCs w:val="20"/>
              </w:rPr>
              <w:t>声级</w:t>
            </w:r>
          </w:p>
        </w:tc>
        <w:tc>
          <w:tcPr>
            <w:tcW w:w="1830"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施工高峰期</w:t>
            </w:r>
            <w:r w:rsidRPr="00FC1444">
              <w:rPr>
                <w:rFonts w:eastAsiaTheme="minorEastAsia"/>
                <w:kern w:val="0"/>
                <w:szCs w:val="20"/>
              </w:rPr>
              <w:t>2</w:t>
            </w:r>
            <w:r w:rsidRPr="00FC1444">
              <w:rPr>
                <w:rFonts w:eastAsiaTheme="minorEastAsia"/>
                <w:kern w:val="0"/>
                <w:szCs w:val="20"/>
              </w:rPr>
              <w:t>次，每次监测</w:t>
            </w:r>
            <w:r w:rsidRPr="00FC1444">
              <w:rPr>
                <w:rFonts w:eastAsiaTheme="minorEastAsia"/>
                <w:kern w:val="0"/>
                <w:szCs w:val="20"/>
              </w:rPr>
              <w:t>2</w:t>
            </w:r>
            <w:r w:rsidRPr="00FC1444">
              <w:rPr>
                <w:rFonts w:eastAsiaTheme="minorEastAsia"/>
                <w:kern w:val="0"/>
                <w:szCs w:val="20"/>
              </w:rPr>
              <w:t>天，每天监测</w:t>
            </w:r>
            <w:r w:rsidRPr="00FC1444">
              <w:rPr>
                <w:rFonts w:eastAsiaTheme="minorEastAsia"/>
                <w:kern w:val="0"/>
                <w:szCs w:val="20"/>
              </w:rPr>
              <w:t>2</w:t>
            </w:r>
            <w:r w:rsidRPr="00FC1444">
              <w:rPr>
                <w:rFonts w:eastAsiaTheme="minorEastAsia"/>
                <w:kern w:val="0"/>
                <w:szCs w:val="20"/>
              </w:rPr>
              <w:t>次</w:t>
            </w:r>
          </w:p>
        </w:tc>
        <w:tc>
          <w:tcPr>
            <w:tcW w:w="804" w:type="dxa"/>
            <w:vMerge/>
            <w:tcBorders>
              <w:tl2br w:val="nil"/>
              <w:tr2bl w:val="nil"/>
            </w:tcBorders>
            <w:vAlign w:val="center"/>
          </w:tcPr>
          <w:p w:rsidR="002A5A5E" w:rsidRPr="00FC1444" w:rsidRDefault="002A5A5E">
            <w:pPr>
              <w:jc w:val="center"/>
              <w:rPr>
                <w:rFonts w:eastAsiaTheme="minorEastAsia"/>
                <w:kern w:val="0"/>
                <w:szCs w:val="20"/>
              </w:rPr>
            </w:pPr>
          </w:p>
        </w:tc>
        <w:tc>
          <w:tcPr>
            <w:tcW w:w="689" w:type="dxa"/>
            <w:vMerge/>
            <w:tcBorders>
              <w:tl2br w:val="nil"/>
              <w:tr2bl w:val="nil"/>
            </w:tcBorders>
            <w:vAlign w:val="center"/>
          </w:tcPr>
          <w:p w:rsidR="002A5A5E" w:rsidRPr="00FC1444" w:rsidRDefault="002A5A5E">
            <w:pPr>
              <w:jc w:val="center"/>
              <w:rPr>
                <w:rFonts w:eastAsiaTheme="minorEastAsia"/>
                <w:kern w:val="0"/>
                <w:szCs w:val="20"/>
              </w:rPr>
            </w:pPr>
          </w:p>
        </w:tc>
      </w:tr>
      <w:tr w:rsidR="002A5A5E" w:rsidRPr="00FC1444">
        <w:trPr>
          <w:trHeight w:val="808"/>
        </w:trPr>
        <w:tc>
          <w:tcPr>
            <w:tcW w:w="947"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地下水环境</w:t>
            </w:r>
          </w:p>
        </w:tc>
        <w:tc>
          <w:tcPr>
            <w:tcW w:w="3221" w:type="dxa"/>
            <w:tcBorders>
              <w:tl2br w:val="nil"/>
              <w:tr2bl w:val="nil"/>
            </w:tcBorders>
            <w:vAlign w:val="center"/>
          </w:tcPr>
          <w:p w:rsidR="002A5A5E" w:rsidRPr="00FC1444" w:rsidRDefault="00611CBA" w:rsidP="003E49C4">
            <w:pPr>
              <w:jc w:val="center"/>
              <w:rPr>
                <w:rFonts w:eastAsiaTheme="minorEastAsia"/>
                <w:kern w:val="0"/>
                <w:szCs w:val="20"/>
              </w:rPr>
            </w:pPr>
            <w:r w:rsidRPr="00FC1444">
              <w:rPr>
                <w:rFonts w:eastAsiaTheme="minorEastAsia"/>
                <w:kern w:val="0"/>
                <w:szCs w:val="20"/>
              </w:rPr>
              <w:t>选取</w:t>
            </w:r>
            <w:r w:rsidRPr="00FC1444">
              <w:rPr>
                <w:rFonts w:eastAsiaTheme="minorEastAsia"/>
                <w:kern w:val="0"/>
                <w:szCs w:val="20"/>
              </w:rPr>
              <w:t>3</w:t>
            </w:r>
            <w:r w:rsidRPr="00FC1444">
              <w:rPr>
                <w:rFonts w:eastAsiaTheme="minorEastAsia"/>
                <w:kern w:val="0"/>
                <w:szCs w:val="20"/>
              </w:rPr>
              <w:t>口集中式饮用水源井（</w:t>
            </w:r>
            <w:r w:rsidR="00C0294E" w:rsidRPr="00FC1444">
              <w:rPr>
                <w:rFonts w:eastAsiaTheme="minorEastAsia" w:hint="eastAsia"/>
                <w:szCs w:val="21"/>
              </w:rPr>
              <w:t>胜利二村（刘海楼）饮水水源井、胜利二村正白二屯饮用水源井、津河镇饮用水源井</w:t>
            </w:r>
            <w:r w:rsidRPr="00FC1444">
              <w:rPr>
                <w:rFonts w:eastAsiaTheme="minorEastAsia"/>
                <w:kern w:val="0"/>
                <w:szCs w:val="20"/>
              </w:rPr>
              <w:t>）</w:t>
            </w:r>
          </w:p>
        </w:tc>
        <w:tc>
          <w:tcPr>
            <w:tcW w:w="1037"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石油类、</w:t>
            </w:r>
            <w:r w:rsidRPr="00FC1444">
              <w:rPr>
                <w:rFonts w:eastAsiaTheme="minorEastAsia"/>
                <w:szCs w:val="21"/>
              </w:rPr>
              <w:t>水位、</w:t>
            </w:r>
            <w:r w:rsidRPr="00FC1444">
              <w:rPr>
                <w:rFonts w:eastAsiaTheme="minorEastAsia"/>
                <w:szCs w:val="21"/>
              </w:rPr>
              <w:t>pH</w:t>
            </w:r>
            <w:r w:rsidRPr="00FC1444">
              <w:rPr>
                <w:rFonts w:eastAsiaTheme="minorEastAsia"/>
                <w:szCs w:val="21"/>
              </w:rPr>
              <w:t>、氨氮、耗氧量</w:t>
            </w:r>
          </w:p>
        </w:tc>
        <w:tc>
          <w:tcPr>
            <w:tcW w:w="1830" w:type="dxa"/>
            <w:tcBorders>
              <w:tl2br w:val="nil"/>
              <w:tr2bl w:val="nil"/>
            </w:tcBorders>
            <w:vAlign w:val="center"/>
          </w:tcPr>
          <w:p w:rsidR="002A5A5E" w:rsidRPr="00FC1444" w:rsidRDefault="00611CBA">
            <w:pPr>
              <w:jc w:val="center"/>
              <w:rPr>
                <w:rFonts w:eastAsiaTheme="minorEastAsia"/>
                <w:kern w:val="0"/>
                <w:szCs w:val="20"/>
              </w:rPr>
            </w:pPr>
            <w:r w:rsidRPr="00FC1444">
              <w:rPr>
                <w:rFonts w:eastAsiaTheme="minorEastAsia"/>
                <w:kern w:val="0"/>
                <w:szCs w:val="20"/>
              </w:rPr>
              <w:t>施工期调查</w:t>
            </w:r>
            <w:r w:rsidRPr="00FC1444">
              <w:rPr>
                <w:rFonts w:eastAsiaTheme="minorEastAsia"/>
                <w:kern w:val="0"/>
                <w:szCs w:val="20"/>
              </w:rPr>
              <w:t>1</w:t>
            </w:r>
            <w:r w:rsidRPr="00FC1444">
              <w:rPr>
                <w:rFonts w:eastAsiaTheme="minorEastAsia"/>
                <w:kern w:val="0"/>
                <w:szCs w:val="20"/>
              </w:rPr>
              <w:t>次</w:t>
            </w:r>
          </w:p>
        </w:tc>
        <w:tc>
          <w:tcPr>
            <w:tcW w:w="804" w:type="dxa"/>
            <w:vMerge/>
            <w:tcBorders>
              <w:tl2br w:val="nil"/>
              <w:tr2bl w:val="nil"/>
            </w:tcBorders>
            <w:vAlign w:val="center"/>
          </w:tcPr>
          <w:p w:rsidR="002A5A5E" w:rsidRPr="00FC1444" w:rsidRDefault="002A5A5E">
            <w:pPr>
              <w:jc w:val="center"/>
              <w:rPr>
                <w:rFonts w:eastAsiaTheme="minorEastAsia"/>
                <w:kern w:val="0"/>
                <w:szCs w:val="20"/>
              </w:rPr>
            </w:pPr>
          </w:p>
        </w:tc>
        <w:tc>
          <w:tcPr>
            <w:tcW w:w="689" w:type="dxa"/>
            <w:vMerge/>
            <w:tcBorders>
              <w:tl2br w:val="nil"/>
              <w:tr2bl w:val="nil"/>
            </w:tcBorders>
            <w:vAlign w:val="center"/>
          </w:tcPr>
          <w:p w:rsidR="002A5A5E" w:rsidRPr="00FC1444" w:rsidRDefault="002A5A5E">
            <w:pPr>
              <w:jc w:val="center"/>
              <w:rPr>
                <w:rFonts w:eastAsiaTheme="minorEastAsia"/>
                <w:kern w:val="0"/>
                <w:szCs w:val="20"/>
              </w:rPr>
            </w:pPr>
          </w:p>
        </w:tc>
      </w:tr>
      <w:tr w:rsidR="002A5A5E" w:rsidRPr="00FC1444">
        <w:trPr>
          <w:trHeight w:val="214"/>
        </w:trPr>
        <w:tc>
          <w:tcPr>
            <w:tcW w:w="8528" w:type="dxa"/>
            <w:gridSpan w:val="6"/>
            <w:tcBorders>
              <w:tl2br w:val="nil"/>
              <w:tr2bl w:val="nil"/>
            </w:tcBorders>
            <w:vAlign w:val="center"/>
          </w:tcPr>
          <w:p w:rsidR="002A5A5E" w:rsidRPr="00FC1444" w:rsidRDefault="00611CBA">
            <w:pPr>
              <w:jc w:val="left"/>
              <w:rPr>
                <w:rFonts w:eastAsiaTheme="minorEastAsia"/>
                <w:kern w:val="0"/>
                <w:szCs w:val="20"/>
              </w:rPr>
            </w:pPr>
            <w:r w:rsidRPr="00FC1444">
              <w:rPr>
                <w:rFonts w:eastAsiaTheme="minorEastAsia"/>
                <w:kern w:val="0"/>
                <w:szCs w:val="18"/>
              </w:rPr>
              <w:t>注：监测时间可根据施工强度的不同灵活掌握</w:t>
            </w:r>
          </w:p>
        </w:tc>
      </w:tr>
    </w:tbl>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2</w:t>
      </w:r>
      <w:r w:rsidRPr="00FC1444">
        <w:rPr>
          <w:rFonts w:eastAsiaTheme="minorEastAsia"/>
          <w:snapToGrid w:val="0"/>
          <w:kern w:val="0"/>
          <w:sz w:val="24"/>
        </w:rPr>
        <w:t>）运营期</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为了掌握灌区退水水质、灌区地下水位、土壤质地等变化情况，避免灌区地下水水质、土壤受到污染，保护</w:t>
      </w:r>
      <w:r w:rsidR="00B526E5" w:rsidRPr="00FC1444">
        <w:rPr>
          <w:rFonts w:eastAsiaTheme="minorEastAsia"/>
          <w:sz w:val="24"/>
        </w:rPr>
        <w:t>津河、呼兰河、努敏河</w:t>
      </w:r>
      <w:r w:rsidRPr="00FC1444">
        <w:rPr>
          <w:rFonts w:eastAsiaTheme="minorEastAsia"/>
          <w:snapToGrid w:val="0"/>
          <w:kern w:val="0"/>
          <w:sz w:val="24"/>
        </w:rPr>
        <w:t>免受农田排水的影响，本次布设灌区退水水质侧断面</w:t>
      </w:r>
      <w:r w:rsidRPr="00FC1444">
        <w:rPr>
          <w:rFonts w:eastAsiaTheme="minorEastAsia"/>
          <w:snapToGrid w:val="0"/>
          <w:kern w:val="0"/>
          <w:sz w:val="24"/>
        </w:rPr>
        <w:t>3</w:t>
      </w:r>
      <w:r w:rsidRPr="00FC1444">
        <w:rPr>
          <w:rFonts w:eastAsiaTheme="minorEastAsia"/>
          <w:snapToGrid w:val="0"/>
          <w:kern w:val="0"/>
          <w:sz w:val="24"/>
        </w:rPr>
        <w:t>个；布设灌区地下水位及水质监测点</w:t>
      </w:r>
      <w:r w:rsidRPr="00FC1444">
        <w:rPr>
          <w:rFonts w:eastAsiaTheme="minorEastAsia"/>
          <w:snapToGrid w:val="0"/>
          <w:kern w:val="0"/>
          <w:sz w:val="24"/>
        </w:rPr>
        <w:t>3</w:t>
      </w:r>
      <w:r w:rsidRPr="00FC1444">
        <w:rPr>
          <w:rFonts w:eastAsiaTheme="minorEastAsia"/>
          <w:snapToGrid w:val="0"/>
          <w:kern w:val="0"/>
          <w:sz w:val="24"/>
        </w:rPr>
        <w:t>个；土壤监测点</w:t>
      </w:r>
      <w:r w:rsidRPr="00FC1444">
        <w:rPr>
          <w:rFonts w:eastAsiaTheme="minorEastAsia"/>
          <w:snapToGrid w:val="0"/>
          <w:kern w:val="0"/>
          <w:sz w:val="24"/>
        </w:rPr>
        <w:t>3</w:t>
      </w:r>
      <w:r w:rsidRPr="00FC1444">
        <w:rPr>
          <w:rFonts w:eastAsiaTheme="minorEastAsia"/>
          <w:snapToGrid w:val="0"/>
          <w:kern w:val="0"/>
          <w:sz w:val="24"/>
        </w:rPr>
        <w:t>个。</w:t>
      </w:r>
    </w:p>
    <w:p w:rsidR="002D7E70" w:rsidRPr="00FC1444" w:rsidRDefault="002D7E70">
      <w:pPr>
        <w:contextualSpacing/>
        <w:jc w:val="center"/>
        <w:rPr>
          <w:rFonts w:eastAsiaTheme="minorEastAsia"/>
          <w:b/>
          <w:kern w:val="0"/>
          <w:szCs w:val="21"/>
        </w:rPr>
      </w:pPr>
    </w:p>
    <w:p w:rsidR="002D7E70" w:rsidRPr="00FC1444" w:rsidRDefault="002D7E70">
      <w:pPr>
        <w:contextualSpacing/>
        <w:jc w:val="center"/>
        <w:rPr>
          <w:rFonts w:eastAsiaTheme="minorEastAsia"/>
          <w:b/>
          <w:kern w:val="0"/>
          <w:szCs w:val="21"/>
        </w:rPr>
      </w:pPr>
    </w:p>
    <w:p w:rsidR="002D7E70" w:rsidRPr="00FC1444" w:rsidRDefault="002D7E70">
      <w:pPr>
        <w:contextualSpacing/>
        <w:jc w:val="center"/>
        <w:rPr>
          <w:rFonts w:eastAsiaTheme="minorEastAsia" w:hint="eastAsia"/>
          <w:b/>
          <w:kern w:val="0"/>
          <w:szCs w:val="21"/>
        </w:rPr>
      </w:pPr>
    </w:p>
    <w:p w:rsidR="00066191" w:rsidRPr="00FC1444" w:rsidRDefault="00066191">
      <w:pPr>
        <w:contextualSpacing/>
        <w:jc w:val="center"/>
        <w:rPr>
          <w:rFonts w:eastAsiaTheme="minorEastAsia" w:hint="eastAsia"/>
          <w:b/>
          <w:kern w:val="0"/>
          <w:szCs w:val="21"/>
        </w:rPr>
      </w:pPr>
    </w:p>
    <w:p w:rsidR="00066191" w:rsidRPr="00FC1444" w:rsidRDefault="00066191">
      <w:pPr>
        <w:contextualSpacing/>
        <w:jc w:val="center"/>
        <w:rPr>
          <w:rFonts w:eastAsiaTheme="minorEastAsia" w:hint="eastAsia"/>
          <w:b/>
          <w:kern w:val="0"/>
          <w:szCs w:val="21"/>
        </w:rPr>
      </w:pPr>
    </w:p>
    <w:p w:rsidR="00066191" w:rsidRPr="00FC1444" w:rsidRDefault="00066191">
      <w:pPr>
        <w:contextualSpacing/>
        <w:jc w:val="center"/>
        <w:rPr>
          <w:rFonts w:eastAsiaTheme="minorEastAsia" w:hint="eastAsia"/>
          <w:b/>
          <w:kern w:val="0"/>
          <w:szCs w:val="21"/>
        </w:rPr>
      </w:pPr>
    </w:p>
    <w:p w:rsidR="00066191" w:rsidRPr="00FC1444" w:rsidRDefault="00066191">
      <w:pPr>
        <w:contextualSpacing/>
        <w:jc w:val="center"/>
        <w:rPr>
          <w:rFonts w:eastAsiaTheme="minorEastAsia" w:hint="eastAsia"/>
          <w:b/>
          <w:kern w:val="0"/>
          <w:szCs w:val="21"/>
        </w:rPr>
      </w:pPr>
    </w:p>
    <w:p w:rsidR="00066191" w:rsidRPr="00FC1444" w:rsidRDefault="00066191">
      <w:pPr>
        <w:contextualSpacing/>
        <w:jc w:val="center"/>
        <w:rPr>
          <w:rFonts w:eastAsiaTheme="minorEastAsia" w:hint="eastAsia"/>
          <w:b/>
          <w:kern w:val="0"/>
          <w:szCs w:val="21"/>
        </w:rPr>
      </w:pPr>
    </w:p>
    <w:p w:rsidR="00066191" w:rsidRPr="00FC1444" w:rsidRDefault="00066191">
      <w:pPr>
        <w:contextualSpacing/>
        <w:jc w:val="center"/>
        <w:rPr>
          <w:rFonts w:eastAsiaTheme="minorEastAsia"/>
          <w:b/>
          <w:kern w:val="0"/>
          <w:szCs w:val="21"/>
        </w:rPr>
      </w:pPr>
    </w:p>
    <w:p w:rsidR="002D7E70" w:rsidRPr="00FC1444" w:rsidRDefault="002D7E70">
      <w:pPr>
        <w:contextualSpacing/>
        <w:jc w:val="center"/>
        <w:rPr>
          <w:rFonts w:eastAsiaTheme="minorEastAsia"/>
          <w:b/>
          <w:kern w:val="0"/>
          <w:szCs w:val="21"/>
        </w:rPr>
      </w:pPr>
    </w:p>
    <w:p w:rsidR="002D7E70" w:rsidRPr="00FC1444" w:rsidRDefault="002D7E70">
      <w:pPr>
        <w:contextualSpacing/>
        <w:jc w:val="center"/>
        <w:rPr>
          <w:rFonts w:eastAsiaTheme="minorEastAsia"/>
          <w:b/>
          <w:kern w:val="0"/>
          <w:szCs w:val="21"/>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8-2-2</w:t>
      </w:r>
      <w:r w:rsidRPr="00FC1444">
        <w:rPr>
          <w:rFonts w:eastAsiaTheme="minorEastAsia"/>
          <w:b/>
          <w:kern w:val="0"/>
          <w:szCs w:val="21"/>
        </w:rPr>
        <w:t>运营期环境监测计划一览表</w:t>
      </w:r>
    </w:p>
    <w:tbl>
      <w:tblPr>
        <w:tblStyle w:val="affffffffc"/>
        <w:tblW w:w="8273" w:type="dxa"/>
        <w:tblInd w:w="114" w:type="dxa"/>
        <w:tblLayout w:type="fixed"/>
        <w:tblLook w:val="04A0"/>
      </w:tblPr>
      <w:tblGrid>
        <w:gridCol w:w="642"/>
        <w:gridCol w:w="770"/>
        <w:gridCol w:w="1276"/>
        <w:gridCol w:w="1984"/>
        <w:gridCol w:w="1727"/>
        <w:gridCol w:w="863"/>
        <w:gridCol w:w="1011"/>
      </w:tblGrid>
      <w:tr w:rsidR="002A5A5E" w:rsidRPr="00FC1444">
        <w:trPr>
          <w:trHeight w:val="614"/>
        </w:trPr>
        <w:tc>
          <w:tcPr>
            <w:tcW w:w="642" w:type="dxa"/>
          </w:tcPr>
          <w:p w:rsidR="002A5A5E" w:rsidRPr="00FC1444" w:rsidRDefault="00611CBA">
            <w:pPr>
              <w:rPr>
                <w:rFonts w:eastAsiaTheme="minorEastAsia"/>
                <w:kern w:val="0"/>
                <w:szCs w:val="21"/>
                <w:lang w:val="zh-CN"/>
              </w:rPr>
            </w:pPr>
            <w:r w:rsidRPr="00FC1444">
              <w:rPr>
                <w:rFonts w:eastAsiaTheme="minorEastAsia"/>
                <w:kern w:val="0"/>
                <w:szCs w:val="21"/>
                <w:lang w:val="zh-CN"/>
              </w:rPr>
              <w:t>项目</w:t>
            </w:r>
          </w:p>
        </w:tc>
        <w:tc>
          <w:tcPr>
            <w:tcW w:w="770" w:type="dxa"/>
          </w:tcPr>
          <w:p w:rsidR="002A5A5E" w:rsidRPr="00FC1444" w:rsidRDefault="00611CBA">
            <w:pPr>
              <w:rPr>
                <w:rFonts w:eastAsiaTheme="minorEastAsia"/>
                <w:kern w:val="0"/>
                <w:szCs w:val="21"/>
                <w:lang w:val="zh-CN"/>
              </w:rPr>
            </w:pPr>
            <w:r w:rsidRPr="00FC1444">
              <w:rPr>
                <w:rFonts w:eastAsiaTheme="minorEastAsia"/>
                <w:kern w:val="0"/>
                <w:szCs w:val="21"/>
                <w:lang w:val="zh-CN"/>
              </w:rPr>
              <w:t>污染源</w:t>
            </w:r>
          </w:p>
        </w:tc>
        <w:tc>
          <w:tcPr>
            <w:tcW w:w="1276" w:type="dxa"/>
          </w:tcPr>
          <w:p w:rsidR="002A5A5E" w:rsidRPr="00FC1444" w:rsidRDefault="00611CBA">
            <w:pPr>
              <w:rPr>
                <w:rFonts w:eastAsiaTheme="minorEastAsia"/>
                <w:kern w:val="0"/>
                <w:szCs w:val="21"/>
                <w:lang w:val="zh-CN"/>
              </w:rPr>
            </w:pPr>
            <w:r w:rsidRPr="00FC1444">
              <w:rPr>
                <w:rFonts w:eastAsiaTheme="minorEastAsia"/>
                <w:kern w:val="0"/>
                <w:szCs w:val="21"/>
                <w:lang w:val="zh-CN"/>
              </w:rPr>
              <w:t>监测指标</w:t>
            </w:r>
          </w:p>
        </w:tc>
        <w:tc>
          <w:tcPr>
            <w:tcW w:w="1984" w:type="dxa"/>
          </w:tcPr>
          <w:p w:rsidR="002A5A5E" w:rsidRPr="00FC1444" w:rsidRDefault="00611CBA">
            <w:pPr>
              <w:rPr>
                <w:rFonts w:eastAsiaTheme="minorEastAsia"/>
                <w:kern w:val="0"/>
                <w:szCs w:val="21"/>
                <w:lang w:val="zh-CN"/>
              </w:rPr>
            </w:pPr>
            <w:r w:rsidRPr="00FC1444">
              <w:rPr>
                <w:rFonts w:eastAsiaTheme="minorEastAsia"/>
                <w:kern w:val="0"/>
                <w:szCs w:val="21"/>
                <w:lang w:val="zh-CN"/>
              </w:rPr>
              <w:t>监测点位</w:t>
            </w:r>
          </w:p>
        </w:tc>
        <w:tc>
          <w:tcPr>
            <w:tcW w:w="1727" w:type="dxa"/>
          </w:tcPr>
          <w:p w:rsidR="002A5A5E" w:rsidRPr="00FC1444" w:rsidRDefault="00611CBA">
            <w:pPr>
              <w:rPr>
                <w:rFonts w:eastAsiaTheme="minorEastAsia"/>
                <w:kern w:val="0"/>
                <w:szCs w:val="21"/>
                <w:lang w:val="zh-CN"/>
              </w:rPr>
            </w:pPr>
            <w:r w:rsidRPr="00FC1444">
              <w:rPr>
                <w:rFonts w:eastAsiaTheme="minorEastAsia"/>
                <w:kern w:val="0"/>
                <w:szCs w:val="21"/>
                <w:lang w:val="zh-CN"/>
              </w:rPr>
              <w:t>执行标准</w:t>
            </w:r>
          </w:p>
        </w:tc>
        <w:tc>
          <w:tcPr>
            <w:tcW w:w="863" w:type="dxa"/>
          </w:tcPr>
          <w:p w:rsidR="002A5A5E" w:rsidRPr="00FC1444" w:rsidRDefault="00611CBA">
            <w:pPr>
              <w:rPr>
                <w:rFonts w:eastAsiaTheme="minorEastAsia"/>
                <w:kern w:val="0"/>
                <w:szCs w:val="21"/>
                <w:lang w:val="zh-CN"/>
              </w:rPr>
            </w:pPr>
            <w:r w:rsidRPr="00FC1444">
              <w:rPr>
                <w:rFonts w:eastAsiaTheme="minorEastAsia"/>
                <w:kern w:val="0"/>
                <w:szCs w:val="21"/>
                <w:lang w:val="zh-CN"/>
              </w:rPr>
              <w:t>监测频次</w:t>
            </w:r>
          </w:p>
        </w:tc>
        <w:tc>
          <w:tcPr>
            <w:tcW w:w="1011" w:type="dxa"/>
          </w:tcPr>
          <w:p w:rsidR="002A5A5E" w:rsidRPr="00FC1444" w:rsidRDefault="00611CBA">
            <w:pPr>
              <w:rPr>
                <w:rFonts w:eastAsiaTheme="minorEastAsia"/>
                <w:kern w:val="0"/>
                <w:szCs w:val="21"/>
                <w:lang w:val="zh-CN"/>
              </w:rPr>
            </w:pPr>
            <w:r w:rsidRPr="00FC1444">
              <w:rPr>
                <w:rFonts w:eastAsiaTheme="minorEastAsia"/>
                <w:kern w:val="0"/>
                <w:szCs w:val="21"/>
                <w:lang w:val="zh-CN"/>
              </w:rPr>
              <w:t>监测技术</w:t>
            </w:r>
          </w:p>
        </w:tc>
      </w:tr>
      <w:tr w:rsidR="002A5A5E" w:rsidRPr="00FC1444">
        <w:trPr>
          <w:trHeight w:val="614"/>
        </w:trPr>
        <w:tc>
          <w:tcPr>
            <w:tcW w:w="642" w:type="dxa"/>
          </w:tcPr>
          <w:p w:rsidR="002A5A5E" w:rsidRPr="00FC1444" w:rsidRDefault="00611CBA">
            <w:pPr>
              <w:rPr>
                <w:rFonts w:eastAsiaTheme="minorEastAsia"/>
                <w:kern w:val="0"/>
                <w:szCs w:val="21"/>
                <w:lang w:val="zh-CN"/>
              </w:rPr>
            </w:pPr>
            <w:r w:rsidRPr="00FC1444">
              <w:rPr>
                <w:rFonts w:eastAsiaTheme="minorEastAsia"/>
                <w:kern w:val="0"/>
                <w:szCs w:val="21"/>
              </w:rPr>
              <w:t>井房</w:t>
            </w:r>
            <w:r w:rsidRPr="00FC1444">
              <w:rPr>
                <w:rFonts w:eastAsiaTheme="minorEastAsia"/>
                <w:kern w:val="0"/>
                <w:szCs w:val="21"/>
                <w:lang w:val="zh-CN"/>
              </w:rPr>
              <w:t>厂界噪声</w:t>
            </w:r>
          </w:p>
        </w:tc>
        <w:tc>
          <w:tcPr>
            <w:tcW w:w="770" w:type="dxa"/>
          </w:tcPr>
          <w:p w:rsidR="002A5A5E" w:rsidRPr="00FC1444" w:rsidRDefault="00611CBA">
            <w:pPr>
              <w:rPr>
                <w:rFonts w:eastAsiaTheme="minorEastAsia"/>
                <w:kern w:val="0"/>
                <w:szCs w:val="21"/>
                <w:lang w:val="zh-CN"/>
              </w:rPr>
            </w:pPr>
            <w:r w:rsidRPr="00FC1444">
              <w:rPr>
                <w:rFonts w:eastAsiaTheme="minorEastAsia"/>
                <w:kern w:val="0"/>
                <w:szCs w:val="21"/>
                <w:lang w:val="zh-CN"/>
              </w:rPr>
              <w:t>厂界</w:t>
            </w:r>
          </w:p>
        </w:tc>
        <w:tc>
          <w:tcPr>
            <w:tcW w:w="1276" w:type="dxa"/>
          </w:tcPr>
          <w:p w:rsidR="002A5A5E" w:rsidRPr="00FC1444" w:rsidRDefault="00611CBA">
            <w:pPr>
              <w:rPr>
                <w:rFonts w:eastAsiaTheme="minorEastAsia"/>
                <w:kern w:val="0"/>
                <w:szCs w:val="21"/>
                <w:lang w:val="zh-CN"/>
              </w:rPr>
            </w:pPr>
            <w:r w:rsidRPr="00FC1444">
              <w:rPr>
                <w:rFonts w:eastAsiaTheme="minorEastAsia"/>
                <w:kern w:val="0"/>
                <w:szCs w:val="21"/>
                <w:lang w:val="zh-CN"/>
              </w:rPr>
              <w:t>昼夜噪声等效</w:t>
            </w:r>
            <w:r w:rsidRPr="00FC1444">
              <w:rPr>
                <w:rFonts w:eastAsiaTheme="minorEastAsia"/>
                <w:kern w:val="0"/>
                <w:szCs w:val="21"/>
                <w:lang w:val="zh-CN"/>
              </w:rPr>
              <w:t>A</w:t>
            </w:r>
            <w:r w:rsidRPr="00FC1444">
              <w:rPr>
                <w:rFonts w:eastAsiaTheme="minorEastAsia"/>
                <w:kern w:val="0"/>
                <w:szCs w:val="21"/>
                <w:lang w:val="zh-CN"/>
              </w:rPr>
              <w:t>声级</w:t>
            </w:r>
          </w:p>
        </w:tc>
        <w:tc>
          <w:tcPr>
            <w:tcW w:w="1984" w:type="dxa"/>
          </w:tcPr>
          <w:p w:rsidR="002A5A5E" w:rsidRPr="00FC1444" w:rsidRDefault="00611CBA">
            <w:pPr>
              <w:rPr>
                <w:rFonts w:eastAsiaTheme="minorEastAsia"/>
                <w:kern w:val="0"/>
                <w:szCs w:val="21"/>
                <w:lang w:val="zh-CN"/>
              </w:rPr>
            </w:pPr>
            <w:r w:rsidRPr="00FC1444">
              <w:rPr>
                <w:rFonts w:eastAsiaTheme="minorEastAsia"/>
                <w:kern w:val="0"/>
                <w:szCs w:val="21"/>
                <w:lang w:val="zh-CN"/>
              </w:rPr>
              <w:t>厂界外</w:t>
            </w:r>
            <w:r w:rsidRPr="00FC1444">
              <w:rPr>
                <w:rFonts w:eastAsiaTheme="minorEastAsia"/>
                <w:kern w:val="0"/>
                <w:szCs w:val="21"/>
                <w:lang w:val="zh-CN"/>
              </w:rPr>
              <w:t>1m</w:t>
            </w:r>
            <w:r w:rsidRPr="00FC1444">
              <w:rPr>
                <w:rFonts w:eastAsiaTheme="minorEastAsia"/>
                <w:kern w:val="0"/>
                <w:szCs w:val="21"/>
                <w:lang w:val="zh-CN"/>
              </w:rPr>
              <w:t>，高度</w:t>
            </w:r>
            <w:r w:rsidRPr="00FC1444">
              <w:rPr>
                <w:rFonts w:eastAsiaTheme="minorEastAsia"/>
                <w:kern w:val="0"/>
                <w:szCs w:val="21"/>
                <w:lang w:val="zh-CN"/>
              </w:rPr>
              <w:t>1.2m</w:t>
            </w:r>
            <w:r w:rsidRPr="00FC1444">
              <w:rPr>
                <w:rFonts w:eastAsiaTheme="minorEastAsia"/>
                <w:kern w:val="0"/>
                <w:szCs w:val="21"/>
                <w:lang w:val="zh-CN"/>
              </w:rPr>
              <w:t>以上</w:t>
            </w:r>
          </w:p>
        </w:tc>
        <w:tc>
          <w:tcPr>
            <w:tcW w:w="1727" w:type="dxa"/>
          </w:tcPr>
          <w:p w:rsidR="002A5A5E" w:rsidRPr="00FC1444" w:rsidRDefault="00611CBA">
            <w:pPr>
              <w:rPr>
                <w:rFonts w:eastAsiaTheme="minorEastAsia"/>
                <w:kern w:val="0"/>
                <w:szCs w:val="21"/>
                <w:lang w:val="zh-CN"/>
              </w:rPr>
            </w:pPr>
            <w:r w:rsidRPr="00FC1444">
              <w:rPr>
                <w:rFonts w:eastAsiaTheme="minorEastAsia"/>
                <w:bCs/>
                <w:kern w:val="0"/>
                <w:szCs w:val="21"/>
              </w:rPr>
              <w:t>《工业企业厂界环境噪声排放标准》（</w:t>
            </w:r>
            <w:r w:rsidRPr="00FC1444">
              <w:rPr>
                <w:rFonts w:eastAsiaTheme="minorEastAsia"/>
                <w:bCs/>
                <w:kern w:val="0"/>
                <w:szCs w:val="21"/>
              </w:rPr>
              <w:t>GB12348-2008</w:t>
            </w:r>
            <w:r w:rsidRPr="00FC1444">
              <w:rPr>
                <w:rFonts w:eastAsiaTheme="minorEastAsia"/>
                <w:bCs/>
                <w:kern w:val="0"/>
                <w:szCs w:val="21"/>
              </w:rPr>
              <w:t>）表</w:t>
            </w:r>
            <w:r w:rsidRPr="00FC1444">
              <w:rPr>
                <w:rFonts w:eastAsiaTheme="minorEastAsia"/>
                <w:bCs/>
                <w:kern w:val="0"/>
                <w:szCs w:val="21"/>
              </w:rPr>
              <w:t>1</w:t>
            </w:r>
            <w:r w:rsidRPr="00FC1444">
              <w:rPr>
                <w:rFonts w:eastAsiaTheme="minorEastAsia"/>
                <w:bCs/>
                <w:kern w:val="0"/>
                <w:szCs w:val="21"/>
              </w:rPr>
              <w:t>中</w:t>
            </w:r>
            <w:r w:rsidRPr="00FC1444">
              <w:rPr>
                <w:rFonts w:eastAsiaTheme="minorEastAsia"/>
                <w:bCs/>
                <w:kern w:val="0"/>
                <w:szCs w:val="21"/>
              </w:rPr>
              <w:t>1</w:t>
            </w:r>
            <w:r w:rsidRPr="00FC1444">
              <w:rPr>
                <w:rFonts w:eastAsiaTheme="minorEastAsia"/>
                <w:bCs/>
                <w:kern w:val="0"/>
                <w:szCs w:val="21"/>
              </w:rPr>
              <w:t>类标准</w:t>
            </w:r>
          </w:p>
        </w:tc>
        <w:tc>
          <w:tcPr>
            <w:tcW w:w="863" w:type="dxa"/>
          </w:tcPr>
          <w:p w:rsidR="002A5A5E" w:rsidRPr="00FC1444" w:rsidRDefault="00611CBA">
            <w:pPr>
              <w:rPr>
                <w:rFonts w:eastAsiaTheme="minorEastAsia"/>
                <w:kern w:val="0"/>
                <w:szCs w:val="21"/>
                <w:lang w:val="zh-CN"/>
              </w:rPr>
            </w:pPr>
            <w:r w:rsidRPr="00FC1444">
              <w:rPr>
                <w:rFonts w:eastAsiaTheme="minorEastAsia"/>
                <w:kern w:val="0"/>
                <w:szCs w:val="21"/>
                <w:lang w:val="zh-CN"/>
              </w:rPr>
              <w:t>1</w:t>
            </w:r>
            <w:r w:rsidRPr="00FC1444">
              <w:rPr>
                <w:rFonts w:eastAsiaTheme="minorEastAsia"/>
                <w:kern w:val="0"/>
                <w:szCs w:val="21"/>
                <w:lang w:val="zh-CN"/>
              </w:rPr>
              <w:t>次</w:t>
            </w:r>
            <w:r w:rsidRPr="00FC1444">
              <w:rPr>
                <w:rFonts w:eastAsiaTheme="minorEastAsia"/>
                <w:kern w:val="0"/>
                <w:szCs w:val="21"/>
                <w:lang w:val="zh-CN"/>
              </w:rPr>
              <w:t>/</w:t>
            </w:r>
            <w:r w:rsidRPr="00FC1444">
              <w:rPr>
                <w:rFonts w:eastAsiaTheme="minorEastAsia"/>
                <w:kern w:val="0"/>
                <w:szCs w:val="21"/>
                <w:lang w:val="zh-CN"/>
              </w:rPr>
              <w:t>季度</w:t>
            </w:r>
          </w:p>
        </w:tc>
        <w:tc>
          <w:tcPr>
            <w:tcW w:w="1011" w:type="dxa"/>
          </w:tcPr>
          <w:p w:rsidR="002A5A5E" w:rsidRPr="00FC1444" w:rsidRDefault="00611CBA">
            <w:pPr>
              <w:rPr>
                <w:rFonts w:eastAsiaTheme="minorEastAsia"/>
                <w:kern w:val="0"/>
                <w:szCs w:val="21"/>
                <w:lang w:val="zh-CN"/>
              </w:rPr>
            </w:pPr>
            <w:r w:rsidRPr="00FC1444">
              <w:rPr>
                <w:rFonts w:eastAsiaTheme="minorEastAsia"/>
                <w:kern w:val="0"/>
                <w:szCs w:val="21"/>
                <w:lang w:val="zh-CN"/>
              </w:rPr>
              <w:t>手工监测技术</w:t>
            </w:r>
          </w:p>
        </w:tc>
      </w:tr>
      <w:tr w:rsidR="002A5A5E" w:rsidRPr="00FC1444">
        <w:trPr>
          <w:trHeight w:val="614"/>
        </w:trPr>
        <w:tc>
          <w:tcPr>
            <w:tcW w:w="642" w:type="dxa"/>
          </w:tcPr>
          <w:p w:rsidR="002A5A5E" w:rsidRPr="00FC1444" w:rsidRDefault="00611CBA">
            <w:pPr>
              <w:rPr>
                <w:rFonts w:eastAsiaTheme="minorEastAsia"/>
                <w:kern w:val="0"/>
                <w:szCs w:val="21"/>
                <w:lang w:val="zh-CN"/>
              </w:rPr>
            </w:pPr>
            <w:r w:rsidRPr="00FC1444">
              <w:rPr>
                <w:rFonts w:eastAsiaTheme="minorEastAsia"/>
                <w:kern w:val="0"/>
                <w:szCs w:val="21"/>
                <w:lang w:val="zh-CN"/>
              </w:rPr>
              <w:t>地下水</w:t>
            </w:r>
          </w:p>
        </w:tc>
        <w:tc>
          <w:tcPr>
            <w:tcW w:w="770" w:type="dxa"/>
          </w:tcPr>
          <w:p w:rsidR="002A5A5E" w:rsidRPr="00FC1444" w:rsidRDefault="00611CBA">
            <w:pPr>
              <w:rPr>
                <w:rFonts w:eastAsiaTheme="minorEastAsia"/>
                <w:b/>
                <w:kern w:val="0"/>
                <w:szCs w:val="21"/>
                <w:lang w:val="zh-CN"/>
              </w:rPr>
            </w:pPr>
            <w:r w:rsidRPr="00FC1444">
              <w:rPr>
                <w:rFonts w:eastAsiaTheme="minorEastAsia"/>
                <w:kern w:val="0"/>
                <w:szCs w:val="21"/>
                <w:lang w:val="zh-CN"/>
              </w:rPr>
              <w:t>设置跟踪监测井</w:t>
            </w:r>
          </w:p>
        </w:tc>
        <w:tc>
          <w:tcPr>
            <w:tcW w:w="1276" w:type="dxa"/>
          </w:tcPr>
          <w:p w:rsidR="002A5A5E" w:rsidRPr="00FC1444" w:rsidRDefault="00611CBA" w:rsidP="00733B9E">
            <w:pPr>
              <w:rPr>
                <w:rFonts w:eastAsiaTheme="minorEastAsia"/>
                <w:kern w:val="0"/>
                <w:szCs w:val="21"/>
                <w:lang w:val="zh-CN"/>
              </w:rPr>
            </w:pPr>
            <w:r w:rsidRPr="00FC1444">
              <w:rPr>
                <w:rFonts w:eastAsiaTheme="minorEastAsia"/>
                <w:kern w:val="0"/>
                <w:szCs w:val="21"/>
              </w:rPr>
              <w:t>水位、</w:t>
            </w:r>
            <w:r w:rsidRPr="00FC1444">
              <w:rPr>
                <w:rFonts w:eastAsiaTheme="minorEastAsia"/>
                <w:kern w:val="0"/>
                <w:szCs w:val="21"/>
              </w:rPr>
              <w:t>pH</w:t>
            </w:r>
            <w:r w:rsidRPr="00FC1444">
              <w:rPr>
                <w:rFonts w:eastAsiaTheme="minorEastAsia"/>
                <w:kern w:val="0"/>
                <w:szCs w:val="21"/>
              </w:rPr>
              <w:t>、氨氮、耗氧量</w:t>
            </w:r>
          </w:p>
        </w:tc>
        <w:tc>
          <w:tcPr>
            <w:tcW w:w="1984" w:type="dxa"/>
          </w:tcPr>
          <w:p w:rsidR="002A5A5E" w:rsidRPr="00FC1444" w:rsidRDefault="00611CBA">
            <w:pPr>
              <w:rPr>
                <w:rFonts w:eastAsiaTheme="minorEastAsia"/>
                <w:kern w:val="0"/>
                <w:szCs w:val="21"/>
                <w:lang w:val="zh-CN"/>
              </w:rPr>
            </w:pPr>
            <w:r w:rsidRPr="00FC1444">
              <w:rPr>
                <w:rFonts w:eastAsiaTheme="minorEastAsia"/>
                <w:kern w:val="0"/>
                <w:szCs w:val="21"/>
                <w:lang w:val="zh-CN"/>
              </w:rPr>
              <w:t>设置</w:t>
            </w:r>
            <w:r w:rsidRPr="00FC1444">
              <w:rPr>
                <w:rFonts w:eastAsiaTheme="minorEastAsia"/>
                <w:kern w:val="0"/>
                <w:szCs w:val="21"/>
                <w:lang w:val="zh-CN"/>
              </w:rPr>
              <w:t>3</w:t>
            </w:r>
            <w:r w:rsidRPr="00FC1444">
              <w:rPr>
                <w:rFonts w:eastAsiaTheme="minorEastAsia"/>
                <w:kern w:val="0"/>
                <w:szCs w:val="21"/>
                <w:lang w:val="zh-CN"/>
              </w:rPr>
              <w:t>口跟踪监测井（</w:t>
            </w:r>
            <w:r w:rsidR="00C0294E" w:rsidRPr="00FC1444">
              <w:rPr>
                <w:rFonts w:eastAsiaTheme="minorEastAsia" w:hint="eastAsia"/>
                <w:kern w:val="0"/>
                <w:szCs w:val="21"/>
                <w:lang w:val="zh-CN"/>
              </w:rPr>
              <w:t>绥胜</w:t>
            </w:r>
            <w:r w:rsidR="00C0294E" w:rsidRPr="00FC1444">
              <w:rPr>
                <w:rFonts w:eastAsiaTheme="minorEastAsia" w:hint="eastAsia"/>
                <w:kern w:val="0"/>
                <w:szCs w:val="21"/>
                <w:lang w:val="zh-CN"/>
              </w:rPr>
              <w:t>21#</w:t>
            </w:r>
            <w:r w:rsidR="00C0294E" w:rsidRPr="00FC1444">
              <w:rPr>
                <w:rFonts w:eastAsiaTheme="minorEastAsia" w:hint="eastAsia"/>
                <w:kern w:val="0"/>
                <w:szCs w:val="21"/>
                <w:lang w:val="zh-CN"/>
              </w:rPr>
              <w:t>机电井、津河</w:t>
            </w:r>
            <w:r w:rsidR="00C0294E" w:rsidRPr="00FC1444">
              <w:rPr>
                <w:rFonts w:eastAsiaTheme="minorEastAsia" w:hint="eastAsia"/>
                <w:kern w:val="0"/>
                <w:szCs w:val="21"/>
                <w:lang w:val="zh-CN"/>
              </w:rPr>
              <w:t>20#</w:t>
            </w:r>
            <w:r w:rsidR="00C0294E" w:rsidRPr="00FC1444">
              <w:rPr>
                <w:rFonts w:eastAsiaTheme="minorEastAsia" w:hint="eastAsia"/>
                <w:kern w:val="0"/>
                <w:szCs w:val="21"/>
                <w:lang w:val="zh-CN"/>
              </w:rPr>
              <w:t>机电井、绥胜</w:t>
            </w:r>
            <w:r w:rsidR="00C0294E" w:rsidRPr="00FC1444">
              <w:rPr>
                <w:rFonts w:eastAsiaTheme="minorEastAsia" w:hint="eastAsia"/>
                <w:kern w:val="0"/>
                <w:szCs w:val="21"/>
                <w:lang w:val="zh-CN"/>
              </w:rPr>
              <w:t>31#</w:t>
            </w:r>
            <w:r w:rsidR="00C0294E" w:rsidRPr="00FC1444">
              <w:rPr>
                <w:rFonts w:eastAsiaTheme="minorEastAsia" w:hint="eastAsia"/>
                <w:kern w:val="0"/>
                <w:szCs w:val="21"/>
                <w:lang w:val="zh-CN"/>
              </w:rPr>
              <w:t>机电井</w:t>
            </w:r>
            <w:r w:rsidRPr="00FC1444">
              <w:rPr>
                <w:rFonts w:eastAsiaTheme="minorEastAsia"/>
                <w:kern w:val="0"/>
                <w:szCs w:val="21"/>
                <w:lang w:val="zh-CN"/>
              </w:rPr>
              <w:t>）</w:t>
            </w:r>
          </w:p>
        </w:tc>
        <w:tc>
          <w:tcPr>
            <w:tcW w:w="1727" w:type="dxa"/>
          </w:tcPr>
          <w:p w:rsidR="002A5A5E" w:rsidRPr="00FC1444" w:rsidRDefault="00611CBA" w:rsidP="00733B9E">
            <w:pPr>
              <w:rPr>
                <w:rFonts w:eastAsiaTheme="minorEastAsia"/>
                <w:kern w:val="0"/>
                <w:szCs w:val="21"/>
                <w:lang w:val="zh-CN"/>
              </w:rPr>
            </w:pPr>
            <w:r w:rsidRPr="00FC1444">
              <w:rPr>
                <w:rFonts w:eastAsiaTheme="minorEastAsia"/>
                <w:kern w:val="0"/>
                <w:szCs w:val="21"/>
              </w:rPr>
              <w:t>《地下水质量标准》</w:t>
            </w:r>
            <w:r w:rsidRPr="00FC1444">
              <w:rPr>
                <w:rFonts w:eastAsiaTheme="minorEastAsia"/>
                <w:kern w:val="0"/>
                <w:szCs w:val="21"/>
              </w:rPr>
              <w:t>(GB/T14848-2017)Ⅲ</w:t>
            </w:r>
            <w:r w:rsidRPr="00FC1444">
              <w:rPr>
                <w:rFonts w:eastAsiaTheme="minorEastAsia"/>
                <w:kern w:val="0"/>
                <w:szCs w:val="21"/>
              </w:rPr>
              <w:t>类标准</w:t>
            </w:r>
          </w:p>
        </w:tc>
        <w:tc>
          <w:tcPr>
            <w:tcW w:w="863" w:type="dxa"/>
          </w:tcPr>
          <w:p w:rsidR="002A5A5E" w:rsidRPr="00FC1444" w:rsidRDefault="00611CBA">
            <w:pPr>
              <w:rPr>
                <w:rFonts w:eastAsiaTheme="minorEastAsia"/>
                <w:kern w:val="0"/>
                <w:szCs w:val="21"/>
                <w:lang w:val="zh-CN"/>
              </w:rPr>
            </w:pPr>
            <w:r w:rsidRPr="00FC1444">
              <w:rPr>
                <w:rFonts w:eastAsiaTheme="minorEastAsia"/>
                <w:kern w:val="0"/>
                <w:szCs w:val="21"/>
              </w:rPr>
              <w:t>每年的丰、枯水期各监测</w:t>
            </w:r>
            <w:r w:rsidRPr="00FC1444">
              <w:rPr>
                <w:rFonts w:eastAsiaTheme="minorEastAsia"/>
                <w:kern w:val="0"/>
                <w:szCs w:val="21"/>
              </w:rPr>
              <w:t>1</w:t>
            </w:r>
            <w:r w:rsidRPr="00FC1444">
              <w:rPr>
                <w:rFonts w:eastAsiaTheme="minorEastAsia"/>
                <w:kern w:val="0"/>
                <w:szCs w:val="21"/>
              </w:rPr>
              <w:t>次</w:t>
            </w:r>
          </w:p>
        </w:tc>
        <w:tc>
          <w:tcPr>
            <w:tcW w:w="1011" w:type="dxa"/>
          </w:tcPr>
          <w:p w:rsidR="002A5A5E" w:rsidRPr="00FC1444" w:rsidRDefault="00611CBA">
            <w:pPr>
              <w:rPr>
                <w:rFonts w:eastAsiaTheme="minorEastAsia"/>
                <w:kern w:val="0"/>
                <w:szCs w:val="21"/>
                <w:lang w:val="zh-CN"/>
              </w:rPr>
            </w:pPr>
            <w:r w:rsidRPr="00FC1444">
              <w:rPr>
                <w:rFonts w:eastAsiaTheme="minorEastAsia"/>
                <w:kern w:val="0"/>
                <w:szCs w:val="21"/>
                <w:lang w:val="zh-CN"/>
              </w:rPr>
              <w:t>手工监测技术</w:t>
            </w:r>
          </w:p>
        </w:tc>
      </w:tr>
      <w:tr w:rsidR="002A5A5E" w:rsidRPr="00FC1444">
        <w:trPr>
          <w:trHeight w:val="614"/>
        </w:trPr>
        <w:tc>
          <w:tcPr>
            <w:tcW w:w="642" w:type="dxa"/>
          </w:tcPr>
          <w:p w:rsidR="002A5A5E" w:rsidRPr="00FC1444" w:rsidRDefault="00611CBA">
            <w:pPr>
              <w:rPr>
                <w:rFonts w:eastAsiaTheme="minorEastAsia"/>
                <w:kern w:val="0"/>
                <w:szCs w:val="21"/>
                <w:lang w:val="zh-CN"/>
              </w:rPr>
            </w:pPr>
            <w:r w:rsidRPr="00FC1444">
              <w:rPr>
                <w:rFonts w:eastAsiaTheme="minorEastAsia"/>
                <w:kern w:val="0"/>
                <w:szCs w:val="21"/>
                <w:lang w:val="zh-CN"/>
              </w:rPr>
              <w:t>土壤</w:t>
            </w:r>
          </w:p>
        </w:tc>
        <w:tc>
          <w:tcPr>
            <w:tcW w:w="770" w:type="dxa"/>
          </w:tcPr>
          <w:p w:rsidR="002A5A5E" w:rsidRPr="00FC1444" w:rsidRDefault="00611CBA">
            <w:pPr>
              <w:rPr>
                <w:rFonts w:eastAsiaTheme="minorEastAsia"/>
                <w:kern w:val="0"/>
                <w:szCs w:val="21"/>
                <w:lang w:val="zh-CN"/>
              </w:rPr>
            </w:pPr>
            <w:r w:rsidRPr="00FC1444">
              <w:rPr>
                <w:rFonts w:eastAsiaTheme="minorEastAsia"/>
                <w:kern w:val="0"/>
                <w:szCs w:val="21"/>
                <w:lang w:val="zh-CN"/>
              </w:rPr>
              <w:t>灌溉区</w:t>
            </w:r>
          </w:p>
        </w:tc>
        <w:tc>
          <w:tcPr>
            <w:tcW w:w="1276" w:type="dxa"/>
          </w:tcPr>
          <w:p w:rsidR="002A5A5E" w:rsidRPr="00FC1444" w:rsidRDefault="00611CBA" w:rsidP="00733B9E">
            <w:pPr>
              <w:rPr>
                <w:rFonts w:eastAsiaTheme="minorEastAsia"/>
                <w:kern w:val="0"/>
                <w:szCs w:val="21"/>
              </w:rPr>
            </w:pPr>
            <w:r w:rsidRPr="00FC1444">
              <w:rPr>
                <w:rFonts w:eastAsiaTheme="minorEastAsia"/>
                <w:kern w:val="0"/>
                <w:szCs w:val="21"/>
              </w:rPr>
              <w:t>pH</w:t>
            </w:r>
            <w:r w:rsidRPr="00FC1444">
              <w:rPr>
                <w:rFonts w:eastAsiaTheme="minorEastAsia"/>
                <w:kern w:val="0"/>
                <w:szCs w:val="21"/>
              </w:rPr>
              <w:t>、有机质、全氮、镉、汞、砷、铜、铅、铬、锌、镍、全盐量</w:t>
            </w:r>
          </w:p>
        </w:tc>
        <w:tc>
          <w:tcPr>
            <w:tcW w:w="1984" w:type="dxa"/>
          </w:tcPr>
          <w:p w:rsidR="002A5A5E" w:rsidRPr="00FC1444" w:rsidRDefault="00611CBA" w:rsidP="00733B9E">
            <w:pPr>
              <w:rPr>
                <w:rFonts w:eastAsiaTheme="minorEastAsia"/>
                <w:kern w:val="0"/>
                <w:szCs w:val="21"/>
                <w:lang w:val="zh-CN"/>
              </w:rPr>
            </w:pPr>
            <w:r w:rsidRPr="00FC1444">
              <w:rPr>
                <w:rFonts w:eastAsiaTheme="minorEastAsia"/>
                <w:kern w:val="0"/>
                <w:szCs w:val="21"/>
                <w:lang w:val="zh-CN"/>
              </w:rPr>
              <w:t>设置</w:t>
            </w:r>
            <w:r w:rsidRPr="00FC1444">
              <w:rPr>
                <w:rFonts w:eastAsiaTheme="minorEastAsia"/>
                <w:kern w:val="0"/>
                <w:szCs w:val="21"/>
                <w:lang w:val="zh-CN"/>
              </w:rPr>
              <w:t>3</w:t>
            </w:r>
            <w:r w:rsidRPr="00FC1444">
              <w:rPr>
                <w:rFonts w:eastAsiaTheme="minorEastAsia"/>
                <w:kern w:val="0"/>
                <w:szCs w:val="21"/>
                <w:lang w:val="zh-CN"/>
              </w:rPr>
              <w:t>个土壤监测点（旱田灌溉井附近</w:t>
            </w:r>
            <w:r w:rsidRPr="00FC1444">
              <w:rPr>
                <w:rFonts w:eastAsiaTheme="minorEastAsia"/>
                <w:kern w:val="0"/>
                <w:szCs w:val="21"/>
                <w:lang w:val="zh-CN"/>
              </w:rPr>
              <w:t>1</w:t>
            </w:r>
            <w:r w:rsidRPr="00FC1444">
              <w:rPr>
                <w:rFonts w:eastAsiaTheme="minorEastAsia"/>
                <w:kern w:val="0"/>
                <w:szCs w:val="21"/>
                <w:lang w:val="zh-CN"/>
              </w:rPr>
              <w:t>个、水田</w:t>
            </w:r>
            <w:r w:rsidRPr="00FC1444">
              <w:rPr>
                <w:rFonts w:eastAsiaTheme="minorEastAsia"/>
                <w:kern w:val="0"/>
                <w:szCs w:val="21"/>
                <w:lang w:val="zh-CN"/>
              </w:rPr>
              <w:t>1</w:t>
            </w:r>
            <w:r w:rsidR="00733B9E" w:rsidRPr="00FC1444">
              <w:rPr>
                <w:rFonts w:eastAsiaTheme="minorEastAsia"/>
                <w:kern w:val="0"/>
                <w:szCs w:val="21"/>
                <w:lang w:val="zh-CN"/>
              </w:rPr>
              <w:t>个、饮用水源地附近</w:t>
            </w:r>
            <w:r w:rsidRPr="00FC1444">
              <w:rPr>
                <w:rFonts w:eastAsiaTheme="minorEastAsia"/>
                <w:kern w:val="0"/>
                <w:szCs w:val="21"/>
                <w:lang w:val="zh-CN"/>
              </w:rPr>
              <w:t>1</w:t>
            </w:r>
            <w:r w:rsidRPr="00FC1444">
              <w:rPr>
                <w:rFonts w:eastAsiaTheme="minorEastAsia"/>
                <w:kern w:val="0"/>
                <w:szCs w:val="21"/>
                <w:lang w:val="zh-CN"/>
              </w:rPr>
              <w:t>个；土壤类型为：</w:t>
            </w:r>
            <w:r w:rsidR="002F2D3F" w:rsidRPr="00FC1444">
              <w:t>普通黑土、普通潜育土、潜育水稻土</w:t>
            </w:r>
            <w:r w:rsidRPr="00FC1444">
              <w:rPr>
                <w:rFonts w:eastAsiaTheme="minorEastAsia"/>
                <w:kern w:val="0"/>
                <w:szCs w:val="21"/>
                <w:lang w:val="zh-CN"/>
              </w:rPr>
              <w:t>；采样深度为：表层样</w:t>
            </w:r>
            <w:r w:rsidRPr="00FC1444">
              <w:rPr>
                <w:rFonts w:eastAsiaTheme="minorEastAsia"/>
                <w:kern w:val="0"/>
                <w:szCs w:val="21"/>
                <w:lang w:val="zh-CN"/>
              </w:rPr>
              <w:t>0~0.2m</w:t>
            </w:r>
            <w:r w:rsidRPr="00FC1444">
              <w:rPr>
                <w:rFonts w:eastAsiaTheme="minorEastAsia"/>
                <w:kern w:val="0"/>
                <w:szCs w:val="21"/>
                <w:lang w:val="zh-CN"/>
              </w:rPr>
              <w:t>）</w:t>
            </w:r>
          </w:p>
        </w:tc>
        <w:tc>
          <w:tcPr>
            <w:tcW w:w="1727" w:type="dxa"/>
          </w:tcPr>
          <w:p w:rsidR="002A5A5E" w:rsidRPr="00FC1444" w:rsidRDefault="00611CBA">
            <w:pPr>
              <w:rPr>
                <w:rFonts w:eastAsiaTheme="minorEastAsia"/>
                <w:kern w:val="0"/>
                <w:szCs w:val="21"/>
                <w:lang w:val="zh-CN"/>
              </w:rPr>
            </w:pPr>
            <w:r w:rsidRPr="00FC1444">
              <w:rPr>
                <w:rFonts w:eastAsiaTheme="minorEastAsia"/>
                <w:kern w:val="0"/>
                <w:szCs w:val="21"/>
              </w:rPr>
              <w:t>《土壤环境质量农用地土壤污染风险管控标准（试行）》（</w:t>
            </w:r>
            <w:r w:rsidRPr="00FC1444">
              <w:rPr>
                <w:rFonts w:eastAsiaTheme="minorEastAsia"/>
                <w:kern w:val="0"/>
                <w:szCs w:val="21"/>
              </w:rPr>
              <w:t>GB15618-2018</w:t>
            </w:r>
            <w:r w:rsidRPr="00FC1444">
              <w:rPr>
                <w:rFonts w:eastAsiaTheme="minorEastAsia"/>
                <w:kern w:val="0"/>
                <w:szCs w:val="21"/>
              </w:rPr>
              <w:t>）中筛选值</w:t>
            </w:r>
          </w:p>
        </w:tc>
        <w:tc>
          <w:tcPr>
            <w:tcW w:w="863" w:type="dxa"/>
          </w:tcPr>
          <w:p w:rsidR="002A5A5E" w:rsidRPr="00FC1444" w:rsidRDefault="00611CBA">
            <w:pPr>
              <w:rPr>
                <w:rFonts w:eastAsiaTheme="minorEastAsia"/>
                <w:kern w:val="0"/>
                <w:szCs w:val="21"/>
              </w:rPr>
            </w:pPr>
            <w:r w:rsidRPr="00FC1444">
              <w:rPr>
                <w:rStyle w:val="CharChar"/>
                <w:rFonts w:eastAsiaTheme="minorEastAsia" w:hAnsi="Times New Roman"/>
                <w:smallCaps/>
                <w:kern w:val="0"/>
              </w:rPr>
              <w:t>每两年春季灌溉前期监测</w:t>
            </w:r>
            <w:r w:rsidRPr="00FC1444">
              <w:rPr>
                <w:rStyle w:val="CharChar"/>
                <w:rFonts w:eastAsiaTheme="minorEastAsia" w:hAnsi="Times New Roman"/>
                <w:smallCaps/>
                <w:kern w:val="0"/>
              </w:rPr>
              <w:t>1</w:t>
            </w:r>
            <w:r w:rsidRPr="00FC1444">
              <w:rPr>
                <w:rStyle w:val="CharChar"/>
                <w:rFonts w:eastAsiaTheme="minorEastAsia" w:hAnsi="Times New Roman"/>
                <w:smallCaps/>
                <w:kern w:val="0"/>
              </w:rPr>
              <w:t>次</w:t>
            </w:r>
          </w:p>
        </w:tc>
        <w:tc>
          <w:tcPr>
            <w:tcW w:w="1011" w:type="dxa"/>
          </w:tcPr>
          <w:p w:rsidR="002A5A5E" w:rsidRPr="00FC1444" w:rsidRDefault="00611CBA">
            <w:pPr>
              <w:rPr>
                <w:rFonts w:eastAsiaTheme="minorEastAsia"/>
                <w:kern w:val="0"/>
                <w:szCs w:val="21"/>
                <w:lang w:val="zh-CN"/>
              </w:rPr>
            </w:pPr>
            <w:r w:rsidRPr="00FC1444">
              <w:rPr>
                <w:rFonts w:eastAsiaTheme="minorEastAsia"/>
                <w:kern w:val="0"/>
                <w:szCs w:val="21"/>
                <w:lang w:val="zh-CN"/>
              </w:rPr>
              <w:t>手工监测技术</w:t>
            </w:r>
          </w:p>
        </w:tc>
      </w:tr>
      <w:tr w:rsidR="002A5A5E" w:rsidRPr="00FC1444">
        <w:trPr>
          <w:trHeight w:val="614"/>
        </w:trPr>
        <w:tc>
          <w:tcPr>
            <w:tcW w:w="642" w:type="dxa"/>
          </w:tcPr>
          <w:p w:rsidR="002A5A5E" w:rsidRPr="00FC1444" w:rsidRDefault="00611CBA">
            <w:pPr>
              <w:rPr>
                <w:rFonts w:eastAsiaTheme="minorEastAsia"/>
                <w:kern w:val="0"/>
                <w:szCs w:val="21"/>
                <w:lang w:val="zh-CN"/>
              </w:rPr>
            </w:pPr>
            <w:r w:rsidRPr="00FC1444">
              <w:rPr>
                <w:rFonts w:eastAsiaTheme="minorEastAsia"/>
                <w:kern w:val="0"/>
                <w:szCs w:val="21"/>
              </w:rPr>
              <w:t>地表水</w:t>
            </w:r>
          </w:p>
        </w:tc>
        <w:tc>
          <w:tcPr>
            <w:tcW w:w="770" w:type="dxa"/>
          </w:tcPr>
          <w:p w:rsidR="002A5A5E" w:rsidRPr="00FC1444" w:rsidRDefault="00611CBA">
            <w:pPr>
              <w:rPr>
                <w:rFonts w:eastAsiaTheme="minorEastAsia"/>
                <w:kern w:val="0"/>
                <w:szCs w:val="21"/>
                <w:lang w:val="zh-CN"/>
              </w:rPr>
            </w:pPr>
            <w:r w:rsidRPr="00FC1444">
              <w:rPr>
                <w:rFonts w:eastAsiaTheme="minorEastAsia"/>
                <w:kern w:val="0"/>
                <w:szCs w:val="21"/>
                <w:lang w:val="zh-CN"/>
              </w:rPr>
              <w:t>水田灌溉区</w:t>
            </w:r>
          </w:p>
        </w:tc>
        <w:tc>
          <w:tcPr>
            <w:tcW w:w="1276" w:type="dxa"/>
          </w:tcPr>
          <w:p w:rsidR="002A5A5E" w:rsidRPr="00FC1444" w:rsidRDefault="00611CBA">
            <w:pPr>
              <w:rPr>
                <w:rFonts w:eastAsiaTheme="minorEastAsia"/>
                <w:kern w:val="0"/>
                <w:szCs w:val="21"/>
              </w:rPr>
            </w:pPr>
            <w:r w:rsidRPr="00FC1444">
              <w:rPr>
                <w:rFonts w:eastAsiaTheme="minorEastAsia"/>
                <w:kern w:val="0"/>
                <w:szCs w:val="20"/>
              </w:rPr>
              <w:t>pH</w:t>
            </w:r>
            <w:r w:rsidRPr="00FC1444">
              <w:rPr>
                <w:rFonts w:eastAsiaTheme="minorEastAsia"/>
                <w:kern w:val="0"/>
                <w:szCs w:val="20"/>
              </w:rPr>
              <w:t>、</w:t>
            </w:r>
            <w:r w:rsidRPr="00FC1444">
              <w:rPr>
                <w:rFonts w:eastAsiaTheme="minorEastAsia"/>
                <w:kern w:val="0"/>
                <w:szCs w:val="20"/>
              </w:rPr>
              <w:t>SS</w:t>
            </w:r>
            <w:r w:rsidRPr="00FC1444">
              <w:rPr>
                <w:rFonts w:eastAsiaTheme="minorEastAsia"/>
                <w:kern w:val="0"/>
                <w:szCs w:val="20"/>
              </w:rPr>
              <w:t>、高锰酸盐指数、</w:t>
            </w:r>
            <w:r w:rsidRPr="00FC1444">
              <w:rPr>
                <w:rFonts w:eastAsiaTheme="minorEastAsia"/>
                <w:kern w:val="0"/>
                <w:szCs w:val="20"/>
              </w:rPr>
              <w:t>COD</w:t>
            </w:r>
            <w:r w:rsidRPr="00FC1444">
              <w:rPr>
                <w:rFonts w:eastAsiaTheme="minorEastAsia"/>
                <w:kern w:val="0"/>
                <w:szCs w:val="20"/>
              </w:rPr>
              <w:t>、氨氮、总磷、</w:t>
            </w:r>
            <w:r w:rsidRPr="00FC1444">
              <w:rPr>
                <w:rFonts w:eastAsiaTheme="minorEastAsia"/>
                <w:bCs/>
                <w:kern w:val="0"/>
                <w:szCs w:val="20"/>
              </w:rPr>
              <w:t>BOD</w:t>
            </w:r>
            <w:r w:rsidRPr="00FC1444">
              <w:rPr>
                <w:rFonts w:eastAsiaTheme="minorEastAsia"/>
                <w:bCs/>
                <w:kern w:val="0"/>
                <w:szCs w:val="20"/>
                <w:vertAlign w:val="subscript"/>
              </w:rPr>
              <w:t>5</w:t>
            </w:r>
          </w:p>
        </w:tc>
        <w:tc>
          <w:tcPr>
            <w:tcW w:w="1984" w:type="dxa"/>
          </w:tcPr>
          <w:p w:rsidR="002A5A5E" w:rsidRPr="00FC1444" w:rsidRDefault="00611CBA">
            <w:pPr>
              <w:rPr>
                <w:rFonts w:eastAsiaTheme="minorEastAsia"/>
                <w:kern w:val="0"/>
                <w:szCs w:val="21"/>
                <w:lang w:val="zh-CN"/>
              </w:rPr>
            </w:pPr>
            <w:r w:rsidRPr="00FC1444">
              <w:rPr>
                <w:rFonts w:eastAsiaTheme="minorEastAsia"/>
                <w:kern w:val="0"/>
                <w:szCs w:val="21"/>
              </w:rPr>
              <w:t>承泄区：</w:t>
            </w:r>
            <w:r w:rsidR="005615DD" w:rsidRPr="00FC1444">
              <w:rPr>
                <w:rFonts w:eastAsiaTheme="minorEastAsia"/>
                <w:kern w:val="0"/>
                <w:szCs w:val="21"/>
              </w:rPr>
              <w:t>退水入</w:t>
            </w:r>
            <w:r w:rsidR="005615DD" w:rsidRPr="00FC1444">
              <w:rPr>
                <w:rFonts w:eastAsiaTheme="minorEastAsia" w:hint="eastAsia"/>
                <w:kern w:val="0"/>
                <w:szCs w:val="21"/>
              </w:rPr>
              <w:t>呼兰河河</w:t>
            </w:r>
            <w:r w:rsidR="005615DD" w:rsidRPr="00FC1444">
              <w:rPr>
                <w:rFonts w:eastAsiaTheme="minorEastAsia"/>
                <w:kern w:val="0"/>
                <w:szCs w:val="21"/>
              </w:rPr>
              <w:t>口</w:t>
            </w:r>
            <w:r w:rsidRPr="00FC1444">
              <w:rPr>
                <w:rFonts w:eastAsiaTheme="minorEastAsia"/>
                <w:kern w:val="0"/>
                <w:szCs w:val="21"/>
              </w:rPr>
              <w:t>、</w:t>
            </w:r>
            <w:r w:rsidR="002D7E70" w:rsidRPr="00FC1444">
              <w:rPr>
                <w:rFonts w:eastAsiaTheme="minorEastAsia"/>
                <w:kern w:val="0"/>
                <w:szCs w:val="21"/>
              </w:rPr>
              <w:t>退水入</w:t>
            </w:r>
            <w:r w:rsidR="005615DD" w:rsidRPr="00FC1444">
              <w:rPr>
                <w:rFonts w:eastAsiaTheme="minorEastAsia" w:hint="eastAsia"/>
                <w:kern w:val="0"/>
                <w:szCs w:val="21"/>
              </w:rPr>
              <w:t>努</w:t>
            </w:r>
            <w:r w:rsidR="005615DD" w:rsidRPr="00FC1444">
              <w:rPr>
                <w:rFonts w:eastAsiaTheme="minorEastAsia"/>
                <w:kern w:val="0"/>
                <w:szCs w:val="21"/>
              </w:rPr>
              <w:t>敏河</w:t>
            </w:r>
            <w:r w:rsidR="002D7E70" w:rsidRPr="00FC1444">
              <w:rPr>
                <w:rFonts w:eastAsiaTheme="minorEastAsia"/>
                <w:kern w:val="0"/>
                <w:szCs w:val="21"/>
              </w:rPr>
              <w:t>河口</w:t>
            </w:r>
            <w:r w:rsidRPr="00FC1444">
              <w:rPr>
                <w:rFonts w:eastAsiaTheme="minorEastAsia"/>
                <w:kern w:val="0"/>
                <w:szCs w:val="21"/>
              </w:rPr>
              <w:t>、</w:t>
            </w:r>
            <w:r w:rsidR="005615DD" w:rsidRPr="00FC1444">
              <w:rPr>
                <w:rFonts w:eastAsiaTheme="minorEastAsia"/>
                <w:kern w:val="0"/>
                <w:szCs w:val="21"/>
              </w:rPr>
              <w:t>退水入</w:t>
            </w:r>
            <w:r w:rsidR="005615DD" w:rsidRPr="00FC1444">
              <w:rPr>
                <w:rFonts w:eastAsiaTheme="minorEastAsia" w:hint="eastAsia"/>
                <w:kern w:val="0"/>
                <w:szCs w:val="21"/>
              </w:rPr>
              <w:t>津</w:t>
            </w:r>
            <w:r w:rsidRPr="00FC1444">
              <w:rPr>
                <w:rFonts w:eastAsiaTheme="minorEastAsia"/>
                <w:kern w:val="0"/>
                <w:szCs w:val="21"/>
              </w:rPr>
              <w:t>河</w:t>
            </w:r>
            <w:r w:rsidR="005615DD" w:rsidRPr="00FC1444">
              <w:rPr>
                <w:rFonts w:eastAsiaTheme="minorEastAsia" w:hint="eastAsia"/>
                <w:kern w:val="0"/>
                <w:szCs w:val="21"/>
              </w:rPr>
              <w:t>河</w:t>
            </w:r>
            <w:r w:rsidRPr="00FC1444">
              <w:rPr>
                <w:rFonts w:eastAsiaTheme="minorEastAsia"/>
                <w:kern w:val="0"/>
                <w:szCs w:val="21"/>
              </w:rPr>
              <w:t>口</w:t>
            </w:r>
          </w:p>
        </w:tc>
        <w:tc>
          <w:tcPr>
            <w:tcW w:w="1727" w:type="dxa"/>
          </w:tcPr>
          <w:p w:rsidR="002A5A5E" w:rsidRPr="00FC1444" w:rsidRDefault="00611CBA">
            <w:pPr>
              <w:rPr>
                <w:rFonts w:eastAsiaTheme="minorEastAsia"/>
                <w:kern w:val="0"/>
                <w:szCs w:val="21"/>
              </w:rPr>
            </w:pPr>
            <w:r w:rsidRPr="00FC1444">
              <w:rPr>
                <w:rFonts w:eastAsiaTheme="minorEastAsia"/>
                <w:kern w:val="0"/>
                <w:szCs w:val="21"/>
              </w:rPr>
              <w:t>《地表水环境质量标准》（</w:t>
            </w:r>
            <w:r w:rsidRPr="00FC1444">
              <w:rPr>
                <w:rFonts w:eastAsiaTheme="minorEastAsia"/>
                <w:kern w:val="0"/>
                <w:szCs w:val="21"/>
              </w:rPr>
              <w:t>GB3838-2002</w:t>
            </w:r>
            <w:r w:rsidR="00733B9E" w:rsidRPr="00FC1444">
              <w:rPr>
                <w:rFonts w:eastAsiaTheme="minorEastAsia"/>
                <w:kern w:val="0"/>
                <w:szCs w:val="21"/>
              </w:rPr>
              <w:t>）</w:t>
            </w:r>
            <w:r w:rsidRPr="00FC1444">
              <w:rPr>
                <w:rFonts w:eastAsiaTheme="minorEastAsia"/>
                <w:kern w:val="0"/>
                <w:szCs w:val="21"/>
              </w:rPr>
              <w:t>Ⅲ</w:t>
            </w:r>
            <w:r w:rsidRPr="00FC1444">
              <w:rPr>
                <w:rFonts w:eastAsiaTheme="minorEastAsia"/>
                <w:kern w:val="0"/>
                <w:szCs w:val="21"/>
              </w:rPr>
              <w:t>类标准</w:t>
            </w:r>
          </w:p>
        </w:tc>
        <w:tc>
          <w:tcPr>
            <w:tcW w:w="863" w:type="dxa"/>
          </w:tcPr>
          <w:p w:rsidR="002A5A5E" w:rsidRPr="00FC1444" w:rsidRDefault="00E970B8">
            <w:pPr>
              <w:rPr>
                <w:rStyle w:val="CharChar"/>
                <w:rFonts w:eastAsiaTheme="minorEastAsia" w:hAnsi="Times New Roman"/>
                <w:smallCaps/>
                <w:kern w:val="0"/>
              </w:rPr>
            </w:pPr>
            <w:r w:rsidRPr="00FC1444">
              <w:rPr>
                <w:rFonts w:eastAsiaTheme="minorEastAsia" w:hint="eastAsia"/>
                <w:kern w:val="0"/>
                <w:szCs w:val="21"/>
              </w:rPr>
              <w:t>4</w:t>
            </w:r>
            <w:r w:rsidR="00611CBA" w:rsidRPr="00FC1444">
              <w:rPr>
                <w:rFonts w:eastAsiaTheme="minorEastAsia"/>
                <w:kern w:val="0"/>
                <w:szCs w:val="21"/>
              </w:rPr>
              <w:t>个断面，每年抽样</w:t>
            </w:r>
            <w:r w:rsidR="00611CBA" w:rsidRPr="00FC1444">
              <w:rPr>
                <w:rFonts w:eastAsiaTheme="minorEastAsia"/>
                <w:kern w:val="0"/>
                <w:szCs w:val="21"/>
              </w:rPr>
              <w:t>5~8</w:t>
            </w:r>
            <w:r w:rsidR="00611CBA" w:rsidRPr="00FC1444">
              <w:rPr>
                <w:rFonts w:eastAsiaTheme="minorEastAsia"/>
                <w:kern w:val="0"/>
                <w:szCs w:val="21"/>
              </w:rPr>
              <w:t>月退水期监测一次</w:t>
            </w:r>
          </w:p>
        </w:tc>
        <w:tc>
          <w:tcPr>
            <w:tcW w:w="1011" w:type="dxa"/>
          </w:tcPr>
          <w:p w:rsidR="002A5A5E" w:rsidRPr="00FC1444" w:rsidRDefault="00611CBA">
            <w:pPr>
              <w:rPr>
                <w:rFonts w:eastAsiaTheme="minorEastAsia"/>
                <w:kern w:val="0"/>
                <w:szCs w:val="21"/>
                <w:lang w:val="zh-CN"/>
              </w:rPr>
            </w:pPr>
            <w:r w:rsidRPr="00FC1444">
              <w:rPr>
                <w:rFonts w:eastAsiaTheme="minorEastAsia"/>
                <w:kern w:val="0"/>
                <w:szCs w:val="21"/>
                <w:lang w:val="zh-CN"/>
              </w:rPr>
              <w:t>手工监测技术</w:t>
            </w:r>
          </w:p>
        </w:tc>
      </w:tr>
    </w:tbl>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8.2.4</w:t>
      </w:r>
      <w:r w:rsidRPr="00FC1444">
        <w:rPr>
          <w:rFonts w:eastAsiaTheme="minorEastAsia"/>
          <w:b/>
          <w:sz w:val="28"/>
          <w:szCs w:val="28"/>
        </w:rPr>
        <w:t>生态环境监测计划</w:t>
      </w:r>
    </w:p>
    <w:p w:rsidR="002A5A5E" w:rsidRPr="00FC1444" w:rsidRDefault="00611CBA">
      <w:pPr>
        <w:autoSpaceDE w:val="0"/>
        <w:autoSpaceDN w:val="0"/>
        <w:spacing w:before="100" w:beforeAutospacing="1" w:after="100" w:afterAutospacing="1"/>
        <w:outlineLvl w:val="3"/>
        <w:rPr>
          <w:rFonts w:eastAsiaTheme="minorEastAsia"/>
          <w:b/>
          <w:bCs/>
          <w:sz w:val="24"/>
        </w:rPr>
      </w:pPr>
      <w:r w:rsidRPr="00FC1444">
        <w:rPr>
          <w:rFonts w:eastAsiaTheme="minorEastAsia"/>
          <w:b/>
          <w:bCs/>
          <w:sz w:val="24"/>
        </w:rPr>
        <w:t>8.2.4.1</w:t>
      </w:r>
      <w:r w:rsidRPr="00FC1444">
        <w:rPr>
          <w:rFonts w:eastAsiaTheme="minorEastAsia"/>
          <w:b/>
          <w:bCs/>
          <w:sz w:val="24"/>
        </w:rPr>
        <w:t>监测方法</w:t>
      </w:r>
    </w:p>
    <w:p w:rsidR="002A5A5E" w:rsidRPr="00FC1444" w:rsidRDefault="00611CBA">
      <w:pPr>
        <w:pStyle w:val="M"/>
        <w:kinsoku/>
        <w:ind w:firstLine="480"/>
        <w:jc w:val="both"/>
        <w:rPr>
          <w:rFonts w:eastAsiaTheme="minorEastAsia"/>
          <w:color w:val="auto"/>
          <w:lang w:eastAsia="zh-CN"/>
        </w:rPr>
      </w:pPr>
      <w:r w:rsidRPr="00FC1444">
        <w:rPr>
          <w:rFonts w:eastAsiaTheme="minorEastAsia"/>
          <w:color w:val="auto"/>
          <w:lang w:eastAsia="zh-CN"/>
        </w:rPr>
        <w:t>（</w:t>
      </w:r>
      <w:r w:rsidRPr="00FC1444">
        <w:rPr>
          <w:rFonts w:eastAsiaTheme="minorEastAsia"/>
          <w:color w:val="auto"/>
          <w:lang w:eastAsia="zh-CN"/>
        </w:rPr>
        <w:t>1</w:t>
      </w:r>
      <w:r w:rsidRPr="00FC1444">
        <w:rPr>
          <w:rFonts w:eastAsiaTheme="minorEastAsia"/>
          <w:color w:val="auto"/>
          <w:lang w:eastAsia="zh-CN"/>
        </w:rPr>
        <w:t>）遥感监测</w:t>
      </w:r>
      <w:r w:rsidRPr="00FC1444">
        <w:rPr>
          <w:rFonts w:eastAsiaTheme="minorEastAsia"/>
          <w:color w:val="auto"/>
          <w:lang w:eastAsia="zh-CN"/>
        </w:rPr>
        <w:t xml:space="preserve"> </w:t>
      </w:r>
    </w:p>
    <w:p w:rsidR="002A5A5E" w:rsidRPr="00FC1444" w:rsidRDefault="00611CBA">
      <w:pPr>
        <w:pStyle w:val="M"/>
        <w:kinsoku/>
        <w:ind w:firstLine="480"/>
        <w:jc w:val="both"/>
        <w:rPr>
          <w:rFonts w:eastAsiaTheme="minorEastAsia"/>
          <w:color w:val="auto"/>
          <w:lang w:eastAsia="zh-CN"/>
        </w:rPr>
      </w:pPr>
      <w:r w:rsidRPr="00FC1444">
        <w:rPr>
          <w:rFonts w:eastAsiaTheme="minorEastAsia"/>
          <w:color w:val="auto"/>
          <w:lang w:eastAsia="zh-CN"/>
        </w:rPr>
        <w:t>利用</w:t>
      </w:r>
      <w:r w:rsidRPr="00FC1444">
        <w:rPr>
          <w:rFonts w:eastAsiaTheme="minorEastAsia"/>
          <w:color w:val="auto"/>
          <w:lang w:eastAsia="zh-CN"/>
        </w:rPr>
        <w:t>ArcGIS Engine</w:t>
      </w:r>
      <w:r w:rsidRPr="00FC1444">
        <w:rPr>
          <w:rFonts w:eastAsiaTheme="minorEastAsia"/>
          <w:color w:val="auto"/>
          <w:lang w:eastAsia="zh-CN"/>
        </w:rPr>
        <w:t>技术和</w:t>
      </w:r>
      <w:r w:rsidRPr="00FC1444">
        <w:rPr>
          <w:rFonts w:eastAsiaTheme="minorEastAsia"/>
          <w:color w:val="auto"/>
          <w:lang w:eastAsia="zh-CN"/>
        </w:rPr>
        <w:t>Visual Basic</w:t>
      </w:r>
      <w:r w:rsidRPr="00FC1444">
        <w:rPr>
          <w:rFonts w:eastAsiaTheme="minorEastAsia"/>
          <w:color w:val="auto"/>
          <w:lang w:eastAsia="zh-CN"/>
        </w:rPr>
        <w:t>开发平台，以基础地理信息、生态专业数据和属性信息为基础建立数据库，依托</w:t>
      </w:r>
      <w:r w:rsidRPr="00FC1444">
        <w:rPr>
          <w:rFonts w:eastAsiaTheme="minorEastAsia"/>
          <w:color w:val="auto"/>
          <w:lang w:eastAsia="zh-CN"/>
        </w:rPr>
        <w:t>GIS</w:t>
      </w:r>
      <w:r w:rsidRPr="00FC1444">
        <w:rPr>
          <w:rFonts w:eastAsiaTheme="minorEastAsia"/>
          <w:color w:val="auto"/>
          <w:lang w:eastAsia="zh-CN"/>
        </w:rPr>
        <w:t>的空间分析性能进行监测成果的分析，得到生物丰度指数、植物盖度指数、景观多样性值和优势度值等，来判断植物和植被的变化。</w:t>
      </w:r>
    </w:p>
    <w:p w:rsidR="002A5A5E" w:rsidRPr="00FC1444" w:rsidRDefault="00611CBA">
      <w:pPr>
        <w:pStyle w:val="M"/>
        <w:kinsoku/>
        <w:ind w:firstLine="480"/>
        <w:jc w:val="both"/>
        <w:rPr>
          <w:rFonts w:eastAsiaTheme="minorEastAsia"/>
          <w:color w:val="auto"/>
          <w:lang w:eastAsia="zh-CN"/>
        </w:rPr>
      </w:pPr>
      <w:r w:rsidRPr="00FC1444">
        <w:rPr>
          <w:rFonts w:eastAsiaTheme="minorEastAsia"/>
          <w:color w:val="auto"/>
          <w:lang w:eastAsia="zh-CN"/>
        </w:rPr>
        <w:t>（</w:t>
      </w:r>
      <w:r w:rsidRPr="00FC1444">
        <w:rPr>
          <w:rFonts w:eastAsiaTheme="minorEastAsia"/>
          <w:color w:val="auto"/>
          <w:lang w:eastAsia="zh-CN"/>
        </w:rPr>
        <w:t>2</w:t>
      </w:r>
      <w:r w:rsidRPr="00FC1444">
        <w:rPr>
          <w:rFonts w:eastAsiaTheme="minorEastAsia"/>
          <w:color w:val="auto"/>
          <w:lang w:eastAsia="zh-CN"/>
        </w:rPr>
        <w:t>）植物监测</w:t>
      </w:r>
    </w:p>
    <w:p w:rsidR="002A5A5E" w:rsidRPr="00FC1444" w:rsidRDefault="00611CBA">
      <w:pPr>
        <w:pStyle w:val="M"/>
        <w:kinsoku/>
        <w:ind w:firstLine="480"/>
        <w:jc w:val="both"/>
        <w:rPr>
          <w:rFonts w:eastAsiaTheme="minorEastAsia"/>
          <w:color w:val="auto"/>
          <w:lang w:eastAsia="zh-CN"/>
        </w:rPr>
      </w:pPr>
      <w:r w:rsidRPr="00FC1444">
        <w:rPr>
          <w:rFonts w:ascii="宋体" w:hAnsi="宋体" w:cs="宋体" w:hint="eastAsia"/>
          <w:color w:val="auto"/>
          <w:lang w:eastAsia="zh-CN"/>
        </w:rPr>
        <w:t>①</w:t>
      </w:r>
      <w:r w:rsidRPr="00FC1444">
        <w:rPr>
          <w:rFonts w:eastAsiaTheme="minorEastAsia"/>
          <w:color w:val="auto"/>
          <w:lang w:eastAsia="zh-CN"/>
        </w:rPr>
        <w:t>植被：调查区域内的植被类型及其优势种、建群种、植被覆盖率，应采用样地调查法对各生态系统分别调查</w:t>
      </w:r>
      <w:r w:rsidRPr="00FC1444">
        <w:rPr>
          <w:rFonts w:eastAsiaTheme="minorEastAsia"/>
          <w:color w:val="auto"/>
          <w:lang w:eastAsia="zh-CN"/>
        </w:rPr>
        <w:t>1~2</w:t>
      </w:r>
      <w:r w:rsidRPr="00FC1444">
        <w:rPr>
          <w:rFonts w:eastAsiaTheme="minorEastAsia"/>
          <w:color w:val="auto"/>
          <w:lang w:eastAsia="zh-CN"/>
        </w:rPr>
        <w:t>个样地，样方面积可按乔木群落</w:t>
      </w:r>
      <w:r w:rsidRPr="00FC1444">
        <w:rPr>
          <w:rFonts w:eastAsiaTheme="minorEastAsia"/>
          <w:color w:val="auto"/>
          <w:lang w:eastAsia="zh-CN"/>
        </w:rPr>
        <w:t xml:space="preserve"> </w:t>
      </w:r>
      <w:r w:rsidRPr="00FC1444">
        <w:rPr>
          <w:rFonts w:eastAsiaTheme="minorEastAsia"/>
          <w:color w:val="auto"/>
          <w:lang w:eastAsia="zh-CN"/>
        </w:rPr>
        <w:lastRenderedPageBreak/>
        <w:t>20m×20m</w:t>
      </w:r>
      <w:r w:rsidRPr="00FC1444">
        <w:rPr>
          <w:rFonts w:eastAsiaTheme="minorEastAsia"/>
          <w:color w:val="auto"/>
          <w:lang w:eastAsia="zh-CN"/>
        </w:rPr>
        <w:t>、灌木群落</w:t>
      </w:r>
      <w:r w:rsidRPr="00FC1444">
        <w:rPr>
          <w:rFonts w:eastAsiaTheme="minorEastAsia"/>
          <w:color w:val="auto"/>
          <w:lang w:eastAsia="zh-CN"/>
        </w:rPr>
        <w:t>5m×5m</w:t>
      </w:r>
      <w:r w:rsidRPr="00FC1444">
        <w:rPr>
          <w:rFonts w:eastAsiaTheme="minorEastAsia"/>
          <w:color w:val="auto"/>
          <w:lang w:eastAsia="zh-CN"/>
        </w:rPr>
        <w:t>、草本群落</w:t>
      </w:r>
      <w:r w:rsidRPr="00FC1444">
        <w:rPr>
          <w:rFonts w:eastAsiaTheme="minorEastAsia"/>
          <w:color w:val="auto"/>
          <w:lang w:eastAsia="zh-CN"/>
        </w:rPr>
        <w:t>1m×lm</w:t>
      </w:r>
      <w:r w:rsidRPr="00FC1444">
        <w:rPr>
          <w:rFonts w:eastAsiaTheme="minorEastAsia"/>
          <w:color w:val="auto"/>
          <w:lang w:eastAsia="zh-CN"/>
        </w:rPr>
        <w:t>。主要在重点调查范围内采集样方。样方数量视群落面积大小而定，一般取</w:t>
      </w:r>
      <w:r w:rsidRPr="00FC1444">
        <w:rPr>
          <w:rFonts w:eastAsiaTheme="minorEastAsia"/>
          <w:color w:val="auto"/>
          <w:lang w:eastAsia="zh-CN"/>
        </w:rPr>
        <w:t>3~5</w:t>
      </w:r>
      <w:r w:rsidRPr="00FC1444">
        <w:rPr>
          <w:rFonts w:eastAsiaTheme="minorEastAsia"/>
          <w:color w:val="auto"/>
          <w:lang w:eastAsia="zh-CN"/>
        </w:rPr>
        <w:t>个样方。</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ascii="宋体" w:hAnsi="宋体" w:cs="宋体" w:hint="eastAsia"/>
          <w:snapToGrid w:val="0"/>
          <w:kern w:val="0"/>
          <w:sz w:val="24"/>
        </w:rPr>
        <w:t>②</w:t>
      </w:r>
      <w:r w:rsidRPr="00FC1444">
        <w:rPr>
          <w:rFonts w:eastAsiaTheme="minorEastAsia"/>
          <w:snapToGrid w:val="0"/>
          <w:kern w:val="0"/>
          <w:sz w:val="24"/>
        </w:rPr>
        <w:t>植物多样性：调查区域内的主要植物资源及其分布特点。</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ascii="宋体" w:hAnsi="宋体" w:cs="宋体" w:hint="eastAsia"/>
          <w:snapToGrid w:val="0"/>
          <w:kern w:val="0"/>
          <w:sz w:val="24"/>
        </w:rPr>
        <w:t>③</w:t>
      </w:r>
      <w:r w:rsidRPr="00FC1444">
        <w:rPr>
          <w:rFonts w:eastAsiaTheme="minorEastAsia"/>
          <w:snapToGrid w:val="0"/>
          <w:kern w:val="0"/>
          <w:sz w:val="24"/>
        </w:rPr>
        <w:t>土地利用现状：根据遥感卫星影像判读植被类型和土地利用类型，结合现场调查结果进行核实。</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3</w:t>
      </w:r>
      <w:r w:rsidRPr="00FC1444">
        <w:rPr>
          <w:rFonts w:eastAsiaTheme="minorEastAsia"/>
          <w:snapToGrid w:val="0"/>
          <w:kern w:val="0"/>
          <w:sz w:val="24"/>
        </w:rPr>
        <w:t>）动物监测</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两栖类和爬行类样方：采用抓捕法、陷阱法、访问法调查两栖类和爬行类动物种类、数量、分布特征等。</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小型兽类样方：采用夹日法、夹夜法、陷阱法调查小型兽类动物种类、数量、分布特征等。</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鸟类样方：采用样线法和样点法、同时针对鸡形目鸟类采用社区访问法调查鸟类种类、数量、分布特征等。</w:t>
      </w:r>
    </w:p>
    <w:p w:rsidR="002A5A5E" w:rsidRPr="00FC1444" w:rsidRDefault="00611CBA">
      <w:pPr>
        <w:autoSpaceDE w:val="0"/>
        <w:autoSpaceDN w:val="0"/>
        <w:spacing w:before="100" w:beforeAutospacing="1" w:after="100" w:afterAutospacing="1"/>
        <w:outlineLvl w:val="3"/>
        <w:rPr>
          <w:rFonts w:eastAsiaTheme="minorEastAsia"/>
          <w:b/>
          <w:bCs/>
          <w:sz w:val="24"/>
        </w:rPr>
      </w:pPr>
      <w:r w:rsidRPr="00FC1444">
        <w:rPr>
          <w:rFonts w:eastAsiaTheme="minorEastAsia"/>
          <w:b/>
          <w:bCs/>
          <w:sz w:val="24"/>
        </w:rPr>
        <w:t>8.2.4.2</w:t>
      </w:r>
      <w:r w:rsidRPr="00FC1444">
        <w:rPr>
          <w:rFonts w:eastAsiaTheme="minorEastAsia"/>
          <w:b/>
          <w:bCs/>
          <w:sz w:val="24"/>
        </w:rPr>
        <w:t>监测内容</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根据《环境影响评价技术导则</w:t>
      </w:r>
      <w:r w:rsidRPr="00FC1444">
        <w:rPr>
          <w:rFonts w:eastAsiaTheme="minorEastAsia"/>
          <w:snapToGrid w:val="0"/>
          <w:kern w:val="0"/>
          <w:sz w:val="24"/>
        </w:rPr>
        <w:t xml:space="preserve"> </w:t>
      </w:r>
      <w:r w:rsidRPr="00FC1444">
        <w:rPr>
          <w:rFonts w:eastAsiaTheme="minorEastAsia"/>
          <w:snapToGrid w:val="0"/>
          <w:kern w:val="0"/>
          <w:sz w:val="24"/>
        </w:rPr>
        <w:t>生态影响》</w:t>
      </w:r>
      <w:r w:rsidRPr="00FC1444">
        <w:rPr>
          <w:rFonts w:eastAsiaTheme="minorEastAsia"/>
          <w:snapToGrid w:val="0"/>
          <w:kern w:val="0"/>
          <w:sz w:val="24"/>
        </w:rPr>
        <w:t>(HJ19-2022)</w:t>
      </w:r>
      <w:r w:rsidRPr="00FC1444">
        <w:rPr>
          <w:rFonts w:eastAsiaTheme="minorEastAsia"/>
          <w:snapToGrid w:val="0"/>
          <w:kern w:val="0"/>
          <w:sz w:val="24"/>
        </w:rPr>
        <w:t>制定生态检测计划，见下表。施工期重点监测施工活动干扰下生态保护目标的受影响状况，植物群落变化、重要物种的活动、分布变化、生境质量变化等；运行期重点监测对生态保护目标的实际影响、生态保护对策措施的有效性以及生态修复效果等。</w:t>
      </w:r>
    </w:p>
    <w:p w:rsidR="002A5A5E" w:rsidRPr="00FC1444" w:rsidRDefault="002A5A5E">
      <w:pPr>
        <w:spacing w:line="360" w:lineRule="auto"/>
        <w:ind w:firstLineChars="200" w:firstLine="480"/>
        <w:contextualSpacing/>
        <w:rPr>
          <w:rFonts w:eastAsiaTheme="minorEastAsia"/>
          <w:snapToGrid w:val="0"/>
          <w:kern w:val="0"/>
          <w:sz w:val="24"/>
        </w:rPr>
      </w:pPr>
    </w:p>
    <w:p w:rsidR="002A5A5E" w:rsidRPr="00FC1444" w:rsidRDefault="002A5A5E">
      <w:pPr>
        <w:spacing w:line="360" w:lineRule="auto"/>
        <w:ind w:firstLineChars="200" w:firstLine="480"/>
        <w:contextualSpacing/>
        <w:rPr>
          <w:rFonts w:eastAsiaTheme="minorEastAsia"/>
          <w:snapToGrid w:val="0"/>
          <w:kern w:val="0"/>
          <w:sz w:val="24"/>
        </w:rPr>
      </w:pPr>
    </w:p>
    <w:p w:rsidR="002D7E70" w:rsidRPr="00FC1444" w:rsidRDefault="002D7E70">
      <w:pPr>
        <w:spacing w:line="360" w:lineRule="auto"/>
        <w:ind w:firstLineChars="200" w:firstLine="480"/>
        <w:contextualSpacing/>
        <w:rPr>
          <w:rFonts w:eastAsiaTheme="minorEastAsia"/>
          <w:snapToGrid w:val="0"/>
          <w:kern w:val="0"/>
          <w:sz w:val="24"/>
        </w:rPr>
      </w:pPr>
    </w:p>
    <w:p w:rsidR="002D7E70" w:rsidRPr="00FC1444" w:rsidRDefault="002D7E70">
      <w:pPr>
        <w:spacing w:line="360" w:lineRule="auto"/>
        <w:ind w:firstLineChars="200" w:firstLine="480"/>
        <w:contextualSpacing/>
        <w:rPr>
          <w:rFonts w:eastAsiaTheme="minorEastAsia"/>
          <w:snapToGrid w:val="0"/>
          <w:kern w:val="0"/>
          <w:sz w:val="24"/>
        </w:rPr>
      </w:pPr>
    </w:p>
    <w:p w:rsidR="002D7E70" w:rsidRPr="00FC1444" w:rsidRDefault="002D7E70">
      <w:pPr>
        <w:spacing w:line="360" w:lineRule="auto"/>
        <w:ind w:firstLineChars="200" w:firstLine="480"/>
        <w:contextualSpacing/>
        <w:rPr>
          <w:rFonts w:eastAsiaTheme="minorEastAsia"/>
          <w:snapToGrid w:val="0"/>
          <w:kern w:val="0"/>
          <w:sz w:val="24"/>
        </w:rPr>
      </w:pPr>
    </w:p>
    <w:p w:rsidR="002D7E70" w:rsidRPr="00FC1444" w:rsidRDefault="002D7E70">
      <w:pPr>
        <w:spacing w:line="360" w:lineRule="auto"/>
        <w:ind w:firstLineChars="200" w:firstLine="480"/>
        <w:contextualSpacing/>
        <w:rPr>
          <w:rFonts w:eastAsiaTheme="minorEastAsia"/>
          <w:snapToGrid w:val="0"/>
          <w:kern w:val="0"/>
          <w:sz w:val="24"/>
        </w:rPr>
      </w:pPr>
    </w:p>
    <w:p w:rsidR="002D7E70" w:rsidRPr="00FC1444" w:rsidRDefault="002D7E70">
      <w:pPr>
        <w:spacing w:line="360" w:lineRule="auto"/>
        <w:ind w:firstLineChars="200" w:firstLine="480"/>
        <w:contextualSpacing/>
        <w:rPr>
          <w:rFonts w:eastAsiaTheme="minorEastAsia"/>
          <w:snapToGrid w:val="0"/>
          <w:kern w:val="0"/>
          <w:sz w:val="24"/>
        </w:rPr>
      </w:pPr>
    </w:p>
    <w:p w:rsidR="002A5A5E" w:rsidRPr="00FC1444" w:rsidRDefault="002A5A5E">
      <w:pPr>
        <w:spacing w:line="360" w:lineRule="auto"/>
        <w:ind w:firstLineChars="200" w:firstLine="480"/>
        <w:contextualSpacing/>
        <w:rPr>
          <w:rFonts w:eastAsiaTheme="minorEastAsia"/>
          <w:snapToGrid w:val="0"/>
          <w:kern w:val="0"/>
          <w:sz w:val="24"/>
        </w:rPr>
      </w:pPr>
    </w:p>
    <w:p w:rsidR="002A5A5E" w:rsidRPr="00FC1444" w:rsidRDefault="002A5A5E">
      <w:pPr>
        <w:spacing w:line="360" w:lineRule="auto"/>
        <w:ind w:firstLineChars="200" w:firstLine="480"/>
        <w:contextualSpacing/>
        <w:rPr>
          <w:rFonts w:eastAsiaTheme="minorEastAsia"/>
          <w:snapToGrid w:val="0"/>
          <w:kern w:val="0"/>
          <w:sz w:val="24"/>
        </w:rPr>
      </w:pPr>
    </w:p>
    <w:p w:rsidR="002A5A5E" w:rsidRPr="00FC1444" w:rsidRDefault="002A5A5E">
      <w:pPr>
        <w:spacing w:line="360" w:lineRule="auto"/>
        <w:ind w:firstLineChars="200" w:firstLine="480"/>
        <w:contextualSpacing/>
        <w:rPr>
          <w:rFonts w:eastAsiaTheme="minorEastAsia"/>
          <w:snapToGrid w:val="0"/>
          <w:kern w:val="0"/>
          <w:sz w:val="24"/>
        </w:rPr>
      </w:pPr>
    </w:p>
    <w:p w:rsidR="002A5A5E" w:rsidRPr="00FC1444" w:rsidRDefault="002A5A5E">
      <w:pPr>
        <w:spacing w:line="360" w:lineRule="auto"/>
        <w:ind w:firstLineChars="200" w:firstLine="480"/>
        <w:contextualSpacing/>
        <w:rPr>
          <w:rFonts w:eastAsiaTheme="minorEastAsia"/>
          <w:snapToGrid w:val="0"/>
          <w:kern w:val="0"/>
          <w:sz w:val="24"/>
        </w:rPr>
      </w:pPr>
    </w:p>
    <w:p w:rsidR="002A5A5E" w:rsidRPr="00FC1444" w:rsidRDefault="00611CBA">
      <w:pPr>
        <w:contextualSpacing/>
        <w:jc w:val="center"/>
        <w:rPr>
          <w:rFonts w:eastAsiaTheme="minorEastAsia"/>
          <w:b/>
          <w:kern w:val="0"/>
          <w:szCs w:val="21"/>
        </w:rPr>
      </w:pPr>
      <w:r w:rsidRPr="00FC1444">
        <w:rPr>
          <w:rFonts w:eastAsiaTheme="minorEastAsia"/>
          <w:b/>
          <w:kern w:val="0"/>
          <w:szCs w:val="21"/>
        </w:rPr>
        <w:lastRenderedPageBreak/>
        <w:t>表</w:t>
      </w:r>
      <w:r w:rsidRPr="00FC1444">
        <w:rPr>
          <w:rFonts w:eastAsiaTheme="minorEastAsia"/>
          <w:b/>
          <w:kern w:val="0"/>
          <w:szCs w:val="21"/>
        </w:rPr>
        <w:t>8-2-3</w:t>
      </w:r>
      <w:r w:rsidRPr="00FC1444">
        <w:rPr>
          <w:rFonts w:eastAsiaTheme="minorEastAsia"/>
          <w:b/>
          <w:kern w:val="0"/>
          <w:szCs w:val="21"/>
        </w:rPr>
        <w:t>生态监测一览表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585"/>
        <w:gridCol w:w="1220"/>
        <w:gridCol w:w="2604"/>
        <w:gridCol w:w="841"/>
        <w:gridCol w:w="1521"/>
        <w:gridCol w:w="1757"/>
      </w:tblGrid>
      <w:tr w:rsidR="002A5A5E" w:rsidRPr="00FC1444">
        <w:trPr>
          <w:trHeight w:val="186"/>
          <w:jc w:val="center"/>
        </w:trPr>
        <w:tc>
          <w:tcPr>
            <w:tcW w:w="343"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时期</w:t>
            </w:r>
          </w:p>
        </w:tc>
        <w:tc>
          <w:tcPr>
            <w:tcW w:w="715"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受影响对象</w:t>
            </w:r>
          </w:p>
        </w:tc>
        <w:tc>
          <w:tcPr>
            <w:tcW w:w="1527"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监测因子</w:t>
            </w:r>
          </w:p>
        </w:tc>
        <w:tc>
          <w:tcPr>
            <w:tcW w:w="493"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监测方法</w:t>
            </w:r>
          </w:p>
        </w:tc>
        <w:tc>
          <w:tcPr>
            <w:tcW w:w="892"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监测点位</w:t>
            </w:r>
          </w:p>
        </w:tc>
        <w:tc>
          <w:tcPr>
            <w:tcW w:w="1030"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监测频次</w:t>
            </w:r>
          </w:p>
        </w:tc>
      </w:tr>
      <w:tr w:rsidR="002A5A5E" w:rsidRPr="00FC1444">
        <w:trPr>
          <w:trHeight w:val="2199"/>
          <w:jc w:val="center"/>
        </w:trPr>
        <w:tc>
          <w:tcPr>
            <w:tcW w:w="343"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施工期</w:t>
            </w:r>
          </w:p>
        </w:tc>
        <w:tc>
          <w:tcPr>
            <w:tcW w:w="2242" w:type="pct"/>
            <w:gridSpan w:val="2"/>
            <w:vAlign w:val="center"/>
          </w:tcPr>
          <w:p w:rsidR="002A5A5E" w:rsidRPr="00FC1444" w:rsidRDefault="00611CBA">
            <w:pPr>
              <w:widowControl/>
              <w:autoSpaceDE w:val="0"/>
              <w:autoSpaceDN w:val="0"/>
              <w:adjustRightInd w:val="0"/>
              <w:snapToGrid w:val="0"/>
              <w:jc w:val="center"/>
              <w:textAlignment w:val="baseline"/>
              <w:rPr>
                <w:rFonts w:eastAsiaTheme="minorEastAsia"/>
                <w:snapToGrid w:val="0"/>
                <w:kern w:val="0"/>
                <w:szCs w:val="15"/>
              </w:rPr>
            </w:pPr>
            <w:r w:rsidRPr="00FC1444">
              <w:rPr>
                <w:rFonts w:eastAsiaTheme="minorEastAsia"/>
                <w:snapToGrid w:val="0"/>
                <w:kern w:val="0"/>
                <w:szCs w:val="15"/>
              </w:rPr>
              <w:t>植物监测：陆生植物的群落组成、</w:t>
            </w:r>
            <w:r w:rsidRPr="00FC1444">
              <w:rPr>
                <w:rFonts w:eastAsiaTheme="minorEastAsia"/>
                <w:snapToGrid w:val="0"/>
                <w:kern w:val="0"/>
                <w:szCs w:val="15"/>
              </w:rPr>
              <w:t xml:space="preserve"> </w:t>
            </w:r>
            <w:r w:rsidRPr="00FC1444">
              <w:rPr>
                <w:rFonts w:eastAsiaTheme="minorEastAsia"/>
                <w:snapToGrid w:val="0"/>
                <w:kern w:val="0"/>
                <w:szCs w:val="15"/>
              </w:rPr>
              <w:t>种群密度、覆盖度、外来种、重点保护野生植物、生物多样性和生境质量的变化；</w:t>
            </w:r>
          </w:p>
          <w:p w:rsidR="002A5A5E" w:rsidRPr="00FC1444" w:rsidRDefault="00611CBA">
            <w:pPr>
              <w:spacing w:line="0" w:lineRule="atLeast"/>
              <w:contextualSpacing/>
              <w:jc w:val="center"/>
              <w:rPr>
                <w:rFonts w:eastAsiaTheme="minorEastAsia"/>
                <w:szCs w:val="21"/>
              </w:rPr>
            </w:pPr>
            <w:r w:rsidRPr="00FC1444">
              <w:rPr>
                <w:rFonts w:eastAsiaTheme="minorEastAsia"/>
                <w:snapToGrid w:val="0"/>
                <w:kern w:val="0"/>
                <w:szCs w:val="15"/>
              </w:rPr>
              <w:t>动物监测：陆生动物的种类、分布、密度和季节动态变化</w:t>
            </w:r>
          </w:p>
        </w:tc>
        <w:tc>
          <w:tcPr>
            <w:tcW w:w="493" w:type="pct"/>
            <w:vMerge w:val="restar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rPr>
              <w:t>对植被进行样方调查，同时对周边爬行类两栖类及鸟类等野生动物进行观测记录</w:t>
            </w:r>
          </w:p>
        </w:tc>
        <w:tc>
          <w:tcPr>
            <w:tcW w:w="892"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选取距离饮用水源地周围较近的代表性施工场地</w:t>
            </w:r>
            <w:r w:rsidRPr="00FC1444">
              <w:rPr>
                <w:rFonts w:eastAsiaTheme="minorEastAsia"/>
                <w:szCs w:val="21"/>
              </w:rPr>
              <w:t>3</w:t>
            </w:r>
            <w:r w:rsidRPr="00FC1444">
              <w:rPr>
                <w:rFonts w:eastAsiaTheme="minorEastAsia"/>
                <w:szCs w:val="21"/>
              </w:rPr>
              <w:t>处</w:t>
            </w:r>
            <w:r w:rsidRPr="00FC1444">
              <w:rPr>
                <w:rFonts w:eastAsiaTheme="minorEastAsia"/>
                <w:kern w:val="0"/>
                <w:szCs w:val="15"/>
              </w:rPr>
              <w:t>；永久基本农田</w:t>
            </w:r>
            <w:r w:rsidRPr="00FC1444">
              <w:rPr>
                <w:rFonts w:eastAsiaTheme="minorEastAsia"/>
                <w:szCs w:val="21"/>
              </w:rPr>
              <w:t>1</w:t>
            </w:r>
            <w:r w:rsidRPr="00FC1444">
              <w:rPr>
                <w:rFonts w:eastAsiaTheme="minorEastAsia"/>
                <w:szCs w:val="21"/>
              </w:rPr>
              <w:t>处</w:t>
            </w:r>
            <w:r w:rsidRPr="00FC1444">
              <w:rPr>
                <w:rFonts w:eastAsiaTheme="minorEastAsia"/>
                <w:kern w:val="0"/>
                <w:szCs w:val="15"/>
              </w:rPr>
              <w:t>；黑土地</w:t>
            </w:r>
            <w:r w:rsidRPr="00FC1444">
              <w:rPr>
                <w:rFonts w:eastAsiaTheme="minorEastAsia"/>
                <w:szCs w:val="21"/>
              </w:rPr>
              <w:t>1</w:t>
            </w:r>
            <w:r w:rsidRPr="00FC1444">
              <w:rPr>
                <w:rFonts w:eastAsiaTheme="minorEastAsia"/>
                <w:szCs w:val="21"/>
              </w:rPr>
              <w:t>处</w:t>
            </w:r>
          </w:p>
        </w:tc>
        <w:tc>
          <w:tcPr>
            <w:tcW w:w="1030"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施工前</w:t>
            </w:r>
            <w:r w:rsidRPr="00FC1444">
              <w:rPr>
                <w:rFonts w:eastAsiaTheme="minorEastAsia"/>
                <w:szCs w:val="21"/>
              </w:rPr>
              <w:t>/</w:t>
            </w:r>
            <w:r w:rsidRPr="00FC1444">
              <w:rPr>
                <w:rFonts w:eastAsiaTheme="minorEastAsia"/>
                <w:szCs w:val="21"/>
              </w:rPr>
              <w:t>次</w:t>
            </w:r>
          </w:p>
          <w:p w:rsidR="002A5A5E" w:rsidRPr="00FC1444" w:rsidRDefault="00611CBA">
            <w:pPr>
              <w:spacing w:line="0" w:lineRule="atLeast"/>
              <w:contextualSpacing/>
              <w:jc w:val="center"/>
              <w:rPr>
                <w:rFonts w:eastAsiaTheme="minorEastAsia"/>
                <w:szCs w:val="21"/>
              </w:rPr>
            </w:pPr>
            <w:r w:rsidRPr="00FC1444">
              <w:rPr>
                <w:rFonts w:eastAsiaTheme="minorEastAsia"/>
                <w:szCs w:val="21"/>
              </w:rPr>
              <w:t>施工结束后</w:t>
            </w:r>
            <w:r w:rsidRPr="00FC1444">
              <w:rPr>
                <w:rFonts w:eastAsiaTheme="minorEastAsia"/>
                <w:szCs w:val="21"/>
              </w:rPr>
              <w:t>/</w:t>
            </w:r>
            <w:r w:rsidRPr="00FC1444">
              <w:rPr>
                <w:rFonts w:eastAsiaTheme="minorEastAsia"/>
                <w:szCs w:val="21"/>
              </w:rPr>
              <w:t>次</w:t>
            </w:r>
          </w:p>
        </w:tc>
      </w:tr>
      <w:tr w:rsidR="002A5A5E" w:rsidRPr="00FC1444">
        <w:trPr>
          <w:trHeight w:val="2471"/>
          <w:jc w:val="center"/>
        </w:trPr>
        <w:tc>
          <w:tcPr>
            <w:tcW w:w="343" w:type="pct"/>
            <w:vMerge w:val="restar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运营期</w:t>
            </w:r>
          </w:p>
        </w:tc>
        <w:tc>
          <w:tcPr>
            <w:tcW w:w="2242" w:type="pct"/>
            <w:gridSpan w:val="2"/>
            <w:vAlign w:val="center"/>
          </w:tcPr>
          <w:p w:rsidR="002A5A5E" w:rsidRPr="00FC1444" w:rsidRDefault="00611CBA">
            <w:pPr>
              <w:widowControl/>
              <w:autoSpaceDE w:val="0"/>
              <w:autoSpaceDN w:val="0"/>
              <w:adjustRightInd w:val="0"/>
              <w:snapToGrid w:val="0"/>
              <w:jc w:val="center"/>
              <w:textAlignment w:val="baseline"/>
              <w:rPr>
                <w:rFonts w:eastAsiaTheme="minorEastAsia"/>
                <w:snapToGrid w:val="0"/>
                <w:kern w:val="0"/>
                <w:szCs w:val="15"/>
              </w:rPr>
            </w:pPr>
            <w:r w:rsidRPr="00FC1444">
              <w:rPr>
                <w:rFonts w:eastAsiaTheme="minorEastAsia"/>
                <w:snapToGrid w:val="0"/>
                <w:kern w:val="0"/>
                <w:szCs w:val="15"/>
              </w:rPr>
              <w:t>植物监测：陆生植物的群落组成、</w:t>
            </w:r>
            <w:r w:rsidRPr="00FC1444">
              <w:rPr>
                <w:rFonts w:eastAsiaTheme="minorEastAsia"/>
                <w:snapToGrid w:val="0"/>
                <w:kern w:val="0"/>
                <w:szCs w:val="15"/>
              </w:rPr>
              <w:t xml:space="preserve"> </w:t>
            </w:r>
            <w:r w:rsidRPr="00FC1444">
              <w:rPr>
                <w:rFonts w:eastAsiaTheme="minorEastAsia"/>
                <w:snapToGrid w:val="0"/>
                <w:kern w:val="0"/>
                <w:szCs w:val="15"/>
              </w:rPr>
              <w:t>种群密度、覆盖度、外来种、重点保护野生植物、生物多样性和生境质量的变化；</w:t>
            </w:r>
          </w:p>
          <w:p w:rsidR="002A5A5E" w:rsidRPr="00FC1444" w:rsidRDefault="00611CBA">
            <w:pPr>
              <w:widowControl/>
              <w:autoSpaceDE w:val="0"/>
              <w:autoSpaceDN w:val="0"/>
              <w:adjustRightInd w:val="0"/>
              <w:snapToGrid w:val="0"/>
              <w:jc w:val="center"/>
              <w:textAlignment w:val="baseline"/>
              <w:rPr>
                <w:rFonts w:eastAsiaTheme="minorEastAsia"/>
                <w:snapToGrid w:val="0"/>
                <w:kern w:val="0"/>
                <w:szCs w:val="15"/>
              </w:rPr>
            </w:pPr>
            <w:r w:rsidRPr="00FC1444">
              <w:rPr>
                <w:rFonts w:eastAsiaTheme="minorEastAsia"/>
                <w:snapToGrid w:val="0"/>
                <w:kern w:val="0"/>
                <w:szCs w:val="15"/>
              </w:rPr>
              <w:t>动物监测：陆生动物的种类、分布、密度和季节动态变化</w:t>
            </w:r>
          </w:p>
          <w:p w:rsidR="002A5A5E" w:rsidRPr="00FC1444" w:rsidRDefault="00611CBA">
            <w:pPr>
              <w:widowControl/>
              <w:autoSpaceDE w:val="0"/>
              <w:autoSpaceDN w:val="0"/>
              <w:adjustRightInd w:val="0"/>
              <w:snapToGrid w:val="0"/>
              <w:jc w:val="center"/>
              <w:textAlignment w:val="baseline"/>
              <w:rPr>
                <w:rFonts w:eastAsiaTheme="minorEastAsia"/>
                <w:szCs w:val="21"/>
              </w:rPr>
            </w:pPr>
            <w:r w:rsidRPr="00FC1444">
              <w:rPr>
                <w:rFonts w:eastAsiaTheme="minorEastAsia"/>
                <w:snapToGrid w:val="0"/>
                <w:kern w:val="0"/>
                <w:szCs w:val="15"/>
              </w:rPr>
              <w:t>生态保护措施：避让、减缓、恢复措施的有效性</w:t>
            </w:r>
          </w:p>
        </w:tc>
        <w:tc>
          <w:tcPr>
            <w:tcW w:w="493" w:type="pct"/>
            <w:vMerge/>
            <w:vAlign w:val="center"/>
          </w:tcPr>
          <w:p w:rsidR="002A5A5E" w:rsidRPr="00FC1444" w:rsidRDefault="002A5A5E">
            <w:pPr>
              <w:spacing w:line="0" w:lineRule="atLeast"/>
              <w:contextualSpacing/>
              <w:jc w:val="center"/>
              <w:rPr>
                <w:rFonts w:eastAsiaTheme="minorEastAsia"/>
                <w:szCs w:val="21"/>
              </w:rPr>
            </w:pPr>
          </w:p>
        </w:tc>
        <w:tc>
          <w:tcPr>
            <w:tcW w:w="892"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选取距离饮用水源地周围较近的代表性灌溉井附近</w:t>
            </w:r>
            <w:r w:rsidRPr="00FC1444">
              <w:rPr>
                <w:rFonts w:eastAsiaTheme="minorEastAsia"/>
                <w:szCs w:val="21"/>
              </w:rPr>
              <w:t>3</w:t>
            </w:r>
            <w:r w:rsidRPr="00FC1444">
              <w:rPr>
                <w:rFonts w:eastAsiaTheme="minorEastAsia"/>
                <w:szCs w:val="21"/>
              </w:rPr>
              <w:t>处</w:t>
            </w:r>
            <w:r w:rsidRPr="00FC1444">
              <w:rPr>
                <w:rFonts w:eastAsiaTheme="minorEastAsia"/>
                <w:kern w:val="0"/>
                <w:szCs w:val="15"/>
              </w:rPr>
              <w:t>；永久基本农田</w:t>
            </w:r>
            <w:r w:rsidRPr="00FC1444">
              <w:rPr>
                <w:rFonts w:eastAsiaTheme="minorEastAsia"/>
                <w:szCs w:val="21"/>
              </w:rPr>
              <w:t>1</w:t>
            </w:r>
            <w:r w:rsidRPr="00FC1444">
              <w:rPr>
                <w:rFonts w:eastAsiaTheme="minorEastAsia"/>
                <w:szCs w:val="21"/>
              </w:rPr>
              <w:t>处</w:t>
            </w:r>
            <w:r w:rsidRPr="00FC1444">
              <w:rPr>
                <w:rFonts w:eastAsiaTheme="minorEastAsia"/>
                <w:kern w:val="0"/>
                <w:szCs w:val="15"/>
              </w:rPr>
              <w:t>；黑土地</w:t>
            </w:r>
            <w:r w:rsidRPr="00FC1444">
              <w:rPr>
                <w:rFonts w:eastAsiaTheme="minorEastAsia"/>
                <w:szCs w:val="21"/>
              </w:rPr>
              <w:t>1</w:t>
            </w:r>
            <w:r w:rsidRPr="00FC1444">
              <w:rPr>
                <w:rFonts w:eastAsiaTheme="minorEastAsia"/>
                <w:szCs w:val="21"/>
              </w:rPr>
              <w:t>处</w:t>
            </w:r>
          </w:p>
        </w:tc>
        <w:tc>
          <w:tcPr>
            <w:tcW w:w="1030"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1</w:t>
            </w:r>
            <w:r w:rsidRPr="00FC1444">
              <w:rPr>
                <w:rFonts w:eastAsiaTheme="minorEastAsia"/>
                <w:szCs w:val="21"/>
              </w:rPr>
              <w:t>次</w:t>
            </w:r>
            <w:r w:rsidRPr="00FC1444">
              <w:rPr>
                <w:rFonts w:eastAsiaTheme="minorEastAsia"/>
                <w:szCs w:val="21"/>
              </w:rPr>
              <w:t>/</w:t>
            </w:r>
            <w:r w:rsidRPr="00FC1444">
              <w:rPr>
                <w:rFonts w:eastAsiaTheme="minorEastAsia"/>
                <w:szCs w:val="21"/>
              </w:rPr>
              <w:t>年</w:t>
            </w:r>
          </w:p>
        </w:tc>
      </w:tr>
      <w:tr w:rsidR="002A5A5E" w:rsidRPr="00FC1444">
        <w:trPr>
          <w:trHeight w:val="170"/>
          <w:jc w:val="center"/>
        </w:trPr>
        <w:tc>
          <w:tcPr>
            <w:tcW w:w="343" w:type="pct"/>
            <w:vMerge/>
            <w:vAlign w:val="center"/>
          </w:tcPr>
          <w:p w:rsidR="002A5A5E" w:rsidRPr="00FC1444" w:rsidRDefault="002A5A5E">
            <w:pPr>
              <w:spacing w:line="0" w:lineRule="atLeast"/>
              <w:contextualSpacing/>
              <w:jc w:val="center"/>
              <w:rPr>
                <w:rFonts w:eastAsiaTheme="minorEastAsia"/>
                <w:szCs w:val="21"/>
              </w:rPr>
            </w:pPr>
          </w:p>
        </w:tc>
        <w:tc>
          <w:tcPr>
            <w:tcW w:w="715"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饮用水源地</w:t>
            </w:r>
          </w:p>
        </w:tc>
        <w:tc>
          <w:tcPr>
            <w:tcW w:w="1527"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水位</w:t>
            </w:r>
          </w:p>
        </w:tc>
        <w:tc>
          <w:tcPr>
            <w:tcW w:w="493" w:type="pct"/>
            <w:vMerge/>
            <w:vAlign w:val="center"/>
          </w:tcPr>
          <w:p w:rsidR="002A5A5E" w:rsidRPr="00FC1444" w:rsidRDefault="002A5A5E">
            <w:pPr>
              <w:spacing w:line="0" w:lineRule="atLeast"/>
              <w:contextualSpacing/>
              <w:jc w:val="center"/>
              <w:rPr>
                <w:rFonts w:eastAsiaTheme="minorEastAsia"/>
                <w:szCs w:val="21"/>
              </w:rPr>
            </w:pPr>
          </w:p>
        </w:tc>
        <w:tc>
          <w:tcPr>
            <w:tcW w:w="892"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选取饮用水源地</w:t>
            </w:r>
            <w:r w:rsidRPr="00FC1444">
              <w:rPr>
                <w:rFonts w:eastAsiaTheme="minorEastAsia"/>
                <w:szCs w:val="21"/>
              </w:rPr>
              <w:t>3</w:t>
            </w:r>
            <w:r w:rsidRPr="00FC1444">
              <w:rPr>
                <w:rFonts w:eastAsiaTheme="minorEastAsia"/>
                <w:szCs w:val="21"/>
              </w:rPr>
              <w:t>处</w:t>
            </w:r>
          </w:p>
        </w:tc>
        <w:tc>
          <w:tcPr>
            <w:tcW w:w="1030" w:type="pc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1</w:t>
            </w:r>
            <w:r w:rsidRPr="00FC1444">
              <w:rPr>
                <w:rFonts w:eastAsiaTheme="minorEastAsia"/>
                <w:szCs w:val="21"/>
              </w:rPr>
              <w:t>次</w:t>
            </w:r>
            <w:r w:rsidRPr="00FC1444">
              <w:rPr>
                <w:rFonts w:eastAsiaTheme="minorEastAsia"/>
                <w:szCs w:val="21"/>
              </w:rPr>
              <w:t>/</w:t>
            </w:r>
            <w:r w:rsidRPr="00FC1444">
              <w:rPr>
                <w:rFonts w:eastAsiaTheme="minorEastAsia"/>
                <w:szCs w:val="21"/>
              </w:rPr>
              <w:t>年</w:t>
            </w:r>
          </w:p>
        </w:tc>
      </w:tr>
      <w:tr w:rsidR="002A5A5E" w:rsidRPr="00FC1444">
        <w:trPr>
          <w:trHeight w:val="170"/>
          <w:jc w:val="center"/>
        </w:trPr>
        <w:tc>
          <w:tcPr>
            <w:tcW w:w="343" w:type="pct"/>
            <w:vMerge w:val="restar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bCs/>
                <w:szCs w:val="21"/>
                <w:lang w:bidi="en-US"/>
              </w:rPr>
              <w:t>复垦植被恢复后</w:t>
            </w:r>
          </w:p>
        </w:tc>
        <w:tc>
          <w:tcPr>
            <w:tcW w:w="2242" w:type="pct"/>
            <w:gridSpan w:val="2"/>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土壤肥力</w:t>
            </w:r>
          </w:p>
        </w:tc>
        <w:tc>
          <w:tcPr>
            <w:tcW w:w="493" w:type="pct"/>
            <w:vMerge/>
            <w:vAlign w:val="center"/>
          </w:tcPr>
          <w:p w:rsidR="002A5A5E" w:rsidRPr="00FC1444" w:rsidRDefault="002A5A5E">
            <w:pPr>
              <w:spacing w:line="0" w:lineRule="atLeast"/>
              <w:contextualSpacing/>
              <w:jc w:val="center"/>
              <w:rPr>
                <w:rFonts w:eastAsiaTheme="minorEastAsia"/>
                <w:szCs w:val="21"/>
              </w:rPr>
            </w:pPr>
          </w:p>
        </w:tc>
        <w:tc>
          <w:tcPr>
            <w:tcW w:w="892" w:type="pct"/>
            <w:vMerge w:val="restar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选取</w:t>
            </w:r>
            <w:r w:rsidRPr="00FC1444">
              <w:rPr>
                <w:rFonts w:eastAsiaTheme="minorEastAsia"/>
                <w:szCs w:val="21"/>
              </w:rPr>
              <w:t>3</w:t>
            </w:r>
            <w:r w:rsidRPr="00FC1444">
              <w:rPr>
                <w:rFonts w:eastAsiaTheme="minorEastAsia"/>
                <w:szCs w:val="21"/>
              </w:rPr>
              <w:t>处代表性土地复垦地块</w:t>
            </w:r>
          </w:p>
        </w:tc>
        <w:tc>
          <w:tcPr>
            <w:tcW w:w="1030" w:type="pct"/>
            <w:vMerge w:val="restart"/>
            <w:vAlign w:val="center"/>
          </w:tcPr>
          <w:p w:rsidR="002A5A5E" w:rsidRPr="00FC1444" w:rsidRDefault="00611CBA">
            <w:pPr>
              <w:spacing w:line="0" w:lineRule="atLeast"/>
              <w:contextualSpacing/>
              <w:jc w:val="center"/>
              <w:rPr>
                <w:rFonts w:eastAsiaTheme="minorEastAsia"/>
                <w:szCs w:val="21"/>
              </w:rPr>
            </w:pPr>
            <w:r w:rsidRPr="00FC1444">
              <w:rPr>
                <w:rFonts w:eastAsiaTheme="minorEastAsia"/>
                <w:szCs w:val="21"/>
              </w:rPr>
              <w:t>1</w:t>
            </w:r>
            <w:r w:rsidRPr="00FC1444">
              <w:rPr>
                <w:rFonts w:eastAsiaTheme="minorEastAsia"/>
                <w:szCs w:val="21"/>
              </w:rPr>
              <w:t>次</w:t>
            </w:r>
            <w:r w:rsidRPr="00FC1444">
              <w:rPr>
                <w:rFonts w:eastAsiaTheme="minorEastAsia"/>
                <w:szCs w:val="21"/>
              </w:rPr>
              <w:t>/</w:t>
            </w:r>
            <w:r w:rsidRPr="00FC1444">
              <w:rPr>
                <w:rFonts w:eastAsiaTheme="minorEastAsia"/>
                <w:szCs w:val="21"/>
              </w:rPr>
              <w:t>年</w:t>
            </w:r>
          </w:p>
        </w:tc>
      </w:tr>
      <w:tr w:rsidR="002A5A5E" w:rsidRPr="00FC1444">
        <w:trPr>
          <w:trHeight w:val="170"/>
          <w:jc w:val="center"/>
        </w:trPr>
        <w:tc>
          <w:tcPr>
            <w:tcW w:w="343" w:type="pct"/>
            <w:vMerge/>
            <w:vAlign w:val="center"/>
          </w:tcPr>
          <w:p w:rsidR="002A5A5E" w:rsidRPr="00FC1444" w:rsidRDefault="002A5A5E">
            <w:pPr>
              <w:spacing w:line="0" w:lineRule="atLeast"/>
              <w:contextualSpacing/>
              <w:jc w:val="center"/>
              <w:rPr>
                <w:rFonts w:eastAsiaTheme="minorEastAsia"/>
                <w:szCs w:val="21"/>
              </w:rPr>
            </w:pPr>
          </w:p>
        </w:tc>
        <w:tc>
          <w:tcPr>
            <w:tcW w:w="2242" w:type="pct"/>
            <w:gridSpan w:val="2"/>
            <w:vAlign w:val="center"/>
          </w:tcPr>
          <w:p w:rsidR="002A5A5E" w:rsidRPr="00FC1444" w:rsidRDefault="00611CBA">
            <w:pPr>
              <w:pStyle w:val="affff2"/>
              <w:adjustRightInd/>
              <w:snapToGrid/>
              <w:spacing w:before="48" w:line="0" w:lineRule="atLeast"/>
              <w:ind w:firstLineChars="0" w:firstLine="0"/>
              <w:rPr>
                <w:rFonts w:ascii="Times New Roman" w:eastAsiaTheme="minorEastAsia" w:hAnsi="Times New Roman"/>
                <w:color w:val="auto"/>
                <w:sz w:val="21"/>
                <w:szCs w:val="21"/>
              </w:rPr>
            </w:pPr>
            <w:r w:rsidRPr="00FC1444">
              <w:rPr>
                <w:rFonts w:ascii="Times New Roman" w:eastAsiaTheme="minorEastAsia" w:hAnsi="Times New Roman"/>
                <w:color w:val="auto"/>
                <w:sz w:val="21"/>
                <w:szCs w:val="21"/>
              </w:rPr>
              <w:t>植物生长势</w:t>
            </w:r>
          </w:p>
        </w:tc>
        <w:tc>
          <w:tcPr>
            <w:tcW w:w="493" w:type="pct"/>
            <w:vMerge/>
            <w:vAlign w:val="center"/>
          </w:tcPr>
          <w:p w:rsidR="002A5A5E" w:rsidRPr="00FC1444" w:rsidRDefault="002A5A5E">
            <w:pPr>
              <w:spacing w:line="0" w:lineRule="atLeast"/>
              <w:contextualSpacing/>
              <w:jc w:val="center"/>
              <w:rPr>
                <w:rFonts w:eastAsiaTheme="minorEastAsia"/>
                <w:szCs w:val="21"/>
              </w:rPr>
            </w:pPr>
          </w:p>
        </w:tc>
        <w:tc>
          <w:tcPr>
            <w:tcW w:w="892" w:type="pct"/>
            <w:vMerge/>
            <w:vAlign w:val="center"/>
          </w:tcPr>
          <w:p w:rsidR="002A5A5E" w:rsidRPr="00FC1444" w:rsidRDefault="002A5A5E">
            <w:pPr>
              <w:spacing w:line="0" w:lineRule="atLeast"/>
              <w:contextualSpacing/>
              <w:jc w:val="center"/>
              <w:rPr>
                <w:rFonts w:eastAsiaTheme="minorEastAsia"/>
                <w:szCs w:val="21"/>
              </w:rPr>
            </w:pPr>
          </w:p>
        </w:tc>
        <w:tc>
          <w:tcPr>
            <w:tcW w:w="1030" w:type="pct"/>
            <w:vMerge/>
            <w:vAlign w:val="center"/>
          </w:tcPr>
          <w:p w:rsidR="002A5A5E" w:rsidRPr="00FC1444" w:rsidRDefault="002A5A5E">
            <w:pPr>
              <w:spacing w:line="0" w:lineRule="atLeast"/>
              <w:contextualSpacing/>
              <w:jc w:val="center"/>
              <w:rPr>
                <w:rFonts w:eastAsiaTheme="minorEastAsia"/>
                <w:szCs w:val="21"/>
              </w:rPr>
            </w:pPr>
          </w:p>
        </w:tc>
      </w:tr>
      <w:tr w:rsidR="002A5A5E" w:rsidRPr="00FC1444">
        <w:trPr>
          <w:trHeight w:val="170"/>
          <w:jc w:val="center"/>
        </w:trPr>
        <w:tc>
          <w:tcPr>
            <w:tcW w:w="343" w:type="pct"/>
            <w:vMerge/>
            <w:vAlign w:val="center"/>
          </w:tcPr>
          <w:p w:rsidR="002A5A5E" w:rsidRPr="00FC1444" w:rsidRDefault="002A5A5E">
            <w:pPr>
              <w:spacing w:line="0" w:lineRule="atLeast"/>
              <w:contextualSpacing/>
              <w:jc w:val="center"/>
              <w:rPr>
                <w:rFonts w:eastAsiaTheme="minorEastAsia"/>
                <w:szCs w:val="21"/>
              </w:rPr>
            </w:pPr>
          </w:p>
        </w:tc>
        <w:tc>
          <w:tcPr>
            <w:tcW w:w="2242" w:type="pct"/>
            <w:gridSpan w:val="2"/>
            <w:vAlign w:val="center"/>
          </w:tcPr>
          <w:p w:rsidR="002A5A5E" w:rsidRPr="00FC1444" w:rsidRDefault="00611CBA">
            <w:pPr>
              <w:pStyle w:val="affff2"/>
              <w:adjustRightInd/>
              <w:snapToGrid/>
              <w:spacing w:before="48" w:line="0" w:lineRule="atLeast"/>
              <w:ind w:firstLineChars="0" w:firstLine="0"/>
              <w:rPr>
                <w:rFonts w:ascii="Times New Roman" w:eastAsiaTheme="minorEastAsia" w:hAnsi="Times New Roman"/>
                <w:color w:val="auto"/>
                <w:sz w:val="21"/>
                <w:szCs w:val="21"/>
              </w:rPr>
            </w:pPr>
            <w:r w:rsidRPr="00FC1444">
              <w:rPr>
                <w:rFonts w:ascii="Times New Roman" w:eastAsiaTheme="minorEastAsia" w:hAnsi="Times New Roman"/>
                <w:color w:val="auto"/>
                <w:sz w:val="21"/>
                <w:szCs w:val="21"/>
              </w:rPr>
              <w:t>高度</w:t>
            </w:r>
          </w:p>
        </w:tc>
        <w:tc>
          <w:tcPr>
            <w:tcW w:w="493" w:type="pct"/>
            <w:vMerge/>
            <w:vAlign w:val="center"/>
          </w:tcPr>
          <w:p w:rsidR="002A5A5E" w:rsidRPr="00FC1444" w:rsidRDefault="002A5A5E">
            <w:pPr>
              <w:spacing w:line="0" w:lineRule="atLeast"/>
              <w:contextualSpacing/>
              <w:jc w:val="center"/>
              <w:rPr>
                <w:rFonts w:eastAsiaTheme="minorEastAsia"/>
                <w:szCs w:val="21"/>
              </w:rPr>
            </w:pPr>
          </w:p>
        </w:tc>
        <w:tc>
          <w:tcPr>
            <w:tcW w:w="892" w:type="pct"/>
            <w:vMerge/>
            <w:vAlign w:val="center"/>
          </w:tcPr>
          <w:p w:rsidR="002A5A5E" w:rsidRPr="00FC1444" w:rsidRDefault="002A5A5E">
            <w:pPr>
              <w:spacing w:line="0" w:lineRule="atLeast"/>
              <w:contextualSpacing/>
              <w:jc w:val="center"/>
              <w:rPr>
                <w:rFonts w:eastAsiaTheme="minorEastAsia"/>
                <w:szCs w:val="21"/>
              </w:rPr>
            </w:pPr>
          </w:p>
        </w:tc>
        <w:tc>
          <w:tcPr>
            <w:tcW w:w="1030" w:type="pct"/>
            <w:vMerge/>
            <w:vAlign w:val="center"/>
          </w:tcPr>
          <w:p w:rsidR="002A5A5E" w:rsidRPr="00FC1444" w:rsidRDefault="002A5A5E">
            <w:pPr>
              <w:spacing w:line="0" w:lineRule="atLeast"/>
              <w:contextualSpacing/>
              <w:jc w:val="center"/>
              <w:rPr>
                <w:rFonts w:eastAsiaTheme="minorEastAsia"/>
                <w:szCs w:val="21"/>
              </w:rPr>
            </w:pPr>
          </w:p>
        </w:tc>
      </w:tr>
      <w:tr w:rsidR="002A5A5E" w:rsidRPr="00FC1444">
        <w:trPr>
          <w:trHeight w:val="170"/>
          <w:jc w:val="center"/>
        </w:trPr>
        <w:tc>
          <w:tcPr>
            <w:tcW w:w="343" w:type="pct"/>
            <w:vMerge/>
            <w:vAlign w:val="center"/>
          </w:tcPr>
          <w:p w:rsidR="002A5A5E" w:rsidRPr="00FC1444" w:rsidRDefault="002A5A5E">
            <w:pPr>
              <w:spacing w:line="0" w:lineRule="atLeast"/>
              <w:contextualSpacing/>
              <w:jc w:val="center"/>
              <w:rPr>
                <w:rFonts w:eastAsiaTheme="minorEastAsia"/>
                <w:szCs w:val="21"/>
              </w:rPr>
            </w:pPr>
          </w:p>
        </w:tc>
        <w:tc>
          <w:tcPr>
            <w:tcW w:w="2242" w:type="pct"/>
            <w:gridSpan w:val="2"/>
            <w:vAlign w:val="center"/>
          </w:tcPr>
          <w:p w:rsidR="002A5A5E" w:rsidRPr="00FC1444" w:rsidRDefault="00611CBA">
            <w:pPr>
              <w:pStyle w:val="affff2"/>
              <w:adjustRightInd/>
              <w:snapToGrid/>
              <w:spacing w:before="48" w:line="0" w:lineRule="atLeast"/>
              <w:ind w:firstLineChars="0" w:firstLine="0"/>
              <w:rPr>
                <w:rFonts w:ascii="Times New Roman" w:eastAsiaTheme="minorEastAsia" w:hAnsi="Times New Roman"/>
                <w:color w:val="auto"/>
                <w:sz w:val="21"/>
                <w:szCs w:val="21"/>
              </w:rPr>
            </w:pPr>
            <w:r w:rsidRPr="00FC1444">
              <w:rPr>
                <w:rFonts w:ascii="Times New Roman" w:eastAsiaTheme="minorEastAsia" w:hAnsi="Times New Roman"/>
                <w:color w:val="auto"/>
                <w:sz w:val="21"/>
                <w:szCs w:val="21"/>
              </w:rPr>
              <w:t>成活率</w:t>
            </w:r>
          </w:p>
        </w:tc>
        <w:tc>
          <w:tcPr>
            <w:tcW w:w="493" w:type="pct"/>
            <w:vMerge/>
            <w:vAlign w:val="center"/>
          </w:tcPr>
          <w:p w:rsidR="002A5A5E" w:rsidRPr="00FC1444" w:rsidRDefault="002A5A5E">
            <w:pPr>
              <w:spacing w:line="0" w:lineRule="atLeast"/>
              <w:contextualSpacing/>
              <w:jc w:val="center"/>
              <w:rPr>
                <w:rFonts w:eastAsiaTheme="minorEastAsia"/>
                <w:szCs w:val="21"/>
              </w:rPr>
            </w:pPr>
          </w:p>
        </w:tc>
        <w:tc>
          <w:tcPr>
            <w:tcW w:w="892" w:type="pct"/>
            <w:vMerge/>
            <w:vAlign w:val="center"/>
          </w:tcPr>
          <w:p w:rsidR="002A5A5E" w:rsidRPr="00FC1444" w:rsidRDefault="002A5A5E">
            <w:pPr>
              <w:spacing w:line="0" w:lineRule="atLeast"/>
              <w:contextualSpacing/>
              <w:jc w:val="center"/>
              <w:rPr>
                <w:rFonts w:eastAsiaTheme="minorEastAsia"/>
                <w:szCs w:val="21"/>
              </w:rPr>
            </w:pPr>
          </w:p>
        </w:tc>
        <w:tc>
          <w:tcPr>
            <w:tcW w:w="1030" w:type="pct"/>
            <w:vMerge/>
            <w:vAlign w:val="center"/>
          </w:tcPr>
          <w:p w:rsidR="002A5A5E" w:rsidRPr="00FC1444" w:rsidRDefault="002A5A5E">
            <w:pPr>
              <w:spacing w:line="0" w:lineRule="atLeast"/>
              <w:contextualSpacing/>
              <w:jc w:val="center"/>
              <w:rPr>
                <w:rFonts w:eastAsiaTheme="minorEastAsia"/>
                <w:szCs w:val="21"/>
              </w:rPr>
            </w:pPr>
          </w:p>
        </w:tc>
      </w:tr>
      <w:tr w:rsidR="002A5A5E" w:rsidRPr="00FC1444">
        <w:trPr>
          <w:trHeight w:val="170"/>
          <w:jc w:val="center"/>
        </w:trPr>
        <w:tc>
          <w:tcPr>
            <w:tcW w:w="343" w:type="pct"/>
            <w:vMerge/>
            <w:vAlign w:val="center"/>
          </w:tcPr>
          <w:p w:rsidR="002A5A5E" w:rsidRPr="00FC1444" w:rsidRDefault="002A5A5E">
            <w:pPr>
              <w:spacing w:line="0" w:lineRule="atLeast"/>
              <w:contextualSpacing/>
              <w:jc w:val="center"/>
              <w:rPr>
                <w:rFonts w:eastAsiaTheme="minorEastAsia"/>
                <w:szCs w:val="21"/>
              </w:rPr>
            </w:pPr>
          </w:p>
        </w:tc>
        <w:tc>
          <w:tcPr>
            <w:tcW w:w="2242" w:type="pct"/>
            <w:gridSpan w:val="2"/>
            <w:vAlign w:val="center"/>
          </w:tcPr>
          <w:p w:rsidR="002A5A5E" w:rsidRPr="00FC1444" w:rsidRDefault="00611CBA">
            <w:pPr>
              <w:pStyle w:val="affff2"/>
              <w:adjustRightInd/>
              <w:snapToGrid/>
              <w:spacing w:before="48" w:line="0" w:lineRule="atLeast"/>
              <w:ind w:firstLineChars="0" w:firstLine="0"/>
              <w:rPr>
                <w:rFonts w:ascii="Times New Roman" w:eastAsiaTheme="minorEastAsia" w:hAnsi="Times New Roman"/>
                <w:color w:val="auto"/>
                <w:sz w:val="21"/>
                <w:szCs w:val="21"/>
              </w:rPr>
            </w:pPr>
            <w:r w:rsidRPr="00FC1444">
              <w:rPr>
                <w:rFonts w:ascii="Times New Roman" w:eastAsiaTheme="minorEastAsia" w:hAnsi="Times New Roman"/>
                <w:color w:val="auto"/>
                <w:sz w:val="21"/>
                <w:szCs w:val="21"/>
              </w:rPr>
              <w:t>植被覆盖率</w:t>
            </w:r>
          </w:p>
        </w:tc>
        <w:tc>
          <w:tcPr>
            <w:tcW w:w="493" w:type="pct"/>
            <w:vMerge/>
            <w:vAlign w:val="center"/>
          </w:tcPr>
          <w:p w:rsidR="002A5A5E" w:rsidRPr="00FC1444" w:rsidRDefault="002A5A5E">
            <w:pPr>
              <w:spacing w:line="0" w:lineRule="atLeast"/>
              <w:contextualSpacing/>
              <w:jc w:val="center"/>
              <w:rPr>
                <w:rFonts w:eastAsiaTheme="minorEastAsia"/>
                <w:szCs w:val="21"/>
              </w:rPr>
            </w:pPr>
          </w:p>
        </w:tc>
        <w:tc>
          <w:tcPr>
            <w:tcW w:w="892" w:type="pct"/>
            <w:vMerge/>
            <w:vAlign w:val="center"/>
          </w:tcPr>
          <w:p w:rsidR="002A5A5E" w:rsidRPr="00FC1444" w:rsidRDefault="002A5A5E">
            <w:pPr>
              <w:spacing w:line="0" w:lineRule="atLeast"/>
              <w:contextualSpacing/>
              <w:jc w:val="center"/>
              <w:rPr>
                <w:rFonts w:eastAsiaTheme="minorEastAsia"/>
                <w:szCs w:val="21"/>
              </w:rPr>
            </w:pPr>
          </w:p>
        </w:tc>
        <w:tc>
          <w:tcPr>
            <w:tcW w:w="1030" w:type="pct"/>
            <w:vMerge/>
            <w:vAlign w:val="center"/>
          </w:tcPr>
          <w:p w:rsidR="002A5A5E" w:rsidRPr="00FC1444" w:rsidRDefault="002A5A5E">
            <w:pPr>
              <w:spacing w:line="0" w:lineRule="atLeast"/>
              <w:contextualSpacing/>
              <w:jc w:val="center"/>
              <w:rPr>
                <w:rFonts w:eastAsiaTheme="minorEastAsia"/>
                <w:szCs w:val="21"/>
              </w:rPr>
            </w:pPr>
          </w:p>
        </w:tc>
      </w:tr>
    </w:tbl>
    <w:p w:rsidR="002A5A5E" w:rsidRPr="00FC1444" w:rsidRDefault="00611CBA">
      <w:pPr>
        <w:contextualSpacing/>
        <w:jc w:val="center"/>
        <w:rPr>
          <w:rFonts w:eastAsiaTheme="minorEastAsia"/>
          <w:b/>
          <w:kern w:val="0"/>
          <w:szCs w:val="21"/>
        </w:rPr>
      </w:pPr>
      <w:r w:rsidRPr="00FC1444">
        <w:rPr>
          <w:rFonts w:eastAsiaTheme="minorEastAsia"/>
          <w:b/>
          <w:kern w:val="0"/>
          <w:szCs w:val="21"/>
        </w:rPr>
        <w:t>表</w:t>
      </w:r>
      <w:r w:rsidRPr="00FC1444">
        <w:rPr>
          <w:rFonts w:eastAsiaTheme="minorEastAsia"/>
          <w:b/>
          <w:kern w:val="0"/>
          <w:szCs w:val="21"/>
        </w:rPr>
        <w:t>8-2-4</w:t>
      </w:r>
      <w:r w:rsidRPr="00FC1444">
        <w:rPr>
          <w:rFonts w:eastAsiaTheme="minorEastAsia"/>
          <w:b/>
          <w:kern w:val="0"/>
          <w:szCs w:val="21"/>
        </w:rPr>
        <w:t>水生生态监测</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645"/>
        <w:gridCol w:w="1765"/>
        <w:gridCol w:w="2277"/>
        <w:gridCol w:w="1969"/>
        <w:gridCol w:w="805"/>
        <w:gridCol w:w="846"/>
      </w:tblGrid>
      <w:tr w:rsidR="002A5A5E" w:rsidRPr="00FC1444" w:rsidTr="004F0AAC">
        <w:trPr>
          <w:trHeight w:val="340"/>
        </w:trPr>
        <w:tc>
          <w:tcPr>
            <w:tcW w:w="645" w:type="dxa"/>
            <w:tcBorders>
              <w:tl2br w:val="nil"/>
              <w:tr2bl w:val="nil"/>
            </w:tcBorders>
            <w:vAlign w:val="center"/>
          </w:tcPr>
          <w:p w:rsidR="002A5A5E" w:rsidRPr="00FC1444" w:rsidRDefault="00611CBA">
            <w:pPr>
              <w:widowControl/>
              <w:autoSpaceDE w:val="0"/>
              <w:autoSpaceDN w:val="0"/>
              <w:adjustRightInd w:val="0"/>
              <w:snapToGrid w:val="0"/>
              <w:jc w:val="center"/>
              <w:textAlignment w:val="baseline"/>
              <w:rPr>
                <w:rFonts w:eastAsiaTheme="minorEastAsia"/>
                <w:snapToGrid w:val="0"/>
                <w:spacing w:val="6"/>
                <w:kern w:val="0"/>
                <w:szCs w:val="21"/>
                <w:lang w:eastAsia="en-US"/>
              </w:rPr>
            </w:pPr>
            <w:r w:rsidRPr="00FC1444">
              <w:rPr>
                <w:rFonts w:eastAsiaTheme="minorEastAsia"/>
                <w:snapToGrid w:val="0"/>
                <w:spacing w:val="6"/>
                <w:kern w:val="0"/>
                <w:szCs w:val="21"/>
                <w:lang w:eastAsia="en-US"/>
              </w:rPr>
              <w:t>环境</w:t>
            </w:r>
          </w:p>
          <w:p w:rsidR="002A5A5E" w:rsidRPr="00FC1444" w:rsidRDefault="00611CBA">
            <w:pPr>
              <w:widowControl/>
              <w:autoSpaceDE w:val="0"/>
              <w:autoSpaceDN w:val="0"/>
              <w:adjustRightInd w:val="0"/>
              <w:snapToGrid w:val="0"/>
              <w:jc w:val="center"/>
              <w:textAlignment w:val="baseline"/>
              <w:rPr>
                <w:rFonts w:eastAsiaTheme="minorEastAsia"/>
                <w:snapToGrid w:val="0"/>
                <w:spacing w:val="4"/>
                <w:kern w:val="0"/>
                <w:szCs w:val="21"/>
              </w:rPr>
            </w:pPr>
            <w:r w:rsidRPr="00FC1444">
              <w:rPr>
                <w:rFonts w:eastAsiaTheme="minorEastAsia"/>
                <w:snapToGrid w:val="0"/>
                <w:spacing w:val="6"/>
                <w:kern w:val="0"/>
                <w:szCs w:val="21"/>
                <w:lang w:eastAsia="en-US"/>
              </w:rPr>
              <w:t>要</w:t>
            </w:r>
            <w:r w:rsidRPr="00FC1444">
              <w:rPr>
                <w:rFonts w:eastAsiaTheme="minorEastAsia"/>
                <w:snapToGrid w:val="0"/>
                <w:kern w:val="0"/>
                <w:szCs w:val="21"/>
                <w:lang w:eastAsia="en-US"/>
              </w:rPr>
              <w:t>素</w:t>
            </w:r>
          </w:p>
        </w:tc>
        <w:tc>
          <w:tcPr>
            <w:tcW w:w="1765" w:type="dxa"/>
            <w:tcBorders>
              <w:tl2br w:val="nil"/>
              <w:tr2bl w:val="nil"/>
            </w:tcBorders>
            <w:vAlign w:val="center"/>
          </w:tcPr>
          <w:p w:rsidR="002A5A5E" w:rsidRPr="00FC1444" w:rsidRDefault="00611CBA">
            <w:pPr>
              <w:widowControl/>
              <w:autoSpaceDE w:val="0"/>
              <w:autoSpaceDN w:val="0"/>
              <w:adjustRightInd w:val="0"/>
              <w:snapToGrid w:val="0"/>
              <w:jc w:val="center"/>
              <w:textAlignment w:val="baseline"/>
              <w:rPr>
                <w:rFonts w:eastAsiaTheme="minorEastAsia"/>
                <w:snapToGrid w:val="0"/>
                <w:spacing w:val="9"/>
                <w:kern w:val="0"/>
                <w:szCs w:val="21"/>
                <w:lang w:eastAsia="en-US"/>
              </w:rPr>
            </w:pPr>
            <w:r w:rsidRPr="00FC1444">
              <w:rPr>
                <w:rFonts w:eastAsiaTheme="minorEastAsia"/>
                <w:snapToGrid w:val="0"/>
                <w:spacing w:val="7"/>
                <w:kern w:val="0"/>
                <w:szCs w:val="21"/>
                <w:lang w:eastAsia="en-US"/>
              </w:rPr>
              <w:t>监测地点</w:t>
            </w:r>
          </w:p>
        </w:tc>
        <w:tc>
          <w:tcPr>
            <w:tcW w:w="2277" w:type="dxa"/>
            <w:tcBorders>
              <w:tl2br w:val="nil"/>
              <w:tr2bl w:val="nil"/>
            </w:tcBorders>
            <w:vAlign w:val="center"/>
          </w:tcPr>
          <w:p w:rsidR="002A5A5E" w:rsidRPr="00FC1444" w:rsidRDefault="00611CBA">
            <w:pPr>
              <w:widowControl/>
              <w:autoSpaceDE w:val="0"/>
              <w:autoSpaceDN w:val="0"/>
              <w:adjustRightInd w:val="0"/>
              <w:snapToGrid w:val="0"/>
              <w:jc w:val="center"/>
              <w:textAlignment w:val="baseline"/>
              <w:rPr>
                <w:rFonts w:eastAsiaTheme="minorEastAsia"/>
                <w:snapToGrid w:val="0"/>
                <w:spacing w:val="-10"/>
                <w:kern w:val="0"/>
                <w:szCs w:val="21"/>
              </w:rPr>
            </w:pPr>
            <w:r w:rsidRPr="00FC1444">
              <w:rPr>
                <w:rFonts w:eastAsiaTheme="minorEastAsia"/>
                <w:snapToGrid w:val="0"/>
                <w:spacing w:val="7"/>
                <w:kern w:val="0"/>
                <w:szCs w:val="21"/>
                <w:lang w:eastAsia="en-US"/>
              </w:rPr>
              <w:t>监测项目</w:t>
            </w:r>
          </w:p>
        </w:tc>
        <w:tc>
          <w:tcPr>
            <w:tcW w:w="1969" w:type="dxa"/>
            <w:tcBorders>
              <w:tl2br w:val="nil"/>
              <w:tr2bl w:val="nil"/>
            </w:tcBorders>
            <w:vAlign w:val="center"/>
          </w:tcPr>
          <w:p w:rsidR="002A5A5E" w:rsidRPr="00FC1444" w:rsidRDefault="00611CBA">
            <w:pPr>
              <w:widowControl/>
              <w:autoSpaceDE w:val="0"/>
              <w:autoSpaceDN w:val="0"/>
              <w:adjustRightInd w:val="0"/>
              <w:snapToGrid w:val="0"/>
              <w:jc w:val="center"/>
              <w:textAlignment w:val="baseline"/>
              <w:rPr>
                <w:rFonts w:eastAsiaTheme="minorEastAsia"/>
                <w:snapToGrid w:val="0"/>
                <w:spacing w:val="9"/>
                <w:kern w:val="0"/>
                <w:szCs w:val="21"/>
                <w:lang w:eastAsia="en-US"/>
              </w:rPr>
            </w:pPr>
            <w:r w:rsidRPr="00FC1444">
              <w:rPr>
                <w:rFonts w:eastAsiaTheme="minorEastAsia"/>
                <w:snapToGrid w:val="0"/>
                <w:spacing w:val="8"/>
                <w:kern w:val="0"/>
                <w:szCs w:val="21"/>
                <w:lang w:eastAsia="en-US"/>
              </w:rPr>
              <w:t>监测时间及频率</w:t>
            </w:r>
          </w:p>
        </w:tc>
        <w:tc>
          <w:tcPr>
            <w:tcW w:w="805" w:type="dxa"/>
            <w:tcBorders>
              <w:tl2br w:val="nil"/>
              <w:tr2bl w:val="nil"/>
            </w:tcBorders>
            <w:vAlign w:val="center"/>
          </w:tcPr>
          <w:p w:rsidR="002A5A5E" w:rsidRPr="00FC1444" w:rsidRDefault="00611CBA">
            <w:pPr>
              <w:widowControl/>
              <w:autoSpaceDE w:val="0"/>
              <w:autoSpaceDN w:val="0"/>
              <w:adjustRightInd w:val="0"/>
              <w:snapToGrid w:val="0"/>
              <w:jc w:val="center"/>
              <w:textAlignment w:val="baseline"/>
              <w:rPr>
                <w:rFonts w:eastAsiaTheme="minorEastAsia"/>
                <w:snapToGrid w:val="0"/>
                <w:spacing w:val="6"/>
                <w:kern w:val="0"/>
                <w:szCs w:val="21"/>
                <w:lang w:eastAsia="en-US"/>
              </w:rPr>
            </w:pPr>
            <w:r w:rsidRPr="00FC1444">
              <w:rPr>
                <w:rFonts w:eastAsiaTheme="minorEastAsia"/>
                <w:snapToGrid w:val="0"/>
                <w:spacing w:val="5"/>
                <w:kern w:val="0"/>
                <w:szCs w:val="21"/>
                <w:lang w:eastAsia="en-US"/>
              </w:rPr>
              <w:t>实施机</w:t>
            </w:r>
            <w:r w:rsidRPr="00FC1444">
              <w:rPr>
                <w:rFonts w:eastAsiaTheme="minorEastAsia"/>
                <w:snapToGrid w:val="0"/>
                <w:kern w:val="0"/>
                <w:szCs w:val="21"/>
                <w:lang w:eastAsia="en-US"/>
              </w:rPr>
              <w:t>构</w:t>
            </w:r>
          </w:p>
        </w:tc>
        <w:tc>
          <w:tcPr>
            <w:tcW w:w="846" w:type="dxa"/>
            <w:tcBorders>
              <w:tl2br w:val="nil"/>
              <w:tr2bl w:val="nil"/>
            </w:tcBorders>
            <w:vAlign w:val="center"/>
          </w:tcPr>
          <w:p w:rsidR="002A5A5E" w:rsidRPr="00FC1444" w:rsidRDefault="00611CBA">
            <w:pPr>
              <w:widowControl/>
              <w:autoSpaceDE w:val="0"/>
              <w:autoSpaceDN w:val="0"/>
              <w:adjustRightInd w:val="0"/>
              <w:snapToGrid w:val="0"/>
              <w:jc w:val="center"/>
              <w:textAlignment w:val="baseline"/>
              <w:rPr>
                <w:rFonts w:eastAsiaTheme="minorEastAsia"/>
                <w:snapToGrid w:val="0"/>
                <w:spacing w:val="6"/>
                <w:kern w:val="0"/>
                <w:szCs w:val="21"/>
                <w:lang w:eastAsia="en-US"/>
              </w:rPr>
            </w:pPr>
            <w:r w:rsidRPr="00FC1444">
              <w:rPr>
                <w:rFonts w:eastAsiaTheme="minorEastAsia"/>
                <w:snapToGrid w:val="0"/>
                <w:spacing w:val="7"/>
                <w:kern w:val="0"/>
                <w:szCs w:val="21"/>
                <w:lang w:eastAsia="en-US"/>
              </w:rPr>
              <w:t>监督机构</w:t>
            </w:r>
          </w:p>
        </w:tc>
      </w:tr>
      <w:tr w:rsidR="002A5A5E" w:rsidRPr="00FC1444" w:rsidTr="004F0AAC">
        <w:trPr>
          <w:trHeight w:val="340"/>
        </w:trPr>
        <w:tc>
          <w:tcPr>
            <w:tcW w:w="645" w:type="dxa"/>
            <w:tcBorders>
              <w:tl2br w:val="nil"/>
              <w:tr2bl w:val="nil"/>
            </w:tcBorders>
            <w:vAlign w:val="center"/>
          </w:tcPr>
          <w:p w:rsidR="002A5A5E" w:rsidRPr="00FC1444" w:rsidRDefault="00611CBA">
            <w:pPr>
              <w:widowControl/>
              <w:autoSpaceDE w:val="0"/>
              <w:autoSpaceDN w:val="0"/>
              <w:adjustRightInd w:val="0"/>
              <w:snapToGrid w:val="0"/>
              <w:jc w:val="center"/>
              <w:textAlignment w:val="baseline"/>
              <w:rPr>
                <w:rFonts w:eastAsiaTheme="minorEastAsia"/>
                <w:snapToGrid w:val="0"/>
                <w:spacing w:val="4"/>
                <w:kern w:val="0"/>
                <w:szCs w:val="21"/>
              </w:rPr>
            </w:pPr>
            <w:r w:rsidRPr="00FC1444">
              <w:rPr>
                <w:rFonts w:eastAsiaTheme="minorEastAsia"/>
                <w:snapToGrid w:val="0"/>
                <w:spacing w:val="4"/>
                <w:kern w:val="0"/>
                <w:szCs w:val="21"/>
              </w:rPr>
              <w:t>水生生态</w:t>
            </w:r>
          </w:p>
        </w:tc>
        <w:tc>
          <w:tcPr>
            <w:tcW w:w="1765" w:type="dxa"/>
            <w:tcBorders>
              <w:tl2br w:val="nil"/>
              <w:tr2bl w:val="nil"/>
            </w:tcBorders>
            <w:vAlign w:val="center"/>
          </w:tcPr>
          <w:p w:rsidR="002A5A5E" w:rsidRPr="00FC1444" w:rsidRDefault="005615DD">
            <w:pPr>
              <w:widowControl/>
              <w:autoSpaceDE w:val="0"/>
              <w:autoSpaceDN w:val="0"/>
              <w:adjustRightInd w:val="0"/>
              <w:snapToGrid w:val="0"/>
              <w:jc w:val="center"/>
              <w:textAlignment w:val="baseline"/>
              <w:rPr>
                <w:rFonts w:eastAsiaTheme="minorEastAsia"/>
                <w:snapToGrid w:val="0"/>
                <w:spacing w:val="9"/>
                <w:kern w:val="0"/>
                <w:szCs w:val="21"/>
              </w:rPr>
            </w:pPr>
            <w:r w:rsidRPr="00FC1444">
              <w:rPr>
                <w:rFonts w:eastAsiaTheme="minorEastAsia"/>
                <w:kern w:val="0"/>
                <w:szCs w:val="21"/>
              </w:rPr>
              <w:t>承泄区：退水入</w:t>
            </w:r>
            <w:r w:rsidRPr="00FC1444">
              <w:rPr>
                <w:rFonts w:eastAsiaTheme="minorEastAsia" w:hint="eastAsia"/>
                <w:kern w:val="0"/>
                <w:szCs w:val="21"/>
              </w:rPr>
              <w:t>呼兰河河</w:t>
            </w:r>
            <w:r w:rsidRPr="00FC1444">
              <w:rPr>
                <w:rFonts w:eastAsiaTheme="minorEastAsia"/>
                <w:kern w:val="0"/>
                <w:szCs w:val="21"/>
              </w:rPr>
              <w:t>口、退水入</w:t>
            </w:r>
            <w:r w:rsidRPr="00FC1444">
              <w:rPr>
                <w:rFonts w:eastAsiaTheme="minorEastAsia" w:hint="eastAsia"/>
                <w:kern w:val="0"/>
                <w:szCs w:val="21"/>
              </w:rPr>
              <w:t>努</w:t>
            </w:r>
            <w:r w:rsidRPr="00FC1444">
              <w:rPr>
                <w:rFonts w:eastAsiaTheme="minorEastAsia"/>
                <w:kern w:val="0"/>
                <w:szCs w:val="21"/>
              </w:rPr>
              <w:t>敏河河口、退水入</w:t>
            </w:r>
            <w:r w:rsidRPr="00FC1444">
              <w:rPr>
                <w:rFonts w:eastAsiaTheme="minorEastAsia" w:hint="eastAsia"/>
                <w:kern w:val="0"/>
                <w:szCs w:val="21"/>
              </w:rPr>
              <w:t>津</w:t>
            </w:r>
            <w:r w:rsidRPr="00FC1444">
              <w:rPr>
                <w:rFonts w:eastAsiaTheme="minorEastAsia"/>
                <w:kern w:val="0"/>
                <w:szCs w:val="21"/>
              </w:rPr>
              <w:t>河</w:t>
            </w:r>
            <w:r w:rsidRPr="00FC1444">
              <w:rPr>
                <w:rFonts w:eastAsiaTheme="minorEastAsia" w:hint="eastAsia"/>
                <w:kern w:val="0"/>
                <w:szCs w:val="21"/>
              </w:rPr>
              <w:t>河</w:t>
            </w:r>
            <w:r w:rsidRPr="00FC1444">
              <w:rPr>
                <w:rFonts w:eastAsiaTheme="minorEastAsia"/>
                <w:kern w:val="0"/>
                <w:szCs w:val="21"/>
              </w:rPr>
              <w:t>口</w:t>
            </w:r>
          </w:p>
        </w:tc>
        <w:tc>
          <w:tcPr>
            <w:tcW w:w="2277" w:type="dxa"/>
            <w:tcBorders>
              <w:tl2br w:val="nil"/>
              <w:tr2bl w:val="nil"/>
            </w:tcBorders>
            <w:vAlign w:val="center"/>
          </w:tcPr>
          <w:p w:rsidR="002A5A5E" w:rsidRPr="00FC1444" w:rsidRDefault="00611CBA">
            <w:pPr>
              <w:widowControl/>
              <w:autoSpaceDE w:val="0"/>
              <w:autoSpaceDN w:val="0"/>
              <w:adjustRightInd w:val="0"/>
              <w:snapToGrid w:val="0"/>
              <w:jc w:val="left"/>
              <w:textAlignment w:val="baseline"/>
              <w:rPr>
                <w:rFonts w:eastAsiaTheme="minorEastAsia"/>
                <w:snapToGrid w:val="0"/>
                <w:spacing w:val="7"/>
                <w:kern w:val="0"/>
                <w:szCs w:val="21"/>
              </w:rPr>
            </w:pPr>
            <w:r w:rsidRPr="00FC1444">
              <w:rPr>
                <w:rFonts w:eastAsiaTheme="minorEastAsia"/>
                <w:snapToGrid w:val="0"/>
                <w:spacing w:val="7"/>
                <w:kern w:val="0"/>
                <w:szCs w:val="21"/>
              </w:rPr>
              <w:t>水文情势监测：</w:t>
            </w:r>
          </w:p>
          <w:p w:rsidR="002A5A5E" w:rsidRPr="00FC1444" w:rsidRDefault="00611CBA">
            <w:pPr>
              <w:widowControl/>
              <w:autoSpaceDE w:val="0"/>
              <w:autoSpaceDN w:val="0"/>
              <w:adjustRightInd w:val="0"/>
              <w:snapToGrid w:val="0"/>
              <w:jc w:val="left"/>
              <w:textAlignment w:val="baseline"/>
              <w:rPr>
                <w:rFonts w:eastAsiaTheme="minorEastAsia"/>
                <w:snapToGrid w:val="0"/>
                <w:spacing w:val="7"/>
                <w:kern w:val="0"/>
                <w:szCs w:val="21"/>
              </w:rPr>
            </w:pPr>
            <w:r w:rsidRPr="00FC1444">
              <w:rPr>
                <w:rFonts w:eastAsiaTheme="minorEastAsia"/>
                <w:snapToGrid w:val="0"/>
                <w:spacing w:val="7"/>
                <w:kern w:val="0"/>
                <w:szCs w:val="21"/>
              </w:rPr>
              <w:t>来水量、流量、流速、水位、水温等；</w:t>
            </w:r>
          </w:p>
          <w:p w:rsidR="002A5A5E" w:rsidRPr="00FC1444" w:rsidRDefault="00611CBA">
            <w:pPr>
              <w:widowControl/>
              <w:kinsoku w:val="0"/>
              <w:autoSpaceDE w:val="0"/>
              <w:autoSpaceDN w:val="0"/>
              <w:adjustRightInd w:val="0"/>
              <w:snapToGrid w:val="0"/>
              <w:jc w:val="left"/>
              <w:textAlignment w:val="baseline"/>
              <w:rPr>
                <w:rFonts w:eastAsiaTheme="minorEastAsia"/>
                <w:kern w:val="0"/>
                <w:szCs w:val="21"/>
              </w:rPr>
            </w:pPr>
            <w:r w:rsidRPr="00FC1444">
              <w:rPr>
                <w:rFonts w:eastAsiaTheme="minorEastAsia"/>
                <w:kern w:val="0"/>
                <w:szCs w:val="21"/>
              </w:rPr>
              <w:t>水生生物监测：</w:t>
            </w:r>
          </w:p>
          <w:p w:rsidR="002A5A5E" w:rsidRPr="00FC1444" w:rsidRDefault="00611CBA">
            <w:pPr>
              <w:widowControl/>
              <w:kinsoku w:val="0"/>
              <w:autoSpaceDE w:val="0"/>
              <w:autoSpaceDN w:val="0"/>
              <w:adjustRightInd w:val="0"/>
              <w:snapToGrid w:val="0"/>
              <w:jc w:val="left"/>
              <w:textAlignment w:val="baseline"/>
              <w:rPr>
                <w:rFonts w:eastAsiaTheme="minorEastAsia"/>
                <w:kern w:val="0"/>
                <w:szCs w:val="21"/>
              </w:rPr>
            </w:pPr>
            <w:r w:rsidRPr="00FC1444">
              <w:rPr>
                <w:rFonts w:eastAsiaTheme="minorEastAsia"/>
                <w:kern w:val="0"/>
                <w:szCs w:val="21"/>
              </w:rPr>
              <w:t>叶绿素</w:t>
            </w:r>
            <w:r w:rsidRPr="00FC1444">
              <w:rPr>
                <w:rFonts w:eastAsiaTheme="minorEastAsia"/>
                <w:kern w:val="0"/>
                <w:szCs w:val="21"/>
              </w:rPr>
              <w:t>a</w:t>
            </w:r>
            <w:r w:rsidRPr="00FC1444">
              <w:rPr>
                <w:rFonts w:eastAsiaTheme="minorEastAsia"/>
                <w:kern w:val="0"/>
                <w:szCs w:val="21"/>
              </w:rPr>
              <w:t>、浮游植物、浮游动物、底栖动物和水生维管束植物的种类和数量；</w:t>
            </w:r>
          </w:p>
          <w:p w:rsidR="002A5A5E" w:rsidRPr="00FC1444" w:rsidRDefault="00611CBA">
            <w:pPr>
              <w:widowControl/>
              <w:kinsoku w:val="0"/>
              <w:autoSpaceDE w:val="0"/>
              <w:autoSpaceDN w:val="0"/>
              <w:adjustRightInd w:val="0"/>
              <w:snapToGrid w:val="0"/>
              <w:jc w:val="left"/>
              <w:textAlignment w:val="baseline"/>
              <w:rPr>
                <w:rFonts w:eastAsiaTheme="minorEastAsia"/>
                <w:kern w:val="0"/>
                <w:szCs w:val="21"/>
              </w:rPr>
            </w:pPr>
            <w:r w:rsidRPr="00FC1444">
              <w:rPr>
                <w:rFonts w:eastAsiaTheme="minorEastAsia"/>
                <w:kern w:val="0"/>
                <w:szCs w:val="21"/>
              </w:rPr>
              <w:t>鱼类种群监测：</w:t>
            </w:r>
          </w:p>
          <w:p w:rsidR="002A5A5E" w:rsidRPr="00FC1444" w:rsidRDefault="00611CBA">
            <w:pPr>
              <w:widowControl/>
              <w:kinsoku w:val="0"/>
              <w:autoSpaceDE w:val="0"/>
              <w:autoSpaceDN w:val="0"/>
              <w:adjustRightInd w:val="0"/>
              <w:snapToGrid w:val="0"/>
              <w:jc w:val="left"/>
              <w:textAlignment w:val="baseline"/>
              <w:rPr>
                <w:rFonts w:eastAsiaTheme="minorEastAsia"/>
                <w:kern w:val="0"/>
                <w:szCs w:val="21"/>
              </w:rPr>
            </w:pPr>
            <w:r w:rsidRPr="00FC1444">
              <w:rPr>
                <w:rFonts w:eastAsiaTheme="minorEastAsia"/>
                <w:kern w:val="0"/>
                <w:szCs w:val="21"/>
              </w:rPr>
              <w:t>鱼类种类组成、种群结构和鱼类资源量；</w:t>
            </w:r>
          </w:p>
          <w:p w:rsidR="002A5A5E" w:rsidRPr="00FC1444" w:rsidRDefault="00611CBA">
            <w:pPr>
              <w:widowControl/>
              <w:autoSpaceDE w:val="0"/>
              <w:autoSpaceDN w:val="0"/>
              <w:adjustRightInd w:val="0"/>
              <w:snapToGrid w:val="0"/>
              <w:jc w:val="left"/>
              <w:textAlignment w:val="baseline"/>
              <w:rPr>
                <w:rFonts w:eastAsiaTheme="minorEastAsia"/>
                <w:snapToGrid w:val="0"/>
                <w:spacing w:val="-10"/>
                <w:kern w:val="0"/>
                <w:szCs w:val="21"/>
              </w:rPr>
            </w:pPr>
            <w:r w:rsidRPr="00FC1444">
              <w:rPr>
                <w:rFonts w:eastAsiaTheme="minorEastAsia"/>
                <w:kern w:val="0"/>
                <w:szCs w:val="21"/>
              </w:rPr>
              <w:t>鱼类产卵场和繁殖生态监测：鱼类组种类、资源量变化、时空分布、繁殖量、产卵场的水文要素条件</w:t>
            </w:r>
          </w:p>
        </w:tc>
        <w:tc>
          <w:tcPr>
            <w:tcW w:w="1969" w:type="dxa"/>
            <w:tcBorders>
              <w:tl2br w:val="nil"/>
              <w:tr2bl w:val="nil"/>
            </w:tcBorders>
            <w:vAlign w:val="center"/>
          </w:tcPr>
          <w:p w:rsidR="002A5A5E" w:rsidRPr="00FC1444" w:rsidRDefault="00611CBA">
            <w:pPr>
              <w:widowControl/>
              <w:kinsoku w:val="0"/>
              <w:autoSpaceDE w:val="0"/>
              <w:autoSpaceDN w:val="0"/>
              <w:adjustRightInd w:val="0"/>
              <w:snapToGrid w:val="0"/>
              <w:jc w:val="center"/>
              <w:textAlignment w:val="baseline"/>
              <w:rPr>
                <w:rFonts w:eastAsiaTheme="minorEastAsia"/>
                <w:snapToGrid w:val="0"/>
                <w:spacing w:val="9"/>
                <w:kern w:val="0"/>
                <w:szCs w:val="21"/>
                <w:lang w:eastAsia="en-US"/>
              </w:rPr>
            </w:pPr>
            <w:r w:rsidRPr="00FC1444">
              <w:rPr>
                <w:rFonts w:eastAsiaTheme="minorEastAsia"/>
                <w:kern w:val="0"/>
                <w:szCs w:val="21"/>
                <w:lang w:eastAsia="en-US"/>
              </w:rPr>
              <w:t>运营期每年观测</w:t>
            </w:r>
            <w:r w:rsidRPr="00FC1444">
              <w:rPr>
                <w:rFonts w:eastAsiaTheme="minorEastAsia"/>
                <w:kern w:val="0"/>
                <w:szCs w:val="21"/>
                <w:lang w:eastAsia="en-US"/>
              </w:rPr>
              <w:t>1</w:t>
            </w:r>
            <w:r w:rsidRPr="00FC1444">
              <w:rPr>
                <w:rFonts w:eastAsiaTheme="minorEastAsia"/>
                <w:kern w:val="0"/>
                <w:szCs w:val="21"/>
                <w:lang w:eastAsia="en-US"/>
              </w:rPr>
              <w:t>次</w:t>
            </w:r>
          </w:p>
        </w:tc>
        <w:tc>
          <w:tcPr>
            <w:tcW w:w="805" w:type="dxa"/>
            <w:tcBorders>
              <w:tl2br w:val="nil"/>
              <w:tr2bl w:val="nil"/>
            </w:tcBorders>
            <w:vAlign w:val="center"/>
          </w:tcPr>
          <w:p w:rsidR="002A5A5E" w:rsidRPr="00FC1444" w:rsidRDefault="00611CBA">
            <w:pPr>
              <w:widowControl/>
              <w:autoSpaceDE w:val="0"/>
              <w:autoSpaceDN w:val="0"/>
              <w:adjustRightInd w:val="0"/>
              <w:snapToGrid w:val="0"/>
              <w:jc w:val="center"/>
              <w:textAlignment w:val="baseline"/>
              <w:rPr>
                <w:rFonts w:eastAsiaTheme="minorEastAsia"/>
                <w:snapToGrid w:val="0"/>
                <w:spacing w:val="6"/>
                <w:kern w:val="0"/>
                <w:szCs w:val="21"/>
                <w:lang w:eastAsia="en-US"/>
              </w:rPr>
            </w:pPr>
            <w:r w:rsidRPr="00FC1444">
              <w:rPr>
                <w:rFonts w:eastAsiaTheme="minorEastAsia"/>
                <w:snapToGrid w:val="0"/>
                <w:spacing w:val="6"/>
                <w:kern w:val="0"/>
                <w:szCs w:val="21"/>
                <w:lang w:eastAsia="en-US"/>
              </w:rPr>
              <w:t>有资质</w:t>
            </w:r>
            <w:r w:rsidRPr="00FC1444">
              <w:rPr>
                <w:rFonts w:eastAsiaTheme="minorEastAsia"/>
                <w:snapToGrid w:val="0"/>
                <w:spacing w:val="1"/>
                <w:kern w:val="0"/>
                <w:szCs w:val="21"/>
                <w:lang w:eastAsia="en-US"/>
              </w:rPr>
              <w:t>的监测</w:t>
            </w:r>
            <w:r w:rsidRPr="00FC1444">
              <w:rPr>
                <w:rFonts w:eastAsiaTheme="minorEastAsia"/>
                <w:snapToGrid w:val="0"/>
                <w:spacing w:val="3"/>
                <w:kern w:val="0"/>
                <w:szCs w:val="21"/>
                <w:lang w:eastAsia="en-US"/>
              </w:rPr>
              <w:t>部门</w:t>
            </w:r>
          </w:p>
        </w:tc>
        <w:tc>
          <w:tcPr>
            <w:tcW w:w="846" w:type="dxa"/>
            <w:tcBorders>
              <w:tl2br w:val="nil"/>
              <w:tr2bl w:val="nil"/>
            </w:tcBorders>
            <w:vAlign w:val="center"/>
          </w:tcPr>
          <w:p w:rsidR="002A5A5E" w:rsidRPr="00FC1444" w:rsidRDefault="000E00D5">
            <w:pPr>
              <w:widowControl/>
              <w:autoSpaceDE w:val="0"/>
              <w:autoSpaceDN w:val="0"/>
              <w:adjustRightInd w:val="0"/>
              <w:snapToGrid w:val="0"/>
              <w:jc w:val="center"/>
              <w:textAlignment w:val="baseline"/>
              <w:rPr>
                <w:rFonts w:eastAsiaTheme="minorEastAsia"/>
                <w:snapToGrid w:val="0"/>
                <w:spacing w:val="6"/>
                <w:kern w:val="0"/>
                <w:szCs w:val="21"/>
              </w:rPr>
            </w:pPr>
            <w:r w:rsidRPr="00FC1444">
              <w:rPr>
                <w:rFonts w:eastAsiaTheme="minorEastAsia"/>
                <w:kern w:val="0"/>
                <w:szCs w:val="20"/>
              </w:rPr>
              <w:t>绥化市北林生态环境局</w:t>
            </w:r>
          </w:p>
        </w:tc>
      </w:tr>
    </w:tbl>
    <w:p w:rsidR="002A5A5E" w:rsidRPr="00FC1444" w:rsidRDefault="002A5A5E">
      <w:pPr>
        <w:spacing w:line="360" w:lineRule="auto"/>
        <w:ind w:firstLineChars="200" w:firstLine="480"/>
        <w:jc w:val="center"/>
        <w:rPr>
          <w:rFonts w:eastAsiaTheme="minorEastAsia"/>
          <w:snapToGrid w:val="0"/>
          <w:kern w:val="0"/>
          <w:sz w:val="24"/>
        </w:rPr>
        <w:sectPr w:rsidR="002A5A5E" w:rsidRPr="00FC1444">
          <w:pgSz w:w="11906" w:h="16838"/>
          <w:pgMar w:top="1440" w:right="1797" w:bottom="1440" w:left="1797" w:header="851" w:footer="992" w:gutter="0"/>
          <w:cols w:space="425"/>
          <w:docGrid w:type="linesAndChars" w:linePitch="326"/>
        </w:sectPr>
      </w:pP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71" w:name="_Toc11758579"/>
      <w:bookmarkStart w:id="172" w:name="_Toc208906254"/>
      <w:r w:rsidRPr="00FC1444">
        <w:rPr>
          <w:rFonts w:eastAsiaTheme="minorEastAsia"/>
          <w:b/>
          <w:bCs/>
          <w:kern w:val="44"/>
          <w:sz w:val="30"/>
          <w:szCs w:val="30"/>
        </w:rPr>
        <w:lastRenderedPageBreak/>
        <w:t>8.3</w:t>
      </w:r>
      <w:r w:rsidRPr="00FC1444">
        <w:rPr>
          <w:rFonts w:eastAsiaTheme="minorEastAsia"/>
          <w:b/>
          <w:bCs/>
          <w:kern w:val="44"/>
          <w:sz w:val="30"/>
          <w:szCs w:val="30"/>
        </w:rPr>
        <w:t>环境保护竣工验收</w:t>
      </w:r>
      <w:bookmarkEnd w:id="171"/>
      <w:bookmarkEnd w:id="172"/>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本项目中的污染防治措施必须与主体工程同时设计、同时施工、同时投产使用。防治污染的设施必须经原审批环境影响报告书的环境保护行政主管部门验收合格后，项目方可投入生产和使用。涉及生态恢复的验收内容需要保留本项目建设前后的影像资料。</w:t>
      </w:r>
    </w:p>
    <w:p w:rsidR="002A5A5E" w:rsidRPr="00FC1444" w:rsidRDefault="00611CBA">
      <w:pPr>
        <w:spacing w:line="360" w:lineRule="auto"/>
        <w:ind w:firstLineChars="200" w:firstLine="480"/>
        <w:contextualSpacing/>
        <w:rPr>
          <w:rFonts w:eastAsiaTheme="minorEastAsia"/>
          <w:snapToGrid w:val="0"/>
          <w:kern w:val="0"/>
          <w:sz w:val="24"/>
        </w:rPr>
        <w:sectPr w:rsidR="002A5A5E" w:rsidRPr="00FC1444">
          <w:pgSz w:w="11906" w:h="16838"/>
          <w:pgMar w:top="1440" w:right="1797" w:bottom="1440" w:left="1797" w:header="851" w:footer="992" w:gutter="0"/>
          <w:cols w:space="425"/>
          <w:docGrid w:type="linesAndChars" w:linePitch="326"/>
        </w:sectPr>
      </w:pPr>
      <w:r w:rsidRPr="00FC1444">
        <w:rPr>
          <w:rFonts w:eastAsiaTheme="minorEastAsia"/>
          <w:snapToGrid w:val="0"/>
          <w:kern w:val="0"/>
          <w:sz w:val="24"/>
        </w:rPr>
        <w:t>拟建项目建成后，环境保护措施竣工验收情况详见表</w:t>
      </w:r>
      <w:r w:rsidRPr="00FC1444">
        <w:rPr>
          <w:rFonts w:eastAsiaTheme="minorEastAsia"/>
          <w:snapToGrid w:val="0"/>
          <w:kern w:val="0"/>
          <w:sz w:val="24"/>
        </w:rPr>
        <w:t>8-3-1</w:t>
      </w:r>
      <w:r w:rsidRPr="00FC1444">
        <w:rPr>
          <w:rFonts w:eastAsiaTheme="minorEastAsia"/>
          <w:snapToGrid w:val="0"/>
          <w:kern w:val="0"/>
          <w:sz w:val="24"/>
        </w:rPr>
        <w:t>。</w:t>
      </w:r>
    </w:p>
    <w:p w:rsidR="002A5A5E" w:rsidRPr="00FC1444" w:rsidRDefault="00611CBA">
      <w:pPr>
        <w:contextualSpacing/>
        <w:jc w:val="center"/>
        <w:rPr>
          <w:rFonts w:eastAsiaTheme="minorEastAsia"/>
          <w:b/>
          <w:snapToGrid w:val="0"/>
          <w:kern w:val="0"/>
          <w:szCs w:val="21"/>
          <w:lang w:val="zh-CN"/>
        </w:rPr>
      </w:pPr>
      <w:r w:rsidRPr="00FC1444">
        <w:rPr>
          <w:rFonts w:eastAsiaTheme="minorEastAsia"/>
          <w:b/>
          <w:snapToGrid w:val="0"/>
          <w:kern w:val="0"/>
          <w:szCs w:val="21"/>
          <w:lang w:val="zh-CN"/>
        </w:rPr>
        <w:lastRenderedPageBreak/>
        <w:t>表</w:t>
      </w:r>
      <w:r w:rsidRPr="00FC1444">
        <w:rPr>
          <w:rFonts w:eastAsiaTheme="minorEastAsia"/>
          <w:b/>
          <w:snapToGrid w:val="0"/>
          <w:kern w:val="0"/>
          <w:szCs w:val="21"/>
          <w:lang w:val="zh-CN"/>
        </w:rPr>
        <w:t>8-3-1</w:t>
      </w:r>
      <w:r w:rsidRPr="00FC1444">
        <w:rPr>
          <w:rFonts w:eastAsiaTheme="minorEastAsia"/>
          <w:b/>
          <w:snapToGrid w:val="0"/>
          <w:kern w:val="0"/>
          <w:szCs w:val="21"/>
          <w:lang w:val="zh-CN"/>
        </w:rPr>
        <w:t>建设项目竣工环境保护验收一览表</w:t>
      </w:r>
    </w:p>
    <w:tbl>
      <w:tblPr>
        <w:tblW w:w="13803"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32"/>
        <w:gridCol w:w="851"/>
        <w:gridCol w:w="1275"/>
        <w:gridCol w:w="8931"/>
        <w:gridCol w:w="2055"/>
        <w:gridCol w:w="59"/>
      </w:tblGrid>
      <w:tr w:rsidR="002A5A5E" w:rsidRPr="00FC1444" w:rsidTr="00B7069F">
        <w:trPr>
          <w:trHeight w:val="25"/>
          <w:jc w:val="center"/>
        </w:trPr>
        <w:tc>
          <w:tcPr>
            <w:tcW w:w="632" w:type="dxa"/>
            <w:tcMar>
              <w:left w:w="0" w:type="dxa"/>
              <w:right w:w="0" w:type="dxa"/>
            </w:tcMar>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时序</w:t>
            </w:r>
          </w:p>
        </w:tc>
        <w:tc>
          <w:tcPr>
            <w:tcW w:w="851"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污染源</w:t>
            </w:r>
          </w:p>
        </w:tc>
        <w:tc>
          <w:tcPr>
            <w:tcW w:w="1275"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项目</w:t>
            </w:r>
          </w:p>
        </w:tc>
        <w:tc>
          <w:tcPr>
            <w:tcW w:w="8931"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治理措施</w:t>
            </w:r>
          </w:p>
        </w:tc>
        <w:tc>
          <w:tcPr>
            <w:tcW w:w="2114" w:type="dxa"/>
            <w:gridSpan w:val="2"/>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验收标准</w:t>
            </w:r>
          </w:p>
        </w:tc>
      </w:tr>
      <w:tr w:rsidR="002A5A5E" w:rsidRPr="00FC1444" w:rsidTr="00B7069F">
        <w:trPr>
          <w:trHeight w:val="25"/>
          <w:jc w:val="center"/>
        </w:trPr>
        <w:tc>
          <w:tcPr>
            <w:tcW w:w="632" w:type="dxa"/>
            <w:vMerge w:val="restart"/>
            <w:tcMar>
              <w:left w:w="0" w:type="dxa"/>
              <w:right w:w="0" w:type="dxa"/>
            </w:tcMar>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施工期</w:t>
            </w:r>
          </w:p>
        </w:tc>
        <w:tc>
          <w:tcPr>
            <w:tcW w:w="851"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生活污水</w:t>
            </w:r>
          </w:p>
        </w:tc>
        <w:tc>
          <w:tcPr>
            <w:tcW w:w="1275" w:type="dxa"/>
            <w:vAlign w:val="center"/>
          </w:tcPr>
          <w:p w:rsidR="002A5A5E" w:rsidRPr="00FC1444" w:rsidRDefault="00611CBA">
            <w:pPr>
              <w:spacing w:line="0" w:lineRule="atLeast"/>
              <w:jc w:val="center"/>
              <w:rPr>
                <w:rFonts w:eastAsiaTheme="minorEastAsia"/>
                <w:szCs w:val="21"/>
              </w:rPr>
            </w:pPr>
            <w:r w:rsidRPr="00FC1444">
              <w:rPr>
                <w:rFonts w:eastAsiaTheme="minorEastAsia"/>
                <w:bCs/>
                <w:szCs w:val="21"/>
              </w:rPr>
              <w:t>COD</w:t>
            </w:r>
            <w:r w:rsidRPr="00FC1444">
              <w:rPr>
                <w:rFonts w:eastAsiaTheme="minorEastAsia"/>
                <w:bCs/>
                <w:szCs w:val="21"/>
              </w:rPr>
              <w:t>、氨氮、</w:t>
            </w:r>
            <w:r w:rsidRPr="00FC1444">
              <w:rPr>
                <w:rFonts w:eastAsiaTheme="minorEastAsia"/>
                <w:bCs/>
                <w:szCs w:val="21"/>
              </w:rPr>
              <w:t>pH</w:t>
            </w:r>
            <w:r w:rsidRPr="00FC1444">
              <w:rPr>
                <w:rFonts w:eastAsiaTheme="minorEastAsia"/>
                <w:bCs/>
                <w:szCs w:val="21"/>
              </w:rPr>
              <w:t>、</w:t>
            </w:r>
            <w:r w:rsidRPr="00FC1444">
              <w:rPr>
                <w:rFonts w:eastAsiaTheme="minorEastAsia"/>
                <w:bCs/>
                <w:szCs w:val="21"/>
              </w:rPr>
              <w:t>SS</w:t>
            </w:r>
            <w:r w:rsidRPr="00FC1444">
              <w:rPr>
                <w:rFonts w:eastAsiaTheme="minorEastAsia"/>
                <w:bCs/>
                <w:szCs w:val="21"/>
              </w:rPr>
              <w:t>、</w:t>
            </w:r>
            <w:r w:rsidRPr="00FC1444">
              <w:rPr>
                <w:rFonts w:eastAsiaTheme="minorEastAsia"/>
                <w:bCs/>
                <w:szCs w:val="21"/>
              </w:rPr>
              <w:t>BOD</w:t>
            </w:r>
            <w:r w:rsidRPr="00FC1444">
              <w:rPr>
                <w:rFonts w:eastAsiaTheme="minorEastAsia"/>
                <w:bCs/>
                <w:szCs w:val="21"/>
                <w:vertAlign w:val="subscript"/>
              </w:rPr>
              <w:t>5</w:t>
            </w:r>
          </w:p>
        </w:tc>
        <w:tc>
          <w:tcPr>
            <w:tcW w:w="8931"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生活污水排入依托民房防渗旱厕，定期清掏，外运堆肥，不外排</w:t>
            </w:r>
          </w:p>
        </w:tc>
        <w:tc>
          <w:tcPr>
            <w:tcW w:w="2114" w:type="dxa"/>
            <w:gridSpan w:val="2"/>
            <w:vAlign w:val="center"/>
          </w:tcPr>
          <w:p w:rsidR="002A5A5E" w:rsidRPr="00FC1444" w:rsidRDefault="00611CBA">
            <w:pPr>
              <w:spacing w:line="0" w:lineRule="atLeast"/>
              <w:jc w:val="center"/>
              <w:rPr>
                <w:rFonts w:eastAsiaTheme="minorEastAsia"/>
                <w:szCs w:val="21"/>
              </w:rPr>
            </w:pPr>
            <w:r w:rsidRPr="00FC1444">
              <w:rPr>
                <w:rFonts w:eastAsiaTheme="minorEastAsia"/>
                <w:bCs/>
                <w:szCs w:val="21"/>
              </w:rPr>
              <w:t>/</w:t>
            </w:r>
          </w:p>
        </w:tc>
      </w:tr>
      <w:tr w:rsidR="002A5A5E" w:rsidRPr="00FC1444" w:rsidTr="00B7069F">
        <w:trPr>
          <w:trHeight w:val="25"/>
          <w:jc w:val="center"/>
        </w:trPr>
        <w:tc>
          <w:tcPr>
            <w:tcW w:w="632" w:type="dxa"/>
            <w:vMerge/>
            <w:tcMar>
              <w:left w:w="0" w:type="dxa"/>
              <w:right w:w="0" w:type="dxa"/>
            </w:tcMar>
            <w:vAlign w:val="center"/>
          </w:tcPr>
          <w:p w:rsidR="002A5A5E" w:rsidRPr="00FC1444" w:rsidRDefault="002A5A5E">
            <w:pPr>
              <w:spacing w:line="0" w:lineRule="atLeast"/>
              <w:jc w:val="center"/>
              <w:rPr>
                <w:rFonts w:eastAsiaTheme="minorEastAsia"/>
                <w:szCs w:val="21"/>
              </w:rPr>
            </w:pPr>
          </w:p>
        </w:tc>
        <w:tc>
          <w:tcPr>
            <w:tcW w:w="851"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施工废水</w:t>
            </w:r>
          </w:p>
        </w:tc>
        <w:tc>
          <w:tcPr>
            <w:tcW w:w="1275" w:type="dxa"/>
            <w:vAlign w:val="center"/>
          </w:tcPr>
          <w:p w:rsidR="002A5A5E" w:rsidRPr="00FC1444" w:rsidRDefault="00611CBA">
            <w:pPr>
              <w:spacing w:line="0" w:lineRule="atLeast"/>
              <w:jc w:val="center"/>
              <w:rPr>
                <w:rFonts w:eastAsiaTheme="minorEastAsia"/>
                <w:bCs/>
                <w:szCs w:val="21"/>
              </w:rPr>
            </w:pPr>
            <w:r w:rsidRPr="00FC1444">
              <w:rPr>
                <w:rFonts w:eastAsiaTheme="minorEastAsia"/>
                <w:szCs w:val="21"/>
              </w:rPr>
              <w:t>SS</w:t>
            </w:r>
          </w:p>
        </w:tc>
        <w:tc>
          <w:tcPr>
            <w:tcW w:w="8931" w:type="dxa"/>
            <w:vAlign w:val="center"/>
          </w:tcPr>
          <w:p w:rsidR="002A5A5E" w:rsidRPr="00FC1444" w:rsidRDefault="00611CBA" w:rsidP="0061289D">
            <w:pPr>
              <w:spacing w:line="0" w:lineRule="atLeast"/>
              <w:jc w:val="center"/>
              <w:rPr>
                <w:rFonts w:eastAsiaTheme="minorEastAsia"/>
                <w:szCs w:val="21"/>
              </w:rPr>
            </w:pPr>
            <w:r w:rsidRPr="00FC1444">
              <w:rPr>
                <w:rFonts w:eastAsiaTheme="minorEastAsia"/>
                <w:szCs w:val="21"/>
              </w:rPr>
              <w:t>洗井废水用于洒水降尘；</w:t>
            </w:r>
            <w:r w:rsidRPr="00FC1444">
              <w:rPr>
                <w:rFonts w:eastAsiaTheme="minorEastAsia"/>
              </w:rPr>
              <w:t>钻井泥浆循环利用，</w:t>
            </w:r>
            <w:r w:rsidRPr="00FC1444">
              <w:rPr>
                <w:rFonts w:eastAsiaTheme="minorEastAsia"/>
                <w:szCs w:val="22"/>
              </w:rPr>
              <w:t>废泥浆</w:t>
            </w:r>
            <w:r w:rsidRPr="00FC1444">
              <w:rPr>
                <w:rFonts w:eastAsiaTheme="minorEastAsia"/>
              </w:rPr>
              <w:t>暂存于施工场地</w:t>
            </w:r>
            <w:r w:rsidR="006974EB" w:rsidRPr="00FC1444">
              <w:rPr>
                <w:rFonts w:eastAsiaTheme="minorEastAsia"/>
              </w:rPr>
              <w:t>1</w:t>
            </w:r>
            <w:r w:rsidR="006974EB" w:rsidRPr="00FC1444">
              <w:rPr>
                <w:rFonts w:eastAsiaTheme="minorEastAsia"/>
              </w:rPr>
              <w:t>个</w:t>
            </w:r>
            <w:r w:rsidR="006974EB" w:rsidRPr="00FC1444">
              <w:rPr>
                <w:rFonts w:eastAsiaTheme="minorEastAsia"/>
              </w:rPr>
              <w:t>10</w:t>
            </w:r>
            <w:r w:rsidRPr="00FC1444">
              <w:rPr>
                <w:rFonts w:eastAsiaTheme="minorEastAsia"/>
                <w:szCs w:val="22"/>
              </w:rPr>
              <w:t>m</w:t>
            </w:r>
            <w:r w:rsidRPr="00FC1444">
              <w:rPr>
                <w:rFonts w:eastAsiaTheme="minorEastAsia"/>
                <w:szCs w:val="22"/>
                <w:vertAlign w:val="superscript"/>
              </w:rPr>
              <w:t>3</w:t>
            </w:r>
            <w:r w:rsidRPr="00FC1444">
              <w:rPr>
                <w:rFonts w:eastAsiaTheme="minorEastAsia"/>
              </w:rPr>
              <w:t>移动式不锈钢沉淀池内，沉淀后上层清水用于洒水降尘，下层钻井</w:t>
            </w:r>
            <w:r w:rsidRPr="00FC1444">
              <w:rPr>
                <w:rFonts w:eastAsiaTheme="minorEastAsia"/>
                <w:bCs/>
              </w:rPr>
              <w:t>泥浆自然干化后用于周围路面平整</w:t>
            </w:r>
            <w:r w:rsidRPr="00FC1444">
              <w:rPr>
                <w:rFonts w:eastAsiaTheme="minorEastAsia"/>
                <w:szCs w:val="21"/>
              </w:rPr>
              <w:t>；</w:t>
            </w:r>
            <w:r w:rsidR="00B13779" w:rsidRPr="00FC1444">
              <w:rPr>
                <w:rFonts w:eastAsiaTheme="minorEastAsia"/>
                <w:bCs/>
                <w:szCs w:val="21"/>
              </w:rPr>
              <w:t>清淤工程污泥铺摊前先根据地势铺设</w:t>
            </w:r>
            <w:r w:rsidR="00B13779" w:rsidRPr="00FC1444">
              <w:rPr>
                <w:rFonts w:eastAsiaTheme="minorEastAsia"/>
                <w:bCs/>
                <w:szCs w:val="21"/>
              </w:rPr>
              <w:t>5cm</w:t>
            </w:r>
            <w:r w:rsidR="00B13779" w:rsidRPr="00FC1444">
              <w:rPr>
                <w:rFonts w:eastAsiaTheme="minorEastAsia"/>
                <w:bCs/>
                <w:szCs w:val="21"/>
              </w:rPr>
              <w:t>卵石层、</w:t>
            </w:r>
            <w:r w:rsidR="00B13779" w:rsidRPr="00FC1444">
              <w:rPr>
                <w:rFonts w:eastAsiaTheme="minorEastAsia"/>
                <w:bCs/>
                <w:szCs w:val="21"/>
              </w:rPr>
              <w:t>20cm</w:t>
            </w:r>
            <w:r w:rsidR="00B13779" w:rsidRPr="00FC1444">
              <w:rPr>
                <w:rFonts w:eastAsiaTheme="minorEastAsia"/>
                <w:bCs/>
                <w:szCs w:val="21"/>
              </w:rPr>
              <w:t>砂子层，形成一侧临沟渠偏低、另一侧靠农田偏高的坡度，防止淤泥沥水渗入周边农田。污泥沥水与渠道内水质基本一致，经过滤处理后排至原有渠道内</w:t>
            </w:r>
          </w:p>
        </w:tc>
        <w:tc>
          <w:tcPr>
            <w:tcW w:w="2114" w:type="dxa"/>
            <w:gridSpan w:val="2"/>
            <w:vAlign w:val="center"/>
          </w:tcPr>
          <w:p w:rsidR="002A5A5E" w:rsidRPr="00FC1444" w:rsidRDefault="00611CBA">
            <w:pPr>
              <w:spacing w:line="0" w:lineRule="atLeast"/>
              <w:jc w:val="center"/>
              <w:rPr>
                <w:rFonts w:eastAsiaTheme="minorEastAsia"/>
                <w:bCs/>
                <w:szCs w:val="21"/>
              </w:rPr>
            </w:pPr>
            <w:r w:rsidRPr="00FC1444">
              <w:rPr>
                <w:rFonts w:eastAsiaTheme="minorEastAsia"/>
                <w:bCs/>
                <w:szCs w:val="21"/>
              </w:rPr>
              <w:t>/</w:t>
            </w:r>
          </w:p>
        </w:tc>
      </w:tr>
      <w:tr w:rsidR="002A5A5E" w:rsidRPr="00FC1444" w:rsidTr="00B7069F">
        <w:trPr>
          <w:trHeight w:val="25"/>
          <w:jc w:val="center"/>
        </w:trPr>
        <w:tc>
          <w:tcPr>
            <w:tcW w:w="632" w:type="dxa"/>
            <w:vMerge/>
            <w:tcMar>
              <w:left w:w="0" w:type="dxa"/>
              <w:right w:w="0" w:type="dxa"/>
            </w:tcMar>
            <w:vAlign w:val="center"/>
          </w:tcPr>
          <w:p w:rsidR="002A5A5E" w:rsidRPr="00FC1444" w:rsidRDefault="002A5A5E">
            <w:pPr>
              <w:spacing w:line="0" w:lineRule="atLeast"/>
              <w:jc w:val="center"/>
              <w:rPr>
                <w:rFonts w:eastAsiaTheme="minorEastAsia"/>
                <w:szCs w:val="21"/>
              </w:rPr>
            </w:pPr>
          </w:p>
        </w:tc>
        <w:tc>
          <w:tcPr>
            <w:tcW w:w="851"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噪声</w:t>
            </w:r>
          </w:p>
        </w:tc>
        <w:tc>
          <w:tcPr>
            <w:tcW w:w="1275"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施工</w:t>
            </w:r>
            <w:r w:rsidRPr="00FC1444">
              <w:rPr>
                <w:rFonts w:eastAsiaTheme="minorEastAsia"/>
                <w:snapToGrid w:val="0"/>
                <w:szCs w:val="21"/>
                <w:lang w:val="zh-CN"/>
              </w:rPr>
              <w:t>机械</w:t>
            </w:r>
            <w:r w:rsidRPr="00FC1444">
              <w:rPr>
                <w:rFonts w:eastAsiaTheme="minorEastAsia"/>
                <w:szCs w:val="21"/>
              </w:rPr>
              <w:t>噪声、运输噪声</w:t>
            </w:r>
          </w:p>
        </w:tc>
        <w:tc>
          <w:tcPr>
            <w:tcW w:w="8931" w:type="dxa"/>
            <w:vAlign w:val="center"/>
          </w:tcPr>
          <w:p w:rsidR="002A5A5E" w:rsidRPr="00FC1444" w:rsidRDefault="00611CBA">
            <w:pPr>
              <w:adjustRightInd w:val="0"/>
              <w:snapToGrid w:val="0"/>
              <w:jc w:val="center"/>
              <w:rPr>
                <w:rFonts w:eastAsiaTheme="minorEastAsia"/>
                <w:snapToGrid w:val="0"/>
                <w:kern w:val="0"/>
                <w:szCs w:val="21"/>
              </w:rPr>
            </w:pPr>
            <w:r w:rsidRPr="00FC1444">
              <w:rPr>
                <w:rFonts w:eastAsiaTheme="minorEastAsia"/>
              </w:rPr>
              <w:t>在</w:t>
            </w:r>
            <w:r w:rsidRPr="00FC1444">
              <w:rPr>
                <w:rFonts w:eastAsiaTheme="minorEastAsia"/>
              </w:rPr>
              <w:t>10m</w:t>
            </w:r>
            <w:r w:rsidRPr="00FC1444">
              <w:rPr>
                <w:rFonts w:eastAsiaTheme="minorEastAsia"/>
              </w:rPr>
              <w:t>以内分布有居民（</w:t>
            </w:r>
            <w:r w:rsidR="00D41946" w:rsidRPr="00FC1444">
              <w:rPr>
                <w:rFonts w:eastAsiaTheme="minorEastAsia"/>
              </w:rPr>
              <w:t>曹家炉、刘家沟、崔家窝棚等村屯，共</w:t>
            </w:r>
            <w:r w:rsidR="00D41946" w:rsidRPr="00FC1444">
              <w:rPr>
                <w:rFonts w:eastAsiaTheme="minorEastAsia"/>
              </w:rPr>
              <w:t>19</w:t>
            </w:r>
            <w:r w:rsidR="00D41946" w:rsidRPr="00FC1444">
              <w:rPr>
                <w:rFonts w:eastAsiaTheme="minorEastAsia"/>
              </w:rPr>
              <w:t>处，</w:t>
            </w:r>
            <w:r w:rsidRPr="00FC1444">
              <w:rPr>
                <w:rFonts w:eastAsiaTheme="minorEastAsia"/>
              </w:rPr>
              <w:t>具体村屯名称</w:t>
            </w:r>
            <w:r w:rsidR="00660C23" w:rsidRPr="00FC1444">
              <w:rPr>
                <w:rFonts w:eastAsiaTheme="minorEastAsia"/>
              </w:rPr>
              <w:t>见表</w:t>
            </w:r>
            <w:r w:rsidR="00660C23" w:rsidRPr="00FC1444">
              <w:rPr>
                <w:rFonts w:eastAsiaTheme="minorEastAsia"/>
              </w:rPr>
              <w:t>2-8-1</w:t>
            </w:r>
            <w:r w:rsidRPr="00FC1444">
              <w:rPr>
                <w:rFonts w:eastAsiaTheme="minorEastAsia"/>
              </w:rPr>
              <w:t>）的灌溉与排水、田间道路、涵洞等建筑物、</w:t>
            </w:r>
            <w:r w:rsidRPr="00FC1444">
              <w:rPr>
                <w:rFonts w:eastAsiaTheme="minorEastAsia"/>
                <w:bCs/>
              </w:rPr>
              <w:t>输配电</w:t>
            </w:r>
            <w:r w:rsidRPr="00FC1444">
              <w:rPr>
                <w:rFonts w:eastAsiaTheme="minorEastAsia"/>
              </w:rPr>
              <w:t>工程处设置双层移动隔声屏障，高度为</w:t>
            </w:r>
            <w:r w:rsidRPr="00FC1444">
              <w:rPr>
                <w:rFonts w:eastAsiaTheme="minorEastAsia"/>
              </w:rPr>
              <w:t>2m</w:t>
            </w:r>
            <w:r w:rsidRPr="00FC1444">
              <w:rPr>
                <w:rFonts w:eastAsiaTheme="minorEastAsia"/>
              </w:rPr>
              <w:t>，长度超出敏感目标两侧各</w:t>
            </w:r>
            <w:r w:rsidRPr="00FC1444">
              <w:rPr>
                <w:rFonts w:eastAsiaTheme="minorEastAsia"/>
              </w:rPr>
              <w:t>10m</w:t>
            </w:r>
            <w:r w:rsidRPr="00FC1444">
              <w:rPr>
                <w:rFonts w:eastAsiaTheme="minorEastAsia"/>
                <w:szCs w:val="21"/>
              </w:rPr>
              <w:t>；施工机械和车辆进行维护保养；运输车辆在经过沿线村屯时采取减速慢行、禁止鸣笛等管理措施，</w:t>
            </w:r>
            <w:r w:rsidRPr="00FC1444">
              <w:rPr>
                <w:rFonts w:eastAsiaTheme="minorEastAsia"/>
                <w:bCs/>
                <w:szCs w:val="21"/>
              </w:rPr>
              <w:t>控制车速不超过</w:t>
            </w:r>
            <w:r w:rsidRPr="00FC1444">
              <w:rPr>
                <w:rFonts w:eastAsiaTheme="minorEastAsia"/>
                <w:bCs/>
                <w:szCs w:val="21"/>
              </w:rPr>
              <w:t>20km/h</w:t>
            </w:r>
            <w:r w:rsidRPr="00FC1444">
              <w:rPr>
                <w:rFonts w:eastAsiaTheme="minorEastAsia"/>
                <w:szCs w:val="21"/>
              </w:rPr>
              <w:t>；合理布置施工现场，尽量让高噪声设备远离敏感点一侧布置。加强施工期环境管理，尽量避免高噪声机械设备集中使用或几台声功率相同的设备同时、同点作业，以减少作业时的噪声声级。合理安排施工作业时间，禁止夜间（</w:t>
            </w:r>
            <w:r w:rsidRPr="00FC1444">
              <w:rPr>
                <w:rFonts w:eastAsiaTheme="minorEastAsia"/>
                <w:szCs w:val="21"/>
              </w:rPr>
              <w:t>22:00-6:00</w:t>
            </w:r>
            <w:r w:rsidRPr="00FC1444">
              <w:rPr>
                <w:rFonts w:eastAsiaTheme="minorEastAsia"/>
                <w:szCs w:val="21"/>
              </w:rPr>
              <w:t>）施工；</w:t>
            </w:r>
            <w:r w:rsidRPr="00FC1444">
              <w:rPr>
                <w:rFonts w:eastAsiaTheme="minorEastAsia"/>
                <w:bCs/>
                <w:szCs w:val="21"/>
              </w:rPr>
              <w:t>加强施工期噪声监测，确保声环境功能区达标</w:t>
            </w:r>
          </w:p>
        </w:tc>
        <w:tc>
          <w:tcPr>
            <w:tcW w:w="2114" w:type="dxa"/>
            <w:gridSpan w:val="2"/>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《建筑施工噪声排放标准》（</w:t>
            </w:r>
            <w:r w:rsidRPr="00FC1444">
              <w:rPr>
                <w:rFonts w:eastAsiaTheme="minorEastAsia"/>
                <w:szCs w:val="21"/>
              </w:rPr>
              <w:t>GB12523-2025</w:t>
            </w:r>
            <w:r w:rsidRPr="00FC1444">
              <w:rPr>
                <w:rFonts w:eastAsiaTheme="minorEastAsia"/>
                <w:szCs w:val="21"/>
              </w:rPr>
              <w:t>）</w:t>
            </w:r>
          </w:p>
        </w:tc>
      </w:tr>
      <w:tr w:rsidR="002A5A5E" w:rsidRPr="00FC1444" w:rsidTr="00B7069F">
        <w:trPr>
          <w:trHeight w:val="25"/>
          <w:jc w:val="center"/>
        </w:trPr>
        <w:tc>
          <w:tcPr>
            <w:tcW w:w="632" w:type="dxa"/>
            <w:vMerge/>
            <w:tcMar>
              <w:left w:w="0" w:type="dxa"/>
              <w:right w:w="0" w:type="dxa"/>
            </w:tcMar>
            <w:vAlign w:val="center"/>
          </w:tcPr>
          <w:p w:rsidR="002A5A5E" w:rsidRPr="00FC1444" w:rsidRDefault="002A5A5E">
            <w:pPr>
              <w:spacing w:line="0" w:lineRule="atLeast"/>
              <w:jc w:val="center"/>
              <w:rPr>
                <w:rFonts w:eastAsiaTheme="minorEastAsia"/>
                <w:szCs w:val="21"/>
              </w:rPr>
            </w:pPr>
          </w:p>
        </w:tc>
        <w:tc>
          <w:tcPr>
            <w:tcW w:w="851"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固废</w:t>
            </w:r>
          </w:p>
        </w:tc>
        <w:tc>
          <w:tcPr>
            <w:tcW w:w="1275" w:type="dxa"/>
            <w:vAlign w:val="center"/>
          </w:tcPr>
          <w:p w:rsidR="002A5A5E" w:rsidRPr="00FC1444" w:rsidRDefault="00611CBA" w:rsidP="00E67114">
            <w:pPr>
              <w:pStyle w:val="aff7"/>
              <w:spacing w:line="0" w:lineRule="atLeast"/>
              <w:rPr>
                <w:rFonts w:eastAsiaTheme="minorEastAsia" w:hAnsi="Times New Roman"/>
                <w:snapToGrid w:val="0"/>
                <w:kern w:val="0"/>
              </w:rPr>
            </w:pPr>
            <w:r w:rsidRPr="00FC1444">
              <w:rPr>
                <w:rFonts w:eastAsiaTheme="minorEastAsia" w:hAnsi="Times New Roman"/>
                <w:snapToGrid w:val="0"/>
                <w:kern w:val="0"/>
              </w:rPr>
              <w:t>建筑废物、生活垃圾、土方、淤泥、</w:t>
            </w:r>
            <w:r w:rsidRPr="00FC1444">
              <w:rPr>
                <w:rFonts w:eastAsiaTheme="minorEastAsia" w:hAnsi="Times New Roman"/>
              </w:rPr>
              <w:t>废肥料包装袋</w:t>
            </w:r>
          </w:p>
        </w:tc>
        <w:tc>
          <w:tcPr>
            <w:tcW w:w="8931" w:type="dxa"/>
            <w:vAlign w:val="center"/>
          </w:tcPr>
          <w:p w:rsidR="002A5A5E" w:rsidRPr="00FC1444" w:rsidRDefault="00611CBA" w:rsidP="004C69F2">
            <w:pPr>
              <w:pStyle w:val="aff7"/>
              <w:spacing w:line="0" w:lineRule="atLeast"/>
              <w:rPr>
                <w:rFonts w:eastAsiaTheme="minorEastAsia" w:hAnsi="Times New Roman"/>
                <w:bCs/>
              </w:rPr>
            </w:pPr>
            <w:r w:rsidRPr="00FC1444">
              <w:rPr>
                <w:rFonts w:eastAsiaTheme="minorEastAsia" w:hAnsi="Times New Roman"/>
              </w:rPr>
              <w:t>建筑垃圾大部分用于</w:t>
            </w:r>
            <w:r w:rsidRPr="00FC1444">
              <w:rPr>
                <w:rFonts w:eastAsiaTheme="minorEastAsia" w:hAnsi="Times New Roman"/>
                <w:snapToGrid w:val="0"/>
                <w:kern w:val="0"/>
              </w:rPr>
              <w:t>田块整治工程，剩余送至建筑公司回用</w:t>
            </w:r>
            <w:r w:rsidR="00957CE3" w:rsidRPr="00FC1444">
              <w:rPr>
                <w:rFonts w:eastAsiaTheme="minorEastAsia" w:hAnsi="Times New Roman"/>
                <w:snapToGrid w:val="0"/>
                <w:kern w:val="0"/>
              </w:rPr>
              <w:t>，</w:t>
            </w:r>
            <w:r w:rsidR="00F9040C" w:rsidRPr="00FC1444">
              <w:rPr>
                <w:rFonts w:eastAsiaTheme="minorEastAsia" w:hAnsi="Times New Roman"/>
              </w:rPr>
              <w:t>建筑垃圾进行堆填利用前应开展本底调查及风险评估。</w:t>
            </w:r>
            <w:r w:rsidR="00957CE3" w:rsidRPr="00FC1444">
              <w:rPr>
                <w:rFonts w:eastAsiaTheme="minorEastAsia" w:hAnsi="Times New Roman"/>
                <w:snapToGrid w:val="0"/>
                <w:kern w:val="0"/>
              </w:rPr>
              <w:t>废包装袋外售废品收购站</w:t>
            </w:r>
            <w:r w:rsidRPr="00FC1444">
              <w:rPr>
                <w:rFonts w:eastAsiaTheme="minorEastAsia" w:hAnsi="Times New Roman"/>
              </w:rPr>
              <w:t>；钻井泥浆循环利用，</w:t>
            </w:r>
            <w:r w:rsidRPr="00FC1444">
              <w:rPr>
                <w:rFonts w:eastAsiaTheme="minorEastAsia" w:hAnsi="Times New Roman"/>
                <w:szCs w:val="22"/>
              </w:rPr>
              <w:t>废泥浆</w:t>
            </w:r>
            <w:r w:rsidRPr="00FC1444">
              <w:rPr>
                <w:rFonts w:eastAsiaTheme="minorEastAsia" w:hAnsi="Times New Roman"/>
              </w:rPr>
              <w:t>暂存于施工场地</w:t>
            </w:r>
            <w:r w:rsidR="006974EB" w:rsidRPr="00FC1444">
              <w:rPr>
                <w:rFonts w:eastAsiaTheme="minorEastAsia" w:hAnsi="Times New Roman"/>
              </w:rPr>
              <w:t>1</w:t>
            </w:r>
            <w:r w:rsidR="006974EB" w:rsidRPr="00FC1444">
              <w:rPr>
                <w:rFonts w:eastAsiaTheme="minorEastAsia" w:hAnsi="Times New Roman"/>
              </w:rPr>
              <w:t>个</w:t>
            </w:r>
            <w:r w:rsidR="006974EB" w:rsidRPr="00FC1444">
              <w:rPr>
                <w:rFonts w:eastAsiaTheme="minorEastAsia" w:hAnsi="Times New Roman"/>
              </w:rPr>
              <w:t>10</w:t>
            </w:r>
            <w:r w:rsidRPr="00FC1444">
              <w:rPr>
                <w:rFonts w:eastAsiaTheme="minorEastAsia" w:hAnsi="Times New Roman"/>
                <w:szCs w:val="22"/>
              </w:rPr>
              <w:t>m</w:t>
            </w:r>
            <w:r w:rsidRPr="00FC1444">
              <w:rPr>
                <w:rFonts w:eastAsiaTheme="minorEastAsia" w:hAnsi="Times New Roman"/>
                <w:szCs w:val="22"/>
                <w:vertAlign w:val="superscript"/>
              </w:rPr>
              <w:t>3</w:t>
            </w:r>
            <w:r w:rsidRPr="00FC1444">
              <w:rPr>
                <w:rFonts w:eastAsiaTheme="minorEastAsia" w:hAnsi="Times New Roman"/>
              </w:rPr>
              <w:t>移动式不锈钢沉淀池内，沉淀后上层清水用于洒水降尘，下层钻井</w:t>
            </w:r>
            <w:r w:rsidRPr="00FC1444">
              <w:rPr>
                <w:rFonts w:eastAsiaTheme="minorEastAsia" w:hAnsi="Times New Roman"/>
                <w:bCs/>
              </w:rPr>
              <w:t>泥浆自然干化后用于周围路面平整</w:t>
            </w:r>
            <w:r w:rsidRPr="00FC1444">
              <w:rPr>
                <w:rFonts w:eastAsiaTheme="minorEastAsia" w:hAnsi="Times New Roman"/>
              </w:rPr>
              <w:t>；</w:t>
            </w:r>
            <w:r w:rsidRPr="00FC1444">
              <w:rPr>
                <w:rFonts w:eastAsiaTheme="minorEastAsia" w:hAnsi="Times New Roman"/>
                <w:snapToGrid w:val="0"/>
                <w:kern w:val="0"/>
              </w:rPr>
              <w:t>表土全部用于临时工程土地恢复及田块整治工程；施工人员产生的生活垃圾集中收集后由市政环卫部门统一清运处置</w:t>
            </w:r>
            <w:r w:rsidRPr="00FC1444">
              <w:rPr>
                <w:rFonts w:eastAsiaTheme="minorEastAsia" w:hAnsi="Times New Roman"/>
              </w:rPr>
              <w:t>；</w:t>
            </w:r>
            <w:r w:rsidR="004C69F2" w:rsidRPr="00FC1444">
              <w:rPr>
                <w:rFonts w:eastAsiaTheme="minorEastAsia" w:hAnsi="Times New Roman"/>
              </w:rPr>
              <w:t>排水沟淤泥</w:t>
            </w:r>
            <w:r w:rsidR="004C69F2" w:rsidRPr="00FC1444">
              <w:rPr>
                <w:rFonts w:eastAsiaTheme="minorEastAsia" w:hAnsi="Times New Roman"/>
                <w:bCs/>
              </w:rPr>
              <w:t>培至工程附近</w:t>
            </w:r>
            <w:r w:rsidR="004C69F2" w:rsidRPr="00FC1444">
              <w:rPr>
                <w:rFonts w:eastAsiaTheme="minorEastAsia" w:hAnsi="Times New Roman"/>
                <w:bCs/>
              </w:rPr>
              <w:t>200</w:t>
            </w:r>
            <w:r w:rsidR="004C69F2" w:rsidRPr="00FC1444">
              <w:rPr>
                <w:rFonts w:eastAsiaTheme="minorEastAsia" w:hAnsi="Times New Roman"/>
                <w:bCs/>
              </w:rPr>
              <w:t>米范围内无环境保护目标的排水沟两侧（</w:t>
            </w:r>
            <w:r w:rsidR="00386D57" w:rsidRPr="00FC1444">
              <w:rPr>
                <w:rFonts w:eastAsiaTheme="minorEastAsia" w:hAnsi="Times New Roman"/>
                <w:bCs/>
              </w:rPr>
              <w:t>避开黄家屯、李荒子屯等</w:t>
            </w:r>
            <w:r w:rsidR="00386D57" w:rsidRPr="00FC1444">
              <w:rPr>
                <w:rFonts w:eastAsiaTheme="minorEastAsia" w:hAnsi="Times New Roman"/>
                <w:bCs/>
              </w:rPr>
              <w:t>22</w:t>
            </w:r>
            <w:r w:rsidR="00386D57" w:rsidRPr="00FC1444">
              <w:rPr>
                <w:rFonts w:eastAsiaTheme="minorEastAsia" w:hAnsi="Times New Roman"/>
                <w:bCs/>
              </w:rPr>
              <w:t>个村屯</w:t>
            </w:r>
            <w:r w:rsidR="004C69F2" w:rsidRPr="00FC1444">
              <w:rPr>
                <w:rFonts w:eastAsiaTheme="minorEastAsia" w:hAnsi="Times New Roman"/>
                <w:bCs/>
              </w:rPr>
              <w:t>，具体见表</w:t>
            </w:r>
            <w:r w:rsidR="004C69F2" w:rsidRPr="00FC1444">
              <w:rPr>
                <w:rFonts w:eastAsiaTheme="minorEastAsia" w:hAnsi="Times New Roman"/>
                <w:bCs/>
              </w:rPr>
              <w:t>2-8-2</w:t>
            </w:r>
            <w:r w:rsidR="004C69F2" w:rsidRPr="00FC1444">
              <w:rPr>
                <w:rFonts w:eastAsiaTheme="minorEastAsia" w:hAnsi="Times New Roman"/>
                <w:bCs/>
              </w:rPr>
              <w:t>）</w:t>
            </w:r>
            <w:r w:rsidRPr="00FC1444">
              <w:rPr>
                <w:rFonts w:eastAsiaTheme="minorEastAsia" w:hAnsi="Times New Roman"/>
                <w:bCs/>
              </w:rPr>
              <w:t>；</w:t>
            </w:r>
            <w:r w:rsidRPr="00FC1444">
              <w:rPr>
                <w:rFonts w:eastAsiaTheme="minorEastAsia" w:hAnsi="Times New Roman"/>
              </w:rPr>
              <w:t>废肥料包装袋外售废品收购站</w:t>
            </w:r>
          </w:p>
        </w:tc>
        <w:tc>
          <w:tcPr>
            <w:tcW w:w="2114" w:type="dxa"/>
            <w:gridSpan w:val="2"/>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100%</w:t>
            </w:r>
            <w:r w:rsidRPr="00FC1444">
              <w:rPr>
                <w:rFonts w:eastAsiaTheme="minorEastAsia"/>
                <w:szCs w:val="21"/>
              </w:rPr>
              <w:t>处置</w:t>
            </w:r>
          </w:p>
        </w:tc>
      </w:tr>
      <w:tr w:rsidR="002A5A5E" w:rsidRPr="00FC1444" w:rsidTr="00B7069F">
        <w:trPr>
          <w:trHeight w:val="25"/>
          <w:jc w:val="center"/>
        </w:trPr>
        <w:tc>
          <w:tcPr>
            <w:tcW w:w="632" w:type="dxa"/>
            <w:vMerge/>
            <w:tcMar>
              <w:left w:w="0" w:type="dxa"/>
              <w:right w:w="0" w:type="dxa"/>
            </w:tcMar>
            <w:vAlign w:val="center"/>
          </w:tcPr>
          <w:p w:rsidR="002A5A5E" w:rsidRPr="00FC1444" w:rsidRDefault="002A5A5E">
            <w:pPr>
              <w:spacing w:line="0" w:lineRule="atLeast"/>
              <w:jc w:val="center"/>
              <w:rPr>
                <w:rFonts w:eastAsiaTheme="minorEastAsia"/>
                <w:szCs w:val="21"/>
              </w:rPr>
            </w:pPr>
          </w:p>
        </w:tc>
        <w:tc>
          <w:tcPr>
            <w:tcW w:w="851"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施工扬尘、燃油废气</w:t>
            </w:r>
          </w:p>
        </w:tc>
        <w:tc>
          <w:tcPr>
            <w:tcW w:w="1275" w:type="dxa"/>
            <w:vAlign w:val="center"/>
          </w:tcPr>
          <w:p w:rsidR="002A5A5E" w:rsidRPr="00FC1444" w:rsidRDefault="00611CBA">
            <w:pPr>
              <w:spacing w:line="0" w:lineRule="atLeast"/>
              <w:jc w:val="center"/>
              <w:rPr>
                <w:rFonts w:eastAsiaTheme="minorEastAsia"/>
                <w:bCs/>
                <w:szCs w:val="21"/>
              </w:rPr>
            </w:pPr>
            <w:r w:rsidRPr="00FC1444">
              <w:rPr>
                <w:rFonts w:eastAsiaTheme="minorEastAsia"/>
                <w:snapToGrid w:val="0"/>
                <w:szCs w:val="21"/>
                <w:lang w:val="zh-CN"/>
              </w:rPr>
              <w:t>TSP</w:t>
            </w:r>
            <w:r w:rsidRPr="00FC1444">
              <w:rPr>
                <w:rFonts w:eastAsiaTheme="minorEastAsia"/>
                <w:snapToGrid w:val="0"/>
                <w:szCs w:val="21"/>
                <w:lang w:val="zh-CN"/>
              </w:rPr>
              <w:t>、</w:t>
            </w:r>
            <w:r w:rsidRPr="00FC1444">
              <w:rPr>
                <w:rFonts w:eastAsiaTheme="minorEastAsia"/>
                <w:snapToGrid w:val="0"/>
                <w:szCs w:val="21"/>
                <w:lang w:val="zh-CN"/>
              </w:rPr>
              <w:t>CO</w:t>
            </w:r>
            <w:r w:rsidRPr="00FC1444">
              <w:rPr>
                <w:rFonts w:eastAsiaTheme="minorEastAsia"/>
                <w:snapToGrid w:val="0"/>
                <w:szCs w:val="21"/>
                <w:lang w:val="zh-CN"/>
              </w:rPr>
              <w:t>、</w:t>
            </w:r>
            <w:r w:rsidRPr="00FC1444">
              <w:rPr>
                <w:rFonts w:eastAsiaTheme="minorEastAsia"/>
                <w:snapToGrid w:val="0"/>
                <w:szCs w:val="21"/>
                <w:lang w:val="zh-CN"/>
              </w:rPr>
              <w:t>HC+NOx</w:t>
            </w:r>
            <w:r w:rsidRPr="00FC1444">
              <w:rPr>
                <w:rFonts w:eastAsiaTheme="minorEastAsia"/>
                <w:snapToGrid w:val="0"/>
                <w:szCs w:val="21"/>
                <w:lang w:val="zh-CN"/>
              </w:rPr>
              <w:t>、</w:t>
            </w:r>
            <w:r w:rsidRPr="00FC1444">
              <w:rPr>
                <w:rFonts w:eastAsiaTheme="minorEastAsia"/>
                <w:snapToGrid w:val="0"/>
                <w:szCs w:val="21"/>
                <w:lang w:val="zh-CN"/>
              </w:rPr>
              <w:t>THC</w:t>
            </w:r>
            <w:r w:rsidRPr="00FC1444">
              <w:rPr>
                <w:rFonts w:eastAsiaTheme="minorEastAsia"/>
                <w:snapToGrid w:val="0"/>
                <w:szCs w:val="21"/>
                <w:lang w:val="zh-CN"/>
              </w:rPr>
              <w:t>、臭气浓度</w:t>
            </w:r>
          </w:p>
        </w:tc>
        <w:tc>
          <w:tcPr>
            <w:tcW w:w="8931" w:type="dxa"/>
            <w:vAlign w:val="center"/>
          </w:tcPr>
          <w:p w:rsidR="002A5A5E" w:rsidRPr="00FC1444" w:rsidRDefault="00611CBA" w:rsidP="004C69F2">
            <w:pPr>
              <w:pStyle w:val="aff7"/>
              <w:spacing w:line="0" w:lineRule="atLeast"/>
              <w:rPr>
                <w:rFonts w:eastAsiaTheme="minorEastAsia" w:hAnsi="Times New Roman"/>
                <w:bCs/>
              </w:rPr>
            </w:pPr>
            <w:r w:rsidRPr="00FC1444">
              <w:rPr>
                <w:rFonts w:eastAsiaTheme="minorEastAsia" w:hAnsi="Times New Roman"/>
              </w:rPr>
              <w:t>施工期施工现场使用商品混凝土、预拌砂浆，严禁现场搅拌；建筑材料密闭存放或严密覆盖，严禁露天放置；余料及时回收；施工期间，</w:t>
            </w:r>
            <w:r w:rsidR="00341992" w:rsidRPr="00FC1444">
              <w:rPr>
                <w:rFonts w:eastAsiaTheme="minorEastAsia" w:hAnsi="Times New Roman"/>
              </w:rPr>
              <w:t>施工单位在非</w:t>
            </w:r>
            <w:r w:rsidRPr="00FC1444">
              <w:rPr>
                <w:rFonts w:eastAsiaTheme="minorEastAsia" w:hAnsi="Times New Roman"/>
              </w:rPr>
              <w:t>冬季时期制定洒水降尘制度，配套洒水车，专人负责，对施工场地及施工道路洒水抑尘；施工地面及时压实并及时采取洒水降尘措施，天气干燥时增加洒水密度与频率；施工现场运送土方、渣土的车辆封闭或遮盖严密，严禁使用未办理相关手续的渣土等运输车辆，严禁沿路遗撒和随意倾倒；途经施工区村屯干道的运输车辆，实行限速管理，时速应小于</w:t>
            </w:r>
            <w:r w:rsidRPr="00FC1444">
              <w:rPr>
                <w:rFonts w:eastAsiaTheme="minorEastAsia" w:hAnsi="Times New Roman"/>
              </w:rPr>
              <w:t>20km/h</w:t>
            </w:r>
            <w:r w:rsidRPr="00FC1444">
              <w:rPr>
                <w:rFonts w:eastAsiaTheme="minorEastAsia" w:hAnsi="Times New Roman"/>
              </w:rPr>
              <w:t>，非冬季干旱、多风天气，路段每天洒水不少于两次；加强运输</w:t>
            </w:r>
            <w:r w:rsidRPr="00FC1444">
              <w:rPr>
                <w:rFonts w:eastAsiaTheme="minorEastAsia" w:hAnsi="Times New Roman"/>
              </w:rPr>
              <w:lastRenderedPageBreak/>
              <w:t>车辆的维护、保养，避免尾气超标排放；灌溉井、田间道路、涵洞、变压器、排水沟清淤等工程在距离环境保护目标较近位置施工时（</w:t>
            </w:r>
            <w:r w:rsidR="00D41946" w:rsidRPr="00FC1444">
              <w:rPr>
                <w:rFonts w:eastAsiaTheme="minorEastAsia" w:hAnsi="Times New Roman"/>
              </w:rPr>
              <w:t>如胜利二村、东沟子等村屯</w:t>
            </w:r>
            <w:r w:rsidR="00943455" w:rsidRPr="00FC1444">
              <w:rPr>
                <w:rFonts w:eastAsiaTheme="minorEastAsia" w:hAnsi="Times New Roman"/>
              </w:rPr>
              <w:t>，具体村屯名称见表</w:t>
            </w:r>
            <w:r w:rsidR="00943455" w:rsidRPr="00FC1444">
              <w:rPr>
                <w:rFonts w:eastAsiaTheme="minorEastAsia" w:hAnsi="Times New Roman"/>
              </w:rPr>
              <w:t>2-8-1</w:t>
            </w:r>
            <w:r w:rsidRPr="00FC1444">
              <w:rPr>
                <w:rFonts w:eastAsiaTheme="minorEastAsia" w:hAnsi="Times New Roman"/>
              </w:rPr>
              <w:t>），应设置施工围挡，将施工场地及施工人员与居民分离开，保证施工安全、减少扬尘逸散；合理安排清淤时间，喷洒微生物除臭剂</w:t>
            </w:r>
            <w:r w:rsidR="004C69F2" w:rsidRPr="00FC1444">
              <w:rPr>
                <w:rFonts w:eastAsiaTheme="minorEastAsia" w:hAnsi="Times New Roman"/>
              </w:rPr>
              <w:t>，排水沟淤泥</w:t>
            </w:r>
            <w:r w:rsidR="004C69F2" w:rsidRPr="00FC1444">
              <w:rPr>
                <w:rFonts w:eastAsiaTheme="minorEastAsia" w:hAnsi="Times New Roman"/>
                <w:bCs/>
              </w:rPr>
              <w:t>培至工程附近</w:t>
            </w:r>
            <w:r w:rsidR="004C69F2" w:rsidRPr="00FC1444">
              <w:rPr>
                <w:rFonts w:eastAsiaTheme="minorEastAsia" w:hAnsi="Times New Roman"/>
                <w:bCs/>
              </w:rPr>
              <w:t>200</w:t>
            </w:r>
            <w:r w:rsidR="004C69F2" w:rsidRPr="00FC1444">
              <w:rPr>
                <w:rFonts w:eastAsiaTheme="minorEastAsia" w:hAnsi="Times New Roman"/>
                <w:bCs/>
              </w:rPr>
              <w:t>米范围内无环境保护目标的排水沟两侧（</w:t>
            </w:r>
            <w:r w:rsidR="00386D57" w:rsidRPr="00FC1444">
              <w:rPr>
                <w:rFonts w:eastAsiaTheme="minorEastAsia" w:hAnsi="Times New Roman"/>
                <w:bCs/>
              </w:rPr>
              <w:t>避开黄家屯、李荒子屯等</w:t>
            </w:r>
            <w:r w:rsidR="00386D57" w:rsidRPr="00FC1444">
              <w:rPr>
                <w:rFonts w:eastAsiaTheme="minorEastAsia" w:hAnsi="Times New Roman"/>
                <w:bCs/>
              </w:rPr>
              <w:t>22</w:t>
            </w:r>
            <w:r w:rsidR="00386D57" w:rsidRPr="00FC1444">
              <w:rPr>
                <w:rFonts w:eastAsiaTheme="minorEastAsia" w:hAnsi="Times New Roman"/>
                <w:bCs/>
              </w:rPr>
              <w:t>个村屯</w:t>
            </w:r>
            <w:r w:rsidR="004C69F2" w:rsidRPr="00FC1444">
              <w:rPr>
                <w:rFonts w:eastAsiaTheme="minorEastAsia" w:hAnsi="Times New Roman"/>
                <w:bCs/>
              </w:rPr>
              <w:t>，具体见表</w:t>
            </w:r>
            <w:r w:rsidR="004C69F2" w:rsidRPr="00FC1444">
              <w:rPr>
                <w:rFonts w:eastAsiaTheme="minorEastAsia" w:hAnsi="Times New Roman"/>
                <w:bCs/>
              </w:rPr>
              <w:t>2-8-2</w:t>
            </w:r>
            <w:r w:rsidR="004C69F2" w:rsidRPr="00FC1444">
              <w:rPr>
                <w:rFonts w:eastAsiaTheme="minorEastAsia" w:hAnsi="Times New Roman"/>
                <w:bCs/>
              </w:rPr>
              <w:t>）</w:t>
            </w:r>
          </w:p>
        </w:tc>
        <w:tc>
          <w:tcPr>
            <w:tcW w:w="2114" w:type="dxa"/>
            <w:gridSpan w:val="2"/>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lastRenderedPageBreak/>
              <w:t>《大气污染物综合排放标准》（</w:t>
            </w:r>
            <w:r w:rsidRPr="00FC1444">
              <w:rPr>
                <w:rFonts w:eastAsiaTheme="minorEastAsia"/>
                <w:szCs w:val="21"/>
              </w:rPr>
              <w:t>GB16297-1996</w:t>
            </w:r>
            <w:r w:rsidRPr="00FC1444">
              <w:rPr>
                <w:rFonts w:eastAsiaTheme="minorEastAsia"/>
                <w:szCs w:val="21"/>
              </w:rPr>
              <w:t>）表</w:t>
            </w:r>
            <w:r w:rsidRPr="00FC1444">
              <w:rPr>
                <w:rFonts w:eastAsiaTheme="minorEastAsia"/>
                <w:szCs w:val="21"/>
              </w:rPr>
              <w:t>2</w:t>
            </w:r>
            <w:r w:rsidRPr="00FC1444">
              <w:rPr>
                <w:rFonts w:eastAsiaTheme="minorEastAsia"/>
                <w:szCs w:val="21"/>
              </w:rPr>
              <w:t>无组织排放浓度；</w:t>
            </w:r>
            <w:r w:rsidRPr="00FC1444">
              <w:rPr>
                <w:rFonts w:eastAsiaTheme="minorEastAsia"/>
                <w:szCs w:val="21"/>
              </w:rPr>
              <w:t>GB20891-2014</w:t>
            </w:r>
            <w:r w:rsidRPr="00FC1444">
              <w:rPr>
                <w:rFonts w:eastAsiaTheme="minorEastAsia"/>
                <w:szCs w:val="21"/>
              </w:rPr>
              <w:t>中第四阶段（</w:t>
            </w:r>
            <w:r w:rsidRPr="00FC1444">
              <w:rPr>
                <w:rFonts w:eastAsiaTheme="minorEastAsia"/>
                <w:szCs w:val="21"/>
              </w:rPr>
              <w:t>130</w:t>
            </w:r>
            <w:r w:rsidRPr="00FC1444">
              <w:rPr>
                <w:rFonts w:eastAsiaTheme="minorEastAsia"/>
                <w:szCs w:val="21"/>
              </w:rPr>
              <w:t>＜额定功</w:t>
            </w:r>
            <w:r w:rsidRPr="00FC1444">
              <w:rPr>
                <w:rFonts w:eastAsiaTheme="minorEastAsia"/>
                <w:szCs w:val="21"/>
              </w:rPr>
              <w:lastRenderedPageBreak/>
              <w:t>率＜</w:t>
            </w:r>
            <w:r w:rsidRPr="00FC1444">
              <w:rPr>
                <w:rFonts w:eastAsiaTheme="minorEastAsia"/>
                <w:szCs w:val="21"/>
              </w:rPr>
              <w:t>560kW</w:t>
            </w:r>
            <w:r w:rsidRPr="00FC1444">
              <w:rPr>
                <w:rFonts w:eastAsiaTheme="minorEastAsia"/>
                <w:szCs w:val="21"/>
              </w:rPr>
              <w:t>）；《恶臭污染物排放标准》（</w:t>
            </w:r>
            <w:r w:rsidRPr="00FC1444">
              <w:rPr>
                <w:rFonts w:eastAsiaTheme="minorEastAsia"/>
                <w:szCs w:val="21"/>
              </w:rPr>
              <w:t>GB14554-93</w:t>
            </w:r>
            <w:r w:rsidRPr="00FC1444">
              <w:rPr>
                <w:rFonts w:eastAsiaTheme="minorEastAsia"/>
                <w:szCs w:val="21"/>
              </w:rPr>
              <w:t>）表</w:t>
            </w:r>
            <w:r w:rsidRPr="00FC1444">
              <w:rPr>
                <w:rFonts w:eastAsiaTheme="minorEastAsia"/>
                <w:szCs w:val="21"/>
              </w:rPr>
              <w:t>1</w:t>
            </w:r>
            <w:r w:rsidRPr="00FC1444">
              <w:rPr>
                <w:rFonts w:eastAsiaTheme="minorEastAsia"/>
                <w:szCs w:val="21"/>
              </w:rPr>
              <w:t>二级标准</w:t>
            </w:r>
          </w:p>
        </w:tc>
      </w:tr>
      <w:tr w:rsidR="002A5A5E" w:rsidRPr="00FC1444" w:rsidTr="00B7069F">
        <w:trPr>
          <w:gridAfter w:val="1"/>
          <w:wAfter w:w="59" w:type="dxa"/>
          <w:trHeight w:val="38"/>
          <w:jc w:val="center"/>
        </w:trPr>
        <w:tc>
          <w:tcPr>
            <w:tcW w:w="632" w:type="dxa"/>
            <w:tcMar>
              <w:left w:w="0" w:type="dxa"/>
              <w:right w:w="0" w:type="dxa"/>
            </w:tcMar>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lastRenderedPageBreak/>
              <w:t>施工期</w:t>
            </w:r>
          </w:p>
        </w:tc>
        <w:tc>
          <w:tcPr>
            <w:tcW w:w="851"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生态</w:t>
            </w:r>
          </w:p>
        </w:tc>
        <w:tc>
          <w:tcPr>
            <w:tcW w:w="1275" w:type="dxa"/>
            <w:vAlign w:val="center"/>
          </w:tcPr>
          <w:p w:rsidR="002A5A5E" w:rsidRPr="00FC1444" w:rsidRDefault="00611CBA">
            <w:pPr>
              <w:spacing w:line="0" w:lineRule="atLeast"/>
              <w:jc w:val="center"/>
              <w:rPr>
                <w:rFonts w:eastAsiaTheme="minorEastAsia"/>
                <w:bCs/>
                <w:szCs w:val="21"/>
              </w:rPr>
            </w:pPr>
            <w:r w:rsidRPr="00FC1444">
              <w:rPr>
                <w:rFonts w:eastAsiaTheme="minorEastAsia"/>
                <w:bCs/>
                <w:szCs w:val="21"/>
              </w:rPr>
              <w:t>生态保护</w:t>
            </w:r>
          </w:p>
        </w:tc>
        <w:tc>
          <w:tcPr>
            <w:tcW w:w="8931" w:type="dxa"/>
            <w:vAlign w:val="center"/>
          </w:tcPr>
          <w:p w:rsidR="002A5A5E" w:rsidRPr="00FC1444" w:rsidRDefault="00F41A00">
            <w:pPr>
              <w:pStyle w:val="aff7"/>
              <w:spacing w:line="0" w:lineRule="atLeast"/>
              <w:rPr>
                <w:rFonts w:eastAsiaTheme="minorEastAsia" w:hAnsi="Times New Roman"/>
                <w:bCs/>
              </w:rPr>
            </w:pPr>
            <w:r w:rsidRPr="00FC1444">
              <w:rPr>
                <w:rFonts w:eastAsiaTheme="minorEastAsia" w:hAnsi="Times New Roman"/>
                <w:snapToGrid w:val="0"/>
                <w:kern w:val="0"/>
              </w:rPr>
              <w:t>输配电工程表土及土方临时堆存在施工沿线，分区存放，设置临时拦挡并采用密目网苫盖，施工结束后分层回填，</w:t>
            </w:r>
            <w:r w:rsidR="00617138" w:rsidRPr="00FC1444">
              <w:rPr>
                <w:rFonts w:eastAsiaTheme="minorEastAsia" w:hAnsi="Times New Roman"/>
                <w:snapToGrid w:val="0"/>
                <w:kern w:val="0"/>
              </w:rPr>
              <w:t>施工场地恢复现状草地，</w:t>
            </w:r>
            <w:r w:rsidR="00C77AF5" w:rsidRPr="00FC1444">
              <w:rPr>
                <w:rFonts w:eastAsiaTheme="minorEastAsia" w:hAnsi="Times New Roman"/>
                <w:snapToGrid w:val="0"/>
                <w:kern w:val="0"/>
              </w:rPr>
              <w:t>播撒草籽面积</w:t>
            </w:r>
            <w:r w:rsidR="00C77AF5" w:rsidRPr="00FC1444">
              <w:rPr>
                <w:rFonts w:eastAsiaTheme="minorEastAsia" w:hAnsi="Times New Roman"/>
                <w:snapToGrid w:val="0"/>
                <w:kern w:val="0"/>
              </w:rPr>
              <w:t>456842</w:t>
            </w:r>
            <w:r w:rsidRPr="00FC1444">
              <w:rPr>
                <w:rFonts w:eastAsiaTheme="minorEastAsia" w:hAnsi="Times New Roman"/>
                <w:snapToGrid w:val="0"/>
                <w:kern w:val="0"/>
              </w:rPr>
              <w:t>m</w:t>
            </w:r>
            <w:r w:rsidRPr="00FC1444">
              <w:rPr>
                <w:rFonts w:eastAsiaTheme="minorEastAsia" w:hAnsi="Times New Roman"/>
                <w:snapToGrid w:val="0"/>
                <w:kern w:val="0"/>
                <w:vertAlign w:val="superscript"/>
              </w:rPr>
              <w:t>2</w:t>
            </w:r>
            <w:r w:rsidRPr="00FC1444">
              <w:rPr>
                <w:rFonts w:eastAsiaTheme="minorEastAsia" w:hAnsi="Times New Roman"/>
                <w:snapToGrid w:val="0"/>
                <w:kern w:val="0"/>
              </w:rPr>
              <w:t>，草籽选用紫花苜蓿等，种草密度</w:t>
            </w:r>
            <w:r w:rsidRPr="00FC1444">
              <w:rPr>
                <w:rFonts w:eastAsiaTheme="minorEastAsia" w:hAnsi="Times New Roman"/>
                <w:snapToGrid w:val="0"/>
                <w:kern w:val="0"/>
              </w:rPr>
              <w:t>80kg/</w:t>
            </w:r>
            <w:r w:rsidRPr="00FC1444">
              <w:rPr>
                <w:rFonts w:eastAsiaTheme="minorEastAsia" w:hAnsi="Times New Roman"/>
                <w:snapToGrid w:val="0"/>
                <w:kern w:val="0"/>
              </w:rPr>
              <w:t>公顷，</w:t>
            </w:r>
            <w:r w:rsidR="00C77AF5" w:rsidRPr="00FC1444">
              <w:rPr>
                <w:rFonts w:eastAsiaTheme="minorEastAsia" w:hAnsi="Times New Roman"/>
                <w:snapToGrid w:val="0"/>
                <w:kern w:val="0"/>
              </w:rPr>
              <w:t>恢复旱地</w:t>
            </w:r>
            <w:r w:rsidR="00C77AF5" w:rsidRPr="00FC1444">
              <w:rPr>
                <w:rFonts w:eastAsiaTheme="minorEastAsia" w:hAnsi="Times New Roman"/>
                <w:snapToGrid w:val="0"/>
                <w:kern w:val="0"/>
              </w:rPr>
              <w:t>22560m</w:t>
            </w:r>
            <w:r w:rsidRPr="00FC1444">
              <w:rPr>
                <w:rFonts w:eastAsiaTheme="minorEastAsia" w:hAnsi="Times New Roman"/>
                <w:snapToGrid w:val="0"/>
                <w:kern w:val="0"/>
                <w:vertAlign w:val="superscript"/>
              </w:rPr>
              <w:t>2</w:t>
            </w:r>
            <w:r w:rsidRPr="00FC1444">
              <w:rPr>
                <w:rFonts w:eastAsiaTheme="minorEastAsia" w:hAnsi="Times New Roman"/>
                <w:snapToGrid w:val="0"/>
                <w:kern w:val="0"/>
              </w:rPr>
              <w:t>；灌溉井工程剥离表土、开挖土方暂存于施工场地内，分区存放，设置临时拦挡并采用密目网苫盖，施工结束后施工场地、临时道路恢复为旱地，</w:t>
            </w:r>
            <w:r w:rsidR="00C77AF5" w:rsidRPr="00FC1444">
              <w:rPr>
                <w:rFonts w:eastAsiaTheme="minorEastAsia" w:hAnsi="Times New Roman"/>
                <w:snapToGrid w:val="0"/>
                <w:kern w:val="0"/>
              </w:rPr>
              <w:t>恢复面积</w:t>
            </w:r>
            <w:r w:rsidR="00C77AF5" w:rsidRPr="00FC1444">
              <w:rPr>
                <w:rFonts w:eastAsiaTheme="minorEastAsia" w:hAnsi="Times New Roman"/>
                <w:snapToGrid w:val="0"/>
                <w:kern w:val="0"/>
              </w:rPr>
              <w:t>4620</w:t>
            </w:r>
            <w:r w:rsidRPr="00FC1444">
              <w:rPr>
                <w:rFonts w:eastAsiaTheme="minorEastAsia" w:hAnsi="Times New Roman"/>
                <w:snapToGrid w:val="0"/>
                <w:kern w:val="0"/>
              </w:rPr>
              <w:t>m</w:t>
            </w:r>
            <w:r w:rsidRPr="00FC1444">
              <w:rPr>
                <w:rFonts w:eastAsiaTheme="minorEastAsia" w:hAnsi="Times New Roman"/>
                <w:snapToGrid w:val="0"/>
                <w:kern w:val="0"/>
                <w:vertAlign w:val="superscript"/>
              </w:rPr>
              <w:t>2</w:t>
            </w:r>
            <w:r w:rsidRPr="00FC1444">
              <w:rPr>
                <w:rFonts w:eastAsiaTheme="minorEastAsia" w:hAnsi="Times New Roman"/>
                <w:snapToGrid w:val="0"/>
                <w:kern w:val="0"/>
              </w:rPr>
              <w:t>；涵洞等建筑物工程剥离表土、开挖土方暂存于施工场地内，分区存放，设置临时拦挡并采用密目网苫盖，施工结束后施工场地恢复为草地，播撒草籽面积</w:t>
            </w:r>
            <w:r w:rsidRPr="00FC1444">
              <w:rPr>
                <w:rFonts w:eastAsiaTheme="minorEastAsia" w:hAnsi="Times New Roman"/>
                <w:snapToGrid w:val="0"/>
                <w:kern w:val="0"/>
              </w:rPr>
              <w:t>18500m</w:t>
            </w:r>
            <w:r w:rsidRPr="00FC1444">
              <w:rPr>
                <w:rFonts w:eastAsiaTheme="minorEastAsia" w:hAnsi="Times New Roman"/>
                <w:snapToGrid w:val="0"/>
                <w:kern w:val="0"/>
                <w:vertAlign w:val="superscript"/>
              </w:rPr>
              <w:t>2</w:t>
            </w:r>
            <w:r w:rsidRPr="00FC1444">
              <w:rPr>
                <w:rFonts w:eastAsiaTheme="minorEastAsia" w:hAnsi="Times New Roman"/>
                <w:snapToGrid w:val="0"/>
                <w:kern w:val="0"/>
              </w:rPr>
              <w:t>，草籽选用紫花苜蓿等，种草密度</w:t>
            </w:r>
            <w:r w:rsidRPr="00FC1444">
              <w:rPr>
                <w:rFonts w:eastAsiaTheme="minorEastAsia" w:hAnsi="Times New Roman"/>
                <w:snapToGrid w:val="0"/>
                <w:kern w:val="0"/>
              </w:rPr>
              <w:t>80kg/</w:t>
            </w:r>
            <w:r w:rsidRPr="00FC1444">
              <w:rPr>
                <w:rFonts w:eastAsiaTheme="minorEastAsia" w:hAnsi="Times New Roman"/>
                <w:snapToGrid w:val="0"/>
                <w:kern w:val="0"/>
              </w:rPr>
              <w:t>公顷，恢复旱地</w:t>
            </w:r>
            <w:r w:rsidRPr="00FC1444">
              <w:rPr>
                <w:rFonts w:eastAsiaTheme="minorEastAsia" w:hAnsi="Times New Roman"/>
                <w:snapToGrid w:val="0"/>
                <w:kern w:val="0"/>
              </w:rPr>
              <w:t>10500m</w:t>
            </w:r>
            <w:r w:rsidRPr="00FC1444">
              <w:rPr>
                <w:rFonts w:eastAsiaTheme="minorEastAsia" w:hAnsi="Times New Roman"/>
                <w:snapToGrid w:val="0"/>
                <w:kern w:val="0"/>
                <w:vertAlign w:val="superscript"/>
              </w:rPr>
              <w:t>2</w:t>
            </w:r>
            <w:r w:rsidRPr="00FC1444">
              <w:rPr>
                <w:rFonts w:eastAsiaTheme="minorEastAsia" w:hAnsi="Times New Roman"/>
                <w:snapToGrid w:val="0"/>
                <w:kern w:val="0"/>
              </w:rPr>
              <w:t>。</w:t>
            </w:r>
            <w:r w:rsidR="00611CBA" w:rsidRPr="00FC1444">
              <w:rPr>
                <w:rFonts w:eastAsiaTheme="minorEastAsia" w:hAnsi="Times New Roman"/>
                <w:snapToGrid w:val="0"/>
                <w:kern w:val="0"/>
              </w:rPr>
              <w:t>使临时占地土地利用类型、植被覆盖度、生物量等恢复为原有水平。减少由于工程施工对其景观、生态、水土保持等方面的不利影响。表土暂存场</w:t>
            </w:r>
            <w:r w:rsidR="00611CBA" w:rsidRPr="00FC1444">
              <w:rPr>
                <w:rFonts w:eastAsiaTheme="minorEastAsia" w:hAnsi="Times New Roman"/>
                <w:bCs/>
                <w:kern w:val="0"/>
              </w:rPr>
              <w:t>堆高在</w:t>
            </w:r>
            <w:r w:rsidR="00611CBA" w:rsidRPr="00FC1444">
              <w:rPr>
                <w:rFonts w:eastAsiaTheme="minorEastAsia" w:hAnsi="Times New Roman"/>
                <w:bCs/>
                <w:kern w:val="0"/>
              </w:rPr>
              <w:t>3m</w:t>
            </w:r>
            <w:r w:rsidR="00611CBA" w:rsidRPr="00FC1444">
              <w:rPr>
                <w:rFonts w:eastAsiaTheme="minorEastAsia" w:hAnsi="Times New Roman"/>
                <w:bCs/>
                <w:kern w:val="0"/>
              </w:rPr>
              <w:t>以内，坡比</w:t>
            </w:r>
            <w:r w:rsidR="00611CBA" w:rsidRPr="00FC1444">
              <w:rPr>
                <w:rFonts w:eastAsiaTheme="minorEastAsia" w:hAnsi="Times New Roman"/>
                <w:bCs/>
                <w:kern w:val="0"/>
              </w:rPr>
              <w:t>1</w:t>
            </w:r>
            <w:r w:rsidR="00611CBA" w:rsidRPr="00FC1444">
              <w:rPr>
                <w:rFonts w:eastAsiaTheme="minorEastAsia" w:hAnsi="Times New Roman"/>
                <w:bCs/>
                <w:kern w:val="0"/>
              </w:rPr>
              <w:t>：</w:t>
            </w:r>
            <w:r w:rsidR="00611CBA" w:rsidRPr="00FC1444">
              <w:rPr>
                <w:rFonts w:eastAsiaTheme="minorEastAsia" w:hAnsi="Times New Roman"/>
                <w:bCs/>
                <w:kern w:val="0"/>
              </w:rPr>
              <w:t>1</w:t>
            </w:r>
            <w:r w:rsidR="00611CBA" w:rsidRPr="00FC1444">
              <w:rPr>
                <w:rFonts w:eastAsiaTheme="minorEastAsia" w:hAnsi="Times New Roman"/>
                <w:bCs/>
                <w:kern w:val="0"/>
              </w:rPr>
              <w:t>，可以保证堆土的稳定性及安全性。堆放地宜相对低凹、周围相对平缓，并设置排水设施。</w:t>
            </w:r>
            <w:r w:rsidR="00611CBA" w:rsidRPr="00FC1444">
              <w:rPr>
                <w:rFonts w:eastAsiaTheme="minorEastAsia" w:hAnsi="Times New Roman"/>
              </w:rPr>
              <w:t>建设单位为生态恢复工程实施责任主体</w:t>
            </w:r>
            <w:r w:rsidR="00611CBA" w:rsidRPr="00FC1444">
              <w:rPr>
                <w:rFonts w:eastAsiaTheme="minorEastAsia" w:hAnsi="Times New Roman"/>
                <w:snapToGrid w:val="0"/>
                <w:kern w:val="0"/>
              </w:rPr>
              <w:t>；严格控制施工范围，对施工人员进行生态保护教育；施工单位优化施工工艺和施工时序，夜间、雨天及大风天不施工；涵洞等建筑物工程施工过程禁止施工生产废水排放至沟渠内；施工过程中采取</w:t>
            </w:r>
            <w:r w:rsidR="00611CBA" w:rsidRPr="00FC1444">
              <w:rPr>
                <w:rFonts w:eastAsiaTheme="minorEastAsia" w:hAnsi="Times New Roman"/>
                <w:snapToGrid w:val="0"/>
                <w:kern w:val="0"/>
              </w:rPr>
              <w:t>“</w:t>
            </w:r>
            <w:r w:rsidR="00611CBA" w:rsidRPr="00FC1444">
              <w:rPr>
                <w:rFonts w:eastAsiaTheme="minorEastAsia" w:hAnsi="Times New Roman"/>
                <w:snapToGrid w:val="0"/>
                <w:kern w:val="0"/>
              </w:rPr>
              <w:t>边施工、边修复</w:t>
            </w:r>
            <w:r w:rsidR="00611CBA" w:rsidRPr="00FC1444">
              <w:rPr>
                <w:rFonts w:eastAsiaTheme="minorEastAsia" w:hAnsi="Times New Roman"/>
                <w:snapToGrid w:val="0"/>
                <w:kern w:val="0"/>
              </w:rPr>
              <w:t>”</w:t>
            </w:r>
            <w:r w:rsidR="00611CBA" w:rsidRPr="00FC1444">
              <w:rPr>
                <w:rFonts w:eastAsiaTheme="minorEastAsia" w:hAnsi="Times New Roman"/>
                <w:snapToGrid w:val="0"/>
                <w:kern w:val="0"/>
              </w:rPr>
              <w:t>措施</w:t>
            </w:r>
          </w:p>
        </w:tc>
        <w:tc>
          <w:tcPr>
            <w:tcW w:w="2055" w:type="dxa"/>
            <w:vAlign w:val="center"/>
          </w:tcPr>
          <w:p w:rsidR="002A5A5E" w:rsidRPr="00FC1444" w:rsidRDefault="00611CBA">
            <w:pPr>
              <w:spacing w:line="0" w:lineRule="atLeast"/>
              <w:jc w:val="center"/>
              <w:rPr>
                <w:rFonts w:eastAsiaTheme="minorEastAsia"/>
                <w:szCs w:val="21"/>
              </w:rPr>
            </w:pPr>
            <w:r w:rsidRPr="00FC1444">
              <w:rPr>
                <w:rFonts w:eastAsiaTheme="minorEastAsia"/>
                <w:szCs w:val="21"/>
              </w:rPr>
              <w:t>/</w:t>
            </w:r>
          </w:p>
        </w:tc>
      </w:tr>
      <w:tr w:rsidR="00D33612" w:rsidRPr="00FC1444" w:rsidTr="00B7069F">
        <w:trPr>
          <w:gridAfter w:val="1"/>
          <w:wAfter w:w="59" w:type="dxa"/>
          <w:trHeight w:val="38"/>
          <w:jc w:val="center"/>
        </w:trPr>
        <w:tc>
          <w:tcPr>
            <w:tcW w:w="632" w:type="dxa"/>
            <w:vMerge w:val="restart"/>
            <w:tcMar>
              <w:left w:w="0" w:type="dxa"/>
              <w:right w:w="0" w:type="dxa"/>
            </w:tcMar>
            <w:vAlign w:val="center"/>
          </w:tcPr>
          <w:p w:rsidR="00D33612" w:rsidRPr="00FC1444" w:rsidRDefault="00D33612">
            <w:pPr>
              <w:spacing w:line="0" w:lineRule="atLeast"/>
              <w:jc w:val="center"/>
              <w:rPr>
                <w:rFonts w:eastAsiaTheme="minorEastAsia"/>
                <w:szCs w:val="21"/>
              </w:rPr>
            </w:pPr>
            <w:r w:rsidRPr="00FC1444">
              <w:rPr>
                <w:rFonts w:eastAsiaTheme="minorEastAsia"/>
                <w:szCs w:val="21"/>
              </w:rPr>
              <w:t>运营期</w:t>
            </w:r>
          </w:p>
        </w:tc>
        <w:tc>
          <w:tcPr>
            <w:tcW w:w="851" w:type="dxa"/>
            <w:vAlign w:val="center"/>
          </w:tcPr>
          <w:p w:rsidR="00D33612" w:rsidRPr="00FC1444" w:rsidRDefault="00D33612">
            <w:pPr>
              <w:spacing w:line="0" w:lineRule="atLeast"/>
              <w:jc w:val="center"/>
              <w:rPr>
                <w:rFonts w:eastAsiaTheme="minorEastAsia"/>
                <w:szCs w:val="21"/>
              </w:rPr>
            </w:pPr>
            <w:r w:rsidRPr="00FC1444">
              <w:rPr>
                <w:rFonts w:eastAsiaTheme="minorEastAsia"/>
                <w:szCs w:val="21"/>
              </w:rPr>
              <w:t>噪声</w:t>
            </w:r>
          </w:p>
        </w:tc>
        <w:tc>
          <w:tcPr>
            <w:tcW w:w="1275" w:type="dxa"/>
            <w:vAlign w:val="center"/>
          </w:tcPr>
          <w:p w:rsidR="00D33612" w:rsidRPr="00FC1444" w:rsidRDefault="00D33612">
            <w:pPr>
              <w:spacing w:line="0" w:lineRule="atLeast"/>
              <w:jc w:val="center"/>
              <w:rPr>
                <w:rFonts w:eastAsiaTheme="minorEastAsia"/>
                <w:szCs w:val="21"/>
              </w:rPr>
            </w:pPr>
            <w:r w:rsidRPr="00FC1444">
              <w:rPr>
                <w:rFonts w:eastAsiaTheme="minorEastAsia"/>
                <w:szCs w:val="21"/>
              </w:rPr>
              <w:t>厂界噪声</w:t>
            </w:r>
          </w:p>
        </w:tc>
        <w:tc>
          <w:tcPr>
            <w:tcW w:w="8931" w:type="dxa"/>
            <w:vAlign w:val="center"/>
          </w:tcPr>
          <w:p w:rsidR="00D33612" w:rsidRPr="00FC1444" w:rsidRDefault="00D33612">
            <w:pPr>
              <w:spacing w:line="0" w:lineRule="atLeast"/>
              <w:jc w:val="center"/>
              <w:rPr>
                <w:rFonts w:eastAsiaTheme="minorEastAsia"/>
                <w:szCs w:val="21"/>
              </w:rPr>
            </w:pPr>
            <w:r w:rsidRPr="00FC1444">
              <w:rPr>
                <w:rFonts w:eastAsiaTheme="minorEastAsia"/>
                <w:szCs w:val="21"/>
              </w:rPr>
              <w:t>运营期潜水泵、水肥一体化设备位于井房内，潜水泵位于地下，潜水泵、水肥一体化设备采取减振措施；变压器基础减振；临近敏感目标的道路处设置限速、禁鸣标识</w:t>
            </w:r>
          </w:p>
        </w:tc>
        <w:tc>
          <w:tcPr>
            <w:tcW w:w="2055" w:type="dxa"/>
            <w:vAlign w:val="center"/>
          </w:tcPr>
          <w:p w:rsidR="00D33612" w:rsidRPr="00FC1444" w:rsidRDefault="00D33612">
            <w:pPr>
              <w:spacing w:line="0" w:lineRule="atLeast"/>
              <w:jc w:val="center"/>
              <w:rPr>
                <w:rFonts w:eastAsiaTheme="minorEastAsia"/>
                <w:szCs w:val="21"/>
              </w:rPr>
            </w:pPr>
            <w:r w:rsidRPr="00FC1444">
              <w:rPr>
                <w:rFonts w:eastAsiaTheme="minorEastAsia"/>
                <w:szCs w:val="21"/>
              </w:rPr>
              <w:t>井房厂界</w:t>
            </w:r>
            <w:r w:rsidRPr="00FC1444">
              <w:rPr>
                <w:rFonts w:eastAsiaTheme="minorEastAsia"/>
                <w:bCs/>
                <w:szCs w:val="21"/>
              </w:rPr>
              <w:t>噪声执行《工业企业厂界环境噪声排放标准》（</w:t>
            </w:r>
            <w:r w:rsidRPr="00FC1444">
              <w:rPr>
                <w:rFonts w:eastAsiaTheme="minorEastAsia"/>
                <w:bCs/>
                <w:szCs w:val="21"/>
              </w:rPr>
              <w:t>GB12348-2008</w:t>
            </w:r>
            <w:r w:rsidRPr="00FC1444">
              <w:rPr>
                <w:rFonts w:eastAsiaTheme="minorEastAsia"/>
                <w:bCs/>
                <w:szCs w:val="21"/>
              </w:rPr>
              <w:t>）表</w:t>
            </w:r>
            <w:r w:rsidRPr="00FC1444">
              <w:rPr>
                <w:rFonts w:eastAsiaTheme="minorEastAsia"/>
                <w:bCs/>
                <w:szCs w:val="21"/>
              </w:rPr>
              <w:t>1</w:t>
            </w:r>
            <w:r w:rsidRPr="00FC1444">
              <w:rPr>
                <w:rFonts w:eastAsiaTheme="minorEastAsia"/>
                <w:bCs/>
                <w:szCs w:val="21"/>
              </w:rPr>
              <w:t>中</w:t>
            </w:r>
            <w:r w:rsidRPr="00FC1444">
              <w:rPr>
                <w:rFonts w:eastAsiaTheme="minorEastAsia"/>
                <w:bCs/>
                <w:szCs w:val="21"/>
              </w:rPr>
              <w:t>1</w:t>
            </w:r>
            <w:r w:rsidRPr="00FC1444">
              <w:rPr>
                <w:rFonts w:eastAsiaTheme="minorEastAsia"/>
                <w:bCs/>
                <w:szCs w:val="21"/>
              </w:rPr>
              <w:t>类标准</w:t>
            </w:r>
          </w:p>
        </w:tc>
      </w:tr>
      <w:tr w:rsidR="00D33612" w:rsidRPr="00FC1444" w:rsidTr="00B7069F">
        <w:trPr>
          <w:gridAfter w:val="1"/>
          <w:wAfter w:w="59" w:type="dxa"/>
          <w:trHeight w:val="38"/>
          <w:jc w:val="center"/>
        </w:trPr>
        <w:tc>
          <w:tcPr>
            <w:tcW w:w="632" w:type="dxa"/>
            <w:vMerge/>
            <w:tcMar>
              <w:left w:w="0" w:type="dxa"/>
              <w:right w:w="0" w:type="dxa"/>
            </w:tcMar>
            <w:vAlign w:val="center"/>
          </w:tcPr>
          <w:p w:rsidR="00D33612" w:rsidRPr="00FC1444" w:rsidRDefault="00D33612">
            <w:pPr>
              <w:spacing w:line="0" w:lineRule="atLeast"/>
              <w:jc w:val="center"/>
              <w:rPr>
                <w:rFonts w:eastAsiaTheme="minorEastAsia"/>
                <w:szCs w:val="21"/>
              </w:rPr>
            </w:pPr>
          </w:p>
        </w:tc>
        <w:tc>
          <w:tcPr>
            <w:tcW w:w="851" w:type="dxa"/>
            <w:vAlign w:val="center"/>
          </w:tcPr>
          <w:p w:rsidR="00D33612" w:rsidRPr="00FC1444" w:rsidRDefault="00D33612">
            <w:pPr>
              <w:pStyle w:val="aff7"/>
              <w:rPr>
                <w:rFonts w:eastAsiaTheme="minorEastAsia" w:hAnsi="Times New Roman"/>
                <w:snapToGrid w:val="0"/>
              </w:rPr>
            </w:pPr>
            <w:r w:rsidRPr="00FC1444">
              <w:rPr>
                <w:rFonts w:eastAsiaTheme="minorEastAsia" w:hAnsi="Times New Roman"/>
              </w:rPr>
              <w:t>环境风险</w:t>
            </w:r>
          </w:p>
        </w:tc>
        <w:tc>
          <w:tcPr>
            <w:tcW w:w="1275" w:type="dxa"/>
            <w:vAlign w:val="center"/>
          </w:tcPr>
          <w:p w:rsidR="00D33612" w:rsidRPr="00FC1444" w:rsidRDefault="00D33612">
            <w:pPr>
              <w:spacing w:line="0" w:lineRule="atLeast"/>
              <w:jc w:val="center"/>
              <w:rPr>
                <w:rFonts w:eastAsiaTheme="minorEastAsia"/>
                <w:szCs w:val="21"/>
              </w:rPr>
            </w:pPr>
            <w:r w:rsidRPr="00FC1444">
              <w:rPr>
                <w:rFonts w:eastAsiaTheme="minorEastAsia"/>
                <w:szCs w:val="21"/>
              </w:rPr>
              <w:t>应急预案</w:t>
            </w:r>
          </w:p>
        </w:tc>
        <w:tc>
          <w:tcPr>
            <w:tcW w:w="8931" w:type="dxa"/>
            <w:vAlign w:val="center"/>
          </w:tcPr>
          <w:p w:rsidR="00D33612" w:rsidRPr="00FC1444" w:rsidRDefault="00D33612">
            <w:pPr>
              <w:pStyle w:val="aff7"/>
              <w:rPr>
                <w:rFonts w:eastAsiaTheme="minorEastAsia" w:hAnsi="Times New Roman"/>
              </w:rPr>
            </w:pPr>
            <w:r w:rsidRPr="00FC1444">
              <w:rPr>
                <w:rFonts w:eastAsiaTheme="minorEastAsia" w:hAnsi="Times New Roman"/>
              </w:rPr>
              <w:t>本项目</w:t>
            </w:r>
            <w:r w:rsidRPr="00FC1444">
              <w:rPr>
                <w:rFonts w:eastAsiaTheme="minorEastAsia" w:hAnsi="Times New Roman"/>
                <w:bCs/>
              </w:rPr>
              <w:t>柴油机移动泵车</w:t>
            </w:r>
            <w:r w:rsidRPr="00FC1444">
              <w:rPr>
                <w:rFonts w:eastAsiaTheme="minorEastAsia" w:hAnsi="Times New Roman"/>
              </w:rPr>
              <w:t>油箱密闭，不使用于村内暂存，暂存处地面设置重点防渗（等效黏土防渗层</w:t>
            </w:r>
            <w:r w:rsidRPr="00FC1444">
              <w:rPr>
                <w:rFonts w:eastAsiaTheme="minorEastAsia" w:hAnsi="Times New Roman"/>
              </w:rPr>
              <w:t>Mb≥6.0m</w:t>
            </w:r>
            <w:r w:rsidRPr="00FC1444">
              <w:rPr>
                <w:rFonts w:eastAsiaTheme="minorEastAsia" w:hAnsi="Times New Roman"/>
              </w:rPr>
              <w:t>，渗透系数</w:t>
            </w:r>
            <w:r w:rsidRPr="00FC1444">
              <w:rPr>
                <w:rFonts w:eastAsiaTheme="minorEastAsia" w:hAnsi="Times New Roman"/>
              </w:rPr>
              <w:t>K≤1.0×10</w:t>
            </w:r>
            <w:r w:rsidRPr="00FC1444">
              <w:rPr>
                <w:rFonts w:eastAsiaTheme="minorEastAsia" w:hAnsi="Times New Roman"/>
                <w:vertAlign w:val="superscript"/>
              </w:rPr>
              <w:t>-7</w:t>
            </w:r>
            <w:r w:rsidRPr="00FC1444">
              <w:rPr>
                <w:rFonts w:eastAsiaTheme="minorEastAsia" w:hAnsi="Times New Roman"/>
              </w:rPr>
              <w:t>cm/s</w:t>
            </w:r>
            <w:r w:rsidRPr="00FC1444">
              <w:rPr>
                <w:rFonts w:eastAsiaTheme="minorEastAsia" w:hAnsi="Times New Roman"/>
              </w:rPr>
              <w:t>）；定期巡检，重点检查变压器油箱密封性（有无裂缝、接口渗漏）、油位刻度（判断是否存在异常泄漏），发现变压器油泄漏应立即停止此变压器运行，属于小范围污染，立即用沙土进行掩埋，产生的含油沙土及泄漏物交由资质单位处置进行运输和处置；制定突发环境事件应急预案，说明各种可能发生的突发环境事件情景及应急处置措施</w:t>
            </w:r>
          </w:p>
        </w:tc>
        <w:tc>
          <w:tcPr>
            <w:tcW w:w="2055" w:type="dxa"/>
            <w:vAlign w:val="center"/>
          </w:tcPr>
          <w:p w:rsidR="00D33612" w:rsidRPr="00FC1444" w:rsidRDefault="00D33612">
            <w:pPr>
              <w:spacing w:line="0" w:lineRule="atLeast"/>
              <w:jc w:val="center"/>
              <w:rPr>
                <w:rFonts w:eastAsiaTheme="minorEastAsia"/>
              </w:rPr>
            </w:pPr>
            <w:r w:rsidRPr="00FC1444">
              <w:rPr>
                <w:rFonts w:eastAsiaTheme="minorEastAsia"/>
              </w:rPr>
              <w:t>/</w:t>
            </w:r>
          </w:p>
        </w:tc>
      </w:tr>
    </w:tbl>
    <w:p w:rsidR="00B7069F" w:rsidRPr="00FC1444" w:rsidRDefault="00B7069F"/>
    <w:p w:rsidR="00B7069F" w:rsidRPr="00FC1444" w:rsidRDefault="00B7069F" w:rsidP="00B7069F">
      <w:pPr>
        <w:contextualSpacing/>
        <w:jc w:val="center"/>
        <w:rPr>
          <w:rFonts w:eastAsiaTheme="minorEastAsia"/>
          <w:b/>
          <w:snapToGrid w:val="0"/>
          <w:kern w:val="0"/>
          <w:szCs w:val="21"/>
          <w:lang w:val="zh-CN"/>
        </w:rPr>
      </w:pPr>
      <w:r w:rsidRPr="00FC1444">
        <w:rPr>
          <w:rFonts w:eastAsiaTheme="minorEastAsia"/>
          <w:b/>
          <w:snapToGrid w:val="0"/>
          <w:kern w:val="0"/>
          <w:szCs w:val="21"/>
          <w:lang w:val="zh-CN"/>
        </w:rPr>
        <w:lastRenderedPageBreak/>
        <w:t>续表</w:t>
      </w:r>
      <w:r w:rsidRPr="00FC1444">
        <w:rPr>
          <w:rFonts w:eastAsiaTheme="minorEastAsia"/>
          <w:b/>
          <w:snapToGrid w:val="0"/>
          <w:kern w:val="0"/>
          <w:szCs w:val="21"/>
          <w:lang w:val="zh-CN"/>
        </w:rPr>
        <w:t>8-3-1</w:t>
      </w:r>
      <w:r w:rsidRPr="00FC1444">
        <w:rPr>
          <w:rFonts w:eastAsiaTheme="minorEastAsia"/>
          <w:b/>
          <w:snapToGrid w:val="0"/>
          <w:kern w:val="0"/>
          <w:szCs w:val="21"/>
          <w:lang w:val="zh-CN"/>
        </w:rPr>
        <w:t>建设项目竣工环境保护验收一览表</w:t>
      </w:r>
    </w:p>
    <w:tbl>
      <w:tblPr>
        <w:tblW w:w="13744"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32"/>
        <w:gridCol w:w="962"/>
        <w:gridCol w:w="1276"/>
        <w:gridCol w:w="8789"/>
        <w:gridCol w:w="2085"/>
      </w:tblGrid>
      <w:tr w:rsidR="00B7069F" w:rsidRPr="00FC1444" w:rsidTr="00B7069F">
        <w:trPr>
          <w:trHeight w:val="405"/>
          <w:jc w:val="center"/>
        </w:trPr>
        <w:tc>
          <w:tcPr>
            <w:tcW w:w="632" w:type="dxa"/>
            <w:vMerge w:val="restart"/>
            <w:tcMar>
              <w:left w:w="0" w:type="dxa"/>
              <w:right w:w="0" w:type="dxa"/>
            </w:tcMar>
            <w:vAlign w:val="center"/>
          </w:tcPr>
          <w:p w:rsidR="00B7069F" w:rsidRPr="00FC1444" w:rsidRDefault="00B7069F" w:rsidP="00433F49">
            <w:pPr>
              <w:spacing w:line="0" w:lineRule="atLeast"/>
              <w:jc w:val="center"/>
              <w:rPr>
                <w:rFonts w:eastAsiaTheme="minorEastAsia"/>
                <w:szCs w:val="21"/>
              </w:rPr>
            </w:pPr>
            <w:r w:rsidRPr="00FC1444">
              <w:rPr>
                <w:rFonts w:eastAsiaTheme="minorEastAsia"/>
                <w:szCs w:val="21"/>
              </w:rPr>
              <w:t>运营期</w:t>
            </w:r>
          </w:p>
        </w:tc>
        <w:tc>
          <w:tcPr>
            <w:tcW w:w="962" w:type="dxa"/>
            <w:vMerge w:val="restart"/>
            <w:vAlign w:val="center"/>
          </w:tcPr>
          <w:p w:rsidR="00B7069F" w:rsidRPr="00FC1444" w:rsidRDefault="00B7069F">
            <w:pPr>
              <w:pStyle w:val="aff7"/>
              <w:rPr>
                <w:rFonts w:eastAsiaTheme="minorEastAsia" w:hAnsi="Times New Roman"/>
              </w:rPr>
            </w:pPr>
            <w:r w:rsidRPr="00FC1444">
              <w:rPr>
                <w:rFonts w:eastAsiaTheme="minorEastAsia" w:hAnsi="Times New Roman"/>
              </w:rPr>
              <w:t>固体废物</w:t>
            </w:r>
          </w:p>
        </w:tc>
        <w:tc>
          <w:tcPr>
            <w:tcW w:w="1276" w:type="dxa"/>
            <w:vAlign w:val="center"/>
          </w:tcPr>
          <w:p w:rsidR="00B7069F" w:rsidRPr="00FC1444" w:rsidRDefault="00B7069F" w:rsidP="00D33612">
            <w:pPr>
              <w:spacing w:line="0" w:lineRule="atLeast"/>
              <w:jc w:val="center"/>
              <w:rPr>
                <w:rFonts w:eastAsiaTheme="minorEastAsia"/>
                <w:szCs w:val="21"/>
              </w:rPr>
            </w:pPr>
            <w:r w:rsidRPr="00FC1444">
              <w:rPr>
                <w:rFonts w:eastAsiaTheme="minorEastAsia"/>
                <w:szCs w:val="21"/>
              </w:rPr>
              <w:t>秸秆、</w:t>
            </w:r>
            <w:r w:rsidRPr="00FC1444">
              <w:rPr>
                <w:rFonts w:eastAsiaTheme="minorEastAsia"/>
                <w:bCs/>
                <w:szCs w:val="21"/>
              </w:rPr>
              <w:t>废肥料包装袋</w:t>
            </w:r>
          </w:p>
        </w:tc>
        <w:tc>
          <w:tcPr>
            <w:tcW w:w="8789" w:type="dxa"/>
            <w:vAlign w:val="center"/>
          </w:tcPr>
          <w:p w:rsidR="00B7069F" w:rsidRPr="00FC1444" w:rsidRDefault="00B7069F">
            <w:pPr>
              <w:pStyle w:val="aff7"/>
              <w:rPr>
                <w:rFonts w:eastAsiaTheme="minorEastAsia" w:hAnsi="Times New Roman"/>
              </w:rPr>
            </w:pPr>
            <w:r w:rsidRPr="00FC1444">
              <w:rPr>
                <w:rFonts w:hAnsi="Times New Roman"/>
                <w:bCs/>
              </w:rPr>
              <w:t>由当地农民负责外售综合利用</w:t>
            </w:r>
          </w:p>
        </w:tc>
        <w:tc>
          <w:tcPr>
            <w:tcW w:w="2085" w:type="dxa"/>
            <w:vMerge w:val="restart"/>
            <w:vAlign w:val="center"/>
          </w:tcPr>
          <w:p w:rsidR="00B7069F" w:rsidRPr="00FC1444" w:rsidRDefault="00B7069F">
            <w:pPr>
              <w:spacing w:line="0" w:lineRule="atLeast"/>
              <w:jc w:val="center"/>
              <w:rPr>
                <w:rFonts w:eastAsiaTheme="minorEastAsia"/>
              </w:rPr>
            </w:pPr>
            <w:r w:rsidRPr="00FC1444">
              <w:rPr>
                <w:rFonts w:eastAsiaTheme="minorEastAsia"/>
                <w:szCs w:val="21"/>
              </w:rPr>
              <w:t>100%</w:t>
            </w:r>
            <w:r w:rsidRPr="00FC1444">
              <w:rPr>
                <w:rFonts w:eastAsiaTheme="minorEastAsia"/>
                <w:szCs w:val="21"/>
              </w:rPr>
              <w:t>处置</w:t>
            </w:r>
          </w:p>
        </w:tc>
      </w:tr>
      <w:tr w:rsidR="00B7069F" w:rsidRPr="00FC1444" w:rsidTr="00B7069F">
        <w:trPr>
          <w:trHeight w:val="405"/>
          <w:jc w:val="center"/>
        </w:trPr>
        <w:tc>
          <w:tcPr>
            <w:tcW w:w="632" w:type="dxa"/>
            <w:vMerge/>
            <w:tcMar>
              <w:left w:w="0" w:type="dxa"/>
              <w:right w:w="0" w:type="dxa"/>
            </w:tcMar>
            <w:vAlign w:val="center"/>
          </w:tcPr>
          <w:p w:rsidR="00B7069F" w:rsidRPr="00FC1444" w:rsidRDefault="00B7069F" w:rsidP="00433F49">
            <w:pPr>
              <w:spacing w:line="0" w:lineRule="atLeast"/>
              <w:jc w:val="center"/>
              <w:rPr>
                <w:rFonts w:eastAsiaTheme="minorEastAsia"/>
                <w:szCs w:val="21"/>
              </w:rPr>
            </w:pPr>
          </w:p>
        </w:tc>
        <w:tc>
          <w:tcPr>
            <w:tcW w:w="962" w:type="dxa"/>
            <w:vMerge/>
            <w:vAlign w:val="center"/>
          </w:tcPr>
          <w:p w:rsidR="00B7069F" w:rsidRPr="00FC1444" w:rsidRDefault="00B7069F">
            <w:pPr>
              <w:pStyle w:val="aff7"/>
              <w:rPr>
                <w:rFonts w:eastAsiaTheme="minorEastAsia" w:hAnsi="Times New Roman"/>
              </w:rPr>
            </w:pPr>
          </w:p>
        </w:tc>
        <w:tc>
          <w:tcPr>
            <w:tcW w:w="1276" w:type="dxa"/>
            <w:vAlign w:val="center"/>
          </w:tcPr>
          <w:p w:rsidR="00B7069F" w:rsidRPr="00FC1444" w:rsidRDefault="00B7069F">
            <w:pPr>
              <w:spacing w:line="0" w:lineRule="atLeast"/>
              <w:jc w:val="center"/>
              <w:rPr>
                <w:rFonts w:eastAsiaTheme="minorEastAsia"/>
                <w:szCs w:val="21"/>
              </w:rPr>
            </w:pPr>
            <w:r w:rsidRPr="00FC1444">
              <w:rPr>
                <w:rFonts w:eastAsiaTheme="minorEastAsia"/>
                <w:bCs/>
                <w:szCs w:val="21"/>
              </w:rPr>
              <w:t>农药包装物</w:t>
            </w:r>
          </w:p>
        </w:tc>
        <w:tc>
          <w:tcPr>
            <w:tcW w:w="8789" w:type="dxa"/>
            <w:vAlign w:val="center"/>
          </w:tcPr>
          <w:p w:rsidR="00B7069F" w:rsidRPr="00FC1444" w:rsidRDefault="00A05A30" w:rsidP="00D33612">
            <w:pPr>
              <w:pStyle w:val="aff7"/>
              <w:rPr>
                <w:rFonts w:hAnsi="Times New Roman"/>
                <w:bCs/>
              </w:rPr>
            </w:pPr>
            <w:r w:rsidRPr="00FC1444">
              <w:rPr>
                <w:rFonts w:hAnsi="Times New Roman"/>
                <w:bCs/>
              </w:rPr>
              <w:t>农业使用者及时收集农药包装物，</w:t>
            </w:r>
            <w:r w:rsidR="00B7069F" w:rsidRPr="00FC1444">
              <w:rPr>
                <w:rFonts w:hAnsi="Times New Roman"/>
                <w:bCs/>
              </w:rPr>
              <w:t>交回农药经营者或回收站</w:t>
            </w:r>
          </w:p>
        </w:tc>
        <w:tc>
          <w:tcPr>
            <w:tcW w:w="2085" w:type="dxa"/>
            <w:vMerge/>
            <w:vAlign w:val="center"/>
          </w:tcPr>
          <w:p w:rsidR="00B7069F" w:rsidRPr="00FC1444" w:rsidRDefault="00B7069F">
            <w:pPr>
              <w:spacing w:line="0" w:lineRule="atLeast"/>
              <w:jc w:val="center"/>
              <w:rPr>
                <w:rFonts w:eastAsiaTheme="minorEastAsia"/>
                <w:szCs w:val="21"/>
              </w:rPr>
            </w:pPr>
          </w:p>
        </w:tc>
      </w:tr>
      <w:tr w:rsidR="00B7069F" w:rsidRPr="00FC1444" w:rsidTr="00B7069F">
        <w:trPr>
          <w:trHeight w:val="402"/>
          <w:jc w:val="center"/>
        </w:trPr>
        <w:tc>
          <w:tcPr>
            <w:tcW w:w="632" w:type="dxa"/>
            <w:vMerge/>
            <w:tcMar>
              <w:left w:w="0" w:type="dxa"/>
              <w:right w:w="0" w:type="dxa"/>
            </w:tcMar>
            <w:vAlign w:val="center"/>
          </w:tcPr>
          <w:p w:rsidR="00B7069F" w:rsidRPr="00FC1444" w:rsidRDefault="00B7069F">
            <w:pPr>
              <w:spacing w:line="0" w:lineRule="atLeast"/>
              <w:jc w:val="center"/>
              <w:rPr>
                <w:rFonts w:eastAsiaTheme="minorEastAsia"/>
                <w:szCs w:val="21"/>
              </w:rPr>
            </w:pPr>
          </w:p>
        </w:tc>
        <w:tc>
          <w:tcPr>
            <w:tcW w:w="962" w:type="dxa"/>
            <w:vAlign w:val="center"/>
          </w:tcPr>
          <w:p w:rsidR="00B7069F" w:rsidRPr="00FC1444" w:rsidRDefault="00B7069F">
            <w:pPr>
              <w:pStyle w:val="aff7"/>
              <w:rPr>
                <w:rFonts w:eastAsiaTheme="minorEastAsia" w:hAnsi="Times New Roman"/>
                <w:snapToGrid w:val="0"/>
              </w:rPr>
            </w:pPr>
            <w:r w:rsidRPr="00FC1444">
              <w:rPr>
                <w:rFonts w:eastAsiaTheme="minorEastAsia" w:hAnsi="Times New Roman"/>
                <w:snapToGrid w:val="0"/>
              </w:rPr>
              <w:t>地下水</w:t>
            </w:r>
          </w:p>
        </w:tc>
        <w:tc>
          <w:tcPr>
            <w:tcW w:w="1276" w:type="dxa"/>
            <w:vAlign w:val="center"/>
          </w:tcPr>
          <w:p w:rsidR="00B7069F" w:rsidRPr="00FC1444" w:rsidRDefault="00B7069F">
            <w:pPr>
              <w:pStyle w:val="aff7"/>
              <w:rPr>
                <w:rFonts w:eastAsiaTheme="minorEastAsia" w:hAnsi="Times New Roman"/>
                <w:snapToGrid w:val="0"/>
              </w:rPr>
            </w:pPr>
            <w:r w:rsidRPr="00FC1444">
              <w:rPr>
                <w:rFonts w:eastAsiaTheme="minorEastAsia" w:hAnsi="Times New Roman"/>
              </w:rPr>
              <w:t>水位、</w:t>
            </w:r>
            <w:r w:rsidRPr="00FC1444">
              <w:rPr>
                <w:rFonts w:eastAsiaTheme="minorEastAsia" w:hAnsi="Times New Roman"/>
              </w:rPr>
              <w:t>pH</w:t>
            </w:r>
            <w:r w:rsidRPr="00FC1444">
              <w:rPr>
                <w:rFonts w:eastAsiaTheme="minorEastAsia" w:hAnsi="Times New Roman"/>
              </w:rPr>
              <w:t>、氨氮、耗氧量</w:t>
            </w:r>
          </w:p>
        </w:tc>
        <w:tc>
          <w:tcPr>
            <w:tcW w:w="8789" w:type="dxa"/>
            <w:vAlign w:val="center"/>
          </w:tcPr>
          <w:p w:rsidR="00B7069F" w:rsidRPr="00FC1444" w:rsidRDefault="00B7069F">
            <w:pPr>
              <w:pStyle w:val="aff7"/>
              <w:rPr>
                <w:rFonts w:eastAsiaTheme="minorEastAsia" w:hAnsi="Times New Roman"/>
                <w:snapToGrid w:val="0"/>
              </w:rPr>
            </w:pPr>
            <w:r w:rsidRPr="00FC1444">
              <w:rPr>
                <w:rFonts w:eastAsiaTheme="minorEastAsia" w:hAnsi="Times New Roman"/>
              </w:rPr>
              <w:t>分布均匀选取本项目</w:t>
            </w:r>
            <w:r w:rsidRPr="00FC1444">
              <w:rPr>
                <w:rFonts w:eastAsiaTheme="minorEastAsia" w:hAnsi="Times New Roman"/>
              </w:rPr>
              <w:t>3</w:t>
            </w:r>
            <w:r w:rsidRPr="00FC1444">
              <w:rPr>
                <w:rFonts w:eastAsiaTheme="minorEastAsia" w:hAnsi="Times New Roman"/>
              </w:rPr>
              <w:t>口灌溉井</w:t>
            </w:r>
            <w:r w:rsidRPr="00FC1444">
              <w:rPr>
                <w:rFonts w:eastAsiaTheme="minorEastAsia" w:hAnsi="Times New Roman"/>
                <w:lang w:val="zh-CN"/>
              </w:rPr>
              <w:t>（</w:t>
            </w:r>
            <w:r w:rsidR="00C0294E" w:rsidRPr="00FC1444">
              <w:rPr>
                <w:rFonts w:eastAsiaTheme="minorEastAsia" w:hAnsi="Times New Roman" w:hint="eastAsia"/>
              </w:rPr>
              <w:t>绥胜</w:t>
            </w:r>
            <w:r w:rsidR="00C0294E" w:rsidRPr="00FC1444">
              <w:rPr>
                <w:rFonts w:eastAsiaTheme="minorEastAsia" w:hAnsi="Times New Roman" w:hint="eastAsia"/>
              </w:rPr>
              <w:t>21#</w:t>
            </w:r>
            <w:r w:rsidR="00C0294E" w:rsidRPr="00FC1444">
              <w:rPr>
                <w:rFonts w:eastAsiaTheme="minorEastAsia" w:hAnsi="Times New Roman" w:hint="eastAsia"/>
              </w:rPr>
              <w:t>机电井、津河</w:t>
            </w:r>
            <w:r w:rsidR="00C0294E" w:rsidRPr="00FC1444">
              <w:rPr>
                <w:rFonts w:eastAsiaTheme="minorEastAsia" w:hAnsi="Times New Roman" w:hint="eastAsia"/>
              </w:rPr>
              <w:t>20#</w:t>
            </w:r>
            <w:r w:rsidR="00C0294E" w:rsidRPr="00FC1444">
              <w:rPr>
                <w:rFonts w:eastAsiaTheme="minorEastAsia" w:hAnsi="Times New Roman" w:hint="eastAsia"/>
              </w:rPr>
              <w:t>机电井、绥胜</w:t>
            </w:r>
            <w:r w:rsidR="00C0294E" w:rsidRPr="00FC1444">
              <w:rPr>
                <w:rFonts w:eastAsiaTheme="minorEastAsia" w:hAnsi="Times New Roman" w:hint="eastAsia"/>
              </w:rPr>
              <w:t>31#</w:t>
            </w:r>
            <w:r w:rsidR="00C0294E" w:rsidRPr="00FC1444">
              <w:rPr>
                <w:rFonts w:eastAsiaTheme="minorEastAsia" w:hAnsi="Times New Roman" w:hint="eastAsia"/>
              </w:rPr>
              <w:t>机电井</w:t>
            </w:r>
            <w:r w:rsidRPr="00FC1444">
              <w:rPr>
                <w:rFonts w:eastAsiaTheme="minorEastAsia" w:hAnsi="Times New Roman"/>
                <w:lang w:val="zh-CN"/>
              </w:rPr>
              <w:t>）</w:t>
            </w:r>
            <w:r w:rsidRPr="00FC1444">
              <w:rPr>
                <w:rFonts w:eastAsiaTheme="minorEastAsia" w:hAnsi="Times New Roman"/>
              </w:rPr>
              <w:t>作为跟踪监测井</w:t>
            </w:r>
          </w:p>
        </w:tc>
        <w:tc>
          <w:tcPr>
            <w:tcW w:w="2085" w:type="dxa"/>
            <w:vAlign w:val="center"/>
          </w:tcPr>
          <w:p w:rsidR="00B7069F" w:rsidRPr="00FC1444" w:rsidRDefault="00B7069F">
            <w:pPr>
              <w:spacing w:line="0" w:lineRule="atLeast"/>
              <w:jc w:val="center"/>
              <w:rPr>
                <w:rFonts w:eastAsiaTheme="minorEastAsia"/>
              </w:rPr>
            </w:pPr>
            <w:r w:rsidRPr="00FC1444">
              <w:rPr>
                <w:rFonts w:eastAsiaTheme="minorEastAsia"/>
                <w:szCs w:val="21"/>
              </w:rPr>
              <w:t>《地下水质量标准》</w:t>
            </w:r>
            <w:r w:rsidRPr="00FC1444">
              <w:rPr>
                <w:rFonts w:eastAsiaTheme="minorEastAsia"/>
                <w:szCs w:val="21"/>
              </w:rPr>
              <w:t>(GB/T14848-2017)Ⅲ</w:t>
            </w:r>
            <w:r w:rsidRPr="00FC1444">
              <w:rPr>
                <w:rFonts w:eastAsiaTheme="minorEastAsia"/>
                <w:szCs w:val="21"/>
              </w:rPr>
              <w:t>类标准</w:t>
            </w:r>
          </w:p>
        </w:tc>
      </w:tr>
      <w:tr w:rsidR="00B7069F" w:rsidRPr="00FC1444" w:rsidTr="00B7069F">
        <w:trPr>
          <w:trHeight w:val="430"/>
          <w:jc w:val="center"/>
        </w:trPr>
        <w:tc>
          <w:tcPr>
            <w:tcW w:w="632" w:type="dxa"/>
            <w:vMerge/>
            <w:tcMar>
              <w:left w:w="0" w:type="dxa"/>
              <w:right w:w="0" w:type="dxa"/>
            </w:tcMar>
            <w:vAlign w:val="center"/>
          </w:tcPr>
          <w:p w:rsidR="00B7069F" w:rsidRPr="00FC1444" w:rsidRDefault="00B7069F">
            <w:pPr>
              <w:spacing w:line="0" w:lineRule="atLeast"/>
              <w:jc w:val="center"/>
              <w:rPr>
                <w:rFonts w:eastAsiaTheme="minorEastAsia"/>
                <w:szCs w:val="21"/>
              </w:rPr>
            </w:pPr>
          </w:p>
        </w:tc>
        <w:tc>
          <w:tcPr>
            <w:tcW w:w="962" w:type="dxa"/>
            <w:vAlign w:val="center"/>
          </w:tcPr>
          <w:p w:rsidR="00B7069F" w:rsidRPr="00FC1444" w:rsidRDefault="00B7069F">
            <w:pPr>
              <w:pStyle w:val="aff7"/>
              <w:rPr>
                <w:rFonts w:eastAsiaTheme="minorEastAsia" w:hAnsi="Times New Roman"/>
                <w:snapToGrid w:val="0"/>
              </w:rPr>
            </w:pPr>
            <w:r w:rsidRPr="00FC1444">
              <w:rPr>
                <w:rFonts w:eastAsiaTheme="minorEastAsia" w:hAnsi="Times New Roman"/>
                <w:snapToGrid w:val="0"/>
              </w:rPr>
              <w:t>废气</w:t>
            </w:r>
          </w:p>
        </w:tc>
        <w:tc>
          <w:tcPr>
            <w:tcW w:w="1276" w:type="dxa"/>
            <w:vAlign w:val="center"/>
          </w:tcPr>
          <w:p w:rsidR="00B7069F" w:rsidRPr="00FC1444" w:rsidRDefault="00B7069F">
            <w:pPr>
              <w:pStyle w:val="aff7"/>
              <w:rPr>
                <w:rFonts w:eastAsiaTheme="minorEastAsia" w:hAnsi="Times New Roman"/>
                <w:snapToGrid w:val="0"/>
              </w:rPr>
            </w:pPr>
            <w:r w:rsidRPr="00FC1444">
              <w:rPr>
                <w:rFonts w:eastAsiaTheme="minorEastAsia" w:hAnsi="Times New Roman"/>
                <w:bCs/>
                <w:snapToGrid w:val="0"/>
              </w:rPr>
              <w:t>CO</w:t>
            </w:r>
            <w:r w:rsidRPr="00FC1444">
              <w:rPr>
                <w:rFonts w:eastAsiaTheme="minorEastAsia" w:hAnsi="Times New Roman"/>
                <w:bCs/>
                <w:snapToGrid w:val="0"/>
              </w:rPr>
              <w:t>、</w:t>
            </w:r>
            <w:r w:rsidRPr="00FC1444">
              <w:rPr>
                <w:rFonts w:eastAsiaTheme="minorEastAsia" w:hAnsi="Times New Roman"/>
                <w:bCs/>
                <w:snapToGrid w:val="0"/>
              </w:rPr>
              <w:t>HC+NOx</w:t>
            </w:r>
            <w:r w:rsidRPr="00FC1444">
              <w:rPr>
                <w:rFonts w:eastAsiaTheme="minorEastAsia" w:hAnsi="Times New Roman"/>
                <w:bCs/>
                <w:snapToGrid w:val="0"/>
              </w:rPr>
              <w:t>、</w:t>
            </w:r>
            <w:r w:rsidRPr="00FC1444">
              <w:rPr>
                <w:rFonts w:eastAsiaTheme="minorEastAsia" w:hAnsi="Times New Roman"/>
                <w:bCs/>
                <w:snapToGrid w:val="0"/>
              </w:rPr>
              <w:t>THC</w:t>
            </w:r>
          </w:p>
        </w:tc>
        <w:tc>
          <w:tcPr>
            <w:tcW w:w="8789" w:type="dxa"/>
            <w:vAlign w:val="center"/>
          </w:tcPr>
          <w:p w:rsidR="00B7069F" w:rsidRPr="00FC1444" w:rsidRDefault="00B7069F">
            <w:pPr>
              <w:pStyle w:val="aff7"/>
              <w:rPr>
                <w:rFonts w:eastAsiaTheme="minorEastAsia" w:hAnsi="Times New Roman"/>
              </w:rPr>
            </w:pPr>
            <w:r w:rsidRPr="00FC1444">
              <w:rPr>
                <w:rFonts w:eastAsiaTheme="minorEastAsia" w:hAnsi="Times New Roman"/>
                <w:kern w:val="0"/>
              </w:rPr>
              <w:t>田间道路</w:t>
            </w:r>
            <w:r w:rsidRPr="00FC1444">
              <w:rPr>
                <w:rFonts w:eastAsiaTheme="minorEastAsia" w:hAnsi="Times New Roman"/>
              </w:rPr>
              <w:t>车辆通过会产生少量汽车尾气，采取限速措施；排水沟仅在降水无法排出情况下采用柴油机移动泵车进行排水，使用时间较短，采用轻质柴油，减少柴油机移动泵车废气影响</w:t>
            </w:r>
          </w:p>
        </w:tc>
        <w:tc>
          <w:tcPr>
            <w:tcW w:w="2085" w:type="dxa"/>
            <w:vAlign w:val="center"/>
          </w:tcPr>
          <w:p w:rsidR="00B7069F" w:rsidRPr="00FC1444" w:rsidRDefault="00B7069F">
            <w:pPr>
              <w:spacing w:line="0" w:lineRule="atLeast"/>
              <w:jc w:val="center"/>
              <w:rPr>
                <w:rFonts w:eastAsiaTheme="minorEastAsia"/>
                <w:szCs w:val="21"/>
              </w:rPr>
            </w:pPr>
            <w:r w:rsidRPr="00FC1444">
              <w:rPr>
                <w:rFonts w:eastAsiaTheme="minorEastAsia"/>
                <w:szCs w:val="21"/>
              </w:rPr>
              <w:t>GB20891-2014</w:t>
            </w:r>
            <w:r w:rsidRPr="00FC1444">
              <w:rPr>
                <w:rFonts w:eastAsiaTheme="minorEastAsia"/>
                <w:szCs w:val="21"/>
              </w:rPr>
              <w:t>《非道路移动机械用柴油机排气污染物排放限值及测量方法（中国三、四阶段）》中第四阶段（</w:t>
            </w:r>
            <w:r w:rsidRPr="00FC1444">
              <w:rPr>
                <w:rFonts w:eastAsiaTheme="minorEastAsia"/>
                <w:szCs w:val="21"/>
              </w:rPr>
              <w:t>130</w:t>
            </w:r>
            <w:r w:rsidRPr="00FC1444">
              <w:rPr>
                <w:rFonts w:eastAsiaTheme="minorEastAsia"/>
                <w:szCs w:val="21"/>
              </w:rPr>
              <w:t>＜额定功率＜</w:t>
            </w:r>
            <w:r w:rsidRPr="00FC1444">
              <w:rPr>
                <w:rFonts w:eastAsiaTheme="minorEastAsia"/>
                <w:szCs w:val="21"/>
              </w:rPr>
              <w:t>560kW</w:t>
            </w:r>
            <w:r w:rsidRPr="00FC1444">
              <w:rPr>
                <w:rFonts w:eastAsiaTheme="minorEastAsia"/>
                <w:szCs w:val="21"/>
              </w:rPr>
              <w:t>）</w:t>
            </w:r>
          </w:p>
        </w:tc>
      </w:tr>
    </w:tbl>
    <w:p w:rsidR="002A5A5E" w:rsidRPr="00FC1444" w:rsidRDefault="002A5A5E">
      <w:pPr>
        <w:widowControl/>
        <w:jc w:val="left"/>
        <w:rPr>
          <w:rFonts w:eastAsiaTheme="minorEastAsia"/>
          <w:kern w:val="0"/>
          <w:sz w:val="24"/>
        </w:rPr>
      </w:pPr>
    </w:p>
    <w:p w:rsidR="002A5A5E" w:rsidRPr="00FC1444" w:rsidRDefault="002A5A5E">
      <w:pPr>
        <w:widowControl/>
        <w:jc w:val="left"/>
        <w:rPr>
          <w:rFonts w:eastAsiaTheme="minorEastAsia"/>
          <w:kern w:val="0"/>
          <w:sz w:val="24"/>
        </w:rPr>
        <w:sectPr w:rsidR="002A5A5E" w:rsidRPr="00FC1444">
          <w:pgSz w:w="16838" w:h="11906" w:orient="landscape"/>
          <w:pgMar w:top="1800" w:right="1440" w:bottom="1800" w:left="1440" w:header="851" w:footer="992" w:gutter="0"/>
          <w:cols w:space="720"/>
          <w:docGrid w:type="lines" w:linePitch="326"/>
        </w:sectPr>
      </w:pPr>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73" w:name="_Toc208906255"/>
      <w:bookmarkStart w:id="174" w:name="_Toc15991728"/>
      <w:bookmarkStart w:id="175" w:name="_Toc454962811"/>
      <w:bookmarkStart w:id="176" w:name="_Toc477954592"/>
      <w:r w:rsidRPr="00FC1444">
        <w:rPr>
          <w:rFonts w:eastAsiaTheme="minorEastAsia"/>
          <w:b/>
          <w:bCs/>
          <w:kern w:val="44"/>
          <w:sz w:val="30"/>
          <w:szCs w:val="30"/>
        </w:rPr>
        <w:lastRenderedPageBreak/>
        <w:t>8.4</w:t>
      </w:r>
      <w:r w:rsidRPr="00FC1444">
        <w:rPr>
          <w:rFonts w:eastAsiaTheme="minorEastAsia"/>
          <w:b/>
          <w:bCs/>
          <w:kern w:val="44"/>
          <w:sz w:val="30"/>
          <w:szCs w:val="30"/>
        </w:rPr>
        <w:t>总量控制</w:t>
      </w:r>
      <w:bookmarkEnd w:id="173"/>
      <w:bookmarkEnd w:id="174"/>
    </w:p>
    <w:p w:rsidR="002A5A5E" w:rsidRPr="00FC1444" w:rsidRDefault="00611CBA">
      <w:pPr>
        <w:keepNext/>
        <w:keepLines/>
        <w:spacing w:before="100" w:beforeAutospacing="1" w:after="100" w:afterAutospacing="1"/>
        <w:outlineLvl w:val="2"/>
        <w:rPr>
          <w:rFonts w:eastAsiaTheme="minorEastAsia"/>
          <w:b/>
          <w:sz w:val="28"/>
          <w:szCs w:val="28"/>
        </w:rPr>
      </w:pPr>
      <w:bookmarkStart w:id="177" w:name="_Toc15991729"/>
      <w:r w:rsidRPr="00FC1444">
        <w:rPr>
          <w:rFonts w:eastAsiaTheme="minorEastAsia"/>
          <w:b/>
          <w:sz w:val="28"/>
          <w:szCs w:val="28"/>
        </w:rPr>
        <w:t>8.4.1</w:t>
      </w:r>
      <w:r w:rsidRPr="00FC1444">
        <w:rPr>
          <w:rFonts w:eastAsiaTheme="minorEastAsia"/>
          <w:b/>
          <w:sz w:val="28"/>
          <w:szCs w:val="28"/>
        </w:rPr>
        <w:t>总量控制的意义和原则</w:t>
      </w:r>
      <w:bookmarkEnd w:id="177"/>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实施总量控制将促进资源、能源的合理利用和优化配置，加速产业结构的调整，实现经济增长方式的根本转变；实施总量控制可以较好地协调经济发展与环境保护之间的关系，推动可持续发展战略的实行。</w:t>
      </w:r>
    </w:p>
    <w:p w:rsidR="002A5A5E" w:rsidRPr="00FC1444" w:rsidRDefault="00611CBA">
      <w:pPr>
        <w:keepNext/>
        <w:keepLines/>
        <w:spacing w:before="100" w:beforeAutospacing="1" w:after="100" w:afterAutospacing="1"/>
        <w:outlineLvl w:val="2"/>
        <w:rPr>
          <w:rFonts w:eastAsiaTheme="minorEastAsia"/>
          <w:b/>
          <w:sz w:val="28"/>
          <w:szCs w:val="28"/>
        </w:rPr>
      </w:pPr>
      <w:bookmarkStart w:id="178" w:name="_Toc15991730"/>
      <w:r w:rsidRPr="00FC1444">
        <w:rPr>
          <w:rFonts w:eastAsiaTheme="minorEastAsia"/>
          <w:b/>
          <w:sz w:val="28"/>
          <w:szCs w:val="28"/>
        </w:rPr>
        <w:t>8.4.2</w:t>
      </w:r>
      <w:r w:rsidRPr="00FC1444">
        <w:rPr>
          <w:rFonts w:eastAsiaTheme="minorEastAsia"/>
          <w:b/>
          <w:sz w:val="28"/>
          <w:szCs w:val="28"/>
        </w:rPr>
        <w:t>总量控制因子</w:t>
      </w:r>
      <w:bookmarkEnd w:id="178"/>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本项目无总量控制因子。</w:t>
      </w:r>
      <w:bookmarkEnd w:id="175"/>
      <w:bookmarkEnd w:id="176"/>
    </w:p>
    <w:p w:rsidR="002A5A5E" w:rsidRPr="00FC1444" w:rsidRDefault="002A5A5E">
      <w:pPr>
        <w:widowControl/>
        <w:spacing w:line="360" w:lineRule="auto"/>
        <w:jc w:val="left"/>
        <w:rPr>
          <w:rFonts w:eastAsiaTheme="minorEastAsia"/>
          <w:b/>
          <w:szCs w:val="22"/>
        </w:rPr>
        <w:sectPr w:rsidR="002A5A5E" w:rsidRPr="00FC1444">
          <w:pgSz w:w="11906" w:h="16838"/>
          <w:pgMar w:top="1440" w:right="1800" w:bottom="1440" w:left="1800" w:header="851" w:footer="992" w:gutter="0"/>
          <w:cols w:space="720"/>
          <w:docGrid w:type="lines" w:linePitch="312"/>
        </w:sectPr>
      </w:pPr>
    </w:p>
    <w:p w:rsidR="002A5A5E" w:rsidRPr="00FC1444"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79" w:name="_Toc477954594"/>
      <w:bookmarkStart w:id="180" w:name="_Toc484077219"/>
      <w:bookmarkStart w:id="181" w:name="_Toc208906256"/>
      <w:r w:rsidRPr="00FC1444">
        <w:rPr>
          <w:rFonts w:eastAsiaTheme="minorEastAsia"/>
          <w:b/>
          <w:kern w:val="0"/>
          <w:sz w:val="32"/>
          <w:szCs w:val="32"/>
        </w:rPr>
        <w:lastRenderedPageBreak/>
        <w:t>9</w:t>
      </w:r>
      <w:r w:rsidR="00FC1444" w:rsidRPr="00FC1444">
        <w:rPr>
          <w:rFonts w:eastAsiaTheme="minorEastAsia"/>
          <w:b/>
          <w:kern w:val="0"/>
          <w:sz w:val="32"/>
          <w:szCs w:val="32"/>
        </w:rPr>
        <w:t>生态</w:t>
      </w:r>
      <w:r w:rsidRPr="00FC1444">
        <w:rPr>
          <w:rFonts w:eastAsiaTheme="minorEastAsia"/>
          <w:b/>
          <w:kern w:val="0"/>
          <w:sz w:val="32"/>
          <w:szCs w:val="32"/>
        </w:rPr>
        <w:t>环境影响评价结论</w:t>
      </w:r>
      <w:bookmarkEnd w:id="179"/>
      <w:bookmarkEnd w:id="180"/>
      <w:bookmarkEnd w:id="181"/>
    </w:p>
    <w:p w:rsidR="002A5A5E" w:rsidRPr="00FC1444" w:rsidRDefault="00611CBA">
      <w:pPr>
        <w:spacing w:before="100" w:beforeAutospacing="1" w:after="100" w:afterAutospacing="1"/>
        <w:contextualSpacing/>
        <w:jc w:val="left"/>
        <w:outlineLvl w:val="1"/>
        <w:rPr>
          <w:rFonts w:eastAsiaTheme="minorEastAsia"/>
          <w:b/>
          <w:bCs/>
          <w:kern w:val="44"/>
          <w:sz w:val="30"/>
          <w:szCs w:val="30"/>
        </w:rPr>
      </w:pPr>
      <w:bookmarkStart w:id="182" w:name="_Toc15991734"/>
      <w:bookmarkStart w:id="183" w:name="_Toc477368706"/>
      <w:bookmarkStart w:id="184" w:name="_Toc457030108"/>
      <w:bookmarkStart w:id="185" w:name="_Toc208906257"/>
      <w:r w:rsidRPr="00FC1444">
        <w:rPr>
          <w:rFonts w:eastAsiaTheme="minorEastAsia"/>
          <w:b/>
          <w:bCs/>
          <w:kern w:val="44"/>
          <w:sz w:val="30"/>
          <w:szCs w:val="30"/>
        </w:rPr>
        <w:t>9.1</w:t>
      </w:r>
      <w:r w:rsidRPr="00FC1444">
        <w:rPr>
          <w:rFonts w:eastAsiaTheme="minorEastAsia"/>
          <w:b/>
          <w:bCs/>
          <w:kern w:val="44"/>
          <w:sz w:val="30"/>
          <w:szCs w:val="30"/>
        </w:rPr>
        <w:t>评价结论</w:t>
      </w:r>
      <w:bookmarkEnd w:id="182"/>
      <w:bookmarkEnd w:id="183"/>
      <w:bookmarkEnd w:id="184"/>
      <w:bookmarkEnd w:id="185"/>
    </w:p>
    <w:p w:rsidR="002A5A5E" w:rsidRPr="00FC1444" w:rsidRDefault="00611CBA">
      <w:pPr>
        <w:keepNext/>
        <w:keepLines/>
        <w:spacing w:before="100" w:beforeAutospacing="1" w:after="100" w:afterAutospacing="1"/>
        <w:outlineLvl w:val="2"/>
        <w:rPr>
          <w:rFonts w:eastAsiaTheme="minorEastAsia"/>
          <w:b/>
          <w:sz w:val="28"/>
          <w:szCs w:val="28"/>
        </w:rPr>
      </w:pPr>
      <w:bookmarkStart w:id="186" w:name="_Toc15991735"/>
      <w:r w:rsidRPr="00FC1444">
        <w:rPr>
          <w:rFonts w:eastAsiaTheme="minorEastAsia"/>
          <w:b/>
          <w:sz w:val="28"/>
          <w:szCs w:val="28"/>
        </w:rPr>
        <w:t>9.1.1</w:t>
      </w:r>
      <w:r w:rsidRPr="00FC1444">
        <w:rPr>
          <w:rFonts w:eastAsiaTheme="minorEastAsia"/>
          <w:b/>
          <w:sz w:val="28"/>
          <w:szCs w:val="28"/>
        </w:rPr>
        <w:t>建设概况</w:t>
      </w:r>
      <w:bookmarkEnd w:id="186"/>
    </w:p>
    <w:p w:rsidR="002A5A5E" w:rsidRPr="00FC1444" w:rsidRDefault="00611CBA">
      <w:pPr>
        <w:spacing w:line="360" w:lineRule="auto"/>
        <w:ind w:firstLineChars="200" w:firstLine="480"/>
        <w:contextualSpacing/>
        <w:rPr>
          <w:rFonts w:eastAsiaTheme="minorEastAsia"/>
          <w:sz w:val="24"/>
        </w:rPr>
      </w:pPr>
      <w:bookmarkStart w:id="187" w:name="_Toc15991736"/>
      <w:r w:rsidRPr="00FC1444">
        <w:rPr>
          <w:rFonts w:eastAsiaTheme="minorEastAsia"/>
          <w:sz w:val="24"/>
        </w:rPr>
        <w:t>本项目为</w:t>
      </w:r>
      <w:r w:rsidR="00AE168C" w:rsidRPr="00FC1444">
        <w:rPr>
          <w:rFonts w:eastAsiaTheme="minorEastAsia"/>
          <w:sz w:val="24"/>
        </w:rPr>
        <w:t>北林区</w:t>
      </w:r>
      <w:r w:rsidR="00AE168C" w:rsidRPr="00FC1444">
        <w:rPr>
          <w:rFonts w:eastAsiaTheme="minorEastAsia"/>
          <w:sz w:val="24"/>
        </w:rPr>
        <w:t>2026</w:t>
      </w:r>
      <w:r w:rsidR="00AE168C" w:rsidRPr="00FC1444">
        <w:rPr>
          <w:rFonts w:eastAsiaTheme="minorEastAsia"/>
          <w:sz w:val="24"/>
        </w:rPr>
        <w:t>年高标准农田建设项目</w:t>
      </w:r>
      <w:r w:rsidRPr="00FC1444">
        <w:rPr>
          <w:rFonts w:eastAsiaTheme="minorEastAsia"/>
          <w:sz w:val="24"/>
        </w:rPr>
        <w:t>，位于</w:t>
      </w:r>
      <w:r w:rsidR="00433F49" w:rsidRPr="00FC1444">
        <w:rPr>
          <w:rFonts w:eastAsiaTheme="minorEastAsia"/>
          <w:sz w:val="24"/>
        </w:rPr>
        <w:t>黑龙江省绥化市北林区绥胜镇富强村、胜利二村；津河镇民胜村、津河村、靠河村；五营乡互相村、东围村、金伏村；三河镇太安村、永德村、合作村</w:t>
      </w:r>
      <w:r w:rsidRPr="00FC1444">
        <w:rPr>
          <w:rFonts w:eastAsiaTheme="minorEastAsia"/>
          <w:sz w:val="24"/>
        </w:rPr>
        <w:t>。</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主要建设田块整治工程：</w:t>
      </w:r>
      <w:r w:rsidR="00591495" w:rsidRPr="00FC1444">
        <w:rPr>
          <w:rFonts w:eastAsiaTheme="minorEastAsia"/>
          <w:sz w:val="24"/>
        </w:rPr>
        <w:t>旱田土地平整面积</w:t>
      </w:r>
      <w:r w:rsidR="00591495" w:rsidRPr="00FC1444">
        <w:rPr>
          <w:rFonts w:eastAsiaTheme="minorEastAsia"/>
          <w:sz w:val="24"/>
        </w:rPr>
        <w:t>1298.97</w:t>
      </w:r>
      <w:r w:rsidR="00591495" w:rsidRPr="00FC1444">
        <w:rPr>
          <w:rFonts w:eastAsiaTheme="minorEastAsia"/>
          <w:sz w:val="24"/>
        </w:rPr>
        <w:t>亩</w:t>
      </w:r>
      <w:r w:rsidR="003E49C4" w:rsidRPr="00FC1444">
        <w:rPr>
          <w:rFonts w:eastAsiaTheme="minorEastAsia"/>
          <w:sz w:val="24"/>
        </w:rPr>
        <w:t>，</w:t>
      </w:r>
      <w:r w:rsidR="00591495" w:rsidRPr="00FC1444">
        <w:rPr>
          <w:rFonts w:eastAsiaTheme="minorEastAsia"/>
          <w:sz w:val="24"/>
        </w:rPr>
        <w:t>低洼地土地平整面积</w:t>
      </w:r>
      <w:r w:rsidR="00591495" w:rsidRPr="00FC1444">
        <w:rPr>
          <w:rFonts w:eastAsiaTheme="minorEastAsia"/>
          <w:sz w:val="24"/>
        </w:rPr>
        <w:t>2032.55</w:t>
      </w:r>
      <w:r w:rsidR="00591495" w:rsidRPr="00FC1444">
        <w:rPr>
          <w:rFonts w:eastAsiaTheme="minorEastAsia"/>
          <w:sz w:val="24"/>
        </w:rPr>
        <w:t>亩</w:t>
      </w:r>
      <w:r w:rsidR="003E49C4" w:rsidRPr="00FC1444">
        <w:rPr>
          <w:rFonts w:eastAsiaTheme="minorEastAsia"/>
          <w:sz w:val="24"/>
        </w:rPr>
        <w:t>；</w:t>
      </w:r>
      <w:r w:rsidR="00591495" w:rsidRPr="00FC1444">
        <w:rPr>
          <w:rFonts w:eastAsiaTheme="minorEastAsia"/>
          <w:sz w:val="24"/>
        </w:rPr>
        <w:t>水田格田改造面积</w:t>
      </w:r>
      <w:r w:rsidR="00591495" w:rsidRPr="00FC1444">
        <w:rPr>
          <w:rFonts w:eastAsiaTheme="minorEastAsia"/>
          <w:sz w:val="24"/>
        </w:rPr>
        <w:t>17212.82</w:t>
      </w:r>
      <w:r w:rsidR="00591495" w:rsidRPr="00FC1444">
        <w:rPr>
          <w:rFonts w:eastAsiaTheme="minorEastAsia"/>
          <w:sz w:val="24"/>
        </w:rPr>
        <w:t>亩</w:t>
      </w:r>
      <w:r w:rsidR="003E49C4" w:rsidRPr="00FC1444">
        <w:rPr>
          <w:rFonts w:eastAsiaTheme="minorEastAsia"/>
          <w:sz w:val="24"/>
        </w:rPr>
        <w:t>；</w:t>
      </w:r>
      <w:r w:rsidR="00591495" w:rsidRPr="00FC1444">
        <w:rPr>
          <w:rFonts w:eastAsiaTheme="minorEastAsia"/>
          <w:sz w:val="24"/>
        </w:rPr>
        <w:t>坑塘回填</w:t>
      </w:r>
      <w:r w:rsidR="00591495" w:rsidRPr="00FC1444">
        <w:rPr>
          <w:rFonts w:eastAsiaTheme="minorEastAsia"/>
          <w:sz w:val="24"/>
        </w:rPr>
        <w:t>5.21</w:t>
      </w:r>
      <w:r w:rsidR="00591495" w:rsidRPr="00FC1444">
        <w:rPr>
          <w:rFonts w:eastAsiaTheme="minorEastAsia"/>
          <w:sz w:val="24"/>
        </w:rPr>
        <w:t>亩</w:t>
      </w:r>
      <w:r w:rsidR="00216445" w:rsidRPr="00FC1444">
        <w:rPr>
          <w:rFonts w:eastAsiaTheme="minorEastAsia"/>
          <w:sz w:val="24"/>
        </w:rPr>
        <w:t>；</w:t>
      </w:r>
      <w:r w:rsidR="00216445" w:rsidRPr="00FC1444">
        <w:rPr>
          <w:rFonts w:eastAsiaTheme="minorEastAsia"/>
          <w:bCs/>
          <w:sz w:val="24"/>
        </w:rPr>
        <w:t>土地深松、深翻及抛洒有机肥总面积</w:t>
      </w:r>
      <w:r w:rsidR="00216445" w:rsidRPr="00FC1444">
        <w:rPr>
          <w:rFonts w:eastAsiaTheme="minorEastAsia"/>
          <w:bCs/>
          <w:sz w:val="24"/>
        </w:rPr>
        <w:t>84626</w:t>
      </w:r>
      <w:r w:rsidR="00216445" w:rsidRPr="00FC1444">
        <w:rPr>
          <w:rFonts w:eastAsiaTheme="minorEastAsia"/>
          <w:bCs/>
          <w:sz w:val="24"/>
        </w:rPr>
        <w:t>亩</w:t>
      </w:r>
      <w:r w:rsidRPr="00FC1444">
        <w:rPr>
          <w:rFonts w:eastAsiaTheme="minorEastAsia"/>
          <w:sz w:val="24"/>
        </w:rPr>
        <w:t>。灌溉与排水工程：</w:t>
      </w:r>
      <w:r w:rsidR="003E49C4" w:rsidRPr="00FC1444">
        <w:rPr>
          <w:rFonts w:eastAsiaTheme="minorEastAsia"/>
          <w:sz w:val="24"/>
        </w:rPr>
        <w:t>新打机电井</w:t>
      </w:r>
      <w:r w:rsidR="00DD3A44" w:rsidRPr="00FC1444">
        <w:rPr>
          <w:rFonts w:eastAsiaTheme="minorEastAsia"/>
          <w:sz w:val="24"/>
        </w:rPr>
        <w:t>156</w:t>
      </w:r>
      <w:r w:rsidR="00DD3A44" w:rsidRPr="00FC1444">
        <w:rPr>
          <w:rFonts w:eastAsiaTheme="minorEastAsia"/>
          <w:sz w:val="24"/>
        </w:rPr>
        <w:t>眼</w:t>
      </w:r>
      <w:r w:rsidR="003E49C4" w:rsidRPr="00FC1444">
        <w:rPr>
          <w:rFonts w:eastAsiaTheme="minorEastAsia"/>
          <w:sz w:val="24"/>
        </w:rPr>
        <w:t>，</w:t>
      </w:r>
      <w:r w:rsidR="00B13464" w:rsidRPr="00FC1444">
        <w:rPr>
          <w:rFonts w:eastAsiaTheme="minorEastAsia"/>
          <w:sz w:val="24"/>
        </w:rPr>
        <w:t>配套井房</w:t>
      </w:r>
      <w:r w:rsidR="00B13464" w:rsidRPr="00FC1444">
        <w:rPr>
          <w:rFonts w:eastAsiaTheme="minorEastAsia"/>
          <w:sz w:val="24"/>
        </w:rPr>
        <w:t>156</w:t>
      </w:r>
      <w:r w:rsidR="00B13464" w:rsidRPr="00FC1444">
        <w:rPr>
          <w:rFonts w:eastAsiaTheme="minorEastAsia"/>
          <w:sz w:val="24"/>
        </w:rPr>
        <w:t>座、井泵</w:t>
      </w:r>
      <w:r w:rsidR="00B13464" w:rsidRPr="00FC1444">
        <w:rPr>
          <w:rFonts w:eastAsiaTheme="minorEastAsia"/>
          <w:sz w:val="24"/>
        </w:rPr>
        <w:t>156</w:t>
      </w:r>
      <w:r w:rsidR="00B13464" w:rsidRPr="00FC1444">
        <w:rPr>
          <w:rFonts w:eastAsiaTheme="minorEastAsia"/>
          <w:sz w:val="24"/>
        </w:rPr>
        <w:t>台</w:t>
      </w:r>
      <w:r w:rsidR="003E49C4" w:rsidRPr="00FC1444">
        <w:rPr>
          <w:rFonts w:eastAsiaTheme="minorEastAsia"/>
          <w:sz w:val="24"/>
        </w:rPr>
        <w:t>，</w:t>
      </w:r>
      <w:r w:rsidR="00B13464" w:rsidRPr="00FC1444">
        <w:rPr>
          <w:rFonts w:eastAsiaTheme="minorEastAsia"/>
          <w:sz w:val="24"/>
        </w:rPr>
        <w:t>水肥一体灌溉面积</w:t>
      </w:r>
      <w:r w:rsidR="00B13464" w:rsidRPr="00FC1444">
        <w:rPr>
          <w:rFonts w:eastAsiaTheme="minorEastAsia"/>
          <w:sz w:val="24"/>
        </w:rPr>
        <w:t>11285</w:t>
      </w:r>
      <w:r w:rsidR="00B13464" w:rsidRPr="00FC1444">
        <w:rPr>
          <w:rFonts w:eastAsiaTheme="minorEastAsia"/>
          <w:sz w:val="24"/>
        </w:rPr>
        <w:t>亩</w:t>
      </w:r>
      <w:r w:rsidR="003E49C4" w:rsidRPr="00FC1444">
        <w:rPr>
          <w:rFonts w:eastAsiaTheme="minorEastAsia"/>
          <w:sz w:val="24"/>
        </w:rPr>
        <w:t>；</w:t>
      </w:r>
      <w:r w:rsidR="00B13464" w:rsidRPr="00FC1444">
        <w:rPr>
          <w:rFonts w:eastAsiaTheme="minorEastAsia"/>
          <w:sz w:val="24"/>
        </w:rPr>
        <w:t>渠道衬砌</w:t>
      </w:r>
      <w:r w:rsidR="00B13464" w:rsidRPr="00FC1444">
        <w:rPr>
          <w:rFonts w:eastAsiaTheme="minorEastAsia"/>
          <w:sz w:val="24"/>
        </w:rPr>
        <w:t>35.19km</w:t>
      </w:r>
      <w:r w:rsidR="003E49C4" w:rsidRPr="00FC1444">
        <w:rPr>
          <w:rFonts w:eastAsiaTheme="minorEastAsia"/>
          <w:sz w:val="24"/>
        </w:rPr>
        <w:t>；购置移动泵车</w:t>
      </w:r>
      <w:r w:rsidR="007D6514" w:rsidRPr="00FC1444">
        <w:rPr>
          <w:rFonts w:eastAsiaTheme="minorEastAsia"/>
          <w:sz w:val="24"/>
        </w:rPr>
        <w:t>15</w:t>
      </w:r>
      <w:r w:rsidR="007D6514" w:rsidRPr="00FC1444">
        <w:rPr>
          <w:rFonts w:eastAsiaTheme="minorEastAsia"/>
          <w:sz w:val="24"/>
        </w:rPr>
        <w:t>台</w:t>
      </w:r>
      <w:r w:rsidR="003E49C4" w:rsidRPr="00FC1444">
        <w:rPr>
          <w:rFonts w:eastAsiaTheme="minorEastAsia"/>
          <w:sz w:val="24"/>
        </w:rPr>
        <w:t>；</w:t>
      </w:r>
      <w:r w:rsidR="001E1C9B" w:rsidRPr="00FC1444">
        <w:rPr>
          <w:rFonts w:eastAsiaTheme="minorEastAsia"/>
          <w:sz w:val="24"/>
        </w:rPr>
        <w:t>排水沟清淤</w:t>
      </w:r>
      <w:r w:rsidR="001E1C9B" w:rsidRPr="00FC1444">
        <w:rPr>
          <w:rFonts w:eastAsiaTheme="minorEastAsia"/>
          <w:sz w:val="24"/>
        </w:rPr>
        <w:t>69.926km</w:t>
      </w:r>
      <w:r w:rsidR="003E49C4" w:rsidRPr="00FC1444">
        <w:rPr>
          <w:rFonts w:eastAsiaTheme="minorEastAsia"/>
          <w:sz w:val="24"/>
        </w:rPr>
        <w:t>，</w:t>
      </w:r>
      <w:r w:rsidR="00B13464" w:rsidRPr="00FC1444">
        <w:rPr>
          <w:rFonts w:eastAsiaTheme="minorEastAsia"/>
          <w:sz w:val="24"/>
        </w:rPr>
        <w:t>排水沟护砌</w:t>
      </w:r>
      <w:r w:rsidR="00B13464" w:rsidRPr="00FC1444">
        <w:rPr>
          <w:rFonts w:eastAsiaTheme="minorEastAsia"/>
          <w:sz w:val="24"/>
        </w:rPr>
        <w:t>69.926km</w:t>
      </w:r>
      <w:r w:rsidR="003E49C4" w:rsidRPr="00FC1444">
        <w:rPr>
          <w:rFonts w:eastAsiaTheme="minorEastAsia"/>
          <w:sz w:val="24"/>
        </w:rPr>
        <w:t>；</w:t>
      </w:r>
      <w:r w:rsidR="00B13464" w:rsidRPr="00FC1444">
        <w:rPr>
          <w:rFonts w:eastAsiaTheme="minorEastAsia"/>
          <w:sz w:val="24"/>
        </w:rPr>
        <w:t>新建建筑物</w:t>
      </w:r>
      <w:r w:rsidR="00B13464" w:rsidRPr="00FC1444">
        <w:rPr>
          <w:rFonts w:eastAsiaTheme="minorEastAsia"/>
          <w:sz w:val="24"/>
        </w:rPr>
        <w:t>2530</w:t>
      </w:r>
      <w:r w:rsidR="00B13464" w:rsidRPr="00FC1444">
        <w:rPr>
          <w:rFonts w:eastAsiaTheme="minorEastAsia"/>
          <w:sz w:val="24"/>
        </w:rPr>
        <w:t>座，其中：涵洞</w:t>
      </w:r>
      <w:r w:rsidR="00B13464" w:rsidRPr="00FC1444">
        <w:rPr>
          <w:rFonts w:eastAsiaTheme="minorEastAsia"/>
          <w:sz w:val="24"/>
        </w:rPr>
        <w:t>691</w:t>
      </w:r>
      <w:r w:rsidR="00B13464" w:rsidRPr="00FC1444">
        <w:rPr>
          <w:rFonts w:eastAsiaTheme="minorEastAsia"/>
          <w:sz w:val="24"/>
        </w:rPr>
        <w:t>座，过水路面</w:t>
      </w:r>
      <w:r w:rsidR="00B13464" w:rsidRPr="00FC1444">
        <w:rPr>
          <w:rFonts w:eastAsiaTheme="minorEastAsia"/>
          <w:sz w:val="24"/>
        </w:rPr>
        <w:t>19</w:t>
      </w:r>
      <w:r w:rsidR="00B13464" w:rsidRPr="00FC1444">
        <w:rPr>
          <w:rFonts w:eastAsiaTheme="minorEastAsia"/>
          <w:sz w:val="24"/>
        </w:rPr>
        <w:t>座，毛门</w:t>
      </w:r>
      <w:r w:rsidR="00B13464" w:rsidRPr="00FC1444">
        <w:rPr>
          <w:rFonts w:eastAsiaTheme="minorEastAsia"/>
          <w:sz w:val="24"/>
        </w:rPr>
        <w:t>708</w:t>
      </w:r>
      <w:r w:rsidR="00B13464" w:rsidRPr="00FC1444">
        <w:rPr>
          <w:rFonts w:eastAsiaTheme="minorEastAsia"/>
          <w:sz w:val="24"/>
        </w:rPr>
        <w:t>座、排水管</w:t>
      </w:r>
      <w:r w:rsidR="00B13464" w:rsidRPr="00FC1444">
        <w:rPr>
          <w:rFonts w:eastAsiaTheme="minorEastAsia"/>
          <w:sz w:val="24"/>
        </w:rPr>
        <w:t>708</w:t>
      </w:r>
      <w:r w:rsidR="00B13464" w:rsidRPr="00FC1444">
        <w:rPr>
          <w:rFonts w:eastAsiaTheme="minorEastAsia"/>
          <w:sz w:val="24"/>
        </w:rPr>
        <w:t>座、农门</w:t>
      </w:r>
      <w:r w:rsidR="00B13464" w:rsidRPr="00FC1444">
        <w:rPr>
          <w:rFonts w:eastAsiaTheme="minorEastAsia"/>
          <w:sz w:val="24"/>
        </w:rPr>
        <w:t>47</w:t>
      </w:r>
      <w:r w:rsidR="00B13464" w:rsidRPr="00FC1444">
        <w:rPr>
          <w:rFonts w:eastAsiaTheme="minorEastAsia"/>
          <w:sz w:val="24"/>
        </w:rPr>
        <w:t>座、节制闸</w:t>
      </w:r>
      <w:r w:rsidR="00B13464" w:rsidRPr="00FC1444">
        <w:rPr>
          <w:rFonts w:eastAsiaTheme="minorEastAsia"/>
          <w:sz w:val="24"/>
        </w:rPr>
        <w:t>354</w:t>
      </w:r>
      <w:r w:rsidR="00B13464" w:rsidRPr="00FC1444">
        <w:rPr>
          <w:rFonts w:eastAsiaTheme="minorEastAsia"/>
          <w:sz w:val="24"/>
        </w:rPr>
        <w:t>座、农桥</w:t>
      </w:r>
      <w:r w:rsidR="00B13464" w:rsidRPr="00FC1444">
        <w:rPr>
          <w:rFonts w:eastAsiaTheme="minorEastAsia"/>
          <w:sz w:val="24"/>
        </w:rPr>
        <w:t>1</w:t>
      </w:r>
      <w:r w:rsidR="00B13464" w:rsidRPr="00FC1444">
        <w:rPr>
          <w:rFonts w:eastAsiaTheme="minorEastAsia"/>
          <w:sz w:val="24"/>
        </w:rPr>
        <w:t>座、退水闸</w:t>
      </w:r>
      <w:r w:rsidR="00B13464" w:rsidRPr="00FC1444">
        <w:rPr>
          <w:rFonts w:eastAsiaTheme="minorEastAsia"/>
          <w:sz w:val="24"/>
        </w:rPr>
        <w:t>2</w:t>
      </w:r>
      <w:r w:rsidR="00B13464" w:rsidRPr="00FC1444">
        <w:rPr>
          <w:rFonts w:eastAsiaTheme="minorEastAsia"/>
          <w:sz w:val="24"/>
        </w:rPr>
        <w:t>座</w:t>
      </w:r>
      <w:r w:rsidRPr="00FC1444">
        <w:rPr>
          <w:rFonts w:eastAsiaTheme="minorEastAsia"/>
          <w:sz w:val="24"/>
        </w:rPr>
        <w:t>。田间道路工程：</w:t>
      </w:r>
      <w:r w:rsidR="00B13464" w:rsidRPr="00FC1444">
        <w:rPr>
          <w:rFonts w:eastAsiaTheme="minorEastAsia"/>
          <w:sz w:val="24"/>
        </w:rPr>
        <w:t>修缮道路</w:t>
      </w:r>
      <w:r w:rsidR="00B13464" w:rsidRPr="00FC1444">
        <w:rPr>
          <w:rFonts w:eastAsiaTheme="minorEastAsia"/>
          <w:sz w:val="24"/>
        </w:rPr>
        <w:t>184</w:t>
      </w:r>
      <w:r w:rsidR="00B13464" w:rsidRPr="00FC1444">
        <w:rPr>
          <w:rFonts w:eastAsiaTheme="minorEastAsia"/>
          <w:sz w:val="24"/>
        </w:rPr>
        <w:t>条，共</w:t>
      </w:r>
      <w:r w:rsidR="00B13464" w:rsidRPr="00FC1444">
        <w:rPr>
          <w:rFonts w:eastAsiaTheme="minorEastAsia"/>
          <w:sz w:val="24"/>
        </w:rPr>
        <w:t>145.33km</w:t>
      </w:r>
      <w:r w:rsidR="003E49C4" w:rsidRPr="00FC1444">
        <w:rPr>
          <w:rFonts w:eastAsiaTheme="minorEastAsia"/>
          <w:sz w:val="24"/>
        </w:rPr>
        <w:t>，其中：</w:t>
      </w:r>
      <w:r w:rsidR="00B13464" w:rsidRPr="00FC1444">
        <w:rPr>
          <w:rFonts w:eastAsiaTheme="minorEastAsia"/>
          <w:sz w:val="24"/>
        </w:rPr>
        <w:t>机耕路（混凝土路面）</w:t>
      </w:r>
      <w:r w:rsidR="00B13464" w:rsidRPr="00FC1444">
        <w:rPr>
          <w:rFonts w:eastAsiaTheme="minorEastAsia"/>
          <w:sz w:val="24"/>
        </w:rPr>
        <w:t>67</w:t>
      </w:r>
      <w:r w:rsidR="00B13464" w:rsidRPr="00FC1444">
        <w:rPr>
          <w:rFonts w:eastAsiaTheme="minorEastAsia"/>
          <w:sz w:val="24"/>
        </w:rPr>
        <w:t>条，共</w:t>
      </w:r>
      <w:r w:rsidR="00B13464" w:rsidRPr="00FC1444">
        <w:rPr>
          <w:rFonts w:eastAsiaTheme="minorEastAsia"/>
          <w:sz w:val="24"/>
        </w:rPr>
        <w:t>54.083km</w:t>
      </w:r>
      <w:r w:rsidR="00B13464" w:rsidRPr="00FC1444">
        <w:rPr>
          <w:rFonts w:eastAsiaTheme="minorEastAsia"/>
          <w:sz w:val="24"/>
        </w:rPr>
        <w:t>；生产路（砂石路面）</w:t>
      </w:r>
      <w:r w:rsidR="00B13464" w:rsidRPr="00FC1444">
        <w:rPr>
          <w:rFonts w:eastAsiaTheme="minorEastAsia"/>
          <w:sz w:val="24"/>
        </w:rPr>
        <w:t>117</w:t>
      </w:r>
      <w:r w:rsidR="00B13464" w:rsidRPr="00FC1444">
        <w:rPr>
          <w:rFonts w:eastAsiaTheme="minorEastAsia"/>
          <w:sz w:val="24"/>
        </w:rPr>
        <w:t>条，共</w:t>
      </w:r>
      <w:r w:rsidR="00B13464" w:rsidRPr="00FC1444">
        <w:rPr>
          <w:rFonts w:eastAsiaTheme="minorEastAsia"/>
          <w:sz w:val="24"/>
        </w:rPr>
        <w:t>91.248km</w:t>
      </w:r>
      <w:r w:rsidRPr="00FC1444">
        <w:rPr>
          <w:rFonts w:eastAsiaTheme="minorEastAsia"/>
          <w:sz w:val="24"/>
        </w:rPr>
        <w:t>。农田输配电工程：</w:t>
      </w:r>
      <w:r w:rsidR="00141045" w:rsidRPr="00FC1444">
        <w:rPr>
          <w:rFonts w:eastAsiaTheme="minorEastAsia"/>
          <w:sz w:val="24"/>
        </w:rPr>
        <w:t>新建</w:t>
      </w:r>
      <w:r w:rsidR="00141045" w:rsidRPr="00FC1444">
        <w:rPr>
          <w:rFonts w:eastAsiaTheme="minorEastAsia"/>
          <w:sz w:val="24"/>
        </w:rPr>
        <w:t>10kV</w:t>
      </w:r>
      <w:r w:rsidR="00141045" w:rsidRPr="00FC1444">
        <w:rPr>
          <w:rFonts w:eastAsiaTheme="minorEastAsia"/>
          <w:sz w:val="24"/>
        </w:rPr>
        <w:t>高压线路</w:t>
      </w:r>
      <w:r w:rsidR="00141045" w:rsidRPr="00FC1444">
        <w:rPr>
          <w:rFonts w:eastAsiaTheme="minorEastAsia"/>
          <w:sz w:val="24"/>
        </w:rPr>
        <w:t>111.836km</w:t>
      </w:r>
      <w:r w:rsidR="00141045" w:rsidRPr="00FC1444">
        <w:rPr>
          <w:rFonts w:eastAsiaTheme="minorEastAsia"/>
          <w:sz w:val="24"/>
        </w:rPr>
        <w:t>；新建</w:t>
      </w:r>
      <w:r w:rsidR="00141045" w:rsidRPr="00FC1444">
        <w:rPr>
          <w:rFonts w:eastAsiaTheme="minorEastAsia"/>
          <w:sz w:val="24"/>
        </w:rPr>
        <w:t>0.4kV</w:t>
      </w:r>
      <w:r w:rsidR="00141045" w:rsidRPr="00FC1444">
        <w:rPr>
          <w:rFonts w:eastAsiaTheme="minorEastAsia"/>
          <w:sz w:val="24"/>
        </w:rPr>
        <w:t>低压线路</w:t>
      </w:r>
      <w:r w:rsidR="00141045" w:rsidRPr="00FC1444">
        <w:rPr>
          <w:rFonts w:eastAsiaTheme="minorEastAsia"/>
          <w:sz w:val="24"/>
        </w:rPr>
        <w:t>21.73km</w:t>
      </w:r>
      <w:r w:rsidR="003E49C4" w:rsidRPr="00FC1444">
        <w:rPr>
          <w:rFonts w:eastAsiaTheme="minorEastAsia"/>
          <w:sz w:val="24"/>
        </w:rPr>
        <w:t>。</w:t>
      </w:r>
      <w:r w:rsidRPr="00FC1444">
        <w:rPr>
          <w:rFonts w:eastAsiaTheme="minorEastAsia"/>
          <w:sz w:val="24"/>
        </w:rPr>
        <w:t>配套</w:t>
      </w:r>
      <w:r w:rsidR="003D06B8" w:rsidRPr="00FC1444">
        <w:rPr>
          <w:rFonts w:eastAsiaTheme="minorEastAsia"/>
          <w:sz w:val="24"/>
        </w:rPr>
        <w:t>变压器</w:t>
      </w:r>
      <w:r w:rsidR="00DF0EB9" w:rsidRPr="00FC1444">
        <w:rPr>
          <w:rFonts w:eastAsiaTheme="minorEastAsia"/>
          <w:sz w:val="24"/>
        </w:rPr>
        <w:t>97</w:t>
      </w:r>
      <w:r w:rsidR="00DF0EB9" w:rsidRPr="00FC1444">
        <w:rPr>
          <w:rFonts w:eastAsiaTheme="minorEastAsia"/>
          <w:sz w:val="24"/>
        </w:rPr>
        <w:t>台</w:t>
      </w:r>
      <w:r w:rsidRPr="00FC1444">
        <w:rPr>
          <w:rFonts w:eastAsiaTheme="minorEastAsia"/>
          <w:sz w:val="24"/>
        </w:rPr>
        <w:t>。</w:t>
      </w:r>
      <w:r w:rsidR="00DE7DE3" w:rsidRPr="00FC1444">
        <w:rPr>
          <w:rFonts w:eastAsiaTheme="minorEastAsia"/>
          <w:sz w:val="24"/>
        </w:rPr>
        <w:t>农田防护及生态环境保护</w:t>
      </w:r>
      <w:r w:rsidR="00DE7DE3" w:rsidRPr="00FC1444">
        <w:rPr>
          <w:rFonts w:eastAsiaTheme="minorEastAsia"/>
          <w:bCs/>
          <w:sz w:val="24"/>
        </w:rPr>
        <w:t>工程：</w:t>
      </w:r>
      <w:r w:rsidR="00DE7DE3" w:rsidRPr="00FC1444">
        <w:rPr>
          <w:rFonts w:eastAsiaTheme="minorEastAsia"/>
          <w:sz w:val="24"/>
        </w:rPr>
        <w:t>规划农田防护林</w:t>
      </w:r>
      <w:r w:rsidR="00DE7DE3" w:rsidRPr="00FC1444">
        <w:rPr>
          <w:rFonts w:eastAsiaTheme="minorEastAsia"/>
          <w:sz w:val="24"/>
        </w:rPr>
        <w:t>2638</w:t>
      </w:r>
      <w:r w:rsidR="00DE7DE3" w:rsidRPr="00FC1444">
        <w:rPr>
          <w:rFonts w:eastAsiaTheme="minorEastAsia"/>
          <w:sz w:val="24"/>
        </w:rPr>
        <w:t>株，栽种樟子松</w:t>
      </w:r>
      <w:r w:rsidR="00DE7DE3" w:rsidRPr="00FC1444">
        <w:rPr>
          <w:rFonts w:eastAsiaTheme="minorEastAsia"/>
          <w:sz w:val="24"/>
        </w:rPr>
        <w:t>637</w:t>
      </w:r>
      <w:r w:rsidR="00DE7DE3" w:rsidRPr="00FC1444">
        <w:rPr>
          <w:rFonts w:eastAsiaTheme="minorEastAsia"/>
          <w:sz w:val="24"/>
        </w:rPr>
        <w:t>株，栽种杨树</w:t>
      </w:r>
      <w:r w:rsidR="00DE7DE3" w:rsidRPr="00FC1444">
        <w:rPr>
          <w:rFonts w:eastAsiaTheme="minorEastAsia"/>
          <w:sz w:val="24"/>
        </w:rPr>
        <w:t>2001</w:t>
      </w:r>
      <w:r w:rsidR="00DE7DE3" w:rsidRPr="00FC1444">
        <w:rPr>
          <w:rFonts w:eastAsiaTheme="minorEastAsia"/>
          <w:sz w:val="24"/>
        </w:rPr>
        <w:t>株；</w:t>
      </w:r>
      <w:r w:rsidR="00DE7DE3" w:rsidRPr="00FC1444">
        <w:rPr>
          <w:rFonts w:eastAsiaTheme="minorEastAsia"/>
          <w:bCs/>
          <w:sz w:val="24"/>
        </w:rPr>
        <w:t>沟头防护</w:t>
      </w:r>
      <w:r w:rsidR="00DE7DE3" w:rsidRPr="00FC1444">
        <w:rPr>
          <w:rFonts w:eastAsiaTheme="minorEastAsia"/>
          <w:bCs/>
          <w:sz w:val="24"/>
        </w:rPr>
        <w:t>1</w:t>
      </w:r>
      <w:r w:rsidR="00DE7DE3" w:rsidRPr="00FC1444">
        <w:rPr>
          <w:rFonts w:eastAsiaTheme="minorEastAsia"/>
          <w:bCs/>
          <w:sz w:val="24"/>
        </w:rPr>
        <w:t>座；侵蚀沟治理</w:t>
      </w:r>
      <w:r w:rsidR="00DE7DE3" w:rsidRPr="00FC1444">
        <w:rPr>
          <w:rFonts w:eastAsiaTheme="minorEastAsia"/>
          <w:bCs/>
          <w:sz w:val="24"/>
        </w:rPr>
        <w:t>0.063</w:t>
      </w:r>
      <w:r w:rsidR="00DE7DE3" w:rsidRPr="00FC1444">
        <w:rPr>
          <w:rFonts w:eastAsiaTheme="minorEastAsia"/>
          <w:bCs/>
          <w:sz w:val="24"/>
        </w:rPr>
        <w:t>公里</w:t>
      </w:r>
      <w:r w:rsidR="00591495" w:rsidRPr="00FC1444">
        <w:rPr>
          <w:rFonts w:eastAsiaTheme="minorEastAsia"/>
          <w:bCs/>
          <w:sz w:val="24"/>
        </w:rPr>
        <w:t>。</w:t>
      </w:r>
      <w:r w:rsidR="00D622BA" w:rsidRPr="00FC1444">
        <w:rPr>
          <w:rFonts w:eastAsiaTheme="minorEastAsia"/>
          <w:sz w:val="24"/>
        </w:rPr>
        <w:t>建设</w:t>
      </w:r>
      <w:r w:rsidR="00D622BA" w:rsidRPr="00FC1444">
        <w:rPr>
          <w:rFonts w:eastAsiaTheme="minorEastAsia"/>
          <w:sz w:val="24"/>
        </w:rPr>
        <w:t>21</w:t>
      </w:r>
      <w:r w:rsidR="00D622BA" w:rsidRPr="00FC1444">
        <w:rPr>
          <w:rFonts w:eastAsiaTheme="minorEastAsia"/>
          <w:sz w:val="24"/>
        </w:rPr>
        <w:t>万亩高标准农田（旱田</w:t>
      </w:r>
      <w:r w:rsidR="00D622BA" w:rsidRPr="00FC1444">
        <w:rPr>
          <w:rFonts w:eastAsiaTheme="minorEastAsia"/>
          <w:sz w:val="24"/>
        </w:rPr>
        <w:t>11.84</w:t>
      </w:r>
      <w:r w:rsidR="00D622BA" w:rsidRPr="00FC1444">
        <w:rPr>
          <w:rFonts w:eastAsiaTheme="minorEastAsia"/>
          <w:sz w:val="24"/>
        </w:rPr>
        <w:t>万亩，水田</w:t>
      </w:r>
      <w:r w:rsidR="00D622BA" w:rsidRPr="00FC1444">
        <w:rPr>
          <w:rFonts w:eastAsiaTheme="minorEastAsia"/>
          <w:sz w:val="24"/>
        </w:rPr>
        <w:t>9.16</w:t>
      </w:r>
      <w:r w:rsidR="00D622BA" w:rsidRPr="00FC1444">
        <w:rPr>
          <w:rFonts w:eastAsiaTheme="minorEastAsia"/>
          <w:sz w:val="24"/>
        </w:rPr>
        <w:t>万亩）</w:t>
      </w:r>
      <w:r w:rsidRPr="00FC1444">
        <w:rPr>
          <w:rFonts w:eastAsiaTheme="minorEastAsia"/>
          <w:sz w:val="24"/>
        </w:rPr>
        <w:t>。</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9.1.2</w:t>
      </w:r>
      <w:r w:rsidRPr="00FC1444">
        <w:rPr>
          <w:rFonts w:eastAsiaTheme="minorEastAsia"/>
          <w:b/>
          <w:sz w:val="28"/>
          <w:szCs w:val="28"/>
        </w:rPr>
        <w:t>项目符合性结论</w:t>
      </w:r>
      <w:bookmarkEnd w:id="187"/>
    </w:p>
    <w:p w:rsidR="002A5A5E" w:rsidRPr="00FC1444" w:rsidRDefault="00611CBA">
      <w:pPr>
        <w:autoSpaceDE w:val="0"/>
        <w:autoSpaceDN w:val="0"/>
        <w:spacing w:before="100" w:beforeAutospacing="1" w:after="100" w:afterAutospacing="1"/>
        <w:outlineLvl w:val="3"/>
        <w:rPr>
          <w:rFonts w:eastAsiaTheme="minorEastAsia"/>
          <w:b/>
          <w:bCs/>
          <w:sz w:val="24"/>
        </w:rPr>
      </w:pPr>
      <w:r w:rsidRPr="00FC1444">
        <w:rPr>
          <w:rFonts w:eastAsiaTheme="minorEastAsia"/>
          <w:b/>
          <w:bCs/>
          <w:sz w:val="24"/>
        </w:rPr>
        <w:t>9.1.2.1</w:t>
      </w:r>
      <w:r w:rsidRPr="00FC1444">
        <w:rPr>
          <w:rFonts w:eastAsiaTheme="minorEastAsia"/>
          <w:b/>
          <w:bCs/>
          <w:sz w:val="24"/>
        </w:rPr>
        <w:t>产业政策符合性结论</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本项目为高标准农田建设项目，根据《产业结构调整指导目录（</w:t>
      </w:r>
      <w:r w:rsidRPr="00FC1444">
        <w:rPr>
          <w:rFonts w:ascii="Times New Roman" w:hAnsi="Times New Roman" w:cs="Times New Roman"/>
        </w:rPr>
        <w:t>2024</w:t>
      </w:r>
      <w:r w:rsidRPr="00FC1444">
        <w:rPr>
          <w:rFonts w:ascii="Times New Roman" w:hAnsi="Times New Roman" w:cs="Times New Roman"/>
        </w:rPr>
        <w:t>年本）》，本项目属于第一类鼓励类、第一项</w:t>
      </w:r>
      <w:r w:rsidRPr="00FC1444">
        <w:rPr>
          <w:rFonts w:ascii="Times New Roman" w:hAnsi="Times New Roman" w:cs="Times New Roman"/>
        </w:rPr>
        <w:t>“</w:t>
      </w:r>
      <w:r w:rsidRPr="00FC1444">
        <w:rPr>
          <w:rFonts w:ascii="Times New Roman" w:hAnsi="Times New Roman" w:cs="Times New Roman"/>
        </w:rPr>
        <w:t>农林业</w:t>
      </w:r>
      <w:r w:rsidRPr="00FC1444">
        <w:rPr>
          <w:rFonts w:ascii="Times New Roman" w:hAnsi="Times New Roman" w:cs="Times New Roman"/>
        </w:rPr>
        <w:t>”</w:t>
      </w:r>
      <w:r w:rsidRPr="00FC1444">
        <w:rPr>
          <w:rFonts w:ascii="Times New Roman" w:hAnsi="Times New Roman" w:cs="Times New Roman"/>
        </w:rPr>
        <w:t>中</w:t>
      </w:r>
      <w:r w:rsidRPr="00FC1444">
        <w:rPr>
          <w:rFonts w:ascii="Times New Roman" w:hAnsi="Times New Roman" w:cs="Times New Roman"/>
        </w:rPr>
        <w:t>“1</w:t>
      </w:r>
      <w:r w:rsidRPr="00FC1444">
        <w:rPr>
          <w:rFonts w:ascii="Times New Roman" w:hAnsi="Times New Roman" w:cs="Times New Roman"/>
        </w:rPr>
        <w:t>、农田建设与保护工程（含高标准农田建设、农田水利建设、高效节水灌溉、农田整治等），土地综合整治</w:t>
      </w:r>
      <w:r w:rsidRPr="00FC1444">
        <w:rPr>
          <w:rFonts w:ascii="Times New Roman" w:hAnsi="Times New Roman" w:cs="Times New Roman"/>
        </w:rPr>
        <w:t>”</w:t>
      </w:r>
      <w:r w:rsidRPr="00FC1444">
        <w:rPr>
          <w:rFonts w:ascii="Times New Roman" w:hAnsi="Times New Roman" w:cs="Times New Roman"/>
        </w:rPr>
        <w:t>及鼓励类二、水利中</w:t>
      </w:r>
      <w:r w:rsidRPr="00FC1444">
        <w:rPr>
          <w:rFonts w:ascii="Times New Roman" w:hAnsi="Times New Roman" w:cs="Times New Roman"/>
        </w:rPr>
        <w:t>2.</w:t>
      </w:r>
      <w:r w:rsidRPr="00FC1444">
        <w:rPr>
          <w:rFonts w:ascii="Times New Roman" w:hAnsi="Times New Roman" w:cs="Times New Roman"/>
        </w:rPr>
        <w:t>节水供水工程：灌区及配套设施建设、改造，属于鼓励类项目，符合国家现行产业政策要求。</w:t>
      </w:r>
    </w:p>
    <w:p w:rsidR="002A5A5E" w:rsidRPr="00FC1444" w:rsidRDefault="00611CBA">
      <w:pPr>
        <w:keepNext/>
        <w:keepLines/>
        <w:spacing w:before="100" w:beforeAutospacing="1" w:after="100" w:afterAutospacing="1"/>
        <w:outlineLvl w:val="2"/>
        <w:rPr>
          <w:rFonts w:eastAsiaTheme="minorEastAsia"/>
          <w:b/>
          <w:sz w:val="28"/>
          <w:szCs w:val="28"/>
        </w:rPr>
      </w:pPr>
      <w:bookmarkStart w:id="188" w:name="_Toc15991737"/>
      <w:r w:rsidRPr="00FC1444">
        <w:rPr>
          <w:rFonts w:eastAsiaTheme="minorEastAsia"/>
          <w:b/>
          <w:sz w:val="28"/>
          <w:szCs w:val="28"/>
        </w:rPr>
        <w:lastRenderedPageBreak/>
        <w:t>9.1.3</w:t>
      </w:r>
      <w:r w:rsidRPr="00FC1444">
        <w:rPr>
          <w:rFonts w:eastAsiaTheme="minorEastAsia"/>
          <w:b/>
          <w:sz w:val="28"/>
          <w:szCs w:val="28"/>
        </w:rPr>
        <w:t>环境质量现状评价结论</w:t>
      </w:r>
      <w:bookmarkEnd w:id="188"/>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1</w:t>
      </w:r>
      <w:r w:rsidRPr="00FC1444">
        <w:rPr>
          <w:rFonts w:ascii="Times New Roman" w:hAnsi="Times New Roman" w:cs="Times New Roman"/>
        </w:rPr>
        <w:t>）大气环境质量现状评价结论</w:t>
      </w:r>
    </w:p>
    <w:p w:rsidR="002A5A5E" w:rsidRPr="00FC1444" w:rsidRDefault="00611CBA">
      <w:pPr>
        <w:spacing w:line="360" w:lineRule="auto"/>
        <w:ind w:firstLineChars="200" w:firstLine="480"/>
        <w:contextualSpacing/>
        <w:rPr>
          <w:rFonts w:eastAsiaTheme="minorEastAsia"/>
        </w:rPr>
      </w:pPr>
      <w:r w:rsidRPr="00FC1444">
        <w:rPr>
          <w:rFonts w:eastAsiaTheme="minorEastAsia"/>
          <w:sz w:val="24"/>
        </w:rPr>
        <w:t>根据《</w:t>
      </w:r>
      <w:r w:rsidR="00BA4E4D" w:rsidRPr="00FC1444">
        <w:rPr>
          <w:rFonts w:eastAsiaTheme="minorEastAsia"/>
          <w:sz w:val="24"/>
        </w:rPr>
        <w:t>2025</w:t>
      </w:r>
      <w:r w:rsidR="00BA4E4D" w:rsidRPr="00FC1444">
        <w:rPr>
          <w:rFonts w:eastAsiaTheme="minorEastAsia"/>
          <w:sz w:val="24"/>
        </w:rPr>
        <w:t>年绥化市环境质量年报</w:t>
      </w:r>
      <w:r w:rsidRPr="00FC1444">
        <w:rPr>
          <w:rFonts w:eastAsiaTheme="minorEastAsia"/>
          <w:sz w:val="24"/>
        </w:rPr>
        <w:t>》，评价区环境空气质量不能够满足环境空气二类功能区要求，项目所在区域为不达标区，细颗粒物年评价指标超过《环境空气质量标准》（</w:t>
      </w:r>
      <w:r w:rsidR="00C07A9E" w:rsidRPr="00FC1444">
        <w:rPr>
          <w:rFonts w:eastAsiaTheme="minorEastAsia"/>
          <w:sz w:val="24"/>
        </w:rPr>
        <w:t>GB3095-2026</w:t>
      </w:r>
      <w:r w:rsidRPr="00FC1444">
        <w:rPr>
          <w:rFonts w:eastAsiaTheme="minorEastAsia"/>
          <w:sz w:val="24"/>
        </w:rPr>
        <w:t>）二级标准</w:t>
      </w:r>
      <w:r w:rsidRPr="00FC1444">
        <w:rPr>
          <w:rFonts w:eastAsiaTheme="minorEastAsia"/>
        </w:rPr>
        <w:t>。</w:t>
      </w:r>
    </w:p>
    <w:p w:rsidR="002A5A5E" w:rsidRPr="00FC1444" w:rsidRDefault="00EE4CB5">
      <w:pPr>
        <w:pStyle w:val="aff4"/>
        <w:adjustRightInd/>
        <w:snapToGrid/>
        <w:contextualSpacing/>
        <w:jc w:val="both"/>
        <w:rPr>
          <w:rFonts w:ascii="Times New Roman" w:hAnsi="Times New Roman" w:cs="Times New Roman"/>
        </w:rPr>
      </w:pPr>
      <w:r w:rsidRPr="00FC1444">
        <w:rPr>
          <w:rFonts w:ascii="Times New Roman" w:hAnsi="Times New Roman" w:cs="Times New Roman"/>
          <w:snapToGrid w:val="0"/>
          <w:lang w:val="en-GB"/>
        </w:rPr>
        <w:t>本项目补充监测的</w:t>
      </w:r>
      <w:r w:rsidRPr="00FC1444">
        <w:rPr>
          <w:rFonts w:ascii="Times New Roman" w:eastAsia="宋体" w:hAnsi="Times New Roman" w:cs="Times New Roman"/>
          <w:bCs/>
        </w:rPr>
        <w:t>NOx</w:t>
      </w:r>
      <w:r w:rsidRPr="00FC1444">
        <w:rPr>
          <w:rFonts w:ascii="Times New Roman" w:eastAsia="宋体" w:hAnsi="Times New Roman" w:cs="Times New Roman"/>
          <w:bCs/>
        </w:rPr>
        <w:t>满足《环境空气质量标准》（</w:t>
      </w:r>
      <w:r w:rsidRPr="00FC1444">
        <w:rPr>
          <w:rFonts w:ascii="Times New Roman" w:eastAsia="宋体" w:hAnsi="Times New Roman" w:cs="Times New Roman"/>
          <w:bCs/>
        </w:rPr>
        <w:t>GB3095</w:t>
      </w:r>
      <w:r w:rsidRPr="00FC1444">
        <w:rPr>
          <w:rFonts w:ascii="Times New Roman" w:eastAsia="宋体" w:hAnsi="Times New Roman" w:cs="Times New Roman"/>
          <w:bCs/>
        </w:rPr>
        <w:sym w:font="Symbol" w:char="F02D"/>
      </w:r>
      <w:r w:rsidRPr="00FC1444">
        <w:rPr>
          <w:rFonts w:ascii="Times New Roman" w:eastAsia="宋体" w:hAnsi="Times New Roman" w:cs="Times New Roman"/>
          <w:bCs/>
        </w:rPr>
        <w:t>2026</w:t>
      </w:r>
      <w:r w:rsidRPr="00FC1444">
        <w:rPr>
          <w:rFonts w:ascii="Times New Roman" w:eastAsia="宋体" w:hAnsi="Times New Roman" w:cs="Times New Roman"/>
          <w:bCs/>
        </w:rPr>
        <w:t>）表</w:t>
      </w:r>
      <w:r w:rsidRPr="00FC1444">
        <w:rPr>
          <w:rFonts w:ascii="Times New Roman" w:eastAsia="宋体" w:hAnsi="Times New Roman" w:cs="Times New Roman"/>
          <w:bCs/>
        </w:rPr>
        <w:t>2</w:t>
      </w:r>
      <w:r w:rsidRPr="00FC1444">
        <w:rPr>
          <w:rFonts w:ascii="Times New Roman" w:eastAsia="宋体" w:hAnsi="Times New Roman" w:cs="Times New Roman"/>
          <w:bCs/>
        </w:rPr>
        <w:t>过渡阶段二级标准浓度限值，</w:t>
      </w:r>
      <w:r w:rsidRPr="00FC1444">
        <w:rPr>
          <w:rFonts w:ascii="Times New Roman" w:eastAsia="宋体" w:hAnsi="Times New Roman" w:cs="Times New Roman"/>
          <w:bCs/>
        </w:rPr>
        <w:t>TSP</w:t>
      </w:r>
      <w:r w:rsidRPr="00FC1444">
        <w:rPr>
          <w:rFonts w:ascii="Times New Roman" w:eastAsia="宋体" w:hAnsi="Times New Roman" w:cs="Times New Roman"/>
          <w:bCs/>
        </w:rPr>
        <w:t>满足表</w:t>
      </w:r>
      <w:r w:rsidRPr="00FC1444">
        <w:rPr>
          <w:rFonts w:ascii="Times New Roman" w:eastAsia="宋体" w:hAnsi="Times New Roman" w:cs="Times New Roman"/>
          <w:bCs/>
        </w:rPr>
        <w:t>2</w:t>
      </w:r>
      <w:r w:rsidRPr="00FC1444">
        <w:rPr>
          <w:rFonts w:ascii="Times New Roman" w:eastAsia="宋体" w:hAnsi="Times New Roman" w:cs="Times New Roman"/>
          <w:bCs/>
        </w:rPr>
        <w:t>二级标准浓度限值要求</w:t>
      </w:r>
      <w:r w:rsidR="00611CBA" w:rsidRPr="00FC1444">
        <w:rPr>
          <w:rFonts w:ascii="Times New Roman" w:hAnsi="Times New Roman" w:cs="Times New Roman"/>
        </w:rPr>
        <w:t>。</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2</w:t>
      </w:r>
      <w:r w:rsidRPr="00FC1444">
        <w:rPr>
          <w:rFonts w:ascii="Times New Roman" w:hAnsi="Times New Roman" w:cs="Times New Roman"/>
        </w:rPr>
        <w:t>）地表水环境质量现状评价结论</w:t>
      </w:r>
    </w:p>
    <w:p w:rsidR="002A5A5E" w:rsidRPr="00FC1444" w:rsidRDefault="002F2D3F">
      <w:pPr>
        <w:spacing w:line="360" w:lineRule="auto"/>
        <w:ind w:firstLineChars="200" w:firstLine="480"/>
        <w:rPr>
          <w:rFonts w:eastAsiaTheme="minorEastAsia"/>
          <w:bCs/>
          <w:kern w:val="0"/>
          <w:sz w:val="24"/>
          <w:szCs w:val="21"/>
        </w:rPr>
      </w:pPr>
      <w:r w:rsidRPr="00FC1444">
        <w:rPr>
          <w:rFonts w:eastAsiaTheme="minorEastAsia"/>
          <w:kern w:val="24"/>
          <w:sz w:val="24"/>
        </w:rPr>
        <w:t>根据</w:t>
      </w:r>
      <w:r w:rsidRPr="00FC1444">
        <w:rPr>
          <w:rFonts w:eastAsiaTheme="minorEastAsia"/>
          <w:kern w:val="0"/>
          <w:sz w:val="24"/>
        </w:rPr>
        <w:t>《</w:t>
      </w:r>
      <w:r w:rsidRPr="00FC1444">
        <w:rPr>
          <w:rFonts w:eastAsiaTheme="minorEastAsia"/>
          <w:kern w:val="0"/>
          <w:sz w:val="24"/>
        </w:rPr>
        <w:t>2025</w:t>
      </w:r>
      <w:r w:rsidRPr="00FC1444">
        <w:rPr>
          <w:rFonts w:eastAsiaTheme="minorEastAsia"/>
          <w:kern w:val="0"/>
          <w:sz w:val="24"/>
        </w:rPr>
        <w:t>年绥化市环境质量年报》，</w:t>
      </w:r>
      <w:r w:rsidRPr="00FC1444">
        <w:rPr>
          <w:rFonts w:eastAsiaTheme="minorEastAsia" w:hint="eastAsia"/>
          <w:sz w:val="24"/>
        </w:rPr>
        <w:t>呼兰河</w:t>
      </w:r>
      <w:r w:rsidRPr="00FC1444">
        <w:rPr>
          <w:rFonts w:eastAsiaTheme="minorEastAsia"/>
          <w:bCs/>
          <w:kern w:val="0"/>
          <w:sz w:val="24"/>
        </w:rPr>
        <w:t>绥望桥断面、</w:t>
      </w:r>
      <w:r w:rsidRPr="00FC1444">
        <w:rPr>
          <w:rFonts w:eastAsiaTheme="minorEastAsia" w:hint="eastAsia"/>
          <w:bCs/>
          <w:kern w:val="0"/>
          <w:sz w:val="24"/>
        </w:rPr>
        <w:t>榆林镇鞍山屯断面</w:t>
      </w:r>
      <w:r w:rsidRPr="00FC1444">
        <w:rPr>
          <w:rFonts w:eastAsiaTheme="minorEastAsia"/>
          <w:bCs/>
          <w:kern w:val="0"/>
          <w:sz w:val="24"/>
          <w:szCs w:val="21"/>
        </w:rPr>
        <w:t>水质目标为</w:t>
      </w:r>
      <w:r w:rsidRPr="00FC1444">
        <w:rPr>
          <w:rFonts w:eastAsiaTheme="minorEastAsia"/>
          <w:bCs/>
          <w:kern w:val="0"/>
          <w:sz w:val="24"/>
          <w:szCs w:val="21"/>
        </w:rPr>
        <w:t>Ⅲ</w:t>
      </w:r>
      <w:r w:rsidRPr="00FC1444">
        <w:rPr>
          <w:rFonts w:eastAsiaTheme="minorEastAsia"/>
          <w:bCs/>
          <w:kern w:val="0"/>
          <w:sz w:val="24"/>
          <w:szCs w:val="21"/>
        </w:rPr>
        <w:t>类。</w:t>
      </w:r>
      <w:r w:rsidRPr="00FC1444">
        <w:rPr>
          <w:rFonts w:eastAsiaTheme="minorEastAsia" w:hint="eastAsia"/>
          <w:bCs/>
          <w:kern w:val="0"/>
          <w:sz w:val="24"/>
          <w:szCs w:val="21"/>
        </w:rPr>
        <w:t>努敏河绥化市断面</w:t>
      </w:r>
      <w:r w:rsidRPr="00FC1444">
        <w:rPr>
          <w:rFonts w:eastAsiaTheme="minorEastAsia"/>
          <w:bCs/>
          <w:kern w:val="0"/>
          <w:sz w:val="24"/>
        </w:rPr>
        <w:t>水质目标为</w:t>
      </w:r>
      <w:r w:rsidRPr="00FC1444">
        <w:rPr>
          <w:rFonts w:eastAsiaTheme="minorEastAsia"/>
          <w:bCs/>
          <w:kern w:val="0"/>
          <w:sz w:val="24"/>
          <w:szCs w:val="21"/>
        </w:rPr>
        <w:t>Ⅲ</w:t>
      </w:r>
      <w:r w:rsidRPr="00FC1444">
        <w:rPr>
          <w:rFonts w:eastAsiaTheme="minorEastAsia"/>
          <w:bCs/>
          <w:kern w:val="0"/>
          <w:sz w:val="24"/>
        </w:rPr>
        <w:t>类。</w:t>
      </w:r>
      <w:r w:rsidRPr="00FC1444">
        <w:rPr>
          <w:rFonts w:eastAsiaTheme="minorEastAsia"/>
          <w:sz w:val="24"/>
        </w:rPr>
        <w:t>津河</w:t>
      </w:r>
      <w:r w:rsidRPr="00FC1444">
        <w:rPr>
          <w:rFonts w:eastAsiaTheme="minorEastAsia"/>
          <w:bCs/>
          <w:kern w:val="0"/>
          <w:sz w:val="24"/>
        </w:rPr>
        <w:t>未划分水功能区，</w:t>
      </w:r>
      <w:r w:rsidRPr="00FC1444">
        <w:rPr>
          <w:rFonts w:eastAsiaTheme="minorEastAsia"/>
          <w:sz w:val="24"/>
        </w:rPr>
        <w:t>津河</w:t>
      </w:r>
      <w:r w:rsidRPr="00FC1444">
        <w:rPr>
          <w:rFonts w:eastAsiaTheme="minorEastAsia"/>
          <w:bCs/>
          <w:kern w:val="0"/>
          <w:sz w:val="24"/>
        </w:rPr>
        <w:t>汇入</w:t>
      </w:r>
      <w:r w:rsidRPr="00FC1444">
        <w:rPr>
          <w:rFonts w:eastAsiaTheme="minorEastAsia" w:hint="eastAsia"/>
          <w:bCs/>
          <w:kern w:val="0"/>
          <w:sz w:val="24"/>
        </w:rPr>
        <w:t>呼兰</w:t>
      </w:r>
      <w:r w:rsidRPr="00FC1444">
        <w:rPr>
          <w:rFonts w:eastAsiaTheme="minorEastAsia"/>
          <w:bCs/>
          <w:kern w:val="0"/>
          <w:sz w:val="24"/>
        </w:rPr>
        <w:t>河，</w:t>
      </w:r>
      <w:r w:rsidRPr="00FC1444">
        <w:rPr>
          <w:rFonts w:eastAsiaTheme="minorEastAsia" w:hint="eastAsia"/>
          <w:bCs/>
          <w:kern w:val="0"/>
          <w:sz w:val="24"/>
        </w:rPr>
        <w:t>呼兰</w:t>
      </w:r>
      <w:r w:rsidRPr="00FC1444">
        <w:rPr>
          <w:rFonts w:eastAsiaTheme="minorEastAsia"/>
          <w:bCs/>
          <w:kern w:val="0"/>
          <w:sz w:val="24"/>
        </w:rPr>
        <w:t>河绥望桥断面水质目标为</w:t>
      </w:r>
      <w:r w:rsidRPr="00FC1444">
        <w:rPr>
          <w:rFonts w:eastAsiaTheme="minorEastAsia"/>
          <w:bCs/>
          <w:kern w:val="0"/>
          <w:sz w:val="24"/>
          <w:szCs w:val="21"/>
        </w:rPr>
        <w:t>Ⅲ</w:t>
      </w:r>
      <w:r w:rsidRPr="00FC1444">
        <w:rPr>
          <w:rFonts w:eastAsiaTheme="minorEastAsia"/>
          <w:bCs/>
          <w:kern w:val="0"/>
          <w:sz w:val="24"/>
        </w:rPr>
        <w:t>类，</w:t>
      </w:r>
      <w:r w:rsidRPr="00FC1444">
        <w:rPr>
          <w:rFonts w:eastAsiaTheme="minorEastAsia"/>
          <w:sz w:val="24"/>
        </w:rPr>
        <w:t>津河</w:t>
      </w:r>
      <w:r w:rsidRPr="00FC1444">
        <w:rPr>
          <w:rFonts w:eastAsiaTheme="minorEastAsia"/>
          <w:bCs/>
          <w:kern w:val="0"/>
          <w:sz w:val="24"/>
        </w:rPr>
        <w:t>参照</w:t>
      </w:r>
      <w:r w:rsidRPr="00FC1444">
        <w:rPr>
          <w:rFonts w:eastAsiaTheme="minorEastAsia" w:hint="eastAsia"/>
          <w:bCs/>
          <w:kern w:val="0"/>
          <w:sz w:val="24"/>
        </w:rPr>
        <w:t>呼兰</w:t>
      </w:r>
      <w:r w:rsidRPr="00FC1444">
        <w:rPr>
          <w:rFonts w:eastAsiaTheme="minorEastAsia"/>
          <w:bCs/>
          <w:kern w:val="0"/>
          <w:sz w:val="24"/>
        </w:rPr>
        <w:t>河执行</w:t>
      </w:r>
      <w:r w:rsidRPr="00FC1444">
        <w:rPr>
          <w:rFonts w:eastAsiaTheme="minorEastAsia"/>
          <w:bCs/>
          <w:sz w:val="24"/>
        </w:rPr>
        <w:t>。</w:t>
      </w:r>
      <w:r w:rsidRPr="00FC1444">
        <w:rPr>
          <w:rFonts w:eastAsiaTheme="minorEastAsia" w:hint="eastAsia"/>
          <w:sz w:val="24"/>
        </w:rPr>
        <w:t>2025</w:t>
      </w:r>
      <w:r w:rsidRPr="00FC1444">
        <w:rPr>
          <w:rFonts w:eastAsiaTheme="minorEastAsia" w:hint="eastAsia"/>
          <w:sz w:val="24"/>
        </w:rPr>
        <w:t>年</w:t>
      </w:r>
      <w:r w:rsidRPr="00FC1444">
        <w:rPr>
          <w:rFonts w:eastAsiaTheme="minorEastAsia"/>
          <w:bCs/>
          <w:sz w:val="24"/>
        </w:rPr>
        <w:t>绥望桥断面、榆林镇鞍山屯</w:t>
      </w:r>
      <w:r w:rsidRPr="00FC1444">
        <w:rPr>
          <w:rFonts w:eastAsiaTheme="minorEastAsia"/>
          <w:bCs/>
          <w:kern w:val="0"/>
          <w:sz w:val="24"/>
        </w:rPr>
        <w:t>断面、努敏河绥化市断面水质类别均为</w:t>
      </w:r>
      <w:r w:rsidRPr="00FC1444">
        <w:rPr>
          <w:rFonts w:eastAsiaTheme="minorEastAsia"/>
          <w:bCs/>
          <w:kern w:val="0"/>
          <w:sz w:val="24"/>
        </w:rPr>
        <w:t>Ⅲ</w:t>
      </w:r>
      <w:r w:rsidRPr="00FC1444">
        <w:rPr>
          <w:rFonts w:eastAsiaTheme="minorEastAsia"/>
          <w:bCs/>
          <w:kern w:val="0"/>
          <w:sz w:val="24"/>
        </w:rPr>
        <w:t>类，满足</w:t>
      </w:r>
      <w:r w:rsidRPr="00FC1444">
        <w:rPr>
          <w:rFonts w:eastAsiaTheme="minorEastAsia"/>
          <w:sz w:val="24"/>
        </w:rPr>
        <w:t>水体类别要求</w:t>
      </w:r>
      <w:r w:rsidR="00611CBA" w:rsidRPr="00FC1444">
        <w:rPr>
          <w:rFonts w:eastAsiaTheme="minorEastAsia"/>
          <w:sz w:val="24"/>
        </w:rPr>
        <w:t>。</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3</w:t>
      </w:r>
      <w:r w:rsidRPr="00FC1444">
        <w:rPr>
          <w:rFonts w:ascii="Times New Roman" w:hAnsi="Times New Roman" w:cs="Times New Roman"/>
        </w:rPr>
        <w:t>）声环境质量现状评价结论</w:t>
      </w:r>
    </w:p>
    <w:p w:rsidR="002A5A5E" w:rsidRPr="00FC1444" w:rsidRDefault="008C1FD0">
      <w:pPr>
        <w:spacing w:line="360" w:lineRule="auto"/>
        <w:ind w:firstLineChars="200" w:firstLine="480"/>
        <w:contextualSpacing/>
        <w:rPr>
          <w:rFonts w:eastAsiaTheme="minorEastAsia"/>
          <w:sz w:val="24"/>
        </w:rPr>
      </w:pPr>
      <w:r w:rsidRPr="00FC1444">
        <w:rPr>
          <w:rFonts w:eastAsiaTheme="minorEastAsia"/>
          <w:sz w:val="24"/>
        </w:rPr>
        <w:t>评价区</w:t>
      </w:r>
      <w:r w:rsidR="0016187D" w:rsidRPr="00FC1444">
        <w:rPr>
          <w:rFonts w:eastAsiaTheme="minorEastAsia"/>
          <w:sz w:val="24"/>
        </w:rPr>
        <w:t>津河镇</w:t>
      </w:r>
      <w:r w:rsidR="00611CBA" w:rsidRPr="00FC1444">
        <w:rPr>
          <w:rFonts w:eastAsiaTheme="minorEastAsia"/>
          <w:sz w:val="24"/>
        </w:rPr>
        <w:t>现状值满足《声环境质量标准》（</w:t>
      </w:r>
      <w:r w:rsidR="00611CBA" w:rsidRPr="00FC1444">
        <w:rPr>
          <w:rFonts w:eastAsiaTheme="minorEastAsia"/>
          <w:sz w:val="24"/>
        </w:rPr>
        <w:t>GB3096-2008</w:t>
      </w:r>
      <w:r w:rsidR="00611CBA" w:rsidRPr="00FC1444">
        <w:rPr>
          <w:rFonts w:eastAsiaTheme="minorEastAsia"/>
          <w:sz w:val="24"/>
        </w:rPr>
        <w:t>）</w:t>
      </w:r>
      <w:r w:rsidR="00611CBA" w:rsidRPr="00FC1444">
        <w:rPr>
          <w:rFonts w:eastAsiaTheme="minorEastAsia"/>
          <w:sz w:val="24"/>
        </w:rPr>
        <w:t>2</w:t>
      </w:r>
      <w:r w:rsidR="00611CBA" w:rsidRPr="00FC1444">
        <w:rPr>
          <w:rFonts w:eastAsiaTheme="minorEastAsia"/>
          <w:sz w:val="24"/>
        </w:rPr>
        <w:t>类标准，其余噪声敏感点满足</w:t>
      </w:r>
      <w:r w:rsidR="00611CBA" w:rsidRPr="00FC1444">
        <w:rPr>
          <w:rFonts w:eastAsiaTheme="minorEastAsia"/>
          <w:sz w:val="24"/>
        </w:rPr>
        <w:t>1</w:t>
      </w:r>
      <w:r w:rsidR="00611CBA" w:rsidRPr="00FC1444">
        <w:rPr>
          <w:rFonts w:eastAsiaTheme="minorEastAsia"/>
          <w:sz w:val="24"/>
        </w:rPr>
        <w:t>类标准。</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4</w:t>
      </w:r>
      <w:r w:rsidRPr="00FC1444">
        <w:rPr>
          <w:rFonts w:ascii="Times New Roman" w:hAnsi="Times New Roman" w:cs="Times New Roman"/>
        </w:rPr>
        <w:t>）地下水环境质量现状评价结论</w:t>
      </w:r>
    </w:p>
    <w:p w:rsidR="002A5A5E" w:rsidRPr="00FC1444" w:rsidRDefault="00654DDA" w:rsidP="00902F59">
      <w:pPr>
        <w:spacing w:line="360" w:lineRule="auto"/>
        <w:ind w:firstLineChars="200" w:firstLine="480"/>
        <w:contextualSpacing/>
        <w:rPr>
          <w:rFonts w:eastAsiaTheme="minorEastAsia"/>
          <w:sz w:val="24"/>
        </w:rPr>
      </w:pPr>
      <w:r w:rsidRPr="00FC1444">
        <w:rPr>
          <w:sz w:val="24"/>
        </w:rPr>
        <w:t>监测点铁、锰超标，由于原生地质条件导致，其余监测因子均符合《地下水质量标准》（</w:t>
      </w:r>
      <w:r w:rsidRPr="00FC1444">
        <w:rPr>
          <w:sz w:val="24"/>
        </w:rPr>
        <w:t>GB/T14848-2017</w:t>
      </w:r>
      <w:r w:rsidRPr="00FC1444">
        <w:rPr>
          <w:sz w:val="24"/>
        </w:rPr>
        <w:t>）中</w:t>
      </w:r>
      <w:r w:rsidRPr="00FC1444">
        <w:rPr>
          <w:sz w:val="24"/>
        </w:rPr>
        <w:t>Ⅲ</w:t>
      </w:r>
      <w:r w:rsidRPr="00FC1444">
        <w:rPr>
          <w:sz w:val="24"/>
        </w:rPr>
        <w:t>类标准</w:t>
      </w:r>
      <w:r w:rsidRPr="00FC1444">
        <w:rPr>
          <w:rFonts w:eastAsiaTheme="minorEastAsia"/>
          <w:sz w:val="24"/>
        </w:rPr>
        <w:t>。石油类未检出，满足《地表水环境质量标准》（</w:t>
      </w:r>
      <w:r w:rsidRPr="00FC1444">
        <w:rPr>
          <w:rFonts w:eastAsiaTheme="minorEastAsia"/>
          <w:sz w:val="24"/>
        </w:rPr>
        <w:t>GB3838-2002</w:t>
      </w:r>
      <w:r w:rsidRPr="00FC1444">
        <w:rPr>
          <w:rFonts w:eastAsiaTheme="minorEastAsia"/>
          <w:sz w:val="24"/>
        </w:rPr>
        <w:t>）</w:t>
      </w:r>
      <w:r w:rsidR="009840DD" w:rsidRPr="00FC1444">
        <w:rPr>
          <w:rFonts w:eastAsiaTheme="minorEastAsia"/>
          <w:bCs/>
          <w:sz w:val="24"/>
        </w:rPr>
        <w:fldChar w:fldCharType="begin"/>
      </w:r>
      <w:r w:rsidRPr="00FC1444">
        <w:rPr>
          <w:rFonts w:eastAsiaTheme="minorEastAsia"/>
          <w:bCs/>
          <w:sz w:val="24"/>
        </w:rPr>
        <w:instrText xml:space="preserve"> = 2 \* ROMAN </w:instrText>
      </w:r>
      <w:r w:rsidR="009840DD" w:rsidRPr="00FC1444">
        <w:rPr>
          <w:rFonts w:eastAsiaTheme="minorEastAsia"/>
          <w:bCs/>
          <w:sz w:val="24"/>
        </w:rPr>
        <w:fldChar w:fldCharType="separate"/>
      </w:r>
      <w:r w:rsidRPr="00FC1444">
        <w:rPr>
          <w:rFonts w:eastAsiaTheme="minorEastAsia"/>
          <w:bCs/>
          <w:sz w:val="24"/>
        </w:rPr>
        <w:t>II</w:t>
      </w:r>
      <w:r w:rsidR="009840DD" w:rsidRPr="00FC1444">
        <w:rPr>
          <w:rFonts w:eastAsiaTheme="minorEastAsia"/>
          <w:bCs/>
          <w:sz w:val="24"/>
        </w:rPr>
        <w:fldChar w:fldCharType="end"/>
      </w:r>
      <w:r w:rsidRPr="00FC1444">
        <w:rPr>
          <w:rFonts w:eastAsiaTheme="minorEastAsia"/>
          <w:sz w:val="24"/>
        </w:rPr>
        <w:t>类标准。</w:t>
      </w:r>
      <w:r w:rsidRPr="00FC1444">
        <w:rPr>
          <w:rFonts w:ascii="宋体" w:hAnsi="宋体" w:cs="宋体" w:hint="eastAsia"/>
          <w:sz w:val="24"/>
        </w:rPr>
        <w:t>☆</w:t>
      </w:r>
      <w:r w:rsidRPr="00FC1444">
        <w:rPr>
          <w:rFonts w:eastAsiaTheme="minorEastAsia"/>
          <w:sz w:val="24"/>
        </w:rPr>
        <w:t>01</w:t>
      </w:r>
      <w:r w:rsidRPr="00FC1444">
        <w:rPr>
          <w:rFonts w:eastAsiaTheme="minorEastAsia"/>
          <w:sz w:val="24"/>
        </w:rPr>
        <w:t>、</w:t>
      </w:r>
      <w:r w:rsidRPr="00FC1444">
        <w:rPr>
          <w:rFonts w:ascii="宋体" w:hAnsi="宋体" w:cs="宋体" w:hint="eastAsia"/>
          <w:sz w:val="24"/>
        </w:rPr>
        <w:t>☆</w:t>
      </w:r>
      <w:r w:rsidRPr="00FC1444">
        <w:rPr>
          <w:rFonts w:eastAsiaTheme="minorEastAsia"/>
          <w:sz w:val="24"/>
        </w:rPr>
        <w:t>0</w:t>
      </w:r>
      <w:r w:rsidRPr="00FC1444">
        <w:rPr>
          <w:rFonts w:eastAsiaTheme="minorEastAsia" w:hint="eastAsia"/>
          <w:sz w:val="24"/>
        </w:rPr>
        <w:t>3</w:t>
      </w:r>
      <w:r w:rsidRPr="00FC1444">
        <w:rPr>
          <w:rFonts w:eastAsiaTheme="minorEastAsia"/>
          <w:sz w:val="24"/>
        </w:rPr>
        <w:t>监测点的地下水均为</w:t>
      </w:r>
      <w:r w:rsidRPr="00FC1444">
        <w:rPr>
          <w:rFonts w:eastAsiaTheme="minorEastAsia" w:hint="eastAsia"/>
          <w:sz w:val="24"/>
        </w:rPr>
        <w:t>15</w:t>
      </w:r>
      <w:r w:rsidRPr="00FC1444">
        <w:rPr>
          <w:rFonts w:eastAsiaTheme="minorEastAsia"/>
          <w:sz w:val="24"/>
        </w:rPr>
        <w:t>-A</w:t>
      </w:r>
      <w:r w:rsidRPr="00FC1444">
        <w:rPr>
          <w:rFonts w:eastAsiaTheme="minorEastAsia"/>
          <w:sz w:val="24"/>
        </w:rPr>
        <w:t>型，表示矿化度小于</w:t>
      </w:r>
      <w:r w:rsidRPr="00FC1444">
        <w:rPr>
          <w:rFonts w:eastAsiaTheme="minorEastAsia"/>
          <w:sz w:val="24"/>
        </w:rPr>
        <w:t>1.5g/L</w:t>
      </w:r>
      <w:r w:rsidRPr="00FC1444">
        <w:rPr>
          <w:rFonts w:eastAsiaTheme="minorEastAsia"/>
          <w:sz w:val="24"/>
        </w:rPr>
        <w:t>的</w:t>
      </w:r>
      <w:r w:rsidRPr="00FC1444">
        <w:rPr>
          <w:rFonts w:eastAsiaTheme="minorEastAsia"/>
          <w:sz w:val="24"/>
        </w:rPr>
        <w:t>HCO</w:t>
      </w:r>
      <w:r w:rsidRPr="00FC1444">
        <w:rPr>
          <w:rFonts w:eastAsiaTheme="minorEastAsia"/>
          <w:sz w:val="24"/>
          <w:vertAlign w:val="subscript"/>
        </w:rPr>
        <w:t>3</w:t>
      </w:r>
      <w:r w:rsidRPr="00FC1444">
        <w:rPr>
          <w:rFonts w:eastAsiaTheme="minorEastAsia"/>
          <w:sz w:val="24"/>
          <w:vertAlign w:val="superscript"/>
        </w:rPr>
        <w:t>-</w:t>
      </w:r>
      <w:r w:rsidRPr="00FC1444">
        <w:rPr>
          <w:rFonts w:eastAsiaTheme="minorEastAsia"/>
          <w:sz w:val="24"/>
        </w:rPr>
        <w:t>-SO</w:t>
      </w:r>
      <w:r w:rsidRPr="00FC1444">
        <w:rPr>
          <w:rFonts w:eastAsiaTheme="minorEastAsia"/>
          <w:sz w:val="24"/>
          <w:vertAlign w:val="subscript"/>
        </w:rPr>
        <w:t>4</w:t>
      </w:r>
      <w:r w:rsidRPr="00FC1444">
        <w:rPr>
          <w:rFonts w:eastAsiaTheme="minorEastAsia"/>
          <w:sz w:val="24"/>
          <w:vertAlign w:val="superscript"/>
        </w:rPr>
        <w:t>2--</w:t>
      </w:r>
      <w:r w:rsidRPr="00FC1444">
        <w:rPr>
          <w:rFonts w:eastAsiaTheme="minorEastAsia"/>
          <w:sz w:val="24"/>
        </w:rPr>
        <w:t xml:space="preserve"> Cl</w:t>
      </w:r>
      <w:r w:rsidRPr="00FC1444">
        <w:rPr>
          <w:rFonts w:eastAsiaTheme="minorEastAsia"/>
          <w:sz w:val="24"/>
          <w:vertAlign w:val="superscript"/>
        </w:rPr>
        <w:t>-</w:t>
      </w:r>
      <w:r w:rsidRPr="00FC1444">
        <w:rPr>
          <w:rFonts w:eastAsiaTheme="minorEastAsia"/>
          <w:sz w:val="24"/>
        </w:rPr>
        <w:t>-Ca</w:t>
      </w:r>
      <w:r w:rsidRPr="00FC1444">
        <w:rPr>
          <w:rFonts w:eastAsiaTheme="minorEastAsia"/>
          <w:sz w:val="24"/>
          <w:vertAlign w:val="superscript"/>
        </w:rPr>
        <w:t>2+</w:t>
      </w:r>
      <w:r w:rsidRPr="00FC1444">
        <w:rPr>
          <w:rFonts w:eastAsiaTheme="minorEastAsia"/>
          <w:sz w:val="24"/>
        </w:rPr>
        <w:t>型水，</w:t>
      </w:r>
      <w:r w:rsidRPr="00FC1444">
        <w:rPr>
          <w:rFonts w:ascii="宋体" w:hAnsi="宋体" w:cs="宋体" w:hint="eastAsia"/>
          <w:sz w:val="24"/>
        </w:rPr>
        <w:t>☆</w:t>
      </w:r>
      <w:r w:rsidRPr="00FC1444">
        <w:rPr>
          <w:rFonts w:eastAsiaTheme="minorEastAsia"/>
          <w:sz w:val="24"/>
        </w:rPr>
        <w:t>0</w:t>
      </w:r>
      <w:r w:rsidRPr="00FC1444">
        <w:rPr>
          <w:rFonts w:eastAsiaTheme="minorEastAsia" w:hint="eastAsia"/>
          <w:sz w:val="24"/>
        </w:rPr>
        <w:t>2</w:t>
      </w:r>
      <w:r w:rsidRPr="00FC1444">
        <w:rPr>
          <w:rFonts w:eastAsiaTheme="minorEastAsia"/>
          <w:sz w:val="24"/>
        </w:rPr>
        <w:t>监测点为</w:t>
      </w:r>
      <w:r w:rsidRPr="00FC1444">
        <w:rPr>
          <w:rFonts w:eastAsiaTheme="minorEastAsia" w:hint="eastAsia"/>
          <w:sz w:val="24"/>
        </w:rPr>
        <w:t>1</w:t>
      </w:r>
      <w:r w:rsidRPr="00FC1444">
        <w:rPr>
          <w:rFonts w:eastAsiaTheme="minorEastAsia"/>
          <w:sz w:val="24"/>
        </w:rPr>
        <w:t>-A</w:t>
      </w:r>
      <w:r w:rsidRPr="00FC1444">
        <w:rPr>
          <w:rFonts w:eastAsiaTheme="minorEastAsia"/>
          <w:sz w:val="24"/>
        </w:rPr>
        <w:t>型，表示矿化度小于</w:t>
      </w:r>
      <w:r w:rsidRPr="00FC1444">
        <w:rPr>
          <w:rFonts w:eastAsiaTheme="minorEastAsia"/>
          <w:sz w:val="24"/>
        </w:rPr>
        <w:t>1.5g/L</w:t>
      </w:r>
      <w:r w:rsidRPr="00FC1444">
        <w:rPr>
          <w:rFonts w:eastAsiaTheme="minorEastAsia"/>
          <w:sz w:val="24"/>
        </w:rPr>
        <w:t>的</w:t>
      </w:r>
      <w:r w:rsidRPr="00FC1444">
        <w:rPr>
          <w:rFonts w:eastAsiaTheme="minorEastAsia"/>
          <w:sz w:val="24"/>
        </w:rPr>
        <w:t>HCO</w:t>
      </w:r>
      <w:r w:rsidRPr="00FC1444">
        <w:rPr>
          <w:rFonts w:eastAsiaTheme="minorEastAsia"/>
          <w:sz w:val="24"/>
          <w:vertAlign w:val="subscript"/>
        </w:rPr>
        <w:t>3</w:t>
      </w:r>
      <w:r w:rsidRPr="00FC1444">
        <w:rPr>
          <w:rFonts w:eastAsiaTheme="minorEastAsia"/>
          <w:sz w:val="24"/>
          <w:vertAlign w:val="superscript"/>
        </w:rPr>
        <w:t>-</w:t>
      </w:r>
      <w:r w:rsidRPr="00FC1444">
        <w:rPr>
          <w:rFonts w:eastAsiaTheme="minorEastAsia"/>
          <w:sz w:val="24"/>
        </w:rPr>
        <w:t>-Ca</w:t>
      </w:r>
      <w:r w:rsidRPr="00FC1444">
        <w:rPr>
          <w:rFonts w:eastAsiaTheme="minorEastAsia"/>
          <w:sz w:val="24"/>
          <w:vertAlign w:val="superscript"/>
        </w:rPr>
        <w:t>2+</w:t>
      </w:r>
      <w:r w:rsidRPr="00FC1444">
        <w:rPr>
          <w:rFonts w:eastAsiaTheme="minorEastAsia"/>
          <w:sz w:val="24"/>
        </w:rPr>
        <w:t>型水，</w:t>
      </w:r>
      <w:r w:rsidRPr="00FC1444">
        <w:rPr>
          <w:rFonts w:ascii="宋体" w:hAnsi="宋体" w:cs="宋体" w:hint="eastAsia"/>
          <w:sz w:val="24"/>
        </w:rPr>
        <w:t>☆</w:t>
      </w:r>
      <w:r w:rsidRPr="00FC1444">
        <w:rPr>
          <w:rFonts w:eastAsiaTheme="minorEastAsia"/>
          <w:sz w:val="24"/>
        </w:rPr>
        <w:t>04</w:t>
      </w:r>
      <w:r w:rsidRPr="00FC1444">
        <w:rPr>
          <w:rFonts w:eastAsiaTheme="minorEastAsia"/>
          <w:sz w:val="24"/>
        </w:rPr>
        <w:t>监测点为</w:t>
      </w:r>
      <w:r w:rsidRPr="00FC1444">
        <w:rPr>
          <w:rFonts w:eastAsiaTheme="minorEastAsia" w:hint="eastAsia"/>
          <w:sz w:val="24"/>
        </w:rPr>
        <w:t>29</w:t>
      </w:r>
      <w:r w:rsidRPr="00FC1444">
        <w:rPr>
          <w:rFonts w:eastAsiaTheme="minorEastAsia"/>
          <w:sz w:val="24"/>
        </w:rPr>
        <w:t>-A</w:t>
      </w:r>
      <w:r w:rsidRPr="00FC1444">
        <w:rPr>
          <w:rFonts w:eastAsiaTheme="minorEastAsia"/>
          <w:sz w:val="24"/>
        </w:rPr>
        <w:t>型，表示矿化度小于</w:t>
      </w:r>
      <w:r w:rsidRPr="00FC1444">
        <w:rPr>
          <w:rFonts w:eastAsiaTheme="minorEastAsia"/>
          <w:sz w:val="24"/>
        </w:rPr>
        <w:t>1.5g/L</w:t>
      </w:r>
      <w:r w:rsidRPr="00FC1444">
        <w:rPr>
          <w:rFonts w:eastAsiaTheme="minorEastAsia"/>
          <w:sz w:val="24"/>
        </w:rPr>
        <w:t>的</w:t>
      </w:r>
      <w:r w:rsidRPr="00FC1444">
        <w:rPr>
          <w:rFonts w:eastAsiaTheme="minorEastAsia"/>
          <w:sz w:val="24"/>
        </w:rPr>
        <w:t>SO</w:t>
      </w:r>
      <w:r w:rsidRPr="00FC1444">
        <w:rPr>
          <w:rFonts w:eastAsiaTheme="minorEastAsia"/>
          <w:sz w:val="24"/>
          <w:vertAlign w:val="subscript"/>
        </w:rPr>
        <w:t>4</w:t>
      </w:r>
      <w:r w:rsidRPr="00FC1444">
        <w:rPr>
          <w:rFonts w:eastAsiaTheme="minorEastAsia"/>
          <w:sz w:val="24"/>
          <w:vertAlign w:val="superscript"/>
        </w:rPr>
        <w:t>2-</w:t>
      </w:r>
      <w:r w:rsidRPr="00FC1444">
        <w:rPr>
          <w:rFonts w:eastAsiaTheme="minorEastAsia"/>
          <w:sz w:val="24"/>
        </w:rPr>
        <w:t>- Ca</w:t>
      </w:r>
      <w:r w:rsidRPr="00FC1444">
        <w:rPr>
          <w:rFonts w:eastAsiaTheme="minorEastAsia"/>
          <w:sz w:val="24"/>
          <w:vertAlign w:val="superscript"/>
        </w:rPr>
        <w:t>2+</w:t>
      </w:r>
      <w:r w:rsidRPr="00FC1444">
        <w:rPr>
          <w:rFonts w:eastAsiaTheme="minorEastAsia"/>
          <w:sz w:val="24"/>
        </w:rPr>
        <w:t>型水</w:t>
      </w:r>
      <w:r w:rsidR="00611CBA" w:rsidRPr="00FC1444">
        <w:rPr>
          <w:rFonts w:eastAsiaTheme="minorEastAsia"/>
          <w:sz w:val="24"/>
        </w:rPr>
        <w:t>。</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5</w:t>
      </w:r>
      <w:r w:rsidRPr="00FC1444">
        <w:rPr>
          <w:rFonts w:ascii="Times New Roman" w:hAnsi="Times New Roman" w:cs="Times New Roman"/>
        </w:rPr>
        <w:t>）土壤现状评价结论</w:t>
      </w:r>
    </w:p>
    <w:p w:rsidR="002A5A5E" w:rsidRPr="00FC1444" w:rsidRDefault="006F5CC4">
      <w:pPr>
        <w:spacing w:line="360" w:lineRule="auto"/>
        <w:ind w:firstLine="482"/>
        <w:rPr>
          <w:rFonts w:eastAsiaTheme="minorEastAsia"/>
          <w:sz w:val="24"/>
          <w:szCs w:val="21"/>
        </w:rPr>
      </w:pPr>
      <w:r w:rsidRPr="00FC1444">
        <w:rPr>
          <w:rFonts w:eastAsiaTheme="minorEastAsia"/>
          <w:sz w:val="24"/>
          <w:szCs w:val="21"/>
        </w:rPr>
        <w:t>根据土壤现状监测结果，</w:t>
      </w:r>
      <w:r w:rsidRPr="00FC1444">
        <w:rPr>
          <w:rFonts w:eastAsiaTheme="minorEastAsia"/>
          <w:sz w:val="24"/>
          <w:szCs w:val="21"/>
        </w:rPr>
        <w:t>3</w:t>
      </w:r>
      <w:r w:rsidRPr="00FC1444">
        <w:rPr>
          <w:rFonts w:eastAsiaTheme="minorEastAsia"/>
          <w:sz w:val="24"/>
          <w:szCs w:val="21"/>
        </w:rPr>
        <w:t>个监测点</w:t>
      </w:r>
      <w:r w:rsidRPr="00FC1444">
        <w:rPr>
          <w:rFonts w:eastAsiaTheme="minorEastAsia"/>
          <w:sz w:val="24"/>
          <w:szCs w:val="21"/>
        </w:rPr>
        <w:t>pH</w:t>
      </w:r>
      <w:r w:rsidRPr="00FC1444">
        <w:rPr>
          <w:rFonts w:eastAsiaTheme="minorEastAsia"/>
          <w:sz w:val="24"/>
          <w:szCs w:val="21"/>
        </w:rPr>
        <w:t>值在</w:t>
      </w:r>
      <w:r w:rsidRPr="00FC1444">
        <w:rPr>
          <w:rFonts w:eastAsiaTheme="minorEastAsia" w:hint="eastAsia"/>
          <w:sz w:val="24"/>
          <w:szCs w:val="21"/>
        </w:rPr>
        <w:t>7.1</w:t>
      </w:r>
      <w:r w:rsidRPr="00FC1444">
        <w:rPr>
          <w:rFonts w:eastAsiaTheme="minorEastAsia"/>
          <w:sz w:val="24"/>
          <w:szCs w:val="21"/>
        </w:rPr>
        <w:t>-7.</w:t>
      </w:r>
      <w:r w:rsidRPr="00FC1444">
        <w:rPr>
          <w:rFonts w:eastAsiaTheme="minorEastAsia" w:hint="eastAsia"/>
          <w:sz w:val="24"/>
          <w:szCs w:val="21"/>
        </w:rPr>
        <w:t>6</w:t>
      </w:r>
      <w:r w:rsidRPr="00FC1444">
        <w:rPr>
          <w:rFonts w:eastAsiaTheme="minorEastAsia"/>
          <w:sz w:val="24"/>
          <w:szCs w:val="21"/>
        </w:rPr>
        <w:t>之间，含盐量为</w:t>
      </w:r>
      <w:r w:rsidRPr="00FC1444">
        <w:rPr>
          <w:rFonts w:eastAsiaTheme="minorEastAsia"/>
          <w:sz w:val="24"/>
          <w:szCs w:val="21"/>
        </w:rPr>
        <w:t>0.</w:t>
      </w:r>
      <w:r w:rsidRPr="00FC1444">
        <w:rPr>
          <w:rFonts w:eastAsiaTheme="minorEastAsia" w:hint="eastAsia"/>
          <w:sz w:val="24"/>
          <w:szCs w:val="21"/>
        </w:rPr>
        <w:t>5</w:t>
      </w:r>
      <w:r w:rsidRPr="00FC1444">
        <w:rPr>
          <w:rFonts w:eastAsiaTheme="minorEastAsia"/>
          <w:sz w:val="24"/>
          <w:szCs w:val="21"/>
        </w:rPr>
        <w:t>-0.</w:t>
      </w:r>
      <w:r w:rsidRPr="00FC1444">
        <w:rPr>
          <w:rFonts w:eastAsiaTheme="minorEastAsia" w:hint="eastAsia"/>
          <w:sz w:val="24"/>
          <w:szCs w:val="21"/>
        </w:rPr>
        <w:t>8</w:t>
      </w:r>
      <w:r w:rsidRPr="00FC1444">
        <w:rPr>
          <w:rFonts w:eastAsiaTheme="minorEastAsia"/>
          <w:sz w:val="24"/>
          <w:szCs w:val="21"/>
        </w:rPr>
        <w:t>g/kg</w:t>
      </w:r>
      <w:r w:rsidRPr="00FC1444">
        <w:rPr>
          <w:rFonts w:eastAsiaTheme="minorEastAsia"/>
          <w:sz w:val="24"/>
        </w:rPr>
        <w:t>。均</w:t>
      </w:r>
      <w:r w:rsidRPr="00FC1444">
        <w:rPr>
          <w:rFonts w:eastAsiaTheme="minorEastAsia"/>
          <w:sz w:val="24"/>
          <w:szCs w:val="21"/>
        </w:rPr>
        <w:t>满足《土壤环境质量</w:t>
      </w:r>
      <w:r w:rsidRPr="00FC1444">
        <w:rPr>
          <w:rFonts w:eastAsiaTheme="minorEastAsia"/>
          <w:sz w:val="24"/>
          <w:szCs w:val="21"/>
        </w:rPr>
        <w:t xml:space="preserve"> </w:t>
      </w:r>
      <w:r w:rsidRPr="00FC1444">
        <w:rPr>
          <w:rFonts w:eastAsiaTheme="minorEastAsia"/>
          <w:sz w:val="24"/>
          <w:szCs w:val="21"/>
        </w:rPr>
        <w:t>农用地土壤污染风险管控标准（试行）》（</w:t>
      </w:r>
      <w:r w:rsidRPr="00FC1444">
        <w:rPr>
          <w:rFonts w:eastAsiaTheme="minorEastAsia"/>
          <w:sz w:val="24"/>
          <w:szCs w:val="21"/>
        </w:rPr>
        <w:t>GB15618-2018</w:t>
      </w:r>
      <w:r w:rsidRPr="00FC1444">
        <w:rPr>
          <w:rFonts w:eastAsiaTheme="minorEastAsia"/>
          <w:sz w:val="24"/>
          <w:szCs w:val="21"/>
        </w:rPr>
        <w:t>）表</w:t>
      </w:r>
      <w:r w:rsidRPr="00FC1444">
        <w:rPr>
          <w:rFonts w:eastAsiaTheme="minorEastAsia"/>
          <w:sz w:val="24"/>
          <w:szCs w:val="21"/>
        </w:rPr>
        <w:t>1</w:t>
      </w:r>
      <w:r w:rsidRPr="00FC1444">
        <w:rPr>
          <w:rFonts w:eastAsiaTheme="minorEastAsia"/>
          <w:sz w:val="24"/>
          <w:szCs w:val="21"/>
        </w:rPr>
        <w:t>中标准限值</w:t>
      </w:r>
      <w:r w:rsidR="00611CBA" w:rsidRPr="00FC1444">
        <w:rPr>
          <w:rFonts w:eastAsiaTheme="minorEastAsia"/>
          <w:sz w:val="24"/>
          <w:szCs w:val="21"/>
        </w:rPr>
        <w:t>。</w:t>
      </w:r>
    </w:p>
    <w:p w:rsidR="002A5A5E" w:rsidRPr="00FC1444" w:rsidRDefault="00611CBA">
      <w:pPr>
        <w:keepNext/>
        <w:keepLines/>
        <w:spacing w:before="100" w:beforeAutospacing="1" w:after="100" w:afterAutospacing="1"/>
        <w:outlineLvl w:val="2"/>
        <w:rPr>
          <w:rFonts w:eastAsiaTheme="minorEastAsia"/>
          <w:b/>
          <w:sz w:val="28"/>
          <w:szCs w:val="28"/>
        </w:rPr>
      </w:pPr>
      <w:bookmarkStart w:id="189" w:name="_Toc15991738"/>
      <w:r w:rsidRPr="00FC1444">
        <w:rPr>
          <w:rFonts w:eastAsiaTheme="minorEastAsia"/>
          <w:b/>
          <w:sz w:val="28"/>
          <w:szCs w:val="28"/>
        </w:rPr>
        <w:lastRenderedPageBreak/>
        <w:t>9.1.4</w:t>
      </w:r>
      <w:r w:rsidRPr="00FC1444">
        <w:rPr>
          <w:rFonts w:eastAsiaTheme="minorEastAsia"/>
          <w:b/>
          <w:sz w:val="28"/>
          <w:szCs w:val="28"/>
        </w:rPr>
        <w:t>污染防治措施可行性结论</w:t>
      </w:r>
      <w:bookmarkEnd w:id="189"/>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9.1.4.1</w:t>
      </w:r>
      <w:r w:rsidRPr="00FC1444">
        <w:rPr>
          <w:rFonts w:eastAsiaTheme="minorEastAsia"/>
          <w:b/>
          <w:sz w:val="24"/>
        </w:rPr>
        <w:t>施工期污染防治措施可行性结论</w:t>
      </w:r>
    </w:p>
    <w:p w:rsidR="002A5A5E" w:rsidRPr="00FC1444" w:rsidRDefault="00284B4D">
      <w:pPr>
        <w:spacing w:line="360" w:lineRule="auto"/>
        <w:ind w:firstLineChars="200" w:firstLine="480"/>
        <w:contextualSpacing/>
        <w:rPr>
          <w:rFonts w:eastAsiaTheme="minorEastAsia"/>
          <w:sz w:val="24"/>
        </w:rPr>
      </w:pPr>
      <w:r w:rsidRPr="00FC1444">
        <w:rPr>
          <w:rFonts w:eastAsiaTheme="minorEastAsia"/>
          <w:sz w:val="24"/>
        </w:rPr>
        <w:t>（</w:t>
      </w:r>
      <w:r w:rsidRPr="00FC1444">
        <w:rPr>
          <w:rFonts w:eastAsiaTheme="minorEastAsia"/>
          <w:sz w:val="24"/>
        </w:rPr>
        <w:t>1</w:t>
      </w:r>
      <w:r w:rsidRPr="00FC1444">
        <w:rPr>
          <w:rFonts w:eastAsiaTheme="minorEastAsia"/>
          <w:sz w:val="24"/>
        </w:rPr>
        <w:t>）</w:t>
      </w:r>
      <w:r w:rsidR="00611CBA" w:rsidRPr="00FC1444">
        <w:rPr>
          <w:rFonts w:eastAsiaTheme="minorEastAsia"/>
          <w:sz w:val="24"/>
        </w:rPr>
        <w:t>大气</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施工现场使用商品混凝土、预拌砂浆，严禁现场搅拌。</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施工现场细颗粒建筑材料密闭存放或严密覆盖，严禁露天放置；余料及时回收。</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施工期间，施工单位在非冬季时期制定洒水降尘制度，配套洒水车，专人负责，对施工场地及施工道路洒水抑尘；施工地面及时压实，天气干燥时增加洒水密度与频率。</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施工现场集中堆放的土方和裸露场地采取覆盖措施，严禁裸露。土料运输过程严格采用密闭运输，运输途中的物料不得沿途泄漏、散落或者飞扬。</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施工现场运送土方、渣土的车辆封闭或遮盖严密，严禁使用未办理相关手续的渣土等运输车辆，严禁沿路遗撒和随意倾倒。</w:t>
      </w:r>
    </w:p>
    <w:p w:rsidR="002A5A5E" w:rsidRPr="00FC1444" w:rsidRDefault="00611CBA" w:rsidP="00611CBA">
      <w:pPr>
        <w:spacing w:line="360" w:lineRule="auto"/>
        <w:ind w:firstLineChars="177" w:firstLine="425"/>
        <w:rPr>
          <w:rFonts w:eastAsiaTheme="minorEastAsia"/>
          <w:kern w:val="0"/>
          <w:sz w:val="24"/>
          <w:szCs w:val="20"/>
        </w:rPr>
      </w:pPr>
      <w:r w:rsidRPr="00FC1444">
        <w:rPr>
          <w:rFonts w:eastAsiaTheme="minorEastAsia"/>
          <w:kern w:val="0"/>
          <w:sz w:val="24"/>
          <w:szCs w:val="20"/>
        </w:rPr>
        <w:t>加强运输车辆的维护、保养，避免尾气超标排放。</w:t>
      </w:r>
    </w:p>
    <w:p w:rsidR="002A5A5E" w:rsidRPr="00FC1444" w:rsidRDefault="00611CBA" w:rsidP="00611CBA">
      <w:pPr>
        <w:spacing w:line="360" w:lineRule="auto"/>
        <w:ind w:firstLineChars="177" w:firstLine="425"/>
        <w:rPr>
          <w:rFonts w:eastAsiaTheme="minorEastAsia"/>
          <w:kern w:val="0"/>
          <w:sz w:val="24"/>
          <w:szCs w:val="20"/>
        </w:rPr>
      </w:pPr>
      <w:r w:rsidRPr="00FC1444">
        <w:rPr>
          <w:rFonts w:eastAsiaTheme="minorEastAsia"/>
          <w:kern w:val="0"/>
          <w:sz w:val="24"/>
          <w:szCs w:val="20"/>
        </w:rPr>
        <w:t>涵洞、田间道路工程建筑物拆除工程，气象预报风速达到</w:t>
      </w:r>
      <w:r w:rsidRPr="00FC1444">
        <w:rPr>
          <w:rFonts w:eastAsiaTheme="minorEastAsia"/>
          <w:kern w:val="0"/>
          <w:sz w:val="24"/>
          <w:szCs w:val="20"/>
        </w:rPr>
        <w:t>5</w:t>
      </w:r>
      <w:r w:rsidRPr="00FC1444">
        <w:rPr>
          <w:rFonts w:eastAsiaTheme="minorEastAsia"/>
          <w:kern w:val="0"/>
          <w:sz w:val="24"/>
          <w:szCs w:val="20"/>
        </w:rPr>
        <w:t>级时，应当停止拆除工程施工。拆除工程完工后</w:t>
      </w:r>
      <w:r w:rsidRPr="00FC1444">
        <w:rPr>
          <w:rFonts w:eastAsiaTheme="minorEastAsia"/>
          <w:kern w:val="0"/>
          <w:sz w:val="24"/>
          <w:szCs w:val="20"/>
        </w:rPr>
        <w:t>30</w:t>
      </w:r>
      <w:r w:rsidRPr="00FC1444">
        <w:rPr>
          <w:rFonts w:eastAsiaTheme="minorEastAsia"/>
          <w:kern w:val="0"/>
          <w:sz w:val="24"/>
          <w:szCs w:val="20"/>
        </w:rPr>
        <w:t>日内不能开工的建设用地，建设单位应当采取覆盖、地面硬化、简易绿化等措施。</w:t>
      </w:r>
    </w:p>
    <w:p w:rsidR="002A5A5E" w:rsidRPr="00FC1444" w:rsidRDefault="00611CBA" w:rsidP="00611CBA">
      <w:pPr>
        <w:spacing w:line="360" w:lineRule="auto"/>
        <w:ind w:firstLineChars="177" w:firstLine="425"/>
        <w:rPr>
          <w:rFonts w:eastAsiaTheme="minorEastAsia"/>
          <w:snapToGrid w:val="0"/>
          <w:sz w:val="24"/>
        </w:rPr>
      </w:pPr>
      <w:r w:rsidRPr="00FC1444">
        <w:rPr>
          <w:rFonts w:eastAsiaTheme="minorEastAsia"/>
          <w:snapToGrid w:val="0"/>
          <w:sz w:val="24"/>
        </w:rPr>
        <w:t>途经施工区村屯干道的运输车辆，实行限速管理，时速应小于</w:t>
      </w:r>
      <w:r w:rsidRPr="00FC1444">
        <w:rPr>
          <w:rFonts w:eastAsiaTheme="minorEastAsia"/>
          <w:snapToGrid w:val="0"/>
          <w:sz w:val="24"/>
        </w:rPr>
        <w:t>20km/h</w:t>
      </w:r>
      <w:r w:rsidRPr="00FC1444">
        <w:rPr>
          <w:rFonts w:eastAsiaTheme="minorEastAsia"/>
          <w:snapToGrid w:val="0"/>
          <w:sz w:val="24"/>
        </w:rPr>
        <w:t>，</w:t>
      </w:r>
      <w:r w:rsidRPr="00FC1444">
        <w:rPr>
          <w:rFonts w:eastAsiaTheme="minorEastAsia"/>
          <w:sz w:val="24"/>
        </w:rPr>
        <w:t>非冬季</w:t>
      </w:r>
      <w:r w:rsidRPr="00FC1444">
        <w:rPr>
          <w:rFonts w:eastAsiaTheme="minorEastAsia"/>
          <w:snapToGrid w:val="0"/>
          <w:sz w:val="24"/>
        </w:rPr>
        <w:t>干旱、多风天气，路段每天洒水不少于两次，减少扬尘对附近居民和作物的影响。</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napToGrid w:val="0"/>
          <w:sz w:val="24"/>
        </w:rPr>
        <w:t>本环评要求灌溉井、田间道路、涵洞、变压器、排水沟清淤等工程在距离环境保护目标较近位置施工时（</w:t>
      </w:r>
      <w:r w:rsidR="00D41946" w:rsidRPr="00FC1444">
        <w:rPr>
          <w:rFonts w:eastAsiaTheme="minorEastAsia"/>
          <w:snapToGrid w:val="0"/>
          <w:sz w:val="24"/>
        </w:rPr>
        <w:t>如胜利二村、东沟子等村屯</w:t>
      </w:r>
      <w:r w:rsidR="00943455" w:rsidRPr="00FC1444">
        <w:rPr>
          <w:rFonts w:eastAsiaTheme="minorEastAsia"/>
          <w:snapToGrid w:val="0"/>
          <w:sz w:val="24"/>
        </w:rPr>
        <w:t>，具体村屯名称见表</w:t>
      </w:r>
      <w:r w:rsidR="00943455" w:rsidRPr="00FC1444">
        <w:rPr>
          <w:rFonts w:eastAsiaTheme="minorEastAsia"/>
          <w:snapToGrid w:val="0"/>
          <w:sz w:val="24"/>
        </w:rPr>
        <w:t>2-8-1</w:t>
      </w:r>
      <w:r w:rsidRPr="00FC1444">
        <w:rPr>
          <w:rFonts w:eastAsiaTheme="minorEastAsia"/>
          <w:snapToGrid w:val="0"/>
          <w:sz w:val="24"/>
        </w:rPr>
        <w:t>），应设置施工围挡，将施工场地及施工人员与居民分离开，保证施工安全、减少扬尘逸散，</w:t>
      </w:r>
      <w:r w:rsidRPr="00FC1444">
        <w:rPr>
          <w:rFonts w:eastAsiaTheme="minorEastAsia"/>
          <w:sz w:val="24"/>
        </w:rPr>
        <w:t>非冬季季节</w:t>
      </w:r>
      <w:r w:rsidRPr="00FC1444">
        <w:rPr>
          <w:rFonts w:eastAsiaTheme="minorEastAsia"/>
          <w:snapToGrid w:val="0"/>
          <w:sz w:val="24"/>
        </w:rPr>
        <w:t>同时还应采取洒水、喷淋等抑尘措施。</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napToGrid w:val="0"/>
          <w:sz w:val="24"/>
        </w:rPr>
        <w:t>合理安排清淤时间，</w:t>
      </w:r>
      <w:r w:rsidR="004C69F2" w:rsidRPr="00FC1444">
        <w:rPr>
          <w:rFonts w:eastAsiaTheme="minorEastAsia"/>
          <w:sz w:val="24"/>
        </w:rPr>
        <w:t>排水沟淤泥</w:t>
      </w:r>
      <w:r w:rsidR="004C69F2" w:rsidRPr="00FC1444">
        <w:rPr>
          <w:rFonts w:eastAsiaTheme="minorEastAsia"/>
          <w:bCs/>
          <w:sz w:val="24"/>
        </w:rPr>
        <w:t>培至工程附近</w:t>
      </w:r>
      <w:r w:rsidR="004C69F2" w:rsidRPr="00FC1444">
        <w:rPr>
          <w:rFonts w:eastAsiaTheme="minorEastAsia"/>
          <w:bCs/>
          <w:sz w:val="24"/>
        </w:rPr>
        <w:t>200</w:t>
      </w:r>
      <w:r w:rsidR="004C69F2" w:rsidRPr="00FC1444">
        <w:rPr>
          <w:rFonts w:eastAsiaTheme="minorEastAsia"/>
          <w:bCs/>
          <w:sz w:val="24"/>
        </w:rPr>
        <w:t>米范围内无环境保护目标的排水沟两侧（</w:t>
      </w:r>
      <w:r w:rsidR="00386D57" w:rsidRPr="00FC1444">
        <w:rPr>
          <w:rFonts w:eastAsiaTheme="minorEastAsia"/>
          <w:bCs/>
          <w:sz w:val="24"/>
        </w:rPr>
        <w:t>避开黄家屯、李荒子屯等</w:t>
      </w:r>
      <w:r w:rsidR="00386D57" w:rsidRPr="00FC1444">
        <w:rPr>
          <w:rFonts w:eastAsiaTheme="minorEastAsia"/>
          <w:bCs/>
          <w:sz w:val="24"/>
        </w:rPr>
        <w:t>22</w:t>
      </w:r>
      <w:r w:rsidR="00386D57" w:rsidRPr="00FC1444">
        <w:rPr>
          <w:rFonts w:eastAsiaTheme="minorEastAsia"/>
          <w:bCs/>
          <w:sz w:val="24"/>
        </w:rPr>
        <w:t>个村屯</w:t>
      </w:r>
      <w:r w:rsidR="004C69F2" w:rsidRPr="00FC1444">
        <w:rPr>
          <w:rFonts w:eastAsiaTheme="minorEastAsia"/>
          <w:bCs/>
          <w:sz w:val="24"/>
        </w:rPr>
        <w:t>，具体见表</w:t>
      </w:r>
      <w:r w:rsidR="004C69F2" w:rsidRPr="00FC1444">
        <w:rPr>
          <w:rFonts w:eastAsiaTheme="minorEastAsia"/>
          <w:bCs/>
          <w:sz w:val="24"/>
        </w:rPr>
        <w:t>2-8-2</w:t>
      </w:r>
      <w:r w:rsidR="004C69F2" w:rsidRPr="00FC1444">
        <w:rPr>
          <w:rFonts w:eastAsiaTheme="minorEastAsia"/>
          <w:bCs/>
          <w:sz w:val="24"/>
        </w:rPr>
        <w:t>），</w:t>
      </w:r>
      <w:r w:rsidR="004C69F2" w:rsidRPr="00FC1444">
        <w:rPr>
          <w:rFonts w:eastAsiaTheme="minorEastAsia"/>
          <w:sz w:val="24"/>
        </w:rPr>
        <w:t>减少对附近环境保护目标的影响</w:t>
      </w:r>
      <w:r w:rsidRPr="00FC1444">
        <w:rPr>
          <w:rFonts w:eastAsiaTheme="minorEastAsia"/>
          <w:snapToGrid w:val="0"/>
          <w:sz w:val="24"/>
        </w:rPr>
        <w:t>。</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采取以上措施后，厂界颗粒物排放浓度满足《大气污染物综合排放标准》</w:t>
      </w:r>
      <w:r w:rsidRPr="00FC1444">
        <w:rPr>
          <w:rFonts w:eastAsiaTheme="minorEastAsia"/>
          <w:sz w:val="24"/>
        </w:rPr>
        <w:lastRenderedPageBreak/>
        <w:t>（</w:t>
      </w:r>
      <w:r w:rsidRPr="00FC1444">
        <w:rPr>
          <w:rFonts w:eastAsiaTheme="minorEastAsia"/>
          <w:sz w:val="24"/>
        </w:rPr>
        <w:t>GB16297-1996</w:t>
      </w:r>
      <w:r w:rsidRPr="00FC1444">
        <w:rPr>
          <w:rFonts w:eastAsiaTheme="minorEastAsia"/>
          <w:sz w:val="24"/>
        </w:rPr>
        <w:t>）表</w:t>
      </w:r>
      <w:r w:rsidRPr="00FC1444">
        <w:rPr>
          <w:rFonts w:eastAsiaTheme="minorEastAsia"/>
          <w:sz w:val="24"/>
        </w:rPr>
        <w:t>2</w:t>
      </w:r>
      <w:r w:rsidRPr="00FC1444">
        <w:rPr>
          <w:rFonts w:eastAsiaTheme="minorEastAsia"/>
          <w:sz w:val="24"/>
        </w:rPr>
        <w:t>中无组织排放监控浓度限值要求，厂界臭气浓度满足《恶臭污染物排放标准》（</w:t>
      </w:r>
      <w:r w:rsidRPr="00FC1444">
        <w:rPr>
          <w:rFonts w:eastAsiaTheme="minorEastAsia"/>
          <w:sz w:val="24"/>
        </w:rPr>
        <w:t>GB14554-93</w:t>
      </w:r>
      <w:r w:rsidRPr="00FC1444">
        <w:rPr>
          <w:rFonts w:eastAsiaTheme="minorEastAsia"/>
          <w:sz w:val="24"/>
        </w:rPr>
        <w:t>）表</w:t>
      </w:r>
      <w:r w:rsidRPr="00FC1444">
        <w:rPr>
          <w:rFonts w:eastAsiaTheme="minorEastAsia"/>
          <w:sz w:val="24"/>
        </w:rPr>
        <w:t>1</w:t>
      </w:r>
      <w:r w:rsidRPr="00FC1444">
        <w:rPr>
          <w:rFonts w:eastAsiaTheme="minorEastAsia"/>
          <w:sz w:val="24"/>
        </w:rPr>
        <w:t>二级标准，移动式发电机废气排放满足《非道路移动机械用柴油机移动泵车污染物排放限值及测量方法（中国三、四阶段）》（</w:t>
      </w:r>
      <w:r w:rsidRPr="00FC1444">
        <w:rPr>
          <w:rFonts w:eastAsiaTheme="minorEastAsia"/>
          <w:sz w:val="24"/>
        </w:rPr>
        <w:t>GB20891-2014</w:t>
      </w:r>
      <w:r w:rsidRPr="00FC1444">
        <w:rPr>
          <w:rFonts w:eastAsiaTheme="minorEastAsia"/>
          <w:sz w:val="24"/>
        </w:rPr>
        <w:t>）中表</w:t>
      </w:r>
      <w:r w:rsidRPr="00FC1444">
        <w:rPr>
          <w:rFonts w:eastAsiaTheme="minorEastAsia"/>
          <w:sz w:val="24"/>
        </w:rPr>
        <w:t>2</w:t>
      </w:r>
      <w:r w:rsidRPr="00FC1444">
        <w:rPr>
          <w:rFonts w:eastAsiaTheme="minorEastAsia"/>
          <w:sz w:val="24"/>
        </w:rPr>
        <w:t>非道路移动机械用柴油机排气污染物排放限值要求。</w:t>
      </w:r>
    </w:p>
    <w:p w:rsidR="002A5A5E" w:rsidRPr="00FC1444" w:rsidRDefault="00284B4D">
      <w:pPr>
        <w:spacing w:line="360" w:lineRule="auto"/>
        <w:ind w:firstLineChars="200" w:firstLine="480"/>
        <w:contextualSpacing/>
        <w:rPr>
          <w:rFonts w:eastAsiaTheme="minorEastAsia"/>
          <w:kern w:val="0"/>
          <w:sz w:val="24"/>
        </w:rPr>
      </w:pPr>
      <w:r w:rsidRPr="00FC1444">
        <w:rPr>
          <w:rFonts w:eastAsiaTheme="minorEastAsia"/>
          <w:kern w:val="0"/>
          <w:sz w:val="24"/>
        </w:rPr>
        <w:t>（</w:t>
      </w:r>
      <w:r w:rsidRPr="00FC1444">
        <w:rPr>
          <w:rFonts w:eastAsiaTheme="minorEastAsia"/>
          <w:kern w:val="0"/>
          <w:sz w:val="24"/>
        </w:rPr>
        <w:t>1</w:t>
      </w:r>
      <w:r w:rsidRPr="00FC1444">
        <w:rPr>
          <w:rFonts w:eastAsiaTheme="minorEastAsia"/>
          <w:kern w:val="0"/>
          <w:sz w:val="24"/>
        </w:rPr>
        <w:t>）</w:t>
      </w:r>
      <w:r w:rsidR="00611CBA" w:rsidRPr="00FC1444">
        <w:rPr>
          <w:rFonts w:eastAsiaTheme="minorEastAsia"/>
          <w:kern w:val="0"/>
          <w:sz w:val="24"/>
        </w:rPr>
        <w:t>废水</w:t>
      </w:r>
    </w:p>
    <w:p w:rsidR="002A5A5E" w:rsidRPr="00FC1444" w:rsidRDefault="00611CBA">
      <w:pPr>
        <w:widowControl/>
        <w:spacing w:line="360" w:lineRule="auto"/>
        <w:ind w:firstLineChars="200" w:firstLine="480"/>
        <w:rPr>
          <w:rFonts w:eastAsiaTheme="minorEastAsia"/>
          <w:sz w:val="24"/>
          <w:szCs w:val="22"/>
        </w:rPr>
      </w:pPr>
      <w:r w:rsidRPr="00FC1444">
        <w:rPr>
          <w:rFonts w:eastAsiaTheme="minorEastAsia"/>
          <w:kern w:val="0"/>
          <w:sz w:val="24"/>
        </w:rPr>
        <w:t>施工废水主要污染因子为</w:t>
      </w:r>
      <w:r w:rsidRPr="00FC1444">
        <w:rPr>
          <w:rFonts w:eastAsiaTheme="minorEastAsia"/>
          <w:kern w:val="0"/>
          <w:sz w:val="24"/>
        </w:rPr>
        <w:t>SS</w:t>
      </w:r>
      <w:r w:rsidRPr="00FC1444">
        <w:rPr>
          <w:rFonts w:eastAsiaTheme="minorEastAsia"/>
          <w:kern w:val="0"/>
          <w:sz w:val="24"/>
        </w:rPr>
        <w:t>。</w:t>
      </w:r>
      <w:r w:rsidRPr="00FC1444">
        <w:rPr>
          <w:rFonts w:eastAsiaTheme="minorEastAsia"/>
          <w:sz w:val="24"/>
        </w:rPr>
        <w:t>洗井废水用于洒水降尘</w:t>
      </w:r>
      <w:r w:rsidRPr="00FC1444">
        <w:rPr>
          <w:rFonts w:eastAsiaTheme="minorEastAsia"/>
          <w:sz w:val="24"/>
          <w:szCs w:val="21"/>
        </w:rPr>
        <w:t>。</w:t>
      </w:r>
      <w:r w:rsidRPr="00FC1444">
        <w:rPr>
          <w:rFonts w:eastAsiaTheme="minorEastAsia"/>
          <w:sz w:val="24"/>
          <w:szCs w:val="22"/>
        </w:rPr>
        <w:t>钻井泥浆可循环利用，废泥浆</w:t>
      </w:r>
      <w:r w:rsidRPr="00FC1444">
        <w:rPr>
          <w:rFonts w:eastAsiaTheme="minorEastAsia"/>
          <w:sz w:val="24"/>
        </w:rPr>
        <w:t>暂存于施工场地</w:t>
      </w:r>
      <w:r w:rsidR="006974EB" w:rsidRPr="00FC1444">
        <w:rPr>
          <w:rFonts w:eastAsiaTheme="minorEastAsia"/>
          <w:sz w:val="24"/>
        </w:rPr>
        <w:t>1</w:t>
      </w:r>
      <w:r w:rsidR="006974EB" w:rsidRPr="00FC1444">
        <w:rPr>
          <w:rFonts w:eastAsiaTheme="minorEastAsia"/>
          <w:sz w:val="24"/>
        </w:rPr>
        <w:t>个</w:t>
      </w:r>
      <w:r w:rsidR="006974EB" w:rsidRPr="00FC1444">
        <w:rPr>
          <w:rFonts w:eastAsiaTheme="minorEastAsia"/>
          <w:sz w:val="24"/>
        </w:rPr>
        <w:t>10</w:t>
      </w:r>
      <w:r w:rsidRPr="00FC1444">
        <w:rPr>
          <w:rFonts w:eastAsiaTheme="minorEastAsia"/>
          <w:sz w:val="24"/>
          <w:szCs w:val="22"/>
        </w:rPr>
        <w:t>m</w:t>
      </w:r>
      <w:r w:rsidRPr="00FC1444">
        <w:rPr>
          <w:rFonts w:eastAsiaTheme="minorEastAsia"/>
          <w:sz w:val="24"/>
          <w:szCs w:val="22"/>
          <w:vertAlign w:val="superscript"/>
        </w:rPr>
        <w:t>3</w:t>
      </w:r>
      <w:r w:rsidRPr="00FC1444">
        <w:rPr>
          <w:rFonts w:eastAsiaTheme="minorEastAsia"/>
          <w:sz w:val="24"/>
        </w:rPr>
        <w:t>移动式不锈钢沉淀池内，沉淀后上层清水用于洒水降尘，下层钻井</w:t>
      </w:r>
      <w:r w:rsidRPr="00FC1444">
        <w:rPr>
          <w:rFonts w:eastAsiaTheme="minorEastAsia"/>
          <w:bCs/>
          <w:sz w:val="24"/>
          <w:szCs w:val="22"/>
        </w:rPr>
        <w:t>泥浆自然干化后用于周围道路平整。</w:t>
      </w:r>
      <w:r w:rsidRPr="00FC1444">
        <w:rPr>
          <w:rFonts w:eastAsiaTheme="minorEastAsia"/>
          <w:sz w:val="24"/>
          <w:szCs w:val="21"/>
        </w:rPr>
        <w:t>施工期施工人员的生活污水排入依托附近民房防渗旱厕，定期清掏，外运堆肥，不外排。合理安排施工时序，选择</w:t>
      </w:r>
      <w:r w:rsidRPr="00FC1444">
        <w:rPr>
          <w:rFonts w:eastAsiaTheme="minorEastAsia"/>
          <w:sz w:val="24"/>
          <w:szCs w:val="21"/>
        </w:rPr>
        <w:t>3</w:t>
      </w:r>
      <w:r w:rsidRPr="00FC1444">
        <w:rPr>
          <w:rFonts w:eastAsiaTheme="minorEastAsia"/>
          <w:sz w:val="24"/>
          <w:szCs w:val="21"/>
        </w:rPr>
        <w:t>月至</w:t>
      </w:r>
      <w:r w:rsidRPr="00FC1444">
        <w:rPr>
          <w:rFonts w:eastAsiaTheme="minorEastAsia"/>
          <w:sz w:val="24"/>
          <w:szCs w:val="21"/>
        </w:rPr>
        <w:t>4</w:t>
      </w:r>
      <w:r w:rsidRPr="00FC1444">
        <w:rPr>
          <w:rFonts w:eastAsiaTheme="minorEastAsia"/>
          <w:sz w:val="24"/>
          <w:szCs w:val="21"/>
        </w:rPr>
        <w:t>月进行清淤，排水沟干涸，不涉水，避免对地表水体的</w:t>
      </w:r>
      <w:r w:rsidRPr="00FC1444">
        <w:rPr>
          <w:rFonts w:eastAsiaTheme="minorEastAsia"/>
          <w:sz w:val="24"/>
        </w:rPr>
        <w:t>影响。</w:t>
      </w:r>
      <w:r w:rsidR="00B7069F" w:rsidRPr="00FC1444">
        <w:rPr>
          <w:rFonts w:eastAsiaTheme="minorEastAsia"/>
          <w:bCs/>
          <w:sz w:val="24"/>
        </w:rPr>
        <w:t>清淤工程污泥铺摊前先根据地势铺设</w:t>
      </w:r>
      <w:r w:rsidR="00B7069F" w:rsidRPr="00FC1444">
        <w:rPr>
          <w:rFonts w:eastAsiaTheme="minorEastAsia"/>
          <w:bCs/>
          <w:sz w:val="24"/>
        </w:rPr>
        <w:t>5cm</w:t>
      </w:r>
      <w:r w:rsidR="00B7069F" w:rsidRPr="00FC1444">
        <w:rPr>
          <w:rFonts w:eastAsiaTheme="minorEastAsia"/>
          <w:bCs/>
          <w:sz w:val="24"/>
        </w:rPr>
        <w:t>卵石层、</w:t>
      </w:r>
      <w:r w:rsidR="00B7069F" w:rsidRPr="00FC1444">
        <w:rPr>
          <w:rFonts w:eastAsiaTheme="minorEastAsia"/>
          <w:bCs/>
          <w:sz w:val="24"/>
        </w:rPr>
        <w:t>20cm</w:t>
      </w:r>
      <w:r w:rsidR="00B7069F" w:rsidRPr="00FC1444">
        <w:rPr>
          <w:rFonts w:eastAsiaTheme="minorEastAsia"/>
          <w:bCs/>
          <w:sz w:val="24"/>
        </w:rPr>
        <w:t>砂子层，形成一侧临沟渠偏低、另一侧靠农田偏高的坡度，防止淤泥沥水渗入周边农田。污泥沥水与渠道内水质基本一致，经过滤处理后排至原有渠道内</w:t>
      </w:r>
      <w:r w:rsidR="00B7069F" w:rsidRPr="00FC1444">
        <w:rPr>
          <w:rFonts w:eastAsiaTheme="minorEastAsia"/>
          <w:bCs/>
          <w:kern w:val="0"/>
          <w:sz w:val="24"/>
        </w:rPr>
        <w:t>，</w:t>
      </w:r>
      <w:r w:rsidRPr="00FC1444">
        <w:rPr>
          <w:rFonts w:eastAsiaTheme="minorEastAsia"/>
          <w:bCs/>
          <w:kern w:val="0"/>
          <w:sz w:val="24"/>
        </w:rPr>
        <w:t>不会对灌区水质产生不良影响。</w:t>
      </w:r>
    </w:p>
    <w:p w:rsidR="002A5A5E" w:rsidRPr="00FC1444" w:rsidRDefault="00611CBA">
      <w:pPr>
        <w:spacing w:line="360" w:lineRule="auto"/>
        <w:ind w:firstLineChars="200" w:firstLine="480"/>
        <w:rPr>
          <w:rFonts w:eastAsiaTheme="minorEastAsia"/>
          <w:sz w:val="24"/>
        </w:rPr>
      </w:pPr>
      <w:r w:rsidRPr="00FC1444">
        <w:rPr>
          <w:rFonts w:eastAsiaTheme="minorEastAsia"/>
          <w:sz w:val="24"/>
          <w:szCs w:val="21"/>
        </w:rPr>
        <w:t>本工程</w:t>
      </w:r>
      <w:r w:rsidRPr="00FC1444">
        <w:rPr>
          <w:rFonts w:eastAsiaTheme="minorEastAsia"/>
          <w:sz w:val="24"/>
        </w:rPr>
        <w:t>施工期无施工废水排放到环境水体。施工过程不会对周围环境造成影响。</w:t>
      </w:r>
    </w:p>
    <w:p w:rsidR="002A5A5E" w:rsidRPr="00FC1444" w:rsidRDefault="00284B4D">
      <w:pPr>
        <w:spacing w:line="360" w:lineRule="auto"/>
        <w:ind w:firstLineChars="200" w:firstLine="480"/>
        <w:contextualSpacing/>
        <w:rPr>
          <w:rFonts w:eastAsiaTheme="minorEastAsia"/>
          <w:kern w:val="0"/>
          <w:sz w:val="24"/>
        </w:rPr>
      </w:pPr>
      <w:r w:rsidRPr="00FC1444">
        <w:rPr>
          <w:rFonts w:eastAsiaTheme="minorEastAsia"/>
          <w:kern w:val="0"/>
          <w:sz w:val="24"/>
        </w:rPr>
        <w:t>（</w:t>
      </w:r>
      <w:r w:rsidRPr="00FC1444">
        <w:rPr>
          <w:rFonts w:eastAsiaTheme="minorEastAsia"/>
          <w:kern w:val="0"/>
          <w:sz w:val="24"/>
        </w:rPr>
        <w:t>3</w:t>
      </w:r>
      <w:r w:rsidRPr="00FC1444">
        <w:rPr>
          <w:rFonts w:eastAsiaTheme="minorEastAsia"/>
          <w:kern w:val="0"/>
          <w:sz w:val="24"/>
        </w:rPr>
        <w:t>）</w:t>
      </w:r>
      <w:r w:rsidR="00611CBA" w:rsidRPr="00FC1444">
        <w:rPr>
          <w:rFonts w:eastAsiaTheme="minorEastAsia"/>
          <w:kern w:val="0"/>
          <w:sz w:val="24"/>
        </w:rPr>
        <w:t>噪声</w:t>
      </w:r>
    </w:p>
    <w:p w:rsidR="002A5A5E" w:rsidRPr="00FC1444" w:rsidRDefault="00611CBA" w:rsidP="00611CBA">
      <w:pPr>
        <w:spacing w:line="360" w:lineRule="auto"/>
        <w:ind w:firstLineChars="177" w:firstLine="425"/>
        <w:rPr>
          <w:rFonts w:eastAsiaTheme="minorEastAsia"/>
          <w:sz w:val="24"/>
          <w:szCs w:val="21"/>
        </w:rPr>
      </w:pPr>
      <w:r w:rsidRPr="00FC1444">
        <w:rPr>
          <w:rFonts w:eastAsiaTheme="minorEastAsia"/>
          <w:bCs/>
          <w:sz w:val="24"/>
        </w:rPr>
        <w:t>合理规划施工布置。</w:t>
      </w:r>
      <w:r w:rsidRPr="00FC1444">
        <w:rPr>
          <w:rFonts w:eastAsiaTheme="minorEastAsia"/>
          <w:sz w:val="24"/>
          <w:szCs w:val="21"/>
        </w:rPr>
        <w:t>移动式声屏障可拆卸重复使用，高度为</w:t>
      </w:r>
      <w:r w:rsidRPr="00FC1444">
        <w:rPr>
          <w:rFonts w:eastAsiaTheme="minorEastAsia"/>
          <w:sz w:val="24"/>
          <w:szCs w:val="21"/>
        </w:rPr>
        <w:t>2m</w:t>
      </w:r>
      <w:r w:rsidRPr="00FC1444">
        <w:rPr>
          <w:rFonts w:eastAsiaTheme="minorEastAsia"/>
          <w:sz w:val="24"/>
          <w:szCs w:val="21"/>
        </w:rPr>
        <w:t>。本次评价考虑距离工程</w:t>
      </w:r>
      <w:r w:rsidRPr="00FC1444">
        <w:rPr>
          <w:rFonts w:eastAsiaTheme="minorEastAsia"/>
          <w:sz w:val="24"/>
          <w:szCs w:val="21"/>
        </w:rPr>
        <w:t>10m</w:t>
      </w:r>
      <w:r w:rsidRPr="00FC1444">
        <w:rPr>
          <w:rFonts w:eastAsiaTheme="minorEastAsia"/>
          <w:sz w:val="24"/>
          <w:szCs w:val="21"/>
        </w:rPr>
        <w:t>以内的敏感保护目标设置芯材为玻璃棉等吸声材料的双层移动式隔声屏障，</w:t>
      </w:r>
      <w:r w:rsidRPr="00FC1444">
        <w:rPr>
          <w:rFonts w:eastAsiaTheme="minorEastAsia"/>
          <w:spacing w:val="-5"/>
          <w:sz w:val="24"/>
        </w:rPr>
        <w:t>双层</w:t>
      </w:r>
      <w:r w:rsidRPr="00FC1444">
        <w:rPr>
          <w:rFonts w:eastAsiaTheme="minorEastAsia"/>
          <w:sz w:val="24"/>
          <w:szCs w:val="21"/>
        </w:rPr>
        <w:t>声屏障降噪效果良好，可降噪</w:t>
      </w:r>
      <w:r w:rsidRPr="00FC1444">
        <w:rPr>
          <w:rFonts w:eastAsiaTheme="minorEastAsia"/>
          <w:sz w:val="24"/>
          <w:szCs w:val="21"/>
        </w:rPr>
        <w:t>25dB</w:t>
      </w:r>
      <w:r w:rsidRPr="00FC1444">
        <w:rPr>
          <w:rFonts w:eastAsiaTheme="minorEastAsia"/>
          <w:sz w:val="24"/>
          <w:szCs w:val="21"/>
        </w:rPr>
        <w:t>（</w:t>
      </w:r>
      <w:r w:rsidRPr="00FC1444">
        <w:rPr>
          <w:rFonts w:eastAsiaTheme="minorEastAsia"/>
          <w:sz w:val="24"/>
          <w:szCs w:val="21"/>
        </w:rPr>
        <w:t>A</w:t>
      </w:r>
      <w:r w:rsidRPr="00FC1444">
        <w:rPr>
          <w:rFonts w:eastAsiaTheme="minorEastAsia"/>
          <w:sz w:val="24"/>
          <w:szCs w:val="21"/>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szCs w:val="21"/>
        </w:rPr>
        <w:t>合理布置施工现场，尽量让高噪声设备远离敏感点一侧布置；做好安全文明施工（严禁中午</w:t>
      </w:r>
      <w:r w:rsidRPr="00FC1444">
        <w:rPr>
          <w:rFonts w:eastAsiaTheme="minorEastAsia"/>
          <w:sz w:val="24"/>
          <w:szCs w:val="21"/>
        </w:rPr>
        <w:t>12:00</w:t>
      </w:r>
      <w:r w:rsidRPr="00FC1444">
        <w:rPr>
          <w:rFonts w:eastAsia="MS Mincho"/>
          <w:sz w:val="24"/>
          <w:szCs w:val="21"/>
        </w:rPr>
        <w:t>〜</w:t>
      </w:r>
      <w:r w:rsidRPr="00FC1444">
        <w:rPr>
          <w:rFonts w:eastAsiaTheme="minorEastAsia"/>
          <w:sz w:val="24"/>
          <w:szCs w:val="21"/>
        </w:rPr>
        <w:t xml:space="preserve">14:00 </w:t>
      </w:r>
      <w:r w:rsidRPr="00FC1444">
        <w:rPr>
          <w:rFonts w:eastAsiaTheme="minorEastAsia"/>
          <w:sz w:val="24"/>
          <w:szCs w:val="21"/>
        </w:rPr>
        <w:t>进行高噪声施工活动），夜间不施工，在</w:t>
      </w:r>
      <w:r w:rsidRPr="00FC1444">
        <w:rPr>
          <w:rFonts w:eastAsiaTheme="minorEastAsia"/>
          <w:sz w:val="24"/>
          <w:szCs w:val="21"/>
        </w:rPr>
        <w:t>10m</w:t>
      </w:r>
      <w:r w:rsidRPr="00FC1444">
        <w:rPr>
          <w:rFonts w:eastAsiaTheme="minorEastAsia"/>
          <w:sz w:val="24"/>
          <w:szCs w:val="21"/>
        </w:rPr>
        <w:t>以内分布有居民（</w:t>
      </w:r>
      <w:r w:rsidR="00D41946" w:rsidRPr="00FC1444">
        <w:rPr>
          <w:rFonts w:eastAsiaTheme="minorEastAsia"/>
          <w:sz w:val="24"/>
          <w:szCs w:val="21"/>
        </w:rPr>
        <w:t>曹家炉、刘家沟、崔家窝棚等村屯，共</w:t>
      </w:r>
      <w:r w:rsidR="00D41946" w:rsidRPr="00FC1444">
        <w:rPr>
          <w:rFonts w:eastAsiaTheme="minorEastAsia"/>
          <w:sz w:val="24"/>
          <w:szCs w:val="21"/>
        </w:rPr>
        <w:t>19</w:t>
      </w:r>
      <w:r w:rsidR="00D41946" w:rsidRPr="00FC1444">
        <w:rPr>
          <w:rFonts w:eastAsiaTheme="minorEastAsia"/>
          <w:sz w:val="24"/>
          <w:szCs w:val="21"/>
        </w:rPr>
        <w:t>处，</w:t>
      </w:r>
      <w:r w:rsidRPr="00FC1444">
        <w:rPr>
          <w:rFonts w:eastAsiaTheme="minorEastAsia"/>
          <w:sz w:val="24"/>
          <w:szCs w:val="21"/>
        </w:rPr>
        <w:t>具体村屯名称</w:t>
      </w:r>
      <w:r w:rsidR="00660C23" w:rsidRPr="00FC1444">
        <w:rPr>
          <w:rFonts w:eastAsiaTheme="minorEastAsia"/>
          <w:sz w:val="24"/>
          <w:szCs w:val="21"/>
        </w:rPr>
        <w:t>见表</w:t>
      </w:r>
      <w:r w:rsidR="00660C23" w:rsidRPr="00FC1444">
        <w:rPr>
          <w:rFonts w:eastAsiaTheme="minorEastAsia"/>
          <w:sz w:val="24"/>
          <w:szCs w:val="21"/>
        </w:rPr>
        <w:t>2-8-1</w:t>
      </w:r>
      <w:r w:rsidRPr="00FC1444">
        <w:rPr>
          <w:rFonts w:eastAsiaTheme="minorEastAsia"/>
          <w:sz w:val="24"/>
          <w:szCs w:val="21"/>
        </w:rPr>
        <w:t>）的灌溉与排水、田间道路、涵洞等建筑物、</w:t>
      </w:r>
      <w:r w:rsidRPr="00FC1444">
        <w:rPr>
          <w:rFonts w:eastAsiaTheme="minorEastAsia"/>
          <w:bCs/>
          <w:sz w:val="24"/>
          <w:szCs w:val="21"/>
        </w:rPr>
        <w:t>输配电</w:t>
      </w:r>
      <w:r w:rsidRPr="00FC1444">
        <w:rPr>
          <w:rFonts w:eastAsiaTheme="minorEastAsia"/>
          <w:sz w:val="24"/>
          <w:szCs w:val="21"/>
        </w:rPr>
        <w:t>工程处设置</w:t>
      </w:r>
      <w:r w:rsidRPr="00FC1444">
        <w:rPr>
          <w:rFonts w:eastAsiaTheme="minorEastAsia"/>
          <w:spacing w:val="-5"/>
          <w:sz w:val="24"/>
        </w:rPr>
        <w:t>双层</w:t>
      </w:r>
      <w:r w:rsidRPr="00FC1444">
        <w:rPr>
          <w:rFonts w:eastAsiaTheme="minorEastAsia"/>
          <w:sz w:val="24"/>
          <w:szCs w:val="21"/>
        </w:rPr>
        <w:t>移动隔声屏障，高度为</w:t>
      </w:r>
      <w:r w:rsidRPr="00FC1444">
        <w:rPr>
          <w:rFonts w:eastAsiaTheme="minorEastAsia"/>
          <w:sz w:val="24"/>
          <w:szCs w:val="21"/>
        </w:rPr>
        <w:t>2m</w:t>
      </w:r>
      <w:r w:rsidRPr="00FC1444">
        <w:rPr>
          <w:rFonts w:eastAsiaTheme="minorEastAsia"/>
          <w:sz w:val="24"/>
          <w:szCs w:val="21"/>
        </w:rPr>
        <w:t>，长度超出敏感目标两侧各</w:t>
      </w:r>
      <w:r w:rsidRPr="00FC1444">
        <w:rPr>
          <w:rFonts w:eastAsiaTheme="minorEastAsia"/>
          <w:sz w:val="24"/>
          <w:szCs w:val="21"/>
        </w:rPr>
        <w:t>10m</w:t>
      </w:r>
      <w:r w:rsidRPr="00FC1444">
        <w:rPr>
          <w:rFonts w:eastAsiaTheme="minorEastAsia"/>
          <w:sz w:val="24"/>
          <w:szCs w:val="21"/>
        </w:rPr>
        <w:t>。</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szCs w:val="21"/>
        </w:rPr>
        <w:t>对施工机械和车辆进行维护保养</w:t>
      </w:r>
      <w:r w:rsidRPr="00FC1444">
        <w:rPr>
          <w:rFonts w:eastAsiaTheme="minorEastAsia"/>
          <w:sz w:val="24"/>
        </w:rPr>
        <w:t>。</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bCs/>
          <w:smallCaps/>
          <w:sz w:val="24"/>
        </w:rPr>
        <w:t>施工单位应加强对施工队伍的管理，倡导文明施工；</w:t>
      </w:r>
      <w:r w:rsidRPr="00FC1444">
        <w:rPr>
          <w:rFonts w:eastAsiaTheme="minorEastAsia"/>
          <w:bCs/>
          <w:sz w:val="24"/>
        </w:rPr>
        <w:t>车辆经过居民区和噪声敏感点附近时应控制车速不超过</w:t>
      </w:r>
      <w:r w:rsidRPr="00FC1444">
        <w:rPr>
          <w:rFonts w:eastAsiaTheme="minorEastAsia"/>
          <w:bCs/>
          <w:sz w:val="24"/>
        </w:rPr>
        <w:t>20km/h</w:t>
      </w:r>
      <w:r w:rsidRPr="00FC1444">
        <w:rPr>
          <w:rFonts w:eastAsiaTheme="minorEastAsia"/>
          <w:bCs/>
          <w:sz w:val="24"/>
        </w:rPr>
        <w:t>，禁止鸣笛，同时，结合施工区所列的</w:t>
      </w:r>
      <w:r w:rsidRPr="00FC1444">
        <w:rPr>
          <w:rFonts w:eastAsiaTheme="minorEastAsia"/>
          <w:bCs/>
          <w:sz w:val="24"/>
        </w:rPr>
        <w:lastRenderedPageBreak/>
        <w:t>环境敏感目标设置警示牌限速牌</w:t>
      </w:r>
      <w:r w:rsidRPr="00FC1444">
        <w:rPr>
          <w:rFonts w:eastAsiaTheme="minorEastAsia"/>
          <w:sz w:val="24"/>
        </w:rPr>
        <w:t>。</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szCs w:val="21"/>
        </w:rPr>
        <w:t>加强施工期环境管理，尽量避免高噪声机械设备集中使用或几台声功率相同的设备同时、同点作业，以减少作业时的噪声声级</w:t>
      </w:r>
      <w:r w:rsidRPr="00FC1444">
        <w:rPr>
          <w:rFonts w:eastAsiaTheme="minorEastAsia"/>
          <w:sz w:val="24"/>
        </w:rPr>
        <w:t>。</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szCs w:val="21"/>
        </w:rPr>
        <w:t>合理安排施工作业时间，禁止夜间（</w:t>
      </w:r>
      <w:r w:rsidRPr="00FC1444">
        <w:rPr>
          <w:rFonts w:eastAsiaTheme="minorEastAsia"/>
          <w:sz w:val="24"/>
          <w:szCs w:val="21"/>
        </w:rPr>
        <w:t>22:00-6:00</w:t>
      </w:r>
      <w:r w:rsidRPr="00FC1444">
        <w:rPr>
          <w:rFonts w:eastAsiaTheme="minorEastAsia"/>
          <w:sz w:val="24"/>
          <w:szCs w:val="21"/>
        </w:rPr>
        <w:t>）施工</w:t>
      </w:r>
      <w:r w:rsidRPr="00FC1444">
        <w:rPr>
          <w:rFonts w:eastAsiaTheme="minorEastAsia"/>
          <w:sz w:val="24"/>
        </w:rPr>
        <w:t>。</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建设管理部门应加强对施工工地的噪声管理，施工企业也应对施工进行自律，文明施工，避免因施工噪声产生纠纷。</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bCs/>
          <w:sz w:val="24"/>
        </w:rPr>
        <w:t>加强施工期噪声监测，项目所在区域地势平坦，噪声影响范围大；施工期环境监测单位应加强对声环境敏感点的噪声监测，尤其是建筑物工程附近的敏感点的噪声监测，对于噪声超标的区域，及时反馈建设单位，督促施工单位加以规范，确保敏感点声环境功能区达标。</w:t>
      </w:r>
    </w:p>
    <w:p w:rsidR="002A5A5E" w:rsidRPr="00FC1444" w:rsidRDefault="00611CBA">
      <w:pPr>
        <w:spacing w:line="360" w:lineRule="auto"/>
        <w:ind w:firstLineChars="200" w:firstLine="480"/>
        <w:rPr>
          <w:rFonts w:eastAsiaTheme="minorEastAsia"/>
          <w:sz w:val="24"/>
        </w:rPr>
      </w:pPr>
      <w:r w:rsidRPr="00FC1444">
        <w:rPr>
          <w:rFonts w:eastAsiaTheme="minorEastAsia"/>
          <w:bCs/>
          <w:sz w:val="24"/>
        </w:rPr>
        <w:t>综上分析，本项目施工期噪声具有阶段性、临时性和不固定性的特征。尽管施工噪声对周边环境有一定的不利影响，但是施工期噪声影响是短暂的，一旦施工活动结束，施工噪声影响也就随之结束，</w:t>
      </w:r>
      <w:r w:rsidRPr="00FC1444">
        <w:rPr>
          <w:rFonts w:eastAsiaTheme="minorEastAsia"/>
          <w:sz w:val="24"/>
        </w:rPr>
        <w:t>采取措施后厂界噪声符合《建筑施工噪声排放标准》（</w:t>
      </w:r>
      <w:r w:rsidRPr="00FC1444">
        <w:rPr>
          <w:rFonts w:eastAsiaTheme="minorEastAsia"/>
          <w:sz w:val="24"/>
        </w:rPr>
        <w:t>GB12523-2025</w:t>
      </w:r>
      <w:r w:rsidRPr="00FC1444">
        <w:rPr>
          <w:rFonts w:eastAsiaTheme="minorEastAsia"/>
          <w:sz w:val="24"/>
        </w:rPr>
        <w:t>）要求，施工期声环境保护措施可行。</w:t>
      </w:r>
    </w:p>
    <w:p w:rsidR="002A5A5E" w:rsidRPr="00FC1444" w:rsidRDefault="00284B4D">
      <w:pPr>
        <w:spacing w:line="360" w:lineRule="auto"/>
        <w:ind w:firstLineChars="200" w:firstLine="480"/>
        <w:contextualSpacing/>
        <w:rPr>
          <w:rFonts w:eastAsiaTheme="minorEastAsia"/>
          <w:sz w:val="24"/>
        </w:rPr>
      </w:pPr>
      <w:r w:rsidRPr="00FC1444">
        <w:rPr>
          <w:rFonts w:eastAsiaTheme="minorEastAsia"/>
          <w:sz w:val="24"/>
        </w:rPr>
        <w:t>（</w:t>
      </w:r>
      <w:r w:rsidRPr="00FC1444">
        <w:rPr>
          <w:rFonts w:eastAsiaTheme="minorEastAsia"/>
          <w:sz w:val="24"/>
        </w:rPr>
        <w:t>4</w:t>
      </w:r>
      <w:r w:rsidRPr="00FC1444">
        <w:rPr>
          <w:rFonts w:eastAsiaTheme="minorEastAsia"/>
          <w:sz w:val="24"/>
        </w:rPr>
        <w:t>）</w:t>
      </w:r>
      <w:r w:rsidR="00611CBA" w:rsidRPr="00FC1444">
        <w:rPr>
          <w:rFonts w:eastAsiaTheme="minorEastAsia"/>
          <w:sz w:val="24"/>
        </w:rPr>
        <w:t>固废</w:t>
      </w:r>
    </w:p>
    <w:p w:rsidR="002A5A5E" w:rsidRPr="00FC1444" w:rsidRDefault="00611CBA">
      <w:pPr>
        <w:spacing w:line="360" w:lineRule="auto"/>
        <w:ind w:firstLineChars="200" w:firstLine="464"/>
        <w:rPr>
          <w:rFonts w:eastAsiaTheme="minorEastAsia"/>
          <w:spacing w:val="-4"/>
          <w:sz w:val="24"/>
          <w:szCs w:val="21"/>
        </w:rPr>
      </w:pPr>
      <w:r w:rsidRPr="00FC1444">
        <w:rPr>
          <w:rFonts w:eastAsiaTheme="minorEastAsia"/>
          <w:spacing w:val="-4"/>
          <w:sz w:val="24"/>
          <w:szCs w:val="21"/>
        </w:rPr>
        <w:t>施工期固体废物主要包括</w:t>
      </w:r>
      <w:r w:rsidR="00957CE3" w:rsidRPr="00FC1444">
        <w:rPr>
          <w:rFonts w:eastAsiaTheme="minorEastAsia"/>
          <w:spacing w:val="-4"/>
          <w:sz w:val="24"/>
          <w:szCs w:val="21"/>
        </w:rPr>
        <w:t>建筑垃圾、土方（表土、</w:t>
      </w:r>
      <w:r w:rsidR="00957CE3" w:rsidRPr="00FC1444">
        <w:rPr>
          <w:rFonts w:eastAsiaTheme="minorEastAsia"/>
          <w:sz w:val="24"/>
          <w:szCs w:val="22"/>
        </w:rPr>
        <w:t>钻井泥浆</w:t>
      </w:r>
      <w:r w:rsidR="00957CE3" w:rsidRPr="00FC1444">
        <w:rPr>
          <w:rFonts w:eastAsiaTheme="minorEastAsia"/>
          <w:spacing w:val="-4"/>
          <w:sz w:val="24"/>
          <w:szCs w:val="21"/>
        </w:rPr>
        <w:t>）、生活垃圾、淤泥、废肥料包装袋</w:t>
      </w:r>
      <w:r w:rsidRPr="00FC1444">
        <w:rPr>
          <w:rFonts w:eastAsiaTheme="minorEastAsia"/>
          <w:spacing w:val="-4"/>
          <w:sz w:val="24"/>
          <w:szCs w:val="21"/>
        </w:rPr>
        <w:t>。</w:t>
      </w:r>
    </w:p>
    <w:p w:rsidR="002A5A5E" w:rsidRPr="00FC1444" w:rsidRDefault="00611CBA" w:rsidP="00284B4D">
      <w:pPr>
        <w:spacing w:line="360" w:lineRule="auto"/>
        <w:ind w:firstLineChars="200" w:firstLine="464"/>
        <w:rPr>
          <w:rFonts w:eastAsiaTheme="minorEastAsia"/>
          <w:spacing w:val="-4"/>
          <w:sz w:val="24"/>
          <w:szCs w:val="21"/>
        </w:rPr>
      </w:pPr>
      <w:r w:rsidRPr="00FC1444">
        <w:rPr>
          <w:rFonts w:eastAsiaTheme="minorEastAsia"/>
          <w:spacing w:val="-4"/>
          <w:sz w:val="24"/>
          <w:szCs w:val="21"/>
        </w:rPr>
        <w:t>建筑垃圾大部分用于田块整治工程，剩余送至建筑公司回用。</w:t>
      </w:r>
      <w:r w:rsidR="00F9040C" w:rsidRPr="00FC1444">
        <w:rPr>
          <w:rFonts w:eastAsiaTheme="minorEastAsia"/>
          <w:spacing w:val="-4"/>
          <w:sz w:val="24"/>
          <w:szCs w:val="21"/>
        </w:rPr>
        <w:t>建筑垃圾进行堆填利用前应开展本底调查及风险评估。</w:t>
      </w:r>
      <w:r w:rsidR="00957CE3" w:rsidRPr="00FC1444">
        <w:rPr>
          <w:rFonts w:eastAsiaTheme="minorEastAsia"/>
          <w:spacing w:val="-4"/>
          <w:sz w:val="24"/>
          <w:szCs w:val="21"/>
        </w:rPr>
        <w:t>废包装袋外售废品收购站。</w:t>
      </w:r>
    </w:p>
    <w:p w:rsidR="002A5A5E" w:rsidRPr="00FC1444" w:rsidRDefault="00611CBA">
      <w:pPr>
        <w:widowControl/>
        <w:spacing w:line="360" w:lineRule="auto"/>
        <w:ind w:firstLineChars="200" w:firstLine="480"/>
        <w:rPr>
          <w:rFonts w:eastAsiaTheme="minorEastAsia"/>
          <w:sz w:val="24"/>
          <w:szCs w:val="22"/>
        </w:rPr>
      </w:pPr>
      <w:r w:rsidRPr="00FC1444">
        <w:rPr>
          <w:rFonts w:eastAsiaTheme="minorEastAsia"/>
          <w:sz w:val="24"/>
          <w:szCs w:val="22"/>
        </w:rPr>
        <w:t>钻井泥浆可循环利用，废泥浆</w:t>
      </w:r>
      <w:r w:rsidRPr="00FC1444">
        <w:rPr>
          <w:rFonts w:eastAsiaTheme="minorEastAsia"/>
          <w:sz w:val="24"/>
        </w:rPr>
        <w:t>暂存于施工场地</w:t>
      </w:r>
      <w:r w:rsidRPr="00FC1444">
        <w:rPr>
          <w:rFonts w:eastAsiaTheme="minorEastAsia"/>
          <w:sz w:val="24"/>
        </w:rPr>
        <w:t>1</w:t>
      </w:r>
      <w:r w:rsidRPr="00FC1444">
        <w:rPr>
          <w:rFonts w:eastAsiaTheme="minorEastAsia"/>
          <w:sz w:val="24"/>
        </w:rPr>
        <w:t>个</w:t>
      </w:r>
      <w:r w:rsidRPr="00FC1444">
        <w:rPr>
          <w:rFonts w:eastAsiaTheme="minorEastAsia"/>
          <w:sz w:val="24"/>
        </w:rPr>
        <w:t>20</w:t>
      </w:r>
      <w:r w:rsidRPr="00FC1444">
        <w:rPr>
          <w:rFonts w:eastAsiaTheme="minorEastAsia"/>
          <w:sz w:val="24"/>
          <w:szCs w:val="22"/>
        </w:rPr>
        <w:t>m</w:t>
      </w:r>
      <w:r w:rsidRPr="00FC1444">
        <w:rPr>
          <w:rFonts w:eastAsiaTheme="minorEastAsia"/>
          <w:sz w:val="24"/>
          <w:szCs w:val="22"/>
          <w:vertAlign w:val="superscript"/>
        </w:rPr>
        <w:t>3</w:t>
      </w:r>
      <w:r w:rsidRPr="00FC1444">
        <w:rPr>
          <w:rFonts w:eastAsiaTheme="minorEastAsia"/>
          <w:sz w:val="24"/>
        </w:rPr>
        <w:t>移动式不锈钢沉淀池内，沉淀后上层清水用于洒水降尘，下层钻井</w:t>
      </w:r>
      <w:r w:rsidRPr="00FC1444">
        <w:rPr>
          <w:rFonts w:eastAsiaTheme="minorEastAsia"/>
          <w:bCs/>
          <w:sz w:val="24"/>
          <w:szCs w:val="22"/>
        </w:rPr>
        <w:t>泥浆自然干化后用于周围道路平整</w:t>
      </w:r>
      <w:r w:rsidRPr="00FC1444">
        <w:rPr>
          <w:rFonts w:eastAsiaTheme="minorEastAsia"/>
          <w:spacing w:val="-4"/>
          <w:sz w:val="24"/>
          <w:szCs w:val="21"/>
        </w:rPr>
        <w:t>。表土用于临时工程土地恢复及田</w:t>
      </w:r>
      <w:r w:rsidRPr="00FC1444">
        <w:rPr>
          <w:rFonts w:eastAsiaTheme="minorEastAsia"/>
          <w:spacing w:val="-4"/>
          <w:sz w:val="24"/>
        </w:rPr>
        <w:t>块整治工程，</w:t>
      </w:r>
      <w:r w:rsidR="009C6020" w:rsidRPr="00FC1444">
        <w:rPr>
          <w:rFonts w:eastAsiaTheme="minorEastAsia"/>
          <w:sz w:val="24"/>
        </w:rPr>
        <w:t>资源化利用</w:t>
      </w:r>
      <w:r w:rsidRPr="00FC1444">
        <w:rPr>
          <w:rFonts w:eastAsiaTheme="minorEastAsia"/>
          <w:spacing w:val="-4"/>
          <w:sz w:val="24"/>
        </w:rPr>
        <w:t>。</w:t>
      </w:r>
    </w:p>
    <w:p w:rsidR="002A5A5E" w:rsidRPr="00FC1444" w:rsidRDefault="00611CBA" w:rsidP="00284B4D">
      <w:pPr>
        <w:spacing w:line="360" w:lineRule="auto"/>
        <w:ind w:firstLineChars="177" w:firstLine="411"/>
        <w:rPr>
          <w:rFonts w:eastAsiaTheme="minorEastAsia"/>
          <w:sz w:val="24"/>
        </w:rPr>
      </w:pPr>
      <w:r w:rsidRPr="00FC1444">
        <w:rPr>
          <w:rFonts w:eastAsiaTheme="minorEastAsia"/>
          <w:spacing w:val="-4"/>
          <w:sz w:val="24"/>
          <w:szCs w:val="21"/>
        </w:rPr>
        <w:t>施工人员产生的生活垃圾集中收集后应由市政环卫部门统一清运处置</w:t>
      </w:r>
      <w:r w:rsidRPr="00FC1444">
        <w:rPr>
          <w:rFonts w:eastAsiaTheme="minorEastAsia"/>
          <w:sz w:val="24"/>
        </w:rPr>
        <w:t>。</w:t>
      </w:r>
    </w:p>
    <w:p w:rsidR="002A5A5E" w:rsidRPr="00FC1444" w:rsidRDefault="00957CE3" w:rsidP="00611CBA">
      <w:pPr>
        <w:spacing w:line="360" w:lineRule="auto"/>
        <w:ind w:firstLineChars="177" w:firstLine="425"/>
        <w:rPr>
          <w:rFonts w:eastAsiaTheme="minorEastAsia"/>
          <w:bCs/>
          <w:sz w:val="24"/>
        </w:rPr>
      </w:pPr>
      <w:r w:rsidRPr="00FC1444">
        <w:rPr>
          <w:rFonts w:eastAsiaTheme="minorEastAsia"/>
          <w:bCs/>
          <w:sz w:val="24"/>
        </w:rPr>
        <w:t>清淤工程产生淤泥</w:t>
      </w:r>
      <w:r w:rsidR="00EB2C0F" w:rsidRPr="00FC1444">
        <w:rPr>
          <w:rFonts w:eastAsiaTheme="minorEastAsia"/>
          <w:bCs/>
          <w:sz w:val="24"/>
        </w:rPr>
        <w:t>0.</w:t>
      </w:r>
      <w:r w:rsidR="00EB2C0F" w:rsidRPr="00FC1444">
        <w:rPr>
          <w:rFonts w:eastAsiaTheme="minorEastAsia" w:hint="eastAsia"/>
          <w:bCs/>
          <w:sz w:val="24"/>
        </w:rPr>
        <w:t>3</w:t>
      </w:r>
      <w:r w:rsidRPr="00FC1444">
        <w:rPr>
          <w:rFonts w:eastAsiaTheme="minorEastAsia"/>
          <w:bCs/>
          <w:sz w:val="24"/>
        </w:rPr>
        <w:t>55</w:t>
      </w:r>
      <w:r w:rsidRPr="00FC1444">
        <w:rPr>
          <w:rFonts w:eastAsiaTheme="minorEastAsia"/>
          <w:bCs/>
          <w:sz w:val="24"/>
        </w:rPr>
        <w:t>万</w:t>
      </w:r>
      <w:r w:rsidRPr="00FC1444">
        <w:rPr>
          <w:rFonts w:eastAsiaTheme="minorEastAsia"/>
          <w:bCs/>
          <w:sz w:val="24"/>
        </w:rPr>
        <w:t>m</w:t>
      </w:r>
      <w:r w:rsidRPr="00FC1444">
        <w:rPr>
          <w:rFonts w:eastAsiaTheme="minorEastAsia"/>
          <w:bCs/>
          <w:sz w:val="24"/>
          <w:vertAlign w:val="superscript"/>
        </w:rPr>
        <w:t>3</w:t>
      </w:r>
      <w:r w:rsidRPr="00FC1444">
        <w:rPr>
          <w:rFonts w:eastAsiaTheme="minorEastAsia"/>
          <w:bCs/>
          <w:sz w:val="24"/>
        </w:rPr>
        <w:t>，排水沟淤泥培至工程附近</w:t>
      </w:r>
      <w:r w:rsidRPr="00FC1444">
        <w:rPr>
          <w:rFonts w:eastAsiaTheme="minorEastAsia"/>
          <w:bCs/>
          <w:sz w:val="24"/>
        </w:rPr>
        <w:t>200</w:t>
      </w:r>
      <w:r w:rsidRPr="00FC1444">
        <w:rPr>
          <w:rFonts w:eastAsiaTheme="minorEastAsia"/>
          <w:bCs/>
          <w:sz w:val="24"/>
        </w:rPr>
        <w:t>米范围内无环境保护目标的排水沟两侧（</w:t>
      </w:r>
      <w:r w:rsidR="00386D57" w:rsidRPr="00FC1444">
        <w:rPr>
          <w:rFonts w:eastAsiaTheme="minorEastAsia"/>
          <w:bCs/>
          <w:sz w:val="24"/>
        </w:rPr>
        <w:t>避开黄家屯、李荒子屯等</w:t>
      </w:r>
      <w:r w:rsidR="00386D57" w:rsidRPr="00FC1444">
        <w:rPr>
          <w:rFonts w:eastAsiaTheme="minorEastAsia"/>
          <w:bCs/>
          <w:sz w:val="24"/>
        </w:rPr>
        <w:t>22</w:t>
      </w:r>
      <w:r w:rsidR="00386D57" w:rsidRPr="00FC1444">
        <w:rPr>
          <w:rFonts w:eastAsiaTheme="minorEastAsia"/>
          <w:bCs/>
          <w:sz w:val="24"/>
        </w:rPr>
        <w:t>个村屯</w:t>
      </w:r>
      <w:r w:rsidRPr="00FC1444">
        <w:rPr>
          <w:rFonts w:eastAsiaTheme="minorEastAsia"/>
          <w:bCs/>
          <w:sz w:val="24"/>
        </w:rPr>
        <w:t>，具体见表</w:t>
      </w:r>
      <w:r w:rsidRPr="00FC1444">
        <w:rPr>
          <w:rFonts w:eastAsiaTheme="minorEastAsia"/>
          <w:bCs/>
          <w:sz w:val="24"/>
        </w:rPr>
        <w:t>2-8-2</w:t>
      </w:r>
      <w:r w:rsidRPr="00FC1444">
        <w:rPr>
          <w:rFonts w:eastAsiaTheme="minorEastAsia"/>
          <w:bCs/>
          <w:sz w:val="24"/>
        </w:rPr>
        <w:t>）</w:t>
      </w:r>
      <w:r w:rsidR="00611CBA" w:rsidRPr="00FC1444">
        <w:rPr>
          <w:rFonts w:eastAsiaTheme="minorEastAsia"/>
          <w:bCs/>
          <w:sz w:val="24"/>
        </w:rPr>
        <w:t>。</w:t>
      </w:r>
    </w:p>
    <w:p w:rsidR="002A5A5E" w:rsidRPr="00FC1444" w:rsidRDefault="00611CBA" w:rsidP="00611CBA">
      <w:pPr>
        <w:spacing w:line="360" w:lineRule="auto"/>
        <w:ind w:firstLineChars="177" w:firstLine="411"/>
        <w:rPr>
          <w:rFonts w:eastAsiaTheme="minorEastAsia"/>
          <w:spacing w:val="-4"/>
          <w:sz w:val="24"/>
        </w:rPr>
      </w:pPr>
      <w:r w:rsidRPr="00FC1444">
        <w:rPr>
          <w:rFonts w:eastAsiaTheme="minorEastAsia"/>
          <w:spacing w:val="-4"/>
          <w:sz w:val="24"/>
        </w:rPr>
        <w:t>施工期</w:t>
      </w:r>
      <w:r w:rsidR="00D61453" w:rsidRPr="00FC1444">
        <w:rPr>
          <w:rFonts w:eastAsiaTheme="minorEastAsia"/>
          <w:bCs/>
          <w:spacing w:val="-4"/>
          <w:sz w:val="24"/>
        </w:rPr>
        <w:t>田块整治</w:t>
      </w:r>
      <w:r w:rsidRPr="00FC1444">
        <w:rPr>
          <w:rFonts w:eastAsiaTheme="minorEastAsia"/>
          <w:bCs/>
          <w:spacing w:val="-4"/>
          <w:sz w:val="24"/>
        </w:rPr>
        <w:t>工程</w:t>
      </w:r>
      <w:r w:rsidRPr="00FC1444">
        <w:rPr>
          <w:rFonts w:eastAsiaTheme="minorEastAsia"/>
          <w:spacing w:val="-4"/>
          <w:sz w:val="24"/>
        </w:rPr>
        <w:t>将会产生少量的废肥料包装袋，外售废品收购站。</w:t>
      </w:r>
    </w:p>
    <w:p w:rsidR="002A5A5E" w:rsidRPr="00FC1444" w:rsidRDefault="00611CBA" w:rsidP="00611CBA">
      <w:pPr>
        <w:spacing w:line="360" w:lineRule="auto"/>
        <w:ind w:firstLineChars="177" w:firstLine="425"/>
        <w:rPr>
          <w:rFonts w:eastAsiaTheme="minorEastAsia"/>
          <w:sz w:val="24"/>
        </w:rPr>
      </w:pPr>
      <w:r w:rsidRPr="00FC1444">
        <w:rPr>
          <w:rFonts w:eastAsiaTheme="minorEastAsia"/>
          <w:sz w:val="24"/>
        </w:rPr>
        <w:t>采取上述措施，本项目施工期产生的固废处置率</w:t>
      </w:r>
      <w:r w:rsidRPr="00FC1444">
        <w:rPr>
          <w:rFonts w:eastAsiaTheme="minorEastAsia"/>
          <w:sz w:val="24"/>
        </w:rPr>
        <w:t>100%</w:t>
      </w:r>
      <w:r w:rsidRPr="00FC1444">
        <w:rPr>
          <w:rFonts w:eastAsiaTheme="minorEastAsia"/>
          <w:sz w:val="24"/>
        </w:rPr>
        <w:t>，不会对环境产生明显影响，施工期固体废物处置措施可行。</w:t>
      </w:r>
    </w:p>
    <w:p w:rsidR="002A5A5E" w:rsidRPr="00FC1444" w:rsidRDefault="00284B4D" w:rsidP="00611CBA">
      <w:pPr>
        <w:spacing w:line="360" w:lineRule="auto"/>
        <w:ind w:firstLineChars="177" w:firstLine="425"/>
        <w:rPr>
          <w:rFonts w:eastAsiaTheme="minorEastAsia"/>
          <w:sz w:val="24"/>
        </w:rPr>
      </w:pPr>
      <w:r w:rsidRPr="00FC1444">
        <w:rPr>
          <w:rFonts w:eastAsiaTheme="minorEastAsia"/>
          <w:sz w:val="24"/>
        </w:rPr>
        <w:t>（</w:t>
      </w:r>
      <w:r w:rsidRPr="00FC1444">
        <w:rPr>
          <w:rFonts w:eastAsiaTheme="minorEastAsia"/>
          <w:sz w:val="24"/>
        </w:rPr>
        <w:t>5</w:t>
      </w:r>
      <w:r w:rsidRPr="00FC1444">
        <w:rPr>
          <w:rFonts w:eastAsiaTheme="minorEastAsia"/>
          <w:sz w:val="24"/>
        </w:rPr>
        <w:t>）</w:t>
      </w:r>
      <w:r w:rsidR="00611CBA" w:rsidRPr="00FC1444">
        <w:rPr>
          <w:rFonts w:eastAsiaTheme="minorEastAsia"/>
          <w:sz w:val="24"/>
        </w:rPr>
        <w:t>生态</w:t>
      </w:r>
    </w:p>
    <w:p w:rsidR="002A5A5E" w:rsidRPr="00FC1444" w:rsidRDefault="00611CBA">
      <w:pPr>
        <w:pStyle w:val="aff4"/>
        <w:adjustRightInd/>
        <w:snapToGrid/>
        <w:jc w:val="both"/>
        <w:rPr>
          <w:rFonts w:ascii="Times New Roman" w:hAnsi="Times New Roman" w:cs="Times New Roman"/>
          <w:snapToGrid w:val="0"/>
        </w:rPr>
      </w:pPr>
      <w:r w:rsidRPr="00FC1444">
        <w:rPr>
          <w:rFonts w:ascii="Times New Roman" w:hAnsi="Times New Roman" w:cs="Times New Roman"/>
          <w:kern w:val="24"/>
        </w:rPr>
        <w:lastRenderedPageBreak/>
        <w:t>项目施工期对生态环境的影响主要体现为占用土地、扰动土层、生物量减少、土地利用类型改变、影响</w:t>
      </w:r>
      <w:r w:rsidRPr="00FC1444">
        <w:rPr>
          <w:rFonts w:ascii="Times New Roman" w:hAnsi="Times New Roman" w:cs="Times New Roman"/>
          <w:szCs w:val="21"/>
        </w:rPr>
        <w:t>景观完整性</w:t>
      </w:r>
      <w:r w:rsidRPr="00FC1444">
        <w:rPr>
          <w:rFonts w:ascii="Times New Roman" w:hAnsi="Times New Roman" w:cs="Times New Roman"/>
          <w:kern w:val="24"/>
        </w:rPr>
        <w:t>、加剧水土流失</w:t>
      </w:r>
      <w:r w:rsidRPr="00FC1444">
        <w:rPr>
          <w:rFonts w:ascii="Times New Roman" w:hAnsi="Times New Roman" w:cs="Times New Roman"/>
          <w:snapToGrid w:val="0"/>
        </w:rPr>
        <w:t>。</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为减轻拟建项目运营期对生态环境带来的不利影响，拟采取以下生态保护措施：</w:t>
      </w:r>
    </w:p>
    <w:p w:rsidR="002A5A5E" w:rsidRPr="00FC1444" w:rsidRDefault="00284B4D">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1</w:t>
      </w:r>
      <w:r w:rsidRPr="00FC1444">
        <w:rPr>
          <w:rFonts w:eastAsiaTheme="minorEastAsia"/>
          <w:snapToGrid w:val="0"/>
          <w:kern w:val="0"/>
          <w:sz w:val="24"/>
        </w:rPr>
        <w:t>）</w:t>
      </w:r>
      <w:r w:rsidR="00611CBA" w:rsidRPr="00FC1444">
        <w:rPr>
          <w:rFonts w:eastAsiaTheme="minorEastAsia"/>
          <w:snapToGrid w:val="0"/>
          <w:kern w:val="0"/>
          <w:sz w:val="24"/>
        </w:rPr>
        <w:t>陆生生态、水生生态保护措施</w:t>
      </w:r>
    </w:p>
    <w:p w:rsidR="002A5A5E" w:rsidRPr="00FC1444" w:rsidRDefault="00611CBA">
      <w:pPr>
        <w:spacing w:line="360" w:lineRule="auto"/>
        <w:ind w:firstLineChars="200" w:firstLine="480"/>
        <w:contextualSpacing/>
        <w:rPr>
          <w:rFonts w:eastAsiaTheme="minorEastAsia"/>
          <w:snapToGrid w:val="0"/>
          <w:kern w:val="0"/>
          <w:sz w:val="24"/>
        </w:rPr>
      </w:pPr>
      <w:r w:rsidRPr="00FC1444">
        <w:rPr>
          <w:rFonts w:eastAsiaTheme="minorEastAsia"/>
          <w:snapToGrid w:val="0"/>
          <w:kern w:val="0"/>
          <w:sz w:val="24"/>
        </w:rPr>
        <w:t>严格控制占地范围，减少植被破坏、禁止动物的捕猎，加强对施工人员生态环境方面知识的教育，加强管理，增强对生态环境保护的意识和观念，并使施工人员变为自觉行为。</w:t>
      </w:r>
    </w:p>
    <w:p w:rsidR="002A5A5E" w:rsidRPr="00FC1444" w:rsidRDefault="00611CBA">
      <w:pPr>
        <w:spacing w:line="360" w:lineRule="auto"/>
        <w:ind w:firstLineChars="200" w:firstLine="480"/>
        <w:rPr>
          <w:rFonts w:eastAsiaTheme="minorEastAsia"/>
          <w:sz w:val="24"/>
          <w:szCs w:val="21"/>
        </w:rPr>
      </w:pPr>
      <w:r w:rsidRPr="00FC1444">
        <w:rPr>
          <w:rFonts w:eastAsiaTheme="minorEastAsia"/>
          <w:snapToGrid w:val="0"/>
          <w:kern w:val="0"/>
          <w:sz w:val="24"/>
        </w:rPr>
        <w:t>施工单位优化施工工艺和施工时序，尽量减少对动物惊扰应采用先进的施工工艺和优良设备，严格按规范施工，特别注意减少施工噪声对鸟类和兽类的惊扰。鉴于鸟类对噪声、振动和施工灯光的特殊要求，施工均在白天进行，晚上不施工。不在野生动物繁殖季节施工，减轻施工噪声和振动对野生动物的影响。</w:t>
      </w:r>
      <w:r w:rsidRPr="00FC1444">
        <w:rPr>
          <w:rFonts w:eastAsiaTheme="minorEastAsia"/>
          <w:sz w:val="24"/>
          <w:szCs w:val="21"/>
        </w:rPr>
        <w:t>合理安排施工时序，选择</w:t>
      </w:r>
      <w:r w:rsidRPr="00FC1444">
        <w:rPr>
          <w:rFonts w:eastAsiaTheme="minorEastAsia"/>
          <w:sz w:val="24"/>
          <w:szCs w:val="21"/>
        </w:rPr>
        <w:t>3</w:t>
      </w:r>
      <w:r w:rsidRPr="00FC1444">
        <w:rPr>
          <w:rFonts w:eastAsiaTheme="minorEastAsia"/>
          <w:sz w:val="24"/>
          <w:szCs w:val="21"/>
        </w:rPr>
        <w:t>月至</w:t>
      </w:r>
      <w:r w:rsidRPr="00FC1444">
        <w:rPr>
          <w:rFonts w:eastAsiaTheme="minorEastAsia"/>
          <w:sz w:val="24"/>
          <w:szCs w:val="21"/>
        </w:rPr>
        <w:t>4</w:t>
      </w:r>
      <w:r w:rsidRPr="00FC1444">
        <w:rPr>
          <w:rFonts w:eastAsiaTheme="minorEastAsia"/>
          <w:sz w:val="24"/>
          <w:szCs w:val="21"/>
        </w:rPr>
        <w:t>月进行排水沟清淤及涵洞等建筑物、护砌工程施工，沟渠干涸，不涉水，避免对地表水体的影响。施工废水洒水降尘，不会对沟渠水质、水生动植物产生影响。</w:t>
      </w:r>
      <w:r w:rsidRPr="00FC1444">
        <w:rPr>
          <w:rFonts w:eastAsiaTheme="minorEastAsia"/>
          <w:bCs/>
          <w:sz w:val="24"/>
        </w:rPr>
        <w:t>沟道清淤后，底质环境及水质的改善，对水生生态有益</w:t>
      </w:r>
      <w:r w:rsidRPr="00FC1444">
        <w:rPr>
          <w:rFonts w:eastAsiaTheme="minorEastAsia"/>
          <w:sz w:val="24"/>
          <w:szCs w:val="21"/>
        </w:rPr>
        <w:t>。</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合理安排施工时间，避免雨天及大风天施工，防止在暴雨及大风期间造成大量水土流失。</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施工期应把剥离的表层腐殖土集中妥善处理，并采取密目网苫盖措施，对挖方进行妥善的临时堆置，并及时进行弃方的清运，避免随意排放，以确保挖填裸露堆土，不被雨水冲刷，避免造成水土流失。</w:t>
      </w:r>
    </w:p>
    <w:p w:rsidR="002A5A5E" w:rsidRPr="00FC1444" w:rsidRDefault="00611CBA">
      <w:pPr>
        <w:spacing w:line="360" w:lineRule="auto"/>
        <w:ind w:firstLineChars="200" w:firstLine="480"/>
        <w:rPr>
          <w:rFonts w:eastAsiaTheme="minorEastAsia"/>
          <w:smallCaps/>
          <w:sz w:val="24"/>
        </w:rPr>
      </w:pPr>
      <w:r w:rsidRPr="00FC1444">
        <w:rPr>
          <w:rFonts w:eastAsiaTheme="minorEastAsia"/>
          <w:snapToGrid w:val="0"/>
          <w:kern w:val="0"/>
          <w:sz w:val="24"/>
        </w:rPr>
        <w:t>保护工程施工区域的水生生物资源。涵洞施工过程</w:t>
      </w:r>
      <w:r w:rsidRPr="00FC1444">
        <w:rPr>
          <w:rFonts w:eastAsiaTheme="minorEastAsia"/>
          <w:smallCaps/>
          <w:sz w:val="24"/>
        </w:rPr>
        <w:t>禁止施工生产废水排放至沟渠内。</w:t>
      </w:r>
    </w:p>
    <w:p w:rsidR="002A5A5E" w:rsidRPr="00FC1444" w:rsidRDefault="00611CBA">
      <w:pPr>
        <w:spacing w:line="360" w:lineRule="auto"/>
        <w:ind w:firstLineChars="200" w:firstLine="480"/>
        <w:rPr>
          <w:rFonts w:eastAsiaTheme="minorEastAsia"/>
          <w:smallCaps/>
          <w:sz w:val="24"/>
        </w:rPr>
      </w:pPr>
      <w:r w:rsidRPr="00FC1444">
        <w:rPr>
          <w:rFonts w:eastAsiaTheme="minorEastAsia"/>
          <w:smallCaps/>
          <w:sz w:val="24"/>
        </w:rPr>
        <w:t>施工工区等在施工结束后，应立即恢复地表绿化，且尽可能恢复为原有物种，尽量不改变当地生态系统构成。</w:t>
      </w:r>
    </w:p>
    <w:p w:rsidR="002A5A5E" w:rsidRPr="00FC1444" w:rsidRDefault="00611CBA">
      <w:pPr>
        <w:spacing w:line="360" w:lineRule="auto"/>
        <w:ind w:firstLineChars="200" w:firstLine="480"/>
        <w:rPr>
          <w:rFonts w:eastAsiaTheme="minorEastAsia"/>
          <w:smallCaps/>
          <w:sz w:val="24"/>
        </w:rPr>
      </w:pPr>
      <w:r w:rsidRPr="00FC1444">
        <w:rPr>
          <w:rFonts w:eastAsiaTheme="minorEastAsia"/>
          <w:smallCaps/>
          <w:sz w:val="24"/>
        </w:rPr>
        <w:t>加强管理，严格控制施工作业范围，优化施工时序，进行</w:t>
      </w:r>
      <w:r w:rsidRPr="00FC1444">
        <w:rPr>
          <w:rFonts w:eastAsiaTheme="minorEastAsia"/>
          <w:smallCaps/>
          <w:sz w:val="24"/>
        </w:rPr>
        <w:t>“</w:t>
      </w:r>
      <w:r w:rsidRPr="00FC1444">
        <w:rPr>
          <w:rFonts w:eastAsiaTheme="minorEastAsia"/>
          <w:smallCaps/>
          <w:sz w:val="24"/>
        </w:rPr>
        <w:t>边施工、边修复</w:t>
      </w:r>
      <w:r w:rsidRPr="00FC1444">
        <w:rPr>
          <w:rFonts w:eastAsiaTheme="minorEastAsia"/>
          <w:smallCaps/>
          <w:sz w:val="24"/>
        </w:rPr>
        <w:t>”</w:t>
      </w:r>
      <w:r w:rsidRPr="00FC1444">
        <w:rPr>
          <w:rFonts w:eastAsiaTheme="minorEastAsia"/>
          <w:smallCaps/>
          <w:sz w:val="24"/>
        </w:rPr>
        <w:t>。</w:t>
      </w:r>
    </w:p>
    <w:p w:rsidR="002A5A5E" w:rsidRPr="00FC1444" w:rsidRDefault="00284B4D">
      <w:pPr>
        <w:spacing w:line="360" w:lineRule="auto"/>
        <w:ind w:firstLineChars="200" w:firstLine="480"/>
        <w:rPr>
          <w:rFonts w:eastAsiaTheme="minorEastAsia"/>
          <w:snapToGrid w:val="0"/>
          <w:kern w:val="0"/>
          <w:sz w:val="24"/>
        </w:rPr>
      </w:pPr>
      <w:r w:rsidRPr="00FC1444">
        <w:rPr>
          <w:rFonts w:eastAsiaTheme="minorEastAsia"/>
          <w:snapToGrid w:val="0"/>
          <w:kern w:val="0"/>
          <w:sz w:val="24"/>
        </w:rPr>
        <w:t>2</w:t>
      </w:r>
      <w:r w:rsidRPr="00FC1444">
        <w:rPr>
          <w:rFonts w:eastAsiaTheme="minorEastAsia"/>
          <w:snapToGrid w:val="0"/>
          <w:kern w:val="0"/>
          <w:sz w:val="24"/>
        </w:rPr>
        <w:t>）</w:t>
      </w:r>
      <w:r w:rsidR="00611CBA" w:rsidRPr="00FC1444">
        <w:rPr>
          <w:rFonts w:eastAsiaTheme="minorEastAsia"/>
          <w:snapToGrid w:val="0"/>
          <w:kern w:val="0"/>
          <w:sz w:val="24"/>
        </w:rPr>
        <w:t>临时占地生态恢复措施</w:t>
      </w:r>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项目施工场地、临时道路、堆料场、表土堆场在相应工程结束后需对开挖地面平整覆土，并尽快恢复原状，防止遭受降雨侵蚀。</w:t>
      </w:r>
    </w:p>
    <w:p w:rsidR="002A5A5E" w:rsidRPr="00FC1444" w:rsidRDefault="00F41A00">
      <w:pPr>
        <w:spacing w:line="360" w:lineRule="auto"/>
        <w:ind w:firstLineChars="200" w:firstLine="480"/>
        <w:rPr>
          <w:rFonts w:eastAsiaTheme="minorEastAsia"/>
          <w:snapToGrid w:val="0"/>
          <w:kern w:val="0"/>
          <w:sz w:val="24"/>
        </w:rPr>
      </w:pPr>
      <w:r w:rsidRPr="00FC1444">
        <w:rPr>
          <w:rFonts w:eastAsiaTheme="minorEastAsia"/>
          <w:snapToGrid w:val="0"/>
          <w:kern w:val="0"/>
          <w:sz w:val="24"/>
        </w:rPr>
        <w:t>输配电工程表土及土方临时堆存在施工沿线，分区存放，设置临时拦挡并采</w:t>
      </w:r>
      <w:r w:rsidRPr="00FC1444">
        <w:rPr>
          <w:rFonts w:eastAsiaTheme="minorEastAsia"/>
          <w:snapToGrid w:val="0"/>
          <w:kern w:val="0"/>
          <w:sz w:val="24"/>
        </w:rPr>
        <w:lastRenderedPageBreak/>
        <w:t>用密目网苫盖，施工结束后分层回填，</w:t>
      </w:r>
      <w:r w:rsidR="00617138" w:rsidRPr="00FC1444">
        <w:rPr>
          <w:rFonts w:eastAsiaTheme="minorEastAsia"/>
          <w:snapToGrid w:val="0"/>
          <w:kern w:val="0"/>
          <w:sz w:val="24"/>
        </w:rPr>
        <w:t>施工场地恢复现状草地，</w:t>
      </w:r>
      <w:r w:rsidR="00C77AF5" w:rsidRPr="00FC1444">
        <w:rPr>
          <w:rFonts w:eastAsiaTheme="minorEastAsia"/>
          <w:snapToGrid w:val="0"/>
          <w:kern w:val="0"/>
          <w:sz w:val="24"/>
        </w:rPr>
        <w:t>播撒草籽面积</w:t>
      </w:r>
      <w:r w:rsidR="00C77AF5" w:rsidRPr="00FC1444">
        <w:rPr>
          <w:rFonts w:eastAsiaTheme="minorEastAsia"/>
          <w:snapToGrid w:val="0"/>
          <w:kern w:val="0"/>
          <w:sz w:val="24"/>
        </w:rPr>
        <w:t>456842</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napToGrid w:val="0"/>
          <w:kern w:val="0"/>
          <w:sz w:val="24"/>
        </w:rPr>
        <w:t>，草籽选用紫花苜蓿等，种草密度</w:t>
      </w:r>
      <w:r w:rsidRPr="00FC1444">
        <w:rPr>
          <w:rFonts w:eastAsiaTheme="minorEastAsia"/>
          <w:snapToGrid w:val="0"/>
          <w:kern w:val="0"/>
          <w:sz w:val="24"/>
        </w:rPr>
        <w:t>80kg/</w:t>
      </w:r>
      <w:r w:rsidRPr="00FC1444">
        <w:rPr>
          <w:rFonts w:eastAsiaTheme="minorEastAsia"/>
          <w:snapToGrid w:val="0"/>
          <w:kern w:val="0"/>
          <w:sz w:val="24"/>
        </w:rPr>
        <w:t>公顷，</w:t>
      </w:r>
      <w:r w:rsidR="00C77AF5" w:rsidRPr="00FC1444">
        <w:rPr>
          <w:rFonts w:eastAsiaTheme="minorEastAsia"/>
          <w:snapToGrid w:val="0"/>
          <w:kern w:val="0"/>
          <w:sz w:val="24"/>
        </w:rPr>
        <w:t>恢复旱地</w:t>
      </w:r>
      <w:r w:rsidR="00C77AF5" w:rsidRPr="00FC1444">
        <w:rPr>
          <w:rFonts w:eastAsiaTheme="minorEastAsia"/>
          <w:snapToGrid w:val="0"/>
          <w:kern w:val="0"/>
          <w:sz w:val="24"/>
        </w:rPr>
        <w:t>22560m</w:t>
      </w:r>
      <w:r w:rsidRPr="00FC1444">
        <w:rPr>
          <w:rFonts w:eastAsiaTheme="minorEastAsia"/>
          <w:snapToGrid w:val="0"/>
          <w:kern w:val="0"/>
          <w:sz w:val="24"/>
          <w:vertAlign w:val="superscript"/>
        </w:rPr>
        <w:t>2</w:t>
      </w:r>
      <w:r w:rsidRPr="00FC1444">
        <w:rPr>
          <w:rFonts w:eastAsiaTheme="minorEastAsia"/>
          <w:snapToGrid w:val="0"/>
          <w:kern w:val="0"/>
          <w:sz w:val="24"/>
        </w:rPr>
        <w:t>；灌溉井工程剥离表土、开挖土方暂存于施工场地内，分区存放，设置临时拦挡并采用密目网苫盖，施工结束后施工场地、临时道路恢复为旱地，</w:t>
      </w:r>
      <w:r w:rsidR="00C77AF5" w:rsidRPr="00FC1444">
        <w:rPr>
          <w:rFonts w:eastAsiaTheme="minorEastAsia"/>
          <w:snapToGrid w:val="0"/>
          <w:kern w:val="0"/>
          <w:sz w:val="24"/>
        </w:rPr>
        <w:t>恢复面积</w:t>
      </w:r>
      <w:r w:rsidR="00C77AF5" w:rsidRPr="00FC1444">
        <w:rPr>
          <w:rFonts w:eastAsiaTheme="minorEastAsia"/>
          <w:snapToGrid w:val="0"/>
          <w:kern w:val="0"/>
          <w:sz w:val="24"/>
        </w:rPr>
        <w:t>4620</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napToGrid w:val="0"/>
          <w:kern w:val="0"/>
          <w:sz w:val="24"/>
        </w:rPr>
        <w:t>；涵洞等建筑物工程剥离表土、开挖土方暂存于施工场地内，分区存放，设置临时拦挡并采用密目网苫盖，施工结束后施工场地恢复为草地，播撒草籽面积</w:t>
      </w:r>
      <w:r w:rsidRPr="00FC1444">
        <w:rPr>
          <w:rFonts w:eastAsiaTheme="minorEastAsia"/>
          <w:sz w:val="24"/>
        </w:rPr>
        <w:t>18500</w:t>
      </w:r>
      <w:r w:rsidRPr="00FC1444">
        <w:rPr>
          <w:rFonts w:eastAsiaTheme="minorEastAsia"/>
          <w:snapToGrid w:val="0"/>
          <w:kern w:val="0"/>
          <w:sz w:val="24"/>
        </w:rPr>
        <w:t>m</w:t>
      </w:r>
      <w:r w:rsidRPr="00FC1444">
        <w:rPr>
          <w:rFonts w:eastAsiaTheme="minorEastAsia"/>
          <w:snapToGrid w:val="0"/>
          <w:kern w:val="0"/>
          <w:sz w:val="24"/>
          <w:vertAlign w:val="superscript"/>
        </w:rPr>
        <w:t>2</w:t>
      </w:r>
      <w:r w:rsidRPr="00FC1444">
        <w:rPr>
          <w:rFonts w:eastAsiaTheme="minorEastAsia"/>
          <w:snapToGrid w:val="0"/>
          <w:kern w:val="0"/>
          <w:sz w:val="24"/>
        </w:rPr>
        <w:t>，草籽选用紫花苜蓿等，种草密度</w:t>
      </w:r>
      <w:r w:rsidRPr="00FC1444">
        <w:rPr>
          <w:rFonts w:eastAsiaTheme="minorEastAsia"/>
          <w:snapToGrid w:val="0"/>
          <w:kern w:val="0"/>
          <w:sz w:val="24"/>
        </w:rPr>
        <w:t>80kg/</w:t>
      </w:r>
      <w:r w:rsidRPr="00FC1444">
        <w:rPr>
          <w:rFonts w:eastAsiaTheme="minorEastAsia"/>
          <w:snapToGrid w:val="0"/>
          <w:kern w:val="0"/>
          <w:sz w:val="24"/>
        </w:rPr>
        <w:t>公顷，恢复旱地</w:t>
      </w:r>
      <w:r w:rsidRPr="00FC1444">
        <w:rPr>
          <w:rFonts w:eastAsiaTheme="minorEastAsia"/>
          <w:snapToGrid w:val="0"/>
          <w:kern w:val="0"/>
          <w:sz w:val="24"/>
        </w:rPr>
        <w:t>10500m</w:t>
      </w:r>
      <w:r w:rsidRPr="00FC1444">
        <w:rPr>
          <w:rFonts w:eastAsiaTheme="minorEastAsia"/>
          <w:snapToGrid w:val="0"/>
          <w:kern w:val="0"/>
          <w:sz w:val="24"/>
          <w:vertAlign w:val="superscript"/>
        </w:rPr>
        <w:t>2</w:t>
      </w:r>
      <w:r w:rsidRPr="00FC1444">
        <w:rPr>
          <w:rFonts w:eastAsiaTheme="minorEastAsia"/>
          <w:snapToGrid w:val="0"/>
          <w:kern w:val="0"/>
          <w:sz w:val="24"/>
        </w:rPr>
        <w:t>。</w:t>
      </w:r>
      <w:r w:rsidR="00611CBA" w:rsidRPr="00FC1444">
        <w:rPr>
          <w:rFonts w:eastAsiaTheme="minorEastAsia"/>
          <w:snapToGrid w:val="0"/>
          <w:kern w:val="0"/>
          <w:sz w:val="24"/>
        </w:rPr>
        <w:t>使临时占地土地利用类型、植被覆盖度、生物量等恢复为原有水平。减少由于工程施工对其景观、生态、水土保持等方面的不利影响。表土暂存场</w:t>
      </w:r>
      <w:r w:rsidR="00611CBA" w:rsidRPr="00FC1444">
        <w:rPr>
          <w:rFonts w:eastAsiaTheme="minorEastAsia"/>
          <w:bCs/>
          <w:kern w:val="0"/>
          <w:sz w:val="24"/>
          <w:szCs w:val="20"/>
        </w:rPr>
        <w:t>堆高在</w:t>
      </w:r>
      <w:r w:rsidR="00611CBA" w:rsidRPr="00FC1444">
        <w:rPr>
          <w:rFonts w:eastAsiaTheme="minorEastAsia"/>
          <w:bCs/>
          <w:kern w:val="0"/>
          <w:sz w:val="24"/>
          <w:szCs w:val="20"/>
        </w:rPr>
        <w:t>3m</w:t>
      </w:r>
      <w:r w:rsidR="00611CBA" w:rsidRPr="00FC1444">
        <w:rPr>
          <w:rFonts w:eastAsiaTheme="minorEastAsia"/>
          <w:bCs/>
          <w:kern w:val="0"/>
          <w:sz w:val="24"/>
          <w:szCs w:val="20"/>
        </w:rPr>
        <w:t>以内，坡比</w:t>
      </w:r>
      <w:r w:rsidR="00611CBA" w:rsidRPr="00FC1444">
        <w:rPr>
          <w:rFonts w:eastAsiaTheme="minorEastAsia"/>
          <w:bCs/>
          <w:kern w:val="0"/>
          <w:sz w:val="24"/>
          <w:szCs w:val="20"/>
        </w:rPr>
        <w:t>1</w:t>
      </w:r>
      <w:r w:rsidR="00611CBA" w:rsidRPr="00FC1444">
        <w:rPr>
          <w:rFonts w:eastAsiaTheme="minorEastAsia"/>
          <w:bCs/>
          <w:kern w:val="0"/>
          <w:sz w:val="24"/>
          <w:szCs w:val="20"/>
        </w:rPr>
        <w:t>：</w:t>
      </w:r>
      <w:r w:rsidR="00611CBA" w:rsidRPr="00FC1444">
        <w:rPr>
          <w:rFonts w:eastAsiaTheme="minorEastAsia"/>
          <w:bCs/>
          <w:kern w:val="0"/>
          <w:sz w:val="24"/>
          <w:szCs w:val="20"/>
        </w:rPr>
        <w:t>1</w:t>
      </w:r>
      <w:r w:rsidR="00611CBA" w:rsidRPr="00FC1444">
        <w:rPr>
          <w:rFonts w:eastAsiaTheme="minorEastAsia"/>
          <w:bCs/>
          <w:kern w:val="0"/>
          <w:sz w:val="24"/>
          <w:szCs w:val="20"/>
        </w:rPr>
        <w:t>，可以保证堆土的稳定性及安全性。堆放地宜相对低凹、周围相对平缓，并设置排水设施。</w:t>
      </w:r>
      <w:r w:rsidR="00611CBA" w:rsidRPr="00FC1444">
        <w:rPr>
          <w:rFonts w:eastAsiaTheme="minorEastAsia"/>
          <w:sz w:val="24"/>
        </w:rPr>
        <w:t>建设单位为生态恢复工程实施责任主体</w:t>
      </w:r>
      <w:r w:rsidR="00611CBA" w:rsidRPr="00FC1444">
        <w:rPr>
          <w:rFonts w:eastAsiaTheme="minorEastAsia"/>
          <w:snapToGrid w:val="0"/>
          <w:kern w:val="0"/>
          <w:sz w:val="24"/>
        </w:rPr>
        <w:t>；严格控制施工范围，对施工人员进行生态保护教育；施工单位优化施工工艺和施工时序，夜间、雨天及大风天不施工；涵洞等建筑物工程施工过程禁止施工生产废水排放至沟渠内</w:t>
      </w:r>
      <w:r w:rsidR="00611CBA" w:rsidRPr="00FC1444">
        <w:rPr>
          <w:rFonts w:eastAsiaTheme="minorEastAsia"/>
          <w:sz w:val="24"/>
        </w:rPr>
        <w:t>。</w:t>
      </w:r>
    </w:p>
    <w:p w:rsidR="002A5A5E" w:rsidRPr="00FC1444" w:rsidRDefault="00611CBA" w:rsidP="00611CBA">
      <w:pPr>
        <w:spacing w:line="360" w:lineRule="auto"/>
        <w:ind w:firstLineChars="177" w:firstLine="425"/>
        <w:rPr>
          <w:rFonts w:eastAsiaTheme="minorEastAsia"/>
          <w:snapToGrid w:val="0"/>
          <w:kern w:val="0"/>
          <w:sz w:val="24"/>
        </w:rPr>
      </w:pPr>
      <w:r w:rsidRPr="00FC1444">
        <w:rPr>
          <w:rFonts w:eastAsiaTheme="minorEastAsia"/>
          <w:snapToGrid w:val="0"/>
          <w:kern w:val="0"/>
          <w:sz w:val="24"/>
        </w:rPr>
        <w:t>随着采取有效的人工措施，以及植物的自我恢复能力，项目周边被影响或破坏的植物逐渐得到恢复</w:t>
      </w:r>
      <w:r w:rsidRPr="00FC1444">
        <w:rPr>
          <w:rFonts w:eastAsiaTheme="minorEastAsia"/>
          <w:sz w:val="24"/>
        </w:rPr>
        <w:t>。综上，本项目采取的生态保护措施可行</w:t>
      </w:r>
      <w:r w:rsidRPr="00FC1444">
        <w:rPr>
          <w:rFonts w:eastAsiaTheme="minorEastAsia"/>
          <w:snapToGrid w:val="0"/>
          <w:kern w:val="0"/>
          <w:sz w:val="24"/>
        </w:rPr>
        <w:t>。</w:t>
      </w:r>
    </w:p>
    <w:p w:rsidR="002A5A5E" w:rsidRPr="00FC1444" w:rsidRDefault="00284B4D" w:rsidP="00611CBA">
      <w:pPr>
        <w:spacing w:line="360" w:lineRule="auto"/>
        <w:ind w:firstLineChars="177" w:firstLine="425"/>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6</w:t>
      </w:r>
      <w:r w:rsidRPr="00FC1444">
        <w:rPr>
          <w:rFonts w:eastAsiaTheme="minorEastAsia"/>
          <w:snapToGrid w:val="0"/>
          <w:kern w:val="0"/>
          <w:sz w:val="24"/>
        </w:rPr>
        <w:t>）</w:t>
      </w:r>
      <w:r w:rsidR="00611CBA" w:rsidRPr="00FC1444">
        <w:rPr>
          <w:rFonts w:eastAsiaTheme="minorEastAsia"/>
          <w:snapToGrid w:val="0"/>
          <w:kern w:val="0"/>
          <w:sz w:val="24"/>
        </w:rPr>
        <w:t>地下水</w:t>
      </w:r>
    </w:p>
    <w:p w:rsidR="002A5A5E" w:rsidRPr="00FC1444" w:rsidRDefault="00611CBA" w:rsidP="00611CBA">
      <w:pPr>
        <w:spacing w:line="360" w:lineRule="auto"/>
        <w:ind w:firstLineChars="177" w:firstLine="425"/>
        <w:rPr>
          <w:rFonts w:eastAsiaTheme="minorEastAsia"/>
          <w:snapToGrid w:val="0"/>
          <w:kern w:val="0"/>
          <w:sz w:val="24"/>
        </w:rPr>
      </w:pPr>
      <w:r w:rsidRPr="00FC1444">
        <w:rPr>
          <w:rFonts w:eastAsiaTheme="minorEastAsia"/>
          <w:sz w:val="24"/>
        </w:rPr>
        <w:t>项目施工期灌溉井工程打井过程中，不使用有毒有害</w:t>
      </w:r>
      <w:r w:rsidR="00164CD3" w:rsidRPr="00FC1444">
        <w:rPr>
          <w:rFonts w:eastAsiaTheme="minorEastAsia"/>
          <w:sz w:val="24"/>
        </w:rPr>
        <w:t>及油类物质</w:t>
      </w:r>
      <w:r w:rsidRPr="00FC1444">
        <w:rPr>
          <w:rFonts w:eastAsiaTheme="minorEastAsia"/>
          <w:sz w:val="24"/>
        </w:rPr>
        <w:t>，泥浆循环使用，妥善收集，施工过程中产生的废水经静置后用于场地洒水降尘，施工过程加强环境管理，杜绝油品跑冒滴漏事故，施工期不会对地下水产生明显污染影响。因此，施工期地下水环境保护措施可行。</w:t>
      </w:r>
    </w:p>
    <w:p w:rsidR="002A5A5E" w:rsidRPr="00FC1444" w:rsidRDefault="00284B4D" w:rsidP="00611CBA">
      <w:pPr>
        <w:spacing w:line="360" w:lineRule="auto"/>
        <w:ind w:firstLineChars="177" w:firstLine="425"/>
        <w:rPr>
          <w:rFonts w:eastAsiaTheme="minorEastAsia"/>
          <w:snapToGrid w:val="0"/>
          <w:kern w:val="0"/>
          <w:sz w:val="24"/>
        </w:rPr>
      </w:pPr>
      <w:r w:rsidRPr="00FC1444">
        <w:rPr>
          <w:rFonts w:eastAsiaTheme="minorEastAsia"/>
          <w:snapToGrid w:val="0"/>
          <w:kern w:val="0"/>
          <w:sz w:val="24"/>
        </w:rPr>
        <w:t>（</w:t>
      </w:r>
      <w:r w:rsidRPr="00FC1444">
        <w:rPr>
          <w:rFonts w:eastAsiaTheme="minorEastAsia"/>
          <w:snapToGrid w:val="0"/>
          <w:kern w:val="0"/>
          <w:sz w:val="24"/>
        </w:rPr>
        <w:t>7</w:t>
      </w:r>
      <w:r w:rsidRPr="00FC1444">
        <w:rPr>
          <w:rFonts w:eastAsiaTheme="minorEastAsia"/>
          <w:snapToGrid w:val="0"/>
          <w:kern w:val="0"/>
          <w:sz w:val="24"/>
        </w:rPr>
        <w:t>）</w:t>
      </w:r>
      <w:r w:rsidR="00611CBA" w:rsidRPr="00FC1444">
        <w:rPr>
          <w:rFonts w:eastAsiaTheme="minorEastAsia"/>
          <w:snapToGrid w:val="0"/>
          <w:kern w:val="0"/>
          <w:sz w:val="24"/>
        </w:rPr>
        <w:t>黑土地及基本农田</w:t>
      </w:r>
    </w:p>
    <w:p w:rsidR="002A5A5E" w:rsidRPr="00FC1444" w:rsidRDefault="00611CBA">
      <w:pPr>
        <w:spacing w:line="360" w:lineRule="auto"/>
        <w:ind w:firstLine="482"/>
        <w:rPr>
          <w:rFonts w:eastAsiaTheme="minorEastAsia"/>
          <w:sz w:val="24"/>
        </w:rPr>
      </w:pPr>
      <w:r w:rsidRPr="00FC1444">
        <w:rPr>
          <w:rFonts w:eastAsiaTheme="minorEastAsia"/>
          <w:sz w:val="24"/>
        </w:rPr>
        <w:t>本项目施工期临时占地不占用基本农田。</w:t>
      </w:r>
      <w:r w:rsidRPr="00FC1444">
        <w:rPr>
          <w:rFonts w:eastAsiaTheme="minorEastAsia"/>
          <w:bCs/>
          <w:sz w:val="24"/>
        </w:rPr>
        <w:t>本项目为高标准农田建设项目</w:t>
      </w:r>
      <w:r w:rsidR="001201E2" w:rsidRPr="00FC1444">
        <w:rPr>
          <w:rFonts w:eastAsiaTheme="minorEastAsia"/>
          <w:bCs/>
          <w:sz w:val="24"/>
        </w:rPr>
        <w:t>，田块整治工程在现状农田上建设，永久占地不可避免将占用基本农田</w:t>
      </w:r>
      <w:r w:rsidRPr="00FC1444">
        <w:rPr>
          <w:rFonts w:eastAsiaTheme="minorEastAsia"/>
          <w:bCs/>
          <w:sz w:val="24"/>
        </w:rPr>
        <w:t>。</w:t>
      </w:r>
      <w:r w:rsidRPr="00FC1444">
        <w:rPr>
          <w:rFonts w:eastAsiaTheme="minorEastAsia"/>
          <w:sz w:val="24"/>
        </w:rPr>
        <w:t>本项目施工期加强管理，不会对土壤造成污染。项目临时占地表土剥离会破坏黑土地，但在项目施工结束后，剥离表土重新用于本项目的土地复垦，恢复原有农田耕作层结构，故影响较小。</w:t>
      </w:r>
    </w:p>
    <w:p w:rsidR="002A5A5E" w:rsidRPr="00FC1444" w:rsidRDefault="00611CBA">
      <w:pPr>
        <w:autoSpaceDE w:val="0"/>
        <w:autoSpaceDN w:val="0"/>
        <w:spacing w:before="100" w:beforeAutospacing="1" w:after="100" w:afterAutospacing="1"/>
        <w:outlineLvl w:val="3"/>
        <w:rPr>
          <w:rFonts w:eastAsiaTheme="minorEastAsia"/>
          <w:b/>
          <w:sz w:val="24"/>
        </w:rPr>
      </w:pPr>
      <w:r w:rsidRPr="00FC1444">
        <w:rPr>
          <w:rFonts w:eastAsiaTheme="minorEastAsia"/>
          <w:b/>
          <w:sz w:val="24"/>
        </w:rPr>
        <w:t>9.1.4.2</w:t>
      </w:r>
      <w:r w:rsidRPr="00FC1444">
        <w:rPr>
          <w:rFonts w:eastAsiaTheme="minorEastAsia"/>
          <w:b/>
          <w:sz w:val="24"/>
        </w:rPr>
        <w:t>运营期污染防治措施可行性结论</w:t>
      </w:r>
    </w:p>
    <w:p w:rsidR="002A5A5E" w:rsidRPr="00FC1444" w:rsidRDefault="00611CBA">
      <w:pPr>
        <w:pStyle w:val="aff4"/>
        <w:adjustRightInd/>
        <w:snapToGrid/>
        <w:contextualSpacing/>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1</w:t>
      </w:r>
      <w:r w:rsidRPr="00FC1444">
        <w:rPr>
          <w:rFonts w:ascii="Times New Roman" w:hAnsi="Times New Roman" w:cs="Times New Roman"/>
        </w:rPr>
        <w:t>）大气</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lastRenderedPageBreak/>
        <w:t>本项目无冬季供暖，田间道路主要在春、秋农忙季节有少量农机车辆行驶，其他时段基本无车辆通过，车辆通过会产生少量汽车尾气，本区域通过车辆一般为当地农用车，车速较慢、产生的尾气及扬尘较少，同时通过对过往车辆采取限速措施后，对周围环境空气影响不大。</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本项目排水工程设置</w:t>
      </w:r>
      <w:r w:rsidR="007D6514" w:rsidRPr="00FC1444">
        <w:rPr>
          <w:rFonts w:eastAsiaTheme="minorEastAsia"/>
          <w:sz w:val="24"/>
        </w:rPr>
        <w:t>15</w:t>
      </w:r>
      <w:r w:rsidR="007D6514" w:rsidRPr="00FC1444">
        <w:rPr>
          <w:rFonts w:eastAsiaTheme="minorEastAsia"/>
          <w:sz w:val="24"/>
        </w:rPr>
        <w:t>台</w:t>
      </w:r>
      <w:r w:rsidRPr="00FC1444">
        <w:rPr>
          <w:rFonts w:eastAsiaTheme="minorEastAsia"/>
          <w:sz w:val="24"/>
        </w:rPr>
        <w:t>柴油机移动泵车，采用轻质柴油，减少使用过程中产生的废气影响，鉴于项目的特殊性，泵车分布较分散，使用时间较短，位于田间，距离敏感点较远，田间空旷有利于柴油机移动泵车废气的稀释扩散，柴油机移动泵车废气排放满足《非道路移动机械用柴油机移动泵车污染物排放限值及测量方法（中国三、四阶段）》（</w:t>
      </w:r>
      <w:r w:rsidRPr="00FC1444">
        <w:rPr>
          <w:rFonts w:eastAsiaTheme="minorEastAsia"/>
          <w:sz w:val="24"/>
        </w:rPr>
        <w:t>GB20891-2014</w:t>
      </w:r>
      <w:r w:rsidRPr="00FC1444">
        <w:rPr>
          <w:rFonts w:eastAsiaTheme="minorEastAsia"/>
          <w:sz w:val="24"/>
        </w:rPr>
        <w:t>）中表</w:t>
      </w:r>
      <w:r w:rsidRPr="00FC1444">
        <w:rPr>
          <w:rFonts w:eastAsiaTheme="minorEastAsia"/>
          <w:sz w:val="24"/>
        </w:rPr>
        <w:t>2</w:t>
      </w:r>
      <w:r w:rsidRPr="00FC1444">
        <w:rPr>
          <w:rFonts w:eastAsiaTheme="minorEastAsia"/>
          <w:sz w:val="24"/>
        </w:rPr>
        <w:t>非道路移动机械用柴油机排气污染物排放限值要求。</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rPr>
        <w:t>综上所述，该项目大气污染物治理措施可行，污染物经治理和大气稀释扩散后对当地的环境空气质量影响很小，大气环境质量可维持现状水平。</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2</w:t>
      </w:r>
      <w:r w:rsidRPr="00FC1444">
        <w:rPr>
          <w:rFonts w:ascii="Times New Roman" w:hAnsi="Times New Roman" w:cs="Times New Roman"/>
        </w:rPr>
        <w:t>）地表水</w:t>
      </w:r>
    </w:p>
    <w:p w:rsidR="002A5A5E" w:rsidRPr="00FC1444" w:rsidRDefault="00611CBA">
      <w:pPr>
        <w:pStyle w:val="aff4"/>
        <w:adjustRightInd/>
        <w:snapToGrid/>
        <w:rPr>
          <w:rFonts w:ascii="Times New Roman" w:hAnsi="Times New Roman" w:cs="Times New Roman"/>
          <w:kern w:val="0"/>
        </w:rPr>
      </w:pPr>
      <w:r w:rsidRPr="00FC1444">
        <w:rPr>
          <w:rFonts w:ascii="Times New Roman" w:hAnsi="Times New Roman" w:cs="Times New Roman"/>
          <w:szCs w:val="22"/>
        </w:rPr>
        <w:t>根据</w:t>
      </w:r>
      <w:r w:rsidRPr="00FC1444">
        <w:rPr>
          <w:rFonts w:ascii="Times New Roman" w:hAnsi="Times New Roman" w:cs="Times New Roman"/>
        </w:rPr>
        <w:t>本工程已批复水资源论证报告书</w:t>
      </w:r>
      <w:r w:rsidRPr="00FC1444">
        <w:rPr>
          <w:rFonts w:ascii="Times New Roman" w:hAnsi="Times New Roman" w:cs="Times New Roman"/>
          <w:kern w:val="0"/>
          <w:szCs w:val="22"/>
        </w:rPr>
        <w:t>可知</w:t>
      </w:r>
      <w:r w:rsidRPr="00FC1444">
        <w:rPr>
          <w:rFonts w:ascii="Times New Roman" w:hAnsi="Times New Roman" w:cs="Times New Roman"/>
          <w:szCs w:val="20"/>
        </w:rPr>
        <w:t>，</w:t>
      </w:r>
      <w:r w:rsidRPr="00FC1444">
        <w:rPr>
          <w:rFonts w:ascii="Times New Roman" w:hAnsi="Times New Roman" w:cs="Times New Roman"/>
          <w:szCs w:val="22"/>
        </w:rPr>
        <w:t>新增灌溉井区域均为旱田，无水田，属于高标准农田建设项目，采取节水灌溉措施，地下水经作物吸收等充分利用，用水效率较高，不会产生退水</w:t>
      </w:r>
      <w:r w:rsidRPr="00FC1444">
        <w:rPr>
          <w:rFonts w:ascii="Times New Roman" w:hAnsi="Times New Roman" w:cs="Times New Roman"/>
          <w:kern w:val="0"/>
        </w:rPr>
        <w:t>。</w:t>
      </w:r>
    </w:p>
    <w:p w:rsidR="002A5A5E" w:rsidRPr="00FC1444" w:rsidRDefault="00611CBA">
      <w:pPr>
        <w:pStyle w:val="aff4"/>
        <w:adjustRightInd/>
        <w:snapToGrid/>
        <w:rPr>
          <w:rFonts w:ascii="Times New Roman" w:hAnsi="Times New Roman" w:cs="Times New Roman"/>
          <w:szCs w:val="22"/>
        </w:rPr>
      </w:pPr>
      <w:r w:rsidRPr="00FC1444">
        <w:rPr>
          <w:rFonts w:ascii="Times New Roman" w:hAnsi="Times New Roman" w:cs="Times New Roman"/>
          <w:szCs w:val="22"/>
        </w:rPr>
        <w:t>本项目实施后，由于灌溉水利用系数的提升、农田保水能力增强以及渠系配套系统的完善，地表水退水量减少，相应污染物入河量与现状相比也有一定程度的削减，</w:t>
      </w:r>
      <w:r w:rsidR="00E008D1" w:rsidRPr="00FC1444">
        <w:rPr>
          <w:rFonts w:ascii="Times New Roman" w:hAnsi="Times New Roman" w:cs="Times New Roman"/>
          <w:szCs w:val="22"/>
        </w:rPr>
        <w:t>项目建成后灌区年退水量与现状相比减少</w:t>
      </w:r>
      <w:r w:rsidR="00E008D1" w:rsidRPr="00FC1444">
        <w:rPr>
          <w:rFonts w:ascii="Times New Roman" w:hAnsi="Times New Roman" w:cs="Times New Roman"/>
          <w:szCs w:val="22"/>
        </w:rPr>
        <w:t>431</w:t>
      </w:r>
      <w:r w:rsidR="00E008D1" w:rsidRPr="00FC1444">
        <w:rPr>
          <w:rFonts w:ascii="Times New Roman" w:hAnsi="Times New Roman" w:cs="Times New Roman"/>
          <w:szCs w:val="22"/>
        </w:rPr>
        <w:t>万</w:t>
      </w:r>
      <w:r w:rsidRPr="00FC1444">
        <w:rPr>
          <w:rFonts w:ascii="Times New Roman" w:hAnsi="Times New Roman" w:cs="Times New Roman"/>
          <w:szCs w:val="22"/>
        </w:rPr>
        <w:t>m</w:t>
      </w:r>
      <w:r w:rsidRPr="00FC1444">
        <w:rPr>
          <w:rFonts w:ascii="Times New Roman" w:hAnsi="Times New Roman" w:cs="Times New Roman"/>
          <w:szCs w:val="22"/>
          <w:vertAlign w:val="superscript"/>
        </w:rPr>
        <w:t>3</w:t>
      </w:r>
      <w:r w:rsidRPr="00FC1444">
        <w:rPr>
          <w:rFonts w:ascii="Times New Roman" w:hAnsi="Times New Roman" w:cs="Times New Roman"/>
          <w:szCs w:val="22"/>
        </w:rPr>
        <w:t>。</w:t>
      </w:r>
      <w:r w:rsidR="00C341EA" w:rsidRPr="00FC1444">
        <w:rPr>
          <w:rFonts w:ascii="Times New Roman" w:hAnsi="Times New Roman" w:cs="Times New Roman"/>
          <w:bCs/>
          <w:szCs w:val="22"/>
        </w:rPr>
        <w:t>COD</w:t>
      </w:r>
      <w:r w:rsidR="00C341EA" w:rsidRPr="00FC1444">
        <w:rPr>
          <w:rFonts w:ascii="Times New Roman" w:hAnsi="Times New Roman" w:cs="Times New Roman"/>
          <w:bCs/>
          <w:szCs w:val="22"/>
        </w:rPr>
        <w:t>、氨氮、总磷及总氮排放量分别减少</w:t>
      </w:r>
      <w:r w:rsidR="00C341EA" w:rsidRPr="00FC1444">
        <w:rPr>
          <w:rFonts w:ascii="Times New Roman" w:hAnsi="Times New Roman" w:cs="Times New Roman"/>
          <w:bCs/>
          <w:szCs w:val="22"/>
        </w:rPr>
        <w:t>227.137t/a</w:t>
      </w:r>
      <w:r w:rsidR="00C341EA" w:rsidRPr="00FC1444">
        <w:rPr>
          <w:rFonts w:ascii="Times New Roman" w:hAnsi="Times New Roman" w:cs="Times New Roman"/>
          <w:bCs/>
          <w:szCs w:val="22"/>
        </w:rPr>
        <w:t>、</w:t>
      </w:r>
      <w:r w:rsidR="00C341EA" w:rsidRPr="00FC1444">
        <w:rPr>
          <w:rFonts w:ascii="Times New Roman" w:hAnsi="Times New Roman" w:cs="Times New Roman"/>
          <w:bCs/>
          <w:szCs w:val="22"/>
        </w:rPr>
        <w:t>5.431t/a</w:t>
      </w:r>
      <w:r w:rsidR="00C341EA" w:rsidRPr="00FC1444">
        <w:rPr>
          <w:rFonts w:ascii="Times New Roman" w:hAnsi="Times New Roman" w:cs="Times New Roman"/>
          <w:bCs/>
          <w:szCs w:val="22"/>
        </w:rPr>
        <w:t>、</w:t>
      </w:r>
      <w:r w:rsidR="00C341EA" w:rsidRPr="00FC1444">
        <w:rPr>
          <w:rFonts w:ascii="Times New Roman" w:hAnsi="Times New Roman" w:cs="Times New Roman"/>
          <w:bCs/>
          <w:szCs w:val="22"/>
        </w:rPr>
        <w:t>7.93t/a</w:t>
      </w:r>
      <w:r w:rsidR="00C341EA" w:rsidRPr="00FC1444">
        <w:rPr>
          <w:rFonts w:ascii="Times New Roman" w:hAnsi="Times New Roman" w:cs="Times New Roman"/>
          <w:bCs/>
          <w:szCs w:val="22"/>
        </w:rPr>
        <w:t>、</w:t>
      </w:r>
      <w:r w:rsidR="00C341EA" w:rsidRPr="00FC1444">
        <w:rPr>
          <w:rFonts w:ascii="Times New Roman" w:hAnsi="Times New Roman" w:cs="Times New Roman"/>
          <w:bCs/>
          <w:szCs w:val="22"/>
        </w:rPr>
        <w:t>18.102t/a</w:t>
      </w:r>
      <w:r w:rsidR="00C341EA" w:rsidRPr="00FC1444">
        <w:rPr>
          <w:rFonts w:ascii="Times New Roman" w:hAnsi="Times New Roman" w:cs="Times New Roman"/>
          <w:bCs/>
          <w:szCs w:val="22"/>
        </w:rPr>
        <w:t>。</w:t>
      </w:r>
      <w:r w:rsidRPr="00FC1444">
        <w:rPr>
          <w:rFonts w:ascii="Times New Roman" w:hAnsi="Times New Roman" w:cs="Times New Roman"/>
          <w:kern w:val="0"/>
        </w:rPr>
        <w:t>故工程实施后对地表水环境起到一定改善作用。</w:t>
      </w:r>
    </w:p>
    <w:p w:rsidR="002A5A5E" w:rsidRPr="00FC1444" w:rsidRDefault="00611CBA" w:rsidP="00611CBA">
      <w:pPr>
        <w:spacing w:line="360" w:lineRule="auto"/>
        <w:ind w:firstLineChars="182" w:firstLine="437"/>
        <w:rPr>
          <w:rFonts w:eastAsiaTheme="minorEastAsia"/>
          <w:kern w:val="0"/>
          <w:sz w:val="24"/>
        </w:rPr>
      </w:pPr>
      <w:r w:rsidRPr="00FC1444">
        <w:rPr>
          <w:rFonts w:eastAsiaTheme="minorEastAsia"/>
          <w:sz w:val="24"/>
        </w:rPr>
        <w:t>项目施行</w:t>
      </w:r>
      <w:r w:rsidRPr="00FC1444">
        <w:rPr>
          <w:rFonts w:eastAsiaTheme="minorEastAsia"/>
          <w:sz w:val="24"/>
        </w:rPr>
        <w:t>“</w:t>
      </w:r>
      <w:r w:rsidRPr="00FC1444">
        <w:rPr>
          <w:rFonts w:eastAsiaTheme="minorEastAsia"/>
          <w:sz w:val="24"/>
        </w:rPr>
        <w:t>三减</w:t>
      </w:r>
      <w:r w:rsidRPr="00FC1444">
        <w:rPr>
          <w:rFonts w:eastAsiaTheme="minorEastAsia"/>
          <w:sz w:val="24"/>
        </w:rPr>
        <w:t>”</w:t>
      </w:r>
      <w:r w:rsidRPr="00FC1444">
        <w:rPr>
          <w:rFonts w:eastAsiaTheme="minorEastAsia"/>
          <w:sz w:val="24"/>
        </w:rPr>
        <w:t>行动，即减化肥、减农药、减除草剂，积极推广科学施肥，使化肥、农药实现减量化施用，提出测土配方施肥、水肥一体化、控制农药与化肥施用种类及数量措施，</w:t>
      </w:r>
      <w:r w:rsidRPr="00FC1444">
        <w:rPr>
          <w:rFonts w:eastAsiaTheme="minorEastAsia"/>
          <w:kern w:val="0"/>
          <w:sz w:val="24"/>
        </w:rPr>
        <w:t>故工程实施后对</w:t>
      </w:r>
      <w:r w:rsidR="00E456D6" w:rsidRPr="00FC1444">
        <w:rPr>
          <w:rFonts w:eastAsiaTheme="minorEastAsia"/>
          <w:sz w:val="24"/>
        </w:rPr>
        <w:t>呼兰河、津河及努敏河</w:t>
      </w:r>
      <w:r w:rsidRPr="00FC1444">
        <w:rPr>
          <w:rFonts w:eastAsiaTheme="minorEastAsia"/>
          <w:sz w:val="24"/>
        </w:rPr>
        <w:t>水生生态</w:t>
      </w:r>
      <w:r w:rsidRPr="00FC1444">
        <w:rPr>
          <w:rFonts w:eastAsiaTheme="minorEastAsia"/>
          <w:kern w:val="0"/>
          <w:sz w:val="24"/>
        </w:rPr>
        <w:t>环境起到一定改善作用。</w:t>
      </w:r>
      <w:r w:rsidRPr="00FC1444">
        <w:rPr>
          <w:rFonts w:eastAsiaTheme="minorEastAsia"/>
          <w:kern w:val="0"/>
          <w:sz w:val="24"/>
        </w:rPr>
        <w:t xml:space="preserve"> </w:t>
      </w:r>
    </w:p>
    <w:p w:rsidR="002A5A5E" w:rsidRPr="00FC1444" w:rsidRDefault="00611CBA">
      <w:pPr>
        <w:spacing w:line="360" w:lineRule="auto"/>
        <w:ind w:firstLine="482"/>
        <w:rPr>
          <w:rFonts w:eastAsiaTheme="minorEastAsia"/>
          <w:sz w:val="24"/>
        </w:rPr>
      </w:pPr>
      <w:r w:rsidRPr="00FC1444">
        <w:rPr>
          <w:rFonts w:eastAsiaTheme="minorEastAsia"/>
          <w:sz w:val="24"/>
        </w:rPr>
        <w:t>综上所述，项目对地表水环境产生影响较小。</w:t>
      </w:r>
    </w:p>
    <w:p w:rsidR="002A5A5E" w:rsidRPr="00FC1444" w:rsidRDefault="00611CBA">
      <w:pPr>
        <w:pStyle w:val="aff4"/>
        <w:adjustRightInd/>
        <w:snapToGrid/>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3</w:t>
      </w:r>
      <w:r w:rsidRPr="00FC1444">
        <w:rPr>
          <w:rFonts w:ascii="Times New Roman" w:hAnsi="Times New Roman" w:cs="Times New Roman"/>
        </w:rPr>
        <w:t>）噪声</w:t>
      </w:r>
    </w:p>
    <w:p w:rsidR="002A5A5E" w:rsidRPr="00FC1444" w:rsidRDefault="009840DD">
      <w:pPr>
        <w:spacing w:line="360" w:lineRule="auto"/>
        <w:ind w:firstLineChars="200" w:firstLine="480"/>
        <w:contextualSpacing/>
        <w:rPr>
          <w:rFonts w:eastAsiaTheme="minorEastAsia"/>
          <w:bCs/>
          <w:sz w:val="24"/>
        </w:rPr>
      </w:pPr>
      <w:r w:rsidRPr="00FC1444">
        <w:rPr>
          <w:rFonts w:eastAsiaTheme="minorEastAsia"/>
          <w:bCs/>
          <w:sz w:val="24"/>
        </w:rPr>
        <w:fldChar w:fldCharType="begin"/>
      </w:r>
      <w:r w:rsidR="00611CBA" w:rsidRPr="00FC1444">
        <w:rPr>
          <w:rFonts w:eastAsiaTheme="minorEastAsia"/>
          <w:bCs/>
          <w:sz w:val="24"/>
        </w:rPr>
        <w:instrText xml:space="preserve"> = 1 \* GB3 </w:instrText>
      </w:r>
      <w:r w:rsidRPr="00FC1444">
        <w:rPr>
          <w:rFonts w:eastAsiaTheme="minorEastAsia"/>
          <w:bCs/>
          <w:sz w:val="24"/>
        </w:rPr>
        <w:fldChar w:fldCharType="separate"/>
      </w:r>
      <w:r w:rsidR="00611CBA" w:rsidRPr="00FC1444">
        <w:rPr>
          <w:rFonts w:ascii="宋体" w:hAnsi="宋体" w:cs="宋体" w:hint="eastAsia"/>
          <w:bCs/>
          <w:sz w:val="24"/>
        </w:rPr>
        <w:t>①</w:t>
      </w:r>
      <w:r w:rsidRPr="00FC1444">
        <w:rPr>
          <w:rFonts w:eastAsiaTheme="minorEastAsia"/>
          <w:bCs/>
          <w:sz w:val="24"/>
        </w:rPr>
        <w:fldChar w:fldCharType="end"/>
      </w:r>
      <w:r w:rsidR="00611CBA" w:rsidRPr="00FC1444">
        <w:rPr>
          <w:rFonts w:eastAsiaTheme="minorEastAsia"/>
          <w:bCs/>
          <w:sz w:val="24"/>
        </w:rPr>
        <w:t>灌溉井泵类噪声</w:t>
      </w:r>
    </w:p>
    <w:p w:rsidR="002A5A5E" w:rsidRPr="00FC1444" w:rsidRDefault="00611CBA">
      <w:pPr>
        <w:spacing w:line="360" w:lineRule="auto"/>
        <w:ind w:firstLineChars="200" w:firstLine="480"/>
        <w:contextualSpacing/>
        <w:rPr>
          <w:rFonts w:eastAsiaTheme="minorEastAsia"/>
          <w:bCs/>
          <w:sz w:val="24"/>
        </w:rPr>
      </w:pPr>
      <w:r w:rsidRPr="00FC1444">
        <w:rPr>
          <w:rFonts w:eastAsiaTheme="minorEastAsia"/>
          <w:sz w:val="24"/>
        </w:rPr>
        <w:t>潜水泵、</w:t>
      </w:r>
      <w:r w:rsidR="00A4540D" w:rsidRPr="00FC1444">
        <w:rPr>
          <w:rFonts w:eastAsiaTheme="minorEastAsia"/>
          <w:sz w:val="24"/>
        </w:rPr>
        <w:t>水肥一体化设备</w:t>
      </w:r>
      <w:r w:rsidRPr="00FC1444">
        <w:rPr>
          <w:rFonts w:eastAsiaTheme="minorEastAsia"/>
          <w:sz w:val="24"/>
        </w:rPr>
        <w:t>位于井房内，能够有效的阻隔声传播，潜水泵位于</w:t>
      </w:r>
      <w:r w:rsidRPr="00FC1444">
        <w:rPr>
          <w:rFonts w:eastAsiaTheme="minorEastAsia"/>
          <w:sz w:val="24"/>
        </w:rPr>
        <w:lastRenderedPageBreak/>
        <w:t>地下，潜水泵、</w:t>
      </w:r>
      <w:r w:rsidR="00A4540D" w:rsidRPr="00FC1444">
        <w:rPr>
          <w:rFonts w:eastAsiaTheme="minorEastAsia"/>
          <w:sz w:val="24"/>
        </w:rPr>
        <w:t>水肥一体化设备</w:t>
      </w:r>
      <w:r w:rsidRPr="00FC1444">
        <w:rPr>
          <w:rFonts w:eastAsiaTheme="minorEastAsia"/>
          <w:sz w:val="24"/>
        </w:rPr>
        <w:t>采取减振措施，项目灌溉为间歇灌溉，且有抗旱作用，对周围居民影响可接受。喷灌设备一般设置于耕地内，距离居民较远，再经距离衰减，能够有效的降低泵类对周围环境影响。排水沟仅在降水无法排出情况下采用柴油机移动泵车进行排水，柴油机移动泵车及</w:t>
      </w:r>
      <w:r w:rsidR="00716701" w:rsidRPr="00FC1444">
        <w:rPr>
          <w:rFonts w:eastAsiaTheme="minorEastAsia"/>
          <w:sz w:val="24"/>
        </w:rPr>
        <w:t>施肥机</w:t>
      </w:r>
      <w:r w:rsidRPr="00FC1444">
        <w:rPr>
          <w:rFonts w:eastAsiaTheme="minorEastAsia"/>
          <w:sz w:val="24"/>
        </w:rPr>
        <w:t>使用时间较短，且布局在耕地内，远离居民，影响较小。变压器基础减振，产生影响较小。</w:t>
      </w:r>
    </w:p>
    <w:p w:rsidR="002A5A5E" w:rsidRPr="00FC1444" w:rsidRDefault="009840DD">
      <w:pPr>
        <w:spacing w:line="360" w:lineRule="auto"/>
        <w:ind w:firstLineChars="200" w:firstLine="480"/>
        <w:contextualSpacing/>
        <w:rPr>
          <w:rFonts w:eastAsiaTheme="minorEastAsia"/>
          <w:bCs/>
          <w:sz w:val="24"/>
        </w:rPr>
      </w:pPr>
      <w:r w:rsidRPr="00FC1444">
        <w:rPr>
          <w:rFonts w:eastAsiaTheme="minorEastAsia"/>
          <w:bCs/>
          <w:sz w:val="24"/>
        </w:rPr>
        <w:fldChar w:fldCharType="begin"/>
      </w:r>
      <w:r w:rsidR="00611CBA" w:rsidRPr="00FC1444">
        <w:rPr>
          <w:rFonts w:eastAsiaTheme="minorEastAsia"/>
          <w:bCs/>
          <w:sz w:val="24"/>
        </w:rPr>
        <w:instrText xml:space="preserve"> = 2 \* GB3 </w:instrText>
      </w:r>
      <w:r w:rsidRPr="00FC1444">
        <w:rPr>
          <w:rFonts w:eastAsiaTheme="minorEastAsia"/>
          <w:bCs/>
          <w:sz w:val="24"/>
        </w:rPr>
        <w:fldChar w:fldCharType="separate"/>
      </w:r>
      <w:r w:rsidR="00611CBA" w:rsidRPr="00FC1444">
        <w:rPr>
          <w:rFonts w:ascii="宋体" w:hAnsi="宋体" w:cs="宋体" w:hint="eastAsia"/>
          <w:bCs/>
          <w:sz w:val="24"/>
        </w:rPr>
        <w:t>②</w:t>
      </w:r>
      <w:r w:rsidRPr="00FC1444">
        <w:rPr>
          <w:rFonts w:eastAsiaTheme="minorEastAsia"/>
          <w:bCs/>
          <w:sz w:val="24"/>
        </w:rPr>
        <w:fldChar w:fldCharType="end"/>
      </w:r>
      <w:r w:rsidR="00611CBA" w:rsidRPr="00FC1444">
        <w:rPr>
          <w:rFonts w:eastAsiaTheme="minorEastAsia"/>
          <w:bCs/>
          <w:sz w:val="24"/>
        </w:rPr>
        <w:t>机动车辆产生的交通噪声</w:t>
      </w:r>
    </w:p>
    <w:p w:rsidR="002A5A5E" w:rsidRPr="00FC1444" w:rsidRDefault="00611CBA">
      <w:pPr>
        <w:spacing w:line="360" w:lineRule="auto"/>
        <w:ind w:firstLineChars="200" w:firstLine="480"/>
        <w:contextualSpacing/>
        <w:rPr>
          <w:rFonts w:eastAsiaTheme="minorEastAsia"/>
          <w:sz w:val="24"/>
        </w:rPr>
      </w:pPr>
      <w:r w:rsidRPr="00FC1444">
        <w:rPr>
          <w:rFonts w:eastAsiaTheme="minorEastAsia"/>
          <w:sz w:val="24"/>
        </w:rPr>
        <w:t>机动车辆产生的噪声为流动不稳态声源，采取限速、禁鸣等措施后，能够有效降低机动车辆产生的噪声。</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综上所述，本项目采取上述防噪措施后，噪声对周围环境影响较小，井房厂界噪声能够满足《</w:t>
      </w:r>
      <w:r w:rsidR="00E67573" w:rsidRPr="00FC1444">
        <w:rPr>
          <w:rFonts w:ascii="Times New Roman" w:hAnsi="Times New Roman" w:cs="Times New Roman"/>
        </w:rPr>
        <w:t>工业企业厂界环境噪声排放标准</w:t>
      </w:r>
      <w:r w:rsidRPr="00FC1444">
        <w:rPr>
          <w:rFonts w:ascii="Times New Roman" w:hAnsi="Times New Roman" w:cs="Times New Roman"/>
        </w:rPr>
        <w:t>》</w:t>
      </w:r>
      <w:r w:rsidRPr="00FC1444">
        <w:rPr>
          <w:rFonts w:ascii="Times New Roman" w:hAnsi="Times New Roman" w:cs="Times New Roman"/>
        </w:rPr>
        <w:t>(GB12348-2008)</w:t>
      </w:r>
      <w:r w:rsidRPr="00FC1444">
        <w:rPr>
          <w:rFonts w:ascii="Times New Roman" w:hAnsi="Times New Roman" w:cs="Times New Roman"/>
        </w:rPr>
        <w:t>表</w:t>
      </w:r>
      <w:r w:rsidRPr="00FC1444">
        <w:rPr>
          <w:rFonts w:ascii="Times New Roman" w:hAnsi="Times New Roman" w:cs="Times New Roman"/>
        </w:rPr>
        <w:t>1</w:t>
      </w:r>
      <w:r w:rsidRPr="00FC1444">
        <w:rPr>
          <w:rFonts w:ascii="Times New Roman" w:hAnsi="Times New Roman" w:cs="Times New Roman"/>
        </w:rPr>
        <w:t>中</w:t>
      </w:r>
      <w:r w:rsidRPr="00FC1444">
        <w:rPr>
          <w:rFonts w:ascii="Times New Roman" w:hAnsi="Times New Roman" w:cs="Times New Roman"/>
        </w:rPr>
        <w:t>1</w:t>
      </w:r>
      <w:r w:rsidRPr="00FC1444">
        <w:rPr>
          <w:rFonts w:ascii="Times New Roman" w:hAnsi="Times New Roman" w:cs="Times New Roman"/>
        </w:rPr>
        <w:t>类标准要求。敏感点叠加值</w:t>
      </w:r>
      <w:r w:rsidRPr="00FC1444">
        <w:rPr>
          <w:rFonts w:ascii="Times New Roman" w:hAnsi="Times New Roman" w:cs="Times New Roman"/>
          <w:bCs/>
        </w:rPr>
        <w:t>满足《声环境质量标准》（</w:t>
      </w:r>
      <w:r w:rsidRPr="00FC1444">
        <w:rPr>
          <w:rFonts w:ascii="Times New Roman" w:hAnsi="Times New Roman" w:cs="Times New Roman"/>
          <w:bCs/>
        </w:rPr>
        <w:t>GB3096-2008</w:t>
      </w:r>
      <w:r w:rsidRPr="00FC1444">
        <w:rPr>
          <w:rFonts w:ascii="Times New Roman" w:hAnsi="Times New Roman" w:cs="Times New Roman"/>
          <w:bCs/>
        </w:rPr>
        <w:t>）中</w:t>
      </w:r>
      <w:r w:rsidRPr="00FC1444">
        <w:rPr>
          <w:rFonts w:ascii="Times New Roman" w:hAnsi="Times New Roman" w:cs="Times New Roman"/>
          <w:bCs/>
        </w:rPr>
        <w:t>1</w:t>
      </w:r>
      <w:r w:rsidRPr="00FC1444">
        <w:rPr>
          <w:rFonts w:ascii="Times New Roman" w:hAnsi="Times New Roman" w:cs="Times New Roman"/>
          <w:bCs/>
        </w:rPr>
        <w:t>类标准</w:t>
      </w:r>
      <w:r w:rsidRPr="00FC1444">
        <w:rPr>
          <w:rFonts w:ascii="Times New Roman" w:hAnsi="Times New Roman" w:cs="Times New Roman"/>
        </w:rPr>
        <w:t>。</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4</w:t>
      </w:r>
      <w:r w:rsidRPr="00FC1444">
        <w:rPr>
          <w:rFonts w:ascii="Times New Roman" w:hAnsi="Times New Roman" w:cs="Times New Roman"/>
        </w:rPr>
        <w:t>）固体废物</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本项目运营期产生固体废物主要为秸秆、</w:t>
      </w:r>
      <w:r w:rsidRPr="00FC1444">
        <w:rPr>
          <w:rFonts w:eastAsiaTheme="minorEastAsia"/>
          <w:bCs/>
          <w:sz w:val="24"/>
        </w:rPr>
        <w:t>农药包装物及废肥料包装袋</w:t>
      </w:r>
      <w:r w:rsidRPr="00FC1444">
        <w:rPr>
          <w:rFonts w:eastAsiaTheme="minorEastAsia"/>
          <w:sz w:val="24"/>
        </w:rPr>
        <w:t>。</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bCs/>
        </w:rPr>
        <w:t>高标准农田耕种过程中将会产生农药包装物及废肥料包装袋，依据《农药包装废弃物回收处理管理办法》（中华人民共和国农业农村部</w:t>
      </w:r>
      <w:r w:rsidRPr="00FC1444">
        <w:rPr>
          <w:rFonts w:ascii="Times New Roman" w:hAnsi="Times New Roman" w:cs="Times New Roman"/>
          <w:bCs/>
        </w:rPr>
        <w:t xml:space="preserve"> </w:t>
      </w:r>
      <w:r w:rsidRPr="00FC1444">
        <w:rPr>
          <w:rFonts w:ascii="Times New Roman" w:hAnsi="Times New Roman" w:cs="Times New Roman"/>
          <w:bCs/>
        </w:rPr>
        <w:t>生态环境部令</w:t>
      </w:r>
      <w:r w:rsidRPr="00FC1444">
        <w:rPr>
          <w:rFonts w:ascii="Times New Roman" w:hAnsi="Times New Roman" w:cs="Times New Roman"/>
          <w:bCs/>
        </w:rPr>
        <w:t>2020</w:t>
      </w:r>
      <w:r w:rsidRPr="00FC1444">
        <w:rPr>
          <w:rFonts w:ascii="Times New Roman" w:hAnsi="Times New Roman" w:cs="Times New Roman"/>
          <w:bCs/>
        </w:rPr>
        <w:t>年</w:t>
      </w:r>
      <w:r w:rsidRPr="00FC1444">
        <w:rPr>
          <w:rFonts w:ascii="Times New Roman" w:hAnsi="Times New Roman" w:cs="Times New Roman"/>
          <w:bCs/>
        </w:rPr>
        <w:t xml:space="preserve"> </w:t>
      </w:r>
      <w:r w:rsidRPr="00FC1444">
        <w:rPr>
          <w:rFonts w:ascii="Times New Roman" w:hAnsi="Times New Roman" w:cs="Times New Roman"/>
          <w:bCs/>
        </w:rPr>
        <w:t>第</w:t>
      </w:r>
      <w:r w:rsidRPr="00FC1444">
        <w:rPr>
          <w:rFonts w:ascii="Times New Roman" w:hAnsi="Times New Roman" w:cs="Times New Roman"/>
          <w:bCs/>
        </w:rPr>
        <w:t>6</w:t>
      </w:r>
      <w:r w:rsidRPr="00FC1444">
        <w:rPr>
          <w:rFonts w:ascii="Times New Roman" w:hAnsi="Times New Roman" w:cs="Times New Roman"/>
          <w:bCs/>
        </w:rPr>
        <w:t>号）以及《国家危险废物名录（</w:t>
      </w:r>
      <w:r w:rsidRPr="00FC1444">
        <w:rPr>
          <w:rFonts w:ascii="Times New Roman" w:hAnsi="Times New Roman" w:cs="Times New Roman"/>
          <w:bCs/>
        </w:rPr>
        <w:t>2025</w:t>
      </w:r>
      <w:r w:rsidRPr="00FC1444">
        <w:rPr>
          <w:rFonts w:ascii="Times New Roman" w:hAnsi="Times New Roman" w:cs="Times New Roman"/>
          <w:bCs/>
        </w:rPr>
        <w:t>年版）》危险废物豁免管理清单，农药包装物不按照危险废物管理。</w:t>
      </w:r>
      <w:r w:rsidR="00D33612" w:rsidRPr="00FC1444">
        <w:rPr>
          <w:rFonts w:ascii="Times New Roman" w:hAnsi="Times New Roman" w:cs="Times New Roman"/>
        </w:rPr>
        <w:t>秸秆、</w:t>
      </w:r>
      <w:r w:rsidR="00D33612" w:rsidRPr="00FC1444">
        <w:rPr>
          <w:rFonts w:ascii="Times New Roman" w:hAnsi="Times New Roman" w:cs="Times New Roman"/>
          <w:bCs/>
        </w:rPr>
        <w:t>废肥料包装</w:t>
      </w:r>
      <w:r w:rsidR="00A05A30" w:rsidRPr="00FC1444">
        <w:rPr>
          <w:rFonts w:ascii="Times New Roman" w:hAnsi="Times New Roman" w:cs="Times New Roman"/>
          <w:bCs/>
        </w:rPr>
        <w:t>袋由当地农民负责外售综合利用；农业使用者及时收集农药包装物，</w:t>
      </w:r>
      <w:r w:rsidR="00D33612" w:rsidRPr="00FC1444">
        <w:rPr>
          <w:rFonts w:ascii="Times New Roman" w:hAnsi="Times New Roman" w:cs="Times New Roman"/>
          <w:bCs/>
        </w:rPr>
        <w:t>交回农药经营者或回收站。</w:t>
      </w:r>
    </w:p>
    <w:p w:rsidR="002A5A5E" w:rsidRPr="00FC1444" w:rsidRDefault="00611CBA">
      <w:pPr>
        <w:pStyle w:val="aff4"/>
        <w:adjustRightInd/>
        <w:snapToGrid/>
        <w:contextualSpacing/>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5</w:t>
      </w:r>
      <w:r w:rsidRPr="00FC1444">
        <w:rPr>
          <w:rFonts w:ascii="Times New Roman" w:hAnsi="Times New Roman" w:cs="Times New Roman"/>
        </w:rPr>
        <w:t>）地下水</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非正常工况下，柴油机移动泵车油箱在使用和停放时发生泄漏事故，柴油渗漏对地下水水质造成影响。本项目设置</w:t>
      </w:r>
      <w:r w:rsidRPr="00FC1444">
        <w:rPr>
          <w:rFonts w:eastAsiaTheme="minorEastAsia"/>
          <w:sz w:val="24"/>
        </w:rPr>
        <w:t>3</w:t>
      </w:r>
      <w:r w:rsidRPr="00FC1444">
        <w:rPr>
          <w:rFonts w:eastAsiaTheme="minorEastAsia"/>
          <w:sz w:val="24"/>
        </w:rPr>
        <w:t>口地下水跟踪监测井（</w:t>
      </w:r>
      <w:r w:rsidR="00C0294E" w:rsidRPr="00FC1444">
        <w:rPr>
          <w:rFonts w:eastAsiaTheme="minorEastAsia" w:hint="eastAsia"/>
          <w:sz w:val="24"/>
        </w:rPr>
        <w:t>绥胜</w:t>
      </w:r>
      <w:r w:rsidR="00C0294E" w:rsidRPr="00FC1444">
        <w:rPr>
          <w:rFonts w:eastAsiaTheme="minorEastAsia" w:hint="eastAsia"/>
          <w:sz w:val="24"/>
        </w:rPr>
        <w:t>21#</w:t>
      </w:r>
      <w:r w:rsidR="00C0294E" w:rsidRPr="00FC1444">
        <w:rPr>
          <w:rFonts w:eastAsiaTheme="minorEastAsia" w:hint="eastAsia"/>
          <w:sz w:val="24"/>
        </w:rPr>
        <w:t>机电井、津河</w:t>
      </w:r>
      <w:r w:rsidR="00C0294E" w:rsidRPr="00FC1444">
        <w:rPr>
          <w:rFonts w:eastAsiaTheme="minorEastAsia" w:hint="eastAsia"/>
          <w:sz w:val="24"/>
        </w:rPr>
        <w:t>20#</w:t>
      </w:r>
      <w:r w:rsidR="00C0294E" w:rsidRPr="00FC1444">
        <w:rPr>
          <w:rFonts w:eastAsiaTheme="minorEastAsia" w:hint="eastAsia"/>
          <w:sz w:val="24"/>
        </w:rPr>
        <w:t>机电井、绥胜</w:t>
      </w:r>
      <w:r w:rsidR="00C0294E" w:rsidRPr="00FC1444">
        <w:rPr>
          <w:rFonts w:eastAsiaTheme="minorEastAsia" w:hint="eastAsia"/>
          <w:sz w:val="24"/>
        </w:rPr>
        <w:t>31#</w:t>
      </w:r>
      <w:r w:rsidR="00C0294E" w:rsidRPr="00FC1444">
        <w:rPr>
          <w:rFonts w:eastAsiaTheme="minorEastAsia" w:hint="eastAsia"/>
          <w:sz w:val="24"/>
        </w:rPr>
        <w:t>机电井</w:t>
      </w:r>
      <w:r w:rsidRPr="00FC1444">
        <w:rPr>
          <w:rFonts w:eastAsiaTheme="minorEastAsia"/>
          <w:sz w:val="24"/>
        </w:rPr>
        <w:t>），制定地下水跟踪监测计划及信息公开计划，防止对区域地下水环境造成影响。以柴油机移动泵车油箱泄漏对地下水影响进行预测，泄漏发生后</w:t>
      </w:r>
      <w:r w:rsidRPr="00FC1444">
        <w:rPr>
          <w:rFonts w:eastAsiaTheme="minorEastAsia"/>
          <w:sz w:val="24"/>
        </w:rPr>
        <w:t>100</w:t>
      </w:r>
      <w:r w:rsidRPr="00FC1444">
        <w:rPr>
          <w:rFonts w:eastAsiaTheme="minorEastAsia"/>
          <w:sz w:val="24"/>
        </w:rPr>
        <w:t>天时，石油类预测达标距离为</w:t>
      </w:r>
      <w:r w:rsidR="00EB2C0F" w:rsidRPr="00FC1444">
        <w:rPr>
          <w:rFonts w:eastAsiaTheme="minorEastAsia" w:hint="eastAsia"/>
          <w:sz w:val="24"/>
        </w:rPr>
        <w:t>135</w:t>
      </w:r>
      <w:r w:rsidRPr="00FC1444">
        <w:rPr>
          <w:rFonts w:eastAsiaTheme="minorEastAsia"/>
          <w:sz w:val="24"/>
        </w:rPr>
        <w:t>米，泄漏发生后</w:t>
      </w:r>
      <w:r w:rsidRPr="00FC1444">
        <w:rPr>
          <w:rFonts w:eastAsiaTheme="minorEastAsia"/>
          <w:sz w:val="24"/>
        </w:rPr>
        <w:t>1000</w:t>
      </w:r>
      <w:r w:rsidRPr="00FC1444">
        <w:rPr>
          <w:rFonts w:eastAsiaTheme="minorEastAsia"/>
          <w:sz w:val="24"/>
        </w:rPr>
        <w:t>天时，石油类预测达标距离为</w:t>
      </w:r>
      <w:r w:rsidR="00EB2C0F" w:rsidRPr="00FC1444">
        <w:rPr>
          <w:rFonts w:eastAsiaTheme="minorEastAsia" w:hint="eastAsia"/>
          <w:sz w:val="24"/>
        </w:rPr>
        <w:t>428</w:t>
      </w:r>
      <w:r w:rsidRPr="00FC1444">
        <w:rPr>
          <w:rFonts w:eastAsiaTheme="minorEastAsia"/>
          <w:sz w:val="24"/>
        </w:rPr>
        <w:t>米。本项目柴油机移动泵车油箱密闭，设置固定暂存场所，暂存场所地面采取防渗措施，在使用过程中若发生泄漏事故，立即用沙土进行掩埋，产生的含油沙土交由资质单位运输和处置。定期巡检，重点检查变压器油箱密封性（有无裂缝、接口渗漏）、油位刻度（判断是否存在异常泄漏），发现变压器油泄漏应立即停止此变压器运行，</w:t>
      </w:r>
      <w:r w:rsidRPr="00FC1444">
        <w:rPr>
          <w:rFonts w:eastAsiaTheme="minorEastAsia"/>
          <w:sz w:val="24"/>
          <w:szCs w:val="20"/>
        </w:rPr>
        <w:t>属于小范围污染，立即用沙</w:t>
      </w:r>
      <w:r w:rsidRPr="00FC1444">
        <w:rPr>
          <w:rFonts w:eastAsiaTheme="minorEastAsia"/>
          <w:sz w:val="24"/>
          <w:szCs w:val="20"/>
        </w:rPr>
        <w:lastRenderedPageBreak/>
        <w:t>土进行掩埋，产生的含油沙土及</w:t>
      </w:r>
      <w:r w:rsidRPr="00FC1444">
        <w:rPr>
          <w:rFonts w:eastAsiaTheme="minorEastAsia"/>
          <w:sz w:val="24"/>
        </w:rPr>
        <w:t>泄漏物</w:t>
      </w:r>
      <w:r w:rsidRPr="00FC1444">
        <w:rPr>
          <w:rFonts w:eastAsiaTheme="minorEastAsia"/>
          <w:sz w:val="24"/>
          <w:szCs w:val="20"/>
        </w:rPr>
        <w:t>交由资质单位处置进行运输和处置。</w:t>
      </w:r>
      <w:r w:rsidRPr="00FC1444">
        <w:rPr>
          <w:rFonts w:eastAsiaTheme="minorEastAsia"/>
          <w:sz w:val="24"/>
        </w:rPr>
        <w:t>不会对地下水环境产生污染。定期巡检，重点检查变压器油箱密封性（有无裂缝、接口渗漏）、油位刻度（判断是否存在异常泄漏），发现变压器油泄漏应立即停止此变压器运行，</w:t>
      </w:r>
      <w:r w:rsidRPr="00FC1444">
        <w:rPr>
          <w:rFonts w:eastAsiaTheme="minorEastAsia"/>
          <w:sz w:val="24"/>
          <w:szCs w:val="20"/>
        </w:rPr>
        <w:t>属于小范围污染，立即用沙土进行掩埋，产生的含油沙土及</w:t>
      </w:r>
      <w:r w:rsidRPr="00FC1444">
        <w:rPr>
          <w:rFonts w:eastAsiaTheme="minorEastAsia"/>
          <w:sz w:val="24"/>
        </w:rPr>
        <w:t>泄漏物</w:t>
      </w:r>
      <w:r w:rsidRPr="00FC1444">
        <w:rPr>
          <w:rFonts w:eastAsiaTheme="minorEastAsia"/>
          <w:sz w:val="24"/>
          <w:szCs w:val="20"/>
        </w:rPr>
        <w:t>交由资质单位处置进行运输和处置。</w:t>
      </w:r>
      <w:r w:rsidRPr="00FC1444">
        <w:rPr>
          <w:rFonts w:eastAsiaTheme="minorEastAsia"/>
          <w:sz w:val="24"/>
        </w:rPr>
        <w:t>不会对地下水环境产生污染。</w:t>
      </w:r>
    </w:p>
    <w:p w:rsidR="002A5A5E" w:rsidRPr="00FC1444" w:rsidRDefault="00611CBA">
      <w:pPr>
        <w:spacing w:line="360" w:lineRule="auto"/>
        <w:ind w:firstLineChars="200" w:firstLine="480"/>
        <w:rPr>
          <w:rFonts w:eastAsiaTheme="minorEastAsia"/>
          <w:sz w:val="24"/>
        </w:rPr>
      </w:pPr>
      <w:r w:rsidRPr="00FC1444">
        <w:rPr>
          <w:rFonts w:eastAsiaTheme="minorEastAsia"/>
          <w:sz w:val="24"/>
        </w:rPr>
        <w:t>本项目合理开采地下水资源，严格执行灌溉制度，采取节水灌溉措施，提高水资源的利用率，通过管道输水、田间滴灌，最大限度的利用水资源。防止地下水超采。</w:t>
      </w:r>
    </w:p>
    <w:p w:rsidR="002A5A5E" w:rsidRPr="00FC1444" w:rsidRDefault="00611CBA">
      <w:pPr>
        <w:spacing w:line="360" w:lineRule="auto"/>
        <w:ind w:firstLine="482"/>
        <w:rPr>
          <w:rFonts w:eastAsiaTheme="minorEastAsia"/>
          <w:sz w:val="24"/>
        </w:rPr>
      </w:pPr>
      <w:r w:rsidRPr="00FC1444">
        <w:rPr>
          <w:rFonts w:eastAsiaTheme="minorEastAsia"/>
          <w:sz w:val="24"/>
        </w:rPr>
        <w:t>综上所述，项目对地下水环境产生影响较小。</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6</w:t>
      </w:r>
      <w:r w:rsidRPr="00FC1444">
        <w:rPr>
          <w:rFonts w:ascii="Times New Roman" w:hAnsi="Times New Roman" w:cs="Times New Roman"/>
        </w:rPr>
        <w:t>）电磁环境</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在满足变压器设计要求的前提下，保障公众健康，保护周围电磁环境。通过采用防护措施，本项目运营期间，将变压器、配电装置产生的电磁辐射降到最低水平，最大限度的保障公众身体健康。</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7</w:t>
      </w:r>
      <w:r w:rsidRPr="00FC1444">
        <w:rPr>
          <w:rFonts w:ascii="Times New Roman" w:hAnsi="Times New Roman" w:cs="Times New Roman"/>
        </w:rPr>
        <w:t>）土壤</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本项目为</w:t>
      </w:r>
      <w:r w:rsidRPr="00FC1444">
        <w:rPr>
          <w:rFonts w:ascii="Times New Roman" w:hAnsi="Times New Roman" w:cs="Times New Roman"/>
          <w:bCs/>
          <w:kern w:val="0"/>
        </w:rPr>
        <w:t>高标准农田建设项目</w:t>
      </w:r>
      <w:r w:rsidRPr="00FC1444">
        <w:rPr>
          <w:rFonts w:ascii="Times New Roman" w:hAnsi="Times New Roman" w:cs="Times New Roman"/>
        </w:rPr>
        <w:t>，实施后项目区的农业生产条件将大大改善，抵御自然灾害的能力将大幅度提高。</w:t>
      </w:r>
      <w:r w:rsidRPr="00FC1444">
        <w:rPr>
          <w:rFonts w:ascii="Times New Roman" w:hAnsi="Times New Roman" w:cs="Times New Roman"/>
          <w:bCs/>
        </w:rPr>
        <w:t>本项目合理开采地下水资源，严格执行灌溉制度，采取节水灌溉措施，提高水资源的利用率，</w:t>
      </w:r>
      <w:r w:rsidRPr="00FC1444">
        <w:rPr>
          <w:rFonts w:ascii="Times New Roman" w:hAnsi="Times New Roman" w:cs="Times New Roman"/>
        </w:rPr>
        <w:t>适度灌溉能够提升土壤肥力及农作物产量，不会造成土壤盐碱化问题。实施本项目后，对项目区发展生态农业提供了有利条件，能为环境所接受。</w:t>
      </w:r>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w:t>
      </w:r>
      <w:r w:rsidRPr="00FC1444">
        <w:rPr>
          <w:rFonts w:ascii="Times New Roman" w:hAnsi="Times New Roman" w:cs="Times New Roman"/>
        </w:rPr>
        <w:t>8</w:t>
      </w:r>
      <w:r w:rsidRPr="00FC1444">
        <w:rPr>
          <w:rFonts w:ascii="Times New Roman" w:hAnsi="Times New Roman" w:cs="Times New Roman"/>
        </w:rPr>
        <w:t>）环境风险</w:t>
      </w:r>
    </w:p>
    <w:p w:rsidR="002A5A5E" w:rsidRPr="00FC1444" w:rsidRDefault="00611CBA">
      <w:pPr>
        <w:spacing w:line="360" w:lineRule="auto"/>
        <w:ind w:firstLineChars="200" w:firstLine="480"/>
        <w:rPr>
          <w:rFonts w:eastAsiaTheme="minorEastAsia"/>
          <w:sz w:val="24"/>
          <w:szCs w:val="20"/>
        </w:rPr>
      </w:pPr>
      <w:r w:rsidRPr="00FC1444">
        <w:rPr>
          <w:rFonts w:eastAsiaTheme="minorEastAsia"/>
          <w:sz w:val="24"/>
          <w:szCs w:val="20"/>
        </w:rPr>
        <w:t>本项目</w:t>
      </w:r>
      <w:r w:rsidRPr="00FC1444">
        <w:rPr>
          <w:rFonts w:eastAsiaTheme="minorEastAsia"/>
          <w:bCs/>
          <w:sz w:val="24"/>
          <w:szCs w:val="20"/>
        </w:rPr>
        <w:t>柴油机移动泵车</w:t>
      </w:r>
      <w:r w:rsidRPr="00FC1444">
        <w:rPr>
          <w:rFonts w:eastAsiaTheme="minorEastAsia"/>
          <w:sz w:val="24"/>
          <w:szCs w:val="20"/>
        </w:rPr>
        <w:t>油箱密闭，不使用于村内暂存，暂存处地面设置重点防渗（等效黏土防渗层</w:t>
      </w:r>
      <w:r w:rsidRPr="00FC1444">
        <w:rPr>
          <w:rFonts w:eastAsiaTheme="minorEastAsia"/>
          <w:sz w:val="24"/>
          <w:szCs w:val="20"/>
        </w:rPr>
        <w:t>Mb≥6.0m</w:t>
      </w:r>
      <w:r w:rsidRPr="00FC1444">
        <w:rPr>
          <w:rFonts w:eastAsiaTheme="minorEastAsia"/>
          <w:sz w:val="24"/>
          <w:szCs w:val="20"/>
        </w:rPr>
        <w:t>，渗透系数</w:t>
      </w:r>
      <w:r w:rsidRPr="00FC1444">
        <w:rPr>
          <w:rFonts w:eastAsiaTheme="minorEastAsia"/>
          <w:sz w:val="24"/>
          <w:szCs w:val="20"/>
        </w:rPr>
        <w:t>K≤1.0×10</w:t>
      </w:r>
      <w:r w:rsidRPr="00FC1444">
        <w:rPr>
          <w:rFonts w:eastAsiaTheme="minorEastAsia"/>
          <w:sz w:val="24"/>
          <w:szCs w:val="20"/>
          <w:vertAlign w:val="superscript"/>
        </w:rPr>
        <w:t>-7</w:t>
      </w:r>
      <w:r w:rsidRPr="00FC1444">
        <w:rPr>
          <w:rFonts w:eastAsiaTheme="minorEastAsia"/>
          <w:sz w:val="24"/>
          <w:szCs w:val="20"/>
        </w:rPr>
        <w:t>cm/s</w:t>
      </w:r>
      <w:r w:rsidRPr="00FC1444">
        <w:rPr>
          <w:rFonts w:eastAsiaTheme="minorEastAsia"/>
          <w:sz w:val="24"/>
          <w:szCs w:val="20"/>
        </w:rPr>
        <w:t>）；定期巡检，重点检查变压器油箱密封性（有无裂缝、接口渗漏）、油位刻度（判断是否存在异常泄漏），发现变压器油泄漏应立即停止此变压器运行，属于小范围污染，立即用沙土进行掩埋，产生的含油沙土及泄漏物交由资质单位处置进行运输和处置；</w:t>
      </w:r>
    </w:p>
    <w:p w:rsidR="002A5A5E" w:rsidRPr="00FC1444" w:rsidRDefault="00611CBA">
      <w:pPr>
        <w:spacing w:line="360" w:lineRule="auto"/>
        <w:ind w:firstLineChars="200" w:firstLine="480"/>
        <w:rPr>
          <w:rFonts w:eastAsiaTheme="minorEastAsia"/>
          <w:sz w:val="24"/>
          <w:szCs w:val="20"/>
        </w:rPr>
      </w:pPr>
      <w:r w:rsidRPr="00FC1444">
        <w:rPr>
          <w:rFonts w:eastAsiaTheme="minorEastAsia"/>
          <w:sz w:val="24"/>
          <w:szCs w:val="20"/>
        </w:rPr>
        <w:t>制定突发环境事件应急预案，说明各种可能发生的突发环境事件情景及应急处置措施。</w:t>
      </w:r>
    </w:p>
    <w:p w:rsidR="002A5A5E" w:rsidRPr="00FC1444" w:rsidRDefault="00611CBA">
      <w:pPr>
        <w:spacing w:line="360" w:lineRule="auto"/>
        <w:ind w:firstLineChars="200" w:firstLine="480"/>
        <w:rPr>
          <w:rFonts w:eastAsiaTheme="minorEastAsia"/>
          <w:sz w:val="24"/>
          <w:szCs w:val="20"/>
        </w:rPr>
      </w:pPr>
      <w:r w:rsidRPr="00FC1444">
        <w:rPr>
          <w:rFonts w:eastAsiaTheme="minorEastAsia"/>
          <w:sz w:val="24"/>
          <w:szCs w:val="20"/>
        </w:rPr>
        <w:t>（</w:t>
      </w:r>
      <w:r w:rsidRPr="00FC1444">
        <w:rPr>
          <w:rFonts w:eastAsiaTheme="minorEastAsia"/>
          <w:sz w:val="24"/>
          <w:szCs w:val="20"/>
        </w:rPr>
        <w:t>9</w:t>
      </w:r>
      <w:r w:rsidRPr="00FC1444">
        <w:rPr>
          <w:rFonts w:eastAsiaTheme="minorEastAsia"/>
          <w:sz w:val="24"/>
          <w:szCs w:val="20"/>
        </w:rPr>
        <w:t>）生态环境</w:t>
      </w:r>
    </w:p>
    <w:p w:rsidR="002A5A5E" w:rsidRPr="00FC1444" w:rsidRDefault="00611CBA">
      <w:pPr>
        <w:spacing w:line="360" w:lineRule="auto"/>
        <w:ind w:firstLineChars="200" w:firstLine="480"/>
        <w:rPr>
          <w:rFonts w:eastAsiaTheme="minorEastAsia"/>
          <w:bCs/>
          <w:kern w:val="0"/>
          <w:sz w:val="24"/>
        </w:rPr>
      </w:pPr>
      <w:r w:rsidRPr="00FC1444">
        <w:rPr>
          <w:rFonts w:eastAsiaTheme="minorEastAsia"/>
          <w:bCs/>
          <w:kern w:val="0"/>
          <w:sz w:val="24"/>
        </w:rPr>
        <w:t>本项目为高标准农田建设项目，农田生态系统依赖于人的管理，其主要功能</w:t>
      </w:r>
      <w:r w:rsidRPr="00FC1444">
        <w:rPr>
          <w:rFonts w:eastAsiaTheme="minorEastAsia"/>
          <w:bCs/>
          <w:kern w:val="0"/>
          <w:sz w:val="24"/>
        </w:rPr>
        <w:lastRenderedPageBreak/>
        <w:t>为提供农产品，高标准农田建设有利于进一步发挥它的生态体系功能。</w:t>
      </w:r>
    </w:p>
    <w:p w:rsidR="002A5A5E" w:rsidRPr="00FC1444" w:rsidRDefault="00611CBA">
      <w:pPr>
        <w:spacing w:line="360" w:lineRule="auto"/>
        <w:ind w:firstLineChars="200" w:firstLine="480"/>
        <w:rPr>
          <w:rFonts w:eastAsiaTheme="minorEastAsia"/>
          <w:smallCaps/>
          <w:sz w:val="24"/>
        </w:rPr>
      </w:pPr>
      <w:r w:rsidRPr="00FC1444">
        <w:rPr>
          <w:rFonts w:eastAsiaTheme="minorEastAsia"/>
          <w:smallCaps/>
          <w:sz w:val="24"/>
        </w:rPr>
        <w:t>项目区以农田生态系统为主，已形成多年，本项目不新增农田面积，不新开垦林地、草地、湿地等，项目建成后区域仍以农田生态系统为主。灌区建设多年，区域水生生态系统经过长时间的演替，已形成稳定的适合现有鱼类及水生生物生长繁殖的生境和生态系统。</w:t>
      </w:r>
    </w:p>
    <w:p w:rsidR="002A5A5E" w:rsidRPr="00FC1444" w:rsidRDefault="00611CBA">
      <w:pPr>
        <w:spacing w:line="360" w:lineRule="auto"/>
        <w:ind w:firstLineChars="200" w:firstLine="480"/>
        <w:contextualSpacing/>
        <w:rPr>
          <w:rFonts w:eastAsiaTheme="minorEastAsia"/>
          <w:kern w:val="0"/>
          <w:sz w:val="24"/>
        </w:rPr>
      </w:pPr>
      <w:r w:rsidRPr="00FC1444">
        <w:rPr>
          <w:rFonts w:eastAsiaTheme="minorEastAsia"/>
          <w:smallCaps/>
          <w:sz w:val="24"/>
        </w:rPr>
        <w:t>由于工程的实施，</w:t>
      </w:r>
      <w:r w:rsidRPr="00FC1444">
        <w:rPr>
          <w:rFonts w:eastAsiaTheme="minorEastAsia"/>
          <w:kern w:val="0"/>
          <w:sz w:val="24"/>
          <w:szCs w:val="21"/>
        </w:rPr>
        <w:t>减少渠道上的</w:t>
      </w:r>
      <w:r w:rsidRPr="00FC1444">
        <w:rPr>
          <w:rFonts w:eastAsiaTheme="minorEastAsia"/>
          <w:kern w:val="0"/>
          <w:sz w:val="24"/>
          <w:szCs w:val="21"/>
        </w:rPr>
        <w:t>“</w:t>
      </w:r>
      <w:r w:rsidRPr="00FC1444">
        <w:rPr>
          <w:rFonts w:eastAsiaTheme="minorEastAsia"/>
          <w:kern w:val="0"/>
          <w:sz w:val="24"/>
          <w:szCs w:val="21"/>
        </w:rPr>
        <w:t>跑、漏、冒</w:t>
      </w:r>
      <w:r w:rsidRPr="00FC1444">
        <w:rPr>
          <w:rFonts w:eastAsiaTheme="minorEastAsia"/>
          <w:kern w:val="0"/>
          <w:sz w:val="24"/>
          <w:szCs w:val="21"/>
        </w:rPr>
        <w:t>”</w:t>
      </w:r>
      <w:r w:rsidRPr="00FC1444">
        <w:rPr>
          <w:rFonts w:eastAsiaTheme="minorEastAsia"/>
          <w:kern w:val="0"/>
          <w:sz w:val="24"/>
          <w:szCs w:val="21"/>
        </w:rPr>
        <w:t>水现象，减少灌区引水量，</w:t>
      </w:r>
      <w:r w:rsidRPr="00FC1444">
        <w:rPr>
          <w:rFonts w:eastAsiaTheme="minorEastAsia"/>
          <w:sz w:val="24"/>
        </w:rPr>
        <w:t>节约了水资源，提升水资源利用效率。</w:t>
      </w:r>
      <w:r w:rsidRPr="00FC1444">
        <w:rPr>
          <w:rFonts w:eastAsiaTheme="minorEastAsia"/>
          <w:smallCaps/>
          <w:sz w:val="24"/>
        </w:rPr>
        <w:t>工程实施前后取水量、退水量、</w:t>
      </w:r>
      <w:r w:rsidRPr="00FC1444">
        <w:rPr>
          <w:rFonts w:eastAsiaTheme="minorEastAsia"/>
          <w:kern w:val="0"/>
          <w:sz w:val="24"/>
          <w:szCs w:val="21"/>
        </w:rPr>
        <w:t>污染物入河量</w:t>
      </w:r>
      <w:r w:rsidRPr="00FC1444">
        <w:rPr>
          <w:rFonts w:eastAsiaTheme="minorEastAsia"/>
          <w:smallCaps/>
          <w:sz w:val="24"/>
        </w:rPr>
        <w:t>均减少，对区域水文情势、鱼类栖息及繁殖、浮游生物、底栖动物、水生维管束植物产生有利影响。</w:t>
      </w:r>
      <w:r w:rsidRPr="00FC1444">
        <w:rPr>
          <w:rFonts w:eastAsiaTheme="minorEastAsia"/>
          <w:snapToGrid w:val="0"/>
          <w:sz w:val="24"/>
        </w:rPr>
        <w:t>农田排水集中在</w:t>
      </w:r>
      <w:r w:rsidRPr="00FC1444">
        <w:rPr>
          <w:rFonts w:eastAsiaTheme="minorEastAsia"/>
          <w:snapToGrid w:val="0"/>
          <w:sz w:val="24"/>
        </w:rPr>
        <w:t>5</w:t>
      </w:r>
      <w:r w:rsidRPr="00FC1444">
        <w:rPr>
          <w:rFonts w:eastAsiaTheme="minorEastAsia"/>
          <w:snapToGrid w:val="0"/>
          <w:sz w:val="24"/>
        </w:rPr>
        <w:t>～</w:t>
      </w:r>
      <w:r w:rsidRPr="00FC1444">
        <w:rPr>
          <w:rFonts w:eastAsiaTheme="minorEastAsia"/>
          <w:snapToGrid w:val="0"/>
          <w:sz w:val="24"/>
        </w:rPr>
        <w:t>9</w:t>
      </w:r>
      <w:r w:rsidR="00507669" w:rsidRPr="00FC1444">
        <w:rPr>
          <w:rFonts w:eastAsiaTheme="minorEastAsia"/>
          <w:snapToGrid w:val="0"/>
          <w:sz w:val="24"/>
        </w:rPr>
        <w:t>月份，正值丰水期，</w:t>
      </w:r>
      <w:r w:rsidR="00B526E5" w:rsidRPr="00FC1444">
        <w:rPr>
          <w:rFonts w:eastAsiaTheme="minorEastAsia"/>
          <w:sz w:val="24"/>
        </w:rPr>
        <w:t>津河、呼兰河、努敏河</w:t>
      </w:r>
      <w:r w:rsidRPr="00FC1444">
        <w:rPr>
          <w:rFonts w:eastAsiaTheme="minorEastAsia"/>
          <w:snapToGrid w:val="0"/>
          <w:sz w:val="24"/>
        </w:rPr>
        <w:t>水量充沛，进入水体的污染物将不同程度的被稀释和降解，对水质影响较小。</w:t>
      </w:r>
      <w:r w:rsidRPr="00FC1444">
        <w:rPr>
          <w:rFonts w:eastAsiaTheme="minorEastAsia"/>
          <w:sz w:val="24"/>
        </w:rPr>
        <w:t>项目施行</w:t>
      </w:r>
      <w:r w:rsidRPr="00FC1444">
        <w:rPr>
          <w:rFonts w:eastAsiaTheme="minorEastAsia"/>
          <w:sz w:val="24"/>
        </w:rPr>
        <w:t>“</w:t>
      </w:r>
      <w:r w:rsidRPr="00FC1444">
        <w:rPr>
          <w:rFonts w:eastAsiaTheme="minorEastAsia"/>
          <w:sz w:val="24"/>
        </w:rPr>
        <w:t>三减</w:t>
      </w:r>
      <w:r w:rsidRPr="00FC1444">
        <w:rPr>
          <w:rFonts w:eastAsiaTheme="minorEastAsia"/>
          <w:sz w:val="24"/>
        </w:rPr>
        <w:t>”</w:t>
      </w:r>
      <w:r w:rsidRPr="00FC1444">
        <w:rPr>
          <w:rFonts w:eastAsiaTheme="minorEastAsia"/>
          <w:sz w:val="24"/>
        </w:rPr>
        <w:t>行动，即减化肥、减农药、减除草剂，积极推广科学施肥，使化肥、农药实现减量化施用，提出测土配方施肥、水肥一体化、控制农药与化肥施用种类及数量措施，</w:t>
      </w:r>
      <w:r w:rsidRPr="00FC1444">
        <w:rPr>
          <w:rFonts w:eastAsiaTheme="minorEastAsia"/>
          <w:kern w:val="0"/>
          <w:sz w:val="24"/>
        </w:rPr>
        <w:t>故工程实施后对</w:t>
      </w:r>
      <w:r w:rsidR="00E456D6" w:rsidRPr="00FC1444">
        <w:rPr>
          <w:rFonts w:eastAsiaTheme="minorEastAsia"/>
          <w:sz w:val="24"/>
        </w:rPr>
        <w:t>呼兰河、津河及努敏河</w:t>
      </w:r>
      <w:r w:rsidRPr="00FC1444">
        <w:rPr>
          <w:rFonts w:eastAsiaTheme="minorEastAsia"/>
          <w:sz w:val="24"/>
        </w:rPr>
        <w:t>水生生态</w:t>
      </w:r>
      <w:r w:rsidRPr="00FC1444">
        <w:rPr>
          <w:rFonts w:eastAsiaTheme="minorEastAsia"/>
          <w:kern w:val="0"/>
          <w:sz w:val="24"/>
        </w:rPr>
        <w:t>环境起到一定改善作用。</w:t>
      </w:r>
    </w:p>
    <w:p w:rsidR="002A5A5E" w:rsidRPr="00FC1444" w:rsidRDefault="00611CBA">
      <w:pPr>
        <w:spacing w:line="360" w:lineRule="auto"/>
        <w:ind w:firstLineChars="200" w:firstLine="480"/>
        <w:contextualSpacing/>
        <w:rPr>
          <w:rFonts w:eastAsiaTheme="minorEastAsia"/>
          <w:bCs/>
          <w:kern w:val="0"/>
          <w:sz w:val="24"/>
        </w:rPr>
      </w:pPr>
      <w:r w:rsidRPr="00FC1444">
        <w:rPr>
          <w:rFonts w:eastAsiaTheme="minorEastAsia"/>
          <w:bCs/>
          <w:kern w:val="0"/>
          <w:sz w:val="24"/>
        </w:rPr>
        <w:t>本项目依托现有退水口，退水减少量相对退水河流流域多年平均年径流量占比</w:t>
      </w:r>
      <w:r w:rsidR="001201E2" w:rsidRPr="00FC1444">
        <w:rPr>
          <w:rFonts w:eastAsiaTheme="minorEastAsia" w:hint="eastAsia"/>
          <w:sz w:val="24"/>
        </w:rPr>
        <w:t>较</w:t>
      </w:r>
      <w:r w:rsidRPr="00FC1444">
        <w:rPr>
          <w:rFonts w:eastAsiaTheme="minorEastAsia"/>
          <w:bCs/>
          <w:kern w:val="0"/>
          <w:sz w:val="24"/>
        </w:rPr>
        <w:t>小，不会对已形成的现有的水域形态、径流条件、水力条件以及冲於条件等造成显著影响。</w:t>
      </w:r>
    </w:p>
    <w:p w:rsidR="002A5A5E" w:rsidRPr="00FC1444" w:rsidRDefault="00611CBA">
      <w:pPr>
        <w:spacing w:line="360" w:lineRule="auto"/>
        <w:ind w:firstLineChars="200" w:firstLine="480"/>
        <w:rPr>
          <w:rFonts w:eastAsiaTheme="minorEastAsia"/>
          <w:sz w:val="24"/>
          <w:szCs w:val="20"/>
        </w:rPr>
      </w:pPr>
      <w:r w:rsidRPr="00FC1444">
        <w:rPr>
          <w:rFonts w:eastAsiaTheme="minorEastAsia"/>
          <w:sz w:val="24"/>
        </w:rPr>
        <w:t>本区域通过车辆一般为当地农用车，车速较慢、产生的尾气及扬尘较少，同时采取限速、禁鸣措施。灌溉井泵类位于地下，能够有效的阻隔声传播，柴油机移动泵车及</w:t>
      </w:r>
      <w:r w:rsidR="00716701" w:rsidRPr="00FC1444">
        <w:rPr>
          <w:rFonts w:eastAsiaTheme="minorEastAsia"/>
          <w:sz w:val="24"/>
        </w:rPr>
        <w:t>施肥机</w:t>
      </w:r>
      <w:r w:rsidRPr="00FC1444">
        <w:rPr>
          <w:rFonts w:eastAsiaTheme="minorEastAsia"/>
          <w:sz w:val="24"/>
        </w:rPr>
        <w:t>使用时间较短，减少扬尘和噪声对</w:t>
      </w:r>
      <w:r w:rsidRPr="00FC1444">
        <w:rPr>
          <w:rFonts w:eastAsiaTheme="minorEastAsia"/>
          <w:bCs/>
          <w:kern w:val="0"/>
          <w:sz w:val="24"/>
        </w:rPr>
        <w:t>动植物</w:t>
      </w:r>
      <w:r w:rsidRPr="00FC1444">
        <w:rPr>
          <w:rFonts w:eastAsiaTheme="minorEastAsia"/>
          <w:sz w:val="24"/>
        </w:rPr>
        <w:t>产生的影响。</w:t>
      </w:r>
      <w:r w:rsidRPr="00FC1444">
        <w:rPr>
          <w:rFonts w:eastAsiaTheme="minorEastAsia"/>
          <w:bCs/>
          <w:kern w:val="0"/>
          <w:sz w:val="24"/>
        </w:rPr>
        <w:t>因此，项目实施对周边生态环境影响较小。</w:t>
      </w:r>
    </w:p>
    <w:p w:rsidR="002A5A5E" w:rsidRPr="00FC1444" w:rsidRDefault="00611CBA">
      <w:pPr>
        <w:keepNext/>
        <w:keepLines/>
        <w:spacing w:before="100" w:beforeAutospacing="1" w:after="100" w:afterAutospacing="1"/>
        <w:outlineLvl w:val="2"/>
        <w:rPr>
          <w:rFonts w:eastAsiaTheme="minorEastAsia"/>
          <w:b/>
          <w:sz w:val="28"/>
          <w:szCs w:val="28"/>
        </w:rPr>
      </w:pPr>
      <w:bookmarkStart w:id="190" w:name="_Toc15991739"/>
      <w:r w:rsidRPr="00FC1444">
        <w:rPr>
          <w:rFonts w:eastAsiaTheme="minorEastAsia"/>
          <w:b/>
          <w:sz w:val="28"/>
          <w:szCs w:val="28"/>
        </w:rPr>
        <w:t>9.1.5</w:t>
      </w:r>
      <w:r w:rsidRPr="00FC1444">
        <w:rPr>
          <w:rFonts w:eastAsiaTheme="minorEastAsia"/>
          <w:b/>
          <w:sz w:val="28"/>
          <w:szCs w:val="28"/>
        </w:rPr>
        <w:t>经济损益分析结论</w:t>
      </w:r>
      <w:bookmarkEnd w:id="190"/>
    </w:p>
    <w:p w:rsidR="002A5A5E" w:rsidRPr="00FC1444" w:rsidRDefault="00611CBA">
      <w:pPr>
        <w:pStyle w:val="aff4"/>
        <w:adjustRightInd/>
        <w:snapToGrid/>
        <w:jc w:val="both"/>
        <w:rPr>
          <w:rFonts w:ascii="Times New Roman" w:hAnsi="Times New Roman" w:cs="Times New Roman"/>
        </w:rPr>
      </w:pPr>
      <w:r w:rsidRPr="00FC1444">
        <w:rPr>
          <w:rFonts w:ascii="Times New Roman" w:hAnsi="Times New Roman" w:cs="Times New Roman"/>
        </w:rPr>
        <w:t>本项目的建设具有良好的社会效益和经济效益，不会对当地环境产生明显不利影响，因此该项目的实施做到了社会效益、经济效益和环境效益的同步发展。</w:t>
      </w:r>
    </w:p>
    <w:p w:rsidR="002A5A5E" w:rsidRPr="00FC1444" w:rsidRDefault="00611CBA">
      <w:pPr>
        <w:keepNext/>
        <w:keepLines/>
        <w:spacing w:before="100" w:beforeAutospacing="1" w:after="100" w:afterAutospacing="1"/>
        <w:outlineLvl w:val="2"/>
        <w:rPr>
          <w:rFonts w:eastAsiaTheme="minorEastAsia"/>
          <w:b/>
          <w:sz w:val="28"/>
          <w:szCs w:val="28"/>
        </w:rPr>
      </w:pPr>
      <w:bookmarkStart w:id="191" w:name="_Toc486255152"/>
      <w:bookmarkStart w:id="192" w:name="_Toc15991740"/>
      <w:r w:rsidRPr="00FC1444">
        <w:rPr>
          <w:rFonts w:eastAsiaTheme="minorEastAsia"/>
          <w:b/>
          <w:sz w:val="28"/>
          <w:szCs w:val="28"/>
        </w:rPr>
        <w:t>9.1.6</w:t>
      </w:r>
      <w:r w:rsidRPr="00FC1444">
        <w:rPr>
          <w:rFonts w:eastAsiaTheme="minorEastAsia"/>
          <w:b/>
          <w:sz w:val="28"/>
          <w:szCs w:val="28"/>
        </w:rPr>
        <w:t>环境管理与监测结论</w:t>
      </w:r>
      <w:bookmarkEnd w:id="191"/>
      <w:bookmarkEnd w:id="192"/>
    </w:p>
    <w:p w:rsidR="002A5A5E" w:rsidRPr="00FC1444" w:rsidRDefault="00611CBA">
      <w:pPr>
        <w:spacing w:line="360" w:lineRule="auto"/>
        <w:ind w:firstLineChars="200" w:firstLine="480"/>
        <w:rPr>
          <w:rFonts w:eastAsiaTheme="minorEastAsia"/>
          <w:snapToGrid w:val="0"/>
          <w:kern w:val="0"/>
          <w:sz w:val="24"/>
        </w:rPr>
      </w:pPr>
      <w:r w:rsidRPr="00FC1444">
        <w:rPr>
          <w:rFonts w:eastAsiaTheme="minorEastAsia"/>
          <w:snapToGrid w:val="0"/>
          <w:kern w:val="0"/>
          <w:sz w:val="24"/>
        </w:rPr>
        <w:t>本次工程实施后，建设单位将按照环评要求制定环境管理制度，划分环境管</w:t>
      </w:r>
      <w:r w:rsidRPr="00FC1444">
        <w:rPr>
          <w:rFonts w:eastAsiaTheme="minorEastAsia"/>
          <w:snapToGrid w:val="0"/>
          <w:kern w:val="0"/>
          <w:sz w:val="24"/>
        </w:rPr>
        <w:lastRenderedPageBreak/>
        <w:t>理职责，定期委托第三方监测机构按照监测计划对本项目其他污染源及区域环境质量进行监测。</w:t>
      </w:r>
    </w:p>
    <w:p w:rsidR="002A5A5E" w:rsidRPr="00FC1444" w:rsidRDefault="00611CBA">
      <w:pPr>
        <w:keepNext/>
        <w:keepLines/>
        <w:spacing w:before="100" w:beforeAutospacing="1" w:after="100" w:afterAutospacing="1"/>
        <w:outlineLvl w:val="2"/>
        <w:rPr>
          <w:rFonts w:eastAsiaTheme="minorEastAsia"/>
          <w:b/>
          <w:sz w:val="28"/>
          <w:szCs w:val="28"/>
        </w:rPr>
      </w:pPr>
      <w:bookmarkStart w:id="193" w:name="_Toc486255150"/>
      <w:bookmarkStart w:id="194" w:name="_Toc15991741"/>
      <w:r w:rsidRPr="00FC1444">
        <w:rPr>
          <w:rFonts w:eastAsiaTheme="minorEastAsia"/>
          <w:b/>
          <w:sz w:val="28"/>
          <w:szCs w:val="28"/>
        </w:rPr>
        <w:t>9.1.7</w:t>
      </w:r>
      <w:r w:rsidRPr="00FC1444">
        <w:rPr>
          <w:rFonts w:eastAsiaTheme="minorEastAsia"/>
          <w:b/>
          <w:sz w:val="28"/>
          <w:szCs w:val="28"/>
        </w:rPr>
        <w:t>公众意见采纳情况</w:t>
      </w:r>
      <w:bookmarkEnd w:id="193"/>
      <w:bookmarkEnd w:id="194"/>
    </w:p>
    <w:p w:rsidR="002A5A5E" w:rsidRPr="00FC1444" w:rsidRDefault="00611CBA">
      <w:pPr>
        <w:pStyle w:val="aff4"/>
        <w:adjustRightInd/>
        <w:snapToGrid/>
        <w:jc w:val="both"/>
        <w:rPr>
          <w:rFonts w:ascii="Times New Roman" w:hAnsi="Times New Roman" w:cs="Times New Roman"/>
          <w:b/>
          <w:bCs/>
        </w:rPr>
      </w:pPr>
      <w:bookmarkStart w:id="195" w:name="_Toc15991742"/>
      <w:bookmarkStart w:id="196" w:name="_Toc285188950"/>
      <w:bookmarkStart w:id="197" w:name="_Toc342462538"/>
      <w:r w:rsidRPr="00FC1444">
        <w:rPr>
          <w:rFonts w:ascii="Times New Roman" w:hAnsi="Times New Roman" w:cs="Times New Roman"/>
        </w:rPr>
        <w:t>本项目在公示期间，建设单位未接到公众反馈意见。通过对公众问卷调查表的调查结果了解，项目区公众对项目建设的总体意见是赞成的，项目投产后公众最关心的环境问题主要是噪声对环境的影响，建设单位要充分重视，切实落实各项污染防治措施，加强环境管理，把本工程环境污染降低到最低限度。从总体上看，公众对建设项目的意见是支持项目建设，同意项目选址。</w:t>
      </w:r>
    </w:p>
    <w:p w:rsidR="002A5A5E" w:rsidRPr="00FC1444" w:rsidRDefault="00611CBA">
      <w:pPr>
        <w:keepNext/>
        <w:keepLines/>
        <w:spacing w:before="100" w:beforeAutospacing="1" w:after="100" w:afterAutospacing="1"/>
        <w:outlineLvl w:val="2"/>
        <w:rPr>
          <w:rFonts w:eastAsiaTheme="minorEastAsia"/>
          <w:b/>
          <w:sz w:val="28"/>
          <w:szCs w:val="28"/>
        </w:rPr>
      </w:pPr>
      <w:r w:rsidRPr="00FC1444">
        <w:rPr>
          <w:rFonts w:eastAsiaTheme="minorEastAsia"/>
          <w:b/>
          <w:sz w:val="28"/>
          <w:szCs w:val="28"/>
        </w:rPr>
        <w:t>9.1.8</w:t>
      </w:r>
      <w:r w:rsidRPr="00FC1444">
        <w:rPr>
          <w:rFonts w:eastAsiaTheme="minorEastAsia"/>
          <w:b/>
          <w:sz w:val="28"/>
          <w:szCs w:val="28"/>
        </w:rPr>
        <w:t>总结论</w:t>
      </w:r>
      <w:bookmarkEnd w:id="195"/>
      <w:bookmarkEnd w:id="196"/>
      <w:bookmarkEnd w:id="197"/>
    </w:p>
    <w:p w:rsidR="002A5A5E" w:rsidRPr="00FC1444" w:rsidRDefault="00611CBA">
      <w:pPr>
        <w:pStyle w:val="aff4"/>
        <w:adjustRightInd/>
        <w:snapToGrid/>
        <w:contextualSpacing/>
        <w:jc w:val="both"/>
        <w:rPr>
          <w:rFonts w:ascii="Times New Roman" w:hAnsi="Times New Roman" w:cs="Times New Roman"/>
        </w:rPr>
        <w:sectPr w:rsidR="002A5A5E" w:rsidRPr="00FC1444">
          <w:headerReference w:type="even" r:id="rId87"/>
          <w:headerReference w:type="default" r:id="rId88"/>
          <w:footerReference w:type="even" r:id="rId89"/>
          <w:footerReference w:type="default" r:id="rId90"/>
          <w:headerReference w:type="first" r:id="rId91"/>
          <w:footerReference w:type="first" r:id="rId92"/>
          <w:pgSz w:w="11906" w:h="16838"/>
          <w:pgMar w:top="1440" w:right="1800" w:bottom="1440" w:left="1800" w:header="851" w:footer="992" w:gutter="0"/>
          <w:cols w:space="720"/>
          <w:docGrid w:type="lines" w:linePitch="312"/>
        </w:sectPr>
      </w:pPr>
      <w:r w:rsidRPr="00FC1444">
        <w:rPr>
          <w:rFonts w:ascii="Times New Roman" w:hAnsi="Times New Roman" w:cs="Times New Roman"/>
        </w:rPr>
        <w:t>本项目建设符合国家产业政策，工程建设以有利影响为主，工程建设完成后，将改善农业生产条件和农村生态环境，促进农业经济的发展，其社会效益、经济效益、环境效益显著。在认真贯彻落实报告书所提出的治理措施并确保其正常运行的前提下，通过强化环境管理和环境监测，项目产生的环境问题可被周围的环境所接受，因此评价认为，本项目的建设从环境保护角度分析是可行的。</w:t>
      </w:r>
    </w:p>
    <w:p w:rsidR="002A5A5E" w:rsidRPr="00FC1444" w:rsidRDefault="00611CBA">
      <w:pPr>
        <w:tabs>
          <w:tab w:val="left" w:pos="720"/>
        </w:tabs>
        <w:spacing w:before="50" w:after="50" w:line="360" w:lineRule="auto"/>
        <w:jc w:val="center"/>
        <w:rPr>
          <w:rFonts w:eastAsiaTheme="minorEastAsia"/>
          <w:b/>
          <w:sz w:val="24"/>
        </w:rPr>
      </w:pPr>
      <w:r w:rsidRPr="00FC1444">
        <w:rPr>
          <w:rFonts w:eastAsiaTheme="minorEastAsia"/>
          <w:b/>
          <w:sz w:val="24"/>
        </w:rPr>
        <w:lastRenderedPageBreak/>
        <w:t>建设项目大气环境影响评价自查表</w:t>
      </w:r>
    </w:p>
    <w:tbl>
      <w:tblPr>
        <w:tblW w:w="92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51"/>
        <w:gridCol w:w="1798"/>
        <w:gridCol w:w="940"/>
        <w:gridCol w:w="287"/>
        <w:gridCol w:w="134"/>
        <w:gridCol w:w="178"/>
        <w:gridCol w:w="19"/>
        <w:gridCol w:w="46"/>
        <w:gridCol w:w="608"/>
        <w:gridCol w:w="433"/>
        <w:gridCol w:w="802"/>
        <w:gridCol w:w="332"/>
        <w:gridCol w:w="802"/>
        <w:gridCol w:w="598"/>
        <w:gridCol w:w="142"/>
        <w:gridCol w:w="287"/>
        <w:gridCol w:w="1083"/>
      </w:tblGrid>
      <w:tr w:rsidR="002A5A5E" w:rsidRPr="00FC1444">
        <w:trPr>
          <w:jc w:val="center"/>
        </w:trPr>
        <w:tc>
          <w:tcPr>
            <w:tcW w:w="2549" w:type="dxa"/>
            <w:gridSpan w:val="2"/>
            <w:tcBorders>
              <w:top w:val="single" w:sz="12" w:space="0" w:color="000000"/>
              <w:left w:val="single" w:sz="12"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工作内容</w:t>
            </w:r>
          </w:p>
        </w:tc>
        <w:tc>
          <w:tcPr>
            <w:tcW w:w="6691" w:type="dxa"/>
            <w:gridSpan w:val="15"/>
            <w:tcBorders>
              <w:top w:val="single" w:sz="12"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自查项目</w:t>
            </w:r>
          </w:p>
        </w:tc>
      </w:tr>
      <w:tr w:rsidR="002A5A5E" w:rsidRPr="00FC1444">
        <w:trPr>
          <w:jc w:val="center"/>
        </w:trPr>
        <w:tc>
          <w:tcPr>
            <w:tcW w:w="751" w:type="dxa"/>
            <w:vMerge w:val="restart"/>
            <w:tcBorders>
              <w:top w:val="single" w:sz="4" w:space="0" w:color="000000"/>
              <w:left w:val="single" w:sz="12"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评价等级与范围</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评价等级</w:t>
            </w:r>
          </w:p>
        </w:tc>
        <w:tc>
          <w:tcPr>
            <w:tcW w:w="1558" w:type="dxa"/>
            <w:gridSpan w:val="5"/>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一级</w:t>
            </w:r>
            <w:r w:rsidRPr="00FC1444">
              <w:rPr>
                <w:rFonts w:eastAsiaTheme="minorEastAsia"/>
                <w:bCs/>
                <w:kern w:val="0"/>
                <w:szCs w:val="21"/>
              </w:rPr>
              <w:t>□</w:t>
            </w:r>
          </w:p>
        </w:tc>
        <w:tc>
          <w:tcPr>
            <w:tcW w:w="3023" w:type="dxa"/>
            <w:gridSpan w:val="6"/>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二级</w:t>
            </w:r>
            <w:r w:rsidRPr="00FC1444">
              <w:rPr>
                <w:rFonts w:eastAsiaTheme="minorEastAsia"/>
                <w:bCs/>
                <w:kern w:val="0"/>
                <w:szCs w:val="21"/>
              </w:rPr>
              <w:t>□</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三级</w:t>
            </w:r>
            <w:r w:rsidR="00660C23" w:rsidRPr="00FC1444">
              <w:rPr>
                <w:rFonts w:eastAsiaTheme="minorEastAsia"/>
                <w:bCs/>
                <w:kern w:val="0"/>
                <w:szCs w:val="21"/>
              </w:rPr>
              <w:t>√</w:t>
            </w:r>
          </w:p>
        </w:tc>
      </w:tr>
      <w:tr w:rsidR="002A5A5E" w:rsidRPr="00FC1444">
        <w:trPr>
          <w:trHeight w:val="332"/>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评价范围</w:t>
            </w:r>
          </w:p>
        </w:tc>
        <w:tc>
          <w:tcPr>
            <w:tcW w:w="1558" w:type="dxa"/>
            <w:gridSpan w:val="5"/>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边长</w:t>
            </w:r>
            <w:r w:rsidRPr="00FC1444">
              <w:rPr>
                <w:rFonts w:eastAsiaTheme="minorEastAsia"/>
                <w:bCs/>
                <w:kern w:val="0"/>
                <w:szCs w:val="21"/>
              </w:rPr>
              <w:t>=50km□</w:t>
            </w:r>
          </w:p>
        </w:tc>
        <w:tc>
          <w:tcPr>
            <w:tcW w:w="3023" w:type="dxa"/>
            <w:gridSpan w:val="6"/>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边长</w:t>
            </w:r>
            <w:r w:rsidRPr="00FC1444">
              <w:rPr>
                <w:rFonts w:eastAsiaTheme="minorEastAsia"/>
                <w:bCs/>
                <w:kern w:val="0"/>
                <w:szCs w:val="21"/>
              </w:rPr>
              <w:t>5~50km□</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边长</w:t>
            </w:r>
            <w:r w:rsidRPr="00FC1444">
              <w:rPr>
                <w:rFonts w:eastAsiaTheme="minorEastAsia"/>
                <w:bCs/>
                <w:kern w:val="0"/>
                <w:szCs w:val="21"/>
              </w:rPr>
              <w:t>=5km□</w:t>
            </w:r>
          </w:p>
        </w:tc>
      </w:tr>
      <w:tr w:rsidR="002A5A5E" w:rsidRPr="00FC1444">
        <w:trPr>
          <w:jc w:val="center"/>
        </w:trPr>
        <w:tc>
          <w:tcPr>
            <w:tcW w:w="751" w:type="dxa"/>
            <w:vMerge w:val="restart"/>
            <w:tcBorders>
              <w:top w:val="single" w:sz="4" w:space="0" w:color="000000"/>
              <w:left w:val="single" w:sz="12"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评价因子</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SO</w:t>
            </w:r>
            <w:r w:rsidRPr="00FC1444">
              <w:rPr>
                <w:rFonts w:eastAsiaTheme="minorEastAsia"/>
                <w:bCs/>
                <w:kern w:val="0"/>
                <w:szCs w:val="21"/>
                <w:vertAlign w:val="subscript"/>
              </w:rPr>
              <w:t>2</w:t>
            </w:r>
            <w:r w:rsidRPr="00FC1444">
              <w:rPr>
                <w:rFonts w:eastAsiaTheme="minorEastAsia"/>
                <w:bCs/>
                <w:kern w:val="0"/>
                <w:szCs w:val="21"/>
              </w:rPr>
              <w:t>+NO</w:t>
            </w:r>
            <w:r w:rsidRPr="00FC1444">
              <w:rPr>
                <w:rFonts w:eastAsiaTheme="minorEastAsia"/>
                <w:bCs/>
                <w:kern w:val="0"/>
                <w:szCs w:val="21"/>
                <w:vertAlign w:val="subscript"/>
              </w:rPr>
              <w:t>X</w:t>
            </w:r>
            <w:r w:rsidRPr="00FC1444">
              <w:rPr>
                <w:rFonts w:eastAsiaTheme="minorEastAsia"/>
                <w:bCs/>
                <w:kern w:val="0"/>
                <w:szCs w:val="21"/>
              </w:rPr>
              <w:t>排放量</w:t>
            </w:r>
          </w:p>
        </w:tc>
        <w:tc>
          <w:tcPr>
            <w:tcW w:w="1558" w:type="dxa"/>
            <w:gridSpan w:val="5"/>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≥2000t/a□</w:t>
            </w:r>
          </w:p>
        </w:tc>
        <w:tc>
          <w:tcPr>
            <w:tcW w:w="3023" w:type="dxa"/>
            <w:gridSpan w:val="6"/>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500~2000t/a□</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&lt;500t/a□</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评价因子</w:t>
            </w:r>
          </w:p>
        </w:tc>
        <w:tc>
          <w:tcPr>
            <w:tcW w:w="4581" w:type="dxa"/>
            <w:gridSpan w:val="11"/>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基本污染物（</w:t>
            </w:r>
            <w:r w:rsidRPr="00FC1444">
              <w:rPr>
                <w:rFonts w:eastAsiaTheme="minorEastAsia"/>
                <w:bCs/>
                <w:kern w:val="0"/>
                <w:szCs w:val="21"/>
              </w:rPr>
              <w:t>PM</w:t>
            </w:r>
            <w:r w:rsidRPr="00FC1444">
              <w:rPr>
                <w:rFonts w:eastAsiaTheme="minorEastAsia"/>
                <w:bCs/>
                <w:kern w:val="0"/>
                <w:szCs w:val="21"/>
                <w:vertAlign w:val="subscript"/>
              </w:rPr>
              <w:t>10</w:t>
            </w:r>
            <w:r w:rsidRPr="00FC1444">
              <w:rPr>
                <w:rFonts w:eastAsiaTheme="minorEastAsia"/>
                <w:bCs/>
                <w:kern w:val="0"/>
                <w:szCs w:val="21"/>
              </w:rPr>
              <w:t>、</w:t>
            </w:r>
            <w:r w:rsidRPr="00FC1444">
              <w:rPr>
                <w:rFonts w:eastAsiaTheme="minorEastAsia"/>
                <w:bCs/>
                <w:kern w:val="0"/>
                <w:szCs w:val="21"/>
              </w:rPr>
              <w:t>PM</w:t>
            </w:r>
            <w:r w:rsidRPr="00FC1444">
              <w:rPr>
                <w:rFonts w:eastAsiaTheme="minorEastAsia"/>
                <w:bCs/>
                <w:kern w:val="0"/>
                <w:szCs w:val="21"/>
                <w:vertAlign w:val="subscript"/>
              </w:rPr>
              <w:t>2.5</w:t>
            </w:r>
            <w:r w:rsidRPr="00FC1444">
              <w:rPr>
                <w:rFonts w:eastAsiaTheme="minorEastAsia"/>
                <w:bCs/>
                <w:kern w:val="0"/>
                <w:szCs w:val="21"/>
              </w:rPr>
              <w:t>、</w:t>
            </w:r>
            <w:r w:rsidRPr="00FC1444">
              <w:rPr>
                <w:rFonts w:eastAsiaTheme="minorEastAsia"/>
                <w:bCs/>
                <w:kern w:val="0"/>
                <w:szCs w:val="21"/>
              </w:rPr>
              <w:t>SO</w:t>
            </w:r>
            <w:r w:rsidRPr="00FC1444">
              <w:rPr>
                <w:rFonts w:eastAsiaTheme="minorEastAsia"/>
                <w:bCs/>
                <w:kern w:val="0"/>
                <w:szCs w:val="21"/>
                <w:vertAlign w:val="subscript"/>
              </w:rPr>
              <w:t>2</w:t>
            </w:r>
            <w:r w:rsidRPr="00FC1444">
              <w:rPr>
                <w:rFonts w:eastAsiaTheme="minorEastAsia"/>
                <w:bCs/>
                <w:kern w:val="0"/>
                <w:szCs w:val="21"/>
              </w:rPr>
              <w:t>、</w:t>
            </w:r>
            <w:r w:rsidRPr="00FC1444">
              <w:rPr>
                <w:rFonts w:eastAsiaTheme="minorEastAsia"/>
                <w:bCs/>
                <w:kern w:val="0"/>
                <w:szCs w:val="21"/>
              </w:rPr>
              <w:t>NO</w:t>
            </w:r>
            <w:r w:rsidRPr="00FC1444">
              <w:rPr>
                <w:rFonts w:eastAsiaTheme="minorEastAsia"/>
                <w:bCs/>
                <w:kern w:val="0"/>
                <w:szCs w:val="21"/>
                <w:vertAlign w:val="subscript"/>
              </w:rPr>
              <w:t>2</w:t>
            </w:r>
            <w:r w:rsidRPr="00FC1444">
              <w:rPr>
                <w:rFonts w:eastAsiaTheme="minorEastAsia"/>
                <w:bCs/>
                <w:kern w:val="0"/>
                <w:szCs w:val="21"/>
              </w:rPr>
              <w:t>、</w:t>
            </w:r>
            <w:r w:rsidRPr="00FC1444">
              <w:rPr>
                <w:rFonts w:eastAsiaTheme="minorEastAsia"/>
                <w:bCs/>
                <w:kern w:val="0"/>
                <w:szCs w:val="21"/>
              </w:rPr>
              <w:t>CO</w:t>
            </w:r>
            <w:r w:rsidRPr="00FC1444">
              <w:rPr>
                <w:rFonts w:eastAsiaTheme="minorEastAsia"/>
                <w:bCs/>
                <w:kern w:val="0"/>
                <w:szCs w:val="21"/>
              </w:rPr>
              <w:t>、</w:t>
            </w:r>
            <w:r w:rsidRPr="00FC1444">
              <w:rPr>
                <w:rFonts w:eastAsiaTheme="minorEastAsia"/>
                <w:bCs/>
                <w:kern w:val="0"/>
                <w:szCs w:val="21"/>
              </w:rPr>
              <w:t>O</w:t>
            </w:r>
            <w:r w:rsidRPr="00FC1444">
              <w:rPr>
                <w:rFonts w:eastAsiaTheme="minorEastAsia"/>
                <w:bCs/>
                <w:kern w:val="0"/>
                <w:szCs w:val="21"/>
                <w:vertAlign w:val="subscript"/>
              </w:rPr>
              <w:t>3</w:t>
            </w:r>
            <w:r w:rsidRPr="00FC1444">
              <w:rPr>
                <w:rFonts w:eastAsiaTheme="minorEastAsia"/>
                <w:bCs/>
                <w:kern w:val="0"/>
                <w:szCs w:val="21"/>
              </w:rPr>
              <w:t>）其他污染物（</w:t>
            </w:r>
            <w:r w:rsidRPr="00FC1444">
              <w:rPr>
                <w:rFonts w:eastAsiaTheme="minorEastAsia"/>
                <w:bCs/>
                <w:kern w:val="0"/>
                <w:szCs w:val="21"/>
              </w:rPr>
              <w:t>TSP</w:t>
            </w:r>
            <w:r w:rsidRPr="00FC1444">
              <w:rPr>
                <w:rFonts w:eastAsiaTheme="minorEastAsia"/>
                <w:bCs/>
                <w:kern w:val="0"/>
                <w:szCs w:val="21"/>
              </w:rPr>
              <w:t>、</w:t>
            </w:r>
            <w:r w:rsidRPr="00FC1444">
              <w:rPr>
                <w:rFonts w:eastAsiaTheme="minorEastAsia"/>
                <w:bCs/>
                <w:kern w:val="0"/>
                <w:szCs w:val="21"/>
              </w:rPr>
              <w:t>NO</w:t>
            </w:r>
            <w:r w:rsidRPr="00FC1444">
              <w:rPr>
                <w:rFonts w:eastAsiaTheme="minorEastAsia"/>
                <w:bCs/>
                <w:kern w:val="0"/>
                <w:szCs w:val="21"/>
                <w:vertAlign w:val="subscript"/>
              </w:rPr>
              <w:t>X</w:t>
            </w:r>
            <w:r w:rsidRPr="00FC1444">
              <w:rPr>
                <w:rFonts w:eastAsiaTheme="minorEastAsia"/>
                <w:snapToGrid w:val="0"/>
                <w:kern w:val="0"/>
              </w:rPr>
              <w:t>、</w:t>
            </w:r>
            <w:r w:rsidRPr="00FC1444">
              <w:rPr>
                <w:rFonts w:eastAsiaTheme="minorEastAsia"/>
                <w:snapToGrid w:val="0"/>
                <w:kern w:val="0"/>
              </w:rPr>
              <w:t>CO</w:t>
            </w:r>
            <w:r w:rsidRPr="00FC1444">
              <w:rPr>
                <w:rFonts w:eastAsiaTheme="minorEastAsia"/>
                <w:snapToGrid w:val="0"/>
                <w:kern w:val="0"/>
              </w:rPr>
              <w:t>、</w:t>
            </w:r>
            <w:r w:rsidRPr="00FC1444">
              <w:rPr>
                <w:rFonts w:eastAsiaTheme="minorEastAsia"/>
                <w:spacing w:val="22"/>
                <w:kern w:val="0"/>
                <w:szCs w:val="21"/>
              </w:rPr>
              <w:t>HC+NO</w:t>
            </w:r>
            <w:r w:rsidRPr="00FC1444">
              <w:rPr>
                <w:rFonts w:eastAsiaTheme="minorEastAsia"/>
                <w:spacing w:val="22"/>
                <w:kern w:val="0"/>
                <w:szCs w:val="21"/>
                <w:vertAlign w:val="subscript"/>
              </w:rPr>
              <w:t>x</w:t>
            </w:r>
            <w:r w:rsidRPr="00FC1444">
              <w:rPr>
                <w:rFonts w:eastAsiaTheme="minorEastAsia"/>
                <w:bCs/>
                <w:kern w:val="0"/>
                <w:szCs w:val="21"/>
              </w:rPr>
              <w:t>）</w:t>
            </w:r>
          </w:p>
        </w:tc>
        <w:tc>
          <w:tcPr>
            <w:tcW w:w="2110" w:type="dxa"/>
            <w:gridSpan w:val="4"/>
            <w:tcBorders>
              <w:top w:val="single" w:sz="4" w:space="0" w:color="000000"/>
              <w:left w:val="single" w:sz="4" w:space="0" w:color="auto"/>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 xml:space="preserve">  </w:t>
            </w:r>
            <w:r w:rsidRPr="00FC1444">
              <w:rPr>
                <w:rFonts w:eastAsiaTheme="minorEastAsia"/>
                <w:bCs/>
                <w:kern w:val="0"/>
                <w:szCs w:val="21"/>
              </w:rPr>
              <w:t>包括二次</w:t>
            </w:r>
            <w:r w:rsidRPr="00FC1444">
              <w:rPr>
                <w:rFonts w:eastAsiaTheme="minorEastAsia"/>
                <w:bCs/>
                <w:kern w:val="0"/>
                <w:szCs w:val="21"/>
              </w:rPr>
              <w:t>PM</w:t>
            </w:r>
            <w:r w:rsidRPr="00FC1444">
              <w:rPr>
                <w:rFonts w:eastAsiaTheme="minorEastAsia"/>
                <w:bCs/>
                <w:kern w:val="0"/>
                <w:szCs w:val="21"/>
                <w:vertAlign w:val="subscript"/>
              </w:rPr>
              <w:t>2.5</w:t>
            </w:r>
            <w:r w:rsidRPr="00FC1444">
              <w:rPr>
                <w:rFonts w:eastAsiaTheme="minorEastAsia"/>
                <w:bCs/>
                <w:kern w:val="0"/>
                <w:szCs w:val="21"/>
              </w:rPr>
              <w:t>□</w:t>
            </w:r>
          </w:p>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不包括二次</w:t>
            </w:r>
            <w:r w:rsidRPr="00FC1444">
              <w:rPr>
                <w:rFonts w:eastAsiaTheme="minorEastAsia"/>
                <w:bCs/>
                <w:kern w:val="0"/>
                <w:szCs w:val="21"/>
              </w:rPr>
              <w:t>PM</w:t>
            </w:r>
            <w:r w:rsidRPr="00FC1444">
              <w:rPr>
                <w:rFonts w:eastAsiaTheme="minorEastAsia"/>
                <w:bCs/>
                <w:kern w:val="0"/>
                <w:szCs w:val="21"/>
                <w:vertAlign w:val="subscript"/>
              </w:rPr>
              <w:t>2.5</w:t>
            </w:r>
            <w:r w:rsidRPr="00FC1444">
              <w:rPr>
                <w:rFonts w:eastAsiaTheme="minorEastAsia"/>
                <w:bCs/>
                <w:kern w:val="0"/>
                <w:szCs w:val="21"/>
              </w:rPr>
              <w:t>√</w:t>
            </w:r>
          </w:p>
        </w:tc>
      </w:tr>
      <w:tr w:rsidR="002A5A5E" w:rsidRPr="00FC1444">
        <w:trPr>
          <w:jc w:val="center"/>
        </w:trPr>
        <w:tc>
          <w:tcPr>
            <w:tcW w:w="751" w:type="dxa"/>
            <w:tcBorders>
              <w:top w:val="single" w:sz="4" w:space="0" w:color="000000"/>
              <w:left w:val="single" w:sz="12"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评价标准</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评价标准</w:t>
            </w:r>
          </w:p>
        </w:tc>
        <w:tc>
          <w:tcPr>
            <w:tcW w:w="1227" w:type="dxa"/>
            <w:gridSpan w:val="2"/>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国家标准</w:t>
            </w:r>
            <w:r w:rsidRPr="00FC1444">
              <w:rPr>
                <w:rFonts w:eastAsiaTheme="minorEastAsia"/>
                <w:bCs/>
                <w:kern w:val="0"/>
                <w:szCs w:val="21"/>
              </w:rPr>
              <w:t>√</w:t>
            </w:r>
          </w:p>
        </w:tc>
        <w:tc>
          <w:tcPr>
            <w:tcW w:w="2220" w:type="dxa"/>
            <w:gridSpan w:val="7"/>
            <w:tcBorders>
              <w:top w:val="single" w:sz="4" w:space="0" w:color="000000"/>
              <w:left w:val="single" w:sz="4" w:space="0" w:color="auto"/>
              <w:bottom w:val="single" w:sz="4" w:space="0" w:color="000000"/>
              <w:right w:val="single" w:sz="4" w:space="0" w:color="auto"/>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地方标准</w:t>
            </w:r>
            <w:r w:rsidRPr="00FC1444">
              <w:rPr>
                <w:rFonts w:eastAsiaTheme="minorEastAsia"/>
                <w:bCs/>
                <w:kern w:val="0"/>
                <w:szCs w:val="21"/>
              </w:rPr>
              <w:t>□</w:t>
            </w:r>
          </w:p>
        </w:tc>
        <w:tc>
          <w:tcPr>
            <w:tcW w:w="1732" w:type="dxa"/>
            <w:gridSpan w:val="3"/>
            <w:tcBorders>
              <w:top w:val="single" w:sz="4" w:space="0" w:color="000000"/>
              <w:left w:val="single" w:sz="4" w:space="0" w:color="auto"/>
              <w:bottom w:val="single" w:sz="4" w:space="0" w:color="000000"/>
              <w:right w:val="single" w:sz="4" w:space="0" w:color="auto"/>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附录</w:t>
            </w:r>
            <w:r w:rsidRPr="00FC1444">
              <w:rPr>
                <w:rFonts w:eastAsiaTheme="minorEastAsia"/>
                <w:bCs/>
                <w:kern w:val="0"/>
                <w:szCs w:val="21"/>
              </w:rPr>
              <w:t>D□</w:t>
            </w:r>
          </w:p>
        </w:tc>
        <w:tc>
          <w:tcPr>
            <w:tcW w:w="1512" w:type="dxa"/>
            <w:gridSpan w:val="3"/>
            <w:tcBorders>
              <w:top w:val="single" w:sz="4" w:space="0" w:color="000000"/>
              <w:left w:val="single" w:sz="4" w:space="0" w:color="auto"/>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其他标准</w:t>
            </w:r>
            <w:r w:rsidRPr="00FC1444">
              <w:rPr>
                <w:rFonts w:eastAsiaTheme="minorEastAsia"/>
                <w:bCs/>
                <w:kern w:val="0"/>
                <w:szCs w:val="21"/>
              </w:rPr>
              <w:t>□</w:t>
            </w:r>
          </w:p>
        </w:tc>
      </w:tr>
      <w:tr w:rsidR="002A5A5E" w:rsidRPr="00FC1444">
        <w:trPr>
          <w:jc w:val="center"/>
        </w:trPr>
        <w:tc>
          <w:tcPr>
            <w:tcW w:w="751" w:type="dxa"/>
            <w:vMerge w:val="restart"/>
            <w:tcBorders>
              <w:top w:val="single" w:sz="4" w:space="0" w:color="000000"/>
              <w:left w:val="single" w:sz="12"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现状评价</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环境功能区</w:t>
            </w:r>
          </w:p>
        </w:tc>
        <w:tc>
          <w:tcPr>
            <w:tcW w:w="1558" w:type="dxa"/>
            <w:gridSpan w:val="5"/>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一类区</w:t>
            </w:r>
            <w:r w:rsidRPr="00FC1444">
              <w:rPr>
                <w:rFonts w:eastAsiaTheme="minorEastAsia"/>
                <w:bCs/>
                <w:kern w:val="0"/>
                <w:szCs w:val="21"/>
              </w:rPr>
              <w:t>□</w:t>
            </w:r>
          </w:p>
        </w:tc>
        <w:tc>
          <w:tcPr>
            <w:tcW w:w="3023" w:type="dxa"/>
            <w:gridSpan w:val="6"/>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二类区</w:t>
            </w:r>
            <w:r w:rsidRPr="00FC1444">
              <w:rPr>
                <w:rFonts w:eastAsiaTheme="minorEastAsia"/>
                <w:bCs/>
                <w:kern w:val="0"/>
                <w:szCs w:val="21"/>
              </w:rPr>
              <w:t>√</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一类区和二类区</w:t>
            </w:r>
            <w:r w:rsidRPr="00FC1444">
              <w:rPr>
                <w:rFonts w:eastAsiaTheme="minorEastAsia"/>
                <w:bCs/>
                <w:kern w:val="0"/>
                <w:szCs w:val="21"/>
              </w:rPr>
              <w:t>□</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评价基准年</w:t>
            </w:r>
          </w:p>
        </w:tc>
        <w:tc>
          <w:tcPr>
            <w:tcW w:w="6691" w:type="dxa"/>
            <w:gridSpan w:val="15"/>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rsidP="002F2D3F">
            <w:pPr>
              <w:spacing w:line="0" w:lineRule="atLeast"/>
              <w:jc w:val="center"/>
              <w:rPr>
                <w:rFonts w:eastAsiaTheme="minorEastAsia"/>
                <w:bCs/>
                <w:kern w:val="0"/>
                <w:szCs w:val="21"/>
              </w:rPr>
            </w:pPr>
            <w:r w:rsidRPr="00FC1444">
              <w:rPr>
                <w:rFonts w:eastAsiaTheme="minorEastAsia"/>
                <w:bCs/>
                <w:kern w:val="0"/>
                <w:szCs w:val="21"/>
              </w:rPr>
              <w:t>（</w:t>
            </w:r>
            <w:r w:rsidRPr="00FC1444">
              <w:rPr>
                <w:rFonts w:eastAsiaTheme="minorEastAsia"/>
                <w:bCs/>
                <w:kern w:val="0"/>
                <w:szCs w:val="21"/>
              </w:rPr>
              <w:t>202</w:t>
            </w:r>
            <w:r w:rsidR="002F2D3F" w:rsidRPr="00FC1444">
              <w:rPr>
                <w:rFonts w:eastAsiaTheme="minorEastAsia" w:hint="eastAsia"/>
                <w:bCs/>
                <w:kern w:val="0"/>
                <w:szCs w:val="21"/>
              </w:rPr>
              <w:t>5</w:t>
            </w:r>
            <w:r w:rsidRPr="00FC1444">
              <w:rPr>
                <w:rFonts w:eastAsiaTheme="minorEastAsia"/>
                <w:bCs/>
                <w:kern w:val="0"/>
                <w:szCs w:val="21"/>
              </w:rPr>
              <w:t>）年</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环境空气质量现状调查数据来源</w:t>
            </w:r>
          </w:p>
        </w:tc>
        <w:tc>
          <w:tcPr>
            <w:tcW w:w="1558" w:type="dxa"/>
            <w:gridSpan w:val="5"/>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长期例行监测数据</w:t>
            </w:r>
            <w:r w:rsidRPr="00FC1444">
              <w:rPr>
                <w:rFonts w:eastAsiaTheme="minorEastAsia"/>
                <w:bCs/>
                <w:kern w:val="0"/>
                <w:szCs w:val="21"/>
              </w:rPr>
              <w:t>□</w:t>
            </w:r>
          </w:p>
        </w:tc>
        <w:tc>
          <w:tcPr>
            <w:tcW w:w="3023" w:type="dxa"/>
            <w:gridSpan w:val="6"/>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主管部门发布的数据</w:t>
            </w:r>
            <w:r w:rsidRPr="00FC1444">
              <w:rPr>
                <w:rFonts w:eastAsiaTheme="minorEastAsia"/>
                <w:bCs/>
                <w:kern w:val="0"/>
                <w:szCs w:val="21"/>
              </w:rPr>
              <w:t>√</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现状补充监测</w:t>
            </w:r>
            <w:r w:rsidRPr="00FC1444">
              <w:rPr>
                <w:rFonts w:eastAsiaTheme="minorEastAsia"/>
                <w:bCs/>
                <w:kern w:val="0"/>
                <w:szCs w:val="21"/>
              </w:rPr>
              <w:t>√</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现状评价</w:t>
            </w:r>
          </w:p>
        </w:tc>
        <w:tc>
          <w:tcPr>
            <w:tcW w:w="3447" w:type="dxa"/>
            <w:gridSpan w:val="9"/>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达标区</w:t>
            </w:r>
            <w:r w:rsidRPr="00FC1444">
              <w:rPr>
                <w:rFonts w:eastAsiaTheme="minorEastAsia"/>
                <w:bCs/>
                <w:kern w:val="0"/>
                <w:szCs w:val="21"/>
              </w:rPr>
              <w:t>□</w:t>
            </w:r>
          </w:p>
        </w:tc>
        <w:tc>
          <w:tcPr>
            <w:tcW w:w="3244" w:type="dxa"/>
            <w:gridSpan w:val="6"/>
            <w:tcBorders>
              <w:top w:val="single" w:sz="4" w:space="0" w:color="000000"/>
              <w:left w:val="single" w:sz="4" w:space="0" w:color="auto"/>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不达标区</w:t>
            </w:r>
            <w:r w:rsidRPr="00FC1444">
              <w:rPr>
                <w:rFonts w:eastAsiaTheme="minorEastAsia"/>
                <w:bCs/>
                <w:kern w:val="0"/>
                <w:szCs w:val="21"/>
              </w:rPr>
              <w:t>√</w:t>
            </w:r>
          </w:p>
        </w:tc>
      </w:tr>
      <w:tr w:rsidR="002A5A5E" w:rsidRPr="00FC1444">
        <w:trPr>
          <w:jc w:val="center"/>
        </w:trPr>
        <w:tc>
          <w:tcPr>
            <w:tcW w:w="751" w:type="dxa"/>
            <w:tcBorders>
              <w:top w:val="single" w:sz="4" w:space="0" w:color="000000"/>
              <w:left w:val="single" w:sz="12"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污染源调查</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调查内容</w:t>
            </w:r>
          </w:p>
        </w:tc>
        <w:tc>
          <w:tcPr>
            <w:tcW w:w="1604" w:type="dxa"/>
            <w:gridSpan w:val="6"/>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本项目正常排放源</w:t>
            </w:r>
            <w:r w:rsidRPr="00FC1444">
              <w:rPr>
                <w:rFonts w:eastAsiaTheme="minorEastAsia"/>
                <w:bCs/>
                <w:kern w:val="0"/>
                <w:szCs w:val="21"/>
              </w:rPr>
              <w:t>√</w:t>
            </w:r>
          </w:p>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本项目非正常排放源</w:t>
            </w:r>
            <w:r w:rsidRPr="00FC1444">
              <w:rPr>
                <w:rFonts w:eastAsiaTheme="minorEastAsia"/>
                <w:bCs/>
                <w:kern w:val="0"/>
                <w:szCs w:val="21"/>
              </w:rPr>
              <w:t>□</w:t>
            </w:r>
          </w:p>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现有污染源</w:t>
            </w:r>
            <w:r w:rsidRPr="00FC1444">
              <w:rPr>
                <w:rFonts w:eastAsiaTheme="minorEastAsia"/>
                <w:bCs/>
                <w:kern w:val="0"/>
                <w:szCs w:val="21"/>
              </w:rPr>
              <w:t>□</w:t>
            </w:r>
          </w:p>
        </w:tc>
        <w:tc>
          <w:tcPr>
            <w:tcW w:w="1843" w:type="dxa"/>
            <w:gridSpan w:val="3"/>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拟替代的污染源</w:t>
            </w:r>
            <w:r w:rsidRPr="00FC1444">
              <w:rPr>
                <w:rFonts w:eastAsiaTheme="minorEastAsia"/>
                <w:bCs/>
                <w:kern w:val="0"/>
                <w:szCs w:val="21"/>
              </w:rPr>
              <w:t>□</w:t>
            </w:r>
          </w:p>
        </w:tc>
        <w:tc>
          <w:tcPr>
            <w:tcW w:w="1874" w:type="dxa"/>
            <w:gridSpan w:val="4"/>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其他在建、拟建项目污染源</w:t>
            </w:r>
            <w:r w:rsidRPr="00FC1444">
              <w:rPr>
                <w:rFonts w:eastAsiaTheme="minorEastAsia"/>
                <w:bCs/>
                <w:kern w:val="0"/>
                <w:szCs w:val="21"/>
              </w:rPr>
              <w:t>□</w:t>
            </w:r>
          </w:p>
        </w:tc>
        <w:tc>
          <w:tcPr>
            <w:tcW w:w="1370" w:type="dxa"/>
            <w:gridSpan w:val="2"/>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区域污染源</w:t>
            </w:r>
            <w:r w:rsidRPr="00FC1444">
              <w:rPr>
                <w:rFonts w:eastAsiaTheme="minorEastAsia"/>
                <w:bCs/>
                <w:kern w:val="0"/>
                <w:szCs w:val="21"/>
              </w:rPr>
              <w:t>□</w:t>
            </w:r>
          </w:p>
        </w:tc>
      </w:tr>
      <w:tr w:rsidR="002A5A5E" w:rsidRPr="00FC1444">
        <w:trPr>
          <w:jc w:val="center"/>
        </w:trPr>
        <w:tc>
          <w:tcPr>
            <w:tcW w:w="751" w:type="dxa"/>
            <w:vMerge w:val="restart"/>
            <w:tcBorders>
              <w:top w:val="single" w:sz="4" w:space="0" w:color="000000"/>
              <w:left w:val="single" w:sz="12"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大气环境影响预测与评价</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预测模型</w:t>
            </w:r>
          </w:p>
        </w:tc>
        <w:tc>
          <w:tcPr>
            <w:tcW w:w="940"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AERMOD□</w:t>
            </w:r>
          </w:p>
        </w:tc>
        <w:tc>
          <w:tcPr>
            <w:tcW w:w="664" w:type="dxa"/>
            <w:gridSpan w:val="5"/>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ADMS□</w:t>
            </w:r>
          </w:p>
        </w:tc>
        <w:tc>
          <w:tcPr>
            <w:tcW w:w="1041" w:type="dxa"/>
            <w:gridSpan w:val="2"/>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AUSTAL2000□</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EDMS/AEDT□</w:t>
            </w:r>
          </w:p>
        </w:tc>
        <w:tc>
          <w:tcPr>
            <w:tcW w:w="802"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CALPUFF□</w:t>
            </w:r>
          </w:p>
        </w:tc>
        <w:tc>
          <w:tcPr>
            <w:tcW w:w="1027" w:type="dxa"/>
            <w:gridSpan w:val="3"/>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网格模型</w:t>
            </w:r>
            <w:r w:rsidRPr="00FC1444">
              <w:rPr>
                <w:rFonts w:eastAsiaTheme="minorEastAsia"/>
                <w:bCs/>
                <w:kern w:val="0"/>
                <w:szCs w:val="21"/>
              </w:rPr>
              <w:t>□</w:t>
            </w:r>
          </w:p>
        </w:tc>
        <w:tc>
          <w:tcPr>
            <w:tcW w:w="1083" w:type="dxa"/>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其他</w:t>
            </w:r>
            <w:r w:rsidRPr="00FC1444">
              <w:rPr>
                <w:rFonts w:eastAsiaTheme="minorEastAsia"/>
                <w:bCs/>
                <w:kern w:val="0"/>
                <w:szCs w:val="21"/>
              </w:rPr>
              <w:t>□</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预测范围</w:t>
            </w:r>
          </w:p>
        </w:tc>
        <w:tc>
          <w:tcPr>
            <w:tcW w:w="1604" w:type="dxa"/>
            <w:gridSpan w:val="6"/>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边长</w:t>
            </w:r>
            <w:r w:rsidRPr="00FC1444">
              <w:rPr>
                <w:rFonts w:eastAsiaTheme="minorEastAsia"/>
                <w:bCs/>
                <w:kern w:val="0"/>
                <w:szCs w:val="21"/>
              </w:rPr>
              <w:t>≥50km□</w:t>
            </w:r>
          </w:p>
        </w:tc>
        <w:tc>
          <w:tcPr>
            <w:tcW w:w="2977" w:type="dxa"/>
            <w:gridSpan w:val="5"/>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边长</w:t>
            </w:r>
            <w:r w:rsidRPr="00FC1444">
              <w:rPr>
                <w:rFonts w:eastAsiaTheme="minorEastAsia"/>
                <w:bCs/>
                <w:kern w:val="0"/>
                <w:szCs w:val="21"/>
              </w:rPr>
              <w:t>5~50km□</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边长</w:t>
            </w:r>
            <w:r w:rsidRPr="00FC1444">
              <w:rPr>
                <w:rFonts w:eastAsiaTheme="minorEastAsia"/>
                <w:bCs/>
                <w:kern w:val="0"/>
                <w:szCs w:val="21"/>
              </w:rPr>
              <w:t>=5km□</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预测因子</w:t>
            </w:r>
          </w:p>
        </w:tc>
        <w:tc>
          <w:tcPr>
            <w:tcW w:w="3447" w:type="dxa"/>
            <w:gridSpan w:val="9"/>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预测因子（）</w:t>
            </w:r>
          </w:p>
        </w:tc>
        <w:tc>
          <w:tcPr>
            <w:tcW w:w="3244" w:type="dxa"/>
            <w:gridSpan w:val="6"/>
            <w:tcBorders>
              <w:top w:val="single" w:sz="4" w:space="0" w:color="000000"/>
              <w:left w:val="single" w:sz="4" w:space="0" w:color="auto"/>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 xml:space="preserve">  </w:t>
            </w:r>
            <w:r w:rsidRPr="00FC1444">
              <w:rPr>
                <w:rFonts w:eastAsiaTheme="minorEastAsia"/>
                <w:bCs/>
                <w:kern w:val="0"/>
                <w:szCs w:val="21"/>
              </w:rPr>
              <w:t>包括二次</w:t>
            </w:r>
            <w:r w:rsidRPr="00FC1444">
              <w:rPr>
                <w:rFonts w:eastAsiaTheme="minorEastAsia"/>
                <w:bCs/>
                <w:kern w:val="0"/>
                <w:szCs w:val="21"/>
              </w:rPr>
              <w:t>PM</w:t>
            </w:r>
            <w:r w:rsidRPr="00FC1444">
              <w:rPr>
                <w:rFonts w:eastAsiaTheme="minorEastAsia"/>
                <w:bCs/>
                <w:kern w:val="0"/>
                <w:szCs w:val="21"/>
                <w:vertAlign w:val="subscript"/>
              </w:rPr>
              <w:t>2.5</w:t>
            </w:r>
            <w:r w:rsidRPr="00FC1444">
              <w:rPr>
                <w:rFonts w:eastAsiaTheme="minorEastAsia"/>
                <w:bCs/>
                <w:kern w:val="0"/>
                <w:szCs w:val="21"/>
              </w:rPr>
              <w:t>□</w:t>
            </w:r>
          </w:p>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不包括二次</w:t>
            </w:r>
            <w:r w:rsidRPr="00FC1444">
              <w:rPr>
                <w:rFonts w:eastAsiaTheme="minorEastAsia"/>
                <w:bCs/>
                <w:kern w:val="0"/>
                <w:szCs w:val="21"/>
              </w:rPr>
              <w:t>PM</w:t>
            </w:r>
            <w:r w:rsidRPr="00FC1444">
              <w:rPr>
                <w:rFonts w:eastAsiaTheme="minorEastAsia"/>
                <w:bCs/>
                <w:kern w:val="0"/>
                <w:szCs w:val="21"/>
                <w:vertAlign w:val="subscript"/>
              </w:rPr>
              <w:t>2.5</w:t>
            </w:r>
            <w:r w:rsidRPr="00FC1444">
              <w:rPr>
                <w:rFonts w:eastAsiaTheme="minorEastAsia"/>
                <w:bCs/>
                <w:kern w:val="0"/>
                <w:szCs w:val="21"/>
              </w:rPr>
              <w:t>□</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正常排放短期浓度贡献值</w:t>
            </w:r>
          </w:p>
        </w:tc>
        <w:tc>
          <w:tcPr>
            <w:tcW w:w="3447" w:type="dxa"/>
            <w:gridSpan w:val="9"/>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C</w:t>
            </w:r>
            <w:r w:rsidRPr="00FC1444">
              <w:rPr>
                <w:rFonts w:eastAsiaTheme="minorEastAsia"/>
                <w:bCs/>
                <w:kern w:val="0"/>
                <w:szCs w:val="21"/>
                <w:vertAlign w:val="subscript"/>
              </w:rPr>
              <w:t>本项目</w:t>
            </w:r>
            <w:r w:rsidRPr="00FC1444">
              <w:rPr>
                <w:rFonts w:eastAsiaTheme="minorEastAsia"/>
                <w:bCs/>
                <w:kern w:val="0"/>
                <w:szCs w:val="21"/>
              </w:rPr>
              <w:t>最大占标率</w:t>
            </w:r>
            <w:r w:rsidRPr="00FC1444">
              <w:rPr>
                <w:rFonts w:eastAsiaTheme="minorEastAsia"/>
                <w:bCs/>
                <w:kern w:val="0"/>
                <w:szCs w:val="21"/>
              </w:rPr>
              <w:t>≤100%□</w:t>
            </w:r>
          </w:p>
        </w:tc>
        <w:tc>
          <w:tcPr>
            <w:tcW w:w="3244" w:type="dxa"/>
            <w:gridSpan w:val="6"/>
            <w:tcBorders>
              <w:top w:val="single" w:sz="4" w:space="0" w:color="000000"/>
              <w:left w:val="single" w:sz="4" w:space="0" w:color="auto"/>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C</w:t>
            </w:r>
            <w:r w:rsidRPr="00FC1444">
              <w:rPr>
                <w:rFonts w:eastAsiaTheme="minorEastAsia"/>
                <w:bCs/>
                <w:kern w:val="0"/>
                <w:szCs w:val="21"/>
                <w:vertAlign w:val="subscript"/>
              </w:rPr>
              <w:t>本项目</w:t>
            </w:r>
            <w:r w:rsidRPr="00FC1444">
              <w:rPr>
                <w:rFonts w:eastAsiaTheme="minorEastAsia"/>
                <w:bCs/>
                <w:kern w:val="0"/>
                <w:szCs w:val="21"/>
              </w:rPr>
              <w:t>最大占标率</w:t>
            </w:r>
            <w:r w:rsidRPr="00FC1444">
              <w:rPr>
                <w:rFonts w:eastAsiaTheme="minorEastAsia"/>
                <w:bCs/>
                <w:kern w:val="0"/>
                <w:szCs w:val="21"/>
              </w:rPr>
              <w:t>&gt;100%□</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vMerge w:val="restart"/>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正常排放年均浓度贡献值</w:t>
            </w:r>
          </w:p>
        </w:tc>
        <w:tc>
          <w:tcPr>
            <w:tcW w:w="940"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一类区</w:t>
            </w:r>
          </w:p>
        </w:tc>
        <w:tc>
          <w:tcPr>
            <w:tcW w:w="2507" w:type="dxa"/>
            <w:gridSpan w:val="8"/>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C</w:t>
            </w:r>
            <w:r w:rsidRPr="00FC1444">
              <w:rPr>
                <w:rFonts w:eastAsiaTheme="minorEastAsia"/>
                <w:bCs/>
                <w:kern w:val="0"/>
                <w:szCs w:val="21"/>
                <w:vertAlign w:val="subscript"/>
              </w:rPr>
              <w:t>本项目</w:t>
            </w:r>
            <w:r w:rsidRPr="00FC1444">
              <w:rPr>
                <w:rFonts w:eastAsiaTheme="minorEastAsia"/>
                <w:bCs/>
                <w:kern w:val="0"/>
                <w:szCs w:val="21"/>
              </w:rPr>
              <w:t>最大占标率</w:t>
            </w:r>
            <w:r w:rsidRPr="00FC1444">
              <w:rPr>
                <w:rFonts w:eastAsiaTheme="minorEastAsia"/>
                <w:bCs/>
                <w:kern w:val="0"/>
                <w:szCs w:val="21"/>
              </w:rPr>
              <w:t>≤10%□</w:t>
            </w:r>
          </w:p>
        </w:tc>
        <w:tc>
          <w:tcPr>
            <w:tcW w:w="3244" w:type="dxa"/>
            <w:gridSpan w:val="6"/>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C</w:t>
            </w:r>
            <w:r w:rsidRPr="00FC1444">
              <w:rPr>
                <w:rFonts w:eastAsiaTheme="minorEastAsia"/>
                <w:bCs/>
                <w:kern w:val="0"/>
                <w:szCs w:val="21"/>
                <w:vertAlign w:val="subscript"/>
              </w:rPr>
              <w:t>本项目</w:t>
            </w:r>
            <w:r w:rsidRPr="00FC1444">
              <w:rPr>
                <w:rFonts w:eastAsiaTheme="minorEastAsia"/>
                <w:bCs/>
                <w:kern w:val="0"/>
                <w:szCs w:val="21"/>
              </w:rPr>
              <w:t>最大占标率</w:t>
            </w:r>
            <w:r w:rsidRPr="00FC1444">
              <w:rPr>
                <w:rFonts w:eastAsiaTheme="minorEastAsia"/>
                <w:bCs/>
                <w:kern w:val="0"/>
                <w:szCs w:val="21"/>
              </w:rPr>
              <w:t>&gt;10%□</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vMerge/>
            <w:tcBorders>
              <w:top w:val="single" w:sz="4" w:space="0" w:color="000000"/>
              <w:left w:val="single" w:sz="4"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940"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二类区</w:t>
            </w:r>
          </w:p>
        </w:tc>
        <w:tc>
          <w:tcPr>
            <w:tcW w:w="2507" w:type="dxa"/>
            <w:gridSpan w:val="8"/>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C</w:t>
            </w:r>
            <w:r w:rsidRPr="00FC1444">
              <w:rPr>
                <w:rFonts w:eastAsiaTheme="minorEastAsia"/>
                <w:bCs/>
                <w:kern w:val="0"/>
                <w:szCs w:val="21"/>
                <w:vertAlign w:val="subscript"/>
              </w:rPr>
              <w:t>本项目</w:t>
            </w:r>
            <w:r w:rsidRPr="00FC1444">
              <w:rPr>
                <w:rFonts w:eastAsiaTheme="minorEastAsia"/>
                <w:bCs/>
                <w:kern w:val="0"/>
                <w:szCs w:val="21"/>
              </w:rPr>
              <w:t>最大占标率</w:t>
            </w:r>
            <w:r w:rsidRPr="00FC1444">
              <w:rPr>
                <w:rFonts w:eastAsiaTheme="minorEastAsia"/>
                <w:bCs/>
                <w:kern w:val="0"/>
                <w:szCs w:val="21"/>
              </w:rPr>
              <w:t>≤30%□</w:t>
            </w:r>
          </w:p>
        </w:tc>
        <w:tc>
          <w:tcPr>
            <w:tcW w:w="3244" w:type="dxa"/>
            <w:gridSpan w:val="6"/>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C</w:t>
            </w:r>
            <w:r w:rsidRPr="00FC1444">
              <w:rPr>
                <w:rFonts w:eastAsiaTheme="minorEastAsia"/>
                <w:bCs/>
                <w:kern w:val="0"/>
                <w:szCs w:val="21"/>
                <w:vertAlign w:val="subscript"/>
              </w:rPr>
              <w:t>本项目</w:t>
            </w:r>
            <w:r w:rsidRPr="00FC1444">
              <w:rPr>
                <w:rFonts w:eastAsiaTheme="minorEastAsia"/>
                <w:bCs/>
                <w:kern w:val="0"/>
                <w:szCs w:val="21"/>
              </w:rPr>
              <w:t>最大占标率</w:t>
            </w:r>
            <w:r w:rsidRPr="00FC1444">
              <w:rPr>
                <w:rFonts w:eastAsiaTheme="minorEastAsia"/>
                <w:bCs/>
                <w:kern w:val="0"/>
                <w:szCs w:val="21"/>
              </w:rPr>
              <w:t>&gt;30%□</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非正常排放</w:t>
            </w:r>
            <w:r w:rsidRPr="00FC1444">
              <w:rPr>
                <w:rFonts w:eastAsiaTheme="minorEastAsia"/>
                <w:bCs/>
                <w:kern w:val="0"/>
                <w:szCs w:val="21"/>
              </w:rPr>
              <w:t>1h</w:t>
            </w:r>
            <w:r w:rsidRPr="00FC1444">
              <w:rPr>
                <w:rFonts w:eastAsiaTheme="minorEastAsia"/>
                <w:bCs/>
                <w:kern w:val="0"/>
                <w:szCs w:val="21"/>
              </w:rPr>
              <w:t>浓度贡献值</w:t>
            </w:r>
          </w:p>
        </w:tc>
        <w:tc>
          <w:tcPr>
            <w:tcW w:w="1361" w:type="dxa"/>
            <w:gridSpan w:val="3"/>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非正常持续时长（）</w:t>
            </w:r>
            <w:r w:rsidRPr="00FC1444">
              <w:rPr>
                <w:rFonts w:eastAsiaTheme="minorEastAsia"/>
                <w:bCs/>
                <w:kern w:val="0"/>
                <w:szCs w:val="21"/>
              </w:rPr>
              <w:t>h</w:t>
            </w:r>
          </w:p>
        </w:tc>
        <w:tc>
          <w:tcPr>
            <w:tcW w:w="2086" w:type="dxa"/>
            <w:gridSpan w:val="6"/>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C</w:t>
            </w:r>
            <w:r w:rsidRPr="00FC1444">
              <w:rPr>
                <w:rFonts w:eastAsiaTheme="minorEastAsia"/>
                <w:bCs/>
                <w:kern w:val="0"/>
                <w:szCs w:val="21"/>
                <w:vertAlign w:val="subscript"/>
              </w:rPr>
              <w:t>非正常</w:t>
            </w:r>
            <w:r w:rsidRPr="00FC1444">
              <w:rPr>
                <w:rFonts w:eastAsiaTheme="minorEastAsia"/>
                <w:bCs/>
                <w:kern w:val="0"/>
                <w:szCs w:val="21"/>
              </w:rPr>
              <w:t>占标率</w:t>
            </w:r>
            <w:r w:rsidRPr="00FC1444">
              <w:rPr>
                <w:rFonts w:eastAsiaTheme="minorEastAsia"/>
                <w:bCs/>
                <w:kern w:val="0"/>
                <w:szCs w:val="21"/>
              </w:rPr>
              <w:t>≤100%□</w:t>
            </w:r>
          </w:p>
        </w:tc>
        <w:tc>
          <w:tcPr>
            <w:tcW w:w="3244" w:type="dxa"/>
            <w:gridSpan w:val="6"/>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C</w:t>
            </w:r>
            <w:r w:rsidRPr="00FC1444">
              <w:rPr>
                <w:rFonts w:eastAsiaTheme="minorEastAsia"/>
                <w:bCs/>
                <w:kern w:val="0"/>
                <w:szCs w:val="21"/>
                <w:vertAlign w:val="subscript"/>
              </w:rPr>
              <w:t>非正常</w:t>
            </w:r>
            <w:r w:rsidRPr="00FC1444">
              <w:rPr>
                <w:rFonts w:eastAsiaTheme="minorEastAsia"/>
                <w:bCs/>
                <w:kern w:val="0"/>
                <w:szCs w:val="21"/>
              </w:rPr>
              <w:t>占标率</w:t>
            </w:r>
            <w:r w:rsidRPr="00FC1444">
              <w:rPr>
                <w:rFonts w:eastAsiaTheme="minorEastAsia"/>
                <w:bCs/>
                <w:kern w:val="0"/>
                <w:szCs w:val="21"/>
              </w:rPr>
              <w:t>&gt;100%□</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保证率日平均浓度和年平均浓度叠加值</w:t>
            </w:r>
          </w:p>
        </w:tc>
        <w:tc>
          <w:tcPr>
            <w:tcW w:w="3447" w:type="dxa"/>
            <w:gridSpan w:val="9"/>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C</w:t>
            </w:r>
            <w:r w:rsidRPr="00FC1444">
              <w:rPr>
                <w:rFonts w:eastAsiaTheme="minorEastAsia"/>
                <w:bCs/>
                <w:kern w:val="0"/>
                <w:szCs w:val="21"/>
                <w:vertAlign w:val="subscript"/>
              </w:rPr>
              <w:t>叠加</w:t>
            </w:r>
            <w:r w:rsidRPr="00FC1444">
              <w:rPr>
                <w:rFonts w:eastAsiaTheme="minorEastAsia"/>
                <w:bCs/>
                <w:kern w:val="0"/>
                <w:szCs w:val="21"/>
              </w:rPr>
              <w:t>达标</w:t>
            </w:r>
            <w:r w:rsidRPr="00FC1444">
              <w:rPr>
                <w:rFonts w:eastAsiaTheme="minorEastAsia"/>
                <w:bCs/>
                <w:kern w:val="0"/>
                <w:szCs w:val="21"/>
              </w:rPr>
              <w:t>□</w:t>
            </w:r>
          </w:p>
        </w:tc>
        <w:tc>
          <w:tcPr>
            <w:tcW w:w="3244" w:type="dxa"/>
            <w:gridSpan w:val="6"/>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C</w:t>
            </w:r>
            <w:r w:rsidRPr="00FC1444">
              <w:rPr>
                <w:rFonts w:eastAsiaTheme="minorEastAsia"/>
                <w:bCs/>
                <w:kern w:val="0"/>
                <w:szCs w:val="21"/>
                <w:vertAlign w:val="subscript"/>
              </w:rPr>
              <w:t>叠加</w:t>
            </w:r>
            <w:r w:rsidRPr="00FC1444">
              <w:rPr>
                <w:rFonts w:eastAsiaTheme="minorEastAsia"/>
                <w:bCs/>
                <w:kern w:val="0"/>
                <w:szCs w:val="21"/>
              </w:rPr>
              <w:t>不达标</w:t>
            </w:r>
            <w:r w:rsidRPr="00FC1444">
              <w:rPr>
                <w:rFonts w:eastAsiaTheme="minorEastAsia"/>
                <w:bCs/>
                <w:kern w:val="0"/>
                <w:szCs w:val="21"/>
              </w:rPr>
              <w:t>□</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区域环境质量的整体变化情况</w:t>
            </w:r>
          </w:p>
        </w:tc>
        <w:tc>
          <w:tcPr>
            <w:tcW w:w="3447" w:type="dxa"/>
            <w:gridSpan w:val="9"/>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k≤-20%□</w:t>
            </w:r>
          </w:p>
        </w:tc>
        <w:tc>
          <w:tcPr>
            <w:tcW w:w="3244" w:type="dxa"/>
            <w:gridSpan w:val="6"/>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k&gt;-20%□</w:t>
            </w:r>
          </w:p>
        </w:tc>
      </w:tr>
      <w:tr w:rsidR="002A5A5E" w:rsidRPr="00FC1444">
        <w:trPr>
          <w:jc w:val="center"/>
        </w:trPr>
        <w:tc>
          <w:tcPr>
            <w:tcW w:w="751" w:type="dxa"/>
            <w:vMerge w:val="restart"/>
            <w:tcBorders>
              <w:top w:val="single" w:sz="4" w:space="0" w:color="000000"/>
              <w:left w:val="single" w:sz="12"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环境监测计划</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污染源监测</w:t>
            </w:r>
          </w:p>
        </w:tc>
        <w:tc>
          <w:tcPr>
            <w:tcW w:w="2212" w:type="dxa"/>
            <w:gridSpan w:val="7"/>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监测因子：（）</w:t>
            </w:r>
          </w:p>
        </w:tc>
        <w:tc>
          <w:tcPr>
            <w:tcW w:w="2369" w:type="dxa"/>
            <w:gridSpan w:val="4"/>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有组织废气监测</w:t>
            </w:r>
            <w:r w:rsidRPr="00FC1444">
              <w:rPr>
                <w:rFonts w:eastAsiaTheme="minorEastAsia"/>
                <w:bCs/>
                <w:kern w:val="0"/>
                <w:szCs w:val="21"/>
              </w:rPr>
              <w:t>□</w:t>
            </w:r>
          </w:p>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无组织废气监测</w:t>
            </w:r>
            <w:r w:rsidRPr="00FC1444">
              <w:rPr>
                <w:rFonts w:eastAsiaTheme="minorEastAsia"/>
                <w:bCs/>
                <w:kern w:val="0"/>
                <w:szCs w:val="21"/>
              </w:rPr>
              <w:t>□</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无监测</w:t>
            </w:r>
            <w:r w:rsidRPr="00FC1444">
              <w:rPr>
                <w:rFonts w:eastAsiaTheme="minorEastAsia"/>
                <w:bCs/>
                <w:kern w:val="0"/>
                <w:szCs w:val="21"/>
              </w:rPr>
              <w:t>√</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环境质量监测</w:t>
            </w:r>
          </w:p>
        </w:tc>
        <w:tc>
          <w:tcPr>
            <w:tcW w:w="2212" w:type="dxa"/>
            <w:gridSpan w:val="7"/>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监测因子：（</w:t>
            </w:r>
            <w:r w:rsidRPr="00FC1444">
              <w:rPr>
                <w:rFonts w:eastAsiaTheme="minorEastAsia"/>
                <w:bCs/>
                <w:kern w:val="0"/>
                <w:szCs w:val="21"/>
                <w:lang w:val="zh-CN"/>
              </w:rPr>
              <w:t>颗粒物</w:t>
            </w:r>
            <w:r w:rsidRPr="00FC1444">
              <w:rPr>
                <w:rFonts w:eastAsiaTheme="minorEastAsia"/>
                <w:bCs/>
                <w:kern w:val="0"/>
                <w:szCs w:val="21"/>
              </w:rPr>
              <w:t>）</w:t>
            </w:r>
          </w:p>
        </w:tc>
        <w:tc>
          <w:tcPr>
            <w:tcW w:w="2369" w:type="dxa"/>
            <w:gridSpan w:val="4"/>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监测点位数（</w:t>
            </w:r>
            <w:r w:rsidRPr="00FC1444">
              <w:rPr>
                <w:rFonts w:eastAsiaTheme="minorEastAsia"/>
                <w:bCs/>
                <w:kern w:val="0"/>
                <w:szCs w:val="21"/>
              </w:rPr>
              <w:t>5</w:t>
            </w:r>
            <w:r w:rsidRPr="00FC1444">
              <w:rPr>
                <w:rFonts w:eastAsiaTheme="minorEastAsia"/>
                <w:bCs/>
                <w:kern w:val="0"/>
                <w:szCs w:val="21"/>
              </w:rPr>
              <w:t>）</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无监测</w:t>
            </w:r>
            <w:r w:rsidRPr="00FC1444">
              <w:rPr>
                <w:rFonts w:eastAsiaTheme="minorEastAsia"/>
                <w:bCs/>
                <w:kern w:val="0"/>
                <w:szCs w:val="21"/>
              </w:rPr>
              <w:t>□</w:t>
            </w:r>
          </w:p>
        </w:tc>
      </w:tr>
      <w:tr w:rsidR="002A5A5E" w:rsidRPr="00FC1444">
        <w:trPr>
          <w:jc w:val="center"/>
        </w:trPr>
        <w:tc>
          <w:tcPr>
            <w:tcW w:w="751" w:type="dxa"/>
            <w:tcBorders>
              <w:top w:val="single" w:sz="4" w:space="0" w:color="000000"/>
              <w:left w:val="single" w:sz="12"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评价结论</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环境影响</w:t>
            </w:r>
          </w:p>
        </w:tc>
        <w:tc>
          <w:tcPr>
            <w:tcW w:w="6691" w:type="dxa"/>
            <w:gridSpan w:val="15"/>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可以接受</w:t>
            </w:r>
            <w:r w:rsidRPr="00FC1444">
              <w:rPr>
                <w:rFonts w:eastAsiaTheme="minorEastAsia"/>
                <w:bCs/>
                <w:kern w:val="0"/>
                <w:szCs w:val="21"/>
              </w:rPr>
              <w:t xml:space="preserve">√       </w:t>
            </w:r>
            <w:r w:rsidRPr="00FC1444">
              <w:rPr>
                <w:rFonts w:eastAsiaTheme="minorEastAsia"/>
                <w:bCs/>
                <w:kern w:val="0"/>
                <w:szCs w:val="21"/>
              </w:rPr>
              <w:t>不可以接受</w:t>
            </w:r>
            <w:r w:rsidRPr="00FC1444">
              <w:rPr>
                <w:rFonts w:eastAsiaTheme="minorEastAsia"/>
                <w:bCs/>
                <w:kern w:val="0"/>
                <w:szCs w:val="21"/>
              </w:rPr>
              <w:t>□</w:t>
            </w:r>
          </w:p>
        </w:tc>
      </w:tr>
      <w:tr w:rsidR="002A5A5E" w:rsidRPr="00FC1444">
        <w:trPr>
          <w:jc w:val="center"/>
        </w:trPr>
        <w:tc>
          <w:tcPr>
            <w:tcW w:w="751" w:type="dxa"/>
            <w:vMerge w:val="restart"/>
            <w:tcBorders>
              <w:top w:val="single" w:sz="4" w:space="0" w:color="000000"/>
              <w:left w:val="single" w:sz="12"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评价结论</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大气环境防护距离</w:t>
            </w:r>
          </w:p>
        </w:tc>
        <w:tc>
          <w:tcPr>
            <w:tcW w:w="6691" w:type="dxa"/>
            <w:gridSpan w:val="15"/>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距（</w:t>
            </w:r>
            <w:r w:rsidRPr="00FC1444">
              <w:rPr>
                <w:rFonts w:eastAsiaTheme="minorEastAsia"/>
                <w:bCs/>
                <w:kern w:val="0"/>
                <w:szCs w:val="21"/>
              </w:rPr>
              <w:t xml:space="preserve">   </w:t>
            </w:r>
            <w:r w:rsidRPr="00FC1444">
              <w:rPr>
                <w:rFonts w:eastAsiaTheme="minorEastAsia"/>
                <w:bCs/>
                <w:kern w:val="0"/>
                <w:szCs w:val="21"/>
              </w:rPr>
              <w:t>）厂界最远（</w:t>
            </w:r>
            <w:r w:rsidRPr="00FC1444">
              <w:rPr>
                <w:rFonts w:eastAsiaTheme="minorEastAsia"/>
                <w:bCs/>
                <w:kern w:val="0"/>
                <w:szCs w:val="21"/>
              </w:rPr>
              <w:t xml:space="preserve">    </w:t>
            </w:r>
            <w:r w:rsidRPr="00FC1444">
              <w:rPr>
                <w:rFonts w:eastAsiaTheme="minorEastAsia"/>
                <w:bCs/>
                <w:kern w:val="0"/>
                <w:szCs w:val="21"/>
              </w:rPr>
              <w:t>）</w:t>
            </w:r>
            <w:r w:rsidRPr="00FC1444">
              <w:rPr>
                <w:rFonts w:eastAsiaTheme="minorEastAsia"/>
                <w:bCs/>
                <w:kern w:val="0"/>
                <w:szCs w:val="21"/>
              </w:rPr>
              <w:t>m</w:t>
            </w:r>
          </w:p>
        </w:tc>
      </w:tr>
      <w:tr w:rsidR="002A5A5E" w:rsidRPr="00FC1444">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FC1444"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污染源年排放量</w:t>
            </w:r>
          </w:p>
        </w:tc>
        <w:tc>
          <w:tcPr>
            <w:tcW w:w="1539" w:type="dxa"/>
            <w:gridSpan w:val="4"/>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SO</w:t>
            </w:r>
            <w:r w:rsidRPr="00FC1444">
              <w:rPr>
                <w:rFonts w:eastAsiaTheme="minorEastAsia"/>
                <w:bCs/>
                <w:kern w:val="0"/>
                <w:szCs w:val="21"/>
                <w:vertAlign w:val="subscript"/>
              </w:rPr>
              <w:t>2</w:t>
            </w:r>
            <w:r w:rsidRPr="00FC1444">
              <w:rPr>
                <w:rFonts w:eastAsiaTheme="minorEastAsia"/>
                <w:bCs/>
                <w:kern w:val="0"/>
                <w:szCs w:val="21"/>
              </w:rPr>
              <w:t>：（）</w:t>
            </w:r>
            <w:r w:rsidRPr="00FC1444">
              <w:rPr>
                <w:rFonts w:eastAsiaTheme="minorEastAsia"/>
                <w:bCs/>
                <w:kern w:val="0"/>
                <w:szCs w:val="21"/>
              </w:rPr>
              <w:t>t/a</w:t>
            </w:r>
          </w:p>
        </w:tc>
        <w:tc>
          <w:tcPr>
            <w:tcW w:w="1908" w:type="dxa"/>
            <w:gridSpan w:val="5"/>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NO</w:t>
            </w:r>
            <w:r w:rsidRPr="00FC1444">
              <w:rPr>
                <w:rFonts w:eastAsiaTheme="minorEastAsia"/>
                <w:bCs/>
                <w:kern w:val="0"/>
                <w:szCs w:val="21"/>
                <w:vertAlign w:val="subscript"/>
              </w:rPr>
              <w:t>X</w:t>
            </w:r>
            <w:r w:rsidRPr="00FC1444">
              <w:rPr>
                <w:rFonts w:eastAsiaTheme="minorEastAsia"/>
                <w:bCs/>
                <w:kern w:val="0"/>
                <w:szCs w:val="21"/>
              </w:rPr>
              <w:t>：（）</w:t>
            </w:r>
            <w:r w:rsidRPr="00FC1444">
              <w:rPr>
                <w:rFonts w:eastAsiaTheme="minorEastAsia"/>
                <w:bCs/>
                <w:kern w:val="0"/>
                <w:szCs w:val="21"/>
              </w:rPr>
              <w:t>t/a</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颗粒物：（）</w:t>
            </w:r>
            <w:r w:rsidRPr="00FC1444">
              <w:rPr>
                <w:rFonts w:eastAsiaTheme="minorEastAsia"/>
                <w:bCs/>
                <w:kern w:val="0"/>
                <w:szCs w:val="21"/>
              </w:rPr>
              <w:t>t/a</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FC1444" w:rsidRDefault="00611CBA">
            <w:pPr>
              <w:spacing w:line="0" w:lineRule="atLeast"/>
              <w:jc w:val="center"/>
              <w:rPr>
                <w:rFonts w:eastAsiaTheme="minorEastAsia"/>
                <w:bCs/>
                <w:kern w:val="0"/>
                <w:szCs w:val="21"/>
              </w:rPr>
            </w:pPr>
            <w:r w:rsidRPr="00FC1444">
              <w:rPr>
                <w:rFonts w:eastAsiaTheme="minorEastAsia"/>
                <w:bCs/>
                <w:kern w:val="0"/>
                <w:szCs w:val="21"/>
              </w:rPr>
              <w:t>VOCs</w:t>
            </w:r>
            <w:r w:rsidRPr="00FC1444">
              <w:rPr>
                <w:rFonts w:eastAsiaTheme="minorEastAsia"/>
                <w:bCs/>
                <w:kern w:val="0"/>
                <w:szCs w:val="21"/>
              </w:rPr>
              <w:t>：（）</w:t>
            </w:r>
            <w:r w:rsidRPr="00FC1444">
              <w:rPr>
                <w:rFonts w:eastAsiaTheme="minorEastAsia"/>
                <w:bCs/>
                <w:kern w:val="0"/>
                <w:szCs w:val="21"/>
              </w:rPr>
              <w:t>t/a</w:t>
            </w:r>
          </w:p>
        </w:tc>
      </w:tr>
      <w:tr w:rsidR="002A5A5E" w:rsidRPr="00FC1444">
        <w:trPr>
          <w:trHeight w:val="85"/>
          <w:jc w:val="center"/>
        </w:trPr>
        <w:tc>
          <w:tcPr>
            <w:tcW w:w="9240" w:type="dxa"/>
            <w:gridSpan w:val="17"/>
            <w:tcBorders>
              <w:top w:val="single" w:sz="4" w:space="0" w:color="000000"/>
              <w:left w:val="single" w:sz="12" w:space="0" w:color="000000"/>
              <w:bottom w:val="single" w:sz="12" w:space="0" w:color="000000"/>
              <w:right w:val="single" w:sz="12" w:space="0" w:color="000000"/>
            </w:tcBorders>
            <w:vAlign w:val="center"/>
          </w:tcPr>
          <w:p w:rsidR="002A5A5E" w:rsidRPr="00FC1444" w:rsidRDefault="00611CBA">
            <w:pPr>
              <w:spacing w:line="0" w:lineRule="atLeast"/>
              <w:rPr>
                <w:rFonts w:eastAsiaTheme="minorEastAsia"/>
                <w:bCs/>
                <w:kern w:val="0"/>
                <w:szCs w:val="21"/>
              </w:rPr>
            </w:pPr>
            <w:r w:rsidRPr="00FC1444">
              <w:rPr>
                <w:rFonts w:eastAsiaTheme="minorEastAsia"/>
                <w:bCs/>
                <w:kern w:val="0"/>
                <w:szCs w:val="21"/>
              </w:rPr>
              <w:t>注：</w:t>
            </w:r>
            <w:r w:rsidRPr="00FC1444">
              <w:rPr>
                <w:rFonts w:eastAsiaTheme="minorEastAsia"/>
                <w:bCs/>
                <w:kern w:val="0"/>
                <w:szCs w:val="21"/>
              </w:rPr>
              <w:t>“□”</w:t>
            </w:r>
            <w:r w:rsidRPr="00FC1444">
              <w:rPr>
                <w:rFonts w:eastAsiaTheme="minorEastAsia"/>
                <w:bCs/>
                <w:kern w:val="0"/>
                <w:szCs w:val="21"/>
              </w:rPr>
              <w:t>为勾选项，填</w:t>
            </w:r>
            <w:r w:rsidRPr="00FC1444">
              <w:rPr>
                <w:rFonts w:eastAsiaTheme="minorEastAsia"/>
                <w:bCs/>
                <w:kern w:val="0"/>
                <w:szCs w:val="21"/>
              </w:rPr>
              <w:t>“√”</w:t>
            </w:r>
            <w:r w:rsidRPr="00FC1444">
              <w:rPr>
                <w:rFonts w:eastAsiaTheme="minorEastAsia"/>
                <w:bCs/>
                <w:kern w:val="0"/>
                <w:szCs w:val="21"/>
              </w:rPr>
              <w:t>；</w:t>
            </w:r>
            <w:r w:rsidRPr="00FC1444">
              <w:rPr>
                <w:rFonts w:eastAsiaTheme="minorEastAsia"/>
                <w:bCs/>
                <w:kern w:val="0"/>
                <w:szCs w:val="21"/>
              </w:rPr>
              <w:t>“</w:t>
            </w:r>
            <w:r w:rsidRPr="00FC1444">
              <w:rPr>
                <w:rFonts w:eastAsiaTheme="minorEastAsia"/>
                <w:bCs/>
                <w:kern w:val="0"/>
                <w:szCs w:val="21"/>
              </w:rPr>
              <w:t>（</w:t>
            </w:r>
            <w:r w:rsidRPr="00FC1444">
              <w:rPr>
                <w:rFonts w:eastAsiaTheme="minorEastAsia"/>
                <w:bCs/>
                <w:kern w:val="0"/>
                <w:szCs w:val="21"/>
              </w:rPr>
              <w:t xml:space="preserve"> </w:t>
            </w:r>
            <w:r w:rsidRPr="00FC1444">
              <w:rPr>
                <w:rFonts w:eastAsiaTheme="minorEastAsia"/>
                <w:bCs/>
                <w:kern w:val="0"/>
                <w:szCs w:val="21"/>
              </w:rPr>
              <w:t>）</w:t>
            </w:r>
            <w:r w:rsidRPr="00FC1444">
              <w:rPr>
                <w:rFonts w:eastAsiaTheme="minorEastAsia"/>
                <w:bCs/>
                <w:kern w:val="0"/>
                <w:szCs w:val="21"/>
              </w:rPr>
              <w:t>”</w:t>
            </w:r>
            <w:r w:rsidRPr="00FC1444">
              <w:rPr>
                <w:rFonts w:eastAsiaTheme="minorEastAsia"/>
                <w:bCs/>
                <w:kern w:val="0"/>
                <w:szCs w:val="21"/>
              </w:rPr>
              <w:t>为内容填写项</w:t>
            </w:r>
          </w:p>
        </w:tc>
      </w:tr>
    </w:tbl>
    <w:p w:rsidR="002A5A5E" w:rsidRPr="00FC1444" w:rsidRDefault="002A5A5E">
      <w:pPr>
        <w:widowControl/>
        <w:spacing w:line="360" w:lineRule="auto"/>
        <w:jc w:val="left"/>
        <w:rPr>
          <w:rFonts w:eastAsiaTheme="minorEastAsia"/>
          <w:sz w:val="24"/>
        </w:rPr>
        <w:sectPr w:rsidR="002A5A5E" w:rsidRPr="00FC1444">
          <w:pgSz w:w="11906" w:h="16838"/>
          <w:pgMar w:top="1440" w:right="1800" w:bottom="1440" w:left="1800" w:header="851" w:footer="992" w:gutter="0"/>
          <w:cols w:space="720"/>
          <w:docGrid w:type="lines" w:linePitch="312"/>
        </w:sectPr>
      </w:pPr>
    </w:p>
    <w:p w:rsidR="002A5A5E" w:rsidRPr="00FC1444" w:rsidRDefault="00611CBA">
      <w:pPr>
        <w:jc w:val="center"/>
        <w:rPr>
          <w:rFonts w:eastAsiaTheme="minorEastAsia"/>
          <w:b/>
          <w:sz w:val="24"/>
        </w:rPr>
      </w:pPr>
      <w:r w:rsidRPr="00FC1444">
        <w:rPr>
          <w:rFonts w:eastAsiaTheme="minorEastAsia"/>
          <w:b/>
          <w:sz w:val="24"/>
        </w:rPr>
        <w:lastRenderedPageBreak/>
        <w:t>地表水环境影响评价自查表</w:t>
      </w:r>
    </w:p>
    <w:tbl>
      <w:tblPr>
        <w:tblStyle w:val="aff6"/>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tblPr>
      <w:tblGrid>
        <w:gridCol w:w="389"/>
        <w:gridCol w:w="2529"/>
        <w:gridCol w:w="2389"/>
        <w:gridCol w:w="2670"/>
        <w:gridCol w:w="6075"/>
      </w:tblGrid>
      <w:tr w:rsidR="002A5A5E" w:rsidRPr="00FC1444">
        <w:trPr>
          <w:trHeight w:val="337"/>
        </w:trPr>
        <w:tc>
          <w:tcPr>
            <w:tcW w:w="2918" w:type="dxa"/>
            <w:gridSpan w:val="2"/>
            <w:tcBorders>
              <w:top w:val="single" w:sz="12"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工作内容</w:t>
            </w:r>
          </w:p>
        </w:tc>
        <w:tc>
          <w:tcPr>
            <w:tcW w:w="11134" w:type="dxa"/>
            <w:gridSpan w:val="3"/>
            <w:tcBorders>
              <w:top w:val="single" w:sz="12"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自查项目</w:t>
            </w:r>
          </w:p>
        </w:tc>
      </w:tr>
      <w:tr w:rsidR="002A5A5E" w:rsidRPr="00FC1444">
        <w:trPr>
          <w:trHeight w:val="337"/>
        </w:trPr>
        <w:tc>
          <w:tcPr>
            <w:tcW w:w="389"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影响识别</w:t>
            </w:r>
          </w:p>
        </w:tc>
        <w:tc>
          <w:tcPr>
            <w:tcW w:w="25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影响类型</w:t>
            </w:r>
          </w:p>
        </w:tc>
        <w:tc>
          <w:tcPr>
            <w:tcW w:w="11134"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水污染影响型</w:t>
            </w:r>
            <w:r w:rsidRPr="00FC1444">
              <w:rPr>
                <w:rFonts w:eastAsiaTheme="minorEastAsia"/>
                <w:kern w:val="0"/>
                <w:szCs w:val="21"/>
              </w:rPr>
              <w:t>√</w:t>
            </w:r>
            <w:r w:rsidRPr="00FC1444">
              <w:rPr>
                <w:rFonts w:eastAsiaTheme="minorEastAsia"/>
                <w:kern w:val="0"/>
                <w:szCs w:val="21"/>
              </w:rPr>
              <w:t>；水文要素影响型</w:t>
            </w:r>
            <w:r w:rsidR="00660C23" w:rsidRPr="00FC1444">
              <w:rPr>
                <w:rFonts w:eastAsiaTheme="minorEastAsia"/>
                <w:kern w:val="0"/>
                <w:szCs w:val="21"/>
              </w:rPr>
              <w:t>□</w:t>
            </w:r>
          </w:p>
        </w:tc>
      </w:tr>
      <w:tr w:rsidR="002A5A5E" w:rsidRPr="00FC1444">
        <w:trPr>
          <w:trHeight w:val="995"/>
        </w:trPr>
        <w:tc>
          <w:tcPr>
            <w:tcW w:w="389"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水环境保护目标</w:t>
            </w:r>
          </w:p>
        </w:tc>
        <w:tc>
          <w:tcPr>
            <w:tcW w:w="11134"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饮用水水源保护区</w:t>
            </w:r>
            <w:r w:rsidR="00660C23" w:rsidRPr="00FC1444">
              <w:rPr>
                <w:rFonts w:eastAsiaTheme="minorEastAsia"/>
                <w:kern w:val="0"/>
                <w:szCs w:val="21"/>
              </w:rPr>
              <w:t>□</w:t>
            </w:r>
            <w:r w:rsidRPr="00FC1444">
              <w:rPr>
                <w:rFonts w:eastAsiaTheme="minorEastAsia"/>
                <w:kern w:val="0"/>
                <w:szCs w:val="21"/>
              </w:rPr>
              <w:t>；饮用水取水</w:t>
            </w:r>
            <w:r w:rsidRPr="00FC1444">
              <w:rPr>
                <w:rFonts w:eastAsiaTheme="minorEastAsia"/>
                <w:kern w:val="0"/>
                <w:szCs w:val="21"/>
              </w:rPr>
              <w:t>□</w:t>
            </w:r>
            <w:r w:rsidRPr="00FC1444">
              <w:rPr>
                <w:rFonts w:eastAsiaTheme="minorEastAsia"/>
                <w:kern w:val="0"/>
                <w:szCs w:val="21"/>
              </w:rPr>
              <w:t>；涉水的自然保护区</w:t>
            </w:r>
            <w:r w:rsidR="00C02588" w:rsidRPr="00FC1444">
              <w:rPr>
                <w:rFonts w:eastAsiaTheme="minorEastAsia"/>
                <w:kern w:val="0"/>
                <w:szCs w:val="21"/>
              </w:rPr>
              <w:t>□</w:t>
            </w:r>
            <w:r w:rsidRPr="00FC1444">
              <w:rPr>
                <w:rFonts w:eastAsiaTheme="minorEastAsia"/>
                <w:kern w:val="0"/>
                <w:szCs w:val="21"/>
              </w:rPr>
              <w:t>；重要湿地</w:t>
            </w:r>
            <w:r w:rsidRPr="00FC1444">
              <w:rPr>
                <w:rFonts w:eastAsiaTheme="minorEastAsia"/>
                <w:kern w:val="0"/>
                <w:szCs w:val="21"/>
              </w:rPr>
              <w:t>□</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重点保护与珍稀水生生物的栖息地</w:t>
            </w:r>
            <w:r w:rsidRPr="00FC1444">
              <w:rPr>
                <w:rFonts w:eastAsiaTheme="minorEastAsia"/>
                <w:kern w:val="0"/>
                <w:szCs w:val="21"/>
              </w:rPr>
              <w:t>□</w:t>
            </w:r>
            <w:r w:rsidRPr="00FC1444">
              <w:rPr>
                <w:rFonts w:eastAsiaTheme="minorEastAsia"/>
                <w:kern w:val="0"/>
                <w:szCs w:val="21"/>
              </w:rPr>
              <w:t>；重要水生生物的自然产卵场及索饵场、越冬场和洄游通道、天然渔场等渔业水体</w:t>
            </w:r>
            <w:r w:rsidRPr="00FC1444">
              <w:rPr>
                <w:rFonts w:eastAsiaTheme="minorEastAsia"/>
                <w:kern w:val="0"/>
                <w:szCs w:val="21"/>
              </w:rPr>
              <w:t>□</w:t>
            </w:r>
            <w:r w:rsidRPr="00FC1444">
              <w:rPr>
                <w:rFonts w:eastAsiaTheme="minorEastAsia"/>
                <w:kern w:val="0"/>
                <w:szCs w:val="21"/>
              </w:rPr>
              <w:t>；涉水的风景名胜区</w:t>
            </w:r>
            <w:r w:rsidRPr="00FC1444">
              <w:rPr>
                <w:rFonts w:eastAsiaTheme="minorEastAsia"/>
                <w:kern w:val="0"/>
                <w:szCs w:val="21"/>
              </w:rPr>
              <w:t>□</w:t>
            </w:r>
            <w:r w:rsidRPr="00FC1444">
              <w:rPr>
                <w:rFonts w:eastAsiaTheme="minorEastAsia"/>
                <w:kern w:val="0"/>
                <w:szCs w:val="21"/>
              </w:rPr>
              <w:t>；其他</w:t>
            </w:r>
            <w:r w:rsidRPr="00FC1444">
              <w:rPr>
                <w:rFonts w:eastAsiaTheme="minorEastAsia"/>
                <w:kern w:val="0"/>
                <w:szCs w:val="21"/>
              </w:rPr>
              <w:t>√</w:t>
            </w:r>
          </w:p>
        </w:tc>
      </w:tr>
      <w:tr w:rsidR="002A5A5E" w:rsidRPr="00FC1444">
        <w:trPr>
          <w:trHeight w:val="337"/>
        </w:trPr>
        <w:tc>
          <w:tcPr>
            <w:tcW w:w="389"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影响途径</w:t>
            </w: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水污染影响型</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水文要素影响型</w:t>
            </w:r>
          </w:p>
        </w:tc>
      </w:tr>
      <w:tr w:rsidR="002A5A5E" w:rsidRPr="00FC1444">
        <w:trPr>
          <w:trHeight w:val="337"/>
        </w:trPr>
        <w:tc>
          <w:tcPr>
            <w:tcW w:w="389"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9"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直接排放</w:t>
            </w:r>
            <w:r w:rsidRPr="00FC1444">
              <w:rPr>
                <w:rFonts w:eastAsiaTheme="minorEastAsia"/>
                <w:kern w:val="0"/>
                <w:szCs w:val="21"/>
              </w:rPr>
              <w:t>□</w:t>
            </w:r>
            <w:r w:rsidRPr="00FC1444">
              <w:rPr>
                <w:rFonts w:eastAsiaTheme="minorEastAsia"/>
                <w:kern w:val="0"/>
                <w:szCs w:val="21"/>
              </w:rPr>
              <w:t>；间接排放</w:t>
            </w:r>
            <w:r w:rsidRPr="00FC1444">
              <w:rPr>
                <w:rFonts w:eastAsiaTheme="minorEastAsia"/>
                <w:kern w:val="0"/>
                <w:szCs w:val="21"/>
              </w:rPr>
              <w:t>□</w:t>
            </w:r>
            <w:r w:rsidRPr="00FC1444">
              <w:rPr>
                <w:rFonts w:eastAsiaTheme="minorEastAsia"/>
                <w:kern w:val="0"/>
                <w:szCs w:val="21"/>
              </w:rPr>
              <w:t>；其他</w:t>
            </w:r>
            <w:r w:rsidRPr="00FC1444">
              <w:rPr>
                <w:rFonts w:eastAsiaTheme="minorEastAsia"/>
                <w:kern w:val="0"/>
                <w:szCs w:val="21"/>
              </w:rPr>
              <w:t>√</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水温</w:t>
            </w:r>
            <w:r w:rsidRPr="00FC1444">
              <w:rPr>
                <w:rFonts w:eastAsiaTheme="minorEastAsia"/>
                <w:kern w:val="0"/>
                <w:szCs w:val="21"/>
              </w:rPr>
              <w:t>□</w:t>
            </w:r>
            <w:r w:rsidRPr="00FC1444">
              <w:rPr>
                <w:rFonts w:eastAsiaTheme="minorEastAsia"/>
                <w:kern w:val="0"/>
                <w:szCs w:val="21"/>
              </w:rPr>
              <w:t>；径流</w:t>
            </w:r>
            <w:r w:rsidRPr="00FC1444">
              <w:rPr>
                <w:rFonts w:eastAsiaTheme="minorEastAsia"/>
                <w:kern w:val="0"/>
                <w:szCs w:val="21"/>
              </w:rPr>
              <w:t>□</w:t>
            </w:r>
            <w:r w:rsidRPr="00FC1444">
              <w:rPr>
                <w:rFonts w:eastAsiaTheme="minorEastAsia"/>
                <w:kern w:val="0"/>
                <w:szCs w:val="21"/>
              </w:rPr>
              <w:t>；水域面积</w:t>
            </w:r>
            <w:r w:rsidRPr="00FC1444">
              <w:rPr>
                <w:rFonts w:eastAsiaTheme="minorEastAsia"/>
                <w:kern w:val="0"/>
                <w:szCs w:val="21"/>
              </w:rPr>
              <w:t>□</w:t>
            </w:r>
          </w:p>
        </w:tc>
      </w:tr>
      <w:tr w:rsidR="002A5A5E" w:rsidRPr="00FC1444">
        <w:trPr>
          <w:trHeight w:val="980"/>
        </w:trPr>
        <w:tc>
          <w:tcPr>
            <w:tcW w:w="389"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影响因子</w:t>
            </w: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持久性污染物</w:t>
            </w:r>
            <w:r w:rsidRPr="00FC1444">
              <w:rPr>
                <w:rFonts w:eastAsiaTheme="minorEastAsia"/>
                <w:kern w:val="0"/>
                <w:szCs w:val="21"/>
              </w:rPr>
              <w:t>□</w:t>
            </w:r>
            <w:r w:rsidRPr="00FC1444">
              <w:rPr>
                <w:rFonts w:eastAsiaTheme="minorEastAsia"/>
                <w:kern w:val="0"/>
                <w:szCs w:val="21"/>
              </w:rPr>
              <w:t>；有毒有害污染物</w:t>
            </w:r>
            <w:r w:rsidRPr="00FC1444">
              <w:rPr>
                <w:rFonts w:eastAsiaTheme="minorEastAsia"/>
                <w:kern w:val="0"/>
                <w:szCs w:val="21"/>
              </w:rPr>
              <w:t>□</w:t>
            </w:r>
            <w:r w:rsidRPr="00FC1444">
              <w:rPr>
                <w:rFonts w:eastAsiaTheme="minorEastAsia"/>
                <w:kern w:val="0"/>
                <w:szCs w:val="21"/>
              </w:rPr>
              <w:t>；非持久性污染物</w:t>
            </w:r>
            <w:r w:rsidRPr="00FC1444">
              <w:rPr>
                <w:rFonts w:eastAsiaTheme="minorEastAsia"/>
                <w:kern w:val="0"/>
                <w:szCs w:val="21"/>
              </w:rPr>
              <w:t>√</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pH</w:t>
            </w:r>
            <w:r w:rsidRPr="00FC1444">
              <w:rPr>
                <w:rFonts w:eastAsiaTheme="minorEastAsia"/>
                <w:kern w:val="0"/>
                <w:szCs w:val="21"/>
              </w:rPr>
              <w:t>值</w:t>
            </w:r>
            <w:r w:rsidRPr="00FC1444">
              <w:rPr>
                <w:rFonts w:eastAsiaTheme="minorEastAsia"/>
                <w:kern w:val="0"/>
                <w:szCs w:val="21"/>
              </w:rPr>
              <w:t>□</w:t>
            </w:r>
            <w:r w:rsidRPr="00FC1444">
              <w:rPr>
                <w:rFonts w:eastAsiaTheme="minorEastAsia"/>
                <w:kern w:val="0"/>
                <w:szCs w:val="21"/>
              </w:rPr>
              <w:t>；热污染</w:t>
            </w:r>
            <w:r w:rsidRPr="00FC1444">
              <w:rPr>
                <w:rFonts w:eastAsiaTheme="minorEastAsia"/>
                <w:kern w:val="0"/>
                <w:szCs w:val="21"/>
              </w:rPr>
              <w:t>□</w:t>
            </w:r>
            <w:r w:rsidRPr="00FC1444">
              <w:rPr>
                <w:rFonts w:eastAsiaTheme="minorEastAsia"/>
                <w:kern w:val="0"/>
                <w:szCs w:val="21"/>
              </w:rPr>
              <w:t>；富营养化</w:t>
            </w:r>
            <w:r w:rsidRPr="00FC1444">
              <w:rPr>
                <w:rFonts w:eastAsiaTheme="minorEastAsia"/>
                <w:kern w:val="0"/>
                <w:szCs w:val="21"/>
              </w:rPr>
              <w:t>□</w:t>
            </w:r>
            <w:r w:rsidRPr="00FC1444">
              <w:rPr>
                <w:rFonts w:eastAsiaTheme="minorEastAsia"/>
                <w:kern w:val="0"/>
                <w:szCs w:val="21"/>
              </w:rPr>
              <w:t>；其他</w:t>
            </w:r>
            <w:r w:rsidRPr="00FC1444">
              <w:rPr>
                <w:rFonts w:eastAsiaTheme="minorEastAsia"/>
                <w:kern w:val="0"/>
                <w:szCs w:val="21"/>
              </w:rPr>
              <w:t>□</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水温</w:t>
            </w:r>
            <w:r w:rsidRPr="00FC1444">
              <w:rPr>
                <w:rFonts w:eastAsiaTheme="minorEastAsia"/>
                <w:kern w:val="0"/>
                <w:szCs w:val="21"/>
              </w:rPr>
              <w:t>□</w:t>
            </w:r>
            <w:r w:rsidRPr="00FC1444">
              <w:rPr>
                <w:rFonts w:eastAsiaTheme="minorEastAsia"/>
                <w:kern w:val="0"/>
                <w:szCs w:val="21"/>
              </w:rPr>
              <w:t>；水位（水深</w:t>
            </w:r>
            <w:r w:rsidRPr="00FC1444">
              <w:rPr>
                <w:rFonts w:eastAsiaTheme="minorEastAsia"/>
                <w:kern w:val="0"/>
                <w:szCs w:val="21"/>
              </w:rPr>
              <w:t>□</w:t>
            </w:r>
            <w:r w:rsidRPr="00FC1444">
              <w:rPr>
                <w:rFonts w:eastAsiaTheme="minorEastAsia"/>
                <w:kern w:val="0"/>
                <w:szCs w:val="21"/>
              </w:rPr>
              <w:t>）；流速</w:t>
            </w:r>
            <w:r w:rsidRPr="00FC1444">
              <w:rPr>
                <w:rFonts w:eastAsiaTheme="minorEastAsia"/>
                <w:kern w:val="0"/>
                <w:szCs w:val="21"/>
              </w:rPr>
              <w:t>□</w:t>
            </w:r>
            <w:r w:rsidRPr="00FC1444">
              <w:rPr>
                <w:rFonts w:eastAsiaTheme="minorEastAsia"/>
                <w:kern w:val="0"/>
                <w:szCs w:val="21"/>
              </w:rPr>
              <w:t>；流量</w:t>
            </w:r>
            <w:r w:rsidRPr="00FC1444">
              <w:rPr>
                <w:rFonts w:eastAsiaTheme="minorEastAsia"/>
                <w:kern w:val="0"/>
                <w:szCs w:val="21"/>
              </w:rPr>
              <w:t>□</w:t>
            </w:r>
            <w:r w:rsidRPr="00FC1444">
              <w:rPr>
                <w:rFonts w:eastAsiaTheme="minorEastAsia"/>
                <w:kern w:val="0"/>
                <w:szCs w:val="21"/>
              </w:rPr>
              <w:t>；其他</w:t>
            </w:r>
            <w:r w:rsidRPr="00FC1444">
              <w:rPr>
                <w:rFonts w:eastAsiaTheme="minorEastAsia"/>
                <w:kern w:val="0"/>
                <w:szCs w:val="21"/>
              </w:rPr>
              <w:t>□</w:t>
            </w:r>
          </w:p>
        </w:tc>
      </w:tr>
      <w:tr w:rsidR="002A5A5E" w:rsidRPr="00FC1444">
        <w:trPr>
          <w:trHeight w:val="322"/>
        </w:trPr>
        <w:tc>
          <w:tcPr>
            <w:tcW w:w="2918" w:type="dxa"/>
            <w:gridSpan w:val="2"/>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评价等级</w:t>
            </w: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水污染影响型</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水文要素影响型</w:t>
            </w:r>
          </w:p>
        </w:tc>
      </w:tr>
      <w:tr w:rsidR="002A5A5E" w:rsidRPr="00FC1444">
        <w:trPr>
          <w:trHeight w:val="170"/>
        </w:trPr>
        <w:tc>
          <w:tcPr>
            <w:tcW w:w="2918" w:type="dxa"/>
            <w:gridSpan w:val="2"/>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一级</w:t>
            </w:r>
            <w:r w:rsidRPr="00FC1444">
              <w:rPr>
                <w:rFonts w:eastAsiaTheme="minorEastAsia"/>
                <w:kern w:val="0"/>
                <w:szCs w:val="21"/>
              </w:rPr>
              <w:t>□</w:t>
            </w:r>
            <w:r w:rsidRPr="00FC1444">
              <w:rPr>
                <w:rFonts w:eastAsiaTheme="minorEastAsia"/>
                <w:kern w:val="0"/>
                <w:szCs w:val="21"/>
              </w:rPr>
              <w:t>；二级</w:t>
            </w:r>
            <w:r w:rsidRPr="00FC1444">
              <w:rPr>
                <w:rFonts w:eastAsiaTheme="minorEastAsia"/>
                <w:kern w:val="0"/>
                <w:szCs w:val="21"/>
              </w:rPr>
              <w:t>□</w:t>
            </w:r>
            <w:r w:rsidRPr="00FC1444">
              <w:rPr>
                <w:rFonts w:eastAsiaTheme="minorEastAsia"/>
                <w:kern w:val="0"/>
                <w:szCs w:val="21"/>
              </w:rPr>
              <w:t>；三级</w:t>
            </w:r>
            <w:r w:rsidRPr="00FC1444">
              <w:rPr>
                <w:rFonts w:eastAsiaTheme="minorEastAsia"/>
                <w:kern w:val="0"/>
                <w:szCs w:val="21"/>
              </w:rPr>
              <w:t>A□</w:t>
            </w:r>
            <w:r w:rsidRPr="00FC1444">
              <w:rPr>
                <w:rFonts w:eastAsiaTheme="minorEastAsia"/>
                <w:kern w:val="0"/>
                <w:szCs w:val="21"/>
              </w:rPr>
              <w:t>；三级</w:t>
            </w:r>
            <w:r w:rsidRPr="00FC1444">
              <w:rPr>
                <w:rFonts w:eastAsiaTheme="minorEastAsia"/>
                <w:kern w:val="0"/>
                <w:szCs w:val="21"/>
              </w:rPr>
              <w:t>B√</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一级</w:t>
            </w:r>
            <w:r w:rsidRPr="00FC1444">
              <w:rPr>
                <w:rFonts w:eastAsiaTheme="minorEastAsia"/>
                <w:kern w:val="0"/>
                <w:szCs w:val="21"/>
              </w:rPr>
              <w:t>□</w:t>
            </w:r>
            <w:r w:rsidRPr="00FC1444">
              <w:rPr>
                <w:rFonts w:eastAsiaTheme="minorEastAsia"/>
                <w:kern w:val="0"/>
                <w:szCs w:val="21"/>
              </w:rPr>
              <w:t>；二级</w:t>
            </w:r>
            <w:r w:rsidRPr="00FC1444">
              <w:rPr>
                <w:rFonts w:eastAsiaTheme="minorEastAsia"/>
                <w:kern w:val="0"/>
                <w:szCs w:val="21"/>
              </w:rPr>
              <w:t>□</w:t>
            </w:r>
            <w:r w:rsidRPr="00FC1444">
              <w:rPr>
                <w:rFonts w:eastAsiaTheme="minorEastAsia"/>
                <w:kern w:val="0"/>
                <w:szCs w:val="21"/>
              </w:rPr>
              <w:t>；三级</w:t>
            </w:r>
            <w:r w:rsidRPr="00FC1444">
              <w:rPr>
                <w:rFonts w:eastAsiaTheme="minorEastAsia"/>
                <w:kern w:val="0"/>
                <w:szCs w:val="21"/>
              </w:rPr>
              <w:t>□</w:t>
            </w:r>
          </w:p>
        </w:tc>
      </w:tr>
      <w:tr w:rsidR="002A5A5E" w:rsidRPr="00FC1444">
        <w:trPr>
          <w:trHeight w:val="322"/>
        </w:trPr>
        <w:tc>
          <w:tcPr>
            <w:tcW w:w="389" w:type="dxa"/>
            <w:vMerge w:val="restart"/>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现状调查</w:t>
            </w:r>
          </w:p>
        </w:tc>
        <w:tc>
          <w:tcPr>
            <w:tcW w:w="252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区域污染源</w:t>
            </w: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调查项目</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数据起源</w:t>
            </w:r>
          </w:p>
        </w:tc>
      </w:tr>
      <w:tr w:rsidR="002A5A5E" w:rsidRPr="00FC1444">
        <w:trPr>
          <w:trHeight w:val="675"/>
        </w:trPr>
        <w:tc>
          <w:tcPr>
            <w:tcW w:w="389"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9"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3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已建</w:t>
            </w:r>
            <w:r w:rsidRPr="00FC1444">
              <w:rPr>
                <w:rFonts w:eastAsiaTheme="minorEastAsia"/>
                <w:kern w:val="0"/>
                <w:szCs w:val="21"/>
              </w:rPr>
              <w:t>√</w:t>
            </w:r>
            <w:r w:rsidRPr="00FC1444">
              <w:rPr>
                <w:rFonts w:eastAsiaTheme="minorEastAsia"/>
                <w:kern w:val="0"/>
                <w:szCs w:val="21"/>
              </w:rPr>
              <w:t>；在建</w:t>
            </w:r>
            <w:r w:rsidRPr="00FC1444">
              <w:rPr>
                <w:rFonts w:eastAsiaTheme="minorEastAsia"/>
                <w:kern w:val="0"/>
                <w:szCs w:val="21"/>
              </w:rPr>
              <w:t>□</w:t>
            </w:r>
            <w:r w:rsidRPr="00FC1444">
              <w:rPr>
                <w:rFonts w:eastAsiaTheme="minorEastAsia"/>
                <w:kern w:val="0"/>
                <w:szCs w:val="21"/>
              </w:rPr>
              <w:t>；拟建</w:t>
            </w:r>
            <w:r w:rsidRPr="00FC1444">
              <w:rPr>
                <w:rFonts w:eastAsiaTheme="minorEastAsia"/>
                <w:kern w:val="0"/>
                <w:szCs w:val="21"/>
              </w:rPr>
              <w:t>□</w:t>
            </w:r>
            <w:r w:rsidRPr="00FC1444">
              <w:rPr>
                <w:rFonts w:eastAsiaTheme="minorEastAsia"/>
                <w:kern w:val="0"/>
                <w:szCs w:val="21"/>
              </w:rPr>
              <w:t>；其他</w:t>
            </w:r>
            <w:r w:rsidRPr="00FC1444">
              <w:rPr>
                <w:rFonts w:eastAsiaTheme="minorEastAsia"/>
                <w:kern w:val="0"/>
                <w:szCs w:val="21"/>
              </w:rPr>
              <w:t>□</w:t>
            </w:r>
          </w:p>
        </w:tc>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拟替代的污染源</w:t>
            </w:r>
            <w:r w:rsidRPr="00FC1444">
              <w:rPr>
                <w:rFonts w:eastAsiaTheme="minorEastAsia"/>
                <w:kern w:val="0"/>
                <w:szCs w:val="21"/>
              </w:rPr>
              <w:t>□</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排污许可证</w:t>
            </w:r>
            <w:r w:rsidRPr="00FC1444">
              <w:rPr>
                <w:rFonts w:eastAsiaTheme="minorEastAsia"/>
                <w:kern w:val="0"/>
                <w:szCs w:val="21"/>
              </w:rPr>
              <w:t>□</w:t>
            </w:r>
            <w:r w:rsidRPr="00FC1444">
              <w:rPr>
                <w:rFonts w:eastAsiaTheme="minorEastAsia"/>
                <w:kern w:val="0"/>
                <w:szCs w:val="21"/>
              </w:rPr>
              <w:t>；环评</w:t>
            </w:r>
            <w:r w:rsidRPr="00FC1444">
              <w:rPr>
                <w:rFonts w:eastAsiaTheme="minorEastAsia"/>
                <w:kern w:val="0"/>
                <w:szCs w:val="21"/>
              </w:rPr>
              <w:t>□</w:t>
            </w:r>
            <w:r w:rsidRPr="00FC1444">
              <w:rPr>
                <w:rFonts w:eastAsiaTheme="minorEastAsia"/>
                <w:kern w:val="0"/>
                <w:szCs w:val="21"/>
              </w:rPr>
              <w:t>；环保验收</w:t>
            </w:r>
            <w:r w:rsidRPr="00FC1444">
              <w:rPr>
                <w:rFonts w:eastAsiaTheme="minorEastAsia"/>
                <w:kern w:val="0"/>
                <w:szCs w:val="21"/>
              </w:rPr>
              <w:t>□</w:t>
            </w:r>
            <w:r w:rsidRPr="00FC1444">
              <w:rPr>
                <w:rFonts w:eastAsiaTheme="minorEastAsia"/>
                <w:kern w:val="0"/>
                <w:szCs w:val="21"/>
              </w:rPr>
              <w:t>；既有实测</w:t>
            </w:r>
            <w:r w:rsidRPr="00FC1444">
              <w:rPr>
                <w:rFonts w:eastAsiaTheme="minorEastAsia"/>
                <w:kern w:val="0"/>
                <w:szCs w:val="21"/>
              </w:rPr>
              <w:t>□</w:t>
            </w:r>
            <w:r w:rsidRPr="00FC1444">
              <w:rPr>
                <w:rFonts w:eastAsiaTheme="minorEastAsia"/>
                <w:kern w:val="0"/>
                <w:szCs w:val="21"/>
              </w:rPr>
              <w:t>；现场监测</w:t>
            </w:r>
            <w:r w:rsidRPr="00FC1444">
              <w:rPr>
                <w:rFonts w:eastAsiaTheme="minorEastAsia"/>
                <w:kern w:val="0"/>
                <w:szCs w:val="21"/>
              </w:rPr>
              <w:t>□</w:t>
            </w:r>
            <w:r w:rsidRPr="00FC1444">
              <w:rPr>
                <w:rFonts w:eastAsiaTheme="minorEastAsia"/>
                <w:kern w:val="0"/>
                <w:szCs w:val="21"/>
              </w:rPr>
              <w:t>；入河排放口数据</w:t>
            </w:r>
            <w:r w:rsidR="00660C23" w:rsidRPr="00FC1444">
              <w:rPr>
                <w:rFonts w:eastAsiaTheme="minorEastAsia"/>
                <w:kern w:val="0"/>
                <w:szCs w:val="21"/>
              </w:rPr>
              <w:t>□</w:t>
            </w:r>
            <w:r w:rsidRPr="00FC1444">
              <w:rPr>
                <w:rFonts w:eastAsiaTheme="minorEastAsia"/>
                <w:kern w:val="0"/>
                <w:szCs w:val="21"/>
              </w:rPr>
              <w:t>；其他</w:t>
            </w:r>
            <w:r w:rsidRPr="00FC1444">
              <w:rPr>
                <w:rFonts w:eastAsiaTheme="minorEastAsia"/>
                <w:kern w:val="0"/>
                <w:szCs w:val="21"/>
              </w:rPr>
              <w:t>□</w:t>
            </w:r>
          </w:p>
        </w:tc>
      </w:tr>
      <w:tr w:rsidR="002A5A5E" w:rsidRPr="00FC1444">
        <w:trPr>
          <w:trHeight w:val="369"/>
        </w:trPr>
        <w:tc>
          <w:tcPr>
            <w:tcW w:w="389"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受影响水体环境质量</w:t>
            </w: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调查时期</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数据起源</w:t>
            </w:r>
          </w:p>
        </w:tc>
      </w:tr>
      <w:tr w:rsidR="002A5A5E" w:rsidRPr="00FC1444">
        <w:trPr>
          <w:trHeight w:val="675"/>
        </w:trPr>
        <w:tc>
          <w:tcPr>
            <w:tcW w:w="389"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9"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丰水期</w:t>
            </w:r>
            <w:r w:rsidRPr="00FC1444">
              <w:rPr>
                <w:rFonts w:eastAsiaTheme="minorEastAsia"/>
                <w:kern w:val="0"/>
                <w:szCs w:val="21"/>
              </w:rPr>
              <w:t>□</w:t>
            </w:r>
            <w:r w:rsidRPr="00FC1444">
              <w:rPr>
                <w:rFonts w:eastAsiaTheme="minorEastAsia"/>
                <w:kern w:val="0"/>
                <w:szCs w:val="21"/>
              </w:rPr>
              <w:t>；平水期</w:t>
            </w:r>
            <w:r w:rsidRPr="00FC1444">
              <w:rPr>
                <w:rFonts w:eastAsiaTheme="minorEastAsia"/>
                <w:kern w:val="0"/>
                <w:szCs w:val="21"/>
              </w:rPr>
              <w:t>□</w:t>
            </w:r>
            <w:r w:rsidRPr="00FC1444">
              <w:rPr>
                <w:rFonts w:eastAsiaTheme="minorEastAsia"/>
                <w:kern w:val="0"/>
                <w:szCs w:val="21"/>
              </w:rPr>
              <w:t>；枯水期</w:t>
            </w:r>
            <w:r w:rsidRPr="00FC1444">
              <w:rPr>
                <w:rFonts w:eastAsiaTheme="minorEastAsia"/>
                <w:kern w:val="0"/>
                <w:szCs w:val="21"/>
              </w:rPr>
              <w:t>□</w:t>
            </w:r>
            <w:r w:rsidRPr="00FC1444">
              <w:rPr>
                <w:rFonts w:eastAsiaTheme="minorEastAsia"/>
                <w:kern w:val="0"/>
                <w:szCs w:val="21"/>
              </w:rPr>
              <w:t>；冰封期</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春季</w:t>
            </w:r>
            <w:r w:rsidRPr="00FC1444">
              <w:rPr>
                <w:rFonts w:eastAsiaTheme="minorEastAsia"/>
                <w:kern w:val="0"/>
                <w:szCs w:val="21"/>
              </w:rPr>
              <w:t>√</w:t>
            </w:r>
            <w:r w:rsidRPr="00FC1444">
              <w:rPr>
                <w:rFonts w:eastAsiaTheme="minorEastAsia"/>
                <w:kern w:val="0"/>
                <w:szCs w:val="21"/>
              </w:rPr>
              <w:t>；夏季</w:t>
            </w:r>
            <w:r w:rsidRPr="00FC1444">
              <w:rPr>
                <w:rFonts w:eastAsiaTheme="minorEastAsia"/>
                <w:kern w:val="0"/>
                <w:szCs w:val="21"/>
              </w:rPr>
              <w:t>√</w:t>
            </w:r>
            <w:r w:rsidRPr="00FC1444">
              <w:rPr>
                <w:rFonts w:eastAsiaTheme="minorEastAsia"/>
                <w:kern w:val="0"/>
                <w:szCs w:val="21"/>
              </w:rPr>
              <w:t>；秋季</w:t>
            </w:r>
            <w:r w:rsidRPr="00FC1444">
              <w:rPr>
                <w:rFonts w:eastAsiaTheme="minorEastAsia"/>
                <w:kern w:val="0"/>
                <w:szCs w:val="21"/>
              </w:rPr>
              <w:t>√</w:t>
            </w:r>
            <w:r w:rsidRPr="00FC1444">
              <w:rPr>
                <w:rFonts w:eastAsiaTheme="minorEastAsia"/>
                <w:kern w:val="0"/>
                <w:szCs w:val="21"/>
              </w:rPr>
              <w:t>；冬季</w:t>
            </w:r>
            <w:r w:rsidRPr="00FC1444">
              <w:rPr>
                <w:rFonts w:eastAsiaTheme="minorEastAsia"/>
                <w:kern w:val="0"/>
                <w:szCs w:val="21"/>
              </w:rPr>
              <w:t>√</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生态环境保护主管部门</w:t>
            </w:r>
            <w:r w:rsidRPr="00FC1444">
              <w:rPr>
                <w:rFonts w:eastAsiaTheme="minorEastAsia"/>
                <w:kern w:val="0"/>
                <w:szCs w:val="21"/>
              </w:rPr>
              <w:t>□</w:t>
            </w:r>
            <w:r w:rsidRPr="00FC1444">
              <w:rPr>
                <w:rFonts w:eastAsiaTheme="minorEastAsia"/>
                <w:kern w:val="0"/>
                <w:szCs w:val="21"/>
              </w:rPr>
              <w:t>；补充监测</w:t>
            </w:r>
            <w:r w:rsidRPr="00FC1444">
              <w:rPr>
                <w:rFonts w:eastAsiaTheme="minorEastAsia"/>
                <w:kern w:val="0"/>
                <w:szCs w:val="21"/>
              </w:rPr>
              <w:t>□</w:t>
            </w:r>
            <w:r w:rsidRPr="00FC1444">
              <w:rPr>
                <w:rFonts w:eastAsiaTheme="minorEastAsia"/>
                <w:kern w:val="0"/>
                <w:szCs w:val="21"/>
              </w:rPr>
              <w:t>；其他</w:t>
            </w:r>
            <w:r w:rsidRPr="00FC1444">
              <w:rPr>
                <w:rFonts w:eastAsiaTheme="minorEastAsia"/>
                <w:kern w:val="0"/>
                <w:szCs w:val="21"/>
              </w:rPr>
              <w:t>□</w:t>
            </w:r>
          </w:p>
        </w:tc>
      </w:tr>
      <w:tr w:rsidR="002A5A5E" w:rsidRPr="00FC1444">
        <w:trPr>
          <w:trHeight w:val="353"/>
        </w:trPr>
        <w:tc>
          <w:tcPr>
            <w:tcW w:w="389"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区域水资源开发利用状况</w:t>
            </w:r>
          </w:p>
        </w:tc>
        <w:tc>
          <w:tcPr>
            <w:tcW w:w="11134"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未开发</w:t>
            </w:r>
            <w:r w:rsidRPr="00FC1444">
              <w:rPr>
                <w:rFonts w:eastAsiaTheme="minorEastAsia"/>
                <w:kern w:val="0"/>
                <w:szCs w:val="21"/>
              </w:rPr>
              <w:t>□</w:t>
            </w:r>
            <w:r w:rsidRPr="00FC1444">
              <w:rPr>
                <w:rFonts w:eastAsiaTheme="minorEastAsia"/>
                <w:kern w:val="0"/>
                <w:szCs w:val="21"/>
              </w:rPr>
              <w:t>；开发量</w:t>
            </w:r>
            <w:r w:rsidRPr="00FC1444">
              <w:rPr>
                <w:rFonts w:eastAsiaTheme="minorEastAsia"/>
                <w:kern w:val="0"/>
                <w:szCs w:val="21"/>
              </w:rPr>
              <w:t>40%</w:t>
            </w:r>
            <w:r w:rsidRPr="00FC1444">
              <w:rPr>
                <w:rFonts w:eastAsiaTheme="minorEastAsia"/>
                <w:kern w:val="0"/>
                <w:szCs w:val="21"/>
              </w:rPr>
              <w:t>以下</w:t>
            </w:r>
            <w:r w:rsidRPr="00FC1444">
              <w:rPr>
                <w:rFonts w:eastAsiaTheme="minorEastAsia"/>
                <w:kern w:val="0"/>
                <w:szCs w:val="21"/>
              </w:rPr>
              <w:t>□</w:t>
            </w:r>
            <w:r w:rsidRPr="00FC1444">
              <w:rPr>
                <w:rFonts w:eastAsiaTheme="minorEastAsia"/>
                <w:kern w:val="0"/>
                <w:szCs w:val="21"/>
              </w:rPr>
              <w:t>；开发量</w:t>
            </w:r>
            <w:r w:rsidRPr="00FC1444">
              <w:rPr>
                <w:rFonts w:eastAsiaTheme="minorEastAsia"/>
                <w:kern w:val="0"/>
                <w:szCs w:val="21"/>
              </w:rPr>
              <w:t>40%</w:t>
            </w:r>
            <w:r w:rsidRPr="00FC1444">
              <w:rPr>
                <w:rFonts w:eastAsiaTheme="minorEastAsia"/>
                <w:kern w:val="0"/>
                <w:szCs w:val="21"/>
              </w:rPr>
              <w:t>以上</w:t>
            </w:r>
            <w:r w:rsidRPr="00FC1444">
              <w:rPr>
                <w:rFonts w:eastAsiaTheme="minorEastAsia"/>
                <w:kern w:val="0"/>
                <w:szCs w:val="21"/>
              </w:rPr>
              <w:t>□</w:t>
            </w:r>
          </w:p>
        </w:tc>
      </w:tr>
      <w:tr w:rsidR="002A5A5E" w:rsidRPr="00FC1444">
        <w:trPr>
          <w:trHeight w:val="353"/>
        </w:trPr>
        <w:tc>
          <w:tcPr>
            <w:tcW w:w="389"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9" w:type="dxa"/>
            <w:vMerge w:val="restart"/>
            <w:tcBorders>
              <w:top w:val="single" w:sz="6" w:space="0" w:color="000000" w:themeColor="text1"/>
              <w:left w:val="single" w:sz="6" w:space="0" w:color="000000" w:themeColor="text1"/>
              <w:bottom w:val="single" w:sz="12"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水文情势调查</w:t>
            </w: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调查时期</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数据来源</w:t>
            </w:r>
          </w:p>
        </w:tc>
      </w:tr>
      <w:tr w:rsidR="002A5A5E" w:rsidRPr="00FC1444">
        <w:trPr>
          <w:trHeight w:val="690"/>
        </w:trPr>
        <w:tc>
          <w:tcPr>
            <w:tcW w:w="389"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9" w:type="dxa"/>
            <w:vMerge/>
            <w:tcBorders>
              <w:top w:val="single" w:sz="6" w:space="0" w:color="000000" w:themeColor="text1"/>
              <w:left w:val="single" w:sz="6" w:space="0" w:color="000000" w:themeColor="text1"/>
              <w:bottom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5059" w:type="dxa"/>
            <w:gridSpan w:val="2"/>
            <w:tcBorders>
              <w:top w:val="single" w:sz="6" w:space="0" w:color="000000" w:themeColor="text1"/>
              <w:left w:val="single" w:sz="6" w:space="0" w:color="000000" w:themeColor="text1"/>
              <w:bottom w:val="single" w:sz="12" w:space="0" w:color="000000" w:themeColor="text1"/>
              <w:right w:val="single" w:sz="6"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丰水期</w:t>
            </w:r>
            <w:r w:rsidRPr="00FC1444">
              <w:rPr>
                <w:rFonts w:eastAsiaTheme="minorEastAsia"/>
                <w:kern w:val="0"/>
                <w:szCs w:val="21"/>
              </w:rPr>
              <w:t>□</w:t>
            </w:r>
            <w:r w:rsidRPr="00FC1444">
              <w:rPr>
                <w:rFonts w:eastAsiaTheme="minorEastAsia"/>
                <w:kern w:val="0"/>
                <w:szCs w:val="21"/>
              </w:rPr>
              <w:t>；平水期</w:t>
            </w:r>
            <w:r w:rsidRPr="00FC1444">
              <w:rPr>
                <w:rFonts w:eastAsiaTheme="minorEastAsia"/>
                <w:kern w:val="0"/>
                <w:szCs w:val="21"/>
              </w:rPr>
              <w:t>□</w:t>
            </w:r>
            <w:r w:rsidRPr="00FC1444">
              <w:rPr>
                <w:rFonts w:eastAsiaTheme="minorEastAsia"/>
                <w:kern w:val="0"/>
                <w:szCs w:val="21"/>
              </w:rPr>
              <w:t>；枯水期</w:t>
            </w:r>
            <w:r w:rsidRPr="00FC1444">
              <w:rPr>
                <w:rFonts w:eastAsiaTheme="minorEastAsia"/>
                <w:kern w:val="0"/>
                <w:szCs w:val="21"/>
              </w:rPr>
              <w:t>□</w:t>
            </w:r>
            <w:r w:rsidRPr="00FC1444">
              <w:rPr>
                <w:rFonts w:eastAsiaTheme="minorEastAsia"/>
                <w:kern w:val="0"/>
                <w:szCs w:val="21"/>
              </w:rPr>
              <w:t>；冰封期</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春季</w:t>
            </w:r>
            <w:r w:rsidRPr="00FC1444">
              <w:rPr>
                <w:rFonts w:eastAsiaTheme="minorEastAsia"/>
                <w:kern w:val="0"/>
                <w:szCs w:val="21"/>
              </w:rPr>
              <w:t>□</w:t>
            </w:r>
            <w:r w:rsidRPr="00FC1444">
              <w:rPr>
                <w:rFonts w:eastAsiaTheme="minorEastAsia"/>
                <w:kern w:val="0"/>
                <w:szCs w:val="21"/>
              </w:rPr>
              <w:t>；夏季</w:t>
            </w:r>
            <w:r w:rsidRPr="00FC1444">
              <w:rPr>
                <w:rFonts w:eastAsiaTheme="minorEastAsia"/>
                <w:kern w:val="0"/>
                <w:szCs w:val="21"/>
              </w:rPr>
              <w:t>□</w:t>
            </w:r>
            <w:r w:rsidRPr="00FC1444">
              <w:rPr>
                <w:rFonts w:eastAsiaTheme="minorEastAsia"/>
                <w:kern w:val="0"/>
                <w:szCs w:val="21"/>
              </w:rPr>
              <w:t>；秋季</w:t>
            </w:r>
            <w:r w:rsidRPr="00FC1444">
              <w:rPr>
                <w:rFonts w:eastAsiaTheme="minorEastAsia"/>
                <w:kern w:val="0"/>
                <w:szCs w:val="21"/>
              </w:rPr>
              <w:t>□</w:t>
            </w:r>
            <w:r w:rsidRPr="00FC1444">
              <w:rPr>
                <w:rFonts w:eastAsiaTheme="minorEastAsia"/>
                <w:kern w:val="0"/>
                <w:szCs w:val="21"/>
              </w:rPr>
              <w:t>；冬季</w:t>
            </w:r>
            <w:r w:rsidRPr="00FC1444">
              <w:rPr>
                <w:rFonts w:eastAsiaTheme="minorEastAsia"/>
                <w:kern w:val="0"/>
                <w:szCs w:val="21"/>
              </w:rPr>
              <w:t>□</w:t>
            </w:r>
          </w:p>
        </w:tc>
        <w:tc>
          <w:tcPr>
            <w:tcW w:w="6075"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水行政主管部门</w:t>
            </w:r>
            <w:r w:rsidRPr="00FC1444">
              <w:rPr>
                <w:rFonts w:eastAsiaTheme="minorEastAsia"/>
                <w:kern w:val="0"/>
                <w:szCs w:val="21"/>
              </w:rPr>
              <w:t>□</w:t>
            </w:r>
            <w:r w:rsidRPr="00FC1444">
              <w:rPr>
                <w:rFonts w:eastAsiaTheme="minorEastAsia"/>
                <w:kern w:val="0"/>
                <w:szCs w:val="21"/>
              </w:rPr>
              <w:t>；补充监测</w:t>
            </w:r>
            <w:r w:rsidRPr="00FC1444">
              <w:rPr>
                <w:rFonts w:eastAsiaTheme="minorEastAsia"/>
                <w:kern w:val="0"/>
                <w:szCs w:val="21"/>
              </w:rPr>
              <w:t>□</w:t>
            </w:r>
            <w:r w:rsidRPr="00FC1444">
              <w:rPr>
                <w:rFonts w:eastAsiaTheme="minorEastAsia"/>
                <w:kern w:val="0"/>
                <w:szCs w:val="21"/>
              </w:rPr>
              <w:t>；其他</w:t>
            </w:r>
            <w:r w:rsidRPr="00FC1444">
              <w:rPr>
                <w:rFonts w:eastAsiaTheme="minorEastAsia"/>
                <w:kern w:val="0"/>
                <w:szCs w:val="21"/>
              </w:rPr>
              <w:t>□</w:t>
            </w:r>
          </w:p>
        </w:tc>
      </w:tr>
    </w:tbl>
    <w:p w:rsidR="002A5A5E" w:rsidRPr="00FC1444" w:rsidRDefault="00611CBA">
      <w:pPr>
        <w:jc w:val="right"/>
        <w:rPr>
          <w:rFonts w:eastAsiaTheme="minorEastAsia"/>
          <w:b/>
        </w:rPr>
      </w:pPr>
      <w:r w:rsidRPr="00FC1444">
        <w:rPr>
          <w:rFonts w:eastAsiaTheme="minorEastAsia"/>
          <w:b/>
        </w:rPr>
        <w:lastRenderedPageBreak/>
        <w:t>续表</w:t>
      </w:r>
    </w:p>
    <w:tbl>
      <w:tblPr>
        <w:tblStyle w:val="aff6"/>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tblPr>
      <w:tblGrid>
        <w:gridCol w:w="390"/>
        <w:gridCol w:w="2539"/>
        <w:gridCol w:w="5588"/>
        <w:gridCol w:w="2794"/>
        <w:gridCol w:w="1211"/>
        <w:gridCol w:w="1584"/>
      </w:tblGrid>
      <w:tr w:rsidR="002A5A5E" w:rsidRPr="00FC1444">
        <w:trPr>
          <w:trHeight w:val="92"/>
        </w:trPr>
        <w:tc>
          <w:tcPr>
            <w:tcW w:w="2929" w:type="dxa"/>
            <w:gridSpan w:val="2"/>
            <w:tcBorders>
              <w:top w:val="single" w:sz="12"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工作内容</w:t>
            </w:r>
          </w:p>
        </w:tc>
        <w:tc>
          <w:tcPr>
            <w:tcW w:w="11177" w:type="dxa"/>
            <w:gridSpan w:val="4"/>
            <w:tcBorders>
              <w:top w:val="single" w:sz="12"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自查项目</w:t>
            </w:r>
          </w:p>
        </w:tc>
      </w:tr>
      <w:tr w:rsidR="002A5A5E" w:rsidRPr="00FC1444">
        <w:trPr>
          <w:trHeight w:val="71"/>
        </w:trPr>
        <w:tc>
          <w:tcPr>
            <w:tcW w:w="390"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现状调查</w:t>
            </w:r>
          </w:p>
        </w:tc>
        <w:tc>
          <w:tcPr>
            <w:tcW w:w="253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补充监测</w:t>
            </w:r>
          </w:p>
        </w:tc>
        <w:tc>
          <w:tcPr>
            <w:tcW w:w="55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监测时期</w:t>
            </w:r>
          </w:p>
        </w:tc>
        <w:tc>
          <w:tcPr>
            <w:tcW w:w="27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监测因子</w:t>
            </w:r>
          </w:p>
        </w:tc>
        <w:tc>
          <w:tcPr>
            <w:tcW w:w="2795"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监测断面或点位</w:t>
            </w:r>
          </w:p>
        </w:tc>
      </w:tr>
      <w:tr w:rsidR="002A5A5E" w:rsidRPr="00FC1444">
        <w:trPr>
          <w:trHeight w:val="640"/>
        </w:trPr>
        <w:tc>
          <w:tcPr>
            <w:tcW w:w="390"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39"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55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丰水期</w:t>
            </w:r>
            <w:r w:rsidRPr="00FC1444">
              <w:rPr>
                <w:rFonts w:eastAsiaTheme="minorEastAsia"/>
                <w:kern w:val="0"/>
                <w:szCs w:val="21"/>
              </w:rPr>
              <w:t>□</w:t>
            </w:r>
            <w:r w:rsidRPr="00FC1444">
              <w:rPr>
                <w:rFonts w:eastAsiaTheme="minorEastAsia"/>
                <w:kern w:val="0"/>
                <w:szCs w:val="21"/>
              </w:rPr>
              <w:t>；平水期</w:t>
            </w:r>
            <w:r w:rsidRPr="00FC1444">
              <w:rPr>
                <w:rFonts w:eastAsiaTheme="minorEastAsia"/>
                <w:kern w:val="0"/>
                <w:szCs w:val="21"/>
              </w:rPr>
              <w:t>□</w:t>
            </w:r>
            <w:r w:rsidRPr="00FC1444">
              <w:rPr>
                <w:rFonts w:eastAsiaTheme="minorEastAsia"/>
                <w:kern w:val="0"/>
                <w:szCs w:val="21"/>
              </w:rPr>
              <w:t>；枯水期</w:t>
            </w:r>
            <w:r w:rsidRPr="00FC1444">
              <w:rPr>
                <w:rFonts w:eastAsiaTheme="minorEastAsia"/>
                <w:kern w:val="0"/>
                <w:szCs w:val="21"/>
              </w:rPr>
              <w:t>□</w:t>
            </w:r>
            <w:r w:rsidRPr="00FC1444">
              <w:rPr>
                <w:rFonts w:eastAsiaTheme="minorEastAsia"/>
                <w:kern w:val="0"/>
                <w:szCs w:val="21"/>
              </w:rPr>
              <w:t>；冰封期</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春季</w:t>
            </w:r>
            <w:r w:rsidRPr="00FC1444">
              <w:rPr>
                <w:rFonts w:eastAsiaTheme="minorEastAsia"/>
                <w:kern w:val="0"/>
                <w:szCs w:val="21"/>
              </w:rPr>
              <w:t>□</w:t>
            </w:r>
            <w:r w:rsidRPr="00FC1444">
              <w:rPr>
                <w:rFonts w:eastAsiaTheme="minorEastAsia"/>
                <w:kern w:val="0"/>
                <w:szCs w:val="21"/>
              </w:rPr>
              <w:t>；夏季</w:t>
            </w:r>
            <w:r w:rsidRPr="00FC1444">
              <w:rPr>
                <w:rFonts w:eastAsiaTheme="minorEastAsia"/>
                <w:kern w:val="0"/>
                <w:szCs w:val="21"/>
              </w:rPr>
              <w:t>□</w:t>
            </w:r>
            <w:r w:rsidRPr="00FC1444">
              <w:rPr>
                <w:rFonts w:eastAsiaTheme="minorEastAsia"/>
                <w:kern w:val="0"/>
                <w:szCs w:val="21"/>
              </w:rPr>
              <w:t>；秋季</w:t>
            </w:r>
            <w:r w:rsidRPr="00FC1444">
              <w:rPr>
                <w:rFonts w:eastAsiaTheme="minorEastAsia"/>
                <w:kern w:val="0"/>
                <w:szCs w:val="21"/>
              </w:rPr>
              <w:t>□</w:t>
            </w:r>
            <w:r w:rsidRPr="00FC1444">
              <w:rPr>
                <w:rFonts w:eastAsiaTheme="minorEastAsia"/>
                <w:kern w:val="0"/>
                <w:szCs w:val="21"/>
              </w:rPr>
              <w:t>；冬季</w:t>
            </w:r>
            <w:r w:rsidRPr="00FC1444">
              <w:rPr>
                <w:rFonts w:eastAsiaTheme="minorEastAsia"/>
                <w:kern w:val="0"/>
                <w:szCs w:val="21"/>
              </w:rPr>
              <w:t>□</w:t>
            </w:r>
          </w:p>
        </w:tc>
        <w:tc>
          <w:tcPr>
            <w:tcW w:w="27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w:t>
            </w:r>
          </w:p>
        </w:tc>
        <w:tc>
          <w:tcPr>
            <w:tcW w:w="2795"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监测断面或点位个数（）个</w:t>
            </w:r>
          </w:p>
        </w:tc>
      </w:tr>
      <w:tr w:rsidR="002A5A5E" w:rsidRPr="00FC1444">
        <w:trPr>
          <w:trHeight w:val="421"/>
        </w:trPr>
        <w:tc>
          <w:tcPr>
            <w:tcW w:w="390" w:type="dxa"/>
            <w:vMerge w:val="restart"/>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现状评价</w:t>
            </w: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评价范围</w:t>
            </w:r>
          </w:p>
        </w:tc>
        <w:tc>
          <w:tcPr>
            <w:tcW w:w="1117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rsidP="00F02206">
            <w:pPr>
              <w:jc w:val="left"/>
              <w:rPr>
                <w:rFonts w:eastAsiaTheme="minorEastAsia"/>
                <w:kern w:val="0"/>
                <w:szCs w:val="21"/>
              </w:rPr>
            </w:pPr>
            <w:r w:rsidRPr="00FC1444">
              <w:rPr>
                <w:rFonts w:eastAsiaTheme="minorEastAsia"/>
                <w:kern w:val="0"/>
                <w:szCs w:val="21"/>
              </w:rPr>
              <w:t>河流：长度（</w:t>
            </w:r>
            <w:r w:rsidR="00F02206" w:rsidRPr="00FC1444">
              <w:rPr>
                <w:rFonts w:eastAsiaTheme="minorEastAsia" w:hint="eastAsia"/>
                <w:kern w:val="0"/>
                <w:szCs w:val="21"/>
              </w:rPr>
              <w:t>14</w:t>
            </w:r>
            <w:r w:rsidRPr="00FC1444">
              <w:rPr>
                <w:rFonts w:eastAsiaTheme="minorEastAsia"/>
                <w:kern w:val="0"/>
                <w:szCs w:val="21"/>
              </w:rPr>
              <w:t>）</w:t>
            </w:r>
            <w:r w:rsidRPr="00FC1444">
              <w:rPr>
                <w:rFonts w:eastAsiaTheme="minorEastAsia"/>
                <w:kern w:val="0"/>
                <w:szCs w:val="21"/>
              </w:rPr>
              <w:t>km</w:t>
            </w:r>
            <w:r w:rsidRPr="00FC1444">
              <w:rPr>
                <w:rFonts w:eastAsiaTheme="minorEastAsia"/>
                <w:kern w:val="0"/>
                <w:szCs w:val="21"/>
              </w:rPr>
              <w:t>；湖库、河口及近岸海域：面积（）</w:t>
            </w:r>
            <w:r w:rsidRPr="00FC1444">
              <w:rPr>
                <w:rFonts w:eastAsiaTheme="minorEastAsia"/>
                <w:kern w:val="0"/>
                <w:szCs w:val="21"/>
              </w:rPr>
              <w:t>km</w:t>
            </w:r>
            <w:r w:rsidRPr="00FC1444">
              <w:rPr>
                <w:rFonts w:eastAsiaTheme="minorEastAsia"/>
                <w:kern w:val="0"/>
                <w:szCs w:val="21"/>
                <w:vertAlign w:val="superscript"/>
              </w:rPr>
              <w:t>2</w:t>
            </w:r>
          </w:p>
        </w:tc>
      </w:tr>
      <w:tr w:rsidR="002A5A5E" w:rsidRPr="00FC1444">
        <w:trPr>
          <w:trHeight w:val="213"/>
        </w:trPr>
        <w:tc>
          <w:tcPr>
            <w:tcW w:w="390"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评价因子</w:t>
            </w:r>
          </w:p>
        </w:tc>
        <w:tc>
          <w:tcPr>
            <w:tcW w:w="1117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w:t>
            </w:r>
            <w:r w:rsidRPr="00FC1444">
              <w:rPr>
                <w:rFonts w:eastAsiaTheme="minorEastAsia"/>
                <w:bCs/>
                <w:kern w:val="0"/>
                <w:szCs w:val="21"/>
              </w:rPr>
              <w:t>COD</w:t>
            </w:r>
            <w:r w:rsidRPr="00FC1444">
              <w:rPr>
                <w:rFonts w:eastAsiaTheme="minorEastAsia"/>
                <w:bCs/>
                <w:kern w:val="0"/>
                <w:szCs w:val="21"/>
              </w:rPr>
              <w:t>、氨氮、</w:t>
            </w:r>
            <w:r w:rsidRPr="00FC1444">
              <w:rPr>
                <w:rFonts w:eastAsiaTheme="minorEastAsia"/>
                <w:bCs/>
                <w:kern w:val="0"/>
                <w:szCs w:val="21"/>
              </w:rPr>
              <w:t>pH</w:t>
            </w:r>
            <w:r w:rsidRPr="00FC1444">
              <w:rPr>
                <w:rFonts w:eastAsiaTheme="minorEastAsia"/>
                <w:bCs/>
                <w:kern w:val="0"/>
                <w:szCs w:val="21"/>
              </w:rPr>
              <w:t>、</w:t>
            </w:r>
            <w:r w:rsidRPr="00FC1444">
              <w:rPr>
                <w:rFonts w:eastAsiaTheme="minorEastAsia"/>
                <w:bCs/>
                <w:kern w:val="0"/>
                <w:szCs w:val="21"/>
              </w:rPr>
              <w:t>BOD</w:t>
            </w:r>
            <w:r w:rsidRPr="00FC1444">
              <w:rPr>
                <w:rFonts w:eastAsiaTheme="minorEastAsia"/>
                <w:bCs/>
                <w:kern w:val="0"/>
                <w:szCs w:val="21"/>
                <w:vertAlign w:val="subscript"/>
              </w:rPr>
              <w:t>5</w:t>
            </w:r>
            <w:r w:rsidRPr="00FC1444">
              <w:rPr>
                <w:rFonts w:eastAsiaTheme="minorEastAsia"/>
                <w:bCs/>
                <w:kern w:val="0"/>
                <w:szCs w:val="21"/>
              </w:rPr>
              <w:t>、</w:t>
            </w:r>
            <w:r w:rsidRPr="00FC1444">
              <w:rPr>
                <w:rFonts w:eastAsiaTheme="minorEastAsia"/>
                <w:bCs/>
                <w:kern w:val="0"/>
                <w:szCs w:val="21"/>
              </w:rPr>
              <w:t>SS</w:t>
            </w:r>
            <w:r w:rsidRPr="00FC1444">
              <w:rPr>
                <w:rFonts w:eastAsiaTheme="minorEastAsia"/>
                <w:bCs/>
                <w:kern w:val="0"/>
                <w:szCs w:val="21"/>
              </w:rPr>
              <w:t>、总磷、</w:t>
            </w:r>
            <w:r w:rsidRPr="00FC1444">
              <w:rPr>
                <w:rFonts w:eastAsiaTheme="minorEastAsia"/>
                <w:kern w:val="0"/>
                <w:szCs w:val="20"/>
              </w:rPr>
              <w:t>高锰酸盐指数</w:t>
            </w:r>
            <w:r w:rsidRPr="00FC1444">
              <w:rPr>
                <w:rFonts w:eastAsiaTheme="minorEastAsia"/>
                <w:kern w:val="0"/>
                <w:szCs w:val="21"/>
              </w:rPr>
              <w:t>）</w:t>
            </w:r>
          </w:p>
        </w:tc>
      </w:tr>
      <w:tr w:rsidR="002A5A5E" w:rsidRPr="00FC1444">
        <w:trPr>
          <w:trHeight w:val="213"/>
        </w:trPr>
        <w:tc>
          <w:tcPr>
            <w:tcW w:w="390"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评价标准</w:t>
            </w:r>
          </w:p>
        </w:tc>
        <w:tc>
          <w:tcPr>
            <w:tcW w:w="1117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河流、湖库、河口：</w:t>
            </w:r>
            <w:r w:rsidRPr="00FC1444">
              <w:rPr>
                <w:rFonts w:eastAsiaTheme="minorEastAsia"/>
                <w:kern w:val="0"/>
                <w:szCs w:val="21"/>
              </w:rPr>
              <w:t>Ⅰ</w:t>
            </w:r>
            <w:r w:rsidRPr="00FC1444">
              <w:rPr>
                <w:rFonts w:eastAsiaTheme="minorEastAsia"/>
                <w:kern w:val="0"/>
                <w:szCs w:val="21"/>
              </w:rPr>
              <w:t>类</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Ⅱ</w:t>
            </w:r>
            <w:r w:rsidRPr="00FC1444">
              <w:rPr>
                <w:rFonts w:eastAsiaTheme="minorEastAsia"/>
                <w:kern w:val="0"/>
                <w:szCs w:val="21"/>
              </w:rPr>
              <w:t>类</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Ⅲ</w:t>
            </w:r>
            <w:r w:rsidRPr="00FC1444">
              <w:rPr>
                <w:rFonts w:eastAsiaTheme="minorEastAsia"/>
                <w:kern w:val="0"/>
                <w:szCs w:val="21"/>
              </w:rPr>
              <w:t>类</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Ⅳ</w:t>
            </w:r>
            <w:r w:rsidRPr="00FC1444">
              <w:rPr>
                <w:rFonts w:eastAsiaTheme="minorEastAsia"/>
                <w:kern w:val="0"/>
                <w:szCs w:val="21"/>
              </w:rPr>
              <w:t>类</w:t>
            </w:r>
            <w:r w:rsidR="004246A4"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Ⅴ</w:t>
            </w:r>
            <w:r w:rsidRPr="00FC1444">
              <w:rPr>
                <w:rFonts w:eastAsiaTheme="minorEastAsia"/>
                <w:kern w:val="0"/>
                <w:szCs w:val="21"/>
              </w:rPr>
              <w:t>类</w:t>
            </w:r>
            <w:r w:rsidR="007851CD"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近岸海域：第一类</w:t>
            </w:r>
            <w:r w:rsidRPr="00FC1444">
              <w:rPr>
                <w:rFonts w:eastAsiaTheme="minorEastAsia"/>
                <w:kern w:val="0"/>
                <w:szCs w:val="21"/>
              </w:rPr>
              <w:t>□</w:t>
            </w:r>
            <w:r w:rsidRPr="00FC1444">
              <w:rPr>
                <w:rFonts w:eastAsiaTheme="minorEastAsia"/>
                <w:kern w:val="0"/>
                <w:szCs w:val="21"/>
              </w:rPr>
              <w:t>；第二类</w:t>
            </w:r>
            <w:r w:rsidRPr="00FC1444">
              <w:rPr>
                <w:rFonts w:eastAsiaTheme="minorEastAsia"/>
                <w:kern w:val="0"/>
                <w:szCs w:val="21"/>
              </w:rPr>
              <w:t>□</w:t>
            </w:r>
            <w:r w:rsidRPr="00FC1444">
              <w:rPr>
                <w:rFonts w:eastAsiaTheme="minorEastAsia"/>
                <w:kern w:val="0"/>
                <w:szCs w:val="21"/>
              </w:rPr>
              <w:t>；第三类</w:t>
            </w:r>
            <w:r w:rsidRPr="00FC1444">
              <w:rPr>
                <w:rFonts w:eastAsiaTheme="minorEastAsia"/>
                <w:kern w:val="0"/>
                <w:szCs w:val="21"/>
              </w:rPr>
              <w:t>□</w:t>
            </w:r>
            <w:r w:rsidRPr="00FC1444">
              <w:rPr>
                <w:rFonts w:eastAsiaTheme="minorEastAsia"/>
                <w:kern w:val="0"/>
                <w:szCs w:val="21"/>
              </w:rPr>
              <w:t>；第四类</w:t>
            </w:r>
            <w:r w:rsidRPr="00FC1444">
              <w:rPr>
                <w:rFonts w:eastAsiaTheme="minorEastAsia"/>
                <w:kern w:val="0"/>
                <w:szCs w:val="21"/>
              </w:rPr>
              <w:t>□</w:t>
            </w:r>
          </w:p>
          <w:p w:rsidR="002A5A5E" w:rsidRPr="00FC1444" w:rsidRDefault="00611CBA" w:rsidP="007851CD">
            <w:pPr>
              <w:jc w:val="left"/>
              <w:rPr>
                <w:rFonts w:eastAsiaTheme="minorEastAsia"/>
                <w:kern w:val="0"/>
                <w:szCs w:val="21"/>
              </w:rPr>
            </w:pPr>
            <w:r w:rsidRPr="00FC1444">
              <w:rPr>
                <w:rFonts w:eastAsiaTheme="minorEastAsia"/>
                <w:kern w:val="0"/>
                <w:szCs w:val="21"/>
              </w:rPr>
              <w:t>规划年评价标准（</w:t>
            </w:r>
            <w:r w:rsidRPr="00FC1444">
              <w:rPr>
                <w:rFonts w:eastAsiaTheme="minorEastAsia"/>
                <w:kern w:val="0"/>
                <w:szCs w:val="21"/>
              </w:rPr>
              <w:t>202</w:t>
            </w:r>
            <w:r w:rsidR="007851CD" w:rsidRPr="00FC1444">
              <w:rPr>
                <w:rFonts w:eastAsiaTheme="minorEastAsia" w:hint="eastAsia"/>
                <w:kern w:val="0"/>
                <w:szCs w:val="21"/>
              </w:rPr>
              <w:t>5</w:t>
            </w:r>
            <w:r w:rsidRPr="00FC1444">
              <w:rPr>
                <w:rFonts w:eastAsiaTheme="minorEastAsia"/>
                <w:kern w:val="0"/>
                <w:szCs w:val="21"/>
              </w:rPr>
              <w:t>）</w:t>
            </w:r>
          </w:p>
        </w:tc>
      </w:tr>
      <w:tr w:rsidR="002A5A5E" w:rsidRPr="00FC1444">
        <w:trPr>
          <w:trHeight w:val="213"/>
        </w:trPr>
        <w:tc>
          <w:tcPr>
            <w:tcW w:w="390"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评价时期</w:t>
            </w:r>
          </w:p>
        </w:tc>
        <w:tc>
          <w:tcPr>
            <w:tcW w:w="1117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丰水期</w:t>
            </w:r>
            <w:r w:rsidRPr="00FC1444">
              <w:rPr>
                <w:rFonts w:eastAsiaTheme="minorEastAsia"/>
                <w:kern w:val="0"/>
                <w:szCs w:val="21"/>
              </w:rPr>
              <w:t>□</w:t>
            </w:r>
            <w:r w:rsidRPr="00FC1444">
              <w:rPr>
                <w:rFonts w:eastAsiaTheme="minorEastAsia"/>
                <w:kern w:val="0"/>
                <w:szCs w:val="21"/>
              </w:rPr>
              <w:t>；平水期</w:t>
            </w:r>
            <w:r w:rsidRPr="00FC1444">
              <w:rPr>
                <w:rFonts w:eastAsiaTheme="minorEastAsia"/>
                <w:kern w:val="0"/>
                <w:szCs w:val="21"/>
              </w:rPr>
              <w:t>□</w:t>
            </w:r>
            <w:r w:rsidRPr="00FC1444">
              <w:rPr>
                <w:rFonts w:eastAsiaTheme="minorEastAsia"/>
                <w:kern w:val="0"/>
                <w:szCs w:val="21"/>
              </w:rPr>
              <w:t>；枯水期</w:t>
            </w:r>
            <w:r w:rsidRPr="00FC1444">
              <w:rPr>
                <w:rFonts w:eastAsiaTheme="minorEastAsia"/>
                <w:kern w:val="0"/>
                <w:szCs w:val="21"/>
              </w:rPr>
              <w:t>□</w:t>
            </w:r>
            <w:r w:rsidRPr="00FC1444">
              <w:rPr>
                <w:rFonts w:eastAsiaTheme="minorEastAsia"/>
                <w:kern w:val="0"/>
                <w:szCs w:val="21"/>
              </w:rPr>
              <w:t>；冰封期</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春季</w:t>
            </w:r>
            <w:r w:rsidRPr="00FC1444">
              <w:rPr>
                <w:rFonts w:eastAsiaTheme="minorEastAsia"/>
                <w:kern w:val="0"/>
                <w:szCs w:val="21"/>
              </w:rPr>
              <w:t>√</w:t>
            </w:r>
            <w:r w:rsidRPr="00FC1444">
              <w:rPr>
                <w:rFonts w:eastAsiaTheme="minorEastAsia"/>
                <w:kern w:val="0"/>
                <w:szCs w:val="21"/>
              </w:rPr>
              <w:t>；夏季</w:t>
            </w:r>
            <w:r w:rsidRPr="00FC1444">
              <w:rPr>
                <w:rFonts w:eastAsiaTheme="minorEastAsia"/>
                <w:kern w:val="0"/>
                <w:szCs w:val="21"/>
              </w:rPr>
              <w:t>√</w:t>
            </w:r>
            <w:r w:rsidRPr="00FC1444">
              <w:rPr>
                <w:rFonts w:eastAsiaTheme="minorEastAsia"/>
                <w:kern w:val="0"/>
                <w:szCs w:val="21"/>
              </w:rPr>
              <w:t>；秋季</w:t>
            </w:r>
            <w:r w:rsidRPr="00FC1444">
              <w:rPr>
                <w:rFonts w:eastAsiaTheme="minorEastAsia"/>
                <w:kern w:val="0"/>
                <w:szCs w:val="21"/>
              </w:rPr>
              <w:t>√</w:t>
            </w:r>
            <w:r w:rsidRPr="00FC1444">
              <w:rPr>
                <w:rFonts w:eastAsiaTheme="minorEastAsia"/>
                <w:kern w:val="0"/>
                <w:szCs w:val="21"/>
              </w:rPr>
              <w:t>；冬季</w:t>
            </w:r>
            <w:r w:rsidRPr="00FC1444">
              <w:rPr>
                <w:rFonts w:eastAsiaTheme="minorEastAsia"/>
                <w:kern w:val="0"/>
                <w:szCs w:val="21"/>
              </w:rPr>
              <w:t>√</w:t>
            </w:r>
          </w:p>
        </w:tc>
      </w:tr>
      <w:tr w:rsidR="002A5A5E" w:rsidRPr="00FC1444">
        <w:trPr>
          <w:trHeight w:val="213"/>
        </w:trPr>
        <w:tc>
          <w:tcPr>
            <w:tcW w:w="390"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评价结论</w:t>
            </w:r>
          </w:p>
        </w:tc>
        <w:tc>
          <w:tcPr>
            <w:tcW w:w="959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水环境功能区或水功能区、近岸海域环境功能区水质达标状况：达标</w:t>
            </w:r>
            <w:r w:rsidRPr="00FC1444">
              <w:rPr>
                <w:rFonts w:eastAsiaTheme="minorEastAsia"/>
                <w:kern w:val="0"/>
                <w:szCs w:val="21"/>
              </w:rPr>
              <w:t>√</w:t>
            </w:r>
            <w:r w:rsidRPr="00FC1444">
              <w:rPr>
                <w:rFonts w:eastAsiaTheme="minorEastAsia"/>
                <w:kern w:val="0"/>
                <w:szCs w:val="21"/>
              </w:rPr>
              <w:t>；不达标</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水环境控制单元或断面水质达标状况：达标</w:t>
            </w:r>
            <w:r w:rsidRPr="00FC1444">
              <w:rPr>
                <w:rFonts w:eastAsiaTheme="minorEastAsia"/>
                <w:kern w:val="0"/>
                <w:szCs w:val="21"/>
              </w:rPr>
              <w:t>□</w:t>
            </w:r>
            <w:r w:rsidRPr="00FC1444">
              <w:rPr>
                <w:rFonts w:eastAsiaTheme="minorEastAsia"/>
                <w:kern w:val="0"/>
                <w:szCs w:val="21"/>
              </w:rPr>
              <w:t>；不达标</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水环境保护目标质量状况：达标</w:t>
            </w:r>
            <w:r w:rsidRPr="00FC1444">
              <w:rPr>
                <w:rFonts w:eastAsiaTheme="minorEastAsia"/>
                <w:kern w:val="0"/>
                <w:szCs w:val="21"/>
              </w:rPr>
              <w:t>□</w:t>
            </w:r>
            <w:r w:rsidRPr="00FC1444">
              <w:rPr>
                <w:rFonts w:eastAsiaTheme="minorEastAsia"/>
                <w:kern w:val="0"/>
                <w:szCs w:val="21"/>
              </w:rPr>
              <w:t>；不达标</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对照断面、控制断面等代表性断面的水质状况；达标</w:t>
            </w:r>
            <w:r w:rsidRPr="00FC1444">
              <w:rPr>
                <w:rFonts w:eastAsiaTheme="minorEastAsia"/>
                <w:kern w:val="0"/>
                <w:szCs w:val="21"/>
              </w:rPr>
              <w:t>□</w:t>
            </w:r>
            <w:r w:rsidRPr="00FC1444">
              <w:rPr>
                <w:rFonts w:eastAsiaTheme="minorEastAsia"/>
                <w:kern w:val="0"/>
                <w:szCs w:val="21"/>
              </w:rPr>
              <w:t>；不达标</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底泥污染评价</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水资源与开发利用程度及其水文情势评价</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水环境质量回顾评价</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流域（区域）水资源（包括水能资源）与开发利用总体状况、生态流量管理要求与现状满足程度、建设项目占用水域空间的水流状况与河湖演变状况</w:t>
            </w:r>
            <w:r w:rsidRPr="00FC1444">
              <w:rPr>
                <w:rFonts w:eastAsiaTheme="minorEastAsia"/>
                <w:kern w:val="0"/>
                <w:szCs w:val="21"/>
              </w:rPr>
              <w:t>□</w:t>
            </w:r>
          </w:p>
        </w:tc>
        <w:tc>
          <w:tcPr>
            <w:tcW w:w="158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达标区</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不达标区</w:t>
            </w:r>
            <w:r w:rsidRPr="00FC1444">
              <w:rPr>
                <w:rFonts w:eastAsiaTheme="minorEastAsia"/>
                <w:kern w:val="0"/>
                <w:szCs w:val="21"/>
              </w:rPr>
              <w:t>□</w:t>
            </w:r>
          </w:p>
        </w:tc>
      </w:tr>
      <w:tr w:rsidR="002A5A5E" w:rsidRPr="00FC1444">
        <w:trPr>
          <w:trHeight w:val="213"/>
        </w:trPr>
        <w:tc>
          <w:tcPr>
            <w:tcW w:w="390" w:type="dxa"/>
            <w:vMerge w:val="restart"/>
            <w:tcBorders>
              <w:top w:val="single" w:sz="6" w:space="0" w:color="000000" w:themeColor="text1"/>
              <w:left w:val="single" w:sz="12" w:space="0" w:color="000000" w:themeColor="text1"/>
              <w:right w:val="single" w:sz="6" w:space="0" w:color="000000" w:themeColor="text1"/>
            </w:tcBorders>
          </w:tcPr>
          <w:p w:rsidR="002A5A5E" w:rsidRPr="00FC1444" w:rsidRDefault="00611CBA">
            <w:pPr>
              <w:widowControl/>
              <w:jc w:val="left"/>
              <w:rPr>
                <w:rFonts w:eastAsiaTheme="minorEastAsia"/>
                <w:kern w:val="0"/>
                <w:szCs w:val="21"/>
              </w:rPr>
            </w:pPr>
            <w:r w:rsidRPr="00FC1444">
              <w:rPr>
                <w:rFonts w:eastAsiaTheme="minorEastAsia"/>
                <w:kern w:val="0"/>
                <w:szCs w:val="21"/>
              </w:rPr>
              <w:t>影响预测</w:t>
            </w: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预测范围</w:t>
            </w:r>
          </w:p>
        </w:tc>
        <w:tc>
          <w:tcPr>
            <w:tcW w:w="1117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河流：长度（）</w:t>
            </w:r>
            <w:r w:rsidRPr="00FC1444">
              <w:rPr>
                <w:rFonts w:eastAsiaTheme="minorEastAsia"/>
                <w:kern w:val="0"/>
                <w:szCs w:val="21"/>
              </w:rPr>
              <w:t>km</w:t>
            </w:r>
            <w:r w:rsidRPr="00FC1444">
              <w:rPr>
                <w:rFonts w:eastAsiaTheme="minorEastAsia"/>
                <w:kern w:val="0"/>
                <w:szCs w:val="21"/>
              </w:rPr>
              <w:t>；湖库、河口及近岸海域：面积（）</w:t>
            </w:r>
            <w:r w:rsidRPr="00FC1444">
              <w:rPr>
                <w:rFonts w:eastAsiaTheme="minorEastAsia"/>
                <w:kern w:val="0"/>
                <w:szCs w:val="21"/>
              </w:rPr>
              <w:t>km</w:t>
            </w:r>
            <w:r w:rsidRPr="00FC1444">
              <w:rPr>
                <w:rFonts w:eastAsiaTheme="minorEastAsia"/>
                <w:kern w:val="0"/>
                <w:szCs w:val="21"/>
                <w:vertAlign w:val="superscript"/>
              </w:rPr>
              <w:t>2</w:t>
            </w:r>
          </w:p>
        </w:tc>
      </w:tr>
      <w:tr w:rsidR="002A5A5E" w:rsidRPr="00FC1444">
        <w:trPr>
          <w:trHeight w:val="213"/>
        </w:trPr>
        <w:tc>
          <w:tcPr>
            <w:tcW w:w="390" w:type="dxa"/>
            <w:vMerge/>
            <w:tcBorders>
              <w:left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预测因子</w:t>
            </w:r>
          </w:p>
        </w:tc>
        <w:tc>
          <w:tcPr>
            <w:tcW w:w="1117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w:t>
            </w:r>
          </w:p>
        </w:tc>
      </w:tr>
      <w:tr w:rsidR="002A5A5E" w:rsidRPr="00FC1444">
        <w:trPr>
          <w:trHeight w:val="213"/>
        </w:trPr>
        <w:tc>
          <w:tcPr>
            <w:tcW w:w="390" w:type="dxa"/>
            <w:vMerge/>
            <w:tcBorders>
              <w:left w:val="single" w:sz="12" w:space="0" w:color="000000" w:themeColor="text1"/>
              <w:bottom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39" w:type="dxa"/>
            <w:tcBorders>
              <w:top w:val="single" w:sz="6" w:space="0" w:color="000000" w:themeColor="text1"/>
              <w:left w:val="single" w:sz="6" w:space="0" w:color="000000" w:themeColor="text1"/>
              <w:bottom w:val="single" w:sz="12"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预测时期</w:t>
            </w:r>
          </w:p>
        </w:tc>
        <w:tc>
          <w:tcPr>
            <w:tcW w:w="11177" w:type="dxa"/>
            <w:gridSpan w:val="4"/>
            <w:tcBorders>
              <w:top w:val="single" w:sz="6" w:space="0" w:color="000000" w:themeColor="text1"/>
              <w:left w:val="single" w:sz="6" w:space="0" w:color="000000" w:themeColor="text1"/>
              <w:bottom w:val="single" w:sz="12"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丰水期</w:t>
            </w:r>
            <w:r w:rsidRPr="00FC1444">
              <w:rPr>
                <w:rFonts w:eastAsiaTheme="minorEastAsia"/>
                <w:kern w:val="0"/>
                <w:szCs w:val="21"/>
              </w:rPr>
              <w:t>□</w:t>
            </w:r>
            <w:r w:rsidRPr="00FC1444">
              <w:rPr>
                <w:rFonts w:eastAsiaTheme="minorEastAsia"/>
                <w:kern w:val="0"/>
                <w:szCs w:val="21"/>
              </w:rPr>
              <w:t>；平水期</w:t>
            </w:r>
            <w:r w:rsidRPr="00FC1444">
              <w:rPr>
                <w:rFonts w:eastAsiaTheme="minorEastAsia"/>
                <w:kern w:val="0"/>
                <w:szCs w:val="21"/>
              </w:rPr>
              <w:t>□</w:t>
            </w:r>
            <w:r w:rsidRPr="00FC1444">
              <w:rPr>
                <w:rFonts w:eastAsiaTheme="minorEastAsia"/>
                <w:kern w:val="0"/>
                <w:szCs w:val="21"/>
              </w:rPr>
              <w:t>；枯水期</w:t>
            </w:r>
            <w:r w:rsidRPr="00FC1444">
              <w:rPr>
                <w:rFonts w:eastAsiaTheme="minorEastAsia"/>
                <w:kern w:val="0"/>
                <w:szCs w:val="21"/>
              </w:rPr>
              <w:t>□</w:t>
            </w:r>
            <w:r w:rsidRPr="00FC1444">
              <w:rPr>
                <w:rFonts w:eastAsiaTheme="minorEastAsia"/>
                <w:kern w:val="0"/>
                <w:szCs w:val="21"/>
              </w:rPr>
              <w:t>；冰封期</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春季</w:t>
            </w:r>
            <w:r w:rsidRPr="00FC1444">
              <w:rPr>
                <w:rFonts w:eastAsiaTheme="minorEastAsia"/>
                <w:kern w:val="0"/>
                <w:szCs w:val="21"/>
              </w:rPr>
              <w:t>□</w:t>
            </w:r>
            <w:r w:rsidRPr="00FC1444">
              <w:rPr>
                <w:rFonts w:eastAsiaTheme="minorEastAsia"/>
                <w:kern w:val="0"/>
                <w:szCs w:val="21"/>
              </w:rPr>
              <w:t>；夏季</w:t>
            </w:r>
            <w:r w:rsidRPr="00FC1444">
              <w:rPr>
                <w:rFonts w:eastAsiaTheme="minorEastAsia"/>
                <w:kern w:val="0"/>
                <w:szCs w:val="21"/>
              </w:rPr>
              <w:t>□</w:t>
            </w:r>
            <w:r w:rsidRPr="00FC1444">
              <w:rPr>
                <w:rFonts w:eastAsiaTheme="minorEastAsia"/>
                <w:kern w:val="0"/>
                <w:szCs w:val="21"/>
              </w:rPr>
              <w:t>；秋季</w:t>
            </w:r>
            <w:r w:rsidRPr="00FC1444">
              <w:rPr>
                <w:rFonts w:eastAsiaTheme="minorEastAsia"/>
                <w:kern w:val="0"/>
                <w:szCs w:val="21"/>
              </w:rPr>
              <w:t>□</w:t>
            </w:r>
            <w:r w:rsidRPr="00FC1444">
              <w:rPr>
                <w:rFonts w:eastAsiaTheme="minorEastAsia"/>
                <w:kern w:val="0"/>
                <w:szCs w:val="21"/>
              </w:rPr>
              <w:t>；冬季</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设计水文条件</w:t>
            </w:r>
            <w:r w:rsidRPr="00FC1444">
              <w:rPr>
                <w:rFonts w:eastAsiaTheme="minorEastAsia"/>
                <w:kern w:val="0"/>
                <w:szCs w:val="21"/>
              </w:rPr>
              <w:t>□</w:t>
            </w:r>
          </w:p>
        </w:tc>
      </w:tr>
    </w:tbl>
    <w:p w:rsidR="002A5A5E" w:rsidRPr="00FC1444" w:rsidRDefault="002A5A5E">
      <w:pPr>
        <w:jc w:val="right"/>
        <w:rPr>
          <w:rFonts w:eastAsiaTheme="minorEastAsia"/>
          <w:b/>
          <w:szCs w:val="22"/>
        </w:rPr>
      </w:pPr>
    </w:p>
    <w:p w:rsidR="002A5A5E" w:rsidRPr="00FC1444" w:rsidRDefault="00611CBA">
      <w:pPr>
        <w:jc w:val="right"/>
        <w:rPr>
          <w:rFonts w:eastAsiaTheme="minorEastAsia"/>
          <w:b/>
        </w:rPr>
      </w:pPr>
      <w:r w:rsidRPr="00FC1444">
        <w:rPr>
          <w:rFonts w:eastAsiaTheme="minorEastAsia"/>
          <w:b/>
        </w:rPr>
        <w:lastRenderedPageBreak/>
        <w:t>续表</w:t>
      </w:r>
    </w:p>
    <w:tbl>
      <w:tblPr>
        <w:tblStyle w:val="aff6"/>
        <w:tblW w:w="1402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tblPr>
      <w:tblGrid>
        <w:gridCol w:w="387"/>
        <w:gridCol w:w="2525"/>
        <w:gridCol w:w="2076"/>
        <w:gridCol w:w="1369"/>
        <w:gridCol w:w="1016"/>
        <w:gridCol w:w="2516"/>
        <w:gridCol w:w="709"/>
        <w:gridCol w:w="1417"/>
        <w:gridCol w:w="2009"/>
      </w:tblGrid>
      <w:tr w:rsidR="002A5A5E" w:rsidRPr="00FC1444">
        <w:trPr>
          <w:trHeight w:val="342"/>
        </w:trPr>
        <w:tc>
          <w:tcPr>
            <w:tcW w:w="2912" w:type="dxa"/>
            <w:gridSpan w:val="2"/>
            <w:tcBorders>
              <w:top w:val="single" w:sz="12"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工作内容</w:t>
            </w:r>
          </w:p>
        </w:tc>
        <w:tc>
          <w:tcPr>
            <w:tcW w:w="11112" w:type="dxa"/>
            <w:gridSpan w:val="7"/>
            <w:tcBorders>
              <w:top w:val="single" w:sz="12"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自查项目</w:t>
            </w:r>
          </w:p>
        </w:tc>
      </w:tr>
      <w:tr w:rsidR="002A5A5E" w:rsidRPr="00FC1444">
        <w:trPr>
          <w:trHeight w:val="1006"/>
        </w:trPr>
        <w:tc>
          <w:tcPr>
            <w:tcW w:w="387"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widowControl/>
              <w:jc w:val="left"/>
              <w:rPr>
                <w:rFonts w:eastAsiaTheme="minorEastAsia"/>
                <w:kern w:val="0"/>
                <w:szCs w:val="21"/>
              </w:rPr>
            </w:pPr>
            <w:r w:rsidRPr="00FC1444">
              <w:rPr>
                <w:rFonts w:eastAsiaTheme="minorEastAsia"/>
                <w:kern w:val="0"/>
                <w:szCs w:val="21"/>
              </w:rPr>
              <w:t>影响预测</w:t>
            </w:r>
          </w:p>
        </w:tc>
        <w:tc>
          <w:tcPr>
            <w:tcW w:w="25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预测情景</w:t>
            </w:r>
          </w:p>
        </w:tc>
        <w:tc>
          <w:tcPr>
            <w:tcW w:w="11112" w:type="dxa"/>
            <w:gridSpan w:val="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建设期</w:t>
            </w:r>
            <w:r w:rsidRPr="00FC1444">
              <w:rPr>
                <w:rFonts w:eastAsiaTheme="minorEastAsia"/>
                <w:kern w:val="0"/>
                <w:szCs w:val="21"/>
              </w:rPr>
              <w:t>□</w:t>
            </w:r>
            <w:r w:rsidRPr="00FC1444">
              <w:rPr>
                <w:rFonts w:eastAsiaTheme="minorEastAsia"/>
                <w:kern w:val="0"/>
                <w:szCs w:val="21"/>
              </w:rPr>
              <w:t>；生产运营期</w:t>
            </w:r>
            <w:r w:rsidRPr="00FC1444">
              <w:rPr>
                <w:rFonts w:eastAsiaTheme="minorEastAsia"/>
                <w:kern w:val="0"/>
                <w:szCs w:val="21"/>
              </w:rPr>
              <w:t>□</w:t>
            </w:r>
            <w:r w:rsidRPr="00FC1444">
              <w:rPr>
                <w:rFonts w:eastAsiaTheme="minorEastAsia"/>
                <w:kern w:val="0"/>
                <w:szCs w:val="21"/>
              </w:rPr>
              <w:t>；服务期满后</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正常工况</w:t>
            </w:r>
            <w:r w:rsidRPr="00FC1444">
              <w:rPr>
                <w:rFonts w:eastAsiaTheme="minorEastAsia"/>
                <w:kern w:val="0"/>
                <w:szCs w:val="21"/>
              </w:rPr>
              <w:t>□</w:t>
            </w:r>
            <w:r w:rsidRPr="00FC1444">
              <w:rPr>
                <w:rFonts w:eastAsiaTheme="minorEastAsia"/>
                <w:kern w:val="0"/>
                <w:szCs w:val="21"/>
              </w:rPr>
              <w:t>；非正常工况</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污染控制和减缓措施方案</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区（流）域水环境质量改善目标要求情景</w:t>
            </w:r>
            <w:r w:rsidRPr="00FC1444">
              <w:rPr>
                <w:rFonts w:eastAsiaTheme="minorEastAsia"/>
                <w:kern w:val="0"/>
                <w:szCs w:val="21"/>
              </w:rPr>
              <w:t>□</w:t>
            </w:r>
          </w:p>
        </w:tc>
      </w:tr>
      <w:tr w:rsidR="002A5A5E" w:rsidRPr="00FC1444">
        <w:trPr>
          <w:trHeight w:val="468"/>
        </w:trPr>
        <w:tc>
          <w:tcPr>
            <w:tcW w:w="387"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预测方法</w:t>
            </w:r>
          </w:p>
        </w:tc>
        <w:tc>
          <w:tcPr>
            <w:tcW w:w="11112" w:type="dxa"/>
            <w:gridSpan w:val="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数值解</w:t>
            </w:r>
            <w:r w:rsidRPr="00FC1444">
              <w:rPr>
                <w:rFonts w:eastAsiaTheme="minorEastAsia"/>
                <w:kern w:val="0"/>
                <w:szCs w:val="21"/>
              </w:rPr>
              <w:t>□</w:t>
            </w:r>
            <w:r w:rsidRPr="00FC1444">
              <w:rPr>
                <w:rFonts w:eastAsiaTheme="minorEastAsia"/>
                <w:kern w:val="0"/>
                <w:szCs w:val="21"/>
              </w:rPr>
              <w:t>；解析解</w:t>
            </w:r>
            <w:r w:rsidRPr="00FC1444">
              <w:rPr>
                <w:rFonts w:eastAsiaTheme="minorEastAsia"/>
                <w:kern w:val="0"/>
                <w:szCs w:val="21"/>
              </w:rPr>
              <w:t>□</w:t>
            </w:r>
            <w:r w:rsidRPr="00FC1444">
              <w:rPr>
                <w:rFonts w:eastAsiaTheme="minorEastAsia"/>
                <w:kern w:val="0"/>
                <w:szCs w:val="21"/>
              </w:rPr>
              <w:t>；其他</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导则推荐模式</w:t>
            </w:r>
            <w:r w:rsidRPr="00FC1444">
              <w:rPr>
                <w:rFonts w:eastAsiaTheme="minorEastAsia"/>
                <w:kern w:val="0"/>
                <w:szCs w:val="21"/>
              </w:rPr>
              <w:t>□</w:t>
            </w:r>
            <w:r w:rsidRPr="00FC1444">
              <w:rPr>
                <w:rFonts w:eastAsiaTheme="minorEastAsia"/>
                <w:kern w:val="0"/>
                <w:szCs w:val="21"/>
              </w:rPr>
              <w:t>；其他</w:t>
            </w:r>
            <w:r w:rsidRPr="00FC1444">
              <w:rPr>
                <w:rFonts w:eastAsiaTheme="minorEastAsia"/>
                <w:kern w:val="0"/>
                <w:szCs w:val="21"/>
              </w:rPr>
              <w:t>□</w:t>
            </w:r>
          </w:p>
        </w:tc>
      </w:tr>
      <w:tr w:rsidR="002A5A5E" w:rsidRPr="00FC1444">
        <w:trPr>
          <w:trHeight w:val="333"/>
        </w:trPr>
        <w:tc>
          <w:tcPr>
            <w:tcW w:w="387" w:type="dxa"/>
            <w:vMerge w:val="restart"/>
            <w:tcBorders>
              <w:top w:val="single" w:sz="6" w:space="0" w:color="000000" w:themeColor="text1"/>
              <w:left w:val="single" w:sz="12"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影响评价</w:t>
            </w:r>
          </w:p>
        </w:tc>
        <w:tc>
          <w:tcPr>
            <w:tcW w:w="25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水污染控制和水环境影响减缓措施有效性评价</w:t>
            </w:r>
          </w:p>
        </w:tc>
        <w:tc>
          <w:tcPr>
            <w:tcW w:w="11112" w:type="dxa"/>
            <w:gridSpan w:val="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区（流）域水环境质量改善目标</w:t>
            </w:r>
            <w:r w:rsidRPr="00FC1444">
              <w:rPr>
                <w:rFonts w:eastAsiaTheme="minorEastAsia"/>
                <w:kern w:val="0"/>
                <w:szCs w:val="21"/>
              </w:rPr>
              <w:t>□</w:t>
            </w:r>
            <w:r w:rsidRPr="00FC1444">
              <w:rPr>
                <w:rFonts w:eastAsiaTheme="minorEastAsia"/>
                <w:kern w:val="0"/>
                <w:szCs w:val="21"/>
              </w:rPr>
              <w:t>；替代削减源</w:t>
            </w:r>
            <w:r w:rsidRPr="00FC1444">
              <w:rPr>
                <w:rFonts w:eastAsiaTheme="minorEastAsia"/>
                <w:kern w:val="0"/>
                <w:szCs w:val="21"/>
              </w:rPr>
              <w:t>□</w:t>
            </w:r>
          </w:p>
        </w:tc>
      </w:tr>
      <w:tr w:rsidR="002A5A5E" w:rsidRPr="00FC1444">
        <w:trPr>
          <w:trHeight w:val="2609"/>
        </w:trPr>
        <w:tc>
          <w:tcPr>
            <w:tcW w:w="387" w:type="dxa"/>
            <w:vMerge/>
            <w:tcBorders>
              <w:left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水环境影响评价</w:t>
            </w:r>
          </w:p>
        </w:tc>
        <w:tc>
          <w:tcPr>
            <w:tcW w:w="11112" w:type="dxa"/>
            <w:gridSpan w:val="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排放口混合区外满足水环境管理要求</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水环境功能区或水功能区、近岸海域环境功能区水质达标</w:t>
            </w:r>
            <w:r w:rsidRPr="00FC1444">
              <w:rPr>
                <w:rFonts w:eastAsiaTheme="minorEastAsia"/>
                <w:snapToGrid w:val="0"/>
                <w:kern w:val="0"/>
                <w:sz w:val="18"/>
                <w:szCs w:val="18"/>
              </w:rPr>
              <w:t>√</w:t>
            </w:r>
          </w:p>
          <w:p w:rsidR="002A5A5E" w:rsidRPr="00FC1444" w:rsidRDefault="00611CBA">
            <w:pPr>
              <w:jc w:val="left"/>
              <w:rPr>
                <w:rFonts w:eastAsiaTheme="minorEastAsia"/>
                <w:kern w:val="0"/>
                <w:szCs w:val="21"/>
              </w:rPr>
            </w:pPr>
            <w:r w:rsidRPr="00FC1444">
              <w:rPr>
                <w:rFonts w:eastAsiaTheme="minorEastAsia"/>
                <w:kern w:val="0"/>
                <w:szCs w:val="21"/>
              </w:rPr>
              <w:t>满足水环境保护目标水域水环境质量要求</w:t>
            </w:r>
            <w:r w:rsidRPr="00FC1444">
              <w:rPr>
                <w:rFonts w:eastAsiaTheme="minorEastAsia"/>
                <w:snapToGrid w:val="0"/>
                <w:kern w:val="0"/>
                <w:sz w:val="18"/>
                <w:szCs w:val="18"/>
              </w:rPr>
              <w:t>√</w:t>
            </w:r>
          </w:p>
          <w:p w:rsidR="002A5A5E" w:rsidRPr="00FC1444" w:rsidRDefault="00611CBA">
            <w:pPr>
              <w:jc w:val="left"/>
              <w:rPr>
                <w:rFonts w:eastAsiaTheme="minorEastAsia"/>
                <w:kern w:val="0"/>
                <w:szCs w:val="21"/>
              </w:rPr>
            </w:pPr>
            <w:r w:rsidRPr="00FC1444">
              <w:rPr>
                <w:rFonts w:eastAsiaTheme="minorEastAsia"/>
                <w:kern w:val="0"/>
                <w:szCs w:val="21"/>
              </w:rPr>
              <w:t>水环境控制单元或断面水质达标</w:t>
            </w:r>
            <w:r w:rsidRPr="00FC1444">
              <w:rPr>
                <w:rFonts w:eastAsiaTheme="minorEastAsia"/>
                <w:kern w:val="0"/>
                <w:szCs w:val="21"/>
              </w:rPr>
              <w:t xml:space="preserve"> □</w:t>
            </w:r>
          </w:p>
          <w:p w:rsidR="002A5A5E" w:rsidRPr="00FC1444" w:rsidRDefault="00611CBA">
            <w:pPr>
              <w:jc w:val="left"/>
              <w:rPr>
                <w:rFonts w:eastAsiaTheme="minorEastAsia"/>
                <w:kern w:val="0"/>
                <w:szCs w:val="21"/>
              </w:rPr>
            </w:pPr>
            <w:r w:rsidRPr="00FC1444">
              <w:rPr>
                <w:rFonts w:eastAsiaTheme="minorEastAsia"/>
                <w:kern w:val="0"/>
                <w:szCs w:val="21"/>
              </w:rPr>
              <w:t>满足重点水污染物排放总量控制指标要求，重点行业建设项目，主要污染物排放满足等量或减量替代要求</w:t>
            </w:r>
            <w:r w:rsidRPr="00FC1444">
              <w:rPr>
                <w:rFonts w:eastAsiaTheme="minorEastAsia"/>
                <w:kern w:val="0"/>
                <w:szCs w:val="21"/>
              </w:rPr>
              <w:t xml:space="preserve"> □</w:t>
            </w:r>
          </w:p>
          <w:p w:rsidR="002A5A5E" w:rsidRPr="00FC1444" w:rsidRDefault="00611CBA">
            <w:pPr>
              <w:jc w:val="left"/>
              <w:rPr>
                <w:rFonts w:eastAsiaTheme="minorEastAsia"/>
                <w:kern w:val="0"/>
                <w:szCs w:val="21"/>
              </w:rPr>
            </w:pPr>
            <w:r w:rsidRPr="00FC1444">
              <w:rPr>
                <w:rFonts w:eastAsiaTheme="minorEastAsia"/>
                <w:kern w:val="0"/>
                <w:szCs w:val="21"/>
              </w:rPr>
              <w:t>满足区（流）域水环境质量改善目标要求</w:t>
            </w:r>
            <w:r w:rsidRPr="00FC1444">
              <w:rPr>
                <w:rFonts w:eastAsiaTheme="minorEastAsia"/>
                <w:kern w:val="0"/>
                <w:szCs w:val="21"/>
              </w:rPr>
              <w:t xml:space="preserve"> □</w:t>
            </w:r>
          </w:p>
          <w:p w:rsidR="002A5A5E" w:rsidRPr="00FC1444" w:rsidRDefault="00611CBA">
            <w:pPr>
              <w:jc w:val="left"/>
              <w:rPr>
                <w:rFonts w:eastAsiaTheme="minorEastAsia"/>
                <w:kern w:val="0"/>
                <w:szCs w:val="21"/>
              </w:rPr>
            </w:pPr>
            <w:r w:rsidRPr="00FC1444">
              <w:rPr>
                <w:rFonts w:eastAsiaTheme="minorEastAsia"/>
                <w:kern w:val="0"/>
                <w:szCs w:val="21"/>
              </w:rPr>
              <w:t>水文要素影响型建设项目同时应包括水文情势变化评价、主要水文特征值影响评价、生态流量符合性评价</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对于新设或调整入河（湖库、近岸海域）排放口的建设项目，应包括排放口设置的环境合理性评价</w:t>
            </w:r>
            <w:r w:rsidRPr="00FC1444">
              <w:rPr>
                <w:rFonts w:eastAsiaTheme="minorEastAsia"/>
                <w:kern w:val="0"/>
                <w:szCs w:val="21"/>
              </w:rPr>
              <w:t>□</w:t>
            </w:r>
          </w:p>
          <w:p w:rsidR="002A5A5E" w:rsidRPr="00FC1444" w:rsidRDefault="00611CBA">
            <w:pPr>
              <w:jc w:val="left"/>
              <w:rPr>
                <w:rFonts w:eastAsiaTheme="minorEastAsia"/>
                <w:kern w:val="0"/>
                <w:szCs w:val="21"/>
              </w:rPr>
            </w:pPr>
            <w:r w:rsidRPr="00FC1444">
              <w:rPr>
                <w:rFonts w:eastAsiaTheme="minorEastAsia"/>
                <w:kern w:val="0"/>
                <w:szCs w:val="21"/>
              </w:rPr>
              <w:t>满足生态保护红线、水环境质量底线、资源利用上线和环境准入清单管理要求</w:t>
            </w:r>
            <w:r w:rsidRPr="00FC1444">
              <w:rPr>
                <w:rFonts w:eastAsiaTheme="minorEastAsia"/>
                <w:snapToGrid w:val="0"/>
                <w:kern w:val="0"/>
                <w:sz w:val="18"/>
                <w:szCs w:val="18"/>
              </w:rPr>
              <w:t>√</w:t>
            </w:r>
          </w:p>
        </w:tc>
      </w:tr>
      <w:tr w:rsidR="002A5A5E" w:rsidRPr="00FC1444">
        <w:trPr>
          <w:trHeight w:val="203"/>
        </w:trPr>
        <w:tc>
          <w:tcPr>
            <w:tcW w:w="387" w:type="dxa"/>
            <w:vMerge/>
            <w:tcBorders>
              <w:left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5" w:type="dxa"/>
            <w:vMerge w:val="restart"/>
            <w:tcBorders>
              <w:top w:val="single" w:sz="6" w:space="0" w:color="000000" w:themeColor="text1"/>
              <w:left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污染物排放量核算</w:t>
            </w:r>
          </w:p>
        </w:tc>
        <w:tc>
          <w:tcPr>
            <w:tcW w:w="3445" w:type="dxa"/>
            <w:gridSpan w:val="2"/>
            <w:tcBorders>
              <w:top w:val="single" w:sz="6" w:space="0" w:color="000000" w:themeColor="text1"/>
              <w:left w:val="single" w:sz="6" w:space="0" w:color="000000" w:themeColor="text1"/>
              <w:bottom w:val="single" w:sz="2" w:space="0" w:color="auto"/>
              <w:right w:val="single" w:sz="2" w:space="0" w:color="auto"/>
            </w:tcBorders>
          </w:tcPr>
          <w:p w:rsidR="002A5A5E" w:rsidRPr="00FC1444" w:rsidRDefault="00611CBA">
            <w:pPr>
              <w:rPr>
                <w:rFonts w:eastAsiaTheme="minorEastAsia"/>
                <w:kern w:val="0"/>
                <w:szCs w:val="21"/>
              </w:rPr>
            </w:pPr>
            <w:r w:rsidRPr="00FC1444">
              <w:rPr>
                <w:rFonts w:eastAsiaTheme="minorEastAsia"/>
                <w:kern w:val="0"/>
                <w:szCs w:val="21"/>
              </w:rPr>
              <w:t>污染物名称</w:t>
            </w:r>
          </w:p>
        </w:tc>
        <w:tc>
          <w:tcPr>
            <w:tcW w:w="4241" w:type="dxa"/>
            <w:gridSpan w:val="3"/>
            <w:tcBorders>
              <w:top w:val="single" w:sz="6" w:space="0" w:color="000000" w:themeColor="text1"/>
              <w:left w:val="single" w:sz="2" w:space="0" w:color="auto"/>
              <w:bottom w:val="single" w:sz="2" w:space="0" w:color="auto"/>
              <w:right w:val="single" w:sz="2" w:space="0" w:color="auto"/>
            </w:tcBorders>
          </w:tcPr>
          <w:p w:rsidR="002A5A5E" w:rsidRPr="00FC1444" w:rsidRDefault="00611CBA">
            <w:pPr>
              <w:rPr>
                <w:rFonts w:eastAsiaTheme="minorEastAsia"/>
                <w:kern w:val="0"/>
                <w:szCs w:val="21"/>
              </w:rPr>
            </w:pPr>
            <w:r w:rsidRPr="00FC1444">
              <w:rPr>
                <w:rFonts w:eastAsiaTheme="minorEastAsia"/>
                <w:kern w:val="0"/>
                <w:szCs w:val="21"/>
              </w:rPr>
              <w:t>排放量</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t/a</w:t>
            </w:r>
            <w:r w:rsidRPr="00FC1444">
              <w:rPr>
                <w:rFonts w:eastAsiaTheme="minorEastAsia"/>
                <w:kern w:val="0"/>
                <w:szCs w:val="21"/>
              </w:rPr>
              <w:t>）</w:t>
            </w:r>
          </w:p>
        </w:tc>
        <w:tc>
          <w:tcPr>
            <w:tcW w:w="3426" w:type="dxa"/>
            <w:gridSpan w:val="2"/>
            <w:tcBorders>
              <w:top w:val="single" w:sz="6" w:space="0" w:color="000000" w:themeColor="text1"/>
              <w:left w:val="single" w:sz="2" w:space="0" w:color="auto"/>
              <w:bottom w:val="single" w:sz="2" w:space="0" w:color="auto"/>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排放浓度</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mg/L</w:t>
            </w:r>
            <w:r w:rsidRPr="00FC1444">
              <w:rPr>
                <w:rFonts w:eastAsiaTheme="minorEastAsia"/>
                <w:kern w:val="0"/>
                <w:szCs w:val="21"/>
              </w:rPr>
              <w:t>）</w:t>
            </w:r>
          </w:p>
        </w:tc>
      </w:tr>
      <w:tr w:rsidR="002A5A5E" w:rsidRPr="00FC1444">
        <w:trPr>
          <w:trHeight w:val="62"/>
        </w:trPr>
        <w:tc>
          <w:tcPr>
            <w:tcW w:w="387" w:type="dxa"/>
            <w:vMerge/>
            <w:tcBorders>
              <w:left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5" w:type="dxa"/>
            <w:vMerge/>
            <w:tcBorders>
              <w:top w:val="single" w:sz="6" w:space="0" w:color="000000" w:themeColor="text1"/>
              <w:left w:val="single" w:sz="6" w:space="0" w:color="000000" w:themeColor="text1"/>
              <w:bottom w:val="single" w:sz="2" w:space="0" w:color="auto"/>
              <w:right w:val="single" w:sz="6" w:space="0" w:color="000000" w:themeColor="text1"/>
            </w:tcBorders>
          </w:tcPr>
          <w:p w:rsidR="002A5A5E" w:rsidRPr="00FC1444" w:rsidRDefault="002A5A5E">
            <w:pPr>
              <w:rPr>
                <w:rFonts w:eastAsiaTheme="minorEastAsia"/>
                <w:kern w:val="0"/>
                <w:szCs w:val="21"/>
              </w:rPr>
            </w:pPr>
          </w:p>
        </w:tc>
        <w:tc>
          <w:tcPr>
            <w:tcW w:w="3445" w:type="dxa"/>
            <w:gridSpan w:val="2"/>
            <w:tcBorders>
              <w:top w:val="single" w:sz="2" w:space="0" w:color="auto"/>
              <w:left w:val="single" w:sz="6" w:space="0" w:color="000000" w:themeColor="text1"/>
              <w:bottom w:val="single" w:sz="2" w:space="0" w:color="auto"/>
              <w:right w:val="single" w:sz="2" w:space="0" w:color="auto"/>
            </w:tcBorders>
          </w:tcPr>
          <w:p w:rsidR="002A5A5E" w:rsidRPr="00FC1444" w:rsidRDefault="00611CBA">
            <w:pPr>
              <w:rPr>
                <w:rFonts w:eastAsiaTheme="minorEastAsia"/>
                <w:kern w:val="0"/>
                <w:szCs w:val="21"/>
              </w:rPr>
            </w:pPr>
            <w:r w:rsidRPr="00FC1444">
              <w:rPr>
                <w:rFonts w:eastAsiaTheme="minorEastAsia"/>
                <w:kern w:val="0"/>
                <w:szCs w:val="21"/>
              </w:rPr>
              <w:t>（</w:t>
            </w:r>
            <w:r w:rsidRPr="00FC1444">
              <w:rPr>
                <w:rFonts w:eastAsiaTheme="minorEastAsia"/>
                <w:kern w:val="0"/>
                <w:szCs w:val="21"/>
              </w:rPr>
              <w:t>COD</w:t>
            </w:r>
            <w:r w:rsidRPr="00FC1444">
              <w:rPr>
                <w:rFonts w:eastAsiaTheme="minorEastAsia"/>
                <w:kern w:val="0"/>
                <w:szCs w:val="21"/>
              </w:rPr>
              <w:t>、氨氮、总磷</w:t>
            </w:r>
            <w:r w:rsidR="00843B6F" w:rsidRPr="00FC1444">
              <w:rPr>
                <w:rFonts w:eastAsiaTheme="minorEastAsia"/>
                <w:kern w:val="0"/>
                <w:szCs w:val="21"/>
              </w:rPr>
              <w:t>、总氮</w:t>
            </w:r>
            <w:r w:rsidRPr="00FC1444">
              <w:rPr>
                <w:rFonts w:eastAsiaTheme="minorEastAsia"/>
                <w:kern w:val="0"/>
                <w:szCs w:val="21"/>
              </w:rPr>
              <w:t>）</w:t>
            </w:r>
          </w:p>
        </w:tc>
        <w:tc>
          <w:tcPr>
            <w:tcW w:w="4241" w:type="dxa"/>
            <w:gridSpan w:val="3"/>
            <w:tcBorders>
              <w:top w:val="single" w:sz="2" w:space="0" w:color="auto"/>
              <w:left w:val="single" w:sz="2" w:space="0" w:color="auto"/>
              <w:bottom w:val="single" w:sz="2" w:space="0" w:color="auto"/>
              <w:right w:val="single" w:sz="2" w:space="0" w:color="auto"/>
            </w:tcBorders>
          </w:tcPr>
          <w:p w:rsidR="002A5A5E" w:rsidRPr="00FC1444" w:rsidRDefault="00611CBA" w:rsidP="00E467B1">
            <w:pPr>
              <w:rPr>
                <w:rFonts w:eastAsiaTheme="minorEastAsia"/>
                <w:kern w:val="0"/>
                <w:szCs w:val="21"/>
              </w:rPr>
            </w:pPr>
            <w:r w:rsidRPr="00FC1444">
              <w:rPr>
                <w:rFonts w:eastAsiaTheme="minorEastAsia"/>
                <w:kern w:val="0"/>
                <w:szCs w:val="21"/>
              </w:rPr>
              <w:t>（</w:t>
            </w:r>
            <w:r w:rsidR="0052136F" w:rsidRPr="00FC1444">
              <w:rPr>
                <w:bCs/>
                <w:szCs w:val="21"/>
              </w:rPr>
              <w:t>227.137</w:t>
            </w:r>
            <w:r w:rsidR="0052136F" w:rsidRPr="00FC1444">
              <w:rPr>
                <w:bCs/>
                <w:szCs w:val="21"/>
              </w:rPr>
              <w:t>、</w:t>
            </w:r>
            <w:r w:rsidR="0052136F" w:rsidRPr="00FC1444">
              <w:rPr>
                <w:bCs/>
                <w:szCs w:val="21"/>
              </w:rPr>
              <w:t>5.431</w:t>
            </w:r>
            <w:r w:rsidR="0052136F" w:rsidRPr="00FC1444">
              <w:rPr>
                <w:bCs/>
                <w:szCs w:val="21"/>
              </w:rPr>
              <w:t>、</w:t>
            </w:r>
            <w:r w:rsidR="0052136F" w:rsidRPr="00FC1444">
              <w:rPr>
                <w:bCs/>
                <w:szCs w:val="21"/>
              </w:rPr>
              <w:t>7.93</w:t>
            </w:r>
            <w:r w:rsidR="0052136F" w:rsidRPr="00FC1444">
              <w:rPr>
                <w:bCs/>
                <w:szCs w:val="21"/>
              </w:rPr>
              <w:t>、</w:t>
            </w:r>
            <w:r w:rsidR="0052136F" w:rsidRPr="00FC1444">
              <w:rPr>
                <w:bCs/>
                <w:szCs w:val="21"/>
              </w:rPr>
              <w:t>18.102</w:t>
            </w:r>
            <w:r w:rsidRPr="00FC1444">
              <w:rPr>
                <w:rFonts w:eastAsiaTheme="minorEastAsia"/>
                <w:kern w:val="0"/>
                <w:szCs w:val="21"/>
              </w:rPr>
              <w:t>）</w:t>
            </w:r>
          </w:p>
        </w:tc>
        <w:tc>
          <w:tcPr>
            <w:tcW w:w="3426" w:type="dxa"/>
            <w:gridSpan w:val="2"/>
            <w:tcBorders>
              <w:top w:val="single" w:sz="2" w:space="0" w:color="auto"/>
              <w:left w:val="single" w:sz="2" w:space="0" w:color="auto"/>
              <w:bottom w:val="single" w:sz="2" w:space="0" w:color="auto"/>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w:t>
            </w:r>
            <w:r w:rsidRPr="00FC1444">
              <w:rPr>
                <w:rFonts w:eastAsiaTheme="minorEastAsia"/>
                <w:bCs/>
                <w:kern w:val="0"/>
                <w:szCs w:val="21"/>
              </w:rPr>
              <w:t>52.7</w:t>
            </w:r>
            <w:r w:rsidRPr="00FC1444">
              <w:rPr>
                <w:rFonts w:eastAsiaTheme="minorEastAsia"/>
                <w:kern w:val="0"/>
                <w:szCs w:val="21"/>
              </w:rPr>
              <w:t>、</w:t>
            </w:r>
            <w:r w:rsidRPr="00FC1444">
              <w:rPr>
                <w:rFonts w:eastAsiaTheme="minorEastAsia"/>
                <w:bCs/>
                <w:kern w:val="0"/>
                <w:szCs w:val="21"/>
              </w:rPr>
              <w:t>1.26</w:t>
            </w:r>
            <w:r w:rsidRPr="00FC1444">
              <w:rPr>
                <w:rFonts w:eastAsiaTheme="minorEastAsia"/>
                <w:bCs/>
                <w:kern w:val="0"/>
                <w:szCs w:val="21"/>
              </w:rPr>
              <w:t>、</w:t>
            </w:r>
            <w:r w:rsidRPr="00FC1444">
              <w:rPr>
                <w:rFonts w:eastAsiaTheme="minorEastAsia"/>
                <w:bCs/>
                <w:kern w:val="0"/>
                <w:szCs w:val="21"/>
              </w:rPr>
              <w:t>1.84</w:t>
            </w:r>
            <w:r w:rsidR="00843B6F" w:rsidRPr="00FC1444">
              <w:rPr>
                <w:rFonts w:eastAsiaTheme="minorEastAsia"/>
                <w:bCs/>
                <w:kern w:val="0"/>
                <w:szCs w:val="21"/>
              </w:rPr>
              <w:t>、</w:t>
            </w:r>
            <w:r w:rsidR="00843B6F" w:rsidRPr="00FC1444">
              <w:rPr>
                <w:rFonts w:eastAsiaTheme="minorEastAsia"/>
                <w:bCs/>
                <w:kern w:val="0"/>
                <w:szCs w:val="21"/>
              </w:rPr>
              <w:t>4.2</w:t>
            </w:r>
            <w:r w:rsidRPr="00FC1444">
              <w:rPr>
                <w:rFonts w:eastAsiaTheme="minorEastAsia"/>
                <w:kern w:val="0"/>
                <w:szCs w:val="21"/>
              </w:rPr>
              <w:t>）</w:t>
            </w:r>
          </w:p>
        </w:tc>
      </w:tr>
      <w:tr w:rsidR="002A5A5E" w:rsidRPr="00FC1444">
        <w:trPr>
          <w:trHeight w:val="132"/>
        </w:trPr>
        <w:tc>
          <w:tcPr>
            <w:tcW w:w="387" w:type="dxa"/>
            <w:vMerge/>
            <w:tcBorders>
              <w:left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5" w:type="dxa"/>
            <w:vMerge w:val="restart"/>
            <w:tcBorders>
              <w:top w:val="single" w:sz="2" w:space="0" w:color="auto"/>
              <w:left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替代源排放情况</w:t>
            </w:r>
          </w:p>
        </w:tc>
        <w:tc>
          <w:tcPr>
            <w:tcW w:w="2076" w:type="dxa"/>
            <w:tcBorders>
              <w:top w:val="single" w:sz="2" w:space="0" w:color="auto"/>
              <w:left w:val="single" w:sz="6" w:space="0" w:color="000000" w:themeColor="text1"/>
              <w:bottom w:val="single" w:sz="2" w:space="0" w:color="auto"/>
              <w:right w:val="single" w:sz="2" w:space="0" w:color="auto"/>
            </w:tcBorders>
          </w:tcPr>
          <w:p w:rsidR="002A5A5E" w:rsidRPr="00FC1444" w:rsidRDefault="00611CBA">
            <w:pPr>
              <w:rPr>
                <w:rFonts w:eastAsiaTheme="minorEastAsia"/>
                <w:kern w:val="0"/>
                <w:szCs w:val="21"/>
              </w:rPr>
            </w:pPr>
            <w:r w:rsidRPr="00FC1444">
              <w:rPr>
                <w:rFonts w:eastAsiaTheme="minorEastAsia"/>
                <w:kern w:val="0"/>
                <w:szCs w:val="21"/>
              </w:rPr>
              <w:t>污染源名称</w:t>
            </w:r>
          </w:p>
        </w:tc>
        <w:tc>
          <w:tcPr>
            <w:tcW w:w="2385" w:type="dxa"/>
            <w:gridSpan w:val="2"/>
            <w:tcBorders>
              <w:top w:val="single" w:sz="2" w:space="0" w:color="auto"/>
              <w:left w:val="single" w:sz="2" w:space="0" w:color="auto"/>
              <w:bottom w:val="single" w:sz="2" w:space="0" w:color="auto"/>
              <w:right w:val="single" w:sz="2" w:space="0" w:color="auto"/>
            </w:tcBorders>
          </w:tcPr>
          <w:p w:rsidR="002A5A5E" w:rsidRPr="00FC1444" w:rsidRDefault="00611CBA">
            <w:pPr>
              <w:rPr>
                <w:rFonts w:eastAsiaTheme="minorEastAsia"/>
                <w:kern w:val="0"/>
                <w:szCs w:val="21"/>
              </w:rPr>
            </w:pPr>
            <w:r w:rsidRPr="00FC1444">
              <w:rPr>
                <w:rFonts w:eastAsiaTheme="minorEastAsia"/>
                <w:kern w:val="0"/>
                <w:szCs w:val="21"/>
              </w:rPr>
              <w:t>排污许可证编号</w:t>
            </w:r>
          </w:p>
        </w:tc>
        <w:tc>
          <w:tcPr>
            <w:tcW w:w="2516" w:type="dxa"/>
            <w:tcBorders>
              <w:top w:val="single" w:sz="2" w:space="0" w:color="auto"/>
              <w:left w:val="single" w:sz="2" w:space="0" w:color="auto"/>
              <w:bottom w:val="single" w:sz="2" w:space="0" w:color="auto"/>
              <w:right w:val="single" w:sz="2" w:space="0" w:color="auto"/>
            </w:tcBorders>
          </w:tcPr>
          <w:p w:rsidR="002A5A5E" w:rsidRPr="00FC1444" w:rsidRDefault="00611CBA">
            <w:pPr>
              <w:rPr>
                <w:rFonts w:eastAsiaTheme="minorEastAsia"/>
                <w:kern w:val="0"/>
                <w:szCs w:val="21"/>
              </w:rPr>
            </w:pPr>
            <w:r w:rsidRPr="00FC1444">
              <w:rPr>
                <w:rFonts w:eastAsiaTheme="minorEastAsia"/>
                <w:kern w:val="0"/>
                <w:szCs w:val="21"/>
              </w:rPr>
              <w:t>污染物名称</w:t>
            </w:r>
          </w:p>
        </w:tc>
        <w:tc>
          <w:tcPr>
            <w:tcW w:w="2126" w:type="dxa"/>
            <w:gridSpan w:val="2"/>
            <w:tcBorders>
              <w:top w:val="single" w:sz="2" w:space="0" w:color="auto"/>
              <w:left w:val="single" w:sz="2" w:space="0" w:color="auto"/>
              <w:bottom w:val="single" w:sz="2" w:space="0" w:color="auto"/>
              <w:right w:val="single" w:sz="2" w:space="0" w:color="auto"/>
            </w:tcBorders>
          </w:tcPr>
          <w:p w:rsidR="002A5A5E" w:rsidRPr="00FC1444" w:rsidRDefault="00611CBA">
            <w:pPr>
              <w:rPr>
                <w:rFonts w:eastAsiaTheme="minorEastAsia"/>
                <w:kern w:val="0"/>
                <w:szCs w:val="21"/>
              </w:rPr>
            </w:pPr>
            <w:r w:rsidRPr="00FC1444">
              <w:rPr>
                <w:rFonts w:eastAsiaTheme="minorEastAsia"/>
                <w:kern w:val="0"/>
                <w:szCs w:val="21"/>
              </w:rPr>
              <w:t>排放量</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t/a</w:t>
            </w:r>
            <w:r w:rsidRPr="00FC1444">
              <w:rPr>
                <w:rFonts w:eastAsiaTheme="minorEastAsia"/>
                <w:kern w:val="0"/>
                <w:szCs w:val="21"/>
              </w:rPr>
              <w:t>）</w:t>
            </w:r>
          </w:p>
        </w:tc>
        <w:tc>
          <w:tcPr>
            <w:tcW w:w="2009" w:type="dxa"/>
            <w:tcBorders>
              <w:top w:val="single" w:sz="2" w:space="0" w:color="auto"/>
              <w:left w:val="single" w:sz="2" w:space="0" w:color="auto"/>
              <w:bottom w:val="single" w:sz="2" w:space="0" w:color="auto"/>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排放浓度</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mg/L</w:t>
            </w:r>
            <w:r w:rsidRPr="00FC1444">
              <w:rPr>
                <w:rFonts w:eastAsiaTheme="minorEastAsia"/>
                <w:kern w:val="0"/>
                <w:szCs w:val="21"/>
              </w:rPr>
              <w:t>）</w:t>
            </w:r>
          </w:p>
        </w:tc>
      </w:tr>
      <w:tr w:rsidR="002A5A5E" w:rsidRPr="00FC1444">
        <w:trPr>
          <w:trHeight w:val="106"/>
        </w:trPr>
        <w:tc>
          <w:tcPr>
            <w:tcW w:w="387" w:type="dxa"/>
            <w:vMerge/>
            <w:tcBorders>
              <w:left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5" w:type="dxa"/>
            <w:vMerge/>
            <w:tcBorders>
              <w:left w:val="single" w:sz="6" w:space="0" w:color="000000" w:themeColor="text1"/>
              <w:right w:val="single" w:sz="6" w:space="0" w:color="000000" w:themeColor="text1"/>
            </w:tcBorders>
          </w:tcPr>
          <w:p w:rsidR="002A5A5E" w:rsidRPr="00FC1444" w:rsidRDefault="002A5A5E">
            <w:pPr>
              <w:rPr>
                <w:rFonts w:eastAsiaTheme="minorEastAsia"/>
                <w:kern w:val="0"/>
                <w:szCs w:val="21"/>
              </w:rPr>
            </w:pPr>
          </w:p>
        </w:tc>
        <w:tc>
          <w:tcPr>
            <w:tcW w:w="2076" w:type="dxa"/>
            <w:tcBorders>
              <w:top w:val="single" w:sz="2" w:space="0" w:color="auto"/>
              <w:left w:val="single" w:sz="6" w:space="0" w:color="000000" w:themeColor="text1"/>
              <w:bottom w:val="single" w:sz="2" w:space="0" w:color="auto"/>
              <w:right w:val="single" w:sz="2" w:space="0" w:color="auto"/>
            </w:tcBorders>
          </w:tcPr>
          <w:p w:rsidR="002A5A5E" w:rsidRPr="00FC1444" w:rsidRDefault="00611CBA">
            <w:pPr>
              <w:rPr>
                <w:rFonts w:eastAsiaTheme="minorEastAsia"/>
                <w:kern w:val="0"/>
                <w:szCs w:val="21"/>
              </w:rPr>
            </w:pPr>
            <w:r w:rsidRPr="00FC1444">
              <w:rPr>
                <w:rFonts w:eastAsiaTheme="minorEastAsia"/>
                <w:kern w:val="0"/>
                <w:szCs w:val="21"/>
              </w:rPr>
              <w:t>（）</w:t>
            </w:r>
          </w:p>
        </w:tc>
        <w:tc>
          <w:tcPr>
            <w:tcW w:w="2385" w:type="dxa"/>
            <w:gridSpan w:val="2"/>
            <w:tcBorders>
              <w:top w:val="single" w:sz="2" w:space="0" w:color="auto"/>
              <w:left w:val="single" w:sz="2" w:space="0" w:color="auto"/>
              <w:bottom w:val="single" w:sz="2" w:space="0" w:color="auto"/>
              <w:right w:val="single" w:sz="2" w:space="0" w:color="auto"/>
            </w:tcBorders>
          </w:tcPr>
          <w:p w:rsidR="002A5A5E" w:rsidRPr="00FC1444" w:rsidRDefault="00611CBA">
            <w:pPr>
              <w:rPr>
                <w:rFonts w:eastAsiaTheme="minorEastAsia"/>
                <w:kern w:val="0"/>
                <w:szCs w:val="21"/>
              </w:rPr>
            </w:pPr>
            <w:r w:rsidRPr="00FC1444">
              <w:rPr>
                <w:rFonts w:eastAsiaTheme="minorEastAsia"/>
                <w:kern w:val="0"/>
                <w:szCs w:val="21"/>
              </w:rPr>
              <w:t>（）</w:t>
            </w:r>
          </w:p>
        </w:tc>
        <w:tc>
          <w:tcPr>
            <w:tcW w:w="2516" w:type="dxa"/>
            <w:tcBorders>
              <w:top w:val="single" w:sz="2" w:space="0" w:color="auto"/>
              <w:left w:val="single" w:sz="2" w:space="0" w:color="auto"/>
              <w:bottom w:val="single" w:sz="2" w:space="0" w:color="auto"/>
              <w:right w:val="single" w:sz="2" w:space="0" w:color="auto"/>
            </w:tcBorders>
          </w:tcPr>
          <w:p w:rsidR="002A5A5E" w:rsidRPr="00FC1444" w:rsidRDefault="00611CBA">
            <w:pPr>
              <w:rPr>
                <w:rFonts w:eastAsiaTheme="minorEastAsia"/>
                <w:kern w:val="0"/>
                <w:szCs w:val="21"/>
              </w:rPr>
            </w:pPr>
            <w:r w:rsidRPr="00FC1444">
              <w:rPr>
                <w:rFonts w:eastAsiaTheme="minorEastAsia"/>
                <w:kern w:val="0"/>
                <w:szCs w:val="21"/>
              </w:rPr>
              <w:t>（）</w:t>
            </w:r>
          </w:p>
        </w:tc>
        <w:tc>
          <w:tcPr>
            <w:tcW w:w="2126" w:type="dxa"/>
            <w:gridSpan w:val="2"/>
            <w:tcBorders>
              <w:top w:val="single" w:sz="2" w:space="0" w:color="auto"/>
              <w:left w:val="single" w:sz="2" w:space="0" w:color="auto"/>
              <w:bottom w:val="single" w:sz="2" w:space="0" w:color="auto"/>
              <w:right w:val="single" w:sz="2" w:space="0" w:color="auto"/>
            </w:tcBorders>
          </w:tcPr>
          <w:p w:rsidR="002A5A5E" w:rsidRPr="00FC1444" w:rsidRDefault="00611CBA">
            <w:pPr>
              <w:rPr>
                <w:rFonts w:eastAsiaTheme="minorEastAsia"/>
                <w:kern w:val="0"/>
                <w:szCs w:val="21"/>
              </w:rPr>
            </w:pPr>
            <w:r w:rsidRPr="00FC1444">
              <w:rPr>
                <w:rFonts w:eastAsiaTheme="minorEastAsia"/>
                <w:kern w:val="0"/>
                <w:szCs w:val="21"/>
              </w:rPr>
              <w:t>（）</w:t>
            </w:r>
          </w:p>
        </w:tc>
        <w:tc>
          <w:tcPr>
            <w:tcW w:w="2009" w:type="dxa"/>
            <w:tcBorders>
              <w:top w:val="single" w:sz="2" w:space="0" w:color="auto"/>
              <w:left w:val="single" w:sz="2" w:space="0" w:color="auto"/>
              <w:bottom w:val="single" w:sz="2" w:space="0" w:color="auto"/>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w:t>
            </w:r>
          </w:p>
        </w:tc>
      </w:tr>
      <w:tr w:rsidR="002A5A5E" w:rsidRPr="00FC1444">
        <w:trPr>
          <w:trHeight w:val="106"/>
        </w:trPr>
        <w:tc>
          <w:tcPr>
            <w:tcW w:w="387" w:type="dxa"/>
            <w:vMerge/>
            <w:tcBorders>
              <w:left w:val="single" w:sz="12"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25" w:type="dxa"/>
            <w:tcBorders>
              <w:left w:val="single" w:sz="6" w:space="0" w:color="000000" w:themeColor="text1"/>
              <w:bottom w:val="single" w:sz="12" w:space="0" w:color="auto"/>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生态流量确定</w:t>
            </w:r>
          </w:p>
        </w:tc>
        <w:tc>
          <w:tcPr>
            <w:tcW w:w="11112" w:type="dxa"/>
            <w:gridSpan w:val="7"/>
            <w:tcBorders>
              <w:top w:val="single" w:sz="2" w:space="0" w:color="auto"/>
              <w:left w:val="single" w:sz="6" w:space="0" w:color="000000" w:themeColor="text1"/>
              <w:bottom w:val="single" w:sz="12" w:space="0" w:color="auto"/>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生态流量：一般水期（）</w:t>
            </w:r>
            <w:r w:rsidRPr="00FC1444">
              <w:rPr>
                <w:rFonts w:eastAsiaTheme="minorEastAsia"/>
                <w:kern w:val="0"/>
                <w:szCs w:val="21"/>
              </w:rPr>
              <w:t>m</w:t>
            </w:r>
            <w:r w:rsidRPr="00FC1444">
              <w:rPr>
                <w:rFonts w:eastAsiaTheme="minorEastAsia"/>
                <w:kern w:val="0"/>
                <w:szCs w:val="21"/>
                <w:vertAlign w:val="superscript"/>
              </w:rPr>
              <w:t>3</w:t>
            </w:r>
            <w:r w:rsidRPr="00FC1444">
              <w:rPr>
                <w:rFonts w:eastAsiaTheme="minorEastAsia"/>
                <w:kern w:val="0"/>
                <w:szCs w:val="21"/>
              </w:rPr>
              <w:t>/s</w:t>
            </w:r>
            <w:r w:rsidRPr="00FC1444">
              <w:rPr>
                <w:rFonts w:eastAsiaTheme="minorEastAsia"/>
                <w:kern w:val="0"/>
                <w:szCs w:val="21"/>
              </w:rPr>
              <w:t>；鱼类繁殖期（）</w:t>
            </w:r>
            <w:r w:rsidRPr="00FC1444">
              <w:rPr>
                <w:rFonts w:eastAsiaTheme="minorEastAsia"/>
                <w:kern w:val="0"/>
                <w:szCs w:val="21"/>
              </w:rPr>
              <w:t>m</w:t>
            </w:r>
            <w:r w:rsidRPr="00FC1444">
              <w:rPr>
                <w:rFonts w:eastAsiaTheme="minorEastAsia"/>
                <w:kern w:val="0"/>
                <w:szCs w:val="21"/>
                <w:vertAlign w:val="superscript"/>
              </w:rPr>
              <w:t>3</w:t>
            </w:r>
            <w:r w:rsidRPr="00FC1444">
              <w:rPr>
                <w:rFonts w:eastAsiaTheme="minorEastAsia"/>
                <w:kern w:val="0"/>
                <w:szCs w:val="21"/>
              </w:rPr>
              <w:t>/s</w:t>
            </w:r>
            <w:r w:rsidRPr="00FC1444">
              <w:rPr>
                <w:rFonts w:eastAsiaTheme="minorEastAsia"/>
                <w:kern w:val="0"/>
                <w:szCs w:val="21"/>
              </w:rPr>
              <w:t>；其他（）</w:t>
            </w:r>
            <w:r w:rsidRPr="00FC1444">
              <w:rPr>
                <w:rFonts w:eastAsiaTheme="minorEastAsia"/>
                <w:kern w:val="0"/>
                <w:szCs w:val="21"/>
              </w:rPr>
              <w:t>m</w:t>
            </w:r>
            <w:r w:rsidRPr="00FC1444">
              <w:rPr>
                <w:rFonts w:eastAsiaTheme="minorEastAsia"/>
                <w:kern w:val="0"/>
                <w:szCs w:val="21"/>
                <w:vertAlign w:val="superscript"/>
              </w:rPr>
              <w:t>3</w:t>
            </w:r>
            <w:r w:rsidRPr="00FC1444">
              <w:rPr>
                <w:rFonts w:eastAsiaTheme="minorEastAsia"/>
                <w:kern w:val="0"/>
                <w:szCs w:val="21"/>
              </w:rPr>
              <w:t>/s</w:t>
            </w:r>
          </w:p>
          <w:p w:rsidR="002A5A5E" w:rsidRPr="00FC1444" w:rsidRDefault="00611CBA">
            <w:pPr>
              <w:jc w:val="left"/>
              <w:rPr>
                <w:rFonts w:eastAsiaTheme="minorEastAsia"/>
                <w:kern w:val="0"/>
                <w:szCs w:val="21"/>
              </w:rPr>
            </w:pPr>
            <w:r w:rsidRPr="00FC1444">
              <w:rPr>
                <w:rFonts w:eastAsiaTheme="minorEastAsia"/>
                <w:kern w:val="0"/>
                <w:szCs w:val="21"/>
              </w:rPr>
              <w:t>生态水位：一般水期（）</w:t>
            </w:r>
            <w:r w:rsidRPr="00FC1444">
              <w:rPr>
                <w:rFonts w:eastAsiaTheme="minorEastAsia"/>
                <w:kern w:val="0"/>
                <w:szCs w:val="21"/>
              </w:rPr>
              <w:t>m</w:t>
            </w:r>
            <w:r w:rsidRPr="00FC1444">
              <w:rPr>
                <w:rFonts w:eastAsiaTheme="minorEastAsia"/>
                <w:kern w:val="0"/>
                <w:szCs w:val="21"/>
              </w:rPr>
              <w:t>；鱼类繁殖期（）</w:t>
            </w:r>
            <w:r w:rsidRPr="00FC1444">
              <w:rPr>
                <w:rFonts w:eastAsiaTheme="minorEastAsia"/>
                <w:kern w:val="0"/>
                <w:szCs w:val="21"/>
              </w:rPr>
              <w:t>m</w:t>
            </w:r>
            <w:r w:rsidRPr="00FC1444">
              <w:rPr>
                <w:rFonts w:eastAsiaTheme="minorEastAsia"/>
                <w:kern w:val="0"/>
                <w:szCs w:val="21"/>
              </w:rPr>
              <w:t>；其他（）</w:t>
            </w:r>
            <w:r w:rsidRPr="00FC1444">
              <w:rPr>
                <w:rFonts w:eastAsiaTheme="minorEastAsia"/>
                <w:kern w:val="0"/>
                <w:szCs w:val="21"/>
              </w:rPr>
              <w:t>m</w:t>
            </w:r>
          </w:p>
        </w:tc>
      </w:tr>
    </w:tbl>
    <w:p w:rsidR="002A5A5E" w:rsidRPr="00FC1444" w:rsidRDefault="002A5A5E">
      <w:pPr>
        <w:jc w:val="right"/>
        <w:rPr>
          <w:rFonts w:eastAsiaTheme="minorEastAsia"/>
          <w:b/>
        </w:rPr>
      </w:pPr>
    </w:p>
    <w:p w:rsidR="002A5A5E" w:rsidRPr="00FC1444" w:rsidRDefault="002A5A5E">
      <w:pPr>
        <w:jc w:val="right"/>
        <w:rPr>
          <w:rFonts w:eastAsiaTheme="minorEastAsia"/>
          <w:b/>
        </w:rPr>
      </w:pPr>
    </w:p>
    <w:p w:rsidR="002A5A5E" w:rsidRPr="00FC1444" w:rsidRDefault="002A5A5E">
      <w:pPr>
        <w:jc w:val="right"/>
        <w:rPr>
          <w:rFonts w:eastAsiaTheme="minorEastAsia"/>
          <w:b/>
        </w:rPr>
      </w:pPr>
    </w:p>
    <w:p w:rsidR="002A5A5E" w:rsidRPr="00FC1444" w:rsidRDefault="00611CBA">
      <w:pPr>
        <w:jc w:val="right"/>
        <w:rPr>
          <w:rFonts w:eastAsiaTheme="minorEastAsia"/>
          <w:b/>
          <w:szCs w:val="22"/>
        </w:rPr>
      </w:pPr>
      <w:r w:rsidRPr="00FC1444">
        <w:rPr>
          <w:rFonts w:eastAsiaTheme="minorEastAsia"/>
          <w:b/>
        </w:rPr>
        <w:lastRenderedPageBreak/>
        <w:t>续表</w:t>
      </w:r>
    </w:p>
    <w:tbl>
      <w:tblPr>
        <w:tblStyle w:val="aff6"/>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tblPr>
      <w:tblGrid>
        <w:gridCol w:w="392"/>
        <w:gridCol w:w="2551"/>
        <w:gridCol w:w="3743"/>
        <w:gridCol w:w="3744"/>
        <w:gridCol w:w="3744"/>
      </w:tblGrid>
      <w:tr w:rsidR="002A5A5E" w:rsidRPr="00FC1444">
        <w:tc>
          <w:tcPr>
            <w:tcW w:w="2943" w:type="dxa"/>
            <w:gridSpan w:val="2"/>
            <w:tcBorders>
              <w:top w:val="single" w:sz="12"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工作内容</w:t>
            </w:r>
          </w:p>
        </w:tc>
        <w:tc>
          <w:tcPr>
            <w:tcW w:w="11231" w:type="dxa"/>
            <w:gridSpan w:val="3"/>
            <w:tcBorders>
              <w:top w:val="single" w:sz="12"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自查项目</w:t>
            </w:r>
          </w:p>
        </w:tc>
      </w:tr>
      <w:tr w:rsidR="002A5A5E" w:rsidRPr="00FC1444">
        <w:tc>
          <w:tcPr>
            <w:tcW w:w="392"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防治措施</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环保措施</w:t>
            </w:r>
          </w:p>
        </w:tc>
        <w:tc>
          <w:tcPr>
            <w:tcW w:w="11231"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污水处理设施</w:t>
            </w:r>
            <w:r w:rsidRPr="00FC1444">
              <w:rPr>
                <w:rFonts w:eastAsiaTheme="minorEastAsia"/>
                <w:kern w:val="0"/>
                <w:szCs w:val="21"/>
              </w:rPr>
              <w:t>□</w:t>
            </w:r>
            <w:r w:rsidRPr="00FC1444">
              <w:rPr>
                <w:rFonts w:eastAsiaTheme="minorEastAsia"/>
                <w:kern w:val="0"/>
                <w:szCs w:val="21"/>
              </w:rPr>
              <w:t>；水文减缓设施</w:t>
            </w:r>
            <w:r w:rsidRPr="00FC1444">
              <w:rPr>
                <w:rFonts w:eastAsiaTheme="minorEastAsia"/>
                <w:kern w:val="0"/>
                <w:szCs w:val="21"/>
              </w:rPr>
              <w:t>□</w:t>
            </w:r>
            <w:r w:rsidRPr="00FC1444">
              <w:rPr>
                <w:rFonts w:eastAsiaTheme="minorEastAsia"/>
                <w:kern w:val="0"/>
                <w:szCs w:val="21"/>
              </w:rPr>
              <w:t>；生态流量保障措施</w:t>
            </w:r>
            <w:r w:rsidRPr="00FC1444">
              <w:rPr>
                <w:rFonts w:eastAsiaTheme="minorEastAsia"/>
                <w:kern w:val="0"/>
                <w:szCs w:val="21"/>
              </w:rPr>
              <w:t>□</w:t>
            </w:r>
            <w:r w:rsidRPr="00FC1444">
              <w:rPr>
                <w:rFonts w:eastAsiaTheme="minorEastAsia"/>
                <w:kern w:val="0"/>
                <w:szCs w:val="21"/>
              </w:rPr>
              <w:t>；区域削减</w:t>
            </w:r>
            <w:r w:rsidRPr="00FC1444">
              <w:rPr>
                <w:rFonts w:eastAsiaTheme="minorEastAsia"/>
                <w:kern w:val="0"/>
                <w:szCs w:val="21"/>
              </w:rPr>
              <w:t>□</w:t>
            </w:r>
            <w:r w:rsidRPr="00FC1444">
              <w:rPr>
                <w:rFonts w:eastAsiaTheme="minorEastAsia"/>
                <w:kern w:val="0"/>
                <w:szCs w:val="21"/>
              </w:rPr>
              <w:t>；依托其他工程措施</w:t>
            </w:r>
            <w:r w:rsidRPr="00FC1444">
              <w:rPr>
                <w:rFonts w:eastAsiaTheme="minorEastAsia"/>
                <w:kern w:val="0"/>
                <w:szCs w:val="21"/>
              </w:rPr>
              <w:t>□</w:t>
            </w:r>
            <w:r w:rsidRPr="00FC1444">
              <w:rPr>
                <w:rFonts w:eastAsiaTheme="minorEastAsia"/>
                <w:kern w:val="0"/>
                <w:szCs w:val="21"/>
              </w:rPr>
              <w:t>；其他</w:t>
            </w:r>
            <w:r w:rsidRPr="00FC1444">
              <w:rPr>
                <w:rFonts w:eastAsiaTheme="minorEastAsia"/>
                <w:snapToGrid w:val="0"/>
                <w:kern w:val="0"/>
                <w:sz w:val="18"/>
                <w:szCs w:val="18"/>
              </w:rPr>
              <w:t>√</w:t>
            </w:r>
          </w:p>
        </w:tc>
      </w:tr>
      <w:tr w:rsidR="002A5A5E" w:rsidRPr="00FC1444">
        <w:tc>
          <w:tcPr>
            <w:tcW w:w="392"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5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监测计划</w:t>
            </w:r>
          </w:p>
        </w:tc>
        <w:tc>
          <w:tcPr>
            <w:tcW w:w="37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rPr>
                <w:rFonts w:eastAsiaTheme="minorEastAsia"/>
                <w:kern w:val="0"/>
                <w:szCs w:val="21"/>
              </w:rPr>
            </w:pPr>
          </w:p>
        </w:tc>
        <w:tc>
          <w:tcPr>
            <w:tcW w:w="37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环境质量</w:t>
            </w:r>
          </w:p>
        </w:tc>
        <w:tc>
          <w:tcPr>
            <w:tcW w:w="374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污染源</w:t>
            </w:r>
          </w:p>
        </w:tc>
      </w:tr>
      <w:tr w:rsidR="002A5A5E" w:rsidRPr="00FC1444">
        <w:tc>
          <w:tcPr>
            <w:tcW w:w="392"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51"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37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监测方式</w:t>
            </w:r>
          </w:p>
        </w:tc>
        <w:tc>
          <w:tcPr>
            <w:tcW w:w="37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手动</w:t>
            </w:r>
            <w:r w:rsidRPr="00FC1444">
              <w:rPr>
                <w:rFonts w:eastAsiaTheme="minorEastAsia"/>
                <w:snapToGrid w:val="0"/>
                <w:kern w:val="0"/>
                <w:sz w:val="18"/>
                <w:szCs w:val="18"/>
              </w:rPr>
              <w:t>√</w:t>
            </w:r>
            <w:r w:rsidRPr="00FC1444">
              <w:rPr>
                <w:rFonts w:eastAsiaTheme="minorEastAsia"/>
                <w:kern w:val="0"/>
                <w:szCs w:val="21"/>
              </w:rPr>
              <w:t>；自动</w:t>
            </w:r>
            <w:r w:rsidRPr="00FC1444">
              <w:rPr>
                <w:rFonts w:eastAsiaTheme="minorEastAsia"/>
                <w:kern w:val="0"/>
                <w:szCs w:val="21"/>
              </w:rPr>
              <w:t>□</w:t>
            </w:r>
            <w:r w:rsidRPr="00FC1444">
              <w:rPr>
                <w:rFonts w:eastAsiaTheme="minorEastAsia"/>
                <w:kern w:val="0"/>
                <w:szCs w:val="21"/>
              </w:rPr>
              <w:t>；无监测</w:t>
            </w:r>
            <w:r w:rsidRPr="00FC1444">
              <w:rPr>
                <w:rFonts w:eastAsiaTheme="minorEastAsia"/>
                <w:kern w:val="0"/>
                <w:szCs w:val="21"/>
              </w:rPr>
              <w:t>□</w:t>
            </w:r>
          </w:p>
        </w:tc>
        <w:tc>
          <w:tcPr>
            <w:tcW w:w="374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手动</w:t>
            </w:r>
            <w:r w:rsidRPr="00FC1444">
              <w:rPr>
                <w:rFonts w:eastAsiaTheme="minorEastAsia"/>
                <w:kern w:val="0"/>
                <w:szCs w:val="21"/>
              </w:rPr>
              <w:t>□</w:t>
            </w:r>
            <w:r w:rsidRPr="00FC1444">
              <w:rPr>
                <w:rFonts w:eastAsiaTheme="minorEastAsia"/>
                <w:kern w:val="0"/>
                <w:szCs w:val="21"/>
              </w:rPr>
              <w:t>；自动</w:t>
            </w:r>
            <w:r w:rsidRPr="00FC1444">
              <w:rPr>
                <w:rFonts w:eastAsiaTheme="minorEastAsia"/>
                <w:kern w:val="0"/>
                <w:szCs w:val="21"/>
              </w:rPr>
              <w:t>□</w:t>
            </w:r>
            <w:r w:rsidRPr="00FC1444">
              <w:rPr>
                <w:rFonts w:eastAsiaTheme="minorEastAsia"/>
                <w:kern w:val="0"/>
                <w:szCs w:val="21"/>
              </w:rPr>
              <w:t>；无监测</w:t>
            </w:r>
            <w:r w:rsidRPr="00FC1444">
              <w:rPr>
                <w:rFonts w:eastAsiaTheme="minorEastAsia"/>
                <w:kern w:val="0"/>
                <w:szCs w:val="21"/>
              </w:rPr>
              <w:t>□</w:t>
            </w:r>
          </w:p>
        </w:tc>
      </w:tr>
      <w:tr w:rsidR="002A5A5E" w:rsidRPr="00FC1444">
        <w:tc>
          <w:tcPr>
            <w:tcW w:w="392"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51"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37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监测点位</w:t>
            </w:r>
          </w:p>
        </w:tc>
        <w:tc>
          <w:tcPr>
            <w:tcW w:w="37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w:t>
            </w:r>
            <w:r w:rsidRPr="00FC1444">
              <w:rPr>
                <w:rFonts w:eastAsiaTheme="minorEastAsia"/>
                <w:kern w:val="0"/>
                <w:szCs w:val="21"/>
              </w:rPr>
              <w:t>3</w:t>
            </w:r>
            <w:r w:rsidRPr="00FC1444">
              <w:rPr>
                <w:rFonts w:eastAsiaTheme="minorEastAsia"/>
                <w:kern w:val="0"/>
                <w:szCs w:val="21"/>
              </w:rPr>
              <w:t>）</w:t>
            </w:r>
          </w:p>
        </w:tc>
        <w:tc>
          <w:tcPr>
            <w:tcW w:w="374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w:t>
            </w:r>
          </w:p>
        </w:tc>
      </w:tr>
      <w:tr w:rsidR="002A5A5E" w:rsidRPr="00FC1444">
        <w:tc>
          <w:tcPr>
            <w:tcW w:w="392"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51"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37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监测因子</w:t>
            </w:r>
          </w:p>
        </w:tc>
        <w:tc>
          <w:tcPr>
            <w:tcW w:w="37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0"/>
              </w:rPr>
              <w:t>（</w:t>
            </w:r>
            <w:r w:rsidRPr="00FC1444">
              <w:rPr>
                <w:rFonts w:eastAsiaTheme="minorEastAsia"/>
                <w:kern w:val="0"/>
                <w:szCs w:val="20"/>
              </w:rPr>
              <w:t>pH</w:t>
            </w:r>
            <w:r w:rsidRPr="00FC1444">
              <w:rPr>
                <w:rFonts w:eastAsiaTheme="minorEastAsia"/>
                <w:kern w:val="0"/>
                <w:szCs w:val="20"/>
              </w:rPr>
              <w:t>、</w:t>
            </w:r>
            <w:r w:rsidRPr="00FC1444">
              <w:rPr>
                <w:rFonts w:eastAsiaTheme="minorEastAsia"/>
                <w:kern w:val="0"/>
                <w:szCs w:val="20"/>
              </w:rPr>
              <w:t>SS</w:t>
            </w:r>
            <w:r w:rsidRPr="00FC1444">
              <w:rPr>
                <w:rFonts w:eastAsiaTheme="minorEastAsia"/>
                <w:kern w:val="0"/>
                <w:szCs w:val="20"/>
              </w:rPr>
              <w:t>、高锰酸盐指数、</w:t>
            </w:r>
            <w:r w:rsidRPr="00FC1444">
              <w:rPr>
                <w:rFonts w:eastAsiaTheme="minorEastAsia"/>
                <w:kern w:val="0"/>
                <w:szCs w:val="20"/>
              </w:rPr>
              <w:t>COD</w:t>
            </w:r>
            <w:r w:rsidRPr="00FC1444">
              <w:rPr>
                <w:rFonts w:eastAsiaTheme="minorEastAsia"/>
                <w:kern w:val="0"/>
                <w:szCs w:val="20"/>
              </w:rPr>
              <w:t>、氨氮、总磷、</w:t>
            </w:r>
            <w:r w:rsidRPr="00FC1444">
              <w:rPr>
                <w:rFonts w:eastAsiaTheme="minorEastAsia"/>
                <w:bCs/>
                <w:kern w:val="0"/>
                <w:szCs w:val="20"/>
              </w:rPr>
              <w:t>BOD</w:t>
            </w:r>
            <w:r w:rsidRPr="00FC1444">
              <w:rPr>
                <w:rFonts w:eastAsiaTheme="minorEastAsia"/>
                <w:bCs/>
                <w:kern w:val="0"/>
                <w:szCs w:val="20"/>
                <w:vertAlign w:val="subscript"/>
              </w:rPr>
              <w:t>5</w:t>
            </w:r>
            <w:r w:rsidRPr="00FC1444">
              <w:rPr>
                <w:rFonts w:eastAsiaTheme="minorEastAsia"/>
                <w:kern w:val="0"/>
                <w:szCs w:val="20"/>
              </w:rPr>
              <w:t>）</w:t>
            </w:r>
          </w:p>
        </w:tc>
        <w:tc>
          <w:tcPr>
            <w:tcW w:w="374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w:t>
            </w:r>
          </w:p>
        </w:tc>
      </w:tr>
      <w:tr w:rsidR="002A5A5E" w:rsidRPr="00FC1444">
        <w:tc>
          <w:tcPr>
            <w:tcW w:w="392"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污染物排放清单</w:t>
            </w:r>
          </w:p>
        </w:tc>
        <w:tc>
          <w:tcPr>
            <w:tcW w:w="11231"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w:t>
            </w:r>
          </w:p>
        </w:tc>
      </w:tr>
      <w:tr w:rsidR="002A5A5E" w:rsidRPr="00FC1444">
        <w:tc>
          <w:tcPr>
            <w:tcW w:w="392"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kern w:val="0"/>
                <w:szCs w:val="21"/>
              </w:rPr>
            </w:pP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kern w:val="0"/>
                <w:szCs w:val="21"/>
              </w:rPr>
            </w:pPr>
            <w:r w:rsidRPr="00FC1444">
              <w:rPr>
                <w:rFonts w:eastAsiaTheme="minorEastAsia"/>
                <w:kern w:val="0"/>
                <w:szCs w:val="21"/>
              </w:rPr>
              <w:t>评价结论</w:t>
            </w:r>
          </w:p>
        </w:tc>
        <w:tc>
          <w:tcPr>
            <w:tcW w:w="11231"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可以接受</w:t>
            </w:r>
            <w:r w:rsidRPr="00FC1444">
              <w:rPr>
                <w:rFonts w:eastAsiaTheme="minorEastAsia"/>
                <w:snapToGrid w:val="0"/>
                <w:kern w:val="0"/>
                <w:sz w:val="18"/>
                <w:szCs w:val="18"/>
              </w:rPr>
              <w:t>√</w:t>
            </w:r>
            <w:r w:rsidRPr="00FC1444">
              <w:rPr>
                <w:rFonts w:eastAsiaTheme="minorEastAsia"/>
                <w:kern w:val="0"/>
                <w:szCs w:val="21"/>
              </w:rPr>
              <w:t>；不可以接受</w:t>
            </w:r>
            <w:r w:rsidRPr="00FC1444">
              <w:rPr>
                <w:rFonts w:eastAsiaTheme="minorEastAsia"/>
                <w:kern w:val="0"/>
                <w:szCs w:val="21"/>
              </w:rPr>
              <w:t>□</w:t>
            </w:r>
          </w:p>
        </w:tc>
      </w:tr>
      <w:tr w:rsidR="002A5A5E" w:rsidRPr="00FC1444">
        <w:tc>
          <w:tcPr>
            <w:tcW w:w="14174" w:type="dxa"/>
            <w:gridSpan w:val="5"/>
            <w:tcBorders>
              <w:top w:val="single" w:sz="6" w:space="0" w:color="000000" w:themeColor="text1"/>
              <w:left w:val="single" w:sz="12" w:space="0" w:color="000000" w:themeColor="text1"/>
              <w:bottom w:val="single" w:sz="12" w:space="0" w:color="000000" w:themeColor="text1"/>
              <w:right w:val="single" w:sz="12" w:space="0" w:color="000000" w:themeColor="text1"/>
            </w:tcBorders>
          </w:tcPr>
          <w:p w:rsidR="002A5A5E" w:rsidRPr="00FC1444" w:rsidRDefault="00611CBA">
            <w:pPr>
              <w:jc w:val="left"/>
              <w:rPr>
                <w:rFonts w:eastAsiaTheme="minorEastAsia"/>
                <w:kern w:val="0"/>
                <w:szCs w:val="21"/>
              </w:rPr>
            </w:pPr>
            <w:r w:rsidRPr="00FC1444">
              <w:rPr>
                <w:rFonts w:eastAsiaTheme="minorEastAsia"/>
                <w:kern w:val="0"/>
                <w:szCs w:val="21"/>
              </w:rPr>
              <w:t>注：</w:t>
            </w:r>
            <w:r w:rsidRPr="00FC1444">
              <w:rPr>
                <w:rFonts w:eastAsiaTheme="minorEastAsia"/>
                <w:kern w:val="0"/>
                <w:szCs w:val="21"/>
              </w:rPr>
              <w:t>“□”</w:t>
            </w:r>
            <w:r w:rsidRPr="00FC1444">
              <w:rPr>
                <w:rFonts w:eastAsiaTheme="minorEastAsia"/>
                <w:kern w:val="0"/>
                <w:szCs w:val="21"/>
              </w:rPr>
              <w:t>为勾选项，可</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w:t>
            </w:r>
            <w:r w:rsidRPr="00FC1444">
              <w:rPr>
                <w:rFonts w:eastAsiaTheme="minorEastAsia"/>
                <w:kern w:val="0"/>
                <w:szCs w:val="21"/>
              </w:rPr>
              <w:t>为内容填写项；</w:t>
            </w:r>
            <w:r w:rsidRPr="00FC1444">
              <w:rPr>
                <w:rFonts w:eastAsiaTheme="minorEastAsia"/>
                <w:kern w:val="0"/>
                <w:szCs w:val="21"/>
              </w:rPr>
              <w:t>“</w:t>
            </w:r>
            <w:r w:rsidRPr="00FC1444">
              <w:rPr>
                <w:rFonts w:eastAsiaTheme="minorEastAsia"/>
                <w:kern w:val="0"/>
                <w:szCs w:val="21"/>
              </w:rPr>
              <w:t>备注</w:t>
            </w:r>
            <w:r w:rsidRPr="00FC1444">
              <w:rPr>
                <w:rFonts w:eastAsiaTheme="minorEastAsia"/>
                <w:kern w:val="0"/>
                <w:szCs w:val="21"/>
              </w:rPr>
              <w:t>”</w:t>
            </w:r>
            <w:r w:rsidRPr="00FC1444">
              <w:rPr>
                <w:rFonts w:eastAsiaTheme="minorEastAsia"/>
                <w:kern w:val="0"/>
                <w:szCs w:val="21"/>
              </w:rPr>
              <w:t>为其他补充内容。</w:t>
            </w:r>
          </w:p>
        </w:tc>
      </w:tr>
    </w:tbl>
    <w:p w:rsidR="002A5A5E" w:rsidRPr="00FC1444" w:rsidRDefault="002A5A5E">
      <w:pPr>
        <w:jc w:val="center"/>
        <w:rPr>
          <w:rFonts w:eastAsiaTheme="minorEastAsia"/>
          <w:b/>
          <w:sz w:val="24"/>
          <w:szCs w:val="22"/>
        </w:rPr>
      </w:pPr>
    </w:p>
    <w:p w:rsidR="002A5A5E" w:rsidRPr="00FC1444" w:rsidRDefault="002A5A5E">
      <w:pPr>
        <w:widowControl/>
        <w:adjustRightInd w:val="0"/>
        <w:snapToGrid w:val="0"/>
        <w:spacing w:after="200" w:line="360" w:lineRule="auto"/>
        <w:jc w:val="center"/>
        <w:rPr>
          <w:rFonts w:eastAsiaTheme="minorEastAsia"/>
          <w:kern w:val="0"/>
          <w:sz w:val="24"/>
        </w:rPr>
      </w:pPr>
    </w:p>
    <w:p w:rsidR="002A5A5E" w:rsidRPr="00FC1444" w:rsidRDefault="002A5A5E">
      <w:pPr>
        <w:spacing w:line="360" w:lineRule="auto"/>
        <w:jc w:val="left"/>
        <w:rPr>
          <w:rFonts w:eastAsiaTheme="minorEastAsia"/>
          <w:sz w:val="24"/>
        </w:rPr>
      </w:pPr>
    </w:p>
    <w:p w:rsidR="002A5A5E" w:rsidRPr="00FC1444" w:rsidRDefault="002A5A5E">
      <w:pPr>
        <w:widowControl/>
        <w:jc w:val="left"/>
        <w:rPr>
          <w:rFonts w:eastAsiaTheme="minorEastAsia"/>
          <w:b/>
          <w:szCs w:val="22"/>
        </w:rPr>
        <w:sectPr w:rsidR="002A5A5E" w:rsidRPr="00FC1444">
          <w:pgSz w:w="16838" w:h="11906" w:orient="landscape"/>
          <w:pgMar w:top="1800" w:right="1440" w:bottom="1800" w:left="1440" w:header="851" w:footer="992" w:gutter="0"/>
          <w:cols w:space="720"/>
          <w:docGrid w:type="lines" w:linePitch="312"/>
        </w:sectPr>
      </w:pPr>
    </w:p>
    <w:p w:rsidR="002A5A5E" w:rsidRPr="00FC1444" w:rsidRDefault="00611CBA">
      <w:pPr>
        <w:jc w:val="center"/>
        <w:rPr>
          <w:rFonts w:eastAsiaTheme="minorEastAsia"/>
          <w:b/>
          <w:sz w:val="24"/>
        </w:rPr>
      </w:pPr>
      <w:r w:rsidRPr="00FC1444">
        <w:rPr>
          <w:rFonts w:eastAsiaTheme="minorEastAsia"/>
          <w:b/>
          <w:sz w:val="24"/>
        </w:rPr>
        <w:lastRenderedPageBreak/>
        <w:t>环境风险评价自查表</w:t>
      </w:r>
    </w:p>
    <w:tbl>
      <w:tblPr>
        <w:tblStyle w:val="aff6"/>
        <w:tblW w:w="9075" w:type="dxa"/>
        <w:tblInd w:w="-31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tblPr>
      <w:tblGrid>
        <w:gridCol w:w="426"/>
        <w:gridCol w:w="1276"/>
        <w:gridCol w:w="1276"/>
        <w:gridCol w:w="508"/>
        <w:gridCol w:w="342"/>
        <w:gridCol w:w="253"/>
        <w:gridCol w:w="881"/>
        <w:gridCol w:w="309"/>
        <w:gridCol w:w="426"/>
        <w:gridCol w:w="287"/>
        <w:gridCol w:w="341"/>
        <w:gridCol w:w="135"/>
        <w:gridCol w:w="441"/>
        <w:gridCol w:w="52"/>
        <w:gridCol w:w="102"/>
        <w:gridCol w:w="357"/>
        <w:gridCol w:w="170"/>
        <w:gridCol w:w="629"/>
        <w:gridCol w:w="864"/>
      </w:tblGrid>
      <w:tr w:rsidR="002A5A5E" w:rsidRPr="00FC1444">
        <w:trPr>
          <w:trHeight w:val="279"/>
        </w:trPr>
        <w:tc>
          <w:tcPr>
            <w:tcW w:w="1702" w:type="dxa"/>
            <w:gridSpan w:val="2"/>
            <w:tcBorders>
              <w:top w:val="single" w:sz="12"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工作内容</w:t>
            </w:r>
          </w:p>
        </w:tc>
        <w:tc>
          <w:tcPr>
            <w:tcW w:w="7373" w:type="dxa"/>
            <w:gridSpan w:val="17"/>
            <w:tcBorders>
              <w:top w:val="single" w:sz="12"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完成情况</w:t>
            </w:r>
          </w:p>
        </w:tc>
      </w:tr>
      <w:tr w:rsidR="002A5A5E" w:rsidRPr="00FC1444">
        <w:trPr>
          <w:trHeight w:val="279"/>
        </w:trPr>
        <w:tc>
          <w:tcPr>
            <w:tcW w:w="426"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风险调查</w:t>
            </w: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危险物质</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名称</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bCs/>
                <w:szCs w:val="21"/>
              </w:rPr>
              <w:t>柴油</w:t>
            </w:r>
          </w:p>
        </w:tc>
        <w:tc>
          <w:tcPr>
            <w:tcW w:w="113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szCs w:val="21"/>
              </w:rPr>
              <w:t>变压器油</w:t>
            </w:r>
          </w:p>
        </w:tc>
        <w:tc>
          <w:tcPr>
            <w:tcW w:w="7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rPr>
                <w:rFonts w:eastAsiaTheme="minorEastAsia"/>
                <w:szCs w:val="21"/>
              </w:rPr>
            </w:pPr>
          </w:p>
        </w:tc>
        <w:tc>
          <w:tcPr>
            <w:tcW w:w="62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rPr>
                <w:rFonts w:eastAsiaTheme="minorEastAsia"/>
                <w:szCs w:val="21"/>
              </w:rPr>
            </w:pPr>
          </w:p>
        </w:tc>
        <w:tc>
          <w:tcPr>
            <w:tcW w:w="62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rPr>
                <w:rFonts w:eastAsiaTheme="minorEastAsia"/>
                <w:szCs w:val="21"/>
              </w:rPr>
            </w:pPr>
          </w:p>
        </w:tc>
        <w:tc>
          <w:tcPr>
            <w:tcW w:w="629"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rPr>
                <w:rFonts w:eastAsiaTheme="minorEastAsia"/>
                <w:szCs w:val="21"/>
              </w:rPr>
            </w:pPr>
          </w:p>
        </w:tc>
        <w:tc>
          <w:tcPr>
            <w:tcW w:w="6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rPr>
                <w:rFonts w:eastAsiaTheme="minorEastAsia"/>
                <w:szCs w:val="21"/>
              </w:rPr>
            </w:pPr>
          </w:p>
        </w:tc>
        <w:tc>
          <w:tcPr>
            <w:tcW w:w="86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2A5A5E">
            <w:pPr>
              <w:rPr>
                <w:rFonts w:eastAsiaTheme="minorEastAsia"/>
                <w:szCs w:val="21"/>
              </w:rPr>
            </w:pPr>
          </w:p>
        </w:tc>
      </w:tr>
      <w:tr w:rsidR="002A5A5E" w:rsidRPr="00FC1444">
        <w:trPr>
          <w:trHeight w:val="26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存在总量</w:t>
            </w:r>
            <w:r w:rsidRPr="00FC1444">
              <w:rPr>
                <w:rFonts w:eastAsiaTheme="minorEastAsia"/>
                <w:kern w:val="0"/>
                <w:szCs w:val="21"/>
              </w:rPr>
              <w:t>/t</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0.125</w:t>
            </w:r>
          </w:p>
        </w:tc>
        <w:tc>
          <w:tcPr>
            <w:tcW w:w="113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szCs w:val="21"/>
              </w:rPr>
              <w:t>0.115</w:t>
            </w:r>
          </w:p>
        </w:tc>
        <w:tc>
          <w:tcPr>
            <w:tcW w:w="7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rPr>
                <w:rFonts w:eastAsiaTheme="minorEastAsia"/>
                <w:szCs w:val="21"/>
              </w:rPr>
            </w:pPr>
          </w:p>
        </w:tc>
        <w:tc>
          <w:tcPr>
            <w:tcW w:w="62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rPr>
                <w:rFonts w:eastAsiaTheme="minorEastAsia"/>
                <w:szCs w:val="21"/>
              </w:rPr>
            </w:pPr>
          </w:p>
        </w:tc>
        <w:tc>
          <w:tcPr>
            <w:tcW w:w="62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rPr>
                <w:rFonts w:eastAsiaTheme="minorEastAsia"/>
                <w:szCs w:val="21"/>
              </w:rPr>
            </w:pPr>
          </w:p>
        </w:tc>
        <w:tc>
          <w:tcPr>
            <w:tcW w:w="629"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rPr>
                <w:rFonts w:eastAsiaTheme="minorEastAsia"/>
                <w:szCs w:val="21"/>
              </w:rPr>
            </w:pPr>
          </w:p>
        </w:tc>
        <w:tc>
          <w:tcPr>
            <w:tcW w:w="6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rPr>
                <w:rFonts w:eastAsiaTheme="minorEastAsia"/>
                <w:szCs w:val="21"/>
              </w:rPr>
            </w:pPr>
          </w:p>
        </w:tc>
        <w:tc>
          <w:tcPr>
            <w:tcW w:w="86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2A5A5E">
            <w:pPr>
              <w:rPr>
                <w:rFonts w:eastAsiaTheme="minorEastAsia"/>
                <w:szCs w:val="21"/>
              </w:rPr>
            </w:pPr>
          </w:p>
        </w:tc>
      </w:tr>
      <w:tr w:rsidR="002A5A5E" w:rsidRPr="00FC1444">
        <w:trPr>
          <w:trHeight w:val="279"/>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环境敏感性</w:t>
            </w: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大气</w:t>
            </w:r>
          </w:p>
        </w:tc>
        <w:tc>
          <w:tcPr>
            <w:tcW w:w="3347"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rsidP="00D20748">
            <w:pPr>
              <w:rPr>
                <w:rFonts w:eastAsiaTheme="minorEastAsia"/>
                <w:szCs w:val="21"/>
              </w:rPr>
            </w:pPr>
            <w:r w:rsidRPr="00FC1444">
              <w:rPr>
                <w:rFonts w:eastAsiaTheme="minorEastAsia"/>
                <w:kern w:val="0"/>
                <w:szCs w:val="21"/>
              </w:rPr>
              <w:t>500m</w:t>
            </w:r>
            <w:r w:rsidRPr="00FC1444">
              <w:rPr>
                <w:rFonts w:eastAsiaTheme="minorEastAsia"/>
                <w:kern w:val="0"/>
                <w:szCs w:val="21"/>
              </w:rPr>
              <w:t>范围内人口数</w:t>
            </w:r>
            <w:r w:rsidR="00D20748" w:rsidRPr="00FC1444">
              <w:rPr>
                <w:rFonts w:eastAsiaTheme="minorEastAsia"/>
                <w:kern w:val="0"/>
                <w:szCs w:val="21"/>
                <w:u w:val="single"/>
              </w:rPr>
              <w:t xml:space="preserve">  </w:t>
            </w:r>
            <w:r w:rsidRPr="00FC1444">
              <w:rPr>
                <w:rFonts w:eastAsiaTheme="minorEastAsia"/>
                <w:kern w:val="0"/>
                <w:szCs w:val="21"/>
              </w:rPr>
              <w:t>人</w:t>
            </w:r>
          </w:p>
        </w:tc>
        <w:tc>
          <w:tcPr>
            <w:tcW w:w="2750" w:type="dxa"/>
            <w:gridSpan w:val="8"/>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5km</w:t>
            </w:r>
            <w:r w:rsidRPr="00FC1444">
              <w:rPr>
                <w:rFonts w:eastAsiaTheme="minorEastAsia"/>
                <w:kern w:val="0"/>
                <w:szCs w:val="21"/>
              </w:rPr>
              <w:t>范围内人口数</w:t>
            </w:r>
            <w:r w:rsidR="00D20748" w:rsidRPr="00FC1444">
              <w:rPr>
                <w:rFonts w:eastAsiaTheme="minorEastAsia"/>
                <w:kern w:val="0"/>
                <w:szCs w:val="21"/>
                <w:u w:val="single"/>
              </w:rPr>
              <w:t xml:space="preserve">  </w:t>
            </w:r>
            <w:r w:rsidRPr="00FC1444">
              <w:rPr>
                <w:rFonts w:eastAsiaTheme="minorEastAsia"/>
                <w:kern w:val="0"/>
                <w:szCs w:val="21"/>
              </w:rPr>
              <w:t>人</w:t>
            </w:r>
          </w:p>
        </w:tc>
      </w:tr>
      <w:tr w:rsidR="002A5A5E" w:rsidRPr="00FC1444">
        <w:trPr>
          <w:trHeight w:val="279"/>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4604" w:type="dxa"/>
            <w:gridSpan w:val="1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每公里管段周边</w:t>
            </w:r>
            <w:r w:rsidRPr="00FC1444">
              <w:rPr>
                <w:rFonts w:eastAsiaTheme="minorEastAsia"/>
                <w:kern w:val="0"/>
                <w:szCs w:val="21"/>
              </w:rPr>
              <w:t>200m</w:t>
            </w:r>
            <w:r w:rsidRPr="00FC1444">
              <w:rPr>
                <w:rFonts w:eastAsiaTheme="minorEastAsia"/>
                <w:kern w:val="0"/>
                <w:szCs w:val="21"/>
              </w:rPr>
              <w:t>范围内人口数（最大）</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人</w:t>
            </w:r>
          </w:p>
        </w:tc>
      </w:tr>
      <w:tr w:rsidR="002A5A5E" w:rsidRPr="00FC1444">
        <w:trPr>
          <w:trHeight w:val="26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地表水</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地表水功能敏感性</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F1□</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F2□</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F3□</w:t>
            </w:r>
          </w:p>
        </w:tc>
      </w:tr>
      <w:tr w:rsidR="002A5A5E" w:rsidRPr="00FC1444">
        <w:trPr>
          <w:trHeight w:val="279"/>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环境敏感目标分级</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S1□</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S2□</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S3□</w:t>
            </w:r>
          </w:p>
        </w:tc>
      </w:tr>
      <w:tr w:rsidR="002A5A5E" w:rsidRPr="00FC1444">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地下水</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地下水功能敏感性</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G1□</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G2□</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G3□</w:t>
            </w:r>
          </w:p>
        </w:tc>
      </w:tr>
      <w:tr w:rsidR="002A5A5E" w:rsidRPr="00FC1444">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包气带防污性能</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D1□</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D2□</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D2□</w:t>
            </w:r>
          </w:p>
        </w:tc>
      </w:tr>
      <w:tr w:rsidR="002A5A5E" w:rsidRPr="00FC1444">
        <w:trPr>
          <w:trHeight w:val="288"/>
        </w:trPr>
        <w:tc>
          <w:tcPr>
            <w:tcW w:w="1702" w:type="dxa"/>
            <w:gridSpan w:val="2"/>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物质及工艺系统危险性</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Q</w:t>
            </w:r>
            <w:r w:rsidRPr="00FC1444">
              <w:rPr>
                <w:rFonts w:eastAsiaTheme="minorEastAsia"/>
                <w:kern w:val="0"/>
                <w:szCs w:val="21"/>
              </w:rPr>
              <w:t>值</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Q</w:t>
            </w:r>
            <w:r w:rsidRPr="00FC1444">
              <w:rPr>
                <w:rFonts w:eastAsiaTheme="minorEastAsia"/>
                <w:kern w:val="0"/>
                <w:szCs w:val="21"/>
              </w:rPr>
              <w:t>＜</w:t>
            </w:r>
            <w:r w:rsidRPr="00FC1444">
              <w:rPr>
                <w:rFonts w:eastAsiaTheme="minorEastAsia"/>
                <w:kern w:val="0"/>
                <w:szCs w:val="21"/>
              </w:rPr>
              <w:t>1√</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1≤Q</w:t>
            </w:r>
            <w:r w:rsidRPr="00FC1444">
              <w:rPr>
                <w:rFonts w:eastAsiaTheme="minorEastAsia"/>
                <w:kern w:val="0"/>
                <w:szCs w:val="21"/>
              </w:rPr>
              <w:t>＜</w:t>
            </w:r>
            <w:r w:rsidRPr="00FC1444">
              <w:rPr>
                <w:rFonts w:eastAsiaTheme="minorEastAsia"/>
                <w:kern w:val="0"/>
                <w:szCs w:val="21"/>
              </w:rPr>
              <w:t>10□</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10≤Q</w:t>
            </w:r>
            <w:r w:rsidRPr="00FC1444">
              <w:rPr>
                <w:rFonts w:eastAsiaTheme="minorEastAsia"/>
                <w:kern w:val="0"/>
                <w:szCs w:val="21"/>
              </w:rPr>
              <w:t>＜</w:t>
            </w:r>
            <w:r w:rsidRPr="00FC1444">
              <w:rPr>
                <w:rFonts w:eastAsiaTheme="minorEastAsia"/>
                <w:kern w:val="0"/>
                <w:szCs w:val="21"/>
              </w:rPr>
              <w:t>100□</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Q</w:t>
            </w:r>
            <w:r w:rsidRPr="00FC1444">
              <w:rPr>
                <w:rFonts w:eastAsiaTheme="minorEastAsia"/>
                <w:kern w:val="0"/>
                <w:szCs w:val="21"/>
              </w:rPr>
              <w:t>＞</w:t>
            </w:r>
            <w:r w:rsidRPr="00FC1444">
              <w:rPr>
                <w:rFonts w:eastAsiaTheme="minorEastAsia"/>
                <w:kern w:val="0"/>
                <w:szCs w:val="21"/>
              </w:rPr>
              <w:t>100□</w:t>
            </w:r>
          </w:p>
        </w:tc>
      </w:tr>
      <w:tr w:rsidR="002A5A5E" w:rsidRPr="00FC1444">
        <w:trPr>
          <w:trHeight w:val="288"/>
        </w:trPr>
        <w:tc>
          <w:tcPr>
            <w:tcW w:w="1702" w:type="dxa"/>
            <w:gridSpan w:val="2"/>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M</w:t>
            </w:r>
            <w:r w:rsidRPr="00FC1444">
              <w:rPr>
                <w:rFonts w:eastAsiaTheme="minorEastAsia"/>
                <w:kern w:val="0"/>
                <w:szCs w:val="21"/>
              </w:rPr>
              <w:t>值</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M1□</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M2□</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M3□</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M4□</w:t>
            </w:r>
          </w:p>
        </w:tc>
      </w:tr>
      <w:tr w:rsidR="002A5A5E" w:rsidRPr="00FC1444">
        <w:trPr>
          <w:trHeight w:val="288"/>
        </w:trPr>
        <w:tc>
          <w:tcPr>
            <w:tcW w:w="1702" w:type="dxa"/>
            <w:gridSpan w:val="2"/>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P</w:t>
            </w:r>
            <w:r w:rsidRPr="00FC1444">
              <w:rPr>
                <w:rFonts w:eastAsiaTheme="minorEastAsia"/>
                <w:kern w:val="0"/>
                <w:szCs w:val="21"/>
              </w:rPr>
              <w:t>值</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P1□</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P2□</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P3□</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P4□</w:t>
            </w:r>
          </w:p>
        </w:tc>
      </w:tr>
      <w:tr w:rsidR="002A5A5E" w:rsidRPr="00FC1444">
        <w:trPr>
          <w:trHeight w:val="288"/>
        </w:trPr>
        <w:tc>
          <w:tcPr>
            <w:tcW w:w="1702" w:type="dxa"/>
            <w:gridSpan w:val="2"/>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环境敏感程度</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大气</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E1□</w:t>
            </w:r>
          </w:p>
        </w:tc>
        <w:tc>
          <w:tcPr>
            <w:tcW w:w="193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E2□</w:t>
            </w:r>
          </w:p>
        </w:tc>
        <w:tc>
          <w:tcPr>
            <w:tcW w:w="2174" w:type="dxa"/>
            <w:gridSpan w:val="6"/>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E3□</w:t>
            </w:r>
          </w:p>
        </w:tc>
      </w:tr>
      <w:tr w:rsidR="002A5A5E" w:rsidRPr="00FC1444">
        <w:trPr>
          <w:trHeight w:val="288"/>
        </w:trPr>
        <w:tc>
          <w:tcPr>
            <w:tcW w:w="1702" w:type="dxa"/>
            <w:gridSpan w:val="2"/>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地表水</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E1□</w:t>
            </w:r>
          </w:p>
        </w:tc>
        <w:tc>
          <w:tcPr>
            <w:tcW w:w="193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E2□</w:t>
            </w:r>
          </w:p>
        </w:tc>
        <w:tc>
          <w:tcPr>
            <w:tcW w:w="2174" w:type="dxa"/>
            <w:gridSpan w:val="6"/>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E3□</w:t>
            </w:r>
          </w:p>
        </w:tc>
      </w:tr>
      <w:tr w:rsidR="002A5A5E" w:rsidRPr="00FC1444">
        <w:trPr>
          <w:trHeight w:val="288"/>
        </w:trPr>
        <w:tc>
          <w:tcPr>
            <w:tcW w:w="1702" w:type="dxa"/>
            <w:gridSpan w:val="2"/>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地下水</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E1□</w:t>
            </w:r>
          </w:p>
        </w:tc>
        <w:tc>
          <w:tcPr>
            <w:tcW w:w="193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E2□</w:t>
            </w:r>
          </w:p>
        </w:tc>
        <w:tc>
          <w:tcPr>
            <w:tcW w:w="2174" w:type="dxa"/>
            <w:gridSpan w:val="6"/>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E3□</w:t>
            </w:r>
          </w:p>
        </w:tc>
      </w:tr>
      <w:tr w:rsidR="002A5A5E" w:rsidRPr="00FC1444">
        <w:trPr>
          <w:trHeight w:val="288"/>
        </w:trPr>
        <w:tc>
          <w:tcPr>
            <w:tcW w:w="1702" w:type="dxa"/>
            <w:gridSpan w:val="2"/>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环境风险潜势</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Ⅳ</w:t>
            </w:r>
            <w:r w:rsidRPr="00FC1444">
              <w:rPr>
                <w:rFonts w:eastAsiaTheme="minorEastAsia"/>
                <w:kern w:val="0"/>
                <w:szCs w:val="21"/>
                <w:vertAlign w:val="superscript"/>
              </w:rPr>
              <w:t>+</w:t>
            </w:r>
            <w:r w:rsidRPr="00FC1444">
              <w:rPr>
                <w:rFonts w:eastAsiaTheme="minorEastAsia"/>
                <w:kern w:val="0"/>
                <w:szCs w:val="21"/>
              </w:rPr>
              <w:t>□</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Ⅳ□</w:t>
            </w:r>
          </w:p>
        </w:tc>
        <w:tc>
          <w:tcPr>
            <w:tcW w:w="102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Ⅲ□</w:t>
            </w:r>
          </w:p>
        </w:tc>
        <w:tc>
          <w:tcPr>
            <w:tcW w:w="1428"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Ⅱ□</w:t>
            </w:r>
          </w:p>
        </w:tc>
        <w:tc>
          <w:tcPr>
            <w:tcW w:w="1663"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Ⅰ√</w:t>
            </w:r>
          </w:p>
        </w:tc>
      </w:tr>
      <w:tr w:rsidR="002A5A5E" w:rsidRPr="00FC1444">
        <w:trPr>
          <w:trHeight w:val="288"/>
        </w:trPr>
        <w:tc>
          <w:tcPr>
            <w:tcW w:w="1702" w:type="dxa"/>
            <w:gridSpan w:val="2"/>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评价等级</w:t>
            </w:r>
          </w:p>
        </w:tc>
        <w:tc>
          <w:tcPr>
            <w:tcW w:w="32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一级</w:t>
            </w:r>
            <w:r w:rsidRPr="00FC1444">
              <w:rPr>
                <w:rFonts w:eastAsiaTheme="minorEastAsia"/>
                <w:kern w:val="0"/>
                <w:szCs w:val="21"/>
              </w:rPr>
              <w:t>□</w:t>
            </w:r>
          </w:p>
        </w:tc>
        <w:tc>
          <w:tcPr>
            <w:tcW w:w="102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二级</w:t>
            </w:r>
            <w:r w:rsidRPr="00FC1444">
              <w:rPr>
                <w:rFonts w:eastAsiaTheme="minorEastAsia"/>
                <w:kern w:val="0"/>
                <w:szCs w:val="21"/>
              </w:rPr>
              <w:t>□</w:t>
            </w:r>
          </w:p>
        </w:tc>
        <w:tc>
          <w:tcPr>
            <w:tcW w:w="1428"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三级</w:t>
            </w:r>
            <w:r w:rsidRPr="00FC1444">
              <w:rPr>
                <w:rFonts w:eastAsiaTheme="minorEastAsia"/>
                <w:kern w:val="0"/>
                <w:szCs w:val="21"/>
              </w:rPr>
              <w:t>□</w:t>
            </w:r>
          </w:p>
        </w:tc>
        <w:tc>
          <w:tcPr>
            <w:tcW w:w="1663"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简单分析</w:t>
            </w:r>
            <w:r w:rsidRPr="00FC1444">
              <w:rPr>
                <w:rFonts w:eastAsiaTheme="minorEastAsia"/>
                <w:kern w:val="0"/>
                <w:szCs w:val="21"/>
              </w:rPr>
              <w:t>√</w:t>
            </w:r>
          </w:p>
        </w:tc>
      </w:tr>
      <w:tr w:rsidR="002A5A5E" w:rsidRPr="00FC1444">
        <w:trPr>
          <w:trHeight w:val="288"/>
        </w:trPr>
        <w:tc>
          <w:tcPr>
            <w:tcW w:w="426"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风险识别</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物质危险性</w:t>
            </w:r>
          </w:p>
        </w:tc>
        <w:tc>
          <w:tcPr>
            <w:tcW w:w="32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有毒有害</w:t>
            </w:r>
            <w:r w:rsidRPr="00FC1444">
              <w:rPr>
                <w:rFonts w:eastAsiaTheme="minorEastAsia"/>
                <w:kern w:val="0"/>
                <w:szCs w:val="21"/>
              </w:rPr>
              <w:t>√</w:t>
            </w:r>
          </w:p>
        </w:tc>
        <w:tc>
          <w:tcPr>
            <w:tcW w:w="4113" w:type="dxa"/>
            <w:gridSpan w:val="1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易燃易爆</w:t>
            </w:r>
            <w:r w:rsidRPr="00FC1444">
              <w:rPr>
                <w:rFonts w:eastAsiaTheme="minorEastAsia"/>
                <w:kern w:val="0"/>
                <w:szCs w:val="21"/>
              </w:rPr>
              <w:t>√</w:t>
            </w:r>
          </w:p>
        </w:tc>
      </w:tr>
      <w:tr w:rsidR="002A5A5E" w:rsidRPr="00FC1444">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环境风险类型</w:t>
            </w:r>
          </w:p>
        </w:tc>
        <w:tc>
          <w:tcPr>
            <w:tcW w:w="32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泄漏</w:t>
            </w:r>
            <w:r w:rsidRPr="00FC1444">
              <w:rPr>
                <w:rFonts w:eastAsiaTheme="minorEastAsia"/>
                <w:kern w:val="0"/>
                <w:szCs w:val="21"/>
              </w:rPr>
              <w:t>√</w:t>
            </w:r>
          </w:p>
        </w:tc>
        <w:tc>
          <w:tcPr>
            <w:tcW w:w="4113" w:type="dxa"/>
            <w:gridSpan w:val="1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火灾、爆炸引发伴生</w:t>
            </w:r>
            <w:r w:rsidRPr="00FC1444">
              <w:rPr>
                <w:rFonts w:eastAsiaTheme="minorEastAsia"/>
                <w:kern w:val="0"/>
                <w:szCs w:val="21"/>
              </w:rPr>
              <w:t>/</w:t>
            </w:r>
            <w:r w:rsidRPr="00FC1444">
              <w:rPr>
                <w:rFonts w:eastAsiaTheme="minorEastAsia"/>
                <w:kern w:val="0"/>
                <w:szCs w:val="21"/>
              </w:rPr>
              <w:t>次生污染物排放</w:t>
            </w:r>
            <w:r w:rsidRPr="00FC1444">
              <w:rPr>
                <w:rFonts w:eastAsiaTheme="minorEastAsia"/>
                <w:kern w:val="0"/>
                <w:szCs w:val="21"/>
              </w:rPr>
              <w:t>√</w:t>
            </w:r>
          </w:p>
        </w:tc>
      </w:tr>
      <w:tr w:rsidR="002A5A5E" w:rsidRPr="00FC1444">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影响途径</w:t>
            </w:r>
          </w:p>
        </w:tc>
        <w:tc>
          <w:tcPr>
            <w:tcW w:w="237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大气</w:t>
            </w:r>
            <w:r w:rsidRPr="00FC1444">
              <w:rPr>
                <w:rFonts w:eastAsiaTheme="minorEastAsia"/>
                <w:kern w:val="0"/>
                <w:szCs w:val="21"/>
              </w:rPr>
              <w:t>√</w:t>
            </w:r>
          </w:p>
        </w:tc>
        <w:tc>
          <w:tcPr>
            <w:tcW w:w="237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地表水</w:t>
            </w:r>
            <w:r w:rsidRPr="00FC1444">
              <w:rPr>
                <w:rFonts w:eastAsiaTheme="minorEastAsia"/>
                <w:kern w:val="0"/>
                <w:szCs w:val="21"/>
              </w:rPr>
              <w:t>□</w:t>
            </w:r>
          </w:p>
        </w:tc>
        <w:tc>
          <w:tcPr>
            <w:tcW w:w="2615" w:type="dxa"/>
            <w:gridSpan w:val="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地下水</w:t>
            </w:r>
            <w:r w:rsidRPr="00FC1444">
              <w:rPr>
                <w:rFonts w:eastAsiaTheme="minorEastAsia"/>
                <w:kern w:val="0"/>
                <w:szCs w:val="21"/>
              </w:rPr>
              <w:t>√</w:t>
            </w:r>
          </w:p>
        </w:tc>
      </w:tr>
      <w:tr w:rsidR="002A5A5E" w:rsidRPr="00FC1444">
        <w:trPr>
          <w:trHeight w:val="288"/>
        </w:trPr>
        <w:tc>
          <w:tcPr>
            <w:tcW w:w="1702" w:type="dxa"/>
            <w:gridSpan w:val="2"/>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事故情形分析</w:t>
            </w:r>
          </w:p>
        </w:tc>
        <w:tc>
          <w:tcPr>
            <w:tcW w:w="178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源强设定方法</w:t>
            </w:r>
          </w:p>
        </w:tc>
        <w:tc>
          <w:tcPr>
            <w:tcW w:w="178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计算法</w:t>
            </w:r>
            <w:r w:rsidRPr="00FC1444">
              <w:rPr>
                <w:rFonts w:eastAsiaTheme="minorEastAsia"/>
                <w:kern w:val="0"/>
                <w:szCs w:val="21"/>
              </w:rPr>
              <w:t>□</w:t>
            </w:r>
          </w:p>
        </w:tc>
        <w:tc>
          <w:tcPr>
            <w:tcW w:w="1784"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经验估算法</w:t>
            </w:r>
            <w:r w:rsidRPr="00FC1444">
              <w:rPr>
                <w:rFonts w:eastAsiaTheme="minorEastAsia"/>
                <w:kern w:val="0"/>
                <w:szCs w:val="21"/>
              </w:rPr>
              <w:t>□</w:t>
            </w:r>
          </w:p>
        </w:tc>
        <w:tc>
          <w:tcPr>
            <w:tcW w:w="2020"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其他估算法</w:t>
            </w:r>
            <w:r w:rsidRPr="00FC1444">
              <w:rPr>
                <w:rFonts w:eastAsiaTheme="minorEastAsia"/>
                <w:kern w:val="0"/>
                <w:szCs w:val="21"/>
              </w:rPr>
              <w:t>□</w:t>
            </w:r>
          </w:p>
        </w:tc>
      </w:tr>
      <w:tr w:rsidR="002A5A5E" w:rsidRPr="00FC1444">
        <w:trPr>
          <w:trHeight w:val="288"/>
        </w:trPr>
        <w:tc>
          <w:tcPr>
            <w:tcW w:w="426"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风险预测与评价</w:t>
            </w: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大气</w:t>
            </w:r>
          </w:p>
        </w:tc>
        <w:tc>
          <w:tcPr>
            <w:tcW w:w="178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预测模型</w:t>
            </w:r>
          </w:p>
        </w:tc>
        <w:tc>
          <w:tcPr>
            <w:tcW w:w="178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SLAB□</w:t>
            </w:r>
          </w:p>
        </w:tc>
        <w:tc>
          <w:tcPr>
            <w:tcW w:w="1784"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AFTOX□</w:t>
            </w:r>
          </w:p>
        </w:tc>
        <w:tc>
          <w:tcPr>
            <w:tcW w:w="2020"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其他</w:t>
            </w:r>
            <w:r w:rsidRPr="00FC1444">
              <w:rPr>
                <w:rFonts w:eastAsiaTheme="minorEastAsia"/>
                <w:kern w:val="0"/>
                <w:szCs w:val="21"/>
              </w:rPr>
              <w:t>□</w:t>
            </w:r>
          </w:p>
        </w:tc>
      </w:tr>
      <w:tr w:rsidR="002A5A5E" w:rsidRPr="00FC1444">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784"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预测结果</w:t>
            </w:r>
          </w:p>
        </w:tc>
        <w:tc>
          <w:tcPr>
            <w:tcW w:w="5589" w:type="dxa"/>
            <w:gridSpan w:val="15"/>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大气毒性终点浓度</w:t>
            </w:r>
            <w:r w:rsidRPr="00FC1444">
              <w:rPr>
                <w:rFonts w:eastAsiaTheme="minorEastAsia"/>
                <w:kern w:val="0"/>
                <w:szCs w:val="21"/>
              </w:rPr>
              <w:t xml:space="preserve">-1 </w:t>
            </w:r>
            <w:r w:rsidRPr="00FC1444">
              <w:rPr>
                <w:rFonts w:eastAsiaTheme="minorEastAsia"/>
                <w:kern w:val="0"/>
                <w:szCs w:val="21"/>
              </w:rPr>
              <w:t>最大影响范围</w:t>
            </w:r>
            <w:r w:rsidR="00D20748" w:rsidRPr="00FC1444">
              <w:rPr>
                <w:rFonts w:eastAsiaTheme="minorEastAsia"/>
                <w:kern w:val="0"/>
                <w:szCs w:val="21"/>
                <w:u w:val="single"/>
              </w:rPr>
              <w:t xml:space="preserve">  </w:t>
            </w:r>
            <w:r w:rsidR="00D20748" w:rsidRPr="00FC1444">
              <w:rPr>
                <w:rFonts w:eastAsiaTheme="minorEastAsia"/>
                <w:kern w:val="0"/>
                <w:szCs w:val="21"/>
              </w:rPr>
              <w:t xml:space="preserve"> </w:t>
            </w:r>
            <w:r w:rsidRPr="00FC1444">
              <w:rPr>
                <w:rFonts w:eastAsiaTheme="minorEastAsia"/>
                <w:kern w:val="0"/>
                <w:szCs w:val="21"/>
              </w:rPr>
              <w:t>m</w:t>
            </w:r>
          </w:p>
        </w:tc>
      </w:tr>
      <w:tr w:rsidR="002A5A5E" w:rsidRPr="00FC1444">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784" w:type="dxa"/>
            <w:gridSpan w:val="2"/>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5589" w:type="dxa"/>
            <w:gridSpan w:val="15"/>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大气毒性终点浓度</w:t>
            </w:r>
            <w:r w:rsidRPr="00FC1444">
              <w:rPr>
                <w:rFonts w:eastAsiaTheme="minorEastAsia"/>
                <w:kern w:val="0"/>
                <w:szCs w:val="21"/>
              </w:rPr>
              <w:t xml:space="preserve">-2 </w:t>
            </w:r>
            <w:r w:rsidRPr="00FC1444">
              <w:rPr>
                <w:rFonts w:eastAsiaTheme="minorEastAsia"/>
                <w:kern w:val="0"/>
                <w:szCs w:val="21"/>
              </w:rPr>
              <w:t>最大影响范围</w:t>
            </w:r>
            <w:r w:rsidR="00D20748" w:rsidRPr="00FC1444">
              <w:rPr>
                <w:rFonts w:eastAsiaTheme="minorEastAsia"/>
                <w:kern w:val="0"/>
                <w:szCs w:val="21"/>
                <w:u w:val="single"/>
              </w:rPr>
              <w:t xml:space="preserve">  </w:t>
            </w:r>
            <w:r w:rsidR="00D20748" w:rsidRPr="00FC1444">
              <w:rPr>
                <w:rFonts w:eastAsiaTheme="minorEastAsia"/>
                <w:kern w:val="0"/>
                <w:szCs w:val="21"/>
              </w:rPr>
              <w:t xml:space="preserve"> </w:t>
            </w:r>
            <w:r w:rsidRPr="00FC1444">
              <w:rPr>
                <w:rFonts w:eastAsiaTheme="minorEastAsia"/>
                <w:kern w:val="0"/>
                <w:szCs w:val="21"/>
              </w:rPr>
              <w:t>m</w:t>
            </w:r>
          </w:p>
        </w:tc>
      </w:tr>
      <w:tr w:rsidR="002A5A5E" w:rsidRPr="00FC1444">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地表水</w:t>
            </w:r>
          </w:p>
        </w:tc>
        <w:tc>
          <w:tcPr>
            <w:tcW w:w="7373" w:type="dxa"/>
            <w:gridSpan w:val="1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最近环境敏感目标，到达时间</w:t>
            </w:r>
            <w:r w:rsidR="00D20748" w:rsidRPr="00FC1444">
              <w:rPr>
                <w:rFonts w:eastAsiaTheme="minorEastAsia"/>
                <w:kern w:val="0"/>
                <w:szCs w:val="21"/>
                <w:u w:val="single"/>
              </w:rPr>
              <w:t xml:space="preserve">  </w:t>
            </w:r>
            <w:r w:rsidR="00D20748" w:rsidRPr="00FC1444">
              <w:rPr>
                <w:rFonts w:eastAsiaTheme="minorEastAsia"/>
                <w:kern w:val="0"/>
                <w:szCs w:val="21"/>
              </w:rPr>
              <w:t xml:space="preserve"> </w:t>
            </w:r>
            <w:r w:rsidRPr="00FC1444">
              <w:rPr>
                <w:rFonts w:eastAsiaTheme="minorEastAsia"/>
                <w:kern w:val="0"/>
                <w:szCs w:val="21"/>
              </w:rPr>
              <w:t>h</w:t>
            </w:r>
          </w:p>
        </w:tc>
      </w:tr>
      <w:tr w:rsidR="002A5A5E" w:rsidRPr="00FC1444">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地下水</w:t>
            </w:r>
          </w:p>
        </w:tc>
        <w:tc>
          <w:tcPr>
            <w:tcW w:w="7373" w:type="dxa"/>
            <w:gridSpan w:val="1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下游厂区边界到达时间</w:t>
            </w:r>
            <w:r w:rsidR="00D20748" w:rsidRPr="00FC1444">
              <w:rPr>
                <w:rFonts w:eastAsiaTheme="minorEastAsia"/>
                <w:kern w:val="0"/>
                <w:szCs w:val="21"/>
                <w:u w:val="single"/>
              </w:rPr>
              <w:t xml:space="preserve">  </w:t>
            </w:r>
            <w:r w:rsidR="00D20748" w:rsidRPr="00FC1444">
              <w:rPr>
                <w:rFonts w:eastAsiaTheme="minorEastAsia"/>
                <w:kern w:val="0"/>
                <w:szCs w:val="21"/>
              </w:rPr>
              <w:t xml:space="preserve"> </w:t>
            </w:r>
            <w:r w:rsidRPr="00FC1444">
              <w:rPr>
                <w:rFonts w:eastAsiaTheme="minorEastAsia"/>
                <w:kern w:val="0"/>
                <w:szCs w:val="21"/>
              </w:rPr>
              <w:t>h</w:t>
            </w:r>
          </w:p>
        </w:tc>
      </w:tr>
      <w:tr w:rsidR="002A5A5E" w:rsidRPr="00FC1444">
        <w:trPr>
          <w:trHeight w:val="306"/>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FC1444" w:rsidRDefault="002A5A5E">
            <w:pPr>
              <w:widowControl/>
              <w:jc w:val="left"/>
              <w:rPr>
                <w:rFonts w:eastAsiaTheme="minorEastAsia"/>
                <w:szCs w:val="21"/>
              </w:rPr>
            </w:pPr>
          </w:p>
        </w:tc>
        <w:tc>
          <w:tcPr>
            <w:tcW w:w="7373" w:type="dxa"/>
            <w:gridSpan w:val="1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pPr>
              <w:rPr>
                <w:rFonts w:eastAsiaTheme="minorEastAsia"/>
                <w:szCs w:val="21"/>
              </w:rPr>
            </w:pPr>
            <w:r w:rsidRPr="00FC1444">
              <w:rPr>
                <w:rFonts w:eastAsiaTheme="minorEastAsia"/>
                <w:kern w:val="0"/>
                <w:szCs w:val="21"/>
              </w:rPr>
              <w:t>最近环境敏感目标，到达时间</w:t>
            </w:r>
            <w:r w:rsidR="00D20748" w:rsidRPr="00FC1444">
              <w:rPr>
                <w:rFonts w:eastAsiaTheme="minorEastAsia"/>
                <w:kern w:val="0"/>
                <w:szCs w:val="21"/>
                <w:u w:val="single"/>
              </w:rPr>
              <w:t xml:space="preserve">  </w:t>
            </w:r>
            <w:r w:rsidR="00D20748" w:rsidRPr="00FC1444">
              <w:rPr>
                <w:rFonts w:eastAsiaTheme="minorEastAsia"/>
                <w:kern w:val="0"/>
                <w:szCs w:val="21"/>
              </w:rPr>
              <w:t xml:space="preserve"> </w:t>
            </w:r>
            <w:r w:rsidRPr="00FC1444">
              <w:rPr>
                <w:rFonts w:eastAsiaTheme="minorEastAsia"/>
                <w:kern w:val="0"/>
                <w:szCs w:val="21"/>
              </w:rPr>
              <w:t>h</w:t>
            </w:r>
          </w:p>
        </w:tc>
      </w:tr>
      <w:tr w:rsidR="002A5A5E" w:rsidRPr="00FC1444">
        <w:trPr>
          <w:trHeight w:val="1264"/>
        </w:trPr>
        <w:tc>
          <w:tcPr>
            <w:tcW w:w="1702" w:type="dxa"/>
            <w:gridSpan w:val="2"/>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重点风险防范措施</w:t>
            </w:r>
          </w:p>
        </w:tc>
        <w:tc>
          <w:tcPr>
            <w:tcW w:w="7373" w:type="dxa"/>
            <w:gridSpan w:val="1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FC1444" w:rsidRDefault="00611CBA" w:rsidP="00D20748">
            <w:pPr>
              <w:rPr>
                <w:rFonts w:eastAsiaTheme="minorEastAsia"/>
                <w:szCs w:val="21"/>
              </w:rPr>
            </w:pPr>
            <w:r w:rsidRPr="00FC1444">
              <w:rPr>
                <w:rFonts w:eastAsiaTheme="minorEastAsia"/>
                <w:szCs w:val="21"/>
              </w:rPr>
              <w:t>本项目</w:t>
            </w:r>
            <w:r w:rsidRPr="00FC1444">
              <w:rPr>
                <w:rFonts w:eastAsiaTheme="minorEastAsia"/>
                <w:bCs/>
                <w:szCs w:val="21"/>
              </w:rPr>
              <w:t>柴油机移动泵车</w:t>
            </w:r>
            <w:r w:rsidRPr="00FC1444">
              <w:rPr>
                <w:rFonts w:eastAsiaTheme="minorEastAsia"/>
                <w:szCs w:val="21"/>
              </w:rPr>
              <w:t>油箱密闭，不使用时于村内暂存，暂存处地面设置重点防渗（等效黏土防渗层</w:t>
            </w:r>
            <w:r w:rsidRPr="00FC1444">
              <w:rPr>
                <w:rFonts w:eastAsiaTheme="minorEastAsia"/>
                <w:szCs w:val="21"/>
              </w:rPr>
              <w:t>Mb≥6.0m</w:t>
            </w:r>
            <w:r w:rsidRPr="00FC1444">
              <w:rPr>
                <w:rFonts w:eastAsiaTheme="minorEastAsia"/>
                <w:szCs w:val="21"/>
              </w:rPr>
              <w:t>，渗透系数</w:t>
            </w:r>
            <w:r w:rsidRPr="00FC1444">
              <w:rPr>
                <w:rFonts w:eastAsiaTheme="minorEastAsia"/>
                <w:szCs w:val="21"/>
              </w:rPr>
              <w:t>K≤1.0×10</w:t>
            </w:r>
            <w:r w:rsidRPr="00FC1444">
              <w:rPr>
                <w:rFonts w:eastAsiaTheme="minorEastAsia"/>
                <w:szCs w:val="21"/>
                <w:vertAlign w:val="superscript"/>
              </w:rPr>
              <w:t>-7</w:t>
            </w:r>
            <w:r w:rsidRPr="00FC1444">
              <w:rPr>
                <w:rFonts w:eastAsiaTheme="minorEastAsia"/>
                <w:szCs w:val="21"/>
              </w:rPr>
              <w:t>cm/s</w:t>
            </w:r>
            <w:r w:rsidRPr="00FC1444">
              <w:rPr>
                <w:rFonts w:eastAsiaTheme="minorEastAsia"/>
                <w:szCs w:val="21"/>
              </w:rPr>
              <w:t>），正常情况下不会泄漏，若发生泄漏事故，属于小范围污染，立即用沙土进行掩埋，产生的含油沙土交由资质单位运输和处置。</w:t>
            </w:r>
          </w:p>
          <w:p w:rsidR="002A5A5E" w:rsidRPr="00FC1444" w:rsidRDefault="00611CBA" w:rsidP="00D20748">
            <w:pPr>
              <w:spacing w:line="0" w:lineRule="atLeast"/>
              <w:rPr>
                <w:rFonts w:eastAsiaTheme="minorEastAsia"/>
                <w:b/>
                <w:kern w:val="0"/>
                <w:szCs w:val="21"/>
              </w:rPr>
            </w:pPr>
            <w:r w:rsidRPr="00FC1444">
              <w:rPr>
                <w:rFonts w:eastAsiaTheme="minorEastAsia"/>
                <w:szCs w:val="21"/>
              </w:rPr>
              <w:t>定期巡检，重点检查变压器油箱密封性（有无裂缝、接口渗漏）、油位刻度（判断是否存在异常泄漏），发现变压器油泄漏应立即停止此变压器运行，属于小范围污染，立即用沙土进行掩埋，产生的含油沙土及泄漏物交由资质单位处置进行运输和处置，通过采取此应急措施后本项目环境风险影响可接受。加强巡视及管理并制定环境风险应急预案。</w:t>
            </w:r>
          </w:p>
        </w:tc>
      </w:tr>
      <w:tr w:rsidR="002A5A5E" w:rsidRPr="00FC1444">
        <w:trPr>
          <w:trHeight w:val="1365"/>
        </w:trPr>
        <w:tc>
          <w:tcPr>
            <w:tcW w:w="1702" w:type="dxa"/>
            <w:gridSpan w:val="2"/>
            <w:tcBorders>
              <w:top w:val="single" w:sz="6" w:space="0" w:color="000000" w:themeColor="text1"/>
              <w:left w:val="single" w:sz="12" w:space="0" w:color="000000" w:themeColor="text1"/>
              <w:bottom w:val="single" w:sz="2" w:space="0" w:color="000000" w:themeColor="text1"/>
              <w:right w:val="single" w:sz="6" w:space="0" w:color="000000" w:themeColor="text1"/>
            </w:tcBorders>
          </w:tcPr>
          <w:p w:rsidR="002A5A5E" w:rsidRPr="00FC1444" w:rsidRDefault="00611CBA">
            <w:pPr>
              <w:rPr>
                <w:rFonts w:eastAsiaTheme="minorEastAsia"/>
                <w:szCs w:val="21"/>
              </w:rPr>
            </w:pPr>
            <w:r w:rsidRPr="00FC1444">
              <w:rPr>
                <w:rFonts w:eastAsiaTheme="minorEastAsia"/>
                <w:kern w:val="0"/>
                <w:szCs w:val="21"/>
              </w:rPr>
              <w:t>评价结论与建议</w:t>
            </w:r>
          </w:p>
        </w:tc>
        <w:tc>
          <w:tcPr>
            <w:tcW w:w="7373" w:type="dxa"/>
            <w:gridSpan w:val="17"/>
            <w:tcBorders>
              <w:top w:val="single" w:sz="6" w:space="0" w:color="000000" w:themeColor="text1"/>
              <w:left w:val="single" w:sz="6" w:space="0" w:color="000000" w:themeColor="text1"/>
              <w:bottom w:val="single" w:sz="2" w:space="0" w:color="000000" w:themeColor="text1"/>
              <w:right w:val="single" w:sz="12" w:space="0" w:color="000000" w:themeColor="text1"/>
            </w:tcBorders>
          </w:tcPr>
          <w:p w:rsidR="002A5A5E" w:rsidRPr="00FC1444" w:rsidRDefault="00611CBA" w:rsidP="00D20748">
            <w:pPr>
              <w:rPr>
                <w:rFonts w:eastAsiaTheme="minorEastAsia"/>
                <w:szCs w:val="21"/>
              </w:rPr>
            </w:pPr>
            <w:r w:rsidRPr="00FC1444">
              <w:rPr>
                <w:rFonts w:eastAsiaTheme="minorEastAsia"/>
                <w:kern w:val="0"/>
                <w:szCs w:val="21"/>
              </w:rPr>
              <w:t>采取本项目提出的风险应急措施，可有效避免风险事故污染大气、地下水，可有效保护应急人员健康</w:t>
            </w:r>
          </w:p>
        </w:tc>
      </w:tr>
      <w:tr w:rsidR="002A5A5E" w:rsidRPr="00FC1444">
        <w:trPr>
          <w:trHeight w:val="421"/>
        </w:trPr>
        <w:tc>
          <w:tcPr>
            <w:tcW w:w="9075" w:type="dxa"/>
            <w:gridSpan w:val="19"/>
            <w:tcBorders>
              <w:top w:val="single" w:sz="2" w:space="0" w:color="000000" w:themeColor="text1"/>
              <w:left w:val="single" w:sz="12" w:space="0" w:color="000000" w:themeColor="text1"/>
              <w:bottom w:val="single" w:sz="12" w:space="0" w:color="000000" w:themeColor="text1"/>
              <w:right w:val="single" w:sz="12" w:space="0" w:color="000000" w:themeColor="text1"/>
            </w:tcBorders>
            <w:vAlign w:val="top"/>
          </w:tcPr>
          <w:p w:rsidR="002A5A5E" w:rsidRPr="00FC1444" w:rsidRDefault="00611CBA">
            <w:pPr>
              <w:rPr>
                <w:rFonts w:eastAsiaTheme="minorEastAsia"/>
                <w:kern w:val="0"/>
                <w:szCs w:val="21"/>
              </w:rPr>
            </w:pPr>
            <w:r w:rsidRPr="00FC1444">
              <w:rPr>
                <w:rFonts w:eastAsiaTheme="minorEastAsia"/>
                <w:kern w:val="0"/>
                <w:szCs w:val="21"/>
              </w:rPr>
              <w:t>注：</w:t>
            </w:r>
            <w:r w:rsidRPr="00FC1444">
              <w:rPr>
                <w:rFonts w:eastAsiaTheme="minorEastAsia"/>
                <w:kern w:val="0"/>
                <w:szCs w:val="21"/>
              </w:rPr>
              <w:t>“□”</w:t>
            </w:r>
            <w:r w:rsidRPr="00FC1444">
              <w:rPr>
                <w:rFonts w:eastAsiaTheme="minorEastAsia"/>
                <w:kern w:val="0"/>
                <w:szCs w:val="21"/>
              </w:rPr>
              <w:t>为勾选项，</w:t>
            </w:r>
            <w:r w:rsidRPr="00FC1444">
              <w:rPr>
                <w:rFonts w:eastAsiaTheme="minorEastAsia"/>
                <w:kern w:val="0"/>
                <w:szCs w:val="21"/>
              </w:rPr>
              <w:t>“”</w:t>
            </w:r>
            <w:r w:rsidRPr="00FC1444">
              <w:rPr>
                <w:rFonts w:eastAsiaTheme="minorEastAsia"/>
                <w:kern w:val="0"/>
                <w:szCs w:val="21"/>
              </w:rPr>
              <w:t>为填写项。</w:t>
            </w:r>
          </w:p>
          <w:p w:rsidR="002A5A5E" w:rsidRPr="00FC1444" w:rsidRDefault="002A5A5E">
            <w:pPr>
              <w:rPr>
                <w:rFonts w:eastAsiaTheme="minorEastAsia"/>
                <w:szCs w:val="21"/>
              </w:rPr>
            </w:pPr>
          </w:p>
        </w:tc>
      </w:tr>
    </w:tbl>
    <w:p w:rsidR="002A5A5E" w:rsidRPr="00FC1444" w:rsidRDefault="002A5A5E">
      <w:pPr>
        <w:spacing w:line="360" w:lineRule="auto"/>
        <w:jc w:val="center"/>
        <w:rPr>
          <w:rFonts w:eastAsiaTheme="minorEastAsia"/>
          <w:b/>
          <w:sz w:val="28"/>
          <w:szCs w:val="28"/>
        </w:rPr>
      </w:pPr>
    </w:p>
    <w:p w:rsidR="002A5A5E" w:rsidRPr="00FC1444" w:rsidRDefault="00611CBA">
      <w:pPr>
        <w:jc w:val="center"/>
        <w:rPr>
          <w:rFonts w:eastAsiaTheme="minorEastAsia"/>
          <w:b/>
          <w:sz w:val="24"/>
        </w:rPr>
      </w:pPr>
      <w:r w:rsidRPr="00FC1444">
        <w:rPr>
          <w:rFonts w:eastAsiaTheme="minorEastAsia"/>
          <w:b/>
          <w:sz w:val="24"/>
        </w:rPr>
        <w:lastRenderedPageBreak/>
        <w:t>生态影响评价自查表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839"/>
        <w:gridCol w:w="1303"/>
        <w:gridCol w:w="6380"/>
      </w:tblGrid>
      <w:tr w:rsidR="002A5A5E" w:rsidRPr="00FC1444">
        <w:trPr>
          <w:jc w:val="center"/>
        </w:trPr>
        <w:tc>
          <w:tcPr>
            <w:tcW w:w="2143" w:type="dxa"/>
            <w:gridSpan w:val="2"/>
            <w:vAlign w:val="center"/>
          </w:tcPr>
          <w:p w:rsidR="002A5A5E" w:rsidRPr="00FC1444" w:rsidRDefault="00611CBA">
            <w:pPr>
              <w:jc w:val="center"/>
              <w:rPr>
                <w:rFonts w:eastAsiaTheme="minorEastAsia"/>
                <w:szCs w:val="21"/>
              </w:rPr>
            </w:pPr>
            <w:r w:rsidRPr="00FC1444">
              <w:rPr>
                <w:rFonts w:eastAsiaTheme="minorEastAsia"/>
                <w:szCs w:val="21"/>
              </w:rPr>
              <w:t>工作内容</w:t>
            </w:r>
          </w:p>
        </w:tc>
        <w:tc>
          <w:tcPr>
            <w:tcW w:w="6385" w:type="dxa"/>
            <w:vAlign w:val="center"/>
          </w:tcPr>
          <w:p w:rsidR="002A5A5E" w:rsidRPr="00FC1444" w:rsidRDefault="00611CBA">
            <w:pPr>
              <w:jc w:val="center"/>
              <w:rPr>
                <w:rFonts w:eastAsiaTheme="minorEastAsia"/>
                <w:szCs w:val="21"/>
              </w:rPr>
            </w:pPr>
            <w:r w:rsidRPr="00FC1444">
              <w:rPr>
                <w:rFonts w:eastAsiaTheme="minorEastAsia"/>
                <w:szCs w:val="21"/>
              </w:rPr>
              <w:t>自查项目</w:t>
            </w:r>
          </w:p>
        </w:tc>
      </w:tr>
      <w:tr w:rsidR="002A5A5E" w:rsidRPr="00FC1444">
        <w:trPr>
          <w:jc w:val="center"/>
        </w:trPr>
        <w:tc>
          <w:tcPr>
            <w:tcW w:w="839" w:type="dxa"/>
            <w:vMerge w:val="restart"/>
            <w:vAlign w:val="center"/>
          </w:tcPr>
          <w:p w:rsidR="002A5A5E" w:rsidRPr="00FC1444" w:rsidRDefault="00611CBA">
            <w:pPr>
              <w:jc w:val="center"/>
              <w:rPr>
                <w:rFonts w:eastAsiaTheme="minorEastAsia"/>
                <w:szCs w:val="21"/>
              </w:rPr>
            </w:pPr>
            <w:r w:rsidRPr="00FC1444">
              <w:rPr>
                <w:rFonts w:eastAsiaTheme="minorEastAsia"/>
                <w:szCs w:val="21"/>
              </w:rPr>
              <w:t>生态影响识别</w:t>
            </w: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生态保护目标</w:t>
            </w:r>
          </w:p>
        </w:tc>
        <w:tc>
          <w:tcPr>
            <w:tcW w:w="6385" w:type="dxa"/>
            <w:vAlign w:val="center"/>
          </w:tcPr>
          <w:p w:rsidR="002A5A5E" w:rsidRPr="00FC1444" w:rsidRDefault="00611CBA">
            <w:pPr>
              <w:rPr>
                <w:rFonts w:eastAsiaTheme="minorEastAsia"/>
                <w:szCs w:val="21"/>
              </w:rPr>
            </w:pPr>
            <w:r w:rsidRPr="00FC1444">
              <w:rPr>
                <w:rFonts w:eastAsiaTheme="minorEastAsia"/>
                <w:szCs w:val="21"/>
              </w:rPr>
              <w:t>重要物种</w:t>
            </w:r>
            <w:r w:rsidR="002F2D3F" w:rsidRPr="00FC1444">
              <w:rPr>
                <w:rFonts w:eastAsiaTheme="minorEastAsia"/>
                <w:szCs w:val="21"/>
              </w:rPr>
              <w:t>□</w:t>
            </w:r>
            <w:r w:rsidRPr="00FC1444">
              <w:rPr>
                <w:rFonts w:eastAsiaTheme="minorEastAsia"/>
                <w:szCs w:val="21"/>
              </w:rPr>
              <w:t>；国家公园</w:t>
            </w:r>
            <w:r w:rsidRPr="00FC1444">
              <w:rPr>
                <w:rFonts w:eastAsiaTheme="minorEastAsia"/>
                <w:szCs w:val="21"/>
              </w:rPr>
              <w:t>□</w:t>
            </w:r>
            <w:r w:rsidRPr="00FC1444">
              <w:rPr>
                <w:rFonts w:eastAsiaTheme="minorEastAsia"/>
                <w:szCs w:val="21"/>
              </w:rPr>
              <w:t>；自然保护区</w:t>
            </w:r>
            <w:r w:rsidR="002F2D3F" w:rsidRPr="00FC1444">
              <w:rPr>
                <w:rFonts w:eastAsiaTheme="minorEastAsia"/>
                <w:szCs w:val="21"/>
              </w:rPr>
              <w:t>□</w:t>
            </w:r>
            <w:r w:rsidRPr="00FC1444">
              <w:rPr>
                <w:rFonts w:eastAsiaTheme="minorEastAsia"/>
                <w:szCs w:val="21"/>
              </w:rPr>
              <w:t>；自然公园</w:t>
            </w:r>
            <w:r w:rsidRPr="00FC1444">
              <w:rPr>
                <w:rFonts w:eastAsiaTheme="minorEastAsia"/>
                <w:szCs w:val="21"/>
              </w:rPr>
              <w:t>□</w:t>
            </w:r>
            <w:r w:rsidRPr="00FC1444">
              <w:rPr>
                <w:rFonts w:eastAsiaTheme="minorEastAsia"/>
                <w:szCs w:val="21"/>
              </w:rPr>
              <w:t>；世界自然遗产</w:t>
            </w:r>
            <w:r w:rsidRPr="00FC1444">
              <w:rPr>
                <w:rFonts w:eastAsiaTheme="minorEastAsia"/>
                <w:szCs w:val="21"/>
              </w:rPr>
              <w:t>□</w:t>
            </w:r>
            <w:r w:rsidRPr="00FC1444">
              <w:rPr>
                <w:rFonts w:eastAsiaTheme="minorEastAsia"/>
                <w:szCs w:val="21"/>
              </w:rPr>
              <w:t>；生态保护红线</w:t>
            </w:r>
            <w:r w:rsidRPr="00FC1444">
              <w:rPr>
                <w:rFonts w:eastAsiaTheme="minorEastAsia"/>
                <w:szCs w:val="21"/>
              </w:rPr>
              <w:t>□</w:t>
            </w:r>
            <w:r w:rsidRPr="00FC1444">
              <w:rPr>
                <w:rFonts w:eastAsiaTheme="minorEastAsia"/>
                <w:szCs w:val="21"/>
              </w:rPr>
              <w:t>；重要生境</w:t>
            </w:r>
            <w:r w:rsidRPr="00FC1444">
              <w:rPr>
                <w:rFonts w:eastAsiaTheme="minorEastAsia"/>
                <w:szCs w:val="21"/>
              </w:rPr>
              <w:t>□</w:t>
            </w:r>
            <w:r w:rsidRPr="00FC1444">
              <w:rPr>
                <w:rFonts w:eastAsiaTheme="minorEastAsia"/>
                <w:szCs w:val="21"/>
              </w:rPr>
              <w:t>；其他具有重要生态功能、对保护生物多样性具有重要意义的区域</w:t>
            </w:r>
            <w:r w:rsidRPr="00FC1444">
              <w:rPr>
                <w:rFonts w:eastAsiaTheme="minorEastAsia"/>
                <w:szCs w:val="21"/>
              </w:rPr>
              <w:t>□</w:t>
            </w:r>
            <w:r w:rsidRPr="00FC1444">
              <w:rPr>
                <w:rFonts w:eastAsiaTheme="minorEastAsia"/>
                <w:szCs w:val="21"/>
              </w:rPr>
              <w:t>；其他</w:t>
            </w:r>
            <w:r w:rsidRPr="00FC1444">
              <w:rPr>
                <w:rFonts w:ascii="MS Mincho" w:eastAsia="MS Mincho" w:hAnsi="MS Mincho" w:cs="MS Mincho" w:hint="eastAsia"/>
                <w:szCs w:val="21"/>
              </w:rPr>
              <w:t>☑</w:t>
            </w:r>
          </w:p>
        </w:tc>
      </w:tr>
      <w:tr w:rsidR="002A5A5E" w:rsidRPr="00FC1444">
        <w:trPr>
          <w:jc w:val="center"/>
        </w:trPr>
        <w:tc>
          <w:tcPr>
            <w:tcW w:w="839" w:type="dxa"/>
            <w:vMerge/>
            <w:vAlign w:val="center"/>
          </w:tcPr>
          <w:p w:rsidR="002A5A5E" w:rsidRPr="00FC1444" w:rsidRDefault="002A5A5E">
            <w:pPr>
              <w:jc w:val="center"/>
              <w:rPr>
                <w:rFonts w:eastAsiaTheme="minorEastAsia"/>
                <w:szCs w:val="21"/>
              </w:rPr>
            </w:pP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影响方式</w:t>
            </w:r>
          </w:p>
        </w:tc>
        <w:tc>
          <w:tcPr>
            <w:tcW w:w="6385" w:type="dxa"/>
            <w:vAlign w:val="center"/>
          </w:tcPr>
          <w:p w:rsidR="002A5A5E" w:rsidRPr="00FC1444" w:rsidRDefault="00611CBA">
            <w:pPr>
              <w:rPr>
                <w:rFonts w:eastAsiaTheme="minorEastAsia"/>
                <w:szCs w:val="21"/>
              </w:rPr>
            </w:pPr>
            <w:r w:rsidRPr="00FC1444">
              <w:rPr>
                <w:rFonts w:eastAsiaTheme="minorEastAsia"/>
                <w:szCs w:val="21"/>
              </w:rPr>
              <w:t>工程占用</w:t>
            </w:r>
            <w:r w:rsidRPr="00FC1444">
              <w:rPr>
                <w:rFonts w:ascii="MS Mincho" w:eastAsia="MS Mincho" w:hAnsi="MS Mincho" w:cs="MS Mincho" w:hint="eastAsia"/>
                <w:szCs w:val="21"/>
              </w:rPr>
              <w:t>☑</w:t>
            </w:r>
            <w:r w:rsidRPr="00FC1444">
              <w:rPr>
                <w:rFonts w:eastAsiaTheme="minorEastAsia"/>
                <w:szCs w:val="21"/>
              </w:rPr>
              <w:t>；施工活动干扰</w:t>
            </w:r>
            <w:r w:rsidRPr="00FC1444">
              <w:rPr>
                <w:rFonts w:ascii="MS Mincho" w:eastAsia="MS Mincho" w:hAnsi="MS Mincho" w:cs="MS Mincho" w:hint="eastAsia"/>
                <w:szCs w:val="21"/>
              </w:rPr>
              <w:t>☑</w:t>
            </w:r>
            <w:r w:rsidRPr="00FC1444">
              <w:rPr>
                <w:rFonts w:eastAsiaTheme="minorEastAsia"/>
                <w:szCs w:val="21"/>
              </w:rPr>
              <w:t>；改变环境条件</w:t>
            </w:r>
            <w:r w:rsidRPr="00FC1444">
              <w:rPr>
                <w:rFonts w:ascii="MS Mincho" w:eastAsia="MS Mincho" w:hAnsi="MS Mincho" w:cs="MS Mincho" w:hint="eastAsia"/>
                <w:szCs w:val="21"/>
              </w:rPr>
              <w:t>☑</w:t>
            </w:r>
            <w:r w:rsidRPr="00FC1444">
              <w:rPr>
                <w:rFonts w:eastAsiaTheme="minorEastAsia"/>
                <w:szCs w:val="21"/>
              </w:rPr>
              <w:t>；其他</w:t>
            </w:r>
            <w:r w:rsidRPr="00FC1444">
              <w:rPr>
                <w:rFonts w:eastAsiaTheme="minorEastAsia"/>
                <w:szCs w:val="21"/>
              </w:rPr>
              <w:t>□</w:t>
            </w:r>
          </w:p>
        </w:tc>
      </w:tr>
      <w:tr w:rsidR="002A5A5E" w:rsidRPr="00FC1444">
        <w:trPr>
          <w:jc w:val="center"/>
        </w:trPr>
        <w:tc>
          <w:tcPr>
            <w:tcW w:w="839" w:type="dxa"/>
            <w:vMerge/>
            <w:vAlign w:val="center"/>
          </w:tcPr>
          <w:p w:rsidR="002A5A5E" w:rsidRPr="00FC1444" w:rsidRDefault="002A5A5E">
            <w:pPr>
              <w:jc w:val="center"/>
              <w:rPr>
                <w:rFonts w:eastAsiaTheme="minorEastAsia"/>
                <w:szCs w:val="21"/>
              </w:rPr>
            </w:pP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评价因子</w:t>
            </w:r>
          </w:p>
        </w:tc>
        <w:tc>
          <w:tcPr>
            <w:tcW w:w="6385" w:type="dxa"/>
            <w:vAlign w:val="center"/>
          </w:tcPr>
          <w:p w:rsidR="002A5A5E" w:rsidRPr="00FC1444" w:rsidRDefault="00611CBA">
            <w:pPr>
              <w:rPr>
                <w:rFonts w:eastAsiaTheme="minorEastAsia"/>
                <w:szCs w:val="21"/>
              </w:rPr>
            </w:pPr>
            <w:r w:rsidRPr="00FC1444">
              <w:rPr>
                <w:rFonts w:eastAsiaTheme="minorEastAsia"/>
                <w:szCs w:val="21"/>
              </w:rPr>
              <w:t>物种</w:t>
            </w:r>
            <w:r w:rsidRPr="00FC1444">
              <w:rPr>
                <w:rFonts w:ascii="MS Mincho" w:eastAsia="MS Mincho" w:hAnsi="MS Mincho" w:cs="MS Mincho" w:hint="eastAsia"/>
                <w:szCs w:val="21"/>
              </w:rPr>
              <w:t>☑</w:t>
            </w:r>
            <w:r w:rsidRPr="00FC1444">
              <w:rPr>
                <w:rFonts w:eastAsiaTheme="minorEastAsia"/>
                <w:szCs w:val="21"/>
              </w:rPr>
              <w:t>（分布范围、种群数量、种群结构、行为）</w:t>
            </w:r>
          </w:p>
          <w:p w:rsidR="002A5A5E" w:rsidRPr="00FC1444" w:rsidRDefault="00611CBA">
            <w:pPr>
              <w:rPr>
                <w:rFonts w:eastAsiaTheme="minorEastAsia"/>
                <w:szCs w:val="21"/>
              </w:rPr>
            </w:pPr>
            <w:r w:rsidRPr="00FC1444">
              <w:rPr>
                <w:rFonts w:eastAsiaTheme="minorEastAsia"/>
                <w:szCs w:val="21"/>
              </w:rPr>
              <w:t>生境</w:t>
            </w:r>
            <w:r w:rsidRPr="00FC1444">
              <w:rPr>
                <w:rFonts w:ascii="MS Mincho" w:eastAsia="MS Mincho" w:hAnsi="MS Mincho" w:cs="MS Mincho" w:hint="eastAsia"/>
                <w:szCs w:val="21"/>
              </w:rPr>
              <w:t>☑</w:t>
            </w:r>
            <w:r w:rsidRPr="00FC1444">
              <w:rPr>
                <w:rFonts w:eastAsiaTheme="minorEastAsia"/>
                <w:szCs w:val="21"/>
              </w:rPr>
              <w:t>（生境质量）</w:t>
            </w:r>
          </w:p>
          <w:p w:rsidR="002A5A5E" w:rsidRPr="00FC1444" w:rsidRDefault="00611CBA">
            <w:pPr>
              <w:rPr>
                <w:rFonts w:eastAsiaTheme="minorEastAsia"/>
                <w:szCs w:val="21"/>
              </w:rPr>
            </w:pPr>
            <w:r w:rsidRPr="00FC1444">
              <w:rPr>
                <w:rFonts w:eastAsiaTheme="minorEastAsia"/>
                <w:szCs w:val="21"/>
              </w:rPr>
              <w:t>生物群落</w:t>
            </w:r>
            <w:r w:rsidRPr="00FC1444">
              <w:rPr>
                <w:rFonts w:ascii="MS Mincho" w:eastAsia="MS Mincho" w:hAnsi="MS Mincho" w:cs="MS Mincho" w:hint="eastAsia"/>
                <w:szCs w:val="21"/>
              </w:rPr>
              <w:t>☑</w:t>
            </w:r>
            <w:r w:rsidRPr="00FC1444">
              <w:rPr>
                <w:rFonts w:eastAsiaTheme="minorEastAsia"/>
                <w:szCs w:val="21"/>
              </w:rPr>
              <w:t>（物种组成）</w:t>
            </w:r>
          </w:p>
          <w:p w:rsidR="002A5A5E" w:rsidRPr="00FC1444" w:rsidRDefault="00611CBA">
            <w:pPr>
              <w:rPr>
                <w:rFonts w:eastAsiaTheme="minorEastAsia"/>
                <w:szCs w:val="21"/>
              </w:rPr>
            </w:pPr>
            <w:r w:rsidRPr="00FC1444">
              <w:rPr>
                <w:rFonts w:eastAsiaTheme="minorEastAsia"/>
                <w:szCs w:val="21"/>
              </w:rPr>
              <w:t>生态系统</w:t>
            </w:r>
            <w:r w:rsidRPr="00FC1444">
              <w:rPr>
                <w:rFonts w:ascii="MS Mincho" w:eastAsia="MS Mincho" w:hAnsi="MS Mincho" w:cs="MS Mincho" w:hint="eastAsia"/>
                <w:szCs w:val="21"/>
              </w:rPr>
              <w:t>☑</w:t>
            </w:r>
            <w:r w:rsidRPr="00FC1444">
              <w:rPr>
                <w:rFonts w:eastAsiaTheme="minorEastAsia"/>
                <w:szCs w:val="21"/>
              </w:rPr>
              <w:t>（生物量、生态系统功能）</w:t>
            </w:r>
          </w:p>
          <w:p w:rsidR="002A5A5E" w:rsidRPr="00FC1444" w:rsidRDefault="00611CBA">
            <w:pPr>
              <w:rPr>
                <w:rFonts w:eastAsiaTheme="minorEastAsia"/>
                <w:szCs w:val="21"/>
              </w:rPr>
            </w:pPr>
            <w:r w:rsidRPr="00FC1444">
              <w:rPr>
                <w:rFonts w:eastAsiaTheme="minorEastAsia"/>
                <w:szCs w:val="21"/>
              </w:rPr>
              <w:t>生物多样性</w:t>
            </w:r>
            <w:r w:rsidRPr="00FC1444">
              <w:rPr>
                <w:rFonts w:ascii="MS Mincho" w:eastAsia="MS Mincho" w:hAnsi="MS Mincho" w:cs="MS Mincho" w:hint="eastAsia"/>
                <w:szCs w:val="21"/>
              </w:rPr>
              <w:t>☑</w:t>
            </w:r>
            <w:r w:rsidRPr="00FC1444">
              <w:rPr>
                <w:rFonts w:eastAsiaTheme="minorEastAsia"/>
                <w:szCs w:val="21"/>
              </w:rPr>
              <w:t>（）</w:t>
            </w:r>
          </w:p>
          <w:p w:rsidR="002A5A5E" w:rsidRPr="00FC1444" w:rsidRDefault="00611CBA">
            <w:pPr>
              <w:rPr>
                <w:rFonts w:eastAsiaTheme="minorEastAsia"/>
                <w:szCs w:val="21"/>
              </w:rPr>
            </w:pPr>
            <w:r w:rsidRPr="00FC1444">
              <w:rPr>
                <w:rFonts w:eastAsiaTheme="minorEastAsia"/>
                <w:szCs w:val="21"/>
              </w:rPr>
              <w:t>生态敏感区</w:t>
            </w:r>
            <w:r w:rsidRPr="00FC1444">
              <w:rPr>
                <w:rFonts w:eastAsiaTheme="minorEastAsia"/>
                <w:szCs w:val="21"/>
              </w:rPr>
              <w:t>□</w:t>
            </w:r>
            <w:r w:rsidRPr="00FC1444">
              <w:rPr>
                <w:rFonts w:eastAsiaTheme="minorEastAsia"/>
                <w:szCs w:val="21"/>
              </w:rPr>
              <w:t>（）</w:t>
            </w:r>
          </w:p>
          <w:p w:rsidR="002A5A5E" w:rsidRPr="00FC1444" w:rsidRDefault="00611CBA">
            <w:pPr>
              <w:rPr>
                <w:rFonts w:eastAsiaTheme="minorEastAsia"/>
                <w:szCs w:val="21"/>
              </w:rPr>
            </w:pPr>
            <w:r w:rsidRPr="00FC1444">
              <w:rPr>
                <w:rFonts w:eastAsiaTheme="minorEastAsia"/>
                <w:szCs w:val="21"/>
              </w:rPr>
              <w:t>自然景观</w:t>
            </w:r>
            <w:r w:rsidRPr="00FC1444">
              <w:rPr>
                <w:rFonts w:ascii="MS Mincho" w:eastAsia="MS Mincho" w:hAnsi="MS Mincho" w:cs="MS Mincho" w:hint="eastAsia"/>
                <w:szCs w:val="21"/>
              </w:rPr>
              <w:t>☑</w:t>
            </w:r>
            <w:r w:rsidRPr="00FC1444">
              <w:rPr>
                <w:rFonts w:eastAsiaTheme="minorEastAsia"/>
                <w:szCs w:val="21"/>
              </w:rPr>
              <w:t>（完整性）</w:t>
            </w:r>
          </w:p>
          <w:p w:rsidR="002A5A5E" w:rsidRPr="00FC1444" w:rsidRDefault="00611CBA">
            <w:pPr>
              <w:rPr>
                <w:rFonts w:eastAsiaTheme="minorEastAsia"/>
                <w:szCs w:val="21"/>
              </w:rPr>
            </w:pPr>
            <w:r w:rsidRPr="00FC1444">
              <w:rPr>
                <w:rFonts w:eastAsiaTheme="minorEastAsia"/>
                <w:szCs w:val="21"/>
              </w:rPr>
              <w:t>自然遗迹</w:t>
            </w:r>
            <w:r w:rsidRPr="00FC1444">
              <w:rPr>
                <w:rFonts w:eastAsiaTheme="minorEastAsia"/>
                <w:szCs w:val="21"/>
              </w:rPr>
              <w:t>□</w:t>
            </w:r>
            <w:r w:rsidRPr="00FC1444">
              <w:rPr>
                <w:rFonts w:eastAsiaTheme="minorEastAsia"/>
                <w:szCs w:val="21"/>
              </w:rPr>
              <w:t>（）</w:t>
            </w:r>
          </w:p>
          <w:p w:rsidR="002A5A5E" w:rsidRPr="00FC1444" w:rsidRDefault="00611CBA">
            <w:pPr>
              <w:rPr>
                <w:rFonts w:eastAsiaTheme="minorEastAsia"/>
                <w:szCs w:val="21"/>
              </w:rPr>
            </w:pPr>
            <w:r w:rsidRPr="00FC1444">
              <w:rPr>
                <w:rFonts w:eastAsiaTheme="minorEastAsia"/>
                <w:szCs w:val="21"/>
              </w:rPr>
              <w:t>其他</w:t>
            </w:r>
            <w:r w:rsidRPr="00FC1444">
              <w:rPr>
                <w:rFonts w:eastAsiaTheme="minorEastAsia"/>
                <w:szCs w:val="21"/>
              </w:rPr>
              <w:t>□</w:t>
            </w:r>
            <w:r w:rsidRPr="00FC1444">
              <w:rPr>
                <w:rFonts w:eastAsiaTheme="minorEastAsia"/>
                <w:szCs w:val="21"/>
              </w:rPr>
              <w:t>（）</w:t>
            </w:r>
          </w:p>
        </w:tc>
      </w:tr>
      <w:tr w:rsidR="002A5A5E" w:rsidRPr="00FC1444">
        <w:trPr>
          <w:jc w:val="center"/>
        </w:trPr>
        <w:tc>
          <w:tcPr>
            <w:tcW w:w="2143" w:type="dxa"/>
            <w:gridSpan w:val="2"/>
            <w:vAlign w:val="center"/>
          </w:tcPr>
          <w:p w:rsidR="002A5A5E" w:rsidRPr="00FC1444" w:rsidRDefault="00611CBA">
            <w:pPr>
              <w:jc w:val="center"/>
              <w:rPr>
                <w:rFonts w:eastAsiaTheme="minorEastAsia"/>
                <w:szCs w:val="21"/>
              </w:rPr>
            </w:pPr>
            <w:r w:rsidRPr="00FC1444">
              <w:rPr>
                <w:rFonts w:eastAsiaTheme="minorEastAsia"/>
                <w:szCs w:val="21"/>
              </w:rPr>
              <w:t>评价等级</w:t>
            </w:r>
          </w:p>
        </w:tc>
        <w:tc>
          <w:tcPr>
            <w:tcW w:w="6385" w:type="dxa"/>
            <w:vAlign w:val="center"/>
          </w:tcPr>
          <w:p w:rsidR="002A5A5E" w:rsidRPr="00FC1444" w:rsidRDefault="00611CBA">
            <w:pPr>
              <w:rPr>
                <w:rFonts w:eastAsiaTheme="minorEastAsia"/>
                <w:szCs w:val="21"/>
              </w:rPr>
            </w:pPr>
            <w:r w:rsidRPr="00FC1444">
              <w:rPr>
                <w:rFonts w:eastAsiaTheme="minorEastAsia"/>
                <w:szCs w:val="21"/>
              </w:rPr>
              <w:t>一级</w:t>
            </w:r>
            <w:r w:rsidR="002F2D3F" w:rsidRPr="00FC1444">
              <w:rPr>
                <w:rFonts w:eastAsiaTheme="minorEastAsia"/>
                <w:szCs w:val="21"/>
              </w:rPr>
              <w:t>□</w:t>
            </w:r>
            <w:r w:rsidRPr="00FC1444">
              <w:rPr>
                <w:rFonts w:eastAsiaTheme="minorEastAsia"/>
                <w:szCs w:val="21"/>
              </w:rPr>
              <w:t xml:space="preserve">        </w:t>
            </w:r>
            <w:r w:rsidRPr="00FC1444">
              <w:rPr>
                <w:rFonts w:eastAsiaTheme="minorEastAsia"/>
                <w:szCs w:val="21"/>
              </w:rPr>
              <w:t>二级</w:t>
            </w:r>
            <w:r w:rsidRPr="00FC1444">
              <w:rPr>
                <w:rFonts w:eastAsiaTheme="minorEastAsia"/>
                <w:szCs w:val="21"/>
              </w:rPr>
              <w:t xml:space="preserve">□        </w:t>
            </w:r>
            <w:r w:rsidRPr="00FC1444">
              <w:rPr>
                <w:rFonts w:eastAsiaTheme="minorEastAsia"/>
                <w:szCs w:val="21"/>
              </w:rPr>
              <w:t>三级</w:t>
            </w:r>
            <w:r w:rsidRPr="00FC1444">
              <w:rPr>
                <w:rFonts w:ascii="MS Mincho" w:eastAsia="MS Mincho" w:hAnsi="MS Mincho" w:cs="MS Mincho" w:hint="eastAsia"/>
                <w:szCs w:val="21"/>
              </w:rPr>
              <w:t>☑</w:t>
            </w:r>
            <w:r w:rsidRPr="00FC1444">
              <w:rPr>
                <w:rFonts w:eastAsiaTheme="minorEastAsia"/>
                <w:szCs w:val="21"/>
              </w:rPr>
              <w:t xml:space="preserve">     </w:t>
            </w:r>
            <w:r w:rsidRPr="00FC1444">
              <w:rPr>
                <w:rFonts w:eastAsiaTheme="minorEastAsia"/>
                <w:szCs w:val="21"/>
              </w:rPr>
              <w:t>生态影响简单分析</w:t>
            </w:r>
            <w:r w:rsidRPr="00FC1444">
              <w:rPr>
                <w:rFonts w:eastAsiaTheme="minorEastAsia"/>
                <w:szCs w:val="21"/>
              </w:rPr>
              <w:t>□</w:t>
            </w:r>
          </w:p>
        </w:tc>
      </w:tr>
      <w:tr w:rsidR="002A5A5E" w:rsidRPr="00FC1444">
        <w:trPr>
          <w:jc w:val="center"/>
        </w:trPr>
        <w:tc>
          <w:tcPr>
            <w:tcW w:w="2143" w:type="dxa"/>
            <w:gridSpan w:val="2"/>
            <w:vAlign w:val="center"/>
          </w:tcPr>
          <w:p w:rsidR="002A5A5E" w:rsidRPr="00FC1444" w:rsidRDefault="00611CBA">
            <w:pPr>
              <w:jc w:val="center"/>
              <w:rPr>
                <w:rFonts w:eastAsiaTheme="minorEastAsia"/>
                <w:szCs w:val="21"/>
              </w:rPr>
            </w:pPr>
            <w:r w:rsidRPr="00FC1444">
              <w:rPr>
                <w:rFonts w:eastAsiaTheme="minorEastAsia"/>
                <w:szCs w:val="21"/>
              </w:rPr>
              <w:t>评价范围</w:t>
            </w:r>
          </w:p>
        </w:tc>
        <w:tc>
          <w:tcPr>
            <w:tcW w:w="6385" w:type="dxa"/>
            <w:vAlign w:val="center"/>
          </w:tcPr>
          <w:p w:rsidR="002A5A5E" w:rsidRPr="00FC1444" w:rsidRDefault="00611CBA" w:rsidP="00EB1639">
            <w:pPr>
              <w:rPr>
                <w:rFonts w:eastAsiaTheme="minorEastAsia"/>
                <w:szCs w:val="21"/>
              </w:rPr>
            </w:pPr>
            <w:r w:rsidRPr="00FC1444">
              <w:rPr>
                <w:rFonts w:eastAsiaTheme="minorEastAsia"/>
                <w:szCs w:val="21"/>
              </w:rPr>
              <w:t>陆域面积：（</w:t>
            </w:r>
            <w:r w:rsidR="00EB1639" w:rsidRPr="00FC1444">
              <w:rPr>
                <w:rFonts w:eastAsiaTheme="minorEastAsia" w:hint="eastAsia"/>
                <w:szCs w:val="21"/>
              </w:rPr>
              <w:t>260.45</w:t>
            </w:r>
            <w:r w:rsidRPr="00FC1444">
              <w:rPr>
                <w:rFonts w:eastAsiaTheme="minorEastAsia"/>
                <w:szCs w:val="21"/>
              </w:rPr>
              <w:t>）</w:t>
            </w:r>
            <w:r w:rsidRPr="00FC1444">
              <w:rPr>
                <w:rFonts w:eastAsiaTheme="minorEastAsia"/>
                <w:szCs w:val="21"/>
              </w:rPr>
              <w:t>km</w:t>
            </w:r>
            <w:r w:rsidRPr="00FC1444">
              <w:rPr>
                <w:rFonts w:eastAsiaTheme="minorEastAsia"/>
                <w:szCs w:val="21"/>
                <w:vertAlign w:val="superscript"/>
              </w:rPr>
              <w:t>2</w:t>
            </w:r>
            <w:r w:rsidRPr="00FC1444">
              <w:rPr>
                <w:rFonts w:eastAsiaTheme="minorEastAsia"/>
                <w:szCs w:val="21"/>
              </w:rPr>
              <w:t>；水域面积：（</w:t>
            </w:r>
            <w:r w:rsidR="00EB1639" w:rsidRPr="00FC1444">
              <w:rPr>
                <w:rFonts w:eastAsiaTheme="minorEastAsia" w:hint="eastAsia"/>
                <w:szCs w:val="21"/>
              </w:rPr>
              <w:t>0.18</w:t>
            </w:r>
            <w:r w:rsidRPr="00FC1444">
              <w:rPr>
                <w:rFonts w:eastAsiaTheme="minorEastAsia"/>
                <w:szCs w:val="21"/>
              </w:rPr>
              <w:t>）</w:t>
            </w:r>
            <w:r w:rsidRPr="00FC1444">
              <w:rPr>
                <w:rFonts w:eastAsiaTheme="minorEastAsia"/>
                <w:szCs w:val="21"/>
              </w:rPr>
              <w:t>km</w:t>
            </w:r>
            <w:r w:rsidRPr="00FC1444">
              <w:rPr>
                <w:rFonts w:eastAsiaTheme="minorEastAsia"/>
                <w:szCs w:val="21"/>
                <w:vertAlign w:val="superscript"/>
              </w:rPr>
              <w:t>2</w:t>
            </w:r>
          </w:p>
        </w:tc>
      </w:tr>
      <w:tr w:rsidR="002A5A5E" w:rsidRPr="00FC1444">
        <w:trPr>
          <w:jc w:val="center"/>
        </w:trPr>
        <w:tc>
          <w:tcPr>
            <w:tcW w:w="839" w:type="dxa"/>
            <w:vMerge w:val="restart"/>
            <w:vAlign w:val="center"/>
          </w:tcPr>
          <w:p w:rsidR="002A5A5E" w:rsidRPr="00FC1444" w:rsidRDefault="00611CBA">
            <w:pPr>
              <w:jc w:val="center"/>
              <w:rPr>
                <w:rFonts w:eastAsiaTheme="minorEastAsia"/>
                <w:szCs w:val="21"/>
              </w:rPr>
            </w:pPr>
            <w:r w:rsidRPr="00FC1444">
              <w:rPr>
                <w:rFonts w:eastAsiaTheme="minorEastAsia"/>
                <w:szCs w:val="21"/>
              </w:rPr>
              <w:t>生态现状调查与评价</w:t>
            </w: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调查方法</w:t>
            </w:r>
          </w:p>
        </w:tc>
        <w:tc>
          <w:tcPr>
            <w:tcW w:w="6385" w:type="dxa"/>
            <w:vAlign w:val="center"/>
          </w:tcPr>
          <w:p w:rsidR="002A5A5E" w:rsidRPr="00FC1444" w:rsidRDefault="00611CBA">
            <w:pPr>
              <w:rPr>
                <w:rFonts w:eastAsiaTheme="minorEastAsia"/>
                <w:szCs w:val="21"/>
              </w:rPr>
            </w:pPr>
            <w:r w:rsidRPr="00FC1444">
              <w:rPr>
                <w:rFonts w:eastAsiaTheme="minorEastAsia"/>
                <w:szCs w:val="21"/>
              </w:rPr>
              <w:t>资料收集</w:t>
            </w:r>
            <w:r w:rsidRPr="00FC1444">
              <w:rPr>
                <w:rFonts w:ascii="MS Mincho" w:eastAsia="MS Mincho" w:hAnsi="MS Mincho" w:cs="MS Mincho" w:hint="eastAsia"/>
                <w:szCs w:val="21"/>
              </w:rPr>
              <w:t>☑</w:t>
            </w:r>
            <w:r w:rsidRPr="00FC1444">
              <w:rPr>
                <w:rFonts w:eastAsiaTheme="minorEastAsia"/>
                <w:szCs w:val="21"/>
              </w:rPr>
              <w:t>；遥感调查</w:t>
            </w:r>
            <w:r w:rsidRPr="00FC1444">
              <w:rPr>
                <w:rFonts w:eastAsiaTheme="minorEastAsia"/>
                <w:szCs w:val="21"/>
              </w:rPr>
              <w:t>□</w:t>
            </w:r>
            <w:r w:rsidRPr="00FC1444">
              <w:rPr>
                <w:rFonts w:eastAsiaTheme="minorEastAsia"/>
                <w:szCs w:val="21"/>
              </w:rPr>
              <w:t>；调查样方、样线</w:t>
            </w:r>
            <w:r w:rsidRPr="00FC1444">
              <w:rPr>
                <w:rFonts w:eastAsiaTheme="minorEastAsia"/>
                <w:szCs w:val="21"/>
              </w:rPr>
              <w:t>□</w:t>
            </w:r>
            <w:r w:rsidRPr="00FC1444">
              <w:rPr>
                <w:rFonts w:eastAsiaTheme="minorEastAsia"/>
                <w:szCs w:val="21"/>
              </w:rPr>
              <w:t>；调查点位、断面</w:t>
            </w:r>
            <w:r w:rsidR="00EB2C0F" w:rsidRPr="00FC1444">
              <w:rPr>
                <w:rFonts w:eastAsiaTheme="minorEastAsia"/>
                <w:szCs w:val="21"/>
              </w:rPr>
              <w:t>□</w:t>
            </w:r>
            <w:r w:rsidRPr="00FC1444">
              <w:rPr>
                <w:rFonts w:eastAsiaTheme="minorEastAsia"/>
                <w:szCs w:val="21"/>
              </w:rPr>
              <w:t>；专家和公众咨询法</w:t>
            </w:r>
            <w:r w:rsidRPr="00FC1444">
              <w:rPr>
                <w:rFonts w:eastAsiaTheme="minorEastAsia"/>
                <w:szCs w:val="21"/>
              </w:rPr>
              <w:t>□</w:t>
            </w:r>
            <w:r w:rsidRPr="00FC1444">
              <w:rPr>
                <w:rFonts w:eastAsiaTheme="minorEastAsia"/>
                <w:szCs w:val="21"/>
              </w:rPr>
              <w:t>；其他</w:t>
            </w:r>
            <w:r w:rsidRPr="00FC1444">
              <w:rPr>
                <w:rFonts w:eastAsiaTheme="minorEastAsia"/>
                <w:szCs w:val="21"/>
              </w:rPr>
              <w:t>□</w:t>
            </w:r>
          </w:p>
        </w:tc>
      </w:tr>
      <w:tr w:rsidR="002A5A5E" w:rsidRPr="00FC1444">
        <w:trPr>
          <w:jc w:val="center"/>
        </w:trPr>
        <w:tc>
          <w:tcPr>
            <w:tcW w:w="839" w:type="dxa"/>
            <w:vMerge/>
            <w:vAlign w:val="center"/>
          </w:tcPr>
          <w:p w:rsidR="002A5A5E" w:rsidRPr="00FC1444" w:rsidRDefault="002A5A5E">
            <w:pPr>
              <w:jc w:val="center"/>
              <w:rPr>
                <w:rFonts w:eastAsiaTheme="minorEastAsia"/>
                <w:szCs w:val="21"/>
              </w:rPr>
            </w:pP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调查时间</w:t>
            </w:r>
          </w:p>
        </w:tc>
        <w:tc>
          <w:tcPr>
            <w:tcW w:w="6385" w:type="dxa"/>
            <w:vAlign w:val="center"/>
          </w:tcPr>
          <w:p w:rsidR="002A5A5E" w:rsidRPr="00FC1444" w:rsidRDefault="00611CBA">
            <w:pPr>
              <w:rPr>
                <w:rFonts w:eastAsiaTheme="minorEastAsia"/>
                <w:szCs w:val="21"/>
              </w:rPr>
            </w:pPr>
            <w:r w:rsidRPr="00FC1444">
              <w:rPr>
                <w:rFonts w:eastAsiaTheme="minorEastAsia"/>
                <w:szCs w:val="21"/>
              </w:rPr>
              <w:t>春季</w:t>
            </w:r>
            <w:r w:rsidRPr="00FC1444">
              <w:rPr>
                <w:rFonts w:ascii="MS Mincho" w:eastAsia="MS Mincho" w:hAnsi="MS Mincho" w:cs="MS Mincho" w:hint="eastAsia"/>
                <w:szCs w:val="21"/>
              </w:rPr>
              <w:t>☑</w:t>
            </w:r>
            <w:r w:rsidRPr="00FC1444">
              <w:rPr>
                <w:rFonts w:eastAsiaTheme="minorEastAsia"/>
                <w:szCs w:val="21"/>
              </w:rPr>
              <w:t>；夏季</w:t>
            </w:r>
            <w:r w:rsidRPr="00FC1444">
              <w:rPr>
                <w:rFonts w:ascii="MS Mincho" w:eastAsia="MS Mincho" w:hAnsi="MS Mincho" w:cs="MS Mincho" w:hint="eastAsia"/>
                <w:szCs w:val="21"/>
              </w:rPr>
              <w:t>☑</w:t>
            </w:r>
            <w:r w:rsidRPr="00FC1444">
              <w:rPr>
                <w:rFonts w:eastAsiaTheme="minorEastAsia"/>
                <w:szCs w:val="21"/>
              </w:rPr>
              <w:t>；秋季</w:t>
            </w:r>
            <w:r w:rsidRPr="00FC1444">
              <w:rPr>
                <w:rFonts w:ascii="MS Mincho" w:eastAsia="MS Mincho" w:hAnsi="MS Mincho" w:cs="MS Mincho" w:hint="eastAsia"/>
                <w:szCs w:val="21"/>
              </w:rPr>
              <w:t>☑</w:t>
            </w:r>
            <w:r w:rsidRPr="00FC1444">
              <w:rPr>
                <w:rFonts w:eastAsiaTheme="minorEastAsia"/>
                <w:szCs w:val="21"/>
              </w:rPr>
              <w:t>；冬季</w:t>
            </w:r>
            <w:r w:rsidRPr="00FC1444">
              <w:rPr>
                <w:rFonts w:ascii="MS Mincho" w:eastAsia="MS Mincho" w:hAnsi="MS Mincho" w:cs="MS Mincho" w:hint="eastAsia"/>
                <w:szCs w:val="21"/>
              </w:rPr>
              <w:t>☑</w:t>
            </w:r>
          </w:p>
          <w:p w:rsidR="002A5A5E" w:rsidRPr="00FC1444" w:rsidRDefault="00611CBA">
            <w:pPr>
              <w:rPr>
                <w:rFonts w:eastAsiaTheme="minorEastAsia"/>
                <w:szCs w:val="21"/>
              </w:rPr>
            </w:pPr>
            <w:r w:rsidRPr="00FC1444">
              <w:rPr>
                <w:rFonts w:eastAsiaTheme="minorEastAsia"/>
                <w:szCs w:val="21"/>
              </w:rPr>
              <w:t>丰水期</w:t>
            </w:r>
            <w:r w:rsidRPr="00FC1444">
              <w:rPr>
                <w:rFonts w:eastAsiaTheme="minorEastAsia"/>
                <w:szCs w:val="21"/>
              </w:rPr>
              <w:t>□</w:t>
            </w:r>
            <w:r w:rsidRPr="00FC1444">
              <w:rPr>
                <w:rFonts w:eastAsiaTheme="minorEastAsia"/>
                <w:szCs w:val="21"/>
              </w:rPr>
              <w:t>；枯水期</w:t>
            </w:r>
            <w:r w:rsidRPr="00FC1444">
              <w:rPr>
                <w:rFonts w:eastAsiaTheme="minorEastAsia"/>
                <w:szCs w:val="21"/>
              </w:rPr>
              <w:t>□</w:t>
            </w:r>
            <w:r w:rsidRPr="00FC1444">
              <w:rPr>
                <w:rFonts w:eastAsiaTheme="minorEastAsia"/>
                <w:szCs w:val="21"/>
              </w:rPr>
              <w:t>；平水期</w:t>
            </w:r>
            <w:r w:rsidRPr="00FC1444">
              <w:rPr>
                <w:rFonts w:eastAsiaTheme="minorEastAsia"/>
                <w:szCs w:val="21"/>
              </w:rPr>
              <w:t>□</w:t>
            </w:r>
          </w:p>
        </w:tc>
      </w:tr>
      <w:tr w:rsidR="002A5A5E" w:rsidRPr="00FC1444">
        <w:trPr>
          <w:jc w:val="center"/>
        </w:trPr>
        <w:tc>
          <w:tcPr>
            <w:tcW w:w="839" w:type="dxa"/>
            <w:vMerge/>
            <w:vAlign w:val="center"/>
          </w:tcPr>
          <w:p w:rsidR="002A5A5E" w:rsidRPr="00FC1444" w:rsidRDefault="002A5A5E">
            <w:pPr>
              <w:jc w:val="center"/>
              <w:rPr>
                <w:rFonts w:eastAsiaTheme="minorEastAsia"/>
                <w:szCs w:val="21"/>
              </w:rPr>
            </w:pP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所在区域的生态问题</w:t>
            </w:r>
          </w:p>
        </w:tc>
        <w:tc>
          <w:tcPr>
            <w:tcW w:w="6385" w:type="dxa"/>
            <w:vAlign w:val="center"/>
          </w:tcPr>
          <w:p w:rsidR="002A5A5E" w:rsidRPr="00FC1444" w:rsidRDefault="00611CBA">
            <w:pPr>
              <w:rPr>
                <w:rFonts w:eastAsiaTheme="minorEastAsia"/>
                <w:szCs w:val="21"/>
              </w:rPr>
            </w:pPr>
            <w:r w:rsidRPr="00FC1444">
              <w:rPr>
                <w:rFonts w:eastAsiaTheme="minorEastAsia"/>
                <w:szCs w:val="21"/>
              </w:rPr>
              <w:t>水土流失</w:t>
            </w:r>
            <w:r w:rsidRPr="00FC1444">
              <w:rPr>
                <w:rFonts w:ascii="MS Mincho" w:eastAsia="MS Mincho" w:hAnsi="MS Mincho" w:cs="MS Mincho" w:hint="eastAsia"/>
                <w:szCs w:val="21"/>
              </w:rPr>
              <w:t>☑</w:t>
            </w:r>
            <w:r w:rsidRPr="00FC1444">
              <w:rPr>
                <w:rFonts w:eastAsiaTheme="minorEastAsia"/>
                <w:szCs w:val="21"/>
              </w:rPr>
              <w:t>；沙漠化</w:t>
            </w:r>
            <w:r w:rsidRPr="00FC1444">
              <w:rPr>
                <w:rFonts w:eastAsiaTheme="minorEastAsia"/>
                <w:szCs w:val="21"/>
              </w:rPr>
              <w:t>□</w:t>
            </w:r>
            <w:r w:rsidRPr="00FC1444">
              <w:rPr>
                <w:rFonts w:eastAsiaTheme="minorEastAsia"/>
                <w:szCs w:val="21"/>
              </w:rPr>
              <w:t>；石漠化</w:t>
            </w:r>
            <w:r w:rsidRPr="00FC1444">
              <w:rPr>
                <w:rFonts w:eastAsiaTheme="minorEastAsia"/>
                <w:szCs w:val="21"/>
              </w:rPr>
              <w:t>□</w:t>
            </w:r>
            <w:r w:rsidRPr="00FC1444">
              <w:rPr>
                <w:rFonts w:eastAsiaTheme="minorEastAsia"/>
                <w:szCs w:val="21"/>
              </w:rPr>
              <w:t>；盐渍化</w:t>
            </w:r>
            <w:r w:rsidRPr="00FC1444">
              <w:rPr>
                <w:rFonts w:eastAsiaTheme="minorEastAsia"/>
                <w:szCs w:val="21"/>
              </w:rPr>
              <w:t>□</w:t>
            </w:r>
            <w:r w:rsidRPr="00FC1444">
              <w:rPr>
                <w:rFonts w:eastAsiaTheme="minorEastAsia"/>
                <w:szCs w:val="21"/>
              </w:rPr>
              <w:t>；生物入侵</w:t>
            </w:r>
            <w:r w:rsidRPr="00FC1444">
              <w:rPr>
                <w:rFonts w:eastAsiaTheme="minorEastAsia"/>
                <w:szCs w:val="21"/>
              </w:rPr>
              <w:t>□</w:t>
            </w:r>
            <w:r w:rsidRPr="00FC1444">
              <w:rPr>
                <w:rFonts w:eastAsiaTheme="minorEastAsia"/>
                <w:szCs w:val="21"/>
              </w:rPr>
              <w:t>；污染危害</w:t>
            </w:r>
            <w:r w:rsidRPr="00FC1444">
              <w:rPr>
                <w:rFonts w:eastAsiaTheme="minorEastAsia"/>
                <w:szCs w:val="21"/>
              </w:rPr>
              <w:t>□</w:t>
            </w:r>
            <w:r w:rsidRPr="00FC1444">
              <w:rPr>
                <w:rFonts w:eastAsiaTheme="minorEastAsia"/>
                <w:szCs w:val="21"/>
              </w:rPr>
              <w:t>；其他</w:t>
            </w:r>
            <w:r w:rsidRPr="00FC1444">
              <w:rPr>
                <w:rFonts w:eastAsiaTheme="minorEastAsia"/>
                <w:szCs w:val="21"/>
              </w:rPr>
              <w:t>□</w:t>
            </w:r>
          </w:p>
        </w:tc>
      </w:tr>
      <w:tr w:rsidR="002A5A5E" w:rsidRPr="00FC1444">
        <w:trPr>
          <w:jc w:val="center"/>
        </w:trPr>
        <w:tc>
          <w:tcPr>
            <w:tcW w:w="839" w:type="dxa"/>
            <w:vMerge/>
            <w:vAlign w:val="center"/>
          </w:tcPr>
          <w:p w:rsidR="002A5A5E" w:rsidRPr="00FC1444" w:rsidRDefault="002A5A5E">
            <w:pPr>
              <w:jc w:val="center"/>
              <w:rPr>
                <w:rFonts w:eastAsiaTheme="minorEastAsia"/>
                <w:szCs w:val="21"/>
              </w:rPr>
            </w:pP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评价内容</w:t>
            </w:r>
          </w:p>
        </w:tc>
        <w:tc>
          <w:tcPr>
            <w:tcW w:w="6385" w:type="dxa"/>
            <w:vAlign w:val="center"/>
          </w:tcPr>
          <w:p w:rsidR="002A5A5E" w:rsidRPr="00FC1444" w:rsidRDefault="00611CBA">
            <w:pPr>
              <w:rPr>
                <w:rFonts w:eastAsiaTheme="minorEastAsia"/>
                <w:szCs w:val="21"/>
              </w:rPr>
            </w:pPr>
            <w:r w:rsidRPr="00FC1444">
              <w:rPr>
                <w:rFonts w:eastAsiaTheme="minorEastAsia"/>
                <w:szCs w:val="21"/>
              </w:rPr>
              <w:t>植被</w:t>
            </w:r>
            <w:r w:rsidRPr="00FC1444">
              <w:rPr>
                <w:rFonts w:eastAsiaTheme="minorEastAsia"/>
                <w:szCs w:val="21"/>
              </w:rPr>
              <w:t>/</w:t>
            </w:r>
            <w:r w:rsidRPr="00FC1444">
              <w:rPr>
                <w:rFonts w:eastAsiaTheme="minorEastAsia"/>
                <w:szCs w:val="21"/>
              </w:rPr>
              <w:t>植物群落</w:t>
            </w:r>
            <w:r w:rsidRPr="00FC1444">
              <w:rPr>
                <w:rFonts w:ascii="MS Mincho" w:eastAsia="MS Mincho" w:hAnsi="MS Mincho" w:cs="MS Mincho" w:hint="eastAsia"/>
                <w:szCs w:val="21"/>
              </w:rPr>
              <w:t>☑</w:t>
            </w:r>
            <w:r w:rsidRPr="00FC1444">
              <w:rPr>
                <w:rFonts w:eastAsiaTheme="minorEastAsia"/>
                <w:szCs w:val="21"/>
              </w:rPr>
              <w:t>；土地利用</w:t>
            </w:r>
            <w:r w:rsidRPr="00FC1444">
              <w:rPr>
                <w:rFonts w:ascii="MS Mincho" w:eastAsia="MS Mincho" w:hAnsi="MS Mincho" w:cs="MS Mincho" w:hint="eastAsia"/>
                <w:szCs w:val="21"/>
              </w:rPr>
              <w:t>☑</w:t>
            </w:r>
            <w:r w:rsidRPr="00FC1444">
              <w:rPr>
                <w:rFonts w:eastAsiaTheme="minorEastAsia"/>
                <w:szCs w:val="21"/>
              </w:rPr>
              <w:t>；生态系统</w:t>
            </w:r>
            <w:r w:rsidRPr="00FC1444">
              <w:rPr>
                <w:rFonts w:ascii="MS Mincho" w:eastAsia="MS Mincho" w:hAnsi="MS Mincho" w:cs="MS Mincho" w:hint="eastAsia"/>
              </w:rPr>
              <w:t>☑</w:t>
            </w:r>
            <w:r w:rsidRPr="00FC1444">
              <w:rPr>
                <w:rFonts w:eastAsiaTheme="minorEastAsia"/>
                <w:szCs w:val="21"/>
              </w:rPr>
              <w:t>；生物多样性</w:t>
            </w:r>
            <w:r w:rsidRPr="00FC1444">
              <w:rPr>
                <w:rFonts w:ascii="MS Mincho" w:eastAsia="MS Mincho" w:hAnsi="MS Mincho" w:cs="MS Mincho" w:hint="eastAsia"/>
              </w:rPr>
              <w:t>☑</w:t>
            </w:r>
            <w:r w:rsidRPr="00FC1444">
              <w:rPr>
                <w:rFonts w:eastAsiaTheme="minorEastAsia"/>
                <w:szCs w:val="21"/>
              </w:rPr>
              <w:t>；重要物种</w:t>
            </w:r>
            <w:r w:rsidRPr="00FC1444">
              <w:rPr>
                <w:rFonts w:ascii="MS Mincho" w:eastAsia="MS Mincho" w:hAnsi="MS Mincho" w:cs="MS Mincho" w:hint="eastAsia"/>
                <w:szCs w:val="21"/>
              </w:rPr>
              <w:t>☑</w:t>
            </w:r>
            <w:r w:rsidRPr="00FC1444">
              <w:rPr>
                <w:rFonts w:eastAsiaTheme="minorEastAsia"/>
                <w:szCs w:val="21"/>
              </w:rPr>
              <w:t>；生态敏感区</w:t>
            </w:r>
            <w:r w:rsidRPr="00FC1444">
              <w:rPr>
                <w:rFonts w:eastAsiaTheme="minorEastAsia"/>
                <w:szCs w:val="21"/>
              </w:rPr>
              <w:t>□</w:t>
            </w:r>
            <w:r w:rsidRPr="00FC1444">
              <w:rPr>
                <w:rFonts w:eastAsiaTheme="minorEastAsia"/>
                <w:szCs w:val="21"/>
              </w:rPr>
              <w:t>；其他</w:t>
            </w:r>
            <w:r w:rsidRPr="00FC1444">
              <w:rPr>
                <w:rFonts w:ascii="MS Mincho" w:eastAsia="MS Mincho" w:hAnsi="MS Mincho" w:cs="MS Mincho" w:hint="eastAsia"/>
                <w:szCs w:val="21"/>
              </w:rPr>
              <w:t>☑</w:t>
            </w:r>
          </w:p>
        </w:tc>
      </w:tr>
      <w:tr w:rsidR="002A5A5E" w:rsidRPr="00FC1444">
        <w:trPr>
          <w:jc w:val="center"/>
        </w:trPr>
        <w:tc>
          <w:tcPr>
            <w:tcW w:w="839" w:type="dxa"/>
            <w:vMerge w:val="restart"/>
            <w:vAlign w:val="center"/>
          </w:tcPr>
          <w:p w:rsidR="002A5A5E" w:rsidRPr="00FC1444" w:rsidRDefault="00611CBA">
            <w:pPr>
              <w:jc w:val="center"/>
              <w:rPr>
                <w:rFonts w:eastAsiaTheme="minorEastAsia"/>
                <w:szCs w:val="21"/>
              </w:rPr>
            </w:pPr>
            <w:r w:rsidRPr="00FC1444">
              <w:rPr>
                <w:rFonts w:eastAsiaTheme="minorEastAsia"/>
                <w:szCs w:val="21"/>
              </w:rPr>
              <w:t>生态影响预测与评价</w:t>
            </w: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评价方法</w:t>
            </w:r>
          </w:p>
        </w:tc>
        <w:tc>
          <w:tcPr>
            <w:tcW w:w="6385" w:type="dxa"/>
            <w:vAlign w:val="center"/>
          </w:tcPr>
          <w:p w:rsidR="002A5A5E" w:rsidRPr="00FC1444" w:rsidRDefault="00611CBA">
            <w:pPr>
              <w:rPr>
                <w:rFonts w:eastAsiaTheme="minorEastAsia"/>
                <w:szCs w:val="21"/>
              </w:rPr>
            </w:pPr>
            <w:r w:rsidRPr="00FC1444">
              <w:rPr>
                <w:rFonts w:eastAsiaTheme="minorEastAsia"/>
                <w:szCs w:val="21"/>
              </w:rPr>
              <w:t>定性</w:t>
            </w:r>
            <w:r w:rsidRPr="00FC1444">
              <w:rPr>
                <w:rFonts w:ascii="MS Mincho" w:eastAsia="MS Mincho" w:hAnsi="MS Mincho" w:cs="MS Mincho" w:hint="eastAsia"/>
                <w:szCs w:val="21"/>
              </w:rPr>
              <w:t>☑</w:t>
            </w:r>
            <w:r w:rsidRPr="00FC1444">
              <w:rPr>
                <w:rFonts w:eastAsiaTheme="minorEastAsia"/>
                <w:szCs w:val="21"/>
              </w:rPr>
              <w:t>；定性和定量</w:t>
            </w:r>
            <w:r w:rsidRPr="00FC1444">
              <w:rPr>
                <w:rFonts w:eastAsiaTheme="minorEastAsia"/>
                <w:szCs w:val="21"/>
              </w:rPr>
              <w:t>□</w:t>
            </w:r>
          </w:p>
        </w:tc>
      </w:tr>
      <w:tr w:rsidR="002A5A5E" w:rsidRPr="00FC1444">
        <w:trPr>
          <w:jc w:val="center"/>
        </w:trPr>
        <w:tc>
          <w:tcPr>
            <w:tcW w:w="839" w:type="dxa"/>
            <w:vMerge/>
            <w:vAlign w:val="center"/>
          </w:tcPr>
          <w:p w:rsidR="002A5A5E" w:rsidRPr="00FC1444" w:rsidRDefault="002A5A5E">
            <w:pPr>
              <w:jc w:val="center"/>
              <w:rPr>
                <w:rFonts w:eastAsiaTheme="minorEastAsia"/>
                <w:szCs w:val="21"/>
              </w:rPr>
            </w:pP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评价内容</w:t>
            </w:r>
          </w:p>
        </w:tc>
        <w:tc>
          <w:tcPr>
            <w:tcW w:w="6385" w:type="dxa"/>
            <w:vAlign w:val="center"/>
          </w:tcPr>
          <w:p w:rsidR="002A5A5E" w:rsidRPr="00FC1444" w:rsidRDefault="00611CBA">
            <w:pPr>
              <w:rPr>
                <w:rFonts w:eastAsiaTheme="minorEastAsia"/>
                <w:szCs w:val="21"/>
              </w:rPr>
            </w:pPr>
            <w:r w:rsidRPr="00FC1444">
              <w:rPr>
                <w:rFonts w:eastAsiaTheme="minorEastAsia"/>
                <w:szCs w:val="21"/>
              </w:rPr>
              <w:t>植被</w:t>
            </w:r>
            <w:r w:rsidRPr="00FC1444">
              <w:rPr>
                <w:rFonts w:eastAsiaTheme="minorEastAsia"/>
                <w:szCs w:val="21"/>
              </w:rPr>
              <w:t>/</w:t>
            </w:r>
            <w:r w:rsidRPr="00FC1444">
              <w:rPr>
                <w:rFonts w:eastAsiaTheme="minorEastAsia"/>
                <w:szCs w:val="21"/>
              </w:rPr>
              <w:t>植物群落</w:t>
            </w:r>
            <w:r w:rsidRPr="00FC1444">
              <w:rPr>
                <w:rFonts w:ascii="MS Mincho" w:eastAsia="MS Mincho" w:hAnsi="MS Mincho" w:cs="MS Mincho" w:hint="eastAsia"/>
                <w:szCs w:val="21"/>
              </w:rPr>
              <w:t>☑</w:t>
            </w:r>
            <w:r w:rsidRPr="00FC1444">
              <w:rPr>
                <w:rFonts w:eastAsiaTheme="minorEastAsia"/>
                <w:szCs w:val="21"/>
              </w:rPr>
              <w:t>；土地利用</w:t>
            </w:r>
            <w:r w:rsidRPr="00FC1444">
              <w:rPr>
                <w:rFonts w:ascii="MS Mincho" w:eastAsia="MS Mincho" w:hAnsi="MS Mincho" w:cs="MS Mincho" w:hint="eastAsia"/>
                <w:szCs w:val="21"/>
              </w:rPr>
              <w:t>☑</w:t>
            </w:r>
            <w:r w:rsidRPr="00FC1444">
              <w:rPr>
                <w:rFonts w:eastAsiaTheme="minorEastAsia"/>
                <w:szCs w:val="21"/>
              </w:rPr>
              <w:t>；生态系统</w:t>
            </w:r>
            <w:r w:rsidRPr="00FC1444">
              <w:rPr>
                <w:rFonts w:ascii="MS Mincho" w:eastAsia="MS Mincho" w:hAnsi="MS Mincho" w:cs="MS Mincho" w:hint="eastAsia"/>
                <w:szCs w:val="21"/>
              </w:rPr>
              <w:t>☑</w:t>
            </w:r>
            <w:r w:rsidRPr="00FC1444">
              <w:rPr>
                <w:rFonts w:eastAsiaTheme="minorEastAsia"/>
                <w:szCs w:val="21"/>
              </w:rPr>
              <w:t>；生物多样性</w:t>
            </w:r>
            <w:r w:rsidRPr="00FC1444">
              <w:rPr>
                <w:rFonts w:ascii="MS Mincho" w:eastAsia="MS Mincho" w:hAnsi="MS Mincho" w:cs="MS Mincho" w:hint="eastAsia"/>
                <w:szCs w:val="21"/>
              </w:rPr>
              <w:t>☑</w:t>
            </w:r>
            <w:r w:rsidRPr="00FC1444">
              <w:rPr>
                <w:rFonts w:eastAsiaTheme="minorEastAsia"/>
                <w:szCs w:val="21"/>
              </w:rPr>
              <w:t>；重要物种</w:t>
            </w:r>
            <w:r w:rsidRPr="00FC1444">
              <w:rPr>
                <w:rFonts w:ascii="MS Mincho" w:eastAsia="MS Mincho" w:hAnsi="MS Mincho" w:cs="MS Mincho" w:hint="eastAsia"/>
                <w:szCs w:val="21"/>
              </w:rPr>
              <w:t>☑</w:t>
            </w:r>
            <w:r w:rsidRPr="00FC1444">
              <w:rPr>
                <w:rFonts w:eastAsiaTheme="minorEastAsia"/>
                <w:szCs w:val="21"/>
              </w:rPr>
              <w:t>；生态敏感区</w:t>
            </w:r>
            <w:r w:rsidRPr="00FC1444">
              <w:rPr>
                <w:rFonts w:eastAsiaTheme="minorEastAsia"/>
                <w:szCs w:val="21"/>
              </w:rPr>
              <w:t>□</w:t>
            </w:r>
            <w:r w:rsidRPr="00FC1444">
              <w:rPr>
                <w:rFonts w:eastAsiaTheme="minorEastAsia"/>
                <w:szCs w:val="21"/>
              </w:rPr>
              <w:t>；生物入侵风险</w:t>
            </w:r>
            <w:r w:rsidRPr="00FC1444">
              <w:rPr>
                <w:rFonts w:eastAsiaTheme="minorEastAsia"/>
                <w:szCs w:val="21"/>
              </w:rPr>
              <w:t>□</w:t>
            </w:r>
            <w:r w:rsidRPr="00FC1444">
              <w:rPr>
                <w:rFonts w:eastAsiaTheme="minorEastAsia"/>
                <w:szCs w:val="21"/>
              </w:rPr>
              <w:t>；其他</w:t>
            </w:r>
            <w:r w:rsidRPr="00FC1444">
              <w:rPr>
                <w:rFonts w:ascii="MS Mincho" w:eastAsia="MS Mincho" w:hAnsi="MS Mincho" w:cs="MS Mincho" w:hint="eastAsia"/>
                <w:szCs w:val="21"/>
              </w:rPr>
              <w:t>☑</w:t>
            </w:r>
          </w:p>
        </w:tc>
      </w:tr>
      <w:tr w:rsidR="002A5A5E" w:rsidRPr="00FC1444">
        <w:trPr>
          <w:jc w:val="center"/>
        </w:trPr>
        <w:tc>
          <w:tcPr>
            <w:tcW w:w="839" w:type="dxa"/>
            <w:vMerge w:val="restart"/>
            <w:vAlign w:val="center"/>
          </w:tcPr>
          <w:p w:rsidR="002A5A5E" w:rsidRPr="00FC1444" w:rsidRDefault="00611CBA">
            <w:pPr>
              <w:jc w:val="center"/>
              <w:rPr>
                <w:rFonts w:eastAsiaTheme="minorEastAsia"/>
                <w:szCs w:val="21"/>
              </w:rPr>
            </w:pPr>
            <w:r w:rsidRPr="00FC1444">
              <w:rPr>
                <w:rFonts w:eastAsiaTheme="minorEastAsia"/>
                <w:szCs w:val="21"/>
              </w:rPr>
              <w:t>生态保护对策措施</w:t>
            </w: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对策措施</w:t>
            </w:r>
          </w:p>
        </w:tc>
        <w:tc>
          <w:tcPr>
            <w:tcW w:w="6385" w:type="dxa"/>
            <w:vAlign w:val="center"/>
          </w:tcPr>
          <w:p w:rsidR="002A5A5E" w:rsidRPr="00FC1444" w:rsidRDefault="00611CBA">
            <w:pPr>
              <w:rPr>
                <w:rFonts w:eastAsiaTheme="minorEastAsia"/>
                <w:szCs w:val="21"/>
              </w:rPr>
            </w:pPr>
            <w:r w:rsidRPr="00FC1444">
              <w:rPr>
                <w:rFonts w:eastAsiaTheme="minorEastAsia"/>
                <w:szCs w:val="21"/>
              </w:rPr>
              <w:t>避让</w:t>
            </w:r>
            <w:r w:rsidRPr="00FC1444">
              <w:rPr>
                <w:rFonts w:eastAsiaTheme="minorEastAsia"/>
                <w:szCs w:val="21"/>
              </w:rPr>
              <w:t>□</w:t>
            </w:r>
            <w:r w:rsidRPr="00FC1444">
              <w:rPr>
                <w:rFonts w:eastAsiaTheme="minorEastAsia"/>
                <w:szCs w:val="21"/>
              </w:rPr>
              <w:t>；减缓</w:t>
            </w:r>
            <w:r w:rsidRPr="00FC1444">
              <w:rPr>
                <w:rFonts w:ascii="MS Mincho" w:eastAsia="MS Mincho" w:hAnsi="MS Mincho" w:cs="MS Mincho" w:hint="eastAsia"/>
                <w:szCs w:val="21"/>
              </w:rPr>
              <w:t>☑</w:t>
            </w:r>
            <w:r w:rsidRPr="00FC1444">
              <w:rPr>
                <w:rFonts w:eastAsiaTheme="minorEastAsia"/>
                <w:szCs w:val="21"/>
              </w:rPr>
              <w:t>；生态修复</w:t>
            </w:r>
            <w:r w:rsidRPr="00FC1444">
              <w:rPr>
                <w:rFonts w:ascii="MS Mincho" w:eastAsia="MS Mincho" w:hAnsi="MS Mincho" w:cs="MS Mincho" w:hint="eastAsia"/>
                <w:szCs w:val="21"/>
              </w:rPr>
              <w:t>☑</w:t>
            </w:r>
            <w:r w:rsidRPr="00FC1444">
              <w:rPr>
                <w:rFonts w:eastAsiaTheme="minorEastAsia"/>
                <w:szCs w:val="21"/>
              </w:rPr>
              <w:t>；生态补偿</w:t>
            </w:r>
            <w:r w:rsidRPr="00FC1444">
              <w:rPr>
                <w:rFonts w:eastAsiaTheme="minorEastAsia"/>
                <w:szCs w:val="21"/>
              </w:rPr>
              <w:t>□</w:t>
            </w:r>
            <w:r w:rsidRPr="00FC1444">
              <w:rPr>
                <w:rFonts w:eastAsiaTheme="minorEastAsia"/>
                <w:szCs w:val="21"/>
              </w:rPr>
              <w:t>；科研</w:t>
            </w:r>
            <w:r w:rsidRPr="00FC1444">
              <w:rPr>
                <w:rFonts w:eastAsiaTheme="minorEastAsia"/>
                <w:szCs w:val="21"/>
              </w:rPr>
              <w:t>□</w:t>
            </w:r>
            <w:r w:rsidRPr="00FC1444">
              <w:rPr>
                <w:rFonts w:eastAsiaTheme="minorEastAsia"/>
                <w:szCs w:val="21"/>
              </w:rPr>
              <w:t>；其他</w:t>
            </w:r>
            <w:r w:rsidRPr="00FC1444">
              <w:rPr>
                <w:rFonts w:eastAsiaTheme="minorEastAsia"/>
                <w:szCs w:val="21"/>
              </w:rPr>
              <w:t>□</w:t>
            </w:r>
          </w:p>
        </w:tc>
      </w:tr>
      <w:tr w:rsidR="002A5A5E" w:rsidRPr="00FC1444">
        <w:trPr>
          <w:jc w:val="center"/>
        </w:trPr>
        <w:tc>
          <w:tcPr>
            <w:tcW w:w="839" w:type="dxa"/>
            <w:vMerge/>
            <w:vAlign w:val="center"/>
          </w:tcPr>
          <w:p w:rsidR="002A5A5E" w:rsidRPr="00FC1444" w:rsidRDefault="002A5A5E">
            <w:pPr>
              <w:jc w:val="center"/>
              <w:rPr>
                <w:rFonts w:eastAsiaTheme="minorEastAsia"/>
                <w:szCs w:val="21"/>
              </w:rPr>
            </w:pP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生态监测</w:t>
            </w:r>
          </w:p>
          <w:p w:rsidR="002A5A5E" w:rsidRPr="00FC1444" w:rsidRDefault="00611CBA">
            <w:pPr>
              <w:jc w:val="center"/>
              <w:rPr>
                <w:rFonts w:eastAsiaTheme="minorEastAsia"/>
                <w:szCs w:val="21"/>
              </w:rPr>
            </w:pPr>
            <w:r w:rsidRPr="00FC1444">
              <w:rPr>
                <w:rFonts w:eastAsiaTheme="minorEastAsia"/>
                <w:szCs w:val="21"/>
              </w:rPr>
              <w:t>计划</w:t>
            </w:r>
          </w:p>
        </w:tc>
        <w:tc>
          <w:tcPr>
            <w:tcW w:w="6385" w:type="dxa"/>
            <w:vAlign w:val="center"/>
          </w:tcPr>
          <w:p w:rsidR="002A5A5E" w:rsidRPr="00FC1444" w:rsidRDefault="00611CBA">
            <w:pPr>
              <w:rPr>
                <w:rFonts w:eastAsiaTheme="minorEastAsia"/>
                <w:szCs w:val="21"/>
              </w:rPr>
            </w:pPr>
            <w:r w:rsidRPr="00FC1444">
              <w:rPr>
                <w:rFonts w:eastAsiaTheme="minorEastAsia"/>
                <w:szCs w:val="21"/>
              </w:rPr>
              <w:t>全生命周期</w:t>
            </w:r>
            <w:r w:rsidRPr="00FC1444">
              <w:rPr>
                <w:rFonts w:eastAsiaTheme="minorEastAsia"/>
                <w:szCs w:val="21"/>
              </w:rPr>
              <w:t>□</w:t>
            </w:r>
            <w:r w:rsidRPr="00FC1444">
              <w:rPr>
                <w:rFonts w:eastAsiaTheme="minorEastAsia"/>
                <w:szCs w:val="21"/>
              </w:rPr>
              <w:t>；长期跟踪</w:t>
            </w:r>
            <w:r w:rsidRPr="00FC1444">
              <w:rPr>
                <w:rFonts w:eastAsiaTheme="minorEastAsia"/>
                <w:szCs w:val="21"/>
              </w:rPr>
              <w:t>□</w:t>
            </w:r>
            <w:r w:rsidRPr="00FC1444">
              <w:rPr>
                <w:rFonts w:eastAsiaTheme="minorEastAsia"/>
                <w:szCs w:val="21"/>
              </w:rPr>
              <w:t>；常规</w:t>
            </w:r>
            <w:r w:rsidRPr="00FC1444">
              <w:rPr>
                <w:rFonts w:ascii="MS Mincho" w:eastAsia="MS Mincho" w:hAnsi="MS Mincho" w:cs="MS Mincho" w:hint="eastAsia"/>
                <w:szCs w:val="21"/>
              </w:rPr>
              <w:t>☑</w:t>
            </w:r>
            <w:r w:rsidRPr="00FC1444">
              <w:rPr>
                <w:rFonts w:eastAsiaTheme="minorEastAsia"/>
                <w:szCs w:val="21"/>
              </w:rPr>
              <w:t>；无</w:t>
            </w:r>
            <w:r w:rsidRPr="00FC1444">
              <w:rPr>
                <w:rFonts w:eastAsiaTheme="minorEastAsia"/>
                <w:szCs w:val="21"/>
              </w:rPr>
              <w:t>□</w:t>
            </w:r>
          </w:p>
        </w:tc>
      </w:tr>
      <w:tr w:rsidR="002A5A5E" w:rsidRPr="00FC1444">
        <w:trPr>
          <w:jc w:val="center"/>
        </w:trPr>
        <w:tc>
          <w:tcPr>
            <w:tcW w:w="839" w:type="dxa"/>
            <w:vMerge/>
            <w:vAlign w:val="center"/>
          </w:tcPr>
          <w:p w:rsidR="002A5A5E" w:rsidRPr="00FC1444" w:rsidRDefault="002A5A5E">
            <w:pPr>
              <w:jc w:val="center"/>
              <w:rPr>
                <w:rFonts w:eastAsiaTheme="minorEastAsia"/>
                <w:szCs w:val="21"/>
              </w:rPr>
            </w:pP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环境管理</w:t>
            </w:r>
          </w:p>
        </w:tc>
        <w:tc>
          <w:tcPr>
            <w:tcW w:w="6385" w:type="dxa"/>
            <w:vAlign w:val="center"/>
          </w:tcPr>
          <w:p w:rsidR="002A5A5E" w:rsidRPr="00FC1444" w:rsidRDefault="00611CBA">
            <w:pPr>
              <w:rPr>
                <w:rFonts w:eastAsiaTheme="minorEastAsia"/>
                <w:szCs w:val="21"/>
              </w:rPr>
            </w:pPr>
            <w:r w:rsidRPr="00FC1444">
              <w:rPr>
                <w:rFonts w:eastAsiaTheme="minorEastAsia"/>
                <w:szCs w:val="21"/>
              </w:rPr>
              <w:t>环境监理</w:t>
            </w:r>
            <w:r w:rsidRPr="00FC1444">
              <w:rPr>
                <w:rFonts w:ascii="MS Mincho" w:eastAsia="MS Mincho" w:hAnsi="MS Mincho" w:cs="MS Mincho" w:hint="eastAsia"/>
                <w:szCs w:val="21"/>
              </w:rPr>
              <w:t>☑</w:t>
            </w:r>
            <w:r w:rsidRPr="00FC1444">
              <w:rPr>
                <w:rFonts w:eastAsiaTheme="minorEastAsia"/>
                <w:szCs w:val="21"/>
              </w:rPr>
              <w:t>；环境影响后评价</w:t>
            </w:r>
            <w:r w:rsidRPr="00FC1444">
              <w:rPr>
                <w:rFonts w:eastAsiaTheme="minorEastAsia"/>
                <w:szCs w:val="21"/>
              </w:rPr>
              <w:t>□</w:t>
            </w:r>
            <w:r w:rsidRPr="00FC1444">
              <w:rPr>
                <w:rFonts w:eastAsiaTheme="minorEastAsia"/>
                <w:szCs w:val="21"/>
              </w:rPr>
              <w:t>；其他</w:t>
            </w:r>
            <w:r w:rsidRPr="00FC1444">
              <w:rPr>
                <w:rFonts w:eastAsiaTheme="minorEastAsia"/>
                <w:szCs w:val="21"/>
              </w:rPr>
              <w:t>□</w:t>
            </w:r>
          </w:p>
        </w:tc>
      </w:tr>
      <w:tr w:rsidR="002A5A5E" w:rsidRPr="00FC1444">
        <w:trPr>
          <w:jc w:val="center"/>
        </w:trPr>
        <w:tc>
          <w:tcPr>
            <w:tcW w:w="839" w:type="dxa"/>
            <w:vAlign w:val="center"/>
          </w:tcPr>
          <w:p w:rsidR="002A5A5E" w:rsidRPr="00FC1444" w:rsidRDefault="00611CBA">
            <w:pPr>
              <w:jc w:val="center"/>
              <w:rPr>
                <w:rFonts w:eastAsiaTheme="minorEastAsia"/>
                <w:szCs w:val="21"/>
              </w:rPr>
            </w:pPr>
            <w:r w:rsidRPr="00FC1444">
              <w:rPr>
                <w:rFonts w:eastAsiaTheme="minorEastAsia"/>
                <w:szCs w:val="21"/>
              </w:rPr>
              <w:t>评价</w:t>
            </w:r>
          </w:p>
          <w:p w:rsidR="002A5A5E" w:rsidRPr="00FC1444" w:rsidRDefault="00611CBA">
            <w:pPr>
              <w:jc w:val="center"/>
              <w:rPr>
                <w:rFonts w:eastAsiaTheme="minorEastAsia"/>
                <w:szCs w:val="21"/>
              </w:rPr>
            </w:pPr>
            <w:r w:rsidRPr="00FC1444">
              <w:rPr>
                <w:rFonts w:eastAsiaTheme="minorEastAsia"/>
                <w:szCs w:val="21"/>
              </w:rPr>
              <w:t>结论</w:t>
            </w:r>
          </w:p>
        </w:tc>
        <w:tc>
          <w:tcPr>
            <w:tcW w:w="1304" w:type="dxa"/>
            <w:vAlign w:val="center"/>
          </w:tcPr>
          <w:p w:rsidR="002A5A5E" w:rsidRPr="00FC1444" w:rsidRDefault="00611CBA">
            <w:pPr>
              <w:jc w:val="center"/>
              <w:rPr>
                <w:rFonts w:eastAsiaTheme="minorEastAsia"/>
                <w:szCs w:val="21"/>
              </w:rPr>
            </w:pPr>
            <w:r w:rsidRPr="00FC1444">
              <w:rPr>
                <w:rFonts w:eastAsiaTheme="minorEastAsia"/>
                <w:szCs w:val="21"/>
              </w:rPr>
              <w:t>生态影响</w:t>
            </w:r>
          </w:p>
        </w:tc>
        <w:tc>
          <w:tcPr>
            <w:tcW w:w="6385" w:type="dxa"/>
            <w:vAlign w:val="center"/>
          </w:tcPr>
          <w:p w:rsidR="002A5A5E" w:rsidRPr="00FC1444" w:rsidRDefault="00611CBA">
            <w:pPr>
              <w:rPr>
                <w:rFonts w:eastAsiaTheme="minorEastAsia"/>
                <w:szCs w:val="21"/>
              </w:rPr>
            </w:pPr>
            <w:r w:rsidRPr="00FC1444">
              <w:rPr>
                <w:rFonts w:eastAsiaTheme="minorEastAsia"/>
                <w:szCs w:val="21"/>
              </w:rPr>
              <w:t>可行</w:t>
            </w:r>
            <w:r w:rsidRPr="00FC1444">
              <w:rPr>
                <w:rFonts w:ascii="MS Mincho" w:eastAsia="MS Mincho" w:hAnsi="MS Mincho" w:cs="MS Mincho" w:hint="eastAsia"/>
                <w:szCs w:val="21"/>
              </w:rPr>
              <w:t>☑</w:t>
            </w:r>
            <w:r w:rsidRPr="00FC1444">
              <w:rPr>
                <w:rFonts w:eastAsiaTheme="minorEastAsia"/>
                <w:szCs w:val="21"/>
              </w:rPr>
              <w:t>；不可行</w:t>
            </w:r>
            <w:r w:rsidRPr="00FC1444">
              <w:rPr>
                <w:rFonts w:eastAsiaTheme="minorEastAsia"/>
                <w:szCs w:val="21"/>
              </w:rPr>
              <w:t>□</w:t>
            </w:r>
          </w:p>
        </w:tc>
      </w:tr>
      <w:tr w:rsidR="002A5A5E" w:rsidRPr="00FC1444">
        <w:trPr>
          <w:jc w:val="center"/>
        </w:trPr>
        <w:tc>
          <w:tcPr>
            <w:tcW w:w="8528" w:type="dxa"/>
            <w:gridSpan w:val="3"/>
            <w:vAlign w:val="center"/>
          </w:tcPr>
          <w:p w:rsidR="002A5A5E" w:rsidRPr="00FC1444" w:rsidRDefault="00611CBA">
            <w:pPr>
              <w:rPr>
                <w:rFonts w:eastAsiaTheme="minorEastAsia"/>
                <w:szCs w:val="21"/>
              </w:rPr>
            </w:pPr>
            <w:r w:rsidRPr="00FC1444">
              <w:rPr>
                <w:rFonts w:eastAsiaTheme="minorEastAsia"/>
                <w:szCs w:val="21"/>
              </w:rPr>
              <w:t>注：</w:t>
            </w:r>
            <w:r w:rsidRPr="00FC1444">
              <w:rPr>
                <w:rFonts w:eastAsiaTheme="minorEastAsia"/>
                <w:szCs w:val="21"/>
              </w:rPr>
              <w:t>“□”</w:t>
            </w:r>
            <w:r w:rsidRPr="00FC1444">
              <w:rPr>
                <w:rFonts w:eastAsiaTheme="minorEastAsia"/>
                <w:szCs w:val="21"/>
              </w:rPr>
              <w:t>为勾选项，可</w:t>
            </w:r>
            <w:r w:rsidRPr="00FC1444">
              <w:rPr>
                <w:rFonts w:eastAsiaTheme="minorEastAsia"/>
                <w:szCs w:val="21"/>
              </w:rPr>
              <w:t>√</w:t>
            </w:r>
            <w:r w:rsidRPr="00FC1444">
              <w:rPr>
                <w:rFonts w:eastAsiaTheme="minorEastAsia"/>
                <w:szCs w:val="21"/>
              </w:rPr>
              <w:t>；</w:t>
            </w:r>
            <w:r w:rsidRPr="00FC1444">
              <w:rPr>
                <w:rFonts w:eastAsiaTheme="minorEastAsia"/>
                <w:szCs w:val="21"/>
              </w:rPr>
              <w:t>“</w:t>
            </w:r>
            <w:r w:rsidRPr="00FC1444">
              <w:rPr>
                <w:rFonts w:eastAsiaTheme="minorEastAsia"/>
                <w:szCs w:val="21"/>
              </w:rPr>
              <w:t>（</w:t>
            </w:r>
            <w:r w:rsidRPr="00FC1444">
              <w:rPr>
                <w:rFonts w:eastAsiaTheme="minorEastAsia"/>
                <w:szCs w:val="21"/>
              </w:rPr>
              <w:t xml:space="preserve">  </w:t>
            </w:r>
            <w:r w:rsidRPr="00FC1444">
              <w:rPr>
                <w:rFonts w:eastAsiaTheme="minorEastAsia"/>
                <w:szCs w:val="21"/>
              </w:rPr>
              <w:t>）</w:t>
            </w:r>
            <w:r w:rsidRPr="00FC1444">
              <w:rPr>
                <w:rFonts w:eastAsiaTheme="minorEastAsia"/>
                <w:szCs w:val="21"/>
              </w:rPr>
              <w:t>”</w:t>
            </w:r>
            <w:r w:rsidRPr="00FC1444">
              <w:rPr>
                <w:rFonts w:eastAsiaTheme="minorEastAsia"/>
                <w:szCs w:val="21"/>
              </w:rPr>
              <w:t>为内容填写项</w:t>
            </w:r>
          </w:p>
        </w:tc>
      </w:tr>
    </w:tbl>
    <w:p w:rsidR="002A5A5E" w:rsidRPr="00FC1444" w:rsidRDefault="002A5A5E">
      <w:pPr>
        <w:spacing w:line="360" w:lineRule="auto"/>
        <w:ind w:firstLineChars="200" w:firstLine="482"/>
        <w:jc w:val="center"/>
        <w:rPr>
          <w:rFonts w:eastAsiaTheme="minorEastAsia"/>
          <w:b/>
          <w:sz w:val="24"/>
        </w:rPr>
      </w:pPr>
    </w:p>
    <w:p w:rsidR="002A5A5E" w:rsidRPr="00FC1444" w:rsidRDefault="002A5A5E">
      <w:pPr>
        <w:spacing w:line="360" w:lineRule="auto"/>
        <w:ind w:firstLineChars="200" w:firstLine="482"/>
        <w:jc w:val="center"/>
        <w:rPr>
          <w:rFonts w:eastAsiaTheme="minorEastAsia"/>
          <w:b/>
          <w:sz w:val="24"/>
        </w:rPr>
      </w:pPr>
    </w:p>
    <w:p w:rsidR="002A5A5E" w:rsidRPr="00FC1444" w:rsidRDefault="002A5A5E">
      <w:pPr>
        <w:spacing w:line="360" w:lineRule="auto"/>
        <w:ind w:firstLineChars="200" w:firstLine="482"/>
        <w:jc w:val="center"/>
        <w:rPr>
          <w:rFonts w:eastAsiaTheme="minorEastAsia"/>
          <w:b/>
          <w:sz w:val="24"/>
        </w:rPr>
      </w:pPr>
    </w:p>
    <w:p w:rsidR="002A5A5E" w:rsidRPr="00FC1444" w:rsidRDefault="002A5A5E">
      <w:pPr>
        <w:spacing w:line="360" w:lineRule="auto"/>
        <w:ind w:firstLineChars="200" w:firstLine="482"/>
        <w:jc w:val="center"/>
        <w:rPr>
          <w:rFonts w:eastAsiaTheme="minorEastAsia"/>
          <w:b/>
          <w:sz w:val="24"/>
        </w:rPr>
      </w:pPr>
    </w:p>
    <w:p w:rsidR="002A5A5E" w:rsidRPr="00FC1444" w:rsidRDefault="00611CBA">
      <w:pPr>
        <w:spacing w:line="360" w:lineRule="auto"/>
        <w:ind w:firstLineChars="200" w:firstLine="482"/>
        <w:jc w:val="center"/>
        <w:rPr>
          <w:rFonts w:eastAsiaTheme="minorEastAsia"/>
          <w:b/>
          <w:sz w:val="24"/>
        </w:rPr>
      </w:pPr>
      <w:r w:rsidRPr="00FC1444">
        <w:rPr>
          <w:rFonts w:eastAsiaTheme="minorEastAsia"/>
          <w:b/>
          <w:sz w:val="24"/>
        </w:rPr>
        <w:lastRenderedPageBreak/>
        <w:t>声环境影响评价自查表</w:t>
      </w:r>
    </w:p>
    <w:tbl>
      <w:tblPr>
        <w:tblW w:w="840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891"/>
        <w:gridCol w:w="1275"/>
        <w:gridCol w:w="993"/>
        <w:gridCol w:w="1011"/>
        <w:gridCol w:w="831"/>
        <w:gridCol w:w="142"/>
        <w:gridCol w:w="992"/>
        <w:gridCol w:w="993"/>
        <w:gridCol w:w="1275"/>
      </w:tblGrid>
      <w:tr w:rsidR="002A5A5E" w:rsidRPr="00FC1444">
        <w:trPr>
          <w:jc w:val="center"/>
        </w:trPr>
        <w:tc>
          <w:tcPr>
            <w:tcW w:w="2166" w:type="dxa"/>
            <w:gridSpan w:val="2"/>
            <w:vAlign w:val="center"/>
          </w:tcPr>
          <w:p w:rsidR="002A5A5E" w:rsidRPr="00FC1444" w:rsidRDefault="00611CBA">
            <w:pPr>
              <w:jc w:val="center"/>
              <w:rPr>
                <w:rFonts w:eastAsiaTheme="minorEastAsia"/>
                <w:szCs w:val="21"/>
              </w:rPr>
            </w:pPr>
            <w:r w:rsidRPr="00FC1444">
              <w:rPr>
                <w:rFonts w:eastAsiaTheme="minorEastAsia"/>
                <w:szCs w:val="21"/>
              </w:rPr>
              <w:t>工作内容</w:t>
            </w:r>
          </w:p>
        </w:tc>
        <w:tc>
          <w:tcPr>
            <w:tcW w:w="6237" w:type="dxa"/>
            <w:gridSpan w:val="7"/>
            <w:vAlign w:val="center"/>
          </w:tcPr>
          <w:p w:rsidR="002A5A5E" w:rsidRPr="00FC1444" w:rsidRDefault="00611CBA">
            <w:pPr>
              <w:jc w:val="center"/>
              <w:rPr>
                <w:rFonts w:eastAsiaTheme="minorEastAsia"/>
                <w:szCs w:val="21"/>
              </w:rPr>
            </w:pPr>
            <w:r w:rsidRPr="00FC1444">
              <w:rPr>
                <w:rFonts w:eastAsiaTheme="minorEastAsia"/>
                <w:szCs w:val="21"/>
              </w:rPr>
              <w:t>自查项目</w:t>
            </w:r>
          </w:p>
        </w:tc>
      </w:tr>
      <w:tr w:rsidR="002A5A5E" w:rsidRPr="00FC1444">
        <w:trPr>
          <w:jc w:val="center"/>
        </w:trPr>
        <w:tc>
          <w:tcPr>
            <w:tcW w:w="891" w:type="dxa"/>
            <w:vMerge w:val="restart"/>
            <w:vAlign w:val="center"/>
          </w:tcPr>
          <w:p w:rsidR="002A5A5E" w:rsidRPr="00FC1444" w:rsidRDefault="00611CBA">
            <w:pPr>
              <w:jc w:val="center"/>
              <w:rPr>
                <w:rFonts w:eastAsiaTheme="minorEastAsia"/>
                <w:szCs w:val="21"/>
              </w:rPr>
            </w:pPr>
            <w:r w:rsidRPr="00FC1444">
              <w:rPr>
                <w:rFonts w:eastAsiaTheme="minorEastAsia"/>
                <w:szCs w:val="21"/>
              </w:rPr>
              <w:t>评价等级与范围</w:t>
            </w:r>
          </w:p>
        </w:tc>
        <w:tc>
          <w:tcPr>
            <w:tcW w:w="1275" w:type="dxa"/>
            <w:vAlign w:val="center"/>
          </w:tcPr>
          <w:p w:rsidR="002A5A5E" w:rsidRPr="00FC1444" w:rsidRDefault="00611CBA">
            <w:pPr>
              <w:jc w:val="center"/>
              <w:rPr>
                <w:rFonts w:eastAsiaTheme="minorEastAsia"/>
                <w:szCs w:val="21"/>
              </w:rPr>
            </w:pPr>
            <w:r w:rsidRPr="00FC1444">
              <w:rPr>
                <w:rFonts w:eastAsiaTheme="minorEastAsia"/>
                <w:szCs w:val="21"/>
              </w:rPr>
              <w:t>评价等级</w:t>
            </w:r>
          </w:p>
        </w:tc>
        <w:tc>
          <w:tcPr>
            <w:tcW w:w="6237" w:type="dxa"/>
            <w:gridSpan w:val="7"/>
            <w:vAlign w:val="center"/>
          </w:tcPr>
          <w:p w:rsidR="002A5A5E" w:rsidRPr="00FC1444" w:rsidRDefault="00611CBA">
            <w:pPr>
              <w:jc w:val="center"/>
              <w:rPr>
                <w:rFonts w:eastAsiaTheme="minorEastAsia"/>
                <w:szCs w:val="21"/>
              </w:rPr>
            </w:pPr>
            <w:r w:rsidRPr="00FC1444">
              <w:rPr>
                <w:rFonts w:eastAsiaTheme="minorEastAsia"/>
                <w:szCs w:val="21"/>
              </w:rPr>
              <w:t>一级</w:t>
            </w:r>
            <w:r w:rsidRPr="00FC1444">
              <w:rPr>
                <w:rFonts w:eastAsiaTheme="minorEastAsia"/>
                <w:szCs w:val="21"/>
              </w:rPr>
              <w:t xml:space="preserve">□ </w:t>
            </w:r>
            <w:r w:rsidRPr="00FC1444">
              <w:rPr>
                <w:rFonts w:eastAsiaTheme="minorEastAsia"/>
                <w:szCs w:val="21"/>
              </w:rPr>
              <w:t>二级</w:t>
            </w:r>
            <w:r w:rsidRPr="00FC1444">
              <w:rPr>
                <w:rFonts w:eastAsiaTheme="minorEastAsia"/>
                <w:szCs w:val="21"/>
              </w:rPr>
              <w:t xml:space="preserve">√ </w:t>
            </w:r>
            <w:r w:rsidRPr="00FC1444">
              <w:rPr>
                <w:rFonts w:eastAsiaTheme="minorEastAsia"/>
                <w:szCs w:val="21"/>
              </w:rPr>
              <w:t>三级</w:t>
            </w:r>
            <w:r w:rsidRPr="00FC1444">
              <w:rPr>
                <w:rFonts w:eastAsiaTheme="minorEastAsia"/>
                <w:szCs w:val="21"/>
              </w:rPr>
              <w:t>□</w:t>
            </w:r>
          </w:p>
        </w:tc>
      </w:tr>
      <w:tr w:rsidR="002A5A5E" w:rsidRPr="00FC1444">
        <w:trPr>
          <w:jc w:val="center"/>
        </w:trPr>
        <w:tc>
          <w:tcPr>
            <w:tcW w:w="891" w:type="dxa"/>
            <w:vMerge/>
            <w:vAlign w:val="center"/>
          </w:tcPr>
          <w:p w:rsidR="002A5A5E" w:rsidRPr="00FC1444" w:rsidRDefault="002A5A5E">
            <w:pPr>
              <w:jc w:val="center"/>
              <w:rPr>
                <w:rFonts w:eastAsiaTheme="minorEastAsia"/>
                <w:szCs w:val="21"/>
              </w:rPr>
            </w:pPr>
          </w:p>
        </w:tc>
        <w:tc>
          <w:tcPr>
            <w:tcW w:w="1275" w:type="dxa"/>
            <w:vAlign w:val="center"/>
          </w:tcPr>
          <w:p w:rsidR="002A5A5E" w:rsidRPr="00FC1444" w:rsidRDefault="00611CBA">
            <w:pPr>
              <w:jc w:val="center"/>
              <w:rPr>
                <w:rFonts w:eastAsiaTheme="minorEastAsia"/>
                <w:szCs w:val="21"/>
              </w:rPr>
            </w:pPr>
            <w:r w:rsidRPr="00FC1444">
              <w:rPr>
                <w:rFonts w:eastAsiaTheme="minorEastAsia"/>
                <w:szCs w:val="21"/>
              </w:rPr>
              <w:t>评价范围</w:t>
            </w:r>
          </w:p>
        </w:tc>
        <w:tc>
          <w:tcPr>
            <w:tcW w:w="6237" w:type="dxa"/>
            <w:gridSpan w:val="7"/>
            <w:vAlign w:val="center"/>
          </w:tcPr>
          <w:p w:rsidR="002A5A5E" w:rsidRPr="00FC1444" w:rsidRDefault="00611CBA">
            <w:pPr>
              <w:jc w:val="center"/>
              <w:rPr>
                <w:rFonts w:eastAsiaTheme="minorEastAsia"/>
                <w:szCs w:val="21"/>
              </w:rPr>
            </w:pPr>
            <w:r w:rsidRPr="00FC1444">
              <w:rPr>
                <w:rFonts w:eastAsiaTheme="minorEastAsia"/>
                <w:szCs w:val="21"/>
              </w:rPr>
              <w:t>等效连续</w:t>
            </w:r>
            <w:r w:rsidRPr="00FC1444">
              <w:rPr>
                <w:rFonts w:eastAsiaTheme="minorEastAsia"/>
                <w:szCs w:val="21"/>
              </w:rPr>
              <w:t>A</w:t>
            </w:r>
            <w:r w:rsidRPr="00FC1444">
              <w:rPr>
                <w:rFonts w:eastAsiaTheme="minorEastAsia"/>
                <w:szCs w:val="21"/>
              </w:rPr>
              <w:t>声级</w:t>
            </w:r>
            <w:r w:rsidRPr="00FC1444">
              <w:rPr>
                <w:rFonts w:eastAsiaTheme="minorEastAsia"/>
                <w:szCs w:val="21"/>
              </w:rPr>
              <w:t xml:space="preserve">√  </w:t>
            </w:r>
            <w:r w:rsidRPr="00FC1444">
              <w:rPr>
                <w:rFonts w:eastAsiaTheme="minorEastAsia"/>
                <w:szCs w:val="21"/>
              </w:rPr>
              <w:t>最大</w:t>
            </w:r>
            <w:r w:rsidRPr="00FC1444">
              <w:rPr>
                <w:rFonts w:eastAsiaTheme="minorEastAsia"/>
                <w:szCs w:val="21"/>
              </w:rPr>
              <w:t>A</w:t>
            </w:r>
            <w:r w:rsidRPr="00FC1444">
              <w:rPr>
                <w:rFonts w:eastAsiaTheme="minorEastAsia"/>
                <w:szCs w:val="21"/>
              </w:rPr>
              <w:t>声级</w:t>
            </w:r>
            <w:r w:rsidRPr="00FC1444">
              <w:rPr>
                <w:rFonts w:eastAsiaTheme="minorEastAsia"/>
                <w:szCs w:val="21"/>
              </w:rPr>
              <w:t xml:space="preserve">□  </w:t>
            </w:r>
            <w:r w:rsidRPr="00FC1444">
              <w:rPr>
                <w:rFonts w:eastAsiaTheme="minorEastAsia"/>
                <w:szCs w:val="21"/>
              </w:rPr>
              <w:t>计权等效连续感觉噪声级</w:t>
            </w:r>
            <w:r w:rsidRPr="00FC1444">
              <w:rPr>
                <w:rFonts w:eastAsiaTheme="minorEastAsia"/>
                <w:szCs w:val="21"/>
              </w:rPr>
              <w:t>□</w:t>
            </w:r>
          </w:p>
        </w:tc>
      </w:tr>
      <w:tr w:rsidR="002A5A5E" w:rsidRPr="00FC1444">
        <w:trPr>
          <w:jc w:val="center"/>
        </w:trPr>
        <w:tc>
          <w:tcPr>
            <w:tcW w:w="891" w:type="dxa"/>
            <w:vAlign w:val="center"/>
          </w:tcPr>
          <w:p w:rsidR="002A5A5E" w:rsidRPr="00FC1444" w:rsidRDefault="00611CBA">
            <w:pPr>
              <w:jc w:val="center"/>
              <w:rPr>
                <w:rFonts w:eastAsiaTheme="minorEastAsia"/>
                <w:szCs w:val="21"/>
              </w:rPr>
            </w:pPr>
            <w:r w:rsidRPr="00FC1444">
              <w:rPr>
                <w:rFonts w:eastAsiaTheme="minorEastAsia"/>
                <w:szCs w:val="21"/>
              </w:rPr>
              <w:t>评价因子</w:t>
            </w:r>
          </w:p>
        </w:tc>
        <w:tc>
          <w:tcPr>
            <w:tcW w:w="1275" w:type="dxa"/>
            <w:vAlign w:val="center"/>
          </w:tcPr>
          <w:p w:rsidR="002A5A5E" w:rsidRPr="00FC1444" w:rsidRDefault="00611CBA">
            <w:pPr>
              <w:jc w:val="center"/>
              <w:rPr>
                <w:rFonts w:eastAsiaTheme="minorEastAsia"/>
                <w:szCs w:val="21"/>
              </w:rPr>
            </w:pPr>
            <w:r w:rsidRPr="00FC1444">
              <w:rPr>
                <w:rFonts w:eastAsiaTheme="minorEastAsia"/>
                <w:szCs w:val="21"/>
              </w:rPr>
              <w:t>评价因子</w:t>
            </w:r>
          </w:p>
        </w:tc>
        <w:tc>
          <w:tcPr>
            <w:tcW w:w="6237" w:type="dxa"/>
            <w:gridSpan w:val="7"/>
            <w:vAlign w:val="center"/>
          </w:tcPr>
          <w:p w:rsidR="002A5A5E" w:rsidRPr="00FC1444" w:rsidRDefault="00611CBA">
            <w:pPr>
              <w:jc w:val="center"/>
              <w:rPr>
                <w:rFonts w:eastAsiaTheme="minorEastAsia"/>
                <w:szCs w:val="21"/>
              </w:rPr>
            </w:pPr>
            <w:r w:rsidRPr="00FC1444">
              <w:rPr>
                <w:rFonts w:eastAsiaTheme="minorEastAsia"/>
                <w:szCs w:val="21"/>
              </w:rPr>
              <w:t>国家标准</w:t>
            </w:r>
            <w:r w:rsidRPr="00FC1444">
              <w:rPr>
                <w:rFonts w:eastAsiaTheme="minorEastAsia"/>
                <w:szCs w:val="21"/>
              </w:rPr>
              <w:t xml:space="preserve">√  </w:t>
            </w:r>
            <w:r w:rsidRPr="00FC1444">
              <w:rPr>
                <w:rFonts w:eastAsiaTheme="minorEastAsia"/>
                <w:szCs w:val="21"/>
              </w:rPr>
              <w:t>地方标准</w:t>
            </w:r>
            <w:r w:rsidRPr="00FC1444">
              <w:rPr>
                <w:rFonts w:eastAsiaTheme="minorEastAsia"/>
                <w:szCs w:val="21"/>
              </w:rPr>
              <w:t xml:space="preserve">□  </w:t>
            </w:r>
            <w:r w:rsidRPr="00FC1444">
              <w:rPr>
                <w:rFonts w:eastAsiaTheme="minorEastAsia"/>
                <w:szCs w:val="21"/>
              </w:rPr>
              <w:t>国外标准</w:t>
            </w:r>
            <w:r w:rsidRPr="00FC1444">
              <w:rPr>
                <w:rFonts w:eastAsiaTheme="minorEastAsia"/>
                <w:szCs w:val="21"/>
              </w:rPr>
              <w:t>□</w:t>
            </w:r>
          </w:p>
        </w:tc>
      </w:tr>
      <w:tr w:rsidR="002A5A5E" w:rsidRPr="00FC1444">
        <w:trPr>
          <w:jc w:val="center"/>
        </w:trPr>
        <w:tc>
          <w:tcPr>
            <w:tcW w:w="891" w:type="dxa"/>
            <w:vMerge w:val="restart"/>
            <w:vAlign w:val="center"/>
          </w:tcPr>
          <w:p w:rsidR="002A5A5E" w:rsidRPr="00FC1444" w:rsidRDefault="00611CBA">
            <w:pPr>
              <w:jc w:val="center"/>
              <w:rPr>
                <w:rFonts w:eastAsiaTheme="minorEastAsia"/>
                <w:szCs w:val="21"/>
              </w:rPr>
            </w:pPr>
            <w:r w:rsidRPr="00FC1444">
              <w:rPr>
                <w:rFonts w:eastAsiaTheme="minorEastAsia"/>
                <w:szCs w:val="21"/>
              </w:rPr>
              <w:t>现状评价</w:t>
            </w:r>
          </w:p>
        </w:tc>
        <w:tc>
          <w:tcPr>
            <w:tcW w:w="1275" w:type="dxa"/>
            <w:vAlign w:val="center"/>
          </w:tcPr>
          <w:p w:rsidR="002A5A5E" w:rsidRPr="00FC1444" w:rsidRDefault="00611CBA">
            <w:pPr>
              <w:jc w:val="center"/>
              <w:rPr>
                <w:rFonts w:eastAsiaTheme="minorEastAsia"/>
                <w:szCs w:val="21"/>
              </w:rPr>
            </w:pPr>
            <w:r w:rsidRPr="00FC1444">
              <w:rPr>
                <w:rFonts w:eastAsiaTheme="minorEastAsia"/>
                <w:szCs w:val="21"/>
              </w:rPr>
              <w:t>环境功能区</w:t>
            </w:r>
          </w:p>
        </w:tc>
        <w:tc>
          <w:tcPr>
            <w:tcW w:w="993" w:type="dxa"/>
            <w:vAlign w:val="center"/>
          </w:tcPr>
          <w:p w:rsidR="002A5A5E" w:rsidRPr="00FC1444" w:rsidRDefault="00611CBA">
            <w:pPr>
              <w:jc w:val="center"/>
              <w:rPr>
                <w:rFonts w:eastAsiaTheme="minorEastAsia"/>
                <w:szCs w:val="21"/>
              </w:rPr>
            </w:pPr>
            <w:r w:rsidRPr="00FC1444">
              <w:rPr>
                <w:rFonts w:eastAsiaTheme="minorEastAsia"/>
                <w:szCs w:val="21"/>
              </w:rPr>
              <w:t>0</w:t>
            </w:r>
            <w:r w:rsidRPr="00FC1444">
              <w:rPr>
                <w:rFonts w:eastAsiaTheme="minorEastAsia"/>
                <w:szCs w:val="21"/>
              </w:rPr>
              <w:t>类区</w:t>
            </w:r>
            <w:r w:rsidRPr="00FC1444">
              <w:rPr>
                <w:rFonts w:eastAsiaTheme="minorEastAsia"/>
                <w:szCs w:val="21"/>
              </w:rPr>
              <w:t>□</w:t>
            </w:r>
          </w:p>
        </w:tc>
        <w:tc>
          <w:tcPr>
            <w:tcW w:w="1011" w:type="dxa"/>
            <w:vAlign w:val="center"/>
          </w:tcPr>
          <w:p w:rsidR="002A5A5E" w:rsidRPr="00FC1444" w:rsidRDefault="00611CBA">
            <w:pPr>
              <w:jc w:val="center"/>
              <w:rPr>
                <w:rFonts w:eastAsiaTheme="minorEastAsia"/>
                <w:szCs w:val="21"/>
              </w:rPr>
            </w:pPr>
            <w:r w:rsidRPr="00FC1444">
              <w:rPr>
                <w:rFonts w:eastAsiaTheme="minorEastAsia"/>
                <w:szCs w:val="21"/>
              </w:rPr>
              <w:t>1</w:t>
            </w:r>
            <w:r w:rsidRPr="00FC1444">
              <w:rPr>
                <w:rFonts w:eastAsiaTheme="minorEastAsia"/>
                <w:szCs w:val="21"/>
              </w:rPr>
              <w:t>类区</w:t>
            </w:r>
            <w:r w:rsidRPr="00FC1444">
              <w:rPr>
                <w:rFonts w:eastAsiaTheme="minorEastAsia"/>
                <w:szCs w:val="21"/>
              </w:rPr>
              <w:t>√</w:t>
            </w:r>
          </w:p>
        </w:tc>
        <w:tc>
          <w:tcPr>
            <w:tcW w:w="973" w:type="dxa"/>
            <w:gridSpan w:val="2"/>
            <w:vAlign w:val="center"/>
          </w:tcPr>
          <w:p w:rsidR="002A5A5E" w:rsidRPr="00FC1444" w:rsidRDefault="00611CBA">
            <w:pPr>
              <w:jc w:val="center"/>
              <w:rPr>
                <w:rFonts w:eastAsiaTheme="minorEastAsia"/>
                <w:szCs w:val="21"/>
              </w:rPr>
            </w:pPr>
            <w:r w:rsidRPr="00FC1444">
              <w:rPr>
                <w:rFonts w:eastAsiaTheme="minorEastAsia"/>
                <w:szCs w:val="21"/>
              </w:rPr>
              <w:t>2</w:t>
            </w:r>
            <w:r w:rsidRPr="00FC1444">
              <w:rPr>
                <w:rFonts w:eastAsiaTheme="minorEastAsia"/>
                <w:szCs w:val="21"/>
              </w:rPr>
              <w:t>类区</w:t>
            </w:r>
            <w:r w:rsidRPr="00FC1444">
              <w:rPr>
                <w:rFonts w:eastAsiaTheme="minorEastAsia"/>
                <w:szCs w:val="21"/>
              </w:rPr>
              <w:t>√</w:t>
            </w:r>
          </w:p>
        </w:tc>
        <w:tc>
          <w:tcPr>
            <w:tcW w:w="992" w:type="dxa"/>
            <w:vAlign w:val="center"/>
          </w:tcPr>
          <w:p w:rsidR="002A5A5E" w:rsidRPr="00FC1444" w:rsidRDefault="00611CBA">
            <w:pPr>
              <w:jc w:val="center"/>
              <w:rPr>
                <w:rFonts w:eastAsiaTheme="minorEastAsia"/>
                <w:szCs w:val="21"/>
              </w:rPr>
            </w:pPr>
            <w:r w:rsidRPr="00FC1444">
              <w:rPr>
                <w:rFonts w:eastAsiaTheme="minorEastAsia"/>
                <w:szCs w:val="21"/>
              </w:rPr>
              <w:t>3</w:t>
            </w:r>
            <w:r w:rsidRPr="00FC1444">
              <w:rPr>
                <w:rFonts w:eastAsiaTheme="minorEastAsia"/>
                <w:szCs w:val="21"/>
              </w:rPr>
              <w:t>类区</w:t>
            </w:r>
            <w:r w:rsidRPr="00FC1444">
              <w:rPr>
                <w:rFonts w:eastAsiaTheme="minorEastAsia"/>
                <w:szCs w:val="21"/>
              </w:rPr>
              <w:t>□</w:t>
            </w:r>
          </w:p>
        </w:tc>
        <w:tc>
          <w:tcPr>
            <w:tcW w:w="993" w:type="dxa"/>
            <w:vAlign w:val="center"/>
          </w:tcPr>
          <w:p w:rsidR="002A5A5E" w:rsidRPr="00FC1444" w:rsidRDefault="00611CBA">
            <w:pPr>
              <w:jc w:val="center"/>
              <w:rPr>
                <w:rFonts w:eastAsiaTheme="minorEastAsia"/>
                <w:szCs w:val="21"/>
              </w:rPr>
            </w:pPr>
            <w:r w:rsidRPr="00FC1444">
              <w:rPr>
                <w:rFonts w:eastAsiaTheme="minorEastAsia"/>
                <w:szCs w:val="21"/>
              </w:rPr>
              <w:t>4a</w:t>
            </w:r>
            <w:r w:rsidRPr="00FC1444">
              <w:rPr>
                <w:rFonts w:eastAsiaTheme="minorEastAsia"/>
                <w:szCs w:val="21"/>
              </w:rPr>
              <w:t>类区</w:t>
            </w:r>
            <w:r w:rsidRPr="00FC1444">
              <w:rPr>
                <w:rFonts w:eastAsiaTheme="minorEastAsia"/>
                <w:szCs w:val="21"/>
              </w:rPr>
              <w:t>□</w:t>
            </w:r>
          </w:p>
        </w:tc>
        <w:tc>
          <w:tcPr>
            <w:tcW w:w="1275" w:type="dxa"/>
            <w:vAlign w:val="center"/>
          </w:tcPr>
          <w:p w:rsidR="002A5A5E" w:rsidRPr="00FC1444" w:rsidRDefault="00611CBA">
            <w:pPr>
              <w:jc w:val="center"/>
              <w:rPr>
                <w:rFonts w:eastAsiaTheme="minorEastAsia"/>
                <w:szCs w:val="21"/>
              </w:rPr>
            </w:pPr>
            <w:r w:rsidRPr="00FC1444">
              <w:rPr>
                <w:rFonts w:eastAsiaTheme="minorEastAsia"/>
                <w:szCs w:val="21"/>
              </w:rPr>
              <w:t>4b</w:t>
            </w:r>
            <w:r w:rsidRPr="00FC1444">
              <w:rPr>
                <w:rFonts w:eastAsiaTheme="minorEastAsia"/>
                <w:szCs w:val="21"/>
              </w:rPr>
              <w:t>类区</w:t>
            </w:r>
            <w:r w:rsidRPr="00FC1444">
              <w:rPr>
                <w:rFonts w:eastAsiaTheme="minorEastAsia"/>
                <w:szCs w:val="21"/>
              </w:rPr>
              <w:t>□</w:t>
            </w:r>
          </w:p>
        </w:tc>
      </w:tr>
      <w:tr w:rsidR="002A5A5E" w:rsidRPr="00FC1444">
        <w:trPr>
          <w:jc w:val="center"/>
        </w:trPr>
        <w:tc>
          <w:tcPr>
            <w:tcW w:w="891" w:type="dxa"/>
            <w:vMerge/>
            <w:vAlign w:val="center"/>
          </w:tcPr>
          <w:p w:rsidR="002A5A5E" w:rsidRPr="00FC1444" w:rsidRDefault="002A5A5E">
            <w:pPr>
              <w:jc w:val="center"/>
              <w:rPr>
                <w:rFonts w:eastAsiaTheme="minorEastAsia"/>
                <w:szCs w:val="21"/>
              </w:rPr>
            </w:pPr>
          </w:p>
        </w:tc>
        <w:tc>
          <w:tcPr>
            <w:tcW w:w="1275" w:type="dxa"/>
            <w:vAlign w:val="center"/>
          </w:tcPr>
          <w:p w:rsidR="002A5A5E" w:rsidRPr="00FC1444" w:rsidRDefault="00611CBA">
            <w:pPr>
              <w:jc w:val="center"/>
              <w:rPr>
                <w:rFonts w:eastAsiaTheme="minorEastAsia"/>
                <w:szCs w:val="21"/>
              </w:rPr>
            </w:pPr>
            <w:r w:rsidRPr="00FC1444">
              <w:rPr>
                <w:rFonts w:eastAsiaTheme="minorEastAsia"/>
                <w:szCs w:val="21"/>
              </w:rPr>
              <w:t>评价年度</w:t>
            </w:r>
          </w:p>
        </w:tc>
        <w:tc>
          <w:tcPr>
            <w:tcW w:w="2004" w:type="dxa"/>
            <w:gridSpan w:val="2"/>
            <w:vAlign w:val="center"/>
          </w:tcPr>
          <w:p w:rsidR="002A5A5E" w:rsidRPr="00FC1444" w:rsidRDefault="00611CBA">
            <w:pPr>
              <w:jc w:val="center"/>
              <w:rPr>
                <w:rFonts w:eastAsiaTheme="minorEastAsia"/>
                <w:szCs w:val="21"/>
              </w:rPr>
            </w:pPr>
            <w:r w:rsidRPr="00FC1444">
              <w:rPr>
                <w:rFonts w:eastAsiaTheme="minorEastAsia"/>
                <w:szCs w:val="21"/>
              </w:rPr>
              <w:t>初期</w:t>
            </w:r>
            <w:r w:rsidRPr="00FC1444">
              <w:rPr>
                <w:rFonts w:eastAsiaTheme="minorEastAsia"/>
                <w:szCs w:val="21"/>
              </w:rPr>
              <w:t>□</w:t>
            </w:r>
          </w:p>
        </w:tc>
        <w:tc>
          <w:tcPr>
            <w:tcW w:w="973" w:type="dxa"/>
            <w:gridSpan w:val="2"/>
            <w:vAlign w:val="center"/>
          </w:tcPr>
          <w:p w:rsidR="002A5A5E" w:rsidRPr="00FC1444" w:rsidRDefault="00611CBA">
            <w:pPr>
              <w:jc w:val="center"/>
              <w:rPr>
                <w:rFonts w:eastAsiaTheme="minorEastAsia"/>
                <w:szCs w:val="21"/>
              </w:rPr>
            </w:pPr>
            <w:r w:rsidRPr="00FC1444">
              <w:rPr>
                <w:rFonts w:eastAsiaTheme="minorEastAsia"/>
                <w:szCs w:val="21"/>
              </w:rPr>
              <w:t>近期</w:t>
            </w:r>
            <w:r w:rsidRPr="00FC1444">
              <w:rPr>
                <w:rFonts w:eastAsiaTheme="minorEastAsia"/>
                <w:szCs w:val="21"/>
              </w:rPr>
              <w:t>√</w:t>
            </w:r>
          </w:p>
        </w:tc>
        <w:tc>
          <w:tcPr>
            <w:tcW w:w="992" w:type="dxa"/>
            <w:vAlign w:val="center"/>
          </w:tcPr>
          <w:p w:rsidR="002A5A5E" w:rsidRPr="00FC1444" w:rsidRDefault="00611CBA">
            <w:pPr>
              <w:jc w:val="center"/>
              <w:rPr>
                <w:rFonts w:eastAsiaTheme="minorEastAsia"/>
                <w:szCs w:val="21"/>
              </w:rPr>
            </w:pPr>
            <w:r w:rsidRPr="00FC1444">
              <w:rPr>
                <w:rFonts w:eastAsiaTheme="minorEastAsia"/>
                <w:szCs w:val="21"/>
              </w:rPr>
              <w:t>中期</w:t>
            </w:r>
            <w:r w:rsidRPr="00FC1444">
              <w:rPr>
                <w:rFonts w:eastAsiaTheme="minorEastAsia"/>
                <w:szCs w:val="21"/>
              </w:rPr>
              <w:t>□</w:t>
            </w:r>
          </w:p>
        </w:tc>
        <w:tc>
          <w:tcPr>
            <w:tcW w:w="2268" w:type="dxa"/>
            <w:gridSpan w:val="2"/>
            <w:vAlign w:val="center"/>
          </w:tcPr>
          <w:p w:rsidR="002A5A5E" w:rsidRPr="00FC1444" w:rsidRDefault="00611CBA">
            <w:pPr>
              <w:jc w:val="center"/>
              <w:rPr>
                <w:rFonts w:eastAsiaTheme="minorEastAsia"/>
                <w:szCs w:val="21"/>
              </w:rPr>
            </w:pPr>
            <w:r w:rsidRPr="00FC1444">
              <w:rPr>
                <w:rFonts w:eastAsiaTheme="minorEastAsia"/>
                <w:szCs w:val="21"/>
              </w:rPr>
              <w:t>远期</w:t>
            </w:r>
            <w:r w:rsidRPr="00FC1444">
              <w:rPr>
                <w:rFonts w:eastAsiaTheme="minorEastAsia"/>
                <w:szCs w:val="21"/>
              </w:rPr>
              <w:t>□</w:t>
            </w:r>
          </w:p>
        </w:tc>
      </w:tr>
      <w:tr w:rsidR="002A5A5E" w:rsidRPr="00FC1444">
        <w:trPr>
          <w:jc w:val="center"/>
        </w:trPr>
        <w:tc>
          <w:tcPr>
            <w:tcW w:w="891" w:type="dxa"/>
            <w:vMerge/>
            <w:vAlign w:val="center"/>
          </w:tcPr>
          <w:p w:rsidR="002A5A5E" w:rsidRPr="00FC1444" w:rsidRDefault="002A5A5E">
            <w:pPr>
              <w:jc w:val="center"/>
              <w:rPr>
                <w:rFonts w:eastAsiaTheme="minorEastAsia"/>
                <w:szCs w:val="21"/>
              </w:rPr>
            </w:pPr>
          </w:p>
        </w:tc>
        <w:tc>
          <w:tcPr>
            <w:tcW w:w="1275" w:type="dxa"/>
            <w:vAlign w:val="center"/>
          </w:tcPr>
          <w:p w:rsidR="002A5A5E" w:rsidRPr="00FC1444" w:rsidRDefault="00611CBA">
            <w:pPr>
              <w:jc w:val="center"/>
              <w:rPr>
                <w:rFonts w:eastAsiaTheme="minorEastAsia"/>
                <w:szCs w:val="21"/>
              </w:rPr>
            </w:pPr>
            <w:r w:rsidRPr="00FC1444">
              <w:rPr>
                <w:rFonts w:eastAsiaTheme="minorEastAsia"/>
                <w:szCs w:val="21"/>
              </w:rPr>
              <w:t>现状调查</w:t>
            </w:r>
          </w:p>
          <w:p w:rsidR="002A5A5E" w:rsidRPr="00FC1444" w:rsidRDefault="00611CBA">
            <w:pPr>
              <w:jc w:val="center"/>
              <w:rPr>
                <w:rFonts w:eastAsiaTheme="minorEastAsia"/>
                <w:szCs w:val="21"/>
              </w:rPr>
            </w:pPr>
            <w:r w:rsidRPr="00FC1444">
              <w:rPr>
                <w:rFonts w:eastAsiaTheme="minorEastAsia"/>
                <w:szCs w:val="21"/>
              </w:rPr>
              <w:t>方法</w:t>
            </w:r>
          </w:p>
        </w:tc>
        <w:tc>
          <w:tcPr>
            <w:tcW w:w="6237" w:type="dxa"/>
            <w:gridSpan w:val="7"/>
            <w:vAlign w:val="center"/>
          </w:tcPr>
          <w:p w:rsidR="002A5A5E" w:rsidRPr="00FC1444" w:rsidRDefault="00611CBA">
            <w:pPr>
              <w:jc w:val="center"/>
              <w:rPr>
                <w:rFonts w:eastAsiaTheme="minorEastAsia"/>
                <w:szCs w:val="21"/>
              </w:rPr>
            </w:pPr>
            <w:r w:rsidRPr="00FC1444">
              <w:rPr>
                <w:rFonts w:eastAsiaTheme="minorEastAsia"/>
                <w:szCs w:val="21"/>
              </w:rPr>
              <w:t>现场实测法</w:t>
            </w:r>
            <w:r w:rsidRPr="00FC1444">
              <w:rPr>
                <w:rFonts w:eastAsiaTheme="minorEastAsia"/>
                <w:szCs w:val="21"/>
              </w:rPr>
              <w:t xml:space="preserve">√  </w:t>
            </w:r>
            <w:r w:rsidRPr="00FC1444">
              <w:rPr>
                <w:rFonts w:eastAsiaTheme="minorEastAsia"/>
                <w:szCs w:val="21"/>
              </w:rPr>
              <w:t>现场实测加模型计算法</w:t>
            </w:r>
            <w:r w:rsidRPr="00FC1444">
              <w:rPr>
                <w:rFonts w:eastAsiaTheme="minorEastAsia"/>
                <w:szCs w:val="21"/>
              </w:rPr>
              <w:t xml:space="preserve">□  </w:t>
            </w:r>
            <w:r w:rsidRPr="00FC1444">
              <w:rPr>
                <w:rFonts w:eastAsiaTheme="minorEastAsia"/>
                <w:szCs w:val="21"/>
              </w:rPr>
              <w:t>收集资料</w:t>
            </w:r>
            <w:r w:rsidRPr="00FC1444">
              <w:rPr>
                <w:rFonts w:eastAsiaTheme="minorEastAsia"/>
                <w:szCs w:val="21"/>
              </w:rPr>
              <w:t>√</w:t>
            </w:r>
          </w:p>
        </w:tc>
      </w:tr>
      <w:tr w:rsidR="002A5A5E" w:rsidRPr="00FC1444">
        <w:trPr>
          <w:jc w:val="center"/>
        </w:trPr>
        <w:tc>
          <w:tcPr>
            <w:tcW w:w="891" w:type="dxa"/>
            <w:vMerge/>
            <w:vAlign w:val="center"/>
          </w:tcPr>
          <w:p w:rsidR="002A5A5E" w:rsidRPr="00FC1444" w:rsidRDefault="002A5A5E">
            <w:pPr>
              <w:jc w:val="center"/>
              <w:rPr>
                <w:rFonts w:eastAsiaTheme="minorEastAsia"/>
                <w:szCs w:val="21"/>
              </w:rPr>
            </w:pPr>
          </w:p>
        </w:tc>
        <w:tc>
          <w:tcPr>
            <w:tcW w:w="1275" w:type="dxa"/>
            <w:vAlign w:val="center"/>
          </w:tcPr>
          <w:p w:rsidR="002A5A5E" w:rsidRPr="00FC1444" w:rsidRDefault="00611CBA">
            <w:pPr>
              <w:jc w:val="center"/>
              <w:rPr>
                <w:rFonts w:eastAsiaTheme="minorEastAsia"/>
                <w:szCs w:val="21"/>
              </w:rPr>
            </w:pPr>
            <w:r w:rsidRPr="00FC1444">
              <w:rPr>
                <w:rFonts w:eastAsiaTheme="minorEastAsia"/>
                <w:szCs w:val="21"/>
              </w:rPr>
              <w:t>现状评价</w:t>
            </w:r>
          </w:p>
        </w:tc>
        <w:tc>
          <w:tcPr>
            <w:tcW w:w="2004" w:type="dxa"/>
            <w:gridSpan w:val="2"/>
            <w:vAlign w:val="center"/>
          </w:tcPr>
          <w:p w:rsidR="002A5A5E" w:rsidRPr="00FC1444" w:rsidRDefault="00611CBA">
            <w:pPr>
              <w:jc w:val="center"/>
              <w:rPr>
                <w:rFonts w:eastAsiaTheme="minorEastAsia"/>
                <w:szCs w:val="21"/>
              </w:rPr>
            </w:pPr>
            <w:r w:rsidRPr="00FC1444">
              <w:rPr>
                <w:rFonts w:eastAsiaTheme="minorEastAsia"/>
                <w:szCs w:val="21"/>
              </w:rPr>
              <w:t>达标百分比</w:t>
            </w:r>
          </w:p>
        </w:tc>
        <w:tc>
          <w:tcPr>
            <w:tcW w:w="4233" w:type="dxa"/>
            <w:gridSpan w:val="5"/>
            <w:vAlign w:val="center"/>
          </w:tcPr>
          <w:p w:rsidR="002A5A5E" w:rsidRPr="00FC1444" w:rsidRDefault="00611CBA">
            <w:pPr>
              <w:jc w:val="center"/>
              <w:rPr>
                <w:rFonts w:eastAsiaTheme="minorEastAsia"/>
                <w:szCs w:val="21"/>
              </w:rPr>
            </w:pPr>
            <w:r w:rsidRPr="00FC1444">
              <w:rPr>
                <w:rFonts w:eastAsiaTheme="minorEastAsia"/>
                <w:szCs w:val="21"/>
              </w:rPr>
              <w:t>100%</w:t>
            </w:r>
          </w:p>
        </w:tc>
      </w:tr>
      <w:tr w:rsidR="002A5A5E" w:rsidRPr="00FC1444">
        <w:trPr>
          <w:jc w:val="center"/>
        </w:trPr>
        <w:tc>
          <w:tcPr>
            <w:tcW w:w="891" w:type="dxa"/>
            <w:vAlign w:val="center"/>
          </w:tcPr>
          <w:p w:rsidR="002A5A5E" w:rsidRPr="00FC1444" w:rsidRDefault="00611CBA">
            <w:pPr>
              <w:jc w:val="center"/>
              <w:rPr>
                <w:rFonts w:eastAsiaTheme="minorEastAsia"/>
                <w:szCs w:val="21"/>
              </w:rPr>
            </w:pPr>
            <w:r w:rsidRPr="00FC1444">
              <w:rPr>
                <w:rFonts w:eastAsiaTheme="minorEastAsia"/>
                <w:szCs w:val="21"/>
              </w:rPr>
              <w:t>噪声源</w:t>
            </w:r>
          </w:p>
          <w:p w:rsidR="002A5A5E" w:rsidRPr="00FC1444" w:rsidRDefault="00611CBA">
            <w:pPr>
              <w:jc w:val="center"/>
              <w:rPr>
                <w:rFonts w:eastAsiaTheme="minorEastAsia"/>
                <w:szCs w:val="21"/>
              </w:rPr>
            </w:pPr>
            <w:r w:rsidRPr="00FC1444">
              <w:rPr>
                <w:rFonts w:eastAsiaTheme="minorEastAsia"/>
                <w:szCs w:val="21"/>
              </w:rPr>
              <w:t>调查</w:t>
            </w:r>
          </w:p>
        </w:tc>
        <w:tc>
          <w:tcPr>
            <w:tcW w:w="1275" w:type="dxa"/>
            <w:vAlign w:val="center"/>
          </w:tcPr>
          <w:p w:rsidR="002A5A5E" w:rsidRPr="00FC1444" w:rsidRDefault="00611CBA">
            <w:pPr>
              <w:jc w:val="center"/>
              <w:rPr>
                <w:rFonts w:eastAsiaTheme="minorEastAsia"/>
                <w:szCs w:val="21"/>
              </w:rPr>
            </w:pPr>
            <w:r w:rsidRPr="00FC1444">
              <w:rPr>
                <w:rFonts w:eastAsiaTheme="minorEastAsia"/>
                <w:szCs w:val="21"/>
              </w:rPr>
              <w:t>噪声源调查方法</w:t>
            </w:r>
          </w:p>
        </w:tc>
        <w:tc>
          <w:tcPr>
            <w:tcW w:w="6237" w:type="dxa"/>
            <w:gridSpan w:val="7"/>
            <w:vAlign w:val="center"/>
          </w:tcPr>
          <w:p w:rsidR="002A5A5E" w:rsidRPr="00FC1444" w:rsidRDefault="00611CBA">
            <w:pPr>
              <w:jc w:val="center"/>
              <w:rPr>
                <w:rFonts w:eastAsiaTheme="minorEastAsia"/>
                <w:szCs w:val="21"/>
              </w:rPr>
            </w:pPr>
            <w:r w:rsidRPr="00FC1444">
              <w:rPr>
                <w:rFonts w:eastAsiaTheme="minorEastAsia"/>
                <w:szCs w:val="21"/>
              </w:rPr>
              <w:t>现场实测</w:t>
            </w:r>
            <w:r w:rsidRPr="00FC1444">
              <w:rPr>
                <w:rFonts w:eastAsiaTheme="minorEastAsia"/>
                <w:szCs w:val="21"/>
              </w:rPr>
              <w:t xml:space="preserve">□  </w:t>
            </w:r>
            <w:r w:rsidRPr="00FC1444">
              <w:rPr>
                <w:rFonts w:eastAsiaTheme="minorEastAsia"/>
                <w:szCs w:val="21"/>
              </w:rPr>
              <w:t>已有资料</w:t>
            </w:r>
            <w:r w:rsidRPr="00FC1444">
              <w:rPr>
                <w:rFonts w:eastAsiaTheme="minorEastAsia"/>
                <w:szCs w:val="21"/>
              </w:rPr>
              <w:t xml:space="preserve">√  </w:t>
            </w:r>
            <w:r w:rsidRPr="00FC1444">
              <w:rPr>
                <w:rFonts w:eastAsiaTheme="minorEastAsia"/>
                <w:szCs w:val="21"/>
              </w:rPr>
              <w:t>研究成果</w:t>
            </w:r>
            <w:r w:rsidRPr="00FC1444">
              <w:rPr>
                <w:rFonts w:eastAsiaTheme="minorEastAsia"/>
                <w:szCs w:val="21"/>
              </w:rPr>
              <w:t>□</w:t>
            </w:r>
          </w:p>
        </w:tc>
      </w:tr>
      <w:tr w:rsidR="002A5A5E" w:rsidRPr="00FC1444">
        <w:trPr>
          <w:jc w:val="center"/>
        </w:trPr>
        <w:tc>
          <w:tcPr>
            <w:tcW w:w="891" w:type="dxa"/>
            <w:vMerge w:val="restart"/>
            <w:vAlign w:val="center"/>
          </w:tcPr>
          <w:p w:rsidR="002A5A5E" w:rsidRPr="00FC1444" w:rsidRDefault="00611CBA">
            <w:pPr>
              <w:jc w:val="center"/>
              <w:rPr>
                <w:rFonts w:eastAsiaTheme="minorEastAsia"/>
                <w:szCs w:val="21"/>
              </w:rPr>
            </w:pPr>
            <w:r w:rsidRPr="00FC1444">
              <w:rPr>
                <w:rFonts w:eastAsiaTheme="minorEastAsia"/>
                <w:szCs w:val="21"/>
              </w:rPr>
              <w:t>声环境影响预测与评价</w:t>
            </w:r>
          </w:p>
        </w:tc>
        <w:tc>
          <w:tcPr>
            <w:tcW w:w="1275" w:type="dxa"/>
            <w:vAlign w:val="center"/>
          </w:tcPr>
          <w:p w:rsidR="002A5A5E" w:rsidRPr="00FC1444" w:rsidRDefault="00611CBA">
            <w:pPr>
              <w:jc w:val="center"/>
              <w:rPr>
                <w:rFonts w:eastAsiaTheme="minorEastAsia"/>
                <w:szCs w:val="21"/>
              </w:rPr>
            </w:pPr>
            <w:r w:rsidRPr="00FC1444">
              <w:rPr>
                <w:rFonts w:eastAsiaTheme="minorEastAsia"/>
                <w:szCs w:val="21"/>
              </w:rPr>
              <w:t>预测模型</w:t>
            </w:r>
          </w:p>
        </w:tc>
        <w:tc>
          <w:tcPr>
            <w:tcW w:w="6237" w:type="dxa"/>
            <w:gridSpan w:val="7"/>
            <w:vAlign w:val="center"/>
          </w:tcPr>
          <w:p w:rsidR="002A5A5E" w:rsidRPr="00FC1444" w:rsidRDefault="00611CBA">
            <w:pPr>
              <w:jc w:val="center"/>
              <w:rPr>
                <w:rFonts w:eastAsiaTheme="minorEastAsia"/>
                <w:szCs w:val="21"/>
              </w:rPr>
            </w:pPr>
            <w:r w:rsidRPr="00FC1444">
              <w:rPr>
                <w:rFonts w:eastAsiaTheme="minorEastAsia"/>
                <w:szCs w:val="21"/>
              </w:rPr>
              <w:t>导则推荐模型</w:t>
            </w:r>
            <w:r w:rsidRPr="00FC1444">
              <w:rPr>
                <w:rFonts w:eastAsiaTheme="minorEastAsia"/>
                <w:szCs w:val="21"/>
              </w:rPr>
              <w:t xml:space="preserve">√           </w:t>
            </w:r>
            <w:r w:rsidRPr="00FC1444">
              <w:rPr>
                <w:rFonts w:eastAsiaTheme="minorEastAsia"/>
                <w:szCs w:val="21"/>
              </w:rPr>
              <w:t>其他</w:t>
            </w:r>
            <w:r w:rsidRPr="00FC1444">
              <w:rPr>
                <w:rFonts w:eastAsiaTheme="minorEastAsia"/>
                <w:szCs w:val="21"/>
              </w:rPr>
              <w:t>□—</w:t>
            </w:r>
          </w:p>
        </w:tc>
      </w:tr>
      <w:tr w:rsidR="002A5A5E" w:rsidRPr="00FC1444">
        <w:trPr>
          <w:jc w:val="center"/>
        </w:trPr>
        <w:tc>
          <w:tcPr>
            <w:tcW w:w="891" w:type="dxa"/>
            <w:vMerge/>
            <w:vAlign w:val="center"/>
          </w:tcPr>
          <w:p w:rsidR="002A5A5E" w:rsidRPr="00FC1444" w:rsidRDefault="002A5A5E">
            <w:pPr>
              <w:jc w:val="center"/>
              <w:rPr>
                <w:rFonts w:eastAsiaTheme="minorEastAsia"/>
                <w:szCs w:val="21"/>
              </w:rPr>
            </w:pPr>
          </w:p>
        </w:tc>
        <w:tc>
          <w:tcPr>
            <w:tcW w:w="1275" w:type="dxa"/>
            <w:vAlign w:val="center"/>
          </w:tcPr>
          <w:p w:rsidR="002A5A5E" w:rsidRPr="00FC1444" w:rsidRDefault="00611CBA">
            <w:pPr>
              <w:jc w:val="center"/>
              <w:rPr>
                <w:rFonts w:eastAsiaTheme="minorEastAsia"/>
                <w:szCs w:val="21"/>
              </w:rPr>
            </w:pPr>
            <w:r w:rsidRPr="00FC1444">
              <w:rPr>
                <w:rFonts w:eastAsiaTheme="minorEastAsia"/>
                <w:szCs w:val="21"/>
              </w:rPr>
              <w:t>预测范围</w:t>
            </w:r>
          </w:p>
        </w:tc>
        <w:tc>
          <w:tcPr>
            <w:tcW w:w="6237" w:type="dxa"/>
            <w:gridSpan w:val="7"/>
            <w:vAlign w:val="center"/>
          </w:tcPr>
          <w:p w:rsidR="002A5A5E" w:rsidRPr="00FC1444" w:rsidRDefault="00611CBA">
            <w:pPr>
              <w:jc w:val="center"/>
              <w:rPr>
                <w:rFonts w:eastAsiaTheme="minorEastAsia"/>
                <w:szCs w:val="21"/>
              </w:rPr>
            </w:pPr>
            <w:r w:rsidRPr="00FC1444">
              <w:rPr>
                <w:rFonts w:eastAsiaTheme="minorEastAsia"/>
                <w:szCs w:val="21"/>
              </w:rPr>
              <w:t xml:space="preserve">200m√  </w:t>
            </w:r>
            <w:r w:rsidRPr="00FC1444">
              <w:rPr>
                <w:rFonts w:eastAsiaTheme="minorEastAsia"/>
                <w:szCs w:val="21"/>
              </w:rPr>
              <w:t>大于</w:t>
            </w:r>
            <w:r w:rsidRPr="00FC1444">
              <w:rPr>
                <w:rFonts w:eastAsiaTheme="minorEastAsia"/>
                <w:szCs w:val="21"/>
              </w:rPr>
              <w:t xml:space="preserve">200m□  </w:t>
            </w:r>
            <w:r w:rsidRPr="00FC1444">
              <w:rPr>
                <w:rFonts w:eastAsiaTheme="minorEastAsia"/>
                <w:szCs w:val="21"/>
              </w:rPr>
              <w:t>小于</w:t>
            </w:r>
            <w:r w:rsidRPr="00FC1444">
              <w:rPr>
                <w:rFonts w:eastAsiaTheme="minorEastAsia"/>
                <w:szCs w:val="21"/>
              </w:rPr>
              <w:t>200m□</w:t>
            </w:r>
          </w:p>
        </w:tc>
      </w:tr>
      <w:tr w:rsidR="002A5A5E" w:rsidRPr="00FC1444">
        <w:trPr>
          <w:jc w:val="center"/>
        </w:trPr>
        <w:tc>
          <w:tcPr>
            <w:tcW w:w="891" w:type="dxa"/>
            <w:vMerge/>
            <w:vAlign w:val="center"/>
          </w:tcPr>
          <w:p w:rsidR="002A5A5E" w:rsidRPr="00FC1444" w:rsidRDefault="002A5A5E">
            <w:pPr>
              <w:pStyle w:val="23"/>
              <w:spacing w:before="0" w:line="240" w:lineRule="auto"/>
              <w:ind w:left="0" w:firstLineChars="0" w:firstLine="0"/>
              <w:jc w:val="center"/>
              <w:rPr>
                <w:rFonts w:eastAsiaTheme="minorEastAsia"/>
                <w:b w:val="0"/>
                <w:color w:val="auto"/>
                <w:sz w:val="21"/>
                <w:szCs w:val="21"/>
              </w:rPr>
            </w:pPr>
          </w:p>
        </w:tc>
        <w:tc>
          <w:tcPr>
            <w:tcW w:w="1275" w:type="dxa"/>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预测因子</w:t>
            </w:r>
          </w:p>
        </w:tc>
        <w:tc>
          <w:tcPr>
            <w:tcW w:w="6237" w:type="dxa"/>
            <w:gridSpan w:val="7"/>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等效连续</w:t>
            </w:r>
            <w:r w:rsidRPr="00FC1444">
              <w:rPr>
                <w:rFonts w:eastAsiaTheme="minorEastAsia"/>
                <w:b w:val="0"/>
                <w:color w:val="auto"/>
                <w:sz w:val="21"/>
                <w:szCs w:val="21"/>
              </w:rPr>
              <w:t>A</w:t>
            </w:r>
            <w:r w:rsidRPr="00FC1444">
              <w:rPr>
                <w:rFonts w:eastAsiaTheme="minorEastAsia"/>
                <w:b w:val="0"/>
                <w:color w:val="auto"/>
                <w:sz w:val="21"/>
                <w:szCs w:val="21"/>
              </w:rPr>
              <w:t>声级</w:t>
            </w:r>
            <w:r w:rsidRPr="00FC1444">
              <w:rPr>
                <w:rFonts w:eastAsiaTheme="minorEastAsia"/>
                <w:b w:val="0"/>
                <w:color w:val="auto"/>
                <w:sz w:val="21"/>
                <w:szCs w:val="21"/>
              </w:rPr>
              <w:t xml:space="preserve">√  </w:t>
            </w:r>
            <w:r w:rsidRPr="00FC1444">
              <w:rPr>
                <w:rFonts w:eastAsiaTheme="minorEastAsia"/>
                <w:b w:val="0"/>
                <w:color w:val="auto"/>
                <w:sz w:val="21"/>
                <w:szCs w:val="21"/>
              </w:rPr>
              <w:t>最大</w:t>
            </w:r>
            <w:r w:rsidRPr="00FC1444">
              <w:rPr>
                <w:rFonts w:eastAsiaTheme="minorEastAsia"/>
                <w:b w:val="0"/>
                <w:color w:val="auto"/>
                <w:sz w:val="21"/>
                <w:szCs w:val="21"/>
              </w:rPr>
              <w:t>A</w:t>
            </w:r>
            <w:r w:rsidRPr="00FC1444">
              <w:rPr>
                <w:rFonts w:eastAsiaTheme="minorEastAsia"/>
                <w:b w:val="0"/>
                <w:color w:val="auto"/>
                <w:sz w:val="21"/>
                <w:szCs w:val="21"/>
              </w:rPr>
              <w:t>声级</w:t>
            </w:r>
            <w:r w:rsidRPr="00FC1444">
              <w:rPr>
                <w:rFonts w:eastAsiaTheme="minorEastAsia"/>
                <w:b w:val="0"/>
                <w:color w:val="auto"/>
                <w:sz w:val="21"/>
                <w:szCs w:val="21"/>
              </w:rPr>
              <w:t xml:space="preserve">□  </w:t>
            </w:r>
            <w:r w:rsidRPr="00FC1444">
              <w:rPr>
                <w:rFonts w:eastAsiaTheme="minorEastAsia"/>
                <w:b w:val="0"/>
                <w:color w:val="auto"/>
                <w:sz w:val="21"/>
                <w:szCs w:val="21"/>
              </w:rPr>
              <w:t>计权等效连续感觉噪声级</w:t>
            </w:r>
            <w:r w:rsidRPr="00FC1444">
              <w:rPr>
                <w:rFonts w:eastAsiaTheme="minorEastAsia"/>
                <w:b w:val="0"/>
                <w:color w:val="auto"/>
                <w:sz w:val="21"/>
                <w:szCs w:val="21"/>
              </w:rPr>
              <w:t>□</w:t>
            </w:r>
          </w:p>
        </w:tc>
      </w:tr>
      <w:tr w:rsidR="002A5A5E" w:rsidRPr="00FC1444">
        <w:trPr>
          <w:jc w:val="center"/>
        </w:trPr>
        <w:tc>
          <w:tcPr>
            <w:tcW w:w="891" w:type="dxa"/>
            <w:vMerge/>
            <w:vAlign w:val="center"/>
          </w:tcPr>
          <w:p w:rsidR="002A5A5E" w:rsidRPr="00FC1444" w:rsidRDefault="002A5A5E">
            <w:pPr>
              <w:pStyle w:val="23"/>
              <w:spacing w:before="0" w:line="240" w:lineRule="auto"/>
              <w:ind w:left="0" w:firstLineChars="0" w:firstLine="0"/>
              <w:jc w:val="center"/>
              <w:rPr>
                <w:rFonts w:eastAsiaTheme="minorEastAsia"/>
                <w:b w:val="0"/>
                <w:color w:val="auto"/>
                <w:sz w:val="21"/>
                <w:szCs w:val="21"/>
              </w:rPr>
            </w:pPr>
          </w:p>
        </w:tc>
        <w:tc>
          <w:tcPr>
            <w:tcW w:w="1275" w:type="dxa"/>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厂界噪声贡献值</w:t>
            </w:r>
          </w:p>
        </w:tc>
        <w:tc>
          <w:tcPr>
            <w:tcW w:w="6237" w:type="dxa"/>
            <w:gridSpan w:val="7"/>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达标</w:t>
            </w:r>
            <w:r w:rsidRPr="00FC1444">
              <w:rPr>
                <w:rFonts w:eastAsiaTheme="minorEastAsia"/>
                <w:b w:val="0"/>
                <w:color w:val="auto"/>
                <w:sz w:val="21"/>
                <w:szCs w:val="21"/>
              </w:rPr>
              <w:t xml:space="preserve">√  </w:t>
            </w:r>
            <w:r w:rsidRPr="00FC1444">
              <w:rPr>
                <w:rFonts w:eastAsiaTheme="minorEastAsia"/>
                <w:b w:val="0"/>
                <w:color w:val="auto"/>
                <w:sz w:val="21"/>
                <w:szCs w:val="21"/>
              </w:rPr>
              <w:t>不达标</w:t>
            </w:r>
            <w:r w:rsidRPr="00FC1444">
              <w:rPr>
                <w:rFonts w:eastAsiaTheme="minorEastAsia"/>
                <w:b w:val="0"/>
                <w:color w:val="auto"/>
                <w:sz w:val="21"/>
                <w:szCs w:val="21"/>
              </w:rPr>
              <w:t>□</w:t>
            </w:r>
          </w:p>
        </w:tc>
      </w:tr>
      <w:tr w:rsidR="002A5A5E" w:rsidRPr="00FC1444">
        <w:trPr>
          <w:jc w:val="center"/>
        </w:trPr>
        <w:tc>
          <w:tcPr>
            <w:tcW w:w="891" w:type="dxa"/>
            <w:vMerge/>
            <w:vAlign w:val="center"/>
          </w:tcPr>
          <w:p w:rsidR="002A5A5E" w:rsidRPr="00FC1444" w:rsidRDefault="002A5A5E">
            <w:pPr>
              <w:pStyle w:val="23"/>
              <w:spacing w:before="0" w:line="240" w:lineRule="auto"/>
              <w:ind w:left="0" w:firstLineChars="0" w:firstLine="0"/>
              <w:jc w:val="center"/>
              <w:rPr>
                <w:rFonts w:eastAsiaTheme="minorEastAsia"/>
                <w:b w:val="0"/>
                <w:color w:val="auto"/>
                <w:sz w:val="21"/>
                <w:szCs w:val="21"/>
              </w:rPr>
            </w:pPr>
          </w:p>
        </w:tc>
        <w:tc>
          <w:tcPr>
            <w:tcW w:w="1275" w:type="dxa"/>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声环境保护目标处噪声值</w:t>
            </w:r>
          </w:p>
        </w:tc>
        <w:tc>
          <w:tcPr>
            <w:tcW w:w="6237" w:type="dxa"/>
            <w:gridSpan w:val="7"/>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达标</w:t>
            </w:r>
            <w:r w:rsidRPr="00FC1444">
              <w:rPr>
                <w:rFonts w:eastAsiaTheme="minorEastAsia"/>
                <w:b w:val="0"/>
                <w:color w:val="auto"/>
                <w:sz w:val="21"/>
                <w:szCs w:val="21"/>
              </w:rPr>
              <w:t xml:space="preserve">√  </w:t>
            </w:r>
            <w:r w:rsidRPr="00FC1444">
              <w:rPr>
                <w:rFonts w:eastAsiaTheme="minorEastAsia"/>
                <w:b w:val="0"/>
                <w:color w:val="auto"/>
                <w:sz w:val="21"/>
                <w:szCs w:val="21"/>
              </w:rPr>
              <w:t>不达标</w:t>
            </w:r>
            <w:r w:rsidRPr="00FC1444">
              <w:rPr>
                <w:rFonts w:eastAsiaTheme="minorEastAsia"/>
                <w:b w:val="0"/>
                <w:color w:val="auto"/>
                <w:sz w:val="21"/>
                <w:szCs w:val="21"/>
              </w:rPr>
              <w:t>□</w:t>
            </w:r>
          </w:p>
        </w:tc>
      </w:tr>
      <w:tr w:rsidR="002A5A5E" w:rsidRPr="00FC1444">
        <w:trPr>
          <w:jc w:val="center"/>
        </w:trPr>
        <w:tc>
          <w:tcPr>
            <w:tcW w:w="891" w:type="dxa"/>
            <w:vMerge w:val="restart"/>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环境监测计划</w:t>
            </w:r>
          </w:p>
        </w:tc>
        <w:tc>
          <w:tcPr>
            <w:tcW w:w="1275" w:type="dxa"/>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排放监测</w:t>
            </w:r>
          </w:p>
        </w:tc>
        <w:tc>
          <w:tcPr>
            <w:tcW w:w="6237" w:type="dxa"/>
            <w:gridSpan w:val="7"/>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厂界监测</w:t>
            </w:r>
            <w:r w:rsidRPr="00FC1444">
              <w:rPr>
                <w:rFonts w:eastAsiaTheme="minorEastAsia"/>
                <w:b w:val="0"/>
                <w:color w:val="auto"/>
                <w:sz w:val="21"/>
                <w:szCs w:val="21"/>
              </w:rPr>
              <w:t xml:space="preserve">√ </w:t>
            </w:r>
            <w:r w:rsidRPr="00FC1444">
              <w:rPr>
                <w:rFonts w:eastAsiaTheme="minorEastAsia"/>
                <w:b w:val="0"/>
                <w:color w:val="auto"/>
                <w:sz w:val="21"/>
                <w:szCs w:val="21"/>
              </w:rPr>
              <w:t>固定位置监测</w:t>
            </w:r>
            <w:r w:rsidRPr="00FC1444">
              <w:rPr>
                <w:rFonts w:eastAsiaTheme="minorEastAsia"/>
                <w:b w:val="0"/>
                <w:color w:val="auto"/>
                <w:sz w:val="21"/>
                <w:szCs w:val="21"/>
              </w:rPr>
              <w:t xml:space="preserve">□  </w:t>
            </w:r>
            <w:r w:rsidRPr="00FC1444">
              <w:rPr>
                <w:rFonts w:eastAsiaTheme="minorEastAsia"/>
                <w:b w:val="0"/>
                <w:color w:val="auto"/>
                <w:sz w:val="21"/>
                <w:szCs w:val="21"/>
              </w:rPr>
              <w:t>自动监测</w:t>
            </w:r>
            <w:r w:rsidRPr="00FC1444">
              <w:rPr>
                <w:rFonts w:eastAsiaTheme="minorEastAsia"/>
                <w:b w:val="0"/>
                <w:color w:val="auto"/>
                <w:sz w:val="21"/>
                <w:szCs w:val="21"/>
              </w:rPr>
              <w:t xml:space="preserve">□ </w:t>
            </w:r>
            <w:r w:rsidRPr="00FC1444">
              <w:rPr>
                <w:rFonts w:eastAsiaTheme="minorEastAsia"/>
                <w:b w:val="0"/>
                <w:color w:val="auto"/>
                <w:sz w:val="21"/>
                <w:szCs w:val="21"/>
              </w:rPr>
              <w:t>手动监测</w:t>
            </w:r>
            <w:r w:rsidRPr="00FC1444">
              <w:rPr>
                <w:rFonts w:eastAsiaTheme="minorEastAsia"/>
                <w:b w:val="0"/>
                <w:color w:val="auto"/>
                <w:sz w:val="21"/>
                <w:szCs w:val="21"/>
              </w:rPr>
              <w:t xml:space="preserve">√  </w:t>
            </w:r>
            <w:r w:rsidRPr="00FC1444">
              <w:rPr>
                <w:rFonts w:eastAsiaTheme="minorEastAsia"/>
                <w:b w:val="0"/>
                <w:color w:val="auto"/>
                <w:sz w:val="21"/>
                <w:szCs w:val="21"/>
              </w:rPr>
              <w:t>无监测</w:t>
            </w:r>
            <w:r w:rsidRPr="00FC1444">
              <w:rPr>
                <w:rFonts w:eastAsiaTheme="minorEastAsia"/>
                <w:b w:val="0"/>
                <w:color w:val="auto"/>
                <w:sz w:val="21"/>
                <w:szCs w:val="21"/>
              </w:rPr>
              <w:t>□</w:t>
            </w:r>
          </w:p>
        </w:tc>
      </w:tr>
      <w:tr w:rsidR="002A5A5E" w:rsidRPr="00FC1444">
        <w:trPr>
          <w:jc w:val="center"/>
        </w:trPr>
        <w:tc>
          <w:tcPr>
            <w:tcW w:w="891" w:type="dxa"/>
            <w:vMerge/>
            <w:vAlign w:val="center"/>
          </w:tcPr>
          <w:p w:rsidR="002A5A5E" w:rsidRPr="00FC1444" w:rsidRDefault="002A5A5E">
            <w:pPr>
              <w:pStyle w:val="23"/>
              <w:spacing w:before="0" w:line="240" w:lineRule="auto"/>
              <w:ind w:left="0" w:firstLineChars="0" w:firstLine="0"/>
              <w:jc w:val="center"/>
              <w:rPr>
                <w:rFonts w:eastAsiaTheme="minorEastAsia"/>
                <w:b w:val="0"/>
                <w:color w:val="auto"/>
                <w:sz w:val="21"/>
                <w:szCs w:val="21"/>
              </w:rPr>
            </w:pPr>
          </w:p>
        </w:tc>
        <w:tc>
          <w:tcPr>
            <w:tcW w:w="1275" w:type="dxa"/>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声环境保护目标处噪声监测</w:t>
            </w:r>
          </w:p>
        </w:tc>
        <w:tc>
          <w:tcPr>
            <w:tcW w:w="2835" w:type="dxa"/>
            <w:gridSpan w:val="3"/>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监测因子：（等效</w:t>
            </w:r>
            <w:r w:rsidRPr="00FC1444">
              <w:rPr>
                <w:rFonts w:eastAsiaTheme="minorEastAsia"/>
                <w:b w:val="0"/>
                <w:color w:val="auto"/>
                <w:sz w:val="21"/>
                <w:szCs w:val="21"/>
              </w:rPr>
              <w:t>A</w:t>
            </w:r>
            <w:r w:rsidRPr="00FC1444">
              <w:rPr>
                <w:rFonts w:eastAsiaTheme="minorEastAsia"/>
                <w:b w:val="0"/>
                <w:color w:val="auto"/>
                <w:sz w:val="21"/>
                <w:szCs w:val="21"/>
              </w:rPr>
              <w:t>声级）</w:t>
            </w:r>
          </w:p>
        </w:tc>
        <w:tc>
          <w:tcPr>
            <w:tcW w:w="2127" w:type="dxa"/>
            <w:gridSpan w:val="3"/>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监测点位数（</w:t>
            </w:r>
            <w:r w:rsidRPr="00FC1444">
              <w:rPr>
                <w:rFonts w:eastAsiaTheme="minorEastAsia"/>
                <w:b w:val="0"/>
                <w:color w:val="auto"/>
                <w:sz w:val="21"/>
                <w:szCs w:val="21"/>
              </w:rPr>
              <w:t>5</w:t>
            </w:r>
            <w:r w:rsidRPr="00FC1444">
              <w:rPr>
                <w:rFonts w:eastAsiaTheme="minorEastAsia"/>
                <w:b w:val="0"/>
                <w:color w:val="auto"/>
                <w:sz w:val="21"/>
                <w:szCs w:val="21"/>
              </w:rPr>
              <w:t>）</w:t>
            </w:r>
          </w:p>
        </w:tc>
        <w:tc>
          <w:tcPr>
            <w:tcW w:w="1275" w:type="dxa"/>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无监测</w:t>
            </w:r>
            <w:r w:rsidRPr="00FC1444">
              <w:rPr>
                <w:rFonts w:eastAsiaTheme="minorEastAsia"/>
                <w:b w:val="0"/>
                <w:color w:val="auto"/>
                <w:sz w:val="21"/>
                <w:szCs w:val="21"/>
              </w:rPr>
              <w:t>□</w:t>
            </w:r>
          </w:p>
        </w:tc>
      </w:tr>
      <w:tr w:rsidR="002A5A5E" w:rsidRPr="00FC1444">
        <w:trPr>
          <w:jc w:val="center"/>
        </w:trPr>
        <w:tc>
          <w:tcPr>
            <w:tcW w:w="891" w:type="dxa"/>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评价</w:t>
            </w:r>
          </w:p>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结论</w:t>
            </w:r>
          </w:p>
        </w:tc>
        <w:tc>
          <w:tcPr>
            <w:tcW w:w="1275" w:type="dxa"/>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环境影响</w:t>
            </w:r>
          </w:p>
        </w:tc>
        <w:tc>
          <w:tcPr>
            <w:tcW w:w="6237" w:type="dxa"/>
            <w:gridSpan w:val="7"/>
            <w:vAlign w:val="center"/>
          </w:tcPr>
          <w:p w:rsidR="002A5A5E" w:rsidRPr="00FC144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可行</w:t>
            </w:r>
            <w:r w:rsidRPr="00FC1444">
              <w:rPr>
                <w:rFonts w:eastAsiaTheme="minorEastAsia"/>
                <w:b w:val="0"/>
                <w:color w:val="auto"/>
                <w:sz w:val="21"/>
                <w:szCs w:val="21"/>
              </w:rPr>
              <w:t xml:space="preserve">√ </w:t>
            </w:r>
            <w:r w:rsidRPr="00FC1444">
              <w:rPr>
                <w:rFonts w:eastAsiaTheme="minorEastAsia"/>
                <w:b w:val="0"/>
                <w:color w:val="auto"/>
                <w:sz w:val="21"/>
                <w:szCs w:val="21"/>
              </w:rPr>
              <w:t>不可行</w:t>
            </w:r>
            <w:r w:rsidRPr="00FC1444">
              <w:rPr>
                <w:rFonts w:eastAsiaTheme="minorEastAsia"/>
                <w:b w:val="0"/>
                <w:color w:val="auto"/>
                <w:sz w:val="21"/>
                <w:szCs w:val="21"/>
              </w:rPr>
              <w:t>□</w:t>
            </w:r>
          </w:p>
        </w:tc>
      </w:tr>
      <w:tr w:rsidR="002A5A5E" w:rsidRPr="008B71D4">
        <w:trPr>
          <w:jc w:val="center"/>
        </w:trPr>
        <w:tc>
          <w:tcPr>
            <w:tcW w:w="8403" w:type="dxa"/>
            <w:gridSpan w:val="9"/>
            <w:vAlign w:val="center"/>
          </w:tcPr>
          <w:p w:rsidR="002A5A5E" w:rsidRPr="008B71D4" w:rsidRDefault="00611CBA">
            <w:pPr>
              <w:pStyle w:val="23"/>
              <w:spacing w:before="0" w:line="240" w:lineRule="auto"/>
              <w:ind w:left="0" w:firstLineChars="0" w:firstLine="0"/>
              <w:jc w:val="center"/>
              <w:rPr>
                <w:rFonts w:eastAsiaTheme="minorEastAsia"/>
                <w:b w:val="0"/>
                <w:color w:val="auto"/>
                <w:sz w:val="21"/>
                <w:szCs w:val="21"/>
              </w:rPr>
            </w:pPr>
            <w:r w:rsidRPr="00FC1444">
              <w:rPr>
                <w:rFonts w:eastAsiaTheme="minorEastAsia"/>
                <w:b w:val="0"/>
                <w:color w:val="auto"/>
                <w:sz w:val="21"/>
                <w:szCs w:val="21"/>
              </w:rPr>
              <w:t>注：</w:t>
            </w:r>
            <w:r w:rsidRPr="00FC1444">
              <w:rPr>
                <w:rFonts w:eastAsiaTheme="minorEastAsia"/>
                <w:b w:val="0"/>
                <w:color w:val="auto"/>
                <w:sz w:val="21"/>
                <w:szCs w:val="21"/>
              </w:rPr>
              <w:t xml:space="preserve">“□” </w:t>
            </w:r>
            <w:r w:rsidRPr="00FC1444">
              <w:rPr>
                <w:rFonts w:eastAsiaTheme="minorEastAsia"/>
                <w:b w:val="0"/>
                <w:color w:val="auto"/>
                <w:sz w:val="21"/>
                <w:szCs w:val="21"/>
              </w:rPr>
              <w:t>为勾选项</w:t>
            </w:r>
            <w:r w:rsidRPr="00FC1444">
              <w:rPr>
                <w:rFonts w:eastAsiaTheme="minorEastAsia"/>
                <w:b w:val="0"/>
                <w:color w:val="auto"/>
                <w:sz w:val="21"/>
                <w:szCs w:val="21"/>
              </w:rPr>
              <w:t xml:space="preserve"> </w:t>
            </w:r>
            <w:r w:rsidRPr="00FC1444">
              <w:rPr>
                <w:rFonts w:eastAsiaTheme="minorEastAsia"/>
                <w:b w:val="0"/>
                <w:color w:val="auto"/>
                <w:sz w:val="21"/>
                <w:szCs w:val="21"/>
              </w:rPr>
              <w:t>，可</w:t>
            </w:r>
            <w:r w:rsidRPr="00FC1444">
              <w:rPr>
                <w:rFonts w:eastAsiaTheme="minorEastAsia"/>
                <w:b w:val="0"/>
                <w:color w:val="auto"/>
                <w:sz w:val="21"/>
                <w:szCs w:val="21"/>
              </w:rPr>
              <w:t xml:space="preserve">√ </w:t>
            </w:r>
            <w:r w:rsidRPr="00FC1444">
              <w:rPr>
                <w:rFonts w:eastAsiaTheme="minorEastAsia"/>
                <w:b w:val="0"/>
                <w:color w:val="auto"/>
                <w:sz w:val="21"/>
                <w:szCs w:val="21"/>
              </w:rPr>
              <w:t>；</w:t>
            </w:r>
            <w:r w:rsidRPr="00FC1444">
              <w:rPr>
                <w:rFonts w:eastAsiaTheme="minorEastAsia"/>
                <w:b w:val="0"/>
                <w:color w:val="auto"/>
                <w:sz w:val="21"/>
                <w:szCs w:val="21"/>
              </w:rPr>
              <w:t>“</w:t>
            </w:r>
            <w:r w:rsidRPr="00FC1444">
              <w:rPr>
                <w:rFonts w:eastAsiaTheme="minorEastAsia"/>
                <w:b w:val="0"/>
                <w:color w:val="auto"/>
                <w:sz w:val="21"/>
                <w:szCs w:val="21"/>
              </w:rPr>
              <w:t>（</w:t>
            </w:r>
            <w:r w:rsidRPr="00FC1444">
              <w:rPr>
                <w:rFonts w:eastAsiaTheme="minorEastAsia"/>
                <w:b w:val="0"/>
                <w:color w:val="auto"/>
                <w:sz w:val="21"/>
                <w:szCs w:val="21"/>
              </w:rPr>
              <w:t xml:space="preserve"> </w:t>
            </w:r>
            <w:r w:rsidRPr="00FC1444">
              <w:rPr>
                <w:rFonts w:eastAsiaTheme="minorEastAsia"/>
                <w:b w:val="0"/>
                <w:color w:val="auto"/>
                <w:sz w:val="21"/>
                <w:szCs w:val="21"/>
              </w:rPr>
              <w:t>）</w:t>
            </w:r>
            <w:r w:rsidRPr="00FC1444">
              <w:rPr>
                <w:rFonts w:eastAsiaTheme="minorEastAsia"/>
                <w:b w:val="0"/>
                <w:color w:val="auto"/>
                <w:sz w:val="21"/>
                <w:szCs w:val="21"/>
              </w:rPr>
              <w:t xml:space="preserve">” </w:t>
            </w:r>
            <w:r w:rsidRPr="00FC1444">
              <w:rPr>
                <w:rFonts w:eastAsiaTheme="minorEastAsia"/>
                <w:b w:val="0"/>
                <w:color w:val="auto"/>
                <w:sz w:val="21"/>
                <w:szCs w:val="21"/>
              </w:rPr>
              <w:t>为内容填写项。</w:t>
            </w:r>
          </w:p>
        </w:tc>
      </w:tr>
    </w:tbl>
    <w:p w:rsidR="002A5A5E" w:rsidRPr="008B71D4" w:rsidRDefault="002A5A5E">
      <w:pPr>
        <w:pStyle w:val="23"/>
        <w:ind w:firstLineChars="176" w:firstLine="424"/>
        <w:rPr>
          <w:rFonts w:eastAsiaTheme="minorEastAsia"/>
          <w:color w:val="auto"/>
        </w:rPr>
      </w:pPr>
    </w:p>
    <w:p w:rsidR="002A5A5E" w:rsidRPr="008B71D4" w:rsidRDefault="002A5A5E">
      <w:pPr>
        <w:spacing w:after="316" w:line="1" w:lineRule="exact"/>
        <w:rPr>
          <w:rFonts w:eastAsiaTheme="minorEastAsia"/>
        </w:rPr>
      </w:pPr>
    </w:p>
    <w:p w:rsidR="002A5A5E" w:rsidRPr="008B71D4" w:rsidRDefault="002A5A5E">
      <w:pPr>
        <w:spacing w:after="316" w:line="1" w:lineRule="exact"/>
        <w:rPr>
          <w:rFonts w:eastAsiaTheme="minorEastAsia"/>
        </w:rPr>
      </w:pPr>
    </w:p>
    <w:p w:rsidR="002A5A5E" w:rsidRPr="008B71D4" w:rsidRDefault="002A5A5E">
      <w:pPr>
        <w:spacing w:after="316" w:line="1" w:lineRule="exact"/>
        <w:rPr>
          <w:rFonts w:eastAsiaTheme="minorEastAsia"/>
        </w:rPr>
      </w:pPr>
    </w:p>
    <w:p w:rsidR="002A5A5E" w:rsidRPr="008B71D4" w:rsidRDefault="002A5A5E">
      <w:pPr>
        <w:spacing w:line="360" w:lineRule="auto"/>
        <w:ind w:firstLineChars="200" w:firstLine="480"/>
        <w:rPr>
          <w:rFonts w:eastAsiaTheme="minorEastAsia"/>
          <w:kern w:val="18"/>
          <w:sz w:val="24"/>
          <w:szCs w:val="21"/>
        </w:rPr>
      </w:pPr>
    </w:p>
    <w:p w:rsidR="002A5A5E" w:rsidRPr="008B71D4" w:rsidRDefault="002A5A5E">
      <w:pPr>
        <w:spacing w:line="360" w:lineRule="auto"/>
        <w:ind w:firstLineChars="200" w:firstLine="480"/>
        <w:rPr>
          <w:rFonts w:eastAsiaTheme="minorEastAsia"/>
          <w:kern w:val="18"/>
          <w:sz w:val="24"/>
          <w:szCs w:val="21"/>
        </w:rPr>
      </w:pPr>
    </w:p>
    <w:p w:rsidR="002A5A5E" w:rsidRPr="008B71D4" w:rsidRDefault="002A5A5E">
      <w:pPr>
        <w:spacing w:line="360" w:lineRule="auto"/>
        <w:ind w:firstLineChars="200" w:firstLine="480"/>
        <w:rPr>
          <w:rFonts w:eastAsiaTheme="minorEastAsia"/>
          <w:kern w:val="18"/>
          <w:sz w:val="24"/>
          <w:szCs w:val="21"/>
        </w:rPr>
      </w:pPr>
    </w:p>
    <w:p w:rsidR="00E9283F" w:rsidRPr="008B71D4" w:rsidRDefault="00E9283F">
      <w:pPr>
        <w:spacing w:line="360" w:lineRule="auto"/>
        <w:ind w:firstLineChars="200" w:firstLine="480"/>
        <w:rPr>
          <w:rFonts w:eastAsiaTheme="minorEastAsia"/>
          <w:kern w:val="18"/>
          <w:sz w:val="24"/>
          <w:szCs w:val="21"/>
        </w:rPr>
      </w:pPr>
    </w:p>
    <w:sectPr w:rsidR="00E9283F" w:rsidRPr="008B71D4" w:rsidSect="002A5A5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2D07" w:rsidRDefault="00082D07" w:rsidP="002A5A5E">
      <w:r>
        <w:separator/>
      </w:r>
    </w:p>
  </w:endnote>
  <w:endnote w:type="continuationSeparator" w:id="1">
    <w:p w:rsidR="00082D07" w:rsidRDefault="00082D07" w:rsidP="002A5A5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angSong_GB2312">
    <w:altName w:val="仿宋_GB2312"/>
    <w:panose1 w:val="02010609060101010101"/>
    <w:charset w:val="00"/>
    <w:family w:val="roman"/>
    <w:pitch w:val="default"/>
    <w:sig w:usb0="00000000" w:usb1="00000000" w:usb2="00000000" w:usb3="00000000" w:csb0="00000000"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charset w:val="00"/>
    <w:family w:val="roman"/>
    <w:pitch w:val="default"/>
    <w:sig w:usb0="00000000" w:usb1="00000000" w:usb2="00000000" w:usb3="00000000" w:csb0="00040001" w:csb1="00000000"/>
  </w:font>
  <w:font w:name="昆仑仿宋">
    <w:altName w:val="宋体"/>
    <w:charset w:val="86"/>
    <w:family w:val="modern"/>
    <w:pitch w:val="default"/>
    <w:sig w:usb0="00000000" w:usb1="00000000" w:usb2="00000010" w:usb3="00000000" w:csb0="00040000" w:csb1="00000000"/>
  </w:font>
  <w:font w:name="幼圆">
    <w:panose1 w:val="02010509060101010101"/>
    <w:charset w:val="86"/>
    <w:family w:val="modern"/>
    <w:pitch w:val="fixed"/>
    <w:sig w:usb0="00000001" w:usb1="080E0000" w:usb2="00000010" w:usb3="00000000" w:csb0="00040000" w:csb1="00000000"/>
  </w:font>
  <w:font w:name="MingLiU">
    <w:altName w:val="細明體"/>
    <w:panose1 w:val="02010609000101010101"/>
    <w:charset w:val="88"/>
    <w:family w:val="modern"/>
    <w:notTrueType/>
    <w:pitch w:val="fixed"/>
    <w:sig w:usb0="00000001" w:usb1="08080000" w:usb2="00000010" w:usb3="00000000" w:csb0="00100000" w:csb1="00000000"/>
  </w:font>
  <w:font w:name="Arial Black">
    <w:panose1 w:val="020B0A04020102020204"/>
    <w:charset w:val="00"/>
    <w:family w:val="swiss"/>
    <w:pitch w:val="variable"/>
    <w:sig w:usb0="A00002AF" w:usb1="400078FB" w:usb2="00000000" w:usb3="00000000" w:csb0="0000009F" w:csb1="00000000"/>
  </w:font>
  <w:font w:name="Financial  (MF)">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仿宋体">
    <w:altName w:val="宋体"/>
    <w:charset w:val="86"/>
    <w:family w:val="roma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MS Shell Dlg">
    <w:altName w:val="Microsoft Sans Serif"/>
    <w:panose1 w:val="020B0604020202020204"/>
    <w:charset w:val="00"/>
    <w:family w:val="swiss"/>
    <w:pitch w:val="default"/>
    <w:sig w:usb0="00000000" w:usb1="00000000" w:usb2="00000029" w:usb3="00000000" w:csb0="000101FF" w:csb1="00000000"/>
  </w:font>
  <w:font w:name="汉鼎简书宋">
    <w:altName w:val="宋体"/>
    <w:charset w:val="86"/>
    <w:family w:val="modern"/>
    <w:pitch w:val="default"/>
    <w:sig w:usb0="00000000" w:usb1="00000000" w:usb2="00000010" w:usb3="00000000" w:csb0="00040000" w:csb1="00000000"/>
  </w:font>
  <w:font w:name="TimesNewRomanPS-ItalicMT">
    <w:altName w:val="Times New Roman"/>
    <w:charset w:val="00"/>
    <w:family w:val="roman"/>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SymbolMT">
    <w:altName w:val="Yu Gothic"/>
    <w:charset w:val="80"/>
    <w:family w:val="auto"/>
    <w:pitch w:val="default"/>
    <w:sig w:usb0="00000000" w:usb1="00000000" w:usb2="00000010" w:usb3="00000000" w:csb0="0002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瀹嬩綋">
    <w:altName w:val="宋体"/>
    <w:charset w:val="86"/>
    <w:family w:val="roman"/>
    <w:pitch w:val="default"/>
    <w:sig w:usb0="00000000" w:usb1="00000000" w:usb2="00000010" w:usb3="00000000" w:csb0="00040000" w:csb1="00000000"/>
  </w:font>
  <w:font w:name="MS Mincho">
    <w:altName w:val="ＭＳ 明朝"/>
    <w:panose1 w:val="02020609040205080304"/>
    <w:charset w:val="80"/>
    <w:family w:val="modern"/>
    <w:pitch w:val="fixed"/>
    <w:sig w:usb0="A00002BF" w:usb1="68C7FCFB" w:usb2="00000010" w:usb3="00000000" w:csb0="0002009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087410"/>
    </w:sdtPr>
    <w:sdtContent>
      <w:p w:rsidR="006F5CC4" w:rsidRDefault="009840DD">
        <w:pPr>
          <w:pStyle w:val="af2"/>
          <w:jc w:val="center"/>
        </w:pPr>
        <w:r w:rsidRPr="009840DD">
          <w:fldChar w:fldCharType="begin"/>
        </w:r>
        <w:r w:rsidR="006F5CC4">
          <w:instrText xml:space="preserve"> PAGE   \* MERGEFORMAT </w:instrText>
        </w:r>
        <w:r w:rsidRPr="009840DD">
          <w:fldChar w:fldCharType="separate"/>
        </w:r>
        <w:r w:rsidR="00FC1444" w:rsidRPr="00FC1444">
          <w:rPr>
            <w:noProof/>
            <w:lang w:val="zh-CN"/>
          </w:rPr>
          <w:t>I</w:t>
        </w:r>
        <w:r>
          <w:rPr>
            <w:lang w:val="zh-CN"/>
          </w:rPr>
          <w:fldChar w:fldCharType="end"/>
        </w:r>
      </w:p>
    </w:sdtContent>
  </w:sdt>
  <w:p w:rsidR="006F5CC4" w:rsidRDefault="006F5CC4">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41798"/>
      <w:docPartObj>
        <w:docPartGallery w:val="Page Numbers (Bottom of Page)"/>
        <w:docPartUnique/>
      </w:docPartObj>
    </w:sdtPr>
    <w:sdtContent>
      <w:p w:rsidR="006F5CC4" w:rsidRDefault="009840DD">
        <w:pPr>
          <w:pStyle w:val="af2"/>
          <w:jc w:val="center"/>
        </w:pPr>
        <w:fldSimple w:instr=" PAGE   \* MERGEFORMAT ">
          <w:r w:rsidR="00FC1444" w:rsidRPr="00FC1444">
            <w:rPr>
              <w:noProof/>
              <w:lang w:val="zh-CN"/>
            </w:rPr>
            <w:t>260</w:t>
          </w:r>
        </w:fldSimple>
      </w:p>
    </w:sdtContent>
  </w:sdt>
  <w:p w:rsidR="006F5CC4" w:rsidRDefault="006F5CC4">
    <w:pPr>
      <w:pStyle w:val="af2"/>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C4" w:rsidRDefault="006F5CC4">
    <w:pPr>
      <w:pStyle w:val="af2"/>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C4" w:rsidRDefault="009840DD">
    <w:pPr>
      <w:pStyle w:val="af2"/>
      <w:ind w:firstLine="360"/>
      <w:jc w:val="center"/>
    </w:pPr>
    <w:r w:rsidRPr="009840DD">
      <w:fldChar w:fldCharType="begin"/>
    </w:r>
    <w:r w:rsidR="006F5CC4">
      <w:instrText>PAGE   \* MERGEFORMAT</w:instrText>
    </w:r>
    <w:r w:rsidRPr="009840DD">
      <w:fldChar w:fldCharType="separate"/>
    </w:r>
    <w:r w:rsidR="00FC1444" w:rsidRPr="00FC1444">
      <w:rPr>
        <w:noProof/>
        <w:lang w:val="zh-CN"/>
      </w:rPr>
      <w:t>280</w:t>
    </w:r>
    <w:r>
      <w:rPr>
        <w:lang w:val="zh-CN"/>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C4" w:rsidRDefault="006F5CC4">
    <w:pPr>
      <w:pStyle w:val="af2"/>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2D07" w:rsidRDefault="00082D07" w:rsidP="002A5A5E">
      <w:r>
        <w:separator/>
      </w:r>
    </w:p>
  </w:footnote>
  <w:footnote w:type="continuationSeparator" w:id="1">
    <w:p w:rsidR="00082D07" w:rsidRDefault="00082D07" w:rsidP="002A5A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C4" w:rsidRDefault="00FB1AF3">
    <w:pPr>
      <w:pBdr>
        <w:bottom w:val="single" w:sz="4" w:space="0" w:color="auto"/>
      </w:pBdr>
      <w:jc w:val="center"/>
      <w:outlineLvl w:val="0"/>
      <w:rPr>
        <w:rFonts w:ascii="黑体" w:eastAsia="黑体" w:hAnsi="宋体"/>
        <w:sz w:val="18"/>
        <w:szCs w:val="18"/>
      </w:rPr>
    </w:pPr>
    <w:r>
      <w:rPr>
        <w:rFonts w:ascii="黑体" w:eastAsia="黑体" w:hAnsi="宋体" w:hint="eastAsia"/>
        <w:sz w:val="18"/>
        <w:szCs w:val="18"/>
      </w:rPr>
      <w:t xml:space="preserve"> </w:t>
    </w:r>
    <w:r w:rsidR="006F5CC4">
      <w:rPr>
        <w:rFonts w:ascii="黑体" w:eastAsia="黑体" w:hAnsi="宋体" w:hint="eastAsia"/>
        <w:sz w:val="18"/>
        <w:szCs w:val="18"/>
      </w:rPr>
      <w:t>北林区2026年高标准农田建设项目生态环境影响报告书</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C4" w:rsidRDefault="006F5CC4">
    <w:pPr>
      <w:pStyle w:val="af3"/>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C4" w:rsidRDefault="006F5CC4">
    <w:pPr>
      <w:pBdr>
        <w:bottom w:val="single" w:sz="4" w:space="0" w:color="auto"/>
      </w:pBdr>
      <w:jc w:val="center"/>
      <w:outlineLvl w:val="0"/>
      <w:rPr>
        <w:rFonts w:ascii="黑体" w:eastAsia="黑体" w:hAnsi="宋体"/>
        <w:sz w:val="18"/>
        <w:szCs w:val="18"/>
      </w:rPr>
    </w:pPr>
    <w:r>
      <w:rPr>
        <w:rFonts w:ascii="黑体" w:eastAsia="黑体" w:hAnsi="宋体" w:hint="eastAsia"/>
        <w:sz w:val="18"/>
        <w:szCs w:val="18"/>
      </w:rPr>
      <w:t>北林区2026年高标准农田建设项目生态环境影响报告书</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C4" w:rsidRDefault="006F5CC4">
    <w:pPr>
      <w:pStyle w:val="af3"/>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A480E55"/>
    <w:multiLevelType w:val="singleLevel"/>
    <w:tmpl w:val="BA480E55"/>
    <w:lvl w:ilvl="0">
      <w:start w:val="1"/>
      <w:numFmt w:val="bullet"/>
      <w:pStyle w:val="a"/>
      <w:lvlText w:val=""/>
      <w:lvlJc w:val="left"/>
      <w:pPr>
        <w:tabs>
          <w:tab w:val="left" w:pos="360"/>
        </w:tabs>
        <w:ind w:left="360" w:hanging="360"/>
      </w:pPr>
      <w:rPr>
        <w:rFonts w:ascii="Wingdings" w:hAnsi="Wingdings" w:hint="default"/>
      </w:rPr>
    </w:lvl>
  </w:abstractNum>
  <w:abstractNum w:abstractNumId="1">
    <w:nsid w:val="189F5310"/>
    <w:multiLevelType w:val="multilevel"/>
    <w:tmpl w:val="189F5310"/>
    <w:lvl w:ilvl="0">
      <w:start w:val="1"/>
      <w:numFmt w:val="decimal"/>
      <w:suff w:val="space"/>
      <w:lvlText w:val="第%1章"/>
      <w:lvlJc w:val="center"/>
      <w:pPr>
        <w:ind w:left="0" w:firstLine="0"/>
      </w:pPr>
      <w:rPr>
        <w:rFonts w:ascii="Times New Roman" w:eastAsia="黑体" w:hAnsi="Times New Roman" w:hint="default"/>
        <w:b w:val="0"/>
        <w:i w:val="0"/>
        <w:sz w:val="36"/>
      </w:rPr>
    </w:lvl>
    <w:lvl w:ilvl="1">
      <w:start w:val="1"/>
      <w:numFmt w:val="decimal"/>
      <w:suff w:val="space"/>
      <w:lvlText w:val="%1.%2"/>
      <w:lvlJc w:val="left"/>
      <w:pPr>
        <w:ind w:left="0" w:firstLine="0"/>
      </w:pPr>
      <w:rPr>
        <w:rFonts w:ascii="Times New Roman" w:eastAsia="宋体" w:hAnsi="Times New Roman" w:hint="default"/>
        <w:b w:val="0"/>
        <w:i w:val="0"/>
        <w:sz w:val="32"/>
      </w:rPr>
    </w:lvl>
    <w:lvl w:ilvl="2">
      <w:start w:val="1"/>
      <w:numFmt w:val="decimal"/>
      <w:suff w:val="space"/>
      <w:lvlText w:val="%1.%2.%3"/>
      <w:lvlJc w:val="left"/>
      <w:pPr>
        <w:ind w:left="0" w:firstLine="0"/>
      </w:pPr>
      <w:rPr>
        <w:rFonts w:ascii="Times New Roman" w:eastAsia="黑体" w:hAnsi="Times New Roman" w:hint="default"/>
        <w:b w:val="0"/>
        <w:i w:val="0"/>
        <w:sz w:val="30"/>
      </w:rPr>
    </w:lvl>
    <w:lvl w:ilvl="3">
      <w:start w:val="1"/>
      <w:numFmt w:val="decimal"/>
      <w:suff w:val="space"/>
      <w:lvlText w:val="%1.%2.%3.%4"/>
      <w:lvlJc w:val="left"/>
      <w:pPr>
        <w:ind w:left="0" w:firstLine="0"/>
      </w:pPr>
      <w:rPr>
        <w:rFonts w:ascii="Times New Roman" w:eastAsia="黑体" w:hAnsi="Times New Roman" w:hint="default"/>
        <w:b w:val="0"/>
        <w:i w:val="0"/>
        <w:sz w:val="28"/>
      </w:rPr>
    </w:lvl>
    <w:lvl w:ilvl="4">
      <w:start w:val="1"/>
      <w:numFmt w:val="decimal"/>
      <w:suff w:val="nothing"/>
      <w:lvlText w:val="（%5）"/>
      <w:lvlJc w:val="left"/>
      <w:pPr>
        <w:ind w:left="-87" w:firstLine="567"/>
      </w:pPr>
      <w:rPr>
        <w:rFonts w:ascii="Times New Roman" w:eastAsia="宋体" w:hAnsi="Times New Roman" w:hint="default"/>
        <w:b w:val="0"/>
        <w:i w:val="0"/>
        <w:sz w:val="24"/>
      </w:rPr>
    </w:lvl>
    <w:lvl w:ilvl="5">
      <w:start w:val="1"/>
      <w:numFmt w:val="upperLetter"/>
      <w:suff w:val="nothing"/>
      <w:lvlText w:val="%6."/>
      <w:lvlJc w:val="left"/>
      <w:pPr>
        <w:ind w:left="0" w:firstLine="0"/>
      </w:pPr>
      <w:rPr>
        <w:rFonts w:ascii="Times New Roman" w:eastAsia="宋体" w:hAnsi="Times New Roman" w:hint="default"/>
        <w:sz w:val="24"/>
      </w:rPr>
    </w:lvl>
    <w:lvl w:ilvl="6">
      <w:start w:val="1"/>
      <w:numFmt w:val="lowerRoman"/>
      <w:pStyle w:val="7"/>
      <w:suff w:val="space"/>
      <w:lvlText w:val="%7."/>
      <w:lvlJc w:val="left"/>
      <w:pPr>
        <w:ind w:left="0" w:firstLine="567"/>
      </w:pPr>
      <w:rPr>
        <w:rFonts w:ascii="Times New Roman" w:eastAsia="宋体" w:hAnsi="Times New Roman" w:hint="default"/>
        <w:b w:val="0"/>
        <w:i w:val="0"/>
        <w:sz w:val="28"/>
      </w:rPr>
    </w:lvl>
    <w:lvl w:ilvl="7">
      <w:start w:val="1"/>
      <w:numFmt w:val="decimal"/>
      <w:lvlRestart w:val="0"/>
      <w:suff w:val="space"/>
      <w:lvlText w:val="表%8"/>
      <w:lvlJc w:val="center"/>
      <w:pPr>
        <w:ind w:left="0" w:firstLine="288"/>
      </w:pPr>
      <w:rPr>
        <w:rFonts w:ascii="Times New Roman" w:eastAsia="黑体" w:hAnsi="Times New Roman" w:hint="default"/>
        <w:sz w:val="24"/>
      </w:rPr>
    </w:lvl>
    <w:lvl w:ilvl="8">
      <w:start w:val="1"/>
      <w:numFmt w:val="decimal"/>
      <w:lvlRestart w:val="0"/>
      <w:suff w:val="space"/>
      <w:lvlText w:val="图%9"/>
      <w:lvlJc w:val="center"/>
      <w:pPr>
        <w:ind w:left="0" w:firstLine="0"/>
      </w:pPr>
      <w:rPr>
        <w:rFonts w:ascii="Times New Roman" w:eastAsia="黑体" w:hAnsi="Times New Roman" w:hint="default"/>
        <w:b w:val="0"/>
        <w:i w:val="0"/>
        <w:sz w:val="24"/>
      </w:rPr>
    </w:lvl>
  </w:abstractNum>
  <w:abstractNum w:abstractNumId="2">
    <w:nsid w:val="264679D1"/>
    <w:multiLevelType w:val="multilevel"/>
    <w:tmpl w:val="264679D1"/>
    <w:lvl w:ilvl="0">
      <w:start w:val="1"/>
      <w:numFmt w:val="decimal"/>
      <w:suff w:val="space"/>
      <w:lvlText w:val="%1"/>
      <w:lvlJc w:val="left"/>
      <w:pPr>
        <w:ind w:left="0" w:firstLine="0"/>
      </w:pPr>
      <w:rPr>
        <w:rFonts w:ascii="Times New Roman" w:eastAsia="宋体" w:hAnsi="Times New Roman" w:hint="default"/>
        <w:b w:val="0"/>
        <w:i w:val="0"/>
        <w:sz w:val="36"/>
      </w:rPr>
    </w:lvl>
    <w:lvl w:ilvl="1">
      <w:start w:val="1"/>
      <w:numFmt w:val="decimal"/>
      <w:suff w:val="space"/>
      <w:lvlText w:val="%1.%2"/>
      <w:lvlJc w:val="left"/>
      <w:pPr>
        <w:ind w:left="0" w:firstLine="0"/>
      </w:pPr>
      <w:rPr>
        <w:rFonts w:ascii="Times New Roman" w:eastAsia="宋体" w:hAnsi="Times New Roman" w:hint="default"/>
        <w:b w:val="0"/>
        <w:i w:val="0"/>
        <w:sz w:val="32"/>
      </w:rPr>
    </w:lvl>
    <w:lvl w:ilvl="2">
      <w:start w:val="1"/>
      <w:numFmt w:val="decimal"/>
      <w:suff w:val="space"/>
      <w:lvlText w:val="%1.%2.%3"/>
      <w:lvlJc w:val="left"/>
      <w:pPr>
        <w:ind w:left="0" w:firstLine="0"/>
      </w:pPr>
      <w:rPr>
        <w:rFonts w:ascii="Times New Roman" w:eastAsia="黑体" w:hAnsi="Times New Roman" w:hint="default"/>
        <w:b w:val="0"/>
        <w:i w:val="0"/>
        <w:sz w:val="30"/>
      </w:rPr>
    </w:lvl>
    <w:lvl w:ilvl="3">
      <w:start w:val="1"/>
      <w:numFmt w:val="decimal"/>
      <w:suff w:val="space"/>
      <w:lvlText w:val="%1.%2.%3.%4"/>
      <w:lvlJc w:val="left"/>
      <w:pPr>
        <w:ind w:left="0" w:firstLine="0"/>
      </w:pPr>
      <w:rPr>
        <w:rFonts w:ascii="Times New Roman" w:eastAsia="黑体" w:hAnsi="Times New Roman" w:hint="default"/>
        <w:b w:val="0"/>
        <w:i w:val="0"/>
        <w:sz w:val="28"/>
      </w:rPr>
    </w:lvl>
    <w:lvl w:ilvl="4">
      <w:start w:val="1"/>
      <w:numFmt w:val="decimal"/>
      <w:pStyle w:val="5"/>
      <w:suff w:val="nothing"/>
      <w:lvlText w:val="（%5）"/>
      <w:lvlJc w:val="left"/>
      <w:pPr>
        <w:ind w:left="0" w:firstLine="851"/>
      </w:pPr>
      <w:rPr>
        <w:rFonts w:ascii="Times New Roman" w:eastAsia="宋体" w:hAnsi="Times New Roman" w:hint="default"/>
        <w:b w:val="0"/>
        <w:i w:val="0"/>
        <w:sz w:val="24"/>
      </w:rPr>
    </w:lvl>
    <w:lvl w:ilvl="5">
      <w:start w:val="1"/>
      <w:numFmt w:val="upperLetter"/>
      <w:pStyle w:val="6"/>
      <w:suff w:val="nothing"/>
      <w:lvlText w:val="%6."/>
      <w:lvlJc w:val="left"/>
      <w:pPr>
        <w:ind w:left="0" w:firstLine="851"/>
      </w:pPr>
      <w:rPr>
        <w:rFonts w:ascii="Times New Roman" w:eastAsia="宋体" w:hAnsi="Times New Roman" w:hint="default"/>
        <w:sz w:val="30"/>
        <w:szCs w:val="30"/>
      </w:rPr>
    </w:lvl>
    <w:lvl w:ilvl="6">
      <w:start w:val="1"/>
      <w:numFmt w:val="none"/>
      <w:lvlRestart w:val="0"/>
      <w:suff w:val="space"/>
      <w:lvlText w:val=""/>
      <w:lvlJc w:val="left"/>
      <w:pPr>
        <w:ind w:left="0" w:firstLine="567"/>
      </w:pPr>
      <w:rPr>
        <w:rFonts w:ascii="Times New Roman" w:eastAsia="黑体" w:hAnsi="Times New Roman" w:hint="default"/>
        <w:b w:val="0"/>
        <w:i w:val="0"/>
        <w:sz w:val="24"/>
      </w:rPr>
    </w:lvl>
    <w:lvl w:ilvl="7">
      <w:start w:val="1"/>
      <w:numFmt w:val="decimal"/>
      <w:lvlRestart w:val="0"/>
      <w:pStyle w:val="8"/>
      <w:suff w:val="space"/>
      <w:lvlText w:val="表%8"/>
      <w:lvlJc w:val="center"/>
      <w:pPr>
        <w:ind w:left="0" w:firstLine="288"/>
      </w:pPr>
      <w:rPr>
        <w:rFonts w:ascii="Times New Roman" w:eastAsia="黑体" w:hAnsi="Times New Roman" w:hint="default"/>
        <w:sz w:val="24"/>
      </w:rPr>
    </w:lvl>
    <w:lvl w:ilvl="8">
      <w:start w:val="1"/>
      <w:numFmt w:val="decimal"/>
      <w:lvlRestart w:val="0"/>
      <w:pStyle w:val="9"/>
      <w:suff w:val="space"/>
      <w:lvlText w:val="图%9"/>
      <w:lvlJc w:val="center"/>
      <w:pPr>
        <w:ind w:left="0" w:firstLine="0"/>
      </w:pPr>
      <w:rPr>
        <w:rFonts w:ascii="Times New Roman" w:eastAsia="黑体" w:hAnsi="Times New Roman" w:hint="default"/>
        <w:b w:val="0"/>
        <w:i w:val="0"/>
        <w:sz w:val="28"/>
        <w:szCs w:val="28"/>
      </w:rPr>
    </w:lvl>
  </w:abstractNum>
  <w:abstractNum w:abstractNumId="3">
    <w:nsid w:val="2A554106"/>
    <w:multiLevelType w:val="singleLevel"/>
    <w:tmpl w:val="2A554106"/>
    <w:lvl w:ilvl="0">
      <w:start w:val="1"/>
      <w:numFmt w:val="bullet"/>
      <w:pStyle w:val="3025"/>
      <w:lvlText w:val=""/>
      <w:lvlJc w:val="left"/>
      <w:pPr>
        <w:tabs>
          <w:tab w:val="left" w:pos="360"/>
        </w:tabs>
        <w:ind w:left="340" w:hanging="340"/>
      </w:pPr>
      <w:rPr>
        <w:rFonts w:ascii="Wingdings" w:hAnsi="Wingdings" w:hint="default"/>
        <w:sz w:val="21"/>
      </w:rPr>
    </w:lvl>
  </w:abstractNum>
  <w:abstractNum w:abstractNumId="4">
    <w:nsid w:val="2BC15394"/>
    <w:multiLevelType w:val="singleLevel"/>
    <w:tmpl w:val="2BC15394"/>
    <w:lvl w:ilvl="0">
      <w:numFmt w:val="none"/>
      <w:pStyle w:val="textstyle1"/>
      <w:lvlText w:val=""/>
      <w:lvlJc w:val="left"/>
      <w:pPr>
        <w:tabs>
          <w:tab w:val="left" w:pos="0"/>
        </w:tabs>
        <w:ind w:left="0" w:firstLine="0"/>
      </w:pPr>
      <w:rPr>
        <w:rFonts w:ascii="Wingdings" w:hAnsi="Wingdings" w:hint="default"/>
        <w:sz w:val="13"/>
      </w:rPr>
    </w:lvl>
  </w:abstractNum>
  <w:abstractNum w:abstractNumId="5">
    <w:nsid w:val="3991358E"/>
    <w:multiLevelType w:val="multilevel"/>
    <w:tmpl w:val="3991358E"/>
    <w:lvl w:ilvl="0">
      <w:start w:val="1"/>
      <w:numFmt w:val="japaneseCounting"/>
      <w:pStyle w:val="IDCA-Head2ndLine"/>
      <w:lvlText w:val="%1、"/>
      <w:lvlJc w:val="left"/>
      <w:pPr>
        <w:tabs>
          <w:tab w:val="left" w:pos="360"/>
        </w:tabs>
        <w:ind w:left="36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pStyle w:val="a0"/>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nsid w:val="48DB4020"/>
    <w:multiLevelType w:val="singleLevel"/>
    <w:tmpl w:val="48DB4020"/>
    <w:lvl w:ilvl="0">
      <w:start w:val="1"/>
      <w:numFmt w:val="bullet"/>
      <w:pStyle w:val="60"/>
      <w:lvlText w:val=""/>
      <w:lvlJc w:val="left"/>
      <w:pPr>
        <w:tabs>
          <w:tab w:val="left" w:pos="567"/>
        </w:tabs>
        <w:ind w:left="0" w:firstLine="567"/>
      </w:pPr>
      <w:rPr>
        <w:rFonts w:ascii="Symbol" w:hAnsi="Symbol" w:hint="default"/>
      </w:rPr>
    </w:lvl>
  </w:abstractNum>
  <w:abstractNum w:abstractNumId="7">
    <w:nsid w:val="4A141456"/>
    <w:multiLevelType w:val="multilevel"/>
    <w:tmpl w:val="4A141456"/>
    <w:lvl w:ilvl="0">
      <w:start w:val="1"/>
      <w:numFmt w:val="decimalEnclosedCircle"/>
      <w:lvlText w:val="%1"/>
      <w:lvlJc w:val="left"/>
      <w:pPr>
        <w:ind w:left="840" w:hanging="360"/>
      </w:pPr>
      <w:rPr>
        <w:rFonts w:ascii="宋体" w:hAnsi="宋体" w:cs="宋体"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8">
    <w:nsid w:val="56094615"/>
    <w:multiLevelType w:val="singleLevel"/>
    <w:tmpl w:val="56094615"/>
    <w:lvl w:ilvl="0">
      <w:start w:val="1"/>
      <w:numFmt w:val="bullet"/>
      <w:pStyle w:val="ltext2"/>
      <w:lvlText w:val=""/>
      <w:legacy w:legacy="1" w:legacySpace="0" w:legacyIndent="170"/>
      <w:lvlJc w:val="left"/>
      <w:pPr>
        <w:ind w:left="454" w:hanging="170"/>
      </w:pPr>
      <w:rPr>
        <w:rFonts w:ascii="Symbol" w:hAnsi="Symbol" w:hint="default"/>
      </w:rPr>
    </w:lvl>
  </w:abstractNum>
  <w:abstractNum w:abstractNumId="9">
    <w:nsid w:val="62CD1855"/>
    <w:multiLevelType w:val="multilevel"/>
    <w:tmpl w:val="62CD1855"/>
    <w:lvl w:ilvl="0">
      <w:start w:val="1"/>
      <w:numFmt w:val="decimal"/>
      <w:pStyle w:val="1"/>
      <w:suff w:val="space"/>
      <w:lvlText w:val="第%1章"/>
      <w:lvlJc w:val="center"/>
      <w:pPr>
        <w:ind w:left="0" w:firstLine="288"/>
      </w:pPr>
      <w:rPr>
        <w:rFonts w:ascii="黑体" w:eastAsia="黑体" w:hAnsi="黑体" w:hint="default"/>
        <w:b w:val="0"/>
        <w:i w:val="0"/>
        <w:sz w:val="32"/>
        <w:szCs w:val="32"/>
      </w:rPr>
    </w:lvl>
    <w:lvl w:ilvl="1">
      <w:start w:val="1"/>
      <w:numFmt w:val="decimal"/>
      <w:pStyle w:val="2"/>
      <w:suff w:val="space"/>
      <w:lvlText w:val="%1.%2"/>
      <w:lvlJc w:val="left"/>
      <w:pPr>
        <w:ind w:left="0" w:firstLine="0"/>
      </w:pPr>
      <w:rPr>
        <w:rFonts w:ascii="黑体" w:eastAsia="黑体" w:hAnsi="黑体" w:hint="default"/>
        <w:b w:val="0"/>
        <w:bCs w:val="0"/>
        <w:i w:val="0"/>
        <w:iCs w:val="0"/>
        <w:caps w:val="0"/>
        <w:smallCaps w:val="0"/>
        <w:strike w:val="0"/>
        <w:dstrike w:val="0"/>
        <w:vanish w:val="0"/>
        <w:color w:val="000000"/>
        <w:spacing w:val="0"/>
        <w:position w:val="0"/>
        <w:sz w:val="30"/>
        <w:szCs w:val="30"/>
        <w:u w:val="none"/>
        <w:vertAlign w:val="baseline"/>
      </w:rPr>
    </w:lvl>
    <w:lvl w:ilvl="2">
      <w:start w:val="1"/>
      <w:numFmt w:val="decimal"/>
      <w:pStyle w:val="3"/>
      <w:suff w:val="space"/>
      <w:lvlText w:val="%1.%2.%3"/>
      <w:lvlJc w:val="left"/>
      <w:pPr>
        <w:ind w:left="0" w:firstLine="0"/>
      </w:pPr>
      <w:rPr>
        <w:rFonts w:ascii="黑体" w:eastAsia="黑体" w:hAnsi="黑体" w:hint="default"/>
        <w:b w:val="0"/>
        <w:i w:val="0"/>
        <w:sz w:val="28"/>
        <w:szCs w:val="28"/>
      </w:rPr>
    </w:lvl>
    <w:lvl w:ilvl="3">
      <w:start w:val="1"/>
      <w:numFmt w:val="decimal"/>
      <w:suff w:val="space"/>
      <w:lvlText w:val="%1.%2.%3.%4"/>
      <w:lvlJc w:val="left"/>
      <w:pPr>
        <w:ind w:left="0" w:firstLine="0"/>
      </w:pPr>
      <w:rPr>
        <w:rFonts w:ascii="黑体" w:eastAsia="黑体" w:hAnsi="黑体" w:hint="eastAsia"/>
        <w:b w:val="0"/>
        <w:i w:val="0"/>
        <w:sz w:val="24"/>
      </w:rPr>
    </w:lvl>
    <w:lvl w:ilvl="4">
      <w:start w:val="1"/>
      <w:numFmt w:val="decimal"/>
      <w:lvlRestart w:val="2"/>
      <w:pStyle w:val="61"/>
      <w:suff w:val="space"/>
      <w:lvlText w:val="表%1.%2-%5"/>
      <w:lvlJc w:val="left"/>
      <w:pPr>
        <w:ind w:left="1050" w:firstLine="0"/>
      </w:pPr>
      <w:rPr>
        <w:rFonts w:ascii="黑体" w:eastAsia="黑体" w:hAnsi="黑体" w:hint="eastAsia"/>
        <w:b w:val="0"/>
        <w:i w:val="0"/>
        <w:sz w:val="24"/>
        <w:vertAlign w:val="baseline"/>
      </w:rPr>
    </w:lvl>
    <w:lvl w:ilvl="5">
      <w:start w:val="1"/>
      <w:numFmt w:val="decimal"/>
      <w:lvlRestart w:val="2"/>
      <w:pStyle w:val="80"/>
      <w:suff w:val="space"/>
      <w:lvlText w:val="图%1.%2-%6"/>
      <w:lvlJc w:val="left"/>
      <w:pPr>
        <w:ind w:left="0" w:firstLine="0"/>
      </w:pPr>
      <w:rPr>
        <w:rFonts w:ascii="黑体" w:eastAsia="黑体" w:hAnsi="黑体" w:hint="eastAsia"/>
        <w:b w:val="0"/>
        <w:i w:val="0"/>
        <w:sz w:val="24"/>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nsid w:val="79482247"/>
    <w:multiLevelType w:val="multilevel"/>
    <w:tmpl w:val="79482247"/>
    <w:lvl w:ilvl="0">
      <w:start w:val="1"/>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5"/>
  </w:num>
  <w:num w:numId="3">
    <w:abstractNumId w:val="6"/>
  </w:num>
  <w:num w:numId="4">
    <w:abstractNumId w:val="8"/>
  </w:num>
  <w:num w:numId="5">
    <w:abstractNumId w:val="4"/>
  </w:num>
  <w:num w:numId="6">
    <w:abstractNumId w:val="3"/>
  </w:num>
  <w:num w:numId="7">
    <w:abstractNumId w:val="9"/>
  </w:num>
  <w:num w:numId="8">
    <w:abstractNumId w:val="2"/>
  </w:num>
  <w:num w:numId="9">
    <w:abstractNumId w:val="1"/>
  </w:num>
  <w:num w:numId="10">
    <w:abstractNumId w:val="7"/>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882690" fillcolor="white">
      <v:fill color="white"/>
      <o:colormru v:ext="edit" colors="#b81ee8,#07c93a,#bd5703"/>
      <o:colormenu v:ext="edit" fillcolor="#00b050" strokecolor="#00b050"/>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D6827"/>
    <w:rsid w:val="00000138"/>
    <w:rsid w:val="0000023D"/>
    <w:rsid w:val="00000280"/>
    <w:rsid w:val="00000325"/>
    <w:rsid w:val="0000041D"/>
    <w:rsid w:val="000004A7"/>
    <w:rsid w:val="0000059B"/>
    <w:rsid w:val="00000B2D"/>
    <w:rsid w:val="00000C49"/>
    <w:rsid w:val="000011D1"/>
    <w:rsid w:val="0000146A"/>
    <w:rsid w:val="00001804"/>
    <w:rsid w:val="00001DAD"/>
    <w:rsid w:val="00001DD1"/>
    <w:rsid w:val="00001DF9"/>
    <w:rsid w:val="00002043"/>
    <w:rsid w:val="000020FF"/>
    <w:rsid w:val="0000228D"/>
    <w:rsid w:val="00002389"/>
    <w:rsid w:val="0000255E"/>
    <w:rsid w:val="000025FF"/>
    <w:rsid w:val="0000279D"/>
    <w:rsid w:val="0000279E"/>
    <w:rsid w:val="00002951"/>
    <w:rsid w:val="00002ABF"/>
    <w:rsid w:val="00002B07"/>
    <w:rsid w:val="00002FD9"/>
    <w:rsid w:val="000037AB"/>
    <w:rsid w:val="000039AE"/>
    <w:rsid w:val="00003A27"/>
    <w:rsid w:val="00003B34"/>
    <w:rsid w:val="00003BA4"/>
    <w:rsid w:val="00003DF8"/>
    <w:rsid w:val="000041F1"/>
    <w:rsid w:val="000043CF"/>
    <w:rsid w:val="000047FC"/>
    <w:rsid w:val="00005401"/>
    <w:rsid w:val="00005447"/>
    <w:rsid w:val="00005A05"/>
    <w:rsid w:val="00005A28"/>
    <w:rsid w:val="0000625F"/>
    <w:rsid w:val="00006C8A"/>
    <w:rsid w:val="00006EFC"/>
    <w:rsid w:val="00007413"/>
    <w:rsid w:val="0000789A"/>
    <w:rsid w:val="00007D2B"/>
    <w:rsid w:val="000101EE"/>
    <w:rsid w:val="00010C02"/>
    <w:rsid w:val="00011032"/>
    <w:rsid w:val="000111F4"/>
    <w:rsid w:val="00011363"/>
    <w:rsid w:val="000114CE"/>
    <w:rsid w:val="00011BCC"/>
    <w:rsid w:val="00011C2B"/>
    <w:rsid w:val="00011DDF"/>
    <w:rsid w:val="00011EA4"/>
    <w:rsid w:val="00012020"/>
    <w:rsid w:val="00012808"/>
    <w:rsid w:val="000129D5"/>
    <w:rsid w:val="00012C34"/>
    <w:rsid w:val="00013473"/>
    <w:rsid w:val="00013845"/>
    <w:rsid w:val="00013C21"/>
    <w:rsid w:val="00013F25"/>
    <w:rsid w:val="0001426C"/>
    <w:rsid w:val="000143D8"/>
    <w:rsid w:val="00014BB4"/>
    <w:rsid w:val="00014D1E"/>
    <w:rsid w:val="00014F60"/>
    <w:rsid w:val="00015172"/>
    <w:rsid w:val="00015263"/>
    <w:rsid w:val="00015584"/>
    <w:rsid w:val="000160FE"/>
    <w:rsid w:val="0001621E"/>
    <w:rsid w:val="00016396"/>
    <w:rsid w:val="00016541"/>
    <w:rsid w:val="00016B71"/>
    <w:rsid w:val="00016F39"/>
    <w:rsid w:val="000172AA"/>
    <w:rsid w:val="000173EF"/>
    <w:rsid w:val="000174CC"/>
    <w:rsid w:val="00017560"/>
    <w:rsid w:val="0001796B"/>
    <w:rsid w:val="00017C0F"/>
    <w:rsid w:val="00017FC3"/>
    <w:rsid w:val="00020152"/>
    <w:rsid w:val="000201FD"/>
    <w:rsid w:val="00020E53"/>
    <w:rsid w:val="00021096"/>
    <w:rsid w:val="0002114A"/>
    <w:rsid w:val="000215D2"/>
    <w:rsid w:val="00021748"/>
    <w:rsid w:val="00021834"/>
    <w:rsid w:val="00021A9D"/>
    <w:rsid w:val="00022016"/>
    <w:rsid w:val="000222BC"/>
    <w:rsid w:val="000222EA"/>
    <w:rsid w:val="00022A4B"/>
    <w:rsid w:val="00022BFB"/>
    <w:rsid w:val="00023080"/>
    <w:rsid w:val="000231C9"/>
    <w:rsid w:val="0002322C"/>
    <w:rsid w:val="000232FC"/>
    <w:rsid w:val="0002369F"/>
    <w:rsid w:val="00023756"/>
    <w:rsid w:val="000238E0"/>
    <w:rsid w:val="000241AE"/>
    <w:rsid w:val="00024747"/>
    <w:rsid w:val="000247BA"/>
    <w:rsid w:val="00024B36"/>
    <w:rsid w:val="00024EC0"/>
    <w:rsid w:val="000250DC"/>
    <w:rsid w:val="0002545A"/>
    <w:rsid w:val="00025D42"/>
    <w:rsid w:val="00026021"/>
    <w:rsid w:val="0002647E"/>
    <w:rsid w:val="00026977"/>
    <w:rsid w:val="000270F5"/>
    <w:rsid w:val="000273BA"/>
    <w:rsid w:val="00027449"/>
    <w:rsid w:val="000277EC"/>
    <w:rsid w:val="0002782B"/>
    <w:rsid w:val="00027852"/>
    <w:rsid w:val="00027AD9"/>
    <w:rsid w:val="00027E1C"/>
    <w:rsid w:val="00027E2A"/>
    <w:rsid w:val="00030273"/>
    <w:rsid w:val="000303AD"/>
    <w:rsid w:val="000303F5"/>
    <w:rsid w:val="00030488"/>
    <w:rsid w:val="00030826"/>
    <w:rsid w:val="00030A5D"/>
    <w:rsid w:val="00030D5B"/>
    <w:rsid w:val="00030F6B"/>
    <w:rsid w:val="00031053"/>
    <w:rsid w:val="00031138"/>
    <w:rsid w:val="0003196C"/>
    <w:rsid w:val="00031A14"/>
    <w:rsid w:val="00031BFF"/>
    <w:rsid w:val="00031DC9"/>
    <w:rsid w:val="00032101"/>
    <w:rsid w:val="0003253D"/>
    <w:rsid w:val="0003272A"/>
    <w:rsid w:val="00032846"/>
    <w:rsid w:val="0003286C"/>
    <w:rsid w:val="000329E2"/>
    <w:rsid w:val="00032C20"/>
    <w:rsid w:val="00032DB4"/>
    <w:rsid w:val="00033011"/>
    <w:rsid w:val="000331C1"/>
    <w:rsid w:val="000336C1"/>
    <w:rsid w:val="000336F1"/>
    <w:rsid w:val="00033858"/>
    <w:rsid w:val="00033915"/>
    <w:rsid w:val="00033B98"/>
    <w:rsid w:val="00033CC7"/>
    <w:rsid w:val="0003420D"/>
    <w:rsid w:val="000342C8"/>
    <w:rsid w:val="0003457C"/>
    <w:rsid w:val="0003482F"/>
    <w:rsid w:val="00034929"/>
    <w:rsid w:val="00034D30"/>
    <w:rsid w:val="000352F1"/>
    <w:rsid w:val="000353EE"/>
    <w:rsid w:val="00035641"/>
    <w:rsid w:val="000356AB"/>
    <w:rsid w:val="000358ED"/>
    <w:rsid w:val="00035B48"/>
    <w:rsid w:val="00035D0D"/>
    <w:rsid w:val="00035D5E"/>
    <w:rsid w:val="00035E01"/>
    <w:rsid w:val="00036345"/>
    <w:rsid w:val="000363FC"/>
    <w:rsid w:val="00036865"/>
    <w:rsid w:val="00036C22"/>
    <w:rsid w:val="00036EE4"/>
    <w:rsid w:val="00037035"/>
    <w:rsid w:val="000372B7"/>
    <w:rsid w:val="0003773C"/>
    <w:rsid w:val="0003775C"/>
    <w:rsid w:val="0004079E"/>
    <w:rsid w:val="00040BA1"/>
    <w:rsid w:val="00041009"/>
    <w:rsid w:val="0004103D"/>
    <w:rsid w:val="000416C4"/>
    <w:rsid w:val="000416FD"/>
    <w:rsid w:val="00041C73"/>
    <w:rsid w:val="00042035"/>
    <w:rsid w:val="0004203C"/>
    <w:rsid w:val="00042041"/>
    <w:rsid w:val="000428E9"/>
    <w:rsid w:val="00042A3C"/>
    <w:rsid w:val="00042BAF"/>
    <w:rsid w:val="0004325E"/>
    <w:rsid w:val="000436A0"/>
    <w:rsid w:val="0004390C"/>
    <w:rsid w:val="00043913"/>
    <w:rsid w:val="00043E42"/>
    <w:rsid w:val="00043E6C"/>
    <w:rsid w:val="00044D3F"/>
    <w:rsid w:val="0004506F"/>
    <w:rsid w:val="00045145"/>
    <w:rsid w:val="00045254"/>
    <w:rsid w:val="00045A7C"/>
    <w:rsid w:val="00045F3F"/>
    <w:rsid w:val="00046128"/>
    <w:rsid w:val="00046208"/>
    <w:rsid w:val="0004643E"/>
    <w:rsid w:val="00046565"/>
    <w:rsid w:val="000467E7"/>
    <w:rsid w:val="00046893"/>
    <w:rsid w:val="000469B5"/>
    <w:rsid w:val="00046F32"/>
    <w:rsid w:val="000470D6"/>
    <w:rsid w:val="00047161"/>
    <w:rsid w:val="00047325"/>
    <w:rsid w:val="0004754A"/>
    <w:rsid w:val="000477BF"/>
    <w:rsid w:val="00050099"/>
    <w:rsid w:val="000500AA"/>
    <w:rsid w:val="00050290"/>
    <w:rsid w:val="0005050B"/>
    <w:rsid w:val="000506D1"/>
    <w:rsid w:val="00050923"/>
    <w:rsid w:val="000509C9"/>
    <w:rsid w:val="000509ED"/>
    <w:rsid w:val="00050C00"/>
    <w:rsid w:val="00050EF1"/>
    <w:rsid w:val="00050FB5"/>
    <w:rsid w:val="00050FED"/>
    <w:rsid w:val="00051029"/>
    <w:rsid w:val="00051111"/>
    <w:rsid w:val="0005131D"/>
    <w:rsid w:val="0005134C"/>
    <w:rsid w:val="0005181C"/>
    <w:rsid w:val="00051A7F"/>
    <w:rsid w:val="00051AB6"/>
    <w:rsid w:val="000520E3"/>
    <w:rsid w:val="00052183"/>
    <w:rsid w:val="00052279"/>
    <w:rsid w:val="000523EC"/>
    <w:rsid w:val="00052487"/>
    <w:rsid w:val="000524AC"/>
    <w:rsid w:val="000525AE"/>
    <w:rsid w:val="00052B64"/>
    <w:rsid w:val="00052CC6"/>
    <w:rsid w:val="00052EFE"/>
    <w:rsid w:val="00052F7E"/>
    <w:rsid w:val="000533E0"/>
    <w:rsid w:val="00053BC1"/>
    <w:rsid w:val="00053DB3"/>
    <w:rsid w:val="00053EF7"/>
    <w:rsid w:val="0005436B"/>
    <w:rsid w:val="000549CA"/>
    <w:rsid w:val="000550A4"/>
    <w:rsid w:val="00055BCB"/>
    <w:rsid w:val="00055E78"/>
    <w:rsid w:val="00056056"/>
    <w:rsid w:val="00056337"/>
    <w:rsid w:val="00056DEE"/>
    <w:rsid w:val="000571D5"/>
    <w:rsid w:val="000572BE"/>
    <w:rsid w:val="0005780A"/>
    <w:rsid w:val="00057845"/>
    <w:rsid w:val="00057A10"/>
    <w:rsid w:val="00057B49"/>
    <w:rsid w:val="00057CF1"/>
    <w:rsid w:val="00060092"/>
    <w:rsid w:val="000601CB"/>
    <w:rsid w:val="00060256"/>
    <w:rsid w:val="00060462"/>
    <w:rsid w:val="00060A97"/>
    <w:rsid w:val="00060EAF"/>
    <w:rsid w:val="000610E9"/>
    <w:rsid w:val="00061164"/>
    <w:rsid w:val="00061256"/>
    <w:rsid w:val="00061750"/>
    <w:rsid w:val="00061A30"/>
    <w:rsid w:val="00061B56"/>
    <w:rsid w:val="00061B8D"/>
    <w:rsid w:val="000622E0"/>
    <w:rsid w:val="0006254D"/>
    <w:rsid w:val="0006275E"/>
    <w:rsid w:val="000628C2"/>
    <w:rsid w:val="00063148"/>
    <w:rsid w:val="0006320E"/>
    <w:rsid w:val="00063356"/>
    <w:rsid w:val="0006340E"/>
    <w:rsid w:val="00063573"/>
    <w:rsid w:val="00063778"/>
    <w:rsid w:val="000639C7"/>
    <w:rsid w:val="00063B0A"/>
    <w:rsid w:val="00063D30"/>
    <w:rsid w:val="00063DF0"/>
    <w:rsid w:val="00063E03"/>
    <w:rsid w:val="00063E58"/>
    <w:rsid w:val="0006440C"/>
    <w:rsid w:val="000649EB"/>
    <w:rsid w:val="00064B0E"/>
    <w:rsid w:val="00064FA9"/>
    <w:rsid w:val="00064FFC"/>
    <w:rsid w:val="00065134"/>
    <w:rsid w:val="0006550D"/>
    <w:rsid w:val="00065583"/>
    <w:rsid w:val="00065961"/>
    <w:rsid w:val="000659F4"/>
    <w:rsid w:val="00065A50"/>
    <w:rsid w:val="00065AA6"/>
    <w:rsid w:val="00065E61"/>
    <w:rsid w:val="00066131"/>
    <w:rsid w:val="0006616E"/>
    <w:rsid w:val="00066191"/>
    <w:rsid w:val="00066515"/>
    <w:rsid w:val="00067D3A"/>
    <w:rsid w:val="00067E42"/>
    <w:rsid w:val="0007026A"/>
    <w:rsid w:val="00070348"/>
    <w:rsid w:val="00070496"/>
    <w:rsid w:val="00070832"/>
    <w:rsid w:val="00070C13"/>
    <w:rsid w:val="00070F53"/>
    <w:rsid w:val="00070FBC"/>
    <w:rsid w:val="00071346"/>
    <w:rsid w:val="00071654"/>
    <w:rsid w:val="000716BA"/>
    <w:rsid w:val="0007176B"/>
    <w:rsid w:val="00071C44"/>
    <w:rsid w:val="00071F26"/>
    <w:rsid w:val="00071F67"/>
    <w:rsid w:val="000727C9"/>
    <w:rsid w:val="00072AA6"/>
    <w:rsid w:val="00072AC1"/>
    <w:rsid w:val="00072E7C"/>
    <w:rsid w:val="00073012"/>
    <w:rsid w:val="00073380"/>
    <w:rsid w:val="000734A1"/>
    <w:rsid w:val="00073724"/>
    <w:rsid w:val="0007389A"/>
    <w:rsid w:val="0007392C"/>
    <w:rsid w:val="00073C12"/>
    <w:rsid w:val="00074FC2"/>
    <w:rsid w:val="00075196"/>
    <w:rsid w:val="00075464"/>
    <w:rsid w:val="000759A8"/>
    <w:rsid w:val="00075B14"/>
    <w:rsid w:val="00076532"/>
    <w:rsid w:val="000766A3"/>
    <w:rsid w:val="00076BC9"/>
    <w:rsid w:val="00076DD0"/>
    <w:rsid w:val="0007715B"/>
    <w:rsid w:val="000776C3"/>
    <w:rsid w:val="00077938"/>
    <w:rsid w:val="00077CDA"/>
    <w:rsid w:val="00077D4B"/>
    <w:rsid w:val="00077D71"/>
    <w:rsid w:val="00077FEB"/>
    <w:rsid w:val="000806A9"/>
    <w:rsid w:val="0008087A"/>
    <w:rsid w:val="00080DB3"/>
    <w:rsid w:val="00081101"/>
    <w:rsid w:val="000819BF"/>
    <w:rsid w:val="00081B67"/>
    <w:rsid w:val="00081FA1"/>
    <w:rsid w:val="00082472"/>
    <w:rsid w:val="0008298B"/>
    <w:rsid w:val="00082BF2"/>
    <w:rsid w:val="00082D07"/>
    <w:rsid w:val="00082D0E"/>
    <w:rsid w:val="00083097"/>
    <w:rsid w:val="000830FD"/>
    <w:rsid w:val="0008339D"/>
    <w:rsid w:val="000835CA"/>
    <w:rsid w:val="0008363C"/>
    <w:rsid w:val="00083C7B"/>
    <w:rsid w:val="00084497"/>
    <w:rsid w:val="00084BDF"/>
    <w:rsid w:val="00084C2D"/>
    <w:rsid w:val="00084DB6"/>
    <w:rsid w:val="00085CC3"/>
    <w:rsid w:val="00085E4C"/>
    <w:rsid w:val="00086151"/>
    <w:rsid w:val="000861B9"/>
    <w:rsid w:val="00086BFE"/>
    <w:rsid w:val="00086DE1"/>
    <w:rsid w:val="00086EC3"/>
    <w:rsid w:val="00086F5A"/>
    <w:rsid w:val="00087075"/>
    <w:rsid w:val="000876C3"/>
    <w:rsid w:val="00087CA4"/>
    <w:rsid w:val="00087DDC"/>
    <w:rsid w:val="00090000"/>
    <w:rsid w:val="0009000F"/>
    <w:rsid w:val="000901A4"/>
    <w:rsid w:val="00090255"/>
    <w:rsid w:val="00090386"/>
    <w:rsid w:val="0009067E"/>
    <w:rsid w:val="000906A3"/>
    <w:rsid w:val="00090945"/>
    <w:rsid w:val="000909F1"/>
    <w:rsid w:val="00090F5F"/>
    <w:rsid w:val="00090FAA"/>
    <w:rsid w:val="00091510"/>
    <w:rsid w:val="00091797"/>
    <w:rsid w:val="00091B76"/>
    <w:rsid w:val="00091B93"/>
    <w:rsid w:val="00091DB8"/>
    <w:rsid w:val="00091ED6"/>
    <w:rsid w:val="00092048"/>
    <w:rsid w:val="00092189"/>
    <w:rsid w:val="00092387"/>
    <w:rsid w:val="00092452"/>
    <w:rsid w:val="00092636"/>
    <w:rsid w:val="0009271C"/>
    <w:rsid w:val="00092727"/>
    <w:rsid w:val="00092B87"/>
    <w:rsid w:val="00092B8F"/>
    <w:rsid w:val="00092C45"/>
    <w:rsid w:val="00092F65"/>
    <w:rsid w:val="000930EC"/>
    <w:rsid w:val="00093291"/>
    <w:rsid w:val="00093610"/>
    <w:rsid w:val="00093A4E"/>
    <w:rsid w:val="00093E46"/>
    <w:rsid w:val="00093FC0"/>
    <w:rsid w:val="000942E4"/>
    <w:rsid w:val="0009459C"/>
    <w:rsid w:val="00094C0E"/>
    <w:rsid w:val="00094C2F"/>
    <w:rsid w:val="00094D73"/>
    <w:rsid w:val="00094EC1"/>
    <w:rsid w:val="00095252"/>
    <w:rsid w:val="00095382"/>
    <w:rsid w:val="000953DB"/>
    <w:rsid w:val="000957E4"/>
    <w:rsid w:val="00095ACD"/>
    <w:rsid w:val="00095B73"/>
    <w:rsid w:val="00095CD2"/>
    <w:rsid w:val="000960D4"/>
    <w:rsid w:val="0009673A"/>
    <w:rsid w:val="000969F7"/>
    <w:rsid w:val="00096B30"/>
    <w:rsid w:val="00096B7C"/>
    <w:rsid w:val="00096C51"/>
    <w:rsid w:val="00096DE0"/>
    <w:rsid w:val="00096EB8"/>
    <w:rsid w:val="000A0594"/>
    <w:rsid w:val="000A073D"/>
    <w:rsid w:val="000A0811"/>
    <w:rsid w:val="000A0890"/>
    <w:rsid w:val="000A0B15"/>
    <w:rsid w:val="000A0D1F"/>
    <w:rsid w:val="000A117A"/>
    <w:rsid w:val="000A1391"/>
    <w:rsid w:val="000A1439"/>
    <w:rsid w:val="000A15AD"/>
    <w:rsid w:val="000A15E0"/>
    <w:rsid w:val="000A1646"/>
    <w:rsid w:val="000A1965"/>
    <w:rsid w:val="000A1C74"/>
    <w:rsid w:val="000A1C7C"/>
    <w:rsid w:val="000A1DAD"/>
    <w:rsid w:val="000A1DE3"/>
    <w:rsid w:val="000A1FA7"/>
    <w:rsid w:val="000A1FAE"/>
    <w:rsid w:val="000A2705"/>
    <w:rsid w:val="000A273D"/>
    <w:rsid w:val="000A27F3"/>
    <w:rsid w:val="000A2AC2"/>
    <w:rsid w:val="000A2DA7"/>
    <w:rsid w:val="000A33B9"/>
    <w:rsid w:val="000A3798"/>
    <w:rsid w:val="000A3C9A"/>
    <w:rsid w:val="000A3D6F"/>
    <w:rsid w:val="000A4E0D"/>
    <w:rsid w:val="000A4EC6"/>
    <w:rsid w:val="000A4F3D"/>
    <w:rsid w:val="000A52AA"/>
    <w:rsid w:val="000A53A1"/>
    <w:rsid w:val="000A56DD"/>
    <w:rsid w:val="000A6D5A"/>
    <w:rsid w:val="000A6F40"/>
    <w:rsid w:val="000A6F47"/>
    <w:rsid w:val="000A6FED"/>
    <w:rsid w:val="000A7315"/>
    <w:rsid w:val="000A73F6"/>
    <w:rsid w:val="000B0170"/>
    <w:rsid w:val="000B0187"/>
    <w:rsid w:val="000B028F"/>
    <w:rsid w:val="000B056B"/>
    <w:rsid w:val="000B0571"/>
    <w:rsid w:val="000B0978"/>
    <w:rsid w:val="000B1189"/>
    <w:rsid w:val="000B1522"/>
    <w:rsid w:val="000B154E"/>
    <w:rsid w:val="000B1554"/>
    <w:rsid w:val="000B15EA"/>
    <w:rsid w:val="000B196E"/>
    <w:rsid w:val="000B2355"/>
    <w:rsid w:val="000B2372"/>
    <w:rsid w:val="000B254E"/>
    <w:rsid w:val="000B259F"/>
    <w:rsid w:val="000B28A5"/>
    <w:rsid w:val="000B2DE4"/>
    <w:rsid w:val="000B3112"/>
    <w:rsid w:val="000B32BA"/>
    <w:rsid w:val="000B36F1"/>
    <w:rsid w:val="000B38E2"/>
    <w:rsid w:val="000B39F9"/>
    <w:rsid w:val="000B3D75"/>
    <w:rsid w:val="000B3DC2"/>
    <w:rsid w:val="000B3FB5"/>
    <w:rsid w:val="000B4216"/>
    <w:rsid w:val="000B4326"/>
    <w:rsid w:val="000B4A09"/>
    <w:rsid w:val="000B4BC2"/>
    <w:rsid w:val="000B4CA8"/>
    <w:rsid w:val="000B55F6"/>
    <w:rsid w:val="000B569B"/>
    <w:rsid w:val="000B5B02"/>
    <w:rsid w:val="000B5DD1"/>
    <w:rsid w:val="000B6195"/>
    <w:rsid w:val="000B63AF"/>
    <w:rsid w:val="000B63E6"/>
    <w:rsid w:val="000B6701"/>
    <w:rsid w:val="000B6A4C"/>
    <w:rsid w:val="000B6B56"/>
    <w:rsid w:val="000B6C91"/>
    <w:rsid w:val="000B73B4"/>
    <w:rsid w:val="000B74D2"/>
    <w:rsid w:val="000B7576"/>
    <w:rsid w:val="000B77F1"/>
    <w:rsid w:val="000B7A26"/>
    <w:rsid w:val="000B7F44"/>
    <w:rsid w:val="000C0571"/>
    <w:rsid w:val="000C0676"/>
    <w:rsid w:val="000C07EA"/>
    <w:rsid w:val="000C08C7"/>
    <w:rsid w:val="000C08DD"/>
    <w:rsid w:val="000C0CAD"/>
    <w:rsid w:val="000C0FA3"/>
    <w:rsid w:val="000C138C"/>
    <w:rsid w:val="000C1396"/>
    <w:rsid w:val="000C13A2"/>
    <w:rsid w:val="000C144B"/>
    <w:rsid w:val="000C1761"/>
    <w:rsid w:val="000C18AA"/>
    <w:rsid w:val="000C1C26"/>
    <w:rsid w:val="000C23A4"/>
    <w:rsid w:val="000C25D6"/>
    <w:rsid w:val="000C2BA9"/>
    <w:rsid w:val="000C2C47"/>
    <w:rsid w:val="000C2FC4"/>
    <w:rsid w:val="000C30D2"/>
    <w:rsid w:val="000C3266"/>
    <w:rsid w:val="000C3595"/>
    <w:rsid w:val="000C3AB5"/>
    <w:rsid w:val="000C3F41"/>
    <w:rsid w:val="000C3FD6"/>
    <w:rsid w:val="000C413E"/>
    <w:rsid w:val="000C42D8"/>
    <w:rsid w:val="000C4550"/>
    <w:rsid w:val="000C48B7"/>
    <w:rsid w:val="000C4964"/>
    <w:rsid w:val="000C4A6B"/>
    <w:rsid w:val="000C4C13"/>
    <w:rsid w:val="000C4D9A"/>
    <w:rsid w:val="000C4DA9"/>
    <w:rsid w:val="000C4DED"/>
    <w:rsid w:val="000C5070"/>
    <w:rsid w:val="000C51C9"/>
    <w:rsid w:val="000C5327"/>
    <w:rsid w:val="000C557D"/>
    <w:rsid w:val="000C5EB0"/>
    <w:rsid w:val="000C639B"/>
    <w:rsid w:val="000C659C"/>
    <w:rsid w:val="000C65D0"/>
    <w:rsid w:val="000C67B7"/>
    <w:rsid w:val="000C699C"/>
    <w:rsid w:val="000C6AA1"/>
    <w:rsid w:val="000C6AEB"/>
    <w:rsid w:val="000C6E94"/>
    <w:rsid w:val="000C6FE2"/>
    <w:rsid w:val="000C700B"/>
    <w:rsid w:val="000C70E8"/>
    <w:rsid w:val="000C75C0"/>
    <w:rsid w:val="000C7738"/>
    <w:rsid w:val="000D0234"/>
    <w:rsid w:val="000D0361"/>
    <w:rsid w:val="000D0455"/>
    <w:rsid w:val="000D080D"/>
    <w:rsid w:val="000D0937"/>
    <w:rsid w:val="000D09E3"/>
    <w:rsid w:val="000D0ADA"/>
    <w:rsid w:val="000D0C36"/>
    <w:rsid w:val="000D0D22"/>
    <w:rsid w:val="000D0ED6"/>
    <w:rsid w:val="000D0F7E"/>
    <w:rsid w:val="000D109D"/>
    <w:rsid w:val="000D1164"/>
    <w:rsid w:val="000D12D5"/>
    <w:rsid w:val="000D1508"/>
    <w:rsid w:val="000D18A5"/>
    <w:rsid w:val="000D18F5"/>
    <w:rsid w:val="000D1DD1"/>
    <w:rsid w:val="000D1E5D"/>
    <w:rsid w:val="000D1F95"/>
    <w:rsid w:val="000D2272"/>
    <w:rsid w:val="000D286F"/>
    <w:rsid w:val="000D298E"/>
    <w:rsid w:val="000D2CFC"/>
    <w:rsid w:val="000D2D13"/>
    <w:rsid w:val="000D2EF0"/>
    <w:rsid w:val="000D2F79"/>
    <w:rsid w:val="000D3313"/>
    <w:rsid w:val="000D3457"/>
    <w:rsid w:val="000D35E2"/>
    <w:rsid w:val="000D3721"/>
    <w:rsid w:val="000D38E0"/>
    <w:rsid w:val="000D3ADD"/>
    <w:rsid w:val="000D3E7D"/>
    <w:rsid w:val="000D3E98"/>
    <w:rsid w:val="000D4159"/>
    <w:rsid w:val="000D43DB"/>
    <w:rsid w:val="000D43F2"/>
    <w:rsid w:val="000D474B"/>
    <w:rsid w:val="000D4927"/>
    <w:rsid w:val="000D49DE"/>
    <w:rsid w:val="000D4F27"/>
    <w:rsid w:val="000D4F7D"/>
    <w:rsid w:val="000D546D"/>
    <w:rsid w:val="000D5858"/>
    <w:rsid w:val="000D5A4D"/>
    <w:rsid w:val="000D5FF6"/>
    <w:rsid w:val="000D606F"/>
    <w:rsid w:val="000D61B3"/>
    <w:rsid w:val="000D61C5"/>
    <w:rsid w:val="000D6344"/>
    <w:rsid w:val="000D686C"/>
    <w:rsid w:val="000D6A30"/>
    <w:rsid w:val="000D6A4B"/>
    <w:rsid w:val="000D6A98"/>
    <w:rsid w:val="000D6B75"/>
    <w:rsid w:val="000D6F44"/>
    <w:rsid w:val="000D71B8"/>
    <w:rsid w:val="000D76C9"/>
    <w:rsid w:val="000D7D91"/>
    <w:rsid w:val="000E00D5"/>
    <w:rsid w:val="000E0247"/>
    <w:rsid w:val="000E06ED"/>
    <w:rsid w:val="000E06F9"/>
    <w:rsid w:val="000E0A51"/>
    <w:rsid w:val="000E0AAC"/>
    <w:rsid w:val="000E0FA1"/>
    <w:rsid w:val="000E1386"/>
    <w:rsid w:val="000E18B9"/>
    <w:rsid w:val="000E1B7B"/>
    <w:rsid w:val="000E1EC3"/>
    <w:rsid w:val="000E2211"/>
    <w:rsid w:val="000E22F4"/>
    <w:rsid w:val="000E22F6"/>
    <w:rsid w:val="000E2415"/>
    <w:rsid w:val="000E25DA"/>
    <w:rsid w:val="000E25F0"/>
    <w:rsid w:val="000E26D9"/>
    <w:rsid w:val="000E2C5A"/>
    <w:rsid w:val="000E343C"/>
    <w:rsid w:val="000E36F2"/>
    <w:rsid w:val="000E3738"/>
    <w:rsid w:val="000E3B67"/>
    <w:rsid w:val="000E3D13"/>
    <w:rsid w:val="000E3FE8"/>
    <w:rsid w:val="000E410F"/>
    <w:rsid w:val="000E421E"/>
    <w:rsid w:val="000E4C0B"/>
    <w:rsid w:val="000E4C1C"/>
    <w:rsid w:val="000E4E90"/>
    <w:rsid w:val="000E4EE1"/>
    <w:rsid w:val="000E4FDD"/>
    <w:rsid w:val="000E50F6"/>
    <w:rsid w:val="000E5267"/>
    <w:rsid w:val="000E5414"/>
    <w:rsid w:val="000E587C"/>
    <w:rsid w:val="000E59D7"/>
    <w:rsid w:val="000E5FCC"/>
    <w:rsid w:val="000E608D"/>
    <w:rsid w:val="000E6174"/>
    <w:rsid w:val="000E6A05"/>
    <w:rsid w:val="000E6EC4"/>
    <w:rsid w:val="000E6F4D"/>
    <w:rsid w:val="000E7232"/>
    <w:rsid w:val="000E728A"/>
    <w:rsid w:val="000E735B"/>
    <w:rsid w:val="000E74D6"/>
    <w:rsid w:val="000E754A"/>
    <w:rsid w:val="000E75FF"/>
    <w:rsid w:val="000E7A74"/>
    <w:rsid w:val="000E7A9C"/>
    <w:rsid w:val="000E7DF9"/>
    <w:rsid w:val="000F0070"/>
    <w:rsid w:val="000F0959"/>
    <w:rsid w:val="000F0A84"/>
    <w:rsid w:val="000F0AFC"/>
    <w:rsid w:val="000F0CA4"/>
    <w:rsid w:val="000F1002"/>
    <w:rsid w:val="000F14D3"/>
    <w:rsid w:val="000F15EF"/>
    <w:rsid w:val="000F193C"/>
    <w:rsid w:val="000F1A53"/>
    <w:rsid w:val="000F2080"/>
    <w:rsid w:val="000F2234"/>
    <w:rsid w:val="000F235C"/>
    <w:rsid w:val="000F26F4"/>
    <w:rsid w:val="000F2785"/>
    <w:rsid w:val="000F27A4"/>
    <w:rsid w:val="000F2D39"/>
    <w:rsid w:val="000F2D4A"/>
    <w:rsid w:val="000F2DBC"/>
    <w:rsid w:val="000F355E"/>
    <w:rsid w:val="000F3D43"/>
    <w:rsid w:val="000F419A"/>
    <w:rsid w:val="000F4234"/>
    <w:rsid w:val="000F433F"/>
    <w:rsid w:val="000F44B4"/>
    <w:rsid w:val="000F46A0"/>
    <w:rsid w:val="000F4C4F"/>
    <w:rsid w:val="000F4E28"/>
    <w:rsid w:val="000F54A1"/>
    <w:rsid w:val="000F578F"/>
    <w:rsid w:val="000F58A2"/>
    <w:rsid w:val="000F58C5"/>
    <w:rsid w:val="000F5E09"/>
    <w:rsid w:val="000F5FCE"/>
    <w:rsid w:val="000F619A"/>
    <w:rsid w:val="000F62F3"/>
    <w:rsid w:val="000F6389"/>
    <w:rsid w:val="000F63A1"/>
    <w:rsid w:val="000F673D"/>
    <w:rsid w:val="000F6755"/>
    <w:rsid w:val="000F682A"/>
    <w:rsid w:val="000F68D9"/>
    <w:rsid w:val="000F6A1F"/>
    <w:rsid w:val="000F6E03"/>
    <w:rsid w:val="000F6FAC"/>
    <w:rsid w:val="000F7548"/>
    <w:rsid w:val="000F76EC"/>
    <w:rsid w:val="000F7C0F"/>
    <w:rsid w:val="000F7E90"/>
    <w:rsid w:val="001001BA"/>
    <w:rsid w:val="00100371"/>
    <w:rsid w:val="001003CD"/>
    <w:rsid w:val="001003E4"/>
    <w:rsid w:val="00100506"/>
    <w:rsid w:val="00100B11"/>
    <w:rsid w:val="00100B24"/>
    <w:rsid w:val="00100CF0"/>
    <w:rsid w:val="00100E23"/>
    <w:rsid w:val="00100F91"/>
    <w:rsid w:val="00101396"/>
    <w:rsid w:val="001014F7"/>
    <w:rsid w:val="00101618"/>
    <w:rsid w:val="00101B59"/>
    <w:rsid w:val="00101E2A"/>
    <w:rsid w:val="00101F11"/>
    <w:rsid w:val="00101F85"/>
    <w:rsid w:val="001023FC"/>
    <w:rsid w:val="0010259F"/>
    <w:rsid w:val="00102BF3"/>
    <w:rsid w:val="0010323A"/>
    <w:rsid w:val="001036CC"/>
    <w:rsid w:val="00103750"/>
    <w:rsid w:val="0010387F"/>
    <w:rsid w:val="00103BAD"/>
    <w:rsid w:val="00103D17"/>
    <w:rsid w:val="00103D38"/>
    <w:rsid w:val="00103D46"/>
    <w:rsid w:val="00103F59"/>
    <w:rsid w:val="001040C8"/>
    <w:rsid w:val="0010423B"/>
    <w:rsid w:val="00104320"/>
    <w:rsid w:val="00104326"/>
    <w:rsid w:val="00104ADB"/>
    <w:rsid w:val="00104B49"/>
    <w:rsid w:val="00104CE7"/>
    <w:rsid w:val="00105C26"/>
    <w:rsid w:val="00105DC0"/>
    <w:rsid w:val="00106072"/>
    <w:rsid w:val="001062DE"/>
    <w:rsid w:val="00106419"/>
    <w:rsid w:val="0010669F"/>
    <w:rsid w:val="0010670C"/>
    <w:rsid w:val="00106DE5"/>
    <w:rsid w:val="00106FAD"/>
    <w:rsid w:val="00107216"/>
    <w:rsid w:val="001075B2"/>
    <w:rsid w:val="001078C0"/>
    <w:rsid w:val="00107A4B"/>
    <w:rsid w:val="00107A69"/>
    <w:rsid w:val="00107BAA"/>
    <w:rsid w:val="00107D0D"/>
    <w:rsid w:val="00107ED6"/>
    <w:rsid w:val="001101B1"/>
    <w:rsid w:val="00110396"/>
    <w:rsid w:val="001108A3"/>
    <w:rsid w:val="00110941"/>
    <w:rsid w:val="00110949"/>
    <w:rsid w:val="001109B3"/>
    <w:rsid w:val="00110D9D"/>
    <w:rsid w:val="00110DDA"/>
    <w:rsid w:val="00111010"/>
    <w:rsid w:val="00111075"/>
    <w:rsid w:val="00111461"/>
    <w:rsid w:val="001114E2"/>
    <w:rsid w:val="001114FC"/>
    <w:rsid w:val="001116D6"/>
    <w:rsid w:val="001117C4"/>
    <w:rsid w:val="001119EE"/>
    <w:rsid w:val="00111A63"/>
    <w:rsid w:val="0011201D"/>
    <w:rsid w:val="00112084"/>
    <w:rsid w:val="00112289"/>
    <w:rsid w:val="0011257C"/>
    <w:rsid w:val="00112942"/>
    <w:rsid w:val="00112963"/>
    <w:rsid w:val="00112E4E"/>
    <w:rsid w:val="00112F1A"/>
    <w:rsid w:val="00112FCC"/>
    <w:rsid w:val="001131A2"/>
    <w:rsid w:val="00113B5B"/>
    <w:rsid w:val="00113D78"/>
    <w:rsid w:val="00114251"/>
    <w:rsid w:val="0011444B"/>
    <w:rsid w:val="00114679"/>
    <w:rsid w:val="001146DE"/>
    <w:rsid w:val="00114792"/>
    <w:rsid w:val="001149DE"/>
    <w:rsid w:val="00114D00"/>
    <w:rsid w:val="00114E6C"/>
    <w:rsid w:val="00114ED9"/>
    <w:rsid w:val="00115494"/>
    <w:rsid w:val="00115680"/>
    <w:rsid w:val="0011573E"/>
    <w:rsid w:val="00115AB6"/>
    <w:rsid w:val="0011636C"/>
    <w:rsid w:val="0011643F"/>
    <w:rsid w:val="00116608"/>
    <w:rsid w:val="00116A80"/>
    <w:rsid w:val="00116E2F"/>
    <w:rsid w:val="00116EDC"/>
    <w:rsid w:val="00117AFE"/>
    <w:rsid w:val="00117B98"/>
    <w:rsid w:val="00117E0F"/>
    <w:rsid w:val="00117F4E"/>
    <w:rsid w:val="001201E2"/>
    <w:rsid w:val="00120243"/>
    <w:rsid w:val="001202FE"/>
    <w:rsid w:val="001204F8"/>
    <w:rsid w:val="0012069B"/>
    <w:rsid w:val="001213C9"/>
    <w:rsid w:val="0012143D"/>
    <w:rsid w:val="0012182D"/>
    <w:rsid w:val="00121AC1"/>
    <w:rsid w:val="00121DFD"/>
    <w:rsid w:val="00122281"/>
    <w:rsid w:val="00122321"/>
    <w:rsid w:val="001223FB"/>
    <w:rsid w:val="00122487"/>
    <w:rsid w:val="00122593"/>
    <w:rsid w:val="001225C7"/>
    <w:rsid w:val="001225E0"/>
    <w:rsid w:val="001229A4"/>
    <w:rsid w:val="001229C0"/>
    <w:rsid w:val="00122DE8"/>
    <w:rsid w:val="00123207"/>
    <w:rsid w:val="0012347F"/>
    <w:rsid w:val="001237EB"/>
    <w:rsid w:val="00123B5A"/>
    <w:rsid w:val="00123CA8"/>
    <w:rsid w:val="00123CBE"/>
    <w:rsid w:val="00123CD1"/>
    <w:rsid w:val="00123EA0"/>
    <w:rsid w:val="00123FBA"/>
    <w:rsid w:val="00124257"/>
    <w:rsid w:val="0012437C"/>
    <w:rsid w:val="001247BC"/>
    <w:rsid w:val="00124BC5"/>
    <w:rsid w:val="00124C85"/>
    <w:rsid w:val="00124D47"/>
    <w:rsid w:val="00124DEF"/>
    <w:rsid w:val="00125199"/>
    <w:rsid w:val="001253E2"/>
    <w:rsid w:val="0012554B"/>
    <w:rsid w:val="00125741"/>
    <w:rsid w:val="001258E7"/>
    <w:rsid w:val="00125C01"/>
    <w:rsid w:val="00125E3B"/>
    <w:rsid w:val="001261AE"/>
    <w:rsid w:val="001261BC"/>
    <w:rsid w:val="001268A4"/>
    <w:rsid w:val="0012716A"/>
    <w:rsid w:val="001272D6"/>
    <w:rsid w:val="0012757D"/>
    <w:rsid w:val="001277B0"/>
    <w:rsid w:val="001279E7"/>
    <w:rsid w:val="00127AA6"/>
    <w:rsid w:val="00127AB6"/>
    <w:rsid w:val="00127CDF"/>
    <w:rsid w:val="0013029F"/>
    <w:rsid w:val="001302A7"/>
    <w:rsid w:val="001302DD"/>
    <w:rsid w:val="00130508"/>
    <w:rsid w:val="001306E5"/>
    <w:rsid w:val="001307EE"/>
    <w:rsid w:val="00130AC0"/>
    <w:rsid w:val="00130B6A"/>
    <w:rsid w:val="00130FE8"/>
    <w:rsid w:val="0013151E"/>
    <w:rsid w:val="001316C0"/>
    <w:rsid w:val="001318F6"/>
    <w:rsid w:val="00131B73"/>
    <w:rsid w:val="00131FF1"/>
    <w:rsid w:val="00132A53"/>
    <w:rsid w:val="00132CCC"/>
    <w:rsid w:val="00132CFA"/>
    <w:rsid w:val="00132D3B"/>
    <w:rsid w:val="00132DF9"/>
    <w:rsid w:val="00132F54"/>
    <w:rsid w:val="0013352E"/>
    <w:rsid w:val="001338ED"/>
    <w:rsid w:val="00133B55"/>
    <w:rsid w:val="00133CC8"/>
    <w:rsid w:val="001340AA"/>
    <w:rsid w:val="00134867"/>
    <w:rsid w:val="001348DB"/>
    <w:rsid w:val="001349D5"/>
    <w:rsid w:val="00134A19"/>
    <w:rsid w:val="00134BC1"/>
    <w:rsid w:val="00134D0E"/>
    <w:rsid w:val="00135021"/>
    <w:rsid w:val="00135075"/>
    <w:rsid w:val="001353CB"/>
    <w:rsid w:val="001354D3"/>
    <w:rsid w:val="0013559D"/>
    <w:rsid w:val="00135839"/>
    <w:rsid w:val="00135D3C"/>
    <w:rsid w:val="00135D78"/>
    <w:rsid w:val="00135E4C"/>
    <w:rsid w:val="00135EB6"/>
    <w:rsid w:val="00135FDE"/>
    <w:rsid w:val="001361B0"/>
    <w:rsid w:val="001361BB"/>
    <w:rsid w:val="0013623A"/>
    <w:rsid w:val="00136544"/>
    <w:rsid w:val="00136EE1"/>
    <w:rsid w:val="00136F44"/>
    <w:rsid w:val="0013760C"/>
    <w:rsid w:val="001377B7"/>
    <w:rsid w:val="00137A73"/>
    <w:rsid w:val="001402EB"/>
    <w:rsid w:val="00140308"/>
    <w:rsid w:val="00140361"/>
    <w:rsid w:val="0014064E"/>
    <w:rsid w:val="00140AF9"/>
    <w:rsid w:val="00140B49"/>
    <w:rsid w:val="00141045"/>
    <w:rsid w:val="001412C0"/>
    <w:rsid w:val="00141407"/>
    <w:rsid w:val="001414C0"/>
    <w:rsid w:val="00141817"/>
    <w:rsid w:val="001418AA"/>
    <w:rsid w:val="00141C8E"/>
    <w:rsid w:val="00141FB1"/>
    <w:rsid w:val="00142615"/>
    <w:rsid w:val="00142BE7"/>
    <w:rsid w:val="00142C81"/>
    <w:rsid w:val="001434CD"/>
    <w:rsid w:val="00143523"/>
    <w:rsid w:val="001435A8"/>
    <w:rsid w:val="0014365B"/>
    <w:rsid w:val="00143C21"/>
    <w:rsid w:val="00143D67"/>
    <w:rsid w:val="00143F4D"/>
    <w:rsid w:val="001442D0"/>
    <w:rsid w:val="001448B6"/>
    <w:rsid w:val="00144BD4"/>
    <w:rsid w:val="00144C2F"/>
    <w:rsid w:val="00144FA2"/>
    <w:rsid w:val="0014509A"/>
    <w:rsid w:val="00145118"/>
    <w:rsid w:val="00145239"/>
    <w:rsid w:val="00145284"/>
    <w:rsid w:val="001453AC"/>
    <w:rsid w:val="00145467"/>
    <w:rsid w:val="0014551D"/>
    <w:rsid w:val="001456AB"/>
    <w:rsid w:val="001456F8"/>
    <w:rsid w:val="00145B43"/>
    <w:rsid w:val="00146209"/>
    <w:rsid w:val="001464BE"/>
    <w:rsid w:val="0014659D"/>
    <w:rsid w:val="00146875"/>
    <w:rsid w:val="001469A5"/>
    <w:rsid w:val="001469E3"/>
    <w:rsid w:val="001469EC"/>
    <w:rsid w:val="00146FA3"/>
    <w:rsid w:val="001478EC"/>
    <w:rsid w:val="00150690"/>
    <w:rsid w:val="00150783"/>
    <w:rsid w:val="00150C74"/>
    <w:rsid w:val="00150D31"/>
    <w:rsid w:val="00150E9E"/>
    <w:rsid w:val="00151546"/>
    <w:rsid w:val="00151BC2"/>
    <w:rsid w:val="00151CD9"/>
    <w:rsid w:val="00151EAD"/>
    <w:rsid w:val="001523A8"/>
    <w:rsid w:val="001524E6"/>
    <w:rsid w:val="001526E3"/>
    <w:rsid w:val="0015271D"/>
    <w:rsid w:val="00152854"/>
    <w:rsid w:val="00152A03"/>
    <w:rsid w:val="00152EAB"/>
    <w:rsid w:val="00152F4C"/>
    <w:rsid w:val="0015341E"/>
    <w:rsid w:val="001534BC"/>
    <w:rsid w:val="0015365C"/>
    <w:rsid w:val="0015366D"/>
    <w:rsid w:val="001537EE"/>
    <w:rsid w:val="001538E4"/>
    <w:rsid w:val="00153A9A"/>
    <w:rsid w:val="00153CC4"/>
    <w:rsid w:val="0015410E"/>
    <w:rsid w:val="00154144"/>
    <w:rsid w:val="001544D3"/>
    <w:rsid w:val="001544FD"/>
    <w:rsid w:val="00154A07"/>
    <w:rsid w:val="00155408"/>
    <w:rsid w:val="00155967"/>
    <w:rsid w:val="00155C67"/>
    <w:rsid w:val="001564FA"/>
    <w:rsid w:val="0015654D"/>
    <w:rsid w:val="00156561"/>
    <w:rsid w:val="001568FD"/>
    <w:rsid w:val="0015692B"/>
    <w:rsid w:val="00156CCD"/>
    <w:rsid w:val="001577BE"/>
    <w:rsid w:val="00157825"/>
    <w:rsid w:val="00157A6D"/>
    <w:rsid w:val="00160559"/>
    <w:rsid w:val="0016058D"/>
    <w:rsid w:val="00160753"/>
    <w:rsid w:val="0016099C"/>
    <w:rsid w:val="001609A0"/>
    <w:rsid w:val="001610F7"/>
    <w:rsid w:val="001611EF"/>
    <w:rsid w:val="00161412"/>
    <w:rsid w:val="0016152B"/>
    <w:rsid w:val="001617CC"/>
    <w:rsid w:val="0016187D"/>
    <w:rsid w:val="00161C2E"/>
    <w:rsid w:val="00161EBD"/>
    <w:rsid w:val="0016217A"/>
    <w:rsid w:val="00162193"/>
    <w:rsid w:val="001623C6"/>
    <w:rsid w:val="0016245E"/>
    <w:rsid w:val="0016249A"/>
    <w:rsid w:val="0016292E"/>
    <w:rsid w:val="00162943"/>
    <w:rsid w:val="00162988"/>
    <w:rsid w:val="0016298B"/>
    <w:rsid w:val="00162F3A"/>
    <w:rsid w:val="0016303D"/>
    <w:rsid w:val="001631C5"/>
    <w:rsid w:val="001632E6"/>
    <w:rsid w:val="0016344D"/>
    <w:rsid w:val="00163484"/>
    <w:rsid w:val="001636AE"/>
    <w:rsid w:val="0016384E"/>
    <w:rsid w:val="0016396A"/>
    <w:rsid w:val="00163976"/>
    <w:rsid w:val="0016399E"/>
    <w:rsid w:val="00163DEA"/>
    <w:rsid w:val="00164868"/>
    <w:rsid w:val="001648DE"/>
    <w:rsid w:val="001649DF"/>
    <w:rsid w:val="001649F4"/>
    <w:rsid w:val="00164CD3"/>
    <w:rsid w:val="0016559D"/>
    <w:rsid w:val="00165D60"/>
    <w:rsid w:val="00165FA3"/>
    <w:rsid w:val="001662C6"/>
    <w:rsid w:val="00166DDB"/>
    <w:rsid w:val="00166E3E"/>
    <w:rsid w:val="001670A5"/>
    <w:rsid w:val="001673CB"/>
    <w:rsid w:val="00167709"/>
    <w:rsid w:val="00167BE3"/>
    <w:rsid w:val="00167C8B"/>
    <w:rsid w:val="00167F3A"/>
    <w:rsid w:val="0017013B"/>
    <w:rsid w:val="00170263"/>
    <w:rsid w:val="0017035E"/>
    <w:rsid w:val="001703FB"/>
    <w:rsid w:val="00170566"/>
    <w:rsid w:val="0017096E"/>
    <w:rsid w:val="00170C31"/>
    <w:rsid w:val="00170F4A"/>
    <w:rsid w:val="0017124E"/>
    <w:rsid w:val="001713FD"/>
    <w:rsid w:val="00172191"/>
    <w:rsid w:val="001722A2"/>
    <w:rsid w:val="0017245D"/>
    <w:rsid w:val="00172585"/>
    <w:rsid w:val="00172594"/>
    <w:rsid w:val="00172818"/>
    <w:rsid w:val="0017285D"/>
    <w:rsid w:val="0017298A"/>
    <w:rsid w:val="00172EA5"/>
    <w:rsid w:val="00172F95"/>
    <w:rsid w:val="001731D8"/>
    <w:rsid w:val="00173253"/>
    <w:rsid w:val="001732BB"/>
    <w:rsid w:val="0017334E"/>
    <w:rsid w:val="0017349B"/>
    <w:rsid w:val="001737B1"/>
    <w:rsid w:val="0017380B"/>
    <w:rsid w:val="0017392A"/>
    <w:rsid w:val="00173E7C"/>
    <w:rsid w:val="001740FF"/>
    <w:rsid w:val="0017428C"/>
    <w:rsid w:val="00174543"/>
    <w:rsid w:val="001746FE"/>
    <w:rsid w:val="00174968"/>
    <w:rsid w:val="00174AED"/>
    <w:rsid w:val="0017526A"/>
    <w:rsid w:val="00175283"/>
    <w:rsid w:val="0017557C"/>
    <w:rsid w:val="001756D1"/>
    <w:rsid w:val="0017589B"/>
    <w:rsid w:val="00175C36"/>
    <w:rsid w:val="00175DAD"/>
    <w:rsid w:val="00175EC1"/>
    <w:rsid w:val="001766F8"/>
    <w:rsid w:val="00176813"/>
    <w:rsid w:val="00176A6F"/>
    <w:rsid w:val="00176DA1"/>
    <w:rsid w:val="00176F17"/>
    <w:rsid w:val="00177056"/>
    <w:rsid w:val="0017756E"/>
    <w:rsid w:val="001777ED"/>
    <w:rsid w:val="00177C13"/>
    <w:rsid w:val="00177C63"/>
    <w:rsid w:val="00177D40"/>
    <w:rsid w:val="00177E43"/>
    <w:rsid w:val="00180291"/>
    <w:rsid w:val="001807D4"/>
    <w:rsid w:val="00180C8B"/>
    <w:rsid w:val="00180D7E"/>
    <w:rsid w:val="00180F95"/>
    <w:rsid w:val="00180FD9"/>
    <w:rsid w:val="00181096"/>
    <w:rsid w:val="0018124B"/>
    <w:rsid w:val="001812B5"/>
    <w:rsid w:val="001814F4"/>
    <w:rsid w:val="001815BB"/>
    <w:rsid w:val="00181E42"/>
    <w:rsid w:val="00181E68"/>
    <w:rsid w:val="0018278C"/>
    <w:rsid w:val="00182C63"/>
    <w:rsid w:val="00182DC5"/>
    <w:rsid w:val="001831FE"/>
    <w:rsid w:val="00183374"/>
    <w:rsid w:val="00183736"/>
    <w:rsid w:val="0018377C"/>
    <w:rsid w:val="00183798"/>
    <w:rsid w:val="00183867"/>
    <w:rsid w:val="0018390A"/>
    <w:rsid w:val="00183D71"/>
    <w:rsid w:val="00183E04"/>
    <w:rsid w:val="00183E1C"/>
    <w:rsid w:val="00183E73"/>
    <w:rsid w:val="00183EA7"/>
    <w:rsid w:val="00183F3B"/>
    <w:rsid w:val="00184226"/>
    <w:rsid w:val="0018427B"/>
    <w:rsid w:val="001843D6"/>
    <w:rsid w:val="001844E6"/>
    <w:rsid w:val="00184730"/>
    <w:rsid w:val="0018481A"/>
    <w:rsid w:val="00184C50"/>
    <w:rsid w:val="00184D0D"/>
    <w:rsid w:val="00184EF1"/>
    <w:rsid w:val="00184F48"/>
    <w:rsid w:val="0018567F"/>
    <w:rsid w:val="001857A6"/>
    <w:rsid w:val="00185B94"/>
    <w:rsid w:val="00185BD2"/>
    <w:rsid w:val="00185D08"/>
    <w:rsid w:val="00185E36"/>
    <w:rsid w:val="00186453"/>
    <w:rsid w:val="00186548"/>
    <w:rsid w:val="0018741C"/>
    <w:rsid w:val="001874F0"/>
    <w:rsid w:val="001875B2"/>
    <w:rsid w:val="00187936"/>
    <w:rsid w:val="0018796A"/>
    <w:rsid w:val="001879E1"/>
    <w:rsid w:val="001879F6"/>
    <w:rsid w:val="00190463"/>
    <w:rsid w:val="00190497"/>
    <w:rsid w:val="0019076E"/>
    <w:rsid w:val="00190B21"/>
    <w:rsid w:val="00190B2C"/>
    <w:rsid w:val="00191175"/>
    <w:rsid w:val="00191445"/>
    <w:rsid w:val="001914AF"/>
    <w:rsid w:val="001915DC"/>
    <w:rsid w:val="001916DD"/>
    <w:rsid w:val="00191802"/>
    <w:rsid w:val="00191A62"/>
    <w:rsid w:val="00191B99"/>
    <w:rsid w:val="00191D50"/>
    <w:rsid w:val="00191DA2"/>
    <w:rsid w:val="0019259E"/>
    <w:rsid w:val="001925EE"/>
    <w:rsid w:val="001928B1"/>
    <w:rsid w:val="00192A66"/>
    <w:rsid w:val="00192BB2"/>
    <w:rsid w:val="00193469"/>
    <w:rsid w:val="001938F4"/>
    <w:rsid w:val="00193AFB"/>
    <w:rsid w:val="00193E44"/>
    <w:rsid w:val="00194139"/>
    <w:rsid w:val="0019418A"/>
    <w:rsid w:val="00194487"/>
    <w:rsid w:val="001949FE"/>
    <w:rsid w:val="00194F2D"/>
    <w:rsid w:val="00194F6D"/>
    <w:rsid w:val="001951AF"/>
    <w:rsid w:val="00195243"/>
    <w:rsid w:val="00195609"/>
    <w:rsid w:val="00195B72"/>
    <w:rsid w:val="00195B8B"/>
    <w:rsid w:val="00195BF7"/>
    <w:rsid w:val="00195C77"/>
    <w:rsid w:val="00195D3B"/>
    <w:rsid w:val="00195D85"/>
    <w:rsid w:val="00195EB4"/>
    <w:rsid w:val="00196241"/>
    <w:rsid w:val="00196336"/>
    <w:rsid w:val="00196356"/>
    <w:rsid w:val="0019646E"/>
    <w:rsid w:val="001969E5"/>
    <w:rsid w:val="00196CBC"/>
    <w:rsid w:val="001976B7"/>
    <w:rsid w:val="001977CA"/>
    <w:rsid w:val="00197905"/>
    <w:rsid w:val="00197921"/>
    <w:rsid w:val="00197990"/>
    <w:rsid w:val="00197A80"/>
    <w:rsid w:val="00197CAB"/>
    <w:rsid w:val="00197CBF"/>
    <w:rsid w:val="00197D40"/>
    <w:rsid w:val="00197FC6"/>
    <w:rsid w:val="001A0278"/>
    <w:rsid w:val="001A08E5"/>
    <w:rsid w:val="001A0A29"/>
    <w:rsid w:val="001A0FBC"/>
    <w:rsid w:val="001A10E7"/>
    <w:rsid w:val="001A1192"/>
    <w:rsid w:val="001A11F5"/>
    <w:rsid w:val="001A1358"/>
    <w:rsid w:val="001A1536"/>
    <w:rsid w:val="001A1C91"/>
    <w:rsid w:val="001A1E76"/>
    <w:rsid w:val="001A1E87"/>
    <w:rsid w:val="001A1F0E"/>
    <w:rsid w:val="001A2021"/>
    <w:rsid w:val="001A255F"/>
    <w:rsid w:val="001A2BE8"/>
    <w:rsid w:val="001A3636"/>
    <w:rsid w:val="001A37F5"/>
    <w:rsid w:val="001A39C0"/>
    <w:rsid w:val="001A3AA1"/>
    <w:rsid w:val="001A3C7B"/>
    <w:rsid w:val="001A3D30"/>
    <w:rsid w:val="001A3EE7"/>
    <w:rsid w:val="001A3EE9"/>
    <w:rsid w:val="001A4210"/>
    <w:rsid w:val="001A44DE"/>
    <w:rsid w:val="001A4900"/>
    <w:rsid w:val="001A494E"/>
    <w:rsid w:val="001A4C76"/>
    <w:rsid w:val="001A4FC1"/>
    <w:rsid w:val="001A541C"/>
    <w:rsid w:val="001A545D"/>
    <w:rsid w:val="001A59EB"/>
    <w:rsid w:val="001A5A19"/>
    <w:rsid w:val="001A5E86"/>
    <w:rsid w:val="001A614C"/>
    <w:rsid w:val="001A6356"/>
    <w:rsid w:val="001A6431"/>
    <w:rsid w:val="001A6B16"/>
    <w:rsid w:val="001A7215"/>
    <w:rsid w:val="001A72C0"/>
    <w:rsid w:val="001A7594"/>
    <w:rsid w:val="001A7AD6"/>
    <w:rsid w:val="001A7F86"/>
    <w:rsid w:val="001B033B"/>
    <w:rsid w:val="001B0407"/>
    <w:rsid w:val="001B056E"/>
    <w:rsid w:val="001B0974"/>
    <w:rsid w:val="001B0BFA"/>
    <w:rsid w:val="001B1473"/>
    <w:rsid w:val="001B15AC"/>
    <w:rsid w:val="001B15B9"/>
    <w:rsid w:val="001B198B"/>
    <w:rsid w:val="001B1CEF"/>
    <w:rsid w:val="001B2491"/>
    <w:rsid w:val="001B249A"/>
    <w:rsid w:val="001B26DD"/>
    <w:rsid w:val="001B2875"/>
    <w:rsid w:val="001B2A44"/>
    <w:rsid w:val="001B2FB7"/>
    <w:rsid w:val="001B3111"/>
    <w:rsid w:val="001B3259"/>
    <w:rsid w:val="001B3AA3"/>
    <w:rsid w:val="001B3AC9"/>
    <w:rsid w:val="001B3D5D"/>
    <w:rsid w:val="001B41AF"/>
    <w:rsid w:val="001B45E2"/>
    <w:rsid w:val="001B48E7"/>
    <w:rsid w:val="001B491A"/>
    <w:rsid w:val="001B4957"/>
    <w:rsid w:val="001B4A90"/>
    <w:rsid w:val="001B4B4F"/>
    <w:rsid w:val="001B4C4A"/>
    <w:rsid w:val="001B4EC7"/>
    <w:rsid w:val="001B4EDB"/>
    <w:rsid w:val="001B5250"/>
    <w:rsid w:val="001B540E"/>
    <w:rsid w:val="001B56A0"/>
    <w:rsid w:val="001B5780"/>
    <w:rsid w:val="001B5A4A"/>
    <w:rsid w:val="001B5E3D"/>
    <w:rsid w:val="001B6196"/>
    <w:rsid w:val="001B6388"/>
    <w:rsid w:val="001B64E9"/>
    <w:rsid w:val="001B6CD6"/>
    <w:rsid w:val="001B6FAE"/>
    <w:rsid w:val="001B6FD8"/>
    <w:rsid w:val="001B7492"/>
    <w:rsid w:val="001B75F2"/>
    <w:rsid w:val="001B7696"/>
    <w:rsid w:val="001B7D2F"/>
    <w:rsid w:val="001B7E2E"/>
    <w:rsid w:val="001B7F25"/>
    <w:rsid w:val="001B7FF7"/>
    <w:rsid w:val="001C02E3"/>
    <w:rsid w:val="001C034B"/>
    <w:rsid w:val="001C038D"/>
    <w:rsid w:val="001C0445"/>
    <w:rsid w:val="001C08B6"/>
    <w:rsid w:val="001C0B10"/>
    <w:rsid w:val="001C1622"/>
    <w:rsid w:val="001C1624"/>
    <w:rsid w:val="001C1A9B"/>
    <w:rsid w:val="001C1B9C"/>
    <w:rsid w:val="001C1BD9"/>
    <w:rsid w:val="001C1C38"/>
    <w:rsid w:val="001C1C90"/>
    <w:rsid w:val="001C1E63"/>
    <w:rsid w:val="001C2232"/>
    <w:rsid w:val="001C233C"/>
    <w:rsid w:val="001C23FE"/>
    <w:rsid w:val="001C2485"/>
    <w:rsid w:val="001C27CA"/>
    <w:rsid w:val="001C2BCB"/>
    <w:rsid w:val="001C2EDB"/>
    <w:rsid w:val="001C33CB"/>
    <w:rsid w:val="001C3493"/>
    <w:rsid w:val="001C36EF"/>
    <w:rsid w:val="001C3AF7"/>
    <w:rsid w:val="001C3B41"/>
    <w:rsid w:val="001C3DDA"/>
    <w:rsid w:val="001C4329"/>
    <w:rsid w:val="001C4747"/>
    <w:rsid w:val="001C4A2A"/>
    <w:rsid w:val="001C4D7F"/>
    <w:rsid w:val="001C4D9E"/>
    <w:rsid w:val="001C4E47"/>
    <w:rsid w:val="001C514C"/>
    <w:rsid w:val="001C54BF"/>
    <w:rsid w:val="001C5737"/>
    <w:rsid w:val="001C5ACA"/>
    <w:rsid w:val="001C5AE5"/>
    <w:rsid w:val="001C5B6D"/>
    <w:rsid w:val="001C5B74"/>
    <w:rsid w:val="001C5FFA"/>
    <w:rsid w:val="001C6156"/>
    <w:rsid w:val="001C627C"/>
    <w:rsid w:val="001C65BB"/>
    <w:rsid w:val="001C683E"/>
    <w:rsid w:val="001C6863"/>
    <w:rsid w:val="001C69B2"/>
    <w:rsid w:val="001C69F7"/>
    <w:rsid w:val="001C6B5A"/>
    <w:rsid w:val="001C6C5E"/>
    <w:rsid w:val="001C6E4E"/>
    <w:rsid w:val="001C7349"/>
    <w:rsid w:val="001D0489"/>
    <w:rsid w:val="001D0547"/>
    <w:rsid w:val="001D0D6B"/>
    <w:rsid w:val="001D127C"/>
    <w:rsid w:val="001D1362"/>
    <w:rsid w:val="001D1729"/>
    <w:rsid w:val="001D1846"/>
    <w:rsid w:val="001D1BA7"/>
    <w:rsid w:val="001D1D52"/>
    <w:rsid w:val="001D1E3E"/>
    <w:rsid w:val="001D2390"/>
    <w:rsid w:val="001D2407"/>
    <w:rsid w:val="001D2971"/>
    <w:rsid w:val="001D2E94"/>
    <w:rsid w:val="001D2F1C"/>
    <w:rsid w:val="001D2F76"/>
    <w:rsid w:val="001D2FB1"/>
    <w:rsid w:val="001D31FC"/>
    <w:rsid w:val="001D3235"/>
    <w:rsid w:val="001D33DC"/>
    <w:rsid w:val="001D340D"/>
    <w:rsid w:val="001D3468"/>
    <w:rsid w:val="001D36FE"/>
    <w:rsid w:val="001D38B6"/>
    <w:rsid w:val="001D3AAA"/>
    <w:rsid w:val="001D3D1E"/>
    <w:rsid w:val="001D40E5"/>
    <w:rsid w:val="001D4569"/>
    <w:rsid w:val="001D479E"/>
    <w:rsid w:val="001D47B8"/>
    <w:rsid w:val="001D47CC"/>
    <w:rsid w:val="001D480F"/>
    <w:rsid w:val="001D4938"/>
    <w:rsid w:val="001D49D3"/>
    <w:rsid w:val="001D4DE1"/>
    <w:rsid w:val="001D504C"/>
    <w:rsid w:val="001D522F"/>
    <w:rsid w:val="001D5958"/>
    <w:rsid w:val="001D5978"/>
    <w:rsid w:val="001D5ED1"/>
    <w:rsid w:val="001D6357"/>
    <w:rsid w:val="001D65A9"/>
    <w:rsid w:val="001D66D0"/>
    <w:rsid w:val="001D6754"/>
    <w:rsid w:val="001D6AF3"/>
    <w:rsid w:val="001D70AF"/>
    <w:rsid w:val="001D7246"/>
    <w:rsid w:val="001D7830"/>
    <w:rsid w:val="001D7A77"/>
    <w:rsid w:val="001D7A9D"/>
    <w:rsid w:val="001E0175"/>
    <w:rsid w:val="001E03FC"/>
    <w:rsid w:val="001E0607"/>
    <w:rsid w:val="001E080E"/>
    <w:rsid w:val="001E087C"/>
    <w:rsid w:val="001E08AC"/>
    <w:rsid w:val="001E0A28"/>
    <w:rsid w:val="001E1309"/>
    <w:rsid w:val="001E133B"/>
    <w:rsid w:val="001E165D"/>
    <w:rsid w:val="001E17F3"/>
    <w:rsid w:val="001E197F"/>
    <w:rsid w:val="001E1C8A"/>
    <w:rsid w:val="001E1C9B"/>
    <w:rsid w:val="001E1CF0"/>
    <w:rsid w:val="001E1FF4"/>
    <w:rsid w:val="001E201A"/>
    <w:rsid w:val="001E2052"/>
    <w:rsid w:val="001E20B2"/>
    <w:rsid w:val="001E2126"/>
    <w:rsid w:val="001E2177"/>
    <w:rsid w:val="001E2365"/>
    <w:rsid w:val="001E2391"/>
    <w:rsid w:val="001E24FE"/>
    <w:rsid w:val="001E25BF"/>
    <w:rsid w:val="001E2673"/>
    <w:rsid w:val="001E268E"/>
    <w:rsid w:val="001E2976"/>
    <w:rsid w:val="001E2990"/>
    <w:rsid w:val="001E2B4A"/>
    <w:rsid w:val="001E2BDB"/>
    <w:rsid w:val="001E2F72"/>
    <w:rsid w:val="001E300C"/>
    <w:rsid w:val="001E32D2"/>
    <w:rsid w:val="001E34AD"/>
    <w:rsid w:val="001E35EE"/>
    <w:rsid w:val="001E3821"/>
    <w:rsid w:val="001E3829"/>
    <w:rsid w:val="001E3B5C"/>
    <w:rsid w:val="001E3C5B"/>
    <w:rsid w:val="001E3C6D"/>
    <w:rsid w:val="001E3D9F"/>
    <w:rsid w:val="001E441F"/>
    <w:rsid w:val="001E454C"/>
    <w:rsid w:val="001E4649"/>
    <w:rsid w:val="001E4B1E"/>
    <w:rsid w:val="001E4B9B"/>
    <w:rsid w:val="001E504E"/>
    <w:rsid w:val="001E51F6"/>
    <w:rsid w:val="001E53E6"/>
    <w:rsid w:val="001E540B"/>
    <w:rsid w:val="001E558B"/>
    <w:rsid w:val="001E5751"/>
    <w:rsid w:val="001E5C14"/>
    <w:rsid w:val="001E5CC4"/>
    <w:rsid w:val="001E5E0E"/>
    <w:rsid w:val="001E5FB5"/>
    <w:rsid w:val="001E6A2B"/>
    <w:rsid w:val="001E6EA8"/>
    <w:rsid w:val="001E72A3"/>
    <w:rsid w:val="001E7596"/>
    <w:rsid w:val="001E7A80"/>
    <w:rsid w:val="001F0259"/>
    <w:rsid w:val="001F0425"/>
    <w:rsid w:val="001F04DE"/>
    <w:rsid w:val="001F093A"/>
    <w:rsid w:val="001F0CAB"/>
    <w:rsid w:val="001F0D17"/>
    <w:rsid w:val="001F0DC8"/>
    <w:rsid w:val="001F0EC6"/>
    <w:rsid w:val="001F101E"/>
    <w:rsid w:val="001F12E0"/>
    <w:rsid w:val="001F13D3"/>
    <w:rsid w:val="001F1BE7"/>
    <w:rsid w:val="001F1DEA"/>
    <w:rsid w:val="001F1F4A"/>
    <w:rsid w:val="001F1FD1"/>
    <w:rsid w:val="001F227F"/>
    <w:rsid w:val="001F2740"/>
    <w:rsid w:val="001F2A71"/>
    <w:rsid w:val="001F2A90"/>
    <w:rsid w:val="001F2D1F"/>
    <w:rsid w:val="001F2E0E"/>
    <w:rsid w:val="001F2EB4"/>
    <w:rsid w:val="001F307A"/>
    <w:rsid w:val="001F36C8"/>
    <w:rsid w:val="001F37C1"/>
    <w:rsid w:val="001F3C17"/>
    <w:rsid w:val="001F42D9"/>
    <w:rsid w:val="001F4857"/>
    <w:rsid w:val="001F4A40"/>
    <w:rsid w:val="001F537F"/>
    <w:rsid w:val="001F5472"/>
    <w:rsid w:val="001F566C"/>
    <w:rsid w:val="001F5D40"/>
    <w:rsid w:val="001F62A4"/>
    <w:rsid w:val="001F662A"/>
    <w:rsid w:val="001F69A7"/>
    <w:rsid w:val="001F6EE9"/>
    <w:rsid w:val="001F7653"/>
    <w:rsid w:val="001F7666"/>
    <w:rsid w:val="001F782A"/>
    <w:rsid w:val="001F7A38"/>
    <w:rsid w:val="001F7D7C"/>
    <w:rsid w:val="00200016"/>
    <w:rsid w:val="0020040C"/>
    <w:rsid w:val="002004A8"/>
    <w:rsid w:val="002004FE"/>
    <w:rsid w:val="002009F8"/>
    <w:rsid w:val="00200ED6"/>
    <w:rsid w:val="00201834"/>
    <w:rsid w:val="00201F63"/>
    <w:rsid w:val="0020203E"/>
    <w:rsid w:val="002024EB"/>
    <w:rsid w:val="00202545"/>
    <w:rsid w:val="00202C4C"/>
    <w:rsid w:val="00202D59"/>
    <w:rsid w:val="00202F3A"/>
    <w:rsid w:val="0020351D"/>
    <w:rsid w:val="002038E4"/>
    <w:rsid w:val="0020391D"/>
    <w:rsid w:val="00203D39"/>
    <w:rsid w:val="00203E67"/>
    <w:rsid w:val="00203F6A"/>
    <w:rsid w:val="00203FE8"/>
    <w:rsid w:val="002040F3"/>
    <w:rsid w:val="0020411D"/>
    <w:rsid w:val="002047F5"/>
    <w:rsid w:val="00204A9E"/>
    <w:rsid w:val="00204B1A"/>
    <w:rsid w:val="00204B41"/>
    <w:rsid w:val="00204D19"/>
    <w:rsid w:val="00205180"/>
    <w:rsid w:val="002052C3"/>
    <w:rsid w:val="002053D9"/>
    <w:rsid w:val="00205429"/>
    <w:rsid w:val="00205A63"/>
    <w:rsid w:val="00206464"/>
    <w:rsid w:val="00206748"/>
    <w:rsid w:val="00206952"/>
    <w:rsid w:val="002069A2"/>
    <w:rsid w:val="00206A21"/>
    <w:rsid w:val="00207230"/>
    <w:rsid w:val="002073AB"/>
    <w:rsid w:val="002079B4"/>
    <w:rsid w:val="00207A1F"/>
    <w:rsid w:val="00207A76"/>
    <w:rsid w:val="00207B30"/>
    <w:rsid w:val="00207BDA"/>
    <w:rsid w:val="0021042C"/>
    <w:rsid w:val="002104E5"/>
    <w:rsid w:val="002108B1"/>
    <w:rsid w:val="00210A2E"/>
    <w:rsid w:val="00210B05"/>
    <w:rsid w:val="00210CAA"/>
    <w:rsid w:val="00211234"/>
    <w:rsid w:val="00211265"/>
    <w:rsid w:val="002114E6"/>
    <w:rsid w:val="002117C3"/>
    <w:rsid w:val="002117FE"/>
    <w:rsid w:val="0021183D"/>
    <w:rsid w:val="00211903"/>
    <w:rsid w:val="00211D80"/>
    <w:rsid w:val="00211D82"/>
    <w:rsid w:val="00212008"/>
    <w:rsid w:val="0021201B"/>
    <w:rsid w:val="002122D0"/>
    <w:rsid w:val="00212556"/>
    <w:rsid w:val="002127B3"/>
    <w:rsid w:val="002128B1"/>
    <w:rsid w:val="00212B32"/>
    <w:rsid w:val="00212BE0"/>
    <w:rsid w:val="00212E92"/>
    <w:rsid w:val="0021317F"/>
    <w:rsid w:val="002132FD"/>
    <w:rsid w:val="002134CD"/>
    <w:rsid w:val="002137E0"/>
    <w:rsid w:val="00213D9A"/>
    <w:rsid w:val="00213E4F"/>
    <w:rsid w:val="00214901"/>
    <w:rsid w:val="00214968"/>
    <w:rsid w:val="00214D97"/>
    <w:rsid w:val="00214F4F"/>
    <w:rsid w:val="002151A7"/>
    <w:rsid w:val="002159ED"/>
    <w:rsid w:val="00215A9E"/>
    <w:rsid w:val="00215FB3"/>
    <w:rsid w:val="00216445"/>
    <w:rsid w:val="00216B78"/>
    <w:rsid w:val="00216F53"/>
    <w:rsid w:val="00217063"/>
    <w:rsid w:val="002171CA"/>
    <w:rsid w:val="00217223"/>
    <w:rsid w:val="002174AC"/>
    <w:rsid w:val="0021761E"/>
    <w:rsid w:val="00217888"/>
    <w:rsid w:val="00217ACE"/>
    <w:rsid w:val="00217B2F"/>
    <w:rsid w:val="00217CFA"/>
    <w:rsid w:val="002203DA"/>
    <w:rsid w:val="00220425"/>
    <w:rsid w:val="002204AA"/>
    <w:rsid w:val="002205EE"/>
    <w:rsid w:val="00220758"/>
    <w:rsid w:val="00220940"/>
    <w:rsid w:val="00220AD4"/>
    <w:rsid w:val="00220EE1"/>
    <w:rsid w:val="00221035"/>
    <w:rsid w:val="002214E5"/>
    <w:rsid w:val="00221802"/>
    <w:rsid w:val="00221CAF"/>
    <w:rsid w:val="00221D04"/>
    <w:rsid w:val="00221D50"/>
    <w:rsid w:val="00221FB1"/>
    <w:rsid w:val="00221FE7"/>
    <w:rsid w:val="00222068"/>
    <w:rsid w:val="00222211"/>
    <w:rsid w:val="00222291"/>
    <w:rsid w:val="00222778"/>
    <w:rsid w:val="002227D8"/>
    <w:rsid w:val="002227EB"/>
    <w:rsid w:val="00222F37"/>
    <w:rsid w:val="00223037"/>
    <w:rsid w:val="002230B4"/>
    <w:rsid w:val="00223110"/>
    <w:rsid w:val="002235FE"/>
    <w:rsid w:val="00223625"/>
    <w:rsid w:val="00223659"/>
    <w:rsid w:val="00223711"/>
    <w:rsid w:val="00223949"/>
    <w:rsid w:val="00224506"/>
    <w:rsid w:val="0022460B"/>
    <w:rsid w:val="002247A0"/>
    <w:rsid w:val="00224984"/>
    <w:rsid w:val="00224CBA"/>
    <w:rsid w:val="00224F43"/>
    <w:rsid w:val="00224F8B"/>
    <w:rsid w:val="0022589D"/>
    <w:rsid w:val="002258FA"/>
    <w:rsid w:val="00225EE2"/>
    <w:rsid w:val="00226095"/>
    <w:rsid w:val="002262BA"/>
    <w:rsid w:val="00226537"/>
    <w:rsid w:val="00226DA3"/>
    <w:rsid w:val="00227345"/>
    <w:rsid w:val="00227729"/>
    <w:rsid w:val="0023005B"/>
    <w:rsid w:val="002302B2"/>
    <w:rsid w:val="002302C3"/>
    <w:rsid w:val="0023036A"/>
    <w:rsid w:val="002303E0"/>
    <w:rsid w:val="00230738"/>
    <w:rsid w:val="002308CF"/>
    <w:rsid w:val="00231197"/>
    <w:rsid w:val="002317E8"/>
    <w:rsid w:val="002319ED"/>
    <w:rsid w:val="00231C56"/>
    <w:rsid w:val="00231F14"/>
    <w:rsid w:val="0023206C"/>
    <w:rsid w:val="00232771"/>
    <w:rsid w:val="00232887"/>
    <w:rsid w:val="00232977"/>
    <w:rsid w:val="00232A61"/>
    <w:rsid w:val="00232CC9"/>
    <w:rsid w:val="00232E03"/>
    <w:rsid w:val="0023309C"/>
    <w:rsid w:val="002332F7"/>
    <w:rsid w:val="0023339E"/>
    <w:rsid w:val="00233A2B"/>
    <w:rsid w:val="00233C45"/>
    <w:rsid w:val="00233E0C"/>
    <w:rsid w:val="00233E50"/>
    <w:rsid w:val="00233E8C"/>
    <w:rsid w:val="002341B7"/>
    <w:rsid w:val="00234843"/>
    <w:rsid w:val="00234893"/>
    <w:rsid w:val="002348B6"/>
    <w:rsid w:val="00235414"/>
    <w:rsid w:val="0023546E"/>
    <w:rsid w:val="002356FA"/>
    <w:rsid w:val="00235E80"/>
    <w:rsid w:val="00235EE0"/>
    <w:rsid w:val="002361AA"/>
    <w:rsid w:val="00236276"/>
    <w:rsid w:val="002366F9"/>
    <w:rsid w:val="00236A75"/>
    <w:rsid w:val="00236B50"/>
    <w:rsid w:val="00236B8F"/>
    <w:rsid w:val="002375B8"/>
    <w:rsid w:val="00237903"/>
    <w:rsid w:val="00237DD3"/>
    <w:rsid w:val="00237F5C"/>
    <w:rsid w:val="00240037"/>
    <w:rsid w:val="0024045F"/>
    <w:rsid w:val="002404B9"/>
    <w:rsid w:val="00240529"/>
    <w:rsid w:val="00240980"/>
    <w:rsid w:val="00240C00"/>
    <w:rsid w:val="00241113"/>
    <w:rsid w:val="00241372"/>
    <w:rsid w:val="00241499"/>
    <w:rsid w:val="00241B33"/>
    <w:rsid w:val="00241E08"/>
    <w:rsid w:val="0024201F"/>
    <w:rsid w:val="00242281"/>
    <w:rsid w:val="002423FA"/>
    <w:rsid w:val="002424E6"/>
    <w:rsid w:val="00242629"/>
    <w:rsid w:val="00242B27"/>
    <w:rsid w:val="002432B6"/>
    <w:rsid w:val="002435A8"/>
    <w:rsid w:val="00243775"/>
    <w:rsid w:val="00243AF7"/>
    <w:rsid w:val="00243CBE"/>
    <w:rsid w:val="00243FFE"/>
    <w:rsid w:val="0024429E"/>
    <w:rsid w:val="002442B2"/>
    <w:rsid w:val="002446A3"/>
    <w:rsid w:val="00244773"/>
    <w:rsid w:val="00244FAE"/>
    <w:rsid w:val="0024507D"/>
    <w:rsid w:val="00245314"/>
    <w:rsid w:val="002455F0"/>
    <w:rsid w:val="002457A1"/>
    <w:rsid w:val="00245917"/>
    <w:rsid w:val="00245ABE"/>
    <w:rsid w:val="00245C15"/>
    <w:rsid w:val="00245C51"/>
    <w:rsid w:val="00245CBB"/>
    <w:rsid w:val="00245D69"/>
    <w:rsid w:val="00245F17"/>
    <w:rsid w:val="002460D7"/>
    <w:rsid w:val="00246600"/>
    <w:rsid w:val="00246C35"/>
    <w:rsid w:val="00246C48"/>
    <w:rsid w:val="00246FA9"/>
    <w:rsid w:val="00247372"/>
    <w:rsid w:val="002478E2"/>
    <w:rsid w:val="0024792B"/>
    <w:rsid w:val="002479AA"/>
    <w:rsid w:val="00247C4B"/>
    <w:rsid w:val="002500F4"/>
    <w:rsid w:val="00250283"/>
    <w:rsid w:val="002502EA"/>
    <w:rsid w:val="0025048D"/>
    <w:rsid w:val="00250540"/>
    <w:rsid w:val="002509DE"/>
    <w:rsid w:val="00250AE5"/>
    <w:rsid w:val="00250B22"/>
    <w:rsid w:val="00250C31"/>
    <w:rsid w:val="00250E46"/>
    <w:rsid w:val="002513BD"/>
    <w:rsid w:val="002514E4"/>
    <w:rsid w:val="00251661"/>
    <w:rsid w:val="002519B1"/>
    <w:rsid w:val="00251A56"/>
    <w:rsid w:val="00251B79"/>
    <w:rsid w:val="00251C80"/>
    <w:rsid w:val="00251CF5"/>
    <w:rsid w:val="00251F74"/>
    <w:rsid w:val="00252068"/>
    <w:rsid w:val="00252182"/>
    <w:rsid w:val="002529CB"/>
    <w:rsid w:val="00252C0F"/>
    <w:rsid w:val="00252D45"/>
    <w:rsid w:val="002532CF"/>
    <w:rsid w:val="00253491"/>
    <w:rsid w:val="00253494"/>
    <w:rsid w:val="00253A95"/>
    <w:rsid w:val="00253E0A"/>
    <w:rsid w:val="00253F39"/>
    <w:rsid w:val="00253FE7"/>
    <w:rsid w:val="0025405C"/>
    <w:rsid w:val="0025427F"/>
    <w:rsid w:val="00254628"/>
    <w:rsid w:val="0025480C"/>
    <w:rsid w:val="00254C1B"/>
    <w:rsid w:val="00254FCA"/>
    <w:rsid w:val="00255153"/>
    <w:rsid w:val="00255168"/>
    <w:rsid w:val="00255496"/>
    <w:rsid w:val="002559F7"/>
    <w:rsid w:val="00255AE1"/>
    <w:rsid w:val="00255E04"/>
    <w:rsid w:val="002560E3"/>
    <w:rsid w:val="002561CD"/>
    <w:rsid w:val="002567C3"/>
    <w:rsid w:val="00256AFA"/>
    <w:rsid w:val="00256B0A"/>
    <w:rsid w:val="00256E0F"/>
    <w:rsid w:val="00256E7E"/>
    <w:rsid w:val="00256EBB"/>
    <w:rsid w:val="0025703F"/>
    <w:rsid w:val="00257192"/>
    <w:rsid w:val="002571A5"/>
    <w:rsid w:val="002574C4"/>
    <w:rsid w:val="00257798"/>
    <w:rsid w:val="002577B1"/>
    <w:rsid w:val="00257887"/>
    <w:rsid w:val="0025796E"/>
    <w:rsid w:val="00257986"/>
    <w:rsid w:val="00257C5B"/>
    <w:rsid w:val="00257E78"/>
    <w:rsid w:val="00257F77"/>
    <w:rsid w:val="002601A8"/>
    <w:rsid w:val="0026057A"/>
    <w:rsid w:val="00260A92"/>
    <w:rsid w:val="00260DA9"/>
    <w:rsid w:val="00260E19"/>
    <w:rsid w:val="00260F2B"/>
    <w:rsid w:val="0026101F"/>
    <w:rsid w:val="002612AA"/>
    <w:rsid w:val="00261514"/>
    <w:rsid w:val="00261CAE"/>
    <w:rsid w:val="00261D0B"/>
    <w:rsid w:val="00261D52"/>
    <w:rsid w:val="00261E32"/>
    <w:rsid w:val="00261F17"/>
    <w:rsid w:val="00261F89"/>
    <w:rsid w:val="002625DD"/>
    <w:rsid w:val="002626F3"/>
    <w:rsid w:val="00262A03"/>
    <w:rsid w:val="00263234"/>
    <w:rsid w:val="002632DC"/>
    <w:rsid w:val="00263553"/>
    <w:rsid w:val="002635C7"/>
    <w:rsid w:val="002637A0"/>
    <w:rsid w:val="00263B85"/>
    <w:rsid w:val="00263DDA"/>
    <w:rsid w:val="00263E3A"/>
    <w:rsid w:val="00264389"/>
    <w:rsid w:val="00264449"/>
    <w:rsid w:val="0026460B"/>
    <w:rsid w:val="00264807"/>
    <w:rsid w:val="00264980"/>
    <w:rsid w:val="00264CFD"/>
    <w:rsid w:val="00265004"/>
    <w:rsid w:val="002655B4"/>
    <w:rsid w:val="0026588C"/>
    <w:rsid w:val="00266636"/>
    <w:rsid w:val="002666E4"/>
    <w:rsid w:val="002668F0"/>
    <w:rsid w:val="00266BD2"/>
    <w:rsid w:val="00267248"/>
    <w:rsid w:val="0026764F"/>
    <w:rsid w:val="00267CB5"/>
    <w:rsid w:val="002700EF"/>
    <w:rsid w:val="00270858"/>
    <w:rsid w:val="002708BE"/>
    <w:rsid w:val="00270EBC"/>
    <w:rsid w:val="002714C6"/>
    <w:rsid w:val="0027155D"/>
    <w:rsid w:val="00271656"/>
    <w:rsid w:val="002716A8"/>
    <w:rsid w:val="00271891"/>
    <w:rsid w:val="002721A7"/>
    <w:rsid w:val="002721F3"/>
    <w:rsid w:val="002723AD"/>
    <w:rsid w:val="002723E3"/>
    <w:rsid w:val="00272511"/>
    <w:rsid w:val="002729FC"/>
    <w:rsid w:val="00272F08"/>
    <w:rsid w:val="00272F2C"/>
    <w:rsid w:val="00273492"/>
    <w:rsid w:val="002736A2"/>
    <w:rsid w:val="00273C3E"/>
    <w:rsid w:val="00273F8B"/>
    <w:rsid w:val="00274562"/>
    <w:rsid w:val="00274C3B"/>
    <w:rsid w:val="00274DD8"/>
    <w:rsid w:val="00274F20"/>
    <w:rsid w:val="00275094"/>
    <w:rsid w:val="002752CA"/>
    <w:rsid w:val="002752CB"/>
    <w:rsid w:val="002753A5"/>
    <w:rsid w:val="002755D3"/>
    <w:rsid w:val="002757F1"/>
    <w:rsid w:val="00275C16"/>
    <w:rsid w:val="00275C85"/>
    <w:rsid w:val="00275CBB"/>
    <w:rsid w:val="00275FF6"/>
    <w:rsid w:val="00276F08"/>
    <w:rsid w:val="0027750D"/>
    <w:rsid w:val="002777F7"/>
    <w:rsid w:val="0027786A"/>
    <w:rsid w:val="002778D3"/>
    <w:rsid w:val="00277914"/>
    <w:rsid w:val="00277B01"/>
    <w:rsid w:val="002802BC"/>
    <w:rsid w:val="00280D84"/>
    <w:rsid w:val="00281780"/>
    <w:rsid w:val="002818C2"/>
    <w:rsid w:val="00281996"/>
    <w:rsid w:val="00281AFF"/>
    <w:rsid w:val="00282385"/>
    <w:rsid w:val="0028243F"/>
    <w:rsid w:val="002824E2"/>
    <w:rsid w:val="002824EB"/>
    <w:rsid w:val="00282532"/>
    <w:rsid w:val="00282748"/>
    <w:rsid w:val="0028276A"/>
    <w:rsid w:val="00282792"/>
    <w:rsid w:val="002828F6"/>
    <w:rsid w:val="00282C84"/>
    <w:rsid w:val="00282DCD"/>
    <w:rsid w:val="002837A5"/>
    <w:rsid w:val="00283888"/>
    <w:rsid w:val="002838E2"/>
    <w:rsid w:val="00283ACC"/>
    <w:rsid w:val="00283B05"/>
    <w:rsid w:val="00283C49"/>
    <w:rsid w:val="00284122"/>
    <w:rsid w:val="002841EF"/>
    <w:rsid w:val="00284458"/>
    <w:rsid w:val="002845F7"/>
    <w:rsid w:val="00284853"/>
    <w:rsid w:val="002849A3"/>
    <w:rsid w:val="00284B4D"/>
    <w:rsid w:val="00284DFF"/>
    <w:rsid w:val="00284F6B"/>
    <w:rsid w:val="00284FEF"/>
    <w:rsid w:val="0028519B"/>
    <w:rsid w:val="0028558A"/>
    <w:rsid w:val="002855A1"/>
    <w:rsid w:val="00285F97"/>
    <w:rsid w:val="002864D5"/>
    <w:rsid w:val="00286ABA"/>
    <w:rsid w:val="00286D84"/>
    <w:rsid w:val="00286F19"/>
    <w:rsid w:val="0028710F"/>
    <w:rsid w:val="002877B9"/>
    <w:rsid w:val="00287F49"/>
    <w:rsid w:val="00287FAE"/>
    <w:rsid w:val="002901EE"/>
    <w:rsid w:val="002902B9"/>
    <w:rsid w:val="002904A5"/>
    <w:rsid w:val="00290DBD"/>
    <w:rsid w:val="00290ED1"/>
    <w:rsid w:val="00291114"/>
    <w:rsid w:val="002912CD"/>
    <w:rsid w:val="00291479"/>
    <w:rsid w:val="00291DFE"/>
    <w:rsid w:val="00292263"/>
    <w:rsid w:val="00292401"/>
    <w:rsid w:val="00292794"/>
    <w:rsid w:val="0029291E"/>
    <w:rsid w:val="0029297C"/>
    <w:rsid w:val="002929C4"/>
    <w:rsid w:val="00292E11"/>
    <w:rsid w:val="00293390"/>
    <w:rsid w:val="00293565"/>
    <w:rsid w:val="002935E4"/>
    <w:rsid w:val="00293704"/>
    <w:rsid w:val="00293D54"/>
    <w:rsid w:val="00293E85"/>
    <w:rsid w:val="00293EDB"/>
    <w:rsid w:val="0029442F"/>
    <w:rsid w:val="002947E7"/>
    <w:rsid w:val="002949EB"/>
    <w:rsid w:val="00294C04"/>
    <w:rsid w:val="00294E97"/>
    <w:rsid w:val="00295CE3"/>
    <w:rsid w:val="00295D36"/>
    <w:rsid w:val="0029671C"/>
    <w:rsid w:val="002967CD"/>
    <w:rsid w:val="0029684F"/>
    <w:rsid w:val="00296B00"/>
    <w:rsid w:val="00296D8C"/>
    <w:rsid w:val="00297734"/>
    <w:rsid w:val="00297A67"/>
    <w:rsid w:val="00297C04"/>
    <w:rsid w:val="00297C54"/>
    <w:rsid w:val="00297DC0"/>
    <w:rsid w:val="002A00FD"/>
    <w:rsid w:val="002A0734"/>
    <w:rsid w:val="002A09B8"/>
    <w:rsid w:val="002A0BB1"/>
    <w:rsid w:val="002A0CF4"/>
    <w:rsid w:val="002A0FB1"/>
    <w:rsid w:val="002A1643"/>
    <w:rsid w:val="002A1B27"/>
    <w:rsid w:val="002A2027"/>
    <w:rsid w:val="002A2131"/>
    <w:rsid w:val="002A2727"/>
    <w:rsid w:val="002A296E"/>
    <w:rsid w:val="002A2C22"/>
    <w:rsid w:val="002A300F"/>
    <w:rsid w:val="002A3217"/>
    <w:rsid w:val="002A32E5"/>
    <w:rsid w:val="002A3343"/>
    <w:rsid w:val="002A337C"/>
    <w:rsid w:val="002A33A0"/>
    <w:rsid w:val="002A3605"/>
    <w:rsid w:val="002A3895"/>
    <w:rsid w:val="002A39D1"/>
    <w:rsid w:val="002A3C0B"/>
    <w:rsid w:val="002A3DFB"/>
    <w:rsid w:val="002A408C"/>
    <w:rsid w:val="002A41CD"/>
    <w:rsid w:val="002A421B"/>
    <w:rsid w:val="002A4428"/>
    <w:rsid w:val="002A445E"/>
    <w:rsid w:val="002A4607"/>
    <w:rsid w:val="002A4710"/>
    <w:rsid w:val="002A48D1"/>
    <w:rsid w:val="002A4B55"/>
    <w:rsid w:val="002A4EE4"/>
    <w:rsid w:val="002A50CF"/>
    <w:rsid w:val="002A51BB"/>
    <w:rsid w:val="002A5289"/>
    <w:rsid w:val="002A52D1"/>
    <w:rsid w:val="002A5606"/>
    <w:rsid w:val="002A58EF"/>
    <w:rsid w:val="002A5A5E"/>
    <w:rsid w:val="002A5A6C"/>
    <w:rsid w:val="002A5D81"/>
    <w:rsid w:val="002A6116"/>
    <w:rsid w:val="002A61DE"/>
    <w:rsid w:val="002A6E48"/>
    <w:rsid w:val="002A71F6"/>
    <w:rsid w:val="002A76A3"/>
    <w:rsid w:val="002A7786"/>
    <w:rsid w:val="002A7C8C"/>
    <w:rsid w:val="002A7ED3"/>
    <w:rsid w:val="002B04D5"/>
    <w:rsid w:val="002B0818"/>
    <w:rsid w:val="002B0A82"/>
    <w:rsid w:val="002B0D6C"/>
    <w:rsid w:val="002B0FD8"/>
    <w:rsid w:val="002B10CF"/>
    <w:rsid w:val="002B1756"/>
    <w:rsid w:val="002B1AD7"/>
    <w:rsid w:val="002B1F66"/>
    <w:rsid w:val="002B2206"/>
    <w:rsid w:val="002B2AB5"/>
    <w:rsid w:val="002B2C9E"/>
    <w:rsid w:val="002B2D23"/>
    <w:rsid w:val="002B2D98"/>
    <w:rsid w:val="002B3234"/>
    <w:rsid w:val="002B37BF"/>
    <w:rsid w:val="002B3828"/>
    <w:rsid w:val="002B39CA"/>
    <w:rsid w:val="002B3B8B"/>
    <w:rsid w:val="002B3C19"/>
    <w:rsid w:val="002B3CA2"/>
    <w:rsid w:val="002B3ECE"/>
    <w:rsid w:val="002B4376"/>
    <w:rsid w:val="002B43C9"/>
    <w:rsid w:val="002B4462"/>
    <w:rsid w:val="002B50A9"/>
    <w:rsid w:val="002B54A3"/>
    <w:rsid w:val="002B568C"/>
    <w:rsid w:val="002B5979"/>
    <w:rsid w:val="002B5C13"/>
    <w:rsid w:val="002B5ED8"/>
    <w:rsid w:val="002B5F9D"/>
    <w:rsid w:val="002B5FA0"/>
    <w:rsid w:val="002B60C9"/>
    <w:rsid w:val="002B6591"/>
    <w:rsid w:val="002B68B4"/>
    <w:rsid w:val="002B69A2"/>
    <w:rsid w:val="002B6AFA"/>
    <w:rsid w:val="002B6FA1"/>
    <w:rsid w:val="002B751B"/>
    <w:rsid w:val="002B77CC"/>
    <w:rsid w:val="002B78FE"/>
    <w:rsid w:val="002C0200"/>
    <w:rsid w:val="002C02A8"/>
    <w:rsid w:val="002C0455"/>
    <w:rsid w:val="002C056C"/>
    <w:rsid w:val="002C05F8"/>
    <w:rsid w:val="002C06EE"/>
    <w:rsid w:val="002C1220"/>
    <w:rsid w:val="002C12FE"/>
    <w:rsid w:val="002C1315"/>
    <w:rsid w:val="002C13DA"/>
    <w:rsid w:val="002C1478"/>
    <w:rsid w:val="002C1898"/>
    <w:rsid w:val="002C1A87"/>
    <w:rsid w:val="002C1C18"/>
    <w:rsid w:val="002C1C58"/>
    <w:rsid w:val="002C1CDE"/>
    <w:rsid w:val="002C1D2B"/>
    <w:rsid w:val="002C1E4C"/>
    <w:rsid w:val="002C1EE3"/>
    <w:rsid w:val="002C1FE9"/>
    <w:rsid w:val="002C2403"/>
    <w:rsid w:val="002C2CF8"/>
    <w:rsid w:val="002C2D28"/>
    <w:rsid w:val="002C2F0E"/>
    <w:rsid w:val="002C305A"/>
    <w:rsid w:val="002C310A"/>
    <w:rsid w:val="002C3270"/>
    <w:rsid w:val="002C32D7"/>
    <w:rsid w:val="002C395C"/>
    <w:rsid w:val="002C4187"/>
    <w:rsid w:val="002C4842"/>
    <w:rsid w:val="002C4A3E"/>
    <w:rsid w:val="002C4A8B"/>
    <w:rsid w:val="002C4B4C"/>
    <w:rsid w:val="002C4B6A"/>
    <w:rsid w:val="002C4C4F"/>
    <w:rsid w:val="002C4CD6"/>
    <w:rsid w:val="002C4E2A"/>
    <w:rsid w:val="002C4E98"/>
    <w:rsid w:val="002C50E3"/>
    <w:rsid w:val="002C53F5"/>
    <w:rsid w:val="002C5E5A"/>
    <w:rsid w:val="002C62B3"/>
    <w:rsid w:val="002C677E"/>
    <w:rsid w:val="002C69F6"/>
    <w:rsid w:val="002C6E84"/>
    <w:rsid w:val="002C6FA5"/>
    <w:rsid w:val="002C703B"/>
    <w:rsid w:val="002C749B"/>
    <w:rsid w:val="002C78D4"/>
    <w:rsid w:val="002C7BE1"/>
    <w:rsid w:val="002C7D95"/>
    <w:rsid w:val="002C7EB9"/>
    <w:rsid w:val="002C7F07"/>
    <w:rsid w:val="002D040C"/>
    <w:rsid w:val="002D0732"/>
    <w:rsid w:val="002D078F"/>
    <w:rsid w:val="002D0F31"/>
    <w:rsid w:val="002D1110"/>
    <w:rsid w:val="002D12C4"/>
    <w:rsid w:val="002D134E"/>
    <w:rsid w:val="002D1456"/>
    <w:rsid w:val="002D1673"/>
    <w:rsid w:val="002D16C1"/>
    <w:rsid w:val="002D1792"/>
    <w:rsid w:val="002D17FF"/>
    <w:rsid w:val="002D1957"/>
    <w:rsid w:val="002D1E67"/>
    <w:rsid w:val="002D20E3"/>
    <w:rsid w:val="002D21DE"/>
    <w:rsid w:val="002D22CE"/>
    <w:rsid w:val="002D2338"/>
    <w:rsid w:val="002D23EC"/>
    <w:rsid w:val="002D28EB"/>
    <w:rsid w:val="002D2C65"/>
    <w:rsid w:val="002D2CFD"/>
    <w:rsid w:val="002D3308"/>
    <w:rsid w:val="002D347C"/>
    <w:rsid w:val="002D36A5"/>
    <w:rsid w:val="002D377E"/>
    <w:rsid w:val="002D38AC"/>
    <w:rsid w:val="002D47AE"/>
    <w:rsid w:val="002D4ED3"/>
    <w:rsid w:val="002D52E6"/>
    <w:rsid w:val="002D540D"/>
    <w:rsid w:val="002D5710"/>
    <w:rsid w:val="002D5901"/>
    <w:rsid w:val="002D5DF5"/>
    <w:rsid w:val="002D5F71"/>
    <w:rsid w:val="002D6093"/>
    <w:rsid w:val="002D650A"/>
    <w:rsid w:val="002D65D5"/>
    <w:rsid w:val="002D6E70"/>
    <w:rsid w:val="002D6F5D"/>
    <w:rsid w:val="002D7267"/>
    <w:rsid w:val="002D7274"/>
    <w:rsid w:val="002D74F7"/>
    <w:rsid w:val="002D7E70"/>
    <w:rsid w:val="002E03F5"/>
    <w:rsid w:val="002E0468"/>
    <w:rsid w:val="002E0939"/>
    <w:rsid w:val="002E0CD4"/>
    <w:rsid w:val="002E0DC7"/>
    <w:rsid w:val="002E0DFE"/>
    <w:rsid w:val="002E10E5"/>
    <w:rsid w:val="002E1402"/>
    <w:rsid w:val="002E1936"/>
    <w:rsid w:val="002E1B2E"/>
    <w:rsid w:val="002E2181"/>
    <w:rsid w:val="002E23A3"/>
    <w:rsid w:val="002E2407"/>
    <w:rsid w:val="002E2542"/>
    <w:rsid w:val="002E29CC"/>
    <w:rsid w:val="002E2A88"/>
    <w:rsid w:val="002E2B05"/>
    <w:rsid w:val="002E2E5F"/>
    <w:rsid w:val="002E2F8E"/>
    <w:rsid w:val="002E391E"/>
    <w:rsid w:val="002E3B89"/>
    <w:rsid w:val="002E3C2D"/>
    <w:rsid w:val="002E443B"/>
    <w:rsid w:val="002E48DD"/>
    <w:rsid w:val="002E4970"/>
    <w:rsid w:val="002E4D18"/>
    <w:rsid w:val="002E4F7A"/>
    <w:rsid w:val="002E51BE"/>
    <w:rsid w:val="002E593F"/>
    <w:rsid w:val="002E5CCE"/>
    <w:rsid w:val="002E5E28"/>
    <w:rsid w:val="002E5F9E"/>
    <w:rsid w:val="002E618C"/>
    <w:rsid w:val="002E683C"/>
    <w:rsid w:val="002E691B"/>
    <w:rsid w:val="002E6D58"/>
    <w:rsid w:val="002E6F43"/>
    <w:rsid w:val="002E7015"/>
    <w:rsid w:val="002E7106"/>
    <w:rsid w:val="002E7311"/>
    <w:rsid w:val="002E754A"/>
    <w:rsid w:val="002E77D3"/>
    <w:rsid w:val="002E7AAD"/>
    <w:rsid w:val="002E7F18"/>
    <w:rsid w:val="002F07A9"/>
    <w:rsid w:val="002F0994"/>
    <w:rsid w:val="002F0B37"/>
    <w:rsid w:val="002F0C3A"/>
    <w:rsid w:val="002F0E7A"/>
    <w:rsid w:val="002F0EC9"/>
    <w:rsid w:val="002F0EF2"/>
    <w:rsid w:val="002F110B"/>
    <w:rsid w:val="002F119A"/>
    <w:rsid w:val="002F165C"/>
    <w:rsid w:val="002F1828"/>
    <w:rsid w:val="002F202A"/>
    <w:rsid w:val="002F2084"/>
    <w:rsid w:val="002F20AE"/>
    <w:rsid w:val="002F21FB"/>
    <w:rsid w:val="002F24A3"/>
    <w:rsid w:val="002F2740"/>
    <w:rsid w:val="002F2CA9"/>
    <w:rsid w:val="002F2CE9"/>
    <w:rsid w:val="002F2D3F"/>
    <w:rsid w:val="002F30BD"/>
    <w:rsid w:val="002F30EB"/>
    <w:rsid w:val="002F3179"/>
    <w:rsid w:val="002F330A"/>
    <w:rsid w:val="002F3828"/>
    <w:rsid w:val="002F3915"/>
    <w:rsid w:val="002F3F65"/>
    <w:rsid w:val="002F4102"/>
    <w:rsid w:val="002F4365"/>
    <w:rsid w:val="002F45F4"/>
    <w:rsid w:val="002F46C4"/>
    <w:rsid w:val="002F471C"/>
    <w:rsid w:val="002F4957"/>
    <w:rsid w:val="002F4DEF"/>
    <w:rsid w:val="002F5263"/>
    <w:rsid w:val="002F53F6"/>
    <w:rsid w:val="002F546C"/>
    <w:rsid w:val="002F5482"/>
    <w:rsid w:val="002F54C4"/>
    <w:rsid w:val="002F5F24"/>
    <w:rsid w:val="002F6300"/>
    <w:rsid w:val="002F67A6"/>
    <w:rsid w:val="002F681A"/>
    <w:rsid w:val="002F68D9"/>
    <w:rsid w:val="002F7BF5"/>
    <w:rsid w:val="00300629"/>
    <w:rsid w:val="00300744"/>
    <w:rsid w:val="003008EF"/>
    <w:rsid w:val="00300A7A"/>
    <w:rsid w:val="00300AC5"/>
    <w:rsid w:val="00300B29"/>
    <w:rsid w:val="00300BE2"/>
    <w:rsid w:val="00300BEF"/>
    <w:rsid w:val="00300E75"/>
    <w:rsid w:val="0030103A"/>
    <w:rsid w:val="00301138"/>
    <w:rsid w:val="003019BE"/>
    <w:rsid w:val="003019D7"/>
    <w:rsid w:val="00301B2A"/>
    <w:rsid w:val="00301C60"/>
    <w:rsid w:val="00301F5C"/>
    <w:rsid w:val="00302011"/>
    <w:rsid w:val="003021BB"/>
    <w:rsid w:val="003021E9"/>
    <w:rsid w:val="003025E6"/>
    <w:rsid w:val="00302728"/>
    <w:rsid w:val="00302AAE"/>
    <w:rsid w:val="00303561"/>
    <w:rsid w:val="00303D24"/>
    <w:rsid w:val="00304363"/>
    <w:rsid w:val="003046B6"/>
    <w:rsid w:val="003047E8"/>
    <w:rsid w:val="00304981"/>
    <w:rsid w:val="00304D66"/>
    <w:rsid w:val="00304E3C"/>
    <w:rsid w:val="00305B9C"/>
    <w:rsid w:val="00305DE2"/>
    <w:rsid w:val="00306953"/>
    <w:rsid w:val="00306A0F"/>
    <w:rsid w:val="00306AD6"/>
    <w:rsid w:val="00306B9A"/>
    <w:rsid w:val="0030734A"/>
    <w:rsid w:val="0030798B"/>
    <w:rsid w:val="00307AFD"/>
    <w:rsid w:val="00307D2C"/>
    <w:rsid w:val="00307D59"/>
    <w:rsid w:val="00307E5E"/>
    <w:rsid w:val="00307F7D"/>
    <w:rsid w:val="003101A3"/>
    <w:rsid w:val="0031079E"/>
    <w:rsid w:val="00310834"/>
    <w:rsid w:val="00310856"/>
    <w:rsid w:val="00310E18"/>
    <w:rsid w:val="00310E67"/>
    <w:rsid w:val="00311030"/>
    <w:rsid w:val="003114DE"/>
    <w:rsid w:val="00311756"/>
    <w:rsid w:val="0031199C"/>
    <w:rsid w:val="003121C7"/>
    <w:rsid w:val="003124EF"/>
    <w:rsid w:val="00312656"/>
    <w:rsid w:val="00312925"/>
    <w:rsid w:val="00312B55"/>
    <w:rsid w:val="00313094"/>
    <w:rsid w:val="00313198"/>
    <w:rsid w:val="003131A0"/>
    <w:rsid w:val="003134E2"/>
    <w:rsid w:val="00313654"/>
    <w:rsid w:val="003138D3"/>
    <w:rsid w:val="003139FD"/>
    <w:rsid w:val="00313ACB"/>
    <w:rsid w:val="00313AFB"/>
    <w:rsid w:val="003140E6"/>
    <w:rsid w:val="0031412A"/>
    <w:rsid w:val="003146BD"/>
    <w:rsid w:val="00314941"/>
    <w:rsid w:val="00314A03"/>
    <w:rsid w:val="00314BDC"/>
    <w:rsid w:val="00314C80"/>
    <w:rsid w:val="00314D6F"/>
    <w:rsid w:val="00314F44"/>
    <w:rsid w:val="003152C4"/>
    <w:rsid w:val="003153A6"/>
    <w:rsid w:val="003155C6"/>
    <w:rsid w:val="003158D3"/>
    <w:rsid w:val="00315CB0"/>
    <w:rsid w:val="003161C2"/>
    <w:rsid w:val="003163FC"/>
    <w:rsid w:val="003163FD"/>
    <w:rsid w:val="00316F60"/>
    <w:rsid w:val="003170A6"/>
    <w:rsid w:val="00317418"/>
    <w:rsid w:val="00317631"/>
    <w:rsid w:val="00317C42"/>
    <w:rsid w:val="00317D16"/>
    <w:rsid w:val="00317F6E"/>
    <w:rsid w:val="00317FFA"/>
    <w:rsid w:val="00320134"/>
    <w:rsid w:val="0032038E"/>
    <w:rsid w:val="00320754"/>
    <w:rsid w:val="00320785"/>
    <w:rsid w:val="00321115"/>
    <w:rsid w:val="00321181"/>
    <w:rsid w:val="003212CD"/>
    <w:rsid w:val="003214FE"/>
    <w:rsid w:val="0032180B"/>
    <w:rsid w:val="003219DE"/>
    <w:rsid w:val="00321A5B"/>
    <w:rsid w:val="00321BEF"/>
    <w:rsid w:val="00321E40"/>
    <w:rsid w:val="0032209E"/>
    <w:rsid w:val="003222D8"/>
    <w:rsid w:val="00322320"/>
    <w:rsid w:val="00322382"/>
    <w:rsid w:val="0032267E"/>
    <w:rsid w:val="00322962"/>
    <w:rsid w:val="00322BB3"/>
    <w:rsid w:val="00322C90"/>
    <w:rsid w:val="00322D7F"/>
    <w:rsid w:val="00322DEE"/>
    <w:rsid w:val="00322EB7"/>
    <w:rsid w:val="003230B8"/>
    <w:rsid w:val="003230BF"/>
    <w:rsid w:val="003235DF"/>
    <w:rsid w:val="00323732"/>
    <w:rsid w:val="00323A2E"/>
    <w:rsid w:val="00323AF3"/>
    <w:rsid w:val="00323BD5"/>
    <w:rsid w:val="00323CE3"/>
    <w:rsid w:val="00323CF9"/>
    <w:rsid w:val="00323D2C"/>
    <w:rsid w:val="00323DC0"/>
    <w:rsid w:val="00323F8F"/>
    <w:rsid w:val="003240B0"/>
    <w:rsid w:val="00324160"/>
    <w:rsid w:val="003243C9"/>
    <w:rsid w:val="00324765"/>
    <w:rsid w:val="003247B0"/>
    <w:rsid w:val="0032482F"/>
    <w:rsid w:val="003249F7"/>
    <w:rsid w:val="00324F51"/>
    <w:rsid w:val="00325080"/>
    <w:rsid w:val="00325589"/>
    <w:rsid w:val="003259E7"/>
    <w:rsid w:val="00325F27"/>
    <w:rsid w:val="00325FFB"/>
    <w:rsid w:val="003265A2"/>
    <w:rsid w:val="00326C78"/>
    <w:rsid w:val="00326F8B"/>
    <w:rsid w:val="003270DF"/>
    <w:rsid w:val="00327B7A"/>
    <w:rsid w:val="00327FD4"/>
    <w:rsid w:val="0033044B"/>
    <w:rsid w:val="00330551"/>
    <w:rsid w:val="003305B1"/>
    <w:rsid w:val="003305D8"/>
    <w:rsid w:val="003306E5"/>
    <w:rsid w:val="00330A23"/>
    <w:rsid w:val="00330B17"/>
    <w:rsid w:val="00331389"/>
    <w:rsid w:val="003314C7"/>
    <w:rsid w:val="00331578"/>
    <w:rsid w:val="00331851"/>
    <w:rsid w:val="00331A29"/>
    <w:rsid w:val="00331B79"/>
    <w:rsid w:val="00331C04"/>
    <w:rsid w:val="00331C78"/>
    <w:rsid w:val="00331FE2"/>
    <w:rsid w:val="0033210D"/>
    <w:rsid w:val="00332456"/>
    <w:rsid w:val="003324BD"/>
    <w:rsid w:val="003325BD"/>
    <w:rsid w:val="0033279E"/>
    <w:rsid w:val="0033289A"/>
    <w:rsid w:val="00332945"/>
    <w:rsid w:val="00332C85"/>
    <w:rsid w:val="00332E89"/>
    <w:rsid w:val="003331DD"/>
    <w:rsid w:val="00333789"/>
    <w:rsid w:val="00333951"/>
    <w:rsid w:val="00333974"/>
    <w:rsid w:val="00333A11"/>
    <w:rsid w:val="00334254"/>
    <w:rsid w:val="00334268"/>
    <w:rsid w:val="00334C1D"/>
    <w:rsid w:val="00334C7B"/>
    <w:rsid w:val="00334DDA"/>
    <w:rsid w:val="0033510A"/>
    <w:rsid w:val="0033537A"/>
    <w:rsid w:val="003354BF"/>
    <w:rsid w:val="003358B6"/>
    <w:rsid w:val="00335D35"/>
    <w:rsid w:val="00336336"/>
    <w:rsid w:val="00336450"/>
    <w:rsid w:val="0033654F"/>
    <w:rsid w:val="00336770"/>
    <w:rsid w:val="00336AC4"/>
    <w:rsid w:val="00336BD7"/>
    <w:rsid w:val="00336BFB"/>
    <w:rsid w:val="00336D01"/>
    <w:rsid w:val="00336E4D"/>
    <w:rsid w:val="00337241"/>
    <w:rsid w:val="00337258"/>
    <w:rsid w:val="00337E64"/>
    <w:rsid w:val="00337ED9"/>
    <w:rsid w:val="00340446"/>
    <w:rsid w:val="00340510"/>
    <w:rsid w:val="00340841"/>
    <w:rsid w:val="0034099A"/>
    <w:rsid w:val="00340D92"/>
    <w:rsid w:val="00340EA2"/>
    <w:rsid w:val="003413A3"/>
    <w:rsid w:val="00341438"/>
    <w:rsid w:val="00341992"/>
    <w:rsid w:val="00341BC6"/>
    <w:rsid w:val="00341F02"/>
    <w:rsid w:val="003421C7"/>
    <w:rsid w:val="0034261C"/>
    <w:rsid w:val="0034290E"/>
    <w:rsid w:val="00342B5C"/>
    <w:rsid w:val="00343046"/>
    <w:rsid w:val="003430A9"/>
    <w:rsid w:val="003432F4"/>
    <w:rsid w:val="00343433"/>
    <w:rsid w:val="00343526"/>
    <w:rsid w:val="00343EA8"/>
    <w:rsid w:val="00343F17"/>
    <w:rsid w:val="00344455"/>
    <w:rsid w:val="00344800"/>
    <w:rsid w:val="00344A8D"/>
    <w:rsid w:val="00344DBF"/>
    <w:rsid w:val="0034590B"/>
    <w:rsid w:val="003459EA"/>
    <w:rsid w:val="00345A09"/>
    <w:rsid w:val="00346046"/>
    <w:rsid w:val="003462AF"/>
    <w:rsid w:val="00346479"/>
    <w:rsid w:val="003465F3"/>
    <w:rsid w:val="00346687"/>
    <w:rsid w:val="00346EF4"/>
    <w:rsid w:val="00347090"/>
    <w:rsid w:val="00347251"/>
    <w:rsid w:val="003474A1"/>
    <w:rsid w:val="003478EF"/>
    <w:rsid w:val="00347C79"/>
    <w:rsid w:val="00347D5E"/>
    <w:rsid w:val="00347ED3"/>
    <w:rsid w:val="00350004"/>
    <w:rsid w:val="00350022"/>
    <w:rsid w:val="0035072D"/>
    <w:rsid w:val="00350BD7"/>
    <w:rsid w:val="0035155F"/>
    <w:rsid w:val="00351954"/>
    <w:rsid w:val="00351988"/>
    <w:rsid w:val="00351B1D"/>
    <w:rsid w:val="00351B2B"/>
    <w:rsid w:val="003521AD"/>
    <w:rsid w:val="00352415"/>
    <w:rsid w:val="00352495"/>
    <w:rsid w:val="003526CA"/>
    <w:rsid w:val="0035291B"/>
    <w:rsid w:val="003529BB"/>
    <w:rsid w:val="00352B9F"/>
    <w:rsid w:val="00352DC0"/>
    <w:rsid w:val="00353174"/>
    <w:rsid w:val="0035380E"/>
    <w:rsid w:val="0035391A"/>
    <w:rsid w:val="00353948"/>
    <w:rsid w:val="00353A54"/>
    <w:rsid w:val="00353A7E"/>
    <w:rsid w:val="00353CF5"/>
    <w:rsid w:val="0035404E"/>
    <w:rsid w:val="00354095"/>
    <w:rsid w:val="003540E8"/>
    <w:rsid w:val="003541A5"/>
    <w:rsid w:val="003541F0"/>
    <w:rsid w:val="00354301"/>
    <w:rsid w:val="0035465C"/>
    <w:rsid w:val="00354817"/>
    <w:rsid w:val="00354C5E"/>
    <w:rsid w:val="00354D32"/>
    <w:rsid w:val="00354FCA"/>
    <w:rsid w:val="003550E8"/>
    <w:rsid w:val="00355471"/>
    <w:rsid w:val="00355649"/>
    <w:rsid w:val="003559D6"/>
    <w:rsid w:val="00355AA9"/>
    <w:rsid w:val="00355D18"/>
    <w:rsid w:val="00355F66"/>
    <w:rsid w:val="0035666F"/>
    <w:rsid w:val="003566BA"/>
    <w:rsid w:val="00356729"/>
    <w:rsid w:val="003569D8"/>
    <w:rsid w:val="00356AF4"/>
    <w:rsid w:val="00356B34"/>
    <w:rsid w:val="00356BE5"/>
    <w:rsid w:val="00357045"/>
    <w:rsid w:val="003571D2"/>
    <w:rsid w:val="00357222"/>
    <w:rsid w:val="00357393"/>
    <w:rsid w:val="003573F8"/>
    <w:rsid w:val="00357432"/>
    <w:rsid w:val="003574A7"/>
    <w:rsid w:val="0035753D"/>
    <w:rsid w:val="00357556"/>
    <w:rsid w:val="003575A9"/>
    <w:rsid w:val="00357830"/>
    <w:rsid w:val="0036001A"/>
    <w:rsid w:val="00360071"/>
    <w:rsid w:val="003606B6"/>
    <w:rsid w:val="00360925"/>
    <w:rsid w:val="00360ABB"/>
    <w:rsid w:val="00360CB6"/>
    <w:rsid w:val="00360E0D"/>
    <w:rsid w:val="0036100F"/>
    <w:rsid w:val="0036133C"/>
    <w:rsid w:val="0036137C"/>
    <w:rsid w:val="003613C2"/>
    <w:rsid w:val="003614A9"/>
    <w:rsid w:val="0036184B"/>
    <w:rsid w:val="003618B2"/>
    <w:rsid w:val="00361FD6"/>
    <w:rsid w:val="00362031"/>
    <w:rsid w:val="00362040"/>
    <w:rsid w:val="003622BB"/>
    <w:rsid w:val="0036243A"/>
    <w:rsid w:val="00362622"/>
    <w:rsid w:val="003629C7"/>
    <w:rsid w:val="00362C1F"/>
    <w:rsid w:val="00362C24"/>
    <w:rsid w:val="00362C6C"/>
    <w:rsid w:val="00362FFE"/>
    <w:rsid w:val="003634E8"/>
    <w:rsid w:val="003636EF"/>
    <w:rsid w:val="00363827"/>
    <w:rsid w:val="0036382E"/>
    <w:rsid w:val="003638B9"/>
    <w:rsid w:val="00363A04"/>
    <w:rsid w:val="00363C8D"/>
    <w:rsid w:val="00363CBD"/>
    <w:rsid w:val="0036407E"/>
    <w:rsid w:val="00364327"/>
    <w:rsid w:val="003643A0"/>
    <w:rsid w:val="00364442"/>
    <w:rsid w:val="00364DC1"/>
    <w:rsid w:val="00364F34"/>
    <w:rsid w:val="003656D0"/>
    <w:rsid w:val="003657BD"/>
    <w:rsid w:val="003659C1"/>
    <w:rsid w:val="00365C87"/>
    <w:rsid w:val="00366548"/>
    <w:rsid w:val="00366580"/>
    <w:rsid w:val="00366673"/>
    <w:rsid w:val="003666B2"/>
    <w:rsid w:val="00366BB8"/>
    <w:rsid w:val="00366D6A"/>
    <w:rsid w:val="00366E74"/>
    <w:rsid w:val="0036763A"/>
    <w:rsid w:val="0036789A"/>
    <w:rsid w:val="00367C71"/>
    <w:rsid w:val="00367F2A"/>
    <w:rsid w:val="003701CE"/>
    <w:rsid w:val="003702B0"/>
    <w:rsid w:val="0037065C"/>
    <w:rsid w:val="00370E0E"/>
    <w:rsid w:val="003718F5"/>
    <w:rsid w:val="0037192A"/>
    <w:rsid w:val="00371AF9"/>
    <w:rsid w:val="00371DDC"/>
    <w:rsid w:val="00371DF8"/>
    <w:rsid w:val="00371E5B"/>
    <w:rsid w:val="00371FE5"/>
    <w:rsid w:val="00372168"/>
    <w:rsid w:val="003722CC"/>
    <w:rsid w:val="00372605"/>
    <w:rsid w:val="00372925"/>
    <w:rsid w:val="00372CE0"/>
    <w:rsid w:val="003731C5"/>
    <w:rsid w:val="00373295"/>
    <w:rsid w:val="0037329C"/>
    <w:rsid w:val="003736AE"/>
    <w:rsid w:val="003736B4"/>
    <w:rsid w:val="0037375A"/>
    <w:rsid w:val="003737B9"/>
    <w:rsid w:val="003738F6"/>
    <w:rsid w:val="00373AD7"/>
    <w:rsid w:val="003742FB"/>
    <w:rsid w:val="00374301"/>
    <w:rsid w:val="003745DB"/>
    <w:rsid w:val="0037474A"/>
    <w:rsid w:val="00374951"/>
    <w:rsid w:val="00375155"/>
    <w:rsid w:val="003754A9"/>
    <w:rsid w:val="00375677"/>
    <w:rsid w:val="00375816"/>
    <w:rsid w:val="00375887"/>
    <w:rsid w:val="00375932"/>
    <w:rsid w:val="003759B2"/>
    <w:rsid w:val="00375E53"/>
    <w:rsid w:val="00375F80"/>
    <w:rsid w:val="00376BFC"/>
    <w:rsid w:val="00376F73"/>
    <w:rsid w:val="00377111"/>
    <w:rsid w:val="00377117"/>
    <w:rsid w:val="00377528"/>
    <w:rsid w:val="00377AD7"/>
    <w:rsid w:val="00380193"/>
    <w:rsid w:val="003801D1"/>
    <w:rsid w:val="00380283"/>
    <w:rsid w:val="00380755"/>
    <w:rsid w:val="003807FB"/>
    <w:rsid w:val="0038083F"/>
    <w:rsid w:val="00380A8B"/>
    <w:rsid w:val="00380D12"/>
    <w:rsid w:val="00380DF8"/>
    <w:rsid w:val="00381402"/>
    <w:rsid w:val="0038172A"/>
    <w:rsid w:val="00381839"/>
    <w:rsid w:val="00381854"/>
    <w:rsid w:val="00381C03"/>
    <w:rsid w:val="00381D89"/>
    <w:rsid w:val="003820B2"/>
    <w:rsid w:val="003829EA"/>
    <w:rsid w:val="00382C48"/>
    <w:rsid w:val="00382D2A"/>
    <w:rsid w:val="00382F3F"/>
    <w:rsid w:val="00382FA0"/>
    <w:rsid w:val="0038303D"/>
    <w:rsid w:val="00383281"/>
    <w:rsid w:val="00383459"/>
    <w:rsid w:val="003835DA"/>
    <w:rsid w:val="00383805"/>
    <w:rsid w:val="00383B2E"/>
    <w:rsid w:val="00383DCA"/>
    <w:rsid w:val="00383DE2"/>
    <w:rsid w:val="00384398"/>
    <w:rsid w:val="0038450E"/>
    <w:rsid w:val="0038451E"/>
    <w:rsid w:val="003846E8"/>
    <w:rsid w:val="00384AEC"/>
    <w:rsid w:val="00384C71"/>
    <w:rsid w:val="00384ED9"/>
    <w:rsid w:val="003854DA"/>
    <w:rsid w:val="003856DB"/>
    <w:rsid w:val="00385A31"/>
    <w:rsid w:val="00385A3C"/>
    <w:rsid w:val="00385ECD"/>
    <w:rsid w:val="0038670A"/>
    <w:rsid w:val="0038678E"/>
    <w:rsid w:val="00386841"/>
    <w:rsid w:val="00386CE8"/>
    <w:rsid w:val="00386D57"/>
    <w:rsid w:val="00386EA4"/>
    <w:rsid w:val="00386EE4"/>
    <w:rsid w:val="003870EF"/>
    <w:rsid w:val="003874B7"/>
    <w:rsid w:val="00387E24"/>
    <w:rsid w:val="00390161"/>
    <w:rsid w:val="00390AC3"/>
    <w:rsid w:val="0039159A"/>
    <w:rsid w:val="00391738"/>
    <w:rsid w:val="00391A5F"/>
    <w:rsid w:val="00391B35"/>
    <w:rsid w:val="00391CD8"/>
    <w:rsid w:val="00391CF4"/>
    <w:rsid w:val="00391D49"/>
    <w:rsid w:val="00391E55"/>
    <w:rsid w:val="00391F02"/>
    <w:rsid w:val="00391FA8"/>
    <w:rsid w:val="00392129"/>
    <w:rsid w:val="00392A78"/>
    <w:rsid w:val="00392D57"/>
    <w:rsid w:val="00392FD0"/>
    <w:rsid w:val="00393F7C"/>
    <w:rsid w:val="003944E9"/>
    <w:rsid w:val="00394612"/>
    <w:rsid w:val="00395215"/>
    <w:rsid w:val="003959A9"/>
    <w:rsid w:val="00395B83"/>
    <w:rsid w:val="00395D0F"/>
    <w:rsid w:val="00395D38"/>
    <w:rsid w:val="003963B7"/>
    <w:rsid w:val="003963FB"/>
    <w:rsid w:val="00396583"/>
    <w:rsid w:val="003965FB"/>
    <w:rsid w:val="00396683"/>
    <w:rsid w:val="00396727"/>
    <w:rsid w:val="003972E0"/>
    <w:rsid w:val="00397301"/>
    <w:rsid w:val="00397D32"/>
    <w:rsid w:val="00397DAB"/>
    <w:rsid w:val="00397FF9"/>
    <w:rsid w:val="003A0300"/>
    <w:rsid w:val="003A0519"/>
    <w:rsid w:val="003A07AF"/>
    <w:rsid w:val="003A09C9"/>
    <w:rsid w:val="003A0ECE"/>
    <w:rsid w:val="003A14D3"/>
    <w:rsid w:val="003A1578"/>
    <w:rsid w:val="003A1913"/>
    <w:rsid w:val="003A195F"/>
    <w:rsid w:val="003A1BF1"/>
    <w:rsid w:val="003A22CA"/>
    <w:rsid w:val="003A253B"/>
    <w:rsid w:val="003A271C"/>
    <w:rsid w:val="003A2878"/>
    <w:rsid w:val="003A3150"/>
    <w:rsid w:val="003A31B3"/>
    <w:rsid w:val="003A332A"/>
    <w:rsid w:val="003A3831"/>
    <w:rsid w:val="003A3D5B"/>
    <w:rsid w:val="003A3E8B"/>
    <w:rsid w:val="003A42CE"/>
    <w:rsid w:val="003A435A"/>
    <w:rsid w:val="003A4DCB"/>
    <w:rsid w:val="003A5395"/>
    <w:rsid w:val="003A543A"/>
    <w:rsid w:val="003A551D"/>
    <w:rsid w:val="003A55A0"/>
    <w:rsid w:val="003A5819"/>
    <w:rsid w:val="003A583C"/>
    <w:rsid w:val="003A584F"/>
    <w:rsid w:val="003A5B00"/>
    <w:rsid w:val="003A5B83"/>
    <w:rsid w:val="003A6A1F"/>
    <w:rsid w:val="003A7377"/>
    <w:rsid w:val="003A7393"/>
    <w:rsid w:val="003A74B0"/>
    <w:rsid w:val="003A78C5"/>
    <w:rsid w:val="003A7922"/>
    <w:rsid w:val="003A7A0C"/>
    <w:rsid w:val="003A7DBA"/>
    <w:rsid w:val="003A7E40"/>
    <w:rsid w:val="003A7F72"/>
    <w:rsid w:val="003A7FC8"/>
    <w:rsid w:val="003B0209"/>
    <w:rsid w:val="003B032D"/>
    <w:rsid w:val="003B0391"/>
    <w:rsid w:val="003B0594"/>
    <w:rsid w:val="003B05A6"/>
    <w:rsid w:val="003B0815"/>
    <w:rsid w:val="003B0B20"/>
    <w:rsid w:val="003B0E65"/>
    <w:rsid w:val="003B10CA"/>
    <w:rsid w:val="003B10FF"/>
    <w:rsid w:val="003B1303"/>
    <w:rsid w:val="003B13DD"/>
    <w:rsid w:val="003B1700"/>
    <w:rsid w:val="003B186B"/>
    <w:rsid w:val="003B1A39"/>
    <w:rsid w:val="003B1B51"/>
    <w:rsid w:val="003B1BBF"/>
    <w:rsid w:val="003B1DCC"/>
    <w:rsid w:val="003B1F34"/>
    <w:rsid w:val="003B1FF4"/>
    <w:rsid w:val="003B23A4"/>
    <w:rsid w:val="003B23F2"/>
    <w:rsid w:val="003B2774"/>
    <w:rsid w:val="003B27E4"/>
    <w:rsid w:val="003B2C5D"/>
    <w:rsid w:val="003B2C88"/>
    <w:rsid w:val="003B3008"/>
    <w:rsid w:val="003B395F"/>
    <w:rsid w:val="003B3EEB"/>
    <w:rsid w:val="003B4585"/>
    <w:rsid w:val="003B482D"/>
    <w:rsid w:val="003B485B"/>
    <w:rsid w:val="003B48AD"/>
    <w:rsid w:val="003B4A12"/>
    <w:rsid w:val="003B4AEB"/>
    <w:rsid w:val="003B4CCC"/>
    <w:rsid w:val="003B4F1F"/>
    <w:rsid w:val="003B51EE"/>
    <w:rsid w:val="003B55B0"/>
    <w:rsid w:val="003B5929"/>
    <w:rsid w:val="003B5A0A"/>
    <w:rsid w:val="003B5A19"/>
    <w:rsid w:val="003B5BD8"/>
    <w:rsid w:val="003B5C41"/>
    <w:rsid w:val="003B5CD2"/>
    <w:rsid w:val="003B615B"/>
    <w:rsid w:val="003B6360"/>
    <w:rsid w:val="003B64AB"/>
    <w:rsid w:val="003B651B"/>
    <w:rsid w:val="003B687C"/>
    <w:rsid w:val="003B688F"/>
    <w:rsid w:val="003B68AA"/>
    <w:rsid w:val="003B6998"/>
    <w:rsid w:val="003B6D2C"/>
    <w:rsid w:val="003B6D30"/>
    <w:rsid w:val="003B750C"/>
    <w:rsid w:val="003B7717"/>
    <w:rsid w:val="003B778D"/>
    <w:rsid w:val="003B78E2"/>
    <w:rsid w:val="003B7936"/>
    <w:rsid w:val="003B7B22"/>
    <w:rsid w:val="003B7C2F"/>
    <w:rsid w:val="003C00A6"/>
    <w:rsid w:val="003C035B"/>
    <w:rsid w:val="003C0470"/>
    <w:rsid w:val="003C0808"/>
    <w:rsid w:val="003C09B8"/>
    <w:rsid w:val="003C0BB2"/>
    <w:rsid w:val="003C0DA9"/>
    <w:rsid w:val="003C104B"/>
    <w:rsid w:val="003C128A"/>
    <w:rsid w:val="003C12C1"/>
    <w:rsid w:val="003C1337"/>
    <w:rsid w:val="003C13CC"/>
    <w:rsid w:val="003C1855"/>
    <w:rsid w:val="003C18ED"/>
    <w:rsid w:val="003C19BA"/>
    <w:rsid w:val="003C19FD"/>
    <w:rsid w:val="003C1E1A"/>
    <w:rsid w:val="003C2227"/>
    <w:rsid w:val="003C24F5"/>
    <w:rsid w:val="003C25FB"/>
    <w:rsid w:val="003C2717"/>
    <w:rsid w:val="003C2D1F"/>
    <w:rsid w:val="003C2E11"/>
    <w:rsid w:val="003C32D4"/>
    <w:rsid w:val="003C360A"/>
    <w:rsid w:val="003C37AE"/>
    <w:rsid w:val="003C39AE"/>
    <w:rsid w:val="003C3E31"/>
    <w:rsid w:val="003C3E84"/>
    <w:rsid w:val="003C3F8F"/>
    <w:rsid w:val="003C4178"/>
    <w:rsid w:val="003C43C5"/>
    <w:rsid w:val="003C49E2"/>
    <w:rsid w:val="003C4B79"/>
    <w:rsid w:val="003C4E0C"/>
    <w:rsid w:val="003C51EA"/>
    <w:rsid w:val="003C5532"/>
    <w:rsid w:val="003C56CC"/>
    <w:rsid w:val="003C598F"/>
    <w:rsid w:val="003C5DDB"/>
    <w:rsid w:val="003C5F8B"/>
    <w:rsid w:val="003C682E"/>
    <w:rsid w:val="003C6A08"/>
    <w:rsid w:val="003C6BC7"/>
    <w:rsid w:val="003C6DAF"/>
    <w:rsid w:val="003C75E8"/>
    <w:rsid w:val="003C795C"/>
    <w:rsid w:val="003C797B"/>
    <w:rsid w:val="003C798B"/>
    <w:rsid w:val="003C7A62"/>
    <w:rsid w:val="003C7C7F"/>
    <w:rsid w:val="003C7F12"/>
    <w:rsid w:val="003D02B1"/>
    <w:rsid w:val="003D06B8"/>
    <w:rsid w:val="003D07DD"/>
    <w:rsid w:val="003D09C6"/>
    <w:rsid w:val="003D1627"/>
    <w:rsid w:val="003D178C"/>
    <w:rsid w:val="003D1905"/>
    <w:rsid w:val="003D1952"/>
    <w:rsid w:val="003D19B0"/>
    <w:rsid w:val="003D1B50"/>
    <w:rsid w:val="003D1CEF"/>
    <w:rsid w:val="003D1D66"/>
    <w:rsid w:val="003D284C"/>
    <w:rsid w:val="003D2998"/>
    <w:rsid w:val="003D2C32"/>
    <w:rsid w:val="003D32A5"/>
    <w:rsid w:val="003D3C2A"/>
    <w:rsid w:val="003D3FAB"/>
    <w:rsid w:val="003D44F7"/>
    <w:rsid w:val="003D4727"/>
    <w:rsid w:val="003D4821"/>
    <w:rsid w:val="003D49B2"/>
    <w:rsid w:val="003D4CD5"/>
    <w:rsid w:val="003D503A"/>
    <w:rsid w:val="003D558C"/>
    <w:rsid w:val="003D5770"/>
    <w:rsid w:val="003D584E"/>
    <w:rsid w:val="003D5A51"/>
    <w:rsid w:val="003D5D76"/>
    <w:rsid w:val="003D5F60"/>
    <w:rsid w:val="003D5F7D"/>
    <w:rsid w:val="003D6325"/>
    <w:rsid w:val="003D6412"/>
    <w:rsid w:val="003D648D"/>
    <w:rsid w:val="003D67F9"/>
    <w:rsid w:val="003D6950"/>
    <w:rsid w:val="003D6993"/>
    <w:rsid w:val="003D6C94"/>
    <w:rsid w:val="003D705E"/>
    <w:rsid w:val="003D78B8"/>
    <w:rsid w:val="003D7945"/>
    <w:rsid w:val="003D7A1F"/>
    <w:rsid w:val="003D7A5C"/>
    <w:rsid w:val="003D7C6C"/>
    <w:rsid w:val="003D7DBD"/>
    <w:rsid w:val="003E00D9"/>
    <w:rsid w:val="003E03CB"/>
    <w:rsid w:val="003E0480"/>
    <w:rsid w:val="003E0693"/>
    <w:rsid w:val="003E0C49"/>
    <w:rsid w:val="003E1232"/>
    <w:rsid w:val="003E12E6"/>
    <w:rsid w:val="003E1A66"/>
    <w:rsid w:val="003E1B19"/>
    <w:rsid w:val="003E1CDE"/>
    <w:rsid w:val="003E1D8C"/>
    <w:rsid w:val="003E1D91"/>
    <w:rsid w:val="003E1F48"/>
    <w:rsid w:val="003E2690"/>
    <w:rsid w:val="003E26E0"/>
    <w:rsid w:val="003E2873"/>
    <w:rsid w:val="003E2A9F"/>
    <w:rsid w:val="003E2C7C"/>
    <w:rsid w:val="003E35AE"/>
    <w:rsid w:val="003E3AB4"/>
    <w:rsid w:val="003E3AC0"/>
    <w:rsid w:val="003E3B11"/>
    <w:rsid w:val="003E3BD5"/>
    <w:rsid w:val="003E3CC4"/>
    <w:rsid w:val="003E3D0D"/>
    <w:rsid w:val="003E3E79"/>
    <w:rsid w:val="003E4549"/>
    <w:rsid w:val="003E4563"/>
    <w:rsid w:val="003E4934"/>
    <w:rsid w:val="003E49C4"/>
    <w:rsid w:val="003E5585"/>
    <w:rsid w:val="003E559B"/>
    <w:rsid w:val="003E56E4"/>
    <w:rsid w:val="003E57DC"/>
    <w:rsid w:val="003E5B2E"/>
    <w:rsid w:val="003E5C4E"/>
    <w:rsid w:val="003E6179"/>
    <w:rsid w:val="003E636A"/>
    <w:rsid w:val="003E64EB"/>
    <w:rsid w:val="003E67D0"/>
    <w:rsid w:val="003E6873"/>
    <w:rsid w:val="003E6980"/>
    <w:rsid w:val="003E6AA4"/>
    <w:rsid w:val="003E6BB0"/>
    <w:rsid w:val="003E6EF9"/>
    <w:rsid w:val="003E795A"/>
    <w:rsid w:val="003E7AED"/>
    <w:rsid w:val="003E7FE5"/>
    <w:rsid w:val="003F0647"/>
    <w:rsid w:val="003F09B6"/>
    <w:rsid w:val="003F0EED"/>
    <w:rsid w:val="003F0F57"/>
    <w:rsid w:val="003F1B7B"/>
    <w:rsid w:val="003F1BEF"/>
    <w:rsid w:val="003F1D73"/>
    <w:rsid w:val="003F1DED"/>
    <w:rsid w:val="003F2167"/>
    <w:rsid w:val="003F21C6"/>
    <w:rsid w:val="003F231D"/>
    <w:rsid w:val="003F259A"/>
    <w:rsid w:val="003F28DE"/>
    <w:rsid w:val="003F292F"/>
    <w:rsid w:val="003F2E8F"/>
    <w:rsid w:val="003F34D5"/>
    <w:rsid w:val="003F39C9"/>
    <w:rsid w:val="003F3FDF"/>
    <w:rsid w:val="003F44AD"/>
    <w:rsid w:val="003F59D2"/>
    <w:rsid w:val="003F5F9A"/>
    <w:rsid w:val="003F5FC2"/>
    <w:rsid w:val="003F61DE"/>
    <w:rsid w:val="003F61FA"/>
    <w:rsid w:val="003F6227"/>
    <w:rsid w:val="003F696E"/>
    <w:rsid w:val="003F6BC4"/>
    <w:rsid w:val="003F6C4F"/>
    <w:rsid w:val="003F6F37"/>
    <w:rsid w:val="003F7302"/>
    <w:rsid w:val="003F7388"/>
    <w:rsid w:val="003F7613"/>
    <w:rsid w:val="003F7676"/>
    <w:rsid w:val="003F7A52"/>
    <w:rsid w:val="003F7ACA"/>
    <w:rsid w:val="003F7D6D"/>
    <w:rsid w:val="003F7DF2"/>
    <w:rsid w:val="003F7EBD"/>
    <w:rsid w:val="003F7F25"/>
    <w:rsid w:val="0040036E"/>
    <w:rsid w:val="004003D2"/>
    <w:rsid w:val="00400760"/>
    <w:rsid w:val="0040091E"/>
    <w:rsid w:val="00400CB9"/>
    <w:rsid w:val="00400D51"/>
    <w:rsid w:val="00400D5B"/>
    <w:rsid w:val="00401273"/>
    <w:rsid w:val="004016D8"/>
    <w:rsid w:val="0040187E"/>
    <w:rsid w:val="00401918"/>
    <w:rsid w:val="004019A9"/>
    <w:rsid w:val="00401C48"/>
    <w:rsid w:val="00401CC2"/>
    <w:rsid w:val="00401CFF"/>
    <w:rsid w:val="0040207A"/>
    <w:rsid w:val="00402366"/>
    <w:rsid w:val="004029CF"/>
    <w:rsid w:val="004029E6"/>
    <w:rsid w:val="004029E7"/>
    <w:rsid w:val="00402BB0"/>
    <w:rsid w:val="00402FD3"/>
    <w:rsid w:val="00403074"/>
    <w:rsid w:val="004031B8"/>
    <w:rsid w:val="004031CB"/>
    <w:rsid w:val="00403304"/>
    <w:rsid w:val="0040373B"/>
    <w:rsid w:val="00403C07"/>
    <w:rsid w:val="00403EB3"/>
    <w:rsid w:val="004041B5"/>
    <w:rsid w:val="00404273"/>
    <w:rsid w:val="00404403"/>
    <w:rsid w:val="00404AEC"/>
    <w:rsid w:val="004051FF"/>
    <w:rsid w:val="004053E2"/>
    <w:rsid w:val="00405400"/>
    <w:rsid w:val="0040563B"/>
    <w:rsid w:val="00405743"/>
    <w:rsid w:val="004057EE"/>
    <w:rsid w:val="00405947"/>
    <w:rsid w:val="004059AD"/>
    <w:rsid w:val="00406184"/>
    <w:rsid w:val="004063C6"/>
    <w:rsid w:val="00406417"/>
    <w:rsid w:val="00406671"/>
    <w:rsid w:val="00406B31"/>
    <w:rsid w:val="00406C0E"/>
    <w:rsid w:val="00406ED0"/>
    <w:rsid w:val="0040709C"/>
    <w:rsid w:val="0040730E"/>
    <w:rsid w:val="004076E6"/>
    <w:rsid w:val="00407906"/>
    <w:rsid w:val="00407A6A"/>
    <w:rsid w:val="00407C5E"/>
    <w:rsid w:val="00407D1E"/>
    <w:rsid w:val="00407EE2"/>
    <w:rsid w:val="00410122"/>
    <w:rsid w:val="004104DE"/>
    <w:rsid w:val="00410556"/>
    <w:rsid w:val="004107ED"/>
    <w:rsid w:val="00410872"/>
    <w:rsid w:val="00410E03"/>
    <w:rsid w:val="00410F69"/>
    <w:rsid w:val="00411081"/>
    <w:rsid w:val="0041130D"/>
    <w:rsid w:val="004113AD"/>
    <w:rsid w:val="004116EB"/>
    <w:rsid w:val="0041172F"/>
    <w:rsid w:val="00411C8B"/>
    <w:rsid w:val="00411DE8"/>
    <w:rsid w:val="00411EF5"/>
    <w:rsid w:val="004120A9"/>
    <w:rsid w:val="0041258C"/>
    <w:rsid w:val="0041287D"/>
    <w:rsid w:val="004129AA"/>
    <w:rsid w:val="00412C80"/>
    <w:rsid w:val="00412DD8"/>
    <w:rsid w:val="00413308"/>
    <w:rsid w:val="00413AB2"/>
    <w:rsid w:val="00413E33"/>
    <w:rsid w:val="00414049"/>
    <w:rsid w:val="0041410D"/>
    <w:rsid w:val="00414335"/>
    <w:rsid w:val="00414BC6"/>
    <w:rsid w:val="00414DD8"/>
    <w:rsid w:val="004150EC"/>
    <w:rsid w:val="00415AA0"/>
    <w:rsid w:val="00415C07"/>
    <w:rsid w:val="00415C65"/>
    <w:rsid w:val="00415DA0"/>
    <w:rsid w:val="00415EEC"/>
    <w:rsid w:val="00416014"/>
    <w:rsid w:val="00416180"/>
    <w:rsid w:val="00416312"/>
    <w:rsid w:val="00416518"/>
    <w:rsid w:val="00416A06"/>
    <w:rsid w:val="00416AAB"/>
    <w:rsid w:val="00416FB8"/>
    <w:rsid w:val="00417A55"/>
    <w:rsid w:val="00420307"/>
    <w:rsid w:val="0042054F"/>
    <w:rsid w:val="00420B94"/>
    <w:rsid w:val="00420CD6"/>
    <w:rsid w:val="00420E89"/>
    <w:rsid w:val="004214E5"/>
    <w:rsid w:val="004214FB"/>
    <w:rsid w:val="0042166B"/>
    <w:rsid w:val="00421BC1"/>
    <w:rsid w:val="00421C71"/>
    <w:rsid w:val="00421CF2"/>
    <w:rsid w:val="00422996"/>
    <w:rsid w:val="00422E37"/>
    <w:rsid w:val="00423079"/>
    <w:rsid w:val="0042314C"/>
    <w:rsid w:val="004232E9"/>
    <w:rsid w:val="00423A98"/>
    <w:rsid w:val="004246A4"/>
    <w:rsid w:val="004248ED"/>
    <w:rsid w:val="00424926"/>
    <w:rsid w:val="00424B4F"/>
    <w:rsid w:val="00424C20"/>
    <w:rsid w:val="00424DAE"/>
    <w:rsid w:val="00425039"/>
    <w:rsid w:val="00425045"/>
    <w:rsid w:val="004253B3"/>
    <w:rsid w:val="00425CC9"/>
    <w:rsid w:val="00425D28"/>
    <w:rsid w:val="00425FC2"/>
    <w:rsid w:val="00426040"/>
    <w:rsid w:val="004267C8"/>
    <w:rsid w:val="004267DA"/>
    <w:rsid w:val="00426805"/>
    <w:rsid w:val="0042681E"/>
    <w:rsid w:val="00426ACF"/>
    <w:rsid w:val="00426C74"/>
    <w:rsid w:val="00426CF4"/>
    <w:rsid w:val="00426E16"/>
    <w:rsid w:val="0042718E"/>
    <w:rsid w:val="0042720D"/>
    <w:rsid w:val="00427578"/>
    <w:rsid w:val="0042763A"/>
    <w:rsid w:val="00427769"/>
    <w:rsid w:val="0042789A"/>
    <w:rsid w:val="00427988"/>
    <w:rsid w:val="00427A0B"/>
    <w:rsid w:val="00427A88"/>
    <w:rsid w:val="00427DA9"/>
    <w:rsid w:val="00427EFD"/>
    <w:rsid w:val="0043025E"/>
    <w:rsid w:val="00430298"/>
    <w:rsid w:val="004304F2"/>
    <w:rsid w:val="00430524"/>
    <w:rsid w:val="004306EB"/>
    <w:rsid w:val="004307CA"/>
    <w:rsid w:val="00430B87"/>
    <w:rsid w:val="00430FD8"/>
    <w:rsid w:val="00431EAD"/>
    <w:rsid w:val="004320C3"/>
    <w:rsid w:val="00432235"/>
    <w:rsid w:val="00432248"/>
    <w:rsid w:val="004322F9"/>
    <w:rsid w:val="004324C7"/>
    <w:rsid w:val="00432518"/>
    <w:rsid w:val="00432AD0"/>
    <w:rsid w:val="00432D0C"/>
    <w:rsid w:val="00433337"/>
    <w:rsid w:val="0043349C"/>
    <w:rsid w:val="004339AE"/>
    <w:rsid w:val="00433B80"/>
    <w:rsid w:val="00433BDD"/>
    <w:rsid w:val="00433D25"/>
    <w:rsid w:val="00433D38"/>
    <w:rsid w:val="00433E9F"/>
    <w:rsid w:val="00433F49"/>
    <w:rsid w:val="00433F9E"/>
    <w:rsid w:val="00434209"/>
    <w:rsid w:val="0043420D"/>
    <w:rsid w:val="00434746"/>
    <w:rsid w:val="00434754"/>
    <w:rsid w:val="004349BE"/>
    <w:rsid w:val="00434ADE"/>
    <w:rsid w:val="00434CCF"/>
    <w:rsid w:val="00435010"/>
    <w:rsid w:val="00435016"/>
    <w:rsid w:val="00435131"/>
    <w:rsid w:val="00435493"/>
    <w:rsid w:val="0043559E"/>
    <w:rsid w:val="00435749"/>
    <w:rsid w:val="00435822"/>
    <w:rsid w:val="00435915"/>
    <w:rsid w:val="00435B99"/>
    <w:rsid w:val="00435CAA"/>
    <w:rsid w:val="00435D28"/>
    <w:rsid w:val="00435E7A"/>
    <w:rsid w:val="00435F45"/>
    <w:rsid w:val="00436513"/>
    <w:rsid w:val="004365EE"/>
    <w:rsid w:val="0043677E"/>
    <w:rsid w:val="004367D2"/>
    <w:rsid w:val="00436833"/>
    <w:rsid w:val="00436EA4"/>
    <w:rsid w:val="00436FA8"/>
    <w:rsid w:val="0043711B"/>
    <w:rsid w:val="004372E9"/>
    <w:rsid w:val="004374C1"/>
    <w:rsid w:val="004376AF"/>
    <w:rsid w:val="0043784F"/>
    <w:rsid w:val="004378EA"/>
    <w:rsid w:val="00437A35"/>
    <w:rsid w:val="00437CB2"/>
    <w:rsid w:val="00437F20"/>
    <w:rsid w:val="004403AE"/>
    <w:rsid w:val="004409D4"/>
    <w:rsid w:val="00440ABB"/>
    <w:rsid w:val="004419B8"/>
    <w:rsid w:val="00441A09"/>
    <w:rsid w:val="00441B33"/>
    <w:rsid w:val="00441B7B"/>
    <w:rsid w:val="00441B7E"/>
    <w:rsid w:val="00441CF0"/>
    <w:rsid w:val="00441E5E"/>
    <w:rsid w:val="00441FF2"/>
    <w:rsid w:val="004420AB"/>
    <w:rsid w:val="004422BD"/>
    <w:rsid w:val="004428C9"/>
    <w:rsid w:val="00442A7D"/>
    <w:rsid w:val="00442EC5"/>
    <w:rsid w:val="00443071"/>
    <w:rsid w:val="004433A4"/>
    <w:rsid w:val="00443789"/>
    <w:rsid w:val="004439CE"/>
    <w:rsid w:val="004443BA"/>
    <w:rsid w:val="00444613"/>
    <w:rsid w:val="0044473D"/>
    <w:rsid w:val="0044479B"/>
    <w:rsid w:val="004449E6"/>
    <w:rsid w:val="00444B1D"/>
    <w:rsid w:val="00444E9D"/>
    <w:rsid w:val="00444FF1"/>
    <w:rsid w:val="004451AD"/>
    <w:rsid w:val="00445238"/>
    <w:rsid w:val="00445543"/>
    <w:rsid w:val="00445891"/>
    <w:rsid w:val="004458FB"/>
    <w:rsid w:val="00445D9D"/>
    <w:rsid w:val="00446106"/>
    <w:rsid w:val="00446405"/>
    <w:rsid w:val="00446591"/>
    <w:rsid w:val="00446950"/>
    <w:rsid w:val="004469E2"/>
    <w:rsid w:val="00446A18"/>
    <w:rsid w:val="00446ACD"/>
    <w:rsid w:val="00446B51"/>
    <w:rsid w:val="00446CFC"/>
    <w:rsid w:val="00446ED4"/>
    <w:rsid w:val="004470B7"/>
    <w:rsid w:val="004475BB"/>
    <w:rsid w:val="00447601"/>
    <w:rsid w:val="00447703"/>
    <w:rsid w:val="004500B8"/>
    <w:rsid w:val="0045050B"/>
    <w:rsid w:val="0045065C"/>
    <w:rsid w:val="004506A4"/>
    <w:rsid w:val="004509FC"/>
    <w:rsid w:val="00450B12"/>
    <w:rsid w:val="00450B25"/>
    <w:rsid w:val="00451338"/>
    <w:rsid w:val="00451430"/>
    <w:rsid w:val="004518FD"/>
    <w:rsid w:val="00452224"/>
    <w:rsid w:val="00452439"/>
    <w:rsid w:val="0045243B"/>
    <w:rsid w:val="004524C3"/>
    <w:rsid w:val="0045260D"/>
    <w:rsid w:val="00452AC0"/>
    <w:rsid w:val="00452F6F"/>
    <w:rsid w:val="0045385B"/>
    <w:rsid w:val="0045391C"/>
    <w:rsid w:val="0045435D"/>
    <w:rsid w:val="00454688"/>
    <w:rsid w:val="00454901"/>
    <w:rsid w:val="00454954"/>
    <w:rsid w:val="00454BE4"/>
    <w:rsid w:val="00454CC8"/>
    <w:rsid w:val="00454E55"/>
    <w:rsid w:val="00455109"/>
    <w:rsid w:val="004555C3"/>
    <w:rsid w:val="00455765"/>
    <w:rsid w:val="00455CCF"/>
    <w:rsid w:val="004566E9"/>
    <w:rsid w:val="0045684C"/>
    <w:rsid w:val="00456856"/>
    <w:rsid w:val="00456F70"/>
    <w:rsid w:val="004570A2"/>
    <w:rsid w:val="00457165"/>
    <w:rsid w:val="0045724C"/>
    <w:rsid w:val="0045729F"/>
    <w:rsid w:val="0045732C"/>
    <w:rsid w:val="004575AF"/>
    <w:rsid w:val="00457651"/>
    <w:rsid w:val="004577C7"/>
    <w:rsid w:val="004579B3"/>
    <w:rsid w:val="00457A7D"/>
    <w:rsid w:val="00457C4D"/>
    <w:rsid w:val="00460001"/>
    <w:rsid w:val="004602B9"/>
    <w:rsid w:val="0046071A"/>
    <w:rsid w:val="00460884"/>
    <w:rsid w:val="004609F7"/>
    <w:rsid w:val="00460A39"/>
    <w:rsid w:val="00460A78"/>
    <w:rsid w:val="00460A9A"/>
    <w:rsid w:val="00460D72"/>
    <w:rsid w:val="00460EBE"/>
    <w:rsid w:val="00460F53"/>
    <w:rsid w:val="00461050"/>
    <w:rsid w:val="0046158C"/>
    <w:rsid w:val="00461772"/>
    <w:rsid w:val="00461787"/>
    <w:rsid w:val="00461803"/>
    <w:rsid w:val="00461A23"/>
    <w:rsid w:val="00461EB7"/>
    <w:rsid w:val="004620E3"/>
    <w:rsid w:val="00462126"/>
    <w:rsid w:val="00462512"/>
    <w:rsid w:val="004628CD"/>
    <w:rsid w:val="00462F4F"/>
    <w:rsid w:val="0046309F"/>
    <w:rsid w:val="0046345F"/>
    <w:rsid w:val="0046381F"/>
    <w:rsid w:val="00463873"/>
    <w:rsid w:val="004639A2"/>
    <w:rsid w:val="00463BAB"/>
    <w:rsid w:val="00463C52"/>
    <w:rsid w:val="00463C80"/>
    <w:rsid w:val="00463EB0"/>
    <w:rsid w:val="00464019"/>
    <w:rsid w:val="004644C6"/>
    <w:rsid w:val="00464B29"/>
    <w:rsid w:val="00464D3A"/>
    <w:rsid w:val="00464DF4"/>
    <w:rsid w:val="00464FA9"/>
    <w:rsid w:val="004654E6"/>
    <w:rsid w:val="00465620"/>
    <w:rsid w:val="004658A0"/>
    <w:rsid w:val="00465E93"/>
    <w:rsid w:val="00465F2E"/>
    <w:rsid w:val="0046618B"/>
    <w:rsid w:val="0046658C"/>
    <w:rsid w:val="004667B7"/>
    <w:rsid w:val="004668BA"/>
    <w:rsid w:val="00466C66"/>
    <w:rsid w:val="00466E89"/>
    <w:rsid w:val="004670E9"/>
    <w:rsid w:val="00467157"/>
    <w:rsid w:val="0046772B"/>
    <w:rsid w:val="00467A50"/>
    <w:rsid w:val="00467BD8"/>
    <w:rsid w:val="00467E4C"/>
    <w:rsid w:val="00470558"/>
    <w:rsid w:val="00470654"/>
    <w:rsid w:val="004708BB"/>
    <w:rsid w:val="00470ABB"/>
    <w:rsid w:val="00470E62"/>
    <w:rsid w:val="00470EF7"/>
    <w:rsid w:val="00470FDB"/>
    <w:rsid w:val="00471852"/>
    <w:rsid w:val="004718E6"/>
    <w:rsid w:val="00471CB2"/>
    <w:rsid w:val="00471D4B"/>
    <w:rsid w:val="00471F5B"/>
    <w:rsid w:val="00471FE6"/>
    <w:rsid w:val="00472D41"/>
    <w:rsid w:val="00473734"/>
    <w:rsid w:val="00473B82"/>
    <w:rsid w:val="00473DCA"/>
    <w:rsid w:val="00474140"/>
    <w:rsid w:val="0047414E"/>
    <w:rsid w:val="0047442C"/>
    <w:rsid w:val="00474520"/>
    <w:rsid w:val="004746D8"/>
    <w:rsid w:val="004749A5"/>
    <w:rsid w:val="00474AD3"/>
    <w:rsid w:val="00474CF8"/>
    <w:rsid w:val="00474E9A"/>
    <w:rsid w:val="004755E1"/>
    <w:rsid w:val="00475FBC"/>
    <w:rsid w:val="0047618B"/>
    <w:rsid w:val="0047667D"/>
    <w:rsid w:val="004766DB"/>
    <w:rsid w:val="00476911"/>
    <w:rsid w:val="00476995"/>
    <w:rsid w:val="00476A3A"/>
    <w:rsid w:val="00476BB9"/>
    <w:rsid w:val="00476C79"/>
    <w:rsid w:val="00477435"/>
    <w:rsid w:val="0047760C"/>
    <w:rsid w:val="00477B8A"/>
    <w:rsid w:val="00477D38"/>
    <w:rsid w:val="00477E26"/>
    <w:rsid w:val="00477E8B"/>
    <w:rsid w:val="00480066"/>
    <w:rsid w:val="0048024A"/>
    <w:rsid w:val="0048034E"/>
    <w:rsid w:val="0048058B"/>
    <w:rsid w:val="004806A0"/>
    <w:rsid w:val="00480DA3"/>
    <w:rsid w:val="004810D4"/>
    <w:rsid w:val="00481670"/>
    <w:rsid w:val="00481F57"/>
    <w:rsid w:val="004823D8"/>
    <w:rsid w:val="004826CE"/>
    <w:rsid w:val="004826E9"/>
    <w:rsid w:val="00482A6B"/>
    <w:rsid w:val="004833B5"/>
    <w:rsid w:val="00483522"/>
    <w:rsid w:val="0048373F"/>
    <w:rsid w:val="004837C1"/>
    <w:rsid w:val="00483815"/>
    <w:rsid w:val="0048385C"/>
    <w:rsid w:val="00483917"/>
    <w:rsid w:val="0048394C"/>
    <w:rsid w:val="0048468D"/>
    <w:rsid w:val="00484742"/>
    <w:rsid w:val="00484C02"/>
    <w:rsid w:val="00484DEA"/>
    <w:rsid w:val="00484E4F"/>
    <w:rsid w:val="00485483"/>
    <w:rsid w:val="00485777"/>
    <w:rsid w:val="004857AE"/>
    <w:rsid w:val="004859D1"/>
    <w:rsid w:val="00485DE0"/>
    <w:rsid w:val="004862ED"/>
    <w:rsid w:val="00486380"/>
    <w:rsid w:val="004868AE"/>
    <w:rsid w:val="00486971"/>
    <w:rsid w:val="00486A57"/>
    <w:rsid w:val="00486C61"/>
    <w:rsid w:val="0048731B"/>
    <w:rsid w:val="00487394"/>
    <w:rsid w:val="00487494"/>
    <w:rsid w:val="00487502"/>
    <w:rsid w:val="00487984"/>
    <w:rsid w:val="00487AE4"/>
    <w:rsid w:val="00487B08"/>
    <w:rsid w:val="00487E49"/>
    <w:rsid w:val="00487FF4"/>
    <w:rsid w:val="00490181"/>
    <w:rsid w:val="004903CD"/>
    <w:rsid w:val="0049064A"/>
    <w:rsid w:val="004913A6"/>
    <w:rsid w:val="00491770"/>
    <w:rsid w:val="00491B2A"/>
    <w:rsid w:val="00491F31"/>
    <w:rsid w:val="004928DF"/>
    <w:rsid w:val="004928ED"/>
    <w:rsid w:val="0049290D"/>
    <w:rsid w:val="00492923"/>
    <w:rsid w:val="00492BC9"/>
    <w:rsid w:val="00492C39"/>
    <w:rsid w:val="00493185"/>
    <w:rsid w:val="00493BB6"/>
    <w:rsid w:val="00494091"/>
    <w:rsid w:val="0049448C"/>
    <w:rsid w:val="00494491"/>
    <w:rsid w:val="00494570"/>
    <w:rsid w:val="00494679"/>
    <w:rsid w:val="00494769"/>
    <w:rsid w:val="0049479A"/>
    <w:rsid w:val="00494959"/>
    <w:rsid w:val="004949BE"/>
    <w:rsid w:val="004949C7"/>
    <w:rsid w:val="00494A2C"/>
    <w:rsid w:val="00494B05"/>
    <w:rsid w:val="00494C6A"/>
    <w:rsid w:val="004951B9"/>
    <w:rsid w:val="00495709"/>
    <w:rsid w:val="004958CE"/>
    <w:rsid w:val="00495F03"/>
    <w:rsid w:val="00496382"/>
    <w:rsid w:val="00496572"/>
    <w:rsid w:val="00496B1E"/>
    <w:rsid w:val="00496E7D"/>
    <w:rsid w:val="004974CA"/>
    <w:rsid w:val="00497832"/>
    <w:rsid w:val="0049793E"/>
    <w:rsid w:val="00497CA2"/>
    <w:rsid w:val="00497F50"/>
    <w:rsid w:val="004A021F"/>
    <w:rsid w:val="004A0411"/>
    <w:rsid w:val="004A0C13"/>
    <w:rsid w:val="004A0DB7"/>
    <w:rsid w:val="004A0FA4"/>
    <w:rsid w:val="004A0FF6"/>
    <w:rsid w:val="004A163C"/>
    <w:rsid w:val="004A18DD"/>
    <w:rsid w:val="004A1C2B"/>
    <w:rsid w:val="004A1D6D"/>
    <w:rsid w:val="004A1F41"/>
    <w:rsid w:val="004A20E8"/>
    <w:rsid w:val="004A2160"/>
    <w:rsid w:val="004A2183"/>
    <w:rsid w:val="004A2690"/>
    <w:rsid w:val="004A2A7F"/>
    <w:rsid w:val="004A2D15"/>
    <w:rsid w:val="004A31CF"/>
    <w:rsid w:val="004A3617"/>
    <w:rsid w:val="004A36DE"/>
    <w:rsid w:val="004A3816"/>
    <w:rsid w:val="004A3CA0"/>
    <w:rsid w:val="004A3D70"/>
    <w:rsid w:val="004A4676"/>
    <w:rsid w:val="004A4772"/>
    <w:rsid w:val="004A480C"/>
    <w:rsid w:val="004A4990"/>
    <w:rsid w:val="004A49E5"/>
    <w:rsid w:val="004A5000"/>
    <w:rsid w:val="004A505C"/>
    <w:rsid w:val="004A540F"/>
    <w:rsid w:val="004A5866"/>
    <w:rsid w:val="004A591C"/>
    <w:rsid w:val="004A592D"/>
    <w:rsid w:val="004A5AEC"/>
    <w:rsid w:val="004A5E33"/>
    <w:rsid w:val="004A5F7E"/>
    <w:rsid w:val="004A6054"/>
    <w:rsid w:val="004A60D8"/>
    <w:rsid w:val="004A6B4D"/>
    <w:rsid w:val="004A6EA4"/>
    <w:rsid w:val="004A71C9"/>
    <w:rsid w:val="004A770C"/>
    <w:rsid w:val="004A79CC"/>
    <w:rsid w:val="004A7A69"/>
    <w:rsid w:val="004A7BEC"/>
    <w:rsid w:val="004B010A"/>
    <w:rsid w:val="004B05F5"/>
    <w:rsid w:val="004B06DB"/>
    <w:rsid w:val="004B0815"/>
    <w:rsid w:val="004B0874"/>
    <w:rsid w:val="004B0D2D"/>
    <w:rsid w:val="004B0EF0"/>
    <w:rsid w:val="004B1044"/>
    <w:rsid w:val="004B10D6"/>
    <w:rsid w:val="004B138A"/>
    <w:rsid w:val="004B147C"/>
    <w:rsid w:val="004B1684"/>
    <w:rsid w:val="004B1DAC"/>
    <w:rsid w:val="004B1EE0"/>
    <w:rsid w:val="004B20BE"/>
    <w:rsid w:val="004B2503"/>
    <w:rsid w:val="004B2F9E"/>
    <w:rsid w:val="004B304D"/>
    <w:rsid w:val="004B3488"/>
    <w:rsid w:val="004B3510"/>
    <w:rsid w:val="004B36FA"/>
    <w:rsid w:val="004B3B8C"/>
    <w:rsid w:val="004B3ED7"/>
    <w:rsid w:val="004B4016"/>
    <w:rsid w:val="004B4558"/>
    <w:rsid w:val="004B455F"/>
    <w:rsid w:val="004B47F6"/>
    <w:rsid w:val="004B4A4B"/>
    <w:rsid w:val="004B4C9C"/>
    <w:rsid w:val="004B513A"/>
    <w:rsid w:val="004B5B9D"/>
    <w:rsid w:val="004B609F"/>
    <w:rsid w:val="004B63C1"/>
    <w:rsid w:val="004B6CA3"/>
    <w:rsid w:val="004B6CDC"/>
    <w:rsid w:val="004B6DC7"/>
    <w:rsid w:val="004B70E5"/>
    <w:rsid w:val="004B7670"/>
    <w:rsid w:val="004B793C"/>
    <w:rsid w:val="004B7DF0"/>
    <w:rsid w:val="004C029C"/>
    <w:rsid w:val="004C03A5"/>
    <w:rsid w:val="004C0566"/>
    <w:rsid w:val="004C0766"/>
    <w:rsid w:val="004C09DD"/>
    <w:rsid w:val="004C0FE3"/>
    <w:rsid w:val="004C1163"/>
    <w:rsid w:val="004C119C"/>
    <w:rsid w:val="004C1246"/>
    <w:rsid w:val="004C1286"/>
    <w:rsid w:val="004C1533"/>
    <w:rsid w:val="004C19B3"/>
    <w:rsid w:val="004C1DBF"/>
    <w:rsid w:val="004C1DC3"/>
    <w:rsid w:val="004C1F54"/>
    <w:rsid w:val="004C1FB1"/>
    <w:rsid w:val="004C258F"/>
    <w:rsid w:val="004C278C"/>
    <w:rsid w:val="004C2957"/>
    <w:rsid w:val="004C2D88"/>
    <w:rsid w:val="004C2E4D"/>
    <w:rsid w:val="004C2F9F"/>
    <w:rsid w:val="004C32A0"/>
    <w:rsid w:val="004C364C"/>
    <w:rsid w:val="004C3BAC"/>
    <w:rsid w:val="004C41D0"/>
    <w:rsid w:val="004C466E"/>
    <w:rsid w:val="004C4AA9"/>
    <w:rsid w:val="004C4D65"/>
    <w:rsid w:val="004C4E7F"/>
    <w:rsid w:val="004C4EDA"/>
    <w:rsid w:val="004C4FB3"/>
    <w:rsid w:val="004C4FCD"/>
    <w:rsid w:val="004C50FF"/>
    <w:rsid w:val="004C513C"/>
    <w:rsid w:val="004C526E"/>
    <w:rsid w:val="004C5679"/>
    <w:rsid w:val="004C576F"/>
    <w:rsid w:val="004C5A48"/>
    <w:rsid w:val="004C5FBF"/>
    <w:rsid w:val="004C6168"/>
    <w:rsid w:val="004C6218"/>
    <w:rsid w:val="004C6670"/>
    <w:rsid w:val="004C67BF"/>
    <w:rsid w:val="004C69F2"/>
    <w:rsid w:val="004C6BFB"/>
    <w:rsid w:val="004C7001"/>
    <w:rsid w:val="004C71C3"/>
    <w:rsid w:val="004C726C"/>
    <w:rsid w:val="004C7345"/>
    <w:rsid w:val="004C7545"/>
    <w:rsid w:val="004C7562"/>
    <w:rsid w:val="004C7650"/>
    <w:rsid w:val="004C78E4"/>
    <w:rsid w:val="004C7937"/>
    <w:rsid w:val="004C7F39"/>
    <w:rsid w:val="004D0118"/>
    <w:rsid w:val="004D05C7"/>
    <w:rsid w:val="004D0C51"/>
    <w:rsid w:val="004D0D92"/>
    <w:rsid w:val="004D107C"/>
    <w:rsid w:val="004D10AB"/>
    <w:rsid w:val="004D10FE"/>
    <w:rsid w:val="004D11FA"/>
    <w:rsid w:val="004D1C03"/>
    <w:rsid w:val="004D1CD6"/>
    <w:rsid w:val="004D1DC1"/>
    <w:rsid w:val="004D1F4A"/>
    <w:rsid w:val="004D263F"/>
    <w:rsid w:val="004D274D"/>
    <w:rsid w:val="004D2AC3"/>
    <w:rsid w:val="004D2D03"/>
    <w:rsid w:val="004D2E5F"/>
    <w:rsid w:val="004D305A"/>
    <w:rsid w:val="004D3385"/>
    <w:rsid w:val="004D3AD2"/>
    <w:rsid w:val="004D3CEE"/>
    <w:rsid w:val="004D41A6"/>
    <w:rsid w:val="004D4912"/>
    <w:rsid w:val="004D4C1B"/>
    <w:rsid w:val="004D4EC0"/>
    <w:rsid w:val="004D501A"/>
    <w:rsid w:val="004D52FB"/>
    <w:rsid w:val="004D53FA"/>
    <w:rsid w:val="004D54C5"/>
    <w:rsid w:val="004D56F0"/>
    <w:rsid w:val="004D58F1"/>
    <w:rsid w:val="004D63EA"/>
    <w:rsid w:val="004D67D9"/>
    <w:rsid w:val="004D680B"/>
    <w:rsid w:val="004D6C3A"/>
    <w:rsid w:val="004D6E88"/>
    <w:rsid w:val="004E0162"/>
    <w:rsid w:val="004E08F5"/>
    <w:rsid w:val="004E0A7C"/>
    <w:rsid w:val="004E0B05"/>
    <w:rsid w:val="004E0FFB"/>
    <w:rsid w:val="004E10A3"/>
    <w:rsid w:val="004E10B0"/>
    <w:rsid w:val="004E15D6"/>
    <w:rsid w:val="004E16AE"/>
    <w:rsid w:val="004E1A70"/>
    <w:rsid w:val="004E1B52"/>
    <w:rsid w:val="004E1B5B"/>
    <w:rsid w:val="004E1F25"/>
    <w:rsid w:val="004E213D"/>
    <w:rsid w:val="004E26F5"/>
    <w:rsid w:val="004E2951"/>
    <w:rsid w:val="004E2CB1"/>
    <w:rsid w:val="004E3028"/>
    <w:rsid w:val="004E34A9"/>
    <w:rsid w:val="004E3912"/>
    <w:rsid w:val="004E3F02"/>
    <w:rsid w:val="004E3F12"/>
    <w:rsid w:val="004E476D"/>
    <w:rsid w:val="004E48FE"/>
    <w:rsid w:val="004E4912"/>
    <w:rsid w:val="004E4979"/>
    <w:rsid w:val="004E4A20"/>
    <w:rsid w:val="004E4CC6"/>
    <w:rsid w:val="004E50BF"/>
    <w:rsid w:val="004E53B6"/>
    <w:rsid w:val="004E54B9"/>
    <w:rsid w:val="004E5847"/>
    <w:rsid w:val="004E59CF"/>
    <w:rsid w:val="004E5B95"/>
    <w:rsid w:val="004E5E74"/>
    <w:rsid w:val="004E5F5F"/>
    <w:rsid w:val="004E6011"/>
    <w:rsid w:val="004E60C8"/>
    <w:rsid w:val="004E6397"/>
    <w:rsid w:val="004E6FFF"/>
    <w:rsid w:val="004E7410"/>
    <w:rsid w:val="004E7C2B"/>
    <w:rsid w:val="004F00B8"/>
    <w:rsid w:val="004F02C5"/>
    <w:rsid w:val="004F07CD"/>
    <w:rsid w:val="004F07DE"/>
    <w:rsid w:val="004F09EA"/>
    <w:rsid w:val="004F0AAC"/>
    <w:rsid w:val="004F0B07"/>
    <w:rsid w:val="004F0EED"/>
    <w:rsid w:val="004F13A1"/>
    <w:rsid w:val="004F1511"/>
    <w:rsid w:val="004F1A64"/>
    <w:rsid w:val="004F1BC9"/>
    <w:rsid w:val="004F33C2"/>
    <w:rsid w:val="004F3545"/>
    <w:rsid w:val="004F3826"/>
    <w:rsid w:val="004F3ADD"/>
    <w:rsid w:val="004F3CBB"/>
    <w:rsid w:val="004F4212"/>
    <w:rsid w:val="004F4284"/>
    <w:rsid w:val="004F4523"/>
    <w:rsid w:val="004F4566"/>
    <w:rsid w:val="004F4A27"/>
    <w:rsid w:val="004F4A2D"/>
    <w:rsid w:val="004F4A61"/>
    <w:rsid w:val="004F4AF6"/>
    <w:rsid w:val="004F4FFB"/>
    <w:rsid w:val="004F5298"/>
    <w:rsid w:val="004F5655"/>
    <w:rsid w:val="004F56E1"/>
    <w:rsid w:val="004F571A"/>
    <w:rsid w:val="004F5986"/>
    <w:rsid w:val="004F6095"/>
    <w:rsid w:val="004F622C"/>
    <w:rsid w:val="004F6376"/>
    <w:rsid w:val="004F6B7B"/>
    <w:rsid w:val="004F717A"/>
    <w:rsid w:val="004F7241"/>
    <w:rsid w:val="004F78AE"/>
    <w:rsid w:val="004F7B49"/>
    <w:rsid w:val="004F7C6B"/>
    <w:rsid w:val="004F7D33"/>
    <w:rsid w:val="004F7F50"/>
    <w:rsid w:val="005002B7"/>
    <w:rsid w:val="0050056B"/>
    <w:rsid w:val="0050065A"/>
    <w:rsid w:val="00500850"/>
    <w:rsid w:val="00500971"/>
    <w:rsid w:val="00500B77"/>
    <w:rsid w:val="00500C50"/>
    <w:rsid w:val="00500CB2"/>
    <w:rsid w:val="0050115A"/>
    <w:rsid w:val="0050150B"/>
    <w:rsid w:val="00501521"/>
    <w:rsid w:val="005017C0"/>
    <w:rsid w:val="00501D8F"/>
    <w:rsid w:val="005025C0"/>
    <w:rsid w:val="005027F5"/>
    <w:rsid w:val="00502F71"/>
    <w:rsid w:val="0050318D"/>
    <w:rsid w:val="0050324B"/>
    <w:rsid w:val="00503452"/>
    <w:rsid w:val="0050362E"/>
    <w:rsid w:val="00503B12"/>
    <w:rsid w:val="00503D1D"/>
    <w:rsid w:val="00503DD8"/>
    <w:rsid w:val="00503EC2"/>
    <w:rsid w:val="00503FFC"/>
    <w:rsid w:val="0050413A"/>
    <w:rsid w:val="0050424F"/>
    <w:rsid w:val="005042A7"/>
    <w:rsid w:val="00504961"/>
    <w:rsid w:val="00504D5B"/>
    <w:rsid w:val="00504E19"/>
    <w:rsid w:val="005050DE"/>
    <w:rsid w:val="00505621"/>
    <w:rsid w:val="005056EB"/>
    <w:rsid w:val="005058B3"/>
    <w:rsid w:val="00506007"/>
    <w:rsid w:val="005060C1"/>
    <w:rsid w:val="0050611F"/>
    <w:rsid w:val="00506151"/>
    <w:rsid w:val="00506C11"/>
    <w:rsid w:val="00506CE1"/>
    <w:rsid w:val="00506DDC"/>
    <w:rsid w:val="0050741D"/>
    <w:rsid w:val="00507593"/>
    <w:rsid w:val="00507669"/>
    <w:rsid w:val="005078CC"/>
    <w:rsid w:val="00507978"/>
    <w:rsid w:val="005079DF"/>
    <w:rsid w:val="00507AAB"/>
    <w:rsid w:val="00507BE2"/>
    <w:rsid w:val="00507CD2"/>
    <w:rsid w:val="00507D72"/>
    <w:rsid w:val="00507E54"/>
    <w:rsid w:val="00507F9D"/>
    <w:rsid w:val="005100F4"/>
    <w:rsid w:val="0051017C"/>
    <w:rsid w:val="00510182"/>
    <w:rsid w:val="00510340"/>
    <w:rsid w:val="0051040D"/>
    <w:rsid w:val="0051081D"/>
    <w:rsid w:val="00510A6D"/>
    <w:rsid w:val="00510C5E"/>
    <w:rsid w:val="00510DE8"/>
    <w:rsid w:val="00510E40"/>
    <w:rsid w:val="00510F6C"/>
    <w:rsid w:val="00511476"/>
    <w:rsid w:val="0051190E"/>
    <w:rsid w:val="00511B91"/>
    <w:rsid w:val="00511CFC"/>
    <w:rsid w:val="0051228B"/>
    <w:rsid w:val="00512572"/>
    <w:rsid w:val="00512BF8"/>
    <w:rsid w:val="00512C17"/>
    <w:rsid w:val="00513014"/>
    <w:rsid w:val="00513406"/>
    <w:rsid w:val="00513F20"/>
    <w:rsid w:val="0051404E"/>
    <w:rsid w:val="0051479E"/>
    <w:rsid w:val="00514814"/>
    <w:rsid w:val="005148D6"/>
    <w:rsid w:val="00514A55"/>
    <w:rsid w:val="00514E00"/>
    <w:rsid w:val="00514EDD"/>
    <w:rsid w:val="00514F20"/>
    <w:rsid w:val="0051518A"/>
    <w:rsid w:val="00515511"/>
    <w:rsid w:val="005157EA"/>
    <w:rsid w:val="00515831"/>
    <w:rsid w:val="005158F8"/>
    <w:rsid w:val="00515A30"/>
    <w:rsid w:val="00515DF5"/>
    <w:rsid w:val="005160F5"/>
    <w:rsid w:val="00516B72"/>
    <w:rsid w:val="00517B45"/>
    <w:rsid w:val="00517DE3"/>
    <w:rsid w:val="00520084"/>
    <w:rsid w:val="005211E0"/>
    <w:rsid w:val="0052136F"/>
    <w:rsid w:val="00521542"/>
    <w:rsid w:val="005215A9"/>
    <w:rsid w:val="00521966"/>
    <w:rsid w:val="00522025"/>
    <w:rsid w:val="005220DF"/>
    <w:rsid w:val="00522950"/>
    <w:rsid w:val="00522956"/>
    <w:rsid w:val="0052299C"/>
    <w:rsid w:val="00522C06"/>
    <w:rsid w:val="00522C4A"/>
    <w:rsid w:val="00522CF3"/>
    <w:rsid w:val="005231AE"/>
    <w:rsid w:val="005237DA"/>
    <w:rsid w:val="005238FF"/>
    <w:rsid w:val="00523A64"/>
    <w:rsid w:val="00523B85"/>
    <w:rsid w:val="00523D4B"/>
    <w:rsid w:val="00523EE8"/>
    <w:rsid w:val="00524515"/>
    <w:rsid w:val="00524675"/>
    <w:rsid w:val="0052472F"/>
    <w:rsid w:val="00524D22"/>
    <w:rsid w:val="00524E21"/>
    <w:rsid w:val="005255B4"/>
    <w:rsid w:val="00525671"/>
    <w:rsid w:val="00525CA6"/>
    <w:rsid w:val="00526131"/>
    <w:rsid w:val="00526591"/>
    <w:rsid w:val="0052675A"/>
    <w:rsid w:val="005267AD"/>
    <w:rsid w:val="0052692A"/>
    <w:rsid w:val="00526C60"/>
    <w:rsid w:val="00526CF6"/>
    <w:rsid w:val="00526F0F"/>
    <w:rsid w:val="00527278"/>
    <w:rsid w:val="00527392"/>
    <w:rsid w:val="005273A1"/>
    <w:rsid w:val="005273FD"/>
    <w:rsid w:val="00527C86"/>
    <w:rsid w:val="00527D90"/>
    <w:rsid w:val="00527F8E"/>
    <w:rsid w:val="005301EA"/>
    <w:rsid w:val="00530D07"/>
    <w:rsid w:val="00530E79"/>
    <w:rsid w:val="00530FA9"/>
    <w:rsid w:val="00531354"/>
    <w:rsid w:val="00531503"/>
    <w:rsid w:val="00531796"/>
    <w:rsid w:val="00531AD7"/>
    <w:rsid w:val="00531CEB"/>
    <w:rsid w:val="00531D71"/>
    <w:rsid w:val="00531E50"/>
    <w:rsid w:val="00532B8D"/>
    <w:rsid w:val="00532DA2"/>
    <w:rsid w:val="00532EC4"/>
    <w:rsid w:val="00532F72"/>
    <w:rsid w:val="00533020"/>
    <w:rsid w:val="005332ED"/>
    <w:rsid w:val="0053364F"/>
    <w:rsid w:val="00533781"/>
    <w:rsid w:val="00533975"/>
    <w:rsid w:val="00533AA6"/>
    <w:rsid w:val="00533C31"/>
    <w:rsid w:val="00534285"/>
    <w:rsid w:val="0053445B"/>
    <w:rsid w:val="00534B64"/>
    <w:rsid w:val="00535256"/>
    <w:rsid w:val="00535282"/>
    <w:rsid w:val="00535942"/>
    <w:rsid w:val="00535AFA"/>
    <w:rsid w:val="00535CFF"/>
    <w:rsid w:val="00535E03"/>
    <w:rsid w:val="00535F68"/>
    <w:rsid w:val="00536405"/>
    <w:rsid w:val="00536468"/>
    <w:rsid w:val="00536C05"/>
    <w:rsid w:val="0053703A"/>
    <w:rsid w:val="00537252"/>
    <w:rsid w:val="0053734F"/>
    <w:rsid w:val="0053740D"/>
    <w:rsid w:val="005374A4"/>
    <w:rsid w:val="005375C7"/>
    <w:rsid w:val="005378BA"/>
    <w:rsid w:val="005378C3"/>
    <w:rsid w:val="005378F9"/>
    <w:rsid w:val="00537916"/>
    <w:rsid w:val="00537C72"/>
    <w:rsid w:val="00537F09"/>
    <w:rsid w:val="0054005C"/>
    <w:rsid w:val="005400CE"/>
    <w:rsid w:val="00540106"/>
    <w:rsid w:val="005407B5"/>
    <w:rsid w:val="0054086C"/>
    <w:rsid w:val="00540B21"/>
    <w:rsid w:val="00540C65"/>
    <w:rsid w:val="00541227"/>
    <w:rsid w:val="00541389"/>
    <w:rsid w:val="00541455"/>
    <w:rsid w:val="0054145A"/>
    <w:rsid w:val="00541A85"/>
    <w:rsid w:val="00541FF0"/>
    <w:rsid w:val="005420E3"/>
    <w:rsid w:val="00542483"/>
    <w:rsid w:val="00542666"/>
    <w:rsid w:val="005428D2"/>
    <w:rsid w:val="00542CC6"/>
    <w:rsid w:val="00542DC5"/>
    <w:rsid w:val="00542DDE"/>
    <w:rsid w:val="00542E00"/>
    <w:rsid w:val="00542FC5"/>
    <w:rsid w:val="00543205"/>
    <w:rsid w:val="005435D7"/>
    <w:rsid w:val="005436DE"/>
    <w:rsid w:val="005438AF"/>
    <w:rsid w:val="00544538"/>
    <w:rsid w:val="00544DDB"/>
    <w:rsid w:val="00545139"/>
    <w:rsid w:val="00545484"/>
    <w:rsid w:val="0054570B"/>
    <w:rsid w:val="00545F36"/>
    <w:rsid w:val="0054612C"/>
    <w:rsid w:val="00546247"/>
    <w:rsid w:val="00546263"/>
    <w:rsid w:val="005462D0"/>
    <w:rsid w:val="00546724"/>
    <w:rsid w:val="00546B88"/>
    <w:rsid w:val="00547235"/>
    <w:rsid w:val="00547300"/>
    <w:rsid w:val="00547397"/>
    <w:rsid w:val="005473D2"/>
    <w:rsid w:val="00547423"/>
    <w:rsid w:val="005477E5"/>
    <w:rsid w:val="0054798E"/>
    <w:rsid w:val="005503C0"/>
    <w:rsid w:val="00550576"/>
    <w:rsid w:val="005507ED"/>
    <w:rsid w:val="0055080F"/>
    <w:rsid w:val="00550BE3"/>
    <w:rsid w:val="005510C6"/>
    <w:rsid w:val="005511F0"/>
    <w:rsid w:val="005513A5"/>
    <w:rsid w:val="0055185D"/>
    <w:rsid w:val="00551B91"/>
    <w:rsid w:val="00551D4D"/>
    <w:rsid w:val="00551FAF"/>
    <w:rsid w:val="0055214C"/>
    <w:rsid w:val="0055244D"/>
    <w:rsid w:val="00552696"/>
    <w:rsid w:val="00552BAE"/>
    <w:rsid w:val="00552CB1"/>
    <w:rsid w:val="005536FF"/>
    <w:rsid w:val="00553A97"/>
    <w:rsid w:val="00553CA0"/>
    <w:rsid w:val="00554921"/>
    <w:rsid w:val="00554A81"/>
    <w:rsid w:val="005550AA"/>
    <w:rsid w:val="0055542C"/>
    <w:rsid w:val="005554AD"/>
    <w:rsid w:val="00555CA4"/>
    <w:rsid w:val="0055654E"/>
    <w:rsid w:val="005566F8"/>
    <w:rsid w:val="00557362"/>
    <w:rsid w:val="00557373"/>
    <w:rsid w:val="0055753B"/>
    <w:rsid w:val="0055755B"/>
    <w:rsid w:val="005577BB"/>
    <w:rsid w:val="00557EA7"/>
    <w:rsid w:val="005601A1"/>
    <w:rsid w:val="005602AF"/>
    <w:rsid w:val="0056070D"/>
    <w:rsid w:val="0056090D"/>
    <w:rsid w:val="00560AA5"/>
    <w:rsid w:val="00560CAE"/>
    <w:rsid w:val="00560FEE"/>
    <w:rsid w:val="0056114C"/>
    <w:rsid w:val="00561274"/>
    <w:rsid w:val="00561522"/>
    <w:rsid w:val="00561568"/>
    <w:rsid w:val="005615DD"/>
    <w:rsid w:val="00561CFD"/>
    <w:rsid w:val="00562537"/>
    <w:rsid w:val="00562603"/>
    <w:rsid w:val="0056273F"/>
    <w:rsid w:val="005627BD"/>
    <w:rsid w:val="005628F4"/>
    <w:rsid w:val="005629BC"/>
    <w:rsid w:val="00562B80"/>
    <w:rsid w:val="00562D4E"/>
    <w:rsid w:val="0056335E"/>
    <w:rsid w:val="00563384"/>
    <w:rsid w:val="00563A0E"/>
    <w:rsid w:val="00563C3F"/>
    <w:rsid w:val="00563DE3"/>
    <w:rsid w:val="005642C4"/>
    <w:rsid w:val="0056430D"/>
    <w:rsid w:val="005643F2"/>
    <w:rsid w:val="0056481E"/>
    <w:rsid w:val="00564E89"/>
    <w:rsid w:val="0056508A"/>
    <w:rsid w:val="0056527A"/>
    <w:rsid w:val="005656A4"/>
    <w:rsid w:val="00565957"/>
    <w:rsid w:val="00565A50"/>
    <w:rsid w:val="00565F10"/>
    <w:rsid w:val="00565F51"/>
    <w:rsid w:val="00565FE1"/>
    <w:rsid w:val="00566051"/>
    <w:rsid w:val="00566353"/>
    <w:rsid w:val="00566699"/>
    <w:rsid w:val="00566735"/>
    <w:rsid w:val="00566C89"/>
    <w:rsid w:val="00566D4D"/>
    <w:rsid w:val="005671AE"/>
    <w:rsid w:val="0056744D"/>
    <w:rsid w:val="00567AE6"/>
    <w:rsid w:val="00567B60"/>
    <w:rsid w:val="00570B8F"/>
    <w:rsid w:val="00570CF9"/>
    <w:rsid w:val="005712BD"/>
    <w:rsid w:val="0057163F"/>
    <w:rsid w:val="00571684"/>
    <w:rsid w:val="0057179F"/>
    <w:rsid w:val="00571A8A"/>
    <w:rsid w:val="00571B71"/>
    <w:rsid w:val="00571F1E"/>
    <w:rsid w:val="0057202F"/>
    <w:rsid w:val="0057275D"/>
    <w:rsid w:val="00572792"/>
    <w:rsid w:val="005729A3"/>
    <w:rsid w:val="00572FA0"/>
    <w:rsid w:val="005731AB"/>
    <w:rsid w:val="0057375A"/>
    <w:rsid w:val="005738CD"/>
    <w:rsid w:val="00573982"/>
    <w:rsid w:val="00573A4C"/>
    <w:rsid w:val="00573ABE"/>
    <w:rsid w:val="00573F1D"/>
    <w:rsid w:val="005745D9"/>
    <w:rsid w:val="0057497E"/>
    <w:rsid w:val="00574982"/>
    <w:rsid w:val="00574CC3"/>
    <w:rsid w:val="00574FFB"/>
    <w:rsid w:val="00575118"/>
    <w:rsid w:val="005752C5"/>
    <w:rsid w:val="00575404"/>
    <w:rsid w:val="00575616"/>
    <w:rsid w:val="00575639"/>
    <w:rsid w:val="00575819"/>
    <w:rsid w:val="0057587B"/>
    <w:rsid w:val="005758A9"/>
    <w:rsid w:val="005759C8"/>
    <w:rsid w:val="00575E79"/>
    <w:rsid w:val="005767BB"/>
    <w:rsid w:val="0057682B"/>
    <w:rsid w:val="00576861"/>
    <w:rsid w:val="00576C8E"/>
    <w:rsid w:val="00576FCD"/>
    <w:rsid w:val="005777FF"/>
    <w:rsid w:val="00577BCB"/>
    <w:rsid w:val="00577EA2"/>
    <w:rsid w:val="00577F59"/>
    <w:rsid w:val="0058007F"/>
    <w:rsid w:val="00580E88"/>
    <w:rsid w:val="00581192"/>
    <w:rsid w:val="0058132D"/>
    <w:rsid w:val="00581977"/>
    <w:rsid w:val="00581BB2"/>
    <w:rsid w:val="00581FE3"/>
    <w:rsid w:val="0058215F"/>
    <w:rsid w:val="005822CB"/>
    <w:rsid w:val="00582B82"/>
    <w:rsid w:val="00582E6D"/>
    <w:rsid w:val="005830A1"/>
    <w:rsid w:val="005837BC"/>
    <w:rsid w:val="005838CF"/>
    <w:rsid w:val="00583B18"/>
    <w:rsid w:val="00583B5B"/>
    <w:rsid w:val="0058434B"/>
    <w:rsid w:val="00584988"/>
    <w:rsid w:val="00584F41"/>
    <w:rsid w:val="0058505F"/>
    <w:rsid w:val="0058507F"/>
    <w:rsid w:val="00585394"/>
    <w:rsid w:val="00585732"/>
    <w:rsid w:val="00585856"/>
    <w:rsid w:val="00585E38"/>
    <w:rsid w:val="0058608D"/>
    <w:rsid w:val="0058625C"/>
    <w:rsid w:val="005868CF"/>
    <w:rsid w:val="00586B1A"/>
    <w:rsid w:val="00586CF5"/>
    <w:rsid w:val="005871EC"/>
    <w:rsid w:val="005873E1"/>
    <w:rsid w:val="00587672"/>
    <w:rsid w:val="00587754"/>
    <w:rsid w:val="005878F6"/>
    <w:rsid w:val="00587A2B"/>
    <w:rsid w:val="00587CC3"/>
    <w:rsid w:val="00587EF3"/>
    <w:rsid w:val="005900BE"/>
    <w:rsid w:val="00590203"/>
    <w:rsid w:val="0059031B"/>
    <w:rsid w:val="0059033A"/>
    <w:rsid w:val="0059036D"/>
    <w:rsid w:val="00590491"/>
    <w:rsid w:val="00590706"/>
    <w:rsid w:val="005907C3"/>
    <w:rsid w:val="00590A8F"/>
    <w:rsid w:val="00590ED0"/>
    <w:rsid w:val="00591101"/>
    <w:rsid w:val="00591158"/>
    <w:rsid w:val="00591495"/>
    <w:rsid w:val="00591842"/>
    <w:rsid w:val="0059188B"/>
    <w:rsid w:val="00591DC4"/>
    <w:rsid w:val="00592039"/>
    <w:rsid w:val="005920A6"/>
    <w:rsid w:val="005920EE"/>
    <w:rsid w:val="00592431"/>
    <w:rsid w:val="00592519"/>
    <w:rsid w:val="00592631"/>
    <w:rsid w:val="005927DB"/>
    <w:rsid w:val="00592ADD"/>
    <w:rsid w:val="00592BCE"/>
    <w:rsid w:val="00592C34"/>
    <w:rsid w:val="00592EA0"/>
    <w:rsid w:val="005930E0"/>
    <w:rsid w:val="005933AB"/>
    <w:rsid w:val="00593B78"/>
    <w:rsid w:val="00593B82"/>
    <w:rsid w:val="00593DB2"/>
    <w:rsid w:val="00593E30"/>
    <w:rsid w:val="00593EDE"/>
    <w:rsid w:val="0059406A"/>
    <w:rsid w:val="00594080"/>
    <w:rsid w:val="00594245"/>
    <w:rsid w:val="005945E0"/>
    <w:rsid w:val="00594D59"/>
    <w:rsid w:val="00595012"/>
    <w:rsid w:val="005951CD"/>
    <w:rsid w:val="005954A2"/>
    <w:rsid w:val="005957D0"/>
    <w:rsid w:val="00596C27"/>
    <w:rsid w:val="00596FF0"/>
    <w:rsid w:val="005970DC"/>
    <w:rsid w:val="00597125"/>
    <w:rsid w:val="00597355"/>
    <w:rsid w:val="005973EE"/>
    <w:rsid w:val="00597462"/>
    <w:rsid w:val="005974BC"/>
    <w:rsid w:val="0059787E"/>
    <w:rsid w:val="0059798A"/>
    <w:rsid w:val="005979D7"/>
    <w:rsid w:val="00597FD4"/>
    <w:rsid w:val="005A02AD"/>
    <w:rsid w:val="005A06C4"/>
    <w:rsid w:val="005A07E7"/>
    <w:rsid w:val="005A0BA2"/>
    <w:rsid w:val="005A0DED"/>
    <w:rsid w:val="005A1A40"/>
    <w:rsid w:val="005A1A6A"/>
    <w:rsid w:val="005A1D71"/>
    <w:rsid w:val="005A21DC"/>
    <w:rsid w:val="005A2400"/>
    <w:rsid w:val="005A287D"/>
    <w:rsid w:val="005A2B46"/>
    <w:rsid w:val="005A3477"/>
    <w:rsid w:val="005A3BC5"/>
    <w:rsid w:val="005A3E0C"/>
    <w:rsid w:val="005A3E8C"/>
    <w:rsid w:val="005A3ED2"/>
    <w:rsid w:val="005A4014"/>
    <w:rsid w:val="005A4AFB"/>
    <w:rsid w:val="005A550F"/>
    <w:rsid w:val="005A5596"/>
    <w:rsid w:val="005A5678"/>
    <w:rsid w:val="005A56E5"/>
    <w:rsid w:val="005A5B31"/>
    <w:rsid w:val="005A5C74"/>
    <w:rsid w:val="005A6097"/>
    <w:rsid w:val="005A6606"/>
    <w:rsid w:val="005A6A90"/>
    <w:rsid w:val="005A6C41"/>
    <w:rsid w:val="005A6E92"/>
    <w:rsid w:val="005A7AFA"/>
    <w:rsid w:val="005A7AFC"/>
    <w:rsid w:val="005A7B07"/>
    <w:rsid w:val="005A7CAA"/>
    <w:rsid w:val="005A7CEB"/>
    <w:rsid w:val="005A7DD1"/>
    <w:rsid w:val="005A7DFC"/>
    <w:rsid w:val="005A7E50"/>
    <w:rsid w:val="005B03D9"/>
    <w:rsid w:val="005B051B"/>
    <w:rsid w:val="005B054B"/>
    <w:rsid w:val="005B0757"/>
    <w:rsid w:val="005B0AA3"/>
    <w:rsid w:val="005B0AFA"/>
    <w:rsid w:val="005B0E47"/>
    <w:rsid w:val="005B110B"/>
    <w:rsid w:val="005B12EB"/>
    <w:rsid w:val="005B1396"/>
    <w:rsid w:val="005B147A"/>
    <w:rsid w:val="005B1759"/>
    <w:rsid w:val="005B1A41"/>
    <w:rsid w:val="005B1B48"/>
    <w:rsid w:val="005B1CE0"/>
    <w:rsid w:val="005B1D67"/>
    <w:rsid w:val="005B202B"/>
    <w:rsid w:val="005B24A9"/>
    <w:rsid w:val="005B2505"/>
    <w:rsid w:val="005B2914"/>
    <w:rsid w:val="005B2D3F"/>
    <w:rsid w:val="005B2E9F"/>
    <w:rsid w:val="005B35E0"/>
    <w:rsid w:val="005B368B"/>
    <w:rsid w:val="005B36F0"/>
    <w:rsid w:val="005B3A69"/>
    <w:rsid w:val="005B3CD8"/>
    <w:rsid w:val="005B3D3B"/>
    <w:rsid w:val="005B4957"/>
    <w:rsid w:val="005B4F87"/>
    <w:rsid w:val="005B514E"/>
    <w:rsid w:val="005B5283"/>
    <w:rsid w:val="005B5576"/>
    <w:rsid w:val="005B560A"/>
    <w:rsid w:val="005B579C"/>
    <w:rsid w:val="005B5A25"/>
    <w:rsid w:val="005B65CA"/>
    <w:rsid w:val="005B65E5"/>
    <w:rsid w:val="005B67E1"/>
    <w:rsid w:val="005B6A5F"/>
    <w:rsid w:val="005B6B40"/>
    <w:rsid w:val="005B6D7B"/>
    <w:rsid w:val="005B7330"/>
    <w:rsid w:val="005B7395"/>
    <w:rsid w:val="005B73FA"/>
    <w:rsid w:val="005B7A33"/>
    <w:rsid w:val="005B7F0D"/>
    <w:rsid w:val="005C02F9"/>
    <w:rsid w:val="005C05ED"/>
    <w:rsid w:val="005C084A"/>
    <w:rsid w:val="005C093E"/>
    <w:rsid w:val="005C0AF5"/>
    <w:rsid w:val="005C0C9B"/>
    <w:rsid w:val="005C143D"/>
    <w:rsid w:val="005C1568"/>
    <w:rsid w:val="005C1613"/>
    <w:rsid w:val="005C19BE"/>
    <w:rsid w:val="005C1A5F"/>
    <w:rsid w:val="005C1BAD"/>
    <w:rsid w:val="005C1FB7"/>
    <w:rsid w:val="005C1FBB"/>
    <w:rsid w:val="005C2134"/>
    <w:rsid w:val="005C2596"/>
    <w:rsid w:val="005C2868"/>
    <w:rsid w:val="005C28ED"/>
    <w:rsid w:val="005C28F1"/>
    <w:rsid w:val="005C2AAF"/>
    <w:rsid w:val="005C2AB0"/>
    <w:rsid w:val="005C2E26"/>
    <w:rsid w:val="005C3028"/>
    <w:rsid w:val="005C32F9"/>
    <w:rsid w:val="005C3644"/>
    <w:rsid w:val="005C3AAC"/>
    <w:rsid w:val="005C4442"/>
    <w:rsid w:val="005C4931"/>
    <w:rsid w:val="005C49A5"/>
    <w:rsid w:val="005C50C6"/>
    <w:rsid w:val="005C57FA"/>
    <w:rsid w:val="005C5B33"/>
    <w:rsid w:val="005C5D0F"/>
    <w:rsid w:val="005C5D93"/>
    <w:rsid w:val="005C5DBB"/>
    <w:rsid w:val="005C5E21"/>
    <w:rsid w:val="005C6411"/>
    <w:rsid w:val="005C6B39"/>
    <w:rsid w:val="005C6CC4"/>
    <w:rsid w:val="005C6DFD"/>
    <w:rsid w:val="005C73DE"/>
    <w:rsid w:val="005C7684"/>
    <w:rsid w:val="005C769A"/>
    <w:rsid w:val="005C7705"/>
    <w:rsid w:val="005C775B"/>
    <w:rsid w:val="005C7BDE"/>
    <w:rsid w:val="005C7CD5"/>
    <w:rsid w:val="005C7D4B"/>
    <w:rsid w:val="005C7FD5"/>
    <w:rsid w:val="005C7FEB"/>
    <w:rsid w:val="005C7FEF"/>
    <w:rsid w:val="005D015F"/>
    <w:rsid w:val="005D046E"/>
    <w:rsid w:val="005D0721"/>
    <w:rsid w:val="005D083E"/>
    <w:rsid w:val="005D0CE2"/>
    <w:rsid w:val="005D0FFF"/>
    <w:rsid w:val="005D10ED"/>
    <w:rsid w:val="005D1B1E"/>
    <w:rsid w:val="005D1CB7"/>
    <w:rsid w:val="005D1E09"/>
    <w:rsid w:val="005D22DB"/>
    <w:rsid w:val="005D2391"/>
    <w:rsid w:val="005D26B6"/>
    <w:rsid w:val="005D2AB8"/>
    <w:rsid w:val="005D2D7E"/>
    <w:rsid w:val="005D2DB2"/>
    <w:rsid w:val="005D2DDE"/>
    <w:rsid w:val="005D2F02"/>
    <w:rsid w:val="005D3238"/>
    <w:rsid w:val="005D3366"/>
    <w:rsid w:val="005D3461"/>
    <w:rsid w:val="005D3800"/>
    <w:rsid w:val="005D4077"/>
    <w:rsid w:val="005D4635"/>
    <w:rsid w:val="005D49E1"/>
    <w:rsid w:val="005D4C70"/>
    <w:rsid w:val="005D54D6"/>
    <w:rsid w:val="005D5631"/>
    <w:rsid w:val="005D5938"/>
    <w:rsid w:val="005D5B9D"/>
    <w:rsid w:val="005D5DB5"/>
    <w:rsid w:val="005D5EF5"/>
    <w:rsid w:val="005D5F2B"/>
    <w:rsid w:val="005D5FF3"/>
    <w:rsid w:val="005D6030"/>
    <w:rsid w:val="005D6352"/>
    <w:rsid w:val="005D63D9"/>
    <w:rsid w:val="005D63F6"/>
    <w:rsid w:val="005D659B"/>
    <w:rsid w:val="005D65E5"/>
    <w:rsid w:val="005D6651"/>
    <w:rsid w:val="005D66AE"/>
    <w:rsid w:val="005D66E3"/>
    <w:rsid w:val="005D6AC2"/>
    <w:rsid w:val="005D6B4D"/>
    <w:rsid w:val="005D6CC8"/>
    <w:rsid w:val="005D7137"/>
    <w:rsid w:val="005D72D0"/>
    <w:rsid w:val="005D730E"/>
    <w:rsid w:val="005D7423"/>
    <w:rsid w:val="005D74AA"/>
    <w:rsid w:val="005D7CE1"/>
    <w:rsid w:val="005D7FB1"/>
    <w:rsid w:val="005E005C"/>
    <w:rsid w:val="005E02EE"/>
    <w:rsid w:val="005E02F2"/>
    <w:rsid w:val="005E0632"/>
    <w:rsid w:val="005E0696"/>
    <w:rsid w:val="005E110A"/>
    <w:rsid w:val="005E17D6"/>
    <w:rsid w:val="005E18A9"/>
    <w:rsid w:val="005E1B28"/>
    <w:rsid w:val="005E2110"/>
    <w:rsid w:val="005E21ED"/>
    <w:rsid w:val="005E28CB"/>
    <w:rsid w:val="005E2F05"/>
    <w:rsid w:val="005E2F38"/>
    <w:rsid w:val="005E3027"/>
    <w:rsid w:val="005E3054"/>
    <w:rsid w:val="005E311D"/>
    <w:rsid w:val="005E3121"/>
    <w:rsid w:val="005E3481"/>
    <w:rsid w:val="005E372F"/>
    <w:rsid w:val="005E3BAC"/>
    <w:rsid w:val="005E3F2F"/>
    <w:rsid w:val="005E40B3"/>
    <w:rsid w:val="005E4A79"/>
    <w:rsid w:val="005E4C70"/>
    <w:rsid w:val="005E50CF"/>
    <w:rsid w:val="005E515D"/>
    <w:rsid w:val="005E52C7"/>
    <w:rsid w:val="005E593D"/>
    <w:rsid w:val="005E5B02"/>
    <w:rsid w:val="005E5CCD"/>
    <w:rsid w:val="005E5F0A"/>
    <w:rsid w:val="005E6001"/>
    <w:rsid w:val="005E639A"/>
    <w:rsid w:val="005E648B"/>
    <w:rsid w:val="005E669E"/>
    <w:rsid w:val="005E67DA"/>
    <w:rsid w:val="005E689F"/>
    <w:rsid w:val="005E6904"/>
    <w:rsid w:val="005E6A4B"/>
    <w:rsid w:val="005E6B4E"/>
    <w:rsid w:val="005E70C0"/>
    <w:rsid w:val="005E750B"/>
    <w:rsid w:val="005E76B7"/>
    <w:rsid w:val="005E7C73"/>
    <w:rsid w:val="005F00A0"/>
    <w:rsid w:val="005F01CB"/>
    <w:rsid w:val="005F053D"/>
    <w:rsid w:val="005F05A1"/>
    <w:rsid w:val="005F05CC"/>
    <w:rsid w:val="005F0A4D"/>
    <w:rsid w:val="005F152C"/>
    <w:rsid w:val="005F16CB"/>
    <w:rsid w:val="005F1CBE"/>
    <w:rsid w:val="005F21AE"/>
    <w:rsid w:val="005F22D3"/>
    <w:rsid w:val="005F240A"/>
    <w:rsid w:val="005F2421"/>
    <w:rsid w:val="005F27F5"/>
    <w:rsid w:val="005F2C1A"/>
    <w:rsid w:val="005F3263"/>
    <w:rsid w:val="005F34A8"/>
    <w:rsid w:val="005F364A"/>
    <w:rsid w:val="005F36C6"/>
    <w:rsid w:val="005F39D3"/>
    <w:rsid w:val="005F3EB9"/>
    <w:rsid w:val="005F3F20"/>
    <w:rsid w:val="005F4543"/>
    <w:rsid w:val="005F47A6"/>
    <w:rsid w:val="005F497B"/>
    <w:rsid w:val="005F4B02"/>
    <w:rsid w:val="005F4B4F"/>
    <w:rsid w:val="005F4DBB"/>
    <w:rsid w:val="005F4E9E"/>
    <w:rsid w:val="005F4ECB"/>
    <w:rsid w:val="005F4F1B"/>
    <w:rsid w:val="005F51E5"/>
    <w:rsid w:val="005F54D9"/>
    <w:rsid w:val="005F5E9B"/>
    <w:rsid w:val="005F6474"/>
    <w:rsid w:val="005F670C"/>
    <w:rsid w:val="005F6C05"/>
    <w:rsid w:val="005F6C3E"/>
    <w:rsid w:val="005F6D50"/>
    <w:rsid w:val="005F6D7D"/>
    <w:rsid w:val="005F6DF2"/>
    <w:rsid w:val="005F6E43"/>
    <w:rsid w:val="005F75D7"/>
    <w:rsid w:val="005F75ED"/>
    <w:rsid w:val="005F76EB"/>
    <w:rsid w:val="005F7FFB"/>
    <w:rsid w:val="00600084"/>
    <w:rsid w:val="0060009A"/>
    <w:rsid w:val="006003CA"/>
    <w:rsid w:val="006004AD"/>
    <w:rsid w:val="0060083C"/>
    <w:rsid w:val="00600891"/>
    <w:rsid w:val="00600C12"/>
    <w:rsid w:val="006011EE"/>
    <w:rsid w:val="006014CB"/>
    <w:rsid w:val="006016EC"/>
    <w:rsid w:val="00601C0A"/>
    <w:rsid w:val="00601DAF"/>
    <w:rsid w:val="00601E4B"/>
    <w:rsid w:val="00601FC5"/>
    <w:rsid w:val="0060244D"/>
    <w:rsid w:val="006025B9"/>
    <w:rsid w:val="006026A2"/>
    <w:rsid w:val="00602811"/>
    <w:rsid w:val="00602D12"/>
    <w:rsid w:val="0060317D"/>
    <w:rsid w:val="00603360"/>
    <w:rsid w:val="006033D7"/>
    <w:rsid w:val="006034CA"/>
    <w:rsid w:val="006036ED"/>
    <w:rsid w:val="00603CFD"/>
    <w:rsid w:val="006043B1"/>
    <w:rsid w:val="00604BA8"/>
    <w:rsid w:val="00604C02"/>
    <w:rsid w:val="00604E2F"/>
    <w:rsid w:val="00605148"/>
    <w:rsid w:val="0060529F"/>
    <w:rsid w:val="0060540B"/>
    <w:rsid w:val="00605596"/>
    <w:rsid w:val="00605969"/>
    <w:rsid w:val="00605C9D"/>
    <w:rsid w:val="00605E8E"/>
    <w:rsid w:val="00605FFD"/>
    <w:rsid w:val="006066DB"/>
    <w:rsid w:val="00606724"/>
    <w:rsid w:val="006067B9"/>
    <w:rsid w:val="006068CD"/>
    <w:rsid w:val="00606948"/>
    <w:rsid w:val="0060699C"/>
    <w:rsid w:val="00606BD4"/>
    <w:rsid w:val="00606C0A"/>
    <w:rsid w:val="00606F9A"/>
    <w:rsid w:val="0060703B"/>
    <w:rsid w:val="00607ABF"/>
    <w:rsid w:val="00607B38"/>
    <w:rsid w:val="00607C10"/>
    <w:rsid w:val="00607E1B"/>
    <w:rsid w:val="00607E91"/>
    <w:rsid w:val="00607EDE"/>
    <w:rsid w:val="0061008A"/>
    <w:rsid w:val="006101F4"/>
    <w:rsid w:val="006106CF"/>
    <w:rsid w:val="006108B8"/>
    <w:rsid w:val="006108C8"/>
    <w:rsid w:val="0061095B"/>
    <w:rsid w:val="00610D8D"/>
    <w:rsid w:val="00610DC0"/>
    <w:rsid w:val="006113AC"/>
    <w:rsid w:val="006115D3"/>
    <w:rsid w:val="00611CBA"/>
    <w:rsid w:val="00611D6A"/>
    <w:rsid w:val="00611DEB"/>
    <w:rsid w:val="00611E5B"/>
    <w:rsid w:val="0061200D"/>
    <w:rsid w:val="0061240A"/>
    <w:rsid w:val="0061265E"/>
    <w:rsid w:val="0061289D"/>
    <w:rsid w:val="006128EB"/>
    <w:rsid w:val="00613057"/>
    <w:rsid w:val="0061306F"/>
    <w:rsid w:val="006130F9"/>
    <w:rsid w:val="0061315F"/>
    <w:rsid w:val="0061326A"/>
    <w:rsid w:val="006134A6"/>
    <w:rsid w:val="00613C26"/>
    <w:rsid w:val="00613F72"/>
    <w:rsid w:val="00614184"/>
    <w:rsid w:val="006141D0"/>
    <w:rsid w:val="00614514"/>
    <w:rsid w:val="00614716"/>
    <w:rsid w:val="00614CA5"/>
    <w:rsid w:val="00614EAC"/>
    <w:rsid w:val="0061504B"/>
    <w:rsid w:val="006153A2"/>
    <w:rsid w:val="006154B8"/>
    <w:rsid w:val="00615625"/>
    <w:rsid w:val="0061563E"/>
    <w:rsid w:val="00615642"/>
    <w:rsid w:val="006157AA"/>
    <w:rsid w:val="00615848"/>
    <w:rsid w:val="00615984"/>
    <w:rsid w:val="00615C76"/>
    <w:rsid w:val="00615F55"/>
    <w:rsid w:val="00616118"/>
    <w:rsid w:val="00616ACB"/>
    <w:rsid w:val="00616BD8"/>
    <w:rsid w:val="00616CE8"/>
    <w:rsid w:val="00616E99"/>
    <w:rsid w:val="00617138"/>
    <w:rsid w:val="006177A6"/>
    <w:rsid w:val="00617B7A"/>
    <w:rsid w:val="00617BF3"/>
    <w:rsid w:val="00617C6A"/>
    <w:rsid w:val="00617C79"/>
    <w:rsid w:val="00617F30"/>
    <w:rsid w:val="00620033"/>
    <w:rsid w:val="00620357"/>
    <w:rsid w:val="0062053B"/>
    <w:rsid w:val="00621144"/>
    <w:rsid w:val="00621E05"/>
    <w:rsid w:val="006221A3"/>
    <w:rsid w:val="00622371"/>
    <w:rsid w:val="0062258B"/>
    <w:rsid w:val="0062280D"/>
    <w:rsid w:val="00622A40"/>
    <w:rsid w:val="00622A76"/>
    <w:rsid w:val="00622A9E"/>
    <w:rsid w:val="00622F0E"/>
    <w:rsid w:val="00622F81"/>
    <w:rsid w:val="00623204"/>
    <w:rsid w:val="0062329F"/>
    <w:rsid w:val="0062334F"/>
    <w:rsid w:val="006237BE"/>
    <w:rsid w:val="006237EE"/>
    <w:rsid w:val="006239CD"/>
    <w:rsid w:val="00623B64"/>
    <w:rsid w:val="00623CCB"/>
    <w:rsid w:val="00623D7F"/>
    <w:rsid w:val="00623F4D"/>
    <w:rsid w:val="006240C6"/>
    <w:rsid w:val="00624297"/>
    <w:rsid w:val="00624620"/>
    <w:rsid w:val="006246C1"/>
    <w:rsid w:val="00624D67"/>
    <w:rsid w:val="00624E0D"/>
    <w:rsid w:val="006252AA"/>
    <w:rsid w:val="00625729"/>
    <w:rsid w:val="00625929"/>
    <w:rsid w:val="0062596F"/>
    <w:rsid w:val="00625A6C"/>
    <w:rsid w:val="00625C80"/>
    <w:rsid w:val="0062683B"/>
    <w:rsid w:val="0062688C"/>
    <w:rsid w:val="00626A33"/>
    <w:rsid w:val="00626BA9"/>
    <w:rsid w:val="00626C54"/>
    <w:rsid w:val="00626E00"/>
    <w:rsid w:val="006271E6"/>
    <w:rsid w:val="006278D9"/>
    <w:rsid w:val="00627CAC"/>
    <w:rsid w:val="00627CE7"/>
    <w:rsid w:val="00627E7B"/>
    <w:rsid w:val="00627F08"/>
    <w:rsid w:val="00630202"/>
    <w:rsid w:val="00630237"/>
    <w:rsid w:val="006303F0"/>
    <w:rsid w:val="00630B66"/>
    <w:rsid w:val="00630BB8"/>
    <w:rsid w:val="00630F09"/>
    <w:rsid w:val="0063146C"/>
    <w:rsid w:val="00631554"/>
    <w:rsid w:val="00631600"/>
    <w:rsid w:val="00631660"/>
    <w:rsid w:val="00631824"/>
    <w:rsid w:val="0063192F"/>
    <w:rsid w:val="00631BF2"/>
    <w:rsid w:val="00631D60"/>
    <w:rsid w:val="00631E40"/>
    <w:rsid w:val="0063202B"/>
    <w:rsid w:val="0063208F"/>
    <w:rsid w:val="00632398"/>
    <w:rsid w:val="00632473"/>
    <w:rsid w:val="00632504"/>
    <w:rsid w:val="006326EE"/>
    <w:rsid w:val="00632724"/>
    <w:rsid w:val="00632CA3"/>
    <w:rsid w:val="00633291"/>
    <w:rsid w:val="00633392"/>
    <w:rsid w:val="006333E0"/>
    <w:rsid w:val="00633A89"/>
    <w:rsid w:val="00633AE4"/>
    <w:rsid w:val="00633E63"/>
    <w:rsid w:val="00634096"/>
    <w:rsid w:val="006345AC"/>
    <w:rsid w:val="0063464A"/>
    <w:rsid w:val="006349B0"/>
    <w:rsid w:val="00634A78"/>
    <w:rsid w:val="00634B93"/>
    <w:rsid w:val="00635208"/>
    <w:rsid w:val="006358E9"/>
    <w:rsid w:val="0063602A"/>
    <w:rsid w:val="0063635F"/>
    <w:rsid w:val="006364CE"/>
    <w:rsid w:val="006368ED"/>
    <w:rsid w:val="006369E4"/>
    <w:rsid w:val="00636C88"/>
    <w:rsid w:val="00636F44"/>
    <w:rsid w:val="006374E7"/>
    <w:rsid w:val="0063777C"/>
    <w:rsid w:val="006378AF"/>
    <w:rsid w:val="00637BF6"/>
    <w:rsid w:val="00637D09"/>
    <w:rsid w:val="0064032B"/>
    <w:rsid w:val="00640634"/>
    <w:rsid w:val="00640713"/>
    <w:rsid w:val="0064072B"/>
    <w:rsid w:val="006409A5"/>
    <w:rsid w:val="00640E36"/>
    <w:rsid w:val="00640EA6"/>
    <w:rsid w:val="006416E3"/>
    <w:rsid w:val="00641950"/>
    <w:rsid w:val="00641C9B"/>
    <w:rsid w:val="0064200E"/>
    <w:rsid w:val="0064210C"/>
    <w:rsid w:val="00642327"/>
    <w:rsid w:val="0064242B"/>
    <w:rsid w:val="00642661"/>
    <w:rsid w:val="006429AD"/>
    <w:rsid w:val="00642CCE"/>
    <w:rsid w:val="00642EF3"/>
    <w:rsid w:val="006430E4"/>
    <w:rsid w:val="006431AB"/>
    <w:rsid w:val="0064365E"/>
    <w:rsid w:val="00643670"/>
    <w:rsid w:val="00644295"/>
    <w:rsid w:val="0064430D"/>
    <w:rsid w:val="006444D3"/>
    <w:rsid w:val="006453CC"/>
    <w:rsid w:val="00646080"/>
    <w:rsid w:val="0064643E"/>
    <w:rsid w:val="006466B5"/>
    <w:rsid w:val="00646A70"/>
    <w:rsid w:val="00646D57"/>
    <w:rsid w:val="00647174"/>
    <w:rsid w:val="006474ED"/>
    <w:rsid w:val="0064760F"/>
    <w:rsid w:val="00647929"/>
    <w:rsid w:val="00647948"/>
    <w:rsid w:val="00647ACF"/>
    <w:rsid w:val="00647BE2"/>
    <w:rsid w:val="00647C1C"/>
    <w:rsid w:val="0065035E"/>
    <w:rsid w:val="0065053E"/>
    <w:rsid w:val="0065057D"/>
    <w:rsid w:val="0065062F"/>
    <w:rsid w:val="006509EE"/>
    <w:rsid w:val="006511FE"/>
    <w:rsid w:val="006512D0"/>
    <w:rsid w:val="00651385"/>
    <w:rsid w:val="00651542"/>
    <w:rsid w:val="00651855"/>
    <w:rsid w:val="00651BA2"/>
    <w:rsid w:val="00651BD1"/>
    <w:rsid w:val="00651F86"/>
    <w:rsid w:val="006524D8"/>
    <w:rsid w:val="006525C8"/>
    <w:rsid w:val="00652664"/>
    <w:rsid w:val="00652675"/>
    <w:rsid w:val="00652806"/>
    <w:rsid w:val="00652A20"/>
    <w:rsid w:val="00652A48"/>
    <w:rsid w:val="00652C38"/>
    <w:rsid w:val="00652F25"/>
    <w:rsid w:val="006535FD"/>
    <w:rsid w:val="0065385F"/>
    <w:rsid w:val="0065393E"/>
    <w:rsid w:val="006539DB"/>
    <w:rsid w:val="006549B7"/>
    <w:rsid w:val="006549B8"/>
    <w:rsid w:val="00654DDA"/>
    <w:rsid w:val="00655008"/>
    <w:rsid w:val="0065514E"/>
    <w:rsid w:val="006552A1"/>
    <w:rsid w:val="0065547B"/>
    <w:rsid w:val="00655825"/>
    <w:rsid w:val="00655B30"/>
    <w:rsid w:val="00655E83"/>
    <w:rsid w:val="00655FA4"/>
    <w:rsid w:val="006568BE"/>
    <w:rsid w:val="00656C02"/>
    <w:rsid w:val="00657059"/>
    <w:rsid w:val="0065708F"/>
    <w:rsid w:val="0065744C"/>
    <w:rsid w:val="00657977"/>
    <w:rsid w:val="00657DF1"/>
    <w:rsid w:val="0066039D"/>
    <w:rsid w:val="006604F6"/>
    <w:rsid w:val="0066061E"/>
    <w:rsid w:val="00660704"/>
    <w:rsid w:val="00660A37"/>
    <w:rsid w:val="00660C23"/>
    <w:rsid w:val="00660CA4"/>
    <w:rsid w:val="00661265"/>
    <w:rsid w:val="0066173E"/>
    <w:rsid w:val="00661D78"/>
    <w:rsid w:val="00661FDF"/>
    <w:rsid w:val="00662098"/>
    <w:rsid w:val="00662738"/>
    <w:rsid w:val="0066293D"/>
    <w:rsid w:val="00662A07"/>
    <w:rsid w:val="00662C5F"/>
    <w:rsid w:val="0066309D"/>
    <w:rsid w:val="006633F1"/>
    <w:rsid w:val="0066341D"/>
    <w:rsid w:val="0066348B"/>
    <w:rsid w:val="00663832"/>
    <w:rsid w:val="006648C3"/>
    <w:rsid w:val="006649C4"/>
    <w:rsid w:val="00664D31"/>
    <w:rsid w:val="00664F6F"/>
    <w:rsid w:val="006651C0"/>
    <w:rsid w:val="006659C7"/>
    <w:rsid w:val="00665CC9"/>
    <w:rsid w:val="00665DDF"/>
    <w:rsid w:val="00665DE7"/>
    <w:rsid w:val="00666565"/>
    <w:rsid w:val="00667144"/>
    <w:rsid w:val="0066718F"/>
    <w:rsid w:val="00667555"/>
    <w:rsid w:val="0066761C"/>
    <w:rsid w:val="0066777D"/>
    <w:rsid w:val="00670405"/>
    <w:rsid w:val="006704F7"/>
    <w:rsid w:val="00670DC1"/>
    <w:rsid w:val="00671093"/>
    <w:rsid w:val="00671323"/>
    <w:rsid w:val="006716F6"/>
    <w:rsid w:val="00671A8E"/>
    <w:rsid w:val="00671B51"/>
    <w:rsid w:val="00671BD3"/>
    <w:rsid w:val="00672626"/>
    <w:rsid w:val="00672746"/>
    <w:rsid w:val="006727E5"/>
    <w:rsid w:val="00672862"/>
    <w:rsid w:val="006728C1"/>
    <w:rsid w:val="00672C74"/>
    <w:rsid w:val="00672DFA"/>
    <w:rsid w:val="00672E31"/>
    <w:rsid w:val="0067343E"/>
    <w:rsid w:val="00673C48"/>
    <w:rsid w:val="006740E9"/>
    <w:rsid w:val="0067444C"/>
    <w:rsid w:val="00674579"/>
    <w:rsid w:val="00674903"/>
    <w:rsid w:val="0067491B"/>
    <w:rsid w:val="0067496A"/>
    <w:rsid w:val="00674D31"/>
    <w:rsid w:val="00674ED2"/>
    <w:rsid w:val="00674FD5"/>
    <w:rsid w:val="0067501C"/>
    <w:rsid w:val="006751CF"/>
    <w:rsid w:val="00675664"/>
    <w:rsid w:val="006767CC"/>
    <w:rsid w:val="00676973"/>
    <w:rsid w:val="006769C3"/>
    <w:rsid w:val="00677193"/>
    <w:rsid w:val="00677864"/>
    <w:rsid w:val="00677AE9"/>
    <w:rsid w:val="006811C6"/>
    <w:rsid w:val="0068122B"/>
    <w:rsid w:val="0068144C"/>
    <w:rsid w:val="006819FF"/>
    <w:rsid w:val="00681A48"/>
    <w:rsid w:val="00681EB4"/>
    <w:rsid w:val="00682139"/>
    <w:rsid w:val="0068234A"/>
    <w:rsid w:val="0068286B"/>
    <w:rsid w:val="00682A90"/>
    <w:rsid w:val="00682C04"/>
    <w:rsid w:val="00682DBC"/>
    <w:rsid w:val="00683223"/>
    <w:rsid w:val="00683323"/>
    <w:rsid w:val="00683571"/>
    <w:rsid w:val="006836DA"/>
    <w:rsid w:val="00683D4A"/>
    <w:rsid w:val="00683D4B"/>
    <w:rsid w:val="00684A02"/>
    <w:rsid w:val="00684D9B"/>
    <w:rsid w:val="00684F5D"/>
    <w:rsid w:val="00684F6A"/>
    <w:rsid w:val="0068581D"/>
    <w:rsid w:val="006858EA"/>
    <w:rsid w:val="00685992"/>
    <w:rsid w:val="006859C7"/>
    <w:rsid w:val="00686343"/>
    <w:rsid w:val="0068638E"/>
    <w:rsid w:val="006864FD"/>
    <w:rsid w:val="006865D4"/>
    <w:rsid w:val="00686710"/>
    <w:rsid w:val="00686BA5"/>
    <w:rsid w:val="00686D82"/>
    <w:rsid w:val="00686DF8"/>
    <w:rsid w:val="00686E1E"/>
    <w:rsid w:val="0068772F"/>
    <w:rsid w:val="00687806"/>
    <w:rsid w:val="00687851"/>
    <w:rsid w:val="00690563"/>
    <w:rsid w:val="006906AD"/>
    <w:rsid w:val="00690795"/>
    <w:rsid w:val="006907C3"/>
    <w:rsid w:val="006908C5"/>
    <w:rsid w:val="00690969"/>
    <w:rsid w:val="00690C12"/>
    <w:rsid w:val="00690F37"/>
    <w:rsid w:val="00691C83"/>
    <w:rsid w:val="006925EC"/>
    <w:rsid w:val="00692B3B"/>
    <w:rsid w:val="00692DF1"/>
    <w:rsid w:val="00692E26"/>
    <w:rsid w:val="00693067"/>
    <w:rsid w:val="0069325F"/>
    <w:rsid w:val="00693360"/>
    <w:rsid w:val="006933E4"/>
    <w:rsid w:val="00693A62"/>
    <w:rsid w:val="00693D70"/>
    <w:rsid w:val="00693F4C"/>
    <w:rsid w:val="00694156"/>
    <w:rsid w:val="006942AC"/>
    <w:rsid w:val="006948FE"/>
    <w:rsid w:val="00694B38"/>
    <w:rsid w:val="00694D98"/>
    <w:rsid w:val="00695127"/>
    <w:rsid w:val="0069520D"/>
    <w:rsid w:val="006954D2"/>
    <w:rsid w:val="006958DD"/>
    <w:rsid w:val="00695911"/>
    <w:rsid w:val="00695B03"/>
    <w:rsid w:val="00695CF4"/>
    <w:rsid w:val="00695F58"/>
    <w:rsid w:val="006965CB"/>
    <w:rsid w:val="006966B2"/>
    <w:rsid w:val="00696902"/>
    <w:rsid w:val="00696B25"/>
    <w:rsid w:val="00696D25"/>
    <w:rsid w:val="0069715C"/>
    <w:rsid w:val="006974EB"/>
    <w:rsid w:val="0069766D"/>
    <w:rsid w:val="006976A9"/>
    <w:rsid w:val="00697993"/>
    <w:rsid w:val="006979B0"/>
    <w:rsid w:val="00697D80"/>
    <w:rsid w:val="00697E09"/>
    <w:rsid w:val="006A02F1"/>
    <w:rsid w:val="006A0727"/>
    <w:rsid w:val="006A0ADC"/>
    <w:rsid w:val="006A0B06"/>
    <w:rsid w:val="006A0C81"/>
    <w:rsid w:val="006A0FE2"/>
    <w:rsid w:val="006A10B1"/>
    <w:rsid w:val="006A10E6"/>
    <w:rsid w:val="006A1212"/>
    <w:rsid w:val="006A1479"/>
    <w:rsid w:val="006A15E4"/>
    <w:rsid w:val="006A18B7"/>
    <w:rsid w:val="006A1AD3"/>
    <w:rsid w:val="006A1B7B"/>
    <w:rsid w:val="006A1DA7"/>
    <w:rsid w:val="006A2407"/>
    <w:rsid w:val="006A28E7"/>
    <w:rsid w:val="006A2ADC"/>
    <w:rsid w:val="006A35DD"/>
    <w:rsid w:val="006A3939"/>
    <w:rsid w:val="006A39E3"/>
    <w:rsid w:val="006A3BFC"/>
    <w:rsid w:val="006A3DD7"/>
    <w:rsid w:val="006A47B8"/>
    <w:rsid w:val="006A48C3"/>
    <w:rsid w:val="006A4D25"/>
    <w:rsid w:val="006A4F2D"/>
    <w:rsid w:val="006A51A3"/>
    <w:rsid w:val="006A5693"/>
    <w:rsid w:val="006A5756"/>
    <w:rsid w:val="006A5B37"/>
    <w:rsid w:val="006A5B68"/>
    <w:rsid w:val="006A6043"/>
    <w:rsid w:val="006A620F"/>
    <w:rsid w:val="006A6A55"/>
    <w:rsid w:val="006A6DBA"/>
    <w:rsid w:val="006A6ECF"/>
    <w:rsid w:val="006A7000"/>
    <w:rsid w:val="006A70A6"/>
    <w:rsid w:val="006A7624"/>
    <w:rsid w:val="006A76D4"/>
    <w:rsid w:val="006A778B"/>
    <w:rsid w:val="006A7C5E"/>
    <w:rsid w:val="006A7D0C"/>
    <w:rsid w:val="006B0337"/>
    <w:rsid w:val="006B043C"/>
    <w:rsid w:val="006B05B5"/>
    <w:rsid w:val="006B0691"/>
    <w:rsid w:val="006B084A"/>
    <w:rsid w:val="006B0DB3"/>
    <w:rsid w:val="006B15F7"/>
    <w:rsid w:val="006B16EA"/>
    <w:rsid w:val="006B19D4"/>
    <w:rsid w:val="006B1B9A"/>
    <w:rsid w:val="006B1BF9"/>
    <w:rsid w:val="006B2269"/>
    <w:rsid w:val="006B25D4"/>
    <w:rsid w:val="006B26A5"/>
    <w:rsid w:val="006B2A27"/>
    <w:rsid w:val="006B2A97"/>
    <w:rsid w:val="006B2A9C"/>
    <w:rsid w:val="006B2AF1"/>
    <w:rsid w:val="006B2C15"/>
    <w:rsid w:val="006B2E3A"/>
    <w:rsid w:val="006B349A"/>
    <w:rsid w:val="006B3709"/>
    <w:rsid w:val="006B3D62"/>
    <w:rsid w:val="006B3E41"/>
    <w:rsid w:val="006B3EFA"/>
    <w:rsid w:val="006B3FB3"/>
    <w:rsid w:val="006B422E"/>
    <w:rsid w:val="006B4817"/>
    <w:rsid w:val="006B490E"/>
    <w:rsid w:val="006B497C"/>
    <w:rsid w:val="006B4B2F"/>
    <w:rsid w:val="006B4E27"/>
    <w:rsid w:val="006B4EF0"/>
    <w:rsid w:val="006B54A8"/>
    <w:rsid w:val="006B57D8"/>
    <w:rsid w:val="006B5CB5"/>
    <w:rsid w:val="006B5E7C"/>
    <w:rsid w:val="006B6074"/>
    <w:rsid w:val="006B61D7"/>
    <w:rsid w:val="006B6862"/>
    <w:rsid w:val="006B6877"/>
    <w:rsid w:val="006B69A6"/>
    <w:rsid w:val="006B6D53"/>
    <w:rsid w:val="006B6DE3"/>
    <w:rsid w:val="006B705C"/>
    <w:rsid w:val="006B7349"/>
    <w:rsid w:val="006B7367"/>
    <w:rsid w:val="006B7B33"/>
    <w:rsid w:val="006B7E5D"/>
    <w:rsid w:val="006B7EF1"/>
    <w:rsid w:val="006C00BD"/>
    <w:rsid w:val="006C0A11"/>
    <w:rsid w:val="006C0A76"/>
    <w:rsid w:val="006C0C0B"/>
    <w:rsid w:val="006C0CCF"/>
    <w:rsid w:val="006C1160"/>
    <w:rsid w:val="006C1862"/>
    <w:rsid w:val="006C18A9"/>
    <w:rsid w:val="006C1DD0"/>
    <w:rsid w:val="006C22D5"/>
    <w:rsid w:val="006C25DE"/>
    <w:rsid w:val="006C2798"/>
    <w:rsid w:val="006C2B2B"/>
    <w:rsid w:val="006C30CE"/>
    <w:rsid w:val="006C3208"/>
    <w:rsid w:val="006C327A"/>
    <w:rsid w:val="006C3504"/>
    <w:rsid w:val="006C37A5"/>
    <w:rsid w:val="006C37D0"/>
    <w:rsid w:val="006C3A96"/>
    <w:rsid w:val="006C3AFD"/>
    <w:rsid w:val="006C3BF7"/>
    <w:rsid w:val="006C3D69"/>
    <w:rsid w:val="006C3ED7"/>
    <w:rsid w:val="006C447B"/>
    <w:rsid w:val="006C4538"/>
    <w:rsid w:val="006C4B00"/>
    <w:rsid w:val="006C4BDA"/>
    <w:rsid w:val="006C4CF5"/>
    <w:rsid w:val="006C4F52"/>
    <w:rsid w:val="006C5351"/>
    <w:rsid w:val="006C544C"/>
    <w:rsid w:val="006C55C8"/>
    <w:rsid w:val="006C5767"/>
    <w:rsid w:val="006C5A35"/>
    <w:rsid w:val="006C5A39"/>
    <w:rsid w:val="006C5B28"/>
    <w:rsid w:val="006C5B97"/>
    <w:rsid w:val="006C5FBE"/>
    <w:rsid w:val="006C60D5"/>
    <w:rsid w:val="006C6706"/>
    <w:rsid w:val="006C6913"/>
    <w:rsid w:val="006C699E"/>
    <w:rsid w:val="006C6BFC"/>
    <w:rsid w:val="006C7686"/>
    <w:rsid w:val="006D02CB"/>
    <w:rsid w:val="006D0394"/>
    <w:rsid w:val="006D03CD"/>
    <w:rsid w:val="006D04B6"/>
    <w:rsid w:val="006D0639"/>
    <w:rsid w:val="006D075B"/>
    <w:rsid w:val="006D0797"/>
    <w:rsid w:val="006D0CDB"/>
    <w:rsid w:val="006D0D3A"/>
    <w:rsid w:val="006D10C6"/>
    <w:rsid w:val="006D125B"/>
    <w:rsid w:val="006D14BF"/>
    <w:rsid w:val="006D1731"/>
    <w:rsid w:val="006D1744"/>
    <w:rsid w:val="006D175C"/>
    <w:rsid w:val="006D2471"/>
    <w:rsid w:val="006D26AE"/>
    <w:rsid w:val="006D321A"/>
    <w:rsid w:val="006D322D"/>
    <w:rsid w:val="006D34C1"/>
    <w:rsid w:val="006D367B"/>
    <w:rsid w:val="006D3757"/>
    <w:rsid w:val="006D377D"/>
    <w:rsid w:val="006D3A52"/>
    <w:rsid w:val="006D3D71"/>
    <w:rsid w:val="006D3E20"/>
    <w:rsid w:val="006D416D"/>
    <w:rsid w:val="006D4189"/>
    <w:rsid w:val="006D41EF"/>
    <w:rsid w:val="006D4422"/>
    <w:rsid w:val="006D4433"/>
    <w:rsid w:val="006D4456"/>
    <w:rsid w:val="006D4587"/>
    <w:rsid w:val="006D4646"/>
    <w:rsid w:val="006D4984"/>
    <w:rsid w:val="006D4CAD"/>
    <w:rsid w:val="006D4DA0"/>
    <w:rsid w:val="006D4E51"/>
    <w:rsid w:val="006D4F64"/>
    <w:rsid w:val="006D5162"/>
    <w:rsid w:val="006D5664"/>
    <w:rsid w:val="006D56A8"/>
    <w:rsid w:val="006D5722"/>
    <w:rsid w:val="006D5950"/>
    <w:rsid w:val="006D6044"/>
    <w:rsid w:val="006D60C0"/>
    <w:rsid w:val="006D62A5"/>
    <w:rsid w:val="006D6516"/>
    <w:rsid w:val="006D6A3A"/>
    <w:rsid w:val="006D6DC3"/>
    <w:rsid w:val="006D6ED8"/>
    <w:rsid w:val="006D6F5C"/>
    <w:rsid w:val="006D6F76"/>
    <w:rsid w:val="006D6FFE"/>
    <w:rsid w:val="006D701E"/>
    <w:rsid w:val="006D73FD"/>
    <w:rsid w:val="006D7414"/>
    <w:rsid w:val="006D746C"/>
    <w:rsid w:val="006D78F2"/>
    <w:rsid w:val="006D7B8C"/>
    <w:rsid w:val="006E0010"/>
    <w:rsid w:val="006E01F7"/>
    <w:rsid w:val="006E020C"/>
    <w:rsid w:val="006E0AB1"/>
    <w:rsid w:val="006E0BA1"/>
    <w:rsid w:val="006E139C"/>
    <w:rsid w:val="006E1501"/>
    <w:rsid w:val="006E17AC"/>
    <w:rsid w:val="006E18AF"/>
    <w:rsid w:val="006E216F"/>
    <w:rsid w:val="006E2448"/>
    <w:rsid w:val="006E2899"/>
    <w:rsid w:val="006E28C9"/>
    <w:rsid w:val="006E2C68"/>
    <w:rsid w:val="006E2F3F"/>
    <w:rsid w:val="006E31BF"/>
    <w:rsid w:val="006E3290"/>
    <w:rsid w:val="006E3427"/>
    <w:rsid w:val="006E34FA"/>
    <w:rsid w:val="006E3B2B"/>
    <w:rsid w:val="006E4368"/>
    <w:rsid w:val="006E4479"/>
    <w:rsid w:val="006E4AB2"/>
    <w:rsid w:val="006E4C24"/>
    <w:rsid w:val="006E4CE1"/>
    <w:rsid w:val="006E4F9F"/>
    <w:rsid w:val="006E5462"/>
    <w:rsid w:val="006E5825"/>
    <w:rsid w:val="006E5B56"/>
    <w:rsid w:val="006E5C06"/>
    <w:rsid w:val="006E5C2B"/>
    <w:rsid w:val="006E5C54"/>
    <w:rsid w:val="006E5E77"/>
    <w:rsid w:val="006E65E7"/>
    <w:rsid w:val="006E682C"/>
    <w:rsid w:val="006E684E"/>
    <w:rsid w:val="006E6B92"/>
    <w:rsid w:val="006E6BFF"/>
    <w:rsid w:val="006E6F65"/>
    <w:rsid w:val="006E70B9"/>
    <w:rsid w:val="006E72E4"/>
    <w:rsid w:val="006E7B10"/>
    <w:rsid w:val="006E7B78"/>
    <w:rsid w:val="006E7D16"/>
    <w:rsid w:val="006E7F67"/>
    <w:rsid w:val="006F016E"/>
    <w:rsid w:val="006F034B"/>
    <w:rsid w:val="006F0854"/>
    <w:rsid w:val="006F0D34"/>
    <w:rsid w:val="006F0D8C"/>
    <w:rsid w:val="006F0F99"/>
    <w:rsid w:val="006F1643"/>
    <w:rsid w:val="006F1B7D"/>
    <w:rsid w:val="006F1BDF"/>
    <w:rsid w:val="006F1CDC"/>
    <w:rsid w:val="006F1E1D"/>
    <w:rsid w:val="006F25FD"/>
    <w:rsid w:val="006F2ED7"/>
    <w:rsid w:val="006F3063"/>
    <w:rsid w:val="006F308D"/>
    <w:rsid w:val="006F3282"/>
    <w:rsid w:val="006F368A"/>
    <w:rsid w:val="006F3A06"/>
    <w:rsid w:val="006F3A57"/>
    <w:rsid w:val="006F3B5B"/>
    <w:rsid w:val="006F3C1A"/>
    <w:rsid w:val="006F3C38"/>
    <w:rsid w:val="006F3D34"/>
    <w:rsid w:val="006F3D3A"/>
    <w:rsid w:val="006F41AA"/>
    <w:rsid w:val="006F42FF"/>
    <w:rsid w:val="006F4412"/>
    <w:rsid w:val="006F4F45"/>
    <w:rsid w:val="006F4FCA"/>
    <w:rsid w:val="006F5904"/>
    <w:rsid w:val="006F59FC"/>
    <w:rsid w:val="006F5CC4"/>
    <w:rsid w:val="006F5E14"/>
    <w:rsid w:val="006F5E82"/>
    <w:rsid w:val="006F65B1"/>
    <w:rsid w:val="006F6748"/>
    <w:rsid w:val="006F684B"/>
    <w:rsid w:val="006F6A12"/>
    <w:rsid w:val="006F6C3D"/>
    <w:rsid w:val="006F6F1B"/>
    <w:rsid w:val="006F7027"/>
    <w:rsid w:val="006F709C"/>
    <w:rsid w:val="006F72A9"/>
    <w:rsid w:val="006F7317"/>
    <w:rsid w:val="006F773C"/>
    <w:rsid w:val="006F7830"/>
    <w:rsid w:val="006F7A2F"/>
    <w:rsid w:val="0070001D"/>
    <w:rsid w:val="00700244"/>
    <w:rsid w:val="00700435"/>
    <w:rsid w:val="00701397"/>
    <w:rsid w:val="007013E5"/>
    <w:rsid w:val="0070181F"/>
    <w:rsid w:val="00701D16"/>
    <w:rsid w:val="00702160"/>
    <w:rsid w:val="00702D20"/>
    <w:rsid w:val="00702ED9"/>
    <w:rsid w:val="0070316A"/>
    <w:rsid w:val="00703628"/>
    <w:rsid w:val="007037CD"/>
    <w:rsid w:val="0070389E"/>
    <w:rsid w:val="00703D11"/>
    <w:rsid w:val="007040D9"/>
    <w:rsid w:val="007040E2"/>
    <w:rsid w:val="007043F5"/>
    <w:rsid w:val="007048D7"/>
    <w:rsid w:val="00704BF7"/>
    <w:rsid w:val="00704F0C"/>
    <w:rsid w:val="00704F9B"/>
    <w:rsid w:val="00705143"/>
    <w:rsid w:val="007052C5"/>
    <w:rsid w:val="0070531A"/>
    <w:rsid w:val="00705767"/>
    <w:rsid w:val="007059B1"/>
    <w:rsid w:val="00705B67"/>
    <w:rsid w:val="00705FA9"/>
    <w:rsid w:val="0070615D"/>
    <w:rsid w:val="00706835"/>
    <w:rsid w:val="00706895"/>
    <w:rsid w:val="007069E7"/>
    <w:rsid w:val="00706C01"/>
    <w:rsid w:val="00706C64"/>
    <w:rsid w:val="00706DE4"/>
    <w:rsid w:val="007070C2"/>
    <w:rsid w:val="0070779E"/>
    <w:rsid w:val="00707CC8"/>
    <w:rsid w:val="00707DE4"/>
    <w:rsid w:val="00710014"/>
    <w:rsid w:val="00710230"/>
    <w:rsid w:val="00710B12"/>
    <w:rsid w:val="00710D21"/>
    <w:rsid w:val="00710DB8"/>
    <w:rsid w:val="00710F4A"/>
    <w:rsid w:val="0071113A"/>
    <w:rsid w:val="00711582"/>
    <w:rsid w:val="007115AE"/>
    <w:rsid w:val="00712179"/>
    <w:rsid w:val="0071219C"/>
    <w:rsid w:val="007125F5"/>
    <w:rsid w:val="00712F82"/>
    <w:rsid w:val="00713444"/>
    <w:rsid w:val="00713800"/>
    <w:rsid w:val="00713B73"/>
    <w:rsid w:val="00714282"/>
    <w:rsid w:val="00714326"/>
    <w:rsid w:val="00714B90"/>
    <w:rsid w:val="00714C44"/>
    <w:rsid w:val="00714DF8"/>
    <w:rsid w:val="00715342"/>
    <w:rsid w:val="0071585C"/>
    <w:rsid w:val="00715E69"/>
    <w:rsid w:val="00716487"/>
    <w:rsid w:val="00716701"/>
    <w:rsid w:val="00716776"/>
    <w:rsid w:val="00716830"/>
    <w:rsid w:val="00716866"/>
    <w:rsid w:val="007168F6"/>
    <w:rsid w:val="00716A42"/>
    <w:rsid w:val="00716AC7"/>
    <w:rsid w:val="00716C62"/>
    <w:rsid w:val="00716DDA"/>
    <w:rsid w:val="007170A5"/>
    <w:rsid w:val="007171F1"/>
    <w:rsid w:val="00717206"/>
    <w:rsid w:val="00717401"/>
    <w:rsid w:val="00717C25"/>
    <w:rsid w:val="0072010D"/>
    <w:rsid w:val="0072030D"/>
    <w:rsid w:val="00720318"/>
    <w:rsid w:val="007208D2"/>
    <w:rsid w:val="0072091F"/>
    <w:rsid w:val="007213DC"/>
    <w:rsid w:val="007218AE"/>
    <w:rsid w:val="00721E5C"/>
    <w:rsid w:val="007222B1"/>
    <w:rsid w:val="0072251E"/>
    <w:rsid w:val="00722642"/>
    <w:rsid w:val="007228F0"/>
    <w:rsid w:val="00722903"/>
    <w:rsid w:val="00722A37"/>
    <w:rsid w:val="00722AE1"/>
    <w:rsid w:val="00722BE7"/>
    <w:rsid w:val="00722C6E"/>
    <w:rsid w:val="00723254"/>
    <w:rsid w:val="00723DCC"/>
    <w:rsid w:val="00723E6E"/>
    <w:rsid w:val="0072424D"/>
    <w:rsid w:val="007244FD"/>
    <w:rsid w:val="00724732"/>
    <w:rsid w:val="007248C0"/>
    <w:rsid w:val="00724C12"/>
    <w:rsid w:val="00724D5E"/>
    <w:rsid w:val="00724F59"/>
    <w:rsid w:val="00725001"/>
    <w:rsid w:val="00725190"/>
    <w:rsid w:val="0072535D"/>
    <w:rsid w:val="007253BF"/>
    <w:rsid w:val="007254A4"/>
    <w:rsid w:val="007257D7"/>
    <w:rsid w:val="0072591A"/>
    <w:rsid w:val="00725953"/>
    <w:rsid w:val="00725B4E"/>
    <w:rsid w:val="00725C53"/>
    <w:rsid w:val="00725D30"/>
    <w:rsid w:val="007260D3"/>
    <w:rsid w:val="007260F1"/>
    <w:rsid w:val="0072618A"/>
    <w:rsid w:val="0072622B"/>
    <w:rsid w:val="007263AD"/>
    <w:rsid w:val="00726609"/>
    <w:rsid w:val="007266D4"/>
    <w:rsid w:val="0072680D"/>
    <w:rsid w:val="00726CAC"/>
    <w:rsid w:val="00727013"/>
    <w:rsid w:val="00727222"/>
    <w:rsid w:val="0072766D"/>
    <w:rsid w:val="00727A8D"/>
    <w:rsid w:val="0073010A"/>
    <w:rsid w:val="007303BA"/>
    <w:rsid w:val="00730492"/>
    <w:rsid w:val="0073091B"/>
    <w:rsid w:val="00730D7A"/>
    <w:rsid w:val="00731053"/>
    <w:rsid w:val="007312AB"/>
    <w:rsid w:val="00731759"/>
    <w:rsid w:val="00731DE0"/>
    <w:rsid w:val="00732079"/>
    <w:rsid w:val="00732087"/>
    <w:rsid w:val="00732530"/>
    <w:rsid w:val="00732863"/>
    <w:rsid w:val="00732A86"/>
    <w:rsid w:val="00732CF1"/>
    <w:rsid w:val="00732EF1"/>
    <w:rsid w:val="007331F5"/>
    <w:rsid w:val="00733201"/>
    <w:rsid w:val="00733356"/>
    <w:rsid w:val="00733386"/>
    <w:rsid w:val="007333A9"/>
    <w:rsid w:val="007334E6"/>
    <w:rsid w:val="00733578"/>
    <w:rsid w:val="00733860"/>
    <w:rsid w:val="00733AE0"/>
    <w:rsid w:val="00733B9E"/>
    <w:rsid w:val="00733CD9"/>
    <w:rsid w:val="007343D1"/>
    <w:rsid w:val="00734A74"/>
    <w:rsid w:val="00734CDD"/>
    <w:rsid w:val="00734D8B"/>
    <w:rsid w:val="00734FCE"/>
    <w:rsid w:val="00735045"/>
    <w:rsid w:val="007350D1"/>
    <w:rsid w:val="0073531F"/>
    <w:rsid w:val="00735582"/>
    <w:rsid w:val="007355A7"/>
    <w:rsid w:val="007356EC"/>
    <w:rsid w:val="007356FE"/>
    <w:rsid w:val="007358AA"/>
    <w:rsid w:val="00735B6E"/>
    <w:rsid w:val="00735F3A"/>
    <w:rsid w:val="007360AC"/>
    <w:rsid w:val="00736335"/>
    <w:rsid w:val="0073682D"/>
    <w:rsid w:val="0073699D"/>
    <w:rsid w:val="00736A2B"/>
    <w:rsid w:val="00736A69"/>
    <w:rsid w:val="00736AE5"/>
    <w:rsid w:val="00737107"/>
    <w:rsid w:val="00737221"/>
    <w:rsid w:val="00737408"/>
    <w:rsid w:val="007375FF"/>
    <w:rsid w:val="0073767D"/>
    <w:rsid w:val="00737BB2"/>
    <w:rsid w:val="00737C7D"/>
    <w:rsid w:val="007405C7"/>
    <w:rsid w:val="00740881"/>
    <w:rsid w:val="00740B7D"/>
    <w:rsid w:val="00740C2F"/>
    <w:rsid w:val="00740DBD"/>
    <w:rsid w:val="00740F1E"/>
    <w:rsid w:val="00740FFC"/>
    <w:rsid w:val="007410CE"/>
    <w:rsid w:val="007417DC"/>
    <w:rsid w:val="0074181A"/>
    <w:rsid w:val="00741BBE"/>
    <w:rsid w:val="00741D80"/>
    <w:rsid w:val="00741EFA"/>
    <w:rsid w:val="00741F7E"/>
    <w:rsid w:val="00741FCC"/>
    <w:rsid w:val="007420AF"/>
    <w:rsid w:val="00742138"/>
    <w:rsid w:val="00742213"/>
    <w:rsid w:val="00742372"/>
    <w:rsid w:val="00742452"/>
    <w:rsid w:val="00743234"/>
    <w:rsid w:val="007436C2"/>
    <w:rsid w:val="007438A7"/>
    <w:rsid w:val="00743C7D"/>
    <w:rsid w:val="00743FDD"/>
    <w:rsid w:val="00744038"/>
    <w:rsid w:val="007445D0"/>
    <w:rsid w:val="007448A5"/>
    <w:rsid w:val="00744D45"/>
    <w:rsid w:val="00744F07"/>
    <w:rsid w:val="00745437"/>
    <w:rsid w:val="0074590F"/>
    <w:rsid w:val="00745972"/>
    <w:rsid w:val="00745AD1"/>
    <w:rsid w:val="00745C36"/>
    <w:rsid w:val="00745E49"/>
    <w:rsid w:val="007463B0"/>
    <w:rsid w:val="007469B9"/>
    <w:rsid w:val="007469F2"/>
    <w:rsid w:val="00746D39"/>
    <w:rsid w:val="00746F14"/>
    <w:rsid w:val="007471D8"/>
    <w:rsid w:val="0074770D"/>
    <w:rsid w:val="00747D04"/>
    <w:rsid w:val="00747FB9"/>
    <w:rsid w:val="00750065"/>
    <w:rsid w:val="007502F3"/>
    <w:rsid w:val="007506B0"/>
    <w:rsid w:val="00750929"/>
    <w:rsid w:val="00750CCA"/>
    <w:rsid w:val="00750E11"/>
    <w:rsid w:val="00750F24"/>
    <w:rsid w:val="00751158"/>
    <w:rsid w:val="0075132C"/>
    <w:rsid w:val="00751412"/>
    <w:rsid w:val="00751462"/>
    <w:rsid w:val="0075147F"/>
    <w:rsid w:val="007518BF"/>
    <w:rsid w:val="007518C9"/>
    <w:rsid w:val="007519CD"/>
    <w:rsid w:val="00751A02"/>
    <w:rsid w:val="00751B10"/>
    <w:rsid w:val="00751EB4"/>
    <w:rsid w:val="00752151"/>
    <w:rsid w:val="00752B8B"/>
    <w:rsid w:val="00753095"/>
    <w:rsid w:val="00753526"/>
    <w:rsid w:val="00753835"/>
    <w:rsid w:val="00753D11"/>
    <w:rsid w:val="00753D81"/>
    <w:rsid w:val="00753E16"/>
    <w:rsid w:val="00754149"/>
    <w:rsid w:val="00754260"/>
    <w:rsid w:val="00754A0E"/>
    <w:rsid w:val="00754C38"/>
    <w:rsid w:val="00754D75"/>
    <w:rsid w:val="007552C3"/>
    <w:rsid w:val="007554A7"/>
    <w:rsid w:val="007555B0"/>
    <w:rsid w:val="00755631"/>
    <w:rsid w:val="00755667"/>
    <w:rsid w:val="00755870"/>
    <w:rsid w:val="00755921"/>
    <w:rsid w:val="00755A68"/>
    <w:rsid w:val="00755E33"/>
    <w:rsid w:val="007560C4"/>
    <w:rsid w:val="007560F2"/>
    <w:rsid w:val="007560F3"/>
    <w:rsid w:val="0075668C"/>
    <w:rsid w:val="0075738E"/>
    <w:rsid w:val="00757526"/>
    <w:rsid w:val="00757E90"/>
    <w:rsid w:val="00760048"/>
    <w:rsid w:val="00760255"/>
    <w:rsid w:val="007603A1"/>
    <w:rsid w:val="007603CD"/>
    <w:rsid w:val="00760586"/>
    <w:rsid w:val="00760752"/>
    <w:rsid w:val="0076075C"/>
    <w:rsid w:val="00760B9F"/>
    <w:rsid w:val="00760E2B"/>
    <w:rsid w:val="00761970"/>
    <w:rsid w:val="00761B82"/>
    <w:rsid w:val="007620B7"/>
    <w:rsid w:val="0076250D"/>
    <w:rsid w:val="0076291D"/>
    <w:rsid w:val="007629B6"/>
    <w:rsid w:val="00762A3B"/>
    <w:rsid w:val="0076315B"/>
    <w:rsid w:val="00763415"/>
    <w:rsid w:val="007636D9"/>
    <w:rsid w:val="007637F7"/>
    <w:rsid w:val="007638E0"/>
    <w:rsid w:val="007640D1"/>
    <w:rsid w:val="00764159"/>
    <w:rsid w:val="0076423B"/>
    <w:rsid w:val="00764347"/>
    <w:rsid w:val="00764654"/>
    <w:rsid w:val="00764958"/>
    <w:rsid w:val="00764CEB"/>
    <w:rsid w:val="00764D86"/>
    <w:rsid w:val="0076500E"/>
    <w:rsid w:val="0076515C"/>
    <w:rsid w:val="00765412"/>
    <w:rsid w:val="007655D0"/>
    <w:rsid w:val="007658BC"/>
    <w:rsid w:val="00765995"/>
    <w:rsid w:val="00765AC6"/>
    <w:rsid w:val="00765E00"/>
    <w:rsid w:val="00766192"/>
    <w:rsid w:val="0076681A"/>
    <w:rsid w:val="0076687C"/>
    <w:rsid w:val="007668DC"/>
    <w:rsid w:val="00766933"/>
    <w:rsid w:val="007669A0"/>
    <w:rsid w:val="00766A3F"/>
    <w:rsid w:val="00766CE8"/>
    <w:rsid w:val="00766D0F"/>
    <w:rsid w:val="00766DCE"/>
    <w:rsid w:val="00766EDE"/>
    <w:rsid w:val="007674FA"/>
    <w:rsid w:val="0076754A"/>
    <w:rsid w:val="00767A8B"/>
    <w:rsid w:val="00767B07"/>
    <w:rsid w:val="00767C9F"/>
    <w:rsid w:val="00767DA0"/>
    <w:rsid w:val="00770271"/>
    <w:rsid w:val="007704BB"/>
    <w:rsid w:val="007705C8"/>
    <w:rsid w:val="00770A55"/>
    <w:rsid w:val="00770CC2"/>
    <w:rsid w:val="00770DE7"/>
    <w:rsid w:val="00770F79"/>
    <w:rsid w:val="00770FEF"/>
    <w:rsid w:val="00771411"/>
    <w:rsid w:val="00771AC6"/>
    <w:rsid w:val="00771C4C"/>
    <w:rsid w:val="00771E02"/>
    <w:rsid w:val="00771ED6"/>
    <w:rsid w:val="00772445"/>
    <w:rsid w:val="00772BA6"/>
    <w:rsid w:val="00772BB1"/>
    <w:rsid w:val="00772E18"/>
    <w:rsid w:val="00773236"/>
    <w:rsid w:val="00773330"/>
    <w:rsid w:val="007733B1"/>
    <w:rsid w:val="007733E4"/>
    <w:rsid w:val="007736DF"/>
    <w:rsid w:val="00774276"/>
    <w:rsid w:val="0077461C"/>
    <w:rsid w:val="0077482F"/>
    <w:rsid w:val="00774A01"/>
    <w:rsid w:val="00774BAB"/>
    <w:rsid w:val="00774CB4"/>
    <w:rsid w:val="00774E4F"/>
    <w:rsid w:val="00775146"/>
    <w:rsid w:val="00775190"/>
    <w:rsid w:val="00775511"/>
    <w:rsid w:val="00775632"/>
    <w:rsid w:val="00775689"/>
    <w:rsid w:val="007756A8"/>
    <w:rsid w:val="00775813"/>
    <w:rsid w:val="00775A70"/>
    <w:rsid w:val="00776196"/>
    <w:rsid w:val="00776249"/>
    <w:rsid w:val="0077631F"/>
    <w:rsid w:val="00776D9E"/>
    <w:rsid w:val="00776ED2"/>
    <w:rsid w:val="00777413"/>
    <w:rsid w:val="00777538"/>
    <w:rsid w:val="00777853"/>
    <w:rsid w:val="0077785E"/>
    <w:rsid w:val="00777F5F"/>
    <w:rsid w:val="00780207"/>
    <w:rsid w:val="00780268"/>
    <w:rsid w:val="00780533"/>
    <w:rsid w:val="00780553"/>
    <w:rsid w:val="00780C11"/>
    <w:rsid w:val="00780C65"/>
    <w:rsid w:val="00780D46"/>
    <w:rsid w:val="00780F3F"/>
    <w:rsid w:val="007813C0"/>
    <w:rsid w:val="0078198B"/>
    <w:rsid w:val="00781BD3"/>
    <w:rsid w:val="0078212E"/>
    <w:rsid w:val="007828D7"/>
    <w:rsid w:val="00782FC3"/>
    <w:rsid w:val="00783148"/>
    <w:rsid w:val="00783270"/>
    <w:rsid w:val="0078387B"/>
    <w:rsid w:val="00783978"/>
    <w:rsid w:val="00783B46"/>
    <w:rsid w:val="00783CDA"/>
    <w:rsid w:val="00783E41"/>
    <w:rsid w:val="00783FE7"/>
    <w:rsid w:val="007840FD"/>
    <w:rsid w:val="00784115"/>
    <w:rsid w:val="007843D4"/>
    <w:rsid w:val="00784826"/>
    <w:rsid w:val="0078500E"/>
    <w:rsid w:val="007851CD"/>
    <w:rsid w:val="00785366"/>
    <w:rsid w:val="007857F9"/>
    <w:rsid w:val="00785B5E"/>
    <w:rsid w:val="00785D0F"/>
    <w:rsid w:val="007862B5"/>
    <w:rsid w:val="00786339"/>
    <w:rsid w:val="0078665E"/>
    <w:rsid w:val="0078696E"/>
    <w:rsid w:val="00786A78"/>
    <w:rsid w:val="00786ACB"/>
    <w:rsid w:val="007873B1"/>
    <w:rsid w:val="00787423"/>
    <w:rsid w:val="007874A1"/>
    <w:rsid w:val="007874E4"/>
    <w:rsid w:val="00787625"/>
    <w:rsid w:val="0078764F"/>
    <w:rsid w:val="00790138"/>
    <w:rsid w:val="00790587"/>
    <w:rsid w:val="007906D1"/>
    <w:rsid w:val="007906D6"/>
    <w:rsid w:val="0079103B"/>
    <w:rsid w:val="0079178B"/>
    <w:rsid w:val="007917BB"/>
    <w:rsid w:val="0079199B"/>
    <w:rsid w:val="00791DF2"/>
    <w:rsid w:val="007920D8"/>
    <w:rsid w:val="007922B1"/>
    <w:rsid w:val="007924CF"/>
    <w:rsid w:val="00792620"/>
    <w:rsid w:val="00793513"/>
    <w:rsid w:val="00793637"/>
    <w:rsid w:val="007938E5"/>
    <w:rsid w:val="00793B01"/>
    <w:rsid w:val="00793E67"/>
    <w:rsid w:val="007949F0"/>
    <w:rsid w:val="00794A77"/>
    <w:rsid w:val="00794AE6"/>
    <w:rsid w:val="00794FC0"/>
    <w:rsid w:val="007953B0"/>
    <w:rsid w:val="00795474"/>
    <w:rsid w:val="007954EC"/>
    <w:rsid w:val="00795561"/>
    <w:rsid w:val="007955C9"/>
    <w:rsid w:val="00795A77"/>
    <w:rsid w:val="00795B0F"/>
    <w:rsid w:val="00795B81"/>
    <w:rsid w:val="00795C5F"/>
    <w:rsid w:val="00796373"/>
    <w:rsid w:val="007967BA"/>
    <w:rsid w:val="00796EFB"/>
    <w:rsid w:val="00796F14"/>
    <w:rsid w:val="00796F60"/>
    <w:rsid w:val="00796FE2"/>
    <w:rsid w:val="00797152"/>
    <w:rsid w:val="00797378"/>
    <w:rsid w:val="007973E9"/>
    <w:rsid w:val="007975B3"/>
    <w:rsid w:val="007979DC"/>
    <w:rsid w:val="007979F4"/>
    <w:rsid w:val="00797A95"/>
    <w:rsid w:val="00797BB1"/>
    <w:rsid w:val="00797E27"/>
    <w:rsid w:val="007A0011"/>
    <w:rsid w:val="007A015D"/>
    <w:rsid w:val="007A01EE"/>
    <w:rsid w:val="007A0530"/>
    <w:rsid w:val="007A0540"/>
    <w:rsid w:val="007A0552"/>
    <w:rsid w:val="007A058F"/>
    <w:rsid w:val="007A0BC5"/>
    <w:rsid w:val="007A0E31"/>
    <w:rsid w:val="007A152A"/>
    <w:rsid w:val="007A1F1B"/>
    <w:rsid w:val="007A2548"/>
    <w:rsid w:val="007A282C"/>
    <w:rsid w:val="007A2E3E"/>
    <w:rsid w:val="007A3765"/>
    <w:rsid w:val="007A3857"/>
    <w:rsid w:val="007A3982"/>
    <w:rsid w:val="007A3995"/>
    <w:rsid w:val="007A3E58"/>
    <w:rsid w:val="007A4337"/>
    <w:rsid w:val="007A434C"/>
    <w:rsid w:val="007A5AA2"/>
    <w:rsid w:val="007A5D2B"/>
    <w:rsid w:val="007A60E0"/>
    <w:rsid w:val="007A6110"/>
    <w:rsid w:val="007A6145"/>
    <w:rsid w:val="007A61FF"/>
    <w:rsid w:val="007A62F9"/>
    <w:rsid w:val="007A64EC"/>
    <w:rsid w:val="007A65D0"/>
    <w:rsid w:val="007A6AB8"/>
    <w:rsid w:val="007A6B4D"/>
    <w:rsid w:val="007A6B6A"/>
    <w:rsid w:val="007A6D5F"/>
    <w:rsid w:val="007A7288"/>
    <w:rsid w:val="007A7512"/>
    <w:rsid w:val="007A78C4"/>
    <w:rsid w:val="007A7BC7"/>
    <w:rsid w:val="007B00DF"/>
    <w:rsid w:val="007B02F4"/>
    <w:rsid w:val="007B05CD"/>
    <w:rsid w:val="007B0949"/>
    <w:rsid w:val="007B0A8A"/>
    <w:rsid w:val="007B0B39"/>
    <w:rsid w:val="007B0ED7"/>
    <w:rsid w:val="007B0F06"/>
    <w:rsid w:val="007B124B"/>
    <w:rsid w:val="007B146A"/>
    <w:rsid w:val="007B163A"/>
    <w:rsid w:val="007B1855"/>
    <w:rsid w:val="007B1A25"/>
    <w:rsid w:val="007B1C7B"/>
    <w:rsid w:val="007B1C7C"/>
    <w:rsid w:val="007B1CBC"/>
    <w:rsid w:val="007B1FEA"/>
    <w:rsid w:val="007B2103"/>
    <w:rsid w:val="007B22AD"/>
    <w:rsid w:val="007B23C0"/>
    <w:rsid w:val="007B246E"/>
    <w:rsid w:val="007B25D8"/>
    <w:rsid w:val="007B2706"/>
    <w:rsid w:val="007B2AB9"/>
    <w:rsid w:val="007B2AC4"/>
    <w:rsid w:val="007B2D48"/>
    <w:rsid w:val="007B2D77"/>
    <w:rsid w:val="007B2DD7"/>
    <w:rsid w:val="007B2FA8"/>
    <w:rsid w:val="007B2FE7"/>
    <w:rsid w:val="007B3012"/>
    <w:rsid w:val="007B3700"/>
    <w:rsid w:val="007B3C0F"/>
    <w:rsid w:val="007B3FD3"/>
    <w:rsid w:val="007B4153"/>
    <w:rsid w:val="007B4200"/>
    <w:rsid w:val="007B45B0"/>
    <w:rsid w:val="007B4AB8"/>
    <w:rsid w:val="007B4AD9"/>
    <w:rsid w:val="007B4CE4"/>
    <w:rsid w:val="007B5080"/>
    <w:rsid w:val="007B570B"/>
    <w:rsid w:val="007B59A9"/>
    <w:rsid w:val="007B5A96"/>
    <w:rsid w:val="007B5F09"/>
    <w:rsid w:val="007B5F6E"/>
    <w:rsid w:val="007B6029"/>
    <w:rsid w:val="007B6085"/>
    <w:rsid w:val="007B6382"/>
    <w:rsid w:val="007B63CC"/>
    <w:rsid w:val="007B6513"/>
    <w:rsid w:val="007B671E"/>
    <w:rsid w:val="007B6B9C"/>
    <w:rsid w:val="007B71AC"/>
    <w:rsid w:val="007B7AA1"/>
    <w:rsid w:val="007B7BCD"/>
    <w:rsid w:val="007C02C5"/>
    <w:rsid w:val="007C0528"/>
    <w:rsid w:val="007C0555"/>
    <w:rsid w:val="007C0685"/>
    <w:rsid w:val="007C073D"/>
    <w:rsid w:val="007C0786"/>
    <w:rsid w:val="007C0C04"/>
    <w:rsid w:val="007C1428"/>
    <w:rsid w:val="007C1627"/>
    <w:rsid w:val="007C1C57"/>
    <w:rsid w:val="007C1D90"/>
    <w:rsid w:val="007C2100"/>
    <w:rsid w:val="007C2959"/>
    <w:rsid w:val="007C2BC1"/>
    <w:rsid w:val="007C30DB"/>
    <w:rsid w:val="007C310C"/>
    <w:rsid w:val="007C3229"/>
    <w:rsid w:val="007C325D"/>
    <w:rsid w:val="007C327C"/>
    <w:rsid w:val="007C38F3"/>
    <w:rsid w:val="007C3BAF"/>
    <w:rsid w:val="007C3D6E"/>
    <w:rsid w:val="007C3E2B"/>
    <w:rsid w:val="007C3FDC"/>
    <w:rsid w:val="007C40ED"/>
    <w:rsid w:val="007C45EF"/>
    <w:rsid w:val="007C4B31"/>
    <w:rsid w:val="007C4BEB"/>
    <w:rsid w:val="007C4C08"/>
    <w:rsid w:val="007C4C9C"/>
    <w:rsid w:val="007C4ED4"/>
    <w:rsid w:val="007C5626"/>
    <w:rsid w:val="007C59DC"/>
    <w:rsid w:val="007C5C54"/>
    <w:rsid w:val="007C5D4D"/>
    <w:rsid w:val="007C61F9"/>
    <w:rsid w:val="007C657D"/>
    <w:rsid w:val="007C6853"/>
    <w:rsid w:val="007C69B9"/>
    <w:rsid w:val="007C71E9"/>
    <w:rsid w:val="007C7893"/>
    <w:rsid w:val="007C7B70"/>
    <w:rsid w:val="007C7FB9"/>
    <w:rsid w:val="007D0610"/>
    <w:rsid w:val="007D0801"/>
    <w:rsid w:val="007D115F"/>
    <w:rsid w:val="007D118E"/>
    <w:rsid w:val="007D19C1"/>
    <w:rsid w:val="007D1BCC"/>
    <w:rsid w:val="007D1BD4"/>
    <w:rsid w:val="007D1CF2"/>
    <w:rsid w:val="007D2038"/>
    <w:rsid w:val="007D283A"/>
    <w:rsid w:val="007D2F96"/>
    <w:rsid w:val="007D33CD"/>
    <w:rsid w:val="007D36A2"/>
    <w:rsid w:val="007D372D"/>
    <w:rsid w:val="007D37DD"/>
    <w:rsid w:val="007D3A46"/>
    <w:rsid w:val="007D3DA4"/>
    <w:rsid w:val="007D44F9"/>
    <w:rsid w:val="007D4B73"/>
    <w:rsid w:val="007D4D60"/>
    <w:rsid w:val="007D4EDF"/>
    <w:rsid w:val="007D51EF"/>
    <w:rsid w:val="007D5448"/>
    <w:rsid w:val="007D5477"/>
    <w:rsid w:val="007D5BFB"/>
    <w:rsid w:val="007D5C03"/>
    <w:rsid w:val="007D5C7A"/>
    <w:rsid w:val="007D5EFC"/>
    <w:rsid w:val="007D629A"/>
    <w:rsid w:val="007D62F3"/>
    <w:rsid w:val="007D6514"/>
    <w:rsid w:val="007D681F"/>
    <w:rsid w:val="007D69E5"/>
    <w:rsid w:val="007D6B13"/>
    <w:rsid w:val="007D6DA0"/>
    <w:rsid w:val="007D7124"/>
    <w:rsid w:val="007D7B2E"/>
    <w:rsid w:val="007E0046"/>
    <w:rsid w:val="007E0336"/>
    <w:rsid w:val="007E0713"/>
    <w:rsid w:val="007E0739"/>
    <w:rsid w:val="007E0D74"/>
    <w:rsid w:val="007E0F94"/>
    <w:rsid w:val="007E1271"/>
    <w:rsid w:val="007E12A4"/>
    <w:rsid w:val="007E1547"/>
    <w:rsid w:val="007E174B"/>
    <w:rsid w:val="007E1943"/>
    <w:rsid w:val="007E19CF"/>
    <w:rsid w:val="007E1AB0"/>
    <w:rsid w:val="007E1ADF"/>
    <w:rsid w:val="007E1E6E"/>
    <w:rsid w:val="007E1EF6"/>
    <w:rsid w:val="007E1FA8"/>
    <w:rsid w:val="007E29B9"/>
    <w:rsid w:val="007E2BB2"/>
    <w:rsid w:val="007E2C0B"/>
    <w:rsid w:val="007E343D"/>
    <w:rsid w:val="007E34E0"/>
    <w:rsid w:val="007E3774"/>
    <w:rsid w:val="007E39DA"/>
    <w:rsid w:val="007E3C40"/>
    <w:rsid w:val="007E43F2"/>
    <w:rsid w:val="007E4644"/>
    <w:rsid w:val="007E47FB"/>
    <w:rsid w:val="007E48A2"/>
    <w:rsid w:val="007E50F3"/>
    <w:rsid w:val="007E5F42"/>
    <w:rsid w:val="007E5F66"/>
    <w:rsid w:val="007E63A2"/>
    <w:rsid w:val="007E68F0"/>
    <w:rsid w:val="007E6EA5"/>
    <w:rsid w:val="007E719C"/>
    <w:rsid w:val="007E7A47"/>
    <w:rsid w:val="007E7AB1"/>
    <w:rsid w:val="007E7B65"/>
    <w:rsid w:val="007E7CFC"/>
    <w:rsid w:val="007F0083"/>
    <w:rsid w:val="007F0462"/>
    <w:rsid w:val="007F0995"/>
    <w:rsid w:val="007F0A80"/>
    <w:rsid w:val="007F0B64"/>
    <w:rsid w:val="007F0E4E"/>
    <w:rsid w:val="007F106C"/>
    <w:rsid w:val="007F1312"/>
    <w:rsid w:val="007F1391"/>
    <w:rsid w:val="007F1567"/>
    <w:rsid w:val="007F16C9"/>
    <w:rsid w:val="007F1A46"/>
    <w:rsid w:val="007F1C01"/>
    <w:rsid w:val="007F2091"/>
    <w:rsid w:val="007F2429"/>
    <w:rsid w:val="007F28BD"/>
    <w:rsid w:val="007F2FE9"/>
    <w:rsid w:val="007F3002"/>
    <w:rsid w:val="007F30CD"/>
    <w:rsid w:val="007F31E5"/>
    <w:rsid w:val="007F3709"/>
    <w:rsid w:val="007F3BAA"/>
    <w:rsid w:val="007F3C79"/>
    <w:rsid w:val="007F3CCC"/>
    <w:rsid w:val="007F3E5C"/>
    <w:rsid w:val="007F3F0F"/>
    <w:rsid w:val="007F47A1"/>
    <w:rsid w:val="007F48A8"/>
    <w:rsid w:val="007F4C19"/>
    <w:rsid w:val="007F4DA3"/>
    <w:rsid w:val="007F4DDC"/>
    <w:rsid w:val="007F5814"/>
    <w:rsid w:val="007F5A6E"/>
    <w:rsid w:val="007F5A94"/>
    <w:rsid w:val="007F5E0F"/>
    <w:rsid w:val="007F5EF3"/>
    <w:rsid w:val="007F5F72"/>
    <w:rsid w:val="007F632C"/>
    <w:rsid w:val="007F63ED"/>
    <w:rsid w:val="007F647C"/>
    <w:rsid w:val="007F6AC0"/>
    <w:rsid w:val="007F6D10"/>
    <w:rsid w:val="007F6DC8"/>
    <w:rsid w:val="007F716A"/>
    <w:rsid w:val="007F7703"/>
    <w:rsid w:val="007F78EC"/>
    <w:rsid w:val="007F7D74"/>
    <w:rsid w:val="007F7E60"/>
    <w:rsid w:val="008001C9"/>
    <w:rsid w:val="008004FE"/>
    <w:rsid w:val="00800A57"/>
    <w:rsid w:val="00800C15"/>
    <w:rsid w:val="00800C5F"/>
    <w:rsid w:val="00800CBC"/>
    <w:rsid w:val="00800D11"/>
    <w:rsid w:val="00800E39"/>
    <w:rsid w:val="00800ED5"/>
    <w:rsid w:val="00800FEB"/>
    <w:rsid w:val="008014BC"/>
    <w:rsid w:val="00801728"/>
    <w:rsid w:val="008017A0"/>
    <w:rsid w:val="008019CD"/>
    <w:rsid w:val="00801F4E"/>
    <w:rsid w:val="00802217"/>
    <w:rsid w:val="00802305"/>
    <w:rsid w:val="00802862"/>
    <w:rsid w:val="0080299E"/>
    <w:rsid w:val="00802DDF"/>
    <w:rsid w:val="00802DE9"/>
    <w:rsid w:val="00802FA5"/>
    <w:rsid w:val="00803034"/>
    <w:rsid w:val="00803129"/>
    <w:rsid w:val="008031BB"/>
    <w:rsid w:val="008032E0"/>
    <w:rsid w:val="008032E3"/>
    <w:rsid w:val="00803548"/>
    <w:rsid w:val="00803788"/>
    <w:rsid w:val="008038FF"/>
    <w:rsid w:val="00803958"/>
    <w:rsid w:val="00803996"/>
    <w:rsid w:val="008039CA"/>
    <w:rsid w:val="00803D99"/>
    <w:rsid w:val="008043C1"/>
    <w:rsid w:val="008044F7"/>
    <w:rsid w:val="00804857"/>
    <w:rsid w:val="008048A8"/>
    <w:rsid w:val="00804C24"/>
    <w:rsid w:val="00805258"/>
    <w:rsid w:val="00805325"/>
    <w:rsid w:val="0080544B"/>
    <w:rsid w:val="00805591"/>
    <w:rsid w:val="0080569C"/>
    <w:rsid w:val="00805ACC"/>
    <w:rsid w:val="00805B87"/>
    <w:rsid w:val="00805D3F"/>
    <w:rsid w:val="00805F0C"/>
    <w:rsid w:val="008062C6"/>
    <w:rsid w:val="008062DD"/>
    <w:rsid w:val="00806353"/>
    <w:rsid w:val="0080636A"/>
    <w:rsid w:val="0080672F"/>
    <w:rsid w:val="008067E8"/>
    <w:rsid w:val="00806900"/>
    <w:rsid w:val="00806B25"/>
    <w:rsid w:val="00806CC6"/>
    <w:rsid w:val="00806CF8"/>
    <w:rsid w:val="00806D62"/>
    <w:rsid w:val="00806E3B"/>
    <w:rsid w:val="008078A7"/>
    <w:rsid w:val="008078D1"/>
    <w:rsid w:val="00807C17"/>
    <w:rsid w:val="00810114"/>
    <w:rsid w:val="00810922"/>
    <w:rsid w:val="00810A68"/>
    <w:rsid w:val="00810AC9"/>
    <w:rsid w:val="00810CF6"/>
    <w:rsid w:val="00810FEF"/>
    <w:rsid w:val="0081161A"/>
    <w:rsid w:val="008116C3"/>
    <w:rsid w:val="00811E3D"/>
    <w:rsid w:val="00812183"/>
    <w:rsid w:val="008124D4"/>
    <w:rsid w:val="00812706"/>
    <w:rsid w:val="00812C85"/>
    <w:rsid w:val="00813495"/>
    <w:rsid w:val="0081376F"/>
    <w:rsid w:val="008138B8"/>
    <w:rsid w:val="0081395B"/>
    <w:rsid w:val="00813E09"/>
    <w:rsid w:val="00813FA6"/>
    <w:rsid w:val="0081420D"/>
    <w:rsid w:val="0081437E"/>
    <w:rsid w:val="00814488"/>
    <w:rsid w:val="00814A56"/>
    <w:rsid w:val="00814D5F"/>
    <w:rsid w:val="0081510C"/>
    <w:rsid w:val="00815142"/>
    <w:rsid w:val="00815233"/>
    <w:rsid w:val="0081613C"/>
    <w:rsid w:val="008165D7"/>
    <w:rsid w:val="00816871"/>
    <w:rsid w:val="00816D72"/>
    <w:rsid w:val="0081729A"/>
    <w:rsid w:val="00817D59"/>
    <w:rsid w:val="00817E2E"/>
    <w:rsid w:val="00817F68"/>
    <w:rsid w:val="00820478"/>
    <w:rsid w:val="0082057F"/>
    <w:rsid w:val="00820677"/>
    <w:rsid w:val="0082085B"/>
    <w:rsid w:val="00820910"/>
    <w:rsid w:val="008211A4"/>
    <w:rsid w:val="0082145A"/>
    <w:rsid w:val="0082149A"/>
    <w:rsid w:val="00821506"/>
    <w:rsid w:val="008216BE"/>
    <w:rsid w:val="00821824"/>
    <w:rsid w:val="008218B1"/>
    <w:rsid w:val="00821AE6"/>
    <w:rsid w:val="00821C05"/>
    <w:rsid w:val="00821CD3"/>
    <w:rsid w:val="0082226E"/>
    <w:rsid w:val="008222F1"/>
    <w:rsid w:val="00822300"/>
    <w:rsid w:val="0082263C"/>
    <w:rsid w:val="00822AE8"/>
    <w:rsid w:val="00822CDA"/>
    <w:rsid w:val="00822E0C"/>
    <w:rsid w:val="00822FD5"/>
    <w:rsid w:val="00823087"/>
    <w:rsid w:val="00823360"/>
    <w:rsid w:val="008234C1"/>
    <w:rsid w:val="00823533"/>
    <w:rsid w:val="0082364A"/>
    <w:rsid w:val="008237D6"/>
    <w:rsid w:val="008239DC"/>
    <w:rsid w:val="00823A49"/>
    <w:rsid w:val="00823B17"/>
    <w:rsid w:val="00823D79"/>
    <w:rsid w:val="00823DF3"/>
    <w:rsid w:val="008244C8"/>
    <w:rsid w:val="00824705"/>
    <w:rsid w:val="008249D3"/>
    <w:rsid w:val="00824D61"/>
    <w:rsid w:val="00825146"/>
    <w:rsid w:val="0082514C"/>
    <w:rsid w:val="00825649"/>
    <w:rsid w:val="00825678"/>
    <w:rsid w:val="00825D31"/>
    <w:rsid w:val="00825D67"/>
    <w:rsid w:val="00825F71"/>
    <w:rsid w:val="00826A28"/>
    <w:rsid w:val="00826DD4"/>
    <w:rsid w:val="00826E94"/>
    <w:rsid w:val="008270C5"/>
    <w:rsid w:val="00827387"/>
    <w:rsid w:val="00827408"/>
    <w:rsid w:val="0082757B"/>
    <w:rsid w:val="008278F8"/>
    <w:rsid w:val="008279E9"/>
    <w:rsid w:val="0083083A"/>
    <w:rsid w:val="0083095C"/>
    <w:rsid w:val="00830993"/>
    <w:rsid w:val="00830E71"/>
    <w:rsid w:val="00830FC3"/>
    <w:rsid w:val="00831142"/>
    <w:rsid w:val="008312DE"/>
    <w:rsid w:val="008317E6"/>
    <w:rsid w:val="00831B04"/>
    <w:rsid w:val="00832692"/>
    <w:rsid w:val="00832849"/>
    <w:rsid w:val="00832A23"/>
    <w:rsid w:val="00832B9F"/>
    <w:rsid w:val="0083309B"/>
    <w:rsid w:val="00833179"/>
    <w:rsid w:val="00833298"/>
    <w:rsid w:val="00833AE9"/>
    <w:rsid w:val="00833C8A"/>
    <w:rsid w:val="00833D72"/>
    <w:rsid w:val="00833E36"/>
    <w:rsid w:val="0083413B"/>
    <w:rsid w:val="008343F8"/>
    <w:rsid w:val="0083448B"/>
    <w:rsid w:val="00834D73"/>
    <w:rsid w:val="0083527B"/>
    <w:rsid w:val="008356DB"/>
    <w:rsid w:val="00835727"/>
    <w:rsid w:val="0083578C"/>
    <w:rsid w:val="008358B2"/>
    <w:rsid w:val="00835AF1"/>
    <w:rsid w:val="00835F69"/>
    <w:rsid w:val="008360FB"/>
    <w:rsid w:val="008364B5"/>
    <w:rsid w:val="00836704"/>
    <w:rsid w:val="00836949"/>
    <w:rsid w:val="00836B1A"/>
    <w:rsid w:val="00837003"/>
    <w:rsid w:val="008370BC"/>
    <w:rsid w:val="0083738D"/>
    <w:rsid w:val="008375C5"/>
    <w:rsid w:val="008377E9"/>
    <w:rsid w:val="0083792A"/>
    <w:rsid w:val="008400E9"/>
    <w:rsid w:val="0084012E"/>
    <w:rsid w:val="008403E6"/>
    <w:rsid w:val="008404A6"/>
    <w:rsid w:val="00840719"/>
    <w:rsid w:val="008408C5"/>
    <w:rsid w:val="00840A5C"/>
    <w:rsid w:val="00840EAE"/>
    <w:rsid w:val="00841458"/>
    <w:rsid w:val="0084179A"/>
    <w:rsid w:val="0084187C"/>
    <w:rsid w:val="008419CD"/>
    <w:rsid w:val="00841D13"/>
    <w:rsid w:val="00841D67"/>
    <w:rsid w:val="00841E49"/>
    <w:rsid w:val="00842375"/>
    <w:rsid w:val="00842468"/>
    <w:rsid w:val="0084274A"/>
    <w:rsid w:val="008428C8"/>
    <w:rsid w:val="00842A2E"/>
    <w:rsid w:val="00842F19"/>
    <w:rsid w:val="008438C4"/>
    <w:rsid w:val="00843A80"/>
    <w:rsid w:val="00843B6F"/>
    <w:rsid w:val="00843C82"/>
    <w:rsid w:val="00843F57"/>
    <w:rsid w:val="00843F7D"/>
    <w:rsid w:val="008444B9"/>
    <w:rsid w:val="0084498A"/>
    <w:rsid w:val="00844C86"/>
    <w:rsid w:val="00845484"/>
    <w:rsid w:val="008459CC"/>
    <w:rsid w:val="00845D6C"/>
    <w:rsid w:val="00846049"/>
    <w:rsid w:val="00846178"/>
    <w:rsid w:val="00846369"/>
    <w:rsid w:val="0084667D"/>
    <w:rsid w:val="00846945"/>
    <w:rsid w:val="008469D4"/>
    <w:rsid w:val="00846B8E"/>
    <w:rsid w:val="00846DCF"/>
    <w:rsid w:val="00846DE7"/>
    <w:rsid w:val="00847342"/>
    <w:rsid w:val="008479AF"/>
    <w:rsid w:val="00847D04"/>
    <w:rsid w:val="00847EBF"/>
    <w:rsid w:val="00850554"/>
    <w:rsid w:val="00850895"/>
    <w:rsid w:val="00850975"/>
    <w:rsid w:val="00850CD0"/>
    <w:rsid w:val="00851052"/>
    <w:rsid w:val="008510CF"/>
    <w:rsid w:val="00851421"/>
    <w:rsid w:val="00851675"/>
    <w:rsid w:val="00851945"/>
    <w:rsid w:val="008524D9"/>
    <w:rsid w:val="0085250A"/>
    <w:rsid w:val="008525D2"/>
    <w:rsid w:val="00852710"/>
    <w:rsid w:val="00852B3E"/>
    <w:rsid w:val="008531DC"/>
    <w:rsid w:val="00853266"/>
    <w:rsid w:val="0085334F"/>
    <w:rsid w:val="0085352E"/>
    <w:rsid w:val="00853A7D"/>
    <w:rsid w:val="0085401F"/>
    <w:rsid w:val="00854188"/>
    <w:rsid w:val="008549E0"/>
    <w:rsid w:val="00854BC2"/>
    <w:rsid w:val="00854DA5"/>
    <w:rsid w:val="00854E34"/>
    <w:rsid w:val="008552BC"/>
    <w:rsid w:val="00855830"/>
    <w:rsid w:val="00855A7F"/>
    <w:rsid w:val="00855BA7"/>
    <w:rsid w:val="00855BD0"/>
    <w:rsid w:val="00855DCD"/>
    <w:rsid w:val="00856704"/>
    <w:rsid w:val="00856AFD"/>
    <w:rsid w:val="00856C9A"/>
    <w:rsid w:val="00856F95"/>
    <w:rsid w:val="00857120"/>
    <w:rsid w:val="008576D2"/>
    <w:rsid w:val="00857AF4"/>
    <w:rsid w:val="008604E6"/>
    <w:rsid w:val="00860547"/>
    <w:rsid w:val="008607CE"/>
    <w:rsid w:val="00860B7E"/>
    <w:rsid w:val="00860D33"/>
    <w:rsid w:val="00860D4F"/>
    <w:rsid w:val="00860EC2"/>
    <w:rsid w:val="00860ECB"/>
    <w:rsid w:val="0086120A"/>
    <w:rsid w:val="0086139B"/>
    <w:rsid w:val="00861657"/>
    <w:rsid w:val="00861722"/>
    <w:rsid w:val="00861757"/>
    <w:rsid w:val="00861797"/>
    <w:rsid w:val="008619E4"/>
    <w:rsid w:val="00861BAF"/>
    <w:rsid w:val="00861FEF"/>
    <w:rsid w:val="00862110"/>
    <w:rsid w:val="00862128"/>
    <w:rsid w:val="008622D0"/>
    <w:rsid w:val="008627A2"/>
    <w:rsid w:val="00862902"/>
    <w:rsid w:val="00863107"/>
    <w:rsid w:val="00863109"/>
    <w:rsid w:val="0086311D"/>
    <w:rsid w:val="008632A0"/>
    <w:rsid w:val="00863B46"/>
    <w:rsid w:val="00863C4B"/>
    <w:rsid w:val="00863CE5"/>
    <w:rsid w:val="00863E5B"/>
    <w:rsid w:val="00863F31"/>
    <w:rsid w:val="008642E3"/>
    <w:rsid w:val="0086446E"/>
    <w:rsid w:val="008644B9"/>
    <w:rsid w:val="00864B40"/>
    <w:rsid w:val="00864BA4"/>
    <w:rsid w:val="00864ED0"/>
    <w:rsid w:val="00864EFF"/>
    <w:rsid w:val="008659E5"/>
    <w:rsid w:val="00865DBA"/>
    <w:rsid w:val="008664F5"/>
    <w:rsid w:val="008669CF"/>
    <w:rsid w:val="00867672"/>
    <w:rsid w:val="00867762"/>
    <w:rsid w:val="00867EA9"/>
    <w:rsid w:val="008700D3"/>
    <w:rsid w:val="008703B4"/>
    <w:rsid w:val="008706C1"/>
    <w:rsid w:val="008708AF"/>
    <w:rsid w:val="00870932"/>
    <w:rsid w:val="00870CAA"/>
    <w:rsid w:val="00870CE0"/>
    <w:rsid w:val="00870E9F"/>
    <w:rsid w:val="00871048"/>
    <w:rsid w:val="00871197"/>
    <w:rsid w:val="008711BC"/>
    <w:rsid w:val="008718AB"/>
    <w:rsid w:val="00871C4C"/>
    <w:rsid w:val="00871EE8"/>
    <w:rsid w:val="00871FC8"/>
    <w:rsid w:val="00872015"/>
    <w:rsid w:val="00872132"/>
    <w:rsid w:val="00872404"/>
    <w:rsid w:val="00872557"/>
    <w:rsid w:val="00872816"/>
    <w:rsid w:val="00872BD6"/>
    <w:rsid w:val="00873083"/>
    <w:rsid w:val="008730D9"/>
    <w:rsid w:val="00873921"/>
    <w:rsid w:val="00873C25"/>
    <w:rsid w:val="00873E8D"/>
    <w:rsid w:val="008743CE"/>
    <w:rsid w:val="00874489"/>
    <w:rsid w:val="008744F0"/>
    <w:rsid w:val="0087475F"/>
    <w:rsid w:val="00874ACA"/>
    <w:rsid w:val="00874B57"/>
    <w:rsid w:val="00874B89"/>
    <w:rsid w:val="0087526D"/>
    <w:rsid w:val="0087548B"/>
    <w:rsid w:val="00875B62"/>
    <w:rsid w:val="00875F46"/>
    <w:rsid w:val="008762FF"/>
    <w:rsid w:val="008764DF"/>
    <w:rsid w:val="00876A80"/>
    <w:rsid w:val="00876BDE"/>
    <w:rsid w:val="00876D2C"/>
    <w:rsid w:val="00876E50"/>
    <w:rsid w:val="00876FA5"/>
    <w:rsid w:val="008770B4"/>
    <w:rsid w:val="0087720B"/>
    <w:rsid w:val="0087752C"/>
    <w:rsid w:val="008775C2"/>
    <w:rsid w:val="008775F7"/>
    <w:rsid w:val="00877CDE"/>
    <w:rsid w:val="00877E4B"/>
    <w:rsid w:val="00880037"/>
    <w:rsid w:val="008801F2"/>
    <w:rsid w:val="008803D4"/>
    <w:rsid w:val="008806AE"/>
    <w:rsid w:val="00880A90"/>
    <w:rsid w:val="00880EAB"/>
    <w:rsid w:val="0088155F"/>
    <w:rsid w:val="00881638"/>
    <w:rsid w:val="00881689"/>
    <w:rsid w:val="00881D23"/>
    <w:rsid w:val="00881F3B"/>
    <w:rsid w:val="008821B3"/>
    <w:rsid w:val="00882226"/>
    <w:rsid w:val="008828D4"/>
    <w:rsid w:val="00882C49"/>
    <w:rsid w:val="00882D4E"/>
    <w:rsid w:val="00882EB0"/>
    <w:rsid w:val="0088313C"/>
    <w:rsid w:val="00883829"/>
    <w:rsid w:val="008839F1"/>
    <w:rsid w:val="0088415F"/>
    <w:rsid w:val="008847B5"/>
    <w:rsid w:val="00884A7A"/>
    <w:rsid w:val="00884E16"/>
    <w:rsid w:val="00885718"/>
    <w:rsid w:val="00885719"/>
    <w:rsid w:val="008858AF"/>
    <w:rsid w:val="008858B1"/>
    <w:rsid w:val="00885BB1"/>
    <w:rsid w:val="00885CAE"/>
    <w:rsid w:val="008860F1"/>
    <w:rsid w:val="008861A0"/>
    <w:rsid w:val="008864CA"/>
    <w:rsid w:val="0088710B"/>
    <w:rsid w:val="00887252"/>
    <w:rsid w:val="00887468"/>
    <w:rsid w:val="00887934"/>
    <w:rsid w:val="00887D49"/>
    <w:rsid w:val="00887DE1"/>
    <w:rsid w:val="00887F3B"/>
    <w:rsid w:val="00887FF0"/>
    <w:rsid w:val="0089054A"/>
    <w:rsid w:val="008906CE"/>
    <w:rsid w:val="0089081F"/>
    <w:rsid w:val="00890CCA"/>
    <w:rsid w:val="00890D83"/>
    <w:rsid w:val="00890ED7"/>
    <w:rsid w:val="00891513"/>
    <w:rsid w:val="00891AF3"/>
    <w:rsid w:val="00891CCB"/>
    <w:rsid w:val="00891F8F"/>
    <w:rsid w:val="0089202B"/>
    <w:rsid w:val="00892323"/>
    <w:rsid w:val="00892844"/>
    <w:rsid w:val="00892967"/>
    <w:rsid w:val="008929D7"/>
    <w:rsid w:val="00892C6A"/>
    <w:rsid w:val="00892D65"/>
    <w:rsid w:val="00892F52"/>
    <w:rsid w:val="0089315B"/>
    <w:rsid w:val="008932D7"/>
    <w:rsid w:val="008933F4"/>
    <w:rsid w:val="00893593"/>
    <w:rsid w:val="00893990"/>
    <w:rsid w:val="00893A5A"/>
    <w:rsid w:val="00893BAB"/>
    <w:rsid w:val="00893EB8"/>
    <w:rsid w:val="00893FC9"/>
    <w:rsid w:val="0089428B"/>
    <w:rsid w:val="00894617"/>
    <w:rsid w:val="00894D62"/>
    <w:rsid w:val="00894E89"/>
    <w:rsid w:val="008950EE"/>
    <w:rsid w:val="0089541B"/>
    <w:rsid w:val="0089582F"/>
    <w:rsid w:val="00895A52"/>
    <w:rsid w:val="00895A8F"/>
    <w:rsid w:val="00895CA9"/>
    <w:rsid w:val="00895FBA"/>
    <w:rsid w:val="00896467"/>
    <w:rsid w:val="00896799"/>
    <w:rsid w:val="008967BE"/>
    <w:rsid w:val="008969A2"/>
    <w:rsid w:val="00896A4F"/>
    <w:rsid w:val="00896C96"/>
    <w:rsid w:val="00896CE2"/>
    <w:rsid w:val="00896F49"/>
    <w:rsid w:val="00897159"/>
    <w:rsid w:val="00897363"/>
    <w:rsid w:val="008974C0"/>
    <w:rsid w:val="008977F1"/>
    <w:rsid w:val="00897E24"/>
    <w:rsid w:val="008A00B4"/>
    <w:rsid w:val="008A00B5"/>
    <w:rsid w:val="008A0139"/>
    <w:rsid w:val="008A01EB"/>
    <w:rsid w:val="008A02BD"/>
    <w:rsid w:val="008A03C7"/>
    <w:rsid w:val="008A0740"/>
    <w:rsid w:val="008A0D94"/>
    <w:rsid w:val="008A0EAB"/>
    <w:rsid w:val="008A1171"/>
    <w:rsid w:val="008A1274"/>
    <w:rsid w:val="008A12FD"/>
    <w:rsid w:val="008A1726"/>
    <w:rsid w:val="008A2110"/>
    <w:rsid w:val="008A22F8"/>
    <w:rsid w:val="008A23E4"/>
    <w:rsid w:val="008A2757"/>
    <w:rsid w:val="008A2B9C"/>
    <w:rsid w:val="008A2BBE"/>
    <w:rsid w:val="008A2D74"/>
    <w:rsid w:val="008A3132"/>
    <w:rsid w:val="008A35F4"/>
    <w:rsid w:val="008A3796"/>
    <w:rsid w:val="008A3A56"/>
    <w:rsid w:val="008A3A95"/>
    <w:rsid w:val="008A3C21"/>
    <w:rsid w:val="008A3EEF"/>
    <w:rsid w:val="008A3FEF"/>
    <w:rsid w:val="008A4031"/>
    <w:rsid w:val="008A40AD"/>
    <w:rsid w:val="008A40EF"/>
    <w:rsid w:val="008A4274"/>
    <w:rsid w:val="008A4372"/>
    <w:rsid w:val="008A43EE"/>
    <w:rsid w:val="008A44F1"/>
    <w:rsid w:val="008A4556"/>
    <w:rsid w:val="008A4653"/>
    <w:rsid w:val="008A46E0"/>
    <w:rsid w:val="008A4885"/>
    <w:rsid w:val="008A4B30"/>
    <w:rsid w:val="008A50B6"/>
    <w:rsid w:val="008A5296"/>
    <w:rsid w:val="008A54F8"/>
    <w:rsid w:val="008A57C8"/>
    <w:rsid w:val="008A5E0F"/>
    <w:rsid w:val="008A5E94"/>
    <w:rsid w:val="008A610D"/>
    <w:rsid w:val="008A62FE"/>
    <w:rsid w:val="008A6696"/>
    <w:rsid w:val="008A66D5"/>
    <w:rsid w:val="008A6E6E"/>
    <w:rsid w:val="008A73A5"/>
    <w:rsid w:val="008A7552"/>
    <w:rsid w:val="008A756B"/>
    <w:rsid w:val="008A76C4"/>
    <w:rsid w:val="008A76E2"/>
    <w:rsid w:val="008A78D1"/>
    <w:rsid w:val="008A7AA0"/>
    <w:rsid w:val="008A7DEF"/>
    <w:rsid w:val="008B0028"/>
    <w:rsid w:val="008B0104"/>
    <w:rsid w:val="008B013A"/>
    <w:rsid w:val="008B0171"/>
    <w:rsid w:val="008B0472"/>
    <w:rsid w:val="008B0552"/>
    <w:rsid w:val="008B0559"/>
    <w:rsid w:val="008B05BF"/>
    <w:rsid w:val="008B0A60"/>
    <w:rsid w:val="008B0CE6"/>
    <w:rsid w:val="008B14CF"/>
    <w:rsid w:val="008B18F3"/>
    <w:rsid w:val="008B1A6B"/>
    <w:rsid w:val="008B20F6"/>
    <w:rsid w:val="008B2324"/>
    <w:rsid w:val="008B2406"/>
    <w:rsid w:val="008B25AB"/>
    <w:rsid w:val="008B264F"/>
    <w:rsid w:val="008B26C8"/>
    <w:rsid w:val="008B27E9"/>
    <w:rsid w:val="008B2889"/>
    <w:rsid w:val="008B28AA"/>
    <w:rsid w:val="008B2E12"/>
    <w:rsid w:val="008B2EA6"/>
    <w:rsid w:val="008B36C6"/>
    <w:rsid w:val="008B3783"/>
    <w:rsid w:val="008B37BA"/>
    <w:rsid w:val="008B380C"/>
    <w:rsid w:val="008B41C4"/>
    <w:rsid w:val="008B42F7"/>
    <w:rsid w:val="008B43FF"/>
    <w:rsid w:val="008B497D"/>
    <w:rsid w:val="008B4DF0"/>
    <w:rsid w:val="008B4E2D"/>
    <w:rsid w:val="008B51C9"/>
    <w:rsid w:val="008B5D05"/>
    <w:rsid w:val="008B5ED7"/>
    <w:rsid w:val="008B619E"/>
    <w:rsid w:val="008B6593"/>
    <w:rsid w:val="008B6900"/>
    <w:rsid w:val="008B6C71"/>
    <w:rsid w:val="008B6CF8"/>
    <w:rsid w:val="008B6E39"/>
    <w:rsid w:val="008B71D4"/>
    <w:rsid w:val="008B738A"/>
    <w:rsid w:val="008B73D6"/>
    <w:rsid w:val="008B76B1"/>
    <w:rsid w:val="008B792C"/>
    <w:rsid w:val="008B7A58"/>
    <w:rsid w:val="008B7CAA"/>
    <w:rsid w:val="008C0172"/>
    <w:rsid w:val="008C037D"/>
    <w:rsid w:val="008C05C3"/>
    <w:rsid w:val="008C0615"/>
    <w:rsid w:val="008C087C"/>
    <w:rsid w:val="008C08CA"/>
    <w:rsid w:val="008C0AB4"/>
    <w:rsid w:val="008C0B36"/>
    <w:rsid w:val="008C0B38"/>
    <w:rsid w:val="008C0B5C"/>
    <w:rsid w:val="008C1226"/>
    <w:rsid w:val="008C14AE"/>
    <w:rsid w:val="008C1935"/>
    <w:rsid w:val="008C1DE2"/>
    <w:rsid w:val="008C1FD0"/>
    <w:rsid w:val="008C1FE7"/>
    <w:rsid w:val="008C21C8"/>
    <w:rsid w:val="008C24F2"/>
    <w:rsid w:val="008C295C"/>
    <w:rsid w:val="008C2B74"/>
    <w:rsid w:val="008C2D5E"/>
    <w:rsid w:val="008C2E99"/>
    <w:rsid w:val="008C2F39"/>
    <w:rsid w:val="008C30B7"/>
    <w:rsid w:val="008C3325"/>
    <w:rsid w:val="008C351B"/>
    <w:rsid w:val="008C3552"/>
    <w:rsid w:val="008C3578"/>
    <w:rsid w:val="008C388E"/>
    <w:rsid w:val="008C3C84"/>
    <w:rsid w:val="008C3D62"/>
    <w:rsid w:val="008C4342"/>
    <w:rsid w:val="008C4356"/>
    <w:rsid w:val="008C4825"/>
    <w:rsid w:val="008C4A6B"/>
    <w:rsid w:val="008C51B9"/>
    <w:rsid w:val="008C51BA"/>
    <w:rsid w:val="008C542B"/>
    <w:rsid w:val="008C5603"/>
    <w:rsid w:val="008C57D1"/>
    <w:rsid w:val="008C5A1E"/>
    <w:rsid w:val="008C5AD5"/>
    <w:rsid w:val="008C5D0C"/>
    <w:rsid w:val="008C5DDD"/>
    <w:rsid w:val="008C5DE2"/>
    <w:rsid w:val="008C5E8E"/>
    <w:rsid w:val="008C6279"/>
    <w:rsid w:val="008C65FD"/>
    <w:rsid w:val="008C6ED6"/>
    <w:rsid w:val="008C71B0"/>
    <w:rsid w:val="008C7347"/>
    <w:rsid w:val="008C736A"/>
    <w:rsid w:val="008C73DD"/>
    <w:rsid w:val="008C74AE"/>
    <w:rsid w:val="008C74DE"/>
    <w:rsid w:val="008C78FE"/>
    <w:rsid w:val="008C79E2"/>
    <w:rsid w:val="008C7D8F"/>
    <w:rsid w:val="008C7F71"/>
    <w:rsid w:val="008D0147"/>
    <w:rsid w:val="008D0323"/>
    <w:rsid w:val="008D03F0"/>
    <w:rsid w:val="008D05FF"/>
    <w:rsid w:val="008D0E7E"/>
    <w:rsid w:val="008D0F2E"/>
    <w:rsid w:val="008D14F9"/>
    <w:rsid w:val="008D15FF"/>
    <w:rsid w:val="008D1747"/>
    <w:rsid w:val="008D1CD0"/>
    <w:rsid w:val="008D1E2B"/>
    <w:rsid w:val="008D2033"/>
    <w:rsid w:val="008D204F"/>
    <w:rsid w:val="008D2055"/>
    <w:rsid w:val="008D2450"/>
    <w:rsid w:val="008D288E"/>
    <w:rsid w:val="008D2A6F"/>
    <w:rsid w:val="008D2F7E"/>
    <w:rsid w:val="008D3198"/>
    <w:rsid w:val="008D35A3"/>
    <w:rsid w:val="008D38C4"/>
    <w:rsid w:val="008D3ACA"/>
    <w:rsid w:val="008D3B10"/>
    <w:rsid w:val="008D3B15"/>
    <w:rsid w:val="008D42C5"/>
    <w:rsid w:val="008D4377"/>
    <w:rsid w:val="008D46CE"/>
    <w:rsid w:val="008D4D64"/>
    <w:rsid w:val="008D4F0F"/>
    <w:rsid w:val="008D509E"/>
    <w:rsid w:val="008D5728"/>
    <w:rsid w:val="008D5804"/>
    <w:rsid w:val="008D5BC2"/>
    <w:rsid w:val="008D5C13"/>
    <w:rsid w:val="008D5CB9"/>
    <w:rsid w:val="008D5F13"/>
    <w:rsid w:val="008D61B7"/>
    <w:rsid w:val="008D6337"/>
    <w:rsid w:val="008D6454"/>
    <w:rsid w:val="008D64CB"/>
    <w:rsid w:val="008D6792"/>
    <w:rsid w:val="008D6899"/>
    <w:rsid w:val="008D68A6"/>
    <w:rsid w:val="008D69BC"/>
    <w:rsid w:val="008D6EE6"/>
    <w:rsid w:val="008D6F31"/>
    <w:rsid w:val="008D7104"/>
    <w:rsid w:val="008D7177"/>
    <w:rsid w:val="008D7251"/>
    <w:rsid w:val="008D7330"/>
    <w:rsid w:val="008D76E7"/>
    <w:rsid w:val="008D7830"/>
    <w:rsid w:val="008D798D"/>
    <w:rsid w:val="008D7E3B"/>
    <w:rsid w:val="008D7FA6"/>
    <w:rsid w:val="008E07F5"/>
    <w:rsid w:val="008E08D6"/>
    <w:rsid w:val="008E0BE6"/>
    <w:rsid w:val="008E1079"/>
    <w:rsid w:val="008E11B4"/>
    <w:rsid w:val="008E1914"/>
    <w:rsid w:val="008E1E41"/>
    <w:rsid w:val="008E1E89"/>
    <w:rsid w:val="008E2068"/>
    <w:rsid w:val="008E2213"/>
    <w:rsid w:val="008E23C7"/>
    <w:rsid w:val="008E26D9"/>
    <w:rsid w:val="008E3505"/>
    <w:rsid w:val="008E3BF4"/>
    <w:rsid w:val="008E3D9E"/>
    <w:rsid w:val="008E45D5"/>
    <w:rsid w:val="008E48A9"/>
    <w:rsid w:val="008E4BCB"/>
    <w:rsid w:val="008E4D25"/>
    <w:rsid w:val="008E4F5A"/>
    <w:rsid w:val="008E5A16"/>
    <w:rsid w:val="008E5C5A"/>
    <w:rsid w:val="008E5EEF"/>
    <w:rsid w:val="008E6268"/>
    <w:rsid w:val="008E638F"/>
    <w:rsid w:val="008E672F"/>
    <w:rsid w:val="008E6752"/>
    <w:rsid w:val="008E6888"/>
    <w:rsid w:val="008E68B5"/>
    <w:rsid w:val="008E6D07"/>
    <w:rsid w:val="008E70E9"/>
    <w:rsid w:val="008E7332"/>
    <w:rsid w:val="008E795A"/>
    <w:rsid w:val="008E7BD9"/>
    <w:rsid w:val="008E7CD5"/>
    <w:rsid w:val="008E7F14"/>
    <w:rsid w:val="008F0230"/>
    <w:rsid w:val="008F0326"/>
    <w:rsid w:val="008F0B47"/>
    <w:rsid w:val="008F0C90"/>
    <w:rsid w:val="008F0E4C"/>
    <w:rsid w:val="008F0E8D"/>
    <w:rsid w:val="008F1086"/>
    <w:rsid w:val="008F15D7"/>
    <w:rsid w:val="008F1D16"/>
    <w:rsid w:val="008F219B"/>
    <w:rsid w:val="008F21B0"/>
    <w:rsid w:val="008F26A5"/>
    <w:rsid w:val="008F2749"/>
    <w:rsid w:val="008F2821"/>
    <w:rsid w:val="008F28FA"/>
    <w:rsid w:val="008F2F72"/>
    <w:rsid w:val="008F30A7"/>
    <w:rsid w:val="008F3229"/>
    <w:rsid w:val="008F34A4"/>
    <w:rsid w:val="008F374F"/>
    <w:rsid w:val="008F4376"/>
    <w:rsid w:val="008F47C9"/>
    <w:rsid w:val="008F4D50"/>
    <w:rsid w:val="008F4F84"/>
    <w:rsid w:val="008F50F8"/>
    <w:rsid w:val="008F5522"/>
    <w:rsid w:val="008F5684"/>
    <w:rsid w:val="008F5845"/>
    <w:rsid w:val="008F5BD9"/>
    <w:rsid w:val="008F5BFF"/>
    <w:rsid w:val="008F5D3F"/>
    <w:rsid w:val="008F6177"/>
    <w:rsid w:val="008F629F"/>
    <w:rsid w:val="008F68A7"/>
    <w:rsid w:val="008F69F2"/>
    <w:rsid w:val="008F69FA"/>
    <w:rsid w:val="008F6A11"/>
    <w:rsid w:val="008F6C6A"/>
    <w:rsid w:val="008F72D2"/>
    <w:rsid w:val="008F73CD"/>
    <w:rsid w:val="008F74CE"/>
    <w:rsid w:val="008F7544"/>
    <w:rsid w:val="008F78D6"/>
    <w:rsid w:val="008F79AC"/>
    <w:rsid w:val="008F7BF6"/>
    <w:rsid w:val="008F7E87"/>
    <w:rsid w:val="009001C8"/>
    <w:rsid w:val="00900623"/>
    <w:rsid w:val="00900656"/>
    <w:rsid w:val="00900998"/>
    <w:rsid w:val="00900A35"/>
    <w:rsid w:val="00900B9C"/>
    <w:rsid w:val="00900CAE"/>
    <w:rsid w:val="00900D2B"/>
    <w:rsid w:val="00900F4A"/>
    <w:rsid w:val="00901271"/>
    <w:rsid w:val="009016CD"/>
    <w:rsid w:val="009016F9"/>
    <w:rsid w:val="0090172E"/>
    <w:rsid w:val="00901B85"/>
    <w:rsid w:val="00901F1D"/>
    <w:rsid w:val="00902004"/>
    <w:rsid w:val="00902015"/>
    <w:rsid w:val="0090240D"/>
    <w:rsid w:val="0090245C"/>
    <w:rsid w:val="0090250F"/>
    <w:rsid w:val="00902909"/>
    <w:rsid w:val="00902B80"/>
    <w:rsid w:val="00902C8B"/>
    <w:rsid w:val="00902D5C"/>
    <w:rsid w:val="00902F12"/>
    <w:rsid w:val="00902F59"/>
    <w:rsid w:val="0090307F"/>
    <w:rsid w:val="009031F4"/>
    <w:rsid w:val="00903284"/>
    <w:rsid w:val="009033FA"/>
    <w:rsid w:val="009034B7"/>
    <w:rsid w:val="0090372C"/>
    <w:rsid w:val="009038EA"/>
    <w:rsid w:val="00903D43"/>
    <w:rsid w:val="0090401D"/>
    <w:rsid w:val="00904296"/>
    <w:rsid w:val="009043D6"/>
    <w:rsid w:val="009046FB"/>
    <w:rsid w:val="0090482F"/>
    <w:rsid w:val="009048ED"/>
    <w:rsid w:val="00904BE7"/>
    <w:rsid w:val="00905069"/>
    <w:rsid w:val="00905183"/>
    <w:rsid w:val="00905504"/>
    <w:rsid w:val="00905601"/>
    <w:rsid w:val="00905865"/>
    <w:rsid w:val="00905C10"/>
    <w:rsid w:val="00906131"/>
    <w:rsid w:val="009062D2"/>
    <w:rsid w:val="00906736"/>
    <w:rsid w:val="009067BC"/>
    <w:rsid w:val="0090691F"/>
    <w:rsid w:val="00906940"/>
    <w:rsid w:val="00906D64"/>
    <w:rsid w:val="00906F88"/>
    <w:rsid w:val="00907054"/>
    <w:rsid w:val="009071A6"/>
    <w:rsid w:val="0090788E"/>
    <w:rsid w:val="00907B11"/>
    <w:rsid w:val="00907ECC"/>
    <w:rsid w:val="0091034A"/>
    <w:rsid w:val="00910AE7"/>
    <w:rsid w:val="00910C8D"/>
    <w:rsid w:val="00910D4C"/>
    <w:rsid w:val="00911344"/>
    <w:rsid w:val="009115BD"/>
    <w:rsid w:val="0091168E"/>
    <w:rsid w:val="00911BF0"/>
    <w:rsid w:val="00911DCC"/>
    <w:rsid w:val="00912147"/>
    <w:rsid w:val="00912151"/>
    <w:rsid w:val="009125FF"/>
    <w:rsid w:val="009127F9"/>
    <w:rsid w:val="009127FE"/>
    <w:rsid w:val="00912A94"/>
    <w:rsid w:val="00913070"/>
    <w:rsid w:val="0091316D"/>
    <w:rsid w:val="009133CD"/>
    <w:rsid w:val="009133F9"/>
    <w:rsid w:val="0091364E"/>
    <w:rsid w:val="0091386B"/>
    <w:rsid w:val="00913B92"/>
    <w:rsid w:val="00913DC9"/>
    <w:rsid w:val="00913F79"/>
    <w:rsid w:val="00913FA8"/>
    <w:rsid w:val="009140D1"/>
    <w:rsid w:val="0091438A"/>
    <w:rsid w:val="009144B7"/>
    <w:rsid w:val="00914572"/>
    <w:rsid w:val="00914626"/>
    <w:rsid w:val="00914649"/>
    <w:rsid w:val="00914E65"/>
    <w:rsid w:val="00914EAD"/>
    <w:rsid w:val="00915812"/>
    <w:rsid w:val="009159BB"/>
    <w:rsid w:val="00915A4A"/>
    <w:rsid w:val="00915BB8"/>
    <w:rsid w:val="0091621B"/>
    <w:rsid w:val="00916241"/>
    <w:rsid w:val="00916836"/>
    <w:rsid w:val="0091683D"/>
    <w:rsid w:val="00916A90"/>
    <w:rsid w:val="00916AEC"/>
    <w:rsid w:val="00916B27"/>
    <w:rsid w:val="009171D5"/>
    <w:rsid w:val="0091780F"/>
    <w:rsid w:val="00920028"/>
    <w:rsid w:val="00920368"/>
    <w:rsid w:val="00920736"/>
    <w:rsid w:val="0092077B"/>
    <w:rsid w:val="00920831"/>
    <w:rsid w:val="0092084C"/>
    <w:rsid w:val="00921316"/>
    <w:rsid w:val="00921430"/>
    <w:rsid w:val="009214F7"/>
    <w:rsid w:val="009215F7"/>
    <w:rsid w:val="00921743"/>
    <w:rsid w:val="00921AFA"/>
    <w:rsid w:val="00921CCD"/>
    <w:rsid w:val="00922200"/>
    <w:rsid w:val="0092277B"/>
    <w:rsid w:val="009227E1"/>
    <w:rsid w:val="00922E86"/>
    <w:rsid w:val="009235AA"/>
    <w:rsid w:val="0092360A"/>
    <w:rsid w:val="009236F1"/>
    <w:rsid w:val="00923729"/>
    <w:rsid w:val="009239BD"/>
    <w:rsid w:val="00923A03"/>
    <w:rsid w:val="00923EFD"/>
    <w:rsid w:val="00923F9D"/>
    <w:rsid w:val="00924311"/>
    <w:rsid w:val="009243CD"/>
    <w:rsid w:val="00924865"/>
    <w:rsid w:val="00924B5D"/>
    <w:rsid w:val="009253AB"/>
    <w:rsid w:val="009254C9"/>
    <w:rsid w:val="009257D8"/>
    <w:rsid w:val="00925ABF"/>
    <w:rsid w:val="00925C83"/>
    <w:rsid w:val="00925EC4"/>
    <w:rsid w:val="009261D1"/>
    <w:rsid w:val="009263E6"/>
    <w:rsid w:val="00926AEE"/>
    <w:rsid w:val="00927086"/>
    <w:rsid w:val="009271EA"/>
    <w:rsid w:val="0092723E"/>
    <w:rsid w:val="0092748D"/>
    <w:rsid w:val="00927921"/>
    <w:rsid w:val="00927B56"/>
    <w:rsid w:val="00927B5F"/>
    <w:rsid w:val="00927FDD"/>
    <w:rsid w:val="009300B4"/>
    <w:rsid w:val="009300F7"/>
    <w:rsid w:val="00930165"/>
    <w:rsid w:val="009304F4"/>
    <w:rsid w:val="00930529"/>
    <w:rsid w:val="00930919"/>
    <w:rsid w:val="00930A95"/>
    <w:rsid w:val="00930ABC"/>
    <w:rsid w:val="00930C47"/>
    <w:rsid w:val="00931163"/>
    <w:rsid w:val="0093124A"/>
    <w:rsid w:val="009313F3"/>
    <w:rsid w:val="0093158F"/>
    <w:rsid w:val="009316AE"/>
    <w:rsid w:val="0093170E"/>
    <w:rsid w:val="00931836"/>
    <w:rsid w:val="00931885"/>
    <w:rsid w:val="00931BB8"/>
    <w:rsid w:val="00931E5E"/>
    <w:rsid w:val="009322B7"/>
    <w:rsid w:val="00932488"/>
    <w:rsid w:val="0093285F"/>
    <w:rsid w:val="00932961"/>
    <w:rsid w:val="00932D38"/>
    <w:rsid w:val="00932F17"/>
    <w:rsid w:val="009330F0"/>
    <w:rsid w:val="00933144"/>
    <w:rsid w:val="00933194"/>
    <w:rsid w:val="00933248"/>
    <w:rsid w:val="0093329B"/>
    <w:rsid w:val="009333B9"/>
    <w:rsid w:val="009334C2"/>
    <w:rsid w:val="0093358D"/>
    <w:rsid w:val="00933996"/>
    <w:rsid w:val="00933A07"/>
    <w:rsid w:val="00933C4B"/>
    <w:rsid w:val="00933D7C"/>
    <w:rsid w:val="00933E3D"/>
    <w:rsid w:val="00933F93"/>
    <w:rsid w:val="0093401E"/>
    <w:rsid w:val="00934232"/>
    <w:rsid w:val="0093470D"/>
    <w:rsid w:val="009347A1"/>
    <w:rsid w:val="009347ED"/>
    <w:rsid w:val="00934B49"/>
    <w:rsid w:val="00934EFE"/>
    <w:rsid w:val="009353CC"/>
    <w:rsid w:val="0093540D"/>
    <w:rsid w:val="0093580E"/>
    <w:rsid w:val="0093590E"/>
    <w:rsid w:val="00935C2C"/>
    <w:rsid w:val="00935CCE"/>
    <w:rsid w:val="00935D27"/>
    <w:rsid w:val="00935E28"/>
    <w:rsid w:val="00935E54"/>
    <w:rsid w:val="009368F9"/>
    <w:rsid w:val="00936B77"/>
    <w:rsid w:val="00936D9D"/>
    <w:rsid w:val="00936F7F"/>
    <w:rsid w:val="00937028"/>
    <w:rsid w:val="009370FD"/>
    <w:rsid w:val="0094004B"/>
    <w:rsid w:val="0094059C"/>
    <w:rsid w:val="00940BBF"/>
    <w:rsid w:val="00941263"/>
    <w:rsid w:val="009412B6"/>
    <w:rsid w:val="00941391"/>
    <w:rsid w:val="0094176D"/>
    <w:rsid w:val="00941A90"/>
    <w:rsid w:val="00941B6A"/>
    <w:rsid w:val="00941E0A"/>
    <w:rsid w:val="00941E31"/>
    <w:rsid w:val="00941FC2"/>
    <w:rsid w:val="00942643"/>
    <w:rsid w:val="009426B0"/>
    <w:rsid w:val="00942731"/>
    <w:rsid w:val="009427B0"/>
    <w:rsid w:val="009428A8"/>
    <w:rsid w:val="00942D6B"/>
    <w:rsid w:val="00942E54"/>
    <w:rsid w:val="00942FD5"/>
    <w:rsid w:val="00943091"/>
    <w:rsid w:val="009431AA"/>
    <w:rsid w:val="0094338A"/>
    <w:rsid w:val="00943455"/>
    <w:rsid w:val="009438E9"/>
    <w:rsid w:val="00943A8B"/>
    <w:rsid w:val="00943C81"/>
    <w:rsid w:val="009444A2"/>
    <w:rsid w:val="0094457C"/>
    <w:rsid w:val="009447AB"/>
    <w:rsid w:val="00944ADE"/>
    <w:rsid w:val="00944EA2"/>
    <w:rsid w:val="0094505B"/>
    <w:rsid w:val="009452CC"/>
    <w:rsid w:val="00945814"/>
    <w:rsid w:val="00945E57"/>
    <w:rsid w:val="0094613C"/>
    <w:rsid w:val="0094629D"/>
    <w:rsid w:val="00946669"/>
    <w:rsid w:val="009466CF"/>
    <w:rsid w:val="00946AB0"/>
    <w:rsid w:val="00946EA3"/>
    <w:rsid w:val="00947247"/>
    <w:rsid w:val="009475C4"/>
    <w:rsid w:val="00947620"/>
    <w:rsid w:val="00947A6C"/>
    <w:rsid w:val="00947C39"/>
    <w:rsid w:val="00950066"/>
    <w:rsid w:val="009502C9"/>
    <w:rsid w:val="00950425"/>
    <w:rsid w:val="00950872"/>
    <w:rsid w:val="009508EB"/>
    <w:rsid w:val="00950EF5"/>
    <w:rsid w:val="00951285"/>
    <w:rsid w:val="009514E3"/>
    <w:rsid w:val="009519F8"/>
    <w:rsid w:val="00951B18"/>
    <w:rsid w:val="00951C88"/>
    <w:rsid w:val="009520A8"/>
    <w:rsid w:val="009522CA"/>
    <w:rsid w:val="009524A2"/>
    <w:rsid w:val="0095262E"/>
    <w:rsid w:val="0095270A"/>
    <w:rsid w:val="0095275B"/>
    <w:rsid w:val="00952855"/>
    <w:rsid w:val="00952AD1"/>
    <w:rsid w:val="00952DAC"/>
    <w:rsid w:val="009535FF"/>
    <w:rsid w:val="00953AB1"/>
    <w:rsid w:val="00953C07"/>
    <w:rsid w:val="00953E54"/>
    <w:rsid w:val="00953E5E"/>
    <w:rsid w:val="0095400D"/>
    <w:rsid w:val="00954099"/>
    <w:rsid w:val="009540D9"/>
    <w:rsid w:val="009542F9"/>
    <w:rsid w:val="009546F5"/>
    <w:rsid w:val="009547E2"/>
    <w:rsid w:val="00954E38"/>
    <w:rsid w:val="00954E49"/>
    <w:rsid w:val="0095507E"/>
    <w:rsid w:val="009550A1"/>
    <w:rsid w:val="009555CD"/>
    <w:rsid w:val="009558EF"/>
    <w:rsid w:val="00955906"/>
    <w:rsid w:val="00955C10"/>
    <w:rsid w:val="00955EED"/>
    <w:rsid w:val="009561D1"/>
    <w:rsid w:val="009561DA"/>
    <w:rsid w:val="00956813"/>
    <w:rsid w:val="00956990"/>
    <w:rsid w:val="00956A54"/>
    <w:rsid w:val="00956AEC"/>
    <w:rsid w:val="009570C2"/>
    <w:rsid w:val="00957CE3"/>
    <w:rsid w:val="00957D7F"/>
    <w:rsid w:val="00957EED"/>
    <w:rsid w:val="00957F2E"/>
    <w:rsid w:val="00960298"/>
    <w:rsid w:val="009607CA"/>
    <w:rsid w:val="00960899"/>
    <w:rsid w:val="00960916"/>
    <w:rsid w:val="00960A11"/>
    <w:rsid w:val="00960A7C"/>
    <w:rsid w:val="00960C1D"/>
    <w:rsid w:val="00961115"/>
    <w:rsid w:val="009615D7"/>
    <w:rsid w:val="009617CD"/>
    <w:rsid w:val="00961826"/>
    <w:rsid w:val="00961B2A"/>
    <w:rsid w:val="00961BFD"/>
    <w:rsid w:val="00961D94"/>
    <w:rsid w:val="00961D97"/>
    <w:rsid w:val="00962724"/>
    <w:rsid w:val="009627B4"/>
    <w:rsid w:val="009627F1"/>
    <w:rsid w:val="009628DB"/>
    <w:rsid w:val="00962E07"/>
    <w:rsid w:val="00962FD7"/>
    <w:rsid w:val="0096302E"/>
    <w:rsid w:val="009632BD"/>
    <w:rsid w:val="009634F6"/>
    <w:rsid w:val="00963567"/>
    <w:rsid w:val="00963634"/>
    <w:rsid w:val="00963924"/>
    <w:rsid w:val="00963A73"/>
    <w:rsid w:val="009643BC"/>
    <w:rsid w:val="00964540"/>
    <w:rsid w:val="00964803"/>
    <w:rsid w:val="00964C9C"/>
    <w:rsid w:val="00964CC9"/>
    <w:rsid w:val="00964F38"/>
    <w:rsid w:val="0096564A"/>
    <w:rsid w:val="00965C8E"/>
    <w:rsid w:val="00965D54"/>
    <w:rsid w:val="00965E1E"/>
    <w:rsid w:val="00965E5C"/>
    <w:rsid w:val="00965F78"/>
    <w:rsid w:val="00966026"/>
    <w:rsid w:val="0096605A"/>
    <w:rsid w:val="0096690C"/>
    <w:rsid w:val="00966AEC"/>
    <w:rsid w:val="00966F87"/>
    <w:rsid w:val="009671F0"/>
    <w:rsid w:val="00967448"/>
    <w:rsid w:val="009676D1"/>
    <w:rsid w:val="00967798"/>
    <w:rsid w:val="00967D9B"/>
    <w:rsid w:val="00970101"/>
    <w:rsid w:val="009707D0"/>
    <w:rsid w:val="00970A98"/>
    <w:rsid w:val="00970AEB"/>
    <w:rsid w:val="009713BA"/>
    <w:rsid w:val="00971463"/>
    <w:rsid w:val="0097171C"/>
    <w:rsid w:val="009717AE"/>
    <w:rsid w:val="00971DC4"/>
    <w:rsid w:val="00971FF5"/>
    <w:rsid w:val="0097223F"/>
    <w:rsid w:val="00972744"/>
    <w:rsid w:val="00972794"/>
    <w:rsid w:val="009729AD"/>
    <w:rsid w:val="00972AA0"/>
    <w:rsid w:val="00972B8F"/>
    <w:rsid w:val="009733A1"/>
    <w:rsid w:val="0097346C"/>
    <w:rsid w:val="009739D6"/>
    <w:rsid w:val="00973C60"/>
    <w:rsid w:val="00973DD3"/>
    <w:rsid w:val="00973EBC"/>
    <w:rsid w:val="0097424D"/>
    <w:rsid w:val="009742F0"/>
    <w:rsid w:val="00974697"/>
    <w:rsid w:val="00974BB3"/>
    <w:rsid w:val="00974C72"/>
    <w:rsid w:val="00974CFB"/>
    <w:rsid w:val="00974E8E"/>
    <w:rsid w:val="00974F28"/>
    <w:rsid w:val="00975CDA"/>
    <w:rsid w:val="00976122"/>
    <w:rsid w:val="009765EC"/>
    <w:rsid w:val="009766A8"/>
    <w:rsid w:val="009768B6"/>
    <w:rsid w:val="0097696C"/>
    <w:rsid w:val="00976C8D"/>
    <w:rsid w:val="00976D24"/>
    <w:rsid w:val="009771F3"/>
    <w:rsid w:val="00977C1F"/>
    <w:rsid w:val="00977F2B"/>
    <w:rsid w:val="009802A6"/>
    <w:rsid w:val="009802D8"/>
    <w:rsid w:val="00980E65"/>
    <w:rsid w:val="00980F79"/>
    <w:rsid w:val="009810A3"/>
    <w:rsid w:val="0098189D"/>
    <w:rsid w:val="00981955"/>
    <w:rsid w:val="00981B31"/>
    <w:rsid w:val="00981C04"/>
    <w:rsid w:val="00981E12"/>
    <w:rsid w:val="00982681"/>
    <w:rsid w:val="00982C82"/>
    <w:rsid w:val="00982F91"/>
    <w:rsid w:val="00983307"/>
    <w:rsid w:val="009834BB"/>
    <w:rsid w:val="00983658"/>
    <w:rsid w:val="0098399D"/>
    <w:rsid w:val="00983C0F"/>
    <w:rsid w:val="00983CB9"/>
    <w:rsid w:val="00983F51"/>
    <w:rsid w:val="00983F8F"/>
    <w:rsid w:val="009840DD"/>
    <w:rsid w:val="009841E0"/>
    <w:rsid w:val="0098481F"/>
    <w:rsid w:val="00984A20"/>
    <w:rsid w:val="009850F0"/>
    <w:rsid w:val="00985106"/>
    <w:rsid w:val="0098538F"/>
    <w:rsid w:val="0098570B"/>
    <w:rsid w:val="0098583A"/>
    <w:rsid w:val="00985874"/>
    <w:rsid w:val="00985E15"/>
    <w:rsid w:val="0098608E"/>
    <w:rsid w:val="00986213"/>
    <w:rsid w:val="009869E0"/>
    <w:rsid w:val="00986DD9"/>
    <w:rsid w:val="0098703C"/>
    <w:rsid w:val="009875F8"/>
    <w:rsid w:val="00987606"/>
    <w:rsid w:val="00987CC0"/>
    <w:rsid w:val="00987E38"/>
    <w:rsid w:val="00987E4B"/>
    <w:rsid w:val="00987F21"/>
    <w:rsid w:val="009900CD"/>
    <w:rsid w:val="00990274"/>
    <w:rsid w:val="009904BB"/>
    <w:rsid w:val="00990735"/>
    <w:rsid w:val="00990C27"/>
    <w:rsid w:val="00990C85"/>
    <w:rsid w:val="00990F13"/>
    <w:rsid w:val="00990F8C"/>
    <w:rsid w:val="00990FF3"/>
    <w:rsid w:val="00991119"/>
    <w:rsid w:val="009912CA"/>
    <w:rsid w:val="00991A4C"/>
    <w:rsid w:val="00991A95"/>
    <w:rsid w:val="00991D92"/>
    <w:rsid w:val="009920F1"/>
    <w:rsid w:val="00992245"/>
    <w:rsid w:val="0099225C"/>
    <w:rsid w:val="0099269F"/>
    <w:rsid w:val="00992B78"/>
    <w:rsid w:val="00992BD9"/>
    <w:rsid w:val="00992DBD"/>
    <w:rsid w:val="00992E19"/>
    <w:rsid w:val="00993103"/>
    <w:rsid w:val="00993956"/>
    <w:rsid w:val="00993A61"/>
    <w:rsid w:val="00993C4F"/>
    <w:rsid w:val="00993E66"/>
    <w:rsid w:val="0099404A"/>
    <w:rsid w:val="00994519"/>
    <w:rsid w:val="00994785"/>
    <w:rsid w:val="00994B3A"/>
    <w:rsid w:val="00994E84"/>
    <w:rsid w:val="009950EF"/>
    <w:rsid w:val="00995179"/>
    <w:rsid w:val="009957E4"/>
    <w:rsid w:val="00995829"/>
    <w:rsid w:val="009959C7"/>
    <w:rsid w:val="00995CD7"/>
    <w:rsid w:val="00996023"/>
    <w:rsid w:val="00996456"/>
    <w:rsid w:val="00996B60"/>
    <w:rsid w:val="00996D66"/>
    <w:rsid w:val="00996DDC"/>
    <w:rsid w:val="00996FC2"/>
    <w:rsid w:val="00997079"/>
    <w:rsid w:val="009972F9"/>
    <w:rsid w:val="0099732C"/>
    <w:rsid w:val="009978FF"/>
    <w:rsid w:val="00997B24"/>
    <w:rsid w:val="00997D9D"/>
    <w:rsid w:val="00997DD5"/>
    <w:rsid w:val="009A073F"/>
    <w:rsid w:val="009A0AA7"/>
    <w:rsid w:val="009A1221"/>
    <w:rsid w:val="009A135D"/>
    <w:rsid w:val="009A1A81"/>
    <w:rsid w:val="009A1ABC"/>
    <w:rsid w:val="009A2040"/>
    <w:rsid w:val="009A20E8"/>
    <w:rsid w:val="009A2166"/>
    <w:rsid w:val="009A27B4"/>
    <w:rsid w:val="009A28E3"/>
    <w:rsid w:val="009A2AC6"/>
    <w:rsid w:val="009A2AEB"/>
    <w:rsid w:val="009A2D19"/>
    <w:rsid w:val="009A306C"/>
    <w:rsid w:val="009A3157"/>
    <w:rsid w:val="009A3165"/>
    <w:rsid w:val="009A3353"/>
    <w:rsid w:val="009A3656"/>
    <w:rsid w:val="009A36EC"/>
    <w:rsid w:val="009A386A"/>
    <w:rsid w:val="009A3A79"/>
    <w:rsid w:val="009A3DBF"/>
    <w:rsid w:val="009A3EBA"/>
    <w:rsid w:val="009A3F0D"/>
    <w:rsid w:val="009A4129"/>
    <w:rsid w:val="009A447C"/>
    <w:rsid w:val="009A497D"/>
    <w:rsid w:val="009A4C62"/>
    <w:rsid w:val="009A4E7C"/>
    <w:rsid w:val="009A4F02"/>
    <w:rsid w:val="009A5153"/>
    <w:rsid w:val="009A57AF"/>
    <w:rsid w:val="009A5D2C"/>
    <w:rsid w:val="009A60A5"/>
    <w:rsid w:val="009A61C1"/>
    <w:rsid w:val="009A677C"/>
    <w:rsid w:val="009A689A"/>
    <w:rsid w:val="009A6B24"/>
    <w:rsid w:val="009A7165"/>
    <w:rsid w:val="009A7264"/>
    <w:rsid w:val="009A7270"/>
    <w:rsid w:val="009A7624"/>
    <w:rsid w:val="009A7761"/>
    <w:rsid w:val="009A7B02"/>
    <w:rsid w:val="009A7CE1"/>
    <w:rsid w:val="009A7E92"/>
    <w:rsid w:val="009A7EE3"/>
    <w:rsid w:val="009B0032"/>
    <w:rsid w:val="009B0371"/>
    <w:rsid w:val="009B0438"/>
    <w:rsid w:val="009B050C"/>
    <w:rsid w:val="009B0855"/>
    <w:rsid w:val="009B0946"/>
    <w:rsid w:val="009B0AA1"/>
    <w:rsid w:val="009B0E14"/>
    <w:rsid w:val="009B1164"/>
    <w:rsid w:val="009B13B3"/>
    <w:rsid w:val="009B1812"/>
    <w:rsid w:val="009B1B61"/>
    <w:rsid w:val="009B1DC1"/>
    <w:rsid w:val="009B220F"/>
    <w:rsid w:val="009B237B"/>
    <w:rsid w:val="009B23E4"/>
    <w:rsid w:val="009B2468"/>
    <w:rsid w:val="009B2D1A"/>
    <w:rsid w:val="009B2F24"/>
    <w:rsid w:val="009B2FB1"/>
    <w:rsid w:val="009B32B1"/>
    <w:rsid w:val="009B33A4"/>
    <w:rsid w:val="009B398B"/>
    <w:rsid w:val="009B39F6"/>
    <w:rsid w:val="009B3B3F"/>
    <w:rsid w:val="009B3D1D"/>
    <w:rsid w:val="009B3DA7"/>
    <w:rsid w:val="009B3DFB"/>
    <w:rsid w:val="009B3E94"/>
    <w:rsid w:val="009B4004"/>
    <w:rsid w:val="009B43DA"/>
    <w:rsid w:val="009B44BE"/>
    <w:rsid w:val="009B47CE"/>
    <w:rsid w:val="009B48C3"/>
    <w:rsid w:val="009B5117"/>
    <w:rsid w:val="009B53CF"/>
    <w:rsid w:val="009B5C7C"/>
    <w:rsid w:val="009B5D90"/>
    <w:rsid w:val="009B61D3"/>
    <w:rsid w:val="009B6482"/>
    <w:rsid w:val="009B6490"/>
    <w:rsid w:val="009B6554"/>
    <w:rsid w:val="009B656F"/>
    <w:rsid w:val="009B6AAE"/>
    <w:rsid w:val="009B6BFD"/>
    <w:rsid w:val="009B6CC1"/>
    <w:rsid w:val="009B6F71"/>
    <w:rsid w:val="009B7038"/>
    <w:rsid w:val="009B706E"/>
    <w:rsid w:val="009B7719"/>
    <w:rsid w:val="009B7B5B"/>
    <w:rsid w:val="009B7CC3"/>
    <w:rsid w:val="009B7CEF"/>
    <w:rsid w:val="009B7FB4"/>
    <w:rsid w:val="009C012F"/>
    <w:rsid w:val="009C03C0"/>
    <w:rsid w:val="009C06D8"/>
    <w:rsid w:val="009C0929"/>
    <w:rsid w:val="009C0CB4"/>
    <w:rsid w:val="009C16D5"/>
    <w:rsid w:val="009C188A"/>
    <w:rsid w:val="009C1F75"/>
    <w:rsid w:val="009C20FF"/>
    <w:rsid w:val="009C2462"/>
    <w:rsid w:val="009C2687"/>
    <w:rsid w:val="009C2A71"/>
    <w:rsid w:val="009C2A94"/>
    <w:rsid w:val="009C2ABC"/>
    <w:rsid w:val="009C3125"/>
    <w:rsid w:val="009C3278"/>
    <w:rsid w:val="009C337B"/>
    <w:rsid w:val="009C3484"/>
    <w:rsid w:val="009C34F8"/>
    <w:rsid w:val="009C35EA"/>
    <w:rsid w:val="009C37EA"/>
    <w:rsid w:val="009C3AE6"/>
    <w:rsid w:val="009C3CEB"/>
    <w:rsid w:val="009C3E91"/>
    <w:rsid w:val="009C4A1F"/>
    <w:rsid w:val="009C4DA3"/>
    <w:rsid w:val="009C5AC1"/>
    <w:rsid w:val="009C5DD3"/>
    <w:rsid w:val="009C5F40"/>
    <w:rsid w:val="009C6020"/>
    <w:rsid w:val="009C61B2"/>
    <w:rsid w:val="009C61BD"/>
    <w:rsid w:val="009C6627"/>
    <w:rsid w:val="009C687B"/>
    <w:rsid w:val="009C6984"/>
    <w:rsid w:val="009C6B86"/>
    <w:rsid w:val="009C6CA7"/>
    <w:rsid w:val="009C6CA8"/>
    <w:rsid w:val="009C7193"/>
    <w:rsid w:val="009C7432"/>
    <w:rsid w:val="009C7548"/>
    <w:rsid w:val="009C7719"/>
    <w:rsid w:val="009C79AB"/>
    <w:rsid w:val="009C79C7"/>
    <w:rsid w:val="009C7F74"/>
    <w:rsid w:val="009D03FD"/>
    <w:rsid w:val="009D0726"/>
    <w:rsid w:val="009D098D"/>
    <w:rsid w:val="009D0AD9"/>
    <w:rsid w:val="009D0CB1"/>
    <w:rsid w:val="009D0D8A"/>
    <w:rsid w:val="009D0F65"/>
    <w:rsid w:val="009D0FC5"/>
    <w:rsid w:val="009D10B7"/>
    <w:rsid w:val="009D1395"/>
    <w:rsid w:val="009D16E9"/>
    <w:rsid w:val="009D1776"/>
    <w:rsid w:val="009D1F00"/>
    <w:rsid w:val="009D22FE"/>
    <w:rsid w:val="009D23F4"/>
    <w:rsid w:val="009D2535"/>
    <w:rsid w:val="009D2538"/>
    <w:rsid w:val="009D29F4"/>
    <w:rsid w:val="009D2BAC"/>
    <w:rsid w:val="009D2C9B"/>
    <w:rsid w:val="009D3208"/>
    <w:rsid w:val="009D328E"/>
    <w:rsid w:val="009D3730"/>
    <w:rsid w:val="009D380C"/>
    <w:rsid w:val="009D3B03"/>
    <w:rsid w:val="009D3B41"/>
    <w:rsid w:val="009D3BB5"/>
    <w:rsid w:val="009D3FF6"/>
    <w:rsid w:val="009D42DA"/>
    <w:rsid w:val="009D4312"/>
    <w:rsid w:val="009D45C0"/>
    <w:rsid w:val="009D4AD8"/>
    <w:rsid w:val="009D4B90"/>
    <w:rsid w:val="009D4CD3"/>
    <w:rsid w:val="009D4F31"/>
    <w:rsid w:val="009D50AE"/>
    <w:rsid w:val="009D51E7"/>
    <w:rsid w:val="009D5442"/>
    <w:rsid w:val="009D5619"/>
    <w:rsid w:val="009D5BB7"/>
    <w:rsid w:val="009D5F22"/>
    <w:rsid w:val="009D60B4"/>
    <w:rsid w:val="009D6198"/>
    <w:rsid w:val="009D633F"/>
    <w:rsid w:val="009D6AAA"/>
    <w:rsid w:val="009D6C76"/>
    <w:rsid w:val="009D6D0E"/>
    <w:rsid w:val="009D6E00"/>
    <w:rsid w:val="009D70F9"/>
    <w:rsid w:val="009D74AB"/>
    <w:rsid w:val="009D753F"/>
    <w:rsid w:val="009D7646"/>
    <w:rsid w:val="009D768B"/>
    <w:rsid w:val="009D7A07"/>
    <w:rsid w:val="009D7E1D"/>
    <w:rsid w:val="009D7E5D"/>
    <w:rsid w:val="009D7F86"/>
    <w:rsid w:val="009E0139"/>
    <w:rsid w:val="009E06FD"/>
    <w:rsid w:val="009E0B6B"/>
    <w:rsid w:val="009E0BA8"/>
    <w:rsid w:val="009E0C5B"/>
    <w:rsid w:val="009E0CA2"/>
    <w:rsid w:val="009E0DCF"/>
    <w:rsid w:val="009E0E9C"/>
    <w:rsid w:val="009E0EB2"/>
    <w:rsid w:val="009E0FA0"/>
    <w:rsid w:val="009E1353"/>
    <w:rsid w:val="009E18D1"/>
    <w:rsid w:val="009E2123"/>
    <w:rsid w:val="009E212E"/>
    <w:rsid w:val="009E25C1"/>
    <w:rsid w:val="009E26A2"/>
    <w:rsid w:val="009E3AB6"/>
    <w:rsid w:val="009E3CF9"/>
    <w:rsid w:val="009E3E4A"/>
    <w:rsid w:val="009E44DB"/>
    <w:rsid w:val="009E454B"/>
    <w:rsid w:val="009E4681"/>
    <w:rsid w:val="009E48D1"/>
    <w:rsid w:val="009E49B0"/>
    <w:rsid w:val="009E4A22"/>
    <w:rsid w:val="009E4A26"/>
    <w:rsid w:val="009E4D59"/>
    <w:rsid w:val="009E4DCE"/>
    <w:rsid w:val="009E508C"/>
    <w:rsid w:val="009E512F"/>
    <w:rsid w:val="009E54B6"/>
    <w:rsid w:val="009E5545"/>
    <w:rsid w:val="009E5811"/>
    <w:rsid w:val="009E5943"/>
    <w:rsid w:val="009E5962"/>
    <w:rsid w:val="009E5A50"/>
    <w:rsid w:val="009E5A79"/>
    <w:rsid w:val="009E5B50"/>
    <w:rsid w:val="009E5CA4"/>
    <w:rsid w:val="009E5FD9"/>
    <w:rsid w:val="009E635D"/>
    <w:rsid w:val="009E6446"/>
    <w:rsid w:val="009E6A5F"/>
    <w:rsid w:val="009E6B07"/>
    <w:rsid w:val="009E6BF8"/>
    <w:rsid w:val="009E6F2A"/>
    <w:rsid w:val="009E72CC"/>
    <w:rsid w:val="009E7482"/>
    <w:rsid w:val="009E7622"/>
    <w:rsid w:val="009E79CF"/>
    <w:rsid w:val="009E7A42"/>
    <w:rsid w:val="009E7C82"/>
    <w:rsid w:val="009E7D75"/>
    <w:rsid w:val="009E7E1E"/>
    <w:rsid w:val="009E7E8A"/>
    <w:rsid w:val="009E7FAD"/>
    <w:rsid w:val="009F00D4"/>
    <w:rsid w:val="009F01E8"/>
    <w:rsid w:val="009F0493"/>
    <w:rsid w:val="009F04AF"/>
    <w:rsid w:val="009F050D"/>
    <w:rsid w:val="009F06DA"/>
    <w:rsid w:val="009F0766"/>
    <w:rsid w:val="009F08D9"/>
    <w:rsid w:val="009F0A2E"/>
    <w:rsid w:val="009F0C72"/>
    <w:rsid w:val="009F0CAC"/>
    <w:rsid w:val="009F0DBF"/>
    <w:rsid w:val="009F0E10"/>
    <w:rsid w:val="009F0E27"/>
    <w:rsid w:val="009F0E3F"/>
    <w:rsid w:val="009F114C"/>
    <w:rsid w:val="009F127E"/>
    <w:rsid w:val="009F1638"/>
    <w:rsid w:val="009F1E57"/>
    <w:rsid w:val="009F1E7C"/>
    <w:rsid w:val="009F2237"/>
    <w:rsid w:val="009F25AF"/>
    <w:rsid w:val="009F26A1"/>
    <w:rsid w:val="009F26BB"/>
    <w:rsid w:val="009F26E9"/>
    <w:rsid w:val="009F271D"/>
    <w:rsid w:val="009F2724"/>
    <w:rsid w:val="009F2CD5"/>
    <w:rsid w:val="009F2E8B"/>
    <w:rsid w:val="009F34C8"/>
    <w:rsid w:val="009F3A42"/>
    <w:rsid w:val="009F44D8"/>
    <w:rsid w:val="009F454D"/>
    <w:rsid w:val="009F45AE"/>
    <w:rsid w:val="009F4701"/>
    <w:rsid w:val="009F483C"/>
    <w:rsid w:val="009F4C1D"/>
    <w:rsid w:val="009F4E3F"/>
    <w:rsid w:val="009F5072"/>
    <w:rsid w:val="009F5462"/>
    <w:rsid w:val="009F54BE"/>
    <w:rsid w:val="009F5943"/>
    <w:rsid w:val="009F5BE4"/>
    <w:rsid w:val="009F5C47"/>
    <w:rsid w:val="009F5D5C"/>
    <w:rsid w:val="009F5E66"/>
    <w:rsid w:val="009F6055"/>
    <w:rsid w:val="009F643A"/>
    <w:rsid w:val="009F6487"/>
    <w:rsid w:val="009F64EC"/>
    <w:rsid w:val="009F65DF"/>
    <w:rsid w:val="009F6689"/>
    <w:rsid w:val="009F6932"/>
    <w:rsid w:val="009F722C"/>
    <w:rsid w:val="009F72BE"/>
    <w:rsid w:val="009F7777"/>
    <w:rsid w:val="009F7D19"/>
    <w:rsid w:val="00A002C8"/>
    <w:rsid w:val="00A0058B"/>
    <w:rsid w:val="00A00FF0"/>
    <w:rsid w:val="00A012AD"/>
    <w:rsid w:val="00A0156C"/>
    <w:rsid w:val="00A01631"/>
    <w:rsid w:val="00A0165C"/>
    <w:rsid w:val="00A0189C"/>
    <w:rsid w:val="00A01C60"/>
    <w:rsid w:val="00A02098"/>
    <w:rsid w:val="00A0295E"/>
    <w:rsid w:val="00A0298C"/>
    <w:rsid w:val="00A02ED8"/>
    <w:rsid w:val="00A02F40"/>
    <w:rsid w:val="00A0309B"/>
    <w:rsid w:val="00A0313E"/>
    <w:rsid w:val="00A0324B"/>
    <w:rsid w:val="00A0349F"/>
    <w:rsid w:val="00A03988"/>
    <w:rsid w:val="00A03A8E"/>
    <w:rsid w:val="00A03CC7"/>
    <w:rsid w:val="00A0435C"/>
    <w:rsid w:val="00A049F7"/>
    <w:rsid w:val="00A04A90"/>
    <w:rsid w:val="00A04AE4"/>
    <w:rsid w:val="00A04BDF"/>
    <w:rsid w:val="00A04DA4"/>
    <w:rsid w:val="00A0516F"/>
    <w:rsid w:val="00A051C1"/>
    <w:rsid w:val="00A0544D"/>
    <w:rsid w:val="00A05572"/>
    <w:rsid w:val="00A05A30"/>
    <w:rsid w:val="00A05B28"/>
    <w:rsid w:val="00A05B5B"/>
    <w:rsid w:val="00A05B97"/>
    <w:rsid w:val="00A05D70"/>
    <w:rsid w:val="00A06205"/>
    <w:rsid w:val="00A062ED"/>
    <w:rsid w:val="00A06302"/>
    <w:rsid w:val="00A0667E"/>
    <w:rsid w:val="00A06C94"/>
    <w:rsid w:val="00A06F17"/>
    <w:rsid w:val="00A06F7F"/>
    <w:rsid w:val="00A07113"/>
    <w:rsid w:val="00A07131"/>
    <w:rsid w:val="00A0741B"/>
    <w:rsid w:val="00A07538"/>
    <w:rsid w:val="00A07596"/>
    <w:rsid w:val="00A07597"/>
    <w:rsid w:val="00A075EC"/>
    <w:rsid w:val="00A07D57"/>
    <w:rsid w:val="00A07F49"/>
    <w:rsid w:val="00A101FD"/>
    <w:rsid w:val="00A10216"/>
    <w:rsid w:val="00A10259"/>
    <w:rsid w:val="00A10693"/>
    <w:rsid w:val="00A107A4"/>
    <w:rsid w:val="00A10DAA"/>
    <w:rsid w:val="00A10DBD"/>
    <w:rsid w:val="00A10E79"/>
    <w:rsid w:val="00A10F0F"/>
    <w:rsid w:val="00A1133F"/>
    <w:rsid w:val="00A11B71"/>
    <w:rsid w:val="00A11CC6"/>
    <w:rsid w:val="00A11E63"/>
    <w:rsid w:val="00A11F70"/>
    <w:rsid w:val="00A120B1"/>
    <w:rsid w:val="00A121AA"/>
    <w:rsid w:val="00A122B5"/>
    <w:rsid w:val="00A12C2A"/>
    <w:rsid w:val="00A12DE8"/>
    <w:rsid w:val="00A131EA"/>
    <w:rsid w:val="00A13A3F"/>
    <w:rsid w:val="00A13A95"/>
    <w:rsid w:val="00A13C60"/>
    <w:rsid w:val="00A13CE3"/>
    <w:rsid w:val="00A13D1A"/>
    <w:rsid w:val="00A13F81"/>
    <w:rsid w:val="00A14367"/>
    <w:rsid w:val="00A14A2F"/>
    <w:rsid w:val="00A14DE4"/>
    <w:rsid w:val="00A1562B"/>
    <w:rsid w:val="00A1598E"/>
    <w:rsid w:val="00A15999"/>
    <w:rsid w:val="00A15BA1"/>
    <w:rsid w:val="00A15C08"/>
    <w:rsid w:val="00A15ED9"/>
    <w:rsid w:val="00A161BF"/>
    <w:rsid w:val="00A1689E"/>
    <w:rsid w:val="00A16B02"/>
    <w:rsid w:val="00A16BC7"/>
    <w:rsid w:val="00A16C17"/>
    <w:rsid w:val="00A16C20"/>
    <w:rsid w:val="00A16D5D"/>
    <w:rsid w:val="00A16DDA"/>
    <w:rsid w:val="00A17056"/>
    <w:rsid w:val="00A171A6"/>
    <w:rsid w:val="00A172CF"/>
    <w:rsid w:val="00A1759C"/>
    <w:rsid w:val="00A176A4"/>
    <w:rsid w:val="00A179E0"/>
    <w:rsid w:val="00A17E53"/>
    <w:rsid w:val="00A17F4A"/>
    <w:rsid w:val="00A20248"/>
    <w:rsid w:val="00A20BAA"/>
    <w:rsid w:val="00A20F4F"/>
    <w:rsid w:val="00A21091"/>
    <w:rsid w:val="00A2130C"/>
    <w:rsid w:val="00A2132D"/>
    <w:rsid w:val="00A216A0"/>
    <w:rsid w:val="00A21ADA"/>
    <w:rsid w:val="00A21C92"/>
    <w:rsid w:val="00A21FB0"/>
    <w:rsid w:val="00A224F0"/>
    <w:rsid w:val="00A23330"/>
    <w:rsid w:val="00A23813"/>
    <w:rsid w:val="00A23BD1"/>
    <w:rsid w:val="00A23CB3"/>
    <w:rsid w:val="00A240CB"/>
    <w:rsid w:val="00A24150"/>
    <w:rsid w:val="00A24496"/>
    <w:rsid w:val="00A246B1"/>
    <w:rsid w:val="00A24748"/>
    <w:rsid w:val="00A24794"/>
    <w:rsid w:val="00A247EE"/>
    <w:rsid w:val="00A248CA"/>
    <w:rsid w:val="00A24D1E"/>
    <w:rsid w:val="00A25A47"/>
    <w:rsid w:val="00A265E9"/>
    <w:rsid w:val="00A267EC"/>
    <w:rsid w:val="00A26A82"/>
    <w:rsid w:val="00A26EC6"/>
    <w:rsid w:val="00A26F21"/>
    <w:rsid w:val="00A270AE"/>
    <w:rsid w:val="00A271B6"/>
    <w:rsid w:val="00A271DC"/>
    <w:rsid w:val="00A277D7"/>
    <w:rsid w:val="00A27989"/>
    <w:rsid w:val="00A27C8A"/>
    <w:rsid w:val="00A27F2D"/>
    <w:rsid w:val="00A30089"/>
    <w:rsid w:val="00A30B98"/>
    <w:rsid w:val="00A311C8"/>
    <w:rsid w:val="00A317EC"/>
    <w:rsid w:val="00A3186D"/>
    <w:rsid w:val="00A320C4"/>
    <w:rsid w:val="00A32327"/>
    <w:rsid w:val="00A32391"/>
    <w:rsid w:val="00A32466"/>
    <w:rsid w:val="00A32C4D"/>
    <w:rsid w:val="00A32F77"/>
    <w:rsid w:val="00A3324B"/>
    <w:rsid w:val="00A33474"/>
    <w:rsid w:val="00A34372"/>
    <w:rsid w:val="00A345A9"/>
    <w:rsid w:val="00A347F4"/>
    <w:rsid w:val="00A3482E"/>
    <w:rsid w:val="00A34B0B"/>
    <w:rsid w:val="00A34D5F"/>
    <w:rsid w:val="00A34EF5"/>
    <w:rsid w:val="00A34F99"/>
    <w:rsid w:val="00A34F9F"/>
    <w:rsid w:val="00A354D3"/>
    <w:rsid w:val="00A359CF"/>
    <w:rsid w:val="00A35AB0"/>
    <w:rsid w:val="00A35B60"/>
    <w:rsid w:val="00A35E4A"/>
    <w:rsid w:val="00A35F00"/>
    <w:rsid w:val="00A3601F"/>
    <w:rsid w:val="00A361E8"/>
    <w:rsid w:val="00A36372"/>
    <w:rsid w:val="00A3673B"/>
    <w:rsid w:val="00A3676D"/>
    <w:rsid w:val="00A36982"/>
    <w:rsid w:val="00A37056"/>
    <w:rsid w:val="00A37B18"/>
    <w:rsid w:val="00A37B6D"/>
    <w:rsid w:val="00A37BE0"/>
    <w:rsid w:val="00A37C41"/>
    <w:rsid w:val="00A37D31"/>
    <w:rsid w:val="00A40BA1"/>
    <w:rsid w:val="00A40E88"/>
    <w:rsid w:val="00A412E9"/>
    <w:rsid w:val="00A414EB"/>
    <w:rsid w:val="00A4170F"/>
    <w:rsid w:val="00A41FED"/>
    <w:rsid w:val="00A42A92"/>
    <w:rsid w:val="00A42D70"/>
    <w:rsid w:val="00A43172"/>
    <w:rsid w:val="00A4338E"/>
    <w:rsid w:val="00A4394D"/>
    <w:rsid w:val="00A43F49"/>
    <w:rsid w:val="00A440B1"/>
    <w:rsid w:val="00A44680"/>
    <w:rsid w:val="00A44A51"/>
    <w:rsid w:val="00A44BA6"/>
    <w:rsid w:val="00A44DC6"/>
    <w:rsid w:val="00A45393"/>
    <w:rsid w:val="00A4540D"/>
    <w:rsid w:val="00A458BF"/>
    <w:rsid w:val="00A45972"/>
    <w:rsid w:val="00A459B5"/>
    <w:rsid w:val="00A45BB0"/>
    <w:rsid w:val="00A45C8B"/>
    <w:rsid w:val="00A45DC5"/>
    <w:rsid w:val="00A46452"/>
    <w:rsid w:val="00A4651F"/>
    <w:rsid w:val="00A46722"/>
    <w:rsid w:val="00A4675D"/>
    <w:rsid w:val="00A4692D"/>
    <w:rsid w:val="00A46A0C"/>
    <w:rsid w:val="00A46C2D"/>
    <w:rsid w:val="00A46CE5"/>
    <w:rsid w:val="00A471C1"/>
    <w:rsid w:val="00A472CA"/>
    <w:rsid w:val="00A476BA"/>
    <w:rsid w:val="00A47781"/>
    <w:rsid w:val="00A4783F"/>
    <w:rsid w:val="00A4784F"/>
    <w:rsid w:val="00A47915"/>
    <w:rsid w:val="00A4796B"/>
    <w:rsid w:val="00A479B6"/>
    <w:rsid w:val="00A47A5F"/>
    <w:rsid w:val="00A47AC8"/>
    <w:rsid w:val="00A5059B"/>
    <w:rsid w:val="00A50B23"/>
    <w:rsid w:val="00A50C78"/>
    <w:rsid w:val="00A514B9"/>
    <w:rsid w:val="00A5180D"/>
    <w:rsid w:val="00A51B2E"/>
    <w:rsid w:val="00A52087"/>
    <w:rsid w:val="00A52248"/>
    <w:rsid w:val="00A52383"/>
    <w:rsid w:val="00A52695"/>
    <w:rsid w:val="00A52894"/>
    <w:rsid w:val="00A52C78"/>
    <w:rsid w:val="00A52CE5"/>
    <w:rsid w:val="00A53111"/>
    <w:rsid w:val="00A53174"/>
    <w:rsid w:val="00A535E5"/>
    <w:rsid w:val="00A53CA3"/>
    <w:rsid w:val="00A53EDA"/>
    <w:rsid w:val="00A53F43"/>
    <w:rsid w:val="00A5440D"/>
    <w:rsid w:val="00A54419"/>
    <w:rsid w:val="00A5463A"/>
    <w:rsid w:val="00A54706"/>
    <w:rsid w:val="00A549BD"/>
    <w:rsid w:val="00A54B04"/>
    <w:rsid w:val="00A54EFB"/>
    <w:rsid w:val="00A558C3"/>
    <w:rsid w:val="00A55A9A"/>
    <w:rsid w:val="00A55CA6"/>
    <w:rsid w:val="00A55E28"/>
    <w:rsid w:val="00A560CB"/>
    <w:rsid w:val="00A565D7"/>
    <w:rsid w:val="00A5661A"/>
    <w:rsid w:val="00A56899"/>
    <w:rsid w:val="00A56D96"/>
    <w:rsid w:val="00A56FC9"/>
    <w:rsid w:val="00A57350"/>
    <w:rsid w:val="00A5758C"/>
    <w:rsid w:val="00A575CC"/>
    <w:rsid w:val="00A57CF5"/>
    <w:rsid w:val="00A57E86"/>
    <w:rsid w:val="00A57E87"/>
    <w:rsid w:val="00A57EAD"/>
    <w:rsid w:val="00A60397"/>
    <w:rsid w:val="00A60487"/>
    <w:rsid w:val="00A60C7A"/>
    <w:rsid w:val="00A60ED1"/>
    <w:rsid w:val="00A61277"/>
    <w:rsid w:val="00A612ED"/>
    <w:rsid w:val="00A61DC8"/>
    <w:rsid w:val="00A61EE5"/>
    <w:rsid w:val="00A61EEF"/>
    <w:rsid w:val="00A623B9"/>
    <w:rsid w:val="00A62A50"/>
    <w:rsid w:val="00A630C4"/>
    <w:rsid w:val="00A635F4"/>
    <w:rsid w:val="00A6362B"/>
    <w:rsid w:val="00A6384B"/>
    <w:rsid w:val="00A63997"/>
    <w:rsid w:val="00A63B05"/>
    <w:rsid w:val="00A63B6B"/>
    <w:rsid w:val="00A6408D"/>
    <w:rsid w:val="00A64155"/>
    <w:rsid w:val="00A64334"/>
    <w:rsid w:val="00A64BBB"/>
    <w:rsid w:val="00A64C38"/>
    <w:rsid w:val="00A64C78"/>
    <w:rsid w:val="00A64CDD"/>
    <w:rsid w:val="00A650C1"/>
    <w:rsid w:val="00A65296"/>
    <w:rsid w:val="00A65363"/>
    <w:rsid w:val="00A6594C"/>
    <w:rsid w:val="00A65AFD"/>
    <w:rsid w:val="00A65C08"/>
    <w:rsid w:val="00A65E59"/>
    <w:rsid w:val="00A65EB4"/>
    <w:rsid w:val="00A65FF3"/>
    <w:rsid w:val="00A6632D"/>
    <w:rsid w:val="00A66373"/>
    <w:rsid w:val="00A66C99"/>
    <w:rsid w:val="00A66ED6"/>
    <w:rsid w:val="00A67486"/>
    <w:rsid w:val="00A67739"/>
    <w:rsid w:val="00A677B5"/>
    <w:rsid w:val="00A6785C"/>
    <w:rsid w:val="00A67BBE"/>
    <w:rsid w:val="00A67F5A"/>
    <w:rsid w:val="00A7010D"/>
    <w:rsid w:val="00A7013F"/>
    <w:rsid w:val="00A70739"/>
    <w:rsid w:val="00A708CA"/>
    <w:rsid w:val="00A7093A"/>
    <w:rsid w:val="00A70BDB"/>
    <w:rsid w:val="00A70BFF"/>
    <w:rsid w:val="00A70C12"/>
    <w:rsid w:val="00A70CC1"/>
    <w:rsid w:val="00A70D17"/>
    <w:rsid w:val="00A710C4"/>
    <w:rsid w:val="00A7119D"/>
    <w:rsid w:val="00A7120E"/>
    <w:rsid w:val="00A7171D"/>
    <w:rsid w:val="00A717E1"/>
    <w:rsid w:val="00A71977"/>
    <w:rsid w:val="00A7198C"/>
    <w:rsid w:val="00A71B63"/>
    <w:rsid w:val="00A71F3C"/>
    <w:rsid w:val="00A72096"/>
    <w:rsid w:val="00A7282A"/>
    <w:rsid w:val="00A72864"/>
    <w:rsid w:val="00A72B5D"/>
    <w:rsid w:val="00A72D82"/>
    <w:rsid w:val="00A73182"/>
    <w:rsid w:val="00A731D0"/>
    <w:rsid w:val="00A732D6"/>
    <w:rsid w:val="00A7394B"/>
    <w:rsid w:val="00A739F5"/>
    <w:rsid w:val="00A74011"/>
    <w:rsid w:val="00A74878"/>
    <w:rsid w:val="00A748D8"/>
    <w:rsid w:val="00A74A8E"/>
    <w:rsid w:val="00A74F34"/>
    <w:rsid w:val="00A75302"/>
    <w:rsid w:val="00A7552B"/>
    <w:rsid w:val="00A75820"/>
    <w:rsid w:val="00A7590F"/>
    <w:rsid w:val="00A75E8D"/>
    <w:rsid w:val="00A75F9F"/>
    <w:rsid w:val="00A76208"/>
    <w:rsid w:val="00A768DB"/>
    <w:rsid w:val="00A76B03"/>
    <w:rsid w:val="00A76E34"/>
    <w:rsid w:val="00A76E57"/>
    <w:rsid w:val="00A77107"/>
    <w:rsid w:val="00A7743E"/>
    <w:rsid w:val="00A774B5"/>
    <w:rsid w:val="00A776F7"/>
    <w:rsid w:val="00A77AED"/>
    <w:rsid w:val="00A77BB5"/>
    <w:rsid w:val="00A77D08"/>
    <w:rsid w:val="00A77F99"/>
    <w:rsid w:val="00A80095"/>
    <w:rsid w:val="00A804D3"/>
    <w:rsid w:val="00A80C98"/>
    <w:rsid w:val="00A810B6"/>
    <w:rsid w:val="00A8146F"/>
    <w:rsid w:val="00A815F7"/>
    <w:rsid w:val="00A8168A"/>
    <w:rsid w:val="00A817DD"/>
    <w:rsid w:val="00A818E3"/>
    <w:rsid w:val="00A81CF5"/>
    <w:rsid w:val="00A81E4B"/>
    <w:rsid w:val="00A8218C"/>
    <w:rsid w:val="00A826F3"/>
    <w:rsid w:val="00A8291D"/>
    <w:rsid w:val="00A82C59"/>
    <w:rsid w:val="00A82E37"/>
    <w:rsid w:val="00A83215"/>
    <w:rsid w:val="00A83217"/>
    <w:rsid w:val="00A832C0"/>
    <w:rsid w:val="00A83340"/>
    <w:rsid w:val="00A8335B"/>
    <w:rsid w:val="00A834FA"/>
    <w:rsid w:val="00A83646"/>
    <w:rsid w:val="00A83AD5"/>
    <w:rsid w:val="00A83F68"/>
    <w:rsid w:val="00A84297"/>
    <w:rsid w:val="00A84432"/>
    <w:rsid w:val="00A8468C"/>
    <w:rsid w:val="00A84744"/>
    <w:rsid w:val="00A8475E"/>
    <w:rsid w:val="00A84E93"/>
    <w:rsid w:val="00A84F4E"/>
    <w:rsid w:val="00A851F4"/>
    <w:rsid w:val="00A858D6"/>
    <w:rsid w:val="00A86CE3"/>
    <w:rsid w:val="00A87926"/>
    <w:rsid w:val="00A87A1B"/>
    <w:rsid w:val="00A9010C"/>
    <w:rsid w:val="00A90161"/>
    <w:rsid w:val="00A901B4"/>
    <w:rsid w:val="00A9073E"/>
    <w:rsid w:val="00A90917"/>
    <w:rsid w:val="00A91548"/>
    <w:rsid w:val="00A91D89"/>
    <w:rsid w:val="00A92073"/>
    <w:rsid w:val="00A9252A"/>
    <w:rsid w:val="00A92686"/>
    <w:rsid w:val="00A927C8"/>
    <w:rsid w:val="00A928C2"/>
    <w:rsid w:val="00A92A0D"/>
    <w:rsid w:val="00A9350A"/>
    <w:rsid w:val="00A93AFF"/>
    <w:rsid w:val="00A93CEB"/>
    <w:rsid w:val="00A93E48"/>
    <w:rsid w:val="00A9419B"/>
    <w:rsid w:val="00A94399"/>
    <w:rsid w:val="00A943ED"/>
    <w:rsid w:val="00A9450D"/>
    <w:rsid w:val="00A94A1A"/>
    <w:rsid w:val="00A94A27"/>
    <w:rsid w:val="00A94B18"/>
    <w:rsid w:val="00A94E1F"/>
    <w:rsid w:val="00A94E97"/>
    <w:rsid w:val="00A956B9"/>
    <w:rsid w:val="00A95807"/>
    <w:rsid w:val="00A95919"/>
    <w:rsid w:val="00A95ADA"/>
    <w:rsid w:val="00A961AB"/>
    <w:rsid w:val="00A96270"/>
    <w:rsid w:val="00A96695"/>
    <w:rsid w:val="00A967BE"/>
    <w:rsid w:val="00A96A98"/>
    <w:rsid w:val="00A96BB0"/>
    <w:rsid w:val="00A97181"/>
    <w:rsid w:val="00A97447"/>
    <w:rsid w:val="00A97879"/>
    <w:rsid w:val="00AA09CE"/>
    <w:rsid w:val="00AA0A09"/>
    <w:rsid w:val="00AA0C66"/>
    <w:rsid w:val="00AA105B"/>
    <w:rsid w:val="00AA11C2"/>
    <w:rsid w:val="00AA12BE"/>
    <w:rsid w:val="00AA1791"/>
    <w:rsid w:val="00AA195E"/>
    <w:rsid w:val="00AA1A6B"/>
    <w:rsid w:val="00AA1B7C"/>
    <w:rsid w:val="00AA1F14"/>
    <w:rsid w:val="00AA1F23"/>
    <w:rsid w:val="00AA2312"/>
    <w:rsid w:val="00AA2342"/>
    <w:rsid w:val="00AA257B"/>
    <w:rsid w:val="00AA27FD"/>
    <w:rsid w:val="00AA295E"/>
    <w:rsid w:val="00AA2B0C"/>
    <w:rsid w:val="00AA2C4E"/>
    <w:rsid w:val="00AA2CC8"/>
    <w:rsid w:val="00AA300C"/>
    <w:rsid w:val="00AA33B4"/>
    <w:rsid w:val="00AA356E"/>
    <w:rsid w:val="00AA366B"/>
    <w:rsid w:val="00AA36CB"/>
    <w:rsid w:val="00AA3822"/>
    <w:rsid w:val="00AA3C30"/>
    <w:rsid w:val="00AA3EFA"/>
    <w:rsid w:val="00AA3FF8"/>
    <w:rsid w:val="00AA41CA"/>
    <w:rsid w:val="00AA4405"/>
    <w:rsid w:val="00AA4496"/>
    <w:rsid w:val="00AA4603"/>
    <w:rsid w:val="00AA51CB"/>
    <w:rsid w:val="00AA520A"/>
    <w:rsid w:val="00AA5331"/>
    <w:rsid w:val="00AA5465"/>
    <w:rsid w:val="00AA5547"/>
    <w:rsid w:val="00AA5845"/>
    <w:rsid w:val="00AA5D53"/>
    <w:rsid w:val="00AA5DE4"/>
    <w:rsid w:val="00AA6853"/>
    <w:rsid w:val="00AA68F3"/>
    <w:rsid w:val="00AA6A6F"/>
    <w:rsid w:val="00AA6FDB"/>
    <w:rsid w:val="00AA6FF5"/>
    <w:rsid w:val="00AA7022"/>
    <w:rsid w:val="00AA7142"/>
    <w:rsid w:val="00AA7300"/>
    <w:rsid w:val="00AA768E"/>
    <w:rsid w:val="00AA77F6"/>
    <w:rsid w:val="00AB0466"/>
    <w:rsid w:val="00AB049D"/>
    <w:rsid w:val="00AB04E0"/>
    <w:rsid w:val="00AB052B"/>
    <w:rsid w:val="00AB078D"/>
    <w:rsid w:val="00AB0C5D"/>
    <w:rsid w:val="00AB10DD"/>
    <w:rsid w:val="00AB1224"/>
    <w:rsid w:val="00AB136B"/>
    <w:rsid w:val="00AB15D9"/>
    <w:rsid w:val="00AB1A3F"/>
    <w:rsid w:val="00AB1A6F"/>
    <w:rsid w:val="00AB222A"/>
    <w:rsid w:val="00AB2267"/>
    <w:rsid w:val="00AB239C"/>
    <w:rsid w:val="00AB2801"/>
    <w:rsid w:val="00AB2A8E"/>
    <w:rsid w:val="00AB2EF2"/>
    <w:rsid w:val="00AB3237"/>
    <w:rsid w:val="00AB337D"/>
    <w:rsid w:val="00AB351F"/>
    <w:rsid w:val="00AB3B2C"/>
    <w:rsid w:val="00AB3C55"/>
    <w:rsid w:val="00AB3DFE"/>
    <w:rsid w:val="00AB3F44"/>
    <w:rsid w:val="00AB3F9B"/>
    <w:rsid w:val="00AB3FC8"/>
    <w:rsid w:val="00AB47AE"/>
    <w:rsid w:val="00AB4887"/>
    <w:rsid w:val="00AB491B"/>
    <w:rsid w:val="00AB4B79"/>
    <w:rsid w:val="00AB50DA"/>
    <w:rsid w:val="00AB541D"/>
    <w:rsid w:val="00AB54FB"/>
    <w:rsid w:val="00AB58D9"/>
    <w:rsid w:val="00AB5909"/>
    <w:rsid w:val="00AB5B85"/>
    <w:rsid w:val="00AB5BA2"/>
    <w:rsid w:val="00AB5E64"/>
    <w:rsid w:val="00AB6213"/>
    <w:rsid w:val="00AB6345"/>
    <w:rsid w:val="00AB64FF"/>
    <w:rsid w:val="00AB669F"/>
    <w:rsid w:val="00AB6726"/>
    <w:rsid w:val="00AB674E"/>
    <w:rsid w:val="00AB68D4"/>
    <w:rsid w:val="00AB698B"/>
    <w:rsid w:val="00AB6A1C"/>
    <w:rsid w:val="00AB6BF4"/>
    <w:rsid w:val="00AB6C7E"/>
    <w:rsid w:val="00AB6D26"/>
    <w:rsid w:val="00AB6F8D"/>
    <w:rsid w:val="00AB7271"/>
    <w:rsid w:val="00AB72BA"/>
    <w:rsid w:val="00AB73AC"/>
    <w:rsid w:val="00AC00D1"/>
    <w:rsid w:val="00AC0BAE"/>
    <w:rsid w:val="00AC0D08"/>
    <w:rsid w:val="00AC0E06"/>
    <w:rsid w:val="00AC0E6E"/>
    <w:rsid w:val="00AC0F2D"/>
    <w:rsid w:val="00AC0F75"/>
    <w:rsid w:val="00AC146E"/>
    <w:rsid w:val="00AC14CC"/>
    <w:rsid w:val="00AC17FF"/>
    <w:rsid w:val="00AC1F26"/>
    <w:rsid w:val="00AC1F7A"/>
    <w:rsid w:val="00AC26D3"/>
    <w:rsid w:val="00AC28C8"/>
    <w:rsid w:val="00AC2B6B"/>
    <w:rsid w:val="00AC2B7A"/>
    <w:rsid w:val="00AC2BA4"/>
    <w:rsid w:val="00AC2C93"/>
    <w:rsid w:val="00AC34F6"/>
    <w:rsid w:val="00AC3560"/>
    <w:rsid w:val="00AC3720"/>
    <w:rsid w:val="00AC3B50"/>
    <w:rsid w:val="00AC3E2A"/>
    <w:rsid w:val="00AC41A1"/>
    <w:rsid w:val="00AC41A4"/>
    <w:rsid w:val="00AC43F1"/>
    <w:rsid w:val="00AC444F"/>
    <w:rsid w:val="00AC45CB"/>
    <w:rsid w:val="00AC46B7"/>
    <w:rsid w:val="00AC47EE"/>
    <w:rsid w:val="00AC4DF7"/>
    <w:rsid w:val="00AC4F90"/>
    <w:rsid w:val="00AC5092"/>
    <w:rsid w:val="00AC50D6"/>
    <w:rsid w:val="00AC5620"/>
    <w:rsid w:val="00AC577A"/>
    <w:rsid w:val="00AC5805"/>
    <w:rsid w:val="00AC5F82"/>
    <w:rsid w:val="00AC6316"/>
    <w:rsid w:val="00AC6334"/>
    <w:rsid w:val="00AC6442"/>
    <w:rsid w:val="00AC6792"/>
    <w:rsid w:val="00AC69F4"/>
    <w:rsid w:val="00AC6BF2"/>
    <w:rsid w:val="00AC6D1E"/>
    <w:rsid w:val="00AC6EFC"/>
    <w:rsid w:val="00AC7428"/>
    <w:rsid w:val="00AC7526"/>
    <w:rsid w:val="00AC7C2A"/>
    <w:rsid w:val="00AC7CBD"/>
    <w:rsid w:val="00AC7DA5"/>
    <w:rsid w:val="00AD03AA"/>
    <w:rsid w:val="00AD0475"/>
    <w:rsid w:val="00AD0732"/>
    <w:rsid w:val="00AD0C83"/>
    <w:rsid w:val="00AD0D4D"/>
    <w:rsid w:val="00AD0E8E"/>
    <w:rsid w:val="00AD0F5C"/>
    <w:rsid w:val="00AD1118"/>
    <w:rsid w:val="00AD1353"/>
    <w:rsid w:val="00AD136B"/>
    <w:rsid w:val="00AD162C"/>
    <w:rsid w:val="00AD1635"/>
    <w:rsid w:val="00AD1928"/>
    <w:rsid w:val="00AD1939"/>
    <w:rsid w:val="00AD195D"/>
    <w:rsid w:val="00AD1C76"/>
    <w:rsid w:val="00AD1DA8"/>
    <w:rsid w:val="00AD1FD8"/>
    <w:rsid w:val="00AD226D"/>
    <w:rsid w:val="00AD27FA"/>
    <w:rsid w:val="00AD2BFB"/>
    <w:rsid w:val="00AD2EA5"/>
    <w:rsid w:val="00AD3041"/>
    <w:rsid w:val="00AD309C"/>
    <w:rsid w:val="00AD3154"/>
    <w:rsid w:val="00AD3442"/>
    <w:rsid w:val="00AD39CC"/>
    <w:rsid w:val="00AD39F6"/>
    <w:rsid w:val="00AD3A58"/>
    <w:rsid w:val="00AD3D02"/>
    <w:rsid w:val="00AD4150"/>
    <w:rsid w:val="00AD4389"/>
    <w:rsid w:val="00AD4508"/>
    <w:rsid w:val="00AD46C7"/>
    <w:rsid w:val="00AD470E"/>
    <w:rsid w:val="00AD4897"/>
    <w:rsid w:val="00AD4AF2"/>
    <w:rsid w:val="00AD4E4E"/>
    <w:rsid w:val="00AD4EE4"/>
    <w:rsid w:val="00AD506D"/>
    <w:rsid w:val="00AD527B"/>
    <w:rsid w:val="00AD55F8"/>
    <w:rsid w:val="00AD5706"/>
    <w:rsid w:val="00AD6535"/>
    <w:rsid w:val="00AD6705"/>
    <w:rsid w:val="00AD694E"/>
    <w:rsid w:val="00AD6DC1"/>
    <w:rsid w:val="00AD7056"/>
    <w:rsid w:val="00AD71C1"/>
    <w:rsid w:val="00AD7292"/>
    <w:rsid w:val="00AD7676"/>
    <w:rsid w:val="00AD7C24"/>
    <w:rsid w:val="00AD7E2D"/>
    <w:rsid w:val="00AD7EBD"/>
    <w:rsid w:val="00AD7F6C"/>
    <w:rsid w:val="00AE04F2"/>
    <w:rsid w:val="00AE0594"/>
    <w:rsid w:val="00AE05D0"/>
    <w:rsid w:val="00AE0AF1"/>
    <w:rsid w:val="00AE0D05"/>
    <w:rsid w:val="00AE0DE0"/>
    <w:rsid w:val="00AE0F1D"/>
    <w:rsid w:val="00AE0F97"/>
    <w:rsid w:val="00AE1112"/>
    <w:rsid w:val="00AE1394"/>
    <w:rsid w:val="00AE15C2"/>
    <w:rsid w:val="00AE168C"/>
    <w:rsid w:val="00AE1B61"/>
    <w:rsid w:val="00AE1F3C"/>
    <w:rsid w:val="00AE25E4"/>
    <w:rsid w:val="00AE262E"/>
    <w:rsid w:val="00AE280A"/>
    <w:rsid w:val="00AE28B1"/>
    <w:rsid w:val="00AE2A4E"/>
    <w:rsid w:val="00AE30A6"/>
    <w:rsid w:val="00AE3535"/>
    <w:rsid w:val="00AE3DB7"/>
    <w:rsid w:val="00AE41A5"/>
    <w:rsid w:val="00AE444C"/>
    <w:rsid w:val="00AE4728"/>
    <w:rsid w:val="00AE484C"/>
    <w:rsid w:val="00AE4855"/>
    <w:rsid w:val="00AE4ACC"/>
    <w:rsid w:val="00AE4AD0"/>
    <w:rsid w:val="00AE4C10"/>
    <w:rsid w:val="00AE4C85"/>
    <w:rsid w:val="00AE5327"/>
    <w:rsid w:val="00AE56B3"/>
    <w:rsid w:val="00AE587D"/>
    <w:rsid w:val="00AE65EA"/>
    <w:rsid w:val="00AE6DC7"/>
    <w:rsid w:val="00AE6EC6"/>
    <w:rsid w:val="00AE7A20"/>
    <w:rsid w:val="00AE7C88"/>
    <w:rsid w:val="00AF0031"/>
    <w:rsid w:val="00AF06CF"/>
    <w:rsid w:val="00AF088D"/>
    <w:rsid w:val="00AF09A0"/>
    <w:rsid w:val="00AF0E93"/>
    <w:rsid w:val="00AF0FEA"/>
    <w:rsid w:val="00AF1132"/>
    <w:rsid w:val="00AF159C"/>
    <w:rsid w:val="00AF16E8"/>
    <w:rsid w:val="00AF19DA"/>
    <w:rsid w:val="00AF1CC8"/>
    <w:rsid w:val="00AF1F33"/>
    <w:rsid w:val="00AF24F4"/>
    <w:rsid w:val="00AF2523"/>
    <w:rsid w:val="00AF32A8"/>
    <w:rsid w:val="00AF353A"/>
    <w:rsid w:val="00AF3725"/>
    <w:rsid w:val="00AF37BB"/>
    <w:rsid w:val="00AF409C"/>
    <w:rsid w:val="00AF48D8"/>
    <w:rsid w:val="00AF4C4D"/>
    <w:rsid w:val="00AF4CE7"/>
    <w:rsid w:val="00AF4DCF"/>
    <w:rsid w:val="00AF4F48"/>
    <w:rsid w:val="00AF5463"/>
    <w:rsid w:val="00AF5803"/>
    <w:rsid w:val="00AF6141"/>
    <w:rsid w:val="00AF6243"/>
    <w:rsid w:val="00AF6247"/>
    <w:rsid w:val="00AF627A"/>
    <w:rsid w:val="00AF67D8"/>
    <w:rsid w:val="00AF689E"/>
    <w:rsid w:val="00AF6B67"/>
    <w:rsid w:val="00AF725C"/>
    <w:rsid w:val="00AF7286"/>
    <w:rsid w:val="00AF740C"/>
    <w:rsid w:val="00AF7970"/>
    <w:rsid w:val="00AF7A87"/>
    <w:rsid w:val="00AF7F22"/>
    <w:rsid w:val="00B00057"/>
    <w:rsid w:val="00B00370"/>
    <w:rsid w:val="00B003AF"/>
    <w:rsid w:val="00B003F2"/>
    <w:rsid w:val="00B003FD"/>
    <w:rsid w:val="00B0065C"/>
    <w:rsid w:val="00B010C8"/>
    <w:rsid w:val="00B01242"/>
    <w:rsid w:val="00B01359"/>
    <w:rsid w:val="00B01599"/>
    <w:rsid w:val="00B0162B"/>
    <w:rsid w:val="00B01A60"/>
    <w:rsid w:val="00B01B56"/>
    <w:rsid w:val="00B01CA3"/>
    <w:rsid w:val="00B01CEE"/>
    <w:rsid w:val="00B01CF3"/>
    <w:rsid w:val="00B01F10"/>
    <w:rsid w:val="00B01F9E"/>
    <w:rsid w:val="00B0206F"/>
    <w:rsid w:val="00B02096"/>
    <w:rsid w:val="00B020A8"/>
    <w:rsid w:val="00B0210F"/>
    <w:rsid w:val="00B022D7"/>
    <w:rsid w:val="00B023A3"/>
    <w:rsid w:val="00B0243C"/>
    <w:rsid w:val="00B02468"/>
    <w:rsid w:val="00B024D9"/>
    <w:rsid w:val="00B02570"/>
    <w:rsid w:val="00B02B35"/>
    <w:rsid w:val="00B02EFC"/>
    <w:rsid w:val="00B03785"/>
    <w:rsid w:val="00B03835"/>
    <w:rsid w:val="00B03861"/>
    <w:rsid w:val="00B03E2A"/>
    <w:rsid w:val="00B04299"/>
    <w:rsid w:val="00B04336"/>
    <w:rsid w:val="00B0435B"/>
    <w:rsid w:val="00B04421"/>
    <w:rsid w:val="00B048EB"/>
    <w:rsid w:val="00B04C2F"/>
    <w:rsid w:val="00B05131"/>
    <w:rsid w:val="00B05724"/>
    <w:rsid w:val="00B057AA"/>
    <w:rsid w:val="00B05909"/>
    <w:rsid w:val="00B05B82"/>
    <w:rsid w:val="00B05DC9"/>
    <w:rsid w:val="00B05EDF"/>
    <w:rsid w:val="00B06088"/>
    <w:rsid w:val="00B064FF"/>
    <w:rsid w:val="00B066FC"/>
    <w:rsid w:val="00B0678D"/>
    <w:rsid w:val="00B068A1"/>
    <w:rsid w:val="00B06C95"/>
    <w:rsid w:val="00B07437"/>
    <w:rsid w:val="00B07478"/>
    <w:rsid w:val="00B074A6"/>
    <w:rsid w:val="00B07830"/>
    <w:rsid w:val="00B07D4B"/>
    <w:rsid w:val="00B07E69"/>
    <w:rsid w:val="00B07E78"/>
    <w:rsid w:val="00B07F6F"/>
    <w:rsid w:val="00B1003F"/>
    <w:rsid w:val="00B102C0"/>
    <w:rsid w:val="00B102EF"/>
    <w:rsid w:val="00B104F3"/>
    <w:rsid w:val="00B106A7"/>
    <w:rsid w:val="00B10887"/>
    <w:rsid w:val="00B110CC"/>
    <w:rsid w:val="00B1144E"/>
    <w:rsid w:val="00B114CD"/>
    <w:rsid w:val="00B11707"/>
    <w:rsid w:val="00B117A0"/>
    <w:rsid w:val="00B11918"/>
    <w:rsid w:val="00B11B53"/>
    <w:rsid w:val="00B124B8"/>
    <w:rsid w:val="00B125A7"/>
    <w:rsid w:val="00B12A4A"/>
    <w:rsid w:val="00B12B2B"/>
    <w:rsid w:val="00B12B32"/>
    <w:rsid w:val="00B12F7D"/>
    <w:rsid w:val="00B12FFE"/>
    <w:rsid w:val="00B13047"/>
    <w:rsid w:val="00B13078"/>
    <w:rsid w:val="00B133A0"/>
    <w:rsid w:val="00B13464"/>
    <w:rsid w:val="00B134A3"/>
    <w:rsid w:val="00B135CE"/>
    <w:rsid w:val="00B135EB"/>
    <w:rsid w:val="00B136BB"/>
    <w:rsid w:val="00B13779"/>
    <w:rsid w:val="00B139EA"/>
    <w:rsid w:val="00B13D2C"/>
    <w:rsid w:val="00B13E5E"/>
    <w:rsid w:val="00B1436C"/>
    <w:rsid w:val="00B14654"/>
    <w:rsid w:val="00B1483F"/>
    <w:rsid w:val="00B14A39"/>
    <w:rsid w:val="00B15A3E"/>
    <w:rsid w:val="00B15A6E"/>
    <w:rsid w:val="00B15CF2"/>
    <w:rsid w:val="00B15CFF"/>
    <w:rsid w:val="00B15D24"/>
    <w:rsid w:val="00B16516"/>
    <w:rsid w:val="00B1673F"/>
    <w:rsid w:val="00B16A07"/>
    <w:rsid w:val="00B16B78"/>
    <w:rsid w:val="00B16D42"/>
    <w:rsid w:val="00B16F10"/>
    <w:rsid w:val="00B17072"/>
    <w:rsid w:val="00B173D3"/>
    <w:rsid w:val="00B173DA"/>
    <w:rsid w:val="00B17462"/>
    <w:rsid w:val="00B1776E"/>
    <w:rsid w:val="00B17E86"/>
    <w:rsid w:val="00B206A0"/>
    <w:rsid w:val="00B209EA"/>
    <w:rsid w:val="00B20E72"/>
    <w:rsid w:val="00B21154"/>
    <w:rsid w:val="00B21224"/>
    <w:rsid w:val="00B2139B"/>
    <w:rsid w:val="00B2175C"/>
    <w:rsid w:val="00B2185B"/>
    <w:rsid w:val="00B21BDA"/>
    <w:rsid w:val="00B21F03"/>
    <w:rsid w:val="00B2217B"/>
    <w:rsid w:val="00B22457"/>
    <w:rsid w:val="00B2266F"/>
    <w:rsid w:val="00B2285D"/>
    <w:rsid w:val="00B22CAE"/>
    <w:rsid w:val="00B23219"/>
    <w:rsid w:val="00B2325C"/>
    <w:rsid w:val="00B232F7"/>
    <w:rsid w:val="00B23655"/>
    <w:rsid w:val="00B237C5"/>
    <w:rsid w:val="00B23825"/>
    <w:rsid w:val="00B2394E"/>
    <w:rsid w:val="00B23B25"/>
    <w:rsid w:val="00B23C4B"/>
    <w:rsid w:val="00B23C68"/>
    <w:rsid w:val="00B23EA9"/>
    <w:rsid w:val="00B23EE5"/>
    <w:rsid w:val="00B24902"/>
    <w:rsid w:val="00B249B8"/>
    <w:rsid w:val="00B24CC6"/>
    <w:rsid w:val="00B25625"/>
    <w:rsid w:val="00B25824"/>
    <w:rsid w:val="00B258E7"/>
    <w:rsid w:val="00B258EF"/>
    <w:rsid w:val="00B25C49"/>
    <w:rsid w:val="00B25C5A"/>
    <w:rsid w:val="00B25E5C"/>
    <w:rsid w:val="00B25FC5"/>
    <w:rsid w:val="00B26153"/>
    <w:rsid w:val="00B26307"/>
    <w:rsid w:val="00B26340"/>
    <w:rsid w:val="00B263AF"/>
    <w:rsid w:val="00B26994"/>
    <w:rsid w:val="00B26C55"/>
    <w:rsid w:val="00B26C7D"/>
    <w:rsid w:val="00B26FE3"/>
    <w:rsid w:val="00B27176"/>
    <w:rsid w:val="00B27234"/>
    <w:rsid w:val="00B277AE"/>
    <w:rsid w:val="00B27C5C"/>
    <w:rsid w:val="00B27CA9"/>
    <w:rsid w:val="00B27E41"/>
    <w:rsid w:val="00B27EB1"/>
    <w:rsid w:val="00B30665"/>
    <w:rsid w:val="00B30847"/>
    <w:rsid w:val="00B30BCC"/>
    <w:rsid w:val="00B31348"/>
    <w:rsid w:val="00B31692"/>
    <w:rsid w:val="00B31B9A"/>
    <w:rsid w:val="00B31E2F"/>
    <w:rsid w:val="00B3227B"/>
    <w:rsid w:val="00B322EC"/>
    <w:rsid w:val="00B323E7"/>
    <w:rsid w:val="00B3245D"/>
    <w:rsid w:val="00B328D5"/>
    <w:rsid w:val="00B32CEA"/>
    <w:rsid w:val="00B32D91"/>
    <w:rsid w:val="00B32DC2"/>
    <w:rsid w:val="00B32EF0"/>
    <w:rsid w:val="00B33180"/>
    <w:rsid w:val="00B33363"/>
    <w:rsid w:val="00B333F3"/>
    <w:rsid w:val="00B33C54"/>
    <w:rsid w:val="00B33E3E"/>
    <w:rsid w:val="00B33E7A"/>
    <w:rsid w:val="00B33EC8"/>
    <w:rsid w:val="00B345B0"/>
    <w:rsid w:val="00B34636"/>
    <w:rsid w:val="00B3472E"/>
    <w:rsid w:val="00B34846"/>
    <w:rsid w:val="00B34B29"/>
    <w:rsid w:val="00B34BE2"/>
    <w:rsid w:val="00B34C84"/>
    <w:rsid w:val="00B34E95"/>
    <w:rsid w:val="00B34ECA"/>
    <w:rsid w:val="00B34F3D"/>
    <w:rsid w:val="00B34FA5"/>
    <w:rsid w:val="00B34FC7"/>
    <w:rsid w:val="00B35239"/>
    <w:rsid w:val="00B356E9"/>
    <w:rsid w:val="00B35704"/>
    <w:rsid w:val="00B359F7"/>
    <w:rsid w:val="00B35E66"/>
    <w:rsid w:val="00B35F78"/>
    <w:rsid w:val="00B3628A"/>
    <w:rsid w:val="00B3631D"/>
    <w:rsid w:val="00B36490"/>
    <w:rsid w:val="00B365A7"/>
    <w:rsid w:val="00B36912"/>
    <w:rsid w:val="00B36D48"/>
    <w:rsid w:val="00B36D94"/>
    <w:rsid w:val="00B36DD3"/>
    <w:rsid w:val="00B37241"/>
    <w:rsid w:val="00B3765B"/>
    <w:rsid w:val="00B37A97"/>
    <w:rsid w:val="00B37B7A"/>
    <w:rsid w:val="00B37F29"/>
    <w:rsid w:val="00B40048"/>
    <w:rsid w:val="00B4006F"/>
    <w:rsid w:val="00B4028E"/>
    <w:rsid w:val="00B403B4"/>
    <w:rsid w:val="00B40450"/>
    <w:rsid w:val="00B40846"/>
    <w:rsid w:val="00B40AB6"/>
    <w:rsid w:val="00B40F06"/>
    <w:rsid w:val="00B419CE"/>
    <w:rsid w:val="00B41AEB"/>
    <w:rsid w:val="00B41BAB"/>
    <w:rsid w:val="00B4220D"/>
    <w:rsid w:val="00B42262"/>
    <w:rsid w:val="00B42399"/>
    <w:rsid w:val="00B423A5"/>
    <w:rsid w:val="00B4243D"/>
    <w:rsid w:val="00B42518"/>
    <w:rsid w:val="00B42A90"/>
    <w:rsid w:val="00B42AE1"/>
    <w:rsid w:val="00B42C98"/>
    <w:rsid w:val="00B42C9D"/>
    <w:rsid w:val="00B42E87"/>
    <w:rsid w:val="00B4310A"/>
    <w:rsid w:val="00B4337E"/>
    <w:rsid w:val="00B433EE"/>
    <w:rsid w:val="00B43538"/>
    <w:rsid w:val="00B437E9"/>
    <w:rsid w:val="00B43BD7"/>
    <w:rsid w:val="00B43F12"/>
    <w:rsid w:val="00B4401E"/>
    <w:rsid w:val="00B442DD"/>
    <w:rsid w:val="00B445BE"/>
    <w:rsid w:val="00B44757"/>
    <w:rsid w:val="00B44790"/>
    <w:rsid w:val="00B44915"/>
    <w:rsid w:val="00B4503F"/>
    <w:rsid w:val="00B45055"/>
    <w:rsid w:val="00B45104"/>
    <w:rsid w:val="00B4510C"/>
    <w:rsid w:val="00B452C6"/>
    <w:rsid w:val="00B45385"/>
    <w:rsid w:val="00B453CE"/>
    <w:rsid w:val="00B45414"/>
    <w:rsid w:val="00B4549B"/>
    <w:rsid w:val="00B45925"/>
    <w:rsid w:val="00B45AD7"/>
    <w:rsid w:val="00B45ADC"/>
    <w:rsid w:val="00B469F1"/>
    <w:rsid w:val="00B46A38"/>
    <w:rsid w:val="00B46AEE"/>
    <w:rsid w:val="00B46B39"/>
    <w:rsid w:val="00B46FD3"/>
    <w:rsid w:val="00B47054"/>
    <w:rsid w:val="00B47217"/>
    <w:rsid w:val="00B47386"/>
    <w:rsid w:val="00B474BA"/>
    <w:rsid w:val="00B47652"/>
    <w:rsid w:val="00B4769A"/>
    <w:rsid w:val="00B47A1E"/>
    <w:rsid w:val="00B47C16"/>
    <w:rsid w:val="00B47DC0"/>
    <w:rsid w:val="00B47F0B"/>
    <w:rsid w:val="00B50012"/>
    <w:rsid w:val="00B5019D"/>
    <w:rsid w:val="00B50382"/>
    <w:rsid w:val="00B5062B"/>
    <w:rsid w:val="00B50708"/>
    <w:rsid w:val="00B50FC1"/>
    <w:rsid w:val="00B51697"/>
    <w:rsid w:val="00B5176B"/>
    <w:rsid w:val="00B51888"/>
    <w:rsid w:val="00B518B1"/>
    <w:rsid w:val="00B51C3A"/>
    <w:rsid w:val="00B51C74"/>
    <w:rsid w:val="00B51CCF"/>
    <w:rsid w:val="00B51D97"/>
    <w:rsid w:val="00B52187"/>
    <w:rsid w:val="00B5244C"/>
    <w:rsid w:val="00B526E5"/>
    <w:rsid w:val="00B528BD"/>
    <w:rsid w:val="00B52ABB"/>
    <w:rsid w:val="00B52AED"/>
    <w:rsid w:val="00B52DAE"/>
    <w:rsid w:val="00B52E58"/>
    <w:rsid w:val="00B52FE8"/>
    <w:rsid w:val="00B533B9"/>
    <w:rsid w:val="00B53414"/>
    <w:rsid w:val="00B5352E"/>
    <w:rsid w:val="00B535CC"/>
    <w:rsid w:val="00B53759"/>
    <w:rsid w:val="00B537F6"/>
    <w:rsid w:val="00B53AB9"/>
    <w:rsid w:val="00B53B0B"/>
    <w:rsid w:val="00B53BFF"/>
    <w:rsid w:val="00B53E15"/>
    <w:rsid w:val="00B541AE"/>
    <w:rsid w:val="00B5448F"/>
    <w:rsid w:val="00B54782"/>
    <w:rsid w:val="00B54886"/>
    <w:rsid w:val="00B54A7E"/>
    <w:rsid w:val="00B5512E"/>
    <w:rsid w:val="00B55647"/>
    <w:rsid w:val="00B5574E"/>
    <w:rsid w:val="00B55848"/>
    <w:rsid w:val="00B55A41"/>
    <w:rsid w:val="00B55B5F"/>
    <w:rsid w:val="00B55C17"/>
    <w:rsid w:val="00B55DAF"/>
    <w:rsid w:val="00B562AC"/>
    <w:rsid w:val="00B56585"/>
    <w:rsid w:val="00B5685C"/>
    <w:rsid w:val="00B56BFC"/>
    <w:rsid w:val="00B56C31"/>
    <w:rsid w:val="00B5706E"/>
    <w:rsid w:val="00B5740E"/>
    <w:rsid w:val="00B57499"/>
    <w:rsid w:val="00B57593"/>
    <w:rsid w:val="00B575CE"/>
    <w:rsid w:val="00B57681"/>
    <w:rsid w:val="00B579D3"/>
    <w:rsid w:val="00B57EFA"/>
    <w:rsid w:val="00B601AB"/>
    <w:rsid w:val="00B605BF"/>
    <w:rsid w:val="00B608E5"/>
    <w:rsid w:val="00B609DD"/>
    <w:rsid w:val="00B60A3B"/>
    <w:rsid w:val="00B60ABD"/>
    <w:rsid w:val="00B60CB6"/>
    <w:rsid w:val="00B60D72"/>
    <w:rsid w:val="00B60EC6"/>
    <w:rsid w:val="00B60FCD"/>
    <w:rsid w:val="00B6134A"/>
    <w:rsid w:val="00B6149C"/>
    <w:rsid w:val="00B618EB"/>
    <w:rsid w:val="00B62DCF"/>
    <w:rsid w:val="00B62F87"/>
    <w:rsid w:val="00B6314A"/>
    <w:rsid w:val="00B6331A"/>
    <w:rsid w:val="00B63B5C"/>
    <w:rsid w:val="00B64072"/>
    <w:rsid w:val="00B6417E"/>
    <w:rsid w:val="00B64204"/>
    <w:rsid w:val="00B6449D"/>
    <w:rsid w:val="00B64A4A"/>
    <w:rsid w:val="00B64C5C"/>
    <w:rsid w:val="00B64D83"/>
    <w:rsid w:val="00B64E0E"/>
    <w:rsid w:val="00B6515B"/>
    <w:rsid w:val="00B654A5"/>
    <w:rsid w:val="00B654FB"/>
    <w:rsid w:val="00B656D3"/>
    <w:rsid w:val="00B65778"/>
    <w:rsid w:val="00B657C8"/>
    <w:rsid w:val="00B65874"/>
    <w:rsid w:val="00B663E8"/>
    <w:rsid w:val="00B66573"/>
    <w:rsid w:val="00B6672E"/>
    <w:rsid w:val="00B66A8A"/>
    <w:rsid w:val="00B66D3F"/>
    <w:rsid w:val="00B66F2A"/>
    <w:rsid w:val="00B6714A"/>
    <w:rsid w:val="00B672EF"/>
    <w:rsid w:val="00B6772E"/>
    <w:rsid w:val="00B677E5"/>
    <w:rsid w:val="00B67992"/>
    <w:rsid w:val="00B705F7"/>
    <w:rsid w:val="00B70647"/>
    <w:rsid w:val="00B7069F"/>
    <w:rsid w:val="00B709E4"/>
    <w:rsid w:val="00B70B60"/>
    <w:rsid w:val="00B70C11"/>
    <w:rsid w:val="00B70E99"/>
    <w:rsid w:val="00B71012"/>
    <w:rsid w:val="00B7116D"/>
    <w:rsid w:val="00B711C6"/>
    <w:rsid w:val="00B7139F"/>
    <w:rsid w:val="00B713AD"/>
    <w:rsid w:val="00B718CC"/>
    <w:rsid w:val="00B71A0C"/>
    <w:rsid w:val="00B71A10"/>
    <w:rsid w:val="00B71BAB"/>
    <w:rsid w:val="00B71D1B"/>
    <w:rsid w:val="00B71E8A"/>
    <w:rsid w:val="00B71E96"/>
    <w:rsid w:val="00B72697"/>
    <w:rsid w:val="00B729EC"/>
    <w:rsid w:val="00B72B38"/>
    <w:rsid w:val="00B73080"/>
    <w:rsid w:val="00B7312D"/>
    <w:rsid w:val="00B73156"/>
    <w:rsid w:val="00B73641"/>
    <w:rsid w:val="00B73883"/>
    <w:rsid w:val="00B738FE"/>
    <w:rsid w:val="00B73F57"/>
    <w:rsid w:val="00B740F2"/>
    <w:rsid w:val="00B744A2"/>
    <w:rsid w:val="00B7475E"/>
    <w:rsid w:val="00B74C75"/>
    <w:rsid w:val="00B75022"/>
    <w:rsid w:val="00B750F4"/>
    <w:rsid w:val="00B751E4"/>
    <w:rsid w:val="00B7527D"/>
    <w:rsid w:val="00B755B4"/>
    <w:rsid w:val="00B75B59"/>
    <w:rsid w:val="00B75CB4"/>
    <w:rsid w:val="00B75E30"/>
    <w:rsid w:val="00B76163"/>
    <w:rsid w:val="00B76512"/>
    <w:rsid w:val="00B76C4E"/>
    <w:rsid w:val="00B7708A"/>
    <w:rsid w:val="00B774C1"/>
    <w:rsid w:val="00B77810"/>
    <w:rsid w:val="00B77BB6"/>
    <w:rsid w:val="00B77D81"/>
    <w:rsid w:val="00B77FE4"/>
    <w:rsid w:val="00B805BA"/>
    <w:rsid w:val="00B8061E"/>
    <w:rsid w:val="00B806CC"/>
    <w:rsid w:val="00B8075C"/>
    <w:rsid w:val="00B8082A"/>
    <w:rsid w:val="00B80A37"/>
    <w:rsid w:val="00B81008"/>
    <w:rsid w:val="00B81260"/>
    <w:rsid w:val="00B81474"/>
    <w:rsid w:val="00B81518"/>
    <w:rsid w:val="00B81609"/>
    <w:rsid w:val="00B81DDA"/>
    <w:rsid w:val="00B827BA"/>
    <w:rsid w:val="00B82CC7"/>
    <w:rsid w:val="00B82E62"/>
    <w:rsid w:val="00B83001"/>
    <w:rsid w:val="00B830C3"/>
    <w:rsid w:val="00B83620"/>
    <w:rsid w:val="00B83681"/>
    <w:rsid w:val="00B83BAC"/>
    <w:rsid w:val="00B8408D"/>
    <w:rsid w:val="00B848F9"/>
    <w:rsid w:val="00B84949"/>
    <w:rsid w:val="00B84E35"/>
    <w:rsid w:val="00B855B3"/>
    <w:rsid w:val="00B8564D"/>
    <w:rsid w:val="00B85B6B"/>
    <w:rsid w:val="00B85F5F"/>
    <w:rsid w:val="00B85FB3"/>
    <w:rsid w:val="00B860FE"/>
    <w:rsid w:val="00B8619E"/>
    <w:rsid w:val="00B8628A"/>
    <w:rsid w:val="00B86346"/>
    <w:rsid w:val="00B867FA"/>
    <w:rsid w:val="00B86BAB"/>
    <w:rsid w:val="00B86DEE"/>
    <w:rsid w:val="00B86E77"/>
    <w:rsid w:val="00B87853"/>
    <w:rsid w:val="00B87B62"/>
    <w:rsid w:val="00B87CC4"/>
    <w:rsid w:val="00B9087D"/>
    <w:rsid w:val="00B90E58"/>
    <w:rsid w:val="00B90FF0"/>
    <w:rsid w:val="00B91097"/>
    <w:rsid w:val="00B9111A"/>
    <w:rsid w:val="00B91262"/>
    <w:rsid w:val="00B91425"/>
    <w:rsid w:val="00B915DC"/>
    <w:rsid w:val="00B91A2E"/>
    <w:rsid w:val="00B91ABA"/>
    <w:rsid w:val="00B91C4C"/>
    <w:rsid w:val="00B91E1A"/>
    <w:rsid w:val="00B91F23"/>
    <w:rsid w:val="00B91FE4"/>
    <w:rsid w:val="00B92525"/>
    <w:rsid w:val="00B93467"/>
    <w:rsid w:val="00B940DD"/>
    <w:rsid w:val="00B94110"/>
    <w:rsid w:val="00B94198"/>
    <w:rsid w:val="00B943AD"/>
    <w:rsid w:val="00B94C85"/>
    <w:rsid w:val="00B94DE0"/>
    <w:rsid w:val="00B94E8E"/>
    <w:rsid w:val="00B955DE"/>
    <w:rsid w:val="00B9596D"/>
    <w:rsid w:val="00B959C7"/>
    <w:rsid w:val="00B95EC9"/>
    <w:rsid w:val="00B96278"/>
    <w:rsid w:val="00B964FC"/>
    <w:rsid w:val="00B96508"/>
    <w:rsid w:val="00B969AA"/>
    <w:rsid w:val="00B969DF"/>
    <w:rsid w:val="00B96B77"/>
    <w:rsid w:val="00B96ED1"/>
    <w:rsid w:val="00B96F40"/>
    <w:rsid w:val="00B97AB2"/>
    <w:rsid w:val="00BA0034"/>
    <w:rsid w:val="00BA0552"/>
    <w:rsid w:val="00BA07F7"/>
    <w:rsid w:val="00BA0B71"/>
    <w:rsid w:val="00BA0CE3"/>
    <w:rsid w:val="00BA0EF4"/>
    <w:rsid w:val="00BA0F65"/>
    <w:rsid w:val="00BA101E"/>
    <w:rsid w:val="00BA1879"/>
    <w:rsid w:val="00BA1E86"/>
    <w:rsid w:val="00BA2329"/>
    <w:rsid w:val="00BA274F"/>
    <w:rsid w:val="00BA2BF0"/>
    <w:rsid w:val="00BA2F41"/>
    <w:rsid w:val="00BA3077"/>
    <w:rsid w:val="00BA39B9"/>
    <w:rsid w:val="00BA3A39"/>
    <w:rsid w:val="00BA3BB8"/>
    <w:rsid w:val="00BA3C73"/>
    <w:rsid w:val="00BA3F15"/>
    <w:rsid w:val="00BA44A6"/>
    <w:rsid w:val="00BA4509"/>
    <w:rsid w:val="00BA484B"/>
    <w:rsid w:val="00BA4896"/>
    <w:rsid w:val="00BA4E4D"/>
    <w:rsid w:val="00BA53F4"/>
    <w:rsid w:val="00BA5D2B"/>
    <w:rsid w:val="00BA5E79"/>
    <w:rsid w:val="00BA5E9C"/>
    <w:rsid w:val="00BA5F80"/>
    <w:rsid w:val="00BA600C"/>
    <w:rsid w:val="00BA6052"/>
    <w:rsid w:val="00BA60FB"/>
    <w:rsid w:val="00BA62EF"/>
    <w:rsid w:val="00BA6E42"/>
    <w:rsid w:val="00BA6E6B"/>
    <w:rsid w:val="00BA6F7D"/>
    <w:rsid w:val="00BA73D5"/>
    <w:rsid w:val="00BA7BAC"/>
    <w:rsid w:val="00BA7DDF"/>
    <w:rsid w:val="00BA7E9C"/>
    <w:rsid w:val="00BB0285"/>
    <w:rsid w:val="00BB0395"/>
    <w:rsid w:val="00BB05EC"/>
    <w:rsid w:val="00BB06DB"/>
    <w:rsid w:val="00BB06E7"/>
    <w:rsid w:val="00BB07C1"/>
    <w:rsid w:val="00BB09D1"/>
    <w:rsid w:val="00BB0B31"/>
    <w:rsid w:val="00BB0B7A"/>
    <w:rsid w:val="00BB0BBB"/>
    <w:rsid w:val="00BB0C41"/>
    <w:rsid w:val="00BB0D57"/>
    <w:rsid w:val="00BB0F6C"/>
    <w:rsid w:val="00BB1539"/>
    <w:rsid w:val="00BB1786"/>
    <w:rsid w:val="00BB18FD"/>
    <w:rsid w:val="00BB1A30"/>
    <w:rsid w:val="00BB1A3D"/>
    <w:rsid w:val="00BB1B21"/>
    <w:rsid w:val="00BB1C5F"/>
    <w:rsid w:val="00BB1D75"/>
    <w:rsid w:val="00BB1DCB"/>
    <w:rsid w:val="00BB21F7"/>
    <w:rsid w:val="00BB24A1"/>
    <w:rsid w:val="00BB259C"/>
    <w:rsid w:val="00BB260D"/>
    <w:rsid w:val="00BB2702"/>
    <w:rsid w:val="00BB2CCF"/>
    <w:rsid w:val="00BB3176"/>
    <w:rsid w:val="00BB3957"/>
    <w:rsid w:val="00BB39BB"/>
    <w:rsid w:val="00BB39BE"/>
    <w:rsid w:val="00BB39D5"/>
    <w:rsid w:val="00BB3A11"/>
    <w:rsid w:val="00BB3A1D"/>
    <w:rsid w:val="00BB3C05"/>
    <w:rsid w:val="00BB3D86"/>
    <w:rsid w:val="00BB3DEA"/>
    <w:rsid w:val="00BB3F1B"/>
    <w:rsid w:val="00BB4688"/>
    <w:rsid w:val="00BB50EB"/>
    <w:rsid w:val="00BB5186"/>
    <w:rsid w:val="00BB51D0"/>
    <w:rsid w:val="00BB52D7"/>
    <w:rsid w:val="00BB54B4"/>
    <w:rsid w:val="00BB59FB"/>
    <w:rsid w:val="00BB5D4C"/>
    <w:rsid w:val="00BB5DAA"/>
    <w:rsid w:val="00BB6719"/>
    <w:rsid w:val="00BB672B"/>
    <w:rsid w:val="00BB67BB"/>
    <w:rsid w:val="00BB74A8"/>
    <w:rsid w:val="00BB76D3"/>
    <w:rsid w:val="00BB77D5"/>
    <w:rsid w:val="00BB7853"/>
    <w:rsid w:val="00BB79F4"/>
    <w:rsid w:val="00BB7E86"/>
    <w:rsid w:val="00BC0360"/>
    <w:rsid w:val="00BC04E9"/>
    <w:rsid w:val="00BC06C6"/>
    <w:rsid w:val="00BC094C"/>
    <w:rsid w:val="00BC0DDF"/>
    <w:rsid w:val="00BC0E78"/>
    <w:rsid w:val="00BC10C0"/>
    <w:rsid w:val="00BC16C7"/>
    <w:rsid w:val="00BC1968"/>
    <w:rsid w:val="00BC1CAC"/>
    <w:rsid w:val="00BC1F99"/>
    <w:rsid w:val="00BC1FC0"/>
    <w:rsid w:val="00BC217E"/>
    <w:rsid w:val="00BC2FAF"/>
    <w:rsid w:val="00BC3390"/>
    <w:rsid w:val="00BC41BA"/>
    <w:rsid w:val="00BC4899"/>
    <w:rsid w:val="00BC48F8"/>
    <w:rsid w:val="00BC4B92"/>
    <w:rsid w:val="00BC4CA8"/>
    <w:rsid w:val="00BC4D1D"/>
    <w:rsid w:val="00BC55FD"/>
    <w:rsid w:val="00BC5834"/>
    <w:rsid w:val="00BC5CD5"/>
    <w:rsid w:val="00BC6748"/>
    <w:rsid w:val="00BC6F3C"/>
    <w:rsid w:val="00BC7282"/>
    <w:rsid w:val="00BC7312"/>
    <w:rsid w:val="00BC7D34"/>
    <w:rsid w:val="00BC7E8D"/>
    <w:rsid w:val="00BD07CF"/>
    <w:rsid w:val="00BD0A8C"/>
    <w:rsid w:val="00BD0D25"/>
    <w:rsid w:val="00BD1090"/>
    <w:rsid w:val="00BD11C8"/>
    <w:rsid w:val="00BD12F3"/>
    <w:rsid w:val="00BD17F8"/>
    <w:rsid w:val="00BD1E8B"/>
    <w:rsid w:val="00BD1ED8"/>
    <w:rsid w:val="00BD1EE6"/>
    <w:rsid w:val="00BD2D65"/>
    <w:rsid w:val="00BD2D83"/>
    <w:rsid w:val="00BD3075"/>
    <w:rsid w:val="00BD3274"/>
    <w:rsid w:val="00BD3345"/>
    <w:rsid w:val="00BD35CC"/>
    <w:rsid w:val="00BD3B66"/>
    <w:rsid w:val="00BD3DB0"/>
    <w:rsid w:val="00BD4003"/>
    <w:rsid w:val="00BD40C7"/>
    <w:rsid w:val="00BD444C"/>
    <w:rsid w:val="00BD4557"/>
    <w:rsid w:val="00BD47A6"/>
    <w:rsid w:val="00BD4A92"/>
    <w:rsid w:val="00BD520C"/>
    <w:rsid w:val="00BD54C9"/>
    <w:rsid w:val="00BD56D5"/>
    <w:rsid w:val="00BD56DF"/>
    <w:rsid w:val="00BD5903"/>
    <w:rsid w:val="00BD590A"/>
    <w:rsid w:val="00BD5DBC"/>
    <w:rsid w:val="00BD60CB"/>
    <w:rsid w:val="00BD66F8"/>
    <w:rsid w:val="00BD683B"/>
    <w:rsid w:val="00BD6876"/>
    <w:rsid w:val="00BD6B8F"/>
    <w:rsid w:val="00BD6F0A"/>
    <w:rsid w:val="00BD717B"/>
    <w:rsid w:val="00BD71AB"/>
    <w:rsid w:val="00BD76C4"/>
    <w:rsid w:val="00BD7E03"/>
    <w:rsid w:val="00BE01EB"/>
    <w:rsid w:val="00BE0226"/>
    <w:rsid w:val="00BE022A"/>
    <w:rsid w:val="00BE061C"/>
    <w:rsid w:val="00BE08ED"/>
    <w:rsid w:val="00BE09D9"/>
    <w:rsid w:val="00BE0D69"/>
    <w:rsid w:val="00BE13F9"/>
    <w:rsid w:val="00BE16E4"/>
    <w:rsid w:val="00BE198F"/>
    <w:rsid w:val="00BE26A5"/>
    <w:rsid w:val="00BE2714"/>
    <w:rsid w:val="00BE27CF"/>
    <w:rsid w:val="00BE284E"/>
    <w:rsid w:val="00BE296F"/>
    <w:rsid w:val="00BE2A32"/>
    <w:rsid w:val="00BE2C4D"/>
    <w:rsid w:val="00BE2D86"/>
    <w:rsid w:val="00BE2F69"/>
    <w:rsid w:val="00BE3527"/>
    <w:rsid w:val="00BE3585"/>
    <w:rsid w:val="00BE36D8"/>
    <w:rsid w:val="00BE36EE"/>
    <w:rsid w:val="00BE3A25"/>
    <w:rsid w:val="00BE3DD0"/>
    <w:rsid w:val="00BE3E73"/>
    <w:rsid w:val="00BE44BF"/>
    <w:rsid w:val="00BE48BD"/>
    <w:rsid w:val="00BE4C6E"/>
    <w:rsid w:val="00BE4D38"/>
    <w:rsid w:val="00BE5234"/>
    <w:rsid w:val="00BE5581"/>
    <w:rsid w:val="00BE5CCB"/>
    <w:rsid w:val="00BE5D7E"/>
    <w:rsid w:val="00BE60B5"/>
    <w:rsid w:val="00BE6794"/>
    <w:rsid w:val="00BE68FE"/>
    <w:rsid w:val="00BE6BDD"/>
    <w:rsid w:val="00BE6D35"/>
    <w:rsid w:val="00BE71EF"/>
    <w:rsid w:val="00BE73A5"/>
    <w:rsid w:val="00BE755F"/>
    <w:rsid w:val="00BE7604"/>
    <w:rsid w:val="00BE7D53"/>
    <w:rsid w:val="00BE7E9C"/>
    <w:rsid w:val="00BE7F69"/>
    <w:rsid w:val="00BF0197"/>
    <w:rsid w:val="00BF021F"/>
    <w:rsid w:val="00BF0777"/>
    <w:rsid w:val="00BF07D7"/>
    <w:rsid w:val="00BF0FAB"/>
    <w:rsid w:val="00BF102A"/>
    <w:rsid w:val="00BF1164"/>
    <w:rsid w:val="00BF11A1"/>
    <w:rsid w:val="00BF132E"/>
    <w:rsid w:val="00BF1604"/>
    <w:rsid w:val="00BF1633"/>
    <w:rsid w:val="00BF1702"/>
    <w:rsid w:val="00BF1F97"/>
    <w:rsid w:val="00BF216F"/>
    <w:rsid w:val="00BF2C0C"/>
    <w:rsid w:val="00BF2CA5"/>
    <w:rsid w:val="00BF2E2B"/>
    <w:rsid w:val="00BF2E8B"/>
    <w:rsid w:val="00BF2EB7"/>
    <w:rsid w:val="00BF330C"/>
    <w:rsid w:val="00BF3354"/>
    <w:rsid w:val="00BF33AB"/>
    <w:rsid w:val="00BF35CC"/>
    <w:rsid w:val="00BF3A1E"/>
    <w:rsid w:val="00BF3AF8"/>
    <w:rsid w:val="00BF3B38"/>
    <w:rsid w:val="00BF3B5E"/>
    <w:rsid w:val="00BF3CD5"/>
    <w:rsid w:val="00BF3F03"/>
    <w:rsid w:val="00BF405B"/>
    <w:rsid w:val="00BF44EA"/>
    <w:rsid w:val="00BF4CFF"/>
    <w:rsid w:val="00BF4D1D"/>
    <w:rsid w:val="00BF4F9D"/>
    <w:rsid w:val="00BF52FC"/>
    <w:rsid w:val="00BF53E0"/>
    <w:rsid w:val="00BF5973"/>
    <w:rsid w:val="00BF5A9A"/>
    <w:rsid w:val="00BF61BB"/>
    <w:rsid w:val="00BF630A"/>
    <w:rsid w:val="00BF64E0"/>
    <w:rsid w:val="00BF6555"/>
    <w:rsid w:val="00BF6615"/>
    <w:rsid w:val="00BF6781"/>
    <w:rsid w:val="00BF6A70"/>
    <w:rsid w:val="00BF6FEF"/>
    <w:rsid w:val="00BF7502"/>
    <w:rsid w:val="00BF7A63"/>
    <w:rsid w:val="00BF7E1B"/>
    <w:rsid w:val="00BF7F52"/>
    <w:rsid w:val="00C001DC"/>
    <w:rsid w:val="00C0058E"/>
    <w:rsid w:val="00C006CD"/>
    <w:rsid w:val="00C00866"/>
    <w:rsid w:val="00C0094C"/>
    <w:rsid w:val="00C0098C"/>
    <w:rsid w:val="00C00E2A"/>
    <w:rsid w:val="00C0140F"/>
    <w:rsid w:val="00C0143D"/>
    <w:rsid w:val="00C017CE"/>
    <w:rsid w:val="00C018D3"/>
    <w:rsid w:val="00C01903"/>
    <w:rsid w:val="00C01A37"/>
    <w:rsid w:val="00C01A80"/>
    <w:rsid w:val="00C01AB6"/>
    <w:rsid w:val="00C01AE7"/>
    <w:rsid w:val="00C01C20"/>
    <w:rsid w:val="00C01FCC"/>
    <w:rsid w:val="00C02233"/>
    <w:rsid w:val="00C022E5"/>
    <w:rsid w:val="00C02588"/>
    <w:rsid w:val="00C025B8"/>
    <w:rsid w:val="00C027D9"/>
    <w:rsid w:val="00C0294E"/>
    <w:rsid w:val="00C02C5D"/>
    <w:rsid w:val="00C02E05"/>
    <w:rsid w:val="00C02E6E"/>
    <w:rsid w:val="00C02FA8"/>
    <w:rsid w:val="00C0335A"/>
    <w:rsid w:val="00C037EF"/>
    <w:rsid w:val="00C038A8"/>
    <w:rsid w:val="00C03914"/>
    <w:rsid w:val="00C03CF1"/>
    <w:rsid w:val="00C03DE9"/>
    <w:rsid w:val="00C041E0"/>
    <w:rsid w:val="00C04304"/>
    <w:rsid w:val="00C04820"/>
    <w:rsid w:val="00C048FF"/>
    <w:rsid w:val="00C04989"/>
    <w:rsid w:val="00C04D04"/>
    <w:rsid w:val="00C0534A"/>
    <w:rsid w:val="00C055FF"/>
    <w:rsid w:val="00C05738"/>
    <w:rsid w:val="00C05D3B"/>
    <w:rsid w:val="00C060E9"/>
    <w:rsid w:val="00C06376"/>
    <w:rsid w:val="00C0646C"/>
    <w:rsid w:val="00C065FA"/>
    <w:rsid w:val="00C068D2"/>
    <w:rsid w:val="00C06D90"/>
    <w:rsid w:val="00C06FC3"/>
    <w:rsid w:val="00C0705D"/>
    <w:rsid w:val="00C07A9E"/>
    <w:rsid w:val="00C07B4B"/>
    <w:rsid w:val="00C1006E"/>
    <w:rsid w:val="00C10127"/>
    <w:rsid w:val="00C10A42"/>
    <w:rsid w:val="00C11002"/>
    <w:rsid w:val="00C11106"/>
    <w:rsid w:val="00C11158"/>
    <w:rsid w:val="00C116AE"/>
    <w:rsid w:val="00C11725"/>
    <w:rsid w:val="00C11851"/>
    <w:rsid w:val="00C11870"/>
    <w:rsid w:val="00C11B7E"/>
    <w:rsid w:val="00C12038"/>
    <w:rsid w:val="00C1203D"/>
    <w:rsid w:val="00C1226E"/>
    <w:rsid w:val="00C12728"/>
    <w:rsid w:val="00C128E0"/>
    <w:rsid w:val="00C12946"/>
    <w:rsid w:val="00C129F8"/>
    <w:rsid w:val="00C12A06"/>
    <w:rsid w:val="00C12C80"/>
    <w:rsid w:val="00C1323D"/>
    <w:rsid w:val="00C1367A"/>
    <w:rsid w:val="00C139F0"/>
    <w:rsid w:val="00C13B77"/>
    <w:rsid w:val="00C13C5C"/>
    <w:rsid w:val="00C13CD0"/>
    <w:rsid w:val="00C13E0C"/>
    <w:rsid w:val="00C1433F"/>
    <w:rsid w:val="00C146F9"/>
    <w:rsid w:val="00C148D7"/>
    <w:rsid w:val="00C14DB3"/>
    <w:rsid w:val="00C14EB2"/>
    <w:rsid w:val="00C14FDC"/>
    <w:rsid w:val="00C1537A"/>
    <w:rsid w:val="00C15396"/>
    <w:rsid w:val="00C157F1"/>
    <w:rsid w:val="00C158C7"/>
    <w:rsid w:val="00C158D5"/>
    <w:rsid w:val="00C160E7"/>
    <w:rsid w:val="00C16114"/>
    <w:rsid w:val="00C162B1"/>
    <w:rsid w:val="00C1636B"/>
    <w:rsid w:val="00C165A6"/>
    <w:rsid w:val="00C167FF"/>
    <w:rsid w:val="00C16A8E"/>
    <w:rsid w:val="00C16B0E"/>
    <w:rsid w:val="00C16D6C"/>
    <w:rsid w:val="00C17031"/>
    <w:rsid w:val="00C170CA"/>
    <w:rsid w:val="00C170F6"/>
    <w:rsid w:val="00C171E6"/>
    <w:rsid w:val="00C17213"/>
    <w:rsid w:val="00C17312"/>
    <w:rsid w:val="00C1732C"/>
    <w:rsid w:val="00C1748C"/>
    <w:rsid w:val="00C17729"/>
    <w:rsid w:val="00C178C0"/>
    <w:rsid w:val="00C17B68"/>
    <w:rsid w:val="00C17BB4"/>
    <w:rsid w:val="00C2010B"/>
    <w:rsid w:val="00C20141"/>
    <w:rsid w:val="00C2030E"/>
    <w:rsid w:val="00C207C0"/>
    <w:rsid w:val="00C20FAC"/>
    <w:rsid w:val="00C21124"/>
    <w:rsid w:val="00C21A00"/>
    <w:rsid w:val="00C223DA"/>
    <w:rsid w:val="00C22697"/>
    <w:rsid w:val="00C22711"/>
    <w:rsid w:val="00C22742"/>
    <w:rsid w:val="00C22AD2"/>
    <w:rsid w:val="00C22CD9"/>
    <w:rsid w:val="00C233E7"/>
    <w:rsid w:val="00C23408"/>
    <w:rsid w:val="00C23A32"/>
    <w:rsid w:val="00C23A70"/>
    <w:rsid w:val="00C23CA7"/>
    <w:rsid w:val="00C23D7B"/>
    <w:rsid w:val="00C23EB6"/>
    <w:rsid w:val="00C24B26"/>
    <w:rsid w:val="00C24F2E"/>
    <w:rsid w:val="00C2503E"/>
    <w:rsid w:val="00C252B1"/>
    <w:rsid w:val="00C256B0"/>
    <w:rsid w:val="00C25E44"/>
    <w:rsid w:val="00C25EBE"/>
    <w:rsid w:val="00C2620F"/>
    <w:rsid w:val="00C264A6"/>
    <w:rsid w:val="00C26B96"/>
    <w:rsid w:val="00C26D39"/>
    <w:rsid w:val="00C26EC1"/>
    <w:rsid w:val="00C26F79"/>
    <w:rsid w:val="00C270CD"/>
    <w:rsid w:val="00C271E5"/>
    <w:rsid w:val="00C273A6"/>
    <w:rsid w:val="00C275E4"/>
    <w:rsid w:val="00C27765"/>
    <w:rsid w:val="00C279BF"/>
    <w:rsid w:val="00C27C4B"/>
    <w:rsid w:val="00C27D1C"/>
    <w:rsid w:val="00C27E81"/>
    <w:rsid w:val="00C27FC4"/>
    <w:rsid w:val="00C3071C"/>
    <w:rsid w:val="00C307C0"/>
    <w:rsid w:val="00C308B2"/>
    <w:rsid w:val="00C308E4"/>
    <w:rsid w:val="00C30C7D"/>
    <w:rsid w:val="00C30EE9"/>
    <w:rsid w:val="00C31029"/>
    <w:rsid w:val="00C311C3"/>
    <w:rsid w:val="00C3120B"/>
    <w:rsid w:val="00C31242"/>
    <w:rsid w:val="00C312AB"/>
    <w:rsid w:val="00C31608"/>
    <w:rsid w:val="00C319B3"/>
    <w:rsid w:val="00C31A33"/>
    <w:rsid w:val="00C321CF"/>
    <w:rsid w:val="00C322E4"/>
    <w:rsid w:val="00C323A1"/>
    <w:rsid w:val="00C32F96"/>
    <w:rsid w:val="00C339C4"/>
    <w:rsid w:val="00C33C5D"/>
    <w:rsid w:val="00C34144"/>
    <w:rsid w:val="00C341EA"/>
    <w:rsid w:val="00C3480E"/>
    <w:rsid w:val="00C34A72"/>
    <w:rsid w:val="00C34EB7"/>
    <w:rsid w:val="00C34F2D"/>
    <w:rsid w:val="00C34FAB"/>
    <w:rsid w:val="00C351D9"/>
    <w:rsid w:val="00C35711"/>
    <w:rsid w:val="00C35856"/>
    <w:rsid w:val="00C36199"/>
    <w:rsid w:val="00C36448"/>
    <w:rsid w:val="00C367E0"/>
    <w:rsid w:val="00C36903"/>
    <w:rsid w:val="00C36965"/>
    <w:rsid w:val="00C36ACD"/>
    <w:rsid w:val="00C36D47"/>
    <w:rsid w:val="00C36EAF"/>
    <w:rsid w:val="00C370CA"/>
    <w:rsid w:val="00C372CD"/>
    <w:rsid w:val="00C37359"/>
    <w:rsid w:val="00C374C9"/>
    <w:rsid w:val="00C375FA"/>
    <w:rsid w:val="00C37685"/>
    <w:rsid w:val="00C377D8"/>
    <w:rsid w:val="00C378EC"/>
    <w:rsid w:val="00C40468"/>
    <w:rsid w:val="00C40668"/>
    <w:rsid w:val="00C40759"/>
    <w:rsid w:val="00C40ACF"/>
    <w:rsid w:val="00C40FBF"/>
    <w:rsid w:val="00C41023"/>
    <w:rsid w:val="00C41112"/>
    <w:rsid w:val="00C41124"/>
    <w:rsid w:val="00C411C1"/>
    <w:rsid w:val="00C41515"/>
    <w:rsid w:val="00C4155C"/>
    <w:rsid w:val="00C4155D"/>
    <w:rsid w:val="00C41A13"/>
    <w:rsid w:val="00C41A15"/>
    <w:rsid w:val="00C41AAA"/>
    <w:rsid w:val="00C41DDC"/>
    <w:rsid w:val="00C426EF"/>
    <w:rsid w:val="00C427A9"/>
    <w:rsid w:val="00C428EB"/>
    <w:rsid w:val="00C42EA5"/>
    <w:rsid w:val="00C43446"/>
    <w:rsid w:val="00C43B74"/>
    <w:rsid w:val="00C43DB8"/>
    <w:rsid w:val="00C4417A"/>
    <w:rsid w:val="00C441C2"/>
    <w:rsid w:val="00C44412"/>
    <w:rsid w:val="00C44673"/>
    <w:rsid w:val="00C446BE"/>
    <w:rsid w:val="00C44A54"/>
    <w:rsid w:val="00C45307"/>
    <w:rsid w:val="00C45352"/>
    <w:rsid w:val="00C45728"/>
    <w:rsid w:val="00C458B4"/>
    <w:rsid w:val="00C45BB7"/>
    <w:rsid w:val="00C45C4F"/>
    <w:rsid w:val="00C45E19"/>
    <w:rsid w:val="00C45FF2"/>
    <w:rsid w:val="00C4616B"/>
    <w:rsid w:val="00C466DA"/>
    <w:rsid w:val="00C46A61"/>
    <w:rsid w:val="00C46C51"/>
    <w:rsid w:val="00C46CDA"/>
    <w:rsid w:val="00C4734B"/>
    <w:rsid w:val="00C4735F"/>
    <w:rsid w:val="00C47503"/>
    <w:rsid w:val="00C4761A"/>
    <w:rsid w:val="00C4781D"/>
    <w:rsid w:val="00C47889"/>
    <w:rsid w:val="00C47D09"/>
    <w:rsid w:val="00C47D78"/>
    <w:rsid w:val="00C47E96"/>
    <w:rsid w:val="00C47EDF"/>
    <w:rsid w:val="00C50480"/>
    <w:rsid w:val="00C507BB"/>
    <w:rsid w:val="00C5092A"/>
    <w:rsid w:val="00C509C6"/>
    <w:rsid w:val="00C50A81"/>
    <w:rsid w:val="00C50B3C"/>
    <w:rsid w:val="00C50E2A"/>
    <w:rsid w:val="00C51045"/>
    <w:rsid w:val="00C51888"/>
    <w:rsid w:val="00C51A69"/>
    <w:rsid w:val="00C51B13"/>
    <w:rsid w:val="00C51BEE"/>
    <w:rsid w:val="00C51C25"/>
    <w:rsid w:val="00C51F9C"/>
    <w:rsid w:val="00C520F6"/>
    <w:rsid w:val="00C52764"/>
    <w:rsid w:val="00C528F7"/>
    <w:rsid w:val="00C52BE5"/>
    <w:rsid w:val="00C52C23"/>
    <w:rsid w:val="00C52CFB"/>
    <w:rsid w:val="00C52E50"/>
    <w:rsid w:val="00C531B7"/>
    <w:rsid w:val="00C53277"/>
    <w:rsid w:val="00C5331F"/>
    <w:rsid w:val="00C53AE8"/>
    <w:rsid w:val="00C54052"/>
    <w:rsid w:val="00C548BD"/>
    <w:rsid w:val="00C5512E"/>
    <w:rsid w:val="00C554CE"/>
    <w:rsid w:val="00C55637"/>
    <w:rsid w:val="00C55696"/>
    <w:rsid w:val="00C556BA"/>
    <w:rsid w:val="00C557BB"/>
    <w:rsid w:val="00C55A3C"/>
    <w:rsid w:val="00C55D97"/>
    <w:rsid w:val="00C56053"/>
    <w:rsid w:val="00C561AF"/>
    <w:rsid w:val="00C563FE"/>
    <w:rsid w:val="00C5671E"/>
    <w:rsid w:val="00C56A53"/>
    <w:rsid w:val="00C56E90"/>
    <w:rsid w:val="00C56F77"/>
    <w:rsid w:val="00C57039"/>
    <w:rsid w:val="00C572A4"/>
    <w:rsid w:val="00C573CA"/>
    <w:rsid w:val="00C574E9"/>
    <w:rsid w:val="00C575F4"/>
    <w:rsid w:val="00C57A77"/>
    <w:rsid w:val="00C57E02"/>
    <w:rsid w:val="00C6010F"/>
    <w:rsid w:val="00C601C5"/>
    <w:rsid w:val="00C6035D"/>
    <w:rsid w:val="00C603A8"/>
    <w:rsid w:val="00C6088B"/>
    <w:rsid w:val="00C60B14"/>
    <w:rsid w:val="00C60BD5"/>
    <w:rsid w:val="00C6128F"/>
    <w:rsid w:val="00C61778"/>
    <w:rsid w:val="00C61790"/>
    <w:rsid w:val="00C61A77"/>
    <w:rsid w:val="00C61D59"/>
    <w:rsid w:val="00C61EAC"/>
    <w:rsid w:val="00C62163"/>
    <w:rsid w:val="00C621E3"/>
    <w:rsid w:val="00C62563"/>
    <w:rsid w:val="00C6299A"/>
    <w:rsid w:val="00C62B69"/>
    <w:rsid w:val="00C62F1C"/>
    <w:rsid w:val="00C63CB2"/>
    <w:rsid w:val="00C63D12"/>
    <w:rsid w:val="00C64021"/>
    <w:rsid w:val="00C64165"/>
    <w:rsid w:val="00C641A9"/>
    <w:rsid w:val="00C64488"/>
    <w:rsid w:val="00C6450A"/>
    <w:rsid w:val="00C64883"/>
    <w:rsid w:val="00C64A81"/>
    <w:rsid w:val="00C64BF2"/>
    <w:rsid w:val="00C64DCA"/>
    <w:rsid w:val="00C64F57"/>
    <w:rsid w:val="00C64F69"/>
    <w:rsid w:val="00C6512D"/>
    <w:rsid w:val="00C6558A"/>
    <w:rsid w:val="00C6558F"/>
    <w:rsid w:val="00C65F56"/>
    <w:rsid w:val="00C660E5"/>
    <w:rsid w:val="00C66364"/>
    <w:rsid w:val="00C663F3"/>
    <w:rsid w:val="00C66507"/>
    <w:rsid w:val="00C66707"/>
    <w:rsid w:val="00C6684E"/>
    <w:rsid w:val="00C66B90"/>
    <w:rsid w:val="00C66F7D"/>
    <w:rsid w:val="00C66FE0"/>
    <w:rsid w:val="00C6716D"/>
    <w:rsid w:val="00C672A7"/>
    <w:rsid w:val="00C67494"/>
    <w:rsid w:val="00C67671"/>
    <w:rsid w:val="00C6780E"/>
    <w:rsid w:val="00C67861"/>
    <w:rsid w:val="00C679E5"/>
    <w:rsid w:val="00C67C9F"/>
    <w:rsid w:val="00C67EDF"/>
    <w:rsid w:val="00C67F7F"/>
    <w:rsid w:val="00C70445"/>
    <w:rsid w:val="00C705A0"/>
    <w:rsid w:val="00C70BD5"/>
    <w:rsid w:val="00C70C14"/>
    <w:rsid w:val="00C70D57"/>
    <w:rsid w:val="00C70DC0"/>
    <w:rsid w:val="00C70FC6"/>
    <w:rsid w:val="00C710BA"/>
    <w:rsid w:val="00C7127A"/>
    <w:rsid w:val="00C712F6"/>
    <w:rsid w:val="00C7135B"/>
    <w:rsid w:val="00C71479"/>
    <w:rsid w:val="00C714F6"/>
    <w:rsid w:val="00C71ACD"/>
    <w:rsid w:val="00C71DB5"/>
    <w:rsid w:val="00C71F70"/>
    <w:rsid w:val="00C72137"/>
    <w:rsid w:val="00C7228F"/>
    <w:rsid w:val="00C72318"/>
    <w:rsid w:val="00C7256E"/>
    <w:rsid w:val="00C726C3"/>
    <w:rsid w:val="00C72A0E"/>
    <w:rsid w:val="00C72EBF"/>
    <w:rsid w:val="00C732DE"/>
    <w:rsid w:val="00C73328"/>
    <w:rsid w:val="00C73836"/>
    <w:rsid w:val="00C73895"/>
    <w:rsid w:val="00C73FF9"/>
    <w:rsid w:val="00C7419C"/>
    <w:rsid w:val="00C745DD"/>
    <w:rsid w:val="00C74D08"/>
    <w:rsid w:val="00C75161"/>
    <w:rsid w:val="00C75178"/>
    <w:rsid w:val="00C75428"/>
    <w:rsid w:val="00C754C9"/>
    <w:rsid w:val="00C75709"/>
    <w:rsid w:val="00C75C12"/>
    <w:rsid w:val="00C75C68"/>
    <w:rsid w:val="00C75E9A"/>
    <w:rsid w:val="00C75EE9"/>
    <w:rsid w:val="00C75EF9"/>
    <w:rsid w:val="00C75F41"/>
    <w:rsid w:val="00C7629D"/>
    <w:rsid w:val="00C762A2"/>
    <w:rsid w:val="00C76313"/>
    <w:rsid w:val="00C76523"/>
    <w:rsid w:val="00C76692"/>
    <w:rsid w:val="00C76918"/>
    <w:rsid w:val="00C76952"/>
    <w:rsid w:val="00C76B3D"/>
    <w:rsid w:val="00C77366"/>
    <w:rsid w:val="00C775DF"/>
    <w:rsid w:val="00C77757"/>
    <w:rsid w:val="00C77AF5"/>
    <w:rsid w:val="00C804F2"/>
    <w:rsid w:val="00C806A5"/>
    <w:rsid w:val="00C807BC"/>
    <w:rsid w:val="00C80A8C"/>
    <w:rsid w:val="00C80DA3"/>
    <w:rsid w:val="00C812DA"/>
    <w:rsid w:val="00C814F8"/>
    <w:rsid w:val="00C8190C"/>
    <w:rsid w:val="00C81C3F"/>
    <w:rsid w:val="00C81EF6"/>
    <w:rsid w:val="00C81F47"/>
    <w:rsid w:val="00C81F53"/>
    <w:rsid w:val="00C8228F"/>
    <w:rsid w:val="00C827BF"/>
    <w:rsid w:val="00C82837"/>
    <w:rsid w:val="00C82A88"/>
    <w:rsid w:val="00C82C53"/>
    <w:rsid w:val="00C82D41"/>
    <w:rsid w:val="00C831A0"/>
    <w:rsid w:val="00C831E0"/>
    <w:rsid w:val="00C833E4"/>
    <w:rsid w:val="00C83A0F"/>
    <w:rsid w:val="00C83EEA"/>
    <w:rsid w:val="00C84A89"/>
    <w:rsid w:val="00C86136"/>
    <w:rsid w:val="00C8613B"/>
    <w:rsid w:val="00C86186"/>
    <w:rsid w:val="00C861C0"/>
    <w:rsid w:val="00C86312"/>
    <w:rsid w:val="00C86344"/>
    <w:rsid w:val="00C8661D"/>
    <w:rsid w:val="00C868E5"/>
    <w:rsid w:val="00C86953"/>
    <w:rsid w:val="00C86C07"/>
    <w:rsid w:val="00C86DCB"/>
    <w:rsid w:val="00C86E45"/>
    <w:rsid w:val="00C875C3"/>
    <w:rsid w:val="00C876E4"/>
    <w:rsid w:val="00C87A6D"/>
    <w:rsid w:val="00C87BDB"/>
    <w:rsid w:val="00C87DE1"/>
    <w:rsid w:val="00C90045"/>
    <w:rsid w:val="00C900D7"/>
    <w:rsid w:val="00C90195"/>
    <w:rsid w:val="00C90716"/>
    <w:rsid w:val="00C90873"/>
    <w:rsid w:val="00C90C72"/>
    <w:rsid w:val="00C90DDA"/>
    <w:rsid w:val="00C90FBF"/>
    <w:rsid w:val="00C911B5"/>
    <w:rsid w:val="00C911F5"/>
    <w:rsid w:val="00C91354"/>
    <w:rsid w:val="00C91490"/>
    <w:rsid w:val="00C914A0"/>
    <w:rsid w:val="00C919EE"/>
    <w:rsid w:val="00C91D54"/>
    <w:rsid w:val="00C920AB"/>
    <w:rsid w:val="00C927A8"/>
    <w:rsid w:val="00C927D2"/>
    <w:rsid w:val="00C92920"/>
    <w:rsid w:val="00C92A9E"/>
    <w:rsid w:val="00C92B95"/>
    <w:rsid w:val="00C92C9F"/>
    <w:rsid w:val="00C92D1E"/>
    <w:rsid w:val="00C92D94"/>
    <w:rsid w:val="00C9332E"/>
    <w:rsid w:val="00C9335F"/>
    <w:rsid w:val="00C93565"/>
    <w:rsid w:val="00C938D0"/>
    <w:rsid w:val="00C93DC1"/>
    <w:rsid w:val="00C93EA4"/>
    <w:rsid w:val="00C93FFD"/>
    <w:rsid w:val="00C9449D"/>
    <w:rsid w:val="00C944B0"/>
    <w:rsid w:val="00C944DC"/>
    <w:rsid w:val="00C948E8"/>
    <w:rsid w:val="00C94A5B"/>
    <w:rsid w:val="00C94B9B"/>
    <w:rsid w:val="00C94D68"/>
    <w:rsid w:val="00C94EF3"/>
    <w:rsid w:val="00C94F3B"/>
    <w:rsid w:val="00C95059"/>
    <w:rsid w:val="00C9535B"/>
    <w:rsid w:val="00C953F4"/>
    <w:rsid w:val="00C954F5"/>
    <w:rsid w:val="00C95564"/>
    <w:rsid w:val="00C9559D"/>
    <w:rsid w:val="00C956F5"/>
    <w:rsid w:val="00C95766"/>
    <w:rsid w:val="00C957A6"/>
    <w:rsid w:val="00C957F1"/>
    <w:rsid w:val="00C95AC3"/>
    <w:rsid w:val="00C95C47"/>
    <w:rsid w:val="00C95D9B"/>
    <w:rsid w:val="00C963EB"/>
    <w:rsid w:val="00C966D2"/>
    <w:rsid w:val="00C96752"/>
    <w:rsid w:val="00C96777"/>
    <w:rsid w:val="00C96B1D"/>
    <w:rsid w:val="00C96C95"/>
    <w:rsid w:val="00C96EBA"/>
    <w:rsid w:val="00C9701A"/>
    <w:rsid w:val="00C97034"/>
    <w:rsid w:val="00C97069"/>
    <w:rsid w:val="00C970B1"/>
    <w:rsid w:val="00C974E7"/>
    <w:rsid w:val="00C977F4"/>
    <w:rsid w:val="00C97AF3"/>
    <w:rsid w:val="00C97BA2"/>
    <w:rsid w:val="00C97C14"/>
    <w:rsid w:val="00CA0637"/>
    <w:rsid w:val="00CA065D"/>
    <w:rsid w:val="00CA0DF8"/>
    <w:rsid w:val="00CA16E0"/>
    <w:rsid w:val="00CA196C"/>
    <w:rsid w:val="00CA210A"/>
    <w:rsid w:val="00CA26EE"/>
    <w:rsid w:val="00CA2977"/>
    <w:rsid w:val="00CA29F9"/>
    <w:rsid w:val="00CA2E60"/>
    <w:rsid w:val="00CA345C"/>
    <w:rsid w:val="00CA39E1"/>
    <w:rsid w:val="00CA3B3D"/>
    <w:rsid w:val="00CA4883"/>
    <w:rsid w:val="00CA4975"/>
    <w:rsid w:val="00CA4D09"/>
    <w:rsid w:val="00CA4F35"/>
    <w:rsid w:val="00CA5068"/>
    <w:rsid w:val="00CA51A5"/>
    <w:rsid w:val="00CA5216"/>
    <w:rsid w:val="00CA531B"/>
    <w:rsid w:val="00CA5367"/>
    <w:rsid w:val="00CA5948"/>
    <w:rsid w:val="00CA5BAD"/>
    <w:rsid w:val="00CA5C7B"/>
    <w:rsid w:val="00CA5CAA"/>
    <w:rsid w:val="00CA5DD8"/>
    <w:rsid w:val="00CA60FD"/>
    <w:rsid w:val="00CA64CF"/>
    <w:rsid w:val="00CA65CB"/>
    <w:rsid w:val="00CA670F"/>
    <w:rsid w:val="00CA6728"/>
    <w:rsid w:val="00CA6A14"/>
    <w:rsid w:val="00CA6CBF"/>
    <w:rsid w:val="00CA6D46"/>
    <w:rsid w:val="00CA6EC1"/>
    <w:rsid w:val="00CA6F9C"/>
    <w:rsid w:val="00CA7037"/>
    <w:rsid w:val="00CA729B"/>
    <w:rsid w:val="00CA738F"/>
    <w:rsid w:val="00CA739D"/>
    <w:rsid w:val="00CA73AA"/>
    <w:rsid w:val="00CA743D"/>
    <w:rsid w:val="00CA749C"/>
    <w:rsid w:val="00CA75E9"/>
    <w:rsid w:val="00CA7E27"/>
    <w:rsid w:val="00CB01CA"/>
    <w:rsid w:val="00CB024B"/>
    <w:rsid w:val="00CB0565"/>
    <w:rsid w:val="00CB081F"/>
    <w:rsid w:val="00CB0B35"/>
    <w:rsid w:val="00CB0E57"/>
    <w:rsid w:val="00CB1058"/>
    <w:rsid w:val="00CB157A"/>
    <w:rsid w:val="00CB1B36"/>
    <w:rsid w:val="00CB1B38"/>
    <w:rsid w:val="00CB1B3C"/>
    <w:rsid w:val="00CB1D40"/>
    <w:rsid w:val="00CB211F"/>
    <w:rsid w:val="00CB2212"/>
    <w:rsid w:val="00CB2737"/>
    <w:rsid w:val="00CB2A37"/>
    <w:rsid w:val="00CB2CC8"/>
    <w:rsid w:val="00CB2F38"/>
    <w:rsid w:val="00CB335E"/>
    <w:rsid w:val="00CB352D"/>
    <w:rsid w:val="00CB36E8"/>
    <w:rsid w:val="00CB3965"/>
    <w:rsid w:val="00CB4249"/>
    <w:rsid w:val="00CB4416"/>
    <w:rsid w:val="00CB455D"/>
    <w:rsid w:val="00CB462B"/>
    <w:rsid w:val="00CB4A54"/>
    <w:rsid w:val="00CB4DDD"/>
    <w:rsid w:val="00CB5123"/>
    <w:rsid w:val="00CB56A7"/>
    <w:rsid w:val="00CB56B3"/>
    <w:rsid w:val="00CB570B"/>
    <w:rsid w:val="00CB5723"/>
    <w:rsid w:val="00CB57D6"/>
    <w:rsid w:val="00CB590A"/>
    <w:rsid w:val="00CB59A4"/>
    <w:rsid w:val="00CB5A20"/>
    <w:rsid w:val="00CB5B7E"/>
    <w:rsid w:val="00CB5BBB"/>
    <w:rsid w:val="00CB5CD1"/>
    <w:rsid w:val="00CB5E4F"/>
    <w:rsid w:val="00CB5EB7"/>
    <w:rsid w:val="00CB606B"/>
    <w:rsid w:val="00CB62F9"/>
    <w:rsid w:val="00CB6343"/>
    <w:rsid w:val="00CB6518"/>
    <w:rsid w:val="00CB6AF5"/>
    <w:rsid w:val="00CB6BD8"/>
    <w:rsid w:val="00CB701F"/>
    <w:rsid w:val="00CB7087"/>
    <w:rsid w:val="00CB710B"/>
    <w:rsid w:val="00CB71E8"/>
    <w:rsid w:val="00CB7246"/>
    <w:rsid w:val="00CB74D8"/>
    <w:rsid w:val="00CB7615"/>
    <w:rsid w:val="00CB76EB"/>
    <w:rsid w:val="00CB7741"/>
    <w:rsid w:val="00CB7D1F"/>
    <w:rsid w:val="00CB7D89"/>
    <w:rsid w:val="00CB7DD5"/>
    <w:rsid w:val="00CB7FEB"/>
    <w:rsid w:val="00CC07F0"/>
    <w:rsid w:val="00CC0B56"/>
    <w:rsid w:val="00CC1035"/>
    <w:rsid w:val="00CC16F2"/>
    <w:rsid w:val="00CC1910"/>
    <w:rsid w:val="00CC19A0"/>
    <w:rsid w:val="00CC1ADE"/>
    <w:rsid w:val="00CC1CC1"/>
    <w:rsid w:val="00CC1D5C"/>
    <w:rsid w:val="00CC1DB1"/>
    <w:rsid w:val="00CC20E4"/>
    <w:rsid w:val="00CC2358"/>
    <w:rsid w:val="00CC236C"/>
    <w:rsid w:val="00CC23BA"/>
    <w:rsid w:val="00CC24C1"/>
    <w:rsid w:val="00CC2C3E"/>
    <w:rsid w:val="00CC2E0A"/>
    <w:rsid w:val="00CC2EE3"/>
    <w:rsid w:val="00CC3194"/>
    <w:rsid w:val="00CC3374"/>
    <w:rsid w:val="00CC3552"/>
    <w:rsid w:val="00CC3669"/>
    <w:rsid w:val="00CC3794"/>
    <w:rsid w:val="00CC3AD9"/>
    <w:rsid w:val="00CC3C27"/>
    <w:rsid w:val="00CC3F65"/>
    <w:rsid w:val="00CC3F9D"/>
    <w:rsid w:val="00CC4067"/>
    <w:rsid w:val="00CC415A"/>
    <w:rsid w:val="00CC4B5F"/>
    <w:rsid w:val="00CC4F0F"/>
    <w:rsid w:val="00CC4F7B"/>
    <w:rsid w:val="00CC5330"/>
    <w:rsid w:val="00CC53E3"/>
    <w:rsid w:val="00CC55D3"/>
    <w:rsid w:val="00CC579D"/>
    <w:rsid w:val="00CC5CEB"/>
    <w:rsid w:val="00CC5EC2"/>
    <w:rsid w:val="00CC6031"/>
    <w:rsid w:val="00CC605E"/>
    <w:rsid w:val="00CC6622"/>
    <w:rsid w:val="00CC6676"/>
    <w:rsid w:val="00CC6825"/>
    <w:rsid w:val="00CC69AE"/>
    <w:rsid w:val="00CC6BF4"/>
    <w:rsid w:val="00CC770A"/>
    <w:rsid w:val="00CC7925"/>
    <w:rsid w:val="00CC7A58"/>
    <w:rsid w:val="00CC7A9E"/>
    <w:rsid w:val="00CC7B61"/>
    <w:rsid w:val="00CC7D01"/>
    <w:rsid w:val="00CC7D21"/>
    <w:rsid w:val="00CC7F0D"/>
    <w:rsid w:val="00CC7F91"/>
    <w:rsid w:val="00CC7F97"/>
    <w:rsid w:val="00CD05EB"/>
    <w:rsid w:val="00CD079D"/>
    <w:rsid w:val="00CD0C14"/>
    <w:rsid w:val="00CD1199"/>
    <w:rsid w:val="00CD135D"/>
    <w:rsid w:val="00CD145E"/>
    <w:rsid w:val="00CD1520"/>
    <w:rsid w:val="00CD1901"/>
    <w:rsid w:val="00CD1ABF"/>
    <w:rsid w:val="00CD1B95"/>
    <w:rsid w:val="00CD1D20"/>
    <w:rsid w:val="00CD1DBD"/>
    <w:rsid w:val="00CD21CE"/>
    <w:rsid w:val="00CD275C"/>
    <w:rsid w:val="00CD2BFF"/>
    <w:rsid w:val="00CD2D7C"/>
    <w:rsid w:val="00CD3067"/>
    <w:rsid w:val="00CD3081"/>
    <w:rsid w:val="00CD30C1"/>
    <w:rsid w:val="00CD312E"/>
    <w:rsid w:val="00CD3143"/>
    <w:rsid w:val="00CD3291"/>
    <w:rsid w:val="00CD3903"/>
    <w:rsid w:val="00CD3941"/>
    <w:rsid w:val="00CD3A99"/>
    <w:rsid w:val="00CD3E42"/>
    <w:rsid w:val="00CD43CA"/>
    <w:rsid w:val="00CD4558"/>
    <w:rsid w:val="00CD4788"/>
    <w:rsid w:val="00CD4D85"/>
    <w:rsid w:val="00CD5045"/>
    <w:rsid w:val="00CD554F"/>
    <w:rsid w:val="00CD5D08"/>
    <w:rsid w:val="00CD5D7C"/>
    <w:rsid w:val="00CD5EBD"/>
    <w:rsid w:val="00CD659F"/>
    <w:rsid w:val="00CD6827"/>
    <w:rsid w:val="00CD6D31"/>
    <w:rsid w:val="00CD6EE6"/>
    <w:rsid w:val="00CD6FED"/>
    <w:rsid w:val="00CD70AF"/>
    <w:rsid w:val="00CD74CE"/>
    <w:rsid w:val="00CD75C2"/>
    <w:rsid w:val="00CD763D"/>
    <w:rsid w:val="00CD7EC4"/>
    <w:rsid w:val="00CE0020"/>
    <w:rsid w:val="00CE037E"/>
    <w:rsid w:val="00CE04E8"/>
    <w:rsid w:val="00CE088D"/>
    <w:rsid w:val="00CE08CA"/>
    <w:rsid w:val="00CE0924"/>
    <w:rsid w:val="00CE0D0A"/>
    <w:rsid w:val="00CE0ED6"/>
    <w:rsid w:val="00CE1084"/>
    <w:rsid w:val="00CE114F"/>
    <w:rsid w:val="00CE1258"/>
    <w:rsid w:val="00CE1268"/>
    <w:rsid w:val="00CE15A8"/>
    <w:rsid w:val="00CE1A46"/>
    <w:rsid w:val="00CE20F9"/>
    <w:rsid w:val="00CE2B1A"/>
    <w:rsid w:val="00CE2B5B"/>
    <w:rsid w:val="00CE2BAE"/>
    <w:rsid w:val="00CE2F21"/>
    <w:rsid w:val="00CE2F9B"/>
    <w:rsid w:val="00CE388D"/>
    <w:rsid w:val="00CE3A15"/>
    <w:rsid w:val="00CE3C18"/>
    <w:rsid w:val="00CE3D76"/>
    <w:rsid w:val="00CE4192"/>
    <w:rsid w:val="00CE43C3"/>
    <w:rsid w:val="00CE4456"/>
    <w:rsid w:val="00CE45BB"/>
    <w:rsid w:val="00CE48DE"/>
    <w:rsid w:val="00CE4B1A"/>
    <w:rsid w:val="00CE4F90"/>
    <w:rsid w:val="00CE50FD"/>
    <w:rsid w:val="00CE51B1"/>
    <w:rsid w:val="00CE51C9"/>
    <w:rsid w:val="00CE52AE"/>
    <w:rsid w:val="00CE5754"/>
    <w:rsid w:val="00CE5AEA"/>
    <w:rsid w:val="00CE5D4D"/>
    <w:rsid w:val="00CE5E1C"/>
    <w:rsid w:val="00CE6054"/>
    <w:rsid w:val="00CE6163"/>
    <w:rsid w:val="00CE63F7"/>
    <w:rsid w:val="00CE676B"/>
    <w:rsid w:val="00CE698A"/>
    <w:rsid w:val="00CE6C3D"/>
    <w:rsid w:val="00CE6F2F"/>
    <w:rsid w:val="00CE743D"/>
    <w:rsid w:val="00CE7524"/>
    <w:rsid w:val="00CE76D3"/>
    <w:rsid w:val="00CE7822"/>
    <w:rsid w:val="00CE7B2E"/>
    <w:rsid w:val="00CE7C19"/>
    <w:rsid w:val="00CE7EB0"/>
    <w:rsid w:val="00CF067C"/>
    <w:rsid w:val="00CF0AB8"/>
    <w:rsid w:val="00CF0B97"/>
    <w:rsid w:val="00CF116B"/>
    <w:rsid w:val="00CF117E"/>
    <w:rsid w:val="00CF16A2"/>
    <w:rsid w:val="00CF1919"/>
    <w:rsid w:val="00CF193D"/>
    <w:rsid w:val="00CF19E1"/>
    <w:rsid w:val="00CF21ED"/>
    <w:rsid w:val="00CF24EB"/>
    <w:rsid w:val="00CF259E"/>
    <w:rsid w:val="00CF2820"/>
    <w:rsid w:val="00CF2A41"/>
    <w:rsid w:val="00CF2EA2"/>
    <w:rsid w:val="00CF30B4"/>
    <w:rsid w:val="00CF3554"/>
    <w:rsid w:val="00CF3A00"/>
    <w:rsid w:val="00CF40DB"/>
    <w:rsid w:val="00CF462D"/>
    <w:rsid w:val="00CF47DA"/>
    <w:rsid w:val="00CF48C4"/>
    <w:rsid w:val="00CF5028"/>
    <w:rsid w:val="00CF5154"/>
    <w:rsid w:val="00CF540C"/>
    <w:rsid w:val="00CF5438"/>
    <w:rsid w:val="00CF5631"/>
    <w:rsid w:val="00CF587B"/>
    <w:rsid w:val="00CF5898"/>
    <w:rsid w:val="00CF5BAF"/>
    <w:rsid w:val="00CF5CC2"/>
    <w:rsid w:val="00CF5EBD"/>
    <w:rsid w:val="00CF600E"/>
    <w:rsid w:val="00CF64CC"/>
    <w:rsid w:val="00CF65B4"/>
    <w:rsid w:val="00CF67C7"/>
    <w:rsid w:val="00CF689F"/>
    <w:rsid w:val="00CF6AC3"/>
    <w:rsid w:val="00CF6CB0"/>
    <w:rsid w:val="00CF70BF"/>
    <w:rsid w:val="00CF754F"/>
    <w:rsid w:val="00CF76E4"/>
    <w:rsid w:val="00CF7871"/>
    <w:rsid w:val="00CF789D"/>
    <w:rsid w:val="00CF7A5A"/>
    <w:rsid w:val="00D0052E"/>
    <w:rsid w:val="00D00640"/>
    <w:rsid w:val="00D00876"/>
    <w:rsid w:val="00D00AC7"/>
    <w:rsid w:val="00D00BA4"/>
    <w:rsid w:val="00D00C4A"/>
    <w:rsid w:val="00D011C1"/>
    <w:rsid w:val="00D01302"/>
    <w:rsid w:val="00D01AEF"/>
    <w:rsid w:val="00D01FE7"/>
    <w:rsid w:val="00D02DD2"/>
    <w:rsid w:val="00D02F18"/>
    <w:rsid w:val="00D02FC8"/>
    <w:rsid w:val="00D03230"/>
    <w:rsid w:val="00D036CD"/>
    <w:rsid w:val="00D03DF6"/>
    <w:rsid w:val="00D03F1B"/>
    <w:rsid w:val="00D03FA9"/>
    <w:rsid w:val="00D04208"/>
    <w:rsid w:val="00D04280"/>
    <w:rsid w:val="00D049A6"/>
    <w:rsid w:val="00D04E8E"/>
    <w:rsid w:val="00D04EB3"/>
    <w:rsid w:val="00D05670"/>
    <w:rsid w:val="00D05AE2"/>
    <w:rsid w:val="00D06616"/>
    <w:rsid w:val="00D0665A"/>
    <w:rsid w:val="00D066D4"/>
    <w:rsid w:val="00D06768"/>
    <w:rsid w:val="00D068E5"/>
    <w:rsid w:val="00D06D1B"/>
    <w:rsid w:val="00D06D37"/>
    <w:rsid w:val="00D06E7A"/>
    <w:rsid w:val="00D0709A"/>
    <w:rsid w:val="00D079B5"/>
    <w:rsid w:val="00D079F3"/>
    <w:rsid w:val="00D07ACF"/>
    <w:rsid w:val="00D07D25"/>
    <w:rsid w:val="00D07D79"/>
    <w:rsid w:val="00D105D2"/>
    <w:rsid w:val="00D107D0"/>
    <w:rsid w:val="00D10C8A"/>
    <w:rsid w:val="00D10D25"/>
    <w:rsid w:val="00D10FE2"/>
    <w:rsid w:val="00D111BA"/>
    <w:rsid w:val="00D1131F"/>
    <w:rsid w:val="00D11DA5"/>
    <w:rsid w:val="00D11ED9"/>
    <w:rsid w:val="00D12015"/>
    <w:rsid w:val="00D121B7"/>
    <w:rsid w:val="00D1247C"/>
    <w:rsid w:val="00D127D3"/>
    <w:rsid w:val="00D129A2"/>
    <w:rsid w:val="00D12C85"/>
    <w:rsid w:val="00D12EF2"/>
    <w:rsid w:val="00D13255"/>
    <w:rsid w:val="00D1385E"/>
    <w:rsid w:val="00D1386A"/>
    <w:rsid w:val="00D13870"/>
    <w:rsid w:val="00D139A3"/>
    <w:rsid w:val="00D13CC7"/>
    <w:rsid w:val="00D13D0B"/>
    <w:rsid w:val="00D1439E"/>
    <w:rsid w:val="00D1445E"/>
    <w:rsid w:val="00D14B24"/>
    <w:rsid w:val="00D14BF7"/>
    <w:rsid w:val="00D14C52"/>
    <w:rsid w:val="00D14DCB"/>
    <w:rsid w:val="00D14F27"/>
    <w:rsid w:val="00D1500B"/>
    <w:rsid w:val="00D15431"/>
    <w:rsid w:val="00D1546E"/>
    <w:rsid w:val="00D159BC"/>
    <w:rsid w:val="00D15DBF"/>
    <w:rsid w:val="00D16098"/>
    <w:rsid w:val="00D1635C"/>
    <w:rsid w:val="00D16A7D"/>
    <w:rsid w:val="00D16B6F"/>
    <w:rsid w:val="00D17014"/>
    <w:rsid w:val="00D172C6"/>
    <w:rsid w:val="00D177B9"/>
    <w:rsid w:val="00D17AEE"/>
    <w:rsid w:val="00D17CBF"/>
    <w:rsid w:val="00D17D09"/>
    <w:rsid w:val="00D202B5"/>
    <w:rsid w:val="00D20305"/>
    <w:rsid w:val="00D20748"/>
    <w:rsid w:val="00D2075E"/>
    <w:rsid w:val="00D20D6C"/>
    <w:rsid w:val="00D20E69"/>
    <w:rsid w:val="00D20F79"/>
    <w:rsid w:val="00D2106A"/>
    <w:rsid w:val="00D2138F"/>
    <w:rsid w:val="00D21A95"/>
    <w:rsid w:val="00D21B68"/>
    <w:rsid w:val="00D2208B"/>
    <w:rsid w:val="00D22093"/>
    <w:rsid w:val="00D223DB"/>
    <w:rsid w:val="00D22613"/>
    <w:rsid w:val="00D2269E"/>
    <w:rsid w:val="00D22954"/>
    <w:rsid w:val="00D22C62"/>
    <w:rsid w:val="00D2305E"/>
    <w:rsid w:val="00D233FD"/>
    <w:rsid w:val="00D23496"/>
    <w:rsid w:val="00D2369E"/>
    <w:rsid w:val="00D2388B"/>
    <w:rsid w:val="00D2398D"/>
    <w:rsid w:val="00D241C2"/>
    <w:rsid w:val="00D24551"/>
    <w:rsid w:val="00D248FD"/>
    <w:rsid w:val="00D24C0A"/>
    <w:rsid w:val="00D24CC2"/>
    <w:rsid w:val="00D2500E"/>
    <w:rsid w:val="00D251EB"/>
    <w:rsid w:val="00D25467"/>
    <w:rsid w:val="00D25513"/>
    <w:rsid w:val="00D25678"/>
    <w:rsid w:val="00D2587C"/>
    <w:rsid w:val="00D259F0"/>
    <w:rsid w:val="00D25DB1"/>
    <w:rsid w:val="00D261DB"/>
    <w:rsid w:val="00D262C0"/>
    <w:rsid w:val="00D26376"/>
    <w:rsid w:val="00D2643C"/>
    <w:rsid w:val="00D26552"/>
    <w:rsid w:val="00D2662E"/>
    <w:rsid w:val="00D26759"/>
    <w:rsid w:val="00D26B05"/>
    <w:rsid w:val="00D272A4"/>
    <w:rsid w:val="00D272E9"/>
    <w:rsid w:val="00D27A71"/>
    <w:rsid w:val="00D27EE3"/>
    <w:rsid w:val="00D27EFA"/>
    <w:rsid w:val="00D302ED"/>
    <w:rsid w:val="00D30444"/>
    <w:rsid w:val="00D307DC"/>
    <w:rsid w:val="00D30D4C"/>
    <w:rsid w:val="00D30F7A"/>
    <w:rsid w:val="00D30FB4"/>
    <w:rsid w:val="00D31237"/>
    <w:rsid w:val="00D31435"/>
    <w:rsid w:val="00D314F9"/>
    <w:rsid w:val="00D32275"/>
    <w:rsid w:val="00D322AB"/>
    <w:rsid w:val="00D325DF"/>
    <w:rsid w:val="00D32A95"/>
    <w:rsid w:val="00D332F7"/>
    <w:rsid w:val="00D33612"/>
    <w:rsid w:val="00D33B23"/>
    <w:rsid w:val="00D33B6D"/>
    <w:rsid w:val="00D33E3C"/>
    <w:rsid w:val="00D340E4"/>
    <w:rsid w:val="00D34153"/>
    <w:rsid w:val="00D34474"/>
    <w:rsid w:val="00D344E6"/>
    <w:rsid w:val="00D34988"/>
    <w:rsid w:val="00D34AA1"/>
    <w:rsid w:val="00D34ADA"/>
    <w:rsid w:val="00D34BFB"/>
    <w:rsid w:val="00D34C90"/>
    <w:rsid w:val="00D353D7"/>
    <w:rsid w:val="00D35AC4"/>
    <w:rsid w:val="00D35C60"/>
    <w:rsid w:val="00D35F87"/>
    <w:rsid w:val="00D35FB4"/>
    <w:rsid w:val="00D35FCC"/>
    <w:rsid w:val="00D3632B"/>
    <w:rsid w:val="00D36369"/>
    <w:rsid w:val="00D36452"/>
    <w:rsid w:val="00D36567"/>
    <w:rsid w:val="00D36689"/>
    <w:rsid w:val="00D366C1"/>
    <w:rsid w:val="00D368C8"/>
    <w:rsid w:val="00D368CA"/>
    <w:rsid w:val="00D36DD7"/>
    <w:rsid w:val="00D37093"/>
    <w:rsid w:val="00D37954"/>
    <w:rsid w:val="00D3795D"/>
    <w:rsid w:val="00D37B50"/>
    <w:rsid w:val="00D37C7D"/>
    <w:rsid w:val="00D40716"/>
    <w:rsid w:val="00D40A49"/>
    <w:rsid w:val="00D40CAB"/>
    <w:rsid w:val="00D40CDC"/>
    <w:rsid w:val="00D40D2C"/>
    <w:rsid w:val="00D41946"/>
    <w:rsid w:val="00D41964"/>
    <w:rsid w:val="00D41D17"/>
    <w:rsid w:val="00D41D67"/>
    <w:rsid w:val="00D41D96"/>
    <w:rsid w:val="00D42159"/>
    <w:rsid w:val="00D421BC"/>
    <w:rsid w:val="00D425BF"/>
    <w:rsid w:val="00D42FCC"/>
    <w:rsid w:val="00D43427"/>
    <w:rsid w:val="00D43439"/>
    <w:rsid w:val="00D438E0"/>
    <w:rsid w:val="00D4394A"/>
    <w:rsid w:val="00D44005"/>
    <w:rsid w:val="00D4401C"/>
    <w:rsid w:val="00D44038"/>
    <w:rsid w:val="00D44278"/>
    <w:rsid w:val="00D444F7"/>
    <w:rsid w:val="00D44861"/>
    <w:rsid w:val="00D44A91"/>
    <w:rsid w:val="00D44BDB"/>
    <w:rsid w:val="00D44CE8"/>
    <w:rsid w:val="00D44DBE"/>
    <w:rsid w:val="00D450CC"/>
    <w:rsid w:val="00D45474"/>
    <w:rsid w:val="00D45623"/>
    <w:rsid w:val="00D456A2"/>
    <w:rsid w:val="00D45E11"/>
    <w:rsid w:val="00D45EFB"/>
    <w:rsid w:val="00D45FB0"/>
    <w:rsid w:val="00D4685E"/>
    <w:rsid w:val="00D4689E"/>
    <w:rsid w:val="00D46B3B"/>
    <w:rsid w:val="00D46D19"/>
    <w:rsid w:val="00D46E87"/>
    <w:rsid w:val="00D47549"/>
    <w:rsid w:val="00D476A6"/>
    <w:rsid w:val="00D47742"/>
    <w:rsid w:val="00D47834"/>
    <w:rsid w:val="00D47C3F"/>
    <w:rsid w:val="00D507DE"/>
    <w:rsid w:val="00D509CD"/>
    <w:rsid w:val="00D511E3"/>
    <w:rsid w:val="00D512D9"/>
    <w:rsid w:val="00D51598"/>
    <w:rsid w:val="00D516B2"/>
    <w:rsid w:val="00D519A6"/>
    <w:rsid w:val="00D52238"/>
    <w:rsid w:val="00D522F8"/>
    <w:rsid w:val="00D526A9"/>
    <w:rsid w:val="00D52725"/>
    <w:rsid w:val="00D527F0"/>
    <w:rsid w:val="00D52C40"/>
    <w:rsid w:val="00D53200"/>
    <w:rsid w:val="00D5341F"/>
    <w:rsid w:val="00D535D4"/>
    <w:rsid w:val="00D53943"/>
    <w:rsid w:val="00D53B94"/>
    <w:rsid w:val="00D53C37"/>
    <w:rsid w:val="00D53F7A"/>
    <w:rsid w:val="00D54118"/>
    <w:rsid w:val="00D54152"/>
    <w:rsid w:val="00D5429A"/>
    <w:rsid w:val="00D5430E"/>
    <w:rsid w:val="00D545D5"/>
    <w:rsid w:val="00D54708"/>
    <w:rsid w:val="00D54732"/>
    <w:rsid w:val="00D54CF9"/>
    <w:rsid w:val="00D5500F"/>
    <w:rsid w:val="00D5546C"/>
    <w:rsid w:val="00D5570B"/>
    <w:rsid w:val="00D55983"/>
    <w:rsid w:val="00D55E0A"/>
    <w:rsid w:val="00D564FD"/>
    <w:rsid w:val="00D56774"/>
    <w:rsid w:val="00D568E3"/>
    <w:rsid w:val="00D56DE0"/>
    <w:rsid w:val="00D571C5"/>
    <w:rsid w:val="00D572F0"/>
    <w:rsid w:val="00D57761"/>
    <w:rsid w:val="00D57B6A"/>
    <w:rsid w:val="00D57C62"/>
    <w:rsid w:val="00D57C73"/>
    <w:rsid w:val="00D57FF3"/>
    <w:rsid w:val="00D602B1"/>
    <w:rsid w:val="00D602E7"/>
    <w:rsid w:val="00D603C9"/>
    <w:rsid w:val="00D60448"/>
    <w:rsid w:val="00D60891"/>
    <w:rsid w:val="00D609D2"/>
    <w:rsid w:val="00D609FB"/>
    <w:rsid w:val="00D60C01"/>
    <w:rsid w:val="00D60CB2"/>
    <w:rsid w:val="00D610A8"/>
    <w:rsid w:val="00D6130A"/>
    <w:rsid w:val="00D61453"/>
    <w:rsid w:val="00D61B59"/>
    <w:rsid w:val="00D61C5A"/>
    <w:rsid w:val="00D61CF7"/>
    <w:rsid w:val="00D61DA1"/>
    <w:rsid w:val="00D61E75"/>
    <w:rsid w:val="00D61E84"/>
    <w:rsid w:val="00D61F41"/>
    <w:rsid w:val="00D620A1"/>
    <w:rsid w:val="00D622BA"/>
    <w:rsid w:val="00D623FA"/>
    <w:rsid w:val="00D62680"/>
    <w:rsid w:val="00D6269D"/>
    <w:rsid w:val="00D6307B"/>
    <w:rsid w:val="00D6311C"/>
    <w:rsid w:val="00D63273"/>
    <w:rsid w:val="00D632AB"/>
    <w:rsid w:val="00D632D5"/>
    <w:rsid w:val="00D63A13"/>
    <w:rsid w:val="00D63EC4"/>
    <w:rsid w:val="00D640B5"/>
    <w:rsid w:val="00D64139"/>
    <w:rsid w:val="00D646BC"/>
    <w:rsid w:val="00D64F73"/>
    <w:rsid w:val="00D65A42"/>
    <w:rsid w:val="00D65AD4"/>
    <w:rsid w:val="00D65B72"/>
    <w:rsid w:val="00D65B73"/>
    <w:rsid w:val="00D65D7F"/>
    <w:rsid w:val="00D65F70"/>
    <w:rsid w:val="00D66411"/>
    <w:rsid w:val="00D66584"/>
    <w:rsid w:val="00D6722A"/>
    <w:rsid w:val="00D6761A"/>
    <w:rsid w:val="00D676A6"/>
    <w:rsid w:val="00D67C3F"/>
    <w:rsid w:val="00D70137"/>
    <w:rsid w:val="00D7034F"/>
    <w:rsid w:val="00D70521"/>
    <w:rsid w:val="00D705E9"/>
    <w:rsid w:val="00D705F7"/>
    <w:rsid w:val="00D70899"/>
    <w:rsid w:val="00D70A7D"/>
    <w:rsid w:val="00D70B18"/>
    <w:rsid w:val="00D70BF7"/>
    <w:rsid w:val="00D70C6E"/>
    <w:rsid w:val="00D70EAD"/>
    <w:rsid w:val="00D712E1"/>
    <w:rsid w:val="00D713F5"/>
    <w:rsid w:val="00D7191F"/>
    <w:rsid w:val="00D71A7D"/>
    <w:rsid w:val="00D71C73"/>
    <w:rsid w:val="00D71CF5"/>
    <w:rsid w:val="00D71F44"/>
    <w:rsid w:val="00D7251E"/>
    <w:rsid w:val="00D72BAA"/>
    <w:rsid w:val="00D72D24"/>
    <w:rsid w:val="00D7340B"/>
    <w:rsid w:val="00D735E1"/>
    <w:rsid w:val="00D7374E"/>
    <w:rsid w:val="00D73824"/>
    <w:rsid w:val="00D73AF0"/>
    <w:rsid w:val="00D743FA"/>
    <w:rsid w:val="00D74821"/>
    <w:rsid w:val="00D74866"/>
    <w:rsid w:val="00D74AB4"/>
    <w:rsid w:val="00D74EFD"/>
    <w:rsid w:val="00D75164"/>
    <w:rsid w:val="00D754D6"/>
    <w:rsid w:val="00D754EC"/>
    <w:rsid w:val="00D7559B"/>
    <w:rsid w:val="00D7566C"/>
    <w:rsid w:val="00D75747"/>
    <w:rsid w:val="00D7577F"/>
    <w:rsid w:val="00D75852"/>
    <w:rsid w:val="00D75E70"/>
    <w:rsid w:val="00D75F6F"/>
    <w:rsid w:val="00D7602C"/>
    <w:rsid w:val="00D7607F"/>
    <w:rsid w:val="00D7620F"/>
    <w:rsid w:val="00D762F2"/>
    <w:rsid w:val="00D7634F"/>
    <w:rsid w:val="00D763D6"/>
    <w:rsid w:val="00D764C5"/>
    <w:rsid w:val="00D76563"/>
    <w:rsid w:val="00D766AF"/>
    <w:rsid w:val="00D7681A"/>
    <w:rsid w:val="00D76ECC"/>
    <w:rsid w:val="00D77091"/>
    <w:rsid w:val="00D77173"/>
    <w:rsid w:val="00D772B4"/>
    <w:rsid w:val="00D7755F"/>
    <w:rsid w:val="00D7785B"/>
    <w:rsid w:val="00D77B16"/>
    <w:rsid w:val="00D77E0F"/>
    <w:rsid w:val="00D77F22"/>
    <w:rsid w:val="00D77F81"/>
    <w:rsid w:val="00D80C8B"/>
    <w:rsid w:val="00D80D5C"/>
    <w:rsid w:val="00D80DF1"/>
    <w:rsid w:val="00D81158"/>
    <w:rsid w:val="00D813DB"/>
    <w:rsid w:val="00D815D7"/>
    <w:rsid w:val="00D8169C"/>
    <w:rsid w:val="00D818EA"/>
    <w:rsid w:val="00D81A3A"/>
    <w:rsid w:val="00D81B43"/>
    <w:rsid w:val="00D81BB7"/>
    <w:rsid w:val="00D81D8E"/>
    <w:rsid w:val="00D81EEA"/>
    <w:rsid w:val="00D81FD7"/>
    <w:rsid w:val="00D81FF8"/>
    <w:rsid w:val="00D821C1"/>
    <w:rsid w:val="00D828E4"/>
    <w:rsid w:val="00D82960"/>
    <w:rsid w:val="00D8298C"/>
    <w:rsid w:val="00D82D09"/>
    <w:rsid w:val="00D82E8C"/>
    <w:rsid w:val="00D831F2"/>
    <w:rsid w:val="00D83482"/>
    <w:rsid w:val="00D83A1A"/>
    <w:rsid w:val="00D83AF4"/>
    <w:rsid w:val="00D83F05"/>
    <w:rsid w:val="00D842AD"/>
    <w:rsid w:val="00D84696"/>
    <w:rsid w:val="00D84831"/>
    <w:rsid w:val="00D84857"/>
    <w:rsid w:val="00D84AD4"/>
    <w:rsid w:val="00D84C07"/>
    <w:rsid w:val="00D84FC2"/>
    <w:rsid w:val="00D85451"/>
    <w:rsid w:val="00D85536"/>
    <w:rsid w:val="00D85723"/>
    <w:rsid w:val="00D85734"/>
    <w:rsid w:val="00D85C45"/>
    <w:rsid w:val="00D85CD3"/>
    <w:rsid w:val="00D85D6B"/>
    <w:rsid w:val="00D85E4F"/>
    <w:rsid w:val="00D86292"/>
    <w:rsid w:val="00D862F7"/>
    <w:rsid w:val="00D863B9"/>
    <w:rsid w:val="00D865D2"/>
    <w:rsid w:val="00D869FA"/>
    <w:rsid w:val="00D86A2B"/>
    <w:rsid w:val="00D8707F"/>
    <w:rsid w:val="00D870BE"/>
    <w:rsid w:val="00D87483"/>
    <w:rsid w:val="00D8758F"/>
    <w:rsid w:val="00D8784E"/>
    <w:rsid w:val="00D87C32"/>
    <w:rsid w:val="00D87C4A"/>
    <w:rsid w:val="00D87CCC"/>
    <w:rsid w:val="00D87D8F"/>
    <w:rsid w:val="00D87E07"/>
    <w:rsid w:val="00D90A8C"/>
    <w:rsid w:val="00D90E68"/>
    <w:rsid w:val="00D91111"/>
    <w:rsid w:val="00D9124C"/>
    <w:rsid w:val="00D913F3"/>
    <w:rsid w:val="00D9148A"/>
    <w:rsid w:val="00D916A6"/>
    <w:rsid w:val="00D917A9"/>
    <w:rsid w:val="00D92134"/>
    <w:rsid w:val="00D922C4"/>
    <w:rsid w:val="00D92362"/>
    <w:rsid w:val="00D9245D"/>
    <w:rsid w:val="00D928D2"/>
    <w:rsid w:val="00D92AF5"/>
    <w:rsid w:val="00D92E21"/>
    <w:rsid w:val="00D932F9"/>
    <w:rsid w:val="00D93630"/>
    <w:rsid w:val="00D938EB"/>
    <w:rsid w:val="00D9391E"/>
    <w:rsid w:val="00D93926"/>
    <w:rsid w:val="00D93C26"/>
    <w:rsid w:val="00D93DC4"/>
    <w:rsid w:val="00D9444E"/>
    <w:rsid w:val="00D9454E"/>
    <w:rsid w:val="00D94E30"/>
    <w:rsid w:val="00D95414"/>
    <w:rsid w:val="00D95571"/>
    <w:rsid w:val="00D95924"/>
    <w:rsid w:val="00D95F4E"/>
    <w:rsid w:val="00D965D6"/>
    <w:rsid w:val="00D966E2"/>
    <w:rsid w:val="00D97121"/>
    <w:rsid w:val="00D974A1"/>
    <w:rsid w:val="00D97AA1"/>
    <w:rsid w:val="00D97C2E"/>
    <w:rsid w:val="00D97FC7"/>
    <w:rsid w:val="00DA01E2"/>
    <w:rsid w:val="00DA053C"/>
    <w:rsid w:val="00DA0938"/>
    <w:rsid w:val="00DA0CCD"/>
    <w:rsid w:val="00DA0F33"/>
    <w:rsid w:val="00DA0F97"/>
    <w:rsid w:val="00DA105C"/>
    <w:rsid w:val="00DA12EC"/>
    <w:rsid w:val="00DA1877"/>
    <w:rsid w:val="00DA18F0"/>
    <w:rsid w:val="00DA195A"/>
    <w:rsid w:val="00DA19C1"/>
    <w:rsid w:val="00DA1BBF"/>
    <w:rsid w:val="00DA1BF9"/>
    <w:rsid w:val="00DA1CBB"/>
    <w:rsid w:val="00DA1F1B"/>
    <w:rsid w:val="00DA23B7"/>
    <w:rsid w:val="00DA251C"/>
    <w:rsid w:val="00DA2723"/>
    <w:rsid w:val="00DA2743"/>
    <w:rsid w:val="00DA2926"/>
    <w:rsid w:val="00DA2B0D"/>
    <w:rsid w:val="00DA2FE0"/>
    <w:rsid w:val="00DA3198"/>
    <w:rsid w:val="00DA31AB"/>
    <w:rsid w:val="00DA3998"/>
    <w:rsid w:val="00DA3A46"/>
    <w:rsid w:val="00DA3EAF"/>
    <w:rsid w:val="00DA3EF3"/>
    <w:rsid w:val="00DA420E"/>
    <w:rsid w:val="00DA4225"/>
    <w:rsid w:val="00DA426A"/>
    <w:rsid w:val="00DA4352"/>
    <w:rsid w:val="00DA4581"/>
    <w:rsid w:val="00DA4785"/>
    <w:rsid w:val="00DA478F"/>
    <w:rsid w:val="00DA5315"/>
    <w:rsid w:val="00DA59B6"/>
    <w:rsid w:val="00DA59F3"/>
    <w:rsid w:val="00DA5CDF"/>
    <w:rsid w:val="00DA6378"/>
    <w:rsid w:val="00DA6531"/>
    <w:rsid w:val="00DA65A6"/>
    <w:rsid w:val="00DA687C"/>
    <w:rsid w:val="00DA6C92"/>
    <w:rsid w:val="00DA6F6E"/>
    <w:rsid w:val="00DA708B"/>
    <w:rsid w:val="00DA70AF"/>
    <w:rsid w:val="00DA71E5"/>
    <w:rsid w:val="00DA7354"/>
    <w:rsid w:val="00DA7489"/>
    <w:rsid w:val="00DA79FC"/>
    <w:rsid w:val="00DA7B3E"/>
    <w:rsid w:val="00DA7B90"/>
    <w:rsid w:val="00DA7DC8"/>
    <w:rsid w:val="00DA7E5E"/>
    <w:rsid w:val="00DB0039"/>
    <w:rsid w:val="00DB0155"/>
    <w:rsid w:val="00DB0325"/>
    <w:rsid w:val="00DB0CA2"/>
    <w:rsid w:val="00DB1513"/>
    <w:rsid w:val="00DB180A"/>
    <w:rsid w:val="00DB186B"/>
    <w:rsid w:val="00DB19BF"/>
    <w:rsid w:val="00DB1A19"/>
    <w:rsid w:val="00DB217B"/>
    <w:rsid w:val="00DB2289"/>
    <w:rsid w:val="00DB22B8"/>
    <w:rsid w:val="00DB2585"/>
    <w:rsid w:val="00DB25A3"/>
    <w:rsid w:val="00DB2668"/>
    <w:rsid w:val="00DB2BD2"/>
    <w:rsid w:val="00DB31A3"/>
    <w:rsid w:val="00DB353D"/>
    <w:rsid w:val="00DB3588"/>
    <w:rsid w:val="00DB362F"/>
    <w:rsid w:val="00DB38D5"/>
    <w:rsid w:val="00DB39CF"/>
    <w:rsid w:val="00DB3A7C"/>
    <w:rsid w:val="00DB3AD9"/>
    <w:rsid w:val="00DB3B37"/>
    <w:rsid w:val="00DB3B82"/>
    <w:rsid w:val="00DB3F93"/>
    <w:rsid w:val="00DB40CB"/>
    <w:rsid w:val="00DB44A8"/>
    <w:rsid w:val="00DB4885"/>
    <w:rsid w:val="00DB4F81"/>
    <w:rsid w:val="00DB5073"/>
    <w:rsid w:val="00DB5145"/>
    <w:rsid w:val="00DB54E7"/>
    <w:rsid w:val="00DB5830"/>
    <w:rsid w:val="00DB58F7"/>
    <w:rsid w:val="00DB5D11"/>
    <w:rsid w:val="00DB5E35"/>
    <w:rsid w:val="00DB5FD0"/>
    <w:rsid w:val="00DB6082"/>
    <w:rsid w:val="00DB6212"/>
    <w:rsid w:val="00DB6245"/>
    <w:rsid w:val="00DB68BC"/>
    <w:rsid w:val="00DB6A6F"/>
    <w:rsid w:val="00DB6E2D"/>
    <w:rsid w:val="00DB7012"/>
    <w:rsid w:val="00DB724B"/>
    <w:rsid w:val="00DB74C9"/>
    <w:rsid w:val="00DB75BF"/>
    <w:rsid w:val="00DB77E7"/>
    <w:rsid w:val="00DB7985"/>
    <w:rsid w:val="00DB7BD4"/>
    <w:rsid w:val="00DB7CD8"/>
    <w:rsid w:val="00DB7E2D"/>
    <w:rsid w:val="00DC0156"/>
    <w:rsid w:val="00DC0525"/>
    <w:rsid w:val="00DC0671"/>
    <w:rsid w:val="00DC0796"/>
    <w:rsid w:val="00DC09CF"/>
    <w:rsid w:val="00DC09E7"/>
    <w:rsid w:val="00DC0A83"/>
    <w:rsid w:val="00DC0AC5"/>
    <w:rsid w:val="00DC0C17"/>
    <w:rsid w:val="00DC0D0E"/>
    <w:rsid w:val="00DC0D6B"/>
    <w:rsid w:val="00DC0DD8"/>
    <w:rsid w:val="00DC0FD9"/>
    <w:rsid w:val="00DC11BA"/>
    <w:rsid w:val="00DC198F"/>
    <w:rsid w:val="00DC1B7B"/>
    <w:rsid w:val="00DC1C10"/>
    <w:rsid w:val="00DC1CCA"/>
    <w:rsid w:val="00DC1FF2"/>
    <w:rsid w:val="00DC2157"/>
    <w:rsid w:val="00DC2358"/>
    <w:rsid w:val="00DC23F9"/>
    <w:rsid w:val="00DC2530"/>
    <w:rsid w:val="00DC2873"/>
    <w:rsid w:val="00DC2B3B"/>
    <w:rsid w:val="00DC2E32"/>
    <w:rsid w:val="00DC2E56"/>
    <w:rsid w:val="00DC3131"/>
    <w:rsid w:val="00DC31B6"/>
    <w:rsid w:val="00DC33A1"/>
    <w:rsid w:val="00DC349F"/>
    <w:rsid w:val="00DC39A8"/>
    <w:rsid w:val="00DC39AF"/>
    <w:rsid w:val="00DC39E5"/>
    <w:rsid w:val="00DC3B2B"/>
    <w:rsid w:val="00DC3DF5"/>
    <w:rsid w:val="00DC3E5B"/>
    <w:rsid w:val="00DC48C1"/>
    <w:rsid w:val="00DC4A59"/>
    <w:rsid w:val="00DC4AD9"/>
    <w:rsid w:val="00DC4C15"/>
    <w:rsid w:val="00DC4FC1"/>
    <w:rsid w:val="00DC50DD"/>
    <w:rsid w:val="00DC54F2"/>
    <w:rsid w:val="00DC553F"/>
    <w:rsid w:val="00DC5973"/>
    <w:rsid w:val="00DC5AB8"/>
    <w:rsid w:val="00DC5B40"/>
    <w:rsid w:val="00DC5B8E"/>
    <w:rsid w:val="00DC5CE7"/>
    <w:rsid w:val="00DC61F0"/>
    <w:rsid w:val="00DC63FD"/>
    <w:rsid w:val="00DC6424"/>
    <w:rsid w:val="00DC68AD"/>
    <w:rsid w:val="00DC6996"/>
    <w:rsid w:val="00DC6B57"/>
    <w:rsid w:val="00DC6B58"/>
    <w:rsid w:val="00DC6ED2"/>
    <w:rsid w:val="00DC6EE6"/>
    <w:rsid w:val="00DC6F50"/>
    <w:rsid w:val="00DC7704"/>
    <w:rsid w:val="00DC7A2C"/>
    <w:rsid w:val="00DC7AA3"/>
    <w:rsid w:val="00DC7C54"/>
    <w:rsid w:val="00DC7F62"/>
    <w:rsid w:val="00DD0633"/>
    <w:rsid w:val="00DD0748"/>
    <w:rsid w:val="00DD0846"/>
    <w:rsid w:val="00DD0DCE"/>
    <w:rsid w:val="00DD10A9"/>
    <w:rsid w:val="00DD1122"/>
    <w:rsid w:val="00DD1786"/>
    <w:rsid w:val="00DD1A98"/>
    <w:rsid w:val="00DD1AA5"/>
    <w:rsid w:val="00DD1AF0"/>
    <w:rsid w:val="00DD1C52"/>
    <w:rsid w:val="00DD224B"/>
    <w:rsid w:val="00DD230C"/>
    <w:rsid w:val="00DD2418"/>
    <w:rsid w:val="00DD25F1"/>
    <w:rsid w:val="00DD2658"/>
    <w:rsid w:val="00DD26F3"/>
    <w:rsid w:val="00DD2728"/>
    <w:rsid w:val="00DD3285"/>
    <w:rsid w:val="00DD33CA"/>
    <w:rsid w:val="00DD34BF"/>
    <w:rsid w:val="00DD3615"/>
    <w:rsid w:val="00DD381E"/>
    <w:rsid w:val="00DD3865"/>
    <w:rsid w:val="00DD3A44"/>
    <w:rsid w:val="00DD3D5C"/>
    <w:rsid w:val="00DD40C7"/>
    <w:rsid w:val="00DD460A"/>
    <w:rsid w:val="00DD461C"/>
    <w:rsid w:val="00DD46A0"/>
    <w:rsid w:val="00DD480B"/>
    <w:rsid w:val="00DD4AC6"/>
    <w:rsid w:val="00DD4F39"/>
    <w:rsid w:val="00DD50E4"/>
    <w:rsid w:val="00DD535D"/>
    <w:rsid w:val="00DD5EC5"/>
    <w:rsid w:val="00DD5EE3"/>
    <w:rsid w:val="00DD5FB6"/>
    <w:rsid w:val="00DD6128"/>
    <w:rsid w:val="00DD6149"/>
    <w:rsid w:val="00DD61AD"/>
    <w:rsid w:val="00DD61D1"/>
    <w:rsid w:val="00DD6478"/>
    <w:rsid w:val="00DD64FF"/>
    <w:rsid w:val="00DD6527"/>
    <w:rsid w:val="00DD6F66"/>
    <w:rsid w:val="00DD7404"/>
    <w:rsid w:val="00DD7C0B"/>
    <w:rsid w:val="00DD7F98"/>
    <w:rsid w:val="00DE023F"/>
    <w:rsid w:val="00DE059A"/>
    <w:rsid w:val="00DE06AC"/>
    <w:rsid w:val="00DE0957"/>
    <w:rsid w:val="00DE0BAE"/>
    <w:rsid w:val="00DE0BDE"/>
    <w:rsid w:val="00DE0D88"/>
    <w:rsid w:val="00DE0E42"/>
    <w:rsid w:val="00DE191A"/>
    <w:rsid w:val="00DE1968"/>
    <w:rsid w:val="00DE1B84"/>
    <w:rsid w:val="00DE1D55"/>
    <w:rsid w:val="00DE218D"/>
    <w:rsid w:val="00DE2557"/>
    <w:rsid w:val="00DE27EC"/>
    <w:rsid w:val="00DE2AC8"/>
    <w:rsid w:val="00DE2B0A"/>
    <w:rsid w:val="00DE2D9F"/>
    <w:rsid w:val="00DE2DB2"/>
    <w:rsid w:val="00DE2FEB"/>
    <w:rsid w:val="00DE35C3"/>
    <w:rsid w:val="00DE3ADE"/>
    <w:rsid w:val="00DE3B59"/>
    <w:rsid w:val="00DE3D7E"/>
    <w:rsid w:val="00DE3DA5"/>
    <w:rsid w:val="00DE4020"/>
    <w:rsid w:val="00DE472C"/>
    <w:rsid w:val="00DE473F"/>
    <w:rsid w:val="00DE4DE0"/>
    <w:rsid w:val="00DE51DB"/>
    <w:rsid w:val="00DE53E6"/>
    <w:rsid w:val="00DE5513"/>
    <w:rsid w:val="00DE5720"/>
    <w:rsid w:val="00DE585B"/>
    <w:rsid w:val="00DE58E8"/>
    <w:rsid w:val="00DE5A40"/>
    <w:rsid w:val="00DE5B37"/>
    <w:rsid w:val="00DE5D44"/>
    <w:rsid w:val="00DE5D8A"/>
    <w:rsid w:val="00DE5F88"/>
    <w:rsid w:val="00DE62CF"/>
    <w:rsid w:val="00DE64D1"/>
    <w:rsid w:val="00DE64DC"/>
    <w:rsid w:val="00DE64E8"/>
    <w:rsid w:val="00DE652A"/>
    <w:rsid w:val="00DE65CE"/>
    <w:rsid w:val="00DE661C"/>
    <w:rsid w:val="00DE68F0"/>
    <w:rsid w:val="00DE6B28"/>
    <w:rsid w:val="00DE6FEE"/>
    <w:rsid w:val="00DE705A"/>
    <w:rsid w:val="00DE70F5"/>
    <w:rsid w:val="00DE712A"/>
    <w:rsid w:val="00DE716F"/>
    <w:rsid w:val="00DE720F"/>
    <w:rsid w:val="00DE72A6"/>
    <w:rsid w:val="00DE73B5"/>
    <w:rsid w:val="00DE74FA"/>
    <w:rsid w:val="00DE7B52"/>
    <w:rsid w:val="00DE7DE3"/>
    <w:rsid w:val="00DF07C1"/>
    <w:rsid w:val="00DF07E4"/>
    <w:rsid w:val="00DF0905"/>
    <w:rsid w:val="00DF0B3F"/>
    <w:rsid w:val="00DF0D78"/>
    <w:rsid w:val="00DF0E1C"/>
    <w:rsid w:val="00DF0EB9"/>
    <w:rsid w:val="00DF0F24"/>
    <w:rsid w:val="00DF10B9"/>
    <w:rsid w:val="00DF1931"/>
    <w:rsid w:val="00DF1A9E"/>
    <w:rsid w:val="00DF1B98"/>
    <w:rsid w:val="00DF1C9C"/>
    <w:rsid w:val="00DF1EE5"/>
    <w:rsid w:val="00DF20CB"/>
    <w:rsid w:val="00DF220A"/>
    <w:rsid w:val="00DF24EB"/>
    <w:rsid w:val="00DF26E1"/>
    <w:rsid w:val="00DF29BB"/>
    <w:rsid w:val="00DF2CDF"/>
    <w:rsid w:val="00DF2D14"/>
    <w:rsid w:val="00DF2D46"/>
    <w:rsid w:val="00DF2FF1"/>
    <w:rsid w:val="00DF31DB"/>
    <w:rsid w:val="00DF31F6"/>
    <w:rsid w:val="00DF3E40"/>
    <w:rsid w:val="00DF3F6A"/>
    <w:rsid w:val="00DF4161"/>
    <w:rsid w:val="00DF41D1"/>
    <w:rsid w:val="00DF41E3"/>
    <w:rsid w:val="00DF44BE"/>
    <w:rsid w:val="00DF4950"/>
    <w:rsid w:val="00DF4B26"/>
    <w:rsid w:val="00DF4C38"/>
    <w:rsid w:val="00DF4FD5"/>
    <w:rsid w:val="00DF532E"/>
    <w:rsid w:val="00DF567A"/>
    <w:rsid w:val="00DF5690"/>
    <w:rsid w:val="00DF5868"/>
    <w:rsid w:val="00DF5A47"/>
    <w:rsid w:val="00DF5E40"/>
    <w:rsid w:val="00DF5EF7"/>
    <w:rsid w:val="00DF5FA3"/>
    <w:rsid w:val="00DF60E3"/>
    <w:rsid w:val="00DF6129"/>
    <w:rsid w:val="00DF638E"/>
    <w:rsid w:val="00DF6709"/>
    <w:rsid w:val="00DF6D38"/>
    <w:rsid w:val="00DF7093"/>
    <w:rsid w:val="00DF71D1"/>
    <w:rsid w:val="00DF72C5"/>
    <w:rsid w:val="00DF7308"/>
    <w:rsid w:val="00DF7485"/>
    <w:rsid w:val="00DF77D5"/>
    <w:rsid w:val="00DF79E8"/>
    <w:rsid w:val="00DF7A89"/>
    <w:rsid w:val="00DF7E65"/>
    <w:rsid w:val="00DF7E6C"/>
    <w:rsid w:val="00E000C0"/>
    <w:rsid w:val="00E001B4"/>
    <w:rsid w:val="00E0048B"/>
    <w:rsid w:val="00E00514"/>
    <w:rsid w:val="00E008D1"/>
    <w:rsid w:val="00E00A60"/>
    <w:rsid w:val="00E00AD1"/>
    <w:rsid w:val="00E00CF1"/>
    <w:rsid w:val="00E011A1"/>
    <w:rsid w:val="00E011A8"/>
    <w:rsid w:val="00E01225"/>
    <w:rsid w:val="00E0129A"/>
    <w:rsid w:val="00E01397"/>
    <w:rsid w:val="00E01CE0"/>
    <w:rsid w:val="00E020B2"/>
    <w:rsid w:val="00E021E8"/>
    <w:rsid w:val="00E023A7"/>
    <w:rsid w:val="00E0248C"/>
    <w:rsid w:val="00E025AE"/>
    <w:rsid w:val="00E02682"/>
    <w:rsid w:val="00E029AD"/>
    <w:rsid w:val="00E02B12"/>
    <w:rsid w:val="00E03001"/>
    <w:rsid w:val="00E030DB"/>
    <w:rsid w:val="00E0317A"/>
    <w:rsid w:val="00E03765"/>
    <w:rsid w:val="00E0393A"/>
    <w:rsid w:val="00E03974"/>
    <w:rsid w:val="00E03AD9"/>
    <w:rsid w:val="00E03AF9"/>
    <w:rsid w:val="00E03B77"/>
    <w:rsid w:val="00E041F4"/>
    <w:rsid w:val="00E04314"/>
    <w:rsid w:val="00E0504A"/>
    <w:rsid w:val="00E05702"/>
    <w:rsid w:val="00E061B1"/>
    <w:rsid w:val="00E065BE"/>
    <w:rsid w:val="00E06AE1"/>
    <w:rsid w:val="00E075D9"/>
    <w:rsid w:val="00E07618"/>
    <w:rsid w:val="00E07640"/>
    <w:rsid w:val="00E07778"/>
    <w:rsid w:val="00E07784"/>
    <w:rsid w:val="00E07CD1"/>
    <w:rsid w:val="00E07F19"/>
    <w:rsid w:val="00E1026B"/>
    <w:rsid w:val="00E107D5"/>
    <w:rsid w:val="00E10886"/>
    <w:rsid w:val="00E10FB8"/>
    <w:rsid w:val="00E10FFD"/>
    <w:rsid w:val="00E11026"/>
    <w:rsid w:val="00E11212"/>
    <w:rsid w:val="00E11508"/>
    <w:rsid w:val="00E118A1"/>
    <w:rsid w:val="00E11A99"/>
    <w:rsid w:val="00E12324"/>
    <w:rsid w:val="00E12352"/>
    <w:rsid w:val="00E124AD"/>
    <w:rsid w:val="00E12663"/>
    <w:rsid w:val="00E128E2"/>
    <w:rsid w:val="00E12AA7"/>
    <w:rsid w:val="00E133C6"/>
    <w:rsid w:val="00E13463"/>
    <w:rsid w:val="00E134A4"/>
    <w:rsid w:val="00E139C3"/>
    <w:rsid w:val="00E13BFA"/>
    <w:rsid w:val="00E13CFC"/>
    <w:rsid w:val="00E14677"/>
    <w:rsid w:val="00E1468A"/>
    <w:rsid w:val="00E149E8"/>
    <w:rsid w:val="00E14CD3"/>
    <w:rsid w:val="00E14ECF"/>
    <w:rsid w:val="00E1525D"/>
    <w:rsid w:val="00E15319"/>
    <w:rsid w:val="00E15545"/>
    <w:rsid w:val="00E1562B"/>
    <w:rsid w:val="00E156ED"/>
    <w:rsid w:val="00E15A18"/>
    <w:rsid w:val="00E15BB8"/>
    <w:rsid w:val="00E15D6E"/>
    <w:rsid w:val="00E1629F"/>
    <w:rsid w:val="00E16867"/>
    <w:rsid w:val="00E16B63"/>
    <w:rsid w:val="00E16C19"/>
    <w:rsid w:val="00E16C2E"/>
    <w:rsid w:val="00E16E33"/>
    <w:rsid w:val="00E170C8"/>
    <w:rsid w:val="00E17722"/>
    <w:rsid w:val="00E1787A"/>
    <w:rsid w:val="00E179AD"/>
    <w:rsid w:val="00E17A46"/>
    <w:rsid w:val="00E17AA8"/>
    <w:rsid w:val="00E17C21"/>
    <w:rsid w:val="00E20231"/>
    <w:rsid w:val="00E202B5"/>
    <w:rsid w:val="00E206D1"/>
    <w:rsid w:val="00E207B5"/>
    <w:rsid w:val="00E208B8"/>
    <w:rsid w:val="00E20B62"/>
    <w:rsid w:val="00E20C6D"/>
    <w:rsid w:val="00E20F86"/>
    <w:rsid w:val="00E21AF7"/>
    <w:rsid w:val="00E21DF5"/>
    <w:rsid w:val="00E22535"/>
    <w:rsid w:val="00E228A3"/>
    <w:rsid w:val="00E22A1F"/>
    <w:rsid w:val="00E22C77"/>
    <w:rsid w:val="00E238F1"/>
    <w:rsid w:val="00E238FD"/>
    <w:rsid w:val="00E23CEF"/>
    <w:rsid w:val="00E23D10"/>
    <w:rsid w:val="00E2400D"/>
    <w:rsid w:val="00E240D0"/>
    <w:rsid w:val="00E2417E"/>
    <w:rsid w:val="00E242C3"/>
    <w:rsid w:val="00E24395"/>
    <w:rsid w:val="00E24A60"/>
    <w:rsid w:val="00E24BC4"/>
    <w:rsid w:val="00E25333"/>
    <w:rsid w:val="00E25442"/>
    <w:rsid w:val="00E255CE"/>
    <w:rsid w:val="00E25806"/>
    <w:rsid w:val="00E25B04"/>
    <w:rsid w:val="00E25BA5"/>
    <w:rsid w:val="00E25C43"/>
    <w:rsid w:val="00E25CC6"/>
    <w:rsid w:val="00E25E70"/>
    <w:rsid w:val="00E2603D"/>
    <w:rsid w:val="00E2624F"/>
    <w:rsid w:val="00E268F3"/>
    <w:rsid w:val="00E26AFA"/>
    <w:rsid w:val="00E26BDB"/>
    <w:rsid w:val="00E26F3E"/>
    <w:rsid w:val="00E27102"/>
    <w:rsid w:val="00E27553"/>
    <w:rsid w:val="00E27869"/>
    <w:rsid w:val="00E301F8"/>
    <w:rsid w:val="00E3033D"/>
    <w:rsid w:val="00E30348"/>
    <w:rsid w:val="00E3046F"/>
    <w:rsid w:val="00E30734"/>
    <w:rsid w:val="00E3074E"/>
    <w:rsid w:val="00E30984"/>
    <w:rsid w:val="00E30B26"/>
    <w:rsid w:val="00E30C5F"/>
    <w:rsid w:val="00E30D13"/>
    <w:rsid w:val="00E30EA3"/>
    <w:rsid w:val="00E31210"/>
    <w:rsid w:val="00E31A15"/>
    <w:rsid w:val="00E31B21"/>
    <w:rsid w:val="00E31BD3"/>
    <w:rsid w:val="00E31F57"/>
    <w:rsid w:val="00E32033"/>
    <w:rsid w:val="00E321BE"/>
    <w:rsid w:val="00E32287"/>
    <w:rsid w:val="00E323ED"/>
    <w:rsid w:val="00E32579"/>
    <w:rsid w:val="00E32641"/>
    <w:rsid w:val="00E32866"/>
    <w:rsid w:val="00E32CD8"/>
    <w:rsid w:val="00E32D0F"/>
    <w:rsid w:val="00E330F1"/>
    <w:rsid w:val="00E33140"/>
    <w:rsid w:val="00E3329F"/>
    <w:rsid w:val="00E333E1"/>
    <w:rsid w:val="00E33508"/>
    <w:rsid w:val="00E33931"/>
    <w:rsid w:val="00E33F8A"/>
    <w:rsid w:val="00E34152"/>
    <w:rsid w:val="00E34171"/>
    <w:rsid w:val="00E347D5"/>
    <w:rsid w:val="00E349C5"/>
    <w:rsid w:val="00E34C5C"/>
    <w:rsid w:val="00E34F57"/>
    <w:rsid w:val="00E34F94"/>
    <w:rsid w:val="00E35011"/>
    <w:rsid w:val="00E35240"/>
    <w:rsid w:val="00E3557F"/>
    <w:rsid w:val="00E35782"/>
    <w:rsid w:val="00E358E9"/>
    <w:rsid w:val="00E359C9"/>
    <w:rsid w:val="00E35A26"/>
    <w:rsid w:val="00E35B62"/>
    <w:rsid w:val="00E35BEB"/>
    <w:rsid w:val="00E35EB7"/>
    <w:rsid w:val="00E36117"/>
    <w:rsid w:val="00E36235"/>
    <w:rsid w:val="00E3666F"/>
    <w:rsid w:val="00E366F4"/>
    <w:rsid w:val="00E3676A"/>
    <w:rsid w:val="00E367CF"/>
    <w:rsid w:val="00E369C8"/>
    <w:rsid w:val="00E36B67"/>
    <w:rsid w:val="00E36DBB"/>
    <w:rsid w:val="00E36F90"/>
    <w:rsid w:val="00E37BA1"/>
    <w:rsid w:val="00E40200"/>
    <w:rsid w:val="00E40305"/>
    <w:rsid w:val="00E40870"/>
    <w:rsid w:val="00E408A4"/>
    <w:rsid w:val="00E408E2"/>
    <w:rsid w:val="00E40D34"/>
    <w:rsid w:val="00E410E9"/>
    <w:rsid w:val="00E4127A"/>
    <w:rsid w:val="00E41379"/>
    <w:rsid w:val="00E4157E"/>
    <w:rsid w:val="00E416ED"/>
    <w:rsid w:val="00E41807"/>
    <w:rsid w:val="00E41AB9"/>
    <w:rsid w:val="00E41D01"/>
    <w:rsid w:val="00E41D87"/>
    <w:rsid w:val="00E41E48"/>
    <w:rsid w:val="00E42072"/>
    <w:rsid w:val="00E4236D"/>
    <w:rsid w:val="00E427DB"/>
    <w:rsid w:val="00E42C5A"/>
    <w:rsid w:val="00E42FBE"/>
    <w:rsid w:val="00E43007"/>
    <w:rsid w:val="00E43837"/>
    <w:rsid w:val="00E4394E"/>
    <w:rsid w:val="00E439C3"/>
    <w:rsid w:val="00E43A6C"/>
    <w:rsid w:val="00E43B41"/>
    <w:rsid w:val="00E43B9A"/>
    <w:rsid w:val="00E43BA2"/>
    <w:rsid w:val="00E43E5E"/>
    <w:rsid w:val="00E44055"/>
    <w:rsid w:val="00E44390"/>
    <w:rsid w:val="00E443F2"/>
    <w:rsid w:val="00E44636"/>
    <w:rsid w:val="00E44814"/>
    <w:rsid w:val="00E44853"/>
    <w:rsid w:val="00E44920"/>
    <w:rsid w:val="00E44968"/>
    <w:rsid w:val="00E44B65"/>
    <w:rsid w:val="00E44D2F"/>
    <w:rsid w:val="00E451F7"/>
    <w:rsid w:val="00E452A6"/>
    <w:rsid w:val="00E45367"/>
    <w:rsid w:val="00E4554F"/>
    <w:rsid w:val="00E456D6"/>
    <w:rsid w:val="00E45AA5"/>
    <w:rsid w:val="00E45C49"/>
    <w:rsid w:val="00E45DC4"/>
    <w:rsid w:val="00E46025"/>
    <w:rsid w:val="00E46106"/>
    <w:rsid w:val="00E46589"/>
    <w:rsid w:val="00E465B2"/>
    <w:rsid w:val="00E46702"/>
    <w:rsid w:val="00E467B1"/>
    <w:rsid w:val="00E467B2"/>
    <w:rsid w:val="00E46A58"/>
    <w:rsid w:val="00E46C41"/>
    <w:rsid w:val="00E46D5B"/>
    <w:rsid w:val="00E4722C"/>
    <w:rsid w:val="00E47263"/>
    <w:rsid w:val="00E47509"/>
    <w:rsid w:val="00E475FA"/>
    <w:rsid w:val="00E47943"/>
    <w:rsid w:val="00E479A3"/>
    <w:rsid w:val="00E47AA0"/>
    <w:rsid w:val="00E47BC7"/>
    <w:rsid w:val="00E47D35"/>
    <w:rsid w:val="00E50289"/>
    <w:rsid w:val="00E50373"/>
    <w:rsid w:val="00E5148C"/>
    <w:rsid w:val="00E516D5"/>
    <w:rsid w:val="00E51F14"/>
    <w:rsid w:val="00E51F53"/>
    <w:rsid w:val="00E521BB"/>
    <w:rsid w:val="00E521D5"/>
    <w:rsid w:val="00E52627"/>
    <w:rsid w:val="00E52877"/>
    <w:rsid w:val="00E52F1F"/>
    <w:rsid w:val="00E53307"/>
    <w:rsid w:val="00E53344"/>
    <w:rsid w:val="00E53546"/>
    <w:rsid w:val="00E5369E"/>
    <w:rsid w:val="00E5371B"/>
    <w:rsid w:val="00E53A18"/>
    <w:rsid w:val="00E53B2F"/>
    <w:rsid w:val="00E53D89"/>
    <w:rsid w:val="00E53F61"/>
    <w:rsid w:val="00E53FB7"/>
    <w:rsid w:val="00E5407D"/>
    <w:rsid w:val="00E541B5"/>
    <w:rsid w:val="00E54673"/>
    <w:rsid w:val="00E548BC"/>
    <w:rsid w:val="00E54972"/>
    <w:rsid w:val="00E54A5F"/>
    <w:rsid w:val="00E54C0D"/>
    <w:rsid w:val="00E54D68"/>
    <w:rsid w:val="00E54D79"/>
    <w:rsid w:val="00E54DC4"/>
    <w:rsid w:val="00E54F58"/>
    <w:rsid w:val="00E554CC"/>
    <w:rsid w:val="00E554E4"/>
    <w:rsid w:val="00E556AC"/>
    <w:rsid w:val="00E55A31"/>
    <w:rsid w:val="00E55CF0"/>
    <w:rsid w:val="00E55CF2"/>
    <w:rsid w:val="00E562EF"/>
    <w:rsid w:val="00E56D84"/>
    <w:rsid w:val="00E56D99"/>
    <w:rsid w:val="00E57344"/>
    <w:rsid w:val="00E57505"/>
    <w:rsid w:val="00E5751E"/>
    <w:rsid w:val="00E57663"/>
    <w:rsid w:val="00E57FD4"/>
    <w:rsid w:val="00E60660"/>
    <w:rsid w:val="00E609EF"/>
    <w:rsid w:val="00E60A31"/>
    <w:rsid w:val="00E60C8F"/>
    <w:rsid w:val="00E60DD6"/>
    <w:rsid w:val="00E60E91"/>
    <w:rsid w:val="00E60ECF"/>
    <w:rsid w:val="00E60F21"/>
    <w:rsid w:val="00E61355"/>
    <w:rsid w:val="00E614B2"/>
    <w:rsid w:val="00E61664"/>
    <w:rsid w:val="00E61784"/>
    <w:rsid w:val="00E61906"/>
    <w:rsid w:val="00E61D06"/>
    <w:rsid w:val="00E61D25"/>
    <w:rsid w:val="00E61D60"/>
    <w:rsid w:val="00E61EDE"/>
    <w:rsid w:val="00E62022"/>
    <w:rsid w:val="00E622C1"/>
    <w:rsid w:val="00E626DE"/>
    <w:rsid w:val="00E6292D"/>
    <w:rsid w:val="00E62C94"/>
    <w:rsid w:val="00E6347E"/>
    <w:rsid w:val="00E634C6"/>
    <w:rsid w:val="00E635C5"/>
    <w:rsid w:val="00E6387F"/>
    <w:rsid w:val="00E63AC8"/>
    <w:rsid w:val="00E63FB0"/>
    <w:rsid w:val="00E64013"/>
    <w:rsid w:val="00E645FA"/>
    <w:rsid w:val="00E646AE"/>
    <w:rsid w:val="00E6496B"/>
    <w:rsid w:val="00E649CD"/>
    <w:rsid w:val="00E64E33"/>
    <w:rsid w:val="00E65432"/>
    <w:rsid w:val="00E65471"/>
    <w:rsid w:val="00E654B9"/>
    <w:rsid w:val="00E656DC"/>
    <w:rsid w:val="00E6671F"/>
    <w:rsid w:val="00E669B2"/>
    <w:rsid w:val="00E66D42"/>
    <w:rsid w:val="00E67114"/>
    <w:rsid w:val="00E67573"/>
    <w:rsid w:val="00E6784F"/>
    <w:rsid w:val="00E67871"/>
    <w:rsid w:val="00E67955"/>
    <w:rsid w:val="00E67BE3"/>
    <w:rsid w:val="00E67C39"/>
    <w:rsid w:val="00E7004D"/>
    <w:rsid w:val="00E703F7"/>
    <w:rsid w:val="00E70566"/>
    <w:rsid w:val="00E705D7"/>
    <w:rsid w:val="00E706C3"/>
    <w:rsid w:val="00E708DD"/>
    <w:rsid w:val="00E70AA1"/>
    <w:rsid w:val="00E70EFA"/>
    <w:rsid w:val="00E71036"/>
    <w:rsid w:val="00E712DE"/>
    <w:rsid w:val="00E716D1"/>
    <w:rsid w:val="00E717D5"/>
    <w:rsid w:val="00E719FA"/>
    <w:rsid w:val="00E71E97"/>
    <w:rsid w:val="00E71F3F"/>
    <w:rsid w:val="00E721B8"/>
    <w:rsid w:val="00E72484"/>
    <w:rsid w:val="00E72647"/>
    <w:rsid w:val="00E72806"/>
    <w:rsid w:val="00E72858"/>
    <w:rsid w:val="00E72AE4"/>
    <w:rsid w:val="00E72DD4"/>
    <w:rsid w:val="00E72EF4"/>
    <w:rsid w:val="00E72F92"/>
    <w:rsid w:val="00E73248"/>
    <w:rsid w:val="00E734F1"/>
    <w:rsid w:val="00E73AFB"/>
    <w:rsid w:val="00E73C95"/>
    <w:rsid w:val="00E73D47"/>
    <w:rsid w:val="00E73F34"/>
    <w:rsid w:val="00E74058"/>
    <w:rsid w:val="00E74429"/>
    <w:rsid w:val="00E745AB"/>
    <w:rsid w:val="00E748FB"/>
    <w:rsid w:val="00E74C5A"/>
    <w:rsid w:val="00E74CA6"/>
    <w:rsid w:val="00E74D14"/>
    <w:rsid w:val="00E74E63"/>
    <w:rsid w:val="00E74EDE"/>
    <w:rsid w:val="00E74FBD"/>
    <w:rsid w:val="00E7501B"/>
    <w:rsid w:val="00E75386"/>
    <w:rsid w:val="00E753B8"/>
    <w:rsid w:val="00E756BE"/>
    <w:rsid w:val="00E75819"/>
    <w:rsid w:val="00E758C4"/>
    <w:rsid w:val="00E75969"/>
    <w:rsid w:val="00E75E08"/>
    <w:rsid w:val="00E75F45"/>
    <w:rsid w:val="00E762F8"/>
    <w:rsid w:val="00E768FC"/>
    <w:rsid w:val="00E769BC"/>
    <w:rsid w:val="00E76A3C"/>
    <w:rsid w:val="00E76C3E"/>
    <w:rsid w:val="00E771D6"/>
    <w:rsid w:val="00E77333"/>
    <w:rsid w:val="00E77B99"/>
    <w:rsid w:val="00E77D91"/>
    <w:rsid w:val="00E77F7A"/>
    <w:rsid w:val="00E803A9"/>
    <w:rsid w:val="00E80495"/>
    <w:rsid w:val="00E8051D"/>
    <w:rsid w:val="00E8098F"/>
    <w:rsid w:val="00E80C5A"/>
    <w:rsid w:val="00E80CAC"/>
    <w:rsid w:val="00E80DB5"/>
    <w:rsid w:val="00E80E1C"/>
    <w:rsid w:val="00E822DB"/>
    <w:rsid w:val="00E8238B"/>
    <w:rsid w:val="00E82589"/>
    <w:rsid w:val="00E8286B"/>
    <w:rsid w:val="00E82B53"/>
    <w:rsid w:val="00E83259"/>
    <w:rsid w:val="00E833AF"/>
    <w:rsid w:val="00E833FB"/>
    <w:rsid w:val="00E834DD"/>
    <w:rsid w:val="00E837B6"/>
    <w:rsid w:val="00E83984"/>
    <w:rsid w:val="00E83B71"/>
    <w:rsid w:val="00E83CFF"/>
    <w:rsid w:val="00E844E9"/>
    <w:rsid w:val="00E84849"/>
    <w:rsid w:val="00E8498A"/>
    <w:rsid w:val="00E849B0"/>
    <w:rsid w:val="00E849CC"/>
    <w:rsid w:val="00E84BEC"/>
    <w:rsid w:val="00E8533A"/>
    <w:rsid w:val="00E856C1"/>
    <w:rsid w:val="00E85B2A"/>
    <w:rsid w:val="00E85F84"/>
    <w:rsid w:val="00E8617E"/>
    <w:rsid w:val="00E863DD"/>
    <w:rsid w:val="00E86429"/>
    <w:rsid w:val="00E86661"/>
    <w:rsid w:val="00E86682"/>
    <w:rsid w:val="00E866C1"/>
    <w:rsid w:val="00E86F06"/>
    <w:rsid w:val="00E87134"/>
    <w:rsid w:val="00E87CC8"/>
    <w:rsid w:val="00E9068D"/>
    <w:rsid w:val="00E90771"/>
    <w:rsid w:val="00E907D5"/>
    <w:rsid w:val="00E90E1C"/>
    <w:rsid w:val="00E90F6F"/>
    <w:rsid w:val="00E91248"/>
    <w:rsid w:val="00E912E4"/>
    <w:rsid w:val="00E9153A"/>
    <w:rsid w:val="00E91581"/>
    <w:rsid w:val="00E918C9"/>
    <w:rsid w:val="00E921EC"/>
    <w:rsid w:val="00E923EB"/>
    <w:rsid w:val="00E9254F"/>
    <w:rsid w:val="00E9278C"/>
    <w:rsid w:val="00E9283F"/>
    <w:rsid w:val="00E9288A"/>
    <w:rsid w:val="00E928FB"/>
    <w:rsid w:val="00E9297F"/>
    <w:rsid w:val="00E92A0A"/>
    <w:rsid w:val="00E92BD0"/>
    <w:rsid w:val="00E930B3"/>
    <w:rsid w:val="00E9310C"/>
    <w:rsid w:val="00E93202"/>
    <w:rsid w:val="00E93386"/>
    <w:rsid w:val="00E9345F"/>
    <w:rsid w:val="00E934EF"/>
    <w:rsid w:val="00E9366F"/>
    <w:rsid w:val="00E9378A"/>
    <w:rsid w:val="00E93AA8"/>
    <w:rsid w:val="00E93DD8"/>
    <w:rsid w:val="00E940BB"/>
    <w:rsid w:val="00E94279"/>
    <w:rsid w:val="00E942DA"/>
    <w:rsid w:val="00E94325"/>
    <w:rsid w:val="00E948C4"/>
    <w:rsid w:val="00E94D2F"/>
    <w:rsid w:val="00E94E8E"/>
    <w:rsid w:val="00E95224"/>
    <w:rsid w:val="00E95677"/>
    <w:rsid w:val="00E95679"/>
    <w:rsid w:val="00E9589A"/>
    <w:rsid w:val="00E95E1F"/>
    <w:rsid w:val="00E961CE"/>
    <w:rsid w:val="00E96BF2"/>
    <w:rsid w:val="00E96F47"/>
    <w:rsid w:val="00E96FB4"/>
    <w:rsid w:val="00E970B8"/>
    <w:rsid w:val="00E97426"/>
    <w:rsid w:val="00E9749E"/>
    <w:rsid w:val="00E97780"/>
    <w:rsid w:val="00E978D0"/>
    <w:rsid w:val="00E97C3A"/>
    <w:rsid w:val="00E97E33"/>
    <w:rsid w:val="00EA01C9"/>
    <w:rsid w:val="00EA036C"/>
    <w:rsid w:val="00EA0428"/>
    <w:rsid w:val="00EA0455"/>
    <w:rsid w:val="00EA06F9"/>
    <w:rsid w:val="00EA073E"/>
    <w:rsid w:val="00EA0931"/>
    <w:rsid w:val="00EA09AA"/>
    <w:rsid w:val="00EA1071"/>
    <w:rsid w:val="00EA1076"/>
    <w:rsid w:val="00EA10C8"/>
    <w:rsid w:val="00EA1137"/>
    <w:rsid w:val="00EA12E3"/>
    <w:rsid w:val="00EA147C"/>
    <w:rsid w:val="00EA179F"/>
    <w:rsid w:val="00EA17B1"/>
    <w:rsid w:val="00EA19F7"/>
    <w:rsid w:val="00EA1C19"/>
    <w:rsid w:val="00EA22B5"/>
    <w:rsid w:val="00EA230F"/>
    <w:rsid w:val="00EA2499"/>
    <w:rsid w:val="00EA2727"/>
    <w:rsid w:val="00EA2972"/>
    <w:rsid w:val="00EA2B47"/>
    <w:rsid w:val="00EA2B57"/>
    <w:rsid w:val="00EA2DE5"/>
    <w:rsid w:val="00EA3795"/>
    <w:rsid w:val="00EA37C0"/>
    <w:rsid w:val="00EA3825"/>
    <w:rsid w:val="00EA382A"/>
    <w:rsid w:val="00EA3836"/>
    <w:rsid w:val="00EA39A4"/>
    <w:rsid w:val="00EA3A9F"/>
    <w:rsid w:val="00EA3C40"/>
    <w:rsid w:val="00EA41B8"/>
    <w:rsid w:val="00EA41E9"/>
    <w:rsid w:val="00EA41EE"/>
    <w:rsid w:val="00EA4429"/>
    <w:rsid w:val="00EA4C46"/>
    <w:rsid w:val="00EA4E93"/>
    <w:rsid w:val="00EA5063"/>
    <w:rsid w:val="00EA5079"/>
    <w:rsid w:val="00EA50DF"/>
    <w:rsid w:val="00EA51DC"/>
    <w:rsid w:val="00EA52A1"/>
    <w:rsid w:val="00EA5682"/>
    <w:rsid w:val="00EA5AB8"/>
    <w:rsid w:val="00EA5CE4"/>
    <w:rsid w:val="00EA616B"/>
    <w:rsid w:val="00EA616F"/>
    <w:rsid w:val="00EA64D3"/>
    <w:rsid w:val="00EA65CE"/>
    <w:rsid w:val="00EA6AB4"/>
    <w:rsid w:val="00EA6B9B"/>
    <w:rsid w:val="00EB01D7"/>
    <w:rsid w:val="00EB0313"/>
    <w:rsid w:val="00EB0576"/>
    <w:rsid w:val="00EB0DE2"/>
    <w:rsid w:val="00EB0E5A"/>
    <w:rsid w:val="00EB1616"/>
    <w:rsid w:val="00EB1639"/>
    <w:rsid w:val="00EB19EA"/>
    <w:rsid w:val="00EB1A25"/>
    <w:rsid w:val="00EB1F6B"/>
    <w:rsid w:val="00EB1FE2"/>
    <w:rsid w:val="00EB21B4"/>
    <w:rsid w:val="00EB2644"/>
    <w:rsid w:val="00EB2769"/>
    <w:rsid w:val="00EB2C0F"/>
    <w:rsid w:val="00EB2C4A"/>
    <w:rsid w:val="00EB2FF3"/>
    <w:rsid w:val="00EB3456"/>
    <w:rsid w:val="00EB36C2"/>
    <w:rsid w:val="00EB3909"/>
    <w:rsid w:val="00EB3B14"/>
    <w:rsid w:val="00EB3DD0"/>
    <w:rsid w:val="00EB3F02"/>
    <w:rsid w:val="00EB3FF0"/>
    <w:rsid w:val="00EB4290"/>
    <w:rsid w:val="00EB42F1"/>
    <w:rsid w:val="00EB473C"/>
    <w:rsid w:val="00EB5802"/>
    <w:rsid w:val="00EB58D8"/>
    <w:rsid w:val="00EB5A46"/>
    <w:rsid w:val="00EB6683"/>
    <w:rsid w:val="00EB66A4"/>
    <w:rsid w:val="00EB6BE6"/>
    <w:rsid w:val="00EB7260"/>
    <w:rsid w:val="00EB75BA"/>
    <w:rsid w:val="00EB77FA"/>
    <w:rsid w:val="00EB7882"/>
    <w:rsid w:val="00EB7892"/>
    <w:rsid w:val="00EB7FE4"/>
    <w:rsid w:val="00EC046B"/>
    <w:rsid w:val="00EC0855"/>
    <w:rsid w:val="00EC09BA"/>
    <w:rsid w:val="00EC0BA7"/>
    <w:rsid w:val="00EC0EE8"/>
    <w:rsid w:val="00EC1371"/>
    <w:rsid w:val="00EC14AB"/>
    <w:rsid w:val="00EC19F6"/>
    <w:rsid w:val="00EC1E74"/>
    <w:rsid w:val="00EC21C9"/>
    <w:rsid w:val="00EC2333"/>
    <w:rsid w:val="00EC2753"/>
    <w:rsid w:val="00EC275D"/>
    <w:rsid w:val="00EC294C"/>
    <w:rsid w:val="00EC3007"/>
    <w:rsid w:val="00EC32A2"/>
    <w:rsid w:val="00EC3B16"/>
    <w:rsid w:val="00EC3C67"/>
    <w:rsid w:val="00EC40C2"/>
    <w:rsid w:val="00EC4407"/>
    <w:rsid w:val="00EC4709"/>
    <w:rsid w:val="00EC4AC4"/>
    <w:rsid w:val="00EC50DD"/>
    <w:rsid w:val="00EC51B3"/>
    <w:rsid w:val="00EC52C0"/>
    <w:rsid w:val="00EC55D8"/>
    <w:rsid w:val="00EC561F"/>
    <w:rsid w:val="00EC5C66"/>
    <w:rsid w:val="00EC5FF9"/>
    <w:rsid w:val="00EC61A3"/>
    <w:rsid w:val="00EC63ED"/>
    <w:rsid w:val="00EC6734"/>
    <w:rsid w:val="00EC69A9"/>
    <w:rsid w:val="00EC6A35"/>
    <w:rsid w:val="00EC6D7F"/>
    <w:rsid w:val="00EC6E40"/>
    <w:rsid w:val="00EC76B8"/>
    <w:rsid w:val="00EC79E2"/>
    <w:rsid w:val="00EC7AC3"/>
    <w:rsid w:val="00EC7E5E"/>
    <w:rsid w:val="00ED00F5"/>
    <w:rsid w:val="00ED0341"/>
    <w:rsid w:val="00ED047C"/>
    <w:rsid w:val="00ED0489"/>
    <w:rsid w:val="00ED09D1"/>
    <w:rsid w:val="00ED0B58"/>
    <w:rsid w:val="00ED0F84"/>
    <w:rsid w:val="00ED12C4"/>
    <w:rsid w:val="00ED164D"/>
    <w:rsid w:val="00ED1856"/>
    <w:rsid w:val="00ED1A2F"/>
    <w:rsid w:val="00ED1D52"/>
    <w:rsid w:val="00ED1EEA"/>
    <w:rsid w:val="00ED22EE"/>
    <w:rsid w:val="00ED2500"/>
    <w:rsid w:val="00ED25A9"/>
    <w:rsid w:val="00ED2859"/>
    <w:rsid w:val="00ED2ABB"/>
    <w:rsid w:val="00ED2ABD"/>
    <w:rsid w:val="00ED2BD9"/>
    <w:rsid w:val="00ED2C7C"/>
    <w:rsid w:val="00ED2F32"/>
    <w:rsid w:val="00ED2FEF"/>
    <w:rsid w:val="00ED30E7"/>
    <w:rsid w:val="00ED31A3"/>
    <w:rsid w:val="00ED31AB"/>
    <w:rsid w:val="00ED391A"/>
    <w:rsid w:val="00ED3E75"/>
    <w:rsid w:val="00ED3FF1"/>
    <w:rsid w:val="00ED4040"/>
    <w:rsid w:val="00ED4196"/>
    <w:rsid w:val="00ED467B"/>
    <w:rsid w:val="00ED4A45"/>
    <w:rsid w:val="00ED4B34"/>
    <w:rsid w:val="00ED5121"/>
    <w:rsid w:val="00ED5590"/>
    <w:rsid w:val="00ED5753"/>
    <w:rsid w:val="00ED5AA6"/>
    <w:rsid w:val="00ED5B02"/>
    <w:rsid w:val="00ED61E1"/>
    <w:rsid w:val="00ED6AD4"/>
    <w:rsid w:val="00ED6C35"/>
    <w:rsid w:val="00ED6D59"/>
    <w:rsid w:val="00ED70EA"/>
    <w:rsid w:val="00ED7242"/>
    <w:rsid w:val="00ED774C"/>
    <w:rsid w:val="00ED7788"/>
    <w:rsid w:val="00ED78BE"/>
    <w:rsid w:val="00ED7A66"/>
    <w:rsid w:val="00ED7EAB"/>
    <w:rsid w:val="00EE0169"/>
    <w:rsid w:val="00EE01DB"/>
    <w:rsid w:val="00EE09B8"/>
    <w:rsid w:val="00EE0B9C"/>
    <w:rsid w:val="00EE0CB4"/>
    <w:rsid w:val="00EE11A3"/>
    <w:rsid w:val="00EE13A0"/>
    <w:rsid w:val="00EE145B"/>
    <w:rsid w:val="00EE14BB"/>
    <w:rsid w:val="00EE157B"/>
    <w:rsid w:val="00EE1632"/>
    <w:rsid w:val="00EE17B3"/>
    <w:rsid w:val="00EE1A4F"/>
    <w:rsid w:val="00EE1C70"/>
    <w:rsid w:val="00EE1E37"/>
    <w:rsid w:val="00EE1ED8"/>
    <w:rsid w:val="00EE1F9A"/>
    <w:rsid w:val="00EE241D"/>
    <w:rsid w:val="00EE246E"/>
    <w:rsid w:val="00EE2C9C"/>
    <w:rsid w:val="00EE2D23"/>
    <w:rsid w:val="00EE2D9A"/>
    <w:rsid w:val="00EE31EB"/>
    <w:rsid w:val="00EE3441"/>
    <w:rsid w:val="00EE35A2"/>
    <w:rsid w:val="00EE35F7"/>
    <w:rsid w:val="00EE3625"/>
    <w:rsid w:val="00EE3B77"/>
    <w:rsid w:val="00EE4022"/>
    <w:rsid w:val="00EE4062"/>
    <w:rsid w:val="00EE40BC"/>
    <w:rsid w:val="00EE4360"/>
    <w:rsid w:val="00EE4CB5"/>
    <w:rsid w:val="00EE4F72"/>
    <w:rsid w:val="00EE4FCA"/>
    <w:rsid w:val="00EE51DE"/>
    <w:rsid w:val="00EE52AD"/>
    <w:rsid w:val="00EE58F9"/>
    <w:rsid w:val="00EE5DB6"/>
    <w:rsid w:val="00EE5FEA"/>
    <w:rsid w:val="00EE6411"/>
    <w:rsid w:val="00EE67B9"/>
    <w:rsid w:val="00EE67DA"/>
    <w:rsid w:val="00EE688C"/>
    <w:rsid w:val="00EE6A65"/>
    <w:rsid w:val="00EE6D90"/>
    <w:rsid w:val="00EE6E53"/>
    <w:rsid w:val="00EE725F"/>
    <w:rsid w:val="00EE7389"/>
    <w:rsid w:val="00EE7777"/>
    <w:rsid w:val="00EE7AAC"/>
    <w:rsid w:val="00EE7E90"/>
    <w:rsid w:val="00EF002F"/>
    <w:rsid w:val="00EF0267"/>
    <w:rsid w:val="00EF0505"/>
    <w:rsid w:val="00EF0D9A"/>
    <w:rsid w:val="00EF1041"/>
    <w:rsid w:val="00EF13E9"/>
    <w:rsid w:val="00EF1AFF"/>
    <w:rsid w:val="00EF1BB3"/>
    <w:rsid w:val="00EF1BFB"/>
    <w:rsid w:val="00EF238B"/>
    <w:rsid w:val="00EF2502"/>
    <w:rsid w:val="00EF2576"/>
    <w:rsid w:val="00EF279E"/>
    <w:rsid w:val="00EF29DC"/>
    <w:rsid w:val="00EF2AF5"/>
    <w:rsid w:val="00EF2C05"/>
    <w:rsid w:val="00EF2C7C"/>
    <w:rsid w:val="00EF2CA4"/>
    <w:rsid w:val="00EF2DCA"/>
    <w:rsid w:val="00EF2F70"/>
    <w:rsid w:val="00EF2FC9"/>
    <w:rsid w:val="00EF378B"/>
    <w:rsid w:val="00EF38EF"/>
    <w:rsid w:val="00EF3AD6"/>
    <w:rsid w:val="00EF4047"/>
    <w:rsid w:val="00EF4086"/>
    <w:rsid w:val="00EF438D"/>
    <w:rsid w:val="00EF4CED"/>
    <w:rsid w:val="00EF5093"/>
    <w:rsid w:val="00EF5210"/>
    <w:rsid w:val="00EF5AA0"/>
    <w:rsid w:val="00EF5C1E"/>
    <w:rsid w:val="00EF5E9C"/>
    <w:rsid w:val="00EF6208"/>
    <w:rsid w:val="00EF68D8"/>
    <w:rsid w:val="00EF750B"/>
    <w:rsid w:val="00EF75E1"/>
    <w:rsid w:val="00EF76D7"/>
    <w:rsid w:val="00EF7E00"/>
    <w:rsid w:val="00F002E3"/>
    <w:rsid w:val="00F0037E"/>
    <w:rsid w:val="00F008F0"/>
    <w:rsid w:val="00F00BBF"/>
    <w:rsid w:val="00F01348"/>
    <w:rsid w:val="00F01522"/>
    <w:rsid w:val="00F015B4"/>
    <w:rsid w:val="00F01651"/>
    <w:rsid w:val="00F017BF"/>
    <w:rsid w:val="00F018EC"/>
    <w:rsid w:val="00F01B66"/>
    <w:rsid w:val="00F02206"/>
    <w:rsid w:val="00F0239A"/>
    <w:rsid w:val="00F02427"/>
    <w:rsid w:val="00F0255C"/>
    <w:rsid w:val="00F0269C"/>
    <w:rsid w:val="00F0277F"/>
    <w:rsid w:val="00F028CA"/>
    <w:rsid w:val="00F02B45"/>
    <w:rsid w:val="00F02CDA"/>
    <w:rsid w:val="00F03045"/>
    <w:rsid w:val="00F030C0"/>
    <w:rsid w:val="00F0371C"/>
    <w:rsid w:val="00F03F84"/>
    <w:rsid w:val="00F0406C"/>
    <w:rsid w:val="00F041E3"/>
    <w:rsid w:val="00F044FF"/>
    <w:rsid w:val="00F046DD"/>
    <w:rsid w:val="00F04A02"/>
    <w:rsid w:val="00F04A8D"/>
    <w:rsid w:val="00F04DE7"/>
    <w:rsid w:val="00F04EA1"/>
    <w:rsid w:val="00F0512F"/>
    <w:rsid w:val="00F0518A"/>
    <w:rsid w:val="00F05230"/>
    <w:rsid w:val="00F053A8"/>
    <w:rsid w:val="00F05838"/>
    <w:rsid w:val="00F058A2"/>
    <w:rsid w:val="00F0590E"/>
    <w:rsid w:val="00F0601D"/>
    <w:rsid w:val="00F0656F"/>
    <w:rsid w:val="00F066F9"/>
    <w:rsid w:val="00F06AA2"/>
    <w:rsid w:val="00F06D3D"/>
    <w:rsid w:val="00F077B5"/>
    <w:rsid w:val="00F07810"/>
    <w:rsid w:val="00F07F32"/>
    <w:rsid w:val="00F102FB"/>
    <w:rsid w:val="00F10409"/>
    <w:rsid w:val="00F1050C"/>
    <w:rsid w:val="00F10904"/>
    <w:rsid w:val="00F1093F"/>
    <w:rsid w:val="00F10A89"/>
    <w:rsid w:val="00F10DB6"/>
    <w:rsid w:val="00F115A6"/>
    <w:rsid w:val="00F11C0C"/>
    <w:rsid w:val="00F11CBF"/>
    <w:rsid w:val="00F11DB3"/>
    <w:rsid w:val="00F12157"/>
    <w:rsid w:val="00F123BD"/>
    <w:rsid w:val="00F12460"/>
    <w:rsid w:val="00F1255A"/>
    <w:rsid w:val="00F12DBA"/>
    <w:rsid w:val="00F1305A"/>
    <w:rsid w:val="00F13069"/>
    <w:rsid w:val="00F13C39"/>
    <w:rsid w:val="00F13DAA"/>
    <w:rsid w:val="00F14002"/>
    <w:rsid w:val="00F144FC"/>
    <w:rsid w:val="00F145E1"/>
    <w:rsid w:val="00F14629"/>
    <w:rsid w:val="00F146F8"/>
    <w:rsid w:val="00F14E7C"/>
    <w:rsid w:val="00F151B4"/>
    <w:rsid w:val="00F15A60"/>
    <w:rsid w:val="00F15D75"/>
    <w:rsid w:val="00F15D7B"/>
    <w:rsid w:val="00F15E62"/>
    <w:rsid w:val="00F16033"/>
    <w:rsid w:val="00F1634D"/>
    <w:rsid w:val="00F16357"/>
    <w:rsid w:val="00F165AD"/>
    <w:rsid w:val="00F16882"/>
    <w:rsid w:val="00F169F6"/>
    <w:rsid w:val="00F173E2"/>
    <w:rsid w:val="00F17441"/>
    <w:rsid w:val="00F1748C"/>
    <w:rsid w:val="00F179D8"/>
    <w:rsid w:val="00F17D6D"/>
    <w:rsid w:val="00F17F36"/>
    <w:rsid w:val="00F17F88"/>
    <w:rsid w:val="00F2030F"/>
    <w:rsid w:val="00F2036D"/>
    <w:rsid w:val="00F203B3"/>
    <w:rsid w:val="00F208FF"/>
    <w:rsid w:val="00F20BA2"/>
    <w:rsid w:val="00F20EC3"/>
    <w:rsid w:val="00F21D14"/>
    <w:rsid w:val="00F21EE9"/>
    <w:rsid w:val="00F223CE"/>
    <w:rsid w:val="00F224DA"/>
    <w:rsid w:val="00F2287B"/>
    <w:rsid w:val="00F22A54"/>
    <w:rsid w:val="00F239B8"/>
    <w:rsid w:val="00F23A0B"/>
    <w:rsid w:val="00F23A82"/>
    <w:rsid w:val="00F23C04"/>
    <w:rsid w:val="00F23C6D"/>
    <w:rsid w:val="00F23D9E"/>
    <w:rsid w:val="00F23E41"/>
    <w:rsid w:val="00F24317"/>
    <w:rsid w:val="00F2481A"/>
    <w:rsid w:val="00F25791"/>
    <w:rsid w:val="00F258CF"/>
    <w:rsid w:val="00F258E7"/>
    <w:rsid w:val="00F25A84"/>
    <w:rsid w:val="00F25D4C"/>
    <w:rsid w:val="00F25E64"/>
    <w:rsid w:val="00F26021"/>
    <w:rsid w:val="00F260FB"/>
    <w:rsid w:val="00F26255"/>
    <w:rsid w:val="00F2659B"/>
    <w:rsid w:val="00F26E02"/>
    <w:rsid w:val="00F27065"/>
    <w:rsid w:val="00F27090"/>
    <w:rsid w:val="00F27140"/>
    <w:rsid w:val="00F27746"/>
    <w:rsid w:val="00F27961"/>
    <w:rsid w:val="00F27B2F"/>
    <w:rsid w:val="00F27DB0"/>
    <w:rsid w:val="00F27F77"/>
    <w:rsid w:val="00F301C6"/>
    <w:rsid w:val="00F30258"/>
    <w:rsid w:val="00F304CB"/>
    <w:rsid w:val="00F30794"/>
    <w:rsid w:val="00F307E6"/>
    <w:rsid w:val="00F3086E"/>
    <w:rsid w:val="00F30B70"/>
    <w:rsid w:val="00F30CAB"/>
    <w:rsid w:val="00F313FA"/>
    <w:rsid w:val="00F314C8"/>
    <w:rsid w:val="00F322FD"/>
    <w:rsid w:val="00F3246E"/>
    <w:rsid w:val="00F327BB"/>
    <w:rsid w:val="00F33728"/>
    <w:rsid w:val="00F3378C"/>
    <w:rsid w:val="00F33895"/>
    <w:rsid w:val="00F339BB"/>
    <w:rsid w:val="00F339C8"/>
    <w:rsid w:val="00F347DD"/>
    <w:rsid w:val="00F34C3E"/>
    <w:rsid w:val="00F34D76"/>
    <w:rsid w:val="00F34D83"/>
    <w:rsid w:val="00F354E7"/>
    <w:rsid w:val="00F359F4"/>
    <w:rsid w:val="00F35B42"/>
    <w:rsid w:val="00F35B51"/>
    <w:rsid w:val="00F36588"/>
    <w:rsid w:val="00F36D4A"/>
    <w:rsid w:val="00F37089"/>
    <w:rsid w:val="00F3730E"/>
    <w:rsid w:val="00F37328"/>
    <w:rsid w:val="00F373E0"/>
    <w:rsid w:val="00F376FE"/>
    <w:rsid w:val="00F37733"/>
    <w:rsid w:val="00F3787D"/>
    <w:rsid w:val="00F37A4D"/>
    <w:rsid w:val="00F37B88"/>
    <w:rsid w:val="00F40155"/>
    <w:rsid w:val="00F4060A"/>
    <w:rsid w:val="00F406FD"/>
    <w:rsid w:val="00F40D3E"/>
    <w:rsid w:val="00F40DAD"/>
    <w:rsid w:val="00F40F0C"/>
    <w:rsid w:val="00F4103C"/>
    <w:rsid w:val="00F411D1"/>
    <w:rsid w:val="00F412F4"/>
    <w:rsid w:val="00F4134B"/>
    <w:rsid w:val="00F41871"/>
    <w:rsid w:val="00F41A00"/>
    <w:rsid w:val="00F41CA8"/>
    <w:rsid w:val="00F4218D"/>
    <w:rsid w:val="00F424FA"/>
    <w:rsid w:val="00F42702"/>
    <w:rsid w:val="00F42B1E"/>
    <w:rsid w:val="00F42F1F"/>
    <w:rsid w:val="00F42F3C"/>
    <w:rsid w:val="00F42F82"/>
    <w:rsid w:val="00F4318E"/>
    <w:rsid w:val="00F43419"/>
    <w:rsid w:val="00F43583"/>
    <w:rsid w:val="00F43F0B"/>
    <w:rsid w:val="00F44050"/>
    <w:rsid w:val="00F4443B"/>
    <w:rsid w:val="00F4461A"/>
    <w:rsid w:val="00F44B50"/>
    <w:rsid w:val="00F44F9E"/>
    <w:rsid w:val="00F45215"/>
    <w:rsid w:val="00F454FF"/>
    <w:rsid w:val="00F45A07"/>
    <w:rsid w:val="00F45F89"/>
    <w:rsid w:val="00F45FC8"/>
    <w:rsid w:val="00F46223"/>
    <w:rsid w:val="00F464B5"/>
    <w:rsid w:val="00F46A58"/>
    <w:rsid w:val="00F46A97"/>
    <w:rsid w:val="00F46AF1"/>
    <w:rsid w:val="00F46B51"/>
    <w:rsid w:val="00F46B74"/>
    <w:rsid w:val="00F46C40"/>
    <w:rsid w:val="00F46F8D"/>
    <w:rsid w:val="00F471D1"/>
    <w:rsid w:val="00F474B5"/>
    <w:rsid w:val="00F475FD"/>
    <w:rsid w:val="00F50067"/>
    <w:rsid w:val="00F50393"/>
    <w:rsid w:val="00F5040F"/>
    <w:rsid w:val="00F50412"/>
    <w:rsid w:val="00F5052A"/>
    <w:rsid w:val="00F505FB"/>
    <w:rsid w:val="00F50778"/>
    <w:rsid w:val="00F507A8"/>
    <w:rsid w:val="00F50DDB"/>
    <w:rsid w:val="00F50E9F"/>
    <w:rsid w:val="00F5124D"/>
    <w:rsid w:val="00F512D6"/>
    <w:rsid w:val="00F51527"/>
    <w:rsid w:val="00F51D25"/>
    <w:rsid w:val="00F522D6"/>
    <w:rsid w:val="00F5242A"/>
    <w:rsid w:val="00F526F2"/>
    <w:rsid w:val="00F52950"/>
    <w:rsid w:val="00F52A23"/>
    <w:rsid w:val="00F52CBC"/>
    <w:rsid w:val="00F52CD0"/>
    <w:rsid w:val="00F52E78"/>
    <w:rsid w:val="00F5334E"/>
    <w:rsid w:val="00F53648"/>
    <w:rsid w:val="00F53BF3"/>
    <w:rsid w:val="00F54046"/>
    <w:rsid w:val="00F5406F"/>
    <w:rsid w:val="00F5425E"/>
    <w:rsid w:val="00F546BA"/>
    <w:rsid w:val="00F546FE"/>
    <w:rsid w:val="00F54818"/>
    <w:rsid w:val="00F54D56"/>
    <w:rsid w:val="00F54F77"/>
    <w:rsid w:val="00F5509C"/>
    <w:rsid w:val="00F5520B"/>
    <w:rsid w:val="00F553C1"/>
    <w:rsid w:val="00F553FF"/>
    <w:rsid w:val="00F55B2F"/>
    <w:rsid w:val="00F55D43"/>
    <w:rsid w:val="00F55DF8"/>
    <w:rsid w:val="00F56108"/>
    <w:rsid w:val="00F562DD"/>
    <w:rsid w:val="00F563E9"/>
    <w:rsid w:val="00F567B9"/>
    <w:rsid w:val="00F56E5E"/>
    <w:rsid w:val="00F57169"/>
    <w:rsid w:val="00F57172"/>
    <w:rsid w:val="00F5720D"/>
    <w:rsid w:val="00F576CF"/>
    <w:rsid w:val="00F576E8"/>
    <w:rsid w:val="00F577A0"/>
    <w:rsid w:val="00F57E3F"/>
    <w:rsid w:val="00F57E89"/>
    <w:rsid w:val="00F57EEE"/>
    <w:rsid w:val="00F57F66"/>
    <w:rsid w:val="00F600E8"/>
    <w:rsid w:val="00F601EC"/>
    <w:rsid w:val="00F60301"/>
    <w:rsid w:val="00F606E7"/>
    <w:rsid w:val="00F60754"/>
    <w:rsid w:val="00F6080C"/>
    <w:rsid w:val="00F6098E"/>
    <w:rsid w:val="00F60A52"/>
    <w:rsid w:val="00F60DC8"/>
    <w:rsid w:val="00F610AE"/>
    <w:rsid w:val="00F612D4"/>
    <w:rsid w:val="00F612D7"/>
    <w:rsid w:val="00F61405"/>
    <w:rsid w:val="00F61A9F"/>
    <w:rsid w:val="00F61B3D"/>
    <w:rsid w:val="00F61ED1"/>
    <w:rsid w:val="00F61F15"/>
    <w:rsid w:val="00F6206D"/>
    <w:rsid w:val="00F62191"/>
    <w:rsid w:val="00F62280"/>
    <w:rsid w:val="00F624D1"/>
    <w:rsid w:val="00F62C6B"/>
    <w:rsid w:val="00F63076"/>
    <w:rsid w:val="00F63137"/>
    <w:rsid w:val="00F6339C"/>
    <w:rsid w:val="00F637C7"/>
    <w:rsid w:val="00F6424A"/>
    <w:rsid w:val="00F644A9"/>
    <w:rsid w:val="00F647ED"/>
    <w:rsid w:val="00F64B2F"/>
    <w:rsid w:val="00F64BA2"/>
    <w:rsid w:val="00F64BBB"/>
    <w:rsid w:val="00F64CAB"/>
    <w:rsid w:val="00F64CAF"/>
    <w:rsid w:val="00F64E87"/>
    <w:rsid w:val="00F64F8C"/>
    <w:rsid w:val="00F65299"/>
    <w:rsid w:val="00F65784"/>
    <w:rsid w:val="00F65BF4"/>
    <w:rsid w:val="00F6623D"/>
    <w:rsid w:val="00F669DC"/>
    <w:rsid w:val="00F66C8E"/>
    <w:rsid w:val="00F66D99"/>
    <w:rsid w:val="00F67132"/>
    <w:rsid w:val="00F67294"/>
    <w:rsid w:val="00F6763D"/>
    <w:rsid w:val="00F67A7B"/>
    <w:rsid w:val="00F67C71"/>
    <w:rsid w:val="00F67DEC"/>
    <w:rsid w:val="00F67E93"/>
    <w:rsid w:val="00F702B3"/>
    <w:rsid w:val="00F70575"/>
    <w:rsid w:val="00F70ACD"/>
    <w:rsid w:val="00F70ECA"/>
    <w:rsid w:val="00F713E6"/>
    <w:rsid w:val="00F7173E"/>
    <w:rsid w:val="00F7189D"/>
    <w:rsid w:val="00F718A9"/>
    <w:rsid w:val="00F71BF9"/>
    <w:rsid w:val="00F71C6D"/>
    <w:rsid w:val="00F71CD1"/>
    <w:rsid w:val="00F71D61"/>
    <w:rsid w:val="00F71F62"/>
    <w:rsid w:val="00F72270"/>
    <w:rsid w:val="00F7231F"/>
    <w:rsid w:val="00F7305D"/>
    <w:rsid w:val="00F73297"/>
    <w:rsid w:val="00F7335D"/>
    <w:rsid w:val="00F73536"/>
    <w:rsid w:val="00F73901"/>
    <w:rsid w:val="00F73AFE"/>
    <w:rsid w:val="00F73E9B"/>
    <w:rsid w:val="00F73FCC"/>
    <w:rsid w:val="00F740C5"/>
    <w:rsid w:val="00F744C6"/>
    <w:rsid w:val="00F74680"/>
    <w:rsid w:val="00F74730"/>
    <w:rsid w:val="00F74AAE"/>
    <w:rsid w:val="00F74B39"/>
    <w:rsid w:val="00F74BB5"/>
    <w:rsid w:val="00F74DEA"/>
    <w:rsid w:val="00F74E59"/>
    <w:rsid w:val="00F74F65"/>
    <w:rsid w:val="00F74FE7"/>
    <w:rsid w:val="00F75381"/>
    <w:rsid w:val="00F756CD"/>
    <w:rsid w:val="00F75B27"/>
    <w:rsid w:val="00F75BC1"/>
    <w:rsid w:val="00F75C0C"/>
    <w:rsid w:val="00F75F31"/>
    <w:rsid w:val="00F760F0"/>
    <w:rsid w:val="00F762AC"/>
    <w:rsid w:val="00F765A6"/>
    <w:rsid w:val="00F7665A"/>
    <w:rsid w:val="00F76717"/>
    <w:rsid w:val="00F768E9"/>
    <w:rsid w:val="00F76A11"/>
    <w:rsid w:val="00F77058"/>
    <w:rsid w:val="00F7710C"/>
    <w:rsid w:val="00F7736C"/>
    <w:rsid w:val="00F775E5"/>
    <w:rsid w:val="00F77ACE"/>
    <w:rsid w:val="00F77DD2"/>
    <w:rsid w:val="00F80687"/>
    <w:rsid w:val="00F80875"/>
    <w:rsid w:val="00F80B94"/>
    <w:rsid w:val="00F80C80"/>
    <w:rsid w:val="00F80E4B"/>
    <w:rsid w:val="00F80E5B"/>
    <w:rsid w:val="00F80F70"/>
    <w:rsid w:val="00F8134A"/>
    <w:rsid w:val="00F8155B"/>
    <w:rsid w:val="00F81642"/>
    <w:rsid w:val="00F816F7"/>
    <w:rsid w:val="00F817BD"/>
    <w:rsid w:val="00F81C25"/>
    <w:rsid w:val="00F81C7A"/>
    <w:rsid w:val="00F81FED"/>
    <w:rsid w:val="00F821AF"/>
    <w:rsid w:val="00F82411"/>
    <w:rsid w:val="00F82488"/>
    <w:rsid w:val="00F8251E"/>
    <w:rsid w:val="00F82E75"/>
    <w:rsid w:val="00F82FEF"/>
    <w:rsid w:val="00F8325A"/>
    <w:rsid w:val="00F835BE"/>
    <w:rsid w:val="00F83606"/>
    <w:rsid w:val="00F83654"/>
    <w:rsid w:val="00F8380A"/>
    <w:rsid w:val="00F83B69"/>
    <w:rsid w:val="00F843B7"/>
    <w:rsid w:val="00F845B6"/>
    <w:rsid w:val="00F848F6"/>
    <w:rsid w:val="00F85067"/>
    <w:rsid w:val="00F853E7"/>
    <w:rsid w:val="00F8589C"/>
    <w:rsid w:val="00F858EB"/>
    <w:rsid w:val="00F85C4A"/>
    <w:rsid w:val="00F865F8"/>
    <w:rsid w:val="00F8681B"/>
    <w:rsid w:val="00F86F4A"/>
    <w:rsid w:val="00F8726E"/>
    <w:rsid w:val="00F872FB"/>
    <w:rsid w:val="00F878F8"/>
    <w:rsid w:val="00F87B7C"/>
    <w:rsid w:val="00F87E5B"/>
    <w:rsid w:val="00F9040C"/>
    <w:rsid w:val="00F9080B"/>
    <w:rsid w:val="00F908DC"/>
    <w:rsid w:val="00F9090E"/>
    <w:rsid w:val="00F90B8B"/>
    <w:rsid w:val="00F90C46"/>
    <w:rsid w:val="00F90D6A"/>
    <w:rsid w:val="00F90E17"/>
    <w:rsid w:val="00F91238"/>
    <w:rsid w:val="00F913C6"/>
    <w:rsid w:val="00F914CD"/>
    <w:rsid w:val="00F91567"/>
    <w:rsid w:val="00F91912"/>
    <w:rsid w:val="00F91BB6"/>
    <w:rsid w:val="00F91D9B"/>
    <w:rsid w:val="00F91FE4"/>
    <w:rsid w:val="00F91FEC"/>
    <w:rsid w:val="00F923C7"/>
    <w:rsid w:val="00F92671"/>
    <w:rsid w:val="00F92E88"/>
    <w:rsid w:val="00F9307F"/>
    <w:rsid w:val="00F931C0"/>
    <w:rsid w:val="00F9378A"/>
    <w:rsid w:val="00F93989"/>
    <w:rsid w:val="00F93A2C"/>
    <w:rsid w:val="00F93E66"/>
    <w:rsid w:val="00F9435C"/>
    <w:rsid w:val="00F9461A"/>
    <w:rsid w:val="00F9471D"/>
    <w:rsid w:val="00F94784"/>
    <w:rsid w:val="00F94B5C"/>
    <w:rsid w:val="00F94C74"/>
    <w:rsid w:val="00F951C4"/>
    <w:rsid w:val="00F9522B"/>
    <w:rsid w:val="00F955E8"/>
    <w:rsid w:val="00F95A3B"/>
    <w:rsid w:val="00F95AEB"/>
    <w:rsid w:val="00F95B0E"/>
    <w:rsid w:val="00F961C3"/>
    <w:rsid w:val="00F961EF"/>
    <w:rsid w:val="00F964E9"/>
    <w:rsid w:val="00F96955"/>
    <w:rsid w:val="00F96DC5"/>
    <w:rsid w:val="00F97261"/>
    <w:rsid w:val="00F97316"/>
    <w:rsid w:val="00F9754B"/>
    <w:rsid w:val="00F979A2"/>
    <w:rsid w:val="00F97EAA"/>
    <w:rsid w:val="00FA008B"/>
    <w:rsid w:val="00FA015C"/>
    <w:rsid w:val="00FA032B"/>
    <w:rsid w:val="00FA0435"/>
    <w:rsid w:val="00FA04C3"/>
    <w:rsid w:val="00FA06CE"/>
    <w:rsid w:val="00FA09EE"/>
    <w:rsid w:val="00FA0C59"/>
    <w:rsid w:val="00FA0F90"/>
    <w:rsid w:val="00FA109C"/>
    <w:rsid w:val="00FA133B"/>
    <w:rsid w:val="00FA171B"/>
    <w:rsid w:val="00FA1AE6"/>
    <w:rsid w:val="00FA1CD1"/>
    <w:rsid w:val="00FA2348"/>
    <w:rsid w:val="00FA257B"/>
    <w:rsid w:val="00FA2B88"/>
    <w:rsid w:val="00FA2DFB"/>
    <w:rsid w:val="00FA2FE3"/>
    <w:rsid w:val="00FA36D7"/>
    <w:rsid w:val="00FA3700"/>
    <w:rsid w:val="00FA3760"/>
    <w:rsid w:val="00FA396C"/>
    <w:rsid w:val="00FA3B6F"/>
    <w:rsid w:val="00FA4097"/>
    <w:rsid w:val="00FA435B"/>
    <w:rsid w:val="00FA468D"/>
    <w:rsid w:val="00FA56D0"/>
    <w:rsid w:val="00FA5A71"/>
    <w:rsid w:val="00FA5B13"/>
    <w:rsid w:val="00FA5C5F"/>
    <w:rsid w:val="00FA5E71"/>
    <w:rsid w:val="00FA5FAD"/>
    <w:rsid w:val="00FA5FF0"/>
    <w:rsid w:val="00FA6080"/>
    <w:rsid w:val="00FA623F"/>
    <w:rsid w:val="00FA66CC"/>
    <w:rsid w:val="00FA66E4"/>
    <w:rsid w:val="00FA6D78"/>
    <w:rsid w:val="00FA6DB7"/>
    <w:rsid w:val="00FA6E01"/>
    <w:rsid w:val="00FA7067"/>
    <w:rsid w:val="00FA71B2"/>
    <w:rsid w:val="00FA7557"/>
    <w:rsid w:val="00FA75D1"/>
    <w:rsid w:val="00FA7824"/>
    <w:rsid w:val="00FA78FD"/>
    <w:rsid w:val="00FA7A6C"/>
    <w:rsid w:val="00FA7DA2"/>
    <w:rsid w:val="00FA7EF5"/>
    <w:rsid w:val="00FB0176"/>
    <w:rsid w:val="00FB0335"/>
    <w:rsid w:val="00FB0483"/>
    <w:rsid w:val="00FB0559"/>
    <w:rsid w:val="00FB0612"/>
    <w:rsid w:val="00FB069E"/>
    <w:rsid w:val="00FB0837"/>
    <w:rsid w:val="00FB09FB"/>
    <w:rsid w:val="00FB0A00"/>
    <w:rsid w:val="00FB0A94"/>
    <w:rsid w:val="00FB0E16"/>
    <w:rsid w:val="00FB11BD"/>
    <w:rsid w:val="00FB12E0"/>
    <w:rsid w:val="00FB1A39"/>
    <w:rsid w:val="00FB1AF3"/>
    <w:rsid w:val="00FB1B2A"/>
    <w:rsid w:val="00FB1C35"/>
    <w:rsid w:val="00FB1E17"/>
    <w:rsid w:val="00FB200F"/>
    <w:rsid w:val="00FB205F"/>
    <w:rsid w:val="00FB2275"/>
    <w:rsid w:val="00FB234D"/>
    <w:rsid w:val="00FB251F"/>
    <w:rsid w:val="00FB2826"/>
    <w:rsid w:val="00FB2893"/>
    <w:rsid w:val="00FB29B8"/>
    <w:rsid w:val="00FB2DED"/>
    <w:rsid w:val="00FB2E95"/>
    <w:rsid w:val="00FB31CE"/>
    <w:rsid w:val="00FB33A6"/>
    <w:rsid w:val="00FB3457"/>
    <w:rsid w:val="00FB3809"/>
    <w:rsid w:val="00FB390D"/>
    <w:rsid w:val="00FB3925"/>
    <w:rsid w:val="00FB3E40"/>
    <w:rsid w:val="00FB41AA"/>
    <w:rsid w:val="00FB44C0"/>
    <w:rsid w:val="00FB44E4"/>
    <w:rsid w:val="00FB486D"/>
    <w:rsid w:val="00FB4B10"/>
    <w:rsid w:val="00FB4CB0"/>
    <w:rsid w:val="00FB4F5E"/>
    <w:rsid w:val="00FB4FC2"/>
    <w:rsid w:val="00FB51B4"/>
    <w:rsid w:val="00FB5598"/>
    <w:rsid w:val="00FB57E9"/>
    <w:rsid w:val="00FB5887"/>
    <w:rsid w:val="00FB5B36"/>
    <w:rsid w:val="00FB5EB0"/>
    <w:rsid w:val="00FB626D"/>
    <w:rsid w:val="00FB6292"/>
    <w:rsid w:val="00FB66E0"/>
    <w:rsid w:val="00FB6C10"/>
    <w:rsid w:val="00FB7002"/>
    <w:rsid w:val="00FB7547"/>
    <w:rsid w:val="00FB7590"/>
    <w:rsid w:val="00FB7682"/>
    <w:rsid w:val="00FB7851"/>
    <w:rsid w:val="00FB78EB"/>
    <w:rsid w:val="00FB7910"/>
    <w:rsid w:val="00FB7996"/>
    <w:rsid w:val="00FB7AC8"/>
    <w:rsid w:val="00FB7EB0"/>
    <w:rsid w:val="00FC01A3"/>
    <w:rsid w:val="00FC037B"/>
    <w:rsid w:val="00FC0400"/>
    <w:rsid w:val="00FC082D"/>
    <w:rsid w:val="00FC0A27"/>
    <w:rsid w:val="00FC0E39"/>
    <w:rsid w:val="00FC1000"/>
    <w:rsid w:val="00FC1189"/>
    <w:rsid w:val="00FC1222"/>
    <w:rsid w:val="00FC1444"/>
    <w:rsid w:val="00FC14E5"/>
    <w:rsid w:val="00FC152A"/>
    <w:rsid w:val="00FC16F0"/>
    <w:rsid w:val="00FC1B80"/>
    <w:rsid w:val="00FC1BB2"/>
    <w:rsid w:val="00FC1FA9"/>
    <w:rsid w:val="00FC2251"/>
    <w:rsid w:val="00FC24CB"/>
    <w:rsid w:val="00FC2515"/>
    <w:rsid w:val="00FC2C6E"/>
    <w:rsid w:val="00FC2EBA"/>
    <w:rsid w:val="00FC3136"/>
    <w:rsid w:val="00FC34DB"/>
    <w:rsid w:val="00FC3909"/>
    <w:rsid w:val="00FC3BE5"/>
    <w:rsid w:val="00FC3E5E"/>
    <w:rsid w:val="00FC45EA"/>
    <w:rsid w:val="00FC496D"/>
    <w:rsid w:val="00FC4EAF"/>
    <w:rsid w:val="00FC4F02"/>
    <w:rsid w:val="00FC4FE2"/>
    <w:rsid w:val="00FC5065"/>
    <w:rsid w:val="00FC553D"/>
    <w:rsid w:val="00FC5889"/>
    <w:rsid w:val="00FC5BC5"/>
    <w:rsid w:val="00FC5D7E"/>
    <w:rsid w:val="00FC5FB4"/>
    <w:rsid w:val="00FC6138"/>
    <w:rsid w:val="00FC6445"/>
    <w:rsid w:val="00FC6549"/>
    <w:rsid w:val="00FC686B"/>
    <w:rsid w:val="00FC6A27"/>
    <w:rsid w:val="00FC7031"/>
    <w:rsid w:val="00FC72D4"/>
    <w:rsid w:val="00FC7323"/>
    <w:rsid w:val="00FC735B"/>
    <w:rsid w:val="00FC75E1"/>
    <w:rsid w:val="00FC7601"/>
    <w:rsid w:val="00FC768F"/>
    <w:rsid w:val="00FC775F"/>
    <w:rsid w:val="00FC77AF"/>
    <w:rsid w:val="00FC780C"/>
    <w:rsid w:val="00FC7A0C"/>
    <w:rsid w:val="00FC7B27"/>
    <w:rsid w:val="00FC7C4D"/>
    <w:rsid w:val="00FC7E99"/>
    <w:rsid w:val="00FC7F50"/>
    <w:rsid w:val="00FD02B5"/>
    <w:rsid w:val="00FD0A83"/>
    <w:rsid w:val="00FD0A91"/>
    <w:rsid w:val="00FD0DD3"/>
    <w:rsid w:val="00FD0DF0"/>
    <w:rsid w:val="00FD0F54"/>
    <w:rsid w:val="00FD13CE"/>
    <w:rsid w:val="00FD141E"/>
    <w:rsid w:val="00FD14F1"/>
    <w:rsid w:val="00FD1A57"/>
    <w:rsid w:val="00FD24E5"/>
    <w:rsid w:val="00FD2A15"/>
    <w:rsid w:val="00FD2B6B"/>
    <w:rsid w:val="00FD2B83"/>
    <w:rsid w:val="00FD2B8E"/>
    <w:rsid w:val="00FD2C50"/>
    <w:rsid w:val="00FD2D18"/>
    <w:rsid w:val="00FD2D64"/>
    <w:rsid w:val="00FD3086"/>
    <w:rsid w:val="00FD3403"/>
    <w:rsid w:val="00FD39AA"/>
    <w:rsid w:val="00FD3E52"/>
    <w:rsid w:val="00FD40A0"/>
    <w:rsid w:val="00FD4182"/>
    <w:rsid w:val="00FD4681"/>
    <w:rsid w:val="00FD4EF3"/>
    <w:rsid w:val="00FD4F33"/>
    <w:rsid w:val="00FD4FC4"/>
    <w:rsid w:val="00FD5038"/>
    <w:rsid w:val="00FD533E"/>
    <w:rsid w:val="00FD53FD"/>
    <w:rsid w:val="00FD586E"/>
    <w:rsid w:val="00FD5924"/>
    <w:rsid w:val="00FD5CB6"/>
    <w:rsid w:val="00FD62B8"/>
    <w:rsid w:val="00FD637E"/>
    <w:rsid w:val="00FD694C"/>
    <w:rsid w:val="00FD6CD7"/>
    <w:rsid w:val="00FD6E06"/>
    <w:rsid w:val="00FD7035"/>
    <w:rsid w:val="00FD7186"/>
    <w:rsid w:val="00FD7198"/>
    <w:rsid w:val="00FD728D"/>
    <w:rsid w:val="00FD7363"/>
    <w:rsid w:val="00FD758B"/>
    <w:rsid w:val="00FD7694"/>
    <w:rsid w:val="00FD7939"/>
    <w:rsid w:val="00FE0070"/>
    <w:rsid w:val="00FE030B"/>
    <w:rsid w:val="00FE0A15"/>
    <w:rsid w:val="00FE1136"/>
    <w:rsid w:val="00FE1542"/>
    <w:rsid w:val="00FE1981"/>
    <w:rsid w:val="00FE1B59"/>
    <w:rsid w:val="00FE1E19"/>
    <w:rsid w:val="00FE234C"/>
    <w:rsid w:val="00FE2486"/>
    <w:rsid w:val="00FE25ED"/>
    <w:rsid w:val="00FE266B"/>
    <w:rsid w:val="00FE2794"/>
    <w:rsid w:val="00FE2840"/>
    <w:rsid w:val="00FE29B8"/>
    <w:rsid w:val="00FE2AE0"/>
    <w:rsid w:val="00FE2C81"/>
    <w:rsid w:val="00FE3275"/>
    <w:rsid w:val="00FE3303"/>
    <w:rsid w:val="00FE368F"/>
    <w:rsid w:val="00FE38DD"/>
    <w:rsid w:val="00FE3941"/>
    <w:rsid w:val="00FE3AFD"/>
    <w:rsid w:val="00FE3CD9"/>
    <w:rsid w:val="00FE424A"/>
    <w:rsid w:val="00FE4549"/>
    <w:rsid w:val="00FE4617"/>
    <w:rsid w:val="00FE4686"/>
    <w:rsid w:val="00FE4944"/>
    <w:rsid w:val="00FE4BBD"/>
    <w:rsid w:val="00FE4D6A"/>
    <w:rsid w:val="00FE4DBA"/>
    <w:rsid w:val="00FE4DDB"/>
    <w:rsid w:val="00FE5431"/>
    <w:rsid w:val="00FE5A47"/>
    <w:rsid w:val="00FE6235"/>
    <w:rsid w:val="00FE6374"/>
    <w:rsid w:val="00FE6A6E"/>
    <w:rsid w:val="00FE6DD3"/>
    <w:rsid w:val="00FE7176"/>
    <w:rsid w:val="00FE7495"/>
    <w:rsid w:val="00FE76F5"/>
    <w:rsid w:val="00FE7B37"/>
    <w:rsid w:val="00FE7B5C"/>
    <w:rsid w:val="00FE7C35"/>
    <w:rsid w:val="00FE7DDE"/>
    <w:rsid w:val="00FF017A"/>
    <w:rsid w:val="00FF02F5"/>
    <w:rsid w:val="00FF032F"/>
    <w:rsid w:val="00FF051D"/>
    <w:rsid w:val="00FF09E6"/>
    <w:rsid w:val="00FF09FB"/>
    <w:rsid w:val="00FF0E12"/>
    <w:rsid w:val="00FF1108"/>
    <w:rsid w:val="00FF1457"/>
    <w:rsid w:val="00FF1560"/>
    <w:rsid w:val="00FF1694"/>
    <w:rsid w:val="00FF1E6F"/>
    <w:rsid w:val="00FF21FB"/>
    <w:rsid w:val="00FF249B"/>
    <w:rsid w:val="00FF2606"/>
    <w:rsid w:val="00FF296C"/>
    <w:rsid w:val="00FF2D2F"/>
    <w:rsid w:val="00FF2E02"/>
    <w:rsid w:val="00FF32BC"/>
    <w:rsid w:val="00FF33B5"/>
    <w:rsid w:val="00FF36EC"/>
    <w:rsid w:val="00FF3E0D"/>
    <w:rsid w:val="00FF4273"/>
    <w:rsid w:val="00FF4529"/>
    <w:rsid w:val="00FF473C"/>
    <w:rsid w:val="00FF48A0"/>
    <w:rsid w:val="00FF4E44"/>
    <w:rsid w:val="00FF4F7C"/>
    <w:rsid w:val="00FF52D6"/>
    <w:rsid w:val="00FF5520"/>
    <w:rsid w:val="00FF55DE"/>
    <w:rsid w:val="00FF5733"/>
    <w:rsid w:val="00FF5E07"/>
    <w:rsid w:val="00FF5E92"/>
    <w:rsid w:val="00FF5EB6"/>
    <w:rsid w:val="00FF6039"/>
    <w:rsid w:val="00FF6808"/>
    <w:rsid w:val="00FF723E"/>
    <w:rsid w:val="00FF75FC"/>
    <w:rsid w:val="00FF7603"/>
    <w:rsid w:val="00FF7837"/>
    <w:rsid w:val="00FF79AA"/>
    <w:rsid w:val="156315EC"/>
    <w:rsid w:val="51F23709"/>
    <w:rsid w:val="5B273164"/>
    <w:rsid w:val="6CB91810"/>
    <w:rsid w:val="7708668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82690" fillcolor="white">
      <v:fill color="white"/>
      <o:colormru v:ext="edit" colors="#b81ee8,#07c93a,#bd5703"/>
      <o:colormenu v:ext="edit" fillcolor="#00b050" strokecolor="#00b050"/>
    </o:shapedefaults>
    <o:shapelayout v:ext="edit">
      <o:idmap v:ext="edit" data="1,131,680"/>
      <o:rules v:ext="edit">
        <o:r id="V:Rule1" type="callout" idref="#_x0000_s696387"/>
        <o:r id="V:Rule4" type="callout" idref="#_x0000_s697172"/>
        <o:r id="V:Rule5" type="callout" idref="#_x0000_s697039"/>
        <o:r id="V:Rule6" type="callout" idref="#_x0000_s697030"/>
        <o:r id="V:Rule7" type="callout" idref="#_x0000_s697216"/>
        <o:r id="V:Rule9" type="callout" idref="#_x0000_s697209"/>
        <o:r id="V:Rule10" type="callout" idref="#_x0000_s696857"/>
        <o:r id="V:Rule11" type="callout" idref="#_x0000_s696851"/>
        <o:r id="V:Rule12" type="callout" idref="#_x0000_s697215"/>
        <o:r id="V:Rule13" type="callout" idref="#_x0000_s697214"/>
        <o:r id="V:Rule14" type="callout" idref="#_x0000_s697212"/>
        <o:r id="V:Rule15" type="callout" idref="#_x0000_s697213"/>
        <o:r id="V:Rule16" type="callout" idref="#_x0000_s697211"/>
        <o:r id="V:Rule22" type="callout" idref="#_x0000_s696771"/>
        <o:r id="V:Rule23" type="callout" idref="#_x0000_s696820"/>
        <o:r id="V:Rule24" type="connector" idref="#_x0000_s697183"/>
        <o:r id="V:Rule25" type="connector" idref="#_x0000_s696999"/>
        <o:r id="V:Rule26" type="connector" idref="#_x0000_s697083"/>
        <o:r id="V:Rule27" type="connector" idref="#_x0000_s696895"/>
        <o:r id="V:Rule28" type="connector" idref="#_x0000_s1485"/>
        <o:r id="V:Rule29" type="connector" idref="#_x0000_s696893"/>
        <o:r id="V:Rule30" type="connector" idref="#_x0000_s697012"/>
        <o:r id="V:Rule31" type="connector" idref="#_x0000_s6971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nhideWhenUsed="0" w:qFormat="1"/>
    <w:lsdException w:name="heading 2" w:uiPriority="0" w:qFormat="1"/>
    <w:lsdException w:name="heading 3" w:qFormat="1"/>
    <w:lsdException w:name="heading 4" w:uiPriority="0" w:qFormat="1"/>
    <w:lsdException w:name="heading 5" w:semiHidden="1" w:uiPriority="0" w:qFormat="1"/>
    <w:lsdException w:name="heading 6" w:uiPriority="0"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qFormat="1"/>
    <w:lsdException w:name="annotation text" w:semiHidden="1" w:qFormat="1"/>
    <w:lsdException w:name="header" w:qFormat="1"/>
    <w:lsdException w:name="footer" w:qFormat="1"/>
    <w:lsdException w:name="index heading" w:semiHidden="1"/>
    <w:lsdException w:name="caption" w:uiPriority="0"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uiPriority="0" w:unhideWhenUsed="0" w:qFormat="1"/>
    <w:lsdException w:name="endnote reference" w:semiHidden="1" w:qFormat="1"/>
    <w:lsdException w:name="endnote text" w:semiHidden="1" w:qFormat="1"/>
    <w:lsdException w:name="table of authorities" w:semiHidden="1"/>
    <w:lsdException w:name="macro" w:semiHidden="1"/>
    <w:lsdException w:name="toa heading" w:semiHidden="1"/>
    <w:lsdException w:name="List" w:qFormat="1"/>
    <w:lsdException w:name="List Bullet" w:semiHidden="1" w:qFormat="1"/>
    <w:lsdException w:name="List Number" w:semiHidden="1"/>
    <w:lsdException w:name="List 2" w:uiPriority="0" w:qFormat="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semiHidden="1" w:uiPriority="1"/>
    <w:lsdException w:name="Body Text" w:qFormat="1"/>
    <w:lsdException w:name="Body Text Indent"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uiPriority="0" w:unhideWhenUsed="0" w:qFormat="1"/>
    <w:lsdException w:name="Subtitle" w:uiPriority="11" w:unhideWhenUsed="0" w:qFormat="1"/>
    <w:lsdException w:name="Salutation" w:uiPriority="0" w:unhideWhenUsed="0"/>
    <w:lsdException w:name="Date" w:semiHidden="1" w:qFormat="1"/>
    <w:lsdException w:name="Body Text First Indent" w:uiPriority="0" w:qFormat="1"/>
    <w:lsdException w:name="Body Text First Indent 2" w:semiHidden="1" w:uiPriority="0" w:qFormat="1"/>
    <w:lsdException w:name="Note Heading" w:semiHidden="1" w:uiPriority="0" w:qFormat="1"/>
    <w:lsdException w:name="Body Text 2" w:qFormat="1"/>
    <w:lsdException w:name="Body Text 3" w:uiPriority="0" w:qFormat="1"/>
    <w:lsdException w:name="Body Text Indent 2" w:uiPriority="0" w:qFormat="1"/>
    <w:lsdException w:name="Body Text Indent 3" w:semiHidden="1" w:uiPriority="0" w:qFormat="1"/>
    <w:lsdException w:name="Block Text" w:semiHidden="1" w:uiPriority="0" w:qFormat="1"/>
    <w:lsdException w:name="Hyperlink" w:qFormat="1"/>
    <w:lsdException w:name="FollowedHyperlink" w:semiHidden="1" w:qFormat="1"/>
    <w:lsdException w:name="Strong" w:uiPriority="22" w:unhideWhenUsed="0" w:qFormat="1"/>
    <w:lsdException w:name="Emphasis" w:uiPriority="20" w:unhideWhenUsed="0" w:qFormat="1"/>
    <w:lsdException w:name="Document Map" w:uiPriority="0" w:qFormat="1"/>
    <w:lsdException w:name="Plain Text" w:uiPriority="0" w:qFormat="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qFormat="1"/>
    <w:lsdException w:name="HTML Sample" w:semiHidden="1"/>
    <w:lsdException w:name="HTML Typewriter" w:semiHidden="1" w:uiPriority="0" w:qFormat="1"/>
    <w:lsdException w:name="HTML Variable" w:semiHidden="1"/>
    <w:lsdException w:name="Normal Table" w:semiHidden="1" w:qFormat="1"/>
    <w:lsdException w:name="annotation subject" w:semiHidden="1"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uiPriority="0" w:qFormat="1"/>
    <w:lsdException w:name="Table Grid 2" w:semiHidden="1"/>
    <w:lsdException w:name="Table Grid 3" w:semiHidden="1"/>
    <w:lsdException w:name="Table Grid 4" w:semiHidden="1"/>
    <w:lsdException w:name="Table Grid 5" w:semiHidden="1"/>
    <w:lsdException w:name="Table Grid 6" w:semiHidden="1" w:uiPriority="0" w:qFormat="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uiPriority="0" w:qFormat="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qFormat="1"/>
    <w:lsdException w:name="Table Grid" w:uiPriority="0" w:unhideWhenUsed="0" w:qFormat="1"/>
    <w:lsdException w:name="Table Theme" w:semiHidden="1"/>
    <w:lsdException w:name="Placeholder Text" w:semiHidden="1" w:unhideWhenUsed="0" w:qFormat="1"/>
    <w:lsdException w:name="No Spacing" w:uiPriority="0"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nhideWhenUsed="0"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1">
    <w:name w:val="Normal"/>
    <w:qFormat/>
    <w:rsid w:val="00DF6D38"/>
    <w:pPr>
      <w:widowControl w:val="0"/>
      <w:jc w:val="both"/>
    </w:pPr>
    <w:rPr>
      <w:rFonts w:ascii="Times New Roman" w:eastAsia="宋体" w:hAnsi="Times New Roman" w:cs="Times New Roman"/>
      <w:kern w:val="2"/>
      <w:sz w:val="21"/>
      <w:szCs w:val="24"/>
    </w:rPr>
  </w:style>
  <w:style w:type="paragraph" w:styleId="10">
    <w:name w:val="heading 1"/>
    <w:basedOn w:val="a1"/>
    <w:next w:val="a1"/>
    <w:link w:val="1Char"/>
    <w:uiPriority w:val="99"/>
    <w:qFormat/>
    <w:rsid w:val="002A5A5E"/>
    <w:pPr>
      <w:keepNext/>
      <w:keepLines/>
      <w:spacing w:before="340" w:after="330" w:line="578" w:lineRule="auto"/>
      <w:outlineLvl w:val="0"/>
    </w:pPr>
    <w:rPr>
      <w:b/>
      <w:bCs/>
      <w:kern w:val="44"/>
      <w:sz w:val="44"/>
      <w:szCs w:val="44"/>
    </w:rPr>
  </w:style>
  <w:style w:type="paragraph" w:styleId="20">
    <w:name w:val="heading 2"/>
    <w:basedOn w:val="a1"/>
    <w:next w:val="a1"/>
    <w:link w:val="2Char"/>
    <w:unhideWhenUsed/>
    <w:qFormat/>
    <w:rsid w:val="002A5A5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1"/>
    <w:next w:val="a1"/>
    <w:link w:val="3Char"/>
    <w:uiPriority w:val="99"/>
    <w:unhideWhenUsed/>
    <w:qFormat/>
    <w:rsid w:val="002A5A5E"/>
    <w:pPr>
      <w:keepNext/>
      <w:keepLines/>
      <w:spacing w:before="260" w:after="260" w:line="416" w:lineRule="atLeast"/>
      <w:ind w:firstLineChars="177" w:firstLine="425"/>
      <w:outlineLvl w:val="2"/>
    </w:pPr>
    <w:rPr>
      <w:rFonts w:ascii="宋体" w:hAnsi="宋体" w:cs="宋体"/>
      <w:sz w:val="32"/>
      <w:szCs w:val="32"/>
    </w:rPr>
  </w:style>
  <w:style w:type="paragraph" w:styleId="4">
    <w:name w:val="heading 4"/>
    <w:basedOn w:val="a1"/>
    <w:next w:val="a1"/>
    <w:link w:val="4Char"/>
    <w:unhideWhenUsed/>
    <w:qFormat/>
    <w:rsid w:val="002A5A5E"/>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0">
    <w:name w:val="heading 5"/>
    <w:basedOn w:val="a1"/>
    <w:next w:val="a1"/>
    <w:link w:val="5Char"/>
    <w:semiHidden/>
    <w:unhideWhenUsed/>
    <w:qFormat/>
    <w:rsid w:val="002A5A5E"/>
    <w:pPr>
      <w:keepNext/>
      <w:keepLines/>
      <w:widowControl/>
      <w:spacing w:before="280" w:after="290" w:line="372" w:lineRule="auto"/>
      <w:ind w:firstLineChars="177" w:firstLine="425"/>
      <w:outlineLvl w:val="4"/>
    </w:pPr>
    <w:rPr>
      <w:color w:val="000000"/>
      <w:kern w:val="0"/>
      <w:sz w:val="28"/>
      <w:szCs w:val="28"/>
    </w:rPr>
  </w:style>
  <w:style w:type="paragraph" w:styleId="62">
    <w:name w:val="heading 6"/>
    <w:basedOn w:val="a1"/>
    <w:next w:val="a1"/>
    <w:link w:val="6Char"/>
    <w:unhideWhenUsed/>
    <w:qFormat/>
    <w:rsid w:val="002A5A5E"/>
    <w:pPr>
      <w:keepNext/>
      <w:keepLines/>
      <w:widowControl/>
      <w:spacing w:before="240" w:after="64" w:line="316" w:lineRule="auto"/>
      <w:ind w:firstLineChars="177" w:firstLine="425"/>
      <w:outlineLvl w:val="5"/>
    </w:pPr>
    <w:rPr>
      <w:rFonts w:ascii="Arial" w:eastAsia="黑体" w:hAnsi="Arial"/>
      <w:color w:val="000000"/>
      <w:kern w:val="0"/>
      <w:sz w:val="24"/>
    </w:rPr>
  </w:style>
  <w:style w:type="paragraph" w:styleId="70">
    <w:name w:val="heading 7"/>
    <w:basedOn w:val="10"/>
    <w:next w:val="a1"/>
    <w:link w:val="7Char"/>
    <w:autoRedefine/>
    <w:uiPriority w:val="99"/>
    <w:semiHidden/>
    <w:unhideWhenUsed/>
    <w:qFormat/>
    <w:rsid w:val="002A5A5E"/>
    <w:pPr>
      <w:widowControl/>
      <w:spacing w:before="240" w:after="64" w:line="316" w:lineRule="auto"/>
      <w:ind w:firstLineChars="177" w:firstLine="425"/>
      <w:outlineLvl w:val="6"/>
    </w:pPr>
    <w:rPr>
      <w:color w:val="000000"/>
      <w:kern w:val="0"/>
      <w:sz w:val="24"/>
      <w:szCs w:val="24"/>
    </w:rPr>
  </w:style>
  <w:style w:type="paragraph" w:styleId="81">
    <w:name w:val="heading 8"/>
    <w:basedOn w:val="10"/>
    <w:next w:val="a1"/>
    <w:link w:val="8Char"/>
    <w:autoRedefine/>
    <w:uiPriority w:val="99"/>
    <w:semiHidden/>
    <w:unhideWhenUsed/>
    <w:qFormat/>
    <w:rsid w:val="002A5A5E"/>
    <w:pPr>
      <w:widowControl/>
      <w:spacing w:before="240" w:after="64" w:line="316" w:lineRule="auto"/>
      <w:ind w:firstLineChars="177" w:firstLine="425"/>
      <w:outlineLvl w:val="7"/>
    </w:pPr>
    <w:rPr>
      <w:rFonts w:ascii="Arial" w:eastAsia="黑体" w:hAnsi="Arial"/>
      <w:b w:val="0"/>
      <w:bCs w:val="0"/>
      <w:color w:val="000000"/>
      <w:kern w:val="0"/>
      <w:sz w:val="24"/>
      <w:szCs w:val="24"/>
    </w:rPr>
  </w:style>
  <w:style w:type="paragraph" w:styleId="90">
    <w:name w:val="heading 9"/>
    <w:basedOn w:val="10"/>
    <w:next w:val="a1"/>
    <w:link w:val="9Char"/>
    <w:autoRedefine/>
    <w:uiPriority w:val="99"/>
    <w:semiHidden/>
    <w:unhideWhenUsed/>
    <w:qFormat/>
    <w:rsid w:val="002A5A5E"/>
    <w:pPr>
      <w:widowControl/>
      <w:spacing w:beforeLines="50" w:after="64" w:line="400" w:lineRule="exact"/>
      <w:ind w:firstLineChars="177" w:firstLine="425"/>
      <w:jc w:val="center"/>
      <w:outlineLvl w:val="8"/>
    </w:pPr>
    <w:rPr>
      <w:b w:val="0"/>
      <w:bCs w:val="0"/>
      <w:color w:val="000000"/>
      <w:kern w:val="0"/>
      <w:sz w:val="24"/>
      <w:szCs w:val="21"/>
    </w:rPr>
  </w:style>
  <w:style w:type="character" w:default="1" w:styleId="a2">
    <w:name w:val="Default Paragraph Font"/>
    <w:uiPriority w:val="1"/>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te Heading"/>
    <w:basedOn w:val="10"/>
    <w:next w:val="a1"/>
    <w:link w:val="Char"/>
    <w:autoRedefine/>
    <w:semiHidden/>
    <w:unhideWhenUsed/>
    <w:qFormat/>
    <w:rsid w:val="002A5A5E"/>
    <w:pPr>
      <w:keepNext w:val="0"/>
      <w:keepLines w:val="0"/>
      <w:spacing w:before="0" w:after="0" w:line="500" w:lineRule="atLeast"/>
      <w:ind w:firstLineChars="177" w:firstLine="425"/>
      <w:jc w:val="center"/>
      <w:outlineLvl w:val="9"/>
    </w:pPr>
    <w:rPr>
      <w:rFonts w:asciiTheme="minorHAnsi" w:eastAsiaTheme="minorEastAsia" w:hAnsiTheme="minorHAnsi" w:cstheme="minorBidi"/>
      <w:b w:val="0"/>
      <w:bCs w:val="0"/>
      <w:kern w:val="2"/>
      <w:sz w:val="24"/>
      <w:szCs w:val="22"/>
    </w:rPr>
  </w:style>
  <w:style w:type="paragraph" w:styleId="a6">
    <w:name w:val="Normal Indent"/>
    <w:basedOn w:val="10"/>
    <w:next w:val="a1"/>
    <w:link w:val="Char0"/>
    <w:autoRedefine/>
    <w:uiPriority w:val="99"/>
    <w:unhideWhenUsed/>
    <w:qFormat/>
    <w:rsid w:val="002A5A5E"/>
    <w:pPr>
      <w:keepNext w:val="0"/>
      <w:keepLines w:val="0"/>
      <w:adjustRightInd w:val="0"/>
      <w:snapToGrid w:val="0"/>
      <w:spacing w:before="0" w:after="0" w:line="300" w:lineRule="auto"/>
      <w:ind w:firstLineChars="200" w:firstLine="200"/>
      <w:outlineLvl w:val="9"/>
    </w:pPr>
    <w:rPr>
      <w:rFonts w:ascii="FangSong_GB2312" w:eastAsia="FangSong_GB2312" w:hAnsiTheme="minorHAnsi" w:cstheme="minorBidi"/>
      <w:b w:val="0"/>
      <w:bCs w:val="0"/>
      <w:kern w:val="2"/>
      <w:sz w:val="28"/>
      <w:szCs w:val="24"/>
    </w:rPr>
  </w:style>
  <w:style w:type="paragraph" w:styleId="a7">
    <w:name w:val="caption"/>
    <w:basedOn w:val="10"/>
    <w:next w:val="a1"/>
    <w:link w:val="Char1"/>
    <w:autoRedefine/>
    <w:unhideWhenUsed/>
    <w:qFormat/>
    <w:rsid w:val="002A5A5E"/>
    <w:pPr>
      <w:keepNext w:val="0"/>
      <w:keepLines w:val="0"/>
      <w:spacing w:before="0" w:after="0" w:line="500" w:lineRule="atLeast"/>
      <w:ind w:firstLineChars="200" w:firstLine="521"/>
      <w:outlineLvl w:val="9"/>
    </w:pPr>
    <w:rPr>
      <w:rFonts w:asciiTheme="minorHAnsi" w:eastAsiaTheme="minorEastAsia" w:hAnsiTheme="minorHAnsi" w:cstheme="minorBidi"/>
      <w:b w:val="0"/>
      <w:bCs w:val="0"/>
      <w:color w:val="000000"/>
      <w:kern w:val="2"/>
      <w:sz w:val="28"/>
      <w:szCs w:val="22"/>
    </w:rPr>
  </w:style>
  <w:style w:type="paragraph" w:styleId="a">
    <w:name w:val="List Bullet"/>
    <w:basedOn w:val="a1"/>
    <w:autoRedefine/>
    <w:uiPriority w:val="99"/>
    <w:semiHidden/>
    <w:unhideWhenUsed/>
    <w:qFormat/>
    <w:rsid w:val="002A5A5E"/>
    <w:pPr>
      <w:numPr>
        <w:numId w:val="1"/>
      </w:numPr>
    </w:pPr>
    <w:rPr>
      <w:rFonts w:ascii="Calibri" w:hAnsi="Calibri"/>
    </w:rPr>
  </w:style>
  <w:style w:type="paragraph" w:styleId="a8">
    <w:name w:val="Document Map"/>
    <w:basedOn w:val="a1"/>
    <w:link w:val="Char2"/>
    <w:unhideWhenUsed/>
    <w:qFormat/>
    <w:rsid w:val="002A5A5E"/>
    <w:rPr>
      <w:rFonts w:ascii="宋体"/>
      <w:sz w:val="18"/>
      <w:szCs w:val="18"/>
    </w:rPr>
  </w:style>
  <w:style w:type="paragraph" w:styleId="a9">
    <w:name w:val="annotation text"/>
    <w:basedOn w:val="a1"/>
    <w:link w:val="Char3"/>
    <w:uiPriority w:val="99"/>
    <w:semiHidden/>
    <w:unhideWhenUsed/>
    <w:qFormat/>
    <w:rsid w:val="002A5A5E"/>
    <w:pPr>
      <w:jc w:val="left"/>
    </w:pPr>
    <w:rPr>
      <w:rFonts w:ascii="Calibri" w:eastAsiaTheme="minorEastAsia" w:hAnsi="Calibri" w:cstheme="minorBidi"/>
      <w:color w:val="000000"/>
      <w:sz w:val="24"/>
    </w:rPr>
  </w:style>
  <w:style w:type="paragraph" w:styleId="63">
    <w:name w:val="index 6"/>
    <w:basedOn w:val="a1"/>
    <w:next w:val="a1"/>
    <w:autoRedefine/>
    <w:uiPriority w:val="99"/>
    <w:semiHidden/>
    <w:unhideWhenUsed/>
    <w:rsid w:val="002A5A5E"/>
    <w:pPr>
      <w:ind w:leftChars="1000" w:left="1000"/>
    </w:pPr>
  </w:style>
  <w:style w:type="paragraph" w:styleId="aa">
    <w:name w:val="Salutation"/>
    <w:basedOn w:val="a1"/>
    <w:next w:val="a1"/>
    <w:link w:val="Char4"/>
    <w:rsid w:val="002A5A5E"/>
  </w:style>
  <w:style w:type="paragraph" w:styleId="31">
    <w:name w:val="Body Text 3"/>
    <w:basedOn w:val="a1"/>
    <w:link w:val="3Char0"/>
    <w:unhideWhenUsed/>
    <w:qFormat/>
    <w:rsid w:val="002A5A5E"/>
    <w:pPr>
      <w:spacing w:after="120"/>
    </w:pPr>
    <w:rPr>
      <w:rFonts w:ascii="Calibri" w:eastAsiaTheme="minorEastAsia" w:hAnsi="Calibri" w:cstheme="minorBidi"/>
      <w:color w:val="000000"/>
      <w:sz w:val="16"/>
      <w:szCs w:val="16"/>
    </w:rPr>
  </w:style>
  <w:style w:type="paragraph" w:styleId="ab">
    <w:name w:val="Body Text"/>
    <w:basedOn w:val="a1"/>
    <w:link w:val="Char5"/>
    <w:uiPriority w:val="99"/>
    <w:unhideWhenUsed/>
    <w:qFormat/>
    <w:rsid w:val="002A5A5E"/>
    <w:pPr>
      <w:spacing w:after="120"/>
    </w:pPr>
  </w:style>
  <w:style w:type="paragraph" w:styleId="ac">
    <w:name w:val="Body Text Indent"/>
    <w:basedOn w:val="10"/>
    <w:next w:val="a1"/>
    <w:link w:val="Char6"/>
    <w:autoRedefine/>
    <w:uiPriority w:val="99"/>
    <w:unhideWhenUsed/>
    <w:qFormat/>
    <w:rsid w:val="002A5A5E"/>
    <w:pPr>
      <w:keepNext w:val="0"/>
      <w:keepLines w:val="0"/>
      <w:spacing w:before="0" w:after="0" w:line="240" w:lineRule="auto"/>
      <w:ind w:firstLineChars="200" w:firstLine="480"/>
      <w:outlineLvl w:val="9"/>
    </w:pPr>
    <w:rPr>
      <w:rFonts w:asciiTheme="minorHAnsi" w:eastAsiaTheme="minorEastAsia" w:hAnsiTheme="minorHAnsi" w:cstheme="minorBidi"/>
      <w:b w:val="0"/>
      <w:bCs w:val="0"/>
      <w:kern w:val="2"/>
      <w:sz w:val="24"/>
      <w:szCs w:val="24"/>
    </w:rPr>
  </w:style>
  <w:style w:type="paragraph" w:styleId="21">
    <w:name w:val="List 2"/>
    <w:basedOn w:val="a1"/>
    <w:link w:val="2Char0"/>
    <w:unhideWhenUsed/>
    <w:qFormat/>
    <w:rsid w:val="002A5A5E"/>
    <w:pPr>
      <w:ind w:leftChars="200" w:left="100" w:hangingChars="200" w:hanging="200"/>
      <w:contextualSpacing/>
    </w:pPr>
    <w:rPr>
      <w:rFonts w:ascii="楷体_GB2312" w:eastAsia="楷体_GB2312" w:hAnsi="宋体" w:cstheme="minorBidi"/>
      <w:color w:val="000000"/>
      <w:sz w:val="24"/>
      <w:szCs w:val="28"/>
    </w:rPr>
  </w:style>
  <w:style w:type="paragraph" w:styleId="ad">
    <w:name w:val="Block Text"/>
    <w:basedOn w:val="a1"/>
    <w:semiHidden/>
    <w:unhideWhenUsed/>
    <w:qFormat/>
    <w:rsid w:val="002A5A5E"/>
    <w:pPr>
      <w:spacing w:after="120"/>
      <w:ind w:leftChars="700" w:left="1440" w:rightChars="700" w:right="1440"/>
    </w:pPr>
  </w:style>
  <w:style w:type="paragraph" w:styleId="ae">
    <w:name w:val="Plain Text"/>
    <w:basedOn w:val="10"/>
    <w:next w:val="a1"/>
    <w:link w:val="Char7"/>
    <w:autoRedefine/>
    <w:unhideWhenUsed/>
    <w:qFormat/>
    <w:rsid w:val="002A5A5E"/>
    <w:pPr>
      <w:keepNext w:val="0"/>
      <w:keepLines w:val="0"/>
      <w:spacing w:before="0" w:after="0" w:line="240" w:lineRule="auto"/>
      <w:outlineLvl w:val="9"/>
    </w:pPr>
    <w:rPr>
      <w:rFonts w:ascii="宋体" w:hAnsi="Courier New" w:cs="Courier New"/>
      <w:b w:val="0"/>
      <w:bCs w:val="0"/>
      <w:kern w:val="2"/>
      <w:sz w:val="21"/>
      <w:szCs w:val="21"/>
    </w:rPr>
  </w:style>
  <w:style w:type="paragraph" w:styleId="af">
    <w:name w:val="Date"/>
    <w:basedOn w:val="a1"/>
    <w:next w:val="a1"/>
    <w:link w:val="Char8"/>
    <w:uiPriority w:val="99"/>
    <w:semiHidden/>
    <w:unhideWhenUsed/>
    <w:qFormat/>
    <w:rsid w:val="002A5A5E"/>
    <w:pPr>
      <w:ind w:leftChars="2500" w:left="100"/>
    </w:pPr>
    <w:rPr>
      <w:rFonts w:asciiTheme="minorHAnsi" w:eastAsiaTheme="minorEastAsia" w:hAnsiTheme="minorHAnsi" w:cstheme="minorBidi"/>
    </w:rPr>
  </w:style>
  <w:style w:type="paragraph" w:styleId="22">
    <w:name w:val="Body Text Indent 2"/>
    <w:basedOn w:val="10"/>
    <w:next w:val="a1"/>
    <w:link w:val="2Char1"/>
    <w:autoRedefine/>
    <w:unhideWhenUsed/>
    <w:qFormat/>
    <w:rsid w:val="002A5A5E"/>
    <w:pPr>
      <w:keepNext w:val="0"/>
      <w:keepLines w:val="0"/>
      <w:spacing w:before="0" w:after="120" w:line="480" w:lineRule="auto"/>
      <w:ind w:leftChars="200" w:left="420" w:firstLineChars="177" w:firstLine="425"/>
      <w:outlineLvl w:val="9"/>
    </w:pPr>
    <w:rPr>
      <w:rFonts w:ascii="Calibri" w:eastAsiaTheme="minorEastAsia" w:hAnsi="Calibri" w:cstheme="minorBidi"/>
      <w:b w:val="0"/>
      <w:bCs w:val="0"/>
      <w:color w:val="000000"/>
      <w:kern w:val="2"/>
      <w:sz w:val="21"/>
      <w:szCs w:val="22"/>
    </w:rPr>
  </w:style>
  <w:style w:type="paragraph" w:styleId="af0">
    <w:name w:val="endnote text"/>
    <w:basedOn w:val="a1"/>
    <w:link w:val="Char9"/>
    <w:uiPriority w:val="99"/>
    <w:semiHidden/>
    <w:unhideWhenUsed/>
    <w:qFormat/>
    <w:rsid w:val="002A5A5E"/>
    <w:pPr>
      <w:snapToGrid w:val="0"/>
      <w:jc w:val="left"/>
    </w:pPr>
  </w:style>
  <w:style w:type="paragraph" w:styleId="af1">
    <w:name w:val="Balloon Text"/>
    <w:basedOn w:val="a1"/>
    <w:link w:val="Chara"/>
    <w:uiPriority w:val="99"/>
    <w:unhideWhenUsed/>
    <w:qFormat/>
    <w:rsid w:val="002A5A5E"/>
    <w:rPr>
      <w:sz w:val="18"/>
      <w:szCs w:val="18"/>
    </w:rPr>
  </w:style>
  <w:style w:type="paragraph" w:styleId="af2">
    <w:name w:val="footer"/>
    <w:basedOn w:val="a1"/>
    <w:link w:val="Charb"/>
    <w:uiPriority w:val="99"/>
    <w:unhideWhenUsed/>
    <w:qFormat/>
    <w:rsid w:val="002A5A5E"/>
    <w:pPr>
      <w:tabs>
        <w:tab w:val="center" w:pos="4153"/>
        <w:tab w:val="right" w:pos="8306"/>
      </w:tabs>
      <w:snapToGrid w:val="0"/>
      <w:jc w:val="left"/>
    </w:pPr>
    <w:rPr>
      <w:sz w:val="18"/>
      <w:szCs w:val="18"/>
    </w:rPr>
  </w:style>
  <w:style w:type="paragraph" w:styleId="af3">
    <w:name w:val="header"/>
    <w:basedOn w:val="a1"/>
    <w:link w:val="Charc"/>
    <w:uiPriority w:val="99"/>
    <w:unhideWhenUsed/>
    <w:qFormat/>
    <w:rsid w:val="002A5A5E"/>
    <w:pPr>
      <w:pBdr>
        <w:bottom w:val="single" w:sz="6" w:space="1" w:color="auto"/>
      </w:pBdr>
      <w:tabs>
        <w:tab w:val="center" w:pos="4153"/>
        <w:tab w:val="right" w:pos="8306"/>
      </w:tabs>
      <w:snapToGrid w:val="0"/>
      <w:jc w:val="center"/>
    </w:pPr>
    <w:rPr>
      <w:sz w:val="18"/>
      <w:szCs w:val="18"/>
    </w:rPr>
  </w:style>
  <w:style w:type="paragraph" w:styleId="11">
    <w:name w:val="toc 1"/>
    <w:basedOn w:val="a1"/>
    <w:next w:val="a1"/>
    <w:autoRedefine/>
    <w:uiPriority w:val="39"/>
    <w:unhideWhenUsed/>
    <w:qFormat/>
    <w:rsid w:val="002A5A5E"/>
    <w:pPr>
      <w:tabs>
        <w:tab w:val="right" w:leader="dot" w:pos="8302"/>
      </w:tabs>
      <w:spacing w:line="360" w:lineRule="auto"/>
      <w:contextualSpacing/>
      <w:jc w:val="center"/>
    </w:pPr>
    <w:rPr>
      <w:rFonts w:eastAsiaTheme="minorEastAsia"/>
      <w:b/>
      <w:bCs/>
      <w:iCs/>
      <w:kern w:val="0"/>
      <w:sz w:val="36"/>
      <w:szCs w:val="36"/>
    </w:rPr>
  </w:style>
  <w:style w:type="paragraph" w:styleId="af4">
    <w:name w:val="Subtitle"/>
    <w:basedOn w:val="a1"/>
    <w:next w:val="a1"/>
    <w:link w:val="Chard"/>
    <w:uiPriority w:val="11"/>
    <w:qFormat/>
    <w:rsid w:val="002A5A5E"/>
    <w:pPr>
      <w:spacing w:before="200" w:after="200" w:line="360" w:lineRule="auto"/>
      <w:ind w:firstLineChars="177" w:firstLine="496"/>
      <w:jc w:val="left"/>
      <w:outlineLvl w:val="1"/>
    </w:pPr>
    <w:rPr>
      <w:rFonts w:ascii="黑体" w:eastAsia="黑体" w:hAnsi="黑体"/>
      <w:bCs/>
      <w:kern w:val="44"/>
      <w:sz w:val="28"/>
      <w:szCs w:val="28"/>
    </w:rPr>
  </w:style>
  <w:style w:type="paragraph" w:styleId="af5">
    <w:name w:val="List"/>
    <w:basedOn w:val="a1"/>
    <w:uiPriority w:val="99"/>
    <w:unhideWhenUsed/>
    <w:qFormat/>
    <w:rsid w:val="002A5A5E"/>
    <w:pPr>
      <w:ind w:left="200" w:hangingChars="200" w:hanging="200"/>
      <w:contextualSpacing/>
    </w:pPr>
  </w:style>
  <w:style w:type="paragraph" w:styleId="af6">
    <w:name w:val="footnote text"/>
    <w:basedOn w:val="a1"/>
    <w:link w:val="Char10"/>
    <w:uiPriority w:val="99"/>
    <w:unhideWhenUsed/>
    <w:rsid w:val="002A5A5E"/>
    <w:pPr>
      <w:widowControl/>
      <w:jc w:val="left"/>
    </w:pPr>
    <w:rPr>
      <w:rFonts w:ascii="Calibri" w:hAnsi="Calibri"/>
      <w:szCs w:val="22"/>
    </w:rPr>
  </w:style>
  <w:style w:type="paragraph" w:styleId="32">
    <w:name w:val="Body Text Indent 3"/>
    <w:basedOn w:val="a1"/>
    <w:link w:val="3Char1"/>
    <w:semiHidden/>
    <w:unhideWhenUsed/>
    <w:qFormat/>
    <w:rsid w:val="002A5A5E"/>
    <w:pPr>
      <w:spacing w:after="120"/>
      <w:ind w:leftChars="200" w:left="420"/>
    </w:pPr>
    <w:rPr>
      <w:rFonts w:ascii="Calibri" w:eastAsiaTheme="minorEastAsia" w:hAnsi="Calibri" w:cstheme="minorBidi"/>
      <w:color w:val="000000"/>
      <w:sz w:val="16"/>
      <w:szCs w:val="16"/>
    </w:rPr>
  </w:style>
  <w:style w:type="paragraph" w:styleId="23">
    <w:name w:val="toc 2"/>
    <w:basedOn w:val="a1"/>
    <w:next w:val="a1"/>
    <w:autoRedefine/>
    <w:uiPriority w:val="39"/>
    <w:unhideWhenUsed/>
    <w:qFormat/>
    <w:rsid w:val="002A5A5E"/>
    <w:pPr>
      <w:spacing w:before="120" w:line="500" w:lineRule="atLeast"/>
      <w:ind w:left="210" w:firstLineChars="177" w:firstLine="425"/>
      <w:jc w:val="left"/>
    </w:pPr>
    <w:rPr>
      <w:b/>
      <w:bCs/>
      <w:color w:val="000000"/>
      <w:sz w:val="24"/>
    </w:rPr>
  </w:style>
  <w:style w:type="paragraph" w:styleId="24">
    <w:name w:val="Body Text 2"/>
    <w:basedOn w:val="a1"/>
    <w:link w:val="2Char2"/>
    <w:uiPriority w:val="99"/>
    <w:unhideWhenUsed/>
    <w:qFormat/>
    <w:rsid w:val="002A5A5E"/>
    <w:pPr>
      <w:spacing w:after="120" w:line="480" w:lineRule="auto"/>
    </w:pPr>
    <w:rPr>
      <w:rFonts w:asciiTheme="minorHAnsi" w:eastAsiaTheme="minorEastAsia" w:hAnsiTheme="minorHAnsi" w:cstheme="minorBidi"/>
      <w:sz w:val="24"/>
    </w:rPr>
  </w:style>
  <w:style w:type="paragraph" w:styleId="af7">
    <w:name w:val="Message Header"/>
    <w:basedOn w:val="a1"/>
    <w:next w:val="a1"/>
    <w:link w:val="Chare"/>
    <w:autoRedefine/>
    <w:qFormat/>
    <w:rsid w:val="002A5A5E"/>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Arial" w:hAnsi="Arial"/>
      <w:sz w:val="24"/>
    </w:rPr>
  </w:style>
  <w:style w:type="paragraph" w:styleId="HTML">
    <w:name w:val="HTML Preformatted"/>
    <w:basedOn w:val="a1"/>
    <w:link w:val="HTMLChar1"/>
    <w:uiPriority w:val="99"/>
    <w:unhideWhenUsed/>
    <w:qFormat/>
    <w:rsid w:val="002A5A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atLeast"/>
      <w:ind w:firstLineChars="177" w:firstLine="425"/>
      <w:jc w:val="left"/>
    </w:pPr>
    <w:rPr>
      <w:rFonts w:ascii="宋体" w:hAnsi="宋体" w:cs="宋体"/>
      <w:sz w:val="24"/>
    </w:rPr>
  </w:style>
  <w:style w:type="paragraph" w:styleId="af8">
    <w:name w:val="Normal (Web)"/>
    <w:basedOn w:val="10"/>
    <w:next w:val="a1"/>
    <w:autoRedefine/>
    <w:uiPriority w:val="99"/>
    <w:unhideWhenUsed/>
    <w:qFormat/>
    <w:rsid w:val="002A5A5E"/>
    <w:pPr>
      <w:keepNext w:val="0"/>
      <w:keepLines w:val="0"/>
      <w:spacing w:before="0" w:after="0" w:line="240" w:lineRule="auto"/>
      <w:ind w:firstLineChars="200" w:firstLine="420"/>
      <w:outlineLvl w:val="9"/>
    </w:pPr>
    <w:rPr>
      <w:rFonts w:ascii="Calibri" w:hAnsi="Calibri"/>
      <w:b w:val="0"/>
      <w:bCs w:val="0"/>
      <w:kern w:val="2"/>
      <w:sz w:val="21"/>
      <w:szCs w:val="22"/>
    </w:rPr>
  </w:style>
  <w:style w:type="paragraph" w:styleId="af9">
    <w:name w:val="Title"/>
    <w:basedOn w:val="a1"/>
    <w:link w:val="Char11"/>
    <w:qFormat/>
    <w:rsid w:val="002A5A5E"/>
    <w:pPr>
      <w:tabs>
        <w:tab w:val="left" w:pos="5400"/>
      </w:tabs>
      <w:snapToGrid w:val="0"/>
      <w:spacing w:before="200" w:after="200" w:line="360" w:lineRule="auto"/>
      <w:ind w:firstLineChars="177" w:firstLine="581"/>
      <w:jc w:val="left"/>
      <w:outlineLvl w:val="0"/>
    </w:pPr>
    <w:rPr>
      <w:rFonts w:ascii="黑体" w:eastAsia="黑体" w:hAnsi="黑体"/>
      <w:color w:val="000000"/>
      <w:spacing w:val="4"/>
      <w:kern w:val="44"/>
      <w:sz w:val="32"/>
      <w:szCs w:val="32"/>
    </w:rPr>
  </w:style>
  <w:style w:type="paragraph" w:styleId="afa">
    <w:name w:val="annotation subject"/>
    <w:basedOn w:val="a9"/>
    <w:next w:val="a9"/>
    <w:link w:val="Charf"/>
    <w:uiPriority w:val="99"/>
    <w:semiHidden/>
    <w:unhideWhenUsed/>
    <w:qFormat/>
    <w:rsid w:val="002A5A5E"/>
    <w:rPr>
      <w:b/>
      <w:bCs/>
    </w:rPr>
  </w:style>
  <w:style w:type="paragraph" w:styleId="afb">
    <w:name w:val="Body Text First Indent"/>
    <w:basedOn w:val="ab"/>
    <w:next w:val="a1"/>
    <w:link w:val="Charf0"/>
    <w:autoRedefine/>
    <w:unhideWhenUsed/>
    <w:qFormat/>
    <w:rsid w:val="002A5A5E"/>
    <w:pPr>
      <w:spacing w:after="0" w:line="360" w:lineRule="auto"/>
      <w:ind w:firstLineChars="200" w:firstLine="480"/>
    </w:pPr>
    <w:rPr>
      <w:color w:val="FF0000"/>
      <w:sz w:val="24"/>
    </w:rPr>
  </w:style>
  <w:style w:type="paragraph" w:styleId="25">
    <w:name w:val="Body Text First Indent 2"/>
    <w:basedOn w:val="ac"/>
    <w:link w:val="2Char3"/>
    <w:semiHidden/>
    <w:unhideWhenUsed/>
    <w:qFormat/>
    <w:rsid w:val="002A5A5E"/>
    <w:pPr>
      <w:spacing w:after="120"/>
      <w:ind w:leftChars="200" w:left="420" w:firstLine="420"/>
    </w:pPr>
    <w:rPr>
      <w:sz w:val="28"/>
    </w:rPr>
  </w:style>
  <w:style w:type="table" w:styleId="afc">
    <w:name w:val="Table Grid"/>
    <w:basedOn w:val="a3"/>
    <w:qFormat/>
    <w:rsid w:val="002A5A5E"/>
    <w:pPr>
      <w:widowControl w:val="0"/>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d">
    <w:name w:val="Table Elegant"/>
    <w:basedOn w:val="a3"/>
    <w:semiHidden/>
    <w:unhideWhenUsed/>
    <w:qFormat/>
    <w:rsid w:val="002A5A5E"/>
    <w:pPr>
      <w:widowControl w:val="0"/>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styleId="12">
    <w:name w:val="Table Grid 1"/>
    <w:basedOn w:val="a3"/>
    <w:semiHidden/>
    <w:unhideWhenUsed/>
    <w:qFormat/>
    <w:rsid w:val="002A5A5E"/>
    <w:pPr>
      <w:widowControl w:val="0"/>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64">
    <w:name w:val="Table Grid 6"/>
    <w:basedOn w:val="a3"/>
    <w:semiHidden/>
    <w:unhideWhenUsed/>
    <w:qFormat/>
    <w:rsid w:val="002A5A5E"/>
    <w:pPr>
      <w:widowControl w:val="0"/>
      <w:spacing w:line="440" w:lineRule="exact"/>
      <w:ind w:firstLineChars="200" w:firstLine="496"/>
    </w:pPr>
    <w:rPr>
      <w:rFonts w:ascii="Times New Roman" w:eastAsia="宋体" w:hAnsi="Times New Roman" w:cs="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styleId="afe">
    <w:name w:val="Strong"/>
    <w:basedOn w:val="a2"/>
    <w:uiPriority w:val="22"/>
    <w:qFormat/>
    <w:rsid w:val="002A5A5E"/>
    <w:rPr>
      <w:b/>
      <w:bCs/>
    </w:rPr>
  </w:style>
  <w:style w:type="character" w:styleId="aff">
    <w:name w:val="endnote reference"/>
    <w:basedOn w:val="a2"/>
    <w:uiPriority w:val="99"/>
    <w:semiHidden/>
    <w:unhideWhenUsed/>
    <w:qFormat/>
    <w:rsid w:val="002A5A5E"/>
    <w:rPr>
      <w:vertAlign w:val="superscript"/>
    </w:rPr>
  </w:style>
  <w:style w:type="character" w:styleId="aff0">
    <w:name w:val="page number"/>
    <w:qFormat/>
    <w:rsid w:val="002A5A5E"/>
    <w:rPr>
      <w:rFonts w:cs="Times New Roman"/>
    </w:rPr>
  </w:style>
  <w:style w:type="character" w:styleId="aff1">
    <w:name w:val="FollowedHyperlink"/>
    <w:basedOn w:val="a2"/>
    <w:uiPriority w:val="99"/>
    <w:semiHidden/>
    <w:unhideWhenUsed/>
    <w:qFormat/>
    <w:rsid w:val="002A5A5E"/>
    <w:rPr>
      <w:color w:val="800080" w:themeColor="followedHyperlink"/>
      <w:u w:val="single"/>
    </w:rPr>
  </w:style>
  <w:style w:type="character" w:styleId="HTML0">
    <w:name w:val="HTML Typewriter"/>
    <w:semiHidden/>
    <w:unhideWhenUsed/>
    <w:qFormat/>
    <w:rsid w:val="002A5A5E"/>
    <w:rPr>
      <w:rFonts w:ascii="宋体" w:eastAsia="宋体" w:hAnsi="宋体" w:cs="宋体" w:hint="eastAsia"/>
      <w:sz w:val="24"/>
      <w:szCs w:val="24"/>
    </w:rPr>
  </w:style>
  <w:style w:type="character" w:styleId="aff2">
    <w:name w:val="Hyperlink"/>
    <w:uiPriority w:val="99"/>
    <w:unhideWhenUsed/>
    <w:qFormat/>
    <w:rsid w:val="002A5A5E"/>
    <w:rPr>
      <w:color w:val="0000FF"/>
      <w:u w:val="single"/>
    </w:rPr>
  </w:style>
  <w:style w:type="character" w:styleId="aff3">
    <w:name w:val="annotation reference"/>
    <w:uiPriority w:val="99"/>
    <w:semiHidden/>
    <w:unhideWhenUsed/>
    <w:qFormat/>
    <w:rsid w:val="002A5A5E"/>
    <w:rPr>
      <w:sz w:val="21"/>
      <w:szCs w:val="21"/>
    </w:rPr>
  </w:style>
  <w:style w:type="character" w:customStyle="1" w:styleId="1Char">
    <w:name w:val="标题 1 Char"/>
    <w:basedOn w:val="a2"/>
    <w:link w:val="10"/>
    <w:qFormat/>
    <w:rsid w:val="002A5A5E"/>
    <w:rPr>
      <w:rFonts w:ascii="Times New Roman" w:eastAsia="宋体" w:hAnsi="Times New Roman" w:cs="Times New Roman"/>
      <w:b/>
      <w:bCs/>
      <w:kern w:val="44"/>
      <w:sz w:val="44"/>
      <w:szCs w:val="44"/>
    </w:rPr>
  </w:style>
  <w:style w:type="character" w:customStyle="1" w:styleId="2Char">
    <w:name w:val="标题 2 Char"/>
    <w:basedOn w:val="a2"/>
    <w:link w:val="20"/>
    <w:uiPriority w:val="99"/>
    <w:semiHidden/>
    <w:qFormat/>
    <w:rsid w:val="002A5A5E"/>
    <w:rPr>
      <w:rFonts w:asciiTheme="majorHAnsi" w:eastAsiaTheme="majorEastAsia" w:hAnsiTheme="majorHAnsi" w:cstheme="majorBidi"/>
      <w:b/>
      <w:bCs/>
      <w:sz w:val="32"/>
      <w:szCs w:val="32"/>
    </w:rPr>
  </w:style>
  <w:style w:type="character" w:customStyle="1" w:styleId="3Char">
    <w:name w:val="标题 3 Char"/>
    <w:basedOn w:val="a2"/>
    <w:link w:val="30"/>
    <w:uiPriority w:val="99"/>
    <w:qFormat/>
    <w:rsid w:val="002A5A5E"/>
    <w:rPr>
      <w:rFonts w:ascii="宋体" w:eastAsia="宋体" w:hAnsi="宋体" w:cs="宋体"/>
      <w:sz w:val="32"/>
      <w:szCs w:val="32"/>
    </w:rPr>
  </w:style>
  <w:style w:type="character" w:customStyle="1" w:styleId="4Char">
    <w:name w:val="标题 4 Char"/>
    <w:basedOn w:val="a2"/>
    <w:link w:val="4"/>
    <w:qFormat/>
    <w:rsid w:val="002A5A5E"/>
    <w:rPr>
      <w:rFonts w:asciiTheme="majorHAnsi" w:eastAsiaTheme="majorEastAsia" w:hAnsiTheme="majorHAnsi" w:cstheme="majorBidi"/>
      <w:b/>
      <w:bCs/>
      <w:sz w:val="28"/>
      <w:szCs w:val="28"/>
    </w:rPr>
  </w:style>
  <w:style w:type="character" w:customStyle="1" w:styleId="5Char">
    <w:name w:val="标题 5 Char"/>
    <w:basedOn w:val="a2"/>
    <w:link w:val="50"/>
    <w:semiHidden/>
    <w:qFormat/>
    <w:rsid w:val="002A5A5E"/>
    <w:rPr>
      <w:rFonts w:ascii="Times New Roman" w:eastAsia="宋体" w:hAnsi="Times New Roman" w:cs="Times New Roman"/>
      <w:color w:val="000000"/>
      <w:kern w:val="0"/>
      <w:sz w:val="28"/>
      <w:szCs w:val="28"/>
    </w:rPr>
  </w:style>
  <w:style w:type="character" w:customStyle="1" w:styleId="6Char">
    <w:name w:val="标题 6 Char"/>
    <w:basedOn w:val="a2"/>
    <w:link w:val="62"/>
    <w:semiHidden/>
    <w:qFormat/>
    <w:rsid w:val="002A5A5E"/>
    <w:rPr>
      <w:rFonts w:ascii="Arial" w:eastAsia="黑体" w:hAnsi="Arial" w:cs="Times New Roman"/>
      <w:color w:val="000000"/>
      <w:kern w:val="0"/>
      <w:sz w:val="24"/>
      <w:szCs w:val="24"/>
    </w:rPr>
  </w:style>
  <w:style w:type="character" w:customStyle="1" w:styleId="7Char">
    <w:name w:val="标题 7 Char"/>
    <w:basedOn w:val="a2"/>
    <w:link w:val="70"/>
    <w:uiPriority w:val="99"/>
    <w:semiHidden/>
    <w:qFormat/>
    <w:rsid w:val="002A5A5E"/>
    <w:rPr>
      <w:rFonts w:ascii="Times New Roman" w:eastAsia="宋体" w:hAnsi="Times New Roman" w:cs="Times New Roman"/>
      <w:b/>
      <w:bCs/>
      <w:color w:val="000000"/>
      <w:kern w:val="0"/>
      <w:sz w:val="24"/>
      <w:szCs w:val="24"/>
    </w:rPr>
  </w:style>
  <w:style w:type="character" w:customStyle="1" w:styleId="8Char">
    <w:name w:val="标题 8 Char"/>
    <w:basedOn w:val="a2"/>
    <w:link w:val="81"/>
    <w:uiPriority w:val="99"/>
    <w:semiHidden/>
    <w:qFormat/>
    <w:rsid w:val="002A5A5E"/>
    <w:rPr>
      <w:rFonts w:ascii="Arial" w:eastAsia="黑体" w:hAnsi="Arial" w:cs="Times New Roman"/>
      <w:color w:val="000000"/>
      <w:kern w:val="0"/>
      <w:sz w:val="24"/>
      <w:szCs w:val="24"/>
    </w:rPr>
  </w:style>
  <w:style w:type="character" w:customStyle="1" w:styleId="9Char">
    <w:name w:val="标题 9 Char"/>
    <w:basedOn w:val="a2"/>
    <w:link w:val="90"/>
    <w:uiPriority w:val="99"/>
    <w:semiHidden/>
    <w:qFormat/>
    <w:rsid w:val="002A5A5E"/>
    <w:rPr>
      <w:rFonts w:ascii="Times New Roman" w:eastAsia="宋体" w:hAnsi="Times New Roman" w:cs="Times New Roman"/>
      <w:color w:val="000000"/>
      <w:kern w:val="0"/>
      <w:sz w:val="24"/>
      <w:szCs w:val="21"/>
    </w:rPr>
  </w:style>
  <w:style w:type="character" w:customStyle="1" w:styleId="Charb">
    <w:name w:val="页脚 Char"/>
    <w:basedOn w:val="a2"/>
    <w:link w:val="af2"/>
    <w:uiPriority w:val="99"/>
    <w:qFormat/>
    <w:rsid w:val="002A5A5E"/>
    <w:rPr>
      <w:rFonts w:ascii="Times New Roman" w:eastAsia="宋体" w:hAnsi="Times New Roman" w:cs="Times New Roman"/>
      <w:sz w:val="18"/>
      <w:szCs w:val="18"/>
    </w:rPr>
  </w:style>
  <w:style w:type="character" w:customStyle="1" w:styleId="Char11">
    <w:name w:val="标题 Char1"/>
    <w:basedOn w:val="a2"/>
    <w:link w:val="af9"/>
    <w:uiPriority w:val="10"/>
    <w:qFormat/>
    <w:locked/>
    <w:rsid w:val="002A5A5E"/>
    <w:rPr>
      <w:rFonts w:ascii="黑体" w:eastAsia="黑体" w:hAnsi="黑体" w:cs="Times New Roman"/>
      <w:color w:val="000000"/>
      <w:spacing w:val="4"/>
      <w:kern w:val="44"/>
      <w:sz w:val="32"/>
      <w:szCs w:val="32"/>
    </w:rPr>
  </w:style>
  <w:style w:type="character" w:customStyle="1" w:styleId="Charf1">
    <w:name w:val="标题 Char"/>
    <w:basedOn w:val="a2"/>
    <w:uiPriority w:val="10"/>
    <w:qFormat/>
    <w:rsid w:val="002A5A5E"/>
    <w:rPr>
      <w:rFonts w:asciiTheme="majorHAnsi" w:eastAsia="宋体" w:hAnsiTheme="majorHAnsi" w:cstheme="majorBidi"/>
      <w:b/>
      <w:bCs/>
      <w:sz w:val="32"/>
      <w:szCs w:val="32"/>
    </w:rPr>
  </w:style>
  <w:style w:type="character" w:customStyle="1" w:styleId="Chard">
    <w:name w:val="副标题 Char"/>
    <w:basedOn w:val="a2"/>
    <w:link w:val="af4"/>
    <w:uiPriority w:val="11"/>
    <w:qFormat/>
    <w:rsid w:val="002A5A5E"/>
    <w:rPr>
      <w:rFonts w:ascii="黑体" w:eastAsia="黑体" w:hAnsi="黑体" w:cs="Times New Roman"/>
      <w:bCs/>
      <w:kern w:val="44"/>
      <w:sz w:val="28"/>
      <w:szCs w:val="28"/>
    </w:rPr>
  </w:style>
  <w:style w:type="character" w:customStyle="1" w:styleId="Charf2">
    <w:name w:val="【正文】 Char"/>
    <w:basedOn w:val="a2"/>
    <w:link w:val="aff4"/>
    <w:qFormat/>
    <w:locked/>
    <w:rsid w:val="002A5A5E"/>
    <w:rPr>
      <w:sz w:val="24"/>
      <w:szCs w:val="24"/>
    </w:rPr>
  </w:style>
  <w:style w:type="paragraph" w:customStyle="1" w:styleId="aff4">
    <w:name w:val="【正文】"/>
    <w:basedOn w:val="a1"/>
    <w:link w:val="Charf2"/>
    <w:qFormat/>
    <w:rsid w:val="002A5A5E"/>
    <w:pPr>
      <w:widowControl/>
      <w:adjustRightInd w:val="0"/>
      <w:snapToGrid w:val="0"/>
      <w:spacing w:line="360" w:lineRule="auto"/>
      <w:ind w:firstLineChars="200" w:firstLine="480"/>
      <w:jc w:val="left"/>
    </w:pPr>
    <w:rPr>
      <w:rFonts w:asciiTheme="minorHAnsi" w:eastAsiaTheme="minorEastAsia" w:hAnsiTheme="minorHAnsi" w:cstheme="minorBidi"/>
      <w:sz w:val="24"/>
    </w:rPr>
  </w:style>
  <w:style w:type="character" w:customStyle="1" w:styleId="Charf3">
    <w:name w:val="【表头】 Char"/>
    <w:link w:val="aff5"/>
    <w:qFormat/>
    <w:locked/>
    <w:rsid w:val="002A5A5E"/>
    <w:rPr>
      <w:rFonts w:ascii="宋体" w:eastAsia="宋体" w:hAnsi="宋体"/>
      <w:b/>
      <w:szCs w:val="21"/>
    </w:rPr>
  </w:style>
  <w:style w:type="paragraph" w:customStyle="1" w:styleId="aff5">
    <w:name w:val="【表头】"/>
    <w:basedOn w:val="a1"/>
    <w:link w:val="Charf3"/>
    <w:qFormat/>
    <w:rsid w:val="002A5A5E"/>
    <w:pPr>
      <w:spacing w:line="500" w:lineRule="atLeast"/>
      <w:ind w:firstLineChars="177" w:firstLine="425"/>
      <w:jc w:val="center"/>
    </w:pPr>
    <w:rPr>
      <w:rFonts w:ascii="宋体" w:hAnsi="宋体" w:cstheme="minorBidi"/>
      <w:b/>
      <w:szCs w:val="21"/>
    </w:rPr>
  </w:style>
  <w:style w:type="table" w:customStyle="1" w:styleId="aff6">
    <w:name w:val="环评表格"/>
    <w:basedOn w:val="a3"/>
    <w:qFormat/>
    <w:rsid w:val="002A5A5E"/>
    <w:pPr>
      <w:snapToGrid w:val="0"/>
      <w:jc w:val="center"/>
    </w:pPr>
    <w:rPr>
      <w:rFonts w:ascii="Times New Roman" w:eastAsia="宋体" w:hAnsi="Times New Roman" w:cs="Times New Roman"/>
    </w:rPr>
    <w:tblP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character" w:customStyle="1" w:styleId="Char2">
    <w:name w:val="文档结构图 Char"/>
    <w:basedOn w:val="a2"/>
    <w:link w:val="a8"/>
    <w:qFormat/>
    <w:rsid w:val="002A5A5E"/>
    <w:rPr>
      <w:rFonts w:ascii="宋体" w:eastAsia="宋体" w:hAnsi="Times New Roman" w:cs="Times New Roman"/>
      <w:sz w:val="18"/>
      <w:szCs w:val="18"/>
    </w:rPr>
  </w:style>
  <w:style w:type="character" w:customStyle="1" w:styleId="Chara">
    <w:name w:val="批注框文本 Char"/>
    <w:basedOn w:val="a2"/>
    <w:link w:val="af1"/>
    <w:uiPriority w:val="99"/>
    <w:qFormat/>
    <w:rsid w:val="002A5A5E"/>
    <w:rPr>
      <w:rFonts w:ascii="Times New Roman" w:eastAsia="宋体" w:hAnsi="Times New Roman" w:cs="Times New Roman"/>
      <w:sz w:val="18"/>
      <w:szCs w:val="18"/>
    </w:rPr>
  </w:style>
  <w:style w:type="character" w:customStyle="1" w:styleId="Charc">
    <w:name w:val="页眉 Char"/>
    <w:basedOn w:val="a2"/>
    <w:link w:val="af3"/>
    <w:uiPriority w:val="99"/>
    <w:qFormat/>
    <w:rsid w:val="002A5A5E"/>
    <w:rPr>
      <w:rFonts w:ascii="Times New Roman" w:eastAsia="宋体" w:hAnsi="Times New Roman" w:cs="Times New Roman"/>
      <w:sz w:val="18"/>
      <w:szCs w:val="18"/>
    </w:rPr>
  </w:style>
  <w:style w:type="character" w:customStyle="1" w:styleId="fontstyle01">
    <w:name w:val="fontstyle01"/>
    <w:basedOn w:val="a2"/>
    <w:qFormat/>
    <w:rsid w:val="002A5A5E"/>
    <w:rPr>
      <w:rFonts w:ascii="宋体" w:eastAsia="宋体" w:hAnsi="宋体" w:hint="eastAsia"/>
      <w:color w:val="000000"/>
      <w:sz w:val="24"/>
      <w:szCs w:val="24"/>
    </w:rPr>
  </w:style>
  <w:style w:type="character" w:customStyle="1" w:styleId="fontstyle11">
    <w:name w:val="fontstyle11"/>
    <w:basedOn w:val="a2"/>
    <w:qFormat/>
    <w:rsid w:val="002A5A5E"/>
    <w:rPr>
      <w:rFonts w:ascii="TimesNewRomanPSMT" w:hAnsi="TimesNewRomanPSMT" w:hint="default"/>
      <w:color w:val="000000"/>
      <w:sz w:val="24"/>
      <w:szCs w:val="24"/>
    </w:rPr>
  </w:style>
  <w:style w:type="character" w:customStyle="1" w:styleId="CharChar">
    <w:name w:val="【表中文字】 Char Char"/>
    <w:link w:val="aff7"/>
    <w:qFormat/>
    <w:locked/>
    <w:rsid w:val="002A5A5E"/>
    <w:rPr>
      <w:rFonts w:ascii="Times New Roman" w:eastAsia="宋体" w:hAnsiTheme="minorEastAsia" w:cs="Times New Roman"/>
      <w:szCs w:val="21"/>
    </w:rPr>
  </w:style>
  <w:style w:type="paragraph" w:customStyle="1" w:styleId="aff7">
    <w:name w:val="【表中文字】"/>
    <w:basedOn w:val="a1"/>
    <w:link w:val="CharChar"/>
    <w:qFormat/>
    <w:rsid w:val="002A5A5E"/>
    <w:pPr>
      <w:jc w:val="center"/>
    </w:pPr>
    <w:rPr>
      <w:rFonts w:hAnsiTheme="minorEastAsia"/>
      <w:szCs w:val="21"/>
    </w:rPr>
  </w:style>
  <w:style w:type="paragraph" w:customStyle="1" w:styleId="p17">
    <w:name w:val="p17"/>
    <w:basedOn w:val="a1"/>
    <w:qFormat/>
    <w:rsid w:val="002A5A5E"/>
    <w:pPr>
      <w:widowControl/>
      <w:spacing w:line="560" w:lineRule="atLeast"/>
    </w:pPr>
    <w:rPr>
      <w:rFonts w:ascii="Arial" w:hAnsi="Arial"/>
      <w:b/>
      <w:kern w:val="0"/>
      <w:sz w:val="36"/>
      <w:szCs w:val="20"/>
    </w:rPr>
  </w:style>
  <w:style w:type="table" w:customStyle="1" w:styleId="aff8">
    <w:name w:val="&gt;&gt; 表格样式 &lt;&lt;"/>
    <w:basedOn w:val="a3"/>
    <w:qFormat/>
    <w:rsid w:val="002A5A5E"/>
    <w:pPr>
      <w:keepLines/>
      <w:jc w:val="center"/>
    </w:pPr>
    <w:rPr>
      <w:rFonts w:ascii="Times New Roman" w:eastAsia="宋体" w:hAnsi="Times New Roman" w:cs="Times New Roman"/>
      <w:szCs w:val="21"/>
    </w:rPr>
    <w:tblPr>
      <w:tblInd w:w="0" w:type="dxa"/>
      <w:tblBorders>
        <w:top w:val="single" w:sz="12" w:space="0" w:color="auto"/>
        <w:bottom w:val="single" w:sz="12" w:space="0" w:color="auto"/>
        <w:insideH w:val="single" w:sz="8" w:space="0" w:color="auto"/>
        <w:insideV w:val="single" w:sz="8" w:space="0" w:color="auto"/>
      </w:tblBorders>
      <w:tblCellMar>
        <w:top w:w="0" w:type="dxa"/>
        <w:left w:w="108" w:type="dxa"/>
        <w:bottom w:w="0" w:type="dxa"/>
        <w:right w:w="108" w:type="dxa"/>
      </w:tblCellMar>
    </w:tblPr>
    <w:tcPr>
      <w:vAlign w:val="center"/>
    </w:tcPr>
    <w:tblStylePr w:type="firstRow">
      <w:rPr>
        <w:rFonts w:ascii="宋体" w:eastAsia="宋体" w:hAnsi="宋体" w:hint="eastAsia"/>
        <w:b w:val="0"/>
        <w:sz w:val="21"/>
        <w:szCs w:val="21"/>
      </w:rPr>
      <w:tblPr/>
      <w:tcPr>
        <w:tcBorders>
          <w:top w:val="single" w:sz="12" w:space="0" w:color="auto"/>
          <w:left w:val="nil"/>
          <w:bottom w:val="single" w:sz="8" w:space="0" w:color="auto"/>
          <w:right w:val="nil"/>
          <w:insideH w:val="nil"/>
          <w:insideV w:val="single" w:sz="8" w:space="0" w:color="auto"/>
          <w:tl2br w:val="nil"/>
          <w:tr2bl w:val="nil"/>
        </w:tcBorders>
      </w:tcPr>
    </w:tblStylePr>
    <w:tblStylePr w:type="lastRow">
      <w:tblPr/>
      <w:tcPr>
        <w:tcBorders>
          <w:top w:val="single" w:sz="8" w:space="0" w:color="auto"/>
          <w:left w:val="nil"/>
          <w:bottom w:val="single" w:sz="12" w:space="0" w:color="auto"/>
          <w:right w:val="nil"/>
          <w:insideH w:val="nil"/>
          <w:insideV w:val="single" w:sz="8" w:space="0" w:color="auto"/>
          <w:tl2br w:val="nil"/>
          <w:tr2bl w:val="nil"/>
        </w:tcBorders>
      </w:tcPr>
    </w:tblStylePr>
    <w:tblStylePr w:type="firstCol">
      <w:pPr>
        <w:jc w:val="center"/>
      </w:pPr>
      <w:rPr>
        <w:rFonts w:ascii="宋体" w:eastAsia="宋体" w:hAnsi="宋体" w:hint="eastAsia"/>
        <w:b w:val="0"/>
        <w:sz w:val="21"/>
        <w:szCs w:val="21"/>
      </w:rPr>
      <w:tblPr/>
      <w:tcPr>
        <w:tcBorders>
          <w:top w:val="single" w:sz="12" w:space="0" w:color="auto"/>
          <w:left w:val="nil"/>
          <w:bottom w:val="single" w:sz="12" w:space="0" w:color="auto"/>
          <w:right w:val="single" w:sz="8" w:space="0" w:color="auto"/>
          <w:insideH w:val="nil"/>
          <w:insideV w:val="nil"/>
          <w:tl2br w:val="nil"/>
          <w:tr2bl w:val="nil"/>
        </w:tcBorders>
      </w:tcPr>
    </w:tblStylePr>
    <w:tblStylePr w:type="lastCol">
      <w:tblPr/>
      <w:tcPr>
        <w:tcBorders>
          <w:top w:val="single" w:sz="12" w:space="0" w:color="auto"/>
          <w:left w:val="single" w:sz="8" w:space="0" w:color="auto"/>
          <w:bottom w:val="single" w:sz="12" w:space="0" w:color="auto"/>
          <w:right w:val="nil"/>
          <w:insideH w:val="nil"/>
          <w:insideV w:val="nil"/>
          <w:tl2br w:val="nil"/>
          <w:tr2bl w:val="nil"/>
        </w:tcBorders>
      </w:tcPr>
    </w:tblStylePr>
  </w:style>
  <w:style w:type="character" w:customStyle="1" w:styleId="Charf4">
    <w:name w:val="【表中文字】 Char"/>
    <w:qFormat/>
    <w:locked/>
    <w:rsid w:val="002A5A5E"/>
    <w:rPr>
      <w:rFonts w:ascii="Times New Roman" w:hAnsi="Times New Roman" w:cs="Times New Roman"/>
    </w:rPr>
  </w:style>
  <w:style w:type="character" w:customStyle="1" w:styleId="3Char2">
    <w:name w:val="3级标题 Char"/>
    <w:basedOn w:val="a2"/>
    <w:link w:val="33"/>
    <w:qFormat/>
    <w:locked/>
    <w:rsid w:val="002A5A5E"/>
    <w:rPr>
      <w:rFonts w:ascii="黑体" w:eastAsia="黑体" w:hAnsi="黑体"/>
      <w:sz w:val="24"/>
      <w:szCs w:val="24"/>
    </w:rPr>
  </w:style>
  <w:style w:type="paragraph" w:customStyle="1" w:styleId="33">
    <w:name w:val="3级标题"/>
    <w:basedOn w:val="a1"/>
    <w:link w:val="3Char2"/>
    <w:qFormat/>
    <w:rsid w:val="002A5A5E"/>
    <w:pPr>
      <w:spacing w:before="160" w:after="160" w:line="360" w:lineRule="auto"/>
      <w:ind w:firstLineChars="177" w:firstLine="425"/>
    </w:pPr>
    <w:rPr>
      <w:rFonts w:ascii="黑体" w:eastAsia="黑体" w:hAnsi="黑体" w:cstheme="minorBidi"/>
      <w:sz w:val="24"/>
    </w:rPr>
  </w:style>
  <w:style w:type="character" w:customStyle="1" w:styleId="Char5">
    <w:name w:val="正文文本 Char"/>
    <w:basedOn w:val="a2"/>
    <w:link w:val="ab"/>
    <w:uiPriority w:val="1"/>
    <w:qFormat/>
    <w:locked/>
    <w:rsid w:val="002A5A5E"/>
    <w:rPr>
      <w:rFonts w:ascii="Times New Roman" w:eastAsia="宋体" w:hAnsi="Times New Roman" w:cs="Times New Roman"/>
      <w:szCs w:val="24"/>
    </w:rPr>
  </w:style>
  <w:style w:type="character" w:customStyle="1" w:styleId="Char12">
    <w:name w:val="正文文本 Char1"/>
    <w:basedOn w:val="a2"/>
    <w:semiHidden/>
    <w:qFormat/>
    <w:rsid w:val="002A5A5E"/>
    <w:rPr>
      <w:rFonts w:ascii="Times New Roman" w:eastAsia="宋体" w:hAnsi="Times New Roman" w:cs="Times New Roman"/>
      <w:szCs w:val="24"/>
    </w:rPr>
  </w:style>
  <w:style w:type="table" w:customStyle="1" w:styleId="13">
    <w:name w:val="&gt;&gt; 表格样式 &lt;&lt;1"/>
    <w:basedOn w:val="a3"/>
    <w:qFormat/>
    <w:rsid w:val="002A5A5E"/>
    <w:pPr>
      <w:keepLines/>
      <w:jc w:val="center"/>
    </w:pPr>
    <w:rPr>
      <w:rFonts w:ascii="Times New Roman" w:eastAsia="宋体" w:hAnsi="Times New Roman" w:cs="Times New Roman"/>
      <w:szCs w:val="21"/>
    </w:rPr>
    <w:tblPr>
      <w:tblInd w:w="0" w:type="dxa"/>
      <w:tblBorders>
        <w:top w:val="single" w:sz="12" w:space="0" w:color="auto"/>
        <w:bottom w:val="single" w:sz="12" w:space="0" w:color="auto"/>
        <w:insideH w:val="single" w:sz="8" w:space="0" w:color="auto"/>
        <w:insideV w:val="single" w:sz="8" w:space="0" w:color="auto"/>
      </w:tblBorders>
      <w:tblCellMar>
        <w:top w:w="0" w:type="dxa"/>
        <w:left w:w="108" w:type="dxa"/>
        <w:bottom w:w="0" w:type="dxa"/>
        <w:right w:w="108" w:type="dxa"/>
      </w:tblCellMar>
    </w:tblPr>
    <w:tcPr>
      <w:vAlign w:val="center"/>
    </w:tcPr>
    <w:tblStylePr w:type="firstRow">
      <w:rPr>
        <w:rFonts w:ascii="宋体" w:eastAsia="宋体" w:hAnsi="宋体" w:hint="eastAsia"/>
        <w:b w:val="0"/>
        <w:sz w:val="21"/>
        <w:szCs w:val="21"/>
      </w:rPr>
      <w:tblPr/>
      <w:tcPr>
        <w:tcBorders>
          <w:top w:val="single" w:sz="12" w:space="0" w:color="auto"/>
          <w:left w:val="nil"/>
          <w:bottom w:val="single" w:sz="8" w:space="0" w:color="auto"/>
          <w:right w:val="nil"/>
          <w:insideH w:val="nil"/>
          <w:insideV w:val="single" w:sz="8" w:space="0" w:color="auto"/>
          <w:tl2br w:val="nil"/>
          <w:tr2bl w:val="nil"/>
        </w:tcBorders>
      </w:tcPr>
    </w:tblStylePr>
    <w:tblStylePr w:type="lastRow">
      <w:tblPr/>
      <w:tcPr>
        <w:tcBorders>
          <w:top w:val="single" w:sz="8" w:space="0" w:color="auto"/>
          <w:left w:val="nil"/>
          <w:bottom w:val="single" w:sz="12" w:space="0" w:color="auto"/>
          <w:right w:val="nil"/>
          <w:insideH w:val="nil"/>
          <w:insideV w:val="single" w:sz="8" w:space="0" w:color="auto"/>
          <w:tl2br w:val="nil"/>
          <w:tr2bl w:val="nil"/>
        </w:tcBorders>
      </w:tcPr>
    </w:tblStylePr>
    <w:tblStylePr w:type="firstCol">
      <w:pPr>
        <w:jc w:val="center"/>
      </w:pPr>
      <w:rPr>
        <w:rFonts w:ascii="宋体" w:eastAsia="宋体" w:hAnsi="宋体" w:hint="eastAsia"/>
        <w:b w:val="0"/>
        <w:sz w:val="21"/>
        <w:szCs w:val="21"/>
      </w:rPr>
      <w:tblPr/>
      <w:tcPr>
        <w:tcBorders>
          <w:top w:val="single" w:sz="12" w:space="0" w:color="auto"/>
          <w:left w:val="nil"/>
          <w:bottom w:val="single" w:sz="12" w:space="0" w:color="auto"/>
          <w:right w:val="single" w:sz="8" w:space="0" w:color="auto"/>
          <w:insideH w:val="nil"/>
          <w:insideV w:val="nil"/>
          <w:tl2br w:val="nil"/>
          <w:tr2bl w:val="nil"/>
        </w:tcBorders>
      </w:tcPr>
    </w:tblStylePr>
    <w:tblStylePr w:type="lastCol">
      <w:tblPr/>
      <w:tcPr>
        <w:tcBorders>
          <w:top w:val="single" w:sz="12" w:space="0" w:color="auto"/>
          <w:left w:val="single" w:sz="8" w:space="0" w:color="auto"/>
          <w:bottom w:val="single" w:sz="12" w:space="0" w:color="auto"/>
          <w:right w:val="nil"/>
          <w:insideH w:val="nil"/>
          <w:insideV w:val="nil"/>
          <w:tl2br w:val="nil"/>
          <w:tr2bl w:val="nil"/>
        </w:tcBorders>
      </w:tcPr>
    </w:tblStylePr>
  </w:style>
  <w:style w:type="paragraph" w:customStyle="1" w:styleId="aff9">
    <w:name w:val="表格"/>
    <w:basedOn w:val="a1"/>
    <w:link w:val="Charf5"/>
    <w:qFormat/>
    <w:rsid w:val="002A5A5E"/>
    <w:pPr>
      <w:adjustRightInd w:val="0"/>
      <w:spacing w:before="40" w:after="40"/>
    </w:pPr>
    <w:rPr>
      <w:rFonts w:ascii="昆仑仿宋" w:eastAsia="昆仑仿宋"/>
      <w:kern w:val="0"/>
      <w:sz w:val="24"/>
      <w:szCs w:val="20"/>
    </w:rPr>
  </w:style>
  <w:style w:type="character" w:customStyle="1" w:styleId="Charf5">
    <w:name w:val="表格 Char"/>
    <w:link w:val="aff9"/>
    <w:qFormat/>
    <w:locked/>
    <w:rsid w:val="002A5A5E"/>
    <w:rPr>
      <w:rFonts w:ascii="昆仑仿宋" w:eastAsia="昆仑仿宋" w:hAnsi="Times New Roman" w:cs="Times New Roman"/>
      <w:kern w:val="0"/>
      <w:sz w:val="24"/>
      <w:szCs w:val="20"/>
    </w:rPr>
  </w:style>
  <w:style w:type="character" w:customStyle="1" w:styleId="CharChar2">
    <w:name w:val="Char Char2"/>
    <w:qFormat/>
    <w:rsid w:val="002A5A5E"/>
    <w:rPr>
      <w:rFonts w:ascii="黑体" w:eastAsia="黑体" w:hAnsi="黑体" w:hint="eastAsia"/>
      <w:bCs/>
      <w:kern w:val="44"/>
      <w:sz w:val="28"/>
      <w:szCs w:val="44"/>
      <w:lang w:val="en-US" w:eastAsia="zh-CN" w:bidi="ar-SA"/>
    </w:rPr>
  </w:style>
  <w:style w:type="table" w:customStyle="1" w:styleId="14">
    <w:name w:val="环评表格1"/>
    <w:basedOn w:val="a3"/>
    <w:qFormat/>
    <w:rsid w:val="002A5A5E"/>
    <w:pPr>
      <w:snapToGrid w:val="0"/>
      <w:jc w:val="center"/>
    </w:pPr>
    <w:rPr>
      <w:rFonts w:ascii="Times New Roman" w:eastAsia="宋体" w:hAnsi="Times New Roman" w:cs="Times New Roman"/>
    </w:rPr>
    <w:tblP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character" w:customStyle="1" w:styleId="Charf6">
    <w:name w:val="内容 Char"/>
    <w:link w:val="affa"/>
    <w:qFormat/>
    <w:locked/>
    <w:rsid w:val="002A5A5E"/>
    <w:rPr>
      <w:rFonts w:ascii="Calibri" w:hAnsi="Calibri"/>
      <w:color w:val="000000"/>
      <w:sz w:val="24"/>
      <w:szCs w:val="24"/>
    </w:rPr>
  </w:style>
  <w:style w:type="paragraph" w:customStyle="1" w:styleId="affa">
    <w:name w:val="内容"/>
    <w:basedOn w:val="a1"/>
    <w:link w:val="Charf6"/>
    <w:qFormat/>
    <w:rsid w:val="002A5A5E"/>
    <w:pPr>
      <w:spacing w:beforeLines="50"/>
      <w:ind w:firstLineChars="200" w:firstLine="200"/>
    </w:pPr>
    <w:rPr>
      <w:rFonts w:ascii="Calibri" w:eastAsiaTheme="minorEastAsia" w:hAnsi="Calibri" w:cstheme="minorBidi"/>
      <w:color w:val="000000"/>
      <w:sz w:val="24"/>
    </w:rPr>
  </w:style>
  <w:style w:type="character" w:customStyle="1" w:styleId="1Char1">
    <w:name w:val="标题 1 Char1"/>
    <w:qFormat/>
    <w:rsid w:val="002A5A5E"/>
    <w:rPr>
      <w:rFonts w:ascii="Times New Roman" w:eastAsia="宋体" w:hAnsi="Times New Roman" w:cs="Times New Roman" w:hint="default"/>
      <w:b/>
      <w:kern w:val="0"/>
      <w:sz w:val="24"/>
      <w:szCs w:val="24"/>
    </w:rPr>
  </w:style>
  <w:style w:type="character" w:customStyle="1" w:styleId="2Char10">
    <w:name w:val="标题 2 Char1"/>
    <w:basedOn w:val="a2"/>
    <w:semiHidden/>
    <w:qFormat/>
    <w:rsid w:val="002A5A5E"/>
    <w:rPr>
      <w:rFonts w:asciiTheme="majorHAnsi" w:eastAsiaTheme="majorEastAsia" w:hAnsiTheme="majorHAnsi" w:cstheme="majorBidi" w:hint="default"/>
      <w:b/>
      <w:bCs/>
      <w:kern w:val="2"/>
      <w:sz w:val="32"/>
      <w:szCs w:val="32"/>
    </w:rPr>
  </w:style>
  <w:style w:type="character" w:customStyle="1" w:styleId="3Char10">
    <w:name w:val="标题 3 Char1"/>
    <w:basedOn w:val="a2"/>
    <w:semiHidden/>
    <w:qFormat/>
    <w:rsid w:val="002A5A5E"/>
    <w:rPr>
      <w:b/>
      <w:bCs/>
      <w:kern w:val="2"/>
      <w:sz w:val="32"/>
      <w:szCs w:val="32"/>
    </w:rPr>
  </w:style>
  <w:style w:type="character" w:customStyle="1" w:styleId="4Char1">
    <w:name w:val="标题 4 Char1"/>
    <w:basedOn w:val="a2"/>
    <w:semiHidden/>
    <w:qFormat/>
    <w:rsid w:val="002A5A5E"/>
    <w:rPr>
      <w:rFonts w:asciiTheme="majorHAnsi" w:eastAsiaTheme="majorEastAsia" w:hAnsiTheme="majorHAnsi" w:cstheme="majorBidi" w:hint="default"/>
      <w:b/>
      <w:bCs/>
      <w:kern w:val="2"/>
      <w:sz w:val="28"/>
      <w:szCs w:val="28"/>
    </w:rPr>
  </w:style>
  <w:style w:type="character" w:customStyle="1" w:styleId="5Char1">
    <w:name w:val="标题 5 Char1"/>
    <w:basedOn w:val="a2"/>
    <w:semiHidden/>
    <w:qFormat/>
    <w:rsid w:val="002A5A5E"/>
    <w:rPr>
      <w:rFonts w:asciiTheme="minorEastAsia" w:eastAsiaTheme="minorEastAsia" w:hAnsiTheme="minorEastAsia" w:hint="eastAsia"/>
      <w:b/>
      <w:bCs/>
      <w:kern w:val="2"/>
      <w:sz w:val="28"/>
      <w:szCs w:val="28"/>
    </w:rPr>
  </w:style>
  <w:style w:type="character" w:customStyle="1" w:styleId="6Char1">
    <w:name w:val="标题 6 Char1"/>
    <w:basedOn w:val="a2"/>
    <w:semiHidden/>
    <w:qFormat/>
    <w:rsid w:val="002A5A5E"/>
    <w:rPr>
      <w:rFonts w:asciiTheme="majorHAnsi" w:eastAsiaTheme="majorEastAsia" w:hAnsiTheme="majorHAnsi" w:cstheme="majorBidi" w:hint="default"/>
      <w:b/>
      <w:bCs/>
      <w:kern w:val="2"/>
      <w:sz w:val="24"/>
      <w:szCs w:val="24"/>
    </w:rPr>
  </w:style>
  <w:style w:type="character" w:customStyle="1" w:styleId="HTMLChar1">
    <w:name w:val="HTML 预设格式 Char1"/>
    <w:basedOn w:val="a2"/>
    <w:link w:val="HTML"/>
    <w:uiPriority w:val="99"/>
    <w:semiHidden/>
    <w:qFormat/>
    <w:locked/>
    <w:rsid w:val="002A5A5E"/>
    <w:rPr>
      <w:rFonts w:ascii="宋体" w:eastAsia="宋体" w:hAnsi="宋体" w:cs="宋体"/>
      <w:sz w:val="24"/>
      <w:szCs w:val="24"/>
    </w:rPr>
  </w:style>
  <w:style w:type="character" w:customStyle="1" w:styleId="HTMLChar">
    <w:name w:val="HTML 预设格式 Char"/>
    <w:basedOn w:val="a2"/>
    <w:uiPriority w:val="99"/>
    <w:semiHidden/>
    <w:qFormat/>
    <w:rsid w:val="002A5A5E"/>
    <w:rPr>
      <w:rFonts w:ascii="Courier New" w:eastAsia="宋体" w:hAnsi="Courier New" w:cs="Courier New"/>
      <w:sz w:val="20"/>
      <w:szCs w:val="20"/>
    </w:rPr>
  </w:style>
  <w:style w:type="character" w:customStyle="1" w:styleId="7Char1">
    <w:name w:val="标题 7 Char1"/>
    <w:basedOn w:val="a2"/>
    <w:uiPriority w:val="99"/>
    <w:semiHidden/>
    <w:qFormat/>
    <w:rsid w:val="002A5A5E"/>
    <w:rPr>
      <w:rFonts w:asciiTheme="minorEastAsia" w:eastAsiaTheme="minorEastAsia" w:hAnsiTheme="minorEastAsia" w:hint="eastAsia"/>
      <w:b/>
      <w:bCs/>
      <w:kern w:val="2"/>
      <w:sz w:val="24"/>
      <w:szCs w:val="24"/>
    </w:rPr>
  </w:style>
  <w:style w:type="character" w:customStyle="1" w:styleId="8Char1">
    <w:name w:val="标题 8 Char1"/>
    <w:basedOn w:val="a2"/>
    <w:uiPriority w:val="99"/>
    <w:semiHidden/>
    <w:qFormat/>
    <w:rsid w:val="002A5A5E"/>
    <w:rPr>
      <w:rFonts w:asciiTheme="majorHAnsi" w:eastAsiaTheme="majorEastAsia" w:hAnsiTheme="majorHAnsi" w:cstheme="majorBidi" w:hint="default"/>
      <w:kern w:val="2"/>
      <w:sz w:val="24"/>
      <w:szCs w:val="24"/>
    </w:rPr>
  </w:style>
  <w:style w:type="character" w:customStyle="1" w:styleId="9Char1">
    <w:name w:val="标题 9 Char1"/>
    <w:basedOn w:val="a2"/>
    <w:uiPriority w:val="99"/>
    <w:semiHidden/>
    <w:qFormat/>
    <w:rsid w:val="002A5A5E"/>
    <w:rPr>
      <w:rFonts w:asciiTheme="majorHAnsi" w:eastAsiaTheme="majorEastAsia" w:hAnsiTheme="majorHAnsi" w:cstheme="majorBidi" w:hint="default"/>
      <w:kern w:val="2"/>
      <w:sz w:val="21"/>
      <w:szCs w:val="21"/>
    </w:rPr>
  </w:style>
  <w:style w:type="character" w:customStyle="1" w:styleId="Char0">
    <w:name w:val="正文缩进 Char"/>
    <w:basedOn w:val="a2"/>
    <w:link w:val="a6"/>
    <w:semiHidden/>
    <w:qFormat/>
    <w:locked/>
    <w:rsid w:val="002A5A5E"/>
    <w:rPr>
      <w:rFonts w:ascii="FangSong_GB2312" w:eastAsia="FangSong_GB2312"/>
      <w:sz w:val="28"/>
      <w:szCs w:val="24"/>
    </w:rPr>
  </w:style>
  <w:style w:type="character" w:customStyle="1" w:styleId="Char3">
    <w:name w:val="批注文字 Char"/>
    <w:basedOn w:val="a2"/>
    <w:link w:val="a9"/>
    <w:uiPriority w:val="99"/>
    <w:semiHidden/>
    <w:qFormat/>
    <w:locked/>
    <w:rsid w:val="002A5A5E"/>
    <w:rPr>
      <w:rFonts w:ascii="Calibri" w:hAnsi="Calibri"/>
      <w:color w:val="000000"/>
      <w:sz w:val="24"/>
      <w:szCs w:val="24"/>
    </w:rPr>
  </w:style>
  <w:style w:type="character" w:customStyle="1" w:styleId="Char13">
    <w:name w:val="页眉 Char1"/>
    <w:basedOn w:val="a2"/>
    <w:uiPriority w:val="99"/>
    <w:semiHidden/>
    <w:qFormat/>
    <w:rsid w:val="002A5A5E"/>
    <w:rPr>
      <w:rFonts w:ascii="Times New Roman" w:eastAsia="宋体" w:hAnsi="Times New Roman" w:cs="Times New Roman"/>
      <w:sz w:val="18"/>
      <w:szCs w:val="18"/>
    </w:rPr>
  </w:style>
  <w:style w:type="character" w:customStyle="1" w:styleId="Char1">
    <w:name w:val="题注 Char"/>
    <w:basedOn w:val="a2"/>
    <w:link w:val="a7"/>
    <w:uiPriority w:val="35"/>
    <w:semiHidden/>
    <w:qFormat/>
    <w:locked/>
    <w:rsid w:val="002A5A5E"/>
    <w:rPr>
      <w:color w:val="000000"/>
      <w:sz w:val="28"/>
    </w:rPr>
  </w:style>
  <w:style w:type="character" w:customStyle="1" w:styleId="2Char0">
    <w:name w:val="列表 2 Char"/>
    <w:link w:val="21"/>
    <w:semiHidden/>
    <w:qFormat/>
    <w:locked/>
    <w:rsid w:val="002A5A5E"/>
    <w:rPr>
      <w:rFonts w:ascii="楷体_GB2312" w:eastAsia="楷体_GB2312" w:hAnsi="宋体"/>
      <w:color w:val="000000"/>
      <w:sz w:val="24"/>
      <w:szCs w:val="28"/>
    </w:rPr>
  </w:style>
  <w:style w:type="character" w:customStyle="1" w:styleId="Char6">
    <w:name w:val="正文文本缩进 Char"/>
    <w:basedOn w:val="a2"/>
    <w:link w:val="ac"/>
    <w:uiPriority w:val="99"/>
    <w:semiHidden/>
    <w:qFormat/>
    <w:locked/>
    <w:rsid w:val="002A5A5E"/>
    <w:rPr>
      <w:sz w:val="24"/>
      <w:szCs w:val="24"/>
    </w:rPr>
  </w:style>
  <w:style w:type="character" w:customStyle="1" w:styleId="Char14">
    <w:name w:val="正文文本缩进 Char1"/>
    <w:basedOn w:val="a2"/>
    <w:uiPriority w:val="99"/>
    <w:semiHidden/>
    <w:qFormat/>
    <w:rsid w:val="002A5A5E"/>
    <w:rPr>
      <w:rFonts w:ascii="Times New Roman" w:eastAsia="宋体" w:hAnsi="Times New Roman" w:cs="Times New Roman"/>
      <w:szCs w:val="24"/>
    </w:rPr>
  </w:style>
  <w:style w:type="character" w:customStyle="1" w:styleId="Char8">
    <w:name w:val="日期 Char"/>
    <w:basedOn w:val="a2"/>
    <w:link w:val="af"/>
    <w:uiPriority w:val="99"/>
    <w:semiHidden/>
    <w:qFormat/>
    <w:locked/>
    <w:rsid w:val="002A5A5E"/>
    <w:rPr>
      <w:szCs w:val="24"/>
    </w:rPr>
  </w:style>
  <w:style w:type="character" w:customStyle="1" w:styleId="Charf0">
    <w:name w:val="正文首行缩进 Char"/>
    <w:basedOn w:val="a2"/>
    <w:link w:val="afb"/>
    <w:qFormat/>
    <w:locked/>
    <w:rsid w:val="002A5A5E"/>
    <w:rPr>
      <w:rFonts w:ascii="Times New Roman" w:eastAsia="宋体" w:hAnsi="Times New Roman" w:cs="Times New Roman"/>
      <w:color w:val="FF0000"/>
      <w:kern w:val="2"/>
      <w:sz w:val="24"/>
      <w:szCs w:val="24"/>
    </w:rPr>
  </w:style>
  <w:style w:type="character" w:customStyle="1" w:styleId="Char15">
    <w:name w:val="正文首行缩进 Char1"/>
    <w:basedOn w:val="Char5"/>
    <w:semiHidden/>
    <w:qFormat/>
    <w:rsid w:val="002A5A5E"/>
    <w:rPr>
      <w:rFonts w:ascii="Times New Roman" w:eastAsia="宋体" w:hAnsi="Times New Roman" w:cs="Times New Roman"/>
      <w:szCs w:val="24"/>
    </w:rPr>
  </w:style>
  <w:style w:type="character" w:customStyle="1" w:styleId="2Char3">
    <w:name w:val="正文首行缩进 2 Char"/>
    <w:basedOn w:val="Char6"/>
    <w:link w:val="25"/>
    <w:semiHidden/>
    <w:qFormat/>
    <w:locked/>
    <w:rsid w:val="002A5A5E"/>
    <w:rPr>
      <w:sz w:val="28"/>
      <w:szCs w:val="24"/>
    </w:rPr>
  </w:style>
  <w:style w:type="character" w:customStyle="1" w:styleId="Char">
    <w:name w:val="注释标题 Char"/>
    <w:basedOn w:val="a2"/>
    <w:link w:val="a5"/>
    <w:semiHidden/>
    <w:qFormat/>
    <w:locked/>
    <w:rsid w:val="002A5A5E"/>
    <w:rPr>
      <w:sz w:val="24"/>
    </w:rPr>
  </w:style>
  <w:style w:type="character" w:customStyle="1" w:styleId="Char16">
    <w:name w:val="注释标题 Char1"/>
    <w:basedOn w:val="a2"/>
    <w:semiHidden/>
    <w:qFormat/>
    <w:rsid w:val="002A5A5E"/>
    <w:rPr>
      <w:rFonts w:ascii="Times New Roman" w:eastAsia="宋体" w:hAnsi="Times New Roman" w:cs="Times New Roman"/>
      <w:szCs w:val="24"/>
    </w:rPr>
  </w:style>
  <w:style w:type="character" w:customStyle="1" w:styleId="2Char2">
    <w:name w:val="正文文本 2 Char"/>
    <w:link w:val="24"/>
    <w:uiPriority w:val="99"/>
    <w:qFormat/>
    <w:locked/>
    <w:rsid w:val="002A5A5E"/>
    <w:rPr>
      <w:sz w:val="24"/>
      <w:szCs w:val="24"/>
    </w:rPr>
  </w:style>
  <w:style w:type="character" w:customStyle="1" w:styleId="3Char0">
    <w:name w:val="正文文本 3 Char"/>
    <w:basedOn w:val="a2"/>
    <w:link w:val="31"/>
    <w:semiHidden/>
    <w:qFormat/>
    <w:locked/>
    <w:rsid w:val="002A5A5E"/>
    <w:rPr>
      <w:rFonts w:ascii="Calibri" w:hAnsi="Calibri"/>
      <w:color w:val="000000"/>
      <w:sz w:val="16"/>
      <w:szCs w:val="16"/>
    </w:rPr>
  </w:style>
  <w:style w:type="character" w:customStyle="1" w:styleId="2Char1">
    <w:name w:val="正文文本缩进 2 Char"/>
    <w:basedOn w:val="a2"/>
    <w:link w:val="22"/>
    <w:semiHidden/>
    <w:qFormat/>
    <w:locked/>
    <w:rsid w:val="002A5A5E"/>
    <w:rPr>
      <w:rFonts w:ascii="Calibri" w:hAnsi="Calibri"/>
      <w:color w:val="000000"/>
    </w:rPr>
  </w:style>
  <w:style w:type="character" w:customStyle="1" w:styleId="2Char11">
    <w:name w:val="正文文本缩进 2 Char1"/>
    <w:basedOn w:val="a2"/>
    <w:uiPriority w:val="99"/>
    <w:semiHidden/>
    <w:qFormat/>
    <w:rsid w:val="002A5A5E"/>
    <w:rPr>
      <w:rFonts w:ascii="Times New Roman" w:eastAsia="宋体" w:hAnsi="Times New Roman" w:cs="Times New Roman"/>
      <w:szCs w:val="24"/>
    </w:rPr>
  </w:style>
  <w:style w:type="character" w:customStyle="1" w:styleId="3Char1">
    <w:name w:val="正文文本缩进 3 Char"/>
    <w:basedOn w:val="a2"/>
    <w:link w:val="32"/>
    <w:semiHidden/>
    <w:qFormat/>
    <w:locked/>
    <w:rsid w:val="002A5A5E"/>
    <w:rPr>
      <w:rFonts w:ascii="Calibri" w:hAnsi="Calibri"/>
      <w:color w:val="000000"/>
      <w:sz w:val="16"/>
      <w:szCs w:val="16"/>
    </w:rPr>
  </w:style>
  <w:style w:type="character" w:customStyle="1" w:styleId="Char7">
    <w:name w:val="纯文本 Char"/>
    <w:basedOn w:val="a2"/>
    <w:link w:val="ae"/>
    <w:qFormat/>
    <w:locked/>
    <w:rsid w:val="002A5A5E"/>
    <w:rPr>
      <w:rFonts w:ascii="宋体" w:eastAsia="宋体" w:hAnsi="Courier New" w:cs="Courier New"/>
      <w:szCs w:val="21"/>
    </w:rPr>
  </w:style>
  <w:style w:type="character" w:customStyle="1" w:styleId="Char17">
    <w:name w:val="纯文本 Char1"/>
    <w:basedOn w:val="a2"/>
    <w:qFormat/>
    <w:rsid w:val="002A5A5E"/>
    <w:rPr>
      <w:rFonts w:ascii="宋体" w:eastAsia="宋体" w:hAnsi="Courier New" w:cs="Courier New"/>
      <w:szCs w:val="21"/>
    </w:rPr>
  </w:style>
  <w:style w:type="character" w:customStyle="1" w:styleId="Char18">
    <w:name w:val="批注文字 Char1"/>
    <w:basedOn w:val="a2"/>
    <w:uiPriority w:val="99"/>
    <w:semiHidden/>
    <w:qFormat/>
    <w:rsid w:val="002A5A5E"/>
    <w:rPr>
      <w:rFonts w:ascii="Times New Roman" w:eastAsia="宋体" w:hAnsi="Times New Roman" w:cs="Times New Roman"/>
      <w:szCs w:val="24"/>
    </w:rPr>
  </w:style>
  <w:style w:type="character" w:customStyle="1" w:styleId="Charf">
    <w:name w:val="批注主题 Char"/>
    <w:basedOn w:val="Char3"/>
    <w:link w:val="afa"/>
    <w:uiPriority w:val="99"/>
    <w:semiHidden/>
    <w:qFormat/>
    <w:locked/>
    <w:rsid w:val="002A5A5E"/>
    <w:rPr>
      <w:rFonts w:ascii="Calibri" w:hAnsi="Calibri"/>
      <w:b/>
      <w:bCs/>
      <w:color w:val="000000"/>
      <w:sz w:val="24"/>
      <w:szCs w:val="24"/>
    </w:rPr>
  </w:style>
  <w:style w:type="character" w:customStyle="1" w:styleId="Charf7">
    <w:name w:val="无间隔 Char"/>
    <w:link w:val="affb"/>
    <w:qFormat/>
    <w:locked/>
    <w:rsid w:val="002A5A5E"/>
    <w:rPr>
      <w:rFonts w:ascii="Calibri" w:hAnsi="Calibri"/>
      <w:color w:val="000000"/>
      <w:sz w:val="24"/>
      <w:szCs w:val="24"/>
    </w:rPr>
  </w:style>
  <w:style w:type="paragraph" w:styleId="affb">
    <w:name w:val="No Spacing"/>
    <w:link w:val="Charf7"/>
    <w:qFormat/>
    <w:rsid w:val="002A5A5E"/>
    <w:pPr>
      <w:widowControl w:val="0"/>
      <w:jc w:val="both"/>
    </w:pPr>
    <w:rPr>
      <w:rFonts w:ascii="Calibri" w:hAnsi="Calibri"/>
      <w:color w:val="000000"/>
      <w:kern w:val="2"/>
      <w:sz w:val="24"/>
      <w:szCs w:val="24"/>
    </w:rPr>
  </w:style>
  <w:style w:type="paragraph" w:customStyle="1" w:styleId="CharCharChar1CharCharCharCharCharCharChar">
    <w:name w:val="Char Char Char1 Char Char Char Char Char Char Char"/>
    <w:basedOn w:val="10"/>
    <w:next w:val="a1"/>
    <w:autoRedefine/>
    <w:uiPriority w:val="39"/>
    <w:semiHidden/>
    <w:qFormat/>
    <w:rsid w:val="002A5A5E"/>
    <w:pPr>
      <w:keepNext w:val="0"/>
      <w:keepLines w:val="0"/>
      <w:spacing w:before="0" w:after="0" w:line="240" w:lineRule="auto"/>
      <w:outlineLvl w:val="9"/>
    </w:pPr>
    <w:rPr>
      <w:b w:val="0"/>
      <w:bCs w:val="0"/>
      <w:kern w:val="2"/>
      <w:sz w:val="21"/>
      <w:szCs w:val="24"/>
    </w:rPr>
  </w:style>
  <w:style w:type="character" w:customStyle="1" w:styleId="4CharChar">
    <w:name w:val="【标题4】 Char Char"/>
    <w:link w:val="40"/>
    <w:qFormat/>
    <w:locked/>
    <w:rsid w:val="002A5A5E"/>
    <w:rPr>
      <w:rFonts w:ascii="Times New Roman" w:eastAsia="Times New Roman" w:hAnsi="Times New Roman" w:cs="Times New Roman"/>
      <w:b/>
      <w:bCs/>
      <w:sz w:val="24"/>
    </w:rPr>
  </w:style>
  <w:style w:type="paragraph" w:customStyle="1" w:styleId="40">
    <w:name w:val="【标题4】"/>
    <w:basedOn w:val="10"/>
    <w:next w:val="a1"/>
    <w:link w:val="4CharChar"/>
    <w:autoRedefine/>
    <w:qFormat/>
    <w:rsid w:val="002A5A5E"/>
    <w:pPr>
      <w:keepNext w:val="0"/>
      <w:spacing w:before="0" w:after="0" w:line="440" w:lineRule="exact"/>
      <w:jc w:val="left"/>
      <w:outlineLvl w:val="3"/>
    </w:pPr>
    <w:rPr>
      <w:rFonts w:eastAsia="Times New Roman"/>
      <w:kern w:val="2"/>
      <w:sz w:val="24"/>
      <w:szCs w:val="22"/>
    </w:rPr>
  </w:style>
  <w:style w:type="character" w:customStyle="1" w:styleId="3CharChar">
    <w:name w:val="【标题3】 Char Char"/>
    <w:link w:val="34"/>
    <w:qFormat/>
    <w:locked/>
    <w:rsid w:val="002A5A5E"/>
    <w:rPr>
      <w:b/>
      <w:bCs/>
      <w:sz w:val="24"/>
    </w:rPr>
  </w:style>
  <w:style w:type="paragraph" w:customStyle="1" w:styleId="34">
    <w:name w:val="【标题3】"/>
    <w:basedOn w:val="30"/>
    <w:next w:val="a1"/>
    <w:link w:val="3CharChar"/>
    <w:autoRedefine/>
    <w:qFormat/>
    <w:rsid w:val="002A5A5E"/>
    <w:pPr>
      <w:keepNext w:val="0"/>
      <w:spacing w:before="60" w:after="60" w:line="440" w:lineRule="exact"/>
      <w:ind w:firstLineChars="0" w:firstLine="0"/>
    </w:pPr>
    <w:rPr>
      <w:rFonts w:asciiTheme="minorHAnsi" w:eastAsiaTheme="minorEastAsia" w:hAnsiTheme="minorHAnsi" w:cstheme="minorBidi"/>
      <w:b/>
      <w:bCs/>
      <w:sz w:val="24"/>
      <w:szCs w:val="22"/>
    </w:rPr>
  </w:style>
  <w:style w:type="paragraph" w:customStyle="1" w:styleId="affc">
    <w:name w:val="缩进"/>
    <w:basedOn w:val="10"/>
    <w:next w:val="a1"/>
    <w:autoRedefine/>
    <w:uiPriority w:val="99"/>
    <w:qFormat/>
    <w:rsid w:val="002A5A5E"/>
    <w:pPr>
      <w:keepNext w:val="0"/>
      <w:keepLines w:val="0"/>
      <w:spacing w:before="0" w:after="0" w:line="360" w:lineRule="auto"/>
      <w:ind w:firstLineChars="200" w:firstLine="200"/>
      <w:outlineLvl w:val="9"/>
    </w:pPr>
    <w:rPr>
      <w:rFonts w:ascii="Calibri" w:hAnsi="Calibri"/>
      <w:b w:val="0"/>
      <w:bCs w:val="0"/>
      <w:kern w:val="2"/>
      <w:sz w:val="24"/>
      <w:szCs w:val="21"/>
    </w:rPr>
  </w:style>
  <w:style w:type="character" w:customStyle="1" w:styleId="Charf8">
    <w:name w:val="正文样式 Char"/>
    <w:link w:val="affd"/>
    <w:qFormat/>
    <w:locked/>
    <w:rsid w:val="002A5A5E"/>
    <w:rPr>
      <w:rFonts w:ascii="宋体" w:eastAsia="宋体" w:hAnsi="宋体"/>
      <w:color w:val="000000"/>
      <w:sz w:val="24"/>
      <w:szCs w:val="24"/>
    </w:rPr>
  </w:style>
  <w:style w:type="paragraph" w:customStyle="1" w:styleId="affd">
    <w:name w:val="正文样式"/>
    <w:basedOn w:val="10"/>
    <w:next w:val="a1"/>
    <w:link w:val="Charf8"/>
    <w:autoRedefine/>
    <w:qFormat/>
    <w:rsid w:val="002A5A5E"/>
    <w:pPr>
      <w:keepNext w:val="0"/>
      <w:keepLines w:val="0"/>
      <w:spacing w:before="0" w:after="0" w:line="460" w:lineRule="exact"/>
      <w:ind w:firstLineChars="200" w:firstLine="200"/>
      <w:outlineLvl w:val="9"/>
    </w:pPr>
    <w:rPr>
      <w:rFonts w:ascii="宋体" w:hAnsi="宋体" w:cstheme="minorBidi"/>
      <w:b w:val="0"/>
      <w:bCs w:val="0"/>
      <w:color w:val="000000"/>
      <w:kern w:val="2"/>
      <w:sz w:val="24"/>
      <w:szCs w:val="24"/>
    </w:rPr>
  </w:style>
  <w:style w:type="character" w:customStyle="1" w:styleId="00CharChar">
    <w:name w:val="正文00 Char Char"/>
    <w:link w:val="00"/>
    <w:qFormat/>
    <w:locked/>
    <w:rsid w:val="002A5A5E"/>
    <w:rPr>
      <w:rFonts w:ascii="Times New Roman" w:hAnsiTheme="minorEastAsia" w:cs="Times New Roman"/>
      <w:bCs/>
      <w:color w:val="FF0000"/>
      <w:kern w:val="0"/>
      <w:sz w:val="24"/>
      <w:szCs w:val="24"/>
    </w:rPr>
  </w:style>
  <w:style w:type="paragraph" w:customStyle="1" w:styleId="00">
    <w:name w:val="正文00"/>
    <w:basedOn w:val="10"/>
    <w:next w:val="a1"/>
    <w:link w:val="00CharChar"/>
    <w:autoRedefine/>
    <w:qFormat/>
    <w:rsid w:val="002A5A5E"/>
    <w:pPr>
      <w:keepNext w:val="0"/>
      <w:keepLines w:val="0"/>
      <w:spacing w:before="0" w:after="0" w:line="360" w:lineRule="auto"/>
      <w:ind w:firstLineChars="200" w:firstLine="480"/>
      <w:textAlignment w:val="center"/>
      <w:outlineLvl w:val="9"/>
    </w:pPr>
    <w:rPr>
      <w:rFonts w:eastAsiaTheme="minorEastAsia" w:hAnsiTheme="minorEastAsia"/>
      <w:b w:val="0"/>
      <w:color w:val="FF0000"/>
      <w:kern w:val="0"/>
      <w:sz w:val="24"/>
      <w:szCs w:val="24"/>
    </w:rPr>
  </w:style>
  <w:style w:type="paragraph" w:customStyle="1" w:styleId="affe">
    <w:name w:val="表样式"/>
    <w:basedOn w:val="10"/>
    <w:next w:val="a1"/>
    <w:autoRedefine/>
    <w:uiPriority w:val="99"/>
    <w:qFormat/>
    <w:rsid w:val="002A5A5E"/>
    <w:pPr>
      <w:keepNext w:val="0"/>
      <w:keepLines w:val="0"/>
      <w:spacing w:before="0" w:after="0" w:line="500" w:lineRule="atLeast"/>
      <w:ind w:firstLineChars="177" w:firstLine="425"/>
      <w:jc w:val="center"/>
      <w:outlineLvl w:val="9"/>
    </w:pPr>
    <w:rPr>
      <w:rFonts w:ascii="FangSong_GB2312" w:eastAsia="黑体"/>
      <w:b w:val="0"/>
      <w:bCs w:val="0"/>
      <w:color w:val="000000"/>
      <w:kern w:val="2"/>
      <w:sz w:val="24"/>
      <w:szCs w:val="24"/>
    </w:rPr>
  </w:style>
  <w:style w:type="character" w:customStyle="1" w:styleId="NormalChar">
    <w:name w:val="Normal Char"/>
    <w:link w:val="15"/>
    <w:qFormat/>
    <w:locked/>
    <w:rsid w:val="002A5A5E"/>
    <w:rPr>
      <w:rFonts w:ascii="Times New Roman" w:hAnsi="Times New Roman" w:cs="Times New Roman"/>
      <w:b/>
      <w:bCs/>
      <w:sz w:val="24"/>
      <w:szCs w:val="24"/>
    </w:rPr>
  </w:style>
  <w:style w:type="paragraph" w:customStyle="1" w:styleId="15">
    <w:name w:val="正文1"/>
    <w:next w:val="a1"/>
    <w:link w:val="NormalChar"/>
    <w:autoRedefine/>
    <w:uiPriority w:val="99"/>
    <w:qFormat/>
    <w:rsid w:val="002A5A5E"/>
    <w:pPr>
      <w:widowControl w:val="0"/>
      <w:adjustRightInd w:val="0"/>
      <w:jc w:val="center"/>
    </w:pPr>
    <w:rPr>
      <w:rFonts w:ascii="Times New Roman" w:hAnsi="Times New Roman" w:cs="Times New Roman"/>
      <w:b/>
      <w:bCs/>
      <w:kern w:val="2"/>
      <w:sz w:val="24"/>
      <w:szCs w:val="24"/>
    </w:rPr>
  </w:style>
  <w:style w:type="character" w:customStyle="1" w:styleId="zoe1Char">
    <w:name w:val="样式 正文zoe + 幼圆1 Char"/>
    <w:link w:val="zoe1"/>
    <w:qFormat/>
    <w:locked/>
    <w:rsid w:val="002A5A5E"/>
    <w:rPr>
      <w:rFonts w:ascii="幼圆" w:eastAsia="幼圆" w:hAnsi="幼圆"/>
      <w:sz w:val="24"/>
    </w:rPr>
  </w:style>
  <w:style w:type="paragraph" w:customStyle="1" w:styleId="zoe1">
    <w:name w:val="样式 正文zoe + 幼圆1"/>
    <w:basedOn w:val="10"/>
    <w:next w:val="a1"/>
    <w:link w:val="zoe1Char"/>
    <w:autoRedefine/>
    <w:qFormat/>
    <w:rsid w:val="002A5A5E"/>
    <w:pPr>
      <w:keepNext w:val="0"/>
      <w:keepLines w:val="0"/>
      <w:adjustRightInd w:val="0"/>
      <w:spacing w:before="0" w:after="0" w:line="360" w:lineRule="auto"/>
      <w:ind w:firstLineChars="200" w:firstLine="480"/>
      <w:outlineLvl w:val="9"/>
    </w:pPr>
    <w:rPr>
      <w:rFonts w:ascii="幼圆" w:eastAsia="幼圆" w:hAnsi="幼圆" w:cstheme="minorBidi"/>
      <w:b w:val="0"/>
      <w:bCs w:val="0"/>
      <w:kern w:val="2"/>
      <w:sz w:val="24"/>
      <w:szCs w:val="22"/>
    </w:rPr>
  </w:style>
  <w:style w:type="paragraph" w:customStyle="1" w:styleId="CharCharCharCharCharCharCharCharCharCharCharCharCharCharCharCharCharCharCharCharChar1Char">
    <w:name w:val="Char Char Char Char Char Char Char Char Char Char Char Char Char Char Char Char Char Char Char Char Char1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color w:val="000000"/>
      <w:kern w:val="2"/>
      <w:sz w:val="24"/>
      <w:szCs w:val="24"/>
    </w:rPr>
  </w:style>
  <w:style w:type="paragraph" w:customStyle="1" w:styleId="0">
    <w:name w:val="0"/>
    <w:basedOn w:val="10"/>
    <w:next w:val="a1"/>
    <w:autoRedefine/>
    <w:uiPriority w:val="99"/>
    <w:qFormat/>
    <w:rsid w:val="002A5A5E"/>
    <w:pPr>
      <w:keepNext w:val="0"/>
      <w:keepLines w:val="0"/>
      <w:widowControl/>
      <w:snapToGrid w:val="0"/>
      <w:spacing w:before="0" w:after="0" w:line="365" w:lineRule="atLeast"/>
      <w:ind w:left="1" w:firstLineChars="177" w:firstLine="425"/>
      <w:outlineLvl w:val="9"/>
    </w:pPr>
    <w:rPr>
      <w:b w:val="0"/>
      <w:bCs w:val="0"/>
      <w:color w:val="000000"/>
      <w:kern w:val="0"/>
      <w:sz w:val="20"/>
      <w:szCs w:val="20"/>
    </w:rPr>
  </w:style>
  <w:style w:type="character" w:customStyle="1" w:styleId="Char19">
    <w:name w:val="表头 Char1"/>
    <w:link w:val="afff"/>
    <w:qFormat/>
    <w:locked/>
    <w:rsid w:val="002A5A5E"/>
    <w:rPr>
      <w:rFonts w:ascii="Times New Roman" w:hAnsi="Times New Roman" w:cs="Times New Roman"/>
      <w:b/>
      <w:sz w:val="24"/>
      <w:szCs w:val="24"/>
    </w:rPr>
  </w:style>
  <w:style w:type="paragraph" w:customStyle="1" w:styleId="afff">
    <w:name w:val="表头"/>
    <w:basedOn w:val="10"/>
    <w:next w:val="a1"/>
    <w:link w:val="Char19"/>
    <w:autoRedefine/>
    <w:qFormat/>
    <w:rsid w:val="002A5A5E"/>
    <w:pPr>
      <w:keepNext w:val="0"/>
      <w:keepLines w:val="0"/>
      <w:spacing w:before="0" w:after="0" w:line="0" w:lineRule="atLeast"/>
      <w:contextualSpacing/>
      <w:jc w:val="center"/>
      <w:outlineLvl w:val="9"/>
    </w:pPr>
    <w:rPr>
      <w:rFonts w:eastAsiaTheme="minorEastAsia"/>
      <w:bCs w:val="0"/>
      <w:kern w:val="2"/>
      <w:sz w:val="24"/>
      <w:szCs w:val="24"/>
    </w:rPr>
  </w:style>
  <w:style w:type="character" w:customStyle="1" w:styleId="CharChar0">
    <w:name w:val="正文内容 Char Char"/>
    <w:link w:val="afff0"/>
    <w:qFormat/>
    <w:locked/>
    <w:rsid w:val="002A5A5E"/>
    <w:rPr>
      <w:sz w:val="28"/>
      <w:szCs w:val="28"/>
    </w:rPr>
  </w:style>
  <w:style w:type="paragraph" w:customStyle="1" w:styleId="afff0">
    <w:name w:val="正文内容"/>
    <w:basedOn w:val="10"/>
    <w:next w:val="a1"/>
    <w:link w:val="CharChar0"/>
    <w:autoRedefine/>
    <w:qFormat/>
    <w:rsid w:val="002A5A5E"/>
    <w:pPr>
      <w:keepNext w:val="0"/>
      <w:keepLines w:val="0"/>
      <w:overflowPunct w:val="0"/>
      <w:topLinePunct/>
      <w:spacing w:beforeLines="50" w:after="0" w:line="480" w:lineRule="exact"/>
      <w:ind w:firstLineChars="200" w:firstLine="560"/>
      <w:outlineLvl w:val="9"/>
    </w:pPr>
    <w:rPr>
      <w:rFonts w:asciiTheme="minorHAnsi" w:eastAsiaTheme="minorEastAsia" w:hAnsiTheme="minorHAnsi" w:cstheme="minorBidi"/>
      <w:b w:val="0"/>
      <w:bCs w:val="0"/>
      <w:kern w:val="2"/>
      <w:sz w:val="28"/>
      <w:szCs w:val="28"/>
    </w:rPr>
  </w:style>
  <w:style w:type="paragraph" w:customStyle="1" w:styleId="afff1">
    <w:name w:val="中文报告书样式"/>
    <w:basedOn w:val="10"/>
    <w:next w:val="a1"/>
    <w:autoRedefine/>
    <w:uiPriority w:val="99"/>
    <w:qFormat/>
    <w:rsid w:val="002A5A5E"/>
    <w:pPr>
      <w:keepNext w:val="0"/>
      <w:keepLines w:val="0"/>
      <w:adjustRightInd w:val="0"/>
      <w:spacing w:before="0" w:after="0" w:line="480" w:lineRule="atLeast"/>
      <w:ind w:firstLineChars="177" w:firstLine="482"/>
      <w:outlineLvl w:val="9"/>
    </w:pPr>
    <w:rPr>
      <w:b w:val="0"/>
      <w:bCs w:val="0"/>
      <w:color w:val="000000"/>
      <w:kern w:val="24"/>
      <w:sz w:val="24"/>
      <w:szCs w:val="20"/>
    </w:rPr>
  </w:style>
  <w:style w:type="paragraph" w:customStyle="1" w:styleId="afff2">
    <w:name w:val="表内文"/>
    <w:basedOn w:val="10"/>
    <w:next w:val="a1"/>
    <w:autoRedefine/>
    <w:uiPriority w:val="99"/>
    <w:qFormat/>
    <w:rsid w:val="002A5A5E"/>
    <w:pPr>
      <w:keepNext w:val="0"/>
      <w:keepLines w:val="0"/>
      <w:spacing w:before="0" w:after="0" w:line="320" w:lineRule="atLeast"/>
      <w:ind w:firstLineChars="177" w:firstLine="425"/>
      <w:jc w:val="center"/>
      <w:outlineLvl w:val="9"/>
    </w:pPr>
    <w:rPr>
      <w:b w:val="0"/>
      <w:bCs w:val="0"/>
      <w:color w:val="000000"/>
      <w:kern w:val="2"/>
      <w:sz w:val="24"/>
      <w:szCs w:val="20"/>
    </w:rPr>
  </w:style>
  <w:style w:type="paragraph" w:customStyle="1" w:styleId="afff3">
    <w:name w:val="表格式"/>
    <w:basedOn w:val="af5"/>
    <w:next w:val="a1"/>
    <w:autoRedefine/>
    <w:uiPriority w:val="99"/>
    <w:qFormat/>
    <w:rsid w:val="002A5A5E"/>
    <w:pPr>
      <w:spacing w:line="480" w:lineRule="exact"/>
      <w:ind w:left="0" w:firstLineChars="0" w:firstLine="0"/>
      <w:contextualSpacing w:val="0"/>
      <w:jc w:val="center"/>
    </w:pPr>
    <w:rPr>
      <w:rFonts w:ascii="宋体" w:hAnsi="宋体"/>
      <w:color w:val="000000"/>
      <w:sz w:val="24"/>
      <w:szCs w:val="20"/>
    </w:rPr>
  </w:style>
  <w:style w:type="paragraph" w:customStyle="1" w:styleId="ParaCharCharCharChar">
    <w:name w:val="默认段落字体 Para Char Char Char Char"/>
    <w:basedOn w:val="10"/>
    <w:next w:val="a1"/>
    <w:autoRedefine/>
    <w:uiPriority w:val="99"/>
    <w:qFormat/>
    <w:rsid w:val="002A5A5E"/>
    <w:pPr>
      <w:keepNext w:val="0"/>
      <w:keepLines w:val="0"/>
      <w:spacing w:before="0" w:after="0" w:line="500" w:lineRule="atLeast"/>
      <w:ind w:firstLineChars="177" w:firstLine="425"/>
      <w:outlineLvl w:val="9"/>
    </w:pPr>
    <w:rPr>
      <w:b w:val="0"/>
      <w:bCs w:val="0"/>
      <w:color w:val="000000"/>
      <w:kern w:val="2"/>
      <w:sz w:val="24"/>
      <w:szCs w:val="24"/>
    </w:rPr>
  </w:style>
  <w:style w:type="paragraph" w:customStyle="1" w:styleId="CharCharChar1CharCharCharCharCharChar1CharCharCharCharCharChar">
    <w:name w:val="Char Char Char1 Char Char Char Char Char Char1 Char Char Char Char Char Char"/>
    <w:basedOn w:val="10"/>
    <w:next w:val="a1"/>
    <w:autoRedefine/>
    <w:uiPriority w:val="99"/>
    <w:qFormat/>
    <w:rsid w:val="002A5A5E"/>
    <w:pPr>
      <w:keepNext w:val="0"/>
      <w:keepLines w:val="0"/>
      <w:snapToGrid w:val="0"/>
      <w:spacing w:before="0" w:after="0" w:line="360" w:lineRule="auto"/>
      <w:ind w:firstLineChars="200" w:firstLine="200"/>
      <w:outlineLvl w:val="9"/>
    </w:pPr>
    <w:rPr>
      <w:rFonts w:eastAsia="FangSong_GB2312"/>
      <w:b w:val="0"/>
      <w:bCs w:val="0"/>
      <w:color w:val="000000"/>
      <w:kern w:val="2"/>
      <w:sz w:val="24"/>
      <w:szCs w:val="24"/>
    </w:rPr>
  </w:style>
  <w:style w:type="paragraph" w:customStyle="1" w:styleId="16">
    <w:name w:val="纯文本1"/>
    <w:basedOn w:val="10"/>
    <w:next w:val="a1"/>
    <w:autoRedefine/>
    <w:uiPriority w:val="99"/>
    <w:qFormat/>
    <w:rsid w:val="002A5A5E"/>
    <w:pPr>
      <w:keepNext w:val="0"/>
      <w:keepLines w:val="0"/>
      <w:adjustRightInd w:val="0"/>
      <w:spacing w:before="0" w:after="0" w:line="500" w:lineRule="atLeast"/>
      <w:ind w:firstLineChars="177" w:firstLine="425"/>
      <w:outlineLvl w:val="9"/>
    </w:pPr>
    <w:rPr>
      <w:rFonts w:ascii="宋体" w:hAnsi="Courier New"/>
      <w:b w:val="0"/>
      <w:bCs w:val="0"/>
      <w:color w:val="000000"/>
      <w:kern w:val="2"/>
      <w:sz w:val="24"/>
      <w:szCs w:val="20"/>
    </w:rPr>
  </w:style>
  <w:style w:type="character" w:customStyle="1" w:styleId="Charf9">
    <w:name w:val="正文(首行缩进) Char"/>
    <w:link w:val="afff4"/>
    <w:qFormat/>
    <w:locked/>
    <w:rsid w:val="002A5A5E"/>
    <w:rPr>
      <w:snapToGrid w:val="0"/>
      <w:sz w:val="24"/>
      <w:szCs w:val="24"/>
    </w:rPr>
  </w:style>
  <w:style w:type="paragraph" w:customStyle="1" w:styleId="afff4">
    <w:name w:val="正文(首行缩进)"/>
    <w:basedOn w:val="10"/>
    <w:next w:val="a1"/>
    <w:link w:val="Charf9"/>
    <w:autoRedefine/>
    <w:qFormat/>
    <w:rsid w:val="002A5A5E"/>
    <w:pPr>
      <w:keepNext w:val="0"/>
      <w:keepLines w:val="0"/>
      <w:adjustRightInd w:val="0"/>
      <w:snapToGrid w:val="0"/>
      <w:spacing w:before="0" w:after="0" w:line="360" w:lineRule="auto"/>
      <w:ind w:firstLineChars="200" w:firstLine="200"/>
      <w:outlineLvl w:val="9"/>
    </w:pPr>
    <w:rPr>
      <w:rFonts w:asciiTheme="minorHAnsi" w:eastAsiaTheme="minorEastAsia" w:hAnsiTheme="minorHAnsi" w:cstheme="minorBidi"/>
      <w:b w:val="0"/>
      <w:bCs w:val="0"/>
      <w:snapToGrid w:val="0"/>
      <w:kern w:val="2"/>
      <w:sz w:val="24"/>
      <w:szCs w:val="24"/>
    </w:rPr>
  </w:style>
  <w:style w:type="paragraph" w:customStyle="1" w:styleId="26">
    <w:name w:val="纯文本2"/>
    <w:basedOn w:val="10"/>
    <w:next w:val="a1"/>
    <w:autoRedefine/>
    <w:uiPriority w:val="99"/>
    <w:qFormat/>
    <w:rsid w:val="002A5A5E"/>
    <w:pPr>
      <w:keepNext w:val="0"/>
      <w:keepLines w:val="0"/>
      <w:spacing w:before="0" w:after="0" w:line="500" w:lineRule="atLeast"/>
      <w:ind w:firstLineChars="177" w:firstLine="425"/>
      <w:outlineLvl w:val="9"/>
    </w:pPr>
    <w:rPr>
      <w:rFonts w:ascii="宋体" w:hAnsi="Courier New"/>
      <w:b w:val="0"/>
      <w:bCs w:val="0"/>
      <w:color w:val="000000"/>
      <w:kern w:val="0"/>
      <w:sz w:val="20"/>
      <w:szCs w:val="21"/>
    </w:rPr>
  </w:style>
  <w:style w:type="paragraph" w:customStyle="1" w:styleId="17">
    <w:name w:val="日期1"/>
    <w:basedOn w:val="10"/>
    <w:next w:val="a1"/>
    <w:autoRedefine/>
    <w:uiPriority w:val="99"/>
    <w:qFormat/>
    <w:rsid w:val="002A5A5E"/>
    <w:pPr>
      <w:keepNext w:val="0"/>
      <w:keepLines w:val="0"/>
      <w:spacing w:before="0" w:after="0" w:line="500" w:lineRule="atLeast"/>
      <w:ind w:leftChars="2500" w:left="100" w:firstLineChars="177" w:firstLine="425"/>
      <w:outlineLvl w:val="9"/>
    </w:pPr>
    <w:rPr>
      <w:rFonts w:ascii="Calibri" w:hAnsi="Calibri"/>
      <w:b w:val="0"/>
      <w:bCs w:val="0"/>
      <w:color w:val="000000"/>
      <w:kern w:val="0"/>
      <w:sz w:val="20"/>
      <w:szCs w:val="20"/>
    </w:rPr>
  </w:style>
  <w:style w:type="paragraph" w:customStyle="1" w:styleId="18">
    <w:name w:val="无间隔1"/>
    <w:next w:val="a1"/>
    <w:autoRedefine/>
    <w:uiPriority w:val="99"/>
    <w:qFormat/>
    <w:rsid w:val="002A5A5E"/>
    <w:rPr>
      <w:rFonts w:ascii="Calibri" w:eastAsia="宋体" w:hAnsi="Calibri" w:cs="Times New Roman"/>
      <w:color w:val="000000"/>
      <w:sz w:val="24"/>
    </w:rPr>
  </w:style>
  <w:style w:type="paragraph" w:customStyle="1" w:styleId="afff5">
    <w:name w:val="正文（我）"/>
    <w:basedOn w:val="10"/>
    <w:next w:val="a1"/>
    <w:autoRedefine/>
    <w:uiPriority w:val="99"/>
    <w:qFormat/>
    <w:rsid w:val="002A5A5E"/>
    <w:pPr>
      <w:keepNext w:val="0"/>
      <w:keepLines w:val="0"/>
      <w:spacing w:before="0" w:after="0" w:line="500" w:lineRule="atLeast"/>
      <w:ind w:firstLineChars="200" w:firstLine="200"/>
      <w:outlineLvl w:val="9"/>
    </w:pPr>
    <w:rPr>
      <w:b w:val="0"/>
      <w:bCs w:val="0"/>
      <w:color w:val="000000"/>
      <w:kern w:val="2"/>
      <w:sz w:val="28"/>
      <w:szCs w:val="24"/>
    </w:rPr>
  </w:style>
  <w:style w:type="paragraph" w:customStyle="1" w:styleId="Char1a">
    <w:name w:val="Char1"/>
    <w:basedOn w:val="10"/>
    <w:next w:val="a1"/>
    <w:autoRedefine/>
    <w:uiPriority w:val="99"/>
    <w:qFormat/>
    <w:rsid w:val="002A5A5E"/>
    <w:pPr>
      <w:keepNext w:val="0"/>
      <w:keepLines w:val="0"/>
      <w:spacing w:before="0" w:after="0" w:line="500" w:lineRule="atLeast"/>
      <w:ind w:left="510" w:firstLineChars="177" w:firstLine="425"/>
      <w:outlineLvl w:val="9"/>
    </w:pPr>
    <w:rPr>
      <w:b w:val="0"/>
      <w:bCs w:val="0"/>
      <w:color w:val="000000"/>
      <w:kern w:val="2"/>
      <w:sz w:val="24"/>
      <w:szCs w:val="21"/>
    </w:rPr>
  </w:style>
  <w:style w:type="paragraph" w:customStyle="1" w:styleId="Charfa">
    <w:name w:val="Char"/>
    <w:basedOn w:val="10"/>
    <w:next w:val="ab"/>
    <w:autoRedefine/>
    <w:qFormat/>
    <w:rsid w:val="002A5A5E"/>
    <w:pPr>
      <w:keepNext w:val="0"/>
      <w:keepLines w:val="0"/>
      <w:spacing w:before="0" w:after="0" w:line="360" w:lineRule="auto"/>
      <w:ind w:firstLineChars="200" w:firstLine="200"/>
      <w:jc w:val="center"/>
      <w:outlineLvl w:val="9"/>
    </w:pPr>
    <w:rPr>
      <w:rFonts w:ascii="宋体" w:hAnsi="宋体" w:cs="宋体"/>
      <w:bCs w:val="0"/>
      <w:color w:val="000000"/>
      <w:kern w:val="2"/>
      <w:sz w:val="30"/>
      <w:szCs w:val="30"/>
    </w:rPr>
  </w:style>
  <w:style w:type="paragraph" w:customStyle="1" w:styleId="CharCharChar1CharCharCharCharCharCharCharChar">
    <w:name w:val="Char Char Char1 Char Char Char Char Char Char Char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color w:val="000000"/>
      <w:kern w:val="2"/>
      <w:sz w:val="24"/>
      <w:szCs w:val="24"/>
    </w:rPr>
  </w:style>
  <w:style w:type="paragraph" w:customStyle="1" w:styleId="CharCharCharCharCharCharCharCharCharCharCharCharCharCharCharChar">
    <w:name w:val="Char Char Char Char Char Char Char Char Char Char Char Char Char Char Char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color w:val="000000"/>
      <w:kern w:val="2"/>
      <w:sz w:val="24"/>
      <w:szCs w:val="24"/>
    </w:rPr>
  </w:style>
  <w:style w:type="character" w:customStyle="1" w:styleId="27">
    <w:name w:val="正文文本 (2)_"/>
    <w:link w:val="28"/>
    <w:qFormat/>
    <w:locked/>
    <w:rsid w:val="002A5A5E"/>
    <w:rPr>
      <w:rFonts w:ascii="MingLiU" w:eastAsia="MingLiU" w:hAnsi="MingLiU"/>
      <w:sz w:val="23"/>
      <w:szCs w:val="23"/>
      <w:shd w:val="clear" w:color="auto" w:fill="FFFFFF"/>
    </w:rPr>
  </w:style>
  <w:style w:type="paragraph" w:customStyle="1" w:styleId="28">
    <w:name w:val="正文文本 (2)"/>
    <w:basedOn w:val="10"/>
    <w:next w:val="a1"/>
    <w:link w:val="27"/>
    <w:autoRedefine/>
    <w:qFormat/>
    <w:rsid w:val="002A5A5E"/>
    <w:pPr>
      <w:keepNext w:val="0"/>
      <w:keepLines w:val="0"/>
      <w:shd w:val="clear" w:color="auto" w:fill="FFFFFF"/>
      <w:spacing w:before="0" w:after="0" w:line="466" w:lineRule="exact"/>
      <w:ind w:firstLineChars="177" w:firstLine="425"/>
      <w:jc w:val="distribute"/>
      <w:outlineLvl w:val="9"/>
    </w:pPr>
    <w:rPr>
      <w:rFonts w:ascii="MingLiU" w:eastAsia="MingLiU" w:hAnsi="MingLiU" w:cstheme="minorBidi"/>
      <w:b w:val="0"/>
      <w:bCs w:val="0"/>
      <w:kern w:val="2"/>
      <w:sz w:val="23"/>
      <w:szCs w:val="23"/>
    </w:rPr>
  </w:style>
  <w:style w:type="paragraph" w:customStyle="1" w:styleId="afff6">
    <w:name w:val="公式"/>
    <w:basedOn w:val="10"/>
    <w:next w:val="a1"/>
    <w:autoRedefine/>
    <w:uiPriority w:val="99"/>
    <w:qFormat/>
    <w:rsid w:val="002A5A5E"/>
    <w:pPr>
      <w:keepNext w:val="0"/>
      <w:keepLines w:val="0"/>
      <w:spacing w:before="0" w:after="0" w:line="312" w:lineRule="auto"/>
      <w:ind w:firstLineChars="177" w:firstLine="425"/>
      <w:jc w:val="right"/>
      <w:outlineLvl w:val="9"/>
    </w:pPr>
    <w:rPr>
      <w:rFonts w:ascii="宋体" w:hAnsi="宋体"/>
      <w:b w:val="0"/>
      <w:bCs w:val="0"/>
      <w:color w:val="000000"/>
      <w:kern w:val="2"/>
      <w:sz w:val="24"/>
      <w:szCs w:val="24"/>
    </w:rPr>
  </w:style>
  <w:style w:type="paragraph" w:customStyle="1" w:styleId="41">
    <w:name w:val="纯文本4"/>
    <w:basedOn w:val="10"/>
    <w:next w:val="a1"/>
    <w:autoRedefine/>
    <w:uiPriority w:val="99"/>
    <w:qFormat/>
    <w:rsid w:val="002A5A5E"/>
    <w:pPr>
      <w:keepNext w:val="0"/>
      <w:keepLines w:val="0"/>
      <w:spacing w:before="0" w:after="0" w:line="500" w:lineRule="atLeast"/>
      <w:ind w:firstLineChars="177" w:firstLine="425"/>
      <w:outlineLvl w:val="9"/>
    </w:pPr>
    <w:rPr>
      <w:rFonts w:ascii="宋体" w:hAnsi="Courier New"/>
      <w:b w:val="0"/>
      <w:bCs w:val="0"/>
      <w:kern w:val="0"/>
      <w:sz w:val="20"/>
      <w:szCs w:val="21"/>
    </w:rPr>
  </w:style>
  <w:style w:type="paragraph" w:customStyle="1" w:styleId="29">
    <w:name w:val="日期2"/>
    <w:basedOn w:val="10"/>
    <w:next w:val="a1"/>
    <w:autoRedefine/>
    <w:uiPriority w:val="99"/>
    <w:qFormat/>
    <w:rsid w:val="002A5A5E"/>
    <w:pPr>
      <w:keepNext w:val="0"/>
      <w:keepLines w:val="0"/>
      <w:spacing w:before="0" w:after="0" w:line="500" w:lineRule="atLeast"/>
      <w:ind w:leftChars="2500" w:left="100" w:firstLineChars="177" w:firstLine="425"/>
      <w:outlineLvl w:val="9"/>
    </w:pPr>
    <w:rPr>
      <w:rFonts w:ascii="Calibri" w:hAnsi="Calibri"/>
      <w:b w:val="0"/>
      <w:bCs w:val="0"/>
      <w:kern w:val="0"/>
      <w:sz w:val="20"/>
      <w:szCs w:val="20"/>
    </w:rPr>
  </w:style>
  <w:style w:type="paragraph" w:customStyle="1" w:styleId="2a">
    <w:name w:val="无间隔2"/>
    <w:next w:val="a1"/>
    <w:autoRedefine/>
    <w:uiPriority w:val="99"/>
    <w:qFormat/>
    <w:rsid w:val="002A5A5E"/>
    <w:rPr>
      <w:rFonts w:ascii="Calibri" w:eastAsia="宋体" w:hAnsi="Calibri" w:cs="Times New Roman"/>
      <w:sz w:val="22"/>
    </w:rPr>
  </w:style>
  <w:style w:type="paragraph" w:customStyle="1" w:styleId="51">
    <w:name w:val="纯文本5"/>
    <w:basedOn w:val="10"/>
    <w:next w:val="a1"/>
    <w:autoRedefine/>
    <w:uiPriority w:val="99"/>
    <w:qFormat/>
    <w:rsid w:val="002A5A5E"/>
    <w:pPr>
      <w:keepNext w:val="0"/>
      <w:keepLines w:val="0"/>
      <w:spacing w:before="0" w:after="0" w:line="500" w:lineRule="atLeast"/>
      <w:ind w:firstLineChars="177" w:firstLine="425"/>
      <w:outlineLvl w:val="9"/>
    </w:pPr>
    <w:rPr>
      <w:rFonts w:ascii="宋体" w:hAnsi="Courier New"/>
      <w:b w:val="0"/>
      <w:bCs w:val="0"/>
      <w:kern w:val="0"/>
      <w:sz w:val="20"/>
      <w:szCs w:val="21"/>
    </w:rPr>
  </w:style>
  <w:style w:type="paragraph" w:customStyle="1" w:styleId="Char120">
    <w:name w:val="Char12"/>
    <w:basedOn w:val="10"/>
    <w:next w:val="a1"/>
    <w:autoRedefine/>
    <w:uiPriority w:val="99"/>
    <w:qFormat/>
    <w:rsid w:val="002A5A5E"/>
    <w:pPr>
      <w:keepNext w:val="0"/>
      <w:keepLines w:val="0"/>
      <w:spacing w:before="0" w:after="0" w:line="500" w:lineRule="atLeast"/>
      <w:ind w:left="510" w:firstLineChars="177" w:firstLine="425"/>
      <w:outlineLvl w:val="9"/>
    </w:pPr>
    <w:rPr>
      <w:b w:val="0"/>
      <w:bCs w:val="0"/>
      <w:kern w:val="2"/>
      <w:sz w:val="24"/>
      <w:szCs w:val="21"/>
    </w:rPr>
  </w:style>
  <w:style w:type="paragraph" w:customStyle="1" w:styleId="CharCharChar1CharCharCharCharCharCharCharChar2">
    <w:name w:val="Char Char Char1 Char Char Char Char Char Char Char Char2"/>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CharCharCharCharCharCharCharCharCharCharCharCharCharCharCharChar2">
    <w:name w:val="Char Char Char Char Char Char Char Char Char Char Char Char Char Char Char Char2"/>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42">
    <w:name w:val="正文4"/>
    <w:next w:val="a1"/>
    <w:autoRedefine/>
    <w:uiPriority w:val="99"/>
    <w:qFormat/>
    <w:rsid w:val="002A5A5E"/>
    <w:pPr>
      <w:widowControl w:val="0"/>
      <w:adjustRightInd w:val="0"/>
      <w:spacing w:line="360" w:lineRule="atLeast"/>
    </w:pPr>
    <w:rPr>
      <w:rFonts w:ascii="宋体" w:eastAsia="宋体" w:hAnsi="Times New Roman" w:cs="Times New Roman"/>
      <w:sz w:val="24"/>
    </w:rPr>
  </w:style>
  <w:style w:type="paragraph" w:customStyle="1" w:styleId="35">
    <w:name w:val="日期3"/>
    <w:basedOn w:val="10"/>
    <w:next w:val="a1"/>
    <w:autoRedefine/>
    <w:uiPriority w:val="99"/>
    <w:qFormat/>
    <w:rsid w:val="002A5A5E"/>
    <w:pPr>
      <w:keepNext w:val="0"/>
      <w:keepLines w:val="0"/>
      <w:spacing w:before="0" w:after="0" w:line="500" w:lineRule="atLeast"/>
      <w:ind w:leftChars="2500" w:left="100" w:firstLineChars="177" w:firstLine="425"/>
      <w:outlineLvl w:val="9"/>
    </w:pPr>
    <w:rPr>
      <w:rFonts w:ascii="Calibri" w:hAnsi="Calibri"/>
      <w:b w:val="0"/>
      <w:bCs w:val="0"/>
      <w:kern w:val="0"/>
      <w:sz w:val="20"/>
      <w:szCs w:val="20"/>
    </w:rPr>
  </w:style>
  <w:style w:type="paragraph" w:customStyle="1" w:styleId="36">
    <w:name w:val="无间隔3"/>
    <w:next w:val="a1"/>
    <w:autoRedefine/>
    <w:uiPriority w:val="99"/>
    <w:qFormat/>
    <w:rsid w:val="002A5A5E"/>
    <w:rPr>
      <w:rFonts w:ascii="Calibri" w:eastAsia="宋体" w:hAnsi="Calibri" w:cs="Times New Roman"/>
      <w:sz w:val="22"/>
    </w:rPr>
  </w:style>
  <w:style w:type="paragraph" w:customStyle="1" w:styleId="Char110">
    <w:name w:val="Char11"/>
    <w:basedOn w:val="10"/>
    <w:next w:val="a1"/>
    <w:autoRedefine/>
    <w:uiPriority w:val="99"/>
    <w:qFormat/>
    <w:rsid w:val="002A5A5E"/>
    <w:pPr>
      <w:keepNext w:val="0"/>
      <w:keepLines w:val="0"/>
      <w:spacing w:before="0" w:after="0" w:line="500" w:lineRule="atLeast"/>
      <w:ind w:left="510" w:firstLineChars="177" w:firstLine="425"/>
      <w:outlineLvl w:val="9"/>
    </w:pPr>
    <w:rPr>
      <w:b w:val="0"/>
      <w:bCs w:val="0"/>
      <w:kern w:val="2"/>
      <w:sz w:val="24"/>
      <w:szCs w:val="21"/>
    </w:rPr>
  </w:style>
  <w:style w:type="paragraph" w:customStyle="1" w:styleId="CharCharChar1CharCharCharCharCharCharCharChar1">
    <w:name w:val="Char Char Char1 Char Char Char Char Char Char Char Char1"/>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CharCharCharCharCharCharCharCharCharCharCharCharCharCharCharChar1">
    <w:name w:val="Char Char Char Char Char Char Char Char Char Char Char Char Char Char Char Char1"/>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character" w:customStyle="1" w:styleId="1CharChar">
    <w:name w:val="正缩1 Char Char"/>
    <w:link w:val="1Char0"/>
    <w:qFormat/>
    <w:locked/>
    <w:rsid w:val="002A5A5E"/>
    <w:rPr>
      <w:rFonts w:ascii="FangSong_GB2312" w:eastAsia="FangSong_GB2312"/>
      <w:snapToGrid w:val="0"/>
      <w:color w:val="000000"/>
      <w:sz w:val="28"/>
    </w:rPr>
  </w:style>
  <w:style w:type="paragraph" w:customStyle="1" w:styleId="1Char0">
    <w:name w:val="正缩1 Char"/>
    <w:basedOn w:val="10"/>
    <w:next w:val="a1"/>
    <w:link w:val="1CharChar"/>
    <w:autoRedefine/>
    <w:qFormat/>
    <w:rsid w:val="002A5A5E"/>
    <w:pPr>
      <w:keepNext w:val="0"/>
      <w:keepLines w:val="0"/>
      <w:adjustRightInd w:val="0"/>
      <w:snapToGrid w:val="0"/>
      <w:spacing w:before="0" w:after="0" w:line="500" w:lineRule="exact"/>
      <w:ind w:firstLineChars="177" w:firstLine="567"/>
      <w:outlineLvl w:val="9"/>
    </w:pPr>
    <w:rPr>
      <w:rFonts w:ascii="FangSong_GB2312" w:eastAsia="FangSong_GB2312" w:hAnsiTheme="minorHAnsi" w:cstheme="minorBidi"/>
      <w:b w:val="0"/>
      <w:bCs w:val="0"/>
      <w:snapToGrid w:val="0"/>
      <w:color w:val="000000"/>
      <w:kern w:val="2"/>
      <w:sz w:val="28"/>
      <w:szCs w:val="22"/>
    </w:rPr>
  </w:style>
  <w:style w:type="character" w:customStyle="1" w:styleId="Charfb">
    <w:name w:val="报告正文 Char"/>
    <w:link w:val="afff7"/>
    <w:qFormat/>
    <w:locked/>
    <w:rsid w:val="002A5A5E"/>
    <w:rPr>
      <w:sz w:val="24"/>
    </w:rPr>
  </w:style>
  <w:style w:type="paragraph" w:customStyle="1" w:styleId="afff7">
    <w:name w:val="报告正文"/>
    <w:basedOn w:val="10"/>
    <w:next w:val="a1"/>
    <w:link w:val="Charfb"/>
    <w:autoRedefine/>
    <w:qFormat/>
    <w:rsid w:val="002A5A5E"/>
    <w:pPr>
      <w:keepNext w:val="0"/>
      <w:keepLines w:val="0"/>
      <w:spacing w:before="0" w:after="0" w:line="360" w:lineRule="auto"/>
      <w:ind w:firstLineChars="200" w:firstLine="200"/>
      <w:outlineLvl w:val="9"/>
    </w:pPr>
    <w:rPr>
      <w:rFonts w:asciiTheme="minorHAnsi" w:eastAsiaTheme="minorEastAsia" w:hAnsiTheme="minorHAnsi" w:cstheme="minorBidi"/>
      <w:b w:val="0"/>
      <w:bCs w:val="0"/>
      <w:kern w:val="2"/>
      <w:sz w:val="24"/>
      <w:szCs w:val="22"/>
    </w:rPr>
  </w:style>
  <w:style w:type="character" w:customStyle="1" w:styleId="111Char">
    <w:name w:val="正文111 Char"/>
    <w:basedOn w:val="a2"/>
    <w:link w:val="111"/>
    <w:qFormat/>
    <w:locked/>
    <w:rsid w:val="002A5A5E"/>
    <w:rPr>
      <w:rFonts w:ascii="FangSong_GB2312" w:eastAsia="FangSong_GB2312"/>
      <w:spacing w:val="6"/>
      <w:sz w:val="24"/>
      <w:szCs w:val="24"/>
    </w:rPr>
  </w:style>
  <w:style w:type="paragraph" w:customStyle="1" w:styleId="111">
    <w:name w:val="正文111"/>
    <w:basedOn w:val="10"/>
    <w:next w:val="a1"/>
    <w:link w:val="111Char"/>
    <w:autoRedefine/>
    <w:qFormat/>
    <w:rsid w:val="002A5A5E"/>
    <w:pPr>
      <w:keepNext w:val="0"/>
      <w:keepLines w:val="0"/>
      <w:spacing w:before="0" w:after="0" w:line="520" w:lineRule="exact"/>
      <w:ind w:firstLineChars="200" w:firstLine="200"/>
      <w:outlineLvl w:val="9"/>
    </w:pPr>
    <w:rPr>
      <w:rFonts w:ascii="FangSong_GB2312" w:eastAsia="FangSong_GB2312" w:hAnsiTheme="minorHAnsi" w:cstheme="minorBidi"/>
      <w:b w:val="0"/>
      <w:bCs w:val="0"/>
      <w:spacing w:val="6"/>
      <w:kern w:val="2"/>
      <w:sz w:val="24"/>
      <w:szCs w:val="24"/>
    </w:rPr>
  </w:style>
  <w:style w:type="character" w:customStyle="1" w:styleId="Char1b">
    <w:name w:val="表格内文字 Char1"/>
    <w:basedOn w:val="a2"/>
    <w:link w:val="afff8"/>
    <w:qFormat/>
    <w:locked/>
    <w:rsid w:val="002A5A5E"/>
    <w:rPr>
      <w:szCs w:val="21"/>
      <w:lang w:val="zh-CN"/>
    </w:rPr>
  </w:style>
  <w:style w:type="paragraph" w:customStyle="1" w:styleId="afff8">
    <w:name w:val="表格内文字"/>
    <w:next w:val="a1"/>
    <w:link w:val="Char1b"/>
    <w:autoRedefine/>
    <w:qFormat/>
    <w:rsid w:val="002A5A5E"/>
    <w:rPr>
      <w:kern w:val="2"/>
      <w:sz w:val="21"/>
      <w:szCs w:val="21"/>
      <w:lang w:val="zh-CN"/>
    </w:rPr>
  </w:style>
  <w:style w:type="paragraph" w:customStyle="1" w:styleId="Charfc">
    <w:name w:val="麦志勤正文 Char"/>
    <w:basedOn w:val="10"/>
    <w:next w:val="a1"/>
    <w:autoRedefine/>
    <w:uiPriority w:val="99"/>
    <w:qFormat/>
    <w:rsid w:val="002A5A5E"/>
    <w:pPr>
      <w:keepNext w:val="0"/>
      <w:keepLines w:val="0"/>
      <w:adjustRightInd w:val="0"/>
      <w:snapToGrid w:val="0"/>
      <w:spacing w:beforeLines="20" w:after="0" w:line="300" w:lineRule="auto"/>
      <w:ind w:firstLineChars="200" w:firstLine="200"/>
      <w:outlineLvl w:val="9"/>
    </w:pPr>
    <w:rPr>
      <w:rFonts w:ascii="宋体" w:hAnsi="宋体"/>
      <w:b w:val="0"/>
      <w:bCs w:val="0"/>
      <w:kern w:val="2"/>
      <w:sz w:val="24"/>
      <w:szCs w:val="20"/>
    </w:rPr>
  </w:style>
  <w:style w:type="character" w:customStyle="1" w:styleId="----------------CharChar">
    <w:name w:val="正文---------------- Char Char"/>
    <w:basedOn w:val="a2"/>
    <w:link w:val="----------------"/>
    <w:qFormat/>
    <w:locked/>
    <w:rsid w:val="002A5A5E"/>
    <w:rPr>
      <w:rFonts w:ascii="宋体" w:eastAsia="宋体" w:hAnsi="宋体" w:cs="宋体"/>
      <w:spacing w:val="16"/>
      <w:sz w:val="24"/>
    </w:rPr>
  </w:style>
  <w:style w:type="paragraph" w:customStyle="1" w:styleId="----------------">
    <w:name w:val="正文----------------"/>
    <w:basedOn w:val="10"/>
    <w:next w:val="a1"/>
    <w:link w:val="----------------CharChar"/>
    <w:autoRedefine/>
    <w:qFormat/>
    <w:rsid w:val="002A5A5E"/>
    <w:pPr>
      <w:keepNext w:val="0"/>
      <w:keepLines w:val="0"/>
      <w:spacing w:before="0" w:after="0" w:line="440" w:lineRule="exact"/>
      <w:ind w:firstLineChars="200" w:firstLine="544"/>
      <w:outlineLvl w:val="9"/>
    </w:pPr>
    <w:rPr>
      <w:rFonts w:ascii="宋体" w:hAnsi="宋体" w:cs="宋体"/>
      <w:b w:val="0"/>
      <w:bCs w:val="0"/>
      <w:spacing w:val="16"/>
      <w:kern w:val="2"/>
      <w:sz w:val="24"/>
      <w:szCs w:val="22"/>
    </w:rPr>
  </w:style>
  <w:style w:type="paragraph" w:customStyle="1" w:styleId="122">
    <w:name w:val="样式 样式 样式1 + 首行缩进:  2 字符 + 首行缩进:  2 字符"/>
    <w:basedOn w:val="10"/>
    <w:next w:val="a1"/>
    <w:autoRedefine/>
    <w:uiPriority w:val="99"/>
    <w:qFormat/>
    <w:rsid w:val="002A5A5E"/>
    <w:pPr>
      <w:keepNext w:val="0"/>
      <w:keepLines w:val="0"/>
      <w:spacing w:before="0" w:after="0" w:line="360" w:lineRule="auto"/>
      <w:ind w:firstLineChars="250" w:firstLine="600"/>
      <w:outlineLvl w:val="9"/>
    </w:pPr>
    <w:rPr>
      <w:rFonts w:cs="宋体"/>
      <w:b w:val="0"/>
      <w:kern w:val="2"/>
      <w:sz w:val="24"/>
      <w:szCs w:val="24"/>
    </w:rPr>
  </w:style>
  <w:style w:type="paragraph" w:customStyle="1" w:styleId="220">
    <w:name w:val="样式 宋体 小四 左 行距: 固定值 22 磅"/>
    <w:basedOn w:val="10"/>
    <w:next w:val="a1"/>
    <w:autoRedefine/>
    <w:uiPriority w:val="99"/>
    <w:qFormat/>
    <w:rsid w:val="002A5A5E"/>
    <w:pPr>
      <w:keepNext w:val="0"/>
      <w:keepLines w:val="0"/>
      <w:spacing w:before="0" w:after="0" w:line="440" w:lineRule="exact"/>
      <w:ind w:firstLineChars="200" w:firstLine="200"/>
      <w:jc w:val="left"/>
      <w:outlineLvl w:val="9"/>
    </w:pPr>
    <w:rPr>
      <w:rFonts w:ascii="宋体" w:hAnsi="宋体" w:cs="宋体"/>
      <w:b w:val="0"/>
      <w:bCs w:val="0"/>
      <w:kern w:val="2"/>
      <w:sz w:val="24"/>
      <w:szCs w:val="20"/>
    </w:rPr>
  </w:style>
  <w:style w:type="character" w:customStyle="1" w:styleId="Charfd">
    <w:name w:val="表格标题采用 Char"/>
    <w:link w:val="afff9"/>
    <w:qFormat/>
    <w:locked/>
    <w:rsid w:val="002A5A5E"/>
    <w:rPr>
      <w:rFonts w:ascii="宋体" w:eastAsia="宋体" w:hAnsi="宋体"/>
      <w:b/>
      <w:color w:val="000000"/>
      <w:sz w:val="24"/>
      <w:szCs w:val="24"/>
    </w:rPr>
  </w:style>
  <w:style w:type="paragraph" w:customStyle="1" w:styleId="afff9">
    <w:name w:val="表格标题采用"/>
    <w:basedOn w:val="10"/>
    <w:next w:val="a1"/>
    <w:link w:val="Charfd"/>
    <w:autoRedefine/>
    <w:qFormat/>
    <w:rsid w:val="002A5A5E"/>
    <w:pPr>
      <w:keepNext w:val="0"/>
      <w:keepLines w:val="0"/>
      <w:spacing w:before="0" w:after="0" w:line="500" w:lineRule="atLeast"/>
      <w:ind w:firstLineChars="177" w:firstLine="480"/>
      <w:jc w:val="center"/>
      <w:outlineLvl w:val="9"/>
    </w:pPr>
    <w:rPr>
      <w:rFonts w:ascii="宋体" w:hAnsi="宋体" w:cstheme="minorBidi"/>
      <w:bCs w:val="0"/>
      <w:color w:val="000000"/>
      <w:kern w:val="2"/>
      <w:sz w:val="24"/>
      <w:szCs w:val="24"/>
    </w:rPr>
  </w:style>
  <w:style w:type="character" w:customStyle="1" w:styleId="Charfe">
    <w:name w:val="表格内容 Char"/>
    <w:link w:val="afffa"/>
    <w:qFormat/>
    <w:locked/>
    <w:rsid w:val="002A5A5E"/>
    <w:rPr>
      <w:snapToGrid w:val="0"/>
      <w:color w:val="FF0000"/>
      <w:szCs w:val="21"/>
    </w:rPr>
  </w:style>
  <w:style w:type="paragraph" w:customStyle="1" w:styleId="afffa">
    <w:name w:val="表格内容"/>
    <w:basedOn w:val="10"/>
    <w:next w:val="a1"/>
    <w:link w:val="Charfe"/>
    <w:autoRedefine/>
    <w:qFormat/>
    <w:rsid w:val="002A5A5E"/>
    <w:pPr>
      <w:keepNext w:val="0"/>
      <w:keepLines w:val="0"/>
      <w:snapToGrid w:val="0"/>
      <w:spacing w:before="0" w:after="0" w:line="240" w:lineRule="exact"/>
      <w:ind w:firstLineChars="177" w:firstLine="425"/>
      <w:jc w:val="center"/>
      <w:outlineLvl w:val="9"/>
    </w:pPr>
    <w:rPr>
      <w:rFonts w:asciiTheme="minorHAnsi" w:eastAsiaTheme="minorEastAsia" w:hAnsiTheme="minorHAnsi" w:cstheme="minorBidi"/>
      <w:b w:val="0"/>
      <w:bCs w:val="0"/>
      <w:snapToGrid w:val="0"/>
      <w:color w:val="FF0000"/>
      <w:kern w:val="2"/>
      <w:sz w:val="21"/>
      <w:szCs w:val="21"/>
    </w:rPr>
  </w:style>
  <w:style w:type="paragraph" w:customStyle="1" w:styleId="Charff">
    <w:name w:val="正文段落格式 Char"/>
    <w:basedOn w:val="10"/>
    <w:next w:val="a1"/>
    <w:autoRedefine/>
    <w:uiPriority w:val="99"/>
    <w:qFormat/>
    <w:rsid w:val="002A5A5E"/>
    <w:pPr>
      <w:keepNext w:val="0"/>
      <w:keepLines w:val="0"/>
      <w:spacing w:before="0" w:after="0" w:line="360" w:lineRule="auto"/>
      <w:ind w:firstLineChars="200" w:firstLine="200"/>
      <w:outlineLvl w:val="9"/>
    </w:pPr>
    <w:rPr>
      <w:b w:val="0"/>
      <w:bCs w:val="0"/>
      <w:kern w:val="2"/>
      <w:sz w:val="28"/>
      <w:szCs w:val="20"/>
    </w:rPr>
  </w:style>
  <w:style w:type="paragraph" w:customStyle="1" w:styleId="reader-word-layer">
    <w:name w:val="reader-word-layer"/>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w:next w:val="a1"/>
    <w:autoRedefine/>
    <w:uiPriority w:val="99"/>
    <w:qFormat/>
    <w:rsid w:val="002A5A5E"/>
    <w:pPr>
      <w:widowControl w:val="0"/>
      <w:jc w:val="both"/>
    </w:pPr>
    <w:rPr>
      <w:rFonts w:ascii="Times New Roman" w:eastAsia="宋体" w:hAnsi="Times New Roman" w:cs="Times New Roman"/>
      <w:kern w:val="2"/>
      <w:sz w:val="21"/>
      <w:szCs w:val="24"/>
    </w:rPr>
  </w:style>
  <w:style w:type="paragraph" w:customStyle="1" w:styleId="afffb">
    <w:name w:val="表格文字"/>
    <w:basedOn w:val="10"/>
    <w:next w:val="a1"/>
    <w:autoRedefine/>
    <w:qFormat/>
    <w:rsid w:val="002A5A5E"/>
    <w:pPr>
      <w:keepNext w:val="0"/>
      <w:keepLines w:val="0"/>
      <w:spacing w:before="0" w:after="0" w:line="500" w:lineRule="atLeast"/>
      <w:ind w:firstLineChars="177" w:firstLine="425"/>
      <w:jc w:val="center"/>
      <w:outlineLvl w:val="9"/>
    </w:pPr>
    <w:rPr>
      <w:rFonts w:ascii="FangSong_GB2312" w:eastAsia="FangSong_GB2312" w:hAnsi="Arial Black"/>
      <w:b w:val="0"/>
      <w:bCs w:val="0"/>
      <w:sz w:val="24"/>
      <w:szCs w:val="24"/>
    </w:rPr>
  </w:style>
  <w:style w:type="paragraph" w:customStyle="1" w:styleId="afffc">
    <w:name w:val="表格样式"/>
    <w:basedOn w:val="ae"/>
    <w:next w:val="a1"/>
    <w:autoRedefine/>
    <w:uiPriority w:val="99"/>
    <w:qFormat/>
    <w:rsid w:val="002A5A5E"/>
    <w:pPr>
      <w:spacing w:line="720" w:lineRule="auto"/>
      <w:ind w:firstLineChars="177" w:firstLine="425"/>
    </w:pPr>
    <w:rPr>
      <w:rFonts w:cs="Times New Roman"/>
      <w:szCs w:val="20"/>
    </w:rPr>
  </w:style>
  <w:style w:type="paragraph" w:customStyle="1" w:styleId="Char30">
    <w:name w:val="Char3"/>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Char2CharCharChar">
    <w:name w:val="Char2 Char Char Char"/>
    <w:basedOn w:val="10"/>
    <w:next w:val="a1"/>
    <w:autoRedefine/>
    <w:uiPriority w:val="99"/>
    <w:qFormat/>
    <w:rsid w:val="002A5A5E"/>
    <w:pPr>
      <w:keepNext w:val="0"/>
      <w:keepLines w:val="0"/>
      <w:autoSpaceDE w:val="0"/>
      <w:autoSpaceDN w:val="0"/>
      <w:adjustRightInd w:val="0"/>
      <w:snapToGrid w:val="0"/>
      <w:spacing w:before="50" w:after="50" w:line="360" w:lineRule="auto"/>
      <w:ind w:firstLineChars="200" w:firstLine="560"/>
      <w:outlineLvl w:val="9"/>
    </w:pPr>
    <w:rPr>
      <w:rFonts w:ascii="宋体" w:eastAsia="FangSong_GB2312" w:hAnsi="宋体"/>
      <w:b w:val="0"/>
      <w:bCs w:val="0"/>
      <w:color w:val="000000"/>
      <w:kern w:val="2"/>
      <w:sz w:val="24"/>
      <w:szCs w:val="24"/>
    </w:rPr>
  </w:style>
  <w:style w:type="paragraph" w:customStyle="1" w:styleId="CharCharCharCharCharCharCharCharCharChar1CharCharCharCharCharCharCharCharCharCharCharCharChar">
    <w:name w:val="Char Char Char Char Char Char Char Char Char Char1 Char Char Char Char Char Char Char Char Char Char Char Char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character" w:customStyle="1" w:styleId="CharCharCharCharChar1">
    <w:name w:val="Char Char Char Char Char1"/>
    <w:link w:val="CharCharCharChar"/>
    <w:uiPriority w:val="99"/>
    <w:qFormat/>
    <w:locked/>
    <w:rsid w:val="002A5A5E"/>
    <w:rPr>
      <w:rFonts w:ascii="Arial" w:hAnsi="Arial" w:cs="Arial"/>
      <w:b/>
      <w:sz w:val="24"/>
      <w:lang w:eastAsia="en-US"/>
    </w:rPr>
  </w:style>
  <w:style w:type="paragraph" w:customStyle="1" w:styleId="CharCharCharChar">
    <w:name w:val="Char Char Char Char"/>
    <w:basedOn w:val="10"/>
    <w:next w:val="a1"/>
    <w:link w:val="CharCharCharCharChar1"/>
    <w:autoRedefine/>
    <w:uiPriority w:val="99"/>
    <w:qFormat/>
    <w:rsid w:val="002A5A5E"/>
    <w:pPr>
      <w:keepNext w:val="0"/>
      <w:keepLines w:val="0"/>
      <w:widowControl/>
      <w:spacing w:before="0" w:after="160" w:line="240" w:lineRule="exact"/>
      <w:ind w:firstLineChars="177" w:firstLine="425"/>
      <w:jc w:val="left"/>
      <w:outlineLvl w:val="9"/>
    </w:pPr>
    <w:rPr>
      <w:rFonts w:ascii="Arial" w:eastAsiaTheme="minorEastAsia" w:hAnsi="Arial" w:cs="Arial"/>
      <w:bCs w:val="0"/>
      <w:kern w:val="2"/>
      <w:sz w:val="24"/>
      <w:szCs w:val="22"/>
      <w:lang w:eastAsia="en-US"/>
    </w:rPr>
  </w:style>
  <w:style w:type="paragraph" w:customStyle="1" w:styleId="xl24">
    <w:name w:val="xl24"/>
    <w:basedOn w:val="10"/>
    <w:next w:val="a1"/>
    <w:autoRedefine/>
    <w:uiPriority w:val="99"/>
    <w:qFormat/>
    <w:rsid w:val="002A5A5E"/>
    <w:pPr>
      <w:keepNext w:val="0"/>
      <w:keepLines w:val="0"/>
      <w:widowControl/>
      <w:pBdr>
        <w:bottom w:val="single" w:sz="4" w:space="0" w:color="auto"/>
        <w:right w:val="single" w:sz="4" w:space="0" w:color="auto"/>
      </w:pBdr>
      <w:spacing w:before="100" w:beforeAutospacing="1" w:after="100" w:afterAutospacing="1" w:line="500" w:lineRule="atLeast"/>
      <w:ind w:firstLineChars="177" w:firstLine="425"/>
      <w:jc w:val="center"/>
      <w:outlineLvl w:val="9"/>
    </w:pPr>
    <w:rPr>
      <w:rFonts w:ascii="宋体" w:hAnsi="宋体"/>
      <w:b w:val="0"/>
      <w:bCs w:val="0"/>
      <w:kern w:val="0"/>
      <w:sz w:val="24"/>
      <w:szCs w:val="21"/>
    </w:rPr>
  </w:style>
  <w:style w:type="character" w:customStyle="1" w:styleId="Charff0">
    <w:name w:val="正文文本缩进一 Char"/>
    <w:link w:val="afffd"/>
    <w:qFormat/>
    <w:locked/>
    <w:rsid w:val="002A5A5E"/>
    <w:rPr>
      <w:rFonts w:ascii="宋体" w:eastAsia="宋体" w:hAnsi="宋体"/>
      <w:sz w:val="28"/>
      <w:szCs w:val="24"/>
    </w:rPr>
  </w:style>
  <w:style w:type="paragraph" w:customStyle="1" w:styleId="afffd">
    <w:name w:val="正文文本缩进一"/>
    <w:basedOn w:val="ac"/>
    <w:next w:val="a1"/>
    <w:link w:val="Charff0"/>
    <w:autoRedefine/>
    <w:qFormat/>
    <w:rsid w:val="002A5A5E"/>
    <w:pPr>
      <w:spacing w:line="360" w:lineRule="auto"/>
      <w:ind w:firstLine="560"/>
    </w:pPr>
    <w:rPr>
      <w:rFonts w:ascii="宋体" w:eastAsia="宋体" w:hAnsi="宋体"/>
      <w:sz w:val="28"/>
    </w:rPr>
  </w:style>
  <w:style w:type="paragraph" w:customStyle="1" w:styleId="afffe">
    <w:name w:val="正文文本缩进二"/>
    <w:basedOn w:val="22"/>
    <w:next w:val="a1"/>
    <w:autoRedefine/>
    <w:uiPriority w:val="99"/>
    <w:qFormat/>
    <w:rsid w:val="002A5A5E"/>
    <w:rPr>
      <w:rFonts w:ascii="Times New Roman" w:hAnsi="Times New Roman"/>
      <w:color w:val="auto"/>
      <w:szCs w:val="24"/>
    </w:rPr>
  </w:style>
  <w:style w:type="character" w:customStyle="1" w:styleId="DefaultChar">
    <w:name w:val="Default Char"/>
    <w:link w:val="Default"/>
    <w:qFormat/>
    <w:locked/>
    <w:rsid w:val="002A5A5E"/>
    <w:rPr>
      <w:rFonts w:ascii="宋体" w:eastAsia="宋体" w:hAnsi="宋体" w:cs="宋体"/>
      <w:color w:val="000000"/>
      <w:sz w:val="24"/>
      <w:szCs w:val="24"/>
    </w:rPr>
  </w:style>
  <w:style w:type="paragraph" w:customStyle="1" w:styleId="Default">
    <w:name w:val="Default"/>
    <w:next w:val="a1"/>
    <w:link w:val="DefaultChar"/>
    <w:autoRedefine/>
    <w:qFormat/>
    <w:rsid w:val="002A5A5E"/>
    <w:pPr>
      <w:widowControl w:val="0"/>
      <w:autoSpaceDE w:val="0"/>
      <w:autoSpaceDN w:val="0"/>
      <w:adjustRightInd w:val="0"/>
    </w:pPr>
    <w:rPr>
      <w:rFonts w:ascii="宋体" w:eastAsia="宋体" w:hAnsi="宋体" w:cs="宋体"/>
      <w:color w:val="000000"/>
      <w:kern w:val="2"/>
      <w:sz w:val="24"/>
      <w:szCs w:val="24"/>
    </w:rPr>
  </w:style>
  <w:style w:type="paragraph" w:customStyle="1" w:styleId="affff">
    <w:name w:val="表中文字"/>
    <w:basedOn w:val="10"/>
    <w:next w:val="a1"/>
    <w:autoRedefine/>
    <w:uiPriority w:val="99"/>
    <w:qFormat/>
    <w:rsid w:val="002A5A5E"/>
    <w:pPr>
      <w:keepNext w:val="0"/>
      <w:keepLines w:val="0"/>
      <w:spacing w:before="0" w:after="0" w:line="500" w:lineRule="atLeast"/>
      <w:ind w:firstLineChars="177" w:firstLine="425"/>
      <w:jc w:val="center"/>
      <w:outlineLvl w:val="9"/>
    </w:pPr>
    <w:rPr>
      <w:b w:val="0"/>
      <w:bCs w:val="0"/>
      <w:kern w:val="2"/>
      <w:sz w:val="24"/>
      <w:szCs w:val="20"/>
    </w:rPr>
  </w:style>
  <w:style w:type="character" w:customStyle="1" w:styleId="2Char4">
    <w:name w:val="正文2 Char"/>
    <w:link w:val="2b"/>
    <w:qFormat/>
    <w:locked/>
    <w:rsid w:val="002A5A5E"/>
    <w:rPr>
      <w:rFonts w:ascii="宋体" w:eastAsia="宋体" w:hAnsi="宋体"/>
      <w:sz w:val="24"/>
    </w:rPr>
  </w:style>
  <w:style w:type="paragraph" w:customStyle="1" w:styleId="2b">
    <w:name w:val="正文2"/>
    <w:next w:val="a1"/>
    <w:link w:val="2Char4"/>
    <w:autoRedefine/>
    <w:qFormat/>
    <w:rsid w:val="002A5A5E"/>
    <w:pPr>
      <w:widowControl w:val="0"/>
      <w:adjustRightInd w:val="0"/>
      <w:spacing w:line="360" w:lineRule="atLeast"/>
    </w:pPr>
    <w:rPr>
      <w:rFonts w:ascii="宋体" w:eastAsia="宋体" w:hAnsi="宋体"/>
      <w:kern w:val="2"/>
      <w:sz w:val="24"/>
      <w:szCs w:val="22"/>
    </w:rPr>
  </w:style>
  <w:style w:type="paragraph" w:customStyle="1" w:styleId="2c">
    <w:name w:val="样式 列表 2 + 华文仿宋 居中"/>
    <w:basedOn w:val="21"/>
    <w:next w:val="a1"/>
    <w:autoRedefine/>
    <w:uiPriority w:val="99"/>
    <w:qFormat/>
    <w:rsid w:val="002A5A5E"/>
    <w:pPr>
      <w:spacing w:line="500" w:lineRule="exact"/>
      <w:ind w:leftChars="0" w:left="0" w:firstLineChars="177" w:firstLine="425"/>
      <w:contextualSpacing w:val="0"/>
      <w:jc w:val="center"/>
    </w:pPr>
    <w:rPr>
      <w:kern w:val="0"/>
    </w:rPr>
  </w:style>
  <w:style w:type="paragraph" w:customStyle="1" w:styleId="lily">
    <w:name w:val="lily 正文"/>
    <w:basedOn w:val="10"/>
    <w:next w:val="a1"/>
    <w:autoRedefine/>
    <w:uiPriority w:val="99"/>
    <w:qFormat/>
    <w:rsid w:val="002A5A5E"/>
    <w:pPr>
      <w:keepNext w:val="0"/>
      <w:keepLines w:val="0"/>
      <w:spacing w:before="0" w:after="0" w:line="440" w:lineRule="atLeast"/>
      <w:ind w:firstLineChars="200" w:firstLine="480"/>
      <w:outlineLvl w:val="9"/>
    </w:pPr>
    <w:rPr>
      <w:b w:val="0"/>
      <w:bCs w:val="0"/>
      <w:kern w:val="2"/>
      <w:sz w:val="24"/>
      <w:szCs w:val="24"/>
    </w:rPr>
  </w:style>
  <w:style w:type="paragraph" w:customStyle="1" w:styleId="lily0">
    <w:name w:val="lily 表格标题"/>
    <w:basedOn w:val="10"/>
    <w:next w:val="a1"/>
    <w:autoRedefine/>
    <w:uiPriority w:val="99"/>
    <w:qFormat/>
    <w:rsid w:val="002A5A5E"/>
    <w:pPr>
      <w:keepNext w:val="0"/>
      <w:keepLines w:val="0"/>
      <w:spacing w:before="0" w:after="0" w:line="440" w:lineRule="atLeast"/>
      <w:ind w:firstLineChars="177" w:firstLine="425"/>
      <w:jc w:val="center"/>
      <w:outlineLvl w:val="9"/>
    </w:pPr>
    <w:rPr>
      <w:rFonts w:eastAsia="黑体"/>
      <w:kern w:val="2"/>
      <w:sz w:val="24"/>
      <w:szCs w:val="24"/>
    </w:rPr>
  </w:style>
  <w:style w:type="paragraph" w:customStyle="1" w:styleId="CharCharCharCharCharCharChar">
    <w:name w:val="Char Char Char Char Char Char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color w:val="000000"/>
      <w:kern w:val="2"/>
      <w:sz w:val="24"/>
      <w:szCs w:val="18"/>
    </w:rPr>
  </w:style>
  <w:style w:type="paragraph" w:customStyle="1" w:styleId="affff0">
    <w:name w:val="表内容"/>
    <w:basedOn w:val="10"/>
    <w:next w:val="a1"/>
    <w:autoRedefine/>
    <w:uiPriority w:val="99"/>
    <w:qFormat/>
    <w:rsid w:val="002A5A5E"/>
    <w:pPr>
      <w:keepNext w:val="0"/>
      <w:keepLines w:val="0"/>
      <w:spacing w:before="0" w:after="0" w:line="320" w:lineRule="exact"/>
      <w:ind w:firstLineChars="177" w:firstLine="425"/>
      <w:jc w:val="center"/>
      <w:outlineLvl w:val="9"/>
    </w:pPr>
    <w:rPr>
      <w:b w:val="0"/>
      <w:bCs w:val="0"/>
      <w:kern w:val="2"/>
      <w:sz w:val="24"/>
      <w:szCs w:val="21"/>
    </w:rPr>
  </w:style>
  <w:style w:type="paragraph" w:customStyle="1" w:styleId="affff1">
    <w:name w:val="小四表文左齐"/>
    <w:basedOn w:val="10"/>
    <w:next w:val="a1"/>
    <w:autoRedefine/>
    <w:uiPriority w:val="99"/>
    <w:qFormat/>
    <w:rsid w:val="002A5A5E"/>
    <w:pPr>
      <w:keepNext w:val="0"/>
      <w:keepLines w:val="0"/>
      <w:spacing w:before="0" w:after="0" w:line="360" w:lineRule="auto"/>
      <w:ind w:firstLineChars="200" w:firstLine="200"/>
      <w:jc w:val="center"/>
      <w:outlineLvl w:val="9"/>
    </w:pPr>
    <w:rPr>
      <w:rFonts w:ascii="FangSong_GB2312" w:eastAsia="FangSong_GB2312" w:hAnsi="宋体"/>
      <w:b w:val="0"/>
      <w:bCs w:val="0"/>
      <w:w w:val="90"/>
      <w:kern w:val="2"/>
      <w:sz w:val="24"/>
      <w:szCs w:val="24"/>
    </w:rPr>
  </w:style>
  <w:style w:type="paragraph" w:customStyle="1" w:styleId="a0">
    <w:name w:val="表序号"/>
    <w:basedOn w:val="10"/>
    <w:next w:val="a1"/>
    <w:autoRedefine/>
    <w:uiPriority w:val="99"/>
    <w:qFormat/>
    <w:rsid w:val="002A5A5E"/>
    <w:pPr>
      <w:keepNext w:val="0"/>
      <w:keepLines w:val="0"/>
      <w:pageBreakBefore/>
      <w:numPr>
        <w:ilvl w:val="5"/>
        <w:numId w:val="2"/>
      </w:numPr>
      <w:tabs>
        <w:tab w:val="left" w:pos="360"/>
        <w:tab w:val="left" w:pos="2977"/>
      </w:tabs>
      <w:spacing w:beforeLines="50" w:afterLines="50" w:line="500" w:lineRule="exact"/>
      <w:ind w:left="2637" w:firstLineChars="177" w:hanging="432"/>
      <w:jc w:val="left"/>
    </w:pPr>
    <w:rPr>
      <w:rFonts w:ascii="宋体" w:hAnsi="宋体"/>
      <w:b w:val="0"/>
      <w:bCs w:val="0"/>
      <w:kern w:val="2"/>
      <w:sz w:val="32"/>
      <w:szCs w:val="32"/>
    </w:rPr>
  </w:style>
  <w:style w:type="paragraph" w:customStyle="1" w:styleId="110">
    <w:name w:val="样式 标题 1标题1章标题 + 宋体"/>
    <w:basedOn w:val="10"/>
    <w:next w:val="a1"/>
    <w:autoRedefine/>
    <w:uiPriority w:val="99"/>
    <w:qFormat/>
    <w:rsid w:val="002A5A5E"/>
    <w:pPr>
      <w:keepNext w:val="0"/>
      <w:keepLines w:val="0"/>
      <w:pageBreakBefore/>
      <w:tabs>
        <w:tab w:val="left" w:pos="2977"/>
      </w:tabs>
      <w:spacing w:beforeLines="50" w:afterLines="50" w:line="500" w:lineRule="exact"/>
      <w:ind w:left="2637" w:firstLineChars="177" w:hanging="432"/>
      <w:jc w:val="center"/>
    </w:pPr>
    <w:rPr>
      <w:rFonts w:ascii="宋体" w:hAnsi="宋体"/>
      <w:kern w:val="2"/>
      <w:sz w:val="32"/>
      <w:szCs w:val="32"/>
    </w:rPr>
  </w:style>
  <w:style w:type="paragraph" w:customStyle="1" w:styleId="19">
    <w:name w:val="样式1"/>
    <w:basedOn w:val="10"/>
    <w:next w:val="ad"/>
    <w:autoRedefine/>
    <w:uiPriority w:val="99"/>
    <w:qFormat/>
    <w:rsid w:val="002A5A5E"/>
    <w:pPr>
      <w:keepNext w:val="0"/>
      <w:keepLines w:val="0"/>
      <w:adjustRightInd w:val="0"/>
      <w:snapToGrid w:val="0"/>
      <w:spacing w:before="0" w:after="0" w:line="360" w:lineRule="auto"/>
      <w:ind w:firstLineChars="200" w:firstLine="200"/>
      <w:jc w:val="center"/>
      <w:outlineLvl w:val="9"/>
    </w:pPr>
    <w:rPr>
      <w:rFonts w:ascii="FangSong_GB2312" w:eastAsia="FangSong_GB2312" w:hAnsi="宋体"/>
      <w:b w:val="0"/>
      <w:kern w:val="2"/>
      <w:sz w:val="24"/>
      <w:szCs w:val="24"/>
    </w:rPr>
  </w:style>
  <w:style w:type="paragraph" w:customStyle="1" w:styleId="061">
    <w:name w:val="样式 表格标题 + 首行缩进:  0.61 字符"/>
    <w:basedOn w:val="10"/>
    <w:next w:val="a1"/>
    <w:autoRedefine/>
    <w:uiPriority w:val="99"/>
    <w:qFormat/>
    <w:rsid w:val="002A5A5E"/>
    <w:pPr>
      <w:keepNext w:val="0"/>
      <w:keepLines w:val="0"/>
      <w:wordWrap w:val="0"/>
      <w:adjustRightInd w:val="0"/>
      <w:snapToGrid w:val="0"/>
      <w:spacing w:before="0" w:after="0" w:line="400" w:lineRule="exact"/>
      <w:ind w:leftChars="-68" w:left="-143" w:firstLineChars="61" w:firstLine="128"/>
      <w:jc w:val="center"/>
      <w:outlineLvl w:val="9"/>
    </w:pPr>
    <w:rPr>
      <w:rFonts w:cs="宋体"/>
      <w:b w:val="0"/>
      <w:bCs w:val="0"/>
      <w:kern w:val="2"/>
      <w:sz w:val="24"/>
      <w:szCs w:val="20"/>
    </w:rPr>
  </w:style>
  <w:style w:type="paragraph" w:customStyle="1" w:styleId="37">
    <w:name w:val="正文3"/>
    <w:next w:val="a1"/>
    <w:autoRedefine/>
    <w:uiPriority w:val="99"/>
    <w:qFormat/>
    <w:rsid w:val="002A5A5E"/>
    <w:pPr>
      <w:widowControl w:val="0"/>
      <w:adjustRightInd w:val="0"/>
      <w:spacing w:line="360" w:lineRule="atLeast"/>
    </w:pPr>
    <w:rPr>
      <w:rFonts w:ascii="宋体" w:eastAsia="宋体" w:hAnsi="Times New Roman" w:cs="Times New Roman"/>
      <w:sz w:val="24"/>
    </w:rPr>
  </w:style>
  <w:style w:type="paragraph" w:customStyle="1" w:styleId="xl27">
    <w:name w:val="xl27"/>
    <w:basedOn w:val="10"/>
    <w:next w:val="a1"/>
    <w:autoRedefine/>
    <w:uiPriority w:val="99"/>
    <w:qFormat/>
    <w:rsid w:val="002A5A5E"/>
    <w:pPr>
      <w:keepNext w:val="0"/>
      <w:keepLines w:val="0"/>
      <w:widowControl/>
      <w:pBdr>
        <w:bottom w:val="single" w:sz="12" w:space="0" w:color="auto"/>
      </w:pBdr>
      <w:spacing w:before="100" w:after="100" w:line="500" w:lineRule="atLeast"/>
      <w:ind w:firstLineChars="177" w:firstLine="425"/>
      <w:jc w:val="center"/>
      <w:outlineLvl w:val="9"/>
    </w:pPr>
    <w:rPr>
      <w:rFonts w:ascii="宋体" w:hAnsi="宋体"/>
      <w:b w:val="0"/>
      <w:bCs w:val="0"/>
      <w:kern w:val="0"/>
      <w:sz w:val="24"/>
      <w:szCs w:val="20"/>
    </w:rPr>
  </w:style>
  <w:style w:type="paragraph" w:customStyle="1" w:styleId="affff2">
    <w:name w:val="表文字"/>
    <w:basedOn w:val="10"/>
    <w:next w:val="a1"/>
    <w:autoRedefine/>
    <w:uiPriority w:val="99"/>
    <w:qFormat/>
    <w:rsid w:val="002A5A5E"/>
    <w:pPr>
      <w:keepNext w:val="0"/>
      <w:keepLines w:val="0"/>
      <w:tabs>
        <w:tab w:val="left" w:pos="945"/>
        <w:tab w:val="right" w:leader="dot" w:pos="1155"/>
        <w:tab w:val="left" w:pos="8715"/>
      </w:tabs>
      <w:adjustRightInd w:val="0"/>
      <w:snapToGrid w:val="0"/>
      <w:spacing w:beforeLines="15" w:after="0" w:line="360" w:lineRule="auto"/>
      <w:ind w:firstLineChars="177" w:firstLine="425"/>
      <w:jc w:val="center"/>
      <w:outlineLvl w:val="9"/>
    </w:pPr>
    <w:rPr>
      <w:rFonts w:ascii="宋体" w:hAnsi="宋体"/>
      <w:b w:val="0"/>
      <w:bCs w:val="0"/>
      <w:color w:val="000000"/>
      <w:kern w:val="0"/>
      <w:sz w:val="24"/>
      <w:szCs w:val="9"/>
    </w:rPr>
  </w:style>
  <w:style w:type="paragraph" w:customStyle="1" w:styleId="Document">
    <w:name w:val="Document"/>
    <w:basedOn w:val="10"/>
    <w:next w:val="a1"/>
    <w:autoRedefine/>
    <w:uiPriority w:val="99"/>
    <w:qFormat/>
    <w:rsid w:val="002A5A5E"/>
    <w:pPr>
      <w:keepNext w:val="0"/>
      <w:keepLines w:val="0"/>
      <w:widowControl/>
      <w:spacing w:before="0" w:after="0" w:line="500" w:lineRule="atLeast"/>
      <w:ind w:firstLineChars="177" w:firstLine="425"/>
      <w:jc w:val="center"/>
      <w:outlineLvl w:val="9"/>
    </w:pPr>
    <w:rPr>
      <w:rFonts w:ascii="Financial  (MF)" w:hAnsi="Financial  (MF)"/>
      <w:b w:val="0"/>
      <w:bCs w:val="0"/>
      <w:kern w:val="0"/>
      <w:sz w:val="24"/>
      <w:szCs w:val="20"/>
      <w:lang w:eastAsia="en-US"/>
    </w:rPr>
  </w:style>
  <w:style w:type="paragraph" w:customStyle="1" w:styleId="affff3">
    <w:name w:val="表题"/>
    <w:basedOn w:val="10"/>
    <w:next w:val="a1"/>
    <w:autoRedefine/>
    <w:uiPriority w:val="99"/>
    <w:qFormat/>
    <w:rsid w:val="002A5A5E"/>
    <w:pPr>
      <w:keepNext w:val="0"/>
      <w:keepLines w:val="0"/>
      <w:tabs>
        <w:tab w:val="right" w:pos="0"/>
      </w:tabs>
      <w:adjustRightInd w:val="0"/>
      <w:snapToGrid w:val="0"/>
      <w:spacing w:before="0" w:after="0" w:line="500" w:lineRule="atLeast"/>
      <w:ind w:firstLineChars="177" w:firstLine="425"/>
      <w:jc w:val="center"/>
      <w:outlineLvl w:val="9"/>
    </w:pPr>
    <w:rPr>
      <w:rFonts w:ascii="宋体" w:hAnsi="宋体"/>
      <w:bCs w:val="0"/>
      <w:spacing w:val="12"/>
      <w:kern w:val="2"/>
      <w:sz w:val="24"/>
      <w:szCs w:val="24"/>
    </w:rPr>
  </w:style>
  <w:style w:type="paragraph" w:customStyle="1" w:styleId="affff4">
    <w:name w:val="图框文"/>
    <w:basedOn w:val="10"/>
    <w:next w:val="a1"/>
    <w:autoRedefine/>
    <w:uiPriority w:val="99"/>
    <w:qFormat/>
    <w:rsid w:val="002A5A5E"/>
    <w:pPr>
      <w:keepNext w:val="0"/>
      <w:keepLines w:val="0"/>
      <w:kinsoku w:val="0"/>
      <w:wordWrap w:val="0"/>
      <w:overflowPunct w:val="0"/>
      <w:autoSpaceDE w:val="0"/>
      <w:autoSpaceDN w:val="0"/>
      <w:spacing w:before="0" w:after="0" w:line="0" w:lineRule="atLeast"/>
      <w:ind w:firstLineChars="177" w:firstLine="425"/>
      <w:jc w:val="center"/>
      <w:outlineLvl w:val="9"/>
    </w:pPr>
    <w:rPr>
      <w:rFonts w:ascii="FangSong_GB2312" w:eastAsia="FangSong_GB2312"/>
      <w:b w:val="0"/>
      <w:bCs w:val="0"/>
      <w:kern w:val="2"/>
      <w:sz w:val="24"/>
      <w:szCs w:val="20"/>
    </w:rPr>
  </w:style>
  <w:style w:type="paragraph" w:customStyle="1" w:styleId="affff5">
    <w:name w:val="流程图"/>
    <w:basedOn w:val="10"/>
    <w:next w:val="a1"/>
    <w:autoRedefine/>
    <w:uiPriority w:val="99"/>
    <w:qFormat/>
    <w:rsid w:val="002A5A5E"/>
    <w:pPr>
      <w:keepNext w:val="0"/>
      <w:keepLines w:val="0"/>
      <w:tabs>
        <w:tab w:val="left" w:pos="0"/>
      </w:tabs>
      <w:autoSpaceDE w:val="0"/>
      <w:autoSpaceDN w:val="0"/>
      <w:adjustRightInd w:val="0"/>
      <w:spacing w:before="0" w:after="0" w:line="240" w:lineRule="atLeast"/>
      <w:ind w:firstLineChars="177" w:firstLine="425"/>
      <w:jc w:val="center"/>
      <w:outlineLvl w:val="9"/>
    </w:pPr>
    <w:rPr>
      <w:rFonts w:ascii="宋体"/>
      <w:b w:val="0"/>
      <w:bCs w:val="0"/>
      <w:kern w:val="2"/>
      <w:sz w:val="24"/>
      <w:szCs w:val="20"/>
    </w:rPr>
  </w:style>
  <w:style w:type="paragraph" w:customStyle="1" w:styleId="Char1CharCharChar">
    <w:name w:val="Char1 Char Char Char"/>
    <w:basedOn w:val="10"/>
    <w:next w:val="a1"/>
    <w:autoRedefine/>
    <w:uiPriority w:val="99"/>
    <w:qFormat/>
    <w:rsid w:val="002A5A5E"/>
    <w:pPr>
      <w:keepNext w:val="0"/>
      <w:keepLines w:val="0"/>
      <w:spacing w:before="0" w:after="0" w:line="500" w:lineRule="atLeast"/>
      <w:ind w:firstLineChars="200" w:firstLine="480"/>
      <w:outlineLvl w:val="9"/>
    </w:pPr>
    <w:rPr>
      <w:rFonts w:ascii="宋体"/>
      <w:b w:val="0"/>
      <w:bCs w:val="0"/>
      <w:kern w:val="2"/>
      <w:sz w:val="28"/>
      <w:szCs w:val="24"/>
    </w:rPr>
  </w:style>
  <w:style w:type="character" w:customStyle="1" w:styleId="5Char0">
    <w:name w:val="5文章(治) Char"/>
    <w:link w:val="52"/>
    <w:qFormat/>
    <w:locked/>
    <w:rsid w:val="002A5A5E"/>
    <w:rPr>
      <w:sz w:val="24"/>
      <w:szCs w:val="28"/>
    </w:rPr>
  </w:style>
  <w:style w:type="paragraph" w:customStyle="1" w:styleId="52">
    <w:name w:val="5文章(治)"/>
    <w:basedOn w:val="10"/>
    <w:next w:val="a1"/>
    <w:link w:val="5Char0"/>
    <w:autoRedefine/>
    <w:qFormat/>
    <w:rsid w:val="002A5A5E"/>
    <w:pPr>
      <w:keepNext w:val="0"/>
      <w:keepLines w:val="0"/>
      <w:spacing w:before="0" w:after="0" w:line="360" w:lineRule="auto"/>
      <w:ind w:firstLineChars="200" w:firstLine="560"/>
      <w:outlineLvl w:val="9"/>
    </w:pPr>
    <w:rPr>
      <w:rFonts w:asciiTheme="minorHAnsi" w:eastAsiaTheme="minorEastAsia" w:hAnsiTheme="minorHAnsi" w:cstheme="minorBidi"/>
      <w:b w:val="0"/>
      <w:bCs w:val="0"/>
      <w:kern w:val="2"/>
      <w:sz w:val="24"/>
      <w:szCs w:val="28"/>
    </w:rPr>
  </w:style>
  <w:style w:type="character" w:customStyle="1" w:styleId="7Char0">
    <w:name w:val="7表格(治) Char"/>
    <w:link w:val="71"/>
    <w:qFormat/>
    <w:locked/>
    <w:rsid w:val="002A5A5E"/>
    <w:rPr>
      <w:rFonts w:ascii="Times New Roman" w:eastAsia="宋体" w:hAnsi="Times New Roman" w:cs="Times New Roman"/>
      <w:kern w:val="0"/>
      <w:sz w:val="20"/>
      <w:szCs w:val="20"/>
    </w:rPr>
  </w:style>
  <w:style w:type="paragraph" w:customStyle="1" w:styleId="71">
    <w:name w:val="7表格(治)"/>
    <w:next w:val="a1"/>
    <w:link w:val="7Char0"/>
    <w:autoRedefine/>
    <w:qFormat/>
    <w:rsid w:val="002A5A5E"/>
    <w:pPr>
      <w:jc w:val="center"/>
    </w:pPr>
    <w:rPr>
      <w:rFonts w:ascii="Times New Roman" w:eastAsia="宋体" w:hAnsi="Times New Roman" w:cs="Times New Roman"/>
    </w:rPr>
  </w:style>
  <w:style w:type="paragraph" w:customStyle="1" w:styleId="CharCharCharCharCharCharChar3">
    <w:name w:val="Char Char Char Char Char Char Char3"/>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1"/>
    </w:rPr>
  </w:style>
  <w:style w:type="paragraph" w:customStyle="1" w:styleId="CharChar19">
    <w:name w:val="Char Char19"/>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1"/>
    </w:rPr>
  </w:style>
  <w:style w:type="paragraph" w:customStyle="1" w:styleId="affff6">
    <w:name w:val="图表文字"/>
    <w:next w:val="a1"/>
    <w:autoRedefine/>
    <w:uiPriority w:val="99"/>
    <w:qFormat/>
    <w:rsid w:val="002A5A5E"/>
    <w:pPr>
      <w:widowControl w:val="0"/>
      <w:spacing w:line="260" w:lineRule="exact"/>
      <w:ind w:rightChars="-71" w:right="-149"/>
      <w:jc w:val="center"/>
    </w:pPr>
    <w:rPr>
      <w:rFonts w:ascii="Times New Roman" w:eastAsia="宋体" w:hAnsi="Times New Roman" w:cs="Times New Roman"/>
      <w:kern w:val="2"/>
      <w:sz w:val="21"/>
      <w:szCs w:val="21"/>
    </w:rPr>
  </w:style>
  <w:style w:type="paragraph" w:customStyle="1" w:styleId="1a">
    <w:name w:val="表1"/>
    <w:next w:val="a1"/>
    <w:autoRedefine/>
    <w:uiPriority w:val="99"/>
    <w:qFormat/>
    <w:rsid w:val="002A5A5E"/>
    <w:pPr>
      <w:adjustRightInd w:val="0"/>
      <w:snapToGrid w:val="0"/>
      <w:jc w:val="center"/>
    </w:pPr>
    <w:rPr>
      <w:rFonts w:ascii="宋体" w:eastAsia="宋体" w:hAnsi="Times New Roman" w:cs="Times New Roman"/>
      <w:sz w:val="21"/>
    </w:rPr>
  </w:style>
  <w:style w:type="paragraph" w:customStyle="1" w:styleId="CharCharCharChar1">
    <w:name w:val="Char Char Char Char1"/>
    <w:basedOn w:val="10"/>
    <w:next w:val="a1"/>
    <w:autoRedefine/>
    <w:uiPriority w:val="99"/>
    <w:qFormat/>
    <w:rsid w:val="002A5A5E"/>
    <w:pPr>
      <w:keepNext w:val="0"/>
      <w:keepLines w:val="0"/>
      <w:spacing w:before="120" w:after="120" w:line="360" w:lineRule="auto"/>
      <w:ind w:firstLineChars="177" w:firstLine="420"/>
      <w:outlineLvl w:val="9"/>
    </w:pPr>
    <w:rPr>
      <w:b w:val="0"/>
      <w:bCs w:val="0"/>
      <w:kern w:val="2"/>
      <w:sz w:val="24"/>
      <w:szCs w:val="24"/>
    </w:rPr>
  </w:style>
  <w:style w:type="character" w:customStyle="1" w:styleId="1Char2">
    <w:name w:val="表头1 Char"/>
    <w:link w:val="1b"/>
    <w:qFormat/>
    <w:locked/>
    <w:rsid w:val="002A5A5E"/>
    <w:rPr>
      <w:rFonts w:ascii="黑体" w:eastAsia="黑体" w:hAnsi="黑体"/>
      <w:sz w:val="24"/>
      <w:szCs w:val="28"/>
    </w:rPr>
  </w:style>
  <w:style w:type="paragraph" w:customStyle="1" w:styleId="1b">
    <w:name w:val="表头1"/>
    <w:basedOn w:val="10"/>
    <w:next w:val="a1"/>
    <w:link w:val="1Char2"/>
    <w:autoRedefine/>
    <w:qFormat/>
    <w:rsid w:val="002A5A5E"/>
    <w:pPr>
      <w:keepNext w:val="0"/>
      <w:keepLines w:val="0"/>
      <w:tabs>
        <w:tab w:val="left" w:pos="605"/>
      </w:tabs>
      <w:adjustRightInd w:val="0"/>
      <w:snapToGrid w:val="0"/>
      <w:spacing w:before="0" w:after="0" w:line="500" w:lineRule="atLeast"/>
      <w:ind w:firstLineChars="177" w:firstLine="425"/>
      <w:jc w:val="center"/>
      <w:outlineLvl w:val="9"/>
    </w:pPr>
    <w:rPr>
      <w:rFonts w:ascii="黑体" w:eastAsia="黑体" w:hAnsi="黑体" w:cstheme="minorBidi"/>
      <w:b w:val="0"/>
      <w:bCs w:val="0"/>
      <w:kern w:val="2"/>
      <w:sz w:val="24"/>
      <w:szCs w:val="28"/>
    </w:rPr>
  </w:style>
  <w:style w:type="paragraph" w:customStyle="1" w:styleId="1c">
    <w:name w:val="列表1"/>
    <w:basedOn w:val="10"/>
    <w:next w:val="a1"/>
    <w:autoRedefine/>
    <w:uiPriority w:val="99"/>
    <w:qFormat/>
    <w:rsid w:val="002A5A5E"/>
    <w:pPr>
      <w:keepNext w:val="0"/>
      <w:keepLines w:val="0"/>
      <w:spacing w:before="0" w:after="0" w:line="360" w:lineRule="exact"/>
      <w:ind w:firstLineChars="177" w:firstLine="425"/>
      <w:jc w:val="center"/>
      <w:outlineLvl w:val="9"/>
    </w:pPr>
    <w:rPr>
      <w:rFonts w:ascii="FangSong_GB2312" w:eastAsia="FangSong_GB2312"/>
      <w:b w:val="0"/>
      <w:bCs w:val="0"/>
      <w:kern w:val="2"/>
      <w:sz w:val="28"/>
      <w:szCs w:val="20"/>
    </w:rPr>
  </w:style>
  <w:style w:type="character" w:customStyle="1" w:styleId="127Char">
    <w:name w:val="样式127 Char"/>
    <w:link w:val="127"/>
    <w:qFormat/>
    <w:locked/>
    <w:rsid w:val="002A5A5E"/>
    <w:rPr>
      <w:snapToGrid w:val="0"/>
      <w:color w:val="000000"/>
      <w:sz w:val="24"/>
      <w:szCs w:val="28"/>
    </w:rPr>
  </w:style>
  <w:style w:type="paragraph" w:customStyle="1" w:styleId="127">
    <w:name w:val="样式127"/>
    <w:basedOn w:val="10"/>
    <w:next w:val="a1"/>
    <w:link w:val="127Char"/>
    <w:autoRedefine/>
    <w:qFormat/>
    <w:rsid w:val="002A5A5E"/>
    <w:pPr>
      <w:keepNext w:val="0"/>
      <w:keepLines w:val="0"/>
      <w:snapToGrid w:val="0"/>
      <w:spacing w:before="0" w:after="0" w:line="520" w:lineRule="exact"/>
      <w:ind w:firstLineChars="200" w:firstLine="480"/>
      <w:outlineLvl w:val="9"/>
    </w:pPr>
    <w:rPr>
      <w:rFonts w:asciiTheme="minorHAnsi" w:eastAsiaTheme="minorEastAsia" w:hAnsiTheme="minorHAnsi" w:cstheme="minorBidi"/>
      <w:b w:val="0"/>
      <w:bCs w:val="0"/>
      <w:snapToGrid w:val="0"/>
      <w:color w:val="000000"/>
      <w:kern w:val="2"/>
      <w:sz w:val="24"/>
      <w:szCs w:val="28"/>
    </w:rPr>
  </w:style>
  <w:style w:type="paragraph" w:customStyle="1" w:styleId="CharCharCharCharCharCharChar1">
    <w:name w:val="Char Char Char Char Char Char Char1"/>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53">
    <w:name w:val="样式5"/>
    <w:basedOn w:val="af5"/>
    <w:next w:val="a1"/>
    <w:autoRedefine/>
    <w:uiPriority w:val="99"/>
    <w:qFormat/>
    <w:rsid w:val="002A5A5E"/>
    <w:pPr>
      <w:spacing w:line="500" w:lineRule="atLeast"/>
      <w:ind w:left="482" w:firstLineChars="0" w:firstLine="0"/>
      <w:contextualSpacing w:val="0"/>
    </w:pPr>
    <w:rPr>
      <w:sz w:val="24"/>
    </w:rPr>
  </w:style>
  <w:style w:type="paragraph" w:customStyle="1" w:styleId="-1">
    <w:name w:val="正文文字-1"/>
    <w:next w:val="a1"/>
    <w:autoRedefine/>
    <w:uiPriority w:val="99"/>
    <w:qFormat/>
    <w:rsid w:val="002A5A5E"/>
    <w:pPr>
      <w:widowControl w:val="0"/>
      <w:spacing w:before="120" w:after="120" w:line="480" w:lineRule="exact"/>
      <w:ind w:firstLineChars="210" w:firstLine="588"/>
      <w:jc w:val="both"/>
    </w:pPr>
    <w:rPr>
      <w:rFonts w:ascii="Times New Roman" w:eastAsia="宋体" w:hAnsi="Times New Roman" w:cs="Times New Roman"/>
      <w:kern w:val="2"/>
      <w:sz w:val="24"/>
      <w:szCs w:val="24"/>
    </w:rPr>
  </w:style>
  <w:style w:type="paragraph" w:customStyle="1" w:styleId="-121121">
    <w:name w:val="样式 样式 正文文字-1 + 首行缩进:  2.1 字符1 + 首行缩进:  2.1 字符"/>
    <w:basedOn w:val="10"/>
    <w:next w:val="a1"/>
    <w:autoRedefine/>
    <w:uiPriority w:val="99"/>
    <w:qFormat/>
    <w:rsid w:val="002A5A5E"/>
    <w:pPr>
      <w:keepNext w:val="0"/>
      <w:keepLines w:val="0"/>
      <w:spacing w:before="120" w:after="120" w:line="400" w:lineRule="exact"/>
      <w:ind w:firstLineChars="210" w:firstLine="210"/>
      <w:outlineLvl w:val="9"/>
    </w:pPr>
    <w:rPr>
      <w:rFonts w:cs="宋体"/>
      <w:b w:val="0"/>
      <w:bCs w:val="0"/>
      <w:kern w:val="2"/>
      <w:sz w:val="24"/>
      <w:szCs w:val="20"/>
    </w:rPr>
  </w:style>
  <w:style w:type="paragraph" w:customStyle="1" w:styleId="-121">
    <w:name w:val="样式 正文文字-1 + 首行缩进:  2.1 字符"/>
    <w:basedOn w:val="10"/>
    <w:next w:val="a1"/>
    <w:autoRedefine/>
    <w:uiPriority w:val="99"/>
    <w:qFormat/>
    <w:rsid w:val="002A5A5E"/>
    <w:pPr>
      <w:keepNext w:val="0"/>
      <w:keepLines w:val="0"/>
      <w:spacing w:before="60" w:after="60" w:line="440" w:lineRule="exact"/>
      <w:ind w:firstLineChars="210" w:firstLine="210"/>
      <w:outlineLvl w:val="9"/>
    </w:pPr>
    <w:rPr>
      <w:rFonts w:cs="宋体"/>
      <w:b w:val="0"/>
      <w:bCs w:val="0"/>
      <w:kern w:val="2"/>
      <w:sz w:val="24"/>
      <w:szCs w:val="20"/>
    </w:rPr>
  </w:style>
  <w:style w:type="paragraph" w:customStyle="1" w:styleId="-1211">
    <w:name w:val="样式 正文文字-1 + 首行缩进:  2.1 字符1"/>
    <w:basedOn w:val="10"/>
    <w:next w:val="a1"/>
    <w:autoRedefine/>
    <w:qFormat/>
    <w:rsid w:val="002A5A5E"/>
    <w:pPr>
      <w:keepNext w:val="0"/>
      <w:keepLines w:val="0"/>
      <w:spacing w:before="120" w:after="120" w:line="440" w:lineRule="exact"/>
      <w:ind w:firstLineChars="210" w:firstLine="210"/>
      <w:outlineLvl w:val="9"/>
    </w:pPr>
    <w:rPr>
      <w:rFonts w:cs="宋体"/>
      <w:b w:val="0"/>
      <w:bCs w:val="0"/>
      <w:kern w:val="2"/>
      <w:sz w:val="24"/>
      <w:szCs w:val="20"/>
    </w:rPr>
  </w:style>
  <w:style w:type="paragraph" w:customStyle="1" w:styleId="150">
    <w:name w:val="样式 四号 行距: 1.5 倍行距"/>
    <w:basedOn w:val="10"/>
    <w:next w:val="a1"/>
    <w:autoRedefine/>
    <w:uiPriority w:val="99"/>
    <w:qFormat/>
    <w:rsid w:val="002A5A5E"/>
    <w:pPr>
      <w:keepNext w:val="0"/>
      <w:keepLines w:val="0"/>
      <w:spacing w:before="0" w:after="0" w:line="360" w:lineRule="auto"/>
      <w:ind w:firstLineChars="200" w:firstLine="560"/>
      <w:outlineLvl w:val="9"/>
    </w:pPr>
    <w:rPr>
      <w:rFonts w:cs="宋体"/>
      <w:b w:val="0"/>
      <w:bCs w:val="0"/>
      <w:kern w:val="2"/>
      <w:sz w:val="24"/>
      <w:szCs w:val="20"/>
    </w:rPr>
  </w:style>
  <w:style w:type="character" w:customStyle="1" w:styleId="Charff1">
    <w:name w:val="国电正文 Char"/>
    <w:link w:val="affff7"/>
    <w:semiHidden/>
    <w:qFormat/>
    <w:locked/>
    <w:rsid w:val="002A5A5E"/>
    <w:rPr>
      <w:color w:val="000000"/>
      <w:sz w:val="24"/>
    </w:rPr>
  </w:style>
  <w:style w:type="paragraph" w:customStyle="1" w:styleId="affff7">
    <w:name w:val="国电正文"/>
    <w:basedOn w:val="10"/>
    <w:next w:val="a1"/>
    <w:link w:val="Charff1"/>
    <w:autoRedefine/>
    <w:semiHidden/>
    <w:qFormat/>
    <w:rsid w:val="002A5A5E"/>
    <w:pPr>
      <w:keepNext w:val="0"/>
      <w:keepLines w:val="0"/>
      <w:spacing w:before="0" w:after="0" w:line="360" w:lineRule="auto"/>
      <w:ind w:firstLineChars="200" w:firstLine="480"/>
      <w:outlineLvl w:val="9"/>
    </w:pPr>
    <w:rPr>
      <w:rFonts w:asciiTheme="minorHAnsi" w:eastAsiaTheme="minorEastAsia" w:hAnsiTheme="minorHAnsi" w:cstheme="minorBidi"/>
      <w:b w:val="0"/>
      <w:bCs w:val="0"/>
      <w:color w:val="000000"/>
      <w:kern w:val="2"/>
      <w:sz w:val="24"/>
      <w:szCs w:val="22"/>
    </w:rPr>
  </w:style>
  <w:style w:type="character" w:customStyle="1" w:styleId="-1CharChar">
    <w:name w:val="正文文字-1 Char Char"/>
    <w:basedOn w:val="a2"/>
    <w:link w:val="-1Char"/>
    <w:qFormat/>
    <w:locked/>
    <w:rsid w:val="002A5A5E"/>
    <w:rPr>
      <w:sz w:val="24"/>
      <w:szCs w:val="24"/>
    </w:rPr>
  </w:style>
  <w:style w:type="paragraph" w:customStyle="1" w:styleId="-1Char">
    <w:name w:val="正文文字-1 Char"/>
    <w:next w:val="a1"/>
    <w:link w:val="-1CharChar"/>
    <w:autoRedefine/>
    <w:qFormat/>
    <w:rsid w:val="002A5A5E"/>
    <w:pPr>
      <w:widowControl w:val="0"/>
      <w:spacing w:before="120" w:after="120" w:line="480" w:lineRule="exact"/>
      <w:ind w:firstLineChars="210" w:firstLine="588"/>
      <w:jc w:val="both"/>
    </w:pPr>
    <w:rPr>
      <w:kern w:val="2"/>
      <w:sz w:val="24"/>
      <w:szCs w:val="24"/>
    </w:rPr>
  </w:style>
  <w:style w:type="paragraph" w:customStyle="1" w:styleId="Char1CharCharChar1">
    <w:name w:val="Char1 Char Char Char1"/>
    <w:basedOn w:val="10"/>
    <w:next w:val="a1"/>
    <w:autoRedefine/>
    <w:uiPriority w:val="99"/>
    <w:qFormat/>
    <w:rsid w:val="002A5A5E"/>
    <w:pPr>
      <w:keepNext w:val="0"/>
      <w:keepLines w:val="0"/>
      <w:spacing w:before="0" w:after="0" w:line="500" w:lineRule="atLeast"/>
      <w:ind w:firstLineChars="200" w:firstLine="480"/>
      <w:outlineLvl w:val="9"/>
    </w:pPr>
    <w:rPr>
      <w:b w:val="0"/>
      <w:bCs w:val="0"/>
      <w:kern w:val="2"/>
      <w:sz w:val="24"/>
      <w:szCs w:val="24"/>
    </w:rPr>
  </w:style>
  <w:style w:type="paragraph" w:customStyle="1" w:styleId="Char1CharCharCharCharChar">
    <w:name w:val="Char1 Char Char Char Char Char"/>
    <w:basedOn w:val="10"/>
    <w:next w:val="a1"/>
    <w:autoRedefine/>
    <w:uiPriority w:val="99"/>
    <w:qFormat/>
    <w:rsid w:val="002A5A5E"/>
    <w:pPr>
      <w:keepNext w:val="0"/>
      <w:keepLines w:val="0"/>
      <w:spacing w:before="0" w:after="0" w:line="360" w:lineRule="auto"/>
      <w:ind w:firstLineChars="200" w:firstLine="200"/>
      <w:outlineLvl w:val="9"/>
    </w:pPr>
    <w:rPr>
      <w:rFonts w:ascii="Tahoma" w:hAnsi="Tahoma"/>
      <w:b w:val="0"/>
      <w:bCs w:val="0"/>
      <w:kern w:val="2"/>
      <w:sz w:val="24"/>
      <w:szCs w:val="20"/>
    </w:rPr>
  </w:style>
  <w:style w:type="paragraph" w:customStyle="1" w:styleId="CharCharCharCharCharCharChar2">
    <w:name w:val="Char Char Char Char Char Char Char2"/>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152">
    <w:name w:val="样式 四号 行距: 1.5 倍行距2"/>
    <w:basedOn w:val="10"/>
    <w:next w:val="a1"/>
    <w:autoRedefine/>
    <w:uiPriority w:val="99"/>
    <w:qFormat/>
    <w:rsid w:val="002A5A5E"/>
    <w:pPr>
      <w:keepNext w:val="0"/>
      <w:keepLines w:val="0"/>
      <w:spacing w:before="0" w:after="0" w:line="360" w:lineRule="auto"/>
      <w:ind w:firstLineChars="200" w:firstLine="560"/>
      <w:outlineLvl w:val="9"/>
    </w:pPr>
    <w:rPr>
      <w:rFonts w:cs="宋体"/>
      <w:b w:val="0"/>
      <w:bCs w:val="0"/>
      <w:kern w:val="2"/>
      <w:sz w:val="24"/>
      <w:szCs w:val="20"/>
    </w:rPr>
  </w:style>
  <w:style w:type="paragraph" w:customStyle="1" w:styleId="153">
    <w:name w:val="样式 四号 行距: 1.5 倍行距3"/>
    <w:basedOn w:val="10"/>
    <w:next w:val="a1"/>
    <w:autoRedefine/>
    <w:uiPriority w:val="99"/>
    <w:qFormat/>
    <w:rsid w:val="002A5A5E"/>
    <w:pPr>
      <w:keepNext w:val="0"/>
      <w:keepLines w:val="0"/>
      <w:spacing w:before="0" w:after="0" w:line="360" w:lineRule="auto"/>
      <w:ind w:firstLineChars="450" w:firstLine="1260"/>
      <w:outlineLvl w:val="9"/>
    </w:pPr>
    <w:rPr>
      <w:rFonts w:cs="宋体"/>
      <w:b w:val="0"/>
      <w:bCs w:val="0"/>
      <w:kern w:val="2"/>
      <w:sz w:val="24"/>
      <w:szCs w:val="20"/>
    </w:rPr>
  </w:style>
  <w:style w:type="paragraph" w:customStyle="1" w:styleId="54">
    <w:name w:val="正文5"/>
    <w:next w:val="a1"/>
    <w:autoRedefine/>
    <w:uiPriority w:val="99"/>
    <w:qFormat/>
    <w:rsid w:val="002A5A5E"/>
    <w:pPr>
      <w:widowControl w:val="0"/>
      <w:adjustRightInd w:val="0"/>
      <w:spacing w:line="360" w:lineRule="atLeast"/>
    </w:pPr>
    <w:rPr>
      <w:rFonts w:ascii="宋体" w:eastAsia="宋体" w:hAnsi="Times New Roman" w:cs="Times New Roman"/>
      <w:sz w:val="24"/>
    </w:rPr>
  </w:style>
  <w:style w:type="paragraph" w:customStyle="1" w:styleId="Char20">
    <w:name w:val="Char2"/>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affff8">
    <w:name w:val="表格正文"/>
    <w:basedOn w:val="10"/>
    <w:next w:val="a1"/>
    <w:autoRedefine/>
    <w:uiPriority w:val="99"/>
    <w:qFormat/>
    <w:rsid w:val="002A5A5E"/>
    <w:pPr>
      <w:keepNext w:val="0"/>
      <w:keepLines w:val="0"/>
      <w:spacing w:before="0" w:after="0" w:line="300" w:lineRule="auto"/>
      <w:ind w:firstLineChars="177" w:firstLine="425"/>
      <w:jc w:val="center"/>
      <w:outlineLvl w:val="9"/>
    </w:pPr>
    <w:rPr>
      <w:b w:val="0"/>
      <w:bCs w:val="0"/>
      <w:kern w:val="2"/>
      <w:sz w:val="24"/>
      <w:szCs w:val="24"/>
    </w:rPr>
  </w:style>
  <w:style w:type="character" w:customStyle="1" w:styleId="xfwChar">
    <w:name w:val="xfw Char"/>
    <w:basedOn w:val="a2"/>
    <w:link w:val="xfw"/>
    <w:qFormat/>
    <w:locked/>
    <w:rsid w:val="002A5A5E"/>
    <w:rPr>
      <w:sz w:val="24"/>
      <w:szCs w:val="28"/>
    </w:rPr>
  </w:style>
  <w:style w:type="paragraph" w:customStyle="1" w:styleId="xfw">
    <w:name w:val="xfw"/>
    <w:basedOn w:val="10"/>
    <w:next w:val="a1"/>
    <w:link w:val="xfwChar"/>
    <w:autoRedefine/>
    <w:qFormat/>
    <w:rsid w:val="002A5A5E"/>
    <w:pPr>
      <w:keepNext w:val="0"/>
      <w:keepLines w:val="0"/>
      <w:spacing w:before="0" w:after="0" w:line="360" w:lineRule="auto"/>
      <w:ind w:firstLineChars="200" w:firstLine="200"/>
      <w:outlineLvl w:val="9"/>
    </w:pPr>
    <w:rPr>
      <w:rFonts w:asciiTheme="minorHAnsi" w:eastAsiaTheme="minorEastAsia" w:hAnsiTheme="minorHAnsi" w:cstheme="minorBidi"/>
      <w:b w:val="0"/>
      <w:bCs w:val="0"/>
      <w:kern w:val="2"/>
      <w:sz w:val="24"/>
      <w:szCs w:val="28"/>
    </w:rPr>
  </w:style>
  <w:style w:type="character" w:customStyle="1" w:styleId="01CharChar">
    <w:name w:val="正文01 Char Char"/>
    <w:link w:val="01"/>
    <w:qFormat/>
    <w:locked/>
    <w:rsid w:val="002A5A5E"/>
    <w:rPr>
      <w:rFonts w:ascii="宋体" w:eastAsia="宋体" w:hAnsi="宋体" w:cs="宋体"/>
      <w:snapToGrid w:val="0"/>
      <w:kern w:val="56"/>
      <w:sz w:val="24"/>
      <w:lang w:val="zh-CN"/>
    </w:rPr>
  </w:style>
  <w:style w:type="paragraph" w:customStyle="1" w:styleId="01">
    <w:name w:val="正文01"/>
    <w:basedOn w:val="10"/>
    <w:next w:val="a1"/>
    <w:link w:val="01CharChar"/>
    <w:autoRedefine/>
    <w:qFormat/>
    <w:rsid w:val="002A5A5E"/>
    <w:pPr>
      <w:keepNext w:val="0"/>
      <w:keepLines w:val="0"/>
      <w:adjustRightInd w:val="0"/>
      <w:snapToGrid w:val="0"/>
      <w:spacing w:before="0" w:after="0" w:line="360" w:lineRule="auto"/>
      <w:ind w:firstLineChars="200" w:firstLine="200"/>
      <w:outlineLvl w:val="9"/>
    </w:pPr>
    <w:rPr>
      <w:rFonts w:ascii="宋体" w:hAnsi="宋体" w:cs="宋体"/>
      <w:b w:val="0"/>
      <w:bCs w:val="0"/>
      <w:snapToGrid w:val="0"/>
      <w:kern w:val="56"/>
      <w:sz w:val="24"/>
      <w:szCs w:val="22"/>
      <w:lang w:val="zh-CN"/>
    </w:rPr>
  </w:style>
  <w:style w:type="paragraph" w:customStyle="1" w:styleId="reader-word-layerreader-word-s8-5">
    <w:name w:val="reader-word-layer reader-word-s8-5"/>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2">
    <w:name w:val="reader-word-layer reader-word-s8-2"/>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9">
    <w:name w:val="reader-word-layer reader-word-s8-9"/>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8">
    <w:name w:val="reader-word-layer reader-word-s8-8"/>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12">
    <w:name w:val="reader-word-layer reader-word-s8-12"/>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0">
    <w:name w:val="reader-word-layer reader-word-s8-0"/>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7">
    <w:name w:val="reader-word-layer reader-word-s8-7"/>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6">
    <w:name w:val="reader-word-layer reader-word-s8-6"/>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CharChar1CharCharCharCharCharCharChar">
    <w:name w:val="Char Char1 Char Char Char Char Char Char Char"/>
    <w:basedOn w:val="10"/>
    <w:next w:val="a1"/>
    <w:autoRedefine/>
    <w:uiPriority w:val="99"/>
    <w:qFormat/>
    <w:rsid w:val="002A5A5E"/>
    <w:pPr>
      <w:keepNext w:val="0"/>
      <w:keepLines w:val="0"/>
      <w:spacing w:before="0" w:after="0" w:line="500" w:lineRule="atLeast"/>
      <w:ind w:firstLineChars="177" w:firstLine="425"/>
      <w:outlineLvl w:val="9"/>
    </w:pPr>
    <w:rPr>
      <w:rFonts w:cs="宋体"/>
      <w:b w:val="0"/>
      <w:bCs w:val="0"/>
      <w:color w:val="000000"/>
      <w:kern w:val="2"/>
      <w:sz w:val="24"/>
      <w:szCs w:val="24"/>
      <w:lang w:val="zh-CN"/>
    </w:rPr>
  </w:style>
  <w:style w:type="paragraph" w:customStyle="1" w:styleId="089">
    <w:name w:val="样式 首行缩进:  0.89 厘米"/>
    <w:basedOn w:val="10"/>
    <w:next w:val="a1"/>
    <w:autoRedefine/>
    <w:uiPriority w:val="99"/>
    <w:qFormat/>
    <w:rsid w:val="002A5A5E"/>
    <w:pPr>
      <w:keepNext w:val="0"/>
      <w:keepLines w:val="0"/>
      <w:spacing w:beforeLines="50" w:after="0" w:line="440" w:lineRule="exact"/>
      <w:ind w:firstLineChars="177" w:firstLine="505"/>
      <w:outlineLvl w:val="9"/>
    </w:pPr>
    <w:rPr>
      <w:rFonts w:cs="宋体"/>
      <w:b w:val="0"/>
      <w:bCs w:val="0"/>
      <w:kern w:val="2"/>
      <w:sz w:val="24"/>
      <w:szCs w:val="20"/>
    </w:rPr>
  </w:style>
  <w:style w:type="paragraph" w:customStyle="1" w:styleId="2d">
    <w:name w:val="表格文字2"/>
    <w:basedOn w:val="10"/>
    <w:next w:val="a1"/>
    <w:autoRedefine/>
    <w:uiPriority w:val="99"/>
    <w:qFormat/>
    <w:rsid w:val="002A5A5E"/>
    <w:pPr>
      <w:keepNext w:val="0"/>
      <w:keepLines w:val="0"/>
      <w:spacing w:before="0" w:after="0" w:line="500" w:lineRule="atLeast"/>
      <w:ind w:firstLineChars="177" w:firstLine="425"/>
      <w:jc w:val="center"/>
      <w:outlineLvl w:val="9"/>
    </w:pPr>
    <w:rPr>
      <w:b w:val="0"/>
      <w:bCs w:val="0"/>
      <w:kern w:val="2"/>
      <w:sz w:val="24"/>
      <w:szCs w:val="21"/>
    </w:rPr>
  </w:style>
  <w:style w:type="character" w:customStyle="1" w:styleId="31Char">
    <w:name w:val="样式 标题 3 + 黑色1 Char"/>
    <w:basedOn w:val="a2"/>
    <w:link w:val="310"/>
    <w:qFormat/>
    <w:locked/>
    <w:rsid w:val="002A5A5E"/>
    <w:rPr>
      <w:b/>
      <w:bCs/>
      <w:color w:val="000000"/>
      <w:sz w:val="28"/>
      <w:szCs w:val="30"/>
    </w:rPr>
  </w:style>
  <w:style w:type="paragraph" w:customStyle="1" w:styleId="310">
    <w:name w:val="样式 标题 3 + 黑色1"/>
    <w:basedOn w:val="30"/>
    <w:next w:val="a1"/>
    <w:link w:val="31Char"/>
    <w:autoRedefine/>
    <w:qFormat/>
    <w:rsid w:val="002A5A5E"/>
    <w:pPr>
      <w:spacing w:beforeLines="50" w:afterLines="50" w:line="360" w:lineRule="auto"/>
    </w:pPr>
    <w:rPr>
      <w:rFonts w:asciiTheme="minorHAnsi" w:eastAsiaTheme="minorEastAsia" w:hAnsiTheme="minorHAnsi" w:cstheme="minorBidi"/>
      <w:b/>
      <w:bCs/>
      <w:color w:val="000000"/>
      <w:sz w:val="28"/>
      <w:szCs w:val="30"/>
    </w:rPr>
  </w:style>
  <w:style w:type="paragraph" w:customStyle="1" w:styleId="38">
    <w:name w:val="正文缩进3"/>
    <w:basedOn w:val="10"/>
    <w:next w:val="a1"/>
    <w:autoRedefine/>
    <w:uiPriority w:val="99"/>
    <w:qFormat/>
    <w:rsid w:val="002A5A5E"/>
    <w:pPr>
      <w:keepNext w:val="0"/>
      <w:keepLines w:val="0"/>
      <w:spacing w:before="0" w:after="0" w:line="500" w:lineRule="atLeast"/>
      <w:ind w:firstLineChars="177" w:firstLine="420"/>
      <w:outlineLvl w:val="9"/>
    </w:pPr>
    <w:rPr>
      <w:b w:val="0"/>
      <w:bCs w:val="0"/>
      <w:kern w:val="2"/>
      <w:sz w:val="24"/>
      <w:szCs w:val="24"/>
    </w:rPr>
  </w:style>
  <w:style w:type="paragraph" w:customStyle="1" w:styleId="p0">
    <w:name w:val="p0"/>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65">
    <w:name w:val="正文6"/>
    <w:next w:val="a1"/>
    <w:autoRedefine/>
    <w:uiPriority w:val="99"/>
    <w:qFormat/>
    <w:rsid w:val="002A5A5E"/>
    <w:pPr>
      <w:widowControl w:val="0"/>
      <w:adjustRightInd w:val="0"/>
      <w:spacing w:line="360" w:lineRule="atLeast"/>
    </w:pPr>
    <w:rPr>
      <w:rFonts w:ascii="宋体" w:eastAsia="宋体" w:hAnsi="Times New Roman" w:cs="Times New Roman"/>
      <w:sz w:val="24"/>
    </w:rPr>
  </w:style>
  <w:style w:type="paragraph" w:customStyle="1" w:styleId="affff9">
    <w:name w:val="新正文"/>
    <w:basedOn w:val="10"/>
    <w:next w:val="a1"/>
    <w:autoRedefine/>
    <w:uiPriority w:val="99"/>
    <w:qFormat/>
    <w:rsid w:val="002A5A5E"/>
    <w:pPr>
      <w:keepNext w:val="0"/>
      <w:keepLines w:val="0"/>
      <w:spacing w:before="0" w:after="0" w:line="360" w:lineRule="auto"/>
      <w:ind w:firstLineChars="177" w:firstLine="480"/>
      <w:outlineLvl w:val="9"/>
    </w:pPr>
    <w:rPr>
      <w:rFonts w:cs="宋体"/>
      <w:b w:val="0"/>
      <w:bCs w:val="0"/>
      <w:kern w:val="2"/>
      <w:sz w:val="24"/>
      <w:szCs w:val="20"/>
    </w:rPr>
  </w:style>
  <w:style w:type="paragraph" w:customStyle="1" w:styleId="Arial15">
    <w:name w:val="样式 Arial 小四 行距: 1.5 倍行距"/>
    <w:basedOn w:val="10"/>
    <w:next w:val="a1"/>
    <w:autoRedefine/>
    <w:uiPriority w:val="99"/>
    <w:qFormat/>
    <w:rsid w:val="002A5A5E"/>
    <w:pPr>
      <w:keepNext w:val="0"/>
      <w:keepLines w:val="0"/>
      <w:spacing w:before="0" w:after="0" w:line="360" w:lineRule="auto"/>
      <w:ind w:firstLineChars="200" w:firstLine="480"/>
      <w:outlineLvl w:val="9"/>
    </w:pPr>
    <w:rPr>
      <w:b w:val="0"/>
      <w:bCs w:val="0"/>
      <w:kern w:val="2"/>
      <w:sz w:val="24"/>
      <w:szCs w:val="20"/>
    </w:rPr>
  </w:style>
  <w:style w:type="paragraph" w:customStyle="1" w:styleId="CharCharCharCharCharChar1Char">
    <w:name w:val="Char Char Char Char Char Char1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39">
    <w:name w:val="样式 标题3"/>
    <w:basedOn w:val="30"/>
    <w:next w:val="a1"/>
    <w:autoRedefine/>
    <w:uiPriority w:val="99"/>
    <w:qFormat/>
    <w:rsid w:val="002A5A5E"/>
    <w:pPr>
      <w:spacing w:beforeLines="50" w:afterLines="50" w:line="360" w:lineRule="auto"/>
      <w:ind w:firstLine="200"/>
      <w:jc w:val="left"/>
    </w:pPr>
    <w:rPr>
      <w:b/>
      <w:bCs/>
      <w:sz w:val="28"/>
      <w:szCs w:val="24"/>
    </w:rPr>
  </w:style>
  <w:style w:type="paragraph" w:customStyle="1" w:styleId="CharCharCharCharCharCharCharCharCharCharCharChar">
    <w:name w:val="Char Char Char Char Char Char Char Char Char Char Char Char"/>
    <w:basedOn w:val="10"/>
    <w:next w:val="a1"/>
    <w:autoRedefine/>
    <w:uiPriority w:val="99"/>
    <w:qFormat/>
    <w:rsid w:val="002A5A5E"/>
    <w:pPr>
      <w:keepNext w:val="0"/>
      <w:keepLines w:val="0"/>
      <w:tabs>
        <w:tab w:val="left" w:pos="1723"/>
      </w:tabs>
      <w:spacing w:before="0" w:after="0" w:line="500" w:lineRule="atLeast"/>
      <w:ind w:left="1723" w:firstLineChars="177" w:hanging="1080"/>
      <w:outlineLvl w:val="9"/>
    </w:pPr>
    <w:rPr>
      <w:rFonts w:eastAsia="FangSong_GB2312"/>
      <w:b w:val="0"/>
      <w:bCs w:val="0"/>
      <w:kern w:val="2"/>
      <w:sz w:val="24"/>
      <w:szCs w:val="32"/>
    </w:rPr>
  </w:style>
  <w:style w:type="paragraph" w:customStyle="1" w:styleId="CharCharChar">
    <w:name w:val="Char Char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2e">
    <w:name w:val="封面标准号2"/>
    <w:basedOn w:val="10"/>
    <w:next w:val="a1"/>
    <w:autoRedefine/>
    <w:uiPriority w:val="99"/>
    <w:qFormat/>
    <w:rsid w:val="002A5A5E"/>
    <w:pPr>
      <w:keepNext w:val="0"/>
      <w:keepLines w:val="0"/>
      <w:framePr w:w="9138" w:h="1244" w:wrap="auto" w:vAnchor="page" w:hAnchor="margin" w:y="2908" w:anchorLock="1"/>
      <w:kinsoku w:val="0"/>
      <w:overflowPunct w:val="0"/>
      <w:autoSpaceDE w:val="0"/>
      <w:autoSpaceDN w:val="0"/>
      <w:adjustRightInd w:val="0"/>
      <w:spacing w:before="357" w:after="0" w:line="280" w:lineRule="exact"/>
      <w:ind w:firstLineChars="177" w:firstLine="425"/>
      <w:jc w:val="right"/>
      <w:outlineLvl w:val="9"/>
    </w:pPr>
    <w:rPr>
      <w:b w:val="0"/>
      <w:bCs w:val="0"/>
      <w:kern w:val="0"/>
      <w:sz w:val="28"/>
      <w:szCs w:val="20"/>
    </w:rPr>
  </w:style>
  <w:style w:type="paragraph" w:customStyle="1" w:styleId="66">
    <w:name w:val="纯文本6"/>
    <w:basedOn w:val="10"/>
    <w:next w:val="a1"/>
    <w:autoRedefine/>
    <w:uiPriority w:val="99"/>
    <w:qFormat/>
    <w:rsid w:val="002A5A5E"/>
    <w:pPr>
      <w:keepNext w:val="0"/>
      <w:keepLines w:val="0"/>
      <w:spacing w:before="0" w:after="0" w:line="500" w:lineRule="atLeast"/>
      <w:ind w:firstLineChars="177" w:firstLine="425"/>
      <w:outlineLvl w:val="9"/>
    </w:pPr>
    <w:rPr>
      <w:rFonts w:ascii="宋体" w:hAnsi="Courier New"/>
      <w:b w:val="0"/>
      <w:bCs w:val="0"/>
      <w:kern w:val="0"/>
      <w:sz w:val="20"/>
      <w:szCs w:val="21"/>
    </w:rPr>
  </w:style>
  <w:style w:type="paragraph" w:customStyle="1" w:styleId="43">
    <w:name w:val="日期4"/>
    <w:basedOn w:val="10"/>
    <w:next w:val="a1"/>
    <w:autoRedefine/>
    <w:uiPriority w:val="99"/>
    <w:qFormat/>
    <w:rsid w:val="002A5A5E"/>
    <w:pPr>
      <w:keepNext w:val="0"/>
      <w:keepLines w:val="0"/>
      <w:spacing w:before="0" w:after="0" w:line="500" w:lineRule="atLeast"/>
      <w:ind w:leftChars="2500" w:left="100" w:firstLineChars="177" w:firstLine="425"/>
      <w:outlineLvl w:val="9"/>
    </w:pPr>
    <w:rPr>
      <w:rFonts w:ascii="Calibri" w:hAnsi="Calibri"/>
      <w:b w:val="0"/>
      <w:bCs w:val="0"/>
      <w:kern w:val="0"/>
      <w:sz w:val="20"/>
      <w:szCs w:val="20"/>
    </w:rPr>
  </w:style>
  <w:style w:type="paragraph" w:customStyle="1" w:styleId="44">
    <w:name w:val="无间隔4"/>
    <w:next w:val="a1"/>
    <w:autoRedefine/>
    <w:uiPriority w:val="99"/>
    <w:qFormat/>
    <w:rsid w:val="002A5A5E"/>
    <w:rPr>
      <w:rFonts w:ascii="Calibri" w:eastAsia="宋体" w:hAnsi="Calibri" w:cs="Times New Roman"/>
      <w:sz w:val="22"/>
    </w:rPr>
  </w:style>
  <w:style w:type="paragraph" w:customStyle="1" w:styleId="72">
    <w:name w:val="纯文本7"/>
    <w:basedOn w:val="10"/>
    <w:next w:val="a1"/>
    <w:autoRedefine/>
    <w:uiPriority w:val="99"/>
    <w:qFormat/>
    <w:rsid w:val="002A5A5E"/>
    <w:pPr>
      <w:keepNext w:val="0"/>
      <w:keepLines w:val="0"/>
      <w:spacing w:before="0" w:after="0" w:line="500" w:lineRule="atLeast"/>
      <w:ind w:firstLineChars="177" w:firstLine="425"/>
      <w:outlineLvl w:val="9"/>
    </w:pPr>
    <w:rPr>
      <w:rFonts w:ascii="宋体" w:hAnsi="Courier New"/>
      <w:b w:val="0"/>
      <w:bCs w:val="0"/>
      <w:kern w:val="0"/>
      <w:sz w:val="20"/>
      <w:szCs w:val="21"/>
    </w:rPr>
  </w:style>
  <w:style w:type="paragraph" w:customStyle="1" w:styleId="affffa">
    <w:name w:val="表题行"/>
    <w:basedOn w:val="10"/>
    <w:next w:val="a1"/>
    <w:autoRedefine/>
    <w:uiPriority w:val="99"/>
    <w:qFormat/>
    <w:rsid w:val="002A5A5E"/>
    <w:pPr>
      <w:keepNext w:val="0"/>
      <w:keepLines w:val="0"/>
      <w:spacing w:before="0" w:after="0" w:line="500" w:lineRule="atLeast"/>
      <w:ind w:firstLineChars="177" w:firstLine="425"/>
      <w:jc w:val="center"/>
      <w:outlineLvl w:val="9"/>
    </w:pPr>
    <w:rPr>
      <w:kern w:val="2"/>
      <w:sz w:val="18"/>
      <w:szCs w:val="21"/>
    </w:rPr>
  </w:style>
  <w:style w:type="paragraph" w:customStyle="1" w:styleId="a90">
    <w:name w:val="a9"/>
    <w:basedOn w:val="10"/>
    <w:next w:val="a1"/>
    <w:autoRedefine/>
    <w:uiPriority w:val="99"/>
    <w:qFormat/>
    <w:rsid w:val="002A5A5E"/>
    <w:pPr>
      <w:keepNext w:val="0"/>
      <w:keepLines w:val="0"/>
      <w:widowControl/>
      <w:snapToGrid w:val="0"/>
      <w:spacing w:before="120" w:after="120" w:line="360" w:lineRule="auto"/>
      <w:ind w:firstLineChars="177" w:firstLine="480"/>
      <w:outlineLvl w:val="9"/>
    </w:pPr>
    <w:rPr>
      <w:b w:val="0"/>
      <w:bCs w:val="0"/>
      <w:kern w:val="0"/>
      <w:sz w:val="24"/>
      <w:szCs w:val="24"/>
    </w:rPr>
  </w:style>
  <w:style w:type="paragraph" w:customStyle="1" w:styleId="affffb">
    <w:name w:val="表文"/>
    <w:basedOn w:val="10"/>
    <w:next w:val="a1"/>
    <w:link w:val="Charff2"/>
    <w:autoRedefine/>
    <w:qFormat/>
    <w:rsid w:val="002A5A5E"/>
    <w:pPr>
      <w:keepNext w:val="0"/>
      <w:keepLines w:val="0"/>
      <w:spacing w:before="0" w:after="0" w:line="500" w:lineRule="atLeast"/>
      <w:ind w:firstLineChars="177" w:firstLine="425"/>
      <w:jc w:val="center"/>
      <w:outlineLvl w:val="9"/>
    </w:pPr>
    <w:rPr>
      <w:b w:val="0"/>
      <w:bCs w:val="0"/>
      <w:kern w:val="2"/>
      <w:sz w:val="24"/>
      <w:szCs w:val="24"/>
    </w:rPr>
  </w:style>
  <w:style w:type="paragraph" w:customStyle="1" w:styleId="affffc">
    <w:name w:val="报告"/>
    <w:basedOn w:val="10"/>
    <w:next w:val="a1"/>
    <w:autoRedefine/>
    <w:uiPriority w:val="99"/>
    <w:qFormat/>
    <w:rsid w:val="002A5A5E"/>
    <w:pPr>
      <w:keepNext w:val="0"/>
      <w:keepLines w:val="0"/>
      <w:adjustRightInd w:val="0"/>
      <w:spacing w:before="0" w:after="0" w:line="360" w:lineRule="auto"/>
      <w:ind w:firstLineChars="177" w:firstLine="505"/>
      <w:outlineLvl w:val="9"/>
    </w:pPr>
    <w:rPr>
      <w:rFonts w:ascii="TimesNewRoman" w:hAnsi="TimesNewRoman"/>
      <w:b w:val="0"/>
      <w:bCs w:val="0"/>
      <w:kern w:val="0"/>
      <w:sz w:val="24"/>
      <w:szCs w:val="20"/>
    </w:rPr>
  </w:style>
  <w:style w:type="paragraph" w:customStyle="1" w:styleId="affffd">
    <w:name w:val="韩奇"/>
    <w:basedOn w:val="10"/>
    <w:next w:val="a1"/>
    <w:autoRedefine/>
    <w:uiPriority w:val="99"/>
    <w:qFormat/>
    <w:rsid w:val="002A5A5E"/>
    <w:pPr>
      <w:keepNext w:val="0"/>
      <w:keepLines w:val="0"/>
      <w:adjustRightInd w:val="0"/>
      <w:spacing w:before="0" w:after="0" w:line="500" w:lineRule="exact"/>
      <w:ind w:firstLineChars="200" w:firstLine="200"/>
      <w:outlineLvl w:val="9"/>
    </w:pPr>
    <w:rPr>
      <w:rFonts w:eastAsia="楷体_GB2312"/>
      <w:b w:val="0"/>
      <w:bCs w:val="0"/>
      <w:kern w:val="0"/>
      <w:sz w:val="28"/>
      <w:szCs w:val="20"/>
    </w:rPr>
  </w:style>
  <w:style w:type="paragraph" w:customStyle="1" w:styleId="xl41">
    <w:name w:val="xl41"/>
    <w:basedOn w:val="10"/>
    <w:next w:val="a1"/>
    <w:autoRedefine/>
    <w:uiPriority w:val="99"/>
    <w:qFormat/>
    <w:rsid w:val="002A5A5E"/>
    <w:pPr>
      <w:keepNext w:val="0"/>
      <w:keepLines w:val="0"/>
      <w:widowControl/>
      <w:pBdr>
        <w:top w:val="single" w:sz="8" w:space="0" w:color="auto"/>
        <w:left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xl39">
    <w:name w:val="xl39"/>
    <w:basedOn w:val="10"/>
    <w:next w:val="a1"/>
    <w:autoRedefine/>
    <w:uiPriority w:val="99"/>
    <w:qFormat/>
    <w:rsid w:val="002A5A5E"/>
    <w:pPr>
      <w:keepNext w:val="0"/>
      <w:keepLines w:val="0"/>
      <w:widowControl/>
      <w:pBdr>
        <w:left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qilu">
    <w:name w:val="qilu"/>
    <w:basedOn w:val="10"/>
    <w:next w:val="a1"/>
    <w:autoRedefine/>
    <w:uiPriority w:val="99"/>
    <w:qFormat/>
    <w:rsid w:val="002A5A5E"/>
    <w:pPr>
      <w:keepNext w:val="0"/>
      <w:keepLines w:val="0"/>
      <w:autoSpaceDE w:val="0"/>
      <w:autoSpaceDN w:val="0"/>
      <w:adjustRightInd w:val="0"/>
      <w:spacing w:before="0" w:after="0" w:line="500" w:lineRule="atLeast"/>
      <w:ind w:firstLineChars="177" w:firstLine="425"/>
      <w:jc w:val="left"/>
      <w:outlineLvl w:val="9"/>
    </w:pPr>
    <w:rPr>
      <w:rFonts w:ascii="宋体"/>
      <w:bCs w:val="0"/>
      <w:kern w:val="0"/>
      <w:sz w:val="28"/>
      <w:szCs w:val="20"/>
    </w:rPr>
  </w:style>
  <w:style w:type="paragraph" w:customStyle="1" w:styleId="CharCharCharCharCharCharCharCharCharCharCharCharCharCharChar">
    <w:name w:val="Char Char Char Char Char Char Char Char Char Char Char Char Char Char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xl43">
    <w:name w:val="xl43"/>
    <w:basedOn w:val="10"/>
    <w:next w:val="a1"/>
    <w:autoRedefine/>
    <w:uiPriority w:val="99"/>
    <w:qFormat/>
    <w:rsid w:val="002A5A5E"/>
    <w:pPr>
      <w:keepNext w:val="0"/>
      <w:keepLines w:val="0"/>
      <w:widowControl/>
      <w:pBdr>
        <w:top w:val="single" w:sz="8" w:space="0" w:color="auto"/>
        <w:left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3a">
    <w:name w:val="标题样式3"/>
    <w:basedOn w:val="30"/>
    <w:next w:val="a1"/>
    <w:autoRedefine/>
    <w:uiPriority w:val="99"/>
    <w:qFormat/>
    <w:rsid w:val="002A5A5E"/>
    <w:pPr>
      <w:widowControl/>
      <w:tabs>
        <w:tab w:val="left" w:pos="0"/>
      </w:tabs>
      <w:spacing w:before="0" w:after="0" w:line="360" w:lineRule="auto"/>
      <w:jc w:val="left"/>
    </w:pPr>
    <w:rPr>
      <w:rFonts w:ascii="黑体" w:eastAsia="黑体" w:hAnsi="Times New Roman" w:cs="Times New Roman"/>
      <w:b/>
      <w:bCs/>
      <w:kern w:val="0"/>
      <w:sz w:val="24"/>
    </w:rPr>
  </w:style>
  <w:style w:type="paragraph" w:customStyle="1" w:styleId="affffe">
    <w:name w:val="报告正文文字"/>
    <w:basedOn w:val="10"/>
    <w:next w:val="a1"/>
    <w:autoRedefine/>
    <w:uiPriority w:val="99"/>
    <w:qFormat/>
    <w:rsid w:val="002A5A5E"/>
    <w:pPr>
      <w:keepNext w:val="0"/>
      <w:keepLines w:val="0"/>
      <w:widowControl/>
      <w:autoSpaceDE w:val="0"/>
      <w:autoSpaceDN w:val="0"/>
      <w:spacing w:before="0" w:after="0" w:line="360" w:lineRule="auto"/>
      <w:ind w:firstLineChars="200" w:firstLine="480"/>
      <w:outlineLvl w:val="9"/>
    </w:pPr>
    <w:rPr>
      <w:rFonts w:ascii="宋体" w:hAnsi="宋体"/>
      <w:b w:val="0"/>
      <w:bCs w:val="0"/>
      <w:color w:val="000000"/>
      <w:spacing w:val="4"/>
      <w:kern w:val="0"/>
      <w:sz w:val="24"/>
      <w:szCs w:val="20"/>
    </w:rPr>
  </w:style>
  <w:style w:type="paragraph" w:customStyle="1" w:styleId="xl26">
    <w:name w:val="xl26"/>
    <w:basedOn w:val="10"/>
    <w:next w:val="a1"/>
    <w:autoRedefine/>
    <w:uiPriority w:val="99"/>
    <w:qFormat/>
    <w:rsid w:val="002A5A5E"/>
    <w:pPr>
      <w:keepNext w:val="0"/>
      <w:keepLines w:val="0"/>
      <w:widowControl/>
      <w:pBdr>
        <w:bottom w:val="single" w:sz="4" w:space="0" w:color="auto"/>
        <w:right w:val="single" w:sz="4" w:space="0" w:color="auto"/>
      </w:pBdr>
      <w:spacing w:before="100" w:beforeAutospacing="1" w:after="100" w:afterAutospacing="1" w:line="500" w:lineRule="atLeast"/>
      <w:ind w:firstLineChars="177" w:firstLine="425"/>
      <w:jc w:val="center"/>
      <w:outlineLvl w:val="9"/>
    </w:pPr>
    <w:rPr>
      <w:rFonts w:eastAsia="Arial Unicode MS"/>
      <w:b w:val="0"/>
      <w:bCs w:val="0"/>
      <w:kern w:val="0"/>
      <w:sz w:val="24"/>
      <w:szCs w:val="21"/>
    </w:rPr>
  </w:style>
  <w:style w:type="paragraph" w:customStyle="1" w:styleId="PlainText1">
    <w:name w:val="Plain Text1"/>
    <w:basedOn w:val="10"/>
    <w:next w:val="a1"/>
    <w:autoRedefine/>
    <w:uiPriority w:val="99"/>
    <w:qFormat/>
    <w:rsid w:val="002A5A5E"/>
    <w:pPr>
      <w:keepNext w:val="0"/>
      <w:keepLines w:val="0"/>
      <w:autoSpaceDE w:val="0"/>
      <w:autoSpaceDN w:val="0"/>
      <w:adjustRightInd w:val="0"/>
      <w:spacing w:before="0" w:after="0" w:line="500" w:lineRule="atLeast"/>
      <w:ind w:firstLineChars="177" w:firstLine="425"/>
      <w:outlineLvl w:val="9"/>
    </w:pPr>
    <w:rPr>
      <w:rFonts w:ascii="宋体" w:hAnsi="Tms Rmn"/>
      <w:b w:val="0"/>
      <w:bCs w:val="0"/>
      <w:kern w:val="0"/>
      <w:sz w:val="24"/>
      <w:szCs w:val="20"/>
    </w:rPr>
  </w:style>
  <w:style w:type="character" w:customStyle="1" w:styleId="1Char10">
    <w:name w:val="段落1 Char1"/>
    <w:link w:val="1d"/>
    <w:qFormat/>
    <w:locked/>
    <w:rsid w:val="002A5A5E"/>
    <w:rPr>
      <w:rFonts w:ascii="宋体" w:eastAsia="宋体" w:hAnsi="宋体"/>
      <w:spacing w:val="6"/>
      <w:sz w:val="28"/>
    </w:rPr>
  </w:style>
  <w:style w:type="paragraph" w:customStyle="1" w:styleId="1d">
    <w:name w:val="段落1"/>
    <w:basedOn w:val="10"/>
    <w:next w:val="a1"/>
    <w:link w:val="1Char10"/>
    <w:autoRedefine/>
    <w:qFormat/>
    <w:rsid w:val="002A5A5E"/>
    <w:pPr>
      <w:keepNext w:val="0"/>
      <w:keepLines w:val="0"/>
      <w:adjustRightInd w:val="0"/>
      <w:spacing w:before="0" w:after="0" w:line="440" w:lineRule="exact"/>
      <w:ind w:firstLineChars="200" w:firstLine="600"/>
      <w:outlineLvl w:val="9"/>
    </w:pPr>
    <w:rPr>
      <w:rFonts w:ascii="宋体" w:hAnsi="宋体" w:cstheme="minorBidi"/>
      <w:b w:val="0"/>
      <w:bCs w:val="0"/>
      <w:spacing w:val="6"/>
      <w:kern w:val="2"/>
      <w:sz w:val="28"/>
      <w:szCs w:val="22"/>
    </w:rPr>
  </w:style>
  <w:style w:type="paragraph" w:customStyle="1" w:styleId="table">
    <w:name w:val="table"/>
    <w:basedOn w:val="10"/>
    <w:next w:val="a1"/>
    <w:autoRedefine/>
    <w:uiPriority w:val="99"/>
    <w:qFormat/>
    <w:rsid w:val="002A5A5E"/>
    <w:pPr>
      <w:keepNext w:val="0"/>
      <w:keepLines w:val="0"/>
      <w:widowControl/>
      <w:overflowPunct w:val="0"/>
      <w:autoSpaceDE w:val="0"/>
      <w:autoSpaceDN w:val="0"/>
      <w:adjustRightInd w:val="0"/>
      <w:spacing w:before="60" w:after="60" w:line="500" w:lineRule="atLeast"/>
      <w:ind w:firstLineChars="177" w:firstLine="425"/>
      <w:jc w:val="center"/>
      <w:outlineLvl w:val="9"/>
    </w:pPr>
    <w:rPr>
      <w:rFonts w:ascii="仿宋体" w:eastAsia="仿宋体"/>
      <w:b w:val="0"/>
      <w:bCs w:val="0"/>
      <w:kern w:val="0"/>
      <w:sz w:val="24"/>
      <w:szCs w:val="20"/>
    </w:rPr>
  </w:style>
  <w:style w:type="paragraph" w:customStyle="1" w:styleId="xl58">
    <w:name w:val="xl58"/>
    <w:basedOn w:val="10"/>
    <w:next w:val="a1"/>
    <w:autoRedefine/>
    <w:uiPriority w:val="99"/>
    <w:qFormat/>
    <w:rsid w:val="002A5A5E"/>
    <w:pPr>
      <w:keepNext w:val="0"/>
      <w:keepLines w:val="0"/>
      <w:widowControl/>
      <w:pBdr>
        <w:top w:val="single" w:sz="12" w:space="0" w:color="auto"/>
        <w:bottom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CharCharCharCharCharCharCharCharCharCharCharCharCharCharCharCharCharCharCharCharCharChar">
    <w:name w:val="Char Char Char Char Char Char Char Char Char Char Char Char Char Char Char Char Char Char Char Char Char Char"/>
    <w:basedOn w:val="10"/>
    <w:next w:val="a1"/>
    <w:autoRedefine/>
    <w:uiPriority w:val="99"/>
    <w:qFormat/>
    <w:rsid w:val="002A5A5E"/>
    <w:pPr>
      <w:keepNext w:val="0"/>
      <w:keepLines w:val="0"/>
      <w:widowControl/>
      <w:spacing w:before="0" w:after="160" w:line="240" w:lineRule="exact"/>
      <w:ind w:firstLineChars="177" w:firstLine="425"/>
      <w:jc w:val="left"/>
      <w:outlineLvl w:val="9"/>
    </w:pPr>
    <w:rPr>
      <w:b w:val="0"/>
      <w:bCs w:val="0"/>
      <w:kern w:val="2"/>
      <w:sz w:val="24"/>
      <w:szCs w:val="20"/>
    </w:rPr>
  </w:style>
  <w:style w:type="paragraph" w:customStyle="1" w:styleId="WW-">
    <w:name w:val="WW-正文（首行缩进两字）"/>
    <w:basedOn w:val="10"/>
    <w:next w:val="a1"/>
    <w:autoRedefine/>
    <w:uiPriority w:val="99"/>
    <w:qFormat/>
    <w:rsid w:val="002A5A5E"/>
    <w:pPr>
      <w:keepNext w:val="0"/>
      <w:keepLines w:val="0"/>
      <w:suppressAutoHyphens/>
      <w:spacing w:before="0" w:after="0" w:line="500" w:lineRule="atLeast"/>
      <w:ind w:firstLineChars="177" w:firstLine="420"/>
      <w:outlineLvl w:val="9"/>
    </w:pPr>
    <w:rPr>
      <w:b w:val="0"/>
      <w:bCs w:val="0"/>
      <w:kern w:val="2"/>
      <w:sz w:val="24"/>
      <w:szCs w:val="20"/>
    </w:rPr>
  </w:style>
  <w:style w:type="paragraph" w:customStyle="1" w:styleId="afffff">
    <w:name w:val="表格内容格式"/>
    <w:basedOn w:val="10"/>
    <w:next w:val="a1"/>
    <w:autoRedefine/>
    <w:uiPriority w:val="99"/>
    <w:qFormat/>
    <w:rsid w:val="002A5A5E"/>
    <w:pPr>
      <w:keepNext w:val="0"/>
      <w:keepLines w:val="0"/>
      <w:tabs>
        <w:tab w:val="left" w:pos="1935"/>
      </w:tabs>
      <w:adjustRightInd w:val="0"/>
      <w:snapToGrid w:val="0"/>
      <w:spacing w:before="0" w:after="0" w:line="500" w:lineRule="atLeast"/>
      <w:ind w:rightChars="-45" w:right="-45" w:firstLineChars="177" w:firstLine="425"/>
      <w:outlineLvl w:val="9"/>
    </w:pPr>
    <w:rPr>
      <w:b w:val="0"/>
      <w:bCs w:val="0"/>
      <w:color w:val="000000"/>
      <w:kern w:val="0"/>
      <w:sz w:val="24"/>
      <w:szCs w:val="20"/>
    </w:rPr>
  </w:style>
  <w:style w:type="paragraph" w:customStyle="1" w:styleId="font0">
    <w:name w:val="font0"/>
    <w:basedOn w:val="10"/>
    <w:next w:val="a1"/>
    <w:autoRedefine/>
    <w:qFormat/>
    <w:rsid w:val="002A5A5E"/>
    <w:pPr>
      <w:keepNext w:val="0"/>
      <w:keepLines w:val="0"/>
      <w:widowControl/>
      <w:adjustRightInd w:val="0"/>
      <w:snapToGrid w:val="0"/>
      <w:spacing w:before="100" w:beforeAutospacing="1" w:after="100" w:afterAutospacing="1" w:line="360" w:lineRule="auto"/>
      <w:ind w:firstLineChars="177" w:firstLine="425"/>
      <w:jc w:val="left"/>
      <w:outlineLvl w:val="9"/>
    </w:pPr>
    <w:rPr>
      <w:rFonts w:ascii="宋体" w:hAnsi="宋体"/>
      <w:b w:val="0"/>
      <w:bCs w:val="0"/>
      <w:kern w:val="0"/>
      <w:sz w:val="24"/>
      <w:szCs w:val="24"/>
    </w:rPr>
  </w:style>
  <w:style w:type="paragraph" w:customStyle="1" w:styleId="a60">
    <w:name w:val="a6"/>
    <w:next w:val="a1"/>
    <w:autoRedefine/>
    <w:uiPriority w:val="99"/>
    <w:qFormat/>
    <w:rsid w:val="002A5A5E"/>
    <w:pPr>
      <w:spacing w:line="280" w:lineRule="atLeast"/>
      <w:ind w:firstLine="360"/>
      <w:jc w:val="center"/>
    </w:pPr>
    <w:rPr>
      <w:rFonts w:ascii="Times New Roman" w:eastAsia="宋体" w:hAnsi="Times New Roman" w:cs="Times New Roman"/>
      <w:color w:val="000000"/>
      <w:sz w:val="18"/>
      <w:szCs w:val="18"/>
    </w:rPr>
  </w:style>
  <w:style w:type="paragraph" w:customStyle="1" w:styleId="afffff0">
    <w:name w:val="图表名"/>
    <w:basedOn w:val="10"/>
    <w:next w:val="a1"/>
    <w:autoRedefine/>
    <w:uiPriority w:val="99"/>
    <w:qFormat/>
    <w:rsid w:val="002A5A5E"/>
    <w:pPr>
      <w:keepNext w:val="0"/>
      <w:keepLines w:val="0"/>
      <w:spacing w:beforeLines="30" w:after="0" w:line="440" w:lineRule="exact"/>
      <w:ind w:firstLineChars="177" w:firstLine="480"/>
      <w:outlineLvl w:val="9"/>
    </w:pPr>
    <w:rPr>
      <w:rFonts w:eastAsia="黑体"/>
      <w:b w:val="0"/>
      <w:bCs w:val="0"/>
      <w:kern w:val="2"/>
      <w:sz w:val="24"/>
      <w:szCs w:val="20"/>
    </w:rPr>
  </w:style>
  <w:style w:type="paragraph" w:customStyle="1" w:styleId="a9cxspmiddle">
    <w:name w:val="a9cxspmiddle"/>
    <w:basedOn w:val="10"/>
    <w:next w:val="a1"/>
    <w:autoRedefine/>
    <w:uiPriority w:val="99"/>
    <w:qFormat/>
    <w:rsid w:val="002A5A5E"/>
    <w:pPr>
      <w:keepNext w:val="0"/>
      <w:keepLines w:val="0"/>
      <w:widowControl/>
      <w:snapToGrid w:val="0"/>
      <w:spacing w:before="0" w:after="0" w:line="360" w:lineRule="auto"/>
      <w:ind w:firstLineChars="177" w:firstLine="480"/>
      <w:outlineLvl w:val="9"/>
    </w:pPr>
    <w:rPr>
      <w:b w:val="0"/>
      <w:bCs w:val="0"/>
      <w:kern w:val="0"/>
      <w:sz w:val="24"/>
      <w:szCs w:val="24"/>
    </w:rPr>
  </w:style>
  <w:style w:type="paragraph" w:customStyle="1" w:styleId="2f">
    <w:name w:val="样式 首行缩进:  2 字符"/>
    <w:basedOn w:val="10"/>
    <w:next w:val="a1"/>
    <w:autoRedefine/>
    <w:uiPriority w:val="99"/>
    <w:qFormat/>
    <w:rsid w:val="002A5A5E"/>
    <w:pPr>
      <w:keepNext w:val="0"/>
      <w:keepLines w:val="0"/>
      <w:spacing w:before="0" w:after="0" w:line="360" w:lineRule="auto"/>
      <w:ind w:firstLineChars="200" w:firstLine="200"/>
      <w:outlineLvl w:val="9"/>
    </w:pPr>
    <w:rPr>
      <w:b w:val="0"/>
      <w:bCs w:val="0"/>
      <w:kern w:val="2"/>
      <w:sz w:val="24"/>
      <w:szCs w:val="24"/>
    </w:rPr>
  </w:style>
  <w:style w:type="paragraph" w:customStyle="1" w:styleId="xl35">
    <w:name w:val="xl35"/>
    <w:basedOn w:val="10"/>
    <w:next w:val="a1"/>
    <w:autoRedefine/>
    <w:uiPriority w:val="99"/>
    <w:qFormat/>
    <w:rsid w:val="002A5A5E"/>
    <w:pPr>
      <w:keepNext w:val="0"/>
      <w:keepLines w:val="0"/>
      <w:widowControl/>
      <w:pBdr>
        <w:bottom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120">
    <w:name w:val="表1表2"/>
    <w:basedOn w:val="10"/>
    <w:next w:val="a1"/>
    <w:autoRedefine/>
    <w:uiPriority w:val="99"/>
    <w:qFormat/>
    <w:rsid w:val="002A5A5E"/>
    <w:pPr>
      <w:keepNext w:val="0"/>
      <w:keepLines w:val="0"/>
      <w:autoSpaceDE w:val="0"/>
      <w:autoSpaceDN w:val="0"/>
      <w:adjustRightInd w:val="0"/>
      <w:spacing w:before="0" w:after="0" w:line="500" w:lineRule="atLeast"/>
      <w:ind w:firstLineChars="177" w:firstLine="425"/>
      <w:jc w:val="center"/>
      <w:outlineLvl w:val="9"/>
    </w:pPr>
    <w:rPr>
      <w:rFonts w:eastAsia="FangSong_GB2312"/>
      <w:b w:val="0"/>
      <w:bCs w:val="0"/>
      <w:kern w:val="0"/>
      <w:sz w:val="24"/>
      <w:szCs w:val="21"/>
    </w:rPr>
  </w:style>
  <w:style w:type="paragraph" w:customStyle="1" w:styleId="xl23">
    <w:name w:val="xl23"/>
    <w:basedOn w:val="10"/>
    <w:next w:val="a1"/>
    <w:autoRedefine/>
    <w:uiPriority w:val="99"/>
    <w:qFormat/>
    <w:rsid w:val="002A5A5E"/>
    <w:pPr>
      <w:keepNext w:val="0"/>
      <w:keepLines w:val="0"/>
      <w:widowControl/>
      <w:pBdr>
        <w:top w:val="single" w:sz="4" w:space="0" w:color="auto"/>
        <w:left w:val="single" w:sz="4" w:space="0" w:color="auto"/>
        <w:right w:val="single" w:sz="4" w:space="0" w:color="auto"/>
      </w:pBdr>
      <w:spacing w:before="100" w:beforeAutospacing="1" w:after="100" w:afterAutospacing="1" w:line="500" w:lineRule="atLeast"/>
      <w:ind w:firstLineChars="177" w:firstLine="425"/>
      <w:jc w:val="center"/>
      <w:outlineLvl w:val="9"/>
    </w:pPr>
    <w:rPr>
      <w:rFonts w:ascii="宋体" w:hAnsi="宋体" w:cs="宋体"/>
      <w:b w:val="0"/>
      <w:bCs w:val="0"/>
      <w:kern w:val="0"/>
      <w:sz w:val="24"/>
      <w:szCs w:val="24"/>
    </w:rPr>
  </w:style>
  <w:style w:type="paragraph" w:customStyle="1" w:styleId="afffff1">
    <w:name w:val="公式说明"/>
    <w:next w:val="a1"/>
    <w:autoRedefine/>
    <w:uiPriority w:val="99"/>
    <w:qFormat/>
    <w:rsid w:val="002A5A5E"/>
    <w:pPr>
      <w:ind w:firstLineChars="200" w:firstLine="200"/>
    </w:pPr>
    <w:rPr>
      <w:rFonts w:ascii="Times New Roman" w:eastAsia="宋体" w:hAnsi="Times New Roman" w:cs="Times New Roman"/>
      <w:kern w:val="2"/>
      <w:sz w:val="24"/>
    </w:rPr>
  </w:style>
  <w:style w:type="paragraph" w:customStyle="1" w:styleId="BodyText22">
    <w:name w:val="Body Text 22"/>
    <w:basedOn w:val="10"/>
    <w:next w:val="a1"/>
    <w:autoRedefine/>
    <w:uiPriority w:val="99"/>
    <w:qFormat/>
    <w:rsid w:val="002A5A5E"/>
    <w:pPr>
      <w:keepNext w:val="0"/>
      <w:keepLines w:val="0"/>
      <w:adjustRightInd w:val="0"/>
      <w:spacing w:before="0" w:after="0" w:line="440" w:lineRule="atLeast"/>
      <w:ind w:firstLineChars="177" w:firstLine="480"/>
      <w:outlineLvl w:val="9"/>
    </w:pPr>
    <w:rPr>
      <w:rFonts w:eastAsia="FangSong_GB2312"/>
      <w:b w:val="0"/>
      <w:bCs w:val="0"/>
      <w:kern w:val="2"/>
      <w:sz w:val="24"/>
      <w:szCs w:val="20"/>
    </w:rPr>
  </w:style>
  <w:style w:type="paragraph" w:customStyle="1" w:styleId="1110">
    <w:name w:val="1.1.1"/>
    <w:basedOn w:val="10"/>
    <w:next w:val="a1"/>
    <w:autoRedefine/>
    <w:uiPriority w:val="99"/>
    <w:qFormat/>
    <w:rsid w:val="002A5A5E"/>
    <w:pPr>
      <w:keepNext w:val="0"/>
      <w:keepLines w:val="0"/>
      <w:spacing w:before="0" w:after="0" w:line="500" w:lineRule="atLeast"/>
      <w:ind w:firstLineChars="177" w:firstLine="425"/>
      <w:outlineLvl w:val="9"/>
    </w:pPr>
    <w:rPr>
      <w:rFonts w:ascii="黑体"/>
      <w:b w:val="0"/>
      <w:bCs w:val="0"/>
      <w:kern w:val="2"/>
      <w:sz w:val="24"/>
      <w:szCs w:val="24"/>
    </w:rPr>
  </w:style>
  <w:style w:type="paragraph" w:customStyle="1" w:styleId="afffff2">
    <w:name w:val="报告表格"/>
    <w:basedOn w:val="10"/>
    <w:next w:val="a1"/>
    <w:autoRedefine/>
    <w:uiPriority w:val="99"/>
    <w:qFormat/>
    <w:rsid w:val="002A5A5E"/>
    <w:pPr>
      <w:keepNext w:val="0"/>
      <w:keepLines w:val="0"/>
      <w:autoSpaceDE w:val="0"/>
      <w:autoSpaceDN w:val="0"/>
      <w:adjustRightInd w:val="0"/>
      <w:spacing w:before="40" w:after="40" w:line="500" w:lineRule="atLeast"/>
      <w:ind w:firstLineChars="177" w:firstLine="425"/>
      <w:jc w:val="center"/>
      <w:outlineLvl w:val="9"/>
    </w:pPr>
    <w:rPr>
      <w:b w:val="0"/>
      <w:bCs w:val="0"/>
      <w:kern w:val="0"/>
      <w:sz w:val="24"/>
      <w:szCs w:val="20"/>
    </w:rPr>
  </w:style>
  <w:style w:type="paragraph" w:customStyle="1" w:styleId="afffff3">
    <w:name w:val="表中正文"/>
    <w:basedOn w:val="10"/>
    <w:next w:val="a1"/>
    <w:autoRedefine/>
    <w:uiPriority w:val="99"/>
    <w:qFormat/>
    <w:rsid w:val="002A5A5E"/>
    <w:pPr>
      <w:keepNext w:val="0"/>
      <w:keepLines w:val="0"/>
      <w:tabs>
        <w:tab w:val="left" w:pos="958"/>
        <w:tab w:val="left" w:pos="7320"/>
        <w:tab w:val="left" w:pos="8160"/>
      </w:tabs>
      <w:adjustRightInd w:val="0"/>
      <w:spacing w:before="0" w:after="0" w:line="360" w:lineRule="atLeast"/>
      <w:ind w:right="113" w:firstLineChars="177" w:firstLine="425"/>
      <w:jc w:val="center"/>
      <w:outlineLvl w:val="9"/>
    </w:pPr>
    <w:rPr>
      <w:rFonts w:ascii="宋体" w:hAnsi="宋体"/>
      <w:b w:val="0"/>
      <w:bCs w:val="0"/>
      <w:spacing w:val="6"/>
      <w:kern w:val="20"/>
      <w:sz w:val="24"/>
      <w:szCs w:val="24"/>
    </w:rPr>
  </w:style>
  <w:style w:type="paragraph" w:customStyle="1" w:styleId="1203">
    <w:name w:val="样式 段落1 + 左 首行缩进:  2 字符 加宽量  0.3 磅"/>
    <w:basedOn w:val="10"/>
    <w:next w:val="a1"/>
    <w:autoRedefine/>
    <w:uiPriority w:val="99"/>
    <w:qFormat/>
    <w:rsid w:val="002A5A5E"/>
    <w:pPr>
      <w:keepNext w:val="0"/>
      <w:keepLines w:val="0"/>
      <w:tabs>
        <w:tab w:val="left" w:pos="4254"/>
      </w:tabs>
      <w:adjustRightInd w:val="0"/>
      <w:spacing w:before="0" w:after="0" w:line="440" w:lineRule="exact"/>
      <w:ind w:firstLineChars="200" w:firstLine="504"/>
      <w:outlineLvl w:val="9"/>
    </w:pPr>
    <w:rPr>
      <w:b w:val="0"/>
      <w:color w:val="0000FF"/>
      <w:spacing w:val="6"/>
      <w:kern w:val="0"/>
      <w:sz w:val="24"/>
      <w:szCs w:val="20"/>
    </w:rPr>
  </w:style>
  <w:style w:type="character" w:customStyle="1" w:styleId="2Char12">
    <w:name w:val="正文首行缩进 2 Char1"/>
    <w:basedOn w:val="Char14"/>
    <w:uiPriority w:val="99"/>
    <w:semiHidden/>
    <w:qFormat/>
    <w:rsid w:val="002A5A5E"/>
    <w:rPr>
      <w:rFonts w:ascii="Times New Roman" w:eastAsia="宋体" w:hAnsi="Times New Roman" w:cs="Times New Roman"/>
      <w:szCs w:val="24"/>
    </w:rPr>
  </w:style>
  <w:style w:type="paragraph" w:customStyle="1" w:styleId="afffff4">
    <w:name w:val="三级标题"/>
    <w:basedOn w:val="10"/>
    <w:next w:val="25"/>
    <w:autoRedefine/>
    <w:uiPriority w:val="99"/>
    <w:qFormat/>
    <w:rsid w:val="002A5A5E"/>
    <w:pPr>
      <w:keepNext w:val="0"/>
      <w:keepLines w:val="0"/>
      <w:adjustRightInd w:val="0"/>
      <w:snapToGrid w:val="0"/>
      <w:spacing w:before="0" w:after="0" w:line="360" w:lineRule="exact"/>
      <w:ind w:firstLineChars="177" w:firstLine="425"/>
      <w:jc w:val="center"/>
      <w:outlineLvl w:val="9"/>
    </w:pPr>
    <w:rPr>
      <w:b w:val="0"/>
      <w:kern w:val="2"/>
      <w:sz w:val="24"/>
      <w:szCs w:val="20"/>
    </w:rPr>
  </w:style>
  <w:style w:type="paragraph" w:customStyle="1" w:styleId="unnamed2">
    <w:name w:val="unnamed2"/>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Arial Unicode MS" w:eastAsia="Arial Unicode MS" w:hAnsi="Arial Unicode MS" w:cs="Arial Unicode MS"/>
      <w:b w:val="0"/>
      <w:bCs w:val="0"/>
      <w:color w:val="000000"/>
      <w:kern w:val="0"/>
      <w:sz w:val="24"/>
      <w:szCs w:val="24"/>
    </w:rPr>
  </w:style>
  <w:style w:type="paragraph" w:customStyle="1" w:styleId="afffff5">
    <w:name w:val="样式表格"/>
    <w:basedOn w:val="10"/>
    <w:next w:val="a1"/>
    <w:autoRedefine/>
    <w:uiPriority w:val="99"/>
    <w:qFormat/>
    <w:rsid w:val="002A5A5E"/>
    <w:pPr>
      <w:keepNext w:val="0"/>
      <w:keepLines w:val="0"/>
      <w:spacing w:before="0" w:after="0" w:line="240" w:lineRule="exact"/>
      <w:ind w:firstLineChars="177" w:firstLine="425"/>
      <w:outlineLvl w:val="9"/>
    </w:pPr>
    <w:rPr>
      <w:b w:val="0"/>
      <w:bCs w:val="0"/>
      <w:color w:val="000000"/>
      <w:kern w:val="0"/>
      <w:sz w:val="24"/>
      <w:szCs w:val="21"/>
    </w:rPr>
  </w:style>
  <w:style w:type="paragraph" w:customStyle="1" w:styleId="font5">
    <w:name w:val="font5"/>
    <w:basedOn w:val="10"/>
    <w:next w:val="a1"/>
    <w:autoRedefine/>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b w:val="0"/>
      <w:bCs w:val="0"/>
      <w:kern w:val="0"/>
      <w:sz w:val="18"/>
      <w:szCs w:val="20"/>
    </w:rPr>
  </w:style>
  <w:style w:type="paragraph" w:customStyle="1" w:styleId="2f0">
    <w:name w:val="样式2"/>
    <w:basedOn w:val="10"/>
    <w:next w:val="a1"/>
    <w:autoRedefine/>
    <w:uiPriority w:val="99"/>
    <w:qFormat/>
    <w:rsid w:val="002A5A5E"/>
    <w:pPr>
      <w:keepNext w:val="0"/>
      <w:keepLines w:val="0"/>
      <w:tabs>
        <w:tab w:val="left" w:pos="360"/>
      </w:tabs>
      <w:spacing w:before="50" w:after="50" w:line="440" w:lineRule="exact"/>
      <w:ind w:firstLineChars="177" w:firstLine="425"/>
      <w:outlineLvl w:val="9"/>
    </w:pPr>
    <w:rPr>
      <w:rFonts w:eastAsia="黑体"/>
      <w:b w:val="0"/>
      <w:bCs w:val="0"/>
      <w:kern w:val="2"/>
      <w:sz w:val="24"/>
      <w:szCs w:val="20"/>
    </w:rPr>
  </w:style>
  <w:style w:type="character" w:customStyle="1" w:styleId="cucd-2Char">
    <w:name w:val="cucd-2 Char"/>
    <w:link w:val="cucd-2"/>
    <w:qFormat/>
    <w:locked/>
    <w:rsid w:val="002A5A5E"/>
    <w:rPr>
      <w:rFonts w:ascii="黑体" w:eastAsia="黑体" w:hAnsi="黑体"/>
      <w:b/>
      <w:sz w:val="30"/>
      <w:szCs w:val="24"/>
    </w:rPr>
  </w:style>
  <w:style w:type="paragraph" w:customStyle="1" w:styleId="cucd-2">
    <w:name w:val="cucd-2"/>
    <w:next w:val="cucd-3"/>
    <w:link w:val="cucd-2Char"/>
    <w:autoRedefine/>
    <w:qFormat/>
    <w:rsid w:val="002A5A5E"/>
    <w:pPr>
      <w:tabs>
        <w:tab w:val="left" w:pos="576"/>
      </w:tabs>
      <w:spacing w:line="360" w:lineRule="auto"/>
      <w:ind w:left="576" w:hanging="576"/>
      <w:outlineLvl w:val="1"/>
    </w:pPr>
    <w:rPr>
      <w:rFonts w:ascii="黑体" w:eastAsia="黑体" w:hAnsi="黑体"/>
      <w:b/>
      <w:kern w:val="2"/>
      <w:sz w:val="30"/>
      <w:szCs w:val="24"/>
    </w:rPr>
  </w:style>
  <w:style w:type="paragraph" w:customStyle="1" w:styleId="cucd-3">
    <w:name w:val="cucd-3"/>
    <w:next w:val="a1"/>
    <w:link w:val="cucd-3Char"/>
    <w:autoRedefine/>
    <w:uiPriority w:val="99"/>
    <w:qFormat/>
    <w:rsid w:val="002A5A5E"/>
    <w:pPr>
      <w:tabs>
        <w:tab w:val="left" w:pos="720"/>
      </w:tabs>
      <w:spacing w:line="360" w:lineRule="auto"/>
      <w:ind w:left="720" w:hanging="720"/>
      <w:outlineLvl w:val="2"/>
    </w:pPr>
    <w:rPr>
      <w:rFonts w:ascii="Calibri" w:eastAsia="宋体" w:hAnsi="Calibri" w:cs="Times New Roman"/>
      <w:b/>
      <w:kern w:val="2"/>
      <w:sz w:val="28"/>
      <w:szCs w:val="24"/>
    </w:rPr>
  </w:style>
  <w:style w:type="character" w:customStyle="1" w:styleId="cucd-3Char">
    <w:name w:val="cucd-3 Char"/>
    <w:link w:val="cucd-3"/>
    <w:uiPriority w:val="99"/>
    <w:qFormat/>
    <w:locked/>
    <w:rsid w:val="002A5A5E"/>
    <w:rPr>
      <w:rFonts w:ascii="Calibri" w:eastAsia="宋体" w:hAnsi="Calibri" w:cs="Times New Roman"/>
      <w:b/>
      <w:sz w:val="28"/>
      <w:szCs w:val="24"/>
    </w:rPr>
  </w:style>
  <w:style w:type="paragraph" w:customStyle="1" w:styleId="afffff6">
    <w:name w:val="表中"/>
    <w:basedOn w:val="10"/>
    <w:next w:val="a1"/>
    <w:autoRedefine/>
    <w:uiPriority w:val="99"/>
    <w:qFormat/>
    <w:rsid w:val="002A5A5E"/>
    <w:pPr>
      <w:keepNext w:val="0"/>
      <w:keepLines w:val="0"/>
      <w:spacing w:before="0" w:after="0" w:line="280" w:lineRule="exact"/>
      <w:ind w:firstLineChars="177" w:firstLine="425"/>
      <w:jc w:val="center"/>
      <w:outlineLvl w:val="9"/>
    </w:pPr>
    <w:rPr>
      <w:b w:val="0"/>
      <w:bCs w:val="0"/>
      <w:kern w:val="2"/>
      <w:sz w:val="18"/>
      <w:szCs w:val="18"/>
    </w:rPr>
  </w:style>
  <w:style w:type="paragraph" w:customStyle="1" w:styleId="2f1">
    <w:name w:val="样式 四号 首行缩进:  2 字符"/>
    <w:basedOn w:val="10"/>
    <w:next w:val="a1"/>
    <w:autoRedefine/>
    <w:uiPriority w:val="99"/>
    <w:qFormat/>
    <w:rsid w:val="002A5A5E"/>
    <w:pPr>
      <w:keepNext w:val="0"/>
      <w:keepLines w:val="0"/>
      <w:spacing w:before="0" w:after="0" w:line="480" w:lineRule="atLeast"/>
      <w:ind w:firstLineChars="200" w:firstLine="200"/>
      <w:outlineLvl w:val="9"/>
    </w:pPr>
    <w:rPr>
      <w:b w:val="0"/>
      <w:bCs w:val="0"/>
      <w:kern w:val="2"/>
      <w:sz w:val="24"/>
      <w:szCs w:val="20"/>
    </w:rPr>
  </w:style>
  <w:style w:type="paragraph" w:customStyle="1" w:styleId="xl38">
    <w:name w:val="xl38"/>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b w:val="0"/>
      <w:bCs w:val="0"/>
      <w:color w:val="000000"/>
      <w:kern w:val="0"/>
      <w:sz w:val="24"/>
      <w:szCs w:val="21"/>
    </w:rPr>
  </w:style>
  <w:style w:type="paragraph" w:customStyle="1" w:styleId="2f2">
    <w:name w:val="表头2"/>
    <w:basedOn w:val="10"/>
    <w:next w:val="a1"/>
    <w:autoRedefine/>
    <w:uiPriority w:val="99"/>
    <w:qFormat/>
    <w:rsid w:val="002A5A5E"/>
    <w:pPr>
      <w:keepNext w:val="0"/>
      <w:keepLines w:val="0"/>
      <w:spacing w:before="0" w:after="0" w:line="480" w:lineRule="auto"/>
      <w:ind w:firstLineChars="177" w:firstLine="425"/>
      <w:jc w:val="center"/>
      <w:outlineLvl w:val="9"/>
    </w:pPr>
    <w:rPr>
      <w:rFonts w:ascii="黑体" w:eastAsia="黑体"/>
      <w:b w:val="0"/>
      <w:bCs w:val="0"/>
      <w:color w:val="000000"/>
      <w:kern w:val="2"/>
      <w:sz w:val="24"/>
      <w:szCs w:val="24"/>
    </w:rPr>
  </w:style>
  <w:style w:type="paragraph" w:customStyle="1" w:styleId="60">
    <w:name w:val="标题6"/>
    <w:basedOn w:val="10"/>
    <w:next w:val="15"/>
    <w:autoRedefine/>
    <w:uiPriority w:val="99"/>
    <w:qFormat/>
    <w:rsid w:val="002A5A5E"/>
    <w:pPr>
      <w:keepNext w:val="0"/>
      <w:keepLines w:val="0"/>
      <w:numPr>
        <w:numId w:val="3"/>
      </w:numPr>
      <w:spacing w:before="0" w:after="0" w:line="480" w:lineRule="exact"/>
      <w:ind w:firstLineChars="177" w:firstLine="177"/>
      <w:jc w:val="left"/>
      <w:outlineLvl w:val="9"/>
    </w:pPr>
    <w:rPr>
      <w:b w:val="0"/>
      <w:bCs w:val="0"/>
      <w:spacing w:val="10"/>
      <w:kern w:val="2"/>
      <w:sz w:val="28"/>
      <w:szCs w:val="20"/>
    </w:rPr>
  </w:style>
  <w:style w:type="paragraph" w:customStyle="1" w:styleId="ltext2">
    <w:name w:val="l_text2"/>
    <w:basedOn w:val="10"/>
    <w:next w:val="a1"/>
    <w:autoRedefine/>
    <w:uiPriority w:val="99"/>
    <w:qFormat/>
    <w:rsid w:val="002A5A5E"/>
    <w:pPr>
      <w:keepNext w:val="0"/>
      <w:keepLines w:val="0"/>
      <w:widowControl/>
      <w:numPr>
        <w:numId w:val="4"/>
      </w:numPr>
      <w:overflowPunct w:val="0"/>
      <w:autoSpaceDE w:val="0"/>
      <w:autoSpaceDN w:val="0"/>
      <w:adjustRightInd w:val="0"/>
      <w:spacing w:before="0" w:after="0" w:line="500" w:lineRule="atLeast"/>
      <w:ind w:left="0" w:firstLineChars="177" w:firstLine="0"/>
      <w:jc w:val="center"/>
      <w:outlineLvl w:val="9"/>
    </w:pPr>
    <w:rPr>
      <w:rFonts w:ascii="楷体" w:eastAsia="楷体" w:cs="楷体"/>
      <w:b w:val="0"/>
      <w:bCs w:val="0"/>
      <w:kern w:val="0"/>
      <w:position w:val="-30"/>
      <w:sz w:val="22"/>
      <w:szCs w:val="24"/>
    </w:rPr>
  </w:style>
  <w:style w:type="paragraph" w:customStyle="1" w:styleId="xl54">
    <w:name w:val="xl54"/>
    <w:basedOn w:val="10"/>
    <w:next w:val="a1"/>
    <w:autoRedefine/>
    <w:uiPriority w:val="99"/>
    <w:qFormat/>
    <w:rsid w:val="002A5A5E"/>
    <w:pPr>
      <w:keepNext w:val="0"/>
      <w:keepLines w:val="0"/>
      <w:widowControl/>
      <w:pBdr>
        <w:top w:val="single" w:sz="12" w:space="0" w:color="auto"/>
        <w:left w:val="single" w:sz="12"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xl46">
    <w:name w:val="xl46"/>
    <w:basedOn w:val="10"/>
    <w:next w:val="a1"/>
    <w:autoRedefine/>
    <w:uiPriority w:val="99"/>
    <w:qFormat/>
    <w:rsid w:val="002A5A5E"/>
    <w:pPr>
      <w:keepNext w:val="0"/>
      <w:keepLines w:val="0"/>
      <w:widowControl/>
      <w:pBdr>
        <w:left w:val="single" w:sz="8" w:space="0" w:color="auto"/>
        <w:bottom w:val="single" w:sz="8" w:space="0" w:color="auto"/>
        <w:right w:val="single" w:sz="12"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222">
    <w:name w:val="222"/>
    <w:basedOn w:val="10"/>
    <w:next w:val="a1"/>
    <w:autoRedefine/>
    <w:uiPriority w:val="99"/>
    <w:qFormat/>
    <w:rsid w:val="002A5A5E"/>
    <w:pPr>
      <w:keepNext w:val="0"/>
      <w:keepLines w:val="0"/>
      <w:snapToGrid w:val="0"/>
      <w:spacing w:before="0" w:after="0" w:line="440" w:lineRule="exact"/>
      <w:ind w:firstLineChars="200" w:firstLine="480"/>
      <w:outlineLvl w:val="9"/>
    </w:pPr>
    <w:rPr>
      <w:rFonts w:cs="宋体"/>
      <w:b w:val="0"/>
      <w:bCs w:val="0"/>
      <w:kern w:val="2"/>
      <w:sz w:val="24"/>
      <w:szCs w:val="20"/>
    </w:rPr>
  </w:style>
  <w:style w:type="paragraph" w:customStyle="1" w:styleId="afffff7">
    <w:name w:val="表名"/>
    <w:basedOn w:val="10"/>
    <w:next w:val="a1"/>
    <w:autoRedefine/>
    <w:uiPriority w:val="99"/>
    <w:qFormat/>
    <w:rsid w:val="002A5A5E"/>
    <w:pPr>
      <w:keepNext w:val="0"/>
      <w:keepLines w:val="0"/>
      <w:widowControl/>
      <w:overflowPunct w:val="0"/>
      <w:autoSpaceDE w:val="0"/>
      <w:autoSpaceDN w:val="0"/>
      <w:adjustRightInd w:val="0"/>
      <w:spacing w:before="60" w:after="0" w:line="480" w:lineRule="exact"/>
      <w:ind w:firstLineChars="177" w:firstLine="425"/>
      <w:jc w:val="center"/>
      <w:outlineLvl w:val="9"/>
    </w:pPr>
    <w:rPr>
      <w:rFonts w:ascii="黑体" w:eastAsia="黑体" w:hAnsi="Arial"/>
      <w:b w:val="0"/>
      <w:bCs w:val="0"/>
      <w:color w:val="000000"/>
      <w:kern w:val="0"/>
      <w:sz w:val="26"/>
      <w:szCs w:val="20"/>
    </w:rPr>
  </w:style>
  <w:style w:type="paragraph" w:customStyle="1" w:styleId="a70">
    <w:name w:val="a7"/>
    <w:basedOn w:val="10"/>
    <w:next w:val="a1"/>
    <w:autoRedefine/>
    <w:uiPriority w:val="99"/>
    <w:qFormat/>
    <w:rsid w:val="002A5A5E"/>
    <w:pPr>
      <w:keepNext w:val="0"/>
      <w:keepLines w:val="0"/>
      <w:widowControl/>
      <w:overflowPunct w:val="0"/>
      <w:snapToGrid w:val="0"/>
      <w:spacing w:before="0" w:after="0" w:line="280" w:lineRule="atLeast"/>
      <w:ind w:firstLineChars="177" w:firstLine="425"/>
      <w:jc w:val="center"/>
      <w:outlineLvl w:val="9"/>
    </w:pPr>
    <w:rPr>
      <w:rFonts w:ascii="宋体" w:hAnsi="宋体"/>
      <w:b w:val="0"/>
      <w:bCs w:val="0"/>
      <w:kern w:val="0"/>
      <w:sz w:val="18"/>
      <w:szCs w:val="18"/>
    </w:rPr>
  </w:style>
  <w:style w:type="paragraph" w:customStyle="1" w:styleId="font9">
    <w:name w:val="font9"/>
    <w:basedOn w:val="10"/>
    <w:next w:val="a1"/>
    <w:autoRedefine/>
    <w:qFormat/>
    <w:rsid w:val="002A5A5E"/>
    <w:pPr>
      <w:keepNext w:val="0"/>
      <w:keepLines w:val="0"/>
      <w:widowControl/>
      <w:spacing w:before="100" w:beforeAutospacing="1" w:after="100" w:afterAutospacing="1" w:line="500" w:lineRule="atLeast"/>
      <w:ind w:firstLineChars="177" w:firstLine="425"/>
      <w:jc w:val="left"/>
      <w:outlineLvl w:val="9"/>
    </w:pPr>
    <w:rPr>
      <w:b w:val="0"/>
      <w:bCs w:val="0"/>
      <w:color w:val="000000"/>
      <w:kern w:val="0"/>
      <w:sz w:val="24"/>
      <w:szCs w:val="21"/>
    </w:rPr>
  </w:style>
  <w:style w:type="paragraph" w:customStyle="1" w:styleId="ParaCharCharCharCharCharCharChar">
    <w:name w:val="默认段落字体 Para Char Char Char Char Char Char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CharChar2CharChar">
    <w:name w:val="段落 Char Char2 Char Char"/>
    <w:basedOn w:val="10"/>
    <w:next w:val="a1"/>
    <w:autoRedefine/>
    <w:uiPriority w:val="99"/>
    <w:qFormat/>
    <w:rsid w:val="002A5A5E"/>
    <w:pPr>
      <w:keepNext w:val="0"/>
      <w:keepLines w:val="0"/>
      <w:tabs>
        <w:tab w:val="left" w:pos="1021"/>
      </w:tabs>
      <w:spacing w:before="0" w:after="0" w:line="540" w:lineRule="exact"/>
      <w:ind w:firstLineChars="200" w:firstLine="480"/>
      <w:outlineLvl w:val="9"/>
    </w:pPr>
    <w:rPr>
      <w:rFonts w:ascii="宋体" w:hAnsi="宋体" w:cs="宋体"/>
      <w:b w:val="0"/>
      <w:bCs w:val="0"/>
      <w:kern w:val="24"/>
      <w:sz w:val="24"/>
      <w:szCs w:val="24"/>
    </w:rPr>
  </w:style>
  <w:style w:type="character" w:customStyle="1" w:styleId="Charff3">
    <w:name w:val="样式表 Char"/>
    <w:link w:val="afffff8"/>
    <w:qFormat/>
    <w:locked/>
    <w:rsid w:val="002A5A5E"/>
    <w:rPr>
      <w:rFonts w:ascii="黑体" w:eastAsia="黑体" w:hAnsi="黑体" w:cs="宋体"/>
      <w:color w:val="000000"/>
      <w:spacing w:val="8"/>
      <w:sz w:val="24"/>
      <w:szCs w:val="24"/>
    </w:rPr>
  </w:style>
  <w:style w:type="paragraph" w:customStyle="1" w:styleId="afffff8">
    <w:name w:val="样式表"/>
    <w:basedOn w:val="a7"/>
    <w:next w:val="a1"/>
    <w:link w:val="Charff3"/>
    <w:autoRedefine/>
    <w:qFormat/>
    <w:rsid w:val="002A5A5E"/>
    <w:pPr>
      <w:widowControl/>
      <w:spacing w:beforeLines="50"/>
      <w:ind w:firstLineChars="0" w:firstLine="0"/>
      <w:jc w:val="center"/>
    </w:pPr>
    <w:rPr>
      <w:rFonts w:ascii="黑体" w:eastAsia="黑体" w:hAnsi="黑体" w:cs="宋体"/>
      <w:spacing w:val="8"/>
      <w:sz w:val="24"/>
      <w:szCs w:val="24"/>
    </w:rPr>
  </w:style>
  <w:style w:type="paragraph" w:customStyle="1" w:styleId="1e">
    <w:name w:val="正文文字进缩1"/>
    <w:basedOn w:val="10"/>
    <w:next w:val="a1"/>
    <w:autoRedefine/>
    <w:uiPriority w:val="99"/>
    <w:qFormat/>
    <w:rsid w:val="002A5A5E"/>
    <w:pPr>
      <w:keepNext w:val="0"/>
      <w:keepLines w:val="0"/>
      <w:spacing w:before="0" w:after="0" w:line="360" w:lineRule="auto"/>
      <w:ind w:left="555" w:firstLineChars="177" w:firstLine="425"/>
      <w:outlineLvl w:val="9"/>
    </w:pPr>
    <w:rPr>
      <w:rFonts w:ascii="黑体" w:eastAsia="黑体"/>
      <w:bCs w:val="0"/>
      <w:kern w:val="2"/>
      <w:sz w:val="28"/>
      <w:szCs w:val="20"/>
    </w:rPr>
  </w:style>
  <w:style w:type="paragraph" w:customStyle="1" w:styleId="CharCharCharCharCharCharCharCharChar">
    <w:name w:val="Char Char Char Char Char Char Char Char Char"/>
    <w:basedOn w:val="10"/>
    <w:next w:val="a1"/>
    <w:autoRedefine/>
    <w:uiPriority w:val="99"/>
    <w:qFormat/>
    <w:rsid w:val="002A5A5E"/>
    <w:pPr>
      <w:keepNext w:val="0"/>
      <w:keepLines w:val="0"/>
      <w:widowControl/>
      <w:spacing w:before="0" w:after="160" w:line="240" w:lineRule="exact"/>
      <w:ind w:firstLineChars="177" w:firstLine="425"/>
      <w:jc w:val="left"/>
      <w:outlineLvl w:val="9"/>
    </w:pPr>
    <w:rPr>
      <w:rFonts w:ascii="Verdana" w:eastAsia="FangSong_GB2312" w:hAnsi="Verdana"/>
      <w:b w:val="0"/>
      <w:bCs w:val="0"/>
      <w:kern w:val="0"/>
      <w:sz w:val="24"/>
      <w:szCs w:val="20"/>
      <w:lang w:eastAsia="en-US"/>
    </w:rPr>
  </w:style>
  <w:style w:type="paragraph" w:customStyle="1" w:styleId="line1">
    <w:name w:val="line1"/>
    <w:basedOn w:val="10"/>
    <w:next w:val="a1"/>
    <w:autoRedefine/>
    <w:uiPriority w:val="99"/>
    <w:qFormat/>
    <w:rsid w:val="002A5A5E"/>
    <w:pPr>
      <w:keepNext w:val="0"/>
      <w:keepLines w:val="0"/>
      <w:widowControl/>
      <w:spacing w:before="100" w:beforeAutospacing="1" w:after="100" w:afterAutospacing="1" w:line="360" w:lineRule="atLeast"/>
      <w:ind w:firstLineChars="177" w:firstLine="425"/>
      <w:jc w:val="left"/>
      <w:outlineLvl w:val="9"/>
    </w:pPr>
    <w:rPr>
      <w:rFonts w:ascii="宋体" w:hAnsi="宋体"/>
      <w:b w:val="0"/>
      <w:bCs w:val="0"/>
      <w:kern w:val="0"/>
      <w:sz w:val="24"/>
      <w:szCs w:val="24"/>
    </w:rPr>
  </w:style>
  <w:style w:type="paragraph" w:customStyle="1" w:styleId="xl42">
    <w:name w:val="xl42"/>
    <w:basedOn w:val="10"/>
    <w:next w:val="a1"/>
    <w:autoRedefine/>
    <w:uiPriority w:val="99"/>
    <w:qFormat/>
    <w:rsid w:val="002A5A5E"/>
    <w:pPr>
      <w:keepNext w:val="0"/>
      <w:keepLines w:val="0"/>
      <w:widowControl/>
      <w:pBdr>
        <w:left w:val="single" w:sz="8" w:space="0" w:color="auto"/>
        <w:bottom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afffff9">
    <w:name w:val="表中正文居中"/>
    <w:next w:val="a1"/>
    <w:autoRedefine/>
    <w:uiPriority w:val="99"/>
    <w:qFormat/>
    <w:rsid w:val="002A5A5E"/>
    <w:pPr>
      <w:spacing w:before="120" w:after="120" w:line="240" w:lineRule="atLeast"/>
      <w:jc w:val="center"/>
    </w:pPr>
    <w:rPr>
      <w:rFonts w:ascii="宋体" w:eastAsia="宋体" w:hAnsi="Times New Roman" w:cs="Times New Roman"/>
      <w:kern w:val="2"/>
      <w:sz w:val="21"/>
    </w:rPr>
  </w:style>
  <w:style w:type="character" w:customStyle="1" w:styleId="1-1Char">
    <w:name w:val="正文1-1 Char"/>
    <w:link w:val="1-1"/>
    <w:qFormat/>
    <w:locked/>
    <w:rsid w:val="002A5A5E"/>
    <w:rPr>
      <w:rFonts w:ascii="宋体" w:eastAsia="FangSong_GB2312" w:hAnsi="宋体" w:cs="宋体"/>
      <w:sz w:val="28"/>
      <w:szCs w:val="24"/>
    </w:rPr>
  </w:style>
  <w:style w:type="paragraph" w:customStyle="1" w:styleId="1-1">
    <w:name w:val="正文1-1"/>
    <w:basedOn w:val="10"/>
    <w:next w:val="a1"/>
    <w:link w:val="1-1Char"/>
    <w:autoRedefine/>
    <w:qFormat/>
    <w:rsid w:val="002A5A5E"/>
    <w:pPr>
      <w:keepNext w:val="0"/>
      <w:keepLines w:val="0"/>
      <w:widowControl/>
      <w:snapToGrid w:val="0"/>
      <w:spacing w:before="0" w:after="0" w:line="360" w:lineRule="auto"/>
      <w:ind w:firstLineChars="200" w:firstLine="200"/>
      <w:jc w:val="left"/>
      <w:outlineLvl w:val="9"/>
    </w:pPr>
    <w:rPr>
      <w:rFonts w:ascii="宋体" w:eastAsia="FangSong_GB2312" w:hAnsi="宋体" w:cs="宋体"/>
      <w:b w:val="0"/>
      <w:bCs w:val="0"/>
      <w:kern w:val="2"/>
      <w:sz w:val="28"/>
      <w:szCs w:val="24"/>
    </w:rPr>
  </w:style>
  <w:style w:type="paragraph" w:customStyle="1" w:styleId="xl40">
    <w:name w:val="xl40"/>
    <w:basedOn w:val="10"/>
    <w:next w:val="a1"/>
    <w:autoRedefine/>
    <w:uiPriority w:val="99"/>
    <w:qFormat/>
    <w:rsid w:val="002A5A5E"/>
    <w:pPr>
      <w:keepNext w:val="0"/>
      <w:keepLines w:val="0"/>
      <w:widowControl/>
      <w:pBdr>
        <w:left w:val="single" w:sz="12" w:space="0" w:color="auto"/>
      </w:pBdr>
      <w:spacing w:before="100" w:beforeAutospacing="1" w:after="100" w:afterAutospacing="1" w:line="500" w:lineRule="atLeast"/>
      <w:ind w:firstLineChars="177" w:firstLine="425"/>
      <w:jc w:val="center"/>
      <w:outlineLvl w:val="9"/>
    </w:pPr>
    <w:rPr>
      <w:rFonts w:ascii="宋体" w:hAnsi="宋体" w:cs="宋体"/>
      <w:b w:val="0"/>
      <w:bCs w:val="0"/>
      <w:kern w:val="0"/>
      <w:sz w:val="24"/>
      <w:szCs w:val="24"/>
    </w:rPr>
  </w:style>
  <w:style w:type="paragraph" w:customStyle="1" w:styleId="afffffa">
    <w:name w:val="自定义缩进"/>
    <w:basedOn w:val="10"/>
    <w:next w:val="a1"/>
    <w:autoRedefine/>
    <w:uiPriority w:val="99"/>
    <w:qFormat/>
    <w:rsid w:val="002A5A5E"/>
    <w:pPr>
      <w:keepLines w:val="0"/>
      <w:spacing w:before="0" w:after="0" w:line="336" w:lineRule="auto"/>
      <w:ind w:firstLineChars="200" w:firstLine="480"/>
      <w:jc w:val="left"/>
      <w:outlineLvl w:val="9"/>
    </w:pPr>
    <w:rPr>
      <w:rFonts w:ascii="宋体" w:hAnsi="宋体"/>
      <w:b w:val="0"/>
      <w:bCs w:val="0"/>
      <w:kern w:val="0"/>
      <w:sz w:val="24"/>
      <w:szCs w:val="20"/>
    </w:rPr>
  </w:style>
  <w:style w:type="paragraph" w:customStyle="1" w:styleId="xl57">
    <w:name w:val="xl57"/>
    <w:basedOn w:val="10"/>
    <w:next w:val="a1"/>
    <w:autoRedefine/>
    <w:uiPriority w:val="99"/>
    <w:qFormat/>
    <w:rsid w:val="002A5A5E"/>
    <w:pPr>
      <w:keepNext w:val="0"/>
      <w:keepLines w:val="0"/>
      <w:widowControl/>
      <w:pBdr>
        <w:top w:val="single" w:sz="12" w:space="0" w:color="auto"/>
        <w:bottom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character" w:customStyle="1" w:styleId="Char1c">
    <w:name w:val="日期 Char1"/>
    <w:basedOn w:val="a2"/>
    <w:uiPriority w:val="99"/>
    <w:semiHidden/>
    <w:qFormat/>
    <w:rsid w:val="002A5A5E"/>
    <w:rPr>
      <w:rFonts w:ascii="Times New Roman" w:eastAsia="宋体" w:hAnsi="Times New Roman" w:cs="Times New Roman"/>
      <w:szCs w:val="24"/>
    </w:rPr>
  </w:style>
  <w:style w:type="paragraph" w:customStyle="1" w:styleId="afffffb">
    <w:name w:val="样式 日期 + 宋体"/>
    <w:basedOn w:val="af"/>
    <w:next w:val="a1"/>
    <w:autoRedefine/>
    <w:uiPriority w:val="99"/>
    <w:qFormat/>
    <w:rsid w:val="002A5A5E"/>
    <w:pPr>
      <w:widowControl/>
      <w:overflowPunct w:val="0"/>
      <w:autoSpaceDE w:val="0"/>
      <w:autoSpaceDN w:val="0"/>
      <w:adjustRightInd w:val="0"/>
      <w:spacing w:line="480" w:lineRule="exact"/>
      <w:ind w:leftChars="0" w:left="0" w:firstLineChars="177" w:firstLine="425"/>
    </w:pPr>
    <w:rPr>
      <w:rFonts w:ascii="宋体" w:hAnsi="宋体"/>
      <w:color w:val="000000"/>
      <w:kern w:val="0"/>
      <w:sz w:val="28"/>
      <w:szCs w:val="20"/>
      <w:lang w:val="en-GB"/>
    </w:rPr>
  </w:style>
  <w:style w:type="paragraph" w:customStyle="1" w:styleId="font7">
    <w:name w:val="font7"/>
    <w:basedOn w:val="10"/>
    <w:next w:val="a1"/>
    <w:autoRedefine/>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color w:val="000000"/>
      <w:kern w:val="0"/>
      <w:sz w:val="24"/>
      <w:szCs w:val="21"/>
    </w:rPr>
  </w:style>
  <w:style w:type="paragraph" w:customStyle="1" w:styleId="2f3">
    <w:name w:val="样式 标题2　自动设置"/>
    <w:basedOn w:val="20"/>
    <w:next w:val="a1"/>
    <w:autoRedefine/>
    <w:uiPriority w:val="99"/>
    <w:qFormat/>
    <w:rsid w:val="002A5A5E"/>
    <w:pPr>
      <w:tabs>
        <w:tab w:val="left" w:pos="1710"/>
      </w:tabs>
      <w:spacing w:before="0" w:after="60" w:line="240" w:lineRule="auto"/>
      <w:ind w:left="1710" w:firstLineChars="177" w:hanging="720"/>
    </w:pPr>
    <w:rPr>
      <w:rFonts w:ascii="宋体" w:eastAsia="宋体" w:hAnsi="宋体" w:cs="宋体"/>
      <w:color w:val="000000"/>
      <w:kern w:val="0"/>
      <w:sz w:val="28"/>
      <w:szCs w:val="20"/>
    </w:rPr>
  </w:style>
  <w:style w:type="paragraph" w:customStyle="1" w:styleId="121">
    <w:name w:val="样式 段落1 + 首行缩进:  2 字符"/>
    <w:basedOn w:val="1d"/>
    <w:next w:val="a1"/>
    <w:autoRedefine/>
    <w:uiPriority w:val="99"/>
    <w:qFormat/>
    <w:rsid w:val="002A5A5E"/>
    <w:pPr>
      <w:spacing w:line="480" w:lineRule="exact"/>
      <w:ind w:firstLine="504"/>
      <w:jc w:val="left"/>
    </w:pPr>
    <w:rPr>
      <w:rFonts w:cs="宋体"/>
      <w:sz w:val="24"/>
    </w:rPr>
  </w:style>
  <w:style w:type="character" w:customStyle="1" w:styleId="cucd-4CharChar">
    <w:name w:val="cucd-4 Char Char"/>
    <w:link w:val="cucd-4"/>
    <w:qFormat/>
    <w:locked/>
    <w:rsid w:val="002A5A5E"/>
    <w:rPr>
      <w:b/>
      <w:sz w:val="24"/>
      <w:szCs w:val="24"/>
    </w:rPr>
  </w:style>
  <w:style w:type="paragraph" w:customStyle="1" w:styleId="cucd-4">
    <w:name w:val="cucd-4"/>
    <w:next w:val="cucd-0"/>
    <w:link w:val="cucd-4CharChar"/>
    <w:autoRedefine/>
    <w:qFormat/>
    <w:rsid w:val="002A5A5E"/>
    <w:pPr>
      <w:tabs>
        <w:tab w:val="left" w:pos="0"/>
      </w:tabs>
      <w:spacing w:line="360" w:lineRule="auto"/>
      <w:outlineLvl w:val="3"/>
    </w:pPr>
    <w:rPr>
      <w:b/>
      <w:kern w:val="2"/>
      <w:sz w:val="24"/>
      <w:szCs w:val="24"/>
    </w:rPr>
  </w:style>
  <w:style w:type="paragraph" w:customStyle="1" w:styleId="cucd-0">
    <w:name w:val="cucd-0"/>
    <w:next w:val="a1"/>
    <w:link w:val="cucd-0Char1"/>
    <w:autoRedefine/>
    <w:uiPriority w:val="99"/>
    <w:qFormat/>
    <w:rsid w:val="002A5A5E"/>
    <w:pPr>
      <w:spacing w:line="360" w:lineRule="auto"/>
      <w:ind w:firstLineChars="200" w:firstLine="480"/>
    </w:pPr>
    <w:rPr>
      <w:rFonts w:ascii="Calibri" w:eastAsia="宋体" w:hAnsi="Calibri" w:cs="Times New Roman"/>
      <w:kern w:val="2"/>
      <w:sz w:val="24"/>
      <w:szCs w:val="24"/>
    </w:rPr>
  </w:style>
  <w:style w:type="character" w:customStyle="1" w:styleId="cucd-0Char1">
    <w:name w:val="cucd-0 Char1"/>
    <w:link w:val="cucd-0"/>
    <w:uiPriority w:val="99"/>
    <w:qFormat/>
    <w:locked/>
    <w:rsid w:val="002A5A5E"/>
    <w:rPr>
      <w:rFonts w:ascii="Calibri" w:eastAsia="宋体" w:hAnsi="Calibri" w:cs="Times New Roman"/>
      <w:sz w:val="24"/>
      <w:szCs w:val="24"/>
    </w:rPr>
  </w:style>
  <w:style w:type="paragraph" w:customStyle="1" w:styleId="afffffc">
    <w:name w:val="居中正文"/>
    <w:basedOn w:val="afb"/>
    <w:next w:val="a1"/>
    <w:autoRedefine/>
    <w:uiPriority w:val="99"/>
    <w:qFormat/>
    <w:rsid w:val="002A5A5E"/>
    <w:pPr>
      <w:adjustRightInd w:val="0"/>
      <w:spacing w:before="120"/>
      <w:ind w:firstLineChars="0" w:firstLine="0"/>
      <w:jc w:val="center"/>
    </w:pPr>
    <w:rPr>
      <w:rFonts w:hAnsi="Calibri"/>
      <w:kern w:val="28"/>
      <w:szCs w:val="20"/>
    </w:rPr>
  </w:style>
  <w:style w:type="paragraph" w:customStyle="1" w:styleId="MTDisplayEquation">
    <w:name w:val="MTDisplayEquation"/>
    <w:basedOn w:val="10"/>
    <w:next w:val="a1"/>
    <w:autoRedefine/>
    <w:uiPriority w:val="99"/>
    <w:qFormat/>
    <w:rsid w:val="002A5A5E"/>
    <w:pPr>
      <w:keepNext w:val="0"/>
      <w:keepLines w:val="0"/>
      <w:tabs>
        <w:tab w:val="center" w:pos="4160"/>
        <w:tab w:val="right" w:pos="8300"/>
      </w:tabs>
      <w:spacing w:before="0" w:after="0" w:line="500" w:lineRule="atLeast"/>
      <w:ind w:firstLineChars="200" w:firstLine="420"/>
      <w:outlineLvl w:val="9"/>
    </w:pPr>
    <w:rPr>
      <w:rFonts w:ascii="宋体" w:hAnsi="宋体"/>
      <w:b w:val="0"/>
      <w:bCs w:val="0"/>
      <w:kern w:val="2"/>
      <w:sz w:val="24"/>
      <w:szCs w:val="24"/>
    </w:rPr>
  </w:style>
  <w:style w:type="paragraph" w:customStyle="1" w:styleId="font11">
    <w:name w:val="font11"/>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color w:val="000000"/>
      <w:kern w:val="0"/>
      <w:sz w:val="18"/>
      <w:szCs w:val="18"/>
    </w:rPr>
  </w:style>
  <w:style w:type="paragraph" w:customStyle="1" w:styleId="2f4">
    <w:name w:val="正文 + 首行缩进:  2 字符"/>
    <w:basedOn w:val="10"/>
    <w:next w:val="a1"/>
    <w:autoRedefine/>
    <w:uiPriority w:val="99"/>
    <w:qFormat/>
    <w:rsid w:val="002A5A5E"/>
    <w:pPr>
      <w:keepNext w:val="0"/>
      <w:keepLines w:val="0"/>
      <w:spacing w:before="0" w:after="0" w:line="460" w:lineRule="atLeast"/>
      <w:ind w:firstLineChars="200" w:firstLine="528"/>
      <w:outlineLvl w:val="9"/>
    </w:pPr>
    <w:rPr>
      <w:b w:val="0"/>
      <w:bCs w:val="0"/>
      <w:spacing w:val="12"/>
      <w:kern w:val="2"/>
      <w:sz w:val="24"/>
      <w:szCs w:val="20"/>
    </w:rPr>
  </w:style>
  <w:style w:type="paragraph" w:customStyle="1" w:styleId="a30">
    <w:name w:val="a3"/>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b w:val="0"/>
      <w:bCs w:val="0"/>
      <w:color w:val="000000"/>
      <w:kern w:val="0"/>
      <w:sz w:val="24"/>
      <w:szCs w:val="20"/>
    </w:rPr>
  </w:style>
  <w:style w:type="paragraph" w:customStyle="1" w:styleId="205">
    <w:name w:val="样式 标题 2节 + 行距: 多倍行距 0.5 字行"/>
    <w:basedOn w:val="20"/>
    <w:next w:val="a1"/>
    <w:autoRedefine/>
    <w:uiPriority w:val="99"/>
    <w:qFormat/>
    <w:rsid w:val="002A5A5E"/>
    <w:pPr>
      <w:spacing w:before="0" w:after="80" w:line="300" w:lineRule="auto"/>
      <w:ind w:left="576" w:firstLineChars="177" w:hanging="576"/>
    </w:pPr>
    <w:rPr>
      <w:rFonts w:ascii="Arial" w:eastAsia="宋体" w:hAnsi="Arial" w:cs="黑体"/>
      <w:sz w:val="28"/>
      <w:szCs w:val="28"/>
    </w:rPr>
  </w:style>
  <w:style w:type="paragraph" w:customStyle="1" w:styleId="3b">
    <w:name w:val="样式3"/>
    <w:basedOn w:val="30"/>
    <w:next w:val="a1"/>
    <w:autoRedefine/>
    <w:uiPriority w:val="99"/>
    <w:qFormat/>
    <w:rsid w:val="002A5A5E"/>
    <w:pPr>
      <w:keepNext w:val="0"/>
      <w:keepLines w:val="0"/>
      <w:tabs>
        <w:tab w:val="left" w:pos="3930"/>
        <w:tab w:val="left" w:pos="5775"/>
      </w:tabs>
      <w:snapToGrid w:val="0"/>
      <w:spacing w:before="240" w:after="0" w:line="240" w:lineRule="auto"/>
      <w:outlineLvl w:val="9"/>
    </w:pPr>
    <w:rPr>
      <w:rFonts w:ascii="楷体_GB2312" w:eastAsia="黑体" w:hAnsi="Times New Roman" w:cs="Times New Roman"/>
      <w:b/>
      <w:color w:val="000000"/>
      <w:kern w:val="0"/>
      <w:sz w:val="28"/>
      <w:szCs w:val="20"/>
    </w:rPr>
  </w:style>
  <w:style w:type="character" w:customStyle="1" w:styleId="1CharChar1">
    <w:name w:val="段落1 Char Char1"/>
    <w:link w:val="1Char3"/>
    <w:qFormat/>
    <w:locked/>
    <w:rsid w:val="002A5A5E"/>
    <w:rPr>
      <w:rFonts w:ascii="宋体" w:eastAsia="宋体" w:hAnsi="宋体"/>
      <w:spacing w:val="8"/>
      <w:sz w:val="24"/>
    </w:rPr>
  </w:style>
  <w:style w:type="paragraph" w:customStyle="1" w:styleId="1Char3">
    <w:name w:val="段落1 Char"/>
    <w:basedOn w:val="10"/>
    <w:next w:val="a1"/>
    <w:link w:val="1CharChar1"/>
    <w:autoRedefine/>
    <w:qFormat/>
    <w:rsid w:val="002A5A5E"/>
    <w:pPr>
      <w:keepNext w:val="0"/>
      <w:keepLines w:val="0"/>
      <w:adjustRightInd w:val="0"/>
      <w:spacing w:before="0" w:after="0" w:line="440" w:lineRule="exact"/>
      <w:ind w:firstLineChars="200" w:firstLine="200"/>
      <w:outlineLvl w:val="9"/>
    </w:pPr>
    <w:rPr>
      <w:rFonts w:ascii="宋体" w:hAnsi="宋体" w:cstheme="minorBidi"/>
      <w:b w:val="0"/>
      <w:bCs w:val="0"/>
      <w:spacing w:val="8"/>
      <w:kern w:val="2"/>
      <w:sz w:val="24"/>
      <w:szCs w:val="22"/>
    </w:rPr>
  </w:style>
  <w:style w:type="paragraph" w:customStyle="1" w:styleId="xl36">
    <w:name w:val="xl36"/>
    <w:basedOn w:val="10"/>
    <w:next w:val="a1"/>
    <w:autoRedefine/>
    <w:uiPriority w:val="99"/>
    <w:qFormat/>
    <w:rsid w:val="002A5A5E"/>
    <w:pPr>
      <w:keepNext w:val="0"/>
      <w:keepLines w:val="0"/>
      <w:widowControl/>
      <w:pBdr>
        <w:bottom w:val="single" w:sz="4" w:space="0" w:color="auto"/>
        <w:right w:val="single" w:sz="4" w:space="0" w:color="auto"/>
      </w:pBdr>
      <w:spacing w:before="100" w:beforeAutospacing="1" w:after="100" w:afterAutospacing="1" w:line="500" w:lineRule="atLeast"/>
      <w:ind w:firstLineChars="177" w:firstLine="425"/>
      <w:outlineLvl w:val="9"/>
    </w:pPr>
    <w:rPr>
      <w:rFonts w:ascii="楷体_GB2312" w:eastAsia="楷体_GB2312" w:hAnsi="Arial Unicode MS"/>
      <w:b w:val="0"/>
      <w:bCs w:val="0"/>
      <w:kern w:val="0"/>
      <w:sz w:val="24"/>
      <w:szCs w:val="24"/>
    </w:rPr>
  </w:style>
  <w:style w:type="character" w:customStyle="1" w:styleId="CharChar1">
    <w:name w:val="正文(首行缩进)宋旭峰 Char Char"/>
    <w:link w:val="afffffd"/>
    <w:qFormat/>
    <w:locked/>
    <w:rsid w:val="002A5A5E"/>
    <w:rPr>
      <w:snapToGrid w:val="0"/>
      <w:sz w:val="24"/>
      <w:szCs w:val="24"/>
    </w:rPr>
  </w:style>
  <w:style w:type="paragraph" w:customStyle="1" w:styleId="afffffd">
    <w:name w:val="正文(首行缩进)宋旭峰"/>
    <w:basedOn w:val="a6"/>
    <w:next w:val="a1"/>
    <w:link w:val="CharChar1"/>
    <w:autoRedefine/>
    <w:qFormat/>
    <w:rsid w:val="002A5A5E"/>
    <w:pPr>
      <w:adjustRightInd/>
      <w:spacing w:line="360" w:lineRule="auto"/>
      <w:ind w:firstLineChars="177" w:firstLine="480"/>
      <w:contextualSpacing/>
    </w:pPr>
    <w:rPr>
      <w:rFonts w:asciiTheme="minorHAnsi" w:eastAsiaTheme="minorEastAsia"/>
      <w:snapToGrid w:val="0"/>
      <w:sz w:val="24"/>
    </w:rPr>
  </w:style>
  <w:style w:type="paragraph" w:customStyle="1" w:styleId="afffffe">
    <w:name w:val="标准"/>
    <w:basedOn w:val="10"/>
    <w:next w:val="a1"/>
    <w:autoRedefine/>
    <w:uiPriority w:val="99"/>
    <w:qFormat/>
    <w:rsid w:val="002A5A5E"/>
    <w:pPr>
      <w:keepLines w:val="0"/>
      <w:adjustRightInd w:val="0"/>
      <w:snapToGrid w:val="0"/>
      <w:spacing w:before="0" w:after="0" w:line="312" w:lineRule="atLeast"/>
      <w:ind w:firstLineChars="177" w:firstLine="590"/>
      <w:outlineLvl w:val="9"/>
    </w:pPr>
    <w:rPr>
      <w:b w:val="0"/>
      <w:bCs w:val="0"/>
      <w:kern w:val="0"/>
      <w:sz w:val="28"/>
      <w:szCs w:val="20"/>
    </w:rPr>
  </w:style>
  <w:style w:type="paragraph" w:customStyle="1" w:styleId="240">
    <w:name w:val="样式 正文文本缩进 + 行距: 固定值 24 磅"/>
    <w:basedOn w:val="ac"/>
    <w:next w:val="a1"/>
    <w:autoRedefine/>
    <w:uiPriority w:val="99"/>
    <w:qFormat/>
    <w:rsid w:val="002A5A5E"/>
    <w:pPr>
      <w:adjustRightInd w:val="0"/>
      <w:snapToGrid w:val="0"/>
      <w:spacing w:line="360" w:lineRule="auto"/>
      <w:ind w:firstLine="560"/>
    </w:pPr>
    <w:rPr>
      <w:rFonts w:ascii="宋体" w:cs="宋体"/>
    </w:rPr>
  </w:style>
  <w:style w:type="paragraph" w:customStyle="1" w:styleId="affffff">
    <w:name w:val="表后空行"/>
    <w:basedOn w:val="10"/>
    <w:next w:val="a1"/>
    <w:autoRedefine/>
    <w:uiPriority w:val="99"/>
    <w:qFormat/>
    <w:rsid w:val="002A5A5E"/>
    <w:pPr>
      <w:keepNext w:val="0"/>
      <w:keepLines w:val="0"/>
      <w:overflowPunct w:val="0"/>
      <w:adjustRightInd w:val="0"/>
      <w:spacing w:before="0" w:after="0" w:line="500" w:lineRule="atLeast"/>
      <w:ind w:firstLineChars="177" w:firstLine="425"/>
      <w:outlineLvl w:val="9"/>
    </w:pPr>
    <w:rPr>
      <w:b w:val="0"/>
      <w:bCs w:val="0"/>
      <w:color w:val="000000"/>
      <w:kern w:val="28"/>
      <w:sz w:val="10"/>
      <w:szCs w:val="20"/>
    </w:rPr>
  </w:style>
  <w:style w:type="paragraph" w:customStyle="1" w:styleId="xl37">
    <w:name w:val="xl37"/>
    <w:basedOn w:val="10"/>
    <w:next w:val="a1"/>
    <w:autoRedefine/>
    <w:uiPriority w:val="99"/>
    <w:qFormat/>
    <w:rsid w:val="002A5A5E"/>
    <w:pPr>
      <w:keepNext w:val="0"/>
      <w:keepLines w:val="0"/>
      <w:widowControl/>
      <w:pBdr>
        <w:bottom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character" w:customStyle="1" w:styleId="10Char">
    <w:name w:val="正文样式10 Char"/>
    <w:link w:val="100"/>
    <w:qFormat/>
    <w:locked/>
    <w:rsid w:val="002A5A5E"/>
    <w:rPr>
      <w:rFonts w:ascii="宋体" w:eastAsia="宋体" w:hAnsi="宋体" w:cs="Arial"/>
      <w:bCs/>
      <w:color w:val="FF00FF"/>
      <w:sz w:val="24"/>
      <w:lang w:val="zh-CN"/>
    </w:rPr>
  </w:style>
  <w:style w:type="paragraph" w:customStyle="1" w:styleId="100">
    <w:name w:val="正文样式10"/>
    <w:basedOn w:val="10"/>
    <w:next w:val="a1"/>
    <w:link w:val="10Char"/>
    <w:autoRedefine/>
    <w:qFormat/>
    <w:rsid w:val="002A5A5E"/>
    <w:pPr>
      <w:keepNext w:val="0"/>
      <w:keepLines w:val="0"/>
      <w:spacing w:before="0" w:after="0" w:line="500" w:lineRule="exact"/>
      <w:ind w:firstLineChars="200" w:firstLine="480"/>
      <w:outlineLvl w:val="9"/>
    </w:pPr>
    <w:rPr>
      <w:rFonts w:ascii="宋体" w:hAnsi="宋体" w:cs="Arial"/>
      <w:b w:val="0"/>
      <w:color w:val="FF00FF"/>
      <w:kern w:val="2"/>
      <w:sz w:val="24"/>
      <w:szCs w:val="22"/>
      <w:lang w:val="zh-CN"/>
    </w:rPr>
  </w:style>
  <w:style w:type="paragraph" w:customStyle="1" w:styleId="151">
    <w:name w:val="15"/>
    <w:basedOn w:val="10"/>
    <w:next w:val="a1"/>
    <w:autoRedefine/>
    <w:uiPriority w:val="99"/>
    <w:qFormat/>
    <w:rsid w:val="002A5A5E"/>
    <w:pPr>
      <w:keepNext w:val="0"/>
      <w:keepLines w:val="0"/>
      <w:widowControl/>
      <w:snapToGrid w:val="0"/>
      <w:spacing w:before="100" w:beforeAutospacing="1" w:after="100" w:afterAutospacing="1" w:line="500" w:lineRule="atLeast"/>
      <w:ind w:firstLineChars="177" w:firstLine="425"/>
      <w:jc w:val="left"/>
      <w:outlineLvl w:val="9"/>
    </w:pPr>
    <w:rPr>
      <w:b w:val="0"/>
      <w:bCs w:val="0"/>
      <w:kern w:val="0"/>
      <w:sz w:val="20"/>
      <w:szCs w:val="20"/>
    </w:rPr>
  </w:style>
  <w:style w:type="paragraph" w:customStyle="1" w:styleId="affffff0">
    <w:name w:val="标准正文"/>
    <w:basedOn w:val="10"/>
    <w:next w:val="a1"/>
    <w:autoRedefine/>
    <w:uiPriority w:val="99"/>
    <w:qFormat/>
    <w:rsid w:val="002A5A5E"/>
    <w:pPr>
      <w:keepNext w:val="0"/>
      <w:keepLines w:val="0"/>
      <w:spacing w:before="0" w:after="0" w:line="400" w:lineRule="exact"/>
      <w:ind w:firstLineChars="177" w:firstLine="480"/>
      <w:outlineLvl w:val="9"/>
    </w:pPr>
    <w:rPr>
      <w:b w:val="0"/>
      <w:bCs w:val="0"/>
      <w:kern w:val="2"/>
      <w:sz w:val="24"/>
      <w:szCs w:val="20"/>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2f5">
    <w:name w:val="样式 表格文字 + 首行缩进:  2 字符"/>
    <w:basedOn w:val="afffb"/>
    <w:next w:val="a1"/>
    <w:autoRedefine/>
    <w:uiPriority w:val="99"/>
    <w:qFormat/>
    <w:rsid w:val="002A5A5E"/>
    <w:pPr>
      <w:adjustRightInd w:val="0"/>
      <w:snapToGrid w:val="0"/>
    </w:pPr>
    <w:rPr>
      <w:rFonts w:hAnsi="MS Shell Dlg"/>
      <w:kern w:val="0"/>
      <w:szCs w:val="20"/>
    </w:rPr>
  </w:style>
  <w:style w:type="paragraph" w:customStyle="1" w:styleId="xl29">
    <w:name w:val="xl29"/>
    <w:basedOn w:val="10"/>
    <w:next w:val="a1"/>
    <w:autoRedefine/>
    <w:uiPriority w:val="99"/>
    <w:qFormat/>
    <w:rsid w:val="002A5A5E"/>
    <w:pPr>
      <w:keepNext w:val="0"/>
      <w:keepLines w:val="0"/>
      <w:widowControl/>
      <w:pBdr>
        <w:left w:val="single" w:sz="4" w:space="0" w:color="auto"/>
        <w:bottom w:val="single" w:sz="4" w:space="0" w:color="auto"/>
      </w:pBdr>
      <w:spacing w:before="100" w:beforeAutospacing="1" w:after="100" w:afterAutospacing="1" w:line="500" w:lineRule="atLeast"/>
      <w:ind w:firstLineChars="177" w:firstLine="425"/>
      <w:jc w:val="center"/>
      <w:outlineLvl w:val="9"/>
    </w:pPr>
    <w:rPr>
      <w:rFonts w:ascii="宋体" w:hAnsi="宋体"/>
      <w:b w:val="0"/>
      <w:bCs w:val="0"/>
      <w:kern w:val="0"/>
      <w:sz w:val="24"/>
      <w:szCs w:val="24"/>
    </w:rPr>
  </w:style>
  <w:style w:type="paragraph" w:customStyle="1" w:styleId="xl22">
    <w:name w:val="xl22"/>
    <w:basedOn w:val="10"/>
    <w:next w:val="a1"/>
    <w:autoRedefine/>
    <w:uiPriority w:val="99"/>
    <w:qFormat/>
    <w:rsid w:val="002A5A5E"/>
    <w:pPr>
      <w:keepNext w:val="0"/>
      <w:keepLines w:val="0"/>
      <w:widowControl/>
      <w:pBdr>
        <w:top w:val="single" w:sz="4" w:space="0" w:color="auto"/>
        <w:left w:val="single" w:sz="4" w:space="0" w:color="auto"/>
        <w:bottom w:val="single" w:sz="4" w:space="0" w:color="auto"/>
        <w:right w:val="single" w:sz="4" w:space="0" w:color="auto"/>
      </w:pBdr>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xl55">
    <w:name w:val="xl55"/>
    <w:basedOn w:val="10"/>
    <w:next w:val="a1"/>
    <w:autoRedefine/>
    <w:uiPriority w:val="99"/>
    <w:qFormat/>
    <w:rsid w:val="002A5A5E"/>
    <w:pPr>
      <w:keepNext w:val="0"/>
      <w:keepLines w:val="0"/>
      <w:widowControl/>
      <w:pBdr>
        <w:left w:val="single" w:sz="12" w:space="0" w:color="auto"/>
        <w:bottom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xl53">
    <w:name w:val="xl53"/>
    <w:basedOn w:val="10"/>
    <w:next w:val="a1"/>
    <w:autoRedefine/>
    <w:uiPriority w:val="99"/>
    <w:qFormat/>
    <w:rsid w:val="002A5A5E"/>
    <w:pPr>
      <w:keepNext w:val="0"/>
      <w:keepLines w:val="0"/>
      <w:widowControl/>
      <w:pBdr>
        <w:left w:val="single" w:sz="8" w:space="0" w:color="auto"/>
        <w:bottom w:val="single" w:sz="8" w:space="0" w:color="auto"/>
        <w:right w:val="single" w:sz="12"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affffff1">
    <w:name w:val="正文段落"/>
    <w:next w:val="a1"/>
    <w:autoRedefine/>
    <w:uiPriority w:val="99"/>
    <w:qFormat/>
    <w:rsid w:val="002A5A5E"/>
    <w:pPr>
      <w:spacing w:beforeLines="50"/>
      <w:ind w:firstLineChars="200" w:firstLine="505"/>
    </w:pPr>
    <w:rPr>
      <w:rFonts w:ascii="Times New Roman" w:eastAsia="宋体" w:hAnsi="Times New Roman" w:cs="Times New Roman"/>
      <w:kern w:val="2"/>
      <w:sz w:val="24"/>
    </w:rPr>
  </w:style>
  <w:style w:type="paragraph" w:customStyle="1" w:styleId="textstyle1">
    <w:name w:val="textstyle1"/>
    <w:basedOn w:val="10"/>
    <w:next w:val="a1"/>
    <w:autoRedefine/>
    <w:uiPriority w:val="99"/>
    <w:qFormat/>
    <w:rsid w:val="002A5A5E"/>
    <w:pPr>
      <w:keepNext w:val="0"/>
      <w:keepLines w:val="0"/>
      <w:widowControl/>
      <w:numPr>
        <w:numId w:val="5"/>
      </w:numPr>
      <w:overflowPunct w:val="0"/>
      <w:autoSpaceDE w:val="0"/>
      <w:autoSpaceDN w:val="0"/>
      <w:adjustRightInd w:val="0"/>
      <w:spacing w:before="120" w:after="0" w:line="500" w:lineRule="atLeast"/>
      <w:ind w:left="288" w:firstLineChars="177" w:firstLine="432"/>
      <w:outlineLvl w:val="9"/>
    </w:pPr>
    <w:rPr>
      <w:rFonts w:ascii="楷体" w:eastAsia="楷体"/>
      <w:b w:val="0"/>
      <w:bCs w:val="0"/>
      <w:kern w:val="0"/>
      <w:sz w:val="24"/>
      <w:szCs w:val="20"/>
    </w:rPr>
  </w:style>
  <w:style w:type="paragraph" w:customStyle="1" w:styleId="311">
    <w:name w:val="正文文本 31"/>
    <w:basedOn w:val="10"/>
    <w:next w:val="a1"/>
    <w:autoRedefine/>
    <w:uiPriority w:val="99"/>
    <w:qFormat/>
    <w:rsid w:val="002A5A5E"/>
    <w:pPr>
      <w:keepNext w:val="0"/>
      <w:keepLines w:val="0"/>
      <w:adjustRightInd w:val="0"/>
      <w:spacing w:before="0" w:after="0" w:line="360" w:lineRule="atLeast"/>
      <w:ind w:firstLineChars="177" w:firstLine="425"/>
      <w:jc w:val="center"/>
      <w:outlineLvl w:val="9"/>
    </w:pPr>
    <w:rPr>
      <w:rFonts w:ascii="仿宋体" w:eastAsia="仿宋体" w:hAnsi="宋体"/>
      <w:b w:val="0"/>
      <w:bCs w:val="0"/>
      <w:kern w:val="0"/>
      <w:sz w:val="24"/>
      <w:szCs w:val="20"/>
    </w:rPr>
  </w:style>
  <w:style w:type="paragraph" w:customStyle="1" w:styleId="Charff4">
    <w:name w:val="样式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1"/>
    </w:rPr>
  </w:style>
  <w:style w:type="paragraph" w:customStyle="1" w:styleId="xl52">
    <w:name w:val="xl52"/>
    <w:basedOn w:val="10"/>
    <w:next w:val="a1"/>
    <w:autoRedefine/>
    <w:uiPriority w:val="99"/>
    <w:qFormat/>
    <w:rsid w:val="002A5A5E"/>
    <w:pPr>
      <w:keepNext w:val="0"/>
      <w:keepLines w:val="0"/>
      <w:widowControl/>
      <w:pBdr>
        <w:top w:val="single" w:sz="12" w:space="0" w:color="auto"/>
        <w:left w:val="single" w:sz="8" w:space="0" w:color="auto"/>
        <w:right w:val="single" w:sz="12"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1f">
    <w:name w:val="表格1"/>
    <w:basedOn w:val="10"/>
    <w:next w:val="a1"/>
    <w:autoRedefine/>
    <w:uiPriority w:val="99"/>
    <w:qFormat/>
    <w:rsid w:val="002A5A5E"/>
    <w:pPr>
      <w:keepNext w:val="0"/>
      <w:keepLines w:val="0"/>
      <w:adjustRightInd w:val="0"/>
      <w:spacing w:before="0" w:after="120" w:line="20" w:lineRule="atLeast"/>
      <w:ind w:firstLineChars="177" w:firstLine="425"/>
      <w:jc w:val="center"/>
      <w:outlineLvl w:val="9"/>
    </w:pPr>
    <w:rPr>
      <w:rFonts w:ascii="仿宋体"/>
      <w:b w:val="0"/>
      <w:bCs w:val="0"/>
      <w:color w:val="000000"/>
      <w:kern w:val="0"/>
      <w:sz w:val="24"/>
      <w:szCs w:val="20"/>
    </w:rPr>
  </w:style>
  <w:style w:type="paragraph" w:customStyle="1" w:styleId="xl47">
    <w:name w:val="xl47"/>
    <w:basedOn w:val="10"/>
    <w:next w:val="a1"/>
    <w:autoRedefine/>
    <w:uiPriority w:val="99"/>
    <w:qFormat/>
    <w:rsid w:val="002A5A5E"/>
    <w:pPr>
      <w:keepNext w:val="0"/>
      <w:keepLines w:val="0"/>
      <w:widowControl/>
      <w:pBdr>
        <w:top w:val="single" w:sz="8" w:space="0" w:color="auto"/>
        <w:left w:val="single" w:sz="12"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1f0">
    <w:name w:val="列出段落1"/>
    <w:basedOn w:val="10"/>
    <w:next w:val="a1"/>
    <w:autoRedefine/>
    <w:uiPriority w:val="99"/>
    <w:qFormat/>
    <w:rsid w:val="002A5A5E"/>
    <w:pPr>
      <w:keepNext w:val="0"/>
      <w:keepLines w:val="0"/>
      <w:widowControl/>
      <w:spacing w:before="0" w:after="0" w:line="500" w:lineRule="atLeast"/>
      <w:ind w:firstLineChars="200" w:firstLine="420"/>
      <w:jc w:val="left"/>
      <w:outlineLvl w:val="9"/>
    </w:pPr>
    <w:rPr>
      <w:b w:val="0"/>
      <w:bCs w:val="0"/>
      <w:kern w:val="0"/>
      <w:sz w:val="24"/>
      <w:szCs w:val="24"/>
    </w:rPr>
  </w:style>
  <w:style w:type="paragraph" w:customStyle="1" w:styleId="xl33">
    <w:name w:val="xl33"/>
    <w:basedOn w:val="10"/>
    <w:next w:val="a1"/>
    <w:autoRedefine/>
    <w:uiPriority w:val="99"/>
    <w:qFormat/>
    <w:rsid w:val="002A5A5E"/>
    <w:pPr>
      <w:keepNext w:val="0"/>
      <w:keepLines w:val="0"/>
      <w:widowControl/>
      <w:pBdr>
        <w:left w:val="single" w:sz="12"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1f1">
    <w:name w:val="样式 标题 1 + 自动设置"/>
    <w:basedOn w:val="10"/>
    <w:next w:val="a1"/>
    <w:autoRedefine/>
    <w:uiPriority w:val="99"/>
    <w:qFormat/>
    <w:rsid w:val="002A5A5E"/>
    <w:pPr>
      <w:tabs>
        <w:tab w:val="left" w:pos="432"/>
        <w:tab w:val="left" w:pos="700"/>
        <w:tab w:val="left" w:pos="1860"/>
      </w:tabs>
      <w:autoSpaceDE w:val="0"/>
      <w:autoSpaceDN w:val="0"/>
      <w:adjustRightInd w:val="0"/>
      <w:spacing w:before="0" w:after="0" w:line="240" w:lineRule="auto"/>
      <w:ind w:left="1860" w:firstLineChars="177" w:hanging="1290"/>
      <w:jc w:val="left"/>
    </w:pPr>
    <w:rPr>
      <w:sz w:val="28"/>
      <w:szCs w:val="20"/>
    </w:rPr>
  </w:style>
  <w:style w:type="paragraph" w:customStyle="1" w:styleId="1f2">
    <w:name w:val="页脚1"/>
    <w:basedOn w:val="15"/>
    <w:next w:val="a1"/>
    <w:autoRedefine/>
    <w:uiPriority w:val="99"/>
    <w:qFormat/>
    <w:rsid w:val="002A5A5E"/>
    <w:pPr>
      <w:tabs>
        <w:tab w:val="center" w:pos="4153"/>
        <w:tab w:val="right" w:pos="8306"/>
      </w:tabs>
      <w:spacing w:line="240" w:lineRule="atLeast"/>
    </w:pPr>
    <w:rPr>
      <w:rFonts w:hAnsi="Calibri"/>
      <w:sz w:val="18"/>
      <w:szCs w:val="20"/>
    </w:rPr>
  </w:style>
  <w:style w:type="paragraph" w:customStyle="1" w:styleId="221">
    <w:name w:val="样式 样式 首行缩进:  2 字符 + 首行缩进:  2 字符"/>
    <w:basedOn w:val="10"/>
    <w:next w:val="a1"/>
    <w:autoRedefine/>
    <w:uiPriority w:val="99"/>
    <w:qFormat/>
    <w:rsid w:val="002A5A5E"/>
    <w:pPr>
      <w:keepNext w:val="0"/>
      <w:keepLines w:val="0"/>
      <w:spacing w:before="0" w:after="0" w:line="500" w:lineRule="atLeast"/>
      <w:ind w:firstLineChars="200" w:firstLine="587"/>
      <w:outlineLvl w:val="9"/>
    </w:pPr>
    <w:rPr>
      <w:rFonts w:ascii="宋体"/>
      <w:b w:val="0"/>
      <w:bCs w:val="0"/>
      <w:kern w:val="2"/>
      <w:sz w:val="27"/>
      <w:szCs w:val="27"/>
    </w:rPr>
  </w:style>
  <w:style w:type="paragraph" w:customStyle="1" w:styleId="xl44">
    <w:name w:val="xl44"/>
    <w:basedOn w:val="10"/>
    <w:next w:val="a1"/>
    <w:autoRedefine/>
    <w:uiPriority w:val="99"/>
    <w:qFormat/>
    <w:rsid w:val="002A5A5E"/>
    <w:pPr>
      <w:keepNext w:val="0"/>
      <w:keepLines w:val="0"/>
      <w:widowControl/>
      <w:pBdr>
        <w:left w:val="single" w:sz="8" w:space="0" w:color="auto"/>
        <w:bottom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affffff2">
    <w:name w:val="正文王"/>
    <w:basedOn w:val="ae"/>
    <w:next w:val="a1"/>
    <w:autoRedefine/>
    <w:uiPriority w:val="99"/>
    <w:qFormat/>
    <w:rsid w:val="002A5A5E"/>
    <w:pPr>
      <w:spacing w:line="440" w:lineRule="exact"/>
      <w:ind w:firstLineChars="177" w:firstLine="425"/>
    </w:pPr>
    <w:rPr>
      <w:rFonts w:ascii="Arial" w:hAnsi="Arial" w:cs="Times New Roman"/>
      <w:kern w:val="0"/>
      <w:sz w:val="24"/>
      <w:szCs w:val="24"/>
    </w:rPr>
  </w:style>
  <w:style w:type="paragraph" w:customStyle="1" w:styleId="affffff3">
    <w:name w:val="表文左对齐"/>
    <w:basedOn w:val="affffb"/>
    <w:next w:val="a1"/>
    <w:autoRedefine/>
    <w:uiPriority w:val="99"/>
    <w:qFormat/>
    <w:rsid w:val="002A5A5E"/>
    <w:pPr>
      <w:spacing w:line="320" w:lineRule="exact"/>
      <w:ind w:firstLine="420"/>
      <w:jc w:val="left"/>
    </w:pPr>
    <w:rPr>
      <w:color w:val="000000"/>
      <w:szCs w:val="20"/>
    </w:rPr>
  </w:style>
  <w:style w:type="paragraph" w:customStyle="1" w:styleId="ParaChar">
    <w:name w:val="默认段落字体 Para Char"/>
    <w:basedOn w:val="10"/>
    <w:next w:val="a1"/>
    <w:autoRedefine/>
    <w:uiPriority w:val="99"/>
    <w:qFormat/>
    <w:rsid w:val="002A5A5E"/>
    <w:pPr>
      <w:keepNext w:val="0"/>
      <w:keepLines w:val="0"/>
      <w:spacing w:before="0" w:after="0" w:line="500" w:lineRule="atLeast"/>
      <w:ind w:firstLineChars="177" w:firstLine="425"/>
      <w:outlineLvl w:val="9"/>
    </w:pPr>
    <w:rPr>
      <w:rFonts w:ascii="宋体"/>
      <w:b w:val="0"/>
      <w:bCs w:val="0"/>
      <w:kern w:val="2"/>
      <w:sz w:val="28"/>
      <w:szCs w:val="24"/>
    </w:rPr>
  </w:style>
  <w:style w:type="paragraph" w:customStyle="1" w:styleId="xl30">
    <w:name w:val="xl30"/>
    <w:basedOn w:val="10"/>
    <w:next w:val="a1"/>
    <w:autoRedefine/>
    <w:uiPriority w:val="99"/>
    <w:qFormat/>
    <w:rsid w:val="002A5A5E"/>
    <w:pPr>
      <w:keepNext w:val="0"/>
      <w:keepLines w:val="0"/>
      <w:widowControl/>
      <w:pBdr>
        <w:left w:val="single" w:sz="8" w:space="0" w:color="auto"/>
        <w:bottom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b w:val="0"/>
      <w:bCs w:val="0"/>
      <w:kern w:val="0"/>
      <w:sz w:val="24"/>
      <w:szCs w:val="21"/>
    </w:rPr>
  </w:style>
  <w:style w:type="paragraph" w:customStyle="1" w:styleId="affffff4">
    <w:name w:val="段落"/>
    <w:basedOn w:val="10"/>
    <w:next w:val="a1"/>
    <w:autoRedefine/>
    <w:uiPriority w:val="99"/>
    <w:qFormat/>
    <w:rsid w:val="002A5A5E"/>
    <w:pPr>
      <w:keepNext w:val="0"/>
      <w:keepLines w:val="0"/>
      <w:adjustRightInd w:val="0"/>
      <w:snapToGrid w:val="0"/>
      <w:spacing w:before="0" w:after="0" w:line="280" w:lineRule="exact"/>
      <w:ind w:firstLineChars="177" w:firstLine="425"/>
      <w:outlineLvl w:val="9"/>
    </w:pPr>
    <w:rPr>
      <w:b w:val="0"/>
      <w:bCs w:val="0"/>
      <w:kern w:val="0"/>
      <w:sz w:val="18"/>
      <w:szCs w:val="20"/>
    </w:rPr>
  </w:style>
  <w:style w:type="paragraph" w:customStyle="1" w:styleId="1000">
    <w:name w:val="样式 样式1 + 两端对齐 左侧:  0 厘米 首行缩进:  0 厘米"/>
    <w:basedOn w:val="10"/>
    <w:next w:val="a1"/>
    <w:autoRedefine/>
    <w:uiPriority w:val="99"/>
    <w:qFormat/>
    <w:rsid w:val="002A5A5E"/>
    <w:pPr>
      <w:pageBreakBefore/>
      <w:spacing w:before="240" w:after="120" w:line="500" w:lineRule="atLeast"/>
      <w:ind w:firstLineChars="177" w:firstLine="425"/>
      <w:jc w:val="center"/>
    </w:pPr>
    <w:rPr>
      <w:rFonts w:eastAsia="黑体" w:cs="宋体"/>
      <w:b w:val="0"/>
      <w:bCs w:val="0"/>
      <w:kern w:val="2"/>
      <w:sz w:val="36"/>
      <w:szCs w:val="24"/>
    </w:rPr>
  </w:style>
  <w:style w:type="character" w:customStyle="1" w:styleId="1Char4">
    <w:name w:val="正文样式1 Char"/>
    <w:link w:val="1f3"/>
    <w:qFormat/>
    <w:locked/>
    <w:rsid w:val="002A5A5E"/>
    <w:rPr>
      <w:rFonts w:ascii="宋体" w:eastAsia="宋体" w:hAnsi="宋体"/>
      <w:sz w:val="24"/>
    </w:rPr>
  </w:style>
  <w:style w:type="paragraph" w:customStyle="1" w:styleId="1f3">
    <w:name w:val="正文样式1"/>
    <w:basedOn w:val="10"/>
    <w:next w:val="a1"/>
    <w:link w:val="1Char4"/>
    <w:autoRedefine/>
    <w:qFormat/>
    <w:rsid w:val="002A5A5E"/>
    <w:pPr>
      <w:keepNext w:val="0"/>
      <w:keepLines w:val="0"/>
      <w:adjustRightInd w:val="0"/>
      <w:spacing w:before="0" w:after="0" w:line="288" w:lineRule="auto"/>
      <w:ind w:firstLineChars="150" w:firstLine="360"/>
      <w:outlineLvl w:val="9"/>
    </w:pPr>
    <w:rPr>
      <w:rFonts w:ascii="宋体" w:hAnsi="宋体" w:cstheme="minorBidi"/>
      <w:b w:val="0"/>
      <w:bCs w:val="0"/>
      <w:kern w:val="2"/>
      <w:sz w:val="24"/>
      <w:szCs w:val="22"/>
    </w:rPr>
  </w:style>
  <w:style w:type="paragraph" w:customStyle="1" w:styleId="82">
    <w:name w:val="8"/>
    <w:basedOn w:val="10"/>
    <w:next w:val="ac"/>
    <w:autoRedefine/>
    <w:uiPriority w:val="99"/>
    <w:qFormat/>
    <w:rsid w:val="002A5A5E"/>
    <w:pPr>
      <w:keepNext w:val="0"/>
      <w:keepLines w:val="0"/>
      <w:spacing w:before="0" w:after="0" w:line="400" w:lineRule="exact"/>
      <w:ind w:firstLineChars="215" w:firstLine="516"/>
      <w:outlineLvl w:val="9"/>
    </w:pPr>
    <w:rPr>
      <w:b w:val="0"/>
      <w:bCs w:val="0"/>
      <w:kern w:val="2"/>
      <w:sz w:val="24"/>
      <w:szCs w:val="24"/>
    </w:rPr>
  </w:style>
  <w:style w:type="character" w:customStyle="1" w:styleId="cucd-1Char">
    <w:name w:val="cucd-1 Char"/>
    <w:link w:val="cucd-1"/>
    <w:qFormat/>
    <w:locked/>
    <w:rsid w:val="002A5A5E"/>
    <w:rPr>
      <w:rFonts w:ascii="黑体" w:eastAsia="黑体" w:hAnsi="黑体"/>
      <w:b/>
      <w:sz w:val="36"/>
      <w:szCs w:val="24"/>
    </w:rPr>
  </w:style>
  <w:style w:type="paragraph" w:customStyle="1" w:styleId="cucd-1">
    <w:name w:val="cucd-1"/>
    <w:next w:val="cucd-2"/>
    <w:link w:val="cucd-1Char"/>
    <w:autoRedefine/>
    <w:qFormat/>
    <w:rsid w:val="002A5A5E"/>
    <w:pPr>
      <w:pageBreakBefore/>
      <w:tabs>
        <w:tab w:val="left" w:pos="432"/>
      </w:tabs>
      <w:spacing w:beforeLines="100" w:line="360" w:lineRule="auto"/>
      <w:ind w:left="432" w:hanging="432"/>
      <w:jc w:val="center"/>
      <w:outlineLvl w:val="0"/>
    </w:pPr>
    <w:rPr>
      <w:rFonts w:ascii="黑体" w:eastAsia="黑体" w:hAnsi="黑体"/>
      <w:b/>
      <w:kern w:val="2"/>
      <w:sz w:val="36"/>
      <w:szCs w:val="24"/>
    </w:rPr>
  </w:style>
  <w:style w:type="paragraph" w:customStyle="1" w:styleId="CharCharCharCharCharChar1CharCharCharChar">
    <w:name w:val="Char Char Char Char Char Char1 Char Char Char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affffff5">
    <w:name w:val="表内"/>
    <w:basedOn w:val="10"/>
    <w:next w:val="a1"/>
    <w:autoRedefine/>
    <w:uiPriority w:val="99"/>
    <w:qFormat/>
    <w:rsid w:val="002A5A5E"/>
    <w:pPr>
      <w:keepNext w:val="0"/>
      <w:keepLines w:val="0"/>
      <w:adjustRightInd w:val="0"/>
      <w:spacing w:before="0" w:after="0" w:line="500" w:lineRule="atLeast"/>
      <w:ind w:leftChars="-38" w:left="-78" w:hangingChars="1" w:hanging="2"/>
      <w:jc w:val="center"/>
      <w:outlineLvl w:val="9"/>
    </w:pPr>
    <w:rPr>
      <w:rFonts w:ascii="宋体" w:hAnsi="宋体"/>
      <w:b w:val="0"/>
      <w:bCs w:val="0"/>
      <w:color w:val="FF0000"/>
      <w:kern w:val="2"/>
      <w:sz w:val="24"/>
      <w:szCs w:val="20"/>
    </w:rPr>
  </w:style>
  <w:style w:type="paragraph" w:customStyle="1" w:styleId="a9cxsplast">
    <w:name w:val="a9cxsplast"/>
    <w:basedOn w:val="10"/>
    <w:next w:val="a1"/>
    <w:autoRedefine/>
    <w:uiPriority w:val="99"/>
    <w:qFormat/>
    <w:rsid w:val="002A5A5E"/>
    <w:pPr>
      <w:keepNext w:val="0"/>
      <w:keepLines w:val="0"/>
      <w:widowControl/>
      <w:snapToGrid w:val="0"/>
      <w:spacing w:before="0" w:after="120" w:line="360" w:lineRule="auto"/>
      <w:ind w:firstLineChars="177" w:firstLine="480"/>
      <w:outlineLvl w:val="9"/>
    </w:pPr>
    <w:rPr>
      <w:b w:val="0"/>
      <w:bCs w:val="0"/>
      <w:kern w:val="0"/>
      <w:sz w:val="24"/>
      <w:szCs w:val="24"/>
    </w:rPr>
  </w:style>
  <w:style w:type="paragraph" w:customStyle="1" w:styleId="Char2CharCharCharCharCharChar">
    <w:name w:val="Char2 Char Char Char Char Char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y">
    <w:name w:val="y表格"/>
    <w:basedOn w:val="ab"/>
    <w:next w:val="a1"/>
    <w:autoRedefine/>
    <w:uiPriority w:val="99"/>
    <w:qFormat/>
    <w:rsid w:val="002A5A5E"/>
    <w:pPr>
      <w:widowControl/>
      <w:adjustRightInd w:val="0"/>
      <w:snapToGrid w:val="0"/>
      <w:spacing w:after="0"/>
      <w:ind w:firstLineChars="177" w:firstLine="425"/>
      <w:jc w:val="center"/>
    </w:pPr>
    <w:rPr>
      <w:rFonts w:ascii="宋体" w:hAnsi="宋体" w:cstheme="minorBidi" w:hint="eastAsia"/>
      <w:sz w:val="24"/>
      <w:szCs w:val="20"/>
    </w:rPr>
  </w:style>
  <w:style w:type="paragraph" w:customStyle="1" w:styleId="affffff6">
    <w:name w:val="表格文字（居中）"/>
    <w:basedOn w:val="10"/>
    <w:next w:val="a1"/>
    <w:autoRedefine/>
    <w:uiPriority w:val="99"/>
    <w:qFormat/>
    <w:rsid w:val="002A5A5E"/>
    <w:pPr>
      <w:keepNext w:val="0"/>
      <w:keepLines w:val="0"/>
      <w:spacing w:before="0" w:after="0" w:line="500" w:lineRule="atLeast"/>
      <w:ind w:firstLineChars="177" w:firstLine="425"/>
      <w:jc w:val="center"/>
      <w:outlineLvl w:val="9"/>
    </w:pPr>
    <w:rPr>
      <w:b w:val="0"/>
      <w:bCs w:val="0"/>
      <w:kern w:val="2"/>
      <w:sz w:val="24"/>
      <w:szCs w:val="21"/>
    </w:rPr>
  </w:style>
  <w:style w:type="paragraph" w:customStyle="1" w:styleId="3025">
    <w:name w:val="样式 标题 3头 + 行距: 多倍行距 0.25 字行"/>
    <w:basedOn w:val="30"/>
    <w:next w:val="a1"/>
    <w:autoRedefine/>
    <w:uiPriority w:val="99"/>
    <w:qFormat/>
    <w:rsid w:val="002A5A5E"/>
    <w:pPr>
      <w:numPr>
        <w:numId w:val="6"/>
      </w:numPr>
      <w:tabs>
        <w:tab w:val="clear" w:pos="360"/>
        <w:tab w:val="left" w:pos="578"/>
      </w:tabs>
      <w:spacing w:before="60" w:after="0" w:line="60" w:lineRule="auto"/>
      <w:ind w:left="578" w:hanging="578"/>
    </w:pPr>
    <w:rPr>
      <w:rFonts w:ascii="Times New Roman" w:hAnsi="Times New Roman" w:cs="黑体"/>
      <w:b/>
      <w:bCs/>
      <w:kern w:val="0"/>
      <w:sz w:val="28"/>
      <w:szCs w:val="28"/>
    </w:rPr>
  </w:style>
  <w:style w:type="paragraph" w:customStyle="1" w:styleId="CharCharCharCharCharCharCharChar1CharCharCharCharCharCharChar">
    <w:name w:val="Char Char Char Char Char Char Char Char1 Char Char Char Char Char Char Char"/>
    <w:basedOn w:val="10"/>
    <w:next w:val="a1"/>
    <w:autoRedefine/>
    <w:uiPriority w:val="99"/>
    <w:qFormat/>
    <w:rsid w:val="002A5A5E"/>
    <w:pPr>
      <w:keepNext w:val="0"/>
      <w:keepLines w:val="0"/>
      <w:snapToGrid w:val="0"/>
      <w:spacing w:before="0" w:after="0" w:line="360" w:lineRule="auto"/>
      <w:ind w:firstLineChars="200" w:firstLine="200"/>
      <w:outlineLvl w:val="9"/>
    </w:pPr>
    <w:rPr>
      <w:rFonts w:eastAsia="FangSong_GB2312"/>
      <w:b w:val="0"/>
      <w:bCs w:val="0"/>
      <w:kern w:val="2"/>
      <w:sz w:val="24"/>
      <w:szCs w:val="24"/>
    </w:rPr>
  </w:style>
  <w:style w:type="paragraph" w:customStyle="1" w:styleId="Date1">
    <w:name w:val="Date1"/>
    <w:basedOn w:val="10"/>
    <w:next w:val="a1"/>
    <w:autoRedefine/>
    <w:uiPriority w:val="99"/>
    <w:qFormat/>
    <w:rsid w:val="002A5A5E"/>
    <w:pPr>
      <w:keepNext w:val="0"/>
      <w:keepLines w:val="0"/>
      <w:adjustRightInd w:val="0"/>
      <w:spacing w:before="0" w:after="0" w:line="500" w:lineRule="atLeast"/>
      <w:ind w:firstLineChars="177" w:firstLine="425"/>
      <w:outlineLvl w:val="9"/>
    </w:pPr>
    <w:rPr>
      <w:b w:val="0"/>
      <w:bCs w:val="0"/>
      <w:kern w:val="2"/>
      <w:sz w:val="24"/>
      <w:szCs w:val="20"/>
    </w:rPr>
  </w:style>
  <w:style w:type="paragraph" w:customStyle="1" w:styleId="affffff7">
    <w:name w:val="a"/>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xl51">
    <w:name w:val="xl51"/>
    <w:basedOn w:val="10"/>
    <w:next w:val="a1"/>
    <w:autoRedefine/>
    <w:uiPriority w:val="99"/>
    <w:qFormat/>
    <w:rsid w:val="002A5A5E"/>
    <w:pPr>
      <w:keepNext w:val="0"/>
      <w:keepLines w:val="0"/>
      <w:widowControl/>
      <w:pBdr>
        <w:top w:val="single" w:sz="12" w:space="0" w:color="auto"/>
        <w:left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wtext">
    <w:name w:val="wtext"/>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Arial Unicode MS" w:eastAsia="Arial Unicode MS" w:hAnsi="Arial Unicode MS" w:cs="Arial Unicode MS"/>
      <w:b w:val="0"/>
      <w:bCs w:val="0"/>
      <w:kern w:val="0"/>
      <w:sz w:val="24"/>
      <w:szCs w:val="24"/>
    </w:rPr>
  </w:style>
  <w:style w:type="paragraph" w:customStyle="1" w:styleId="T">
    <w:name w:val="T表格"/>
    <w:basedOn w:val="Default"/>
    <w:next w:val="Default"/>
    <w:autoRedefine/>
    <w:uiPriority w:val="99"/>
    <w:qFormat/>
    <w:rsid w:val="002A5A5E"/>
    <w:rPr>
      <w:rFonts w:hAnsi="Calibri" w:cs="Times New Roman"/>
      <w:color w:val="auto"/>
      <w:sz w:val="21"/>
      <w:szCs w:val="22"/>
    </w:rPr>
  </w:style>
  <w:style w:type="character" w:customStyle="1" w:styleId="cauc-0Char1">
    <w:name w:val="cauc-0 Char1"/>
    <w:link w:val="cauc-0"/>
    <w:qFormat/>
    <w:locked/>
    <w:rsid w:val="002A5A5E"/>
    <w:rPr>
      <w:sz w:val="24"/>
      <w:szCs w:val="24"/>
    </w:rPr>
  </w:style>
  <w:style w:type="paragraph" w:customStyle="1" w:styleId="cauc-0">
    <w:name w:val="cauc-0"/>
    <w:next w:val="a1"/>
    <w:link w:val="cauc-0Char1"/>
    <w:autoRedefine/>
    <w:qFormat/>
    <w:rsid w:val="002A5A5E"/>
    <w:pPr>
      <w:spacing w:line="360" w:lineRule="auto"/>
      <w:ind w:firstLineChars="200" w:firstLine="480"/>
    </w:pPr>
    <w:rPr>
      <w:kern w:val="2"/>
      <w:sz w:val="24"/>
      <w:szCs w:val="24"/>
    </w:rPr>
  </w:style>
  <w:style w:type="paragraph" w:customStyle="1" w:styleId="affffff8">
    <w:name w:val="保定正文"/>
    <w:basedOn w:val="10"/>
    <w:next w:val="a1"/>
    <w:autoRedefine/>
    <w:uiPriority w:val="99"/>
    <w:qFormat/>
    <w:rsid w:val="002A5A5E"/>
    <w:pPr>
      <w:keepNext w:val="0"/>
      <w:keepLines w:val="0"/>
      <w:snapToGrid w:val="0"/>
      <w:spacing w:before="0" w:after="0" w:line="360" w:lineRule="auto"/>
      <w:ind w:firstLineChars="200" w:firstLine="200"/>
      <w:outlineLvl w:val="9"/>
    </w:pPr>
    <w:rPr>
      <w:rFonts w:cs="宋体"/>
      <w:b w:val="0"/>
      <w:bCs w:val="0"/>
      <w:kern w:val="0"/>
      <w:sz w:val="24"/>
      <w:szCs w:val="20"/>
    </w:rPr>
  </w:style>
  <w:style w:type="paragraph" w:customStyle="1" w:styleId="a20">
    <w:name w:val="a2"/>
    <w:basedOn w:val="10"/>
    <w:next w:val="a1"/>
    <w:autoRedefine/>
    <w:uiPriority w:val="99"/>
    <w:qFormat/>
    <w:rsid w:val="002A5A5E"/>
    <w:pPr>
      <w:keepNext w:val="0"/>
      <w:keepLines w:val="0"/>
      <w:widowControl/>
      <w:spacing w:before="120" w:after="0" w:line="360" w:lineRule="auto"/>
      <w:ind w:firstLineChars="177" w:firstLine="425"/>
      <w:jc w:val="center"/>
      <w:outlineLvl w:val="9"/>
    </w:pPr>
    <w:rPr>
      <w:rFonts w:ascii="黑体" w:eastAsia="黑体"/>
      <w:b w:val="0"/>
      <w:bCs w:val="0"/>
      <w:kern w:val="0"/>
      <w:sz w:val="24"/>
      <w:szCs w:val="21"/>
    </w:rPr>
  </w:style>
  <w:style w:type="paragraph" w:customStyle="1" w:styleId="3H3l3CT3h33rdlevelHeading3-oldISO2sect11">
    <w:name w:val="样式 标题 3H3l3CT标题 3(节)h33rd levelHeading 3 - oldISO2sect1...1"/>
    <w:basedOn w:val="30"/>
    <w:next w:val="a1"/>
    <w:autoRedefine/>
    <w:uiPriority w:val="99"/>
    <w:qFormat/>
    <w:rsid w:val="002A5A5E"/>
    <w:pPr>
      <w:tabs>
        <w:tab w:val="left" w:pos="720"/>
      </w:tabs>
      <w:adjustRightInd w:val="0"/>
      <w:spacing w:before="100" w:after="0" w:line="360" w:lineRule="auto"/>
      <w:jc w:val="left"/>
    </w:pPr>
    <w:rPr>
      <w:rFonts w:ascii="Times New Roman" w:hAnsi="Times New Roman"/>
      <w:kern w:val="0"/>
      <w:sz w:val="28"/>
      <w:szCs w:val="20"/>
    </w:rPr>
  </w:style>
  <w:style w:type="paragraph" w:customStyle="1" w:styleId="affffff9">
    <w:name w:val="悬挂式正文"/>
    <w:basedOn w:val="10"/>
    <w:next w:val="a1"/>
    <w:autoRedefine/>
    <w:uiPriority w:val="99"/>
    <w:qFormat/>
    <w:rsid w:val="002A5A5E"/>
    <w:pPr>
      <w:keepNext w:val="0"/>
      <w:keepLines w:val="0"/>
      <w:tabs>
        <w:tab w:val="center" w:pos="6804"/>
        <w:tab w:val="right" w:pos="7371"/>
      </w:tabs>
      <w:overflowPunct w:val="0"/>
      <w:adjustRightInd w:val="0"/>
      <w:spacing w:before="0" w:after="0" w:line="360" w:lineRule="auto"/>
      <w:ind w:left="1701" w:firstLineChars="177" w:hanging="1134"/>
      <w:outlineLvl w:val="9"/>
    </w:pPr>
    <w:rPr>
      <w:b w:val="0"/>
      <w:bCs w:val="0"/>
      <w:kern w:val="0"/>
      <w:sz w:val="28"/>
      <w:szCs w:val="20"/>
    </w:rPr>
  </w:style>
  <w:style w:type="paragraph" w:customStyle="1" w:styleId="affffffa">
    <w:name w:val="表格名称"/>
    <w:basedOn w:val="10"/>
    <w:next w:val="a1"/>
    <w:autoRedefine/>
    <w:uiPriority w:val="99"/>
    <w:qFormat/>
    <w:rsid w:val="002A5A5E"/>
    <w:pPr>
      <w:tabs>
        <w:tab w:val="left" w:pos="720"/>
      </w:tabs>
      <w:spacing w:beforeLines="20" w:after="0" w:line="440" w:lineRule="exact"/>
      <w:ind w:firstLineChars="177" w:firstLine="480"/>
      <w:outlineLvl w:val="9"/>
    </w:pPr>
    <w:rPr>
      <w:rFonts w:eastAsia="黑体"/>
      <w:b w:val="0"/>
      <w:bCs w:val="0"/>
      <w:kern w:val="2"/>
      <w:sz w:val="24"/>
      <w:szCs w:val="20"/>
    </w:rPr>
  </w:style>
  <w:style w:type="paragraph" w:customStyle="1" w:styleId="xl45">
    <w:name w:val="xl45"/>
    <w:basedOn w:val="10"/>
    <w:next w:val="a1"/>
    <w:autoRedefine/>
    <w:uiPriority w:val="99"/>
    <w:qFormat/>
    <w:rsid w:val="002A5A5E"/>
    <w:pPr>
      <w:keepNext w:val="0"/>
      <w:keepLines w:val="0"/>
      <w:widowControl/>
      <w:pBdr>
        <w:top w:val="single" w:sz="8" w:space="0" w:color="auto"/>
        <w:left w:val="single" w:sz="8" w:space="0" w:color="auto"/>
        <w:right w:val="single" w:sz="12"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07720">
    <w:name w:val="样式 首行缩进:  0.77 厘米 行距: 固定值 20 磅"/>
    <w:basedOn w:val="10"/>
    <w:next w:val="a1"/>
    <w:autoRedefine/>
    <w:uiPriority w:val="99"/>
    <w:qFormat/>
    <w:rsid w:val="002A5A5E"/>
    <w:pPr>
      <w:keepNext w:val="0"/>
      <w:keepLines w:val="0"/>
      <w:spacing w:before="0" w:after="0" w:line="360" w:lineRule="auto"/>
      <w:ind w:firstLineChars="177" w:firstLine="435"/>
      <w:outlineLvl w:val="9"/>
    </w:pPr>
    <w:rPr>
      <w:b w:val="0"/>
      <w:bCs w:val="0"/>
      <w:kern w:val="2"/>
      <w:sz w:val="24"/>
      <w:szCs w:val="20"/>
    </w:rPr>
  </w:style>
  <w:style w:type="character" w:customStyle="1" w:styleId="ltextChar">
    <w:name w:val="l_text Char"/>
    <w:link w:val="ltext"/>
    <w:qFormat/>
    <w:locked/>
    <w:rsid w:val="002A5A5E"/>
    <w:rPr>
      <w:rFonts w:ascii="宋体" w:eastAsia="宋体" w:hAnsi="宋体"/>
      <w:sz w:val="28"/>
      <w:szCs w:val="28"/>
      <w:lang w:val="en-GB"/>
    </w:rPr>
  </w:style>
  <w:style w:type="paragraph" w:customStyle="1" w:styleId="ltext">
    <w:name w:val="l_text"/>
    <w:basedOn w:val="10"/>
    <w:next w:val="a1"/>
    <w:link w:val="ltextChar"/>
    <w:autoRedefine/>
    <w:qFormat/>
    <w:rsid w:val="002A5A5E"/>
    <w:pPr>
      <w:keepNext w:val="0"/>
      <w:keepLines w:val="0"/>
      <w:widowControl/>
      <w:overflowPunct w:val="0"/>
      <w:autoSpaceDE w:val="0"/>
      <w:autoSpaceDN w:val="0"/>
      <w:adjustRightInd w:val="0"/>
      <w:spacing w:before="0" w:after="0" w:line="480" w:lineRule="exact"/>
      <w:ind w:firstLineChars="177" w:firstLine="567"/>
      <w:outlineLvl w:val="9"/>
    </w:pPr>
    <w:rPr>
      <w:rFonts w:ascii="宋体" w:hAnsi="宋体" w:cstheme="minorBidi"/>
      <w:b w:val="0"/>
      <w:bCs w:val="0"/>
      <w:kern w:val="2"/>
      <w:sz w:val="28"/>
      <w:szCs w:val="28"/>
      <w:lang w:val="en-GB"/>
    </w:rPr>
  </w:style>
  <w:style w:type="paragraph" w:customStyle="1" w:styleId="affffffb">
    <w:name w:val="一级条标题"/>
    <w:basedOn w:val="10"/>
    <w:next w:val="a1"/>
    <w:autoRedefine/>
    <w:uiPriority w:val="99"/>
    <w:qFormat/>
    <w:rsid w:val="002A5A5E"/>
    <w:pPr>
      <w:keepNext w:val="0"/>
      <w:keepLines w:val="0"/>
      <w:widowControl/>
      <w:tabs>
        <w:tab w:val="left" w:pos="360"/>
      </w:tabs>
      <w:spacing w:before="0" w:after="0" w:line="500" w:lineRule="atLeast"/>
      <w:ind w:left="360" w:hangingChars="200" w:hanging="360"/>
      <w:outlineLvl w:val="2"/>
    </w:pPr>
    <w:rPr>
      <w:rFonts w:ascii="黑体" w:eastAsia="黑体"/>
      <w:b w:val="0"/>
      <w:bCs w:val="0"/>
      <w:kern w:val="0"/>
      <w:sz w:val="24"/>
      <w:szCs w:val="20"/>
    </w:rPr>
  </w:style>
  <w:style w:type="paragraph" w:customStyle="1" w:styleId="73">
    <w:name w:val="7"/>
    <w:basedOn w:val="10"/>
    <w:next w:val="ac"/>
    <w:autoRedefine/>
    <w:uiPriority w:val="99"/>
    <w:qFormat/>
    <w:rsid w:val="002A5A5E"/>
    <w:pPr>
      <w:keepNext w:val="0"/>
      <w:keepLines w:val="0"/>
      <w:spacing w:before="0" w:after="0" w:line="400" w:lineRule="exact"/>
      <w:ind w:firstLineChars="215" w:firstLine="516"/>
      <w:outlineLvl w:val="9"/>
    </w:pPr>
    <w:rPr>
      <w:b w:val="0"/>
      <w:bCs w:val="0"/>
      <w:kern w:val="2"/>
      <w:sz w:val="24"/>
      <w:szCs w:val="24"/>
    </w:rPr>
  </w:style>
  <w:style w:type="paragraph" w:customStyle="1" w:styleId="1f4">
    <w:name w:val="图标1"/>
    <w:next w:val="a1"/>
    <w:autoRedefine/>
    <w:uiPriority w:val="99"/>
    <w:qFormat/>
    <w:rsid w:val="002A5A5E"/>
    <w:pPr>
      <w:spacing w:line="0" w:lineRule="atLeast"/>
      <w:jc w:val="center"/>
    </w:pPr>
    <w:rPr>
      <w:rFonts w:ascii="Times New Roman" w:eastAsia="宋体" w:hAnsi="Times New Roman" w:cs="Times New Roman"/>
      <w:kern w:val="2"/>
      <w:sz w:val="21"/>
    </w:rPr>
  </w:style>
  <w:style w:type="paragraph" w:customStyle="1" w:styleId="EIA3">
    <w:name w:val="EIA标题3"/>
    <w:basedOn w:val="30"/>
    <w:next w:val="a1"/>
    <w:autoRedefine/>
    <w:uiPriority w:val="99"/>
    <w:qFormat/>
    <w:rsid w:val="002A5A5E"/>
    <w:pPr>
      <w:tabs>
        <w:tab w:val="left" w:pos="720"/>
      </w:tabs>
      <w:spacing w:beforeLines="50" w:afterLines="50" w:line="440" w:lineRule="exact"/>
    </w:pPr>
    <w:rPr>
      <w:rFonts w:ascii="Times New Roman" w:eastAsia="楷体_GB2312" w:hAnsi="Times New Roman" w:cs="Times New Roman"/>
      <w:b/>
      <w:color w:val="000000"/>
      <w:kern w:val="0"/>
      <w:sz w:val="24"/>
      <w:szCs w:val="20"/>
    </w:rPr>
  </w:style>
  <w:style w:type="paragraph" w:customStyle="1" w:styleId="affffffc">
    <w:name w:val="法规列表"/>
    <w:basedOn w:val="10"/>
    <w:next w:val="a1"/>
    <w:autoRedefine/>
    <w:uiPriority w:val="99"/>
    <w:qFormat/>
    <w:rsid w:val="002A5A5E"/>
    <w:pPr>
      <w:keepNext w:val="0"/>
      <w:keepLines w:val="0"/>
      <w:tabs>
        <w:tab w:val="left" w:pos="420"/>
      </w:tabs>
      <w:spacing w:beforeLines="50" w:after="0" w:line="500" w:lineRule="atLeast"/>
      <w:ind w:left="432" w:firstLineChars="177" w:hanging="432"/>
      <w:outlineLvl w:val="9"/>
    </w:pPr>
    <w:rPr>
      <w:rFonts w:eastAsia="FangSong_GB2312"/>
      <w:b w:val="0"/>
      <w:bCs w:val="0"/>
      <w:kern w:val="2"/>
      <w:sz w:val="24"/>
      <w:szCs w:val="20"/>
    </w:rPr>
  </w:style>
  <w:style w:type="paragraph" w:customStyle="1" w:styleId="affffffd">
    <w:name w:val="个人情况"/>
    <w:basedOn w:val="ab"/>
    <w:next w:val="a1"/>
    <w:autoRedefine/>
    <w:uiPriority w:val="99"/>
    <w:qFormat/>
    <w:rsid w:val="002A5A5E"/>
    <w:pPr>
      <w:widowControl/>
      <w:overflowPunct w:val="0"/>
      <w:autoSpaceDE w:val="0"/>
      <w:autoSpaceDN w:val="0"/>
      <w:adjustRightInd w:val="0"/>
      <w:spacing w:after="160"/>
      <w:ind w:firstLineChars="177" w:firstLine="425"/>
      <w:jc w:val="left"/>
    </w:pPr>
    <w:rPr>
      <w:rFonts w:hAnsiTheme="minorHAnsi" w:cstheme="minorBidi" w:hint="eastAsia"/>
      <w:sz w:val="20"/>
      <w:szCs w:val="20"/>
    </w:rPr>
  </w:style>
  <w:style w:type="paragraph" w:customStyle="1" w:styleId="affffffe">
    <w:name w:val="河石管道 表格正文"/>
    <w:next w:val="a1"/>
    <w:autoRedefine/>
    <w:uiPriority w:val="99"/>
    <w:qFormat/>
    <w:rsid w:val="002A5A5E"/>
    <w:pPr>
      <w:jc w:val="center"/>
    </w:pPr>
    <w:rPr>
      <w:rFonts w:ascii="Times New Roman" w:eastAsia="宋体" w:hAnsi="Times New Roman" w:cs="Times New Roman"/>
      <w:kern w:val="2"/>
      <w:sz w:val="18"/>
      <w:szCs w:val="21"/>
    </w:rPr>
  </w:style>
  <w:style w:type="paragraph" w:customStyle="1" w:styleId="xl48">
    <w:name w:val="xl48"/>
    <w:basedOn w:val="10"/>
    <w:next w:val="a1"/>
    <w:autoRedefine/>
    <w:uiPriority w:val="99"/>
    <w:qFormat/>
    <w:rsid w:val="002A5A5E"/>
    <w:pPr>
      <w:keepNext w:val="0"/>
      <w:keepLines w:val="0"/>
      <w:widowControl/>
      <w:pBdr>
        <w:top w:val="single" w:sz="8" w:space="0" w:color="auto"/>
        <w:left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afffffff">
    <w:name w:val="正文缩近"/>
    <w:basedOn w:val="10"/>
    <w:next w:val="a1"/>
    <w:autoRedefine/>
    <w:uiPriority w:val="99"/>
    <w:qFormat/>
    <w:rsid w:val="002A5A5E"/>
    <w:pPr>
      <w:keepNext w:val="0"/>
      <w:keepLines w:val="0"/>
      <w:spacing w:before="0" w:after="0" w:line="360" w:lineRule="auto"/>
      <w:ind w:firstLineChars="200" w:firstLine="560"/>
      <w:outlineLvl w:val="9"/>
    </w:pPr>
    <w:rPr>
      <w:b w:val="0"/>
      <w:bCs w:val="0"/>
      <w:kern w:val="2"/>
      <w:sz w:val="28"/>
      <w:szCs w:val="28"/>
    </w:rPr>
  </w:style>
  <w:style w:type="paragraph" w:customStyle="1" w:styleId="font10">
    <w:name w:val="font10"/>
    <w:basedOn w:val="10"/>
    <w:next w:val="a1"/>
    <w:autoRedefine/>
    <w:qFormat/>
    <w:rsid w:val="002A5A5E"/>
    <w:pPr>
      <w:keepNext w:val="0"/>
      <w:keepLines w:val="0"/>
      <w:widowControl/>
      <w:spacing w:before="100" w:beforeAutospacing="1" w:after="100" w:afterAutospacing="1" w:line="500" w:lineRule="atLeast"/>
      <w:ind w:firstLineChars="177" w:firstLine="425"/>
      <w:jc w:val="left"/>
      <w:outlineLvl w:val="9"/>
    </w:pPr>
    <w:rPr>
      <w:rFonts w:ascii="Symbol" w:hAnsi="Symbol" w:cs="宋体"/>
      <w:b w:val="0"/>
      <w:bCs w:val="0"/>
      <w:color w:val="000000"/>
      <w:kern w:val="0"/>
      <w:sz w:val="24"/>
      <w:szCs w:val="21"/>
    </w:rPr>
  </w:style>
  <w:style w:type="paragraph" w:customStyle="1" w:styleId="xl34">
    <w:name w:val="xl34"/>
    <w:basedOn w:val="10"/>
    <w:next w:val="a1"/>
    <w:autoRedefine/>
    <w:uiPriority w:val="99"/>
    <w:qFormat/>
    <w:rsid w:val="002A5A5E"/>
    <w:pPr>
      <w:keepNext w:val="0"/>
      <w:keepLines w:val="0"/>
      <w:widowControl/>
      <w:pBdr>
        <w:bottom w:val="single" w:sz="4" w:space="0" w:color="auto"/>
        <w:right w:val="single" w:sz="4" w:space="0" w:color="auto"/>
      </w:pBdr>
      <w:spacing w:before="100" w:beforeAutospacing="1" w:after="100" w:afterAutospacing="1" w:line="500" w:lineRule="atLeast"/>
      <w:ind w:firstLineChars="177" w:firstLine="425"/>
      <w:jc w:val="center"/>
      <w:outlineLvl w:val="9"/>
    </w:pPr>
    <w:rPr>
      <w:rFonts w:ascii="楷体_GB2312" w:eastAsia="楷体_GB2312" w:hAnsi="Arial Unicode MS"/>
      <w:b w:val="0"/>
      <w:bCs w:val="0"/>
      <w:kern w:val="0"/>
      <w:sz w:val="24"/>
      <w:szCs w:val="24"/>
    </w:rPr>
  </w:style>
  <w:style w:type="paragraph" w:customStyle="1" w:styleId="xl31">
    <w:name w:val="xl31"/>
    <w:basedOn w:val="10"/>
    <w:next w:val="a1"/>
    <w:autoRedefine/>
    <w:uiPriority w:val="99"/>
    <w:qFormat/>
    <w:rsid w:val="002A5A5E"/>
    <w:pPr>
      <w:keepNext w:val="0"/>
      <w:keepLines w:val="0"/>
      <w:widowControl/>
      <w:pBdr>
        <w:bottom w:val="single" w:sz="12"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afffffff0">
    <w:name w:val="图表名称"/>
    <w:basedOn w:val="10"/>
    <w:next w:val="a1"/>
    <w:autoRedefine/>
    <w:uiPriority w:val="99"/>
    <w:qFormat/>
    <w:rsid w:val="002A5A5E"/>
    <w:pPr>
      <w:keepNext w:val="0"/>
      <w:keepLines w:val="0"/>
      <w:spacing w:beforeLines="50" w:after="0" w:line="400" w:lineRule="exact"/>
      <w:ind w:firstLineChars="177" w:firstLine="471"/>
      <w:jc w:val="center"/>
      <w:outlineLvl w:val="9"/>
    </w:pPr>
    <w:rPr>
      <w:rFonts w:ascii="宋体" w:eastAsia="黑体" w:hAnsi="宋体"/>
      <w:b w:val="0"/>
      <w:bCs w:val="0"/>
      <w:kern w:val="2"/>
      <w:sz w:val="24"/>
      <w:szCs w:val="24"/>
    </w:rPr>
  </w:style>
  <w:style w:type="paragraph" w:customStyle="1" w:styleId="afffffff1">
    <w:name w:val="单元格"/>
    <w:basedOn w:val="10"/>
    <w:next w:val="a1"/>
    <w:autoRedefine/>
    <w:uiPriority w:val="99"/>
    <w:qFormat/>
    <w:rsid w:val="002A5A5E"/>
    <w:pPr>
      <w:keepNext w:val="0"/>
      <w:keepLines w:val="0"/>
      <w:spacing w:before="0" w:after="0" w:line="500" w:lineRule="atLeast"/>
      <w:ind w:firstLineChars="177" w:firstLine="425"/>
      <w:jc w:val="center"/>
      <w:outlineLvl w:val="9"/>
    </w:pPr>
    <w:rPr>
      <w:rFonts w:ascii="楷体_GB2312" w:eastAsia="楷体_GB2312"/>
      <w:b w:val="0"/>
      <w:bCs w:val="0"/>
      <w:kern w:val="2"/>
      <w:sz w:val="24"/>
      <w:szCs w:val="20"/>
    </w:rPr>
  </w:style>
  <w:style w:type="paragraph" w:customStyle="1" w:styleId="DefaultParagraphFontParaCharCharChar">
    <w:name w:val="Default Paragraph Font Para Char Char Char"/>
    <w:basedOn w:val="10"/>
    <w:next w:val="a1"/>
    <w:autoRedefine/>
    <w:uiPriority w:val="99"/>
    <w:qFormat/>
    <w:rsid w:val="002A5A5E"/>
    <w:pPr>
      <w:keepNext w:val="0"/>
      <w:keepLines w:val="0"/>
      <w:widowControl/>
      <w:spacing w:before="0" w:after="160" w:line="240" w:lineRule="exact"/>
      <w:ind w:firstLineChars="177" w:firstLine="425"/>
      <w:jc w:val="left"/>
      <w:outlineLvl w:val="9"/>
    </w:pPr>
    <w:rPr>
      <w:rFonts w:ascii="Arial" w:hAnsi="Arial"/>
      <w:b w:val="0"/>
      <w:bCs w:val="0"/>
      <w:kern w:val="2"/>
      <w:sz w:val="24"/>
      <w:szCs w:val="24"/>
    </w:rPr>
  </w:style>
  <w:style w:type="paragraph" w:customStyle="1" w:styleId="font8">
    <w:name w:val="font8"/>
    <w:basedOn w:val="10"/>
    <w:next w:val="a1"/>
    <w:autoRedefine/>
    <w:qFormat/>
    <w:rsid w:val="002A5A5E"/>
    <w:pPr>
      <w:keepNext w:val="0"/>
      <w:keepLines w:val="0"/>
      <w:widowControl/>
      <w:spacing w:before="100" w:beforeAutospacing="1" w:after="100" w:afterAutospacing="1" w:line="500" w:lineRule="atLeast"/>
      <w:ind w:firstLineChars="177" w:firstLine="425"/>
      <w:jc w:val="left"/>
      <w:outlineLvl w:val="9"/>
    </w:pPr>
    <w:rPr>
      <w:b w:val="0"/>
      <w:bCs w:val="0"/>
      <w:color w:val="000000"/>
      <w:kern w:val="0"/>
      <w:sz w:val="24"/>
      <w:szCs w:val="21"/>
    </w:rPr>
  </w:style>
  <w:style w:type="paragraph" w:customStyle="1" w:styleId="1520">
    <w:name w:val="样式 日期 + 宋体 行距: 1.5 倍行距2"/>
    <w:basedOn w:val="af"/>
    <w:next w:val="a1"/>
    <w:autoRedefine/>
    <w:uiPriority w:val="99"/>
    <w:qFormat/>
    <w:rsid w:val="002A5A5E"/>
    <w:pPr>
      <w:widowControl/>
      <w:overflowPunct w:val="0"/>
      <w:autoSpaceDE w:val="0"/>
      <w:autoSpaceDN w:val="0"/>
      <w:adjustRightInd w:val="0"/>
      <w:spacing w:line="480" w:lineRule="exact"/>
      <w:ind w:leftChars="0" w:left="0" w:firstLineChars="177" w:firstLine="425"/>
    </w:pPr>
    <w:rPr>
      <w:rFonts w:ascii="宋体" w:hAnsi="宋体" w:cs="宋体"/>
      <w:color w:val="000000"/>
      <w:kern w:val="0"/>
      <w:sz w:val="28"/>
      <w:szCs w:val="20"/>
      <w:lang w:val="en-GB"/>
    </w:rPr>
  </w:style>
  <w:style w:type="paragraph" w:customStyle="1" w:styleId="afffffff2">
    <w:name w:val="表体"/>
    <w:basedOn w:val="afff"/>
    <w:next w:val="a1"/>
    <w:autoRedefine/>
    <w:uiPriority w:val="99"/>
    <w:qFormat/>
    <w:rsid w:val="002A5A5E"/>
    <w:pPr>
      <w:overflowPunct w:val="0"/>
      <w:spacing w:line="360" w:lineRule="exact"/>
      <w:ind w:left="-57" w:right="-57"/>
    </w:pPr>
    <w:rPr>
      <w:color w:val="000080"/>
      <w:kern w:val="24"/>
      <w:szCs w:val="20"/>
    </w:rPr>
  </w:style>
  <w:style w:type="paragraph" w:customStyle="1" w:styleId="085">
    <w:name w:val="样式 样式表格 + 首行缩进:  0.85 厘米"/>
    <w:basedOn w:val="afffff5"/>
    <w:next w:val="a1"/>
    <w:autoRedefine/>
    <w:uiPriority w:val="99"/>
    <w:qFormat/>
    <w:rsid w:val="002A5A5E"/>
    <w:pPr>
      <w:spacing w:line="320" w:lineRule="exact"/>
    </w:pPr>
    <w:rPr>
      <w:rFonts w:cs="宋体"/>
      <w:szCs w:val="20"/>
    </w:rPr>
  </w:style>
  <w:style w:type="paragraph" w:customStyle="1" w:styleId="y0">
    <w:name w:val="y表头"/>
    <w:basedOn w:val="ab"/>
    <w:next w:val="a1"/>
    <w:autoRedefine/>
    <w:uiPriority w:val="99"/>
    <w:qFormat/>
    <w:rsid w:val="002A5A5E"/>
    <w:pPr>
      <w:tabs>
        <w:tab w:val="left" w:pos="900"/>
      </w:tabs>
      <w:adjustRightInd w:val="0"/>
      <w:spacing w:after="0"/>
      <w:ind w:firstLineChars="177" w:firstLine="425"/>
      <w:jc w:val="center"/>
    </w:pPr>
    <w:rPr>
      <w:rFonts w:ascii="宋体" w:eastAsia="楷体_GB2312" w:hAnsi="宋体" w:cstheme="minorBidi" w:hint="eastAsia"/>
      <w:b/>
      <w:sz w:val="24"/>
      <w:szCs w:val="20"/>
    </w:rPr>
  </w:style>
  <w:style w:type="paragraph" w:customStyle="1" w:styleId="xl32">
    <w:name w:val="xl32"/>
    <w:basedOn w:val="10"/>
    <w:next w:val="a1"/>
    <w:autoRedefine/>
    <w:uiPriority w:val="99"/>
    <w:qFormat/>
    <w:rsid w:val="002A5A5E"/>
    <w:pPr>
      <w:keepNext w:val="0"/>
      <w:keepLines w:val="0"/>
      <w:widowControl/>
      <w:pBdr>
        <w:top w:val="single" w:sz="12"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yz">
    <w:name w:val="yz"/>
    <w:basedOn w:val="ab"/>
    <w:next w:val="a1"/>
    <w:autoRedefine/>
    <w:uiPriority w:val="99"/>
    <w:qFormat/>
    <w:rsid w:val="002A5A5E"/>
    <w:pPr>
      <w:tabs>
        <w:tab w:val="left" w:pos="900"/>
      </w:tabs>
      <w:adjustRightInd w:val="0"/>
      <w:spacing w:after="0"/>
      <w:ind w:firstLineChars="200" w:firstLine="200"/>
    </w:pPr>
    <w:rPr>
      <w:rFonts w:ascii="宋体" w:hAnsi="宋体" w:cstheme="minorBidi" w:hint="eastAsia"/>
      <w:sz w:val="24"/>
      <w:szCs w:val="20"/>
    </w:rPr>
  </w:style>
  <w:style w:type="paragraph" w:customStyle="1" w:styleId="1f5">
    <w:name w:val="图表目录1"/>
    <w:basedOn w:val="15"/>
    <w:next w:val="15"/>
    <w:autoRedefine/>
    <w:uiPriority w:val="99"/>
    <w:qFormat/>
    <w:rsid w:val="002A5A5E"/>
    <w:pPr>
      <w:tabs>
        <w:tab w:val="right" w:leader="dot" w:pos="8051"/>
      </w:tabs>
      <w:ind w:left="840" w:hanging="840"/>
    </w:pPr>
    <w:rPr>
      <w:rFonts w:hAnsi="Calibri"/>
      <w:szCs w:val="20"/>
    </w:rPr>
  </w:style>
  <w:style w:type="character" w:customStyle="1" w:styleId="001Char1">
    <w:name w:val="正文001 Char1"/>
    <w:link w:val="001"/>
    <w:qFormat/>
    <w:locked/>
    <w:rsid w:val="002A5A5E"/>
    <w:rPr>
      <w:rFonts w:ascii="Arial" w:hAnsi="Arial" w:cs="Arial"/>
      <w:sz w:val="24"/>
    </w:rPr>
  </w:style>
  <w:style w:type="paragraph" w:customStyle="1" w:styleId="001">
    <w:name w:val="正文001"/>
    <w:basedOn w:val="10"/>
    <w:next w:val="a1"/>
    <w:link w:val="001Char1"/>
    <w:autoRedefine/>
    <w:qFormat/>
    <w:rsid w:val="002A5A5E"/>
    <w:pPr>
      <w:keepNext w:val="0"/>
      <w:keepLines w:val="0"/>
      <w:spacing w:before="60" w:after="0" w:line="360" w:lineRule="auto"/>
      <w:ind w:firstLineChars="200" w:firstLine="200"/>
      <w:outlineLvl w:val="9"/>
    </w:pPr>
    <w:rPr>
      <w:rFonts w:ascii="Arial" w:eastAsiaTheme="minorEastAsia" w:hAnsi="Arial" w:cs="Arial"/>
      <w:b w:val="0"/>
      <w:bCs w:val="0"/>
      <w:kern w:val="2"/>
      <w:sz w:val="24"/>
      <w:szCs w:val="22"/>
    </w:rPr>
  </w:style>
  <w:style w:type="paragraph" w:customStyle="1" w:styleId="xl28">
    <w:name w:val="xl28"/>
    <w:basedOn w:val="10"/>
    <w:next w:val="a1"/>
    <w:autoRedefine/>
    <w:uiPriority w:val="99"/>
    <w:qFormat/>
    <w:rsid w:val="002A5A5E"/>
    <w:pPr>
      <w:keepNext w:val="0"/>
      <w:keepLines w:val="0"/>
      <w:widowControl/>
      <w:pBdr>
        <w:bottom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Charff5">
    <w:name w:val="表 头 Char"/>
    <w:basedOn w:val="10"/>
    <w:next w:val="a1"/>
    <w:autoRedefine/>
    <w:uiPriority w:val="99"/>
    <w:qFormat/>
    <w:rsid w:val="002A5A5E"/>
    <w:pPr>
      <w:keepNext w:val="0"/>
      <w:keepLines w:val="0"/>
      <w:adjustRightInd w:val="0"/>
      <w:spacing w:before="120" w:after="120" w:line="360" w:lineRule="atLeast"/>
      <w:ind w:firstLineChars="177" w:firstLine="425"/>
      <w:jc w:val="center"/>
      <w:outlineLvl w:val="9"/>
    </w:pPr>
    <w:rPr>
      <w:rFonts w:eastAsia="黑体"/>
      <w:b w:val="0"/>
      <w:bCs w:val="0"/>
      <w:spacing w:val="10"/>
      <w:kern w:val="0"/>
      <w:sz w:val="24"/>
      <w:szCs w:val="20"/>
    </w:rPr>
  </w:style>
  <w:style w:type="paragraph" w:customStyle="1" w:styleId="67">
    <w:name w:val="6"/>
    <w:basedOn w:val="10"/>
    <w:next w:val="ac"/>
    <w:link w:val="6Char0"/>
    <w:autoRedefine/>
    <w:qFormat/>
    <w:rsid w:val="002A5A5E"/>
    <w:pPr>
      <w:keepNext w:val="0"/>
      <w:keepLines w:val="0"/>
      <w:spacing w:before="0" w:after="0" w:line="400" w:lineRule="exact"/>
      <w:ind w:firstLineChars="215" w:firstLine="516"/>
      <w:outlineLvl w:val="9"/>
    </w:pPr>
    <w:rPr>
      <w:b w:val="0"/>
      <w:bCs w:val="0"/>
      <w:kern w:val="2"/>
      <w:sz w:val="24"/>
      <w:szCs w:val="24"/>
    </w:rPr>
  </w:style>
  <w:style w:type="character" w:customStyle="1" w:styleId="cucd-TBChar">
    <w:name w:val="cucd-TB Char"/>
    <w:link w:val="cucd-TB"/>
    <w:qFormat/>
    <w:locked/>
    <w:rsid w:val="002A5A5E"/>
    <w:rPr>
      <w:szCs w:val="24"/>
    </w:rPr>
  </w:style>
  <w:style w:type="paragraph" w:customStyle="1" w:styleId="cucd-TB">
    <w:name w:val="cucd-TB"/>
    <w:next w:val="a1"/>
    <w:link w:val="cucd-TBChar"/>
    <w:autoRedefine/>
    <w:qFormat/>
    <w:rsid w:val="002A5A5E"/>
    <w:pPr>
      <w:spacing w:line="360" w:lineRule="auto"/>
      <w:jc w:val="center"/>
    </w:pPr>
    <w:rPr>
      <w:kern w:val="2"/>
      <w:sz w:val="21"/>
      <w:szCs w:val="24"/>
    </w:rPr>
  </w:style>
  <w:style w:type="paragraph" w:customStyle="1" w:styleId="afffffff3">
    <w:name w:val="标准条文"/>
    <w:basedOn w:val="Default"/>
    <w:next w:val="Default"/>
    <w:autoRedefine/>
    <w:uiPriority w:val="99"/>
    <w:qFormat/>
    <w:rsid w:val="002A5A5E"/>
    <w:rPr>
      <w:rFonts w:hAnsi="Calibri" w:cs="Times New Roman"/>
      <w:color w:val="auto"/>
    </w:rPr>
  </w:style>
  <w:style w:type="paragraph" w:customStyle="1" w:styleId="ParaCharCharCharCharCharChar1CharCharCharChar">
    <w:name w:val="默认段落字体 Para Char Char Char Char Char Char1 Char Char Char Char"/>
    <w:basedOn w:val="10"/>
    <w:next w:val="a1"/>
    <w:autoRedefine/>
    <w:uiPriority w:val="99"/>
    <w:qFormat/>
    <w:rsid w:val="002A5A5E"/>
    <w:pPr>
      <w:keepNext w:val="0"/>
      <w:keepLines w:val="0"/>
      <w:snapToGrid w:val="0"/>
      <w:spacing w:before="0" w:after="0" w:line="360" w:lineRule="auto"/>
      <w:ind w:firstLineChars="200" w:firstLine="200"/>
      <w:outlineLvl w:val="9"/>
    </w:pPr>
    <w:rPr>
      <w:rFonts w:eastAsia="FangSong_GB2312"/>
      <w:b w:val="0"/>
      <w:bCs w:val="0"/>
      <w:kern w:val="2"/>
      <w:sz w:val="24"/>
      <w:szCs w:val="24"/>
    </w:rPr>
  </w:style>
  <w:style w:type="paragraph" w:customStyle="1" w:styleId="1f6">
    <w:name w:val="1文章"/>
    <w:basedOn w:val="10"/>
    <w:next w:val="a1"/>
    <w:autoRedefine/>
    <w:uiPriority w:val="99"/>
    <w:qFormat/>
    <w:rsid w:val="002A5A5E"/>
    <w:pPr>
      <w:keepNext w:val="0"/>
      <w:keepLines w:val="0"/>
      <w:snapToGrid w:val="0"/>
      <w:spacing w:before="0" w:after="0" w:line="420" w:lineRule="auto"/>
      <w:ind w:firstLineChars="177" w:firstLine="516"/>
      <w:outlineLvl w:val="9"/>
    </w:pPr>
    <w:rPr>
      <w:b w:val="0"/>
      <w:bCs w:val="0"/>
      <w:color w:val="000000"/>
      <w:kern w:val="2"/>
      <w:sz w:val="24"/>
      <w:szCs w:val="24"/>
    </w:rPr>
  </w:style>
  <w:style w:type="character" w:customStyle="1" w:styleId="cucd-TB-HeadChar">
    <w:name w:val="cucd-TB-Head Char"/>
    <w:link w:val="cucd-TB-Head"/>
    <w:qFormat/>
    <w:locked/>
    <w:rsid w:val="002A5A5E"/>
    <w:rPr>
      <w:rFonts w:ascii="宋体" w:eastAsia="黑体" w:hAnsi="宋体"/>
      <w:color w:val="548DD4"/>
      <w:sz w:val="24"/>
      <w:szCs w:val="21"/>
    </w:rPr>
  </w:style>
  <w:style w:type="paragraph" w:customStyle="1" w:styleId="cucd-TB-Head">
    <w:name w:val="cucd-TB-Head"/>
    <w:basedOn w:val="10"/>
    <w:next w:val="cucd-0"/>
    <w:link w:val="cucd-TB-HeadChar"/>
    <w:autoRedefine/>
    <w:qFormat/>
    <w:rsid w:val="002A5A5E"/>
    <w:pPr>
      <w:keepNext w:val="0"/>
      <w:keepLines w:val="0"/>
      <w:spacing w:before="120" w:after="0" w:line="360" w:lineRule="auto"/>
      <w:ind w:firstLineChars="177" w:firstLine="425"/>
      <w:jc w:val="center"/>
      <w:outlineLvl w:val="9"/>
    </w:pPr>
    <w:rPr>
      <w:rFonts w:ascii="宋体" w:eastAsia="黑体" w:hAnsi="宋体" w:cstheme="minorBidi"/>
      <w:b w:val="0"/>
      <w:bCs w:val="0"/>
      <w:color w:val="548DD4"/>
      <w:kern w:val="2"/>
      <w:sz w:val="24"/>
      <w:szCs w:val="21"/>
    </w:rPr>
  </w:style>
  <w:style w:type="character" w:customStyle="1" w:styleId="Char1d">
    <w:name w:val="表 头 Char1"/>
    <w:link w:val="afffffff4"/>
    <w:qFormat/>
    <w:locked/>
    <w:rsid w:val="002A5A5E"/>
    <w:rPr>
      <w:rFonts w:ascii="黑体" w:eastAsia="黑体" w:hAnsi="黑体"/>
      <w:spacing w:val="10"/>
      <w:sz w:val="24"/>
    </w:rPr>
  </w:style>
  <w:style w:type="paragraph" w:customStyle="1" w:styleId="afffffff4">
    <w:name w:val="表 头"/>
    <w:basedOn w:val="10"/>
    <w:next w:val="a1"/>
    <w:link w:val="Char1d"/>
    <w:autoRedefine/>
    <w:qFormat/>
    <w:rsid w:val="002A5A5E"/>
    <w:pPr>
      <w:keepNext w:val="0"/>
      <w:keepLines w:val="0"/>
      <w:adjustRightInd w:val="0"/>
      <w:spacing w:before="60" w:after="120" w:line="360" w:lineRule="atLeast"/>
      <w:ind w:firstLineChars="177" w:firstLine="425"/>
      <w:jc w:val="center"/>
      <w:outlineLvl w:val="9"/>
    </w:pPr>
    <w:rPr>
      <w:rFonts w:ascii="黑体" w:eastAsia="黑体" w:hAnsi="黑体" w:cstheme="minorBidi"/>
      <w:b w:val="0"/>
      <w:bCs w:val="0"/>
      <w:spacing w:val="10"/>
      <w:kern w:val="2"/>
      <w:sz w:val="24"/>
      <w:szCs w:val="22"/>
    </w:rPr>
  </w:style>
  <w:style w:type="paragraph" w:customStyle="1" w:styleId="CharChar1Char">
    <w:name w:val="Char Char1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afffffff5">
    <w:name w:val="报告书表格"/>
    <w:basedOn w:val="10"/>
    <w:next w:val="a1"/>
    <w:autoRedefine/>
    <w:uiPriority w:val="99"/>
    <w:qFormat/>
    <w:rsid w:val="002A5A5E"/>
    <w:pPr>
      <w:keepNext w:val="0"/>
      <w:keepLines w:val="0"/>
      <w:adjustRightInd w:val="0"/>
      <w:spacing w:before="60" w:after="60" w:line="240" w:lineRule="atLeast"/>
      <w:ind w:firstLineChars="177" w:firstLine="425"/>
      <w:jc w:val="center"/>
      <w:outlineLvl w:val="9"/>
    </w:pPr>
    <w:rPr>
      <w:b w:val="0"/>
      <w:bCs w:val="0"/>
      <w:kern w:val="0"/>
      <w:sz w:val="24"/>
      <w:szCs w:val="20"/>
    </w:rPr>
  </w:style>
  <w:style w:type="paragraph" w:customStyle="1" w:styleId="afffffff6">
    <w:name w:val="段"/>
    <w:next w:val="a1"/>
    <w:autoRedefine/>
    <w:uiPriority w:val="99"/>
    <w:qFormat/>
    <w:rsid w:val="002A5A5E"/>
    <w:pPr>
      <w:autoSpaceDE w:val="0"/>
      <w:autoSpaceDN w:val="0"/>
      <w:ind w:firstLineChars="200" w:firstLine="200"/>
      <w:jc w:val="both"/>
    </w:pPr>
    <w:rPr>
      <w:rFonts w:ascii="宋体" w:eastAsia="宋体" w:hAnsi="Times New Roman" w:cs="Times New Roman"/>
      <w:sz w:val="21"/>
    </w:rPr>
  </w:style>
  <w:style w:type="paragraph" w:customStyle="1" w:styleId="CharCharCharCharCharCharCharChar2CharCharCharCharCharCharCharCharCharCharCharCharChar">
    <w:name w:val="Char Char Char Char Char Char Char Char2 Char Char Char Char Char Char Char Char Char Char Char Char Char"/>
    <w:basedOn w:val="10"/>
    <w:next w:val="a1"/>
    <w:autoRedefine/>
    <w:uiPriority w:val="99"/>
    <w:qFormat/>
    <w:rsid w:val="002A5A5E"/>
    <w:pPr>
      <w:keepNext w:val="0"/>
      <w:keepLines w:val="0"/>
      <w:spacing w:before="0" w:after="0" w:line="336" w:lineRule="auto"/>
      <w:ind w:firstLineChars="200" w:firstLine="200"/>
      <w:outlineLvl w:val="9"/>
    </w:pPr>
    <w:rPr>
      <w:rFonts w:ascii="宋体" w:eastAsia="汉鼎简书宋" w:hAnsi="宋体" w:cs="宋体"/>
      <w:b w:val="0"/>
      <w:bCs w:val="0"/>
      <w:spacing w:val="4"/>
      <w:kern w:val="2"/>
      <w:sz w:val="24"/>
      <w:szCs w:val="24"/>
    </w:rPr>
  </w:style>
  <w:style w:type="paragraph" w:customStyle="1" w:styleId="afffffff7">
    <w:name w:val="表头名称"/>
    <w:basedOn w:val="a6"/>
    <w:next w:val="a1"/>
    <w:autoRedefine/>
    <w:uiPriority w:val="99"/>
    <w:qFormat/>
    <w:rsid w:val="002A5A5E"/>
    <w:pPr>
      <w:autoSpaceDE w:val="0"/>
      <w:autoSpaceDN w:val="0"/>
      <w:snapToGrid/>
      <w:spacing w:line="360" w:lineRule="auto"/>
      <w:ind w:firstLineChars="177" w:firstLine="0"/>
      <w:jc w:val="center"/>
    </w:pPr>
    <w:rPr>
      <w:rFonts w:ascii="黑体" w:eastAsia="黑体" w:hAnsi="宋体"/>
      <w:sz w:val="24"/>
      <w:szCs w:val="20"/>
    </w:rPr>
  </w:style>
  <w:style w:type="paragraph" w:customStyle="1" w:styleId="font12">
    <w:name w:val="font12"/>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Symbol" w:hAnsi="Symbol" w:cs="宋体"/>
      <w:b w:val="0"/>
      <w:bCs w:val="0"/>
      <w:color w:val="000000"/>
      <w:kern w:val="0"/>
      <w:sz w:val="24"/>
      <w:szCs w:val="21"/>
    </w:rPr>
  </w:style>
  <w:style w:type="paragraph" w:customStyle="1" w:styleId="AFTERTITLE">
    <w:name w:val="AFTERTITLE"/>
    <w:basedOn w:val="10"/>
    <w:next w:val="a1"/>
    <w:autoRedefine/>
    <w:uiPriority w:val="99"/>
    <w:qFormat/>
    <w:rsid w:val="002A5A5E"/>
    <w:pPr>
      <w:keepNext w:val="0"/>
      <w:keepLines w:val="0"/>
      <w:widowControl/>
      <w:spacing w:before="0" w:after="0" w:line="360" w:lineRule="atLeast"/>
      <w:ind w:firstLineChars="200" w:firstLine="200"/>
      <w:jc w:val="center"/>
      <w:outlineLvl w:val="9"/>
    </w:pPr>
    <w:rPr>
      <w:bCs w:val="0"/>
      <w:caps/>
      <w:kern w:val="0"/>
      <w:sz w:val="24"/>
      <w:szCs w:val="20"/>
      <w:lang w:val="fr-FR"/>
    </w:rPr>
  </w:style>
  <w:style w:type="paragraph" w:customStyle="1" w:styleId="font6">
    <w:name w:val="font6"/>
    <w:basedOn w:val="10"/>
    <w:next w:val="a1"/>
    <w:autoRedefine/>
    <w:qFormat/>
    <w:rsid w:val="002A5A5E"/>
    <w:pPr>
      <w:keepNext w:val="0"/>
      <w:keepLines w:val="0"/>
      <w:widowControl/>
      <w:spacing w:before="100" w:beforeAutospacing="1" w:after="100" w:afterAutospacing="1" w:line="500" w:lineRule="atLeast"/>
      <w:ind w:firstLineChars="177" w:firstLine="425"/>
      <w:jc w:val="left"/>
      <w:outlineLvl w:val="9"/>
    </w:pPr>
    <w:rPr>
      <w:b w:val="0"/>
      <w:bCs w:val="0"/>
      <w:color w:val="000000"/>
      <w:kern w:val="0"/>
      <w:sz w:val="24"/>
      <w:szCs w:val="21"/>
    </w:rPr>
  </w:style>
  <w:style w:type="paragraph" w:customStyle="1" w:styleId="afffffff8">
    <w:name w:val="表序"/>
    <w:basedOn w:val="10"/>
    <w:next w:val="a1"/>
    <w:autoRedefine/>
    <w:uiPriority w:val="99"/>
    <w:qFormat/>
    <w:rsid w:val="002A5A5E"/>
    <w:pPr>
      <w:keepNext w:val="0"/>
      <w:keepLines w:val="0"/>
      <w:snapToGrid w:val="0"/>
      <w:spacing w:before="0" w:after="0" w:line="400" w:lineRule="exact"/>
      <w:ind w:firstLineChars="177" w:firstLine="425"/>
      <w:outlineLvl w:val="9"/>
    </w:pPr>
    <w:rPr>
      <w:rFonts w:ascii="宋体" w:hAnsi="宋体"/>
      <w:b w:val="0"/>
      <w:bCs w:val="0"/>
      <w:kern w:val="0"/>
      <w:sz w:val="24"/>
      <w:szCs w:val="20"/>
    </w:rPr>
  </w:style>
  <w:style w:type="paragraph" w:customStyle="1" w:styleId="2f6">
    <w:name w:val="段落2"/>
    <w:basedOn w:val="10"/>
    <w:next w:val="a1"/>
    <w:autoRedefine/>
    <w:uiPriority w:val="99"/>
    <w:qFormat/>
    <w:rsid w:val="002A5A5E"/>
    <w:pPr>
      <w:keepNext w:val="0"/>
      <w:keepLines w:val="0"/>
      <w:adjustRightInd w:val="0"/>
      <w:spacing w:before="0" w:after="0" w:line="440" w:lineRule="atLeast"/>
      <w:ind w:firstLineChars="177" w:firstLine="425"/>
      <w:outlineLvl w:val="9"/>
    </w:pPr>
    <w:rPr>
      <w:b w:val="0"/>
      <w:bCs w:val="0"/>
      <w:spacing w:val="6"/>
      <w:kern w:val="2"/>
      <w:sz w:val="28"/>
      <w:szCs w:val="20"/>
    </w:rPr>
  </w:style>
  <w:style w:type="paragraph" w:customStyle="1" w:styleId="afffffff9">
    <w:name w:val="公式题注"/>
    <w:next w:val="a1"/>
    <w:autoRedefine/>
    <w:uiPriority w:val="99"/>
    <w:qFormat/>
    <w:rsid w:val="002A5A5E"/>
    <w:pPr>
      <w:spacing w:line="0" w:lineRule="atLeast"/>
      <w:jc w:val="right"/>
    </w:pPr>
    <w:rPr>
      <w:rFonts w:ascii="Times New Roman" w:eastAsia="黑体" w:hAnsi="Times New Roman" w:cs="Times New Roman"/>
      <w:kern w:val="2"/>
      <w:sz w:val="24"/>
    </w:rPr>
  </w:style>
  <w:style w:type="paragraph" w:customStyle="1" w:styleId="1f7">
    <w:name w:val="尾注文本1"/>
    <w:basedOn w:val="15"/>
    <w:next w:val="a1"/>
    <w:autoRedefine/>
    <w:uiPriority w:val="99"/>
    <w:qFormat/>
    <w:rsid w:val="002A5A5E"/>
    <w:rPr>
      <w:rFonts w:hAnsi="Calibri"/>
      <w:sz w:val="21"/>
      <w:szCs w:val="20"/>
    </w:rPr>
  </w:style>
  <w:style w:type="paragraph" w:customStyle="1" w:styleId="1f8">
    <w:name w:val="正文文字缩进1"/>
    <w:basedOn w:val="ac"/>
    <w:next w:val="a1"/>
    <w:autoRedefine/>
    <w:uiPriority w:val="99"/>
    <w:qFormat/>
    <w:rsid w:val="002A5A5E"/>
    <w:pPr>
      <w:spacing w:line="360" w:lineRule="auto"/>
      <w:ind w:firstLineChars="0" w:firstLine="551"/>
    </w:pPr>
    <w:rPr>
      <w:rFonts w:ascii="黑体" w:eastAsia="黑体"/>
      <w:b/>
      <w:sz w:val="28"/>
      <w:szCs w:val="20"/>
    </w:rPr>
  </w:style>
  <w:style w:type="character" w:customStyle="1" w:styleId="4Char0">
    <w:name w:val="样式4 Char"/>
    <w:link w:val="45"/>
    <w:qFormat/>
    <w:locked/>
    <w:rsid w:val="002A5A5E"/>
    <w:rPr>
      <w:rFonts w:ascii="宋体" w:eastAsia="宋体" w:hAnsi="宋体"/>
      <w:bCs/>
      <w:sz w:val="24"/>
      <w:szCs w:val="24"/>
    </w:rPr>
  </w:style>
  <w:style w:type="paragraph" w:customStyle="1" w:styleId="45">
    <w:name w:val="样式4"/>
    <w:basedOn w:val="ab"/>
    <w:next w:val="a1"/>
    <w:link w:val="4Char0"/>
    <w:autoRedefine/>
    <w:qFormat/>
    <w:rsid w:val="002A5A5E"/>
    <w:pPr>
      <w:spacing w:before="156" w:after="0" w:line="360" w:lineRule="auto"/>
      <w:ind w:firstLineChars="200" w:firstLine="480"/>
    </w:pPr>
    <w:rPr>
      <w:rFonts w:ascii="宋体" w:hAnsi="宋体" w:cstheme="minorBidi"/>
      <w:bCs/>
      <w:sz w:val="24"/>
    </w:rPr>
  </w:style>
  <w:style w:type="paragraph" w:customStyle="1" w:styleId="afffffffa">
    <w:name w:val="项目编号"/>
    <w:basedOn w:val="10"/>
    <w:next w:val="a1"/>
    <w:autoRedefine/>
    <w:uiPriority w:val="99"/>
    <w:qFormat/>
    <w:rsid w:val="002A5A5E"/>
    <w:pPr>
      <w:keepNext w:val="0"/>
      <w:keepLines w:val="0"/>
      <w:spacing w:before="120" w:after="120" w:line="360" w:lineRule="auto"/>
      <w:ind w:firstLineChars="177" w:firstLine="425"/>
      <w:outlineLvl w:val="9"/>
    </w:pPr>
    <w:rPr>
      <w:b w:val="0"/>
      <w:bCs w:val="0"/>
      <w:kern w:val="2"/>
      <w:sz w:val="24"/>
      <w:szCs w:val="20"/>
    </w:rPr>
  </w:style>
  <w:style w:type="paragraph" w:customStyle="1" w:styleId="CharCharCharCharCharCharCharCharCharCharChar">
    <w:name w:val="Char Char Char Char Char Char Char Char Char Char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2220">
    <w:name w:val="样式 样式 样式 首行缩进:  2 字符 + 首行缩进:  2 字符 + 首行缩进:  2 字符"/>
    <w:basedOn w:val="10"/>
    <w:next w:val="a1"/>
    <w:autoRedefine/>
    <w:uiPriority w:val="99"/>
    <w:qFormat/>
    <w:rsid w:val="002A5A5E"/>
    <w:pPr>
      <w:keepNext w:val="0"/>
      <w:keepLines w:val="0"/>
      <w:spacing w:before="0" w:after="0" w:line="500" w:lineRule="atLeast"/>
      <w:ind w:firstLineChars="200" w:firstLine="567"/>
      <w:outlineLvl w:val="9"/>
    </w:pPr>
    <w:rPr>
      <w:rFonts w:ascii="宋体"/>
      <w:b w:val="0"/>
      <w:bCs w:val="0"/>
      <w:kern w:val="2"/>
      <w:sz w:val="27"/>
      <w:szCs w:val="20"/>
    </w:rPr>
  </w:style>
  <w:style w:type="paragraph" w:customStyle="1" w:styleId="afffffffb">
    <w:name w:val="表、图名"/>
    <w:basedOn w:val="10"/>
    <w:next w:val="a1"/>
    <w:autoRedefine/>
    <w:uiPriority w:val="99"/>
    <w:qFormat/>
    <w:rsid w:val="002A5A5E"/>
    <w:pPr>
      <w:keepNext w:val="0"/>
      <w:keepLines w:val="0"/>
      <w:adjustRightInd w:val="0"/>
      <w:snapToGrid w:val="0"/>
      <w:spacing w:before="0" w:after="0" w:line="360" w:lineRule="auto"/>
      <w:ind w:firstLineChars="177" w:firstLine="482"/>
      <w:jc w:val="center"/>
      <w:outlineLvl w:val="9"/>
    </w:pPr>
    <w:rPr>
      <w:rFonts w:hAnsi="宋体"/>
      <w:bCs w:val="0"/>
      <w:color w:val="000000"/>
      <w:kern w:val="0"/>
      <w:sz w:val="24"/>
      <w:szCs w:val="21"/>
    </w:rPr>
  </w:style>
  <w:style w:type="paragraph" w:customStyle="1" w:styleId="1f9">
    <w:name w:val="正文 1"/>
    <w:basedOn w:val="10"/>
    <w:next w:val="a1"/>
    <w:autoRedefine/>
    <w:uiPriority w:val="99"/>
    <w:qFormat/>
    <w:rsid w:val="002A5A5E"/>
    <w:pPr>
      <w:keepNext w:val="0"/>
      <w:keepLines w:val="0"/>
      <w:spacing w:before="0" w:after="0" w:line="480" w:lineRule="exact"/>
      <w:ind w:firstLineChars="177" w:firstLine="567"/>
      <w:outlineLvl w:val="9"/>
    </w:pPr>
    <w:rPr>
      <w:b w:val="0"/>
      <w:bCs w:val="0"/>
      <w:kern w:val="2"/>
      <w:sz w:val="28"/>
      <w:szCs w:val="20"/>
    </w:rPr>
  </w:style>
  <w:style w:type="paragraph" w:customStyle="1" w:styleId="z">
    <w:name w:val="z正文"/>
    <w:basedOn w:val="ac"/>
    <w:next w:val="a1"/>
    <w:autoRedefine/>
    <w:uiPriority w:val="99"/>
    <w:qFormat/>
    <w:rsid w:val="002A5A5E"/>
    <w:pPr>
      <w:autoSpaceDE w:val="0"/>
      <w:autoSpaceDN w:val="0"/>
      <w:adjustRightInd w:val="0"/>
      <w:snapToGrid w:val="0"/>
      <w:spacing w:line="360" w:lineRule="auto"/>
      <w:ind w:firstLine="200"/>
    </w:pPr>
  </w:style>
  <w:style w:type="paragraph" w:customStyle="1" w:styleId="154">
    <w:name w:val="样式 日期 + 宋体 行距: 1.5 倍行距"/>
    <w:basedOn w:val="af"/>
    <w:next w:val="a1"/>
    <w:autoRedefine/>
    <w:uiPriority w:val="99"/>
    <w:qFormat/>
    <w:rsid w:val="002A5A5E"/>
    <w:pPr>
      <w:widowControl/>
      <w:overflowPunct w:val="0"/>
      <w:autoSpaceDE w:val="0"/>
      <w:autoSpaceDN w:val="0"/>
      <w:adjustRightInd w:val="0"/>
      <w:spacing w:line="480" w:lineRule="exact"/>
      <w:ind w:leftChars="0" w:left="0" w:firstLineChars="200" w:firstLine="200"/>
    </w:pPr>
    <w:rPr>
      <w:rFonts w:ascii="宋体" w:hAnsi="宋体" w:cs="宋体"/>
      <w:color w:val="000000"/>
      <w:kern w:val="0"/>
      <w:sz w:val="28"/>
      <w:szCs w:val="20"/>
      <w:lang w:val="en-GB"/>
    </w:rPr>
  </w:style>
  <w:style w:type="paragraph" w:customStyle="1" w:styleId="xl49">
    <w:name w:val="xl49"/>
    <w:basedOn w:val="10"/>
    <w:next w:val="a1"/>
    <w:autoRedefine/>
    <w:uiPriority w:val="99"/>
    <w:qFormat/>
    <w:rsid w:val="002A5A5E"/>
    <w:pPr>
      <w:keepNext w:val="0"/>
      <w:keepLines w:val="0"/>
      <w:widowControl/>
      <w:pBdr>
        <w:left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xl25">
    <w:name w:val="xl25"/>
    <w:basedOn w:val="10"/>
    <w:next w:val="a1"/>
    <w:autoRedefine/>
    <w:uiPriority w:val="99"/>
    <w:qFormat/>
    <w:rsid w:val="002A5A5E"/>
    <w:pPr>
      <w:keepNext w:val="0"/>
      <w:keepLines w:val="0"/>
      <w:widowControl/>
      <w:pBdr>
        <w:left w:val="single" w:sz="4" w:space="0" w:color="auto"/>
        <w:bottom w:val="single" w:sz="4" w:space="0" w:color="auto"/>
        <w:right w:val="single" w:sz="4" w:space="0" w:color="auto"/>
      </w:pBdr>
      <w:autoSpaceDE w:val="0"/>
      <w:autoSpaceDN w:val="0"/>
      <w:snapToGrid w:val="0"/>
      <w:spacing w:before="100" w:beforeAutospacing="1" w:after="100" w:afterAutospacing="1" w:line="500" w:lineRule="atLeast"/>
      <w:ind w:firstLineChars="177" w:firstLine="425"/>
      <w:jc w:val="center"/>
      <w:outlineLvl w:val="9"/>
    </w:pPr>
    <w:rPr>
      <w:rFonts w:ascii="Arial Unicode MS" w:eastAsia="Arial Unicode MS" w:hAnsi="Arial Unicode MS"/>
      <w:b w:val="0"/>
      <w:bCs w:val="0"/>
      <w:kern w:val="0"/>
      <w:sz w:val="24"/>
      <w:szCs w:val="20"/>
    </w:rPr>
  </w:style>
  <w:style w:type="paragraph" w:customStyle="1" w:styleId="CharCharCharCharCharCharCharCharCharChar">
    <w:name w:val="Char Char Char Char Char Char Char Char Char Char"/>
    <w:basedOn w:val="10"/>
    <w:next w:val="a1"/>
    <w:autoRedefine/>
    <w:uiPriority w:val="99"/>
    <w:qFormat/>
    <w:rsid w:val="002A5A5E"/>
    <w:pPr>
      <w:keepNext w:val="0"/>
      <w:keepLines w:val="0"/>
      <w:spacing w:before="0" w:after="0" w:line="500" w:lineRule="atLeast"/>
      <w:ind w:firstLineChars="177" w:firstLine="425"/>
      <w:jc w:val="center"/>
      <w:outlineLvl w:val="9"/>
    </w:pPr>
    <w:rPr>
      <w:rFonts w:ascii="黑体" w:eastAsia="黑体" w:hAnsi="宋体"/>
      <w:bCs w:val="0"/>
      <w:color w:val="000000"/>
      <w:kern w:val="24"/>
      <w:sz w:val="32"/>
      <w:szCs w:val="32"/>
    </w:rPr>
  </w:style>
  <w:style w:type="paragraph" w:customStyle="1" w:styleId="afffffffc">
    <w:name w:val="表内字"/>
    <w:next w:val="a1"/>
    <w:autoRedefine/>
    <w:uiPriority w:val="99"/>
    <w:qFormat/>
    <w:rsid w:val="002A5A5E"/>
    <w:pPr>
      <w:spacing w:line="312" w:lineRule="auto"/>
      <w:jc w:val="center"/>
    </w:pPr>
    <w:rPr>
      <w:rFonts w:ascii="Times New Roman" w:eastAsia="宋体" w:hAnsi="Times New Roman" w:cs="Times New Roman"/>
      <w:color w:val="000000"/>
      <w:sz w:val="21"/>
    </w:rPr>
  </w:style>
  <w:style w:type="paragraph" w:customStyle="1" w:styleId="afffffffd">
    <w:name w:val="表的格式（小四）"/>
    <w:basedOn w:val="10"/>
    <w:next w:val="a1"/>
    <w:autoRedefine/>
    <w:uiPriority w:val="99"/>
    <w:qFormat/>
    <w:rsid w:val="002A5A5E"/>
    <w:pPr>
      <w:keepNext w:val="0"/>
      <w:keepLines w:val="0"/>
      <w:adjustRightInd w:val="0"/>
      <w:spacing w:before="0" w:after="0" w:line="360" w:lineRule="atLeast"/>
      <w:ind w:firstLineChars="177" w:firstLine="425"/>
      <w:jc w:val="center"/>
      <w:outlineLvl w:val="9"/>
    </w:pPr>
    <w:rPr>
      <w:b w:val="0"/>
      <w:bCs w:val="0"/>
      <w:kern w:val="0"/>
      <w:sz w:val="24"/>
      <w:szCs w:val="20"/>
    </w:rPr>
  </w:style>
  <w:style w:type="paragraph" w:customStyle="1" w:styleId="112">
    <w:name w:val="列出段落11"/>
    <w:basedOn w:val="10"/>
    <w:next w:val="a1"/>
    <w:autoRedefine/>
    <w:uiPriority w:val="99"/>
    <w:qFormat/>
    <w:rsid w:val="002A5A5E"/>
    <w:pPr>
      <w:keepNext w:val="0"/>
      <w:keepLines w:val="0"/>
      <w:spacing w:before="0" w:after="0" w:line="500" w:lineRule="atLeast"/>
      <w:ind w:firstLineChars="200" w:firstLine="420"/>
      <w:outlineLvl w:val="9"/>
    </w:pPr>
    <w:rPr>
      <w:rFonts w:ascii="Calibri" w:hAnsi="Calibri"/>
      <w:b w:val="0"/>
      <w:bCs w:val="0"/>
      <w:kern w:val="2"/>
      <w:sz w:val="24"/>
      <w:szCs w:val="24"/>
    </w:rPr>
  </w:style>
  <w:style w:type="paragraph" w:customStyle="1" w:styleId="acee">
    <w:name w:val="acee正文"/>
    <w:basedOn w:val="10"/>
    <w:next w:val="a1"/>
    <w:autoRedefine/>
    <w:uiPriority w:val="99"/>
    <w:qFormat/>
    <w:rsid w:val="002A5A5E"/>
    <w:pPr>
      <w:keepNext w:val="0"/>
      <w:keepLines w:val="0"/>
      <w:spacing w:before="0" w:after="0" w:line="480" w:lineRule="exact"/>
      <w:ind w:firstLineChars="200" w:firstLine="640"/>
      <w:outlineLvl w:val="9"/>
    </w:pPr>
    <w:rPr>
      <w:rFonts w:ascii="FangSong_GB2312" w:eastAsia="FangSong_GB2312" w:hAnsi="宋体"/>
      <w:b w:val="0"/>
      <w:bCs w:val="0"/>
      <w:kern w:val="2"/>
      <w:sz w:val="32"/>
      <w:szCs w:val="24"/>
    </w:rPr>
  </w:style>
  <w:style w:type="paragraph" w:customStyle="1" w:styleId="xl56">
    <w:name w:val="xl56"/>
    <w:basedOn w:val="10"/>
    <w:next w:val="a1"/>
    <w:autoRedefine/>
    <w:uiPriority w:val="99"/>
    <w:qFormat/>
    <w:rsid w:val="002A5A5E"/>
    <w:pPr>
      <w:keepNext w:val="0"/>
      <w:keepLines w:val="0"/>
      <w:widowControl/>
      <w:pBdr>
        <w:top w:val="single" w:sz="12" w:space="0" w:color="auto"/>
        <w:left w:val="single" w:sz="8" w:space="0" w:color="auto"/>
        <w:bottom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EIA2">
    <w:name w:val="EIA标题2"/>
    <w:basedOn w:val="20"/>
    <w:next w:val="a1"/>
    <w:autoRedefine/>
    <w:uiPriority w:val="99"/>
    <w:qFormat/>
    <w:rsid w:val="002A5A5E"/>
    <w:pPr>
      <w:tabs>
        <w:tab w:val="left" w:pos="576"/>
      </w:tabs>
      <w:spacing w:before="0" w:after="120" w:line="440" w:lineRule="exact"/>
      <w:ind w:firstLineChars="177" w:firstLine="425"/>
      <w:jc w:val="left"/>
    </w:pPr>
    <w:rPr>
      <w:rFonts w:ascii="Times New Roman" w:eastAsia="黑体" w:hAnsi="Times New Roman" w:cs="Times New Roman"/>
      <w:b w:val="0"/>
      <w:bCs w:val="0"/>
      <w:color w:val="000000"/>
      <w:sz w:val="24"/>
      <w:szCs w:val="20"/>
    </w:rPr>
  </w:style>
  <w:style w:type="paragraph" w:customStyle="1" w:styleId="afffffffe">
    <w:name w:val="样式"/>
    <w:basedOn w:val="10"/>
    <w:next w:val="a1"/>
    <w:autoRedefine/>
    <w:uiPriority w:val="99"/>
    <w:qFormat/>
    <w:rsid w:val="002A5A5E"/>
    <w:pPr>
      <w:keepNext w:val="0"/>
      <w:keepLines w:val="0"/>
      <w:pBdr>
        <w:bottom w:val="single" w:sz="4" w:space="1" w:color="auto"/>
      </w:pBdr>
      <w:spacing w:before="0" w:after="0" w:line="500" w:lineRule="atLeast"/>
      <w:ind w:firstLineChars="177" w:firstLine="425"/>
      <w:outlineLvl w:val="9"/>
    </w:pPr>
    <w:rPr>
      <w:b w:val="0"/>
      <w:bCs w:val="0"/>
      <w:kern w:val="2"/>
      <w:sz w:val="18"/>
      <w:szCs w:val="24"/>
    </w:rPr>
  </w:style>
  <w:style w:type="paragraph" w:customStyle="1" w:styleId="446626">
    <w:name w:val="样式 标题 4常用标题 4 + 段前: 6 磅 段后: 6 磅 行距: 固定值 26 磅"/>
    <w:basedOn w:val="4"/>
    <w:next w:val="a1"/>
    <w:autoRedefine/>
    <w:uiPriority w:val="99"/>
    <w:qFormat/>
    <w:rsid w:val="002A5A5E"/>
    <w:pPr>
      <w:tabs>
        <w:tab w:val="left" w:pos="2250"/>
      </w:tabs>
      <w:spacing w:before="0" w:after="0" w:line="240" w:lineRule="auto"/>
      <w:ind w:left="2250" w:firstLineChars="177" w:hanging="420"/>
    </w:pPr>
    <w:rPr>
      <w:rFonts w:ascii="Arial" w:eastAsia="黑体" w:hAnsi="Arial" w:cs="宋体"/>
      <w:szCs w:val="20"/>
    </w:rPr>
  </w:style>
  <w:style w:type="paragraph" w:customStyle="1" w:styleId="EIA">
    <w:name w:val="EIA正文"/>
    <w:basedOn w:val="10"/>
    <w:next w:val="a1"/>
    <w:autoRedefine/>
    <w:uiPriority w:val="99"/>
    <w:qFormat/>
    <w:rsid w:val="002A5A5E"/>
    <w:pPr>
      <w:keepNext w:val="0"/>
      <w:keepLines w:val="0"/>
      <w:spacing w:before="0" w:after="0" w:line="360" w:lineRule="auto"/>
      <w:ind w:firstLineChars="177" w:firstLine="578"/>
      <w:outlineLvl w:val="9"/>
    </w:pPr>
    <w:rPr>
      <w:rFonts w:ascii="宋体" w:hAnsi="宋体"/>
      <w:b w:val="0"/>
      <w:bCs w:val="0"/>
      <w:kern w:val="2"/>
      <w:sz w:val="24"/>
      <w:szCs w:val="20"/>
    </w:rPr>
  </w:style>
  <w:style w:type="paragraph" w:customStyle="1" w:styleId="55">
    <w:name w:val="5"/>
    <w:basedOn w:val="10"/>
    <w:next w:val="a6"/>
    <w:autoRedefine/>
    <w:qFormat/>
    <w:rsid w:val="002A5A5E"/>
    <w:pPr>
      <w:keepNext w:val="0"/>
      <w:keepLines w:val="0"/>
      <w:spacing w:before="0" w:after="0" w:line="500" w:lineRule="atLeast"/>
      <w:ind w:firstLineChars="177" w:firstLine="420"/>
      <w:outlineLvl w:val="9"/>
    </w:pPr>
    <w:rPr>
      <w:b w:val="0"/>
      <w:bCs w:val="0"/>
      <w:kern w:val="2"/>
      <w:sz w:val="24"/>
      <w:szCs w:val="21"/>
    </w:rPr>
  </w:style>
  <w:style w:type="paragraph" w:customStyle="1" w:styleId="affffffff">
    <w:name w:val="+正文"/>
    <w:basedOn w:val="10"/>
    <w:next w:val="a1"/>
    <w:autoRedefine/>
    <w:uiPriority w:val="99"/>
    <w:qFormat/>
    <w:rsid w:val="002A5A5E"/>
    <w:pPr>
      <w:keepNext w:val="0"/>
      <w:keepLines w:val="0"/>
      <w:adjustRightInd w:val="0"/>
      <w:snapToGrid w:val="0"/>
      <w:spacing w:before="0" w:after="0" w:line="360" w:lineRule="auto"/>
      <w:ind w:firstLineChars="200" w:firstLine="200"/>
      <w:outlineLvl w:val="9"/>
    </w:pPr>
    <w:rPr>
      <w:b w:val="0"/>
      <w:bCs w:val="0"/>
      <w:kern w:val="2"/>
      <w:sz w:val="24"/>
      <w:szCs w:val="28"/>
    </w:rPr>
  </w:style>
  <w:style w:type="paragraph" w:customStyle="1" w:styleId="155">
    <w:name w:val="样式 宋体 四号 两端对齐 行距: 1.5 倍行距"/>
    <w:basedOn w:val="10"/>
    <w:next w:val="a1"/>
    <w:autoRedefine/>
    <w:uiPriority w:val="99"/>
    <w:qFormat/>
    <w:rsid w:val="002A5A5E"/>
    <w:pPr>
      <w:keepNext w:val="0"/>
      <w:keepLines w:val="0"/>
      <w:widowControl/>
      <w:overflowPunct w:val="0"/>
      <w:autoSpaceDE w:val="0"/>
      <w:autoSpaceDN w:val="0"/>
      <w:adjustRightInd w:val="0"/>
      <w:spacing w:before="0" w:after="0" w:line="480" w:lineRule="exact"/>
      <w:ind w:firstLineChars="200" w:firstLine="200"/>
      <w:outlineLvl w:val="9"/>
    </w:pPr>
    <w:rPr>
      <w:rFonts w:ascii="宋体" w:hAnsi="宋体" w:cs="宋体"/>
      <w:b w:val="0"/>
      <w:bCs w:val="0"/>
      <w:kern w:val="0"/>
      <w:sz w:val="28"/>
      <w:szCs w:val="20"/>
      <w:lang w:val="en-GB"/>
    </w:rPr>
  </w:style>
  <w:style w:type="character" w:customStyle="1" w:styleId="snCharChar">
    <w:name w:val="sn Char Char"/>
    <w:link w:val="sn"/>
    <w:qFormat/>
    <w:locked/>
    <w:rsid w:val="002A5A5E"/>
    <w:rPr>
      <w:rFonts w:ascii="Arial" w:hAnsi="Arial" w:cs="Arial"/>
      <w:sz w:val="24"/>
      <w:szCs w:val="24"/>
    </w:rPr>
  </w:style>
  <w:style w:type="paragraph" w:customStyle="1" w:styleId="sn">
    <w:name w:val="sn"/>
    <w:basedOn w:val="afb"/>
    <w:next w:val="a1"/>
    <w:link w:val="snCharChar"/>
    <w:autoRedefine/>
    <w:qFormat/>
    <w:rsid w:val="002A5A5E"/>
    <w:pPr>
      <w:spacing w:line="240" w:lineRule="auto"/>
    </w:pPr>
    <w:rPr>
      <w:rFonts w:ascii="Arial" w:eastAsiaTheme="minorEastAsia" w:hAnsi="Arial" w:cs="Arial"/>
    </w:rPr>
  </w:style>
  <w:style w:type="paragraph" w:customStyle="1" w:styleId="CharCharCharChar2">
    <w:name w:val="Char Char Char Char2"/>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1fa">
    <w:name w:val="1表格"/>
    <w:basedOn w:val="10"/>
    <w:next w:val="a1"/>
    <w:autoRedefine/>
    <w:uiPriority w:val="99"/>
    <w:qFormat/>
    <w:rsid w:val="002A5A5E"/>
    <w:pPr>
      <w:keepNext w:val="0"/>
      <w:keepLines w:val="0"/>
      <w:snapToGrid w:val="0"/>
      <w:spacing w:before="0" w:after="0" w:line="500" w:lineRule="atLeast"/>
      <w:ind w:firstLineChars="177" w:firstLine="425"/>
      <w:jc w:val="center"/>
      <w:outlineLvl w:val="9"/>
    </w:pPr>
    <w:rPr>
      <w:b w:val="0"/>
      <w:bCs w:val="0"/>
      <w:color w:val="000000"/>
      <w:spacing w:val="4"/>
      <w:kern w:val="0"/>
      <w:sz w:val="24"/>
      <w:szCs w:val="24"/>
    </w:rPr>
  </w:style>
  <w:style w:type="paragraph" w:customStyle="1" w:styleId="333CharTimesNew3">
    <w:name w:val="样式 标题 3样式　标题 3　自动设置标题 3 Char章 + Times New 表题3"/>
    <w:basedOn w:val="30"/>
    <w:next w:val="a1"/>
    <w:autoRedefine/>
    <w:uiPriority w:val="99"/>
    <w:qFormat/>
    <w:rsid w:val="002A5A5E"/>
    <w:pPr>
      <w:tabs>
        <w:tab w:val="left" w:pos="1830"/>
        <w:tab w:val="left" w:pos="3800"/>
        <w:tab w:val="left" w:pos="5200"/>
      </w:tabs>
      <w:autoSpaceDE w:val="0"/>
      <w:autoSpaceDN w:val="0"/>
      <w:adjustRightInd w:val="0"/>
      <w:spacing w:before="120" w:after="0" w:line="240" w:lineRule="auto"/>
      <w:ind w:left="1830" w:hanging="420"/>
    </w:pPr>
    <w:rPr>
      <w:rFonts w:ascii="Times New Roman" w:hAnsi="Times New Roman"/>
      <w:b/>
      <w:bCs/>
      <w:kern w:val="0"/>
      <w:sz w:val="28"/>
      <w:szCs w:val="28"/>
    </w:rPr>
  </w:style>
  <w:style w:type="paragraph" w:customStyle="1" w:styleId="BulletIndent">
    <w:name w:val="Bullet_Indent"/>
    <w:basedOn w:val="10"/>
    <w:next w:val="a1"/>
    <w:autoRedefine/>
    <w:uiPriority w:val="99"/>
    <w:qFormat/>
    <w:rsid w:val="002A5A5E"/>
    <w:pPr>
      <w:keepNext w:val="0"/>
      <w:keepLines w:val="0"/>
      <w:widowControl/>
      <w:spacing w:before="0" w:after="240" w:line="500" w:lineRule="atLeast"/>
      <w:ind w:left="1440" w:firstLineChars="177" w:hanging="720"/>
      <w:jc w:val="left"/>
      <w:outlineLvl w:val="9"/>
    </w:pPr>
    <w:rPr>
      <w:b w:val="0"/>
      <w:bCs w:val="0"/>
      <w:kern w:val="0"/>
      <w:sz w:val="24"/>
      <w:szCs w:val="20"/>
    </w:rPr>
  </w:style>
  <w:style w:type="paragraph" w:customStyle="1" w:styleId="zhengwen">
    <w:name w:val="zhengwen"/>
    <w:basedOn w:val="10"/>
    <w:next w:val="a1"/>
    <w:autoRedefine/>
    <w:uiPriority w:val="99"/>
    <w:qFormat/>
    <w:rsid w:val="002A5A5E"/>
    <w:pPr>
      <w:keepNext w:val="0"/>
      <w:keepLines w:val="0"/>
      <w:widowControl/>
      <w:spacing w:before="100" w:beforeAutospacing="1" w:after="100" w:afterAutospacing="1" w:line="800" w:lineRule="atLeast"/>
      <w:ind w:firstLineChars="177" w:firstLine="425"/>
      <w:jc w:val="left"/>
      <w:outlineLvl w:val="9"/>
    </w:pPr>
    <w:rPr>
      <w:rFonts w:ascii="Arial Unicode MS" w:hAnsi="Arial Unicode MS"/>
      <w:b w:val="0"/>
      <w:bCs w:val="0"/>
      <w:color w:val="333333"/>
      <w:kern w:val="0"/>
      <w:sz w:val="18"/>
      <w:szCs w:val="18"/>
    </w:rPr>
  </w:style>
  <w:style w:type="paragraph" w:customStyle="1" w:styleId="xl50">
    <w:name w:val="xl50"/>
    <w:basedOn w:val="10"/>
    <w:next w:val="a1"/>
    <w:autoRedefine/>
    <w:uiPriority w:val="99"/>
    <w:qFormat/>
    <w:rsid w:val="002A5A5E"/>
    <w:pPr>
      <w:keepNext w:val="0"/>
      <w:keepLines w:val="0"/>
      <w:widowControl/>
      <w:pBdr>
        <w:left w:val="single" w:sz="8" w:space="0" w:color="auto"/>
        <w:bottom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2f7">
    <w:name w:val="表格2"/>
    <w:basedOn w:val="10"/>
    <w:next w:val="a1"/>
    <w:autoRedefine/>
    <w:uiPriority w:val="99"/>
    <w:qFormat/>
    <w:rsid w:val="002A5A5E"/>
    <w:pPr>
      <w:keepNext w:val="0"/>
      <w:keepLines w:val="0"/>
      <w:spacing w:beforeLines="5" w:after="0" w:line="500" w:lineRule="atLeast"/>
      <w:ind w:firstLineChars="177" w:firstLine="425"/>
      <w:jc w:val="center"/>
      <w:outlineLvl w:val="9"/>
    </w:pPr>
    <w:rPr>
      <w:rFonts w:ascii="宋体"/>
      <w:b w:val="0"/>
      <w:bCs w:val="0"/>
      <w:kern w:val="2"/>
      <w:sz w:val="24"/>
      <w:szCs w:val="20"/>
    </w:rPr>
  </w:style>
  <w:style w:type="paragraph" w:customStyle="1" w:styleId="CharCharCharChar1CharCharChar1CharCharChar">
    <w:name w:val="Char Char Char Char1 Char Char Char1 Char Char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IDCA-Head2ndLine">
    <w:name w:val="IDC A-Head (2nd Line)"/>
    <w:basedOn w:val="10"/>
    <w:next w:val="a1"/>
    <w:autoRedefine/>
    <w:uiPriority w:val="99"/>
    <w:qFormat/>
    <w:rsid w:val="002A5A5E"/>
    <w:pPr>
      <w:keepNext w:val="0"/>
      <w:keepLines w:val="0"/>
      <w:widowControl/>
      <w:numPr>
        <w:numId w:val="2"/>
      </w:numPr>
      <w:spacing w:before="0" w:after="0" w:line="500" w:lineRule="atLeast"/>
      <w:ind w:firstLineChars="177" w:firstLine="177"/>
      <w:jc w:val="center"/>
      <w:outlineLvl w:val="9"/>
    </w:pPr>
    <w:rPr>
      <w:b w:val="0"/>
      <w:bCs w:val="0"/>
      <w:caps/>
      <w:kern w:val="0"/>
      <w:sz w:val="24"/>
      <w:szCs w:val="20"/>
    </w:rPr>
  </w:style>
  <w:style w:type="paragraph" w:customStyle="1" w:styleId="affffffff0">
    <w:name w:val="表格文字（黑体）"/>
    <w:basedOn w:val="afffb"/>
    <w:next w:val="a1"/>
    <w:autoRedefine/>
    <w:uiPriority w:val="99"/>
    <w:qFormat/>
    <w:rsid w:val="002A5A5E"/>
    <w:rPr>
      <w:rFonts w:ascii="Times New Roman" w:eastAsia="宋体" w:hAnsi="Times New Roman"/>
      <w:kern w:val="2"/>
      <w:sz w:val="21"/>
    </w:rPr>
  </w:style>
  <w:style w:type="paragraph" w:customStyle="1" w:styleId="BodyText21">
    <w:name w:val="Body Text 21"/>
    <w:basedOn w:val="10"/>
    <w:next w:val="a1"/>
    <w:autoRedefine/>
    <w:uiPriority w:val="99"/>
    <w:qFormat/>
    <w:rsid w:val="002A5A5E"/>
    <w:pPr>
      <w:keepNext w:val="0"/>
      <w:keepLines w:val="0"/>
      <w:autoSpaceDE w:val="0"/>
      <w:autoSpaceDN w:val="0"/>
      <w:adjustRightInd w:val="0"/>
      <w:spacing w:before="0" w:after="0" w:line="480" w:lineRule="exact"/>
      <w:ind w:firstLineChars="177" w:firstLine="540"/>
      <w:outlineLvl w:val="9"/>
    </w:pPr>
    <w:rPr>
      <w:rFonts w:ascii="宋体" w:hAnsi="Tms Rmn"/>
      <w:b w:val="0"/>
      <w:bCs w:val="0"/>
      <w:kern w:val="0"/>
      <w:sz w:val="24"/>
      <w:szCs w:val="20"/>
    </w:rPr>
  </w:style>
  <w:style w:type="character" w:customStyle="1" w:styleId="Charff6">
    <w:name w:val="二级标题 Char"/>
    <w:basedOn w:val="2Char"/>
    <w:link w:val="affffffff1"/>
    <w:qFormat/>
    <w:locked/>
    <w:rsid w:val="002A5A5E"/>
    <w:rPr>
      <w:rFonts w:ascii="Arial" w:eastAsia="黑体" w:hAnsi="黑体" w:cs="Arial"/>
      <w:color w:val="000000"/>
      <w:kern w:val="0"/>
      <w:sz w:val="28"/>
      <w:szCs w:val="30"/>
    </w:rPr>
  </w:style>
  <w:style w:type="paragraph" w:customStyle="1" w:styleId="affffffff1">
    <w:name w:val="二级标题"/>
    <w:basedOn w:val="20"/>
    <w:next w:val="a1"/>
    <w:link w:val="Charff6"/>
    <w:autoRedefine/>
    <w:qFormat/>
    <w:rsid w:val="002A5A5E"/>
    <w:pPr>
      <w:spacing w:before="200" w:after="200" w:line="360" w:lineRule="auto"/>
    </w:pPr>
    <w:rPr>
      <w:rFonts w:ascii="Arial" w:eastAsia="黑体" w:hAnsi="黑体" w:cs="Arial"/>
      <w:color w:val="000000"/>
      <w:kern w:val="0"/>
      <w:sz w:val="28"/>
      <w:szCs w:val="30"/>
    </w:rPr>
  </w:style>
  <w:style w:type="paragraph" w:customStyle="1" w:styleId="affffffff2">
    <w:name w:val="正文曹"/>
    <w:basedOn w:val="ac"/>
    <w:next w:val="a1"/>
    <w:autoRedefine/>
    <w:uiPriority w:val="99"/>
    <w:qFormat/>
    <w:rsid w:val="002A5A5E"/>
    <w:pPr>
      <w:widowControl/>
      <w:spacing w:line="500" w:lineRule="exact"/>
      <w:jc w:val="left"/>
    </w:pPr>
    <w:rPr>
      <w:rFonts w:ascii="宋体" w:hAnsi="宋体"/>
      <w:color w:val="000000"/>
    </w:rPr>
  </w:style>
  <w:style w:type="character" w:customStyle="1" w:styleId="2CharChar">
    <w:name w:val="【标题2】 Char Char"/>
    <w:link w:val="2f8"/>
    <w:qFormat/>
    <w:locked/>
    <w:rsid w:val="002A5A5E"/>
    <w:rPr>
      <w:rFonts w:ascii="宋体" w:eastAsia="宋体" w:hAnsi="宋体"/>
      <w:b/>
      <w:bCs/>
      <w:sz w:val="28"/>
    </w:rPr>
  </w:style>
  <w:style w:type="paragraph" w:customStyle="1" w:styleId="2f8">
    <w:name w:val="【标题2】"/>
    <w:basedOn w:val="20"/>
    <w:next w:val="a1"/>
    <w:link w:val="2CharChar"/>
    <w:autoRedefine/>
    <w:qFormat/>
    <w:rsid w:val="002A5A5E"/>
    <w:pPr>
      <w:keepNext w:val="0"/>
      <w:tabs>
        <w:tab w:val="left" w:pos="720"/>
      </w:tabs>
      <w:spacing w:before="0" w:after="0" w:line="440" w:lineRule="exact"/>
    </w:pPr>
    <w:rPr>
      <w:rFonts w:ascii="宋体" w:eastAsia="宋体" w:hAnsi="宋体" w:cstheme="minorBidi"/>
      <w:sz w:val="28"/>
      <w:szCs w:val="22"/>
    </w:rPr>
  </w:style>
  <w:style w:type="character" w:customStyle="1" w:styleId="Charff7">
    <w:name w:val="表格内正文 Char"/>
    <w:link w:val="affffffff3"/>
    <w:qFormat/>
    <w:locked/>
    <w:rsid w:val="002A5A5E"/>
    <w:rPr>
      <w:rFonts w:ascii="宋体" w:eastAsia="宋体" w:hAnsi="宋体"/>
      <w:szCs w:val="24"/>
    </w:rPr>
  </w:style>
  <w:style w:type="paragraph" w:customStyle="1" w:styleId="affffffff3">
    <w:name w:val="表格内正文"/>
    <w:basedOn w:val="10"/>
    <w:next w:val="a1"/>
    <w:link w:val="Charff7"/>
    <w:autoRedefine/>
    <w:qFormat/>
    <w:rsid w:val="002A5A5E"/>
    <w:pPr>
      <w:keepNext w:val="0"/>
      <w:keepLines w:val="0"/>
      <w:spacing w:before="0" w:after="0" w:line="360" w:lineRule="auto"/>
      <w:jc w:val="center"/>
      <w:outlineLvl w:val="9"/>
    </w:pPr>
    <w:rPr>
      <w:rFonts w:ascii="宋体" w:hAnsi="宋体" w:cstheme="minorBidi"/>
      <w:b w:val="0"/>
      <w:bCs w:val="0"/>
      <w:kern w:val="2"/>
      <w:sz w:val="21"/>
      <w:szCs w:val="24"/>
    </w:rPr>
  </w:style>
  <w:style w:type="paragraph" w:customStyle="1" w:styleId="cucd-00">
    <w:name w:val="样式 cucd-0 + 宋体"/>
    <w:basedOn w:val="cucd-0"/>
    <w:next w:val="a1"/>
    <w:autoRedefine/>
    <w:uiPriority w:val="99"/>
    <w:qFormat/>
    <w:rsid w:val="002A5A5E"/>
    <w:rPr>
      <w:rFonts w:ascii="宋体" w:hAnsi="宋体"/>
    </w:rPr>
  </w:style>
  <w:style w:type="paragraph" w:customStyle="1" w:styleId="CharCharCharCharCharCharCharCharCharCharCharChar1CharCharCharCharCharCharCharCharCharCharCharChar1Char">
    <w:name w:val="Char Char Char Char Char Char Char Char Char Char Char Char1 Char Char Char Char Char Char Char Char Char Char Char Char1 Char"/>
    <w:basedOn w:val="10"/>
    <w:next w:val="a1"/>
    <w:autoRedefine/>
    <w:uiPriority w:val="99"/>
    <w:semiHidden/>
    <w:qFormat/>
    <w:rsid w:val="002A5A5E"/>
    <w:pPr>
      <w:keepNext w:val="0"/>
      <w:keepLines w:val="0"/>
      <w:spacing w:before="0" w:after="0" w:line="336" w:lineRule="auto"/>
      <w:ind w:firstLineChars="200" w:firstLine="200"/>
      <w:outlineLvl w:val="9"/>
    </w:pPr>
    <w:rPr>
      <w:rFonts w:ascii="宋体" w:eastAsia="汉鼎简书宋" w:hAnsi="宋体" w:cs="宋体"/>
      <w:b w:val="0"/>
      <w:bCs w:val="0"/>
      <w:kern w:val="2"/>
      <w:sz w:val="24"/>
      <w:szCs w:val="24"/>
    </w:rPr>
  </w:style>
  <w:style w:type="paragraph" w:customStyle="1" w:styleId="CharCharChar1Char">
    <w:name w:val="Char Char Char1 Char"/>
    <w:basedOn w:val="10"/>
    <w:next w:val="a1"/>
    <w:autoRedefine/>
    <w:uiPriority w:val="99"/>
    <w:semiHidden/>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affffffff4">
    <w:name w:val="正文(a)"/>
    <w:basedOn w:val="10"/>
    <w:next w:val="a1"/>
    <w:autoRedefine/>
    <w:uiPriority w:val="99"/>
    <w:semiHidden/>
    <w:qFormat/>
    <w:rsid w:val="002A5A5E"/>
    <w:pPr>
      <w:keepNext w:val="0"/>
      <w:keepLines w:val="0"/>
      <w:widowControl/>
      <w:tabs>
        <w:tab w:val="left" w:pos="1139"/>
        <w:tab w:val="left" w:pos="1332"/>
      </w:tabs>
      <w:spacing w:before="0" w:after="0" w:line="351" w:lineRule="atLeast"/>
      <w:ind w:left="-141" w:firstLineChars="177" w:firstLine="566"/>
      <w:outlineLvl w:val="9"/>
    </w:pPr>
    <w:rPr>
      <w:rFonts w:ascii="宋体" w:cs="宋体"/>
      <w:b w:val="0"/>
      <w:color w:val="000000"/>
      <w:spacing w:val="5"/>
      <w:kern w:val="0"/>
      <w:sz w:val="24"/>
      <w:szCs w:val="21"/>
      <w:u w:color="000000"/>
    </w:rPr>
  </w:style>
  <w:style w:type="character" w:styleId="affffffff5">
    <w:name w:val="Placeholder Text"/>
    <w:basedOn w:val="a2"/>
    <w:uiPriority w:val="99"/>
    <w:semiHidden/>
    <w:qFormat/>
    <w:rsid w:val="002A5A5E"/>
    <w:rPr>
      <w:color w:val="808080"/>
    </w:rPr>
  </w:style>
  <w:style w:type="character" w:customStyle="1" w:styleId="Char1e">
    <w:name w:val="页脚 Char1"/>
    <w:basedOn w:val="a2"/>
    <w:uiPriority w:val="99"/>
    <w:semiHidden/>
    <w:qFormat/>
    <w:rsid w:val="002A5A5E"/>
    <w:rPr>
      <w:rFonts w:ascii="Times New Roman" w:eastAsia="宋体" w:hAnsi="Times New Roman" w:cs="Times New Roman"/>
      <w:sz w:val="18"/>
      <w:szCs w:val="18"/>
    </w:rPr>
  </w:style>
  <w:style w:type="character" w:customStyle="1" w:styleId="Char1f">
    <w:name w:val="文档结构图 Char1"/>
    <w:basedOn w:val="a2"/>
    <w:uiPriority w:val="99"/>
    <w:semiHidden/>
    <w:qFormat/>
    <w:rsid w:val="002A5A5E"/>
    <w:rPr>
      <w:rFonts w:ascii="宋体" w:eastAsia="宋体" w:hAnsi="Times New Roman" w:cs="Times New Roman"/>
      <w:sz w:val="18"/>
      <w:szCs w:val="18"/>
    </w:rPr>
  </w:style>
  <w:style w:type="character" w:customStyle="1" w:styleId="Char1f0">
    <w:name w:val="副标题 Char1"/>
    <w:basedOn w:val="a2"/>
    <w:uiPriority w:val="11"/>
    <w:qFormat/>
    <w:rsid w:val="002A5A5E"/>
    <w:rPr>
      <w:rFonts w:asciiTheme="majorHAnsi" w:eastAsia="宋体" w:hAnsiTheme="majorHAnsi" w:cstheme="majorBidi"/>
      <w:b/>
      <w:bCs/>
      <w:kern w:val="28"/>
      <w:sz w:val="32"/>
      <w:szCs w:val="32"/>
    </w:rPr>
  </w:style>
  <w:style w:type="character" w:customStyle="1" w:styleId="fontstyle21">
    <w:name w:val="fontstyle21"/>
    <w:basedOn w:val="a2"/>
    <w:qFormat/>
    <w:rsid w:val="002A5A5E"/>
    <w:rPr>
      <w:rFonts w:ascii="Times New Roman" w:hAnsi="Times New Roman" w:cs="Times New Roman" w:hint="default"/>
      <w:color w:val="000000"/>
      <w:sz w:val="24"/>
      <w:szCs w:val="24"/>
    </w:rPr>
  </w:style>
  <w:style w:type="character" w:customStyle="1" w:styleId="2Char13">
    <w:name w:val="正文文本 2 Char1"/>
    <w:basedOn w:val="a2"/>
    <w:semiHidden/>
    <w:qFormat/>
    <w:rsid w:val="002A5A5E"/>
    <w:rPr>
      <w:rFonts w:ascii="Times New Roman" w:eastAsia="宋体" w:hAnsi="Times New Roman" w:cs="Times New Roman"/>
      <w:szCs w:val="24"/>
    </w:rPr>
  </w:style>
  <w:style w:type="character" w:customStyle="1" w:styleId="3Char11">
    <w:name w:val="正文文本 3 Char1"/>
    <w:basedOn w:val="a2"/>
    <w:semiHidden/>
    <w:qFormat/>
    <w:rsid w:val="002A5A5E"/>
    <w:rPr>
      <w:rFonts w:ascii="Times New Roman" w:eastAsia="宋体" w:hAnsi="Times New Roman" w:cs="Times New Roman"/>
      <w:sz w:val="16"/>
      <w:szCs w:val="16"/>
    </w:rPr>
  </w:style>
  <w:style w:type="character" w:customStyle="1" w:styleId="3Char12">
    <w:name w:val="正文文本缩进 3 Char1"/>
    <w:basedOn w:val="a2"/>
    <w:uiPriority w:val="99"/>
    <w:semiHidden/>
    <w:qFormat/>
    <w:rsid w:val="002A5A5E"/>
    <w:rPr>
      <w:rFonts w:ascii="Times New Roman" w:eastAsia="宋体" w:hAnsi="Times New Roman" w:cs="Times New Roman"/>
      <w:sz w:val="16"/>
      <w:szCs w:val="16"/>
    </w:rPr>
  </w:style>
  <w:style w:type="character" w:customStyle="1" w:styleId="Char1f1">
    <w:name w:val="批注主题 Char1"/>
    <w:basedOn w:val="Char18"/>
    <w:uiPriority w:val="99"/>
    <w:semiHidden/>
    <w:qFormat/>
    <w:rsid w:val="002A5A5E"/>
    <w:rPr>
      <w:rFonts w:ascii="Times New Roman" w:eastAsia="宋体" w:hAnsi="Times New Roman" w:cs="Times New Roman"/>
      <w:b/>
      <w:bCs/>
      <w:szCs w:val="24"/>
    </w:rPr>
  </w:style>
  <w:style w:type="character" w:customStyle="1" w:styleId="Char1f2">
    <w:name w:val="批注框文本 Char1"/>
    <w:basedOn w:val="a2"/>
    <w:semiHidden/>
    <w:qFormat/>
    <w:rsid w:val="002A5A5E"/>
    <w:rPr>
      <w:rFonts w:ascii="Times New Roman" w:eastAsia="宋体" w:hAnsi="Times New Roman" w:cs="Times New Roman"/>
      <w:sz w:val="18"/>
      <w:szCs w:val="18"/>
    </w:rPr>
  </w:style>
  <w:style w:type="character" w:customStyle="1" w:styleId="CharChar3">
    <w:name w:val="【正文】 Char Char"/>
    <w:qFormat/>
    <w:rsid w:val="002A5A5E"/>
    <w:rPr>
      <w:sz w:val="24"/>
    </w:rPr>
  </w:style>
  <w:style w:type="character" w:customStyle="1" w:styleId="fontstyle31">
    <w:name w:val="fontstyle31"/>
    <w:basedOn w:val="a2"/>
    <w:qFormat/>
    <w:rsid w:val="002A5A5E"/>
    <w:rPr>
      <w:rFonts w:ascii="TimesNewRomanPS-ItalicMT" w:hAnsi="TimesNewRomanPS-ItalicMT" w:hint="default"/>
      <w:i/>
      <w:iCs/>
      <w:color w:val="000000"/>
      <w:sz w:val="14"/>
      <w:szCs w:val="14"/>
    </w:rPr>
  </w:style>
  <w:style w:type="character" w:customStyle="1" w:styleId="Char1CharChar">
    <w:name w:val="表正文 Char1 Char Char"/>
    <w:qFormat/>
    <w:rsid w:val="002A5A5E"/>
    <w:rPr>
      <w:sz w:val="24"/>
    </w:rPr>
  </w:style>
  <w:style w:type="character" w:customStyle="1" w:styleId="style81">
    <w:name w:val="style81"/>
    <w:qFormat/>
    <w:rsid w:val="002A5A5E"/>
    <w:rPr>
      <w:rFonts w:ascii="宋体" w:eastAsia="黑体" w:hAnsi="宋体" w:cs="宋体" w:hint="eastAsia"/>
      <w:kern w:val="2"/>
      <w:sz w:val="24"/>
      <w:szCs w:val="24"/>
      <w:lang w:val="en-US" w:eastAsia="zh-CN" w:bidi="ar-SA"/>
    </w:rPr>
  </w:style>
  <w:style w:type="character" w:customStyle="1" w:styleId="zoe1CharChar">
    <w:name w:val="样式 正文zoe + 幼圆1 Char Char"/>
    <w:qFormat/>
    <w:rsid w:val="002A5A5E"/>
    <w:rPr>
      <w:rFonts w:ascii="幼圆" w:eastAsia="宋体" w:hAnsi="幼圆" w:cs="Times New Roman" w:hint="eastAsia"/>
      <w:kern w:val="0"/>
      <w:sz w:val="24"/>
      <w:szCs w:val="20"/>
    </w:rPr>
  </w:style>
  <w:style w:type="character" w:customStyle="1" w:styleId="CharChar4">
    <w:name w:val="正文(首行缩进) Char Char"/>
    <w:qFormat/>
    <w:rsid w:val="002A5A5E"/>
    <w:rPr>
      <w:snapToGrid w:val="0"/>
      <w:sz w:val="24"/>
      <w:szCs w:val="24"/>
    </w:rPr>
  </w:style>
  <w:style w:type="character" w:customStyle="1" w:styleId="CharChar5">
    <w:name w:val="表格 Char Char"/>
    <w:qFormat/>
    <w:rsid w:val="002A5A5E"/>
    <w:rPr>
      <w:rFonts w:ascii="宋体" w:eastAsia="宋体" w:hAnsi="宋体" w:cs="Times New Roman" w:hint="eastAsia"/>
      <w:snapToGrid w:val="0"/>
      <w:kern w:val="0"/>
      <w:sz w:val="20"/>
      <w:szCs w:val="20"/>
    </w:rPr>
  </w:style>
  <w:style w:type="character" w:customStyle="1" w:styleId="CharChar17">
    <w:name w:val="Char Char17"/>
    <w:qFormat/>
    <w:rsid w:val="002A5A5E"/>
    <w:rPr>
      <w:rFonts w:ascii="Times New Roman" w:eastAsia="黑体" w:hAnsi="Times New Roman" w:cs="Times New Roman" w:hint="default"/>
      <w:bCs/>
      <w:color w:val="000000"/>
      <w:sz w:val="28"/>
      <w:szCs w:val="28"/>
    </w:rPr>
  </w:style>
  <w:style w:type="character" w:customStyle="1" w:styleId="CharChar16">
    <w:name w:val="Char Char16"/>
    <w:qFormat/>
    <w:rsid w:val="002A5A5E"/>
    <w:rPr>
      <w:rFonts w:ascii="Times New Roman" w:eastAsia="宋体" w:hAnsi="Times New Roman" w:cs="Times New Roman" w:hint="default"/>
      <w:b/>
      <w:bCs/>
      <w:color w:val="000000"/>
      <w:sz w:val="28"/>
      <w:szCs w:val="28"/>
    </w:rPr>
  </w:style>
  <w:style w:type="character" w:customStyle="1" w:styleId="CharChar6">
    <w:name w:val="正文文本缩进 Char Char"/>
    <w:basedOn w:val="a2"/>
    <w:qFormat/>
    <w:rsid w:val="002A5A5E"/>
  </w:style>
  <w:style w:type="character" w:customStyle="1" w:styleId="affffffff6">
    <w:name w:val="正文文本_"/>
    <w:qFormat/>
    <w:rsid w:val="002A5A5E"/>
    <w:rPr>
      <w:rFonts w:ascii="MingLiU" w:eastAsia="MingLiU" w:hAnsi="MingLiU" w:cs="MingLiU" w:hint="eastAsia"/>
      <w:sz w:val="23"/>
      <w:szCs w:val="23"/>
      <w:u w:val="none"/>
    </w:rPr>
  </w:style>
  <w:style w:type="character" w:customStyle="1" w:styleId="TimesNewRoman3">
    <w:name w:val="正文文本 + Times New Roman3"/>
    <w:qFormat/>
    <w:rsid w:val="002A5A5E"/>
    <w:rPr>
      <w:rFonts w:ascii="Times New Roman" w:eastAsia="MingLiU" w:hAnsi="Times New Roman" w:cs="Times New Roman" w:hint="default"/>
      <w:sz w:val="23"/>
      <w:szCs w:val="23"/>
      <w:u w:val="none"/>
    </w:rPr>
  </w:style>
  <w:style w:type="character" w:customStyle="1" w:styleId="TimesNewRoman2">
    <w:name w:val="正文文本 + Times New Roman2"/>
    <w:qFormat/>
    <w:rsid w:val="002A5A5E"/>
    <w:rPr>
      <w:rFonts w:ascii="Times New Roman" w:eastAsia="MingLiU" w:hAnsi="Times New Roman" w:cs="Times New Roman" w:hint="default"/>
      <w:b/>
      <w:bCs/>
      <w:sz w:val="16"/>
      <w:szCs w:val="16"/>
      <w:u w:val="none"/>
    </w:rPr>
  </w:style>
  <w:style w:type="character" w:customStyle="1" w:styleId="2TimesNewRoman">
    <w:name w:val="正文文本 (2) + Times New Roman"/>
    <w:qFormat/>
    <w:rsid w:val="002A5A5E"/>
    <w:rPr>
      <w:rFonts w:ascii="Times New Roman" w:eastAsia="MingLiU" w:hAnsi="Times New Roman" w:cs="Times New Roman" w:hint="default"/>
      <w:b/>
      <w:bCs/>
      <w:sz w:val="20"/>
      <w:szCs w:val="20"/>
      <w:lang w:bidi="ar-SA"/>
    </w:rPr>
  </w:style>
  <w:style w:type="character" w:customStyle="1" w:styleId="0pt">
    <w:name w:val="正文文本 + 间距 0 pt"/>
    <w:qFormat/>
    <w:rsid w:val="002A5A5E"/>
    <w:rPr>
      <w:rFonts w:ascii="MingLiU" w:eastAsia="MingLiU" w:hAnsi="MingLiU" w:cs="MingLiU" w:hint="eastAsia"/>
      <w:spacing w:val="-11"/>
      <w:sz w:val="23"/>
      <w:szCs w:val="23"/>
      <w:u w:val="none"/>
    </w:rPr>
  </w:style>
  <w:style w:type="character" w:customStyle="1" w:styleId="0pt10">
    <w:name w:val="正文文本 + 间距 0 pt10"/>
    <w:qFormat/>
    <w:rsid w:val="002A5A5E"/>
    <w:rPr>
      <w:rFonts w:ascii="MingLiU" w:eastAsia="MingLiU" w:hAnsi="MingLiU" w:cs="MingLiU" w:hint="eastAsia"/>
      <w:spacing w:val="-15"/>
      <w:sz w:val="23"/>
      <w:szCs w:val="23"/>
      <w:u w:val="none"/>
    </w:rPr>
  </w:style>
  <w:style w:type="character" w:customStyle="1" w:styleId="CharChar172">
    <w:name w:val="Char Char172"/>
    <w:qFormat/>
    <w:rsid w:val="002A5A5E"/>
    <w:rPr>
      <w:rFonts w:ascii="Times New Roman" w:eastAsia="黑体" w:hAnsi="Times New Roman" w:cs="Times New Roman" w:hint="default"/>
      <w:bCs/>
      <w:color w:val="000000"/>
      <w:sz w:val="28"/>
      <w:szCs w:val="28"/>
    </w:rPr>
  </w:style>
  <w:style w:type="character" w:customStyle="1" w:styleId="CharChar162">
    <w:name w:val="Char Char162"/>
    <w:qFormat/>
    <w:rsid w:val="002A5A5E"/>
    <w:rPr>
      <w:rFonts w:ascii="Times New Roman" w:eastAsia="宋体" w:hAnsi="Times New Roman" w:cs="Times New Roman" w:hint="default"/>
      <w:b/>
      <w:bCs/>
      <w:color w:val="000000"/>
      <w:sz w:val="28"/>
      <w:szCs w:val="28"/>
    </w:rPr>
  </w:style>
  <w:style w:type="character" w:customStyle="1" w:styleId="CharChar171">
    <w:name w:val="Char Char171"/>
    <w:qFormat/>
    <w:rsid w:val="002A5A5E"/>
    <w:rPr>
      <w:rFonts w:ascii="Times New Roman" w:eastAsia="黑体" w:hAnsi="Times New Roman" w:cs="Times New Roman" w:hint="default"/>
      <w:bCs/>
      <w:color w:val="000000"/>
      <w:sz w:val="28"/>
      <w:szCs w:val="28"/>
    </w:rPr>
  </w:style>
  <w:style w:type="character" w:customStyle="1" w:styleId="CharChar161">
    <w:name w:val="Char Char161"/>
    <w:qFormat/>
    <w:rsid w:val="002A5A5E"/>
    <w:rPr>
      <w:rFonts w:ascii="Times New Roman" w:eastAsia="宋体" w:hAnsi="Times New Roman" w:cs="Times New Roman" w:hint="default"/>
      <w:b/>
      <w:bCs/>
      <w:color w:val="000000"/>
      <w:sz w:val="28"/>
      <w:szCs w:val="28"/>
    </w:rPr>
  </w:style>
  <w:style w:type="character" w:customStyle="1" w:styleId="affffffff7">
    <w:name w:val="样式 黑体 四号"/>
    <w:basedOn w:val="a2"/>
    <w:qFormat/>
    <w:rsid w:val="002A5A5E"/>
    <w:rPr>
      <w:rFonts w:ascii="黑体" w:eastAsia="黑体" w:hAnsi="黑体" w:hint="eastAsia"/>
      <w:sz w:val="28"/>
    </w:rPr>
  </w:style>
  <w:style w:type="character" w:customStyle="1" w:styleId="affffffff8">
    <w:name w:val="样式 黑体 小三"/>
    <w:basedOn w:val="a2"/>
    <w:qFormat/>
    <w:rsid w:val="002A5A5E"/>
    <w:rPr>
      <w:rFonts w:ascii="Times New Roman" w:eastAsia="FangSong_GB2312" w:hAnsi="Times New Roman" w:cs="Times New Roman" w:hint="default"/>
    </w:rPr>
  </w:style>
  <w:style w:type="character" w:customStyle="1" w:styleId="NormalCharChar">
    <w:name w:val="Normal Char Char"/>
    <w:qFormat/>
    <w:rsid w:val="002A5A5E"/>
    <w:rPr>
      <w:rFonts w:ascii="宋体" w:eastAsia="宋体" w:hAnsi="Times New Roman" w:hint="eastAsia"/>
      <w:kern w:val="2"/>
      <w:sz w:val="24"/>
      <w:szCs w:val="22"/>
      <w:lang w:val="en-US" w:eastAsia="zh-CN" w:bidi="ar-SA"/>
    </w:rPr>
  </w:style>
  <w:style w:type="character" w:customStyle="1" w:styleId="CharChar40">
    <w:name w:val="Char Char4"/>
    <w:qFormat/>
    <w:rsid w:val="002A5A5E"/>
    <w:rPr>
      <w:rFonts w:ascii="楷体_GB2312" w:eastAsia="楷体_GB2312" w:hint="eastAsia"/>
      <w:color w:val="000000"/>
      <w:sz w:val="24"/>
      <w:szCs w:val="24"/>
      <w:shd w:val="clear" w:color="auto" w:fill="FFFFFF"/>
      <w:lang w:val="zh-CN" w:eastAsia="zh-CN" w:bidi="ar-SA"/>
    </w:rPr>
  </w:style>
  <w:style w:type="character" w:customStyle="1" w:styleId="Charff8">
    <w:name w:val="表头 Char"/>
    <w:qFormat/>
    <w:rsid w:val="002A5A5E"/>
    <w:rPr>
      <w:rFonts w:ascii="黑体" w:eastAsia="黑体" w:hAnsi="黑体" w:hint="eastAsia"/>
      <w:shadow/>
      <w:kern w:val="2"/>
      <w:sz w:val="24"/>
      <w:szCs w:val="24"/>
      <w:lang w:val="en-US" w:eastAsia="zh-CN" w:bidi="ar-SA"/>
    </w:rPr>
  </w:style>
  <w:style w:type="character" w:customStyle="1" w:styleId="----------------Char">
    <w:name w:val="正文---------------- Char"/>
    <w:qFormat/>
    <w:rsid w:val="002A5A5E"/>
    <w:rPr>
      <w:rFonts w:ascii="Times New Roman" w:eastAsia="宋体" w:hAnsi="Times New Roman" w:cs="Times New Roman" w:hint="default"/>
      <w:spacing w:val="16"/>
      <w:sz w:val="24"/>
      <w:szCs w:val="20"/>
    </w:rPr>
  </w:style>
  <w:style w:type="character" w:customStyle="1" w:styleId="CharChar7">
    <w:name w:val="表格标题 Char Char"/>
    <w:qFormat/>
    <w:rsid w:val="002A5A5E"/>
    <w:rPr>
      <w:rFonts w:ascii="宋体" w:eastAsia="宋体" w:hAnsi="宋体" w:hint="eastAsia"/>
      <w:szCs w:val="21"/>
    </w:rPr>
  </w:style>
  <w:style w:type="character" w:customStyle="1" w:styleId="style151">
    <w:name w:val="style151"/>
    <w:qFormat/>
    <w:rsid w:val="002A5A5E"/>
    <w:rPr>
      <w:spacing w:val="240"/>
      <w:sz w:val="18"/>
      <w:szCs w:val="18"/>
    </w:rPr>
  </w:style>
  <w:style w:type="character" w:customStyle="1" w:styleId="Char1f3">
    <w:name w:val="正 Char1"/>
    <w:qFormat/>
    <w:rsid w:val="002A5A5E"/>
    <w:rPr>
      <w:rFonts w:ascii="宋体" w:eastAsia="宋体" w:hAnsi="宋体" w:cs="宋体" w:hint="eastAsia"/>
      <w:sz w:val="24"/>
    </w:rPr>
  </w:style>
  <w:style w:type="character" w:customStyle="1" w:styleId="affffffff9">
    <w:name w:val="样式 样式 四号 蓝色 + 自动设置"/>
    <w:basedOn w:val="a2"/>
    <w:qFormat/>
    <w:rsid w:val="002A5A5E"/>
    <w:rPr>
      <w:color w:val="auto"/>
      <w:sz w:val="24"/>
    </w:rPr>
  </w:style>
  <w:style w:type="character" w:customStyle="1" w:styleId="apple-converted-space">
    <w:name w:val="apple-converted-space"/>
    <w:basedOn w:val="a2"/>
    <w:qFormat/>
    <w:rsid w:val="002A5A5E"/>
  </w:style>
  <w:style w:type="character" w:customStyle="1" w:styleId="111CharChar">
    <w:name w:val="正文111 Char Char"/>
    <w:qFormat/>
    <w:rsid w:val="002A5A5E"/>
    <w:rPr>
      <w:rFonts w:ascii="Times New Roman" w:eastAsia="FangSong_GB2312" w:hAnsi="Times New Roman" w:cs="Times New Roman" w:hint="default"/>
      <w:spacing w:val="6"/>
      <w:sz w:val="24"/>
      <w:szCs w:val="24"/>
    </w:rPr>
  </w:style>
  <w:style w:type="character" w:customStyle="1" w:styleId="1fb">
    <w:name w:val="已访问的超链接1"/>
    <w:basedOn w:val="a2"/>
    <w:qFormat/>
    <w:rsid w:val="002A5A5E"/>
    <w:rPr>
      <w:color w:val="800080"/>
      <w:u w:val="single"/>
    </w:rPr>
  </w:style>
  <w:style w:type="character" w:customStyle="1" w:styleId="defaultfont">
    <w:name w:val="defaultfont"/>
    <w:basedOn w:val="a2"/>
    <w:qFormat/>
    <w:rsid w:val="002A5A5E"/>
  </w:style>
  <w:style w:type="character" w:customStyle="1" w:styleId="2CharCharChar">
    <w:name w:val="正文文本 2 Char Char Char"/>
    <w:qFormat/>
    <w:rsid w:val="002A5A5E"/>
    <w:rPr>
      <w:kern w:val="2"/>
      <w:sz w:val="21"/>
      <w:szCs w:val="24"/>
    </w:rPr>
  </w:style>
  <w:style w:type="character" w:customStyle="1" w:styleId="Char1Char1">
    <w:name w:val="题注 Char1 Char1"/>
    <w:qFormat/>
    <w:rsid w:val="002A5A5E"/>
    <w:rPr>
      <w:rFonts w:ascii="Arial" w:eastAsia="黑体" w:hAnsi="Arial" w:cs="Arial" w:hint="default"/>
      <w:color w:val="000000"/>
      <w:spacing w:val="4"/>
      <w:kern w:val="2"/>
      <w:sz w:val="21"/>
      <w:szCs w:val="21"/>
      <w:lang w:val="en-US" w:eastAsia="zh-CN" w:bidi="ar-SA"/>
    </w:rPr>
  </w:style>
  <w:style w:type="character" w:customStyle="1" w:styleId="default1">
    <w:name w:val="default1"/>
    <w:qFormat/>
    <w:rsid w:val="002A5A5E"/>
    <w:rPr>
      <w:sz w:val="21"/>
      <w:szCs w:val="21"/>
    </w:rPr>
  </w:style>
  <w:style w:type="character" w:customStyle="1" w:styleId="CharCharCharCharCharCharCharCharCharCharCharCharCharCharCharCharCharCharCharCharCharCharCharCharCharCharCharCharCharCharCharCharCharCharCharCharCharCharCharCharCharCharCharCharCharChar">
    <w:name w:val="正文（首行缩进两字） Char Char Char Char Char Char Char Char Char Char Char Char Char Char Char Char Char Char Char Char Char Char Char Char Char Char Char Char Char Char Char Char Char Char Char Char Char Char Char Char Char Char Char Char Char Char"/>
    <w:qFormat/>
    <w:rsid w:val="002A5A5E"/>
    <w:rPr>
      <w:rFonts w:ascii="宋体" w:eastAsia="宋体" w:hAnsi="宋体" w:hint="eastAsia"/>
      <w:sz w:val="21"/>
      <w:lang w:val="en-US" w:eastAsia="zh-CN" w:bidi="ar-SA"/>
    </w:rPr>
  </w:style>
  <w:style w:type="character" w:customStyle="1" w:styleId="style3">
    <w:name w:val="style3"/>
    <w:basedOn w:val="a2"/>
    <w:qFormat/>
    <w:rsid w:val="002A5A5E"/>
  </w:style>
  <w:style w:type="character" w:customStyle="1" w:styleId="textfont11">
    <w:name w:val="textfont11"/>
    <w:qFormat/>
    <w:rsid w:val="002A5A5E"/>
    <w:rPr>
      <w:color w:val="000000"/>
      <w:sz w:val="21"/>
      <w:szCs w:val="21"/>
      <w:u w:val="none"/>
    </w:rPr>
  </w:style>
  <w:style w:type="character" w:customStyle="1" w:styleId="2CharChar0">
    <w:name w:val="正文2 Char Char"/>
    <w:qFormat/>
    <w:rsid w:val="002A5A5E"/>
    <w:rPr>
      <w:sz w:val="21"/>
    </w:rPr>
  </w:style>
  <w:style w:type="character" w:customStyle="1" w:styleId="CharCharChar0">
    <w:name w:val="批注框文本 Char Char Char"/>
    <w:qFormat/>
    <w:rsid w:val="002A5A5E"/>
    <w:rPr>
      <w:kern w:val="2"/>
      <w:sz w:val="18"/>
      <w:szCs w:val="18"/>
    </w:rPr>
  </w:style>
  <w:style w:type="character" w:customStyle="1" w:styleId="apple-style-span">
    <w:name w:val="apple-style-span"/>
    <w:basedOn w:val="a2"/>
    <w:qFormat/>
    <w:rsid w:val="002A5A5E"/>
  </w:style>
  <w:style w:type="character" w:customStyle="1" w:styleId="zy">
    <w:name w:val="zy"/>
    <w:basedOn w:val="a2"/>
    <w:qFormat/>
    <w:rsid w:val="002A5A5E"/>
  </w:style>
  <w:style w:type="character" w:customStyle="1" w:styleId="unnamed11">
    <w:name w:val="unnamed11"/>
    <w:qFormat/>
    <w:rsid w:val="002A5A5E"/>
    <w:rPr>
      <w:spacing w:val="400"/>
      <w:sz w:val="18"/>
      <w:szCs w:val="18"/>
    </w:rPr>
  </w:style>
  <w:style w:type="character" w:customStyle="1" w:styleId="oblogtext">
    <w:name w:val="oblogtext"/>
    <w:basedOn w:val="a2"/>
    <w:qFormat/>
    <w:rsid w:val="002A5A5E"/>
  </w:style>
  <w:style w:type="character" w:customStyle="1" w:styleId="Char1f4">
    <w:name w:val="题注 Char1"/>
    <w:qFormat/>
    <w:rsid w:val="002A5A5E"/>
    <w:rPr>
      <w:rFonts w:ascii="Arial" w:eastAsia="黑体" w:hAnsi="Arial" w:cs="Arial" w:hint="default"/>
    </w:rPr>
  </w:style>
  <w:style w:type="character" w:customStyle="1" w:styleId="txt31">
    <w:name w:val="txt31"/>
    <w:qFormat/>
    <w:rsid w:val="002A5A5E"/>
    <w:rPr>
      <w:dstrike/>
      <w:sz w:val="18"/>
    </w:rPr>
  </w:style>
  <w:style w:type="character" w:customStyle="1" w:styleId="Charff9">
    <w:name w:val="中创国发题注 Char"/>
    <w:qFormat/>
    <w:locked/>
    <w:rsid w:val="002A5A5E"/>
    <w:rPr>
      <w:rFonts w:ascii="Cambria" w:eastAsia="黑体" w:hAnsi="Cambria" w:cs="Cambria" w:hint="default"/>
      <w:lang w:val="en-US" w:eastAsia="zh-CN" w:bidi="ar-SA"/>
    </w:rPr>
  </w:style>
  <w:style w:type="character" w:customStyle="1" w:styleId="2TimesNewRomanChar">
    <w:name w:val="样式 标题 2 + Times New Roman Char"/>
    <w:qFormat/>
    <w:rsid w:val="002A5A5E"/>
    <w:rPr>
      <w:rFonts w:ascii="Times New Roman" w:eastAsia="黑体" w:hAnsi="Times New Roman" w:cs="Times New Roman" w:hint="default"/>
      <w:color w:val="000000"/>
      <w:kern w:val="2"/>
      <w:sz w:val="28"/>
      <w:szCs w:val="30"/>
      <w:lang w:val="en-US" w:eastAsia="zh-CN" w:bidi="ar-SA"/>
    </w:rPr>
  </w:style>
  <w:style w:type="character" w:customStyle="1" w:styleId="zw1">
    <w:name w:val="zw1"/>
    <w:qFormat/>
    <w:rsid w:val="002A5A5E"/>
    <w:rPr>
      <w:rFonts w:ascii="宋体" w:eastAsia="宋体" w:hAnsi="宋体" w:hint="eastAsia"/>
      <w:spacing w:val="400"/>
      <w:sz w:val="22"/>
      <w:szCs w:val="22"/>
    </w:rPr>
  </w:style>
  <w:style w:type="character" w:customStyle="1" w:styleId="1Char5">
    <w:name w:val="样式1 Char"/>
    <w:qFormat/>
    <w:rsid w:val="002A5A5E"/>
    <w:rPr>
      <w:rFonts w:ascii="Arial" w:eastAsia="宋体" w:hAnsi="Arial" w:cs="Arial" w:hint="default"/>
      <w:kern w:val="2"/>
      <w:sz w:val="24"/>
      <w:szCs w:val="24"/>
      <w:lang w:val="en-US" w:eastAsia="zh-CN" w:bidi="ar-SA"/>
    </w:rPr>
  </w:style>
  <w:style w:type="character" w:customStyle="1" w:styleId="ddd">
    <w:name w:val="ddd"/>
    <w:basedOn w:val="a2"/>
    <w:qFormat/>
    <w:rsid w:val="002A5A5E"/>
  </w:style>
  <w:style w:type="character" w:customStyle="1" w:styleId="2Char5">
    <w:name w:val="样式2 Char"/>
    <w:qFormat/>
    <w:rsid w:val="002A5A5E"/>
    <w:rPr>
      <w:rFonts w:ascii="宋体" w:eastAsia="黑体" w:hAnsi="黑体" w:hint="eastAsia"/>
      <w:b/>
      <w:bCs/>
      <w:kern w:val="2"/>
      <w:sz w:val="32"/>
      <w:szCs w:val="32"/>
      <w:lang w:val="en-US" w:eastAsia="zh-CN" w:bidi="ar-SA"/>
    </w:rPr>
  </w:style>
  <w:style w:type="character" w:customStyle="1" w:styleId="f10wentitle">
    <w:name w:val="f10wentitle"/>
    <w:basedOn w:val="a2"/>
    <w:qFormat/>
    <w:rsid w:val="002A5A5E"/>
  </w:style>
  <w:style w:type="character" w:customStyle="1" w:styleId="cucd-0Char">
    <w:name w:val="cucd-0 Char"/>
    <w:qFormat/>
    <w:rsid w:val="002A5A5E"/>
    <w:rPr>
      <w:kern w:val="2"/>
      <w:sz w:val="24"/>
      <w:szCs w:val="24"/>
      <w:lang w:val="en-US" w:eastAsia="zh-CN" w:bidi="ar-SA"/>
    </w:rPr>
  </w:style>
  <w:style w:type="character" w:customStyle="1" w:styleId="6666661">
    <w:name w:val="6666661"/>
    <w:qFormat/>
    <w:rsid w:val="002A5A5E"/>
    <w:rPr>
      <w:color w:val="666666"/>
      <w:sz w:val="18"/>
      <w:szCs w:val="18"/>
      <w:u w:val="none"/>
    </w:rPr>
  </w:style>
  <w:style w:type="character" w:customStyle="1" w:styleId="001CharChar">
    <w:name w:val="正文001 Char Char"/>
    <w:qFormat/>
    <w:rsid w:val="002A5A5E"/>
    <w:rPr>
      <w:rFonts w:ascii="Arial" w:eastAsia="宋体" w:hAnsi="Arial" w:cs="Arial" w:hint="default"/>
      <w:kern w:val="2"/>
      <w:sz w:val="24"/>
      <w:lang w:val="en-US" w:eastAsia="zh-CN" w:bidi="ar-SA"/>
    </w:rPr>
  </w:style>
  <w:style w:type="character" w:customStyle="1" w:styleId="1CharChar0">
    <w:name w:val="正文样式1 Char Char"/>
    <w:qFormat/>
    <w:rsid w:val="002A5A5E"/>
    <w:rPr>
      <w:rFonts w:ascii="宋体" w:eastAsia="宋体" w:hAnsi="宋体" w:hint="eastAsia"/>
      <w:sz w:val="24"/>
    </w:rPr>
  </w:style>
  <w:style w:type="character" w:customStyle="1" w:styleId="tpccontent1">
    <w:name w:val="tpc_content1"/>
    <w:qFormat/>
    <w:rsid w:val="002A5A5E"/>
    <w:rPr>
      <w:sz w:val="17"/>
      <w:szCs w:val="17"/>
    </w:rPr>
  </w:style>
  <w:style w:type="character" w:customStyle="1" w:styleId="grame">
    <w:name w:val="grame"/>
    <w:basedOn w:val="a2"/>
    <w:qFormat/>
    <w:rsid w:val="002A5A5E"/>
  </w:style>
  <w:style w:type="character" w:customStyle="1" w:styleId="cucd-3CharChar">
    <w:name w:val="cucd-3 Char Char"/>
    <w:qFormat/>
    <w:rsid w:val="002A5A5E"/>
    <w:rPr>
      <w:b/>
      <w:sz w:val="28"/>
      <w:szCs w:val="24"/>
      <w:lang w:val="en-US" w:eastAsia="zh-CN" w:bidi="ar-SA"/>
    </w:rPr>
  </w:style>
  <w:style w:type="character" w:customStyle="1" w:styleId="CharChar8">
    <w:name w:val="正文样式 Char Char"/>
    <w:qFormat/>
    <w:rsid w:val="002A5A5E"/>
    <w:rPr>
      <w:rFonts w:ascii="宋体" w:eastAsia="宋体" w:hAnsi="宋体" w:hint="eastAsia"/>
      <w:color w:val="000000"/>
      <w:sz w:val="24"/>
      <w:szCs w:val="24"/>
    </w:rPr>
  </w:style>
  <w:style w:type="character" w:customStyle="1" w:styleId="f9wen1">
    <w:name w:val="f9wen1"/>
    <w:qFormat/>
    <w:rsid w:val="002A5A5E"/>
    <w:rPr>
      <w:dstrike/>
      <w:spacing w:val="12"/>
      <w:sz w:val="18"/>
    </w:rPr>
  </w:style>
  <w:style w:type="character" w:customStyle="1" w:styleId="3CharCharChar">
    <w:name w:val="正文文本缩进 3 Char Char Char"/>
    <w:qFormat/>
    <w:rsid w:val="002A5A5E"/>
    <w:rPr>
      <w:rFonts w:ascii="宋体" w:eastAsia="宋体" w:hAnsi="宋体" w:hint="eastAsia"/>
      <w:kern w:val="2"/>
      <w:sz w:val="24"/>
    </w:rPr>
  </w:style>
  <w:style w:type="character" w:customStyle="1" w:styleId="10CharChar">
    <w:name w:val="正文样式10 Char Char"/>
    <w:qFormat/>
    <w:rsid w:val="002A5A5E"/>
    <w:rPr>
      <w:rFonts w:ascii="宋体" w:eastAsia="宋体" w:hAnsi="宋体" w:cs="Arial" w:hint="eastAsia"/>
      <w:bCs/>
      <w:color w:val="FF00FF"/>
      <w:sz w:val="24"/>
      <w:lang w:val="zh-CN"/>
    </w:rPr>
  </w:style>
  <w:style w:type="character" w:customStyle="1" w:styleId="1fc">
    <w:name w:val="访问过的超链接1"/>
    <w:qFormat/>
    <w:rsid w:val="002A5A5E"/>
    <w:rPr>
      <w:color w:val="800080"/>
      <w:u w:val="single"/>
    </w:rPr>
  </w:style>
  <w:style w:type="character" w:customStyle="1" w:styleId="a11">
    <w:name w:val="a11"/>
    <w:qFormat/>
    <w:rsid w:val="002A5A5E"/>
    <w:rPr>
      <w:color w:val="000000"/>
      <w:sz w:val="18"/>
      <w:szCs w:val="18"/>
    </w:rPr>
  </w:style>
  <w:style w:type="character" w:customStyle="1" w:styleId="Char21">
    <w:name w:val="表头 Char2"/>
    <w:qFormat/>
    <w:rsid w:val="002A5A5E"/>
    <w:rPr>
      <w:rFonts w:ascii="宋体" w:eastAsia="FangSong_GB2312" w:hAnsi="宋体" w:hint="eastAsia"/>
      <w:b/>
      <w:color w:val="000000"/>
      <w:sz w:val="18"/>
    </w:rPr>
  </w:style>
  <w:style w:type="character" w:customStyle="1" w:styleId="1CharChar2">
    <w:name w:val="正文1 Char Char"/>
    <w:qFormat/>
    <w:rsid w:val="002A5A5E"/>
    <w:rPr>
      <w:rFonts w:ascii="宋体" w:eastAsia="宋体" w:hAnsi="宋体" w:hint="eastAsia"/>
      <w:sz w:val="28"/>
    </w:rPr>
  </w:style>
  <w:style w:type="character" w:customStyle="1" w:styleId="CharCharChar1">
    <w:name w:val="正文首行缩进 Char Char Char"/>
    <w:qFormat/>
    <w:rsid w:val="002A5A5E"/>
    <w:rPr>
      <w:kern w:val="2"/>
      <w:sz w:val="24"/>
    </w:rPr>
  </w:style>
  <w:style w:type="character" w:customStyle="1" w:styleId="3CharCharChar0">
    <w:name w:val="正文文本 3 Char Char Char"/>
    <w:qFormat/>
    <w:rsid w:val="002A5A5E"/>
    <w:rPr>
      <w:kern w:val="2"/>
      <w:sz w:val="16"/>
      <w:szCs w:val="16"/>
    </w:rPr>
  </w:style>
  <w:style w:type="character" w:customStyle="1" w:styleId="CharCharChar2">
    <w:name w:val="日期 Char Char Char"/>
    <w:qFormat/>
    <w:rsid w:val="002A5A5E"/>
    <w:rPr>
      <w:rFonts w:ascii="黑体" w:eastAsia="黑体" w:hAnsi="黑体" w:hint="eastAsia"/>
      <w:sz w:val="28"/>
      <w:lang w:val="en-GB"/>
    </w:rPr>
  </w:style>
  <w:style w:type="character" w:customStyle="1" w:styleId="CharCharChar3">
    <w:name w:val="批注主题 Char Char Char"/>
    <w:qFormat/>
    <w:rsid w:val="002A5A5E"/>
    <w:rPr>
      <w:b/>
      <w:bCs/>
      <w:kern w:val="2"/>
      <w:sz w:val="21"/>
      <w:szCs w:val="24"/>
    </w:rPr>
  </w:style>
  <w:style w:type="character" w:customStyle="1" w:styleId="2CharCharChar0">
    <w:name w:val="正文文本缩进 2 Char Char Char"/>
    <w:qFormat/>
    <w:rsid w:val="002A5A5E"/>
    <w:rPr>
      <w:kern w:val="2"/>
      <w:sz w:val="27"/>
    </w:rPr>
  </w:style>
  <w:style w:type="character" w:customStyle="1" w:styleId="2CharCharChar1">
    <w:name w:val="正文首行缩进 2 Char Char Char"/>
    <w:qFormat/>
    <w:rsid w:val="002A5A5E"/>
    <w:rPr>
      <w:kern w:val="2"/>
      <w:sz w:val="28"/>
      <w:szCs w:val="24"/>
    </w:rPr>
  </w:style>
  <w:style w:type="character" w:customStyle="1" w:styleId="Charffa">
    <w:name w:val="图表注 Char"/>
    <w:qFormat/>
    <w:rsid w:val="002A5A5E"/>
    <w:rPr>
      <w:rFonts w:ascii="Arial" w:eastAsia="黑体" w:hAnsi="Arial" w:cs="Arial" w:hint="default"/>
      <w:kern w:val="2"/>
      <w:lang w:val="en-US" w:eastAsia="zh-CN" w:bidi="ar-SA"/>
    </w:rPr>
  </w:style>
  <w:style w:type="character" w:customStyle="1" w:styleId="CharChar9">
    <w:name w:val="表头 Char Char"/>
    <w:qFormat/>
    <w:rsid w:val="002A5A5E"/>
    <w:rPr>
      <w:rFonts w:ascii="宋体" w:eastAsia="宋体" w:hAnsi="宋体" w:hint="eastAsia"/>
      <w:b/>
      <w:kern w:val="2"/>
      <w:sz w:val="24"/>
      <w:szCs w:val="24"/>
      <w:lang w:val="en-US" w:eastAsia="zh-CN" w:bidi="ar-SA"/>
    </w:rPr>
  </w:style>
  <w:style w:type="character" w:customStyle="1" w:styleId="javascript">
    <w:name w:val="javascript"/>
    <w:basedOn w:val="a2"/>
    <w:qFormat/>
    <w:rsid w:val="002A5A5E"/>
  </w:style>
  <w:style w:type="character" w:customStyle="1" w:styleId="content">
    <w:name w:val="content"/>
    <w:basedOn w:val="a2"/>
    <w:qFormat/>
    <w:rsid w:val="002A5A5E"/>
  </w:style>
  <w:style w:type="character" w:customStyle="1" w:styleId="CharCharChar4">
    <w:name w:val="文档结构图 Char Char Char"/>
    <w:qFormat/>
    <w:rsid w:val="002A5A5E"/>
    <w:rPr>
      <w:kern w:val="2"/>
      <w:sz w:val="21"/>
      <w:szCs w:val="24"/>
      <w:shd w:val="clear" w:color="auto" w:fill="000080"/>
    </w:rPr>
  </w:style>
  <w:style w:type="character" w:customStyle="1" w:styleId="text1">
    <w:name w:val="text1"/>
    <w:qFormat/>
    <w:rsid w:val="002A5A5E"/>
    <w:rPr>
      <w:rFonts w:ascii="宋体" w:eastAsia="宋体" w:hAnsi="宋体" w:hint="eastAsia"/>
      <w:color w:val="999999"/>
      <w:sz w:val="18"/>
      <w:szCs w:val="18"/>
      <w:u w:val="none"/>
    </w:rPr>
  </w:style>
  <w:style w:type="character" w:customStyle="1" w:styleId="001Char">
    <w:name w:val="正文001 Char"/>
    <w:qFormat/>
    <w:rsid w:val="002A5A5E"/>
    <w:rPr>
      <w:rFonts w:ascii="Arial" w:eastAsia="宋体" w:hAnsi="Arial" w:cs="Arial" w:hint="default"/>
      <w:kern w:val="2"/>
      <w:sz w:val="24"/>
      <w:lang w:val="en-US" w:eastAsia="zh-CN" w:bidi="ar-SA"/>
    </w:rPr>
  </w:style>
  <w:style w:type="character" w:customStyle="1" w:styleId="141">
    <w:name w:val="141"/>
    <w:qFormat/>
    <w:rsid w:val="002A5A5E"/>
    <w:rPr>
      <w:color w:val="000000"/>
      <w:spacing w:val="330"/>
      <w:sz w:val="21"/>
      <w:szCs w:val="21"/>
    </w:rPr>
  </w:style>
  <w:style w:type="character" w:customStyle="1" w:styleId="redfont1">
    <w:name w:val="red_font1"/>
    <w:qFormat/>
    <w:rsid w:val="002A5A5E"/>
    <w:rPr>
      <w:color w:val="FF0000"/>
      <w:sz w:val="18"/>
      <w:szCs w:val="18"/>
      <w:u w:val="none"/>
    </w:rPr>
  </w:style>
  <w:style w:type="character" w:customStyle="1" w:styleId="cucd-1CharChar">
    <w:name w:val="cucd-1 Char Char"/>
    <w:qFormat/>
    <w:rsid w:val="002A5A5E"/>
    <w:rPr>
      <w:rFonts w:ascii="黑体" w:eastAsia="黑体" w:hAnsi="黑体" w:hint="eastAsia"/>
      <w:b/>
      <w:sz w:val="36"/>
      <w:szCs w:val="24"/>
      <w:lang w:val="en-US" w:eastAsia="zh-CN" w:bidi="ar-SA"/>
    </w:rPr>
  </w:style>
  <w:style w:type="character" w:customStyle="1" w:styleId="Char22">
    <w:name w:val="题注 Char2"/>
    <w:qFormat/>
    <w:rsid w:val="002A5A5E"/>
    <w:rPr>
      <w:rFonts w:ascii="Arial" w:eastAsia="黑体" w:hAnsi="Arial" w:cs="Arial" w:hint="default"/>
      <w:kern w:val="2"/>
      <w:lang w:val="en-US" w:eastAsia="zh-CN" w:bidi="ar-SA"/>
    </w:rPr>
  </w:style>
  <w:style w:type="character" w:customStyle="1" w:styleId="mainfont21">
    <w:name w:val="mainfont21"/>
    <w:qFormat/>
    <w:rsid w:val="002A5A5E"/>
    <w:rPr>
      <w:color w:val="666666"/>
      <w:sz w:val="18"/>
      <w:szCs w:val="18"/>
      <w:u w:val="none"/>
    </w:rPr>
  </w:style>
  <w:style w:type="character" w:customStyle="1" w:styleId="CharCharChar5">
    <w:name w:val="标题 Char Char Char"/>
    <w:qFormat/>
    <w:rsid w:val="002A5A5E"/>
    <w:rPr>
      <w:rFonts w:ascii="Helvetica" w:eastAsia="黑体" w:hAnsi="Helvetica" w:hint="default"/>
      <w:snapToGrid w:val="0"/>
      <w:color w:val="000000"/>
      <w:spacing w:val="4"/>
      <w:kern w:val="2"/>
      <w:sz w:val="32"/>
      <w:szCs w:val="32"/>
    </w:rPr>
  </w:style>
  <w:style w:type="character" w:customStyle="1" w:styleId="CharCharCharCharCharCharCharCharCharCharCharCharCharCharCharCharCharCharCharCharCharCharCharCharCharCharCharCharCharCharCharCharCharCharCharCharCharCharCharCharCharCharCharCharCharCharChar">
    <w:name w:val="正文（首行缩进两字） Char Char Char Char Char Char Char Char Char Char Char Char Char Char Char Char Char Char Char Char Char Char Char Char Char Char Char Char Char Char Char Char Char Char Char Char Char Char Char Char Char Char Char Char Char Char Char"/>
    <w:qFormat/>
    <w:rsid w:val="002A5A5E"/>
    <w:rPr>
      <w:rFonts w:ascii="宋体" w:eastAsia="宋体" w:hAnsi="宋体" w:hint="eastAsia"/>
      <w:kern w:val="2"/>
      <w:sz w:val="24"/>
      <w:lang w:val="en-US" w:eastAsia="zh-CN" w:bidi="ar-SA"/>
    </w:rPr>
  </w:style>
  <w:style w:type="character" w:customStyle="1" w:styleId="textcontents">
    <w:name w:val="textcontents"/>
    <w:basedOn w:val="a2"/>
    <w:qFormat/>
    <w:rsid w:val="002A5A5E"/>
  </w:style>
  <w:style w:type="character" w:customStyle="1" w:styleId="CharCharChar6">
    <w:name w:val="批注文字 Char Char Char"/>
    <w:qFormat/>
    <w:rsid w:val="002A5A5E"/>
    <w:rPr>
      <w:kern w:val="2"/>
      <w:sz w:val="21"/>
      <w:szCs w:val="24"/>
    </w:rPr>
  </w:style>
  <w:style w:type="character" w:customStyle="1" w:styleId="cucd-TBCharChar">
    <w:name w:val="cucd-TB Char Char"/>
    <w:qFormat/>
    <w:rsid w:val="002A5A5E"/>
    <w:rPr>
      <w:szCs w:val="24"/>
      <w:lang w:val="en-US" w:eastAsia="zh-CN" w:bidi="ar-SA"/>
    </w:rPr>
  </w:style>
  <w:style w:type="character" w:customStyle="1" w:styleId="zzsy051">
    <w:name w:val="zzsy051"/>
    <w:qFormat/>
    <w:rsid w:val="002A5A5E"/>
    <w:rPr>
      <w:rFonts w:ascii="宋体" w:eastAsia="宋体" w:hAnsi="宋体" w:hint="eastAsia"/>
      <w:b/>
      <w:bCs/>
      <w:color w:val="FF0000"/>
      <w:sz w:val="24"/>
      <w:szCs w:val="24"/>
    </w:rPr>
  </w:style>
  <w:style w:type="character" w:customStyle="1" w:styleId="1Char6">
    <w:name w:val="正文1 Char"/>
    <w:qFormat/>
    <w:rsid w:val="002A5A5E"/>
    <w:rPr>
      <w:rFonts w:ascii="宋体" w:eastAsia="宋体" w:hAnsi="宋体" w:hint="eastAsia"/>
      <w:sz w:val="28"/>
    </w:rPr>
  </w:style>
  <w:style w:type="character" w:customStyle="1" w:styleId="Charffb">
    <w:name w:val="样式 日期 + 宋体 Char"/>
    <w:qFormat/>
    <w:rsid w:val="002A5A5E"/>
    <w:rPr>
      <w:rFonts w:ascii="宋体" w:eastAsia="宋体" w:hAnsi="宋体" w:hint="eastAsia"/>
      <w:kern w:val="2"/>
      <w:sz w:val="28"/>
      <w:lang w:val="en-GB" w:eastAsia="zh-CN" w:bidi="ar-SA"/>
    </w:rPr>
  </w:style>
  <w:style w:type="character" w:customStyle="1" w:styleId="HTMLCharCharChar">
    <w:name w:val="HTML 预设格式 Char Char Char"/>
    <w:qFormat/>
    <w:rsid w:val="002A5A5E"/>
    <w:rPr>
      <w:rFonts w:ascii="Arial" w:hAnsi="Arial" w:cs="Arial" w:hint="default"/>
      <w:sz w:val="21"/>
      <w:szCs w:val="21"/>
    </w:rPr>
  </w:style>
  <w:style w:type="character" w:customStyle="1" w:styleId="ltextCharChar">
    <w:name w:val="l_text Char Char"/>
    <w:qFormat/>
    <w:rsid w:val="002A5A5E"/>
    <w:rPr>
      <w:rFonts w:ascii="宋体" w:eastAsia="宋体" w:hAnsi="宋体" w:hint="eastAsia"/>
      <w:sz w:val="28"/>
      <w:szCs w:val="28"/>
    </w:rPr>
  </w:style>
  <w:style w:type="character" w:customStyle="1" w:styleId="unnamed31">
    <w:name w:val="unnamed31"/>
    <w:qFormat/>
    <w:rsid w:val="002A5A5E"/>
    <w:rPr>
      <w:sz w:val="18"/>
    </w:rPr>
  </w:style>
  <w:style w:type="character" w:customStyle="1" w:styleId="CharChara">
    <w:name w:val="样式 日期 + 宋体 Char Char"/>
    <w:qFormat/>
    <w:rsid w:val="002A5A5E"/>
    <w:rPr>
      <w:rFonts w:ascii="宋体" w:eastAsia="宋体" w:hAnsi="宋体" w:hint="eastAsia"/>
      <w:kern w:val="2"/>
      <w:sz w:val="28"/>
      <w:lang w:eastAsia="zh-CN" w:bidi="ar-SA"/>
    </w:rPr>
  </w:style>
  <w:style w:type="character" w:customStyle="1" w:styleId="1Char11">
    <w:name w:val="正文1 Char1"/>
    <w:qFormat/>
    <w:rsid w:val="002A5A5E"/>
    <w:rPr>
      <w:rFonts w:ascii="宋体" w:eastAsia="宋体" w:hAnsi="宋体" w:hint="eastAsia"/>
      <w:snapToGrid w:val="0"/>
      <w:sz w:val="24"/>
      <w:szCs w:val="24"/>
      <w:lang w:val="en-US" w:eastAsia="zh-CN" w:bidi="ar-SA"/>
    </w:rPr>
  </w:style>
  <w:style w:type="character" w:customStyle="1" w:styleId="CharCharChar7">
    <w:name w:val="页脚 Char Char Char"/>
    <w:qFormat/>
    <w:rsid w:val="002A5A5E"/>
    <w:rPr>
      <w:kern w:val="2"/>
      <w:sz w:val="18"/>
      <w:szCs w:val="18"/>
    </w:rPr>
  </w:style>
  <w:style w:type="character" w:customStyle="1" w:styleId="cucd-TB-HeadCharChar">
    <w:name w:val="cucd-TB-Head Char Char"/>
    <w:qFormat/>
    <w:rsid w:val="002A5A5E"/>
    <w:rPr>
      <w:rFonts w:ascii="宋体" w:eastAsia="黑体" w:hAnsi="宋体" w:hint="eastAsia"/>
      <w:sz w:val="24"/>
      <w:szCs w:val="21"/>
    </w:rPr>
  </w:style>
  <w:style w:type="character" w:customStyle="1" w:styleId="CharCharb">
    <w:name w:val="样式表 Char Char"/>
    <w:qFormat/>
    <w:rsid w:val="002A5A5E"/>
    <w:rPr>
      <w:rFonts w:ascii="黑体" w:eastAsia="黑体" w:hAnsi="黑体" w:cs="宋体" w:hint="eastAsia"/>
      <w:color w:val="000000"/>
      <w:spacing w:val="8"/>
    </w:rPr>
  </w:style>
  <w:style w:type="character" w:customStyle="1" w:styleId="px14">
    <w:name w:val="px14"/>
    <w:basedOn w:val="a2"/>
    <w:qFormat/>
    <w:rsid w:val="002A5A5E"/>
  </w:style>
  <w:style w:type="character" w:customStyle="1" w:styleId="1-1CharChar">
    <w:name w:val="正文1-1 Char Char"/>
    <w:qFormat/>
    <w:rsid w:val="002A5A5E"/>
    <w:rPr>
      <w:rFonts w:ascii="宋体" w:eastAsia="FangSong_GB2312" w:hAnsi="宋体" w:cs="宋体" w:hint="eastAsia"/>
      <w:sz w:val="28"/>
      <w:szCs w:val="24"/>
    </w:rPr>
  </w:style>
  <w:style w:type="character" w:customStyle="1" w:styleId="cucd-0CharChar">
    <w:name w:val="cucd-0 Char Char"/>
    <w:qFormat/>
    <w:rsid w:val="002A5A5E"/>
    <w:rPr>
      <w:kern w:val="2"/>
      <w:sz w:val="24"/>
      <w:szCs w:val="24"/>
      <w:lang w:val="en-US" w:eastAsia="zh-CN" w:bidi="ar-SA"/>
    </w:rPr>
  </w:style>
  <w:style w:type="character" w:customStyle="1" w:styleId="postbody1">
    <w:name w:val="postbody1"/>
    <w:qFormat/>
    <w:rsid w:val="002A5A5E"/>
    <w:rPr>
      <w:sz w:val="21"/>
      <w:szCs w:val="21"/>
    </w:rPr>
  </w:style>
  <w:style w:type="character" w:customStyle="1" w:styleId="cucd-TB-HeadChar1">
    <w:name w:val="cucd-TB-Head Char1"/>
    <w:qFormat/>
    <w:rsid w:val="002A5A5E"/>
    <w:rPr>
      <w:rFonts w:ascii="宋体" w:eastAsia="宋体" w:hAnsi="宋体" w:hint="eastAsia"/>
      <w:b/>
      <w:kern w:val="2"/>
      <w:sz w:val="24"/>
      <w:szCs w:val="24"/>
      <w:lang w:val="en-US" w:eastAsia="zh-CN" w:bidi="ar-SA"/>
    </w:rPr>
  </w:style>
  <w:style w:type="character" w:customStyle="1" w:styleId="defaultfont1">
    <w:name w:val="defaultfont1"/>
    <w:basedOn w:val="a2"/>
    <w:qFormat/>
    <w:rsid w:val="002A5A5E"/>
  </w:style>
  <w:style w:type="character" w:customStyle="1" w:styleId="cucd-3Char1">
    <w:name w:val="cucd-3 Char1"/>
    <w:qFormat/>
    <w:rsid w:val="002A5A5E"/>
    <w:rPr>
      <w:b/>
      <w:kern w:val="2"/>
      <w:sz w:val="28"/>
      <w:szCs w:val="24"/>
      <w:lang w:val="en-US" w:eastAsia="zh-CN" w:bidi="ar-SA"/>
    </w:rPr>
  </w:style>
  <w:style w:type="character" w:customStyle="1" w:styleId="unnamed3">
    <w:name w:val="unnamed3"/>
    <w:basedOn w:val="a2"/>
    <w:qFormat/>
    <w:rsid w:val="002A5A5E"/>
  </w:style>
  <w:style w:type="character" w:customStyle="1" w:styleId="affffffffa">
    <w:name w:val="样式 方正宋三简体 四号"/>
    <w:qFormat/>
    <w:rsid w:val="002A5A5E"/>
    <w:rPr>
      <w:rFonts w:ascii="宋体" w:eastAsia="宋体" w:hAnsi="宋体" w:hint="eastAsia"/>
      <w:sz w:val="27"/>
      <w:szCs w:val="27"/>
    </w:rPr>
  </w:style>
  <w:style w:type="character" w:customStyle="1" w:styleId="jczi14">
    <w:name w:val="jc zi14"/>
    <w:basedOn w:val="a2"/>
    <w:qFormat/>
    <w:rsid w:val="002A5A5E"/>
  </w:style>
  <w:style w:type="character" w:customStyle="1" w:styleId="DefaultCharChar">
    <w:name w:val="Default Char Char"/>
    <w:qFormat/>
    <w:rsid w:val="002A5A5E"/>
    <w:rPr>
      <w:color w:val="000000"/>
      <w:sz w:val="24"/>
      <w:szCs w:val="24"/>
      <w:lang w:val="en-US" w:eastAsia="zh-CN" w:bidi="ar-SA"/>
    </w:rPr>
  </w:style>
  <w:style w:type="character" w:customStyle="1" w:styleId="3CharChar0">
    <w:name w:val="正文文本缩进 3 Char Char"/>
    <w:basedOn w:val="a2"/>
    <w:qFormat/>
    <w:rsid w:val="002A5A5E"/>
    <w:rPr>
      <w:rFonts w:ascii="宋体" w:eastAsia="宋体" w:hAnsi="宋体" w:hint="eastAsia"/>
      <w:b/>
      <w:bCs/>
      <w:kern w:val="2"/>
      <w:sz w:val="24"/>
      <w:szCs w:val="24"/>
      <w:lang w:val="en-US" w:eastAsia="zh-CN" w:bidi="ar-SA"/>
    </w:rPr>
  </w:style>
  <w:style w:type="character" w:customStyle="1" w:styleId="fontstyle41">
    <w:name w:val="fontstyle41"/>
    <w:basedOn w:val="a2"/>
    <w:qFormat/>
    <w:rsid w:val="002A5A5E"/>
    <w:rPr>
      <w:rFonts w:ascii="SymbolMT" w:eastAsia="SymbolMT" w:hAnsi="SymbolMT" w:hint="eastAsia"/>
      <w:color w:val="000000"/>
      <w:sz w:val="24"/>
      <w:szCs w:val="24"/>
    </w:rPr>
  </w:style>
  <w:style w:type="character" w:customStyle="1" w:styleId="fontstyle51">
    <w:name w:val="fontstyle51"/>
    <w:basedOn w:val="a2"/>
    <w:qFormat/>
    <w:rsid w:val="002A5A5E"/>
    <w:rPr>
      <w:rFonts w:ascii="TimesNewRomanPS-ItalicMT" w:hAnsi="TimesNewRomanPS-ItalicMT" w:hint="default"/>
      <w:i/>
      <w:iCs/>
      <w:color w:val="000000"/>
      <w:sz w:val="24"/>
      <w:szCs w:val="24"/>
    </w:rPr>
  </w:style>
  <w:style w:type="character" w:customStyle="1" w:styleId="CharCharc">
    <w:name w:val="【表头】 Char Char"/>
    <w:qFormat/>
    <w:rsid w:val="002A5A5E"/>
    <w:rPr>
      <w:b/>
      <w:sz w:val="24"/>
    </w:rPr>
  </w:style>
  <w:style w:type="character" w:customStyle="1" w:styleId="Charffc">
    <w:name w:val="普通(网站) Char"/>
    <w:qFormat/>
    <w:locked/>
    <w:rsid w:val="002A5A5E"/>
    <w:rPr>
      <w:rFonts w:ascii="Calibri" w:hAnsi="Calibri" w:hint="default"/>
      <w:color w:val="000000"/>
      <w:sz w:val="24"/>
      <w:szCs w:val="24"/>
    </w:rPr>
  </w:style>
  <w:style w:type="character" w:customStyle="1" w:styleId="1fd">
    <w:name w:val="默认段落字体1"/>
    <w:semiHidden/>
    <w:qFormat/>
    <w:rsid w:val="002A5A5E"/>
    <w:rPr>
      <w:rFonts w:ascii="Times New Roman" w:hAnsi="Times New Roman" w:cs="Times New Roman" w:hint="default"/>
      <w:sz w:val="21"/>
    </w:rPr>
  </w:style>
  <w:style w:type="character" w:customStyle="1" w:styleId="Char23">
    <w:name w:val="正文首行缩进 Char2"/>
    <w:basedOn w:val="a2"/>
    <w:uiPriority w:val="99"/>
    <w:semiHidden/>
    <w:qFormat/>
    <w:rsid w:val="002A5A5E"/>
    <w:rPr>
      <w:rFonts w:ascii="Times New Roman" w:eastAsia="宋体" w:hAnsi="Times New Roman" w:cs="Times New Roman" w:hint="default"/>
      <w:kern w:val="0"/>
      <w:sz w:val="24"/>
      <w:szCs w:val="24"/>
    </w:rPr>
  </w:style>
  <w:style w:type="table" w:customStyle="1" w:styleId="pxg2">
    <w:name w:val="网格型（pxg）2"/>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
    <w:name w:val="网格型4"/>
    <w:basedOn w:val="a3"/>
    <w:qFormat/>
    <w:rsid w:val="002A5A5E"/>
    <w:pPr>
      <w:widowControl w:val="0"/>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e">
    <w:name w:val="网格型1"/>
    <w:basedOn w:val="a3"/>
    <w:qFormat/>
    <w:rsid w:val="002A5A5E"/>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网格型刘1"/>
    <w:basedOn w:val="a3"/>
    <w:uiPriority w:val="99"/>
    <w:qFormat/>
    <w:rsid w:val="002A5A5E"/>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0010">
    <w:name w:val="网格型001"/>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2">
    <w:name w:val="网格型002"/>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3">
    <w:name w:val="网格型003"/>
    <w:basedOn w:val="a3"/>
    <w:qFormat/>
    <w:rsid w:val="002A5A5E"/>
    <w:rPr>
      <w:rFonts w:ascii="Calibri" w:eastAsia="宋体" w:hAnsi="Calibri" w:cs="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31">
    <w:name w:val="网格型0031"/>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4">
    <w:name w:val="网格型004"/>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5">
    <w:name w:val="网格型005"/>
    <w:basedOn w:val="a3"/>
    <w:qFormat/>
    <w:rsid w:val="002A5A5E"/>
    <w:rPr>
      <w:rFonts w:ascii="Calibri" w:eastAsia="宋体" w:hAnsi="Calibri" w:cs="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32">
    <w:name w:val="网格型0032"/>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6">
    <w:name w:val="网格型006"/>
    <w:basedOn w:val="a3"/>
    <w:qFormat/>
    <w:rsid w:val="002A5A5E"/>
    <w:rPr>
      <w:rFonts w:ascii="Calibri" w:eastAsia="宋体" w:hAnsi="Calibri" w:cs="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33">
    <w:name w:val="网格型0033"/>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34">
    <w:name w:val="网格型0034"/>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7">
    <w:name w:val="网格型007"/>
    <w:basedOn w:val="a3"/>
    <w:qFormat/>
    <w:rsid w:val="002A5A5E"/>
    <w:rPr>
      <w:rFonts w:ascii="Calibri" w:eastAsia="宋体" w:hAnsi="Calibri" w:cs="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35">
    <w:name w:val="网格型0035"/>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8">
    <w:name w:val="网格型008"/>
    <w:basedOn w:val="a3"/>
    <w:uiPriority w:val="59"/>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网格型11"/>
    <w:basedOn w:val="a3"/>
    <w:uiPriority w:val="59"/>
    <w:qFormat/>
    <w:rsid w:val="002A5A5E"/>
    <w:rPr>
      <w:rFonts w:ascii="Times New Roman" w:eastAsia="宋体"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9">
    <w:name w:val="网格型2"/>
    <w:basedOn w:val="a3"/>
    <w:qFormat/>
    <w:rsid w:val="002A5A5E"/>
    <w:rPr>
      <w:rFonts w:ascii="Times New Roman" w:eastAsia="宋体"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c">
    <w:name w:val="网格型3"/>
    <w:basedOn w:val="a3"/>
    <w:qFormat/>
    <w:rsid w:val="002A5A5E"/>
    <w:rPr>
      <w:rFonts w:ascii="Times New Roman" w:eastAsia="宋体"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xg1">
    <w:name w:val="网格型（pxg）1"/>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xg3">
    <w:name w:val="网格型（pxg）3"/>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ucd-table">
    <w:name w:val="cucd-table"/>
    <w:basedOn w:val="a3"/>
    <w:qFormat/>
    <w:rsid w:val="002A5A5E"/>
    <w:pPr>
      <w:jc w:val="center"/>
    </w:pPr>
    <w:rPr>
      <w:rFonts w:ascii="Times New Roman" w:eastAsia="宋体" w:hAnsi="Times New Roman" w:cs="Times New Roman"/>
    </w:rPr>
    <w:tblPr>
      <w:tblInd w:w="0" w:type="dxa"/>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CellMar>
        <w:top w:w="0" w:type="dxa"/>
        <w:left w:w="108" w:type="dxa"/>
        <w:bottom w:w="0" w:type="dxa"/>
        <w:right w:w="108" w:type="dxa"/>
      </w:tblCellMar>
    </w:tblPr>
    <w:tcPr>
      <w:vAlign w:val="center"/>
    </w:tcPr>
    <w:tblStylePr w:type="firstRow">
      <w:rPr>
        <w:b/>
        <w:i w:val="0"/>
      </w:rPr>
      <w:tblPr/>
      <w:tcPr>
        <w:tcBorders>
          <w:top w:val="thinThickSmallGap" w:sz="12" w:space="0" w:color="auto"/>
          <w:left w:val="thinThickSmallGap" w:sz="12" w:space="0" w:color="auto"/>
          <w:bottom w:val="single" w:sz="4" w:space="0" w:color="auto"/>
          <w:right w:val="thickThinSmallGap" w:sz="12" w:space="0" w:color="auto"/>
          <w:insideH w:val="single" w:sz="6" w:space="0" w:color="auto"/>
          <w:insideV w:val="single" w:sz="6" w:space="0" w:color="auto"/>
          <w:tl2br w:val="nil"/>
          <w:tr2bl w:val="nil"/>
        </w:tcBorders>
        <w:shd w:val="clear" w:color="auto" w:fill="D9D9D9"/>
      </w:tcPr>
    </w:tblStylePr>
  </w:style>
  <w:style w:type="table" w:customStyle="1" w:styleId="affffffffb">
    <w:name w:val="报告书格式"/>
    <w:basedOn w:val="a3"/>
    <w:qFormat/>
    <w:rsid w:val="002A5A5E"/>
    <w:pPr>
      <w:adjustRightInd w:val="0"/>
      <w:snapToGrid w:val="0"/>
      <w:jc w:val="center"/>
    </w:pPr>
    <w:rPr>
      <w:rFonts w:ascii="Times New Roman" w:eastAsia="宋体" w:hAnsi="Times New Roman" w:cs="Times New Roman"/>
      <w:sz w:val="18"/>
      <w:szCs w:val="18"/>
    </w:rPr>
    <w:tblPr>
      <w:tblInd w:w="0" w:type="dxa"/>
      <w:tblBorders>
        <w:top w:val="single" w:sz="4" w:space="0" w:color="auto"/>
        <w:bottom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table" w:customStyle="1" w:styleId="114">
    <w:name w:val="网格型刘11"/>
    <w:basedOn w:val="a3"/>
    <w:uiPriority w:val="99"/>
    <w:qFormat/>
    <w:rsid w:val="002A5A5E"/>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f5">
    <w:name w:val="普通(网站) Char1"/>
    <w:qFormat/>
    <w:locked/>
    <w:rsid w:val="002A5A5E"/>
    <w:rPr>
      <w:rFonts w:ascii="Calibri" w:hAnsi="Calibri"/>
      <w:color w:val="000000"/>
      <w:sz w:val="24"/>
      <w:szCs w:val="24"/>
    </w:rPr>
  </w:style>
  <w:style w:type="character" w:customStyle="1" w:styleId="Char9">
    <w:name w:val="尾注文本 Char"/>
    <w:basedOn w:val="a2"/>
    <w:link w:val="af0"/>
    <w:uiPriority w:val="99"/>
    <w:semiHidden/>
    <w:qFormat/>
    <w:rsid w:val="002A5A5E"/>
    <w:rPr>
      <w:rFonts w:ascii="Times New Roman" w:eastAsia="宋体" w:hAnsi="Times New Roman" w:cs="Times New Roman"/>
      <w:szCs w:val="24"/>
    </w:rPr>
  </w:style>
  <w:style w:type="table" w:customStyle="1" w:styleId="affffffffc">
    <w:name w:val="[表格样式]"/>
    <w:basedOn w:val="a3"/>
    <w:uiPriority w:val="99"/>
    <w:qFormat/>
    <w:rsid w:val="002A5A5E"/>
    <w:pPr>
      <w:adjustRightInd w:val="0"/>
      <w:snapToGrid w:val="0"/>
      <w:jc w:val="center"/>
    </w:pPr>
    <w:rPr>
      <w:rFonts w:ascii="Times New Roman" w:eastAsia="宋体" w:hAnsi="Times New Roman"/>
      <w:snapToGrid w:val="0"/>
    </w:rPr>
    <w:tblP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character" w:customStyle="1" w:styleId="00Char">
    <w:name w:val="正文00 Char"/>
    <w:qFormat/>
    <w:rsid w:val="002A5A5E"/>
    <w:rPr>
      <w:rFonts w:ascii="Times New Roman" w:eastAsia="宋体" w:hAnsi="Times New Roman" w:cs="Times New Roman"/>
      <w:sz w:val="24"/>
      <w:szCs w:val="24"/>
    </w:rPr>
  </w:style>
  <w:style w:type="character" w:customStyle="1" w:styleId="CharCharCharCharCharCharChar0">
    <w:name w:val="正文文本最新 Char Char Char Char Char Char Char"/>
    <w:qFormat/>
    <w:rsid w:val="002A5A5E"/>
    <w:rPr>
      <w:rFonts w:eastAsia="宋体"/>
      <w:kern w:val="2"/>
      <w:sz w:val="28"/>
      <w:lang w:val="en-US" w:eastAsia="zh-CN"/>
    </w:rPr>
  </w:style>
  <w:style w:type="paragraph" w:styleId="affffffffd">
    <w:name w:val="List Paragraph"/>
    <w:basedOn w:val="a1"/>
    <w:uiPriority w:val="99"/>
    <w:qFormat/>
    <w:rsid w:val="002A5A5E"/>
    <w:pPr>
      <w:ind w:firstLineChars="200" w:firstLine="420"/>
    </w:pPr>
  </w:style>
  <w:style w:type="character" w:customStyle="1" w:styleId="2Char6">
    <w:name w:val="缩进2 Char"/>
    <w:link w:val="2fa"/>
    <w:qFormat/>
    <w:rsid w:val="002A5A5E"/>
    <w:rPr>
      <w:rFonts w:ascii="宋体" w:hAnsi="宋体"/>
      <w:sz w:val="24"/>
      <w:szCs w:val="21"/>
    </w:rPr>
  </w:style>
  <w:style w:type="paragraph" w:customStyle="1" w:styleId="2fa">
    <w:name w:val="缩进2"/>
    <w:basedOn w:val="a1"/>
    <w:link w:val="2Char6"/>
    <w:qFormat/>
    <w:rsid w:val="002A5A5E"/>
    <w:pPr>
      <w:spacing w:line="360" w:lineRule="auto"/>
      <w:ind w:firstLineChars="200" w:firstLine="200"/>
    </w:pPr>
    <w:rPr>
      <w:rFonts w:ascii="宋体" w:eastAsiaTheme="minorEastAsia" w:hAnsi="宋体" w:cstheme="minorBidi"/>
      <w:sz w:val="24"/>
      <w:szCs w:val="21"/>
    </w:rPr>
  </w:style>
  <w:style w:type="character" w:customStyle="1" w:styleId="Charff2">
    <w:name w:val="表文 Char"/>
    <w:link w:val="affffb"/>
    <w:qFormat/>
    <w:rsid w:val="002A5A5E"/>
    <w:rPr>
      <w:rFonts w:ascii="Times New Roman" w:eastAsia="宋体" w:hAnsi="Times New Roman" w:cs="Times New Roman"/>
      <w:sz w:val="24"/>
      <w:szCs w:val="24"/>
    </w:rPr>
  </w:style>
  <w:style w:type="character" w:customStyle="1" w:styleId="affffffffe">
    <w:name w:val="表头 字符"/>
    <w:qFormat/>
    <w:rsid w:val="002A5A5E"/>
    <w:rPr>
      <w:rFonts w:ascii="Times New Roman" w:eastAsia="黑体" w:hAnsi="Times New Roman"/>
      <w:sz w:val="24"/>
    </w:rPr>
  </w:style>
  <w:style w:type="character" w:customStyle="1" w:styleId="47">
    <w:name w:val="标题 4 字符"/>
    <w:qFormat/>
    <w:rsid w:val="002A5A5E"/>
    <w:rPr>
      <w:rFonts w:ascii="Times New Roman" w:hAnsi="Times New Roman"/>
      <w:kern w:val="2"/>
      <w:sz w:val="24"/>
    </w:rPr>
  </w:style>
  <w:style w:type="character" w:customStyle="1" w:styleId="afffffffff">
    <w:name w:val="页眉 字符"/>
    <w:uiPriority w:val="99"/>
    <w:qFormat/>
    <w:rsid w:val="002A5A5E"/>
    <w:rPr>
      <w:rFonts w:ascii="Times New Roman" w:eastAsia="宋体" w:hAnsi="Times New Roman"/>
      <w:sz w:val="18"/>
      <w:szCs w:val="18"/>
    </w:rPr>
  </w:style>
  <w:style w:type="character" w:customStyle="1" w:styleId="afffffffff0">
    <w:name w:val="页脚 字符"/>
    <w:uiPriority w:val="99"/>
    <w:qFormat/>
    <w:rsid w:val="002A5A5E"/>
    <w:rPr>
      <w:rFonts w:ascii="Times New Roman" w:eastAsia="宋体" w:hAnsi="Times New Roman"/>
      <w:sz w:val="18"/>
      <w:szCs w:val="18"/>
    </w:rPr>
  </w:style>
  <w:style w:type="character" w:customStyle="1" w:styleId="afffffffff1">
    <w:name w:val="纯文本 字符"/>
    <w:qFormat/>
    <w:rsid w:val="002A5A5E"/>
    <w:rPr>
      <w:rFonts w:ascii="宋体" w:hAnsi="Courier New"/>
    </w:rPr>
  </w:style>
  <w:style w:type="paragraph" w:customStyle="1" w:styleId="NormalWeb1">
    <w:name w:val="Normal (Web)1"/>
    <w:basedOn w:val="a1"/>
    <w:next w:val="a1"/>
    <w:qFormat/>
    <w:rsid w:val="002A5A5E"/>
    <w:pPr>
      <w:widowControl/>
      <w:jc w:val="left"/>
    </w:pPr>
    <w:rPr>
      <w:rFonts w:ascii="宋体"/>
      <w:kern w:val="0"/>
      <w:sz w:val="24"/>
      <w:szCs w:val="21"/>
    </w:rPr>
  </w:style>
  <w:style w:type="paragraph" w:customStyle="1" w:styleId="TableParagraph">
    <w:name w:val="Table Paragraph"/>
    <w:basedOn w:val="a1"/>
    <w:uiPriority w:val="1"/>
    <w:qFormat/>
    <w:rsid w:val="002A5A5E"/>
    <w:pPr>
      <w:autoSpaceDE w:val="0"/>
      <w:autoSpaceDN w:val="0"/>
      <w:jc w:val="center"/>
    </w:pPr>
    <w:rPr>
      <w:rFonts w:ascii="仿宋" w:eastAsia="仿宋" w:hAnsi="仿宋" w:hint="eastAsia"/>
      <w:kern w:val="0"/>
      <w:sz w:val="22"/>
      <w:szCs w:val="22"/>
    </w:rPr>
  </w:style>
  <w:style w:type="paragraph" w:customStyle="1" w:styleId="afffffffff2">
    <w:name w:val="表内文字"/>
    <w:basedOn w:val="a1"/>
    <w:qFormat/>
    <w:rsid w:val="002A5A5E"/>
    <w:pPr>
      <w:widowControl/>
      <w:spacing w:after="200" w:line="276" w:lineRule="auto"/>
      <w:jc w:val="center"/>
    </w:pPr>
    <w:rPr>
      <w:color w:val="000000"/>
      <w:kern w:val="0"/>
      <w:sz w:val="22"/>
      <w:szCs w:val="18"/>
    </w:rPr>
  </w:style>
  <w:style w:type="paragraph" w:customStyle="1" w:styleId="afffffffff3">
    <w:name w:val="a正文"/>
    <w:basedOn w:val="a1"/>
    <w:qFormat/>
    <w:rsid w:val="002A5A5E"/>
    <w:pPr>
      <w:spacing w:line="520" w:lineRule="exact"/>
      <w:ind w:firstLine="561"/>
    </w:pPr>
    <w:rPr>
      <w:sz w:val="28"/>
      <w:szCs w:val="22"/>
    </w:rPr>
  </w:style>
  <w:style w:type="paragraph" w:customStyle="1" w:styleId="2fb">
    <w:name w:val="列出段落2"/>
    <w:basedOn w:val="a1"/>
    <w:uiPriority w:val="34"/>
    <w:qFormat/>
    <w:rsid w:val="002A5A5E"/>
    <w:pPr>
      <w:widowControl/>
      <w:spacing w:after="200" w:line="276" w:lineRule="auto"/>
      <w:ind w:firstLine="420"/>
      <w:jc w:val="left"/>
    </w:pPr>
    <w:rPr>
      <w:rFonts w:asciiTheme="minorHAnsi" w:eastAsiaTheme="minorEastAsia" w:hAnsiTheme="minorHAnsi" w:cstheme="minorBidi"/>
      <w:kern w:val="0"/>
      <w:sz w:val="24"/>
    </w:rPr>
  </w:style>
  <w:style w:type="paragraph" w:customStyle="1" w:styleId="afffffffff4">
    <w:name w:val="表中的文字"/>
    <w:basedOn w:val="affff"/>
    <w:link w:val="Charffd"/>
    <w:qFormat/>
    <w:rsid w:val="002A5A5E"/>
    <w:pPr>
      <w:widowControl/>
      <w:adjustRightInd w:val="0"/>
      <w:snapToGrid w:val="0"/>
      <w:spacing w:line="440" w:lineRule="exact"/>
      <w:ind w:firstLineChars="0" w:firstLine="0"/>
    </w:pPr>
    <w:rPr>
      <w:bCs/>
      <w:color w:val="000000"/>
      <w:kern w:val="0"/>
      <w:sz w:val="21"/>
      <w:szCs w:val="21"/>
    </w:rPr>
  </w:style>
  <w:style w:type="character" w:customStyle="1" w:styleId="Charffd">
    <w:name w:val="表中的文字 Char"/>
    <w:link w:val="afffffffff4"/>
    <w:qFormat/>
    <w:rsid w:val="002A5A5E"/>
    <w:rPr>
      <w:rFonts w:ascii="Times New Roman" w:eastAsia="宋体" w:hAnsi="Times New Roman" w:cs="Times New Roman"/>
      <w:bCs/>
      <w:color w:val="000000"/>
      <w:kern w:val="0"/>
      <w:szCs w:val="21"/>
    </w:rPr>
  </w:style>
  <w:style w:type="paragraph" w:customStyle="1" w:styleId="1120">
    <w:name w:val="样式 正文11 + 首行缩进:  2 字符"/>
    <w:basedOn w:val="a1"/>
    <w:qFormat/>
    <w:rsid w:val="002A5A5E"/>
    <w:pPr>
      <w:spacing w:line="500" w:lineRule="exact"/>
      <w:ind w:firstLineChars="200" w:firstLine="560"/>
    </w:pPr>
    <w:rPr>
      <w:rFonts w:ascii="宋体" w:hAnsi="宋体" w:cs="宋体"/>
      <w:color w:val="FF0000"/>
      <w:sz w:val="28"/>
      <w:szCs w:val="20"/>
    </w:rPr>
  </w:style>
  <w:style w:type="paragraph" w:customStyle="1" w:styleId="afffffffff5">
    <w:name w:val="表格表头"/>
    <w:basedOn w:val="a1"/>
    <w:next w:val="a1"/>
    <w:qFormat/>
    <w:rsid w:val="002A5A5E"/>
    <w:pPr>
      <w:tabs>
        <w:tab w:val="left" w:pos="567"/>
        <w:tab w:val="left" w:pos="3289"/>
      </w:tabs>
      <w:snapToGrid w:val="0"/>
      <w:ind w:left="995" w:hangingChars="472" w:hanging="995"/>
      <w:contextualSpacing/>
      <w:jc w:val="center"/>
    </w:pPr>
    <w:rPr>
      <w:b/>
      <w:szCs w:val="21"/>
    </w:rPr>
  </w:style>
  <w:style w:type="character" w:customStyle="1" w:styleId="Charffe">
    <w:name w:val="图头 Char"/>
    <w:link w:val="afffffffff6"/>
    <w:qFormat/>
    <w:rsid w:val="002A5A5E"/>
    <w:rPr>
      <w:rFonts w:ascii="黑体" w:eastAsia="黑体"/>
      <w:sz w:val="28"/>
      <w:szCs w:val="28"/>
    </w:rPr>
  </w:style>
  <w:style w:type="paragraph" w:customStyle="1" w:styleId="afffffffff6">
    <w:name w:val="图头"/>
    <w:basedOn w:val="a1"/>
    <w:link w:val="Charffe"/>
    <w:qFormat/>
    <w:rsid w:val="002A5A5E"/>
    <w:pPr>
      <w:spacing w:line="360" w:lineRule="auto"/>
      <w:jc w:val="center"/>
    </w:pPr>
    <w:rPr>
      <w:rFonts w:ascii="黑体" w:eastAsia="黑体" w:hAnsiTheme="minorHAnsi" w:cstheme="minorBidi"/>
      <w:sz w:val="28"/>
      <w:szCs w:val="28"/>
    </w:rPr>
  </w:style>
  <w:style w:type="paragraph" w:customStyle="1" w:styleId="2fc">
    <w:name w:val="2兴业表格"/>
    <w:basedOn w:val="a1"/>
    <w:qFormat/>
    <w:rsid w:val="002A5A5E"/>
    <w:pPr>
      <w:adjustRightInd w:val="0"/>
      <w:snapToGrid w:val="0"/>
      <w:jc w:val="center"/>
    </w:pPr>
    <w:rPr>
      <w:szCs w:val="21"/>
    </w:rPr>
  </w:style>
  <w:style w:type="character" w:customStyle="1" w:styleId="Char4">
    <w:name w:val="称呼 Char"/>
    <w:basedOn w:val="a2"/>
    <w:link w:val="aa"/>
    <w:qFormat/>
    <w:rsid w:val="002A5A5E"/>
    <w:rPr>
      <w:rFonts w:ascii="Times New Roman" w:eastAsia="宋体" w:hAnsi="Times New Roman" w:cs="Times New Roman"/>
      <w:szCs w:val="24"/>
    </w:rPr>
  </w:style>
  <w:style w:type="character" w:customStyle="1" w:styleId="1ff0">
    <w:name w:val="正文文本 字符1"/>
    <w:semiHidden/>
    <w:qFormat/>
    <w:rsid w:val="002A5A5E"/>
    <w:rPr>
      <w:rFonts w:ascii="Times New Roman" w:eastAsia="宋体" w:hAnsi="Times New Roman"/>
      <w:sz w:val="24"/>
    </w:rPr>
  </w:style>
  <w:style w:type="paragraph" w:customStyle="1" w:styleId="Char40">
    <w:name w:val="Char4"/>
    <w:basedOn w:val="a1"/>
    <w:next w:val="30"/>
    <w:qFormat/>
    <w:rsid w:val="002A5A5E"/>
    <w:pPr>
      <w:widowControl/>
      <w:spacing w:line="360" w:lineRule="auto"/>
      <w:ind w:firstLineChars="200" w:firstLine="480"/>
    </w:pPr>
    <w:rPr>
      <w:color w:val="000000"/>
      <w:kern w:val="0"/>
      <w:sz w:val="24"/>
      <w:szCs w:val="20"/>
    </w:rPr>
  </w:style>
  <w:style w:type="table" w:customStyle="1" w:styleId="1ff1">
    <w:name w:val="魏秀珍表格1"/>
    <w:basedOn w:val="a3"/>
    <w:qFormat/>
    <w:rsid w:val="002A5A5E"/>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CharCharChar2">
    <w:name w:val="Char1 Char Char Char2"/>
    <w:basedOn w:val="a1"/>
    <w:qFormat/>
    <w:rsid w:val="002A5A5E"/>
    <w:pPr>
      <w:ind w:firstLineChars="200" w:firstLine="480"/>
    </w:pPr>
    <w:rPr>
      <w:rFonts w:ascii="宋体"/>
      <w:sz w:val="28"/>
    </w:rPr>
  </w:style>
  <w:style w:type="character" w:customStyle="1" w:styleId="1ff2">
    <w:name w:val="不明显强调1"/>
    <w:basedOn w:val="a2"/>
    <w:uiPriority w:val="19"/>
    <w:qFormat/>
    <w:rsid w:val="002A5A5E"/>
    <w:rPr>
      <w:rFonts w:eastAsia="宋体" w:cs="Times New Roman"/>
      <w:i/>
      <w:iCs/>
      <w:color w:val="808080"/>
      <w:szCs w:val="22"/>
      <w:lang w:eastAsia="zh-CN"/>
    </w:rPr>
  </w:style>
  <w:style w:type="character" w:customStyle="1" w:styleId="CharChar10">
    <w:name w:val="Char Char1"/>
    <w:uiPriority w:val="99"/>
    <w:qFormat/>
    <w:rsid w:val="002A5A5E"/>
    <w:rPr>
      <w:rFonts w:eastAsia="宋体" w:cs="Times New Roman"/>
      <w:kern w:val="2"/>
      <w:sz w:val="18"/>
      <w:szCs w:val="18"/>
      <w:lang w:val="en-US" w:eastAsia="zh-CN"/>
    </w:rPr>
  </w:style>
  <w:style w:type="character" w:customStyle="1" w:styleId="Charfff">
    <w:name w:val="脚注文本 Char"/>
    <w:basedOn w:val="a2"/>
    <w:link w:val="af6"/>
    <w:uiPriority w:val="99"/>
    <w:qFormat/>
    <w:rsid w:val="002A5A5E"/>
    <w:rPr>
      <w:rFonts w:ascii="Calibri" w:eastAsia="宋体" w:hAnsi="Calibri" w:cs="Times New Roman"/>
    </w:rPr>
  </w:style>
  <w:style w:type="character" w:customStyle="1" w:styleId="Char10">
    <w:name w:val="脚注文本 Char1"/>
    <w:basedOn w:val="a2"/>
    <w:link w:val="af6"/>
    <w:uiPriority w:val="99"/>
    <w:semiHidden/>
    <w:qFormat/>
    <w:rsid w:val="002A5A5E"/>
    <w:rPr>
      <w:rFonts w:ascii="Times New Roman" w:eastAsia="宋体" w:hAnsi="Times New Roman" w:cs="Times New Roman"/>
      <w:sz w:val="18"/>
      <w:szCs w:val="18"/>
    </w:rPr>
  </w:style>
  <w:style w:type="paragraph" w:customStyle="1" w:styleId="DecimalAligned">
    <w:name w:val="Decimal Aligned"/>
    <w:basedOn w:val="a1"/>
    <w:uiPriority w:val="40"/>
    <w:qFormat/>
    <w:rsid w:val="002A5A5E"/>
    <w:pPr>
      <w:widowControl/>
      <w:tabs>
        <w:tab w:val="decimal" w:pos="360"/>
      </w:tabs>
      <w:spacing w:after="200" w:line="276" w:lineRule="auto"/>
      <w:jc w:val="left"/>
    </w:pPr>
    <w:rPr>
      <w:rFonts w:ascii="Calibri" w:hAnsi="Calibri"/>
      <w:kern w:val="0"/>
      <w:sz w:val="22"/>
      <w:szCs w:val="22"/>
    </w:rPr>
  </w:style>
  <w:style w:type="table" w:customStyle="1" w:styleId="56">
    <w:name w:val="网格型5"/>
    <w:basedOn w:val="a3"/>
    <w:uiPriority w:val="99"/>
    <w:qFormat/>
    <w:rsid w:val="002A5A5E"/>
    <w:rPr>
      <w:rFonts w:ascii="Times New Roman" w:eastAsia="宋体" w:hAnsi="Times New Roman"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浅色底纹 - 强调文字颜色 11"/>
    <w:basedOn w:val="a3"/>
    <w:uiPriority w:val="60"/>
    <w:qFormat/>
    <w:rsid w:val="002A5A5E"/>
    <w:rPr>
      <w:rFonts w:ascii="Calibri" w:eastAsia="宋体" w:hAnsi="Calibri" w:cs="Times New Roman"/>
      <w:color w:val="365F91"/>
      <w:sz w:val="22"/>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paragraph" w:customStyle="1" w:styleId="Style2">
    <w:name w:val="_Style 2"/>
    <w:qFormat/>
    <w:rsid w:val="002A5A5E"/>
    <w:pPr>
      <w:widowControl w:val="0"/>
      <w:spacing w:line="360" w:lineRule="auto"/>
      <w:jc w:val="both"/>
    </w:pPr>
    <w:rPr>
      <w:rFonts w:ascii="Times New Roman" w:eastAsia="宋体" w:hAnsi="Times New Roman" w:cs="Times New Roman"/>
      <w:kern w:val="2"/>
      <w:sz w:val="24"/>
      <w:szCs w:val="22"/>
    </w:rPr>
  </w:style>
  <w:style w:type="paragraph" w:customStyle="1" w:styleId="aaa">
    <w:name w:val="aaa正文"/>
    <w:basedOn w:val="a1"/>
    <w:link w:val="aaaChar"/>
    <w:qFormat/>
    <w:rsid w:val="002A5A5E"/>
    <w:pPr>
      <w:spacing w:line="480" w:lineRule="exact"/>
      <w:ind w:firstLineChars="200" w:firstLine="200"/>
    </w:pPr>
    <w:rPr>
      <w:rFonts w:hAnsi="Calibri"/>
      <w:kern w:val="0"/>
      <w:sz w:val="24"/>
    </w:rPr>
  </w:style>
  <w:style w:type="character" w:customStyle="1" w:styleId="font01">
    <w:name w:val="font01"/>
    <w:qFormat/>
    <w:rsid w:val="002A5A5E"/>
    <w:rPr>
      <w:rFonts w:ascii="Times New Roman" w:hAnsi="Times New Roman" w:cs="Times New Roman" w:hint="default"/>
      <w:color w:val="000000"/>
      <w:sz w:val="24"/>
      <w:szCs w:val="24"/>
      <w:u w:val="none"/>
    </w:rPr>
  </w:style>
  <w:style w:type="character" w:customStyle="1" w:styleId="aaaChar">
    <w:name w:val="aaa正文 Char"/>
    <w:link w:val="aaa"/>
    <w:qFormat/>
    <w:rsid w:val="002A5A5E"/>
    <w:rPr>
      <w:rFonts w:ascii="Times New Roman" w:eastAsia="宋体" w:hAnsi="Calibri" w:cs="Times New Roman"/>
      <w:kern w:val="0"/>
      <w:sz w:val="24"/>
      <w:szCs w:val="24"/>
    </w:rPr>
  </w:style>
  <w:style w:type="paragraph" w:customStyle="1" w:styleId="zzzzzz">
    <w:name w:val="zzzzzz"/>
    <w:basedOn w:val="a1"/>
    <w:qFormat/>
    <w:rsid w:val="002A5A5E"/>
    <w:pPr>
      <w:spacing w:line="360" w:lineRule="auto"/>
      <w:ind w:firstLineChars="200" w:firstLine="200"/>
      <w:jc w:val="left"/>
    </w:pPr>
    <w:rPr>
      <w:rFonts w:ascii="FangSong_GB2312" w:eastAsia="FangSong_GB2312" w:hAnsi="宋体" w:cs="宋体"/>
      <w:kern w:val="0"/>
      <w:sz w:val="28"/>
      <w:szCs w:val="28"/>
    </w:rPr>
  </w:style>
  <w:style w:type="character" w:customStyle="1" w:styleId="1151Char">
    <w:name w:val="样式 样式 标题 1 + (西文) 仿宋 (中文) 仿宋 行距: 1.5 倍行距 + (中文) 仿宋 小四1 Char"/>
    <w:basedOn w:val="a2"/>
    <w:link w:val="1151"/>
    <w:qFormat/>
    <w:rsid w:val="002A5A5E"/>
    <w:rPr>
      <w:rFonts w:ascii="Arial" w:eastAsia="黑体" w:hAnsi="Arial" w:cs="Arial"/>
      <w:color w:val="000000"/>
      <w:kern w:val="44"/>
      <w:sz w:val="30"/>
      <w:szCs w:val="30"/>
    </w:rPr>
  </w:style>
  <w:style w:type="paragraph" w:customStyle="1" w:styleId="1151">
    <w:name w:val="样式 样式 标题 1 + (西文) 仿宋 (中文) 仿宋 行距: 1.5 倍行距 + (中文) 仿宋 小四1"/>
    <w:basedOn w:val="a1"/>
    <w:link w:val="1151Char"/>
    <w:qFormat/>
    <w:rsid w:val="002A5A5E"/>
    <w:pPr>
      <w:keepNext/>
      <w:keepLines/>
      <w:spacing w:line="360" w:lineRule="auto"/>
      <w:outlineLvl w:val="0"/>
    </w:pPr>
    <w:rPr>
      <w:rFonts w:ascii="Arial" w:eastAsia="黑体" w:hAnsi="Arial" w:cs="Arial"/>
      <w:color w:val="000000"/>
      <w:kern w:val="44"/>
      <w:sz w:val="30"/>
      <w:szCs w:val="30"/>
    </w:rPr>
  </w:style>
  <w:style w:type="character" w:customStyle="1" w:styleId="Bodytext1">
    <w:name w:val="Body text|1_"/>
    <w:basedOn w:val="a2"/>
    <w:link w:val="Bodytext10"/>
    <w:qFormat/>
    <w:rsid w:val="002A5A5E"/>
    <w:rPr>
      <w:rFonts w:ascii="宋体" w:eastAsia="宋体" w:hAnsi="宋体" w:cs="宋体"/>
      <w:sz w:val="22"/>
      <w:lang w:val="zh-TW" w:eastAsia="zh-TW" w:bidi="zh-TW"/>
    </w:rPr>
  </w:style>
  <w:style w:type="paragraph" w:customStyle="1" w:styleId="Bodytext10">
    <w:name w:val="Body text|1"/>
    <w:basedOn w:val="a1"/>
    <w:link w:val="Bodytext1"/>
    <w:qFormat/>
    <w:rsid w:val="002A5A5E"/>
    <w:pPr>
      <w:spacing w:after="160" w:line="446" w:lineRule="auto"/>
      <w:ind w:firstLine="400"/>
      <w:jc w:val="left"/>
    </w:pPr>
    <w:rPr>
      <w:rFonts w:ascii="宋体" w:hAnsi="宋体" w:cs="宋体"/>
      <w:sz w:val="22"/>
      <w:szCs w:val="22"/>
      <w:lang w:val="zh-TW" w:eastAsia="zh-TW" w:bidi="zh-TW"/>
    </w:rPr>
  </w:style>
  <w:style w:type="character" w:customStyle="1" w:styleId="Chare">
    <w:name w:val="信息标题 Char"/>
    <w:basedOn w:val="a2"/>
    <w:link w:val="af7"/>
    <w:qFormat/>
    <w:rsid w:val="002A5A5E"/>
    <w:rPr>
      <w:rFonts w:ascii="Arial" w:eastAsia="宋体" w:hAnsi="Arial" w:cs="Times New Roman"/>
      <w:sz w:val="24"/>
      <w:szCs w:val="24"/>
      <w:shd w:val="pct20" w:color="auto" w:fill="auto"/>
    </w:rPr>
  </w:style>
  <w:style w:type="paragraph" w:customStyle="1" w:styleId="11111">
    <w:name w:val="11111"/>
    <w:basedOn w:val="a1"/>
    <w:next w:val="a1"/>
    <w:autoRedefine/>
    <w:qFormat/>
    <w:rsid w:val="002A5A5E"/>
    <w:pPr>
      <w:spacing w:line="360" w:lineRule="auto"/>
      <w:ind w:firstLineChars="200" w:firstLine="200"/>
    </w:pPr>
    <w:rPr>
      <w:rFonts w:ascii="宋体" w:hAnsi="宋体" w:cs="宋体"/>
      <w:sz w:val="24"/>
    </w:rPr>
  </w:style>
  <w:style w:type="paragraph" w:customStyle="1" w:styleId="2fd">
    <w:name w:val="正文文字 2"/>
    <w:basedOn w:val="a1"/>
    <w:next w:val="a1"/>
    <w:autoRedefine/>
    <w:uiPriority w:val="99"/>
    <w:qFormat/>
    <w:rsid w:val="002A5A5E"/>
    <w:pPr>
      <w:ind w:left="240"/>
    </w:pPr>
    <w:rPr>
      <w:rFonts w:ascii="Arial" w:hAnsi="Arial"/>
      <w:sz w:val="28"/>
    </w:rPr>
  </w:style>
  <w:style w:type="character" w:customStyle="1" w:styleId="BodyTextChar">
    <w:name w:val="Body Text Char"/>
    <w:basedOn w:val="a2"/>
    <w:autoRedefine/>
    <w:uiPriority w:val="99"/>
    <w:semiHidden/>
    <w:qFormat/>
    <w:rsid w:val="002A5A5E"/>
    <w:rPr>
      <w:rFonts w:ascii="Calibri" w:hAnsi="Calibri" w:cs="Times New Roman"/>
      <w:sz w:val="24"/>
      <w:szCs w:val="24"/>
    </w:rPr>
  </w:style>
  <w:style w:type="paragraph" w:customStyle="1" w:styleId="CharCharChar10">
    <w:name w:val="Char Char Char1"/>
    <w:autoRedefine/>
    <w:uiPriority w:val="99"/>
    <w:qFormat/>
    <w:rsid w:val="002A5A5E"/>
    <w:pPr>
      <w:widowControl w:val="0"/>
      <w:snapToGrid w:val="0"/>
      <w:spacing w:line="360" w:lineRule="auto"/>
      <w:ind w:firstLineChars="200" w:firstLine="200"/>
      <w:jc w:val="both"/>
    </w:pPr>
    <w:rPr>
      <w:rFonts w:ascii="Times New Roman" w:eastAsia="FangSong_GB2312" w:hAnsi="Times New Roman" w:cs="Times New Roman"/>
      <w:kern w:val="2"/>
      <w:sz w:val="28"/>
      <w:szCs w:val="28"/>
    </w:rPr>
  </w:style>
  <w:style w:type="character" w:customStyle="1" w:styleId="font71">
    <w:name w:val="font71"/>
    <w:basedOn w:val="a2"/>
    <w:autoRedefine/>
    <w:qFormat/>
    <w:rsid w:val="002A5A5E"/>
    <w:rPr>
      <w:rFonts w:ascii="仿宋" w:eastAsia="仿宋" w:hAnsi="仿宋" w:cs="仿宋"/>
      <w:color w:val="000000"/>
      <w:sz w:val="21"/>
      <w:szCs w:val="21"/>
      <w:u w:val="none"/>
    </w:rPr>
  </w:style>
  <w:style w:type="character" w:customStyle="1" w:styleId="font61">
    <w:name w:val="font61"/>
    <w:basedOn w:val="a2"/>
    <w:autoRedefine/>
    <w:qFormat/>
    <w:rsid w:val="002A5A5E"/>
    <w:rPr>
      <w:rFonts w:ascii="宋体" w:eastAsia="宋体" w:hAnsi="宋体" w:cs="宋体"/>
      <w:color w:val="000000"/>
      <w:sz w:val="21"/>
      <w:szCs w:val="21"/>
      <w:u w:val="none"/>
    </w:rPr>
  </w:style>
  <w:style w:type="character" w:customStyle="1" w:styleId="font101">
    <w:name w:val="font101"/>
    <w:basedOn w:val="a2"/>
    <w:autoRedefine/>
    <w:uiPriority w:val="99"/>
    <w:qFormat/>
    <w:rsid w:val="002A5A5E"/>
    <w:rPr>
      <w:rFonts w:ascii="Times New Roman" w:hAnsi="Times New Roman" w:cs="Times New Roman"/>
      <w:color w:val="000000"/>
      <w:sz w:val="18"/>
      <w:szCs w:val="18"/>
      <w:u w:val="none"/>
      <w:vertAlign w:val="superscript"/>
    </w:rPr>
  </w:style>
  <w:style w:type="character" w:customStyle="1" w:styleId="font132">
    <w:name w:val="font132"/>
    <w:basedOn w:val="a2"/>
    <w:autoRedefine/>
    <w:uiPriority w:val="99"/>
    <w:qFormat/>
    <w:rsid w:val="002A5A5E"/>
    <w:rPr>
      <w:rFonts w:ascii="宋体" w:eastAsia="宋体" w:hAnsi="宋体" w:cs="宋体"/>
      <w:color w:val="000000"/>
      <w:sz w:val="24"/>
      <w:szCs w:val="24"/>
      <w:u w:val="none"/>
      <w:vertAlign w:val="superscript"/>
    </w:rPr>
  </w:style>
  <w:style w:type="character" w:customStyle="1" w:styleId="font13">
    <w:name w:val="font13"/>
    <w:basedOn w:val="a2"/>
    <w:autoRedefine/>
    <w:uiPriority w:val="99"/>
    <w:qFormat/>
    <w:rsid w:val="002A5A5E"/>
    <w:rPr>
      <w:rFonts w:ascii="宋体" w:eastAsia="宋体" w:hAnsi="宋体" w:cs="宋体"/>
      <w:color w:val="000000"/>
      <w:sz w:val="18"/>
      <w:szCs w:val="18"/>
      <w:u w:val="none"/>
    </w:rPr>
  </w:style>
  <w:style w:type="character" w:customStyle="1" w:styleId="font131">
    <w:name w:val="font131"/>
    <w:basedOn w:val="a2"/>
    <w:autoRedefine/>
    <w:uiPriority w:val="99"/>
    <w:qFormat/>
    <w:rsid w:val="002A5A5E"/>
    <w:rPr>
      <w:rFonts w:ascii="宋体" w:eastAsia="宋体" w:hAnsi="宋体" w:cs="宋体"/>
      <w:color w:val="000000"/>
      <w:sz w:val="18"/>
      <w:szCs w:val="18"/>
      <w:u w:val="none"/>
      <w:vertAlign w:val="superscript"/>
    </w:rPr>
  </w:style>
  <w:style w:type="paragraph" w:customStyle="1" w:styleId="115">
    <w:name w:val="正文11"/>
    <w:basedOn w:val="a1"/>
    <w:autoRedefine/>
    <w:uiPriority w:val="99"/>
    <w:qFormat/>
    <w:rsid w:val="002A5A5E"/>
    <w:pPr>
      <w:widowControl/>
      <w:adjustRightInd w:val="0"/>
      <w:snapToGrid w:val="0"/>
      <w:spacing w:after="200" w:line="360" w:lineRule="auto"/>
      <w:ind w:firstLineChars="200" w:firstLine="200"/>
      <w:jc w:val="left"/>
    </w:pPr>
    <w:rPr>
      <w:rFonts w:ascii="Tahoma" w:eastAsia="FangSong_GB2312" w:hAnsi="Tahoma" w:cs="Tahoma"/>
      <w:kern w:val="0"/>
      <w:sz w:val="24"/>
    </w:rPr>
  </w:style>
  <w:style w:type="character" w:customStyle="1" w:styleId="font31">
    <w:name w:val="font31"/>
    <w:basedOn w:val="a2"/>
    <w:autoRedefine/>
    <w:qFormat/>
    <w:rsid w:val="002A5A5E"/>
    <w:rPr>
      <w:rFonts w:ascii="宋体" w:eastAsia="宋体" w:hAnsi="宋体" w:cs="宋体"/>
      <w:color w:val="000000"/>
      <w:sz w:val="24"/>
      <w:szCs w:val="24"/>
      <w:u w:val="none"/>
      <w:vertAlign w:val="superscript"/>
    </w:rPr>
  </w:style>
  <w:style w:type="character" w:customStyle="1" w:styleId="font21">
    <w:name w:val="font21"/>
    <w:basedOn w:val="a2"/>
    <w:autoRedefine/>
    <w:qFormat/>
    <w:rsid w:val="002A5A5E"/>
    <w:rPr>
      <w:rFonts w:ascii="宋体" w:eastAsia="宋体" w:hAnsi="宋体" w:cs="宋体"/>
      <w:color w:val="000000"/>
      <w:sz w:val="24"/>
      <w:szCs w:val="24"/>
      <w:u w:val="none"/>
      <w:vertAlign w:val="superscript"/>
    </w:rPr>
  </w:style>
  <w:style w:type="character" w:customStyle="1" w:styleId="font41">
    <w:name w:val="font41"/>
    <w:basedOn w:val="a2"/>
    <w:autoRedefine/>
    <w:qFormat/>
    <w:rsid w:val="002A5A5E"/>
    <w:rPr>
      <w:rFonts w:ascii="仿宋" w:eastAsia="仿宋" w:hAnsi="仿宋" w:cs="仿宋"/>
      <w:color w:val="000000"/>
      <w:sz w:val="21"/>
      <w:szCs w:val="21"/>
      <w:u w:val="none"/>
    </w:rPr>
  </w:style>
  <w:style w:type="paragraph" w:customStyle="1" w:styleId="GB2312151">
    <w:name w:val="样式 (中文) 楷体_GB2312 三号 行距: 1.5 倍行距1"/>
    <w:basedOn w:val="a1"/>
    <w:autoRedefine/>
    <w:uiPriority w:val="99"/>
    <w:qFormat/>
    <w:rsid w:val="002A5A5E"/>
    <w:pPr>
      <w:spacing w:line="360" w:lineRule="auto"/>
      <w:ind w:firstLineChars="200" w:firstLine="640"/>
    </w:pPr>
    <w:rPr>
      <w:rFonts w:ascii="Calibri" w:hAnsi="Calibri" w:cs="宋体"/>
      <w:sz w:val="28"/>
      <w:szCs w:val="20"/>
    </w:rPr>
  </w:style>
  <w:style w:type="character" w:customStyle="1" w:styleId="font51">
    <w:name w:val="font51"/>
    <w:basedOn w:val="a2"/>
    <w:autoRedefine/>
    <w:qFormat/>
    <w:rsid w:val="002A5A5E"/>
    <w:rPr>
      <w:rFonts w:ascii="宋体" w:eastAsia="宋体" w:hAnsi="宋体" w:cs="宋体"/>
      <w:color w:val="000000"/>
      <w:sz w:val="30"/>
      <w:szCs w:val="30"/>
      <w:u w:val="none"/>
    </w:rPr>
  </w:style>
  <w:style w:type="character" w:customStyle="1" w:styleId="font91">
    <w:name w:val="font91"/>
    <w:basedOn w:val="a2"/>
    <w:autoRedefine/>
    <w:qFormat/>
    <w:rsid w:val="002A5A5E"/>
    <w:rPr>
      <w:rFonts w:ascii="Times New Roman" w:hAnsi="Times New Roman" w:cs="Times New Roman"/>
      <w:color w:val="000000"/>
      <w:sz w:val="30"/>
      <w:szCs w:val="30"/>
      <w:u w:val="none"/>
    </w:rPr>
  </w:style>
  <w:style w:type="character" w:customStyle="1" w:styleId="font81">
    <w:name w:val="font81"/>
    <w:basedOn w:val="a2"/>
    <w:autoRedefine/>
    <w:qFormat/>
    <w:rsid w:val="002A5A5E"/>
    <w:rPr>
      <w:rFonts w:ascii="宋体" w:eastAsia="宋体" w:hAnsi="宋体" w:cs="宋体" w:hint="eastAsia"/>
      <w:color w:val="FF0000"/>
      <w:sz w:val="20"/>
      <w:szCs w:val="20"/>
      <w:u w:val="none"/>
    </w:rPr>
  </w:style>
  <w:style w:type="paragraph" w:customStyle="1" w:styleId="WPSOffice2">
    <w:name w:val="WPSOffice手动目录 2"/>
    <w:autoRedefine/>
    <w:qFormat/>
    <w:rsid w:val="002A5A5E"/>
    <w:pPr>
      <w:ind w:leftChars="200" w:left="200"/>
    </w:pPr>
    <w:rPr>
      <w:rFonts w:ascii="Times New Roman" w:eastAsia="宋体" w:hAnsi="Times New Roman" w:cs="Times New Roman"/>
    </w:rPr>
  </w:style>
  <w:style w:type="character" w:customStyle="1" w:styleId="font112">
    <w:name w:val="font112"/>
    <w:basedOn w:val="a2"/>
    <w:autoRedefine/>
    <w:qFormat/>
    <w:rsid w:val="002A5A5E"/>
    <w:rPr>
      <w:rFonts w:ascii="FangSong_GB2312" w:eastAsia="FangSong_GB2312" w:cs="FangSong_GB2312"/>
      <w:color w:val="000000"/>
      <w:sz w:val="24"/>
      <w:szCs w:val="24"/>
      <w:u w:val="none"/>
    </w:rPr>
  </w:style>
  <w:style w:type="character" w:customStyle="1" w:styleId="font141">
    <w:name w:val="font141"/>
    <w:basedOn w:val="a2"/>
    <w:autoRedefine/>
    <w:qFormat/>
    <w:rsid w:val="002A5A5E"/>
    <w:rPr>
      <w:rFonts w:ascii="宋体" w:eastAsia="宋体" w:hAnsi="宋体" w:cs="宋体" w:hint="eastAsia"/>
      <w:color w:val="000000"/>
      <w:sz w:val="24"/>
      <w:szCs w:val="24"/>
      <w:u w:val="none"/>
    </w:rPr>
  </w:style>
  <w:style w:type="character" w:customStyle="1" w:styleId="font151">
    <w:name w:val="font151"/>
    <w:basedOn w:val="a2"/>
    <w:autoRedefine/>
    <w:qFormat/>
    <w:rsid w:val="002A5A5E"/>
    <w:rPr>
      <w:rFonts w:ascii="宋体" w:eastAsia="宋体" w:hAnsi="宋体" w:cs="宋体" w:hint="eastAsia"/>
      <w:color w:val="000000"/>
      <w:sz w:val="24"/>
      <w:szCs w:val="24"/>
      <w:u w:val="none"/>
    </w:rPr>
  </w:style>
  <w:style w:type="character" w:customStyle="1" w:styleId="font161">
    <w:name w:val="font161"/>
    <w:basedOn w:val="a2"/>
    <w:autoRedefine/>
    <w:qFormat/>
    <w:rsid w:val="002A5A5E"/>
    <w:rPr>
      <w:rFonts w:ascii="宋体" w:eastAsia="宋体" w:hAnsi="宋体" w:cs="宋体" w:hint="eastAsia"/>
      <w:color w:val="000000"/>
      <w:sz w:val="24"/>
      <w:szCs w:val="24"/>
      <w:u w:val="none"/>
    </w:rPr>
  </w:style>
  <w:style w:type="character" w:customStyle="1" w:styleId="font111">
    <w:name w:val="font111"/>
    <w:basedOn w:val="a2"/>
    <w:autoRedefine/>
    <w:qFormat/>
    <w:rsid w:val="002A5A5E"/>
    <w:rPr>
      <w:rFonts w:ascii="FangSong_GB2312" w:eastAsia="FangSong_GB2312" w:cs="FangSong_GB2312"/>
      <w:color w:val="000000"/>
      <w:sz w:val="24"/>
      <w:szCs w:val="24"/>
      <w:u w:val="none"/>
    </w:rPr>
  </w:style>
  <w:style w:type="paragraph" w:customStyle="1" w:styleId="TimesNewRoman20">
    <w:name w:val="样式 正文（勃利） + (符号) Times New Roman 首行缩进:  2 字符"/>
    <w:basedOn w:val="afffffffff7"/>
    <w:autoRedefine/>
    <w:qFormat/>
    <w:rsid w:val="002A5A5E"/>
    <w:rPr>
      <w:rFonts w:cs="宋体"/>
      <w:szCs w:val="20"/>
    </w:rPr>
  </w:style>
  <w:style w:type="paragraph" w:customStyle="1" w:styleId="afffffffff7">
    <w:name w:val="正文（勃利）"/>
    <w:autoRedefine/>
    <w:qFormat/>
    <w:rsid w:val="002A5A5E"/>
    <w:pPr>
      <w:adjustRightInd w:val="0"/>
      <w:snapToGrid w:val="0"/>
      <w:spacing w:line="360" w:lineRule="auto"/>
      <w:ind w:firstLineChars="200" w:firstLine="200"/>
      <w:jc w:val="both"/>
    </w:pPr>
    <w:rPr>
      <w:rFonts w:ascii="Times New Roman" w:eastAsia="宋体" w:hAnsi="宋体" w:cs="Times New Roman"/>
      <w:color w:val="000000"/>
      <w:kern w:val="2"/>
      <w:sz w:val="28"/>
      <w:szCs w:val="30"/>
    </w:rPr>
  </w:style>
  <w:style w:type="paragraph" w:customStyle="1" w:styleId="1530">
    <w:name w:val="样式 宋体 小四 行距: 1.5 倍行距3"/>
    <w:basedOn w:val="a1"/>
    <w:autoRedefine/>
    <w:qFormat/>
    <w:rsid w:val="002A5A5E"/>
    <w:pPr>
      <w:spacing w:line="360" w:lineRule="auto"/>
    </w:pPr>
    <w:rPr>
      <w:rFonts w:ascii="宋体" w:hAnsi="宋体" w:cs="宋体"/>
      <w:sz w:val="28"/>
      <w:szCs w:val="20"/>
    </w:rPr>
  </w:style>
  <w:style w:type="character" w:customStyle="1" w:styleId="6Char0">
    <w:name w:val="6 Char"/>
    <w:link w:val="67"/>
    <w:autoRedefine/>
    <w:qFormat/>
    <w:rsid w:val="002A5A5E"/>
    <w:rPr>
      <w:rFonts w:ascii="Times New Roman" w:eastAsia="宋体" w:hAnsi="Times New Roman" w:cs="Times New Roman"/>
      <w:sz w:val="24"/>
      <w:szCs w:val="24"/>
    </w:rPr>
  </w:style>
  <w:style w:type="paragraph" w:customStyle="1" w:styleId="1150">
    <w:name w:val="样式 标题 1 + (西文) 仿宋 (中文) 仿宋 行距: 1.5 倍行距"/>
    <w:basedOn w:val="10"/>
    <w:autoRedefine/>
    <w:qFormat/>
    <w:rsid w:val="002A5A5E"/>
    <w:pPr>
      <w:pageBreakBefore/>
      <w:spacing w:beforeLines="50" w:afterLines="50" w:line="360" w:lineRule="auto"/>
      <w:jc w:val="center"/>
    </w:pPr>
    <w:rPr>
      <w:rFonts w:ascii="黑体" w:eastAsia="黑体" w:hAnsi="黑体"/>
      <w:color w:val="000000"/>
      <w:sz w:val="30"/>
      <w:szCs w:val="30"/>
    </w:rPr>
  </w:style>
  <w:style w:type="paragraph" w:customStyle="1" w:styleId="115TimesNewRoman">
    <w:name w:val="样式 样式 样式 标题 1 + (西文) 仿宋 (中文) 仿宋 行距: 1.5 倍行距 + Times New Roman + ..."/>
    <w:basedOn w:val="115TimesNewRoman0"/>
    <w:autoRedefine/>
    <w:qFormat/>
    <w:rsid w:val="002A5A5E"/>
    <w:rPr>
      <w:rFonts w:eastAsia="黑体" w:cs="宋体"/>
      <w:sz w:val="30"/>
    </w:rPr>
  </w:style>
  <w:style w:type="paragraph" w:customStyle="1" w:styleId="115TimesNewRoman0">
    <w:name w:val="样式 样式 标题 1 + (西文) 仿宋 (中文) 仿宋 行距: 1.5 倍行距 + Times New Roman"/>
    <w:basedOn w:val="a1"/>
    <w:autoRedefine/>
    <w:qFormat/>
    <w:rsid w:val="002A5A5E"/>
    <w:pPr>
      <w:keepNext/>
      <w:keepLines/>
      <w:spacing w:line="360" w:lineRule="auto"/>
      <w:outlineLvl w:val="0"/>
    </w:pPr>
    <w:rPr>
      <w:rFonts w:ascii="Calibri" w:hAnsi="Calibri"/>
      <w:b/>
      <w:bCs/>
      <w:kern w:val="44"/>
      <w:sz w:val="32"/>
      <w:szCs w:val="20"/>
    </w:rPr>
  </w:style>
  <w:style w:type="character" w:customStyle="1" w:styleId="115TimesNewRomanChar">
    <w:name w:val="样式 样式 样式 样式 标题 1 + (西文) 仿宋 (中文) 仿宋 行距: 1.5 倍行距 + Times New Roman... Char"/>
    <w:link w:val="115TimesNewRoman1"/>
    <w:autoRedefine/>
    <w:qFormat/>
    <w:rsid w:val="002A5A5E"/>
    <w:rPr>
      <w:rFonts w:eastAsia="宋体"/>
      <w:color w:val="000000"/>
    </w:rPr>
  </w:style>
  <w:style w:type="paragraph" w:customStyle="1" w:styleId="115TimesNewRoman1">
    <w:name w:val="样式 样式 样式 样式 标题 1 + (西文) 仿宋 (中文) 仿宋 行距: 1.5 倍行距 + Times New Roman..."/>
    <w:basedOn w:val="115TimesNewRoman"/>
    <w:link w:val="115TimesNewRomanChar"/>
    <w:autoRedefine/>
    <w:qFormat/>
    <w:rsid w:val="002A5A5E"/>
    <w:rPr>
      <w:rFonts w:asciiTheme="minorHAnsi" w:eastAsia="宋体" w:hAnsiTheme="minorHAnsi" w:cstheme="minorBidi"/>
      <w:b w:val="0"/>
      <w:bCs w:val="0"/>
      <w:color w:val="000000"/>
      <w:kern w:val="2"/>
      <w:sz w:val="21"/>
      <w:szCs w:val="22"/>
    </w:rPr>
  </w:style>
  <w:style w:type="character" w:customStyle="1" w:styleId="font121">
    <w:name w:val="font121"/>
    <w:basedOn w:val="a2"/>
    <w:autoRedefine/>
    <w:qFormat/>
    <w:rsid w:val="002A5A5E"/>
    <w:rPr>
      <w:rFonts w:ascii="宋体" w:eastAsia="宋体" w:hAnsi="宋体" w:cs="宋体" w:hint="eastAsia"/>
      <w:b/>
      <w:bCs/>
      <w:color w:val="000000"/>
      <w:sz w:val="20"/>
      <w:szCs w:val="20"/>
      <w:u w:val="none"/>
    </w:rPr>
  </w:style>
  <w:style w:type="paragraph" w:customStyle="1" w:styleId="57">
    <w:name w:val="5正文"/>
    <w:basedOn w:val="a1"/>
    <w:autoRedefine/>
    <w:qFormat/>
    <w:rsid w:val="002A5A5E"/>
    <w:pPr>
      <w:spacing w:line="360" w:lineRule="auto"/>
      <w:ind w:firstLineChars="200" w:firstLine="420"/>
    </w:pPr>
    <w:rPr>
      <w:rFonts w:ascii="Calibri" w:hAnsi="Calibri"/>
    </w:rPr>
  </w:style>
  <w:style w:type="paragraph" w:customStyle="1" w:styleId="1">
    <w:name w:val="1标题"/>
    <w:basedOn w:val="1ff3"/>
    <w:autoRedefine/>
    <w:qFormat/>
    <w:rsid w:val="002A5A5E"/>
    <w:pPr>
      <w:numPr>
        <w:numId w:val="7"/>
      </w:numPr>
      <w:jc w:val="center"/>
    </w:pPr>
    <w:rPr>
      <w:rFonts w:ascii="Times New Roman" w:hAnsi="Times New Roman"/>
      <w:sz w:val="36"/>
    </w:rPr>
  </w:style>
  <w:style w:type="paragraph" w:customStyle="1" w:styleId="1ff3">
    <w:name w:val="采用1级"/>
    <w:basedOn w:val="a1"/>
    <w:next w:val="2fe"/>
    <w:autoRedefine/>
    <w:qFormat/>
    <w:rsid w:val="002A5A5E"/>
    <w:pPr>
      <w:adjustRightInd w:val="0"/>
      <w:outlineLvl w:val="0"/>
    </w:pPr>
    <w:rPr>
      <w:rFonts w:ascii="Calibri" w:eastAsia="黑体" w:hAnsi="Calibri"/>
      <w:kern w:val="52"/>
      <w:sz w:val="32"/>
    </w:rPr>
  </w:style>
  <w:style w:type="paragraph" w:customStyle="1" w:styleId="2fe">
    <w:name w:val="采用2级"/>
    <w:basedOn w:val="ab"/>
    <w:autoRedefine/>
    <w:qFormat/>
    <w:rsid w:val="002A5A5E"/>
    <w:pPr>
      <w:adjustRightInd w:val="0"/>
      <w:snapToGrid w:val="0"/>
      <w:spacing w:after="0" w:line="360" w:lineRule="auto"/>
      <w:outlineLvl w:val="1"/>
    </w:pPr>
    <w:rPr>
      <w:rFonts w:ascii="Calibri" w:eastAsia="黑体" w:hAnsi="Calibri"/>
      <w:sz w:val="30"/>
    </w:rPr>
  </w:style>
  <w:style w:type="character" w:customStyle="1" w:styleId="15Char">
    <w:name w:val="样式 样式 标题 + (西文) 宋体 小二 行距: 1.5 倍行距 + (中文) 仿宋 (符号) 仿宋 黑色 Char"/>
    <w:link w:val="156"/>
    <w:autoRedefine/>
    <w:qFormat/>
    <w:rsid w:val="002A5A5E"/>
    <w:rPr>
      <w:rFonts w:ascii="黑体" w:eastAsia="黑体" w:hAnsi="黑体" w:cs="黑体"/>
      <w:kern w:val="52"/>
      <w:sz w:val="32"/>
      <w:szCs w:val="24"/>
    </w:rPr>
  </w:style>
  <w:style w:type="paragraph" w:customStyle="1" w:styleId="156">
    <w:name w:val="样式 样式 标题 + (西文) 宋体 小二 行距: 1.5 倍行距 + (中文) 仿宋 (符号) 仿宋 黑色"/>
    <w:basedOn w:val="1"/>
    <w:link w:val="15Char"/>
    <w:autoRedefine/>
    <w:qFormat/>
    <w:rsid w:val="002A5A5E"/>
    <w:rPr>
      <w:rFonts w:ascii="黑体" w:hAnsi="黑体" w:cs="黑体"/>
      <w:sz w:val="32"/>
    </w:rPr>
  </w:style>
  <w:style w:type="paragraph" w:customStyle="1" w:styleId="157">
    <w:name w:val="样式 标题 + (西文) 宋体 小二 行距: 1.5 倍行距"/>
    <w:basedOn w:val="af9"/>
    <w:autoRedefine/>
    <w:qFormat/>
    <w:rsid w:val="002A5A5E"/>
    <w:pPr>
      <w:tabs>
        <w:tab w:val="clear" w:pos="5400"/>
      </w:tabs>
      <w:snapToGrid/>
      <w:spacing w:before="0" w:after="0"/>
      <w:ind w:firstLineChars="0" w:firstLine="0"/>
      <w:jc w:val="center"/>
    </w:pPr>
    <w:rPr>
      <w:rFonts w:ascii="Times New Roman" w:hAnsi="Times New Roman"/>
      <w:b/>
      <w:bCs/>
      <w:color w:val="auto"/>
      <w:spacing w:val="0"/>
      <w:kern w:val="2"/>
    </w:rPr>
  </w:style>
  <w:style w:type="character" w:customStyle="1" w:styleId="15Char0">
    <w:name w:val="样式 样式 标题 + (西文) 宋体 小二 行距: 1.5 倍行距 + (中文) 仿宋 黑色 Char"/>
    <w:link w:val="158"/>
    <w:autoRedefine/>
    <w:qFormat/>
    <w:rsid w:val="002A5A5E"/>
    <w:rPr>
      <w:rFonts w:eastAsia="宋体"/>
      <w:color w:val="000000"/>
    </w:rPr>
  </w:style>
  <w:style w:type="paragraph" w:customStyle="1" w:styleId="158">
    <w:name w:val="样式 样式 标题 + (西文) 宋体 小二 行距: 1.5 倍行距 + (中文) 仿宋 黑色"/>
    <w:basedOn w:val="157"/>
    <w:link w:val="15Char0"/>
    <w:autoRedefine/>
    <w:qFormat/>
    <w:rsid w:val="002A5A5E"/>
    <w:rPr>
      <w:rFonts w:asciiTheme="minorHAnsi" w:eastAsia="宋体" w:hAnsiTheme="minorHAnsi" w:cstheme="minorBidi"/>
      <w:b w:val="0"/>
      <w:bCs w:val="0"/>
      <w:color w:val="000000"/>
      <w:sz w:val="21"/>
      <w:szCs w:val="22"/>
    </w:rPr>
  </w:style>
  <w:style w:type="paragraph" w:customStyle="1" w:styleId="2">
    <w:name w:val="2标题"/>
    <w:basedOn w:val="2fe"/>
    <w:autoRedefine/>
    <w:qFormat/>
    <w:rsid w:val="002A5A5E"/>
    <w:pPr>
      <w:numPr>
        <w:ilvl w:val="1"/>
        <w:numId w:val="7"/>
      </w:numPr>
      <w:jc w:val="left"/>
    </w:pPr>
    <w:rPr>
      <w:sz w:val="32"/>
    </w:rPr>
  </w:style>
  <w:style w:type="character" w:customStyle="1" w:styleId="115TimesNewRoman1Char">
    <w:name w:val="样式 样式 样式 样式 标题 1 + (西文) 仿宋 (中文) 仿宋 行距: 1.5 倍行距 + Times New Roman...1 Char"/>
    <w:link w:val="115TimesNewRoman10"/>
    <w:autoRedefine/>
    <w:qFormat/>
    <w:rsid w:val="002A5A5E"/>
    <w:rPr>
      <w:rFonts w:eastAsia="黑体"/>
      <w:color w:val="000000"/>
    </w:rPr>
  </w:style>
  <w:style w:type="paragraph" w:customStyle="1" w:styleId="115TimesNewRoman10">
    <w:name w:val="样式 样式 样式 样式 标题 1 + (西文) 仿宋 (中文) 仿宋 行距: 1.5 倍行距 + Times New Roman...1"/>
    <w:basedOn w:val="115TimesNewRoman"/>
    <w:link w:val="115TimesNewRoman1Char"/>
    <w:autoRedefine/>
    <w:qFormat/>
    <w:rsid w:val="002A5A5E"/>
    <w:rPr>
      <w:rFonts w:asciiTheme="minorHAnsi" w:hAnsiTheme="minorHAnsi" w:cstheme="minorBidi"/>
      <w:b w:val="0"/>
      <w:bCs w:val="0"/>
      <w:color w:val="000000"/>
      <w:kern w:val="2"/>
      <w:sz w:val="21"/>
      <w:szCs w:val="22"/>
    </w:rPr>
  </w:style>
  <w:style w:type="paragraph" w:customStyle="1" w:styleId="3">
    <w:name w:val="3标题"/>
    <w:basedOn w:val="3d"/>
    <w:next w:val="57"/>
    <w:autoRedefine/>
    <w:qFormat/>
    <w:rsid w:val="002A5A5E"/>
    <w:pPr>
      <w:numPr>
        <w:ilvl w:val="2"/>
        <w:numId w:val="7"/>
      </w:numPr>
      <w:jc w:val="left"/>
    </w:pPr>
    <w:rPr>
      <w:rFonts w:hAnsi="华文中宋"/>
      <w:sz w:val="30"/>
    </w:rPr>
  </w:style>
  <w:style w:type="paragraph" w:customStyle="1" w:styleId="3d">
    <w:name w:val="采用3级"/>
    <w:basedOn w:val="ab"/>
    <w:autoRedefine/>
    <w:qFormat/>
    <w:rsid w:val="002A5A5E"/>
    <w:pPr>
      <w:adjustRightInd w:val="0"/>
      <w:spacing w:after="0"/>
      <w:outlineLvl w:val="2"/>
    </w:pPr>
    <w:rPr>
      <w:rFonts w:ascii="Calibri" w:eastAsia="黑体" w:hAnsi="Calibri"/>
      <w:sz w:val="28"/>
    </w:rPr>
  </w:style>
  <w:style w:type="paragraph" w:customStyle="1" w:styleId="61">
    <w:name w:val="6表头"/>
    <w:link w:val="68"/>
    <w:autoRedefine/>
    <w:qFormat/>
    <w:rsid w:val="002A5A5E"/>
    <w:pPr>
      <w:numPr>
        <w:ilvl w:val="4"/>
        <w:numId w:val="7"/>
      </w:numPr>
      <w:spacing w:beforeLines="50"/>
      <w:ind w:left="0"/>
    </w:pPr>
    <w:rPr>
      <w:rFonts w:ascii="黑体" w:eastAsia="黑体" w:hAnsi="黑体" w:cs="Times New Roman"/>
      <w:sz w:val="24"/>
    </w:rPr>
  </w:style>
  <w:style w:type="character" w:customStyle="1" w:styleId="68">
    <w:name w:val="6表头 字符"/>
    <w:link w:val="61"/>
    <w:qFormat/>
    <w:rsid w:val="002A5A5E"/>
    <w:rPr>
      <w:rFonts w:ascii="黑体" w:eastAsia="黑体" w:hAnsi="黑体" w:cs="Times New Roman"/>
      <w:kern w:val="0"/>
      <w:sz w:val="24"/>
      <w:szCs w:val="20"/>
    </w:rPr>
  </w:style>
  <w:style w:type="character" w:customStyle="1" w:styleId="6Char2">
    <w:name w:val="6表头 Char"/>
    <w:autoRedefine/>
    <w:qFormat/>
    <w:rsid w:val="002A5A5E"/>
    <w:rPr>
      <w:rFonts w:ascii="黑体" w:eastAsia="黑体" w:hAnsi="黑体"/>
      <w:sz w:val="24"/>
    </w:rPr>
  </w:style>
  <w:style w:type="paragraph" w:customStyle="1" w:styleId="afffffffff8">
    <w:name w:val="采用正文"/>
    <w:basedOn w:val="ab"/>
    <w:autoRedefine/>
    <w:qFormat/>
    <w:rsid w:val="002A5A5E"/>
    <w:pPr>
      <w:adjustRightInd w:val="0"/>
      <w:snapToGrid w:val="0"/>
      <w:spacing w:after="0" w:line="360" w:lineRule="auto"/>
      <w:ind w:firstLineChars="200" w:firstLine="200"/>
    </w:pPr>
    <w:rPr>
      <w:rFonts w:ascii="Calibri" w:hAnsi="Calibri"/>
      <w:sz w:val="24"/>
    </w:rPr>
  </w:style>
  <w:style w:type="paragraph" w:customStyle="1" w:styleId="AAA0">
    <w:name w:val="AAA表格"/>
    <w:basedOn w:val="a1"/>
    <w:autoRedefine/>
    <w:qFormat/>
    <w:rsid w:val="002A5A5E"/>
    <w:pPr>
      <w:snapToGrid w:val="0"/>
      <w:jc w:val="center"/>
    </w:pPr>
    <w:rPr>
      <w:rFonts w:ascii="Calibri" w:hAnsi="Calibri"/>
    </w:rPr>
  </w:style>
  <w:style w:type="paragraph" w:customStyle="1" w:styleId="74">
    <w:name w:val="7表"/>
    <w:basedOn w:val="afffffffff8"/>
    <w:autoRedefine/>
    <w:qFormat/>
    <w:rsid w:val="002A5A5E"/>
    <w:pPr>
      <w:spacing w:line="240" w:lineRule="auto"/>
      <w:ind w:firstLineChars="0" w:firstLine="0"/>
      <w:jc w:val="center"/>
    </w:pPr>
    <w:rPr>
      <w:rFonts w:ascii="Times New Roman" w:eastAsia="仿宋" w:hAnsi="Times New Roman"/>
      <w:sz w:val="20"/>
      <w:szCs w:val="22"/>
    </w:rPr>
  </w:style>
  <w:style w:type="character" w:customStyle="1" w:styleId="font122">
    <w:name w:val="font122"/>
    <w:basedOn w:val="a2"/>
    <w:autoRedefine/>
    <w:qFormat/>
    <w:rsid w:val="002A5A5E"/>
    <w:rPr>
      <w:rFonts w:ascii="宋体" w:eastAsia="宋体" w:hAnsi="宋体" w:cs="宋体" w:hint="eastAsia"/>
      <w:color w:val="000000"/>
      <w:sz w:val="20"/>
      <w:szCs w:val="20"/>
      <w:u w:val="none"/>
    </w:rPr>
  </w:style>
  <w:style w:type="character" w:customStyle="1" w:styleId="font171">
    <w:name w:val="font171"/>
    <w:basedOn w:val="a2"/>
    <w:autoRedefine/>
    <w:qFormat/>
    <w:rsid w:val="002A5A5E"/>
    <w:rPr>
      <w:rFonts w:ascii="Times New Roman" w:hAnsi="Times New Roman" w:cs="Times New Roman" w:hint="default"/>
      <w:color w:val="000000"/>
      <w:sz w:val="18"/>
      <w:szCs w:val="18"/>
      <w:u w:val="none"/>
      <w:vertAlign w:val="superscript"/>
    </w:rPr>
  </w:style>
  <w:style w:type="paragraph" w:customStyle="1" w:styleId="116">
    <w:name w:val="样式11"/>
    <w:basedOn w:val="a1"/>
    <w:autoRedefine/>
    <w:qFormat/>
    <w:rsid w:val="002A5A5E"/>
    <w:pPr>
      <w:ind w:firstLineChars="200" w:firstLine="200"/>
      <w:jc w:val="left"/>
    </w:pPr>
    <w:rPr>
      <w:rFonts w:ascii="FangSong_GB2312" w:eastAsia="FangSong_GB2312" w:hAnsi="Calibri"/>
      <w:bCs/>
      <w:sz w:val="28"/>
      <w:szCs w:val="28"/>
    </w:rPr>
  </w:style>
  <w:style w:type="character" w:customStyle="1" w:styleId="font191">
    <w:name w:val="font191"/>
    <w:basedOn w:val="a2"/>
    <w:autoRedefine/>
    <w:qFormat/>
    <w:rsid w:val="002A5A5E"/>
    <w:rPr>
      <w:rFonts w:ascii="Times New Roman" w:hAnsi="Times New Roman" w:cs="Times New Roman" w:hint="default"/>
      <w:color w:val="000000"/>
      <w:sz w:val="20"/>
      <w:szCs w:val="20"/>
      <w:u w:val="none"/>
      <w:vertAlign w:val="superscript"/>
    </w:rPr>
  </w:style>
  <w:style w:type="character" w:customStyle="1" w:styleId="font201">
    <w:name w:val="font201"/>
    <w:basedOn w:val="a2"/>
    <w:autoRedefine/>
    <w:qFormat/>
    <w:rsid w:val="002A5A5E"/>
    <w:rPr>
      <w:rFonts w:ascii="等线 Light" w:eastAsia="等线 Light" w:hAnsi="等线 Light" w:cs="等线 Light"/>
      <w:color w:val="000000"/>
      <w:sz w:val="20"/>
      <w:szCs w:val="20"/>
      <w:u w:val="none"/>
    </w:rPr>
  </w:style>
  <w:style w:type="paragraph" w:customStyle="1" w:styleId="5">
    <w:name w:val="5级"/>
    <w:basedOn w:val="a1"/>
    <w:next w:val="a1"/>
    <w:autoRedefine/>
    <w:qFormat/>
    <w:rsid w:val="002A5A5E"/>
    <w:pPr>
      <w:keepNext/>
      <w:widowControl/>
      <w:numPr>
        <w:ilvl w:val="4"/>
        <w:numId w:val="8"/>
      </w:numPr>
      <w:adjustRightInd w:val="0"/>
      <w:snapToGrid w:val="0"/>
      <w:spacing w:beforeLines="50" w:line="360" w:lineRule="auto"/>
      <w:jc w:val="left"/>
      <w:outlineLvl w:val="4"/>
    </w:pPr>
    <w:rPr>
      <w:kern w:val="0"/>
      <w:sz w:val="24"/>
    </w:rPr>
  </w:style>
  <w:style w:type="paragraph" w:customStyle="1" w:styleId="75">
    <w:name w:val="7正文"/>
    <w:basedOn w:val="a1"/>
    <w:autoRedefine/>
    <w:qFormat/>
    <w:rsid w:val="002A5A5E"/>
    <w:pPr>
      <w:widowControl/>
      <w:adjustRightInd w:val="0"/>
      <w:snapToGrid w:val="0"/>
      <w:spacing w:line="360" w:lineRule="auto"/>
      <w:ind w:firstLineChars="200" w:firstLine="486"/>
      <w:jc w:val="left"/>
    </w:pPr>
    <w:rPr>
      <w:kern w:val="0"/>
      <w:sz w:val="24"/>
    </w:rPr>
  </w:style>
  <w:style w:type="paragraph" w:customStyle="1" w:styleId="6">
    <w:name w:val="6级"/>
    <w:basedOn w:val="a1"/>
    <w:next w:val="a1"/>
    <w:autoRedefine/>
    <w:qFormat/>
    <w:rsid w:val="002A5A5E"/>
    <w:pPr>
      <w:keepNext/>
      <w:widowControl/>
      <w:numPr>
        <w:ilvl w:val="5"/>
        <w:numId w:val="8"/>
      </w:numPr>
      <w:adjustRightInd w:val="0"/>
      <w:snapToGrid w:val="0"/>
      <w:spacing w:line="360" w:lineRule="auto"/>
      <w:jc w:val="left"/>
    </w:pPr>
    <w:rPr>
      <w:kern w:val="0"/>
      <w:sz w:val="24"/>
    </w:rPr>
  </w:style>
  <w:style w:type="paragraph" w:customStyle="1" w:styleId="9-2">
    <w:name w:val="9-2公式"/>
    <w:basedOn w:val="57"/>
    <w:autoRedefine/>
    <w:qFormat/>
    <w:rsid w:val="002A5A5E"/>
    <w:pPr>
      <w:keepNext/>
      <w:adjustRightInd w:val="0"/>
      <w:ind w:firstLineChars="0" w:firstLine="0"/>
      <w:jc w:val="center"/>
    </w:pPr>
  </w:style>
  <w:style w:type="paragraph" w:customStyle="1" w:styleId="91">
    <w:name w:val="9表格"/>
    <w:basedOn w:val="a1"/>
    <w:autoRedefine/>
    <w:qFormat/>
    <w:rsid w:val="002A5A5E"/>
    <w:pPr>
      <w:widowControl/>
      <w:adjustRightInd w:val="0"/>
      <w:snapToGrid w:val="0"/>
    </w:pPr>
    <w:rPr>
      <w:kern w:val="0"/>
    </w:rPr>
  </w:style>
  <w:style w:type="paragraph" w:customStyle="1" w:styleId="8">
    <w:name w:val="8表头"/>
    <w:basedOn w:val="a1"/>
    <w:next w:val="a1"/>
    <w:autoRedefine/>
    <w:qFormat/>
    <w:rsid w:val="002A5A5E"/>
    <w:pPr>
      <w:keepNext/>
      <w:widowControl/>
      <w:numPr>
        <w:ilvl w:val="7"/>
        <w:numId w:val="8"/>
      </w:numPr>
      <w:adjustRightInd w:val="0"/>
      <w:snapToGrid w:val="0"/>
    </w:pPr>
    <w:rPr>
      <w:rFonts w:ascii="黑体" w:eastAsia="黑体" w:hAnsi="Calibri"/>
      <w:kern w:val="0"/>
      <w:sz w:val="24"/>
    </w:rPr>
  </w:style>
  <w:style w:type="paragraph" w:customStyle="1" w:styleId="92">
    <w:name w:val="9图"/>
    <w:basedOn w:val="91"/>
    <w:link w:val="9Char0"/>
    <w:autoRedefine/>
    <w:qFormat/>
    <w:rsid w:val="002A5A5E"/>
    <w:pPr>
      <w:keepNext/>
    </w:pPr>
    <w:rPr>
      <w:sz w:val="24"/>
    </w:rPr>
  </w:style>
  <w:style w:type="character" w:customStyle="1" w:styleId="9Char0">
    <w:name w:val="9图 Char"/>
    <w:link w:val="92"/>
    <w:qFormat/>
    <w:rsid w:val="002A5A5E"/>
    <w:rPr>
      <w:rFonts w:ascii="Times New Roman" w:eastAsia="宋体" w:hAnsi="Times New Roman" w:cs="Times New Roman"/>
      <w:kern w:val="0"/>
      <w:sz w:val="24"/>
      <w:szCs w:val="24"/>
    </w:rPr>
  </w:style>
  <w:style w:type="paragraph" w:customStyle="1" w:styleId="9">
    <w:name w:val="9图名"/>
    <w:basedOn w:val="a1"/>
    <w:link w:val="9Char2"/>
    <w:autoRedefine/>
    <w:qFormat/>
    <w:rsid w:val="002A5A5E"/>
    <w:pPr>
      <w:widowControl/>
      <w:numPr>
        <w:ilvl w:val="8"/>
        <w:numId w:val="8"/>
      </w:numPr>
      <w:adjustRightInd w:val="0"/>
      <w:snapToGrid w:val="0"/>
      <w:spacing w:line="360" w:lineRule="auto"/>
    </w:pPr>
    <w:rPr>
      <w:rFonts w:ascii="黑体" w:eastAsia="黑体" w:hAnsi="黑体"/>
      <w:kern w:val="0"/>
      <w:sz w:val="28"/>
    </w:rPr>
  </w:style>
  <w:style w:type="character" w:customStyle="1" w:styleId="9Char2">
    <w:name w:val="9图名 Char"/>
    <w:link w:val="9"/>
    <w:qFormat/>
    <w:rsid w:val="002A5A5E"/>
    <w:rPr>
      <w:rFonts w:ascii="黑体" w:eastAsia="黑体" w:hAnsi="黑体" w:cs="Times New Roman"/>
      <w:kern w:val="0"/>
      <w:sz w:val="28"/>
      <w:szCs w:val="24"/>
    </w:rPr>
  </w:style>
  <w:style w:type="paragraph" w:customStyle="1" w:styleId="7">
    <w:name w:val="7级"/>
    <w:basedOn w:val="a1"/>
    <w:autoRedefine/>
    <w:qFormat/>
    <w:rsid w:val="002A5A5E"/>
    <w:pPr>
      <w:keepNext/>
      <w:widowControl/>
      <w:numPr>
        <w:ilvl w:val="6"/>
        <w:numId w:val="9"/>
      </w:numPr>
      <w:adjustRightInd w:val="0"/>
      <w:snapToGrid w:val="0"/>
      <w:spacing w:line="360" w:lineRule="auto"/>
      <w:jc w:val="left"/>
    </w:pPr>
    <w:rPr>
      <w:rFonts w:ascii="Calibri" w:hAnsi="Calibri"/>
      <w:kern w:val="0"/>
      <w:sz w:val="24"/>
    </w:rPr>
  </w:style>
  <w:style w:type="paragraph" w:customStyle="1" w:styleId="2TimesNewRoman0">
    <w:name w:val="样式 标题 2 + Times New Roman 四号"/>
    <w:basedOn w:val="20"/>
    <w:autoRedefine/>
    <w:qFormat/>
    <w:rsid w:val="002A5A5E"/>
    <w:pPr>
      <w:spacing w:before="0" w:after="0"/>
    </w:pPr>
    <w:rPr>
      <w:rFonts w:ascii="Times New Roman" w:eastAsia="黑体" w:hAnsi="Times New Roman" w:cs="Times New Roman"/>
      <w:sz w:val="28"/>
    </w:rPr>
  </w:style>
  <w:style w:type="paragraph" w:customStyle="1" w:styleId="3e">
    <w:name w:val="样式 标题 3 + 加粗"/>
    <w:basedOn w:val="30"/>
    <w:autoRedefine/>
    <w:qFormat/>
    <w:rsid w:val="002A5A5E"/>
    <w:pPr>
      <w:autoSpaceDE w:val="0"/>
      <w:autoSpaceDN w:val="0"/>
      <w:spacing w:before="0" w:after="0" w:line="360" w:lineRule="auto"/>
      <w:ind w:firstLineChars="0" w:firstLine="0"/>
      <w:textAlignment w:val="baseline"/>
    </w:pPr>
    <w:rPr>
      <w:rFonts w:ascii="Calibri" w:eastAsia="黑体" w:hAnsi="Calibri" w:cs="Times New Roman"/>
      <w:b/>
      <w:bCs/>
      <w:sz w:val="28"/>
      <w:szCs w:val="28"/>
      <w:lang w:val="zh-CN"/>
    </w:rPr>
  </w:style>
  <w:style w:type="paragraph" w:customStyle="1" w:styleId="80">
    <w:name w:val="8图名"/>
    <w:basedOn w:val="a1"/>
    <w:qFormat/>
    <w:rsid w:val="002A5A5E"/>
    <w:pPr>
      <w:numPr>
        <w:ilvl w:val="5"/>
        <w:numId w:val="7"/>
      </w:numPr>
      <w:spacing w:afterLines="50"/>
    </w:pPr>
    <w:rPr>
      <w:rFonts w:ascii="黑体" w:eastAsia="黑体" w:hAnsi="宋体"/>
    </w:rPr>
  </w:style>
  <w:style w:type="paragraph" w:customStyle="1" w:styleId="1570">
    <w:name w:val="样式 四号 行距: 1.5 倍行距7"/>
    <w:basedOn w:val="a1"/>
    <w:qFormat/>
    <w:rsid w:val="002A5A5E"/>
    <w:pPr>
      <w:spacing w:line="360" w:lineRule="auto"/>
      <w:ind w:firstLineChars="192" w:firstLine="538"/>
    </w:pPr>
    <w:rPr>
      <w:rFonts w:ascii="Calibri" w:hAnsi="Calibri" w:cs="宋体"/>
      <w:sz w:val="24"/>
      <w:szCs w:val="20"/>
    </w:rPr>
  </w:style>
  <w:style w:type="character" w:customStyle="1" w:styleId="1ff4">
    <w:name w:val="样式 四号1"/>
    <w:qFormat/>
    <w:rsid w:val="002A5A5E"/>
    <w:rPr>
      <w:sz w:val="24"/>
    </w:rPr>
  </w:style>
  <w:style w:type="paragraph" w:customStyle="1" w:styleId="1580">
    <w:name w:val="样式 四号 行距: 1.5 倍行距8"/>
    <w:basedOn w:val="a1"/>
    <w:qFormat/>
    <w:rsid w:val="002A5A5E"/>
    <w:pPr>
      <w:spacing w:line="360" w:lineRule="auto"/>
      <w:ind w:firstLineChars="221" w:firstLine="619"/>
    </w:pPr>
    <w:rPr>
      <w:rFonts w:ascii="Calibri" w:hAnsi="Calibri" w:cs="宋体"/>
      <w:sz w:val="24"/>
      <w:szCs w:val="20"/>
    </w:rPr>
  </w:style>
  <w:style w:type="character" w:customStyle="1" w:styleId="font14">
    <w:name w:val="font14"/>
    <w:basedOn w:val="a2"/>
    <w:qFormat/>
    <w:rsid w:val="002A5A5E"/>
    <w:rPr>
      <w:rFonts w:ascii="Times New Roman" w:hAnsi="Times New Roman" w:cs="Times New Roman" w:hint="default"/>
      <w:color w:val="000000"/>
      <w:sz w:val="22"/>
      <w:szCs w:val="22"/>
      <w:u w:val="none"/>
    </w:rPr>
  </w:style>
  <w:style w:type="paragraph" w:customStyle="1" w:styleId="1ff5">
    <w:name w:val="1表头"/>
    <w:basedOn w:val="15"/>
    <w:qFormat/>
    <w:rsid w:val="002A5A5E"/>
    <w:pPr>
      <w:snapToGrid w:val="0"/>
      <w:spacing w:after="120" w:line="360" w:lineRule="auto"/>
      <w:ind w:firstLineChars="200" w:firstLine="200"/>
    </w:pPr>
    <w:rPr>
      <w:rFonts w:eastAsia="宋体"/>
      <w:bCs w:val="0"/>
      <w:kern w:val="0"/>
      <w:sz w:val="28"/>
      <w:szCs w:val="28"/>
    </w:rPr>
  </w:style>
  <w:style w:type="paragraph" w:customStyle="1" w:styleId="font1">
    <w:name w:val="font1"/>
    <w:basedOn w:val="a1"/>
    <w:qFormat/>
    <w:rsid w:val="002A5A5E"/>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1"/>
    <w:qFormat/>
    <w:rsid w:val="002A5A5E"/>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1"/>
    <w:qFormat/>
    <w:rsid w:val="002A5A5E"/>
    <w:pPr>
      <w:widowControl/>
      <w:spacing w:before="100" w:beforeAutospacing="1" w:after="100" w:afterAutospacing="1"/>
      <w:jc w:val="left"/>
    </w:pPr>
    <w:rPr>
      <w:rFonts w:ascii="宋体" w:hAnsi="宋体" w:cs="宋体"/>
      <w:color w:val="000000"/>
      <w:kern w:val="0"/>
      <w:sz w:val="18"/>
      <w:szCs w:val="18"/>
    </w:rPr>
  </w:style>
  <w:style w:type="paragraph" w:customStyle="1" w:styleId="et2">
    <w:name w:val="et2"/>
    <w:basedOn w:val="a1"/>
    <w:qFormat/>
    <w:rsid w:val="002A5A5E"/>
    <w:pPr>
      <w:widowControl/>
      <w:spacing w:before="100" w:beforeAutospacing="1" w:after="100" w:afterAutospacing="1"/>
      <w:jc w:val="center"/>
    </w:pPr>
    <w:rPr>
      <w:rFonts w:ascii="宋体" w:hAnsi="宋体" w:cs="宋体"/>
      <w:color w:val="000000"/>
      <w:kern w:val="0"/>
      <w:sz w:val="24"/>
    </w:rPr>
  </w:style>
  <w:style w:type="paragraph" w:customStyle="1" w:styleId="et3">
    <w:name w:val="et3"/>
    <w:basedOn w:val="a1"/>
    <w:qFormat/>
    <w:rsid w:val="002A5A5E"/>
    <w:pPr>
      <w:widowControl/>
      <w:shd w:val="clear" w:color="auto" w:fill="FFFFFF"/>
      <w:spacing w:before="100" w:beforeAutospacing="1" w:after="100" w:afterAutospacing="1"/>
      <w:jc w:val="center"/>
    </w:pPr>
    <w:rPr>
      <w:rFonts w:ascii="宋体" w:hAnsi="宋体" w:cs="宋体"/>
      <w:color w:val="000000"/>
      <w:kern w:val="0"/>
      <w:sz w:val="24"/>
    </w:rPr>
  </w:style>
  <w:style w:type="paragraph" w:customStyle="1" w:styleId="et5">
    <w:name w:val="et5"/>
    <w:basedOn w:val="a1"/>
    <w:qFormat/>
    <w:rsid w:val="002A5A5E"/>
    <w:pPr>
      <w:widowControl/>
      <w:spacing w:before="100" w:beforeAutospacing="1" w:after="100" w:afterAutospacing="1"/>
      <w:jc w:val="center"/>
    </w:pPr>
    <w:rPr>
      <w:rFonts w:ascii="宋体" w:hAnsi="宋体" w:cs="宋体"/>
      <w:color w:val="000000"/>
      <w:kern w:val="0"/>
      <w:sz w:val="24"/>
    </w:rPr>
  </w:style>
  <w:style w:type="paragraph" w:customStyle="1" w:styleId="et6">
    <w:name w:val="et6"/>
    <w:basedOn w:val="a1"/>
    <w:qFormat/>
    <w:rsid w:val="002A5A5E"/>
    <w:pPr>
      <w:widowControl/>
      <w:shd w:val="clear" w:color="auto" w:fill="92D050"/>
      <w:spacing w:before="100" w:beforeAutospacing="1" w:after="100" w:afterAutospacing="1"/>
      <w:jc w:val="center"/>
    </w:pPr>
    <w:rPr>
      <w:rFonts w:ascii="宋体" w:hAnsi="宋体" w:cs="宋体"/>
      <w:color w:val="000000"/>
      <w:kern w:val="0"/>
      <w:sz w:val="24"/>
    </w:rPr>
  </w:style>
  <w:style w:type="paragraph" w:customStyle="1" w:styleId="et7">
    <w:name w:val="et7"/>
    <w:basedOn w:val="a1"/>
    <w:qFormat/>
    <w:rsid w:val="002A5A5E"/>
    <w:pPr>
      <w:widowControl/>
      <w:spacing w:before="100" w:beforeAutospacing="1" w:after="100" w:afterAutospacing="1"/>
      <w:jc w:val="center"/>
    </w:pPr>
    <w:rPr>
      <w:rFonts w:ascii="宋体" w:hAnsi="宋体" w:cs="宋体"/>
      <w:color w:val="000000"/>
      <w:kern w:val="0"/>
      <w:sz w:val="24"/>
    </w:rPr>
  </w:style>
  <w:style w:type="paragraph" w:customStyle="1" w:styleId="et8">
    <w:name w:val="et8"/>
    <w:basedOn w:val="a1"/>
    <w:qFormat/>
    <w:rsid w:val="002A5A5E"/>
    <w:pPr>
      <w:widowControl/>
      <w:spacing w:before="100" w:beforeAutospacing="1" w:after="100" w:afterAutospacing="1"/>
      <w:jc w:val="center"/>
    </w:pPr>
    <w:rPr>
      <w:rFonts w:ascii="宋体" w:hAnsi="宋体" w:cs="宋体"/>
      <w:color w:val="000000"/>
      <w:kern w:val="0"/>
      <w:sz w:val="24"/>
    </w:rPr>
  </w:style>
  <w:style w:type="paragraph" w:customStyle="1" w:styleId="et9">
    <w:name w:val="et9"/>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10">
    <w:name w:val="et10"/>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1">
    <w:name w:val="et11"/>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
    <w:name w:val="et1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3">
    <w:name w:val="et13"/>
    <w:basedOn w:val="a1"/>
    <w:qFormat/>
    <w:rsid w:val="002A5A5E"/>
    <w:pPr>
      <w:widowControl/>
      <w:pBdr>
        <w:top w:val="single" w:sz="4" w:space="0" w:color="000000"/>
        <w:left w:val="single" w:sz="4" w:space="0" w:color="000000"/>
        <w:right w:val="single" w:sz="4" w:space="0" w:color="000000"/>
      </w:pBdr>
      <w:shd w:val="clear" w:color="auto" w:fill="00B0F0"/>
      <w:spacing w:before="100" w:beforeAutospacing="1" w:after="100" w:afterAutospacing="1"/>
      <w:jc w:val="center"/>
    </w:pPr>
    <w:rPr>
      <w:rFonts w:ascii="宋体" w:hAnsi="宋体" w:cs="宋体"/>
      <w:color w:val="000000"/>
      <w:kern w:val="0"/>
      <w:sz w:val="24"/>
    </w:rPr>
  </w:style>
  <w:style w:type="paragraph" w:customStyle="1" w:styleId="et14">
    <w:name w:val="et14"/>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00B0F0"/>
      <w:spacing w:before="100" w:beforeAutospacing="1" w:after="100" w:afterAutospacing="1"/>
      <w:jc w:val="center"/>
    </w:pPr>
    <w:rPr>
      <w:rFonts w:ascii="宋体" w:hAnsi="宋体" w:cs="宋体"/>
      <w:kern w:val="0"/>
      <w:sz w:val="24"/>
    </w:rPr>
  </w:style>
  <w:style w:type="paragraph" w:customStyle="1" w:styleId="et15">
    <w:name w:val="et1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16">
    <w:name w:val="et16"/>
    <w:basedOn w:val="a1"/>
    <w:qFormat/>
    <w:rsid w:val="002A5A5E"/>
    <w:pPr>
      <w:widowControl/>
      <w:pBdr>
        <w:top w:val="single" w:sz="4" w:space="0" w:color="000000"/>
        <w:left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17">
    <w:name w:val="et17"/>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8">
    <w:name w:val="et18"/>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19">
    <w:name w:val="et19"/>
    <w:basedOn w:val="a1"/>
    <w:qFormat/>
    <w:rsid w:val="002A5A5E"/>
    <w:pPr>
      <w:widowControl/>
      <w:pBdr>
        <w:top w:val="single" w:sz="4" w:space="0" w:color="000000"/>
        <w:left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0">
    <w:name w:val="et20"/>
    <w:basedOn w:val="a1"/>
    <w:qFormat/>
    <w:rsid w:val="002A5A5E"/>
    <w:pPr>
      <w:widowControl/>
      <w:pBdr>
        <w:top w:val="single" w:sz="4" w:space="0" w:color="000000"/>
        <w:bottom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1">
    <w:name w:val="et21"/>
    <w:basedOn w:val="a1"/>
    <w:qFormat/>
    <w:rsid w:val="002A5A5E"/>
    <w:pPr>
      <w:widowControl/>
      <w:pBdr>
        <w:top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2">
    <w:name w:val="et22"/>
    <w:basedOn w:val="a1"/>
    <w:qFormat/>
    <w:rsid w:val="002A5A5E"/>
    <w:pPr>
      <w:widowControl/>
      <w:pBdr>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3">
    <w:name w:val="et23"/>
    <w:basedOn w:val="a1"/>
    <w:qFormat/>
    <w:rsid w:val="002A5A5E"/>
    <w:pPr>
      <w:widowControl/>
      <w:pBdr>
        <w:top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4">
    <w:name w:val="et24"/>
    <w:basedOn w:val="a1"/>
    <w:qFormat/>
    <w:rsid w:val="002A5A5E"/>
    <w:pPr>
      <w:widowControl/>
      <w:pBdr>
        <w:top w:val="single" w:sz="4" w:space="0" w:color="000000"/>
        <w:left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5">
    <w:name w:val="et25"/>
    <w:basedOn w:val="a1"/>
    <w:qFormat/>
    <w:rsid w:val="002A5A5E"/>
    <w:pPr>
      <w:widowControl/>
      <w:pBdr>
        <w:top w:val="single" w:sz="4" w:space="0" w:color="000000"/>
        <w:left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9">
    <w:name w:val="et2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0">
    <w:name w:val="et30"/>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18"/>
      <w:szCs w:val="18"/>
    </w:rPr>
  </w:style>
  <w:style w:type="paragraph" w:customStyle="1" w:styleId="et31">
    <w:name w:val="et31"/>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18"/>
      <w:szCs w:val="18"/>
    </w:rPr>
  </w:style>
  <w:style w:type="paragraph" w:customStyle="1" w:styleId="et32">
    <w:name w:val="et3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et33">
    <w:name w:val="et33"/>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34">
    <w:name w:val="et34"/>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4">
    <w:name w:val="et4"/>
    <w:basedOn w:val="a1"/>
    <w:qFormat/>
    <w:rsid w:val="002A5A5E"/>
    <w:pPr>
      <w:widowControl/>
      <w:spacing w:before="100" w:beforeAutospacing="1" w:after="100" w:afterAutospacing="1"/>
      <w:jc w:val="center"/>
      <w:textAlignment w:val="bottom"/>
    </w:pPr>
    <w:rPr>
      <w:rFonts w:ascii="仿宋" w:eastAsia="仿宋" w:hAnsi="仿宋" w:cs="宋体"/>
      <w:color w:val="000000"/>
      <w:kern w:val="0"/>
      <w:sz w:val="20"/>
      <w:szCs w:val="20"/>
    </w:rPr>
  </w:style>
  <w:style w:type="paragraph" w:customStyle="1" w:styleId="font4">
    <w:name w:val="font4"/>
    <w:basedOn w:val="a1"/>
    <w:qFormat/>
    <w:rsid w:val="002A5A5E"/>
    <w:pPr>
      <w:widowControl/>
      <w:spacing w:before="100" w:beforeAutospacing="1" w:after="100" w:afterAutospacing="1"/>
      <w:jc w:val="left"/>
    </w:pPr>
    <w:rPr>
      <w:rFonts w:ascii="宋体" w:hAnsi="宋体" w:cs="宋体"/>
      <w:color w:val="FF0000"/>
      <w:kern w:val="0"/>
      <w:sz w:val="20"/>
      <w:szCs w:val="20"/>
    </w:rPr>
  </w:style>
  <w:style w:type="paragraph" w:customStyle="1" w:styleId="font15">
    <w:name w:val="font15"/>
    <w:basedOn w:val="a1"/>
    <w:qFormat/>
    <w:rsid w:val="002A5A5E"/>
    <w:pPr>
      <w:widowControl/>
      <w:spacing w:before="100" w:beforeAutospacing="1" w:after="100" w:afterAutospacing="1"/>
      <w:jc w:val="left"/>
    </w:pPr>
    <w:rPr>
      <w:rFonts w:ascii="宋体" w:hAnsi="宋体" w:cs="宋体"/>
      <w:b/>
      <w:bCs/>
      <w:color w:val="FF0000"/>
      <w:kern w:val="0"/>
      <w:sz w:val="20"/>
      <w:szCs w:val="20"/>
    </w:rPr>
  </w:style>
  <w:style w:type="paragraph" w:customStyle="1" w:styleId="font16">
    <w:name w:val="font16"/>
    <w:basedOn w:val="a1"/>
    <w:qFormat/>
    <w:rsid w:val="002A5A5E"/>
    <w:pPr>
      <w:widowControl/>
      <w:spacing w:before="100" w:beforeAutospacing="1" w:after="100" w:afterAutospacing="1"/>
      <w:jc w:val="left"/>
    </w:pPr>
    <w:rPr>
      <w:rFonts w:ascii="宋体" w:hAnsi="宋体" w:cs="宋体"/>
      <w:b/>
      <w:bCs/>
      <w:color w:val="000000"/>
      <w:kern w:val="0"/>
      <w:sz w:val="18"/>
      <w:szCs w:val="18"/>
    </w:rPr>
  </w:style>
  <w:style w:type="paragraph" w:customStyle="1" w:styleId="font17">
    <w:name w:val="font17"/>
    <w:basedOn w:val="a1"/>
    <w:qFormat/>
    <w:rsid w:val="002A5A5E"/>
    <w:pPr>
      <w:widowControl/>
      <w:spacing w:before="100" w:beforeAutospacing="1" w:after="100" w:afterAutospacing="1"/>
      <w:jc w:val="left"/>
    </w:pPr>
    <w:rPr>
      <w:rFonts w:ascii="仿宋" w:eastAsia="仿宋" w:hAnsi="仿宋" w:cs="宋体"/>
      <w:b/>
      <w:bCs/>
      <w:color w:val="000000"/>
      <w:kern w:val="0"/>
      <w:sz w:val="20"/>
      <w:szCs w:val="20"/>
      <w:vertAlign w:val="superscript"/>
    </w:rPr>
  </w:style>
  <w:style w:type="paragraph" w:customStyle="1" w:styleId="font18">
    <w:name w:val="font18"/>
    <w:basedOn w:val="a1"/>
    <w:qFormat/>
    <w:rsid w:val="002A5A5E"/>
    <w:pPr>
      <w:widowControl/>
      <w:spacing w:before="100" w:beforeAutospacing="1" w:after="100" w:afterAutospacing="1"/>
      <w:jc w:val="left"/>
    </w:pPr>
    <w:rPr>
      <w:rFonts w:ascii="宋体" w:hAnsi="宋体" w:cs="宋体"/>
      <w:b/>
      <w:bCs/>
      <w:color w:val="000000"/>
      <w:kern w:val="0"/>
      <w:sz w:val="20"/>
      <w:szCs w:val="20"/>
    </w:rPr>
  </w:style>
  <w:style w:type="paragraph" w:customStyle="1" w:styleId="et26">
    <w:name w:val="et2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27">
    <w:name w:val="et2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28">
    <w:name w:val="et28"/>
    <w:basedOn w:val="a1"/>
    <w:qFormat/>
    <w:rsid w:val="002A5A5E"/>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35">
    <w:name w:val="et3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38">
    <w:name w:val="et38"/>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39">
    <w:name w:val="et3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FF0000"/>
      <w:kern w:val="0"/>
      <w:sz w:val="20"/>
      <w:szCs w:val="20"/>
    </w:rPr>
  </w:style>
  <w:style w:type="paragraph" w:customStyle="1" w:styleId="et40">
    <w:name w:val="et40"/>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18"/>
      <w:szCs w:val="18"/>
    </w:rPr>
  </w:style>
  <w:style w:type="paragraph" w:customStyle="1" w:styleId="et41">
    <w:name w:val="et41"/>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36">
    <w:name w:val="et3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37">
    <w:name w:val="et37"/>
    <w:basedOn w:val="a1"/>
    <w:qFormat/>
    <w:rsid w:val="002A5A5E"/>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42">
    <w:name w:val="et4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et43">
    <w:name w:val="et4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18"/>
      <w:szCs w:val="18"/>
    </w:rPr>
  </w:style>
  <w:style w:type="paragraph" w:customStyle="1" w:styleId="et44">
    <w:name w:val="et4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45">
    <w:name w:val="et4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46">
    <w:name w:val="et4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FF0000"/>
      <w:kern w:val="0"/>
      <w:sz w:val="20"/>
      <w:szCs w:val="20"/>
    </w:rPr>
  </w:style>
  <w:style w:type="paragraph" w:customStyle="1" w:styleId="et47">
    <w:name w:val="et4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18"/>
      <w:szCs w:val="18"/>
    </w:rPr>
  </w:style>
  <w:style w:type="paragraph" w:customStyle="1" w:styleId="et48">
    <w:name w:val="et48"/>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49">
    <w:name w:val="et4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font19">
    <w:name w:val="font19"/>
    <w:basedOn w:val="a1"/>
    <w:qFormat/>
    <w:rsid w:val="002A5A5E"/>
    <w:pPr>
      <w:widowControl/>
      <w:spacing w:before="100" w:beforeAutospacing="1" w:after="100" w:afterAutospacing="1"/>
      <w:jc w:val="left"/>
    </w:pPr>
    <w:rPr>
      <w:rFonts w:ascii="仿宋" w:eastAsia="仿宋" w:hAnsi="仿宋" w:cs="宋体"/>
      <w:b/>
      <w:bCs/>
      <w:color w:val="000000"/>
      <w:kern w:val="0"/>
      <w:sz w:val="22"/>
      <w:szCs w:val="22"/>
    </w:rPr>
  </w:style>
  <w:style w:type="paragraph" w:customStyle="1" w:styleId="font20">
    <w:name w:val="font20"/>
    <w:basedOn w:val="a1"/>
    <w:qFormat/>
    <w:rsid w:val="002A5A5E"/>
    <w:pPr>
      <w:widowControl/>
      <w:spacing w:before="100" w:beforeAutospacing="1" w:after="100" w:afterAutospacing="1"/>
      <w:jc w:val="left"/>
    </w:pPr>
    <w:rPr>
      <w:rFonts w:ascii="宋体" w:hAnsi="宋体" w:cs="宋体"/>
      <w:color w:val="000000"/>
      <w:kern w:val="0"/>
      <w:sz w:val="24"/>
    </w:rPr>
  </w:style>
  <w:style w:type="paragraph" w:customStyle="1" w:styleId="et52">
    <w:name w:val="et5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B0F0"/>
      <w:kern w:val="0"/>
      <w:sz w:val="24"/>
    </w:rPr>
  </w:style>
  <w:style w:type="paragraph" w:customStyle="1" w:styleId="et53">
    <w:name w:val="et5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54">
    <w:name w:val="et5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70C0"/>
      <w:kern w:val="0"/>
      <w:sz w:val="24"/>
    </w:rPr>
  </w:style>
  <w:style w:type="paragraph" w:customStyle="1" w:styleId="et55">
    <w:name w:val="et5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70C0"/>
      <w:kern w:val="0"/>
      <w:sz w:val="24"/>
    </w:rPr>
  </w:style>
  <w:style w:type="paragraph" w:customStyle="1" w:styleId="et57">
    <w:name w:val="et5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61">
    <w:name w:val="et61"/>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62">
    <w:name w:val="et6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63">
    <w:name w:val="et6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64">
    <w:name w:val="et6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65">
    <w:name w:val="et6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66">
    <w:name w:val="et66"/>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et67">
    <w:name w:val="et67"/>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et68">
    <w:name w:val="et68"/>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et69">
    <w:name w:val="et6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kern w:val="0"/>
      <w:sz w:val="24"/>
    </w:rPr>
  </w:style>
  <w:style w:type="paragraph" w:customStyle="1" w:styleId="et70">
    <w:name w:val="et70"/>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b/>
      <w:bCs/>
      <w:color w:val="00B050"/>
      <w:kern w:val="0"/>
      <w:sz w:val="24"/>
    </w:rPr>
  </w:style>
  <w:style w:type="paragraph" w:customStyle="1" w:styleId="et71">
    <w:name w:val="et71"/>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50"/>
      <w:kern w:val="0"/>
      <w:sz w:val="24"/>
    </w:rPr>
  </w:style>
  <w:style w:type="paragraph" w:customStyle="1" w:styleId="et72">
    <w:name w:val="et7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B050"/>
      <w:kern w:val="0"/>
      <w:sz w:val="24"/>
    </w:rPr>
  </w:style>
  <w:style w:type="paragraph" w:customStyle="1" w:styleId="et73">
    <w:name w:val="et7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50"/>
      <w:kern w:val="0"/>
      <w:sz w:val="24"/>
    </w:rPr>
  </w:style>
  <w:style w:type="paragraph" w:customStyle="1" w:styleId="et74">
    <w:name w:val="et74"/>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75">
    <w:name w:val="et75"/>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77">
    <w:name w:val="et7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kern w:val="0"/>
      <w:sz w:val="24"/>
    </w:rPr>
  </w:style>
  <w:style w:type="paragraph" w:customStyle="1" w:styleId="et78">
    <w:name w:val="et78"/>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79">
    <w:name w:val="et79"/>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81">
    <w:name w:val="et81"/>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82">
    <w:name w:val="et82"/>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84">
    <w:name w:val="et84"/>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86">
    <w:name w:val="et86"/>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88">
    <w:name w:val="et88"/>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89">
    <w:name w:val="et89"/>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91">
    <w:name w:val="et91"/>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92">
    <w:name w:val="et92"/>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93">
    <w:name w:val="et9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kern w:val="0"/>
      <w:sz w:val="24"/>
    </w:rPr>
  </w:style>
  <w:style w:type="paragraph" w:customStyle="1" w:styleId="et95">
    <w:name w:val="et9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70C0"/>
      <w:kern w:val="0"/>
      <w:sz w:val="24"/>
    </w:rPr>
  </w:style>
  <w:style w:type="paragraph" w:customStyle="1" w:styleId="et96">
    <w:name w:val="et9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70C0"/>
      <w:kern w:val="0"/>
      <w:sz w:val="24"/>
    </w:rPr>
  </w:style>
  <w:style w:type="paragraph" w:customStyle="1" w:styleId="et97">
    <w:name w:val="et9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98">
    <w:name w:val="et98"/>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C00000"/>
      <w:kern w:val="0"/>
      <w:sz w:val="24"/>
    </w:rPr>
  </w:style>
  <w:style w:type="paragraph" w:customStyle="1" w:styleId="et99">
    <w:name w:val="et9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C00000"/>
      <w:kern w:val="0"/>
      <w:sz w:val="24"/>
    </w:rPr>
  </w:style>
  <w:style w:type="paragraph" w:customStyle="1" w:styleId="et100">
    <w:name w:val="et100"/>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C000"/>
      <w:kern w:val="0"/>
      <w:sz w:val="24"/>
    </w:rPr>
  </w:style>
  <w:style w:type="paragraph" w:customStyle="1" w:styleId="et101">
    <w:name w:val="et101"/>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C000"/>
      <w:kern w:val="0"/>
      <w:sz w:val="24"/>
    </w:rPr>
  </w:style>
  <w:style w:type="paragraph" w:customStyle="1" w:styleId="et102">
    <w:name w:val="et102"/>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106">
    <w:name w:val="et10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108">
    <w:name w:val="et108"/>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50"/>
      <w:kern w:val="0"/>
      <w:sz w:val="24"/>
    </w:rPr>
  </w:style>
  <w:style w:type="paragraph" w:customStyle="1" w:styleId="et109">
    <w:name w:val="et10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50"/>
      <w:kern w:val="0"/>
      <w:sz w:val="24"/>
    </w:rPr>
  </w:style>
  <w:style w:type="paragraph" w:customStyle="1" w:styleId="et110">
    <w:name w:val="et110"/>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B050"/>
      <w:kern w:val="0"/>
      <w:sz w:val="24"/>
    </w:rPr>
  </w:style>
  <w:style w:type="paragraph" w:customStyle="1" w:styleId="et113">
    <w:name w:val="et113"/>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114">
    <w:name w:val="et11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116">
    <w:name w:val="et11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117">
    <w:name w:val="et117"/>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118">
    <w:name w:val="et118"/>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121">
    <w:name w:val="et121"/>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3">
    <w:name w:val="et12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4">
    <w:name w:val="et12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5">
    <w:name w:val="et125"/>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7">
    <w:name w:val="et127"/>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9">
    <w:name w:val="et12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32">
    <w:name w:val="et13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4"/>
    </w:rPr>
  </w:style>
  <w:style w:type="paragraph" w:customStyle="1" w:styleId="et133">
    <w:name w:val="et13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134">
    <w:name w:val="et13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FF0000"/>
      <w:kern w:val="0"/>
      <w:sz w:val="24"/>
    </w:rPr>
  </w:style>
  <w:style w:type="paragraph" w:customStyle="1" w:styleId="et136">
    <w:name w:val="et13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FF0000"/>
      <w:kern w:val="0"/>
      <w:sz w:val="24"/>
    </w:rPr>
  </w:style>
  <w:style w:type="paragraph" w:customStyle="1" w:styleId="et137">
    <w:name w:val="et13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138">
    <w:name w:val="et138"/>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139">
    <w:name w:val="et13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140">
    <w:name w:val="et140"/>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B0F0"/>
      <w:kern w:val="0"/>
      <w:sz w:val="24"/>
    </w:rPr>
  </w:style>
  <w:style w:type="paragraph" w:customStyle="1" w:styleId="et141">
    <w:name w:val="et141"/>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b/>
      <w:bCs/>
      <w:color w:val="7030A0"/>
      <w:kern w:val="0"/>
      <w:sz w:val="24"/>
    </w:rPr>
  </w:style>
  <w:style w:type="paragraph" w:customStyle="1" w:styleId="et142">
    <w:name w:val="et14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7030A0"/>
      <w:kern w:val="0"/>
      <w:sz w:val="24"/>
    </w:rPr>
  </w:style>
  <w:style w:type="paragraph" w:customStyle="1" w:styleId="et143">
    <w:name w:val="et14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7030A0"/>
      <w:kern w:val="0"/>
      <w:sz w:val="24"/>
    </w:rPr>
  </w:style>
  <w:style w:type="paragraph" w:customStyle="1" w:styleId="et144">
    <w:name w:val="et14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7030A0"/>
      <w:kern w:val="0"/>
      <w:sz w:val="24"/>
    </w:rPr>
  </w:style>
  <w:style w:type="paragraph" w:customStyle="1" w:styleId="et145">
    <w:name w:val="et14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70C0"/>
      <w:kern w:val="0"/>
      <w:sz w:val="24"/>
    </w:rPr>
  </w:style>
  <w:style w:type="paragraph" w:customStyle="1" w:styleId="et147">
    <w:name w:val="et14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70C0"/>
      <w:kern w:val="0"/>
      <w:sz w:val="24"/>
    </w:rPr>
  </w:style>
  <w:style w:type="paragraph" w:customStyle="1" w:styleId="et150">
    <w:name w:val="et150"/>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4"/>
    </w:rPr>
  </w:style>
  <w:style w:type="paragraph" w:customStyle="1" w:styleId="et153">
    <w:name w:val="et15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155">
    <w:name w:val="et15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70C0"/>
      <w:kern w:val="0"/>
      <w:sz w:val="24"/>
    </w:rPr>
  </w:style>
  <w:style w:type="paragraph" w:customStyle="1" w:styleId="et156">
    <w:name w:val="et15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kern w:val="0"/>
      <w:sz w:val="24"/>
    </w:rPr>
  </w:style>
  <w:style w:type="paragraph" w:customStyle="1" w:styleId="et158">
    <w:name w:val="et158"/>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159">
    <w:name w:val="et15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4"/>
    </w:rPr>
  </w:style>
  <w:style w:type="paragraph" w:customStyle="1" w:styleId="et163">
    <w:name w:val="et16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165">
    <w:name w:val="et16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50"/>
      <w:kern w:val="0"/>
      <w:sz w:val="24"/>
    </w:rPr>
  </w:style>
  <w:style w:type="paragraph" w:customStyle="1" w:styleId="et166">
    <w:name w:val="et16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167">
    <w:name w:val="et16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B0F0"/>
      <w:kern w:val="0"/>
      <w:sz w:val="24"/>
    </w:rPr>
  </w:style>
  <w:style w:type="paragraph" w:customStyle="1" w:styleId="et169">
    <w:name w:val="et16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7030A0"/>
      <w:kern w:val="0"/>
      <w:sz w:val="24"/>
    </w:rPr>
  </w:style>
  <w:style w:type="paragraph" w:customStyle="1" w:styleId="et172">
    <w:name w:val="et172"/>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color w:val="00B0F0"/>
      <w:kern w:val="0"/>
      <w:sz w:val="24"/>
    </w:rPr>
  </w:style>
  <w:style w:type="paragraph" w:customStyle="1" w:styleId="et173">
    <w:name w:val="et17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B0F0"/>
      <w:kern w:val="0"/>
      <w:sz w:val="24"/>
    </w:rPr>
  </w:style>
  <w:style w:type="character" w:customStyle="1" w:styleId="font22">
    <w:name w:val="font22"/>
    <w:basedOn w:val="a2"/>
    <w:qFormat/>
    <w:rsid w:val="002A5A5E"/>
    <w:rPr>
      <w:rFonts w:ascii="仿宋" w:eastAsia="仿宋" w:hAnsi="仿宋" w:hint="eastAsia"/>
      <w:color w:val="000000"/>
      <w:sz w:val="22"/>
      <w:szCs w:val="22"/>
      <w:u w:val="none"/>
    </w:rPr>
  </w:style>
  <w:style w:type="character" w:customStyle="1" w:styleId="font211">
    <w:name w:val="font211"/>
    <w:basedOn w:val="a2"/>
    <w:qFormat/>
    <w:rsid w:val="002A5A5E"/>
    <w:rPr>
      <w:rFonts w:ascii="仿宋" w:eastAsia="仿宋" w:hAnsi="仿宋" w:hint="eastAsia"/>
      <w:color w:val="000000"/>
      <w:sz w:val="22"/>
      <w:szCs w:val="22"/>
      <w:u w:val="none"/>
      <w:vertAlign w:val="superscript"/>
    </w:rPr>
  </w:style>
  <w:style w:type="paragraph" w:customStyle="1" w:styleId="afffffffff9">
    <w:name w:val="标准书眉_奇数页"/>
    <w:next w:val="a1"/>
    <w:qFormat/>
    <w:rsid w:val="002A5A5E"/>
    <w:pPr>
      <w:tabs>
        <w:tab w:val="center" w:pos="4154"/>
        <w:tab w:val="right" w:pos="8306"/>
      </w:tabs>
      <w:spacing w:after="120"/>
      <w:jc w:val="right"/>
    </w:pPr>
    <w:rPr>
      <w:rFonts w:ascii="Times New Roman" w:eastAsia="宋体" w:hAnsi="Times New Roman" w:cs="Times New Roman"/>
      <w:sz w:val="21"/>
    </w:rPr>
  </w:style>
  <w:style w:type="paragraph" w:customStyle="1" w:styleId="76">
    <w:name w:val="正文7"/>
    <w:rsid w:val="002A5A5E"/>
    <w:pPr>
      <w:jc w:val="both"/>
    </w:pPr>
    <w:rPr>
      <w:rFonts w:ascii="Times New Roman" w:eastAsia="宋体" w:hAnsi="Times New Roman" w:cs="Times New Roman"/>
      <w:kern w:val="2"/>
      <w:sz w:val="21"/>
      <w:szCs w:val="21"/>
    </w:rPr>
  </w:style>
  <w:style w:type="paragraph" w:customStyle="1" w:styleId="83">
    <w:name w:val="正文8"/>
    <w:rsid w:val="002A5A5E"/>
    <w:pPr>
      <w:jc w:val="both"/>
    </w:pPr>
    <w:rPr>
      <w:rFonts w:ascii="Times New Roman" w:eastAsia="宋体" w:hAnsi="Times New Roman" w:cs="Times New Roman"/>
      <w:kern w:val="2"/>
      <w:sz w:val="21"/>
      <w:szCs w:val="21"/>
    </w:rPr>
  </w:style>
  <w:style w:type="paragraph" w:customStyle="1" w:styleId="M">
    <w:name w:val="M正文"/>
    <w:basedOn w:val="a1"/>
    <w:link w:val="M0"/>
    <w:autoRedefine/>
    <w:qFormat/>
    <w:rsid w:val="002A5A5E"/>
    <w:pPr>
      <w:widowControl/>
      <w:kinsoku w:val="0"/>
      <w:autoSpaceDE w:val="0"/>
      <w:autoSpaceDN w:val="0"/>
      <w:adjustRightInd w:val="0"/>
      <w:snapToGrid w:val="0"/>
      <w:spacing w:line="360" w:lineRule="auto"/>
      <w:ind w:firstLineChars="200" w:firstLine="200"/>
      <w:jc w:val="left"/>
      <w:textAlignment w:val="baseline"/>
    </w:pPr>
    <w:rPr>
      <w:snapToGrid w:val="0"/>
      <w:color w:val="000000"/>
      <w:kern w:val="0"/>
      <w:sz w:val="24"/>
      <w:lang w:eastAsia="en-US"/>
    </w:rPr>
  </w:style>
  <w:style w:type="character" w:customStyle="1" w:styleId="M0">
    <w:name w:val="M正文 字符"/>
    <w:basedOn w:val="a2"/>
    <w:link w:val="M"/>
    <w:autoRedefine/>
    <w:qFormat/>
    <w:rsid w:val="002A5A5E"/>
    <w:rPr>
      <w:rFonts w:ascii="Times New Roman" w:eastAsia="宋体" w:hAnsi="Times New Roman" w:cs="Times New Roman"/>
      <w:snapToGrid w:val="0"/>
      <w:color w:val="000000"/>
      <w:kern w:val="0"/>
      <w:sz w:val="24"/>
      <w:szCs w:val="24"/>
      <w:lang w:eastAsia="en-US"/>
    </w:rPr>
  </w:style>
  <w:style w:type="table" w:customStyle="1" w:styleId="TableNormal">
    <w:name w:val="Table Normal"/>
    <w:autoRedefine/>
    <w:unhideWhenUsed/>
    <w:qFormat/>
    <w:rsid w:val="002A5A5E"/>
    <w:rPr>
      <w:rFonts w:ascii="Times New Roman" w:eastAsia="宋体" w:hAnsi="Times New Roman" w:cs="Times New Roman"/>
    </w:rPr>
    <w:tblPr>
      <w:tblCellMar>
        <w:top w:w="0" w:type="dxa"/>
        <w:left w:w="0" w:type="dxa"/>
        <w:bottom w:w="0" w:type="dxa"/>
        <w:right w:w="0" w:type="dxa"/>
      </w:tblCellMar>
    </w:tblPr>
  </w:style>
  <w:style w:type="paragraph" w:customStyle="1" w:styleId="TableText">
    <w:name w:val="Table Text"/>
    <w:basedOn w:val="a1"/>
    <w:autoRedefine/>
    <w:semiHidden/>
    <w:qFormat/>
    <w:rsid w:val="002A5A5E"/>
    <w:pPr>
      <w:widowControl/>
      <w:kinsoku w:val="0"/>
      <w:autoSpaceDE w:val="0"/>
      <w:autoSpaceDN w:val="0"/>
      <w:adjustRightInd w:val="0"/>
      <w:snapToGrid w:val="0"/>
      <w:jc w:val="left"/>
      <w:textAlignment w:val="baseline"/>
    </w:pPr>
    <w:rPr>
      <w:rFonts w:eastAsia="Times New Roman"/>
      <w:snapToGrid w:val="0"/>
      <w:color w:val="000000"/>
      <w:kern w:val="0"/>
      <w:sz w:val="20"/>
      <w:szCs w:val="20"/>
      <w:lang w:eastAsia="en-US"/>
    </w:rPr>
  </w:style>
  <w:style w:type="paragraph" w:customStyle="1" w:styleId="afffffffffa">
    <w:name w:val="【表格】"/>
    <w:basedOn w:val="a1"/>
    <w:link w:val="afffffffffb"/>
    <w:qFormat/>
    <w:rsid w:val="002A5A5E"/>
    <w:pPr>
      <w:adjustRightInd w:val="0"/>
      <w:snapToGrid w:val="0"/>
      <w:spacing w:line="400" w:lineRule="exact"/>
    </w:pPr>
    <w:rPr>
      <w:spacing w:val="-4"/>
    </w:rPr>
  </w:style>
  <w:style w:type="character" w:customStyle="1" w:styleId="afffffffffb">
    <w:name w:val="【表格】 字符"/>
    <w:link w:val="afffffffffa"/>
    <w:qFormat/>
    <w:rsid w:val="002A5A5E"/>
    <w:rPr>
      <w:rFonts w:ascii="Times New Roman" w:eastAsia="宋体" w:hAnsi="Times New Roman" w:cs="Times New Roman"/>
      <w:spacing w:val="-4"/>
      <w:kern w:val="2"/>
      <w:sz w:val="21"/>
      <w:szCs w:val="24"/>
    </w:rPr>
  </w:style>
  <w:style w:type="table" w:customStyle="1" w:styleId="TableNormal1">
    <w:name w:val="Table Normal1"/>
    <w:basedOn w:val="a3"/>
    <w:rsid w:val="002A5A5E"/>
    <w:rPr>
      <w:rFonts w:ascii="Times New Roman" w:eastAsia="Times New Roman" w:hAnsi="Times New Roman" w:cs="Times New Roman"/>
    </w:rPr>
    <w:tblPr>
      <w:tblInd w:w="0" w:type="dxa"/>
      <w:tblCellMar>
        <w:top w:w="0" w:type="dxa"/>
        <w:left w:w="0" w:type="dxa"/>
        <w:bottom w:w="0" w:type="dxa"/>
        <w:right w:w="0" w:type="dxa"/>
      </w:tblCellMar>
    </w:tblPr>
  </w:style>
  <w:style w:type="table" w:customStyle="1" w:styleId="69">
    <w:name w:val="网格型6"/>
    <w:basedOn w:val="a3"/>
    <w:next w:val="afc"/>
    <w:uiPriority w:val="99"/>
    <w:qFormat/>
    <w:rsid w:val="00C96EBA"/>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21349269">
      <w:bodyDiv w:val="1"/>
      <w:marLeft w:val="0"/>
      <w:marRight w:val="0"/>
      <w:marTop w:val="0"/>
      <w:marBottom w:val="0"/>
      <w:divBdr>
        <w:top w:val="none" w:sz="0" w:space="0" w:color="auto"/>
        <w:left w:val="none" w:sz="0" w:space="0" w:color="auto"/>
        <w:bottom w:val="none" w:sz="0" w:space="0" w:color="auto"/>
        <w:right w:val="none" w:sz="0" w:space="0" w:color="auto"/>
      </w:divBdr>
    </w:div>
    <w:div w:id="378942690">
      <w:bodyDiv w:val="1"/>
      <w:marLeft w:val="0"/>
      <w:marRight w:val="0"/>
      <w:marTop w:val="0"/>
      <w:marBottom w:val="0"/>
      <w:divBdr>
        <w:top w:val="none" w:sz="0" w:space="0" w:color="auto"/>
        <w:left w:val="none" w:sz="0" w:space="0" w:color="auto"/>
        <w:bottom w:val="none" w:sz="0" w:space="0" w:color="auto"/>
        <w:right w:val="none" w:sz="0" w:space="0" w:color="auto"/>
      </w:divBdr>
    </w:div>
    <w:div w:id="401148764">
      <w:bodyDiv w:val="1"/>
      <w:marLeft w:val="0"/>
      <w:marRight w:val="0"/>
      <w:marTop w:val="0"/>
      <w:marBottom w:val="0"/>
      <w:divBdr>
        <w:top w:val="none" w:sz="0" w:space="0" w:color="auto"/>
        <w:left w:val="none" w:sz="0" w:space="0" w:color="auto"/>
        <w:bottom w:val="none" w:sz="0" w:space="0" w:color="auto"/>
        <w:right w:val="none" w:sz="0" w:space="0" w:color="auto"/>
      </w:divBdr>
    </w:div>
    <w:div w:id="928583572">
      <w:bodyDiv w:val="1"/>
      <w:marLeft w:val="0"/>
      <w:marRight w:val="0"/>
      <w:marTop w:val="0"/>
      <w:marBottom w:val="0"/>
      <w:divBdr>
        <w:top w:val="none" w:sz="0" w:space="0" w:color="auto"/>
        <w:left w:val="none" w:sz="0" w:space="0" w:color="auto"/>
        <w:bottom w:val="none" w:sz="0" w:space="0" w:color="auto"/>
        <w:right w:val="none" w:sz="0" w:space="0" w:color="auto"/>
      </w:divBdr>
    </w:div>
    <w:div w:id="959528955">
      <w:bodyDiv w:val="1"/>
      <w:marLeft w:val="0"/>
      <w:marRight w:val="0"/>
      <w:marTop w:val="0"/>
      <w:marBottom w:val="0"/>
      <w:divBdr>
        <w:top w:val="none" w:sz="0" w:space="0" w:color="auto"/>
        <w:left w:val="none" w:sz="0" w:space="0" w:color="auto"/>
        <w:bottom w:val="none" w:sz="0" w:space="0" w:color="auto"/>
        <w:right w:val="none" w:sz="0" w:space="0" w:color="auto"/>
      </w:divBdr>
    </w:div>
    <w:div w:id="1000355140">
      <w:bodyDiv w:val="1"/>
      <w:marLeft w:val="0"/>
      <w:marRight w:val="0"/>
      <w:marTop w:val="0"/>
      <w:marBottom w:val="0"/>
      <w:divBdr>
        <w:top w:val="none" w:sz="0" w:space="0" w:color="auto"/>
        <w:left w:val="none" w:sz="0" w:space="0" w:color="auto"/>
        <w:bottom w:val="none" w:sz="0" w:space="0" w:color="auto"/>
        <w:right w:val="none" w:sz="0" w:space="0" w:color="auto"/>
      </w:divBdr>
    </w:div>
    <w:div w:id="1095327095">
      <w:bodyDiv w:val="1"/>
      <w:marLeft w:val="0"/>
      <w:marRight w:val="0"/>
      <w:marTop w:val="0"/>
      <w:marBottom w:val="0"/>
      <w:divBdr>
        <w:top w:val="none" w:sz="0" w:space="0" w:color="auto"/>
        <w:left w:val="none" w:sz="0" w:space="0" w:color="auto"/>
        <w:bottom w:val="none" w:sz="0" w:space="0" w:color="auto"/>
        <w:right w:val="none" w:sz="0" w:space="0" w:color="auto"/>
      </w:divBdr>
    </w:div>
    <w:div w:id="1270356844">
      <w:bodyDiv w:val="1"/>
      <w:marLeft w:val="0"/>
      <w:marRight w:val="0"/>
      <w:marTop w:val="0"/>
      <w:marBottom w:val="0"/>
      <w:divBdr>
        <w:top w:val="none" w:sz="0" w:space="0" w:color="auto"/>
        <w:left w:val="none" w:sz="0" w:space="0" w:color="auto"/>
        <w:bottom w:val="none" w:sz="0" w:space="0" w:color="auto"/>
        <w:right w:val="none" w:sz="0" w:space="0" w:color="auto"/>
      </w:divBdr>
    </w:div>
    <w:div w:id="1279072320">
      <w:bodyDiv w:val="1"/>
      <w:marLeft w:val="0"/>
      <w:marRight w:val="0"/>
      <w:marTop w:val="0"/>
      <w:marBottom w:val="0"/>
      <w:divBdr>
        <w:top w:val="none" w:sz="0" w:space="0" w:color="auto"/>
        <w:left w:val="none" w:sz="0" w:space="0" w:color="auto"/>
        <w:bottom w:val="none" w:sz="0" w:space="0" w:color="auto"/>
        <w:right w:val="none" w:sz="0" w:space="0" w:color="auto"/>
      </w:divBdr>
    </w:div>
    <w:div w:id="1300766376">
      <w:bodyDiv w:val="1"/>
      <w:marLeft w:val="0"/>
      <w:marRight w:val="0"/>
      <w:marTop w:val="0"/>
      <w:marBottom w:val="0"/>
      <w:divBdr>
        <w:top w:val="none" w:sz="0" w:space="0" w:color="auto"/>
        <w:left w:val="none" w:sz="0" w:space="0" w:color="auto"/>
        <w:bottom w:val="none" w:sz="0" w:space="0" w:color="auto"/>
        <w:right w:val="none" w:sz="0" w:space="0" w:color="auto"/>
      </w:divBdr>
      <w:divsChild>
        <w:div w:id="27803908">
          <w:marLeft w:val="0"/>
          <w:marRight w:val="0"/>
          <w:marTop w:val="0"/>
          <w:marBottom w:val="0"/>
          <w:divBdr>
            <w:top w:val="none" w:sz="0" w:space="0" w:color="auto"/>
            <w:left w:val="none" w:sz="0" w:space="0" w:color="auto"/>
            <w:bottom w:val="none" w:sz="0" w:space="0" w:color="auto"/>
            <w:right w:val="none" w:sz="0" w:space="0" w:color="auto"/>
          </w:divBdr>
          <w:divsChild>
            <w:div w:id="8642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272422">
      <w:bodyDiv w:val="1"/>
      <w:marLeft w:val="0"/>
      <w:marRight w:val="0"/>
      <w:marTop w:val="0"/>
      <w:marBottom w:val="0"/>
      <w:divBdr>
        <w:top w:val="none" w:sz="0" w:space="0" w:color="auto"/>
        <w:left w:val="none" w:sz="0" w:space="0" w:color="auto"/>
        <w:bottom w:val="none" w:sz="0" w:space="0" w:color="auto"/>
        <w:right w:val="none" w:sz="0" w:space="0" w:color="auto"/>
      </w:divBdr>
    </w:div>
    <w:div w:id="1367633406">
      <w:bodyDiv w:val="1"/>
      <w:marLeft w:val="0"/>
      <w:marRight w:val="0"/>
      <w:marTop w:val="0"/>
      <w:marBottom w:val="0"/>
      <w:divBdr>
        <w:top w:val="none" w:sz="0" w:space="0" w:color="auto"/>
        <w:left w:val="none" w:sz="0" w:space="0" w:color="auto"/>
        <w:bottom w:val="none" w:sz="0" w:space="0" w:color="auto"/>
        <w:right w:val="none" w:sz="0" w:space="0" w:color="auto"/>
      </w:divBdr>
    </w:div>
    <w:div w:id="1386954355">
      <w:bodyDiv w:val="1"/>
      <w:marLeft w:val="0"/>
      <w:marRight w:val="0"/>
      <w:marTop w:val="0"/>
      <w:marBottom w:val="0"/>
      <w:divBdr>
        <w:top w:val="none" w:sz="0" w:space="0" w:color="auto"/>
        <w:left w:val="none" w:sz="0" w:space="0" w:color="auto"/>
        <w:bottom w:val="none" w:sz="0" w:space="0" w:color="auto"/>
        <w:right w:val="none" w:sz="0" w:space="0" w:color="auto"/>
      </w:divBdr>
    </w:div>
    <w:div w:id="1434977164">
      <w:bodyDiv w:val="1"/>
      <w:marLeft w:val="0"/>
      <w:marRight w:val="0"/>
      <w:marTop w:val="0"/>
      <w:marBottom w:val="0"/>
      <w:divBdr>
        <w:top w:val="none" w:sz="0" w:space="0" w:color="auto"/>
        <w:left w:val="none" w:sz="0" w:space="0" w:color="auto"/>
        <w:bottom w:val="none" w:sz="0" w:space="0" w:color="auto"/>
        <w:right w:val="none" w:sz="0" w:space="0" w:color="auto"/>
      </w:divBdr>
      <w:divsChild>
        <w:div w:id="1666587348">
          <w:marLeft w:val="0"/>
          <w:marRight w:val="0"/>
          <w:marTop w:val="0"/>
          <w:marBottom w:val="0"/>
          <w:divBdr>
            <w:top w:val="none" w:sz="0" w:space="0" w:color="auto"/>
            <w:left w:val="none" w:sz="0" w:space="0" w:color="auto"/>
            <w:bottom w:val="none" w:sz="0" w:space="0" w:color="auto"/>
            <w:right w:val="none" w:sz="0" w:space="0" w:color="auto"/>
          </w:divBdr>
          <w:divsChild>
            <w:div w:id="95979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870575">
      <w:bodyDiv w:val="1"/>
      <w:marLeft w:val="0"/>
      <w:marRight w:val="0"/>
      <w:marTop w:val="0"/>
      <w:marBottom w:val="0"/>
      <w:divBdr>
        <w:top w:val="none" w:sz="0" w:space="0" w:color="auto"/>
        <w:left w:val="none" w:sz="0" w:space="0" w:color="auto"/>
        <w:bottom w:val="none" w:sz="0" w:space="0" w:color="auto"/>
        <w:right w:val="none" w:sz="0" w:space="0" w:color="auto"/>
      </w:divBdr>
      <w:divsChild>
        <w:div w:id="1401517076">
          <w:marLeft w:val="0"/>
          <w:marRight w:val="0"/>
          <w:marTop w:val="0"/>
          <w:marBottom w:val="0"/>
          <w:divBdr>
            <w:top w:val="none" w:sz="0" w:space="0" w:color="auto"/>
            <w:left w:val="none" w:sz="0" w:space="0" w:color="auto"/>
            <w:bottom w:val="none" w:sz="0" w:space="0" w:color="auto"/>
            <w:right w:val="none" w:sz="0" w:space="0" w:color="auto"/>
          </w:divBdr>
          <w:divsChild>
            <w:div w:id="5743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984198">
      <w:bodyDiv w:val="1"/>
      <w:marLeft w:val="0"/>
      <w:marRight w:val="0"/>
      <w:marTop w:val="0"/>
      <w:marBottom w:val="0"/>
      <w:divBdr>
        <w:top w:val="none" w:sz="0" w:space="0" w:color="auto"/>
        <w:left w:val="none" w:sz="0" w:space="0" w:color="auto"/>
        <w:bottom w:val="none" w:sz="0" w:space="0" w:color="auto"/>
        <w:right w:val="none" w:sz="0" w:space="0" w:color="auto"/>
      </w:divBdr>
    </w:div>
    <w:div w:id="1654484747">
      <w:bodyDiv w:val="1"/>
      <w:marLeft w:val="0"/>
      <w:marRight w:val="0"/>
      <w:marTop w:val="0"/>
      <w:marBottom w:val="0"/>
      <w:divBdr>
        <w:top w:val="none" w:sz="0" w:space="0" w:color="auto"/>
        <w:left w:val="none" w:sz="0" w:space="0" w:color="auto"/>
        <w:bottom w:val="none" w:sz="0" w:space="0" w:color="auto"/>
        <w:right w:val="none" w:sz="0" w:space="0" w:color="auto"/>
      </w:divBdr>
    </w:div>
    <w:div w:id="1763910608">
      <w:bodyDiv w:val="1"/>
      <w:marLeft w:val="0"/>
      <w:marRight w:val="0"/>
      <w:marTop w:val="0"/>
      <w:marBottom w:val="0"/>
      <w:divBdr>
        <w:top w:val="none" w:sz="0" w:space="0" w:color="auto"/>
        <w:left w:val="none" w:sz="0" w:space="0" w:color="auto"/>
        <w:bottom w:val="none" w:sz="0" w:space="0" w:color="auto"/>
        <w:right w:val="none" w:sz="0" w:space="0" w:color="auto"/>
      </w:divBdr>
    </w:div>
    <w:div w:id="2044397854">
      <w:bodyDiv w:val="1"/>
      <w:marLeft w:val="0"/>
      <w:marRight w:val="0"/>
      <w:marTop w:val="0"/>
      <w:marBottom w:val="0"/>
      <w:divBdr>
        <w:top w:val="none" w:sz="0" w:space="0" w:color="auto"/>
        <w:left w:val="none" w:sz="0" w:space="0" w:color="auto"/>
        <w:bottom w:val="none" w:sz="0" w:space="0" w:color="auto"/>
        <w:right w:val="none" w:sz="0" w:space="0" w:color="auto"/>
      </w:divBdr>
    </w:div>
    <w:div w:id="2117552738">
      <w:bodyDiv w:val="1"/>
      <w:marLeft w:val="0"/>
      <w:marRight w:val="0"/>
      <w:marTop w:val="0"/>
      <w:marBottom w:val="0"/>
      <w:divBdr>
        <w:top w:val="none" w:sz="0" w:space="0" w:color="auto"/>
        <w:left w:val="none" w:sz="0" w:space="0" w:color="auto"/>
        <w:bottom w:val="none" w:sz="0" w:space="0" w:color="auto"/>
        <w:right w:val="none" w:sz="0" w:space="0" w:color="auto"/>
      </w:divBdr>
      <w:divsChild>
        <w:div w:id="1343895879">
          <w:marLeft w:val="0"/>
          <w:marRight w:val="0"/>
          <w:marTop w:val="0"/>
          <w:marBottom w:val="0"/>
          <w:divBdr>
            <w:top w:val="none" w:sz="0" w:space="0" w:color="auto"/>
            <w:left w:val="none" w:sz="0" w:space="0" w:color="auto"/>
            <w:bottom w:val="none" w:sz="0" w:space="0" w:color="auto"/>
            <w:right w:val="none" w:sz="0" w:space="0" w:color="auto"/>
          </w:divBdr>
          <w:divsChild>
            <w:div w:id="140013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huanbao.bjx.com.cn/topics/hjyxpjwjsp/" TargetMode="External"/><Relationship Id="rId26" Type="http://schemas.openxmlformats.org/officeDocument/2006/relationships/image" Target="media/image7.png"/><Relationship Id="rId39" Type="http://schemas.openxmlformats.org/officeDocument/2006/relationships/image" Target="media/image17.png"/><Relationship Id="rId21" Type="http://schemas.openxmlformats.org/officeDocument/2006/relationships/footer" Target="footer2.xml"/><Relationship Id="rId34" Type="http://schemas.openxmlformats.org/officeDocument/2006/relationships/hyperlink" Target="file:///F:\360&#29992;&#25143;&#25991;&#20214;\&#28216;&#25103;&#22823;&#21381;\&#22825;&#20806;&#20859;&#29482;&#26377;&#38480;&#20844;&#21496;&#29615;&#35780;\1106&#22825;&#20806;&#20859;&#29482;\&#22825;&#20806;&#20859;&#29482;&#26377;&#38480;&#20844;&#21496;&#29615;&#35780;1117.docx" TargetMode="External"/><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image" Target="media/image32.wmf"/><Relationship Id="rId63" Type="http://schemas.openxmlformats.org/officeDocument/2006/relationships/image" Target="media/image39.png"/><Relationship Id="rId68" Type="http://schemas.openxmlformats.org/officeDocument/2006/relationships/image" Target="media/image44.png"/><Relationship Id="rId76" Type="http://schemas.openxmlformats.org/officeDocument/2006/relationships/image" Target="media/image52.png"/><Relationship Id="rId84" Type="http://schemas.openxmlformats.org/officeDocument/2006/relationships/image" Target="media/image60.emf"/><Relationship Id="rId89"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image" Target="media/image47.wmf"/><Relationship Id="rId92"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huanbao.bjx.com.cn/topics/hjyxpjwjsp/" TargetMode="External"/><Relationship Id="rId29" Type="http://schemas.openxmlformats.org/officeDocument/2006/relationships/image" Target="media/image10.png"/><Relationship Id="rId11" Type="http://schemas.openxmlformats.org/officeDocument/2006/relationships/hyperlink" Target="https://www.so.com/link?m=uPleCVt3B7YQIkEd34el4t3mGdnCM4isS0XruZHPSeajhEcMKORjpcNImgGwG/A2qi4I76UOWausuAJ8j9IX+KvavsJk8H09KvqvNEYlEf3nItfOo/dwnR07vbQchzTet09Hzi69NKpZQEIGRAnn21olHZ2tqVUWhilL3ss30YDFriIKDVNcvSJ0G+utswUfC2EQ66770NjSZ6arLD9kmYdW/wAwxKcA8OjqXn7SPnb0xM3aDqINoLgeHUS/GBF5rOooI6K9JEBxeJIozi8XSWN9Y0vUviqRHRa4WGf2WRE86WpOXHnUaq+0oi51emydo" TargetMode="Externa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wmf"/><Relationship Id="rId58" Type="http://schemas.openxmlformats.org/officeDocument/2006/relationships/image" Target="media/image34.png"/><Relationship Id="rId66" Type="http://schemas.openxmlformats.org/officeDocument/2006/relationships/image" Target="media/image42.png"/><Relationship Id="rId74" Type="http://schemas.openxmlformats.org/officeDocument/2006/relationships/image" Target="media/image50.png"/><Relationship Id="rId79" Type="http://schemas.openxmlformats.org/officeDocument/2006/relationships/image" Target="media/image55.png"/><Relationship Id="rId87"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image" Target="media/image37.png"/><Relationship Id="rId82" Type="http://schemas.openxmlformats.org/officeDocument/2006/relationships/image" Target="media/image58.emf"/><Relationship Id="rId90" Type="http://schemas.openxmlformats.org/officeDocument/2006/relationships/footer" Target="footer4.xml"/><Relationship Id="rId19" Type="http://schemas.openxmlformats.org/officeDocument/2006/relationships/hyperlink" Target="https://huanbao.bjx.com.cn/topics/hjyxpjwjsp/" TargetMode="External"/><Relationship Id="rId14" Type="http://schemas.openxmlformats.org/officeDocument/2006/relationships/hyperlink" Target="https://huanbao.bjx.com.cn/topics/hjyxpjwjsp/" TargetMode="External"/><Relationship Id="rId22" Type="http://schemas.openxmlformats.org/officeDocument/2006/relationships/hyperlink" Target="https://huanbao.bjx.com.cn/topics/hjyxpjwjsp/"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yperlink" Target="file:///F:\360&#29992;&#25143;&#25991;&#20214;\&#28216;&#25103;&#22823;&#21381;\&#22825;&#20806;&#20859;&#29482;&#26377;&#38480;&#20844;&#21496;&#29615;&#35780;\1106&#22825;&#20806;&#20859;&#29482;\&#22825;&#20806;&#20859;&#29482;&#26377;&#38480;&#20844;&#21496;&#29615;&#35780;1117.docx" TargetMode="External"/><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oleObject" Target="embeddings/oleObject2.bin"/><Relationship Id="rId64" Type="http://schemas.openxmlformats.org/officeDocument/2006/relationships/image" Target="media/image40.png"/><Relationship Id="rId69" Type="http://schemas.openxmlformats.org/officeDocument/2006/relationships/image" Target="media/image45.png"/><Relationship Id="rId77" Type="http://schemas.openxmlformats.org/officeDocument/2006/relationships/image" Target="media/image53.png"/><Relationship Id="rId8" Type="http://schemas.openxmlformats.org/officeDocument/2006/relationships/endnotes" Target="endnotes.xml"/><Relationship Id="rId51" Type="http://schemas.openxmlformats.org/officeDocument/2006/relationships/image" Target="media/image29.png"/><Relationship Id="rId72" Type="http://schemas.openxmlformats.org/officeDocument/2006/relationships/image" Target="media/image48.png"/><Relationship Id="rId80" Type="http://schemas.openxmlformats.org/officeDocument/2006/relationships/image" Target="media/image56.jpeg"/><Relationship Id="rId85" Type="http://schemas.openxmlformats.org/officeDocument/2006/relationships/image" Target="media/image61.emf"/><Relationship Id="rId93"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hyperlink" Target="https://huanbao.bjx.com.cn/topics/hjyxpjwjsp/" TargetMode="External"/><Relationship Id="rId25" Type="http://schemas.openxmlformats.org/officeDocument/2006/relationships/image" Target="media/image6.png"/><Relationship Id="rId33" Type="http://schemas.openxmlformats.org/officeDocument/2006/relationships/hyperlink" Target="file:///F:\360&#29992;&#25143;&#25991;&#20214;\&#28216;&#25103;&#22823;&#21381;\&#22825;&#20806;&#20859;&#29482;&#26377;&#38480;&#20844;&#21496;&#29615;&#35780;\1106&#22825;&#20806;&#20859;&#29482;\&#22825;&#20806;&#20859;&#29482;&#26377;&#38480;&#20844;&#21496;&#29615;&#35780;1117.docx" TargetMode="External"/><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header" Target="header1.xml"/><Relationship Id="rId41" Type="http://schemas.openxmlformats.org/officeDocument/2006/relationships/image" Target="media/image19.png"/><Relationship Id="rId54" Type="http://schemas.openxmlformats.org/officeDocument/2006/relationships/oleObject" Target="embeddings/oleObject1.bin"/><Relationship Id="rId62" Type="http://schemas.openxmlformats.org/officeDocument/2006/relationships/image" Target="media/image38.png"/><Relationship Id="rId70" Type="http://schemas.openxmlformats.org/officeDocument/2006/relationships/image" Target="media/image46.wmf"/><Relationship Id="rId75" Type="http://schemas.openxmlformats.org/officeDocument/2006/relationships/image" Target="media/image51.png"/><Relationship Id="rId83" Type="http://schemas.openxmlformats.org/officeDocument/2006/relationships/image" Target="media/image59.emf"/><Relationship Id="rId88" Type="http://schemas.openxmlformats.org/officeDocument/2006/relationships/header" Target="header3.xml"/><Relationship Id="rId9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huanbao.bjx.com.cn/topics/hjyxpjwjsp/"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3.png"/><Relationship Id="rId10" Type="http://schemas.openxmlformats.org/officeDocument/2006/relationships/image" Target="media/image1.png"/><Relationship Id="rId31" Type="http://schemas.openxmlformats.org/officeDocument/2006/relationships/image" Target="media/image12.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image" Target="media/image49.png"/><Relationship Id="rId78" Type="http://schemas.openxmlformats.org/officeDocument/2006/relationships/image" Target="media/image54.png"/><Relationship Id="rId81" Type="http://schemas.openxmlformats.org/officeDocument/2006/relationships/image" Target="media/image57.wmf"/><Relationship Id="rId86" Type="http://schemas.openxmlformats.org/officeDocument/2006/relationships/image" Target="media/image62.emf"/><Relationship Id="rId94"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696386"/>
    <customShpInfo spid="_x0000_s696387"/>
    <customShpInfo spid="_x0000_s696738"/>
    <customShpInfo spid="_x0000_s1485"/>
    <customShpInfo spid="_x0000_s697051"/>
    <customShpInfo spid="_x0000_s697049"/>
    <customShpInfo spid="_x0000_s696887"/>
    <customShpInfo spid="_x0000_s697053"/>
    <customShpInfo spid="_x0000_s697052"/>
    <customShpInfo spid="_x0000_s697050"/>
    <customShpInfo spid="_x0000_s696893"/>
    <customShpInfo spid="_x0000_s696895"/>
    <customShpInfo spid="_x0000_s697048"/>
    <customShpInfo spid="_x0000_s697030"/>
    <customShpInfo spid="_x0000_s697029"/>
    <customShpInfo spid="_x0000_s697039"/>
    <customShpInfo spid="_x0000_s697118"/>
    <customShpInfo spid="_x0000_s697119"/>
    <customShpInfo spid="_x0000_s696851"/>
    <customShpInfo spid="_x0000_s696859"/>
    <customShpInfo spid="_x0000_s696858"/>
    <customShpInfo spid="_x0000_s696857"/>
    <customShpInfo spid="_x0000_s696852"/>
    <customShpInfo spid="_x0000_s696853"/>
    <customShpInfo spid="_x0000_s697001"/>
    <customShpInfo spid="_x0000_s697002"/>
    <customShpInfo spid="_x0000_s697006"/>
    <customShpInfo spid="_x0000_s697007"/>
    <customShpInfo spid="_x0000_s697066"/>
    <customShpInfo spid="_x0000_s697013"/>
    <customShpInfo spid="_x0000_s697064"/>
    <customShpInfo spid="_x0000_s697063"/>
    <customShpInfo spid="_x0000_s697062"/>
    <customShpInfo spid="_x0000_s697000"/>
    <customShpInfo spid="_x0000_s696999"/>
    <customShpInfo spid="_x0000_s697008"/>
    <customShpInfo spid="_x0000_s697012"/>
    <customShpInfo spid="_x0000_s697010"/>
    <customShpInfo spid="_x0000_s697009"/>
    <customShpInfo spid="_x0000_s696463"/>
    <customShpInfo spid="_x0000_s696464"/>
    <customShpInfo spid="_x0000_s696462"/>
    <customShpInfo spid="_x0000_s696433"/>
    <customShpInfo spid="_x0000_s696429"/>
    <customShpInfo spid="_x0000_s696422"/>
    <customShpInfo spid="_x0000_s696431"/>
    <customShpInfo spid="_x0000_s696423"/>
    <customShpInfo spid="_x0000_s696415"/>
    <customShpInfo spid="_x0000_s696419"/>
    <customShpInfo spid="_x0000_s696424"/>
    <customShpInfo spid="_x0000_s696425"/>
    <customShpInfo spid="_x0000_s696427"/>
    <customShpInfo spid="_x0000_s696458"/>
    <customShpInfo spid="_x0000_s696417"/>
    <customShpInfo spid="_x0000_s696430"/>
    <customShpInfo spid="_x0000_s696416"/>
    <customShpInfo spid="_x0000_s696428"/>
    <customShpInfo spid="_x0000_s696460"/>
    <customShpInfo spid="_x0000_s696457"/>
    <customShpInfo spid="_x0000_s696421"/>
    <customShpInfo spid="_x0000_s696420"/>
    <customShpInfo spid="_x0000_s696461"/>
    <customShpInfo spid="_x0000_s697075"/>
    <customShpInfo spid="_x0000_s697074"/>
    <customShpInfo spid="_x0000_s696426"/>
    <customShpInfo spid="_x0000_s696465"/>
    <customShpInfo spid="_x0000_s696418"/>
    <customShpInfo spid="_x0000_s696459"/>
    <customShpInfo spid="_x0000_s696432"/>
    <customShpInfo spid="_x0000_s696466"/>
    <customShpInfo spid="_x0000_s697020"/>
    <customShpInfo spid="_x0000_s697084"/>
    <customShpInfo spid="_x0000_s697083"/>
    <customShpInfo spid="_x0000_s696705"/>
    <customShpInfo spid="_x0000_s696708"/>
    <customShpInfo spid="_x0000_s696706"/>
    <customShpInfo spid="_x0000_s696714"/>
    <customShpInfo spid="_x0000_s696694"/>
    <customShpInfo spid="_x0000_s696707"/>
    <customShpInfo spid="_x0000_s696693"/>
    <customShpInfo spid="_x0000_s696698"/>
    <customShpInfo spid="_x0000_s696697"/>
    <customShpInfo spid="_x0000_s696945"/>
    <customShpInfo spid="_x0000_s697147"/>
    <customShpInfo spid="_x0000_s697104"/>
    <customShpInfo spid="_x0000_s697133"/>
    <customShpInfo spid="_x0000_s697137"/>
    <customShpInfo spid="_x0000_s697135"/>
    <customShpInfo spid="_x0000_s697130"/>
    <customShpInfo spid="_x0000_s697139"/>
    <customShpInfo spid="_x0000_s697138"/>
    <customShpInfo spid="_x0000_s697136"/>
    <customShpInfo spid="_x0000_s697134"/>
    <customShpInfo spid="_x0000_s697131"/>
    <customShpInfo spid="_x0000_s697129"/>
    <customShpInfo spid="_x0000_s697128"/>
    <customShpInfo spid="_x0000_s697096"/>
    <customShpInfo spid="_x0000_s697109"/>
    <customShpInfo spid="_x0000_s697108"/>
    <customShpInfo spid="_x0000_s697110"/>
    <customShpInfo spid="_x0000_s696772"/>
    <customShpInfo spid="_x0000_s696771"/>
    <customShpInfo spid="_x0000_s696820"/>
    <customShpInfo spid="_x0000_s696829"/>
    <customShpInfo spid="_x0000_s696754"/>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1706FD-68A7-457C-B541-B5BF491B0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11846</TotalTime>
  <Pages>1</Pages>
  <Words>33355</Words>
  <Characters>190129</Characters>
  <Application>Microsoft Office Word</Application>
  <DocSecurity>0</DocSecurity>
  <Lines>1584</Lines>
  <Paragraphs>446</Paragraphs>
  <ScaleCrop>false</ScaleCrop>
  <Company>China</Company>
  <LinksUpToDate>false</LinksUpToDate>
  <CharactersWithSpaces>223038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用户</cp:lastModifiedBy>
  <cp:revision>717</cp:revision>
  <cp:lastPrinted>2020-03-19T08:55:00Z</cp:lastPrinted>
  <dcterms:created xsi:type="dcterms:W3CDTF">2025-10-14T03:39:00Z</dcterms:created>
  <dcterms:modified xsi:type="dcterms:W3CDTF">2026-09-21T01:39:00Z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eyJoZGlkIjoiMTRhNDY5ZmVhZmFmNWZiYjliMjAyZmU1OWQ5ZjZmNjAiLCJ1c2VySWQiOiIxNDEzNjIzNjEzIn0=</vt:lpwstr>
  </property>
  <property fmtid="{D5CDD505-2E9C-101B-9397-08002B2CF9AE}" pid="3" name="KSOProductBuildVer">
    <vt:lpwstr>2052-12.1.0.21171</vt:lpwstr>
  </property>
  <property fmtid="{D5CDD505-2E9C-101B-9397-08002B2CF9AE}" pid="4" name="ICV">
    <vt:lpwstr>99CFDCBEB7D54BAE94FF1AB316255A23_12</vt:lpwstr>
  </property>
</Properties>
</file>